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53FF1" w14:textId="77777777" w:rsidR="009260DE" w:rsidRPr="004C59A7" w:rsidRDefault="0021526C" w:rsidP="009260DE">
      <w:pPr>
        <w:rPr>
          <w:sz w:val="24"/>
          <w:szCs w:val="24"/>
        </w:rPr>
      </w:pPr>
      <w:r w:rsidRPr="004C59A7">
        <w:rPr>
          <w:noProof/>
          <w:sz w:val="24"/>
          <w:szCs w:val="24"/>
          <w:lang w:eastAsia="da-DK"/>
        </w:rPr>
        <w:drawing>
          <wp:anchor distT="0" distB="0" distL="114300" distR="114300" simplePos="0" relativeHeight="251658240" behindDoc="0" locked="0" layoutInCell="1" allowOverlap="1" wp14:anchorId="55283B53" wp14:editId="0378BAA5">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4C59A7">
        <w:rPr>
          <w:sz w:val="24"/>
          <w:szCs w:val="24"/>
        </w:rPr>
        <w:br w:type="textWrapping" w:clear="all"/>
      </w:r>
    </w:p>
    <w:p w14:paraId="525FD26E" w14:textId="3A5C636B" w:rsidR="009260DE" w:rsidRPr="004C59A7" w:rsidRDefault="009260DE" w:rsidP="009260DE">
      <w:pPr>
        <w:pStyle w:val="Titel"/>
        <w:tabs>
          <w:tab w:val="right" w:pos="9356"/>
        </w:tabs>
        <w:jc w:val="left"/>
        <w:rPr>
          <w:b w:val="0"/>
          <w:szCs w:val="24"/>
          <w:lang w:eastAsia="en-US"/>
        </w:rPr>
      </w:pPr>
      <w:r w:rsidRPr="004C59A7">
        <w:rPr>
          <w:b w:val="0"/>
          <w:szCs w:val="24"/>
          <w:lang w:eastAsia="en-US"/>
        </w:rPr>
        <w:tab/>
      </w:r>
      <w:r w:rsidR="004D3913">
        <w:rPr>
          <w:szCs w:val="24"/>
        </w:rPr>
        <w:t>26. marts 2026</w:t>
      </w:r>
    </w:p>
    <w:p w14:paraId="41189473" w14:textId="77777777" w:rsidR="009260DE" w:rsidRPr="004C59A7" w:rsidRDefault="009260DE" w:rsidP="009260DE">
      <w:pPr>
        <w:pStyle w:val="Titel"/>
        <w:tabs>
          <w:tab w:val="left" w:pos="8222"/>
        </w:tabs>
        <w:jc w:val="left"/>
        <w:rPr>
          <w:b w:val="0"/>
          <w:szCs w:val="24"/>
        </w:rPr>
      </w:pPr>
    </w:p>
    <w:p w14:paraId="6703D0B3" w14:textId="77777777" w:rsidR="009260DE" w:rsidRPr="004C59A7" w:rsidRDefault="009260DE" w:rsidP="009260DE">
      <w:pPr>
        <w:pStyle w:val="Titel"/>
        <w:jc w:val="left"/>
        <w:rPr>
          <w:b w:val="0"/>
          <w:szCs w:val="24"/>
        </w:rPr>
      </w:pPr>
    </w:p>
    <w:p w14:paraId="186A4376" w14:textId="77777777" w:rsidR="009260DE" w:rsidRPr="004C59A7" w:rsidRDefault="009260DE" w:rsidP="009260DE">
      <w:pPr>
        <w:pStyle w:val="Titel"/>
        <w:jc w:val="left"/>
        <w:rPr>
          <w:b w:val="0"/>
          <w:szCs w:val="24"/>
        </w:rPr>
      </w:pPr>
    </w:p>
    <w:p w14:paraId="3FAAD6F1" w14:textId="77777777" w:rsidR="009260DE" w:rsidRPr="004C59A7" w:rsidRDefault="009260DE" w:rsidP="009260DE">
      <w:pPr>
        <w:jc w:val="center"/>
        <w:rPr>
          <w:b/>
          <w:sz w:val="24"/>
          <w:szCs w:val="24"/>
        </w:rPr>
      </w:pPr>
      <w:r w:rsidRPr="004C59A7">
        <w:rPr>
          <w:b/>
          <w:sz w:val="24"/>
          <w:szCs w:val="24"/>
        </w:rPr>
        <w:t>PRODUKTRESUMÉ</w:t>
      </w:r>
    </w:p>
    <w:p w14:paraId="1804A38F" w14:textId="77777777" w:rsidR="009260DE" w:rsidRPr="004C59A7" w:rsidRDefault="009260DE" w:rsidP="009260DE">
      <w:pPr>
        <w:jc w:val="center"/>
        <w:rPr>
          <w:b/>
          <w:sz w:val="24"/>
          <w:szCs w:val="24"/>
        </w:rPr>
      </w:pPr>
    </w:p>
    <w:p w14:paraId="05036DC9" w14:textId="77777777" w:rsidR="009260DE" w:rsidRPr="004C59A7" w:rsidRDefault="009260DE" w:rsidP="009260DE">
      <w:pPr>
        <w:jc w:val="center"/>
        <w:rPr>
          <w:b/>
          <w:sz w:val="24"/>
          <w:szCs w:val="24"/>
        </w:rPr>
      </w:pPr>
      <w:r w:rsidRPr="004C59A7">
        <w:rPr>
          <w:b/>
          <w:sz w:val="24"/>
          <w:szCs w:val="24"/>
        </w:rPr>
        <w:t>for</w:t>
      </w:r>
    </w:p>
    <w:p w14:paraId="6F975A69" w14:textId="77777777" w:rsidR="000B058C" w:rsidRPr="004C59A7" w:rsidRDefault="000B058C" w:rsidP="009260DE">
      <w:pPr>
        <w:jc w:val="center"/>
        <w:rPr>
          <w:b/>
          <w:sz w:val="24"/>
          <w:szCs w:val="24"/>
        </w:rPr>
      </w:pPr>
    </w:p>
    <w:p w14:paraId="1C74564C" w14:textId="62D6EA47" w:rsidR="009260DE" w:rsidRPr="004C59A7" w:rsidRDefault="0043599A" w:rsidP="009260DE">
      <w:pPr>
        <w:jc w:val="center"/>
        <w:rPr>
          <w:b/>
          <w:sz w:val="24"/>
          <w:szCs w:val="24"/>
        </w:rPr>
      </w:pPr>
      <w:r w:rsidRPr="004C59A7">
        <w:rPr>
          <w:b/>
          <w:sz w:val="24"/>
          <w:szCs w:val="24"/>
        </w:rPr>
        <w:t>Tanolux, øjendråber, opløsning i enkeltdosisbeholder</w:t>
      </w:r>
    </w:p>
    <w:p w14:paraId="361F67AB" w14:textId="77777777" w:rsidR="009260DE" w:rsidRPr="004C59A7" w:rsidRDefault="009260DE" w:rsidP="009260DE">
      <w:pPr>
        <w:jc w:val="both"/>
        <w:rPr>
          <w:sz w:val="24"/>
          <w:szCs w:val="24"/>
        </w:rPr>
      </w:pPr>
    </w:p>
    <w:p w14:paraId="6DD8DE97" w14:textId="77777777" w:rsidR="009260DE" w:rsidRPr="004C59A7" w:rsidRDefault="009260DE" w:rsidP="009260DE">
      <w:pPr>
        <w:jc w:val="both"/>
        <w:rPr>
          <w:sz w:val="24"/>
          <w:szCs w:val="24"/>
        </w:rPr>
      </w:pPr>
    </w:p>
    <w:p w14:paraId="33E02E08" w14:textId="77777777" w:rsidR="009260DE" w:rsidRPr="004C59A7" w:rsidRDefault="009260DE" w:rsidP="009260DE">
      <w:pPr>
        <w:tabs>
          <w:tab w:val="left" w:pos="851"/>
        </w:tabs>
        <w:ind w:left="851" w:hanging="851"/>
        <w:rPr>
          <w:b/>
          <w:sz w:val="24"/>
          <w:szCs w:val="24"/>
        </w:rPr>
      </w:pPr>
      <w:r w:rsidRPr="004C59A7">
        <w:rPr>
          <w:b/>
          <w:sz w:val="24"/>
          <w:szCs w:val="24"/>
        </w:rPr>
        <w:t>0.</w:t>
      </w:r>
      <w:r w:rsidRPr="004C59A7">
        <w:rPr>
          <w:b/>
          <w:sz w:val="24"/>
          <w:szCs w:val="24"/>
        </w:rPr>
        <w:tab/>
        <w:t>D.SP.NR.</w:t>
      </w:r>
    </w:p>
    <w:p w14:paraId="3A52C764" w14:textId="1286A054" w:rsidR="009260DE" w:rsidRPr="004C59A7" w:rsidRDefault="0043599A" w:rsidP="009260DE">
      <w:pPr>
        <w:tabs>
          <w:tab w:val="left" w:pos="851"/>
        </w:tabs>
        <w:ind w:left="851"/>
        <w:rPr>
          <w:sz w:val="24"/>
          <w:szCs w:val="24"/>
        </w:rPr>
      </w:pPr>
      <w:r w:rsidRPr="004C59A7">
        <w:rPr>
          <w:sz w:val="24"/>
          <w:szCs w:val="24"/>
        </w:rPr>
        <w:t>34542</w:t>
      </w:r>
    </w:p>
    <w:p w14:paraId="14B8230B" w14:textId="77777777" w:rsidR="009260DE" w:rsidRPr="004C59A7" w:rsidRDefault="009260DE" w:rsidP="009260DE">
      <w:pPr>
        <w:tabs>
          <w:tab w:val="left" w:pos="851"/>
        </w:tabs>
        <w:ind w:left="851"/>
        <w:rPr>
          <w:sz w:val="24"/>
          <w:szCs w:val="24"/>
        </w:rPr>
      </w:pPr>
    </w:p>
    <w:p w14:paraId="77251D0F" w14:textId="77777777" w:rsidR="009260DE" w:rsidRPr="004C59A7" w:rsidRDefault="009260DE" w:rsidP="009260DE">
      <w:pPr>
        <w:tabs>
          <w:tab w:val="left" w:pos="851"/>
        </w:tabs>
        <w:ind w:left="851" w:hanging="851"/>
        <w:rPr>
          <w:b/>
          <w:sz w:val="24"/>
          <w:szCs w:val="24"/>
        </w:rPr>
      </w:pPr>
      <w:r w:rsidRPr="004C59A7">
        <w:rPr>
          <w:b/>
          <w:sz w:val="24"/>
          <w:szCs w:val="24"/>
        </w:rPr>
        <w:t>1.</w:t>
      </w:r>
      <w:r w:rsidRPr="004C59A7">
        <w:rPr>
          <w:b/>
          <w:sz w:val="24"/>
          <w:szCs w:val="24"/>
        </w:rPr>
        <w:tab/>
        <w:t>LÆGEMIDLETS NAVN</w:t>
      </w:r>
    </w:p>
    <w:p w14:paraId="65D8ADE6" w14:textId="3479EF30" w:rsidR="009260DE" w:rsidRPr="004C59A7" w:rsidRDefault="0043599A" w:rsidP="009260DE">
      <w:pPr>
        <w:tabs>
          <w:tab w:val="left" w:pos="851"/>
        </w:tabs>
        <w:ind w:left="851"/>
        <w:rPr>
          <w:sz w:val="24"/>
          <w:szCs w:val="24"/>
        </w:rPr>
      </w:pPr>
      <w:r w:rsidRPr="004C59A7">
        <w:rPr>
          <w:sz w:val="24"/>
          <w:szCs w:val="24"/>
        </w:rPr>
        <w:t>Tanolux</w:t>
      </w:r>
    </w:p>
    <w:p w14:paraId="44944EA9" w14:textId="77777777" w:rsidR="009260DE" w:rsidRPr="004C59A7" w:rsidRDefault="009260DE" w:rsidP="009260DE">
      <w:pPr>
        <w:tabs>
          <w:tab w:val="left" w:pos="851"/>
        </w:tabs>
        <w:ind w:left="851"/>
        <w:rPr>
          <w:sz w:val="24"/>
          <w:szCs w:val="24"/>
        </w:rPr>
      </w:pPr>
    </w:p>
    <w:p w14:paraId="089A77C6" w14:textId="77777777" w:rsidR="009260DE" w:rsidRPr="004C59A7" w:rsidRDefault="009260DE" w:rsidP="009260DE">
      <w:pPr>
        <w:tabs>
          <w:tab w:val="left" w:pos="851"/>
        </w:tabs>
        <w:ind w:left="851" w:hanging="851"/>
        <w:rPr>
          <w:b/>
          <w:sz w:val="24"/>
          <w:szCs w:val="24"/>
        </w:rPr>
      </w:pPr>
      <w:r w:rsidRPr="004C59A7">
        <w:rPr>
          <w:b/>
          <w:sz w:val="24"/>
          <w:szCs w:val="24"/>
        </w:rPr>
        <w:t>2.</w:t>
      </w:r>
      <w:r w:rsidRPr="004C59A7">
        <w:rPr>
          <w:b/>
          <w:sz w:val="24"/>
          <w:szCs w:val="24"/>
        </w:rPr>
        <w:tab/>
        <w:t>KVALITATIV OG KVANTITATIV SAMMENSÆTNING</w:t>
      </w:r>
    </w:p>
    <w:p w14:paraId="5A8447EC" w14:textId="77777777" w:rsidR="000547CB" w:rsidRPr="000547CB" w:rsidRDefault="000547CB" w:rsidP="003247ED">
      <w:pPr>
        <w:ind w:left="851"/>
        <w:rPr>
          <w:sz w:val="24"/>
          <w:szCs w:val="24"/>
        </w:rPr>
      </w:pPr>
      <w:r w:rsidRPr="000547CB">
        <w:rPr>
          <w:sz w:val="24"/>
          <w:szCs w:val="24"/>
        </w:rPr>
        <w:t xml:space="preserve">1 ml øjendråber, opløsning indeholder 50 mikrogram </w:t>
      </w:r>
      <w:proofErr w:type="spellStart"/>
      <w:r w:rsidRPr="000547CB">
        <w:rPr>
          <w:sz w:val="24"/>
          <w:szCs w:val="24"/>
        </w:rPr>
        <w:t>latanoprost</w:t>
      </w:r>
      <w:proofErr w:type="spellEnd"/>
      <w:r w:rsidRPr="000547CB">
        <w:rPr>
          <w:sz w:val="24"/>
          <w:szCs w:val="24"/>
        </w:rPr>
        <w:t>.</w:t>
      </w:r>
    </w:p>
    <w:p w14:paraId="1FC8136F" w14:textId="77777777" w:rsidR="000547CB" w:rsidRPr="000547CB" w:rsidRDefault="000547CB" w:rsidP="003247ED">
      <w:pPr>
        <w:ind w:left="851"/>
        <w:rPr>
          <w:sz w:val="24"/>
          <w:szCs w:val="24"/>
        </w:rPr>
      </w:pPr>
    </w:p>
    <w:p w14:paraId="599E55FA" w14:textId="77777777" w:rsidR="000547CB" w:rsidRPr="000547CB" w:rsidRDefault="000547CB" w:rsidP="003247ED">
      <w:pPr>
        <w:ind w:left="851"/>
        <w:rPr>
          <w:sz w:val="24"/>
          <w:szCs w:val="24"/>
        </w:rPr>
      </w:pPr>
      <w:r w:rsidRPr="000547CB">
        <w:rPr>
          <w:sz w:val="24"/>
          <w:szCs w:val="24"/>
        </w:rPr>
        <w:t xml:space="preserve">Én dråbe indeholder cirka 1,5 mikrogram </w:t>
      </w:r>
      <w:proofErr w:type="spellStart"/>
      <w:r w:rsidRPr="000547CB">
        <w:rPr>
          <w:sz w:val="24"/>
          <w:szCs w:val="24"/>
        </w:rPr>
        <w:t>latanoprost</w:t>
      </w:r>
      <w:proofErr w:type="spellEnd"/>
      <w:r w:rsidRPr="000547CB">
        <w:rPr>
          <w:sz w:val="24"/>
          <w:szCs w:val="24"/>
        </w:rPr>
        <w:t>.</w:t>
      </w:r>
    </w:p>
    <w:p w14:paraId="2A552AB1" w14:textId="77777777" w:rsidR="000547CB" w:rsidRPr="000547CB" w:rsidRDefault="000547CB" w:rsidP="003247ED">
      <w:pPr>
        <w:ind w:left="851"/>
        <w:rPr>
          <w:sz w:val="24"/>
          <w:szCs w:val="24"/>
          <w:u w:val="single"/>
        </w:rPr>
      </w:pPr>
    </w:p>
    <w:p w14:paraId="20539E19" w14:textId="77777777" w:rsidR="000547CB" w:rsidRPr="000547CB" w:rsidRDefault="000547CB" w:rsidP="003247ED">
      <w:pPr>
        <w:ind w:left="851"/>
        <w:rPr>
          <w:sz w:val="24"/>
          <w:szCs w:val="24"/>
        </w:rPr>
      </w:pPr>
      <w:r w:rsidRPr="000547CB">
        <w:rPr>
          <w:sz w:val="24"/>
          <w:szCs w:val="24"/>
          <w:u w:val="single"/>
        </w:rPr>
        <w:t>Hjælpestof, som behandleren skal være opmærksom på</w:t>
      </w:r>
    </w:p>
    <w:p w14:paraId="42E4D7BC" w14:textId="77777777" w:rsidR="000547CB" w:rsidRPr="000547CB" w:rsidRDefault="000547CB" w:rsidP="003247ED">
      <w:pPr>
        <w:ind w:left="851"/>
        <w:rPr>
          <w:sz w:val="24"/>
          <w:szCs w:val="24"/>
        </w:rPr>
      </w:pPr>
    </w:p>
    <w:p w14:paraId="6035190B" w14:textId="77777777" w:rsidR="000547CB" w:rsidRPr="000547CB" w:rsidRDefault="000547CB" w:rsidP="003247ED">
      <w:pPr>
        <w:ind w:left="851"/>
        <w:rPr>
          <w:sz w:val="24"/>
          <w:szCs w:val="24"/>
        </w:rPr>
      </w:pPr>
      <w:r w:rsidRPr="000547CB">
        <w:rPr>
          <w:sz w:val="24"/>
          <w:szCs w:val="24"/>
        </w:rPr>
        <w:t>1 ml opløsning indeholder:</w:t>
      </w:r>
    </w:p>
    <w:p w14:paraId="700E9B5A" w14:textId="19E54142" w:rsidR="000547CB" w:rsidRPr="000547CB" w:rsidRDefault="000547CB" w:rsidP="003247ED">
      <w:pPr>
        <w:ind w:left="851"/>
        <w:rPr>
          <w:sz w:val="24"/>
          <w:szCs w:val="24"/>
        </w:rPr>
      </w:pPr>
      <w:r w:rsidRPr="000547CB">
        <w:rPr>
          <w:sz w:val="24"/>
          <w:szCs w:val="24"/>
        </w:rPr>
        <w:t xml:space="preserve">9,25 mg </w:t>
      </w:r>
      <w:proofErr w:type="spellStart"/>
      <w:r w:rsidRPr="000547CB">
        <w:rPr>
          <w:sz w:val="24"/>
          <w:szCs w:val="24"/>
        </w:rPr>
        <w:t>phosphater</w:t>
      </w:r>
      <w:proofErr w:type="spellEnd"/>
      <w:r w:rsidRPr="000547CB">
        <w:rPr>
          <w:sz w:val="24"/>
          <w:szCs w:val="24"/>
        </w:rPr>
        <w:t xml:space="preserve"> svarende til 7,70 mg </w:t>
      </w:r>
      <w:proofErr w:type="spellStart"/>
      <w:r w:rsidRPr="000547CB">
        <w:rPr>
          <w:sz w:val="24"/>
          <w:szCs w:val="24"/>
        </w:rPr>
        <w:t>natriumdihydrogenphosphatmonohydrat</w:t>
      </w:r>
      <w:proofErr w:type="spellEnd"/>
      <w:r w:rsidRPr="000547CB">
        <w:rPr>
          <w:sz w:val="24"/>
          <w:szCs w:val="24"/>
        </w:rPr>
        <w:t xml:space="preserve"> og 1,55</w:t>
      </w:r>
      <w:r w:rsidR="004C59A7">
        <w:rPr>
          <w:sz w:val="24"/>
          <w:szCs w:val="24"/>
        </w:rPr>
        <w:t> </w:t>
      </w:r>
      <w:r w:rsidRPr="000547CB">
        <w:rPr>
          <w:sz w:val="24"/>
          <w:szCs w:val="24"/>
        </w:rPr>
        <w:t xml:space="preserve">mg </w:t>
      </w:r>
      <w:proofErr w:type="spellStart"/>
      <w:r w:rsidRPr="000547CB">
        <w:rPr>
          <w:sz w:val="24"/>
          <w:szCs w:val="24"/>
        </w:rPr>
        <w:t>dinatriumphosphat</w:t>
      </w:r>
      <w:proofErr w:type="spellEnd"/>
      <w:r w:rsidRPr="000547CB">
        <w:rPr>
          <w:sz w:val="24"/>
          <w:szCs w:val="24"/>
        </w:rPr>
        <w:t>, vandfrit</w:t>
      </w:r>
    </w:p>
    <w:p w14:paraId="7B6ABC29" w14:textId="77777777" w:rsidR="000547CB" w:rsidRPr="000547CB" w:rsidRDefault="000547CB" w:rsidP="003247ED">
      <w:pPr>
        <w:ind w:left="851"/>
        <w:rPr>
          <w:sz w:val="24"/>
          <w:szCs w:val="24"/>
        </w:rPr>
      </w:pPr>
      <w:r w:rsidRPr="000547CB">
        <w:rPr>
          <w:sz w:val="24"/>
          <w:szCs w:val="24"/>
        </w:rPr>
        <w:t xml:space="preserve">0,2 mg </w:t>
      </w:r>
      <w:proofErr w:type="spellStart"/>
      <w:r w:rsidRPr="000547CB">
        <w:rPr>
          <w:sz w:val="24"/>
          <w:szCs w:val="24"/>
        </w:rPr>
        <w:t>benzalkoniumchlorid</w:t>
      </w:r>
      <w:proofErr w:type="spellEnd"/>
    </w:p>
    <w:p w14:paraId="48C16376" w14:textId="77777777" w:rsidR="000547CB" w:rsidRPr="000547CB" w:rsidRDefault="000547CB" w:rsidP="003247ED">
      <w:pPr>
        <w:ind w:left="851"/>
        <w:rPr>
          <w:sz w:val="24"/>
          <w:szCs w:val="24"/>
        </w:rPr>
      </w:pPr>
    </w:p>
    <w:p w14:paraId="3E11755E" w14:textId="77777777" w:rsidR="000547CB" w:rsidRPr="000547CB" w:rsidRDefault="000547CB" w:rsidP="003247ED">
      <w:pPr>
        <w:ind w:left="851"/>
        <w:rPr>
          <w:sz w:val="24"/>
          <w:szCs w:val="24"/>
        </w:rPr>
      </w:pPr>
      <w:r w:rsidRPr="000547CB">
        <w:rPr>
          <w:sz w:val="24"/>
          <w:szCs w:val="24"/>
        </w:rPr>
        <w:t>Alle hjælpestoffer er anført under pkt. 6.1.</w:t>
      </w:r>
    </w:p>
    <w:p w14:paraId="57B799B6" w14:textId="77777777" w:rsidR="009260DE" w:rsidRPr="004C59A7" w:rsidRDefault="009260DE" w:rsidP="009260DE">
      <w:pPr>
        <w:tabs>
          <w:tab w:val="left" w:pos="851"/>
        </w:tabs>
        <w:ind w:left="851"/>
        <w:rPr>
          <w:sz w:val="24"/>
          <w:szCs w:val="24"/>
        </w:rPr>
      </w:pPr>
    </w:p>
    <w:p w14:paraId="3990BCC0" w14:textId="77777777" w:rsidR="009260DE" w:rsidRPr="004C59A7" w:rsidRDefault="009260DE" w:rsidP="009260DE">
      <w:pPr>
        <w:tabs>
          <w:tab w:val="left" w:pos="851"/>
        </w:tabs>
        <w:ind w:left="851" w:hanging="851"/>
        <w:rPr>
          <w:b/>
          <w:sz w:val="24"/>
          <w:szCs w:val="24"/>
        </w:rPr>
      </w:pPr>
      <w:r w:rsidRPr="004C59A7">
        <w:rPr>
          <w:b/>
          <w:sz w:val="24"/>
          <w:szCs w:val="24"/>
        </w:rPr>
        <w:t>3.</w:t>
      </w:r>
      <w:r w:rsidRPr="004C59A7">
        <w:rPr>
          <w:b/>
          <w:sz w:val="24"/>
          <w:szCs w:val="24"/>
        </w:rPr>
        <w:tab/>
        <w:t>LÆGEMIDDELFORM</w:t>
      </w:r>
    </w:p>
    <w:p w14:paraId="369692B3" w14:textId="60A7BF49" w:rsidR="000547CB" w:rsidRPr="000547CB" w:rsidRDefault="000547CB" w:rsidP="003247ED">
      <w:pPr>
        <w:ind w:left="851"/>
        <w:rPr>
          <w:sz w:val="24"/>
          <w:szCs w:val="24"/>
        </w:rPr>
      </w:pPr>
      <w:r w:rsidRPr="000547CB">
        <w:rPr>
          <w:sz w:val="24"/>
          <w:szCs w:val="24"/>
        </w:rPr>
        <w:t>Øjendråber, opløsning i enkeltdosisbeholder</w:t>
      </w:r>
    </w:p>
    <w:p w14:paraId="4986B059" w14:textId="77777777" w:rsidR="000547CB" w:rsidRPr="000547CB" w:rsidRDefault="000547CB" w:rsidP="003247ED">
      <w:pPr>
        <w:ind w:left="851"/>
        <w:rPr>
          <w:sz w:val="24"/>
          <w:szCs w:val="24"/>
        </w:rPr>
      </w:pPr>
      <w:r w:rsidRPr="000547CB">
        <w:rPr>
          <w:sz w:val="24"/>
          <w:szCs w:val="24"/>
        </w:rPr>
        <w:t>Opløsningen er en klar og farveløs væske.</w:t>
      </w:r>
    </w:p>
    <w:p w14:paraId="4F281F92" w14:textId="77777777" w:rsidR="000547CB" w:rsidRPr="000547CB" w:rsidRDefault="000547CB" w:rsidP="003247ED">
      <w:pPr>
        <w:ind w:left="851"/>
        <w:rPr>
          <w:sz w:val="24"/>
          <w:szCs w:val="24"/>
        </w:rPr>
      </w:pPr>
      <w:r w:rsidRPr="000547CB">
        <w:rPr>
          <w:sz w:val="24"/>
          <w:szCs w:val="24"/>
        </w:rPr>
        <w:t xml:space="preserve">pH: 5,7-6,3 </w:t>
      </w:r>
    </w:p>
    <w:p w14:paraId="51500AB1" w14:textId="77777777" w:rsidR="000547CB" w:rsidRPr="000547CB" w:rsidRDefault="000547CB" w:rsidP="003247ED">
      <w:pPr>
        <w:ind w:left="851"/>
        <w:rPr>
          <w:sz w:val="24"/>
          <w:szCs w:val="24"/>
        </w:rPr>
      </w:pPr>
      <w:proofErr w:type="spellStart"/>
      <w:r w:rsidRPr="000547CB">
        <w:rPr>
          <w:sz w:val="24"/>
          <w:szCs w:val="24"/>
        </w:rPr>
        <w:t>Osmolalitet</w:t>
      </w:r>
      <w:proofErr w:type="spellEnd"/>
      <w:r w:rsidRPr="000547CB">
        <w:rPr>
          <w:sz w:val="24"/>
          <w:szCs w:val="24"/>
        </w:rPr>
        <w:t xml:space="preserve">: 240-265 </w:t>
      </w:r>
      <w:proofErr w:type="spellStart"/>
      <w:r w:rsidRPr="000547CB">
        <w:rPr>
          <w:sz w:val="24"/>
          <w:szCs w:val="24"/>
        </w:rPr>
        <w:t>mOsmol</w:t>
      </w:r>
      <w:proofErr w:type="spellEnd"/>
      <w:r w:rsidRPr="000547CB">
        <w:rPr>
          <w:sz w:val="24"/>
          <w:szCs w:val="24"/>
        </w:rPr>
        <w:t>/kg</w:t>
      </w:r>
    </w:p>
    <w:p w14:paraId="767186DD" w14:textId="77777777" w:rsidR="009260DE" w:rsidRPr="004C59A7" w:rsidRDefault="009260DE" w:rsidP="009260DE">
      <w:pPr>
        <w:tabs>
          <w:tab w:val="left" w:pos="851"/>
        </w:tabs>
        <w:ind w:left="851"/>
        <w:rPr>
          <w:sz w:val="24"/>
          <w:szCs w:val="24"/>
        </w:rPr>
      </w:pPr>
    </w:p>
    <w:p w14:paraId="7C4FC179" w14:textId="77777777" w:rsidR="009260DE" w:rsidRPr="004C59A7" w:rsidRDefault="009260DE" w:rsidP="009260DE">
      <w:pPr>
        <w:tabs>
          <w:tab w:val="left" w:pos="851"/>
        </w:tabs>
        <w:ind w:left="851"/>
        <w:rPr>
          <w:sz w:val="24"/>
          <w:szCs w:val="24"/>
        </w:rPr>
      </w:pPr>
    </w:p>
    <w:p w14:paraId="1ABE27A2" w14:textId="77777777" w:rsidR="009260DE" w:rsidRPr="004C59A7" w:rsidRDefault="009260DE" w:rsidP="009260DE">
      <w:pPr>
        <w:tabs>
          <w:tab w:val="left" w:pos="851"/>
        </w:tabs>
        <w:ind w:left="851" w:hanging="851"/>
        <w:rPr>
          <w:b/>
          <w:sz w:val="24"/>
          <w:szCs w:val="24"/>
        </w:rPr>
      </w:pPr>
      <w:r w:rsidRPr="004C59A7">
        <w:rPr>
          <w:b/>
          <w:sz w:val="24"/>
          <w:szCs w:val="24"/>
        </w:rPr>
        <w:t>4.</w:t>
      </w:r>
      <w:r w:rsidRPr="004C59A7">
        <w:rPr>
          <w:b/>
          <w:sz w:val="24"/>
          <w:szCs w:val="24"/>
        </w:rPr>
        <w:tab/>
        <w:t>KLINISKE OPLYSNINGER</w:t>
      </w:r>
    </w:p>
    <w:p w14:paraId="0C034241" w14:textId="77777777" w:rsidR="009260DE" w:rsidRPr="004C59A7" w:rsidRDefault="009260DE" w:rsidP="009260DE">
      <w:pPr>
        <w:tabs>
          <w:tab w:val="left" w:pos="851"/>
        </w:tabs>
        <w:ind w:left="851"/>
        <w:rPr>
          <w:b/>
          <w:sz w:val="24"/>
          <w:szCs w:val="24"/>
        </w:rPr>
      </w:pPr>
    </w:p>
    <w:p w14:paraId="74116744" w14:textId="77777777" w:rsidR="009260DE" w:rsidRPr="004C59A7" w:rsidRDefault="009260DE" w:rsidP="009260DE">
      <w:pPr>
        <w:tabs>
          <w:tab w:val="left" w:pos="851"/>
        </w:tabs>
        <w:ind w:left="851" w:hanging="851"/>
        <w:rPr>
          <w:b/>
          <w:sz w:val="24"/>
          <w:szCs w:val="24"/>
          <w:u w:val="single"/>
        </w:rPr>
      </w:pPr>
      <w:r w:rsidRPr="004C59A7">
        <w:rPr>
          <w:b/>
          <w:sz w:val="24"/>
          <w:szCs w:val="24"/>
        </w:rPr>
        <w:t>4.1</w:t>
      </w:r>
      <w:r w:rsidRPr="004C59A7">
        <w:rPr>
          <w:b/>
          <w:sz w:val="24"/>
          <w:szCs w:val="24"/>
        </w:rPr>
        <w:tab/>
        <w:t>Terapeutiske indikationer</w:t>
      </w:r>
    </w:p>
    <w:p w14:paraId="65048DD2" w14:textId="77777777" w:rsidR="000547CB" w:rsidRPr="000547CB" w:rsidRDefault="000547CB" w:rsidP="003247ED">
      <w:pPr>
        <w:ind w:left="851"/>
        <w:rPr>
          <w:sz w:val="24"/>
          <w:szCs w:val="24"/>
        </w:rPr>
      </w:pPr>
      <w:r w:rsidRPr="000547CB">
        <w:rPr>
          <w:sz w:val="24"/>
          <w:szCs w:val="24"/>
        </w:rPr>
        <w:t xml:space="preserve">Reduktion af forhøjet </w:t>
      </w:r>
      <w:proofErr w:type="spellStart"/>
      <w:r w:rsidRPr="000547CB">
        <w:rPr>
          <w:sz w:val="24"/>
          <w:szCs w:val="24"/>
        </w:rPr>
        <w:t>intraokulært</w:t>
      </w:r>
      <w:proofErr w:type="spellEnd"/>
      <w:r w:rsidRPr="000547CB">
        <w:rPr>
          <w:sz w:val="24"/>
          <w:szCs w:val="24"/>
        </w:rPr>
        <w:t xml:space="preserve"> tryk (IOP) hos voksne patienter (inklusive ældre) med åbenvinklet </w:t>
      </w:r>
      <w:proofErr w:type="spellStart"/>
      <w:r w:rsidRPr="000547CB">
        <w:rPr>
          <w:sz w:val="24"/>
          <w:szCs w:val="24"/>
        </w:rPr>
        <w:t>glaukom</w:t>
      </w:r>
      <w:proofErr w:type="spellEnd"/>
      <w:r w:rsidRPr="000547CB">
        <w:rPr>
          <w:sz w:val="24"/>
          <w:szCs w:val="24"/>
        </w:rPr>
        <w:t xml:space="preserve"> og </w:t>
      </w:r>
      <w:proofErr w:type="spellStart"/>
      <w:r w:rsidRPr="000547CB">
        <w:rPr>
          <w:sz w:val="24"/>
          <w:szCs w:val="24"/>
        </w:rPr>
        <w:t>okulær</w:t>
      </w:r>
      <w:proofErr w:type="spellEnd"/>
      <w:r w:rsidRPr="000547CB">
        <w:rPr>
          <w:sz w:val="24"/>
          <w:szCs w:val="24"/>
        </w:rPr>
        <w:t xml:space="preserve"> hypertension.</w:t>
      </w:r>
    </w:p>
    <w:p w14:paraId="7AC199D0" w14:textId="77777777" w:rsidR="000547CB" w:rsidRPr="000547CB" w:rsidRDefault="000547CB" w:rsidP="003247ED">
      <w:pPr>
        <w:ind w:left="851"/>
        <w:rPr>
          <w:sz w:val="24"/>
          <w:szCs w:val="24"/>
        </w:rPr>
      </w:pPr>
    </w:p>
    <w:p w14:paraId="7036A94F" w14:textId="77777777" w:rsidR="000547CB" w:rsidRPr="000547CB" w:rsidRDefault="000547CB" w:rsidP="003247ED">
      <w:pPr>
        <w:ind w:left="851"/>
        <w:rPr>
          <w:sz w:val="24"/>
          <w:szCs w:val="24"/>
        </w:rPr>
      </w:pPr>
      <w:r w:rsidRPr="000547CB">
        <w:rPr>
          <w:sz w:val="24"/>
          <w:szCs w:val="24"/>
        </w:rPr>
        <w:t xml:space="preserve">Reduktion af forhøjet IOP hos børn med forhøjet IOP og pædiatrisk </w:t>
      </w:r>
      <w:proofErr w:type="spellStart"/>
      <w:r w:rsidRPr="000547CB">
        <w:rPr>
          <w:sz w:val="24"/>
          <w:szCs w:val="24"/>
        </w:rPr>
        <w:t>glaukom</w:t>
      </w:r>
      <w:proofErr w:type="spellEnd"/>
      <w:r w:rsidRPr="000547CB">
        <w:rPr>
          <w:sz w:val="24"/>
          <w:szCs w:val="24"/>
        </w:rPr>
        <w:t>.</w:t>
      </w:r>
    </w:p>
    <w:p w14:paraId="34B38496" w14:textId="77777777" w:rsidR="009260DE" w:rsidRPr="004C59A7" w:rsidRDefault="009260DE" w:rsidP="003247ED">
      <w:pPr>
        <w:ind w:left="851"/>
        <w:rPr>
          <w:sz w:val="24"/>
          <w:szCs w:val="24"/>
        </w:rPr>
      </w:pPr>
    </w:p>
    <w:p w14:paraId="65F23094" w14:textId="77777777" w:rsidR="009260DE" w:rsidRPr="004C59A7" w:rsidRDefault="009260DE" w:rsidP="009260DE">
      <w:pPr>
        <w:tabs>
          <w:tab w:val="left" w:pos="851"/>
        </w:tabs>
        <w:ind w:left="851" w:hanging="851"/>
        <w:rPr>
          <w:b/>
          <w:sz w:val="24"/>
          <w:szCs w:val="24"/>
        </w:rPr>
      </w:pPr>
      <w:r w:rsidRPr="004C59A7">
        <w:rPr>
          <w:b/>
          <w:sz w:val="24"/>
          <w:szCs w:val="24"/>
        </w:rPr>
        <w:lastRenderedPageBreak/>
        <w:t>4.2</w:t>
      </w:r>
      <w:r w:rsidRPr="004C59A7">
        <w:rPr>
          <w:b/>
          <w:sz w:val="24"/>
          <w:szCs w:val="24"/>
        </w:rPr>
        <w:tab/>
        <w:t xml:space="preserve">Dosering og </w:t>
      </w:r>
      <w:r w:rsidR="002C1EC0" w:rsidRPr="004C59A7">
        <w:rPr>
          <w:b/>
          <w:sz w:val="24"/>
          <w:szCs w:val="24"/>
        </w:rPr>
        <w:t>administration</w:t>
      </w:r>
    </w:p>
    <w:p w14:paraId="652C901C" w14:textId="77777777" w:rsidR="004C59A7" w:rsidRDefault="004C59A7" w:rsidP="003247ED">
      <w:pPr>
        <w:ind w:left="851"/>
        <w:rPr>
          <w:sz w:val="24"/>
          <w:szCs w:val="24"/>
          <w:u w:val="single"/>
        </w:rPr>
      </w:pPr>
    </w:p>
    <w:p w14:paraId="5E6967F6" w14:textId="0B054B75" w:rsidR="000547CB" w:rsidRPr="000547CB" w:rsidRDefault="000547CB" w:rsidP="003247ED">
      <w:pPr>
        <w:ind w:left="851"/>
        <w:rPr>
          <w:sz w:val="24"/>
          <w:szCs w:val="24"/>
        </w:rPr>
      </w:pPr>
      <w:r w:rsidRPr="000547CB">
        <w:rPr>
          <w:sz w:val="24"/>
          <w:szCs w:val="24"/>
          <w:u w:val="single"/>
        </w:rPr>
        <w:t>Dosering</w:t>
      </w:r>
    </w:p>
    <w:p w14:paraId="0CC620B6" w14:textId="77777777" w:rsidR="000547CB" w:rsidRPr="000547CB" w:rsidRDefault="000547CB" w:rsidP="003247ED">
      <w:pPr>
        <w:ind w:left="851"/>
        <w:rPr>
          <w:i/>
          <w:sz w:val="24"/>
          <w:szCs w:val="24"/>
        </w:rPr>
      </w:pPr>
    </w:p>
    <w:p w14:paraId="27E19F84" w14:textId="77777777" w:rsidR="000547CB" w:rsidRPr="000547CB" w:rsidRDefault="000547CB" w:rsidP="003247ED">
      <w:pPr>
        <w:ind w:left="851"/>
        <w:rPr>
          <w:i/>
          <w:sz w:val="24"/>
          <w:szCs w:val="24"/>
        </w:rPr>
      </w:pPr>
      <w:r w:rsidRPr="000547CB">
        <w:rPr>
          <w:i/>
          <w:sz w:val="24"/>
          <w:szCs w:val="24"/>
        </w:rPr>
        <w:t>Voksne (inklusive ældre)</w:t>
      </w:r>
    </w:p>
    <w:p w14:paraId="15B143AD" w14:textId="77777777" w:rsidR="000547CB" w:rsidRPr="000547CB" w:rsidRDefault="000547CB" w:rsidP="003247ED">
      <w:pPr>
        <w:ind w:left="851"/>
        <w:rPr>
          <w:sz w:val="24"/>
          <w:szCs w:val="24"/>
        </w:rPr>
      </w:pPr>
    </w:p>
    <w:p w14:paraId="4C7E0A94" w14:textId="77777777" w:rsidR="000547CB" w:rsidRPr="000547CB" w:rsidRDefault="000547CB" w:rsidP="003247ED">
      <w:pPr>
        <w:ind w:left="851"/>
        <w:rPr>
          <w:sz w:val="24"/>
          <w:szCs w:val="24"/>
        </w:rPr>
      </w:pPr>
      <w:r w:rsidRPr="000547CB">
        <w:rPr>
          <w:sz w:val="24"/>
          <w:szCs w:val="24"/>
        </w:rPr>
        <w:t xml:space="preserve">Anbefalet behandling: 1 dråbe i det/de angrebne øje/øjne en gang daglig. Optimal virkning opnås, hvis Tanolux administreres om aftenen. </w:t>
      </w:r>
      <w:bookmarkStart w:id="0" w:name="_Hlk120193533"/>
      <w:r w:rsidRPr="000547CB">
        <w:rPr>
          <w:sz w:val="24"/>
          <w:szCs w:val="24"/>
        </w:rPr>
        <w:t>Kun til engangsbrug. Eventuel overskydende opløsning skal kasseres straks efter brug.</w:t>
      </w:r>
      <w:bookmarkEnd w:id="0"/>
    </w:p>
    <w:p w14:paraId="3EF151F1" w14:textId="77777777" w:rsidR="000547CB" w:rsidRPr="000547CB" w:rsidRDefault="000547CB" w:rsidP="003247ED">
      <w:pPr>
        <w:ind w:left="851"/>
        <w:rPr>
          <w:sz w:val="24"/>
          <w:szCs w:val="24"/>
        </w:rPr>
      </w:pPr>
    </w:p>
    <w:p w14:paraId="4AE16C55" w14:textId="77777777" w:rsidR="000547CB" w:rsidRPr="000547CB" w:rsidRDefault="000547CB" w:rsidP="003247ED">
      <w:pPr>
        <w:ind w:left="851"/>
        <w:rPr>
          <w:sz w:val="24"/>
          <w:szCs w:val="24"/>
        </w:rPr>
      </w:pPr>
      <w:r w:rsidRPr="000547CB">
        <w:rPr>
          <w:sz w:val="24"/>
          <w:szCs w:val="24"/>
        </w:rPr>
        <w:t xml:space="preserve">Tanolux bør kun doseres en gang daglig, da det er vist, at hyppigere administration mindsker den </w:t>
      </w:r>
      <w:proofErr w:type="spellStart"/>
      <w:r w:rsidRPr="000547CB">
        <w:rPr>
          <w:sz w:val="24"/>
          <w:szCs w:val="24"/>
        </w:rPr>
        <w:t>intraokulære</w:t>
      </w:r>
      <w:proofErr w:type="spellEnd"/>
      <w:r w:rsidRPr="000547CB">
        <w:rPr>
          <w:sz w:val="24"/>
          <w:szCs w:val="24"/>
        </w:rPr>
        <w:t xml:space="preserve"> trykreducerende virkning.</w:t>
      </w:r>
    </w:p>
    <w:p w14:paraId="4505D44B" w14:textId="77777777" w:rsidR="000547CB" w:rsidRPr="000547CB" w:rsidRDefault="000547CB" w:rsidP="003247ED">
      <w:pPr>
        <w:ind w:left="851"/>
        <w:rPr>
          <w:sz w:val="24"/>
          <w:szCs w:val="24"/>
        </w:rPr>
      </w:pPr>
    </w:p>
    <w:p w14:paraId="0BAE0BCE" w14:textId="77777777" w:rsidR="000547CB" w:rsidRPr="000547CB" w:rsidRDefault="000547CB" w:rsidP="003247ED">
      <w:pPr>
        <w:ind w:left="851"/>
        <w:rPr>
          <w:sz w:val="24"/>
          <w:szCs w:val="24"/>
        </w:rPr>
      </w:pPr>
      <w:r w:rsidRPr="000547CB">
        <w:rPr>
          <w:sz w:val="24"/>
          <w:szCs w:val="24"/>
        </w:rPr>
        <w:t>Hvis en dosis springes over, bør behandlingen fortsættes med næste dosis som normalt.</w:t>
      </w:r>
    </w:p>
    <w:p w14:paraId="2F07870C" w14:textId="77777777" w:rsidR="000547CB" w:rsidRPr="000547CB" w:rsidRDefault="000547CB" w:rsidP="003247ED">
      <w:pPr>
        <w:ind w:left="851"/>
        <w:rPr>
          <w:i/>
          <w:sz w:val="24"/>
          <w:szCs w:val="24"/>
        </w:rPr>
      </w:pPr>
    </w:p>
    <w:p w14:paraId="4ED4AD74" w14:textId="77777777" w:rsidR="000547CB" w:rsidRPr="000547CB" w:rsidRDefault="000547CB" w:rsidP="003247ED">
      <w:pPr>
        <w:ind w:left="851"/>
        <w:rPr>
          <w:i/>
          <w:sz w:val="24"/>
          <w:szCs w:val="24"/>
        </w:rPr>
      </w:pPr>
      <w:r w:rsidRPr="000547CB">
        <w:rPr>
          <w:i/>
          <w:sz w:val="24"/>
          <w:szCs w:val="24"/>
        </w:rPr>
        <w:t>Pædiatrisk population</w:t>
      </w:r>
    </w:p>
    <w:p w14:paraId="500F09AA" w14:textId="77777777" w:rsidR="000547CB" w:rsidRPr="000547CB" w:rsidRDefault="000547CB" w:rsidP="003247ED">
      <w:pPr>
        <w:ind w:left="851"/>
        <w:rPr>
          <w:sz w:val="24"/>
          <w:szCs w:val="24"/>
        </w:rPr>
      </w:pPr>
    </w:p>
    <w:p w14:paraId="6BF2A662" w14:textId="77777777" w:rsidR="000547CB" w:rsidRPr="000547CB" w:rsidRDefault="000547CB" w:rsidP="003247ED">
      <w:pPr>
        <w:ind w:left="851"/>
        <w:rPr>
          <w:sz w:val="24"/>
          <w:szCs w:val="24"/>
        </w:rPr>
      </w:pPr>
      <w:r w:rsidRPr="000547CB">
        <w:rPr>
          <w:sz w:val="24"/>
          <w:szCs w:val="24"/>
        </w:rPr>
        <w:t>Tanolux kan bruges til børn i samme dosering som til voksne. Der er ingen tilgængelige data for anvendelse til præmature børn (</w:t>
      </w:r>
      <w:proofErr w:type="spellStart"/>
      <w:r w:rsidRPr="000547CB">
        <w:rPr>
          <w:sz w:val="24"/>
          <w:szCs w:val="24"/>
        </w:rPr>
        <w:t>gestationsalder</w:t>
      </w:r>
      <w:proofErr w:type="spellEnd"/>
      <w:r w:rsidRPr="000547CB">
        <w:rPr>
          <w:sz w:val="24"/>
          <w:szCs w:val="24"/>
        </w:rPr>
        <w:t xml:space="preserve"> mindre end 36 uger). Data i aldersgruppen &lt; 1 år er begrænset (4 patienter) (se pkt. 5.1).</w:t>
      </w:r>
    </w:p>
    <w:p w14:paraId="56E5DF75" w14:textId="77777777" w:rsidR="000547CB" w:rsidRPr="000547CB" w:rsidRDefault="000547CB" w:rsidP="003247ED">
      <w:pPr>
        <w:ind w:left="851"/>
        <w:rPr>
          <w:sz w:val="24"/>
          <w:szCs w:val="24"/>
          <w:u w:val="single"/>
        </w:rPr>
      </w:pPr>
    </w:p>
    <w:p w14:paraId="4BBA6E09" w14:textId="77777777" w:rsidR="000547CB" w:rsidRPr="000547CB" w:rsidRDefault="000547CB" w:rsidP="003247ED">
      <w:pPr>
        <w:ind w:left="851"/>
        <w:rPr>
          <w:sz w:val="24"/>
          <w:szCs w:val="24"/>
        </w:rPr>
      </w:pPr>
      <w:r w:rsidRPr="000547CB">
        <w:rPr>
          <w:sz w:val="24"/>
          <w:szCs w:val="24"/>
          <w:u w:val="single"/>
        </w:rPr>
        <w:t>Administration</w:t>
      </w:r>
    </w:p>
    <w:p w14:paraId="4A1C23A3" w14:textId="77777777" w:rsidR="000547CB" w:rsidRPr="000547CB" w:rsidRDefault="000547CB" w:rsidP="003247ED">
      <w:pPr>
        <w:ind w:left="851"/>
        <w:rPr>
          <w:sz w:val="24"/>
          <w:szCs w:val="24"/>
        </w:rPr>
      </w:pPr>
    </w:p>
    <w:p w14:paraId="34901249" w14:textId="77777777" w:rsidR="000547CB" w:rsidRPr="000547CB" w:rsidRDefault="000547CB" w:rsidP="003247ED">
      <w:pPr>
        <w:ind w:left="851"/>
        <w:rPr>
          <w:sz w:val="24"/>
          <w:szCs w:val="24"/>
        </w:rPr>
      </w:pPr>
      <w:proofErr w:type="spellStart"/>
      <w:r w:rsidRPr="000547CB">
        <w:rPr>
          <w:sz w:val="24"/>
          <w:szCs w:val="24"/>
        </w:rPr>
        <w:t>Okulær</w:t>
      </w:r>
      <w:proofErr w:type="spellEnd"/>
      <w:r w:rsidRPr="000547CB">
        <w:rPr>
          <w:sz w:val="24"/>
          <w:szCs w:val="24"/>
        </w:rPr>
        <w:t xml:space="preserve"> brug.</w:t>
      </w:r>
    </w:p>
    <w:p w14:paraId="161A4DD8" w14:textId="77777777" w:rsidR="000547CB" w:rsidRPr="000547CB" w:rsidRDefault="000547CB" w:rsidP="003247ED">
      <w:pPr>
        <w:ind w:left="851"/>
        <w:rPr>
          <w:sz w:val="24"/>
          <w:szCs w:val="24"/>
        </w:rPr>
      </w:pPr>
      <w:r w:rsidRPr="000547CB">
        <w:rPr>
          <w:sz w:val="24"/>
          <w:szCs w:val="24"/>
        </w:rPr>
        <w:t xml:space="preserve">Ligesom med andre øjendråber anbefales det at komprimere tåresækken ved den </w:t>
      </w:r>
      <w:proofErr w:type="spellStart"/>
      <w:r w:rsidRPr="000547CB">
        <w:rPr>
          <w:sz w:val="24"/>
          <w:szCs w:val="24"/>
        </w:rPr>
        <w:t>mediale</w:t>
      </w:r>
      <w:proofErr w:type="spellEnd"/>
      <w:r w:rsidRPr="000547CB">
        <w:rPr>
          <w:sz w:val="24"/>
          <w:szCs w:val="24"/>
        </w:rPr>
        <w:t xml:space="preserve"> øjenkrog (punktal </w:t>
      </w:r>
      <w:proofErr w:type="spellStart"/>
      <w:r w:rsidRPr="000547CB">
        <w:rPr>
          <w:sz w:val="24"/>
          <w:szCs w:val="24"/>
        </w:rPr>
        <w:t>okklusion</w:t>
      </w:r>
      <w:proofErr w:type="spellEnd"/>
      <w:r w:rsidRPr="000547CB">
        <w:rPr>
          <w:sz w:val="24"/>
          <w:szCs w:val="24"/>
        </w:rPr>
        <w:t xml:space="preserve">) i ét minut for at reducere mulig systemisk absorption. Dette bør gøres umiddelbart efter </w:t>
      </w:r>
      <w:proofErr w:type="spellStart"/>
      <w:r w:rsidRPr="000547CB">
        <w:rPr>
          <w:sz w:val="24"/>
          <w:szCs w:val="24"/>
        </w:rPr>
        <w:t>inddrypningen</w:t>
      </w:r>
      <w:proofErr w:type="spellEnd"/>
      <w:r w:rsidRPr="000547CB">
        <w:rPr>
          <w:sz w:val="24"/>
          <w:szCs w:val="24"/>
        </w:rPr>
        <w:t xml:space="preserve"> af hver øjendråbe.</w:t>
      </w:r>
    </w:p>
    <w:p w14:paraId="0A290A59" w14:textId="77777777" w:rsidR="000547CB" w:rsidRPr="000547CB" w:rsidRDefault="000547CB" w:rsidP="003247ED">
      <w:pPr>
        <w:ind w:left="851"/>
        <w:rPr>
          <w:sz w:val="24"/>
          <w:szCs w:val="24"/>
        </w:rPr>
      </w:pPr>
    </w:p>
    <w:p w14:paraId="637EB89E" w14:textId="77777777" w:rsidR="000547CB" w:rsidRPr="000547CB" w:rsidRDefault="000547CB" w:rsidP="003247ED">
      <w:pPr>
        <w:ind w:left="851"/>
        <w:rPr>
          <w:sz w:val="24"/>
          <w:szCs w:val="24"/>
        </w:rPr>
      </w:pPr>
      <w:r w:rsidRPr="000547CB">
        <w:rPr>
          <w:sz w:val="24"/>
          <w:szCs w:val="24"/>
        </w:rPr>
        <w:t xml:space="preserve">Kontaktlinser skal fjernes før </w:t>
      </w:r>
      <w:proofErr w:type="spellStart"/>
      <w:r w:rsidRPr="000547CB">
        <w:rPr>
          <w:sz w:val="24"/>
          <w:szCs w:val="24"/>
        </w:rPr>
        <w:t>inddrypning</w:t>
      </w:r>
      <w:proofErr w:type="spellEnd"/>
      <w:r w:rsidRPr="000547CB">
        <w:rPr>
          <w:sz w:val="24"/>
          <w:szCs w:val="24"/>
        </w:rPr>
        <w:t xml:space="preserve"> af øjendråberne og kan genindsættes efter 15 minutter.</w:t>
      </w:r>
    </w:p>
    <w:p w14:paraId="0F7D7FC2" w14:textId="77777777" w:rsidR="000547CB" w:rsidRPr="000547CB" w:rsidRDefault="000547CB" w:rsidP="003247ED">
      <w:pPr>
        <w:ind w:left="851"/>
        <w:rPr>
          <w:sz w:val="24"/>
          <w:szCs w:val="24"/>
        </w:rPr>
      </w:pPr>
    </w:p>
    <w:p w14:paraId="5C9B00B4" w14:textId="77777777" w:rsidR="000547CB" w:rsidRPr="000547CB" w:rsidRDefault="000547CB" w:rsidP="003247ED">
      <w:pPr>
        <w:ind w:left="851"/>
        <w:rPr>
          <w:sz w:val="24"/>
          <w:szCs w:val="24"/>
        </w:rPr>
      </w:pPr>
      <w:r w:rsidRPr="000547CB">
        <w:rPr>
          <w:sz w:val="24"/>
          <w:szCs w:val="24"/>
        </w:rPr>
        <w:t xml:space="preserve">Såfremt der anvendes mere end et </w:t>
      </w:r>
      <w:proofErr w:type="spellStart"/>
      <w:r w:rsidRPr="000547CB">
        <w:rPr>
          <w:sz w:val="24"/>
          <w:szCs w:val="24"/>
        </w:rPr>
        <w:t>topikalt</w:t>
      </w:r>
      <w:proofErr w:type="spellEnd"/>
      <w:r w:rsidRPr="000547CB">
        <w:rPr>
          <w:sz w:val="24"/>
          <w:szCs w:val="24"/>
        </w:rPr>
        <w:t xml:space="preserve"> </w:t>
      </w:r>
      <w:proofErr w:type="spellStart"/>
      <w:r w:rsidRPr="000547CB">
        <w:rPr>
          <w:sz w:val="24"/>
          <w:szCs w:val="24"/>
        </w:rPr>
        <w:t>oftalmisk</w:t>
      </w:r>
      <w:proofErr w:type="spellEnd"/>
      <w:r w:rsidRPr="000547CB">
        <w:rPr>
          <w:sz w:val="24"/>
          <w:szCs w:val="24"/>
        </w:rPr>
        <w:t xml:space="preserve"> lægemiddel, bør lægemidlerne administreres med mindst 5 minutters mellemrum.</w:t>
      </w:r>
    </w:p>
    <w:p w14:paraId="53AFF945" w14:textId="77777777" w:rsidR="009260DE" w:rsidRPr="004C59A7" w:rsidRDefault="009260DE" w:rsidP="009260DE">
      <w:pPr>
        <w:tabs>
          <w:tab w:val="left" w:pos="851"/>
        </w:tabs>
        <w:ind w:left="851"/>
        <w:rPr>
          <w:sz w:val="24"/>
          <w:szCs w:val="24"/>
        </w:rPr>
      </w:pPr>
    </w:p>
    <w:p w14:paraId="20FABCFC" w14:textId="77777777" w:rsidR="009260DE" w:rsidRPr="004C59A7" w:rsidRDefault="009260DE" w:rsidP="009260DE">
      <w:pPr>
        <w:tabs>
          <w:tab w:val="left" w:pos="851"/>
        </w:tabs>
        <w:ind w:left="851" w:hanging="851"/>
        <w:rPr>
          <w:b/>
          <w:sz w:val="24"/>
          <w:szCs w:val="24"/>
        </w:rPr>
      </w:pPr>
      <w:r w:rsidRPr="004C59A7">
        <w:rPr>
          <w:b/>
          <w:sz w:val="24"/>
          <w:szCs w:val="24"/>
        </w:rPr>
        <w:t>4.3</w:t>
      </w:r>
      <w:r w:rsidRPr="004C59A7">
        <w:rPr>
          <w:b/>
          <w:sz w:val="24"/>
          <w:szCs w:val="24"/>
        </w:rPr>
        <w:tab/>
        <w:t>Kontraindikationer</w:t>
      </w:r>
    </w:p>
    <w:p w14:paraId="2D568F9C" w14:textId="77777777" w:rsidR="000547CB" w:rsidRPr="000547CB" w:rsidRDefault="000547CB" w:rsidP="003247ED">
      <w:pPr>
        <w:ind w:left="851"/>
        <w:rPr>
          <w:sz w:val="24"/>
          <w:szCs w:val="24"/>
        </w:rPr>
      </w:pPr>
      <w:r w:rsidRPr="000547CB">
        <w:rPr>
          <w:sz w:val="24"/>
          <w:szCs w:val="24"/>
        </w:rPr>
        <w:t xml:space="preserve">Overfølsomhed over for </w:t>
      </w:r>
      <w:proofErr w:type="spellStart"/>
      <w:r w:rsidRPr="000547CB">
        <w:rPr>
          <w:sz w:val="24"/>
          <w:szCs w:val="24"/>
        </w:rPr>
        <w:t>latanoprost</w:t>
      </w:r>
      <w:proofErr w:type="spellEnd"/>
      <w:r w:rsidRPr="000547CB">
        <w:rPr>
          <w:sz w:val="24"/>
          <w:szCs w:val="24"/>
        </w:rPr>
        <w:t xml:space="preserve"> eller over for et eller flere af hjælpestofferne anført i pkt. 6.1.</w:t>
      </w:r>
    </w:p>
    <w:p w14:paraId="43EC7E5B" w14:textId="77777777" w:rsidR="009260DE" w:rsidRPr="004C59A7" w:rsidRDefault="009260DE" w:rsidP="009260DE">
      <w:pPr>
        <w:tabs>
          <w:tab w:val="left" w:pos="851"/>
        </w:tabs>
        <w:ind w:left="851"/>
        <w:rPr>
          <w:sz w:val="24"/>
          <w:szCs w:val="24"/>
        </w:rPr>
      </w:pPr>
    </w:p>
    <w:p w14:paraId="62B83795" w14:textId="77777777" w:rsidR="009260DE" w:rsidRPr="004C59A7" w:rsidRDefault="009260DE" w:rsidP="009260DE">
      <w:pPr>
        <w:tabs>
          <w:tab w:val="left" w:pos="851"/>
        </w:tabs>
        <w:ind w:left="851" w:hanging="851"/>
        <w:rPr>
          <w:b/>
          <w:sz w:val="24"/>
          <w:szCs w:val="24"/>
        </w:rPr>
      </w:pPr>
      <w:r w:rsidRPr="004C59A7">
        <w:rPr>
          <w:b/>
          <w:sz w:val="24"/>
          <w:szCs w:val="24"/>
        </w:rPr>
        <w:t>4.4</w:t>
      </w:r>
      <w:r w:rsidRPr="004C59A7">
        <w:rPr>
          <w:b/>
          <w:sz w:val="24"/>
          <w:szCs w:val="24"/>
        </w:rPr>
        <w:tab/>
        <w:t>Særlige advarsler og forsigtighedsregler vedrørende brugen</w:t>
      </w:r>
    </w:p>
    <w:p w14:paraId="3E62101E" w14:textId="77777777" w:rsidR="004C59A7" w:rsidRDefault="004C59A7" w:rsidP="003247ED">
      <w:pPr>
        <w:ind w:left="851"/>
        <w:rPr>
          <w:sz w:val="24"/>
          <w:szCs w:val="24"/>
          <w:u w:val="single"/>
        </w:rPr>
      </w:pPr>
    </w:p>
    <w:p w14:paraId="7158B0F9" w14:textId="79A15C62" w:rsidR="000547CB" w:rsidRPr="000547CB" w:rsidRDefault="000547CB" w:rsidP="003247ED">
      <w:pPr>
        <w:ind w:left="851"/>
        <w:rPr>
          <w:bCs/>
          <w:sz w:val="24"/>
          <w:szCs w:val="24"/>
          <w:u w:val="single"/>
        </w:rPr>
      </w:pPr>
      <w:r w:rsidRPr="000547CB">
        <w:rPr>
          <w:sz w:val="24"/>
          <w:szCs w:val="24"/>
          <w:u w:val="single"/>
        </w:rPr>
        <w:t>Ændringer i irispigmentering</w:t>
      </w:r>
    </w:p>
    <w:p w14:paraId="728A32F2" w14:textId="77777777" w:rsidR="000547CB" w:rsidRPr="000547CB" w:rsidRDefault="000547CB" w:rsidP="003247ED">
      <w:pPr>
        <w:ind w:left="851"/>
        <w:rPr>
          <w:sz w:val="24"/>
          <w:szCs w:val="24"/>
        </w:rPr>
      </w:pPr>
      <w:r w:rsidRPr="000547CB">
        <w:rPr>
          <w:sz w:val="24"/>
          <w:szCs w:val="24"/>
        </w:rPr>
        <w:t xml:space="preserve">Tanolux kan gradvist ændre øjenfarven ved at øge mængden af brunt pigment i iris. Inden behandling påbegyndes, skal patienten informeres om muligheden for en permanent ændring af øjenfarven. Unilateral behandling kan resultere i permanent </w:t>
      </w:r>
      <w:proofErr w:type="spellStart"/>
      <w:r w:rsidRPr="000547CB">
        <w:rPr>
          <w:sz w:val="24"/>
          <w:szCs w:val="24"/>
        </w:rPr>
        <w:t>heterochromi</w:t>
      </w:r>
      <w:proofErr w:type="spellEnd"/>
      <w:r w:rsidRPr="000547CB">
        <w:rPr>
          <w:sz w:val="24"/>
          <w:szCs w:val="24"/>
        </w:rPr>
        <w:t>.</w:t>
      </w:r>
    </w:p>
    <w:p w14:paraId="3AD15CBC" w14:textId="77777777" w:rsidR="000547CB" w:rsidRPr="000547CB" w:rsidRDefault="000547CB" w:rsidP="003247ED">
      <w:pPr>
        <w:ind w:left="851"/>
        <w:rPr>
          <w:sz w:val="24"/>
          <w:szCs w:val="24"/>
        </w:rPr>
      </w:pPr>
    </w:p>
    <w:p w14:paraId="0CDF64A7" w14:textId="055ED1FF" w:rsidR="000547CB" w:rsidRPr="000547CB" w:rsidRDefault="000547CB" w:rsidP="003247ED">
      <w:pPr>
        <w:ind w:left="851"/>
        <w:rPr>
          <w:sz w:val="24"/>
          <w:szCs w:val="24"/>
        </w:rPr>
      </w:pPr>
      <w:r w:rsidRPr="000547CB">
        <w:rPr>
          <w:sz w:val="24"/>
          <w:szCs w:val="24"/>
        </w:rPr>
        <w:t xml:space="preserve">Ændringen i øjenfarven er overvejende set hos patienter med blandet farvning af iris, for eksempel blå-brun, </w:t>
      </w:r>
      <w:proofErr w:type="spellStart"/>
      <w:r w:rsidRPr="000547CB">
        <w:rPr>
          <w:sz w:val="24"/>
          <w:szCs w:val="24"/>
        </w:rPr>
        <w:t>grå-brun</w:t>
      </w:r>
      <w:proofErr w:type="spellEnd"/>
      <w:r w:rsidRPr="000547CB">
        <w:rPr>
          <w:sz w:val="24"/>
          <w:szCs w:val="24"/>
        </w:rPr>
        <w:t xml:space="preserve">, </w:t>
      </w:r>
      <w:proofErr w:type="spellStart"/>
      <w:r w:rsidRPr="000547CB">
        <w:rPr>
          <w:sz w:val="24"/>
          <w:szCs w:val="24"/>
        </w:rPr>
        <w:t>gul-brun</w:t>
      </w:r>
      <w:proofErr w:type="spellEnd"/>
      <w:r w:rsidRPr="000547CB">
        <w:rPr>
          <w:sz w:val="24"/>
          <w:szCs w:val="24"/>
        </w:rPr>
        <w:t xml:space="preserve"> og </w:t>
      </w:r>
      <w:proofErr w:type="spellStart"/>
      <w:r w:rsidRPr="000547CB">
        <w:rPr>
          <w:sz w:val="24"/>
          <w:szCs w:val="24"/>
        </w:rPr>
        <w:t>grøn-brun</w:t>
      </w:r>
      <w:proofErr w:type="spellEnd"/>
      <w:r w:rsidRPr="000547CB">
        <w:rPr>
          <w:sz w:val="24"/>
          <w:szCs w:val="24"/>
        </w:rPr>
        <w:t xml:space="preserve">. I studier med </w:t>
      </w:r>
      <w:proofErr w:type="spellStart"/>
      <w:r w:rsidRPr="000547CB">
        <w:rPr>
          <w:sz w:val="24"/>
          <w:szCs w:val="24"/>
        </w:rPr>
        <w:t>latanoprost</w:t>
      </w:r>
      <w:proofErr w:type="spellEnd"/>
      <w:r w:rsidRPr="000547CB">
        <w:rPr>
          <w:sz w:val="24"/>
          <w:szCs w:val="24"/>
        </w:rPr>
        <w:t xml:space="preserve"> ses ændringen sædvanligvis i de første 8 måneder af behandlingen, sjældent ved behandlingen igennem to og tre år og er ikke set efter fjerde </w:t>
      </w:r>
      <w:proofErr w:type="spellStart"/>
      <w:r w:rsidRPr="000547CB">
        <w:rPr>
          <w:sz w:val="24"/>
          <w:szCs w:val="24"/>
        </w:rPr>
        <w:t>behandlingsår</w:t>
      </w:r>
      <w:proofErr w:type="spellEnd"/>
      <w:r w:rsidRPr="000547CB">
        <w:rPr>
          <w:sz w:val="24"/>
          <w:szCs w:val="24"/>
        </w:rPr>
        <w:t xml:space="preserve">. Hastigheden hvormed irispigmenteringen sker aftager med tiden og er stabil efter 5 år. Effekten af øget irispigmentering er ikke evalueret efter mere end 5 års behandling. I et åbent 5-årigt </w:t>
      </w:r>
      <w:r w:rsidRPr="000547CB">
        <w:rPr>
          <w:sz w:val="24"/>
          <w:szCs w:val="24"/>
        </w:rPr>
        <w:lastRenderedPageBreak/>
        <w:t xml:space="preserve">sikkerhedsforsøg med </w:t>
      </w:r>
      <w:proofErr w:type="spellStart"/>
      <w:r w:rsidRPr="000547CB">
        <w:rPr>
          <w:sz w:val="24"/>
          <w:szCs w:val="24"/>
        </w:rPr>
        <w:t>latanoprost</w:t>
      </w:r>
      <w:proofErr w:type="spellEnd"/>
      <w:r w:rsidRPr="000547CB">
        <w:rPr>
          <w:sz w:val="24"/>
          <w:szCs w:val="24"/>
        </w:rPr>
        <w:t xml:space="preserve"> udviklede 33 % af patienterne irispigmentering, se </w:t>
      </w:r>
      <w:proofErr w:type="spellStart"/>
      <w:r w:rsidRPr="000547CB">
        <w:rPr>
          <w:sz w:val="24"/>
          <w:szCs w:val="24"/>
        </w:rPr>
        <w:t>pkt</w:t>
      </w:r>
      <w:proofErr w:type="spellEnd"/>
      <w:r w:rsidRPr="000547CB">
        <w:rPr>
          <w:sz w:val="24"/>
          <w:szCs w:val="24"/>
        </w:rPr>
        <w:t xml:space="preserve"> 4.8. Farveændringen af iris er i størstedelen af tilfældene svag, og kan ofte ikke ses klinisk. Hyppigheden hos patienter med blandet farvning af iris ligger mellem 7 % og 85 % med den største hyppighed ved </w:t>
      </w:r>
      <w:proofErr w:type="spellStart"/>
      <w:r w:rsidRPr="000547CB">
        <w:rPr>
          <w:sz w:val="24"/>
          <w:szCs w:val="24"/>
        </w:rPr>
        <w:t>gul-brun</w:t>
      </w:r>
      <w:proofErr w:type="spellEnd"/>
      <w:r w:rsidRPr="000547CB">
        <w:rPr>
          <w:sz w:val="24"/>
          <w:szCs w:val="24"/>
        </w:rPr>
        <w:t xml:space="preserve"> iris. Hos patienter med homogene blå øjne er der ikke set ændringer, og hos patienter med homogene grå, grønne eller brune øjne er ændringer kun sjældent set.</w:t>
      </w:r>
    </w:p>
    <w:p w14:paraId="712511AA" w14:textId="77777777" w:rsidR="000547CB" w:rsidRPr="000547CB" w:rsidRDefault="000547CB" w:rsidP="003247ED">
      <w:pPr>
        <w:ind w:left="851"/>
        <w:rPr>
          <w:sz w:val="24"/>
          <w:szCs w:val="24"/>
        </w:rPr>
      </w:pPr>
    </w:p>
    <w:p w14:paraId="36238D09" w14:textId="37C93037" w:rsidR="000547CB" w:rsidRPr="000547CB" w:rsidRDefault="000547CB" w:rsidP="003247ED">
      <w:pPr>
        <w:ind w:left="851"/>
        <w:rPr>
          <w:sz w:val="24"/>
          <w:szCs w:val="24"/>
        </w:rPr>
      </w:pPr>
      <w:r w:rsidRPr="000547CB">
        <w:rPr>
          <w:sz w:val="24"/>
          <w:szCs w:val="24"/>
        </w:rPr>
        <w:t xml:space="preserve">Farveændringen skyldes øget melaninindhold i </w:t>
      </w:r>
      <w:proofErr w:type="spellStart"/>
      <w:r w:rsidRPr="000547CB">
        <w:rPr>
          <w:sz w:val="24"/>
          <w:szCs w:val="24"/>
        </w:rPr>
        <w:t>stroma</w:t>
      </w:r>
      <w:proofErr w:type="spellEnd"/>
      <w:r w:rsidRPr="000547CB">
        <w:rPr>
          <w:sz w:val="24"/>
          <w:szCs w:val="24"/>
        </w:rPr>
        <w:t xml:space="preserve"> melanocytterne i iris, og ikke en stigning i antallet af melanocytter. Den brune pigmentering breder sig typisk koncentrisk omkring pupillen mod periferien af det behandlede øje, men hele iris eller dele af denne kan blive mere brunlig. Der er ikke observeret yderligere stigning af brunt pigment i iris efter </w:t>
      </w:r>
      <w:proofErr w:type="spellStart"/>
      <w:r w:rsidRPr="000547CB">
        <w:rPr>
          <w:sz w:val="24"/>
          <w:szCs w:val="24"/>
        </w:rPr>
        <w:t>seponering</w:t>
      </w:r>
      <w:proofErr w:type="spellEnd"/>
      <w:r w:rsidRPr="000547CB">
        <w:rPr>
          <w:sz w:val="24"/>
          <w:szCs w:val="24"/>
        </w:rPr>
        <w:t xml:space="preserve"> af behandlingen. Forandringen har til dato ikke været forbundet med symptomer eller patologiske forandringer i kliniske forsøg.</w:t>
      </w:r>
    </w:p>
    <w:p w14:paraId="0CE669DD" w14:textId="77777777" w:rsidR="000547CB" w:rsidRPr="000547CB" w:rsidRDefault="000547CB" w:rsidP="003247ED">
      <w:pPr>
        <w:ind w:left="851"/>
        <w:rPr>
          <w:sz w:val="24"/>
          <w:szCs w:val="24"/>
        </w:rPr>
      </w:pPr>
    </w:p>
    <w:p w14:paraId="7E7803B8" w14:textId="77777777" w:rsidR="000547CB" w:rsidRPr="000547CB" w:rsidRDefault="000547CB" w:rsidP="003247ED">
      <w:pPr>
        <w:ind w:left="851"/>
        <w:rPr>
          <w:sz w:val="24"/>
          <w:szCs w:val="24"/>
        </w:rPr>
      </w:pPr>
      <w:r w:rsidRPr="000547CB">
        <w:rPr>
          <w:sz w:val="24"/>
          <w:szCs w:val="24"/>
        </w:rPr>
        <w:t xml:space="preserve">Hverken </w:t>
      </w:r>
      <w:proofErr w:type="spellStart"/>
      <w:r w:rsidRPr="000547CB">
        <w:rPr>
          <w:sz w:val="24"/>
          <w:szCs w:val="24"/>
        </w:rPr>
        <w:t>naevi</w:t>
      </w:r>
      <w:proofErr w:type="spellEnd"/>
      <w:r w:rsidRPr="000547CB">
        <w:rPr>
          <w:sz w:val="24"/>
          <w:szCs w:val="24"/>
        </w:rPr>
        <w:t xml:space="preserve"> eller pletter i iris har været påvirket af behandlingen. Akkumulering af pigment i </w:t>
      </w:r>
      <w:proofErr w:type="spellStart"/>
      <w:r w:rsidRPr="000547CB">
        <w:rPr>
          <w:sz w:val="24"/>
          <w:szCs w:val="24"/>
        </w:rPr>
        <w:t>trabekelværket</w:t>
      </w:r>
      <w:proofErr w:type="spellEnd"/>
      <w:r w:rsidRPr="000547CB">
        <w:rPr>
          <w:sz w:val="24"/>
          <w:szCs w:val="24"/>
        </w:rPr>
        <w:t xml:space="preserve"> eller andre steder i det forreste øjenkammer er ikke blevet observeret i kliniske forsøg. Baseret på 5 års klinisk erfaring har øget irispigmentering ikke vist sig at have negative kliniske følger, og behandling med Tanolux kan fortsættes, selvom irispigmentering opstår. Patienterne bør dog undersøges regelmæssigt, og hvis den kliniske situation berettiger det, kan behandlingen med Tanolux seponeres.</w:t>
      </w:r>
    </w:p>
    <w:p w14:paraId="5D33B223" w14:textId="77777777" w:rsidR="000547CB" w:rsidRPr="000547CB" w:rsidRDefault="000547CB" w:rsidP="003247ED">
      <w:pPr>
        <w:ind w:left="851"/>
        <w:rPr>
          <w:sz w:val="24"/>
          <w:szCs w:val="24"/>
        </w:rPr>
      </w:pPr>
    </w:p>
    <w:p w14:paraId="2345D224" w14:textId="77777777" w:rsidR="000547CB" w:rsidRPr="000547CB" w:rsidRDefault="000547CB" w:rsidP="003247ED">
      <w:pPr>
        <w:ind w:left="851"/>
        <w:rPr>
          <w:sz w:val="24"/>
          <w:szCs w:val="24"/>
          <w:u w:val="single"/>
        </w:rPr>
      </w:pPr>
      <w:proofErr w:type="spellStart"/>
      <w:r w:rsidRPr="000547CB">
        <w:rPr>
          <w:sz w:val="24"/>
          <w:szCs w:val="24"/>
          <w:u w:val="single"/>
        </w:rPr>
        <w:t>Glaukom</w:t>
      </w:r>
      <w:proofErr w:type="spellEnd"/>
    </w:p>
    <w:p w14:paraId="489B785C" w14:textId="77777777" w:rsidR="000547CB" w:rsidRPr="000547CB" w:rsidRDefault="000547CB" w:rsidP="003247ED">
      <w:pPr>
        <w:ind w:left="851"/>
        <w:rPr>
          <w:sz w:val="24"/>
          <w:szCs w:val="24"/>
        </w:rPr>
      </w:pPr>
      <w:r w:rsidRPr="000547CB">
        <w:rPr>
          <w:sz w:val="24"/>
          <w:szCs w:val="24"/>
        </w:rPr>
        <w:t xml:space="preserve">Der er begrænset klinisk erfaring med Tanolux ved kronisk </w:t>
      </w:r>
      <w:proofErr w:type="spellStart"/>
      <w:r w:rsidRPr="000547CB">
        <w:rPr>
          <w:sz w:val="24"/>
          <w:szCs w:val="24"/>
        </w:rPr>
        <w:t>lukketvinkel</w:t>
      </w:r>
      <w:proofErr w:type="spellEnd"/>
      <w:r w:rsidRPr="000547CB">
        <w:rPr>
          <w:sz w:val="24"/>
          <w:szCs w:val="24"/>
        </w:rPr>
        <w:t xml:space="preserve"> </w:t>
      </w:r>
      <w:proofErr w:type="spellStart"/>
      <w:r w:rsidRPr="000547CB">
        <w:rPr>
          <w:sz w:val="24"/>
          <w:szCs w:val="24"/>
        </w:rPr>
        <w:t>glaukom</w:t>
      </w:r>
      <w:proofErr w:type="spellEnd"/>
      <w:r w:rsidRPr="000547CB">
        <w:rPr>
          <w:sz w:val="24"/>
          <w:szCs w:val="24"/>
        </w:rPr>
        <w:t xml:space="preserve">, åbenvinklet </w:t>
      </w:r>
      <w:proofErr w:type="spellStart"/>
      <w:r w:rsidRPr="000547CB">
        <w:rPr>
          <w:sz w:val="24"/>
          <w:szCs w:val="24"/>
        </w:rPr>
        <w:t>glaukom</w:t>
      </w:r>
      <w:proofErr w:type="spellEnd"/>
      <w:r w:rsidRPr="000547CB">
        <w:rPr>
          <w:sz w:val="24"/>
          <w:szCs w:val="24"/>
        </w:rPr>
        <w:t xml:space="preserve"> hos </w:t>
      </w:r>
      <w:proofErr w:type="spellStart"/>
      <w:r w:rsidRPr="000547CB">
        <w:rPr>
          <w:sz w:val="24"/>
          <w:szCs w:val="24"/>
        </w:rPr>
        <w:t>pseudophakiske</w:t>
      </w:r>
      <w:proofErr w:type="spellEnd"/>
      <w:r w:rsidRPr="000547CB">
        <w:rPr>
          <w:sz w:val="24"/>
          <w:szCs w:val="24"/>
        </w:rPr>
        <w:t xml:space="preserve"> patienter og ved </w:t>
      </w:r>
      <w:proofErr w:type="spellStart"/>
      <w:r w:rsidRPr="000547CB">
        <w:rPr>
          <w:sz w:val="24"/>
          <w:szCs w:val="24"/>
        </w:rPr>
        <w:t>pigmentglaukom</w:t>
      </w:r>
      <w:proofErr w:type="spellEnd"/>
      <w:r w:rsidRPr="000547CB">
        <w:rPr>
          <w:sz w:val="24"/>
          <w:szCs w:val="24"/>
        </w:rPr>
        <w:t xml:space="preserve">. Der er ingen erfaring med Tanolux ved inflammatorisk og neovaskulært </w:t>
      </w:r>
      <w:proofErr w:type="spellStart"/>
      <w:r w:rsidRPr="000547CB">
        <w:rPr>
          <w:sz w:val="24"/>
          <w:szCs w:val="24"/>
        </w:rPr>
        <w:t>glaukom</w:t>
      </w:r>
      <w:proofErr w:type="spellEnd"/>
      <w:r w:rsidRPr="000547CB">
        <w:rPr>
          <w:sz w:val="24"/>
          <w:szCs w:val="24"/>
        </w:rPr>
        <w:t xml:space="preserve">, eller inflammatoriske øjenlidelser. Tanolux har ingen eller kun ringe virkning på pupillen, men der er ingen erfaring ved akutte anfald af lukket vinkel </w:t>
      </w:r>
      <w:proofErr w:type="spellStart"/>
      <w:r w:rsidRPr="000547CB">
        <w:rPr>
          <w:sz w:val="24"/>
          <w:szCs w:val="24"/>
        </w:rPr>
        <w:t>glaukom</w:t>
      </w:r>
      <w:proofErr w:type="spellEnd"/>
      <w:r w:rsidRPr="000547CB">
        <w:rPr>
          <w:sz w:val="24"/>
          <w:szCs w:val="24"/>
        </w:rPr>
        <w:t>. Det anbefales derfor, at Tanolux anvendes med forsigtighed ved disse tilstande, indtil mere erfaring er opnået.</w:t>
      </w:r>
    </w:p>
    <w:p w14:paraId="0F652DA1" w14:textId="77777777" w:rsidR="000547CB" w:rsidRPr="000547CB" w:rsidRDefault="000547CB" w:rsidP="003247ED">
      <w:pPr>
        <w:ind w:left="851"/>
        <w:rPr>
          <w:sz w:val="24"/>
          <w:szCs w:val="24"/>
        </w:rPr>
      </w:pPr>
    </w:p>
    <w:p w14:paraId="3794228D" w14:textId="77777777" w:rsidR="000547CB" w:rsidRPr="000547CB" w:rsidRDefault="000547CB" w:rsidP="003247ED">
      <w:pPr>
        <w:ind w:left="851"/>
        <w:rPr>
          <w:sz w:val="24"/>
          <w:szCs w:val="24"/>
        </w:rPr>
      </w:pPr>
      <w:r w:rsidRPr="000547CB">
        <w:rPr>
          <w:sz w:val="24"/>
          <w:szCs w:val="24"/>
        </w:rPr>
        <w:t xml:space="preserve">Der er begrænsede forsøgsdata ved brug af Tanolux i den </w:t>
      </w:r>
      <w:proofErr w:type="spellStart"/>
      <w:r w:rsidRPr="000547CB">
        <w:rPr>
          <w:sz w:val="24"/>
          <w:szCs w:val="24"/>
        </w:rPr>
        <w:t>peri</w:t>
      </w:r>
      <w:proofErr w:type="spellEnd"/>
      <w:r w:rsidRPr="000547CB">
        <w:rPr>
          <w:sz w:val="24"/>
          <w:szCs w:val="24"/>
        </w:rPr>
        <w:t xml:space="preserve">-operative periode ved katarakt kirurgi. Tanolux bør anvendes med forsigtighed til disse patienter. </w:t>
      </w:r>
    </w:p>
    <w:p w14:paraId="48FE4361" w14:textId="77777777" w:rsidR="000547CB" w:rsidRPr="000547CB" w:rsidRDefault="000547CB" w:rsidP="003247ED">
      <w:pPr>
        <w:ind w:left="851"/>
        <w:rPr>
          <w:sz w:val="24"/>
          <w:szCs w:val="24"/>
        </w:rPr>
      </w:pPr>
    </w:p>
    <w:p w14:paraId="5D6BB701" w14:textId="77777777" w:rsidR="000547CB" w:rsidRPr="000547CB" w:rsidRDefault="000547CB" w:rsidP="003247ED">
      <w:pPr>
        <w:ind w:left="851"/>
        <w:rPr>
          <w:sz w:val="24"/>
          <w:szCs w:val="24"/>
          <w:u w:val="single"/>
        </w:rPr>
      </w:pPr>
      <w:proofErr w:type="spellStart"/>
      <w:r w:rsidRPr="000547CB">
        <w:rPr>
          <w:sz w:val="24"/>
          <w:szCs w:val="24"/>
          <w:u w:val="single"/>
        </w:rPr>
        <w:t>Herpetisk</w:t>
      </w:r>
      <w:proofErr w:type="spellEnd"/>
      <w:r w:rsidRPr="000547CB">
        <w:rPr>
          <w:sz w:val="24"/>
          <w:szCs w:val="24"/>
          <w:u w:val="single"/>
        </w:rPr>
        <w:t xml:space="preserve"> </w:t>
      </w:r>
      <w:proofErr w:type="spellStart"/>
      <w:r w:rsidRPr="000547CB">
        <w:rPr>
          <w:sz w:val="24"/>
          <w:szCs w:val="24"/>
          <w:u w:val="single"/>
        </w:rPr>
        <w:t>keratitis</w:t>
      </w:r>
      <w:proofErr w:type="spellEnd"/>
    </w:p>
    <w:p w14:paraId="476F750F" w14:textId="326040E2" w:rsidR="000547CB" w:rsidRPr="000547CB" w:rsidRDefault="000547CB" w:rsidP="003247ED">
      <w:pPr>
        <w:ind w:left="851"/>
        <w:rPr>
          <w:sz w:val="24"/>
          <w:szCs w:val="24"/>
        </w:rPr>
      </w:pPr>
      <w:r w:rsidRPr="000547CB">
        <w:rPr>
          <w:sz w:val="24"/>
          <w:szCs w:val="24"/>
        </w:rPr>
        <w:t xml:space="preserve">Tanolux bør anvendes med forsigtighed til patienter med </w:t>
      </w:r>
      <w:proofErr w:type="spellStart"/>
      <w:r w:rsidRPr="000547CB">
        <w:rPr>
          <w:sz w:val="24"/>
          <w:szCs w:val="24"/>
        </w:rPr>
        <w:t>herpetisk</w:t>
      </w:r>
      <w:proofErr w:type="spellEnd"/>
      <w:r w:rsidRPr="000547CB">
        <w:rPr>
          <w:sz w:val="24"/>
          <w:szCs w:val="24"/>
        </w:rPr>
        <w:t xml:space="preserve"> </w:t>
      </w:r>
      <w:proofErr w:type="spellStart"/>
      <w:r w:rsidRPr="000547CB">
        <w:rPr>
          <w:sz w:val="24"/>
          <w:szCs w:val="24"/>
        </w:rPr>
        <w:t>keratitis</w:t>
      </w:r>
      <w:proofErr w:type="spellEnd"/>
      <w:r w:rsidRPr="000547CB">
        <w:rPr>
          <w:sz w:val="24"/>
          <w:szCs w:val="24"/>
        </w:rPr>
        <w:t xml:space="preserve"> i anamnesen og</w:t>
      </w:r>
      <w:r w:rsidR="004C59A7">
        <w:rPr>
          <w:sz w:val="24"/>
          <w:szCs w:val="24"/>
        </w:rPr>
        <w:t xml:space="preserve"> </w:t>
      </w:r>
      <w:r w:rsidRPr="000547CB">
        <w:rPr>
          <w:sz w:val="24"/>
          <w:szCs w:val="24"/>
        </w:rPr>
        <w:t xml:space="preserve">bør undgås i tilfælde af aktiv herpes </w:t>
      </w:r>
      <w:proofErr w:type="spellStart"/>
      <w:r w:rsidRPr="000547CB">
        <w:rPr>
          <w:sz w:val="24"/>
          <w:szCs w:val="24"/>
        </w:rPr>
        <w:t>simplex</w:t>
      </w:r>
      <w:proofErr w:type="spellEnd"/>
      <w:r w:rsidRPr="000547CB">
        <w:rPr>
          <w:sz w:val="24"/>
          <w:szCs w:val="24"/>
        </w:rPr>
        <w:t xml:space="preserve"> </w:t>
      </w:r>
      <w:proofErr w:type="spellStart"/>
      <w:r w:rsidRPr="000547CB">
        <w:rPr>
          <w:sz w:val="24"/>
          <w:szCs w:val="24"/>
        </w:rPr>
        <w:t>keratitis</w:t>
      </w:r>
      <w:proofErr w:type="spellEnd"/>
      <w:r w:rsidRPr="000547CB">
        <w:rPr>
          <w:sz w:val="24"/>
          <w:szCs w:val="24"/>
        </w:rPr>
        <w:t xml:space="preserve">. Tanolux bør desuden undgås til patienter med tidligere tilbagevendende </w:t>
      </w:r>
      <w:proofErr w:type="spellStart"/>
      <w:r w:rsidRPr="000547CB">
        <w:rPr>
          <w:sz w:val="24"/>
          <w:szCs w:val="24"/>
        </w:rPr>
        <w:t>herpetisk</w:t>
      </w:r>
      <w:proofErr w:type="spellEnd"/>
      <w:r w:rsidRPr="000547CB">
        <w:rPr>
          <w:sz w:val="24"/>
          <w:szCs w:val="24"/>
        </w:rPr>
        <w:t xml:space="preserve"> </w:t>
      </w:r>
      <w:proofErr w:type="spellStart"/>
      <w:r w:rsidRPr="000547CB">
        <w:rPr>
          <w:sz w:val="24"/>
          <w:szCs w:val="24"/>
        </w:rPr>
        <w:t>keratitis</w:t>
      </w:r>
      <w:proofErr w:type="spellEnd"/>
      <w:r w:rsidRPr="000547CB">
        <w:rPr>
          <w:sz w:val="24"/>
          <w:szCs w:val="24"/>
        </w:rPr>
        <w:t xml:space="preserve"> specifikt forbundet med </w:t>
      </w:r>
      <w:proofErr w:type="spellStart"/>
      <w:r w:rsidRPr="000547CB">
        <w:rPr>
          <w:sz w:val="24"/>
          <w:szCs w:val="24"/>
        </w:rPr>
        <w:t>prostaglandinanaloger</w:t>
      </w:r>
      <w:proofErr w:type="spellEnd"/>
      <w:r w:rsidRPr="000547CB">
        <w:rPr>
          <w:sz w:val="24"/>
          <w:szCs w:val="24"/>
        </w:rPr>
        <w:t>.</w:t>
      </w:r>
    </w:p>
    <w:p w14:paraId="19EAA5AE" w14:textId="77777777" w:rsidR="000547CB" w:rsidRPr="000547CB" w:rsidRDefault="000547CB" w:rsidP="003247ED">
      <w:pPr>
        <w:ind w:left="851"/>
        <w:rPr>
          <w:sz w:val="24"/>
          <w:szCs w:val="24"/>
        </w:rPr>
      </w:pPr>
    </w:p>
    <w:p w14:paraId="59E2C6E5" w14:textId="77777777" w:rsidR="000547CB" w:rsidRPr="000547CB" w:rsidRDefault="000547CB" w:rsidP="003247ED">
      <w:pPr>
        <w:ind w:left="851"/>
        <w:rPr>
          <w:sz w:val="24"/>
          <w:szCs w:val="24"/>
          <w:u w:val="single"/>
        </w:rPr>
      </w:pPr>
      <w:proofErr w:type="spellStart"/>
      <w:r w:rsidRPr="000547CB">
        <w:rPr>
          <w:sz w:val="24"/>
          <w:szCs w:val="24"/>
          <w:u w:val="single"/>
        </w:rPr>
        <w:t>Makulaødem</w:t>
      </w:r>
      <w:proofErr w:type="spellEnd"/>
    </w:p>
    <w:p w14:paraId="6BF5325B" w14:textId="77777777" w:rsidR="000547CB" w:rsidRPr="000547CB" w:rsidRDefault="000547CB" w:rsidP="003247ED">
      <w:pPr>
        <w:ind w:left="851"/>
        <w:rPr>
          <w:sz w:val="24"/>
          <w:szCs w:val="24"/>
        </w:rPr>
      </w:pPr>
      <w:r w:rsidRPr="000547CB">
        <w:rPr>
          <w:sz w:val="24"/>
          <w:szCs w:val="24"/>
        </w:rPr>
        <w:t xml:space="preserve">Der er rapporteret tilfælde af </w:t>
      </w:r>
      <w:proofErr w:type="spellStart"/>
      <w:r w:rsidRPr="000547CB">
        <w:rPr>
          <w:sz w:val="24"/>
          <w:szCs w:val="24"/>
        </w:rPr>
        <w:t>makulaødem</w:t>
      </w:r>
      <w:proofErr w:type="spellEnd"/>
      <w:r w:rsidRPr="000547CB">
        <w:rPr>
          <w:sz w:val="24"/>
          <w:szCs w:val="24"/>
        </w:rPr>
        <w:t xml:space="preserve"> (se pkt. 4.8), primært hos </w:t>
      </w:r>
      <w:proofErr w:type="spellStart"/>
      <w:r w:rsidRPr="000547CB">
        <w:rPr>
          <w:sz w:val="24"/>
          <w:szCs w:val="24"/>
        </w:rPr>
        <w:t>aphakiske</w:t>
      </w:r>
      <w:proofErr w:type="spellEnd"/>
      <w:r w:rsidRPr="000547CB">
        <w:rPr>
          <w:sz w:val="24"/>
          <w:szCs w:val="24"/>
        </w:rPr>
        <w:t xml:space="preserve"> patienter, </w:t>
      </w:r>
      <w:proofErr w:type="spellStart"/>
      <w:r w:rsidRPr="000547CB">
        <w:rPr>
          <w:sz w:val="24"/>
          <w:szCs w:val="24"/>
        </w:rPr>
        <w:t>pseudophakiske</w:t>
      </w:r>
      <w:proofErr w:type="spellEnd"/>
      <w:r w:rsidRPr="000547CB">
        <w:rPr>
          <w:sz w:val="24"/>
          <w:szCs w:val="24"/>
        </w:rPr>
        <w:t xml:space="preserve"> patienter med iturevet bageste linsekapsel eller med forkammerlinser samt hos patienter med erkendt risiko for </w:t>
      </w:r>
      <w:proofErr w:type="spellStart"/>
      <w:r w:rsidRPr="000547CB">
        <w:rPr>
          <w:sz w:val="24"/>
          <w:szCs w:val="24"/>
        </w:rPr>
        <w:t>cystoidt</w:t>
      </w:r>
      <w:proofErr w:type="spellEnd"/>
      <w:r w:rsidRPr="000547CB">
        <w:rPr>
          <w:sz w:val="24"/>
          <w:szCs w:val="24"/>
        </w:rPr>
        <w:t xml:space="preserve"> </w:t>
      </w:r>
      <w:proofErr w:type="spellStart"/>
      <w:r w:rsidRPr="000547CB">
        <w:rPr>
          <w:sz w:val="24"/>
          <w:szCs w:val="24"/>
        </w:rPr>
        <w:t>makulaødem</w:t>
      </w:r>
      <w:proofErr w:type="spellEnd"/>
      <w:r w:rsidRPr="000547CB">
        <w:rPr>
          <w:sz w:val="24"/>
          <w:szCs w:val="24"/>
        </w:rPr>
        <w:t xml:space="preserve"> (såsom diabetes </w:t>
      </w:r>
      <w:proofErr w:type="spellStart"/>
      <w:r w:rsidRPr="000547CB">
        <w:rPr>
          <w:sz w:val="24"/>
          <w:szCs w:val="24"/>
        </w:rPr>
        <w:t>retinopati</w:t>
      </w:r>
      <w:proofErr w:type="spellEnd"/>
      <w:r w:rsidRPr="000547CB">
        <w:rPr>
          <w:sz w:val="24"/>
          <w:szCs w:val="24"/>
        </w:rPr>
        <w:t xml:space="preserve"> og </w:t>
      </w:r>
      <w:proofErr w:type="spellStart"/>
      <w:r w:rsidRPr="000547CB">
        <w:rPr>
          <w:sz w:val="24"/>
          <w:szCs w:val="24"/>
        </w:rPr>
        <w:t>retinalvene</w:t>
      </w:r>
      <w:proofErr w:type="spellEnd"/>
      <w:r w:rsidRPr="000547CB">
        <w:rPr>
          <w:sz w:val="24"/>
          <w:szCs w:val="24"/>
        </w:rPr>
        <w:t xml:space="preserve"> </w:t>
      </w:r>
      <w:proofErr w:type="spellStart"/>
      <w:r w:rsidRPr="000547CB">
        <w:rPr>
          <w:sz w:val="24"/>
          <w:szCs w:val="24"/>
        </w:rPr>
        <w:t>okklusion</w:t>
      </w:r>
      <w:proofErr w:type="spellEnd"/>
      <w:r w:rsidRPr="000547CB">
        <w:rPr>
          <w:sz w:val="24"/>
          <w:szCs w:val="24"/>
        </w:rPr>
        <w:t xml:space="preserve">). Tanolux bør anvendes med forsigtighed hos </w:t>
      </w:r>
      <w:proofErr w:type="spellStart"/>
      <w:r w:rsidRPr="000547CB">
        <w:rPr>
          <w:sz w:val="24"/>
          <w:szCs w:val="24"/>
        </w:rPr>
        <w:t>aphakiske</w:t>
      </w:r>
      <w:proofErr w:type="spellEnd"/>
      <w:r w:rsidRPr="000547CB">
        <w:rPr>
          <w:sz w:val="24"/>
          <w:szCs w:val="24"/>
        </w:rPr>
        <w:t xml:space="preserve"> patienter, hos </w:t>
      </w:r>
      <w:proofErr w:type="spellStart"/>
      <w:r w:rsidRPr="000547CB">
        <w:rPr>
          <w:sz w:val="24"/>
          <w:szCs w:val="24"/>
        </w:rPr>
        <w:t>pseudophakiske</w:t>
      </w:r>
      <w:proofErr w:type="spellEnd"/>
      <w:r w:rsidRPr="000547CB">
        <w:rPr>
          <w:sz w:val="24"/>
          <w:szCs w:val="24"/>
        </w:rPr>
        <w:t xml:space="preserve"> patienter med iturevet linsekapsel eller forkammerlinse samt hos patienter med erkendt risiko for </w:t>
      </w:r>
      <w:proofErr w:type="spellStart"/>
      <w:r w:rsidRPr="000547CB">
        <w:rPr>
          <w:sz w:val="24"/>
          <w:szCs w:val="24"/>
        </w:rPr>
        <w:t>cystoidt</w:t>
      </w:r>
      <w:proofErr w:type="spellEnd"/>
      <w:r w:rsidRPr="000547CB">
        <w:rPr>
          <w:sz w:val="24"/>
          <w:szCs w:val="24"/>
        </w:rPr>
        <w:t xml:space="preserve"> </w:t>
      </w:r>
      <w:proofErr w:type="spellStart"/>
      <w:r w:rsidRPr="000547CB">
        <w:rPr>
          <w:sz w:val="24"/>
          <w:szCs w:val="24"/>
        </w:rPr>
        <w:t>makulaødem</w:t>
      </w:r>
      <w:proofErr w:type="spellEnd"/>
      <w:r w:rsidRPr="000547CB">
        <w:rPr>
          <w:sz w:val="24"/>
          <w:szCs w:val="24"/>
        </w:rPr>
        <w:t>.</w:t>
      </w:r>
    </w:p>
    <w:p w14:paraId="3899ADDE" w14:textId="77777777" w:rsidR="000547CB" w:rsidRPr="000547CB" w:rsidRDefault="000547CB" w:rsidP="003247ED">
      <w:pPr>
        <w:ind w:left="851"/>
        <w:rPr>
          <w:sz w:val="24"/>
          <w:szCs w:val="24"/>
        </w:rPr>
      </w:pPr>
    </w:p>
    <w:p w14:paraId="7AAFEB32" w14:textId="77777777" w:rsidR="000547CB" w:rsidRPr="000547CB" w:rsidRDefault="000547CB" w:rsidP="003247ED">
      <w:pPr>
        <w:ind w:left="851"/>
        <w:rPr>
          <w:sz w:val="24"/>
          <w:szCs w:val="24"/>
        </w:rPr>
      </w:pPr>
      <w:r w:rsidRPr="000547CB">
        <w:rPr>
          <w:sz w:val="24"/>
          <w:szCs w:val="24"/>
        </w:rPr>
        <w:t xml:space="preserve">Tanolux kan anvendes med forsigtighed hos patienter med kendte risikofaktorer, der gør dem disponible for </w:t>
      </w:r>
      <w:proofErr w:type="spellStart"/>
      <w:r w:rsidRPr="000547CB">
        <w:rPr>
          <w:sz w:val="24"/>
          <w:szCs w:val="24"/>
        </w:rPr>
        <w:t>iritis</w:t>
      </w:r>
      <w:proofErr w:type="spellEnd"/>
      <w:r w:rsidRPr="000547CB">
        <w:rPr>
          <w:sz w:val="24"/>
          <w:szCs w:val="24"/>
        </w:rPr>
        <w:t>/</w:t>
      </w:r>
      <w:proofErr w:type="spellStart"/>
      <w:r w:rsidRPr="000547CB">
        <w:rPr>
          <w:sz w:val="24"/>
          <w:szCs w:val="24"/>
        </w:rPr>
        <w:t>uveitis</w:t>
      </w:r>
      <w:proofErr w:type="spellEnd"/>
      <w:r w:rsidRPr="000547CB">
        <w:rPr>
          <w:sz w:val="24"/>
          <w:szCs w:val="24"/>
        </w:rPr>
        <w:t>. Se også pkt. 4.8.</w:t>
      </w:r>
    </w:p>
    <w:p w14:paraId="49DEDD4B" w14:textId="77777777" w:rsidR="000547CB" w:rsidRPr="000547CB" w:rsidRDefault="000547CB" w:rsidP="003247ED">
      <w:pPr>
        <w:ind w:left="851"/>
        <w:rPr>
          <w:sz w:val="24"/>
          <w:szCs w:val="24"/>
        </w:rPr>
      </w:pPr>
    </w:p>
    <w:p w14:paraId="05DC511A" w14:textId="77777777" w:rsidR="000547CB" w:rsidRPr="000547CB" w:rsidRDefault="000547CB" w:rsidP="003247ED">
      <w:pPr>
        <w:ind w:left="851"/>
        <w:rPr>
          <w:sz w:val="24"/>
          <w:szCs w:val="24"/>
        </w:rPr>
      </w:pPr>
      <w:r w:rsidRPr="000547CB">
        <w:rPr>
          <w:sz w:val="24"/>
          <w:szCs w:val="24"/>
        </w:rPr>
        <w:t>Der er begrænset erfaring hos patienter med astma, men der er efter markedsføring rapporteret tilfælde af forværring af astma og/eller dyspnø. Astmapatienter bør derfor behandles med forsigtighed indtil der er opnået tilstrækkelig erfaring, se også pkt. 4.8.</w:t>
      </w:r>
    </w:p>
    <w:p w14:paraId="70201787" w14:textId="77777777" w:rsidR="000547CB" w:rsidRPr="000547CB" w:rsidRDefault="000547CB" w:rsidP="003247ED">
      <w:pPr>
        <w:ind w:left="851"/>
        <w:rPr>
          <w:sz w:val="24"/>
          <w:szCs w:val="24"/>
        </w:rPr>
      </w:pPr>
    </w:p>
    <w:p w14:paraId="1A338204" w14:textId="77777777" w:rsidR="000547CB" w:rsidRPr="000547CB" w:rsidRDefault="000547CB" w:rsidP="003247ED">
      <w:pPr>
        <w:ind w:left="851"/>
        <w:rPr>
          <w:sz w:val="24"/>
          <w:szCs w:val="24"/>
        </w:rPr>
      </w:pPr>
      <w:r w:rsidRPr="000547CB">
        <w:rPr>
          <w:sz w:val="24"/>
          <w:szCs w:val="24"/>
        </w:rPr>
        <w:t>Effekten af Tanolux er ikke blevet undersøgt hos patienter med nedsat leverfunktion.</w:t>
      </w:r>
    </w:p>
    <w:p w14:paraId="450FA38D" w14:textId="77777777" w:rsidR="000547CB" w:rsidRPr="000547CB" w:rsidRDefault="000547CB" w:rsidP="003247ED">
      <w:pPr>
        <w:ind w:left="851"/>
        <w:rPr>
          <w:sz w:val="24"/>
          <w:szCs w:val="24"/>
        </w:rPr>
      </w:pPr>
    </w:p>
    <w:p w14:paraId="040238BC" w14:textId="77777777" w:rsidR="000547CB" w:rsidRPr="000547CB" w:rsidRDefault="000547CB" w:rsidP="003247ED">
      <w:pPr>
        <w:ind w:left="851"/>
        <w:rPr>
          <w:sz w:val="24"/>
          <w:szCs w:val="24"/>
          <w:u w:val="single"/>
        </w:rPr>
      </w:pPr>
      <w:r w:rsidRPr="000547CB">
        <w:rPr>
          <w:sz w:val="24"/>
          <w:szCs w:val="24"/>
          <w:u w:val="single"/>
        </w:rPr>
        <w:t>Effekter på øjenlåg og øjenvipper</w:t>
      </w:r>
    </w:p>
    <w:p w14:paraId="644735F9" w14:textId="77777777" w:rsidR="000547CB" w:rsidRPr="000547CB" w:rsidRDefault="000547CB" w:rsidP="003247ED">
      <w:pPr>
        <w:ind w:left="851"/>
        <w:rPr>
          <w:sz w:val="24"/>
          <w:szCs w:val="24"/>
        </w:rPr>
      </w:pPr>
      <w:r w:rsidRPr="000547CB">
        <w:rPr>
          <w:sz w:val="24"/>
          <w:szCs w:val="24"/>
        </w:rPr>
        <w:t xml:space="preserve">Der er observeret </w:t>
      </w:r>
      <w:proofErr w:type="spellStart"/>
      <w:r w:rsidRPr="000547CB">
        <w:rPr>
          <w:sz w:val="24"/>
          <w:szCs w:val="24"/>
        </w:rPr>
        <w:t>periorbital</w:t>
      </w:r>
      <w:proofErr w:type="spellEnd"/>
      <w:r w:rsidRPr="000547CB">
        <w:rPr>
          <w:sz w:val="24"/>
          <w:szCs w:val="24"/>
        </w:rPr>
        <w:t xml:space="preserve"> misfarvning af huden, hvor hovedparten af tilfældene stammer fra japanske patienter. Den hidtidige erfaring viser, at </w:t>
      </w:r>
      <w:proofErr w:type="spellStart"/>
      <w:r w:rsidRPr="000547CB">
        <w:rPr>
          <w:sz w:val="24"/>
          <w:szCs w:val="24"/>
        </w:rPr>
        <w:t>periorbital</w:t>
      </w:r>
      <w:proofErr w:type="spellEnd"/>
      <w:r w:rsidRPr="000547CB">
        <w:rPr>
          <w:sz w:val="24"/>
          <w:szCs w:val="24"/>
        </w:rPr>
        <w:t xml:space="preserve"> misfarvning af huden ikke er permanent og har i nogle tilfælde været reversibel ved fortsat behandling med Tanolux.</w:t>
      </w:r>
    </w:p>
    <w:p w14:paraId="1AEE7BB5" w14:textId="77777777" w:rsidR="000547CB" w:rsidRPr="000547CB" w:rsidRDefault="000547CB" w:rsidP="003247ED">
      <w:pPr>
        <w:ind w:left="851"/>
        <w:rPr>
          <w:sz w:val="24"/>
          <w:szCs w:val="24"/>
        </w:rPr>
      </w:pPr>
    </w:p>
    <w:p w14:paraId="4A0C97F5" w14:textId="77777777" w:rsidR="000547CB" w:rsidRPr="000547CB" w:rsidRDefault="000547CB" w:rsidP="003247ED">
      <w:pPr>
        <w:ind w:left="851"/>
        <w:rPr>
          <w:sz w:val="24"/>
          <w:szCs w:val="24"/>
        </w:rPr>
      </w:pPr>
      <w:proofErr w:type="spellStart"/>
      <w:r w:rsidRPr="000547CB">
        <w:rPr>
          <w:sz w:val="24"/>
          <w:szCs w:val="24"/>
        </w:rPr>
        <w:t>Latanoprost</w:t>
      </w:r>
      <w:proofErr w:type="spellEnd"/>
      <w:r w:rsidRPr="000547CB">
        <w:rPr>
          <w:sz w:val="24"/>
          <w:szCs w:val="24"/>
        </w:rPr>
        <w:t xml:space="preserve"> kan gradvis ændre øjenvipper og vellushår ved det behandlede øje og dets omgivelser. Disse forandringer omfatter blandt andet øget længde, tykkelse og pigmentering, øget antal øjenvipper eller hår og øjenvipper, som vokser i forkert retning. Ændringerne i øjenvipper forsvinder efter ophør af behandling.</w:t>
      </w:r>
    </w:p>
    <w:p w14:paraId="602E7D99" w14:textId="77777777" w:rsidR="000547CB" w:rsidRPr="000547CB" w:rsidRDefault="000547CB" w:rsidP="003247ED">
      <w:pPr>
        <w:ind w:left="851"/>
        <w:rPr>
          <w:sz w:val="24"/>
          <w:szCs w:val="24"/>
          <w:u w:val="single"/>
        </w:rPr>
      </w:pPr>
    </w:p>
    <w:p w14:paraId="7295507D" w14:textId="77777777" w:rsidR="000547CB" w:rsidRPr="000547CB" w:rsidRDefault="000547CB" w:rsidP="003247ED">
      <w:pPr>
        <w:ind w:left="851"/>
        <w:rPr>
          <w:sz w:val="24"/>
          <w:szCs w:val="24"/>
          <w:u w:val="single"/>
        </w:rPr>
      </w:pPr>
      <w:proofErr w:type="spellStart"/>
      <w:r w:rsidRPr="000547CB">
        <w:rPr>
          <w:sz w:val="24"/>
          <w:szCs w:val="24"/>
          <w:u w:val="single"/>
        </w:rPr>
        <w:t>Benzalkoniumchlorid</w:t>
      </w:r>
      <w:proofErr w:type="spellEnd"/>
    </w:p>
    <w:p w14:paraId="653DB98E" w14:textId="21AADA1D" w:rsidR="000547CB" w:rsidRPr="000547CB" w:rsidRDefault="000547CB" w:rsidP="003247ED">
      <w:pPr>
        <w:ind w:left="851"/>
        <w:rPr>
          <w:sz w:val="24"/>
          <w:szCs w:val="24"/>
        </w:rPr>
      </w:pPr>
      <w:r w:rsidRPr="000547CB">
        <w:rPr>
          <w:sz w:val="24"/>
          <w:szCs w:val="24"/>
        </w:rPr>
        <w:t xml:space="preserve">Tanolux indeholder </w:t>
      </w:r>
      <w:proofErr w:type="spellStart"/>
      <w:r w:rsidRPr="000547CB">
        <w:rPr>
          <w:sz w:val="24"/>
          <w:szCs w:val="24"/>
        </w:rPr>
        <w:t>benzalkoniumchlorid</w:t>
      </w:r>
      <w:proofErr w:type="spellEnd"/>
      <w:r w:rsidR="004D3913">
        <w:rPr>
          <w:sz w:val="24"/>
          <w:szCs w:val="24"/>
        </w:rPr>
        <w:t>.</w:t>
      </w:r>
      <w:r w:rsidRPr="000547CB">
        <w:rPr>
          <w:sz w:val="24"/>
          <w:szCs w:val="24"/>
        </w:rPr>
        <w:t xml:space="preserve"> Ud fra de begrænsede data, som er tilgængeligt, er der ingen forskel i bivirkningsprofilen hos børn sammenlignet med voksne. Generelt, reagerer øjnene hos børn stærkere over for en given stimulans end det voksne øje. Irritationen kan påvirke behandlingsadhærens hos børn. Det er rapporteret, at </w:t>
      </w:r>
      <w:proofErr w:type="spellStart"/>
      <w:r w:rsidRPr="000547CB">
        <w:rPr>
          <w:sz w:val="24"/>
          <w:szCs w:val="24"/>
        </w:rPr>
        <w:t>benzalkoniumchlorid</w:t>
      </w:r>
      <w:proofErr w:type="spellEnd"/>
      <w:r w:rsidRPr="000547CB">
        <w:rPr>
          <w:sz w:val="24"/>
          <w:szCs w:val="24"/>
        </w:rPr>
        <w:t xml:space="preserve"> forårsager øjenirritation, symptomer på tørre øjne og kan påvirke tårefilmen og hornhindens overflade. Det bør anvendes med forsigtighed hos patienter med tørre øjne og hos patienter, hvor hornhinden kan være kompromitteret. Patienter bør overvåges i tilfælde af langvarig brug.</w:t>
      </w:r>
    </w:p>
    <w:p w14:paraId="0C045707" w14:textId="77777777" w:rsidR="000547CB" w:rsidRPr="000547CB" w:rsidRDefault="000547CB" w:rsidP="003247ED">
      <w:pPr>
        <w:ind w:left="851"/>
        <w:rPr>
          <w:sz w:val="24"/>
          <w:szCs w:val="24"/>
          <w:u w:val="single"/>
        </w:rPr>
      </w:pPr>
    </w:p>
    <w:p w14:paraId="1D8B643D" w14:textId="77777777" w:rsidR="000547CB" w:rsidRPr="000547CB" w:rsidRDefault="000547CB" w:rsidP="003247ED">
      <w:pPr>
        <w:ind w:left="851"/>
        <w:rPr>
          <w:sz w:val="24"/>
          <w:szCs w:val="24"/>
        </w:rPr>
      </w:pPr>
      <w:r w:rsidRPr="000547CB">
        <w:rPr>
          <w:sz w:val="24"/>
          <w:szCs w:val="24"/>
          <w:u w:val="single"/>
        </w:rPr>
        <w:t>Kontaktlinser</w:t>
      </w:r>
    </w:p>
    <w:p w14:paraId="07913096" w14:textId="77777777" w:rsidR="000547CB" w:rsidRPr="000547CB" w:rsidRDefault="000547CB" w:rsidP="003247ED">
      <w:pPr>
        <w:ind w:left="851"/>
        <w:rPr>
          <w:sz w:val="24"/>
          <w:szCs w:val="24"/>
        </w:rPr>
      </w:pPr>
      <w:r w:rsidRPr="000547CB">
        <w:rPr>
          <w:sz w:val="24"/>
          <w:szCs w:val="24"/>
        </w:rPr>
        <w:t xml:space="preserve">Kontaktlinser kan absorbere </w:t>
      </w:r>
      <w:proofErr w:type="spellStart"/>
      <w:r w:rsidRPr="000547CB">
        <w:rPr>
          <w:sz w:val="24"/>
          <w:szCs w:val="24"/>
        </w:rPr>
        <w:t>benzalkoniumchlorid</w:t>
      </w:r>
      <w:proofErr w:type="spellEnd"/>
      <w:r w:rsidRPr="000547CB">
        <w:rPr>
          <w:sz w:val="24"/>
          <w:szCs w:val="24"/>
        </w:rPr>
        <w:t xml:space="preserve"> og bør fjernes, inden der </w:t>
      </w:r>
      <w:proofErr w:type="spellStart"/>
      <w:r w:rsidRPr="000547CB">
        <w:rPr>
          <w:sz w:val="24"/>
          <w:szCs w:val="24"/>
        </w:rPr>
        <w:t>inddryppes</w:t>
      </w:r>
      <w:proofErr w:type="spellEnd"/>
      <w:r w:rsidRPr="000547CB">
        <w:rPr>
          <w:sz w:val="24"/>
          <w:szCs w:val="24"/>
        </w:rPr>
        <w:t xml:space="preserve"> med Tanolux. Kontaktlinserne kan genindsættes 15 minutter efter drypning (se pkt. 4.2).</w:t>
      </w:r>
    </w:p>
    <w:p w14:paraId="68019559" w14:textId="77777777" w:rsidR="000547CB" w:rsidRPr="000547CB" w:rsidRDefault="000547CB" w:rsidP="003247ED">
      <w:pPr>
        <w:ind w:left="851"/>
        <w:rPr>
          <w:sz w:val="24"/>
          <w:szCs w:val="24"/>
        </w:rPr>
      </w:pPr>
    </w:p>
    <w:p w14:paraId="1FCB73A4" w14:textId="77777777" w:rsidR="000547CB" w:rsidRPr="000547CB" w:rsidRDefault="000547CB" w:rsidP="003247ED">
      <w:pPr>
        <w:ind w:left="851"/>
        <w:rPr>
          <w:i/>
          <w:sz w:val="24"/>
          <w:szCs w:val="24"/>
        </w:rPr>
      </w:pPr>
      <w:r w:rsidRPr="000547CB">
        <w:rPr>
          <w:i/>
          <w:sz w:val="24"/>
          <w:szCs w:val="24"/>
        </w:rPr>
        <w:t>Pædiatrisk population</w:t>
      </w:r>
    </w:p>
    <w:p w14:paraId="5B201B2A" w14:textId="77777777" w:rsidR="000547CB" w:rsidRPr="000547CB" w:rsidRDefault="000547CB" w:rsidP="003247ED">
      <w:pPr>
        <w:ind w:left="851"/>
        <w:rPr>
          <w:i/>
          <w:sz w:val="24"/>
          <w:szCs w:val="24"/>
        </w:rPr>
      </w:pPr>
    </w:p>
    <w:p w14:paraId="79BF0A1F" w14:textId="77777777" w:rsidR="000547CB" w:rsidRPr="000547CB" w:rsidRDefault="000547CB" w:rsidP="003247ED">
      <w:pPr>
        <w:ind w:left="851"/>
        <w:rPr>
          <w:sz w:val="24"/>
          <w:szCs w:val="24"/>
        </w:rPr>
      </w:pPr>
      <w:r w:rsidRPr="000547CB">
        <w:rPr>
          <w:sz w:val="24"/>
          <w:szCs w:val="24"/>
        </w:rPr>
        <w:t>Effekt- og sikkerhedsdata i aldersgruppen &lt; 1 år (4 patienter) er meget begrænsede (se pkt. 5.1). Der er ingen tilgængelig data for præmature børn (</w:t>
      </w:r>
      <w:proofErr w:type="spellStart"/>
      <w:r w:rsidRPr="000547CB">
        <w:rPr>
          <w:sz w:val="24"/>
          <w:szCs w:val="24"/>
        </w:rPr>
        <w:t>gestationsalder</w:t>
      </w:r>
      <w:proofErr w:type="spellEnd"/>
      <w:r w:rsidRPr="000547CB">
        <w:rPr>
          <w:sz w:val="24"/>
          <w:szCs w:val="24"/>
        </w:rPr>
        <w:t xml:space="preserve"> under 36 uge).</w:t>
      </w:r>
    </w:p>
    <w:p w14:paraId="30F44EBC" w14:textId="77777777" w:rsidR="000547CB" w:rsidRPr="000547CB" w:rsidRDefault="000547CB" w:rsidP="003247ED">
      <w:pPr>
        <w:ind w:left="851"/>
        <w:rPr>
          <w:sz w:val="24"/>
          <w:szCs w:val="24"/>
        </w:rPr>
      </w:pPr>
    </w:p>
    <w:p w14:paraId="277D455C" w14:textId="77777777" w:rsidR="000547CB" w:rsidRPr="000547CB" w:rsidRDefault="000547CB" w:rsidP="003247ED">
      <w:pPr>
        <w:ind w:left="851"/>
        <w:rPr>
          <w:sz w:val="24"/>
          <w:szCs w:val="24"/>
        </w:rPr>
      </w:pPr>
      <w:r w:rsidRPr="000547CB">
        <w:rPr>
          <w:sz w:val="24"/>
          <w:szCs w:val="24"/>
        </w:rPr>
        <w:t xml:space="preserve">Hos børn i alderen 0 til &lt; 3 år, som primært lider af primær kongenit </w:t>
      </w:r>
      <w:proofErr w:type="spellStart"/>
      <w:r w:rsidRPr="000547CB">
        <w:rPr>
          <w:sz w:val="24"/>
          <w:szCs w:val="24"/>
        </w:rPr>
        <w:t>glaukom</w:t>
      </w:r>
      <w:proofErr w:type="spellEnd"/>
      <w:r w:rsidRPr="000547CB">
        <w:rPr>
          <w:sz w:val="24"/>
          <w:szCs w:val="24"/>
        </w:rPr>
        <w:t xml:space="preserve"> (PCG), er operation (f.eks. </w:t>
      </w:r>
      <w:proofErr w:type="spellStart"/>
      <w:r w:rsidRPr="000547CB">
        <w:rPr>
          <w:sz w:val="24"/>
          <w:szCs w:val="24"/>
        </w:rPr>
        <w:t>trabekulotomi</w:t>
      </w:r>
      <w:proofErr w:type="spellEnd"/>
      <w:r w:rsidRPr="000547CB">
        <w:rPr>
          <w:sz w:val="24"/>
          <w:szCs w:val="24"/>
        </w:rPr>
        <w:t>/</w:t>
      </w:r>
      <w:proofErr w:type="spellStart"/>
      <w:r w:rsidRPr="000547CB">
        <w:rPr>
          <w:sz w:val="24"/>
          <w:szCs w:val="24"/>
        </w:rPr>
        <w:t>goniotomi</w:t>
      </w:r>
      <w:proofErr w:type="spellEnd"/>
      <w:r w:rsidRPr="000547CB">
        <w:rPr>
          <w:sz w:val="24"/>
          <w:szCs w:val="24"/>
        </w:rPr>
        <w:t>) stadig førstevalgsbehandling.</w:t>
      </w:r>
    </w:p>
    <w:p w14:paraId="0BDAA3B5" w14:textId="77777777" w:rsidR="000547CB" w:rsidRPr="000547CB" w:rsidRDefault="000547CB" w:rsidP="003247ED">
      <w:pPr>
        <w:ind w:left="851"/>
        <w:rPr>
          <w:sz w:val="24"/>
          <w:szCs w:val="24"/>
        </w:rPr>
      </w:pPr>
      <w:r w:rsidRPr="000547CB">
        <w:rPr>
          <w:sz w:val="24"/>
          <w:szCs w:val="24"/>
        </w:rPr>
        <w:t>Den langsigtede sikkerhed hos børn er endnu ikke fastlagt.</w:t>
      </w:r>
    </w:p>
    <w:p w14:paraId="3DF66BF8" w14:textId="77777777" w:rsidR="009260DE" w:rsidRPr="004C59A7" w:rsidRDefault="009260DE" w:rsidP="009260DE">
      <w:pPr>
        <w:tabs>
          <w:tab w:val="left" w:pos="851"/>
        </w:tabs>
        <w:ind w:left="851"/>
        <w:rPr>
          <w:sz w:val="24"/>
          <w:szCs w:val="24"/>
        </w:rPr>
      </w:pPr>
    </w:p>
    <w:p w14:paraId="3198EB7A" w14:textId="77777777" w:rsidR="009260DE" w:rsidRPr="004C59A7" w:rsidRDefault="009260DE" w:rsidP="009260DE">
      <w:pPr>
        <w:tabs>
          <w:tab w:val="left" w:pos="851"/>
        </w:tabs>
        <w:ind w:left="851" w:hanging="851"/>
        <w:rPr>
          <w:b/>
          <w:sz w:val="24"/>
          <w:szCs w:val="24"/>
        </w:rPr>
      </w:pPr>
      <w:r w:rsidRPr="004C59A7">
        <w:rPr>
          <w:b/>
          <w:sz w:val="24"/>
          <w:szCs w:val="24"/>
        </w:rPr>
        <w:t>4.5</w:t>
      </w:r>
      <w:r w:rsidRPr="004C59A7">
        <w:rPr>
          <w:b/>
          <w:sz w:val="24"/>
          <w:szCs w:val="24"/>
        </w:rPr>
        <w:tab/>
        <w:t>Interaktion med andre lægemidler og andre former for interaktion</w:t>
      </w:r>
    </w:p>
    <w:p w14:paraId="239C468E" w14:textId="77777777" w:rsidR="000547CB" w:rsidRPr="000547CB" w:rsidRDefault="000547CB" w:rsidP="003247ED">
      <w:pPr>
        <w:ind w:left="851"/>
        <w:rPr>
          <w:sz w:val="24"/>
          <w:szCs w:val="24"/>
        </w:rPr>
      </w:pPr>
      <w:r w:rsidRPr="000547CB">
        <w:rPr>
          <w:sz w:val="24"/>
          <w:szCs w:val="24"/>
        </w:rPr>
        <w:t>Definitive data vedrørende lægemiddelinteraktion er ikke tilgængelige.</w:t>
      </w:r>
    </w:p>
    <w:p w14:paraId="3D4B6FA8" w14:textId="77777777" w:rsidR="000547CB" w:rsidRPr="000547CB" w:rsidRDefault="000547CB" w:rsidP="003247ED">
      <w:pPr>
        <w:ind w:left="851"/>
        <w:rPr>
          <w:sz w:val="24"/>
          <w:szCs w:val="24"/>
        </w:rPr>
      </w:pPr>
    </w:p>
    <w:p w14:paraId="1207511B" w14:textId="77777777" w:rsidR="000547CB" w:rsidRPr="000547CB" w:rsidRDefault="000547CB" w:rsidP="003247ED">
      <w:pPr>
        <w:ind w:left="851"/>
        <w:rPr>
          <w:sz w:val="24"/>
          <w:szCs w:val="24"/>
        </w:rPr>
      </w:pPr>
      <w:r w:rsidRPr="000547CB">
        <w:rPr>
          <w:sz w:val="24"/>
          <w:szCs w:val="24"/>
        </w:rPr>
        <w:t xml:space="preserve">Der er rapporteret paradoksale stigninger i IOP efter samtidig </w:t>
      </w:r>
      <w:proofErr w:type="spellStart"/>
      <w:r w:rsidRPr="000547CB">
        <w:rPr>
          <w:sz w:val="24"/>
          <w:szCs w:val="24"/>
        </w:rPr>
        <w:t>okulær</w:t>
      </w:r>
      <w:proofErr w:type="spellEnd"/>
      <w:r w:rsidRPr="000547CB">
        <w:rPr>
          <w:sz w:val="24"/>
          <w:szCs w:val="24"/>
        </w:rPr>
        <w:t xml:space="preserve"> administration af to </w:t>
      </w:r>
      <w:proofErr w:type="spellStart"/>
      <w:r w:rsidRPr="000547CB">
        <w:rPr>
          <w:sz w:val="24"/>
          <w:szCs w:val="24"/>
        </w:rPr>
        <w:t>prostaglandinanaloger</w:t>
      </w:r>
      <w:proofErr w:type="spellEnd"/>
      <w:r w:rsidRPr="000547CB">
        <w:rPr>
          <w:sz w:val="24"/>
          <w:szCs w:val="24"/>
        </w:rPr>
        <w:t xml:space="preserve">. Det anbefales derfor ikke at bruge to eller flere </w:t>
      </w:r>
      <w:proofErr w:type="spellStart"/>
      <w:r w:rsidRPr="000547CB">
        <w:rPr>
          <w:sz w:val="24"/>
          <w:szCs w:val="24"/>
        </w:rPr>
        <w:t>prostaglandiner</w:t>
      </w:r>
      <w:proofErr w:type="spellEnd"/>
      <w:r w:rsidRPr="000547CB">
        <w:rPr>
          <w:sz w:val="24"/>
          <w:szCs w:val="24"/>
        </w:rPr>
        <w:t xml:space="preserve">, </w:t>
      </w:r>
      <w:proofErr w:type="spellStart"/>
      <w:r w:rsidRPr="000547CB">
        <w:rPr>
          <w:sz w:val="24"/>
          <w:szCs w:val="24"/>
        </w:rPr>
        <w:t>prostaglandinanaloger</w:t>
      </w:r>
      <w:proofErr w:type="spellEnd"/>
      <w:r w:rsidRPr="000547CB">
        <w:rPr>
          <w:sz w:val="24"/>
          <w:szCs w:val="24"/>
        </w:rPr>
        <w:t xml:space="preserve"> eller </w:t>
      </w:r>
      <w:proofErr w:type="spellStart"/>
      <w:r w:rsidRPr="000547CB">
        <w:rPr>
          <w:sz w:val="24"/>
          <w:szCs w:val="24"/>
        </w:rPr>
        <w:t>prostaglandinderivater</w:t>
      </w:r>
      <w:proofErr w:type="spellEnd"/>
      <w:r w:rsidRPr="000547CB">
        <w:rPr>
          <w:sz w:val="24"/>
          <w:szCs w:val="24"/>
        </w:rPr>
        <w:t xml:space="preserve"> samtidigt.</w:t>
      </w:r>
    </w:p>
    <w:p w14:paraId="3DBF40D1" w14:textId="77777777" w:rsidR="000547CB" w:rsidRPr="000547CB" w:rsidRDefault="000547CB" w:rsidP="003247ED">
      <w:pPr>
        <w:ind w:left="851"/>
        <w:rPr>
          <w:sz w:val="24"/>
          <w:szCs w:val="24"/>
        </w:rPr>
      </w:pPr>
    </w:p>
    <w:p w14:paraId="6D265AC1" w14:textId="77777777" w:rsidR="000547CB" w:rsidRPr="000547CB" w:rsidRDefault="000547CB" w:rsidP="003247ED">
      <w:pPr>
        <w:ind w:left="851"/>
        <w:rPr>
          <w:i/>
          <w:sz w:val="24"/>
          <w:szCs w:val="24"/>
        </w:rPr>
      </w:pPr>
      <w:r w:rsidRPr="000547CB">
        <w:rPr>
          <w:i/>
          <w:sz w:val="24"/>
          <w:szCs w:val="24"/>
        </w:rPr>
        <w:t>Pædiatrisk population</w:t>
      </w:r>
    </w:p>
    <w:p w14:paraId="73748D3B" w14:textId="77777777" w:rsidR="000547CB" w:rsidRPr="000547CB" w:rsidRDefault="000547CB" w:rsidP="003247ED">
      <w:pPr>
        <w:ind w:left="851"/>
        <w:rPr>
          <w:i/>
          <w:sz w:val="24"/>
          <w:szCs w:val="24"/>
        </w:rPr>
      </w:pPr>
    </w:p>
    <w:p w14:paraId="595AF8A8" w14:textId="77777777" w:rsidR="000547CB" w:rsidRPr="000547CB" w:rsidRDefault="000547CB" w:rsidP="003247ED">
      <w:pPr>
        <w:ind w:left="851"/>
        <w:rPr>
          <w:sz w:val="24"/>
          <w:szCs w:val="24"/>
        </w:rPr>
      </w:pPr>
      <w:r w:rsidRPr="000547CB">
        <w:rPr>
          <w:sz w:val="24"/>
          <w:szCs w:val="24"/>
        </w:rPr>
        <w:t>Interaktionsstudier er kun udført hos voksne.</w:t>
      </w:r>
    </w:p>
    <w:p w14:paraId="3D155510" w14:textId="77777777" w:rsidR="009260DE" w:rsidRPr="004C59A7" w:rsidRDefault="009260DE" w:rsidP="003247ED">
      <w:pPr>
        <w:ind w:left="851"/>
        <w:rPr>
          <w:sz w:val="24"/>
          <w:szCs w:val="24"/>
        </w:rPr>
      </w:pPr>
    </w:p>
    <w:p w14:paraId="766D1961" w14:textId="77777777" w:rsidR="009260DE" w:rsidRPr="004C59A7" w:rsidRDefault="009260DE" w:rsidP="009260DE">
      <w:pPr>
        <w:tabs>
          <w:tab w:val="left" w:pos="851"/>
        </w:tabs>
        <w:ind w:left="851" w:hanging="851"/>
        <w:rPr>
          <w:b/>
          <w:sz w:val="24"/>
          <w:szCs w:val="24"/>
        </w:rPr>
      </w:pPr>
      <w:r w:rsidRPr="004C59A7">
        <w:rPr>
          <w:b/>
          <w:sz w:val="24"/>
          <w:szCs w:val="24"/>
        </w:rPr>
        <w:t>4.6</w:t>
      </w:r>
      <w:r w:rsidRPr="004C59A7">
        <w:rPr>
          <w:b/>
          <w:sz w:val="24"/>
          <w:szCs w:val="24"/>
        </w:rPr>
        <w:tab/>
      </w:r>
      <w:r w:rsidR="0071241E" w:rsidRPr="004C59A7">
        <w:rPr>
          <w:b/>
          <w:sz w:val="24"/>
          <w:szCs w:val="24"/>
        </w:rPr>
        <w:t>Fertilitet, g</w:t>
      </w:r>
      <w:r w:rsidRPr="004C59A7">
        <w:rPr>
          <w:b/>
          <w:sz w:val="24"/>
          <w:szCs w:val="24"/>
        </w:rPr>
        <w:t>raviditet og amning</w:t>
      </w:r>
    </w:p>
    <w:p w14:paraId="46EF0CAE" w14:textId="77777777" w:rsidR="004C59A7" w:rsidRDefault="004C59A7" w:rsidP="000A12ED">
      <w:pPr>
        <w:ind w:left="851"/>
        <w:rPr>
          <w:sz w:val="24"/>
          <w:szCs w:val="24"/>
          <w:u w:val="single"/>
        </w:rPr>
      </w:pPr>
    </w:p>
    <w:p w14:paraId="38A44937" w14:textId="31A5F685" w:rsidR="000547CB" w:rsidRPr="000547CB" w:rsidRDefault="000547CB" w:rsidP="000A12ED">
      <w:pPr>
        <w:ind w:left="851"/>
        <w:rPr>
          <w:sz w:val="24"/>
          <w:szCs w:val="24"/>
        </w:rPr>
      </w:pPr>
      <w:r w:rsidRPr="000547CB">
        <w:rPr>
          <w:sz w:val="24"/>
          <w:szCs w:val="24"/>
          <w:u w:val="single"/>
        </w:rPr>
        <w:t>Graviditet</w:t>
      </w:r>
    </w:p>
    <w:p w14:paraId="119988AB" w14:textId="77777777" w:rsidR="000547CB" w:rsidRPr="000547CB" w:rsidRDefault="000547CB" w:rsidP="000A12ED">
      <w:pPr>
        <w:ind w:left="851"/>
        <w:rPr>
          <w:sz w:val="24"/>
          <w:szCs w:val="24"/>
        </w:rPr>
      </w:pPr>
      <w:r w:rsidRPr="000547CB">
        <w:rPr>
          <w:sz w:val="24"/>
          <w:szCs w:val="24"/>
        </w:rPr>
        <w:t>Sikkerheden ved brug af dette lægemiddel under graviditet er ikke fastslået. Det har potentielt skadelige farmakologiske effekter for graviditetsforløbet, det ufødte barn eller det nyfødte barn. Tanolux bør derfor ikke anvendes under graviditet.</w:t>
      </w:r>
    </w:p>
    <w:p w14:paraId="4A1CB8C0" w14:textId="77777777" w:rsidR="000547CB" w:rsidRPr="000547CB" w:rsidRDefault="000547CB" w:rsidP="000A12ED">
      <w:pPr>
        <w:ind w:left="851"/>
        <w:rPr>
          <w:sz w:val="24"/>
          <w:szCs w:val="24"/>
        </w:rPr>
      </w:pPr>
    </w:p>
    <w:p w14:paraId="4AE8732B" w14:textId="77777777" w:rsidR="000547CB" w:rsidRPr="000547CB" w:rsidRDefault="000547CB" w:rsidP="000A12ED">
      <w:pPr>
        <w:ind w:left="851"/>
        <w:rPr>
          <w:sz w:val="24"/>
          <w:szCs w:val="24"/>
        </w:rPr>
      </w:pPr>
      <w:r w:rsidRPr="000547CB">
        <w:rPr>
          <w:sz w:val="24"/>
          <w:szCs w:val="24"/>
          <w:u w:val="single"/>
        </w:rPr>
        <w:t>Amning</w:t>
      </w:r>
    </w:p>
    <w:p w14:paraId="52971528" w14:textId="77777777" w:rsidR="000547CB" w:rsidRPr="000547CB" w:rsidRDefault="000547CB" w:rsidP="000A12ED">
      <w:pPr>
        <w:ind w:left="851"/>
        <w:rPr>
          <w:sz w:val="24"/>
          <w:szCs w:val="24"/>
        </w:rPr>
      </w:pPr>
      <w:proofErr w:type="spellStart"/>
      <w:r w:rsidRPr="000547CB">
        <w:rPr>
          <w:sz w:val="24"/>
          <w:szCs w:val="24"/>
        </w:rPr>
        <w:t>Latanoprost</w:t>
      </w:r>
      <w:proofErr w:type="spellEnd"/>
      <w:r w:rsidRPr="000547CB">
        <w:rPr>
          <w:sz w:val="24"/>
          <w:szCs w:val="24"/>
        </w:rPr>
        <w:t xml:space="preserve"> og dets metabolitter kan passere over i modermælken og Tanolux bør derfor ikke anvendes af ammende kvinder. Alternativt bør amningen ophøre.</w:t>
      </w:r>
    </w:p>
    <w:p w14:paraId="091385E3" w14:textId="77777777" w:rsidR="000547CB" w:rsidRPr="000547CB" w:rsidRDefault="000547CB" w:rsidP="000A12ED">
      <w:pPr>
        <w:ind w:left="851"/>
        <w:rPr>
          <w:sz w:val="24"/>
          <w:szCs w:val="24"/>
        </w:rPr>
      </w:pPr>
    </w:p>
    <w:p w14:paraId="4D040D96" w14:textId="77777777" w:rsidR="000547CB" w:rsidRPr="000547CB" w:rsidRDefault="000547CB" w:rsidP="000A12ED">
      <w:pPr>
        <w:ind w:left="851"/>
        <w:rPr>
          <w:sz w:val="24"/>
          <w:szCs w:val="24"/>
        </w:rPr>
      </w:pPr>
      <w:r w:rsidRPr="000547CB">
        <w:rPr>
          <w:sz w:val="24"/>
          <w:szCs w:val="24"/>
          <w:u w:val="single"/>
        </w:rPr>
        <w:t>Fertilitet</w:t>
      </w:r>
    </w:p>
    <w:p w14:paraId="2F8A0F35" w14:textId="77777777" w:rsidR="000547CB" w:rsidRPr="000547CB" w:rsidRDefault="000547CB" w:rsidP="000A12ED">
      <w:pPr>
        <w:ind w:left="851"/>
        <w:rPr>
          <w:sz w:val="24"/>
          <w:szCs w:val="24"/>
        </w:rPr>
      </w:pPr>
      <w:r w:rsidRPr="000547CB">
        <w:rPr>
          <w:sz w:val="24"/>
          <w:szCs w:val="24"/>
        </w:rPr>
        <w:t xml:space="preserve">Dyrestudier med </w:t>
      </w:r>
      <w:proofErr w:type="spellStart"/>
      <w:r w:rsidRPr="000547CB">
        <w:rPr>
          <w:sz w:val="24"/>
          <w:szCs w:val="24"/>
        </w:rPr>
        <w:t>latanoprost</w:t>
      </w:r>
      <w:proofErr w:type="spellEnd"/>
      <w:r w:rsidRPr="000547CB">
        <w:rPr>
          <w:sz w:val="24"/>
          <w:szCs w:val="24"/>
        </w:rPr>
        <w:t xml:space="preserve"> har ikke vist påvirkning af fertilitet hos hverken mænd eller kvinder (se pkt. 5.3).</w:t>
      </w:r>
    </w:p>
    <w:p w14:paraId="39895BAD" w14:textId="77777777" w:rsidR="009260DE" w:rsidRPr="004C59A7" w:rsidRDefault="009260DE" w:rsidP="009260DE">
      <w:pPr>
        <w:tabs>
          <w:tab w:val="left" w:pos="851"/>
        </w:tabs>
        <w:ind w:left="851"/>
        <w:rPr>
          <w:sz w:val="24"/>
          <w:szCs w:val="24"/>
        </w:rPr>
      </w:pPr>
    </w:p>
    <w:p w14:paraId="658ED310" w14:textId="77777777" w:rsidR="009260DE" w:rsidRPr="004C59A7" w:rsidRDefault="009260DE" w:rsidP="009260DE">
      <w:pPr>
        <w:tabs>
          <w:tab w:val="left" w:pos="851"/>
        </w:tabs>
        <w:ind w:left="851" w:hanging="851"/>
        <w:rPr>
          <w:b/>
          <w:sz w:val="24"/>
          <w:szCs w:val="24"/>
        </w:rPr>
      </w:pPr>
      <w:r w:rsidRPr="004C59A7">
        <w:rPr>
          <w:b/>
          <w:sz w:val="24"/>
          <w:szCs w:val="24"/>
        </w:rPr>
        <w:t>4.7</w:t>
      </w:r>
      <w:r w:rsidRPr="004C59A7">
        <w:rPr>
          <w:b/>
          <w:sz w:val="24"/>
          <w:szCs w:val="24"/>
        </w:rPr>
        <w:tab/>
        <w:t xml:space="preserve">Virkning på evnen til at føre motorkøretøj </w:t>
      </w:r>
      <w:r w:rsidR="0071241E" w:rsidRPr="004C59A7">
        <w:rPr>
          <w:b/>
          <w:sz w:val="24"/>
          <w:szCs w:val="24"/>
        </w:rPr>
        <w:t>og</w:t>
      </w:r>
      <w:r w:rsidRPr="004C59A7">
        <w:rPr>
          <w:b/>
          <w:sz w:val="24"/>
          <w:szCs w:val="24"/>
        </w:rPr>
        <w:t xml:space="preserve"> betjene maskiner</w:t>
      </w:r>
    </w:p>
    <w:p w14:paraId="1394AB97" w14:textId="77777777" w:rsidR="000547CB" w:rsidRPr="000547CB" w:rsidRDefault="000547CB" w:rsidP="000A12ED">
      <w:pPr>
        <w:ind w:left="851"/>
        <w:rPr>
          <w:sz w:val="24"/>
          <w:szCs w:val="24"/>
        </w:rPr>
      </w:pPr>
      <w:r w:rsidRPr="000547CB">
        <w:rPr>
          <w:sz w:val="24"/>
          <w:szCs w:val="24"/>
        </w:rPr>
        <w:t>Ikke mærkning</w:t>
      </w:r>
    </w:p>
    <w:p w14:paraId="49877EDF" w14:textId="77777777" w:rsidR="000547CB" w:rsidRPr="000547CB" w:rsidRDefault="000547CB" w:rsidP="000A12ED">
      <w:pPr>
        <w:ind w:left="851"/>
        <w:rPr>
          <w:sz w:val="24"/>
          <w:szCs w:val="24"/>
        </w:rPr>
      </w:pPr>
      <w:r w:rsidRPr="000547CB">
        <w:rPr>
          <w:sz w:val="24"/>
          <w:szCs w:val="24"/>
        </w:rPr>
        <w:t xml:space="preserve">Tanolux kan i mindre grad påvirke evnen til at føre motorkøretøj og betjene maskiner. Som ved andre øjenpræparater kan </w:t>
      </w:r>
      <w:proofErr w:type="spellStart"/>
      <w:r w:rsidRPr="000547CB">
        <w:rPr>
          <w:sz w:val="24"/>
          <w:szCs w:val="24"/>
        </w:rPr>
        <w:t>inddrypning</w:t>
      </w:r>
      <w:proofErr w:type="spellEnd"/>
      <w:r w:rsidRPr="000547CB">
        <w:rPr>
          <w:sz w:val="24"/>
          <w:szCs w:val="24"/>
        </w:rPr>
        <w:t xml:space="preserve"> af øjendråber forårsage forbigående sløring af synet. Patienten bør ikke færdes i trafikken eller betjene maskiner før synet atter er normalt.</w:t>
      </w:r>
    </w:p>
    <w:p w14:paraId="516CC9E3" w14:textId="77777777" w:rsidR="009260DE" w:rsidRPr="004C59A7" w:rsidRDefault="009260DE" w:rsidP="009260DE">
      <w:pPr>
        <w:tabs>
          <w:tab w:val="left" w:pos="851"/>
        </w:tabs>
        <w:ind w:left="851"/>
        <w:rPr>
          <w:sz w:val="24"/>
          <w:szCs w:val="24"/>
        </w:rPr>
      </w:pPr>
    </w:p>
    <w:p w14:paraId="5589F0F1" w14:textId="77777777" w:rsidR="009260DE" w:rsidRDefault="009260DE" w:rsidP="009260DE">
      <w:pPr>
        <w:tabs>
          <w:tab w:val="left" w:pos="851"/>
        </w:tabs>
        <w:ind w:left="851" w:hanging="851"/>
        <w:rPr>
          <w:b/>
          <w:sz w:val="24"/>
          <w:szCs w:val="24"/>
        </w:rPr>
      </w:pPr>
      <w:r w:rsidRPr="004C59A7">
        <w:rPr>
          <w:b/>
          <w:sz w:val="24"/>
          <w:szCs w:val="24"/>
        </w:rPr>
        <w:t>4.8</w:t>
      </w:r>
      <w:r w:rsidRPr="004C59A7">
        <w:rPr>
          <w:b/>
          <w:sz w:val="24"/>
          <w:szCs w:val="24"/>
        </w:rPr>
        <w:tab/>
        <w:t>Bivirkninger</w:t>
      </w:r>
    </w:p>
    <w:p w14:paraId="61186774" w14:textId="77777777" w:rsidR="004C59A7" w:rsidRPr="004C59A7" w:rsidRDefault="004C59A7" w:rsidP="004C59A7">
      <w:pPr>
        <w:ind w:left="851"/>
        <w:rPr>
          <w:bCs/>
          <w:sz w:val="24"/>
          <w:szCs w:val="24"/>
        </w:rPr>
      </w:pPr>
    </w:p>
    <w:p w14:paraId="469C733B" w14:textId="77777777" w:rsidR="000547CB" w:rsidRPr="000547CB" w:rsidRDefault="000547CB" w:rsidP="000A12ED">
      <w:pPr>
        <w:numPr>
          <w:ilvl w:val="2"/>
          <w:numId w:val="6"/>
        </w:numPr>
        <w:ind w:left="851" w:firstLine="0"/>
        <w:rPr>
          <w:sz w:val="24"/>
          <w:szCs w:val="24"/>
        </w:rPr>
      </w:pPr>
      <w:r w:rsidRPr="000547CB">
        <w:rPr>
          <w:sz w:val="24"/>
          <w:szCs w:val="24"/>
          <w:u w:val="single"/>
        </w:rPr>
        <w:t>Resumé af sikkerhedsprofilen</w:t>
      </w:r>
    </w:p>
    <w:p w14:paraId="7AFD89CE" w14:textId="77777777" w:rsidR="000547CB" w:rsidRPr="000547CB" w:rsidRDefault="000547CB" w:rsidP="000A12ED">
      <w:pPr>
        <w:ind w:left="851"/>
        <w:rPr>
          <w:sz w:val="24"/>
          <w:szCs w:val="24"/>
          <w:lang w:val="en-GB"/>
        </w:rPr>
      </w:pPr>
    </w:p>
    <w:p w14:paraId="6B9C9FD7" w14:textId="77777777" w:rsidR="000547CB" w:rsidRPr="000547CB" w:rsidRDefault="000547CB" w:rsidP="000A12ED">
      <w:pPr>
        <w:ind w:left="851"/>
        <w:rPr>
          <w:sz w:val="24"/>
          <w:szCs w:val="24"/>
        </w:rPr>
      </w:pPr>
      <w:r w:rsidRPr="000547CB">
        <w:rPr>
          <w:sz w:val="24"/>
          <w:szCs w:val="24"/>
        </w:rPr>
        <w:t>De fleste bivirkninger vedrører øjets strukturer.</w:t>
      </w:r>
    </w:p>
    <w:p w14:paraId="72ACEC9E" w14:textId="77777777" w:rsidR="000547CB" w:rsidRPr="000547CB" w:rsidRDefault="000547CB" w:rsidP="000A12ED">
      <w:pPr>
        <w:ind w:left="851"/>
        <w:rPr>
          <w:sz w:val="24"/>
          <w:szCs w:val="24"/>
        </w:rPr>
      </w:pPr>
    </w:p>
    <w:p w14:paraId="6EFE70CB" w14:textId="77777777" w:rsidR="000547CB" w:rsidRPr="000547CB" w:rsidRDefault="000547CB" w:rsidP="000A12ED">
      <w:pPr>
        <w:ind w:left="851"/>
        <w:rPr>
          <w:sz w:val="24"/>
          <w:szCs w:val="24"/>
        </w:rPr>
      </w:pPr>
      <w:r w:rsidRPr="000547CB">
        <w:rPr>
          <w:sz w:val="24"/>
          <w:szCs w:val="24"/>
        </w:rPr>
        <w:t xml:space="preserve">Tanolux kan medføre let øjenirritation i de første to til tre dages behandling. Let </w:t>
      </w:r>
      <w:proofErr w:type="spellStart"/>
      <w:r w:rsidRPr="000547CB">
        <w:rPr>
          <w:sz w:val="24"/>
          <w:szCs w:val="24"/>
        </w:rPr>
        <w:t>konjunktival</w:t>
      </w:r>
      <w:proofErr w:type="spellEnd"/>
      <w:r w:rsidRPr="000547CB">
        <w:rPr>
          <w:sz w:val="24"/>
          <w:szCs w:val="24"/>
        </w:rPr>
        <w:t xml:space="preserve"> </w:t>
      </w:r>
      <w:proofErr w:type="spellStart"/>
      <w:r w:rsidRPr="000547CB">
        <w:rPr>
          <w:sz w:val="24"/>
          <w:szCs w:val="24"/>
        </w:rPr>
        <w:t>hyperæmi</w:t>
      </w:r>
      <w:proofErr w:type="spellEnd"/>
      <w:r w:rsidRPr="000547CB">
        <w:rPr>
          <w:sz w:val="24"/>
          <w:szCs w:val="24"/>
        </w:rPr>
        <w:t xml:space="preserve"> er rapporteret hos cirka 10 % af patienterne, og moderat </w:t>
      </w:r>
      <w:proofErr w:type="spellStart"/>
      <w:r w:rsidRPr="000547CB">
        <w:rPr>
          <w:sz w:val="24"/>
          <w:szCs w:val="24"/>
        </w:rPr>
        <w:t>hyperæmi</w:t>
      </w:r>
      <w:proofErr w:type="spellEnd"/>
      <w:r w:rsidRPr="000547CB">
        <w:rPr>
          <w:sz w:val="24"/>
          <w:szCs w:val="24"/>
        </w:rPr>
        <w:t xml:space="preserve"> hos cirka 1 % under langtidsbehandling.</w:t>
      </w:r>
    </w:p>
    <w:p w14:paraId="3239FE47" w14:textId="77777777" w:rsidR="000547CB" w:rsidRPr="000547CB" w:rsidRDefault="000547CB" w:rsidP="000A12ED">
      <w:pPr>
        <w:ind w:left="851"/>
        <w:rPr>
          <w:sz w:val="24"/>
          <w:szCs w:val="24"/>
        </w:rPr>
      </w:pPr>
    </w:p>
    <w:p w14:paraId="75DCBE3C" w14:textId="77777777" w:rsidR="000547CB" w:rsidRPr="000547CB" w:rsidRDefault="000547CB" w:rsidP="000A12ED">
      <w:pPr>
        <w:ind w:left="851"/>
        <w:rPr>
          <w:sz w:val="24"/>
          <w:szCs w:val="24"/>
        </w:rPr>
      </w:pPr>
      <w:r w:rsidRPr="000547CB">
        <w:rPr>
          <w:sz w:val="24"/>
          <w:szCs w:val="24"/>
        </w:rPr>
        <w:t xml:space="preserve">Der er rapporteret tilfælde af </w:t>
      </w:r>
      <w:proofErr w:type="spellStart"/>
      <w:r w:rsidRPr="000547CB">
        <w:rPr>
          <w:sz w:val="24"/>
          <w:szCs w:val="24"/>
        </w:rPr>
        <w:t>makulært</w:t>
      </w:r>
      <w:proofErr w:type="spellEnd"/>
      <w:r w:rsidRPr="000547CB">
        <w:rPr>
          <w:sz w:val="24"/>
          <w:szCs w:val="24"/>
        </w:rPr>
        <w:t xml:space="preserve"> ødem, primært hos </w:t>
      </w:r>
      <w:proofErr w:type="spellStart"/>
      <w:r w:rsidRPr="000547CB">
        <w:rPr>
          <w:sz w:val="24"/>
          <w:szCs w:val="24"/>
        </w:rPr>
        <w:t>afakiske</w:t>
      </w:r>
      <w:proofErr w:type="spellEnd"/>
      <w:r w:rsidRPr="000547CB">
        <w:rPr>
          <w:sz w:val="24"/>
          <w:szCs w:val="24"/>
        </w:rPr>
        <w:t xml:space="preserve"> patienter, hos </w:t>
      </w:r>
      <w:proofErr w:type="spellStart"/>
      <w:r w:rsidRPr="000547CB">
        <w:rPr>
          <w:sz w:val="24"/>
          <w:szCs w:val="24"/>
        </w:rPr>
        <w:t>pseudophakiske</w:t>
      </w:r>
      <w:proofErr w:type="spellEnd"/>
      <w:r w:rsidRPr="000547CB">
        <w:rPr>
          <w:sz w:val="24"/>
          <w:szCs w:val="24"/>
        </w:rPr>
        <w:t xml:space="preserve"> patienter med rift i den bageste linsekapsel eller med forkammerlinser samt hos patienter med kendte risikofaktorer for </w:t>
      </w:r>
      <w:proofErr w:type="spellStart"/>
      <w:r w:rsidRPr="000547CB">
        <w:rPr>
          <w:sz w:val="24"/>
          <w:szCs w:val="24"/>
        </w:rPr>
        <w:t>cystoidt</w:t>
      </w:r>
      <w:proofErr w:type="spellEnd"/>
      <w:r w:rsidRPr="000547CB">
        <w:rPr>
          <w:sz w:val="24"/>
          <w:szCs w:val="24"/>
        </w:rPr>
        <w:t xml:space="preserve"> </w:t>
      </w:r>
      <w:proofErr w:type="spellStart"/>
      <w:r w:rsidRPr="000547CB">
        <w:rPr>
          <w:sz w:val="24"/>
          <w:szCs w:val="24"/>
        </w:rPr>
        <w:t>makulaødem</w:t>
      </w:r>
      <w:proofErr w:type="spellEnd"/>
      <w:r w:rsidRPr="000547CB">
        <w:rPr>
          <w:sz w:val="24"/>
          <w:szCs w:val="24"/>
        </w:rPr>
        <w:t>, se også punkt 4.4.</w:t>
      </w:r>
    </w:p>
    <w:p w14:paraId="307AF8D6" w14:textId="77777777" w:rsidR="000547CB" w:rsidRPr="000547CB" w:rsidRDefault="000547CB" w:rsidP="000A12ED">
      <w:pPr>
        <w:ind w:left="851"/>
        <w:rPr>
          <w:sz w:val="24"/>
          <w:szCs w:val="24"/>
        </w:rPr>
      </w:pPr>
    </w:p>
    <w:p w14:paraId="78A8F917" w14:textId="77777777" w:rsidR="000547CB" w:rsidRPr="000547CB" w:rsidRDefault="000547CB" w:rsidP="000A12ED">
      <w:pPr>
        <w:ind w:left="851"/>
        <w:rPr>
          <w:sz w:val="24"/>
          <w:szCs w:val="24"/>
        </w:rPr>
      </w:pPr>
      <w:r w:rsidRPr="000547CB">
        <w:rPr>
          <w:sz w:val="24"/>
          <w:szCs w:val="24"/>
        </w:rPr>
        <w:t xml:space="preserve">Tanolux kan forårsage farveændringer i iris (øget mængde brunt pigment i iris), primært hos patienter med blandede irisfarver. I et åbent 5-årigt sikkerhedsforsøg med </w:t>
      </w:r>
      <w:proofErr w:type="spellStart"/>
      <w:r w:rsidRPr="000547CB">
        <w:rPr>
          <w:sz w:val="24"/>
          <w:szCs w:val="24"/>
        </w:rPr>
        <w:t>latanoprost</w:t>
      </w:r>
      <w:proofErr w:type="spellEnd"/>
      <w:r w:rsidRPr="000547CB">
        <w:rPr>
          <w:sz w:val="24"/>
          <w:szCs w:val="24"/>
        </w:rPr>
        <w:t xml:space="preserve"> udviklede 33 % af patienterne irispigmentering, se også punkt 4.4.</w:t>
      </w:r>
    </w:p>
    <w:p w14:paraId="0568CEE9" w14:textId="77777777" w:rsidR="000547CB" w:rsidRPr="000547CB" w:rsidRDefault="000547CB" w:rsidP="000A12ED">
      <w:pPr>
        <w:ind w:left="851"/>
        <w:rPr>
          <w:sz w:val="24"/>
          <w:szCs w:val="24"/>
        </w:rPr>
      </w:pPr>
    </w:p>
    <w:p w14:paraId="20D67552" w14:textId="77777777" w:rsidR="000547CB" w:rsidRPr="000547CB" w:rsidRDefault="000547CB" w:rsidP="000A12ED">
      <w:pPr>
        <w:ind w:left="851"/>
        <w:rPr>
          <w:sz w:val="24"/>
          <w:szCs w:val="24"/>
        </w:rPr>
      </w:pPr>
      <w:r w:rsidRPr="000547CB">
        <w:rPr>
          <w:sz w:val="24"/>
          <w:szCs w:val="24"/>
        </w:rPr>
        <w:t xml:space="preserve">Der er rapporteret sjældne tilfælde af </w:t>
      </w:r>
      <w:proofErr w:type="spellStart"/>
      <w:r w:rsidRPr="000547CB">
        <w:rPr>
          <w:sz w:val="24"/>
          <w:szCs w:val="24"/>
        </w:rPr>
        <w:t>iritis</w:t>
      </w:r>
      <w:proofErr w:type="spellEnd"/>
      <w:r w:rsidRPr="000547CB">
        <w:rPr>
          <w:sz w:val="24"/>
          <w:szCs w:val="24"/>
        </w:rPr>
        <w:t>/</w:t>
      </w:r>
      <w:proofErr w:type="spellStart"/>
      <w:r w:rsidRPr="000547CB">
        <w:rPr>
          <w:sz w:val="24"/>
          <w:szCs w:val="24"/>
        </w:rPr>
        <w:t>uveitis</w:t>
      </w:r>
      <w:proofErr w:type="spellEnd"/>
      <w:r w:rsidRPr="000547CB">
        <w:rPr>
          <w:sz w:val="24"/>
          <w:szCs w:val="24"/>
        </w:rPr>
        <w:t xml:space="preserve">. Hos langt de fleste af disse patienter forelå der samtidigt prædisponerende faktorer for udvikling af </w:t>
      </w:r>
      <w:proofErr w:type="spellStart"/>
      <w:r w:rsidRPr="000547CB">
        <w:rPr>
          <w:sz w:val="24"/>
          <w:szCs w:val="24"/>
        </w:rPr>
        <w:t>iritis</w:t>
      </w:r>
      <w:proofErr w:type="spellEnd"/>
      <w:r w:rsidRPr="000547CB">
        <w:rPr>
          <w:sz w:val="24"/>
          <w:szCs w:val="24"/>
        </w:rPr>
        <w:t>/</w:t>
      </w:r>
      <w:proofErr w:type="spellStart"/>
      <w:r w:rsidRPr="000547CB">
        <w:rPr>
          <w:sz w:val="24"/>
          <w:szCs w:val="24"/>
        </w:rPr>
        <w:t>uveitis</w:t>
      </w:r>
      <w:proofErr w:type="spellEnd"/>
      <w:r w:rsidRPr="000547CB">
        <w:rPr>
          <w:sz w:val="24"/>
          <w:szCs w:val="24"/>
        </w:rPr>
        <w:t>.</w:t>
      </w:r>
    </w:p>
    <w:p w14:paraId="5E5F98DD" w14:textId="77777777" w:rsidR="000547CB" w:rsidRPr="000547CB" w:rsidRDefault="000547CB" w:rsidP="000A12ED">
      <w:pPr>
        <w:ind w:left="851"/>
        <w:rPr>
          <w:sz w:val="24"/>
          <w:szCs w:val="24"/>
        </w:rPr>
      </w:pPr>
    </w:p>
    <w:p w14:paraId="14783A78" w14:textId="77777777" w:rsidR="000547CB" w:rsidRPr="000547CB" w:rsidRDefault="000547CB" w:rsidP="000A12ED">
      <w:pPr>
        <w:ind w:left="851"/>
        <w:rPr>
          <w:sz w:val="24"/>
          <w:szCs w:val="24"/>
        </w:rPr>
      </w:pPr>
      <w:r w:rsidRPr="000547CB">
        <w:rPr>
          <w:sz w:val="24"/>
          <w:szCs w:val="24"/>
        </w:rPr>
        <w:t xml:space="preserve">Astma, forværring af astma, akutte astmaanfald og dyspnø er rapporteret. Erfaringen hos patienter med astma er begrænset, men </w:t>
      </w:r>
      <w:proofErr w:type="spellStart"/>
      <w:r w:rsidRPr="000547CB">
        <w:rPr>
          <w:sz w:val="24"/>
          <w:szCs w:val="24"/>
        </w:rPr>
        <w:t>latanoprost</w:t>
      </w:r>
      <w:proofErr w:type="spellEnd"/>
      <w:r w:rsidRPr="000547CB">
        <w:rPr>
          <w:sz w:val="24"/>
          <w:szCs w:val="24"/>
        </w:rPr>
        <w:t xml:space="preserve"> har hverken vist påvirkning af lungefunktionen i mindre studier hos steroidbehandlede patienter med moderat svær astma eller påvirkning af lungefunktion, </w:t>
      </w:r>
      <w:proofErr w:type="spellStart"/>
      <w:r w:rsidRPr="000547CB">
        <w:rPr>
          <w:sz w:val="24"/>
          <w:szCs w:val="24"/>
        </w:rPr>
        <w:t>luftvejsreaktivitet</w:t>
      </w:r>
      <w:proofErr w:type="spellEnd"/>
      <w:r w:rsidRPr="000547CB">
        <w:rPr>
          <w:sz w:val="24"/>
          <w:szCs w:val="24"/>
        </w:rPr>
        <w:t xml:space="preserve"> eller beta2-følsomhed hos astmapatienter, der ikke var i steroidbehandling.</w:t>
      </w:r>
    </w:p>
    <w:p w14:paraId="6367BB73" w14:textId="3C4B7ED4" w:rsidR="00E60C48" w:rsidRDefault="00E60C48">
      <w:pPr>
        <w:rPr>
          <w:sz w:val="24"/>
          <w:szCs w:val="24"/>
        </w:rPr>
      </w:pPr>
      <w:r>
        <w:rPr>
          <w:sz w:val="24"/>
          <w:szCs w:val="24"/>
        </w:rPr>
        <w:br w:type="page"/>
      </w:r>
    </w:p>
    <w:p w14:paraId="374D647B" w14:textId="77777777" w:rsidR="000547CB" w:rsidRPr="000547CB" w:rsidRDefault="000547CB" w:rsidP="000A12ED">
      <w:pPr>
        <w:ind w:left="851"/>
        <w:rPr>
          <w:sz w:val="24"/>
          <w:szCs w:val="24"/>
        </w:rPr>
      </w:pPr>
    </w:p>
    <w:p w14:paraId="1D8F0AEA" w14:textId="77777777" w:rsidR="000547CB" w:rsidRPr="000547CB" w:rsidRDefault="000547CB" w:rsidP="000A12ED">
      <w:pPr>
        <w:numPr>
          <w:ilvl w:val="2"/>
          <w:numId w:val="6"/>
        </w:numPr>
        <w:ind w:left="851" w:firstLine="0"/>
        <w:rPr>
          <w:sz w:val="24"/>
          <w:szCs w:val="24"/>
        </w:rPr>
      </w:pPr>
      <w:r w:rsidRPr="000547CB">
        <w:rPr>
          <w:sz w:val="24"/>
          <w:szCs w:val="24"/>
          <w:u w:val="single"/>
        </w:rPr>
        <w:t>Tabel over bivirkninger</w:t>
      </w:r>
    </w:p>
    <w:p w14:paraId="13A26836" w14:textId="77777777" w:rsidR="000547CB" w:rsidRPr="000547CB" w:rsidRDefault="000547CB" w:rsidP="000A12ED">
      <w:pPr>
        <w:ind w:left="851"/>
        <w:rPr>
          <w:sz w:val="24"/>
          <w:szCs w:val="24"/>
          <w:lang w:val="en-GB"/>
        </w:rPr>
      </w:pPr>
    </w:p>
    <w:p w14:paraId="588491BE" w14:textId="77777777" w:rsidR="000547CB" w:rsidRPr="000547CB" w:rsidRDefault="000547CB" w:rsidP="000A12ED">
      <w:pPr>
        <w:ind w:left="851"/>
        <w:rPr>
          <w:sz w:val="24"/>
          <w:szCs w:val="24"/>
        </w:rPr>
      </w:pPr>
      <w:r w:rsidRPr="000547CB">
        <w:rPr>
          <w:sz w:val="24"/>
          <w:szCs w:val="24"/>
        </w:rPr>
        <w:t>Bivirkningerne er anført efter hyppighed som følger: meget almindelig (≥1/10), almindelig (≥1/100 til &lt;1/10), ikke almindelig (≥1/1.000 til &lt;1/100), sjælden (≥1/10.000 til &lt;1/1.000) og meget sjælden (&lt;1/10.000), ikke kendt (kan ikke estimeres ud fra forhåndenværende data).</w:t>
      </w:r>
    </w:p>
    <w:p w14:paraId="70D813B7" w14:textId="77777777" w:rsidR="000547CB" w:rsidRPr="000547CB" w:rsidRDefault="000547CB" w:rsidP="000A12ED">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
        <w:gridCol w:w="1882"/>
        <w:gridCol w:w="13"/>
        <w:gridCol w:w="1915"/>
        <w:gridCol w:w="1235"/>
        <w:gridCol w:w="12"/>
        <w:gridCol w:w="1525"/>
        <w:gridCol w:w="10"/>
        <w:gridCol w:w="1695"/>
        <w:gridCol w:w="1321"/>
        <w:gridCol w:w="9"/>
      </w:tblGrid>
      <w:tr w:rsidR="004C59A7" w:rsidRPr="000547CB" w14:paraId="5E84A985" w14:textId="77777777" w:rsidTr="000A12ED">
        <w:trPr>
          <w:gridBefore w:val="1"/>
          <w:wBefore w:w="5" w:type="pct"/>
          <w:trHeight w:val="20"/>
        </w:trPr>
        <w:tc>
          <w:tcPr>
            <w:tcW w:w="832"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2C7950B0" w14:textId="77777777" w:rsidR="000547CB" w:rsidRPr="000547CB" w:rsidRDefault="000547CB" w:rsidP="000A12ED">
            <w:pPr>
              <w:ind w:left="13"/>
              <w:rPr>
                <w:b/>
                <w:sz w:val="22"/>
                <w:szCs w:val="22"/>
              </w:rPr>
            </w:pPr>
            <w:r w:rsidRPr="000547CB">
              <w:rPr>
                <w:b/>
                <w:sz w:val="22"/>
                <w:szCs w:val="22"/>
              </w:rPr>
              <w:t>Systemorganklasse</w:t>
            </w:r>
          </w:p>
        </w:tc>
        <w:tc>
          <w:tcPr>
            <w:tcW w:w="1029"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4519377E" w14:textId="77777777" w:rsidR="000547CB" w:rsidRPr="000547CB" w:rsidRDefault="000547CB" w:rsidP="000A12ED">
            <w:pPr>
              <w:ind w:left="13"/>
              <w:rPr>
                <w:b/>
                <w:sz w:val="22"/>
                <w:szCs w:val="22"/>
              </w:rPr>
            </w:pPr>
            <w:r w:rsidRPr="000547CB">
              <w:rPr>
                <w:b/>
                <w:sz w:val="22"/>
                <w:szCs w:val="22"/>
              </w:rPr>
              <w:t>Meget almindelige</w:t>
            </w:r>
          </w:p>
          <w:p w14:paraId="7372C884" w14:textId="77777777" w:rsidR="000547CB" w:rsidRPr="000547CB" w:rsidRDefault="000547CB" w:rsidP="000A12ED">
            <w:pPr>
              <w:ind w:left="13"/>
              <w:rPr>
                <w:b/>
                <w:sz w:val="22"/>
                <w:szCs w:val="22"/>
              </w:rPr>
            </w:pPr>
            <w:r w:rsidRPr="000547CB">
              <w:rPr>
                <w:b/>
                <w:sz w:val="22"/>
                <w:szCs w:val="22"/>
              </w:rPr>
              <w:t>≥1/10</w:t>
            </w:r>
          </w:p>
        </w:tc>
        <w:tc>
          <w:tcPr>
            <w:tcW w:w="637"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158377CD" w14:textId="77777777" w:rsidR="000547CB" w:rsidRPr="000547CB" w:rsidRDefault="000547CB" w:rsidP="000A12ED">
            <w:pPr>
              <w:ind w:left="13"/>
              <w:rPr>
                <w:b/>
                <w:sz w:val="22"/>
                <w:szCs w:val="22"/>
              </w:rPr>
            </w:pPr>
            <w:r w:rsidRPr="000547CB">
              <w:rPr>
                <w:b/>
                <w:sz w:val="22"/>
                <w:szCs w:val="22"/>
              </w:rPr>
              <w:t>Almindelige</w:t>
            </w:r>
          </w:p>
          <w:p w14:paraId="6F97B316" w14:textId="77777777" w:rsidR="000547CB" w:rsidRPr="000547CB" w:rsidRDefault="000547CB" w:rsidP="000A12ED">
            <w:pPr>
              <w:ind w:left="13"/>
              <w:rPr>
                <w:b/>
                <w:sz w:val="22"/>
                <w:szCs w:val="22"/>
              </w:rPr>
            </w:pPr>
            <w:r w:rsidRPr="000547CB">
              <w:rPr>
                <w:b/>
                <w:sz w:val="22"/>
                <w:szCs w:val="22"/>
              </w:rPr>
              <w:t>≥1/100 til &lt; 1/10</w:t>
            </w:r>
          </w:p>
        </w:tc>
        <w:tc>
          <w:tcPr>
            <w:tcW w:w="832"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29BE3500" w14:textId="77777777" w:rsidR="000547CB" w:rsidRPr="000547CB" w:rsidRDefault="000547CB" w:rsidP="000A12ED">
            <w:pPr>
              <w:ind w:left="13"/>
              <w:rPr>
                <w:b/>
                <w:sz w:val="22"/>
                <w:szCs w:val="22"/>
              </w:rPr>
            </w:pPr>
            <w:r w:rsidRPr="000547CB">
              <w:rPr>
                <w:b/>
                <w:sz w:val="22"/>
                <w:szCs w:val="22"/>
              </w:rPr>
              <w:t>Ikke almindelige</w:t>
            </w:r>
          </w:p>
          <w:p w14:paraId="01040AF5" w14:textId="77777777" w:rsidR="000547CB" w:rsidRPr="000547CB" w:rsidRDefault="000547CB" w:rsidP="000A12ED">
            <w:pPr>
              <w:ind w:left="13"/>
              <w:rPr>
                <w:b/>
                <w:sz w:val="22"/>
                <w:szCs w:val="22"/>
              </w:rPr>
            </w:pPr>
            <w:r w:rsidRPr="000547CB">
              <w:rPr>
                <w:b/>
                <w:sz w:val="22"/>
                <w:szCs w:val="22"/>
              </w:rPr>
              <w:t>≥1/1.000 til</w:t>
            </w:r>
          </w:p>
          <w:p w14:paraId="13251733" w14:textId="77777777" w:rsidR="000547CB" w:rsidRPr="000547CB" w:rsidRDefault="000547CB" w:rsidP="000A12ED">
            <w:pPr>
              <w:ind w:left="13"/>
              <w:rPr>
                <w:b/>
                <w:sz w:val="22"/>
                <w:szCs w:val="22"/>
              </w:rPr>
            </w:pPr>
            <w:r w:rsidRPr="000547CB">
              <w:rPr>
                <w:b/>
                <w:sz w:val="22"/>
                <w:szCs w:val="22"/>
              </w:rPr>
              <w:t>&lt;1/100</w:t>
            </w:r>
          </w:p>
        </w:tc>
        <w:tc>
          <w:tcPr>
            <w:tcW w:w="941"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10F7A9DE" w14:textId="77777777" w:rsidR="000547CB" w:rsidRPr="000547CB" w:rsidRDefault="000547CB" w:rsidP="000A12ED">
            <w:pPr>
              <w:ind w:left="13"/>
              <w:rPr>
                <w:b/>
                <w:sz w:val="22"/>
                <w:szCs w:val="22"/>
              </w:rPr>
            </w:pPr>
            <w:r w:rsidRPr="000547CB">
              <w:rPr>
                <w:b/>
                <w:sz w:val="22"/>
                <w:szCs w:val="22"/>
              </w:rPr>
              <w:t>Sjældne</w:t>
            </w:r>
          </w:p>
          <w:p w14:paraId="083C5A51" w14:textId="77777777" w:rsidR="000547CB" w:rsidRPr="000547CB" w:rsidRDefault="000547CB" w:rsidP="000A12ED">
            <w:pPr>
              <w:ind w:left="13"/>
              <w:rPr>
                <w:b/>
                <w:sz w:val="22"/>
                <w:szCs w:val="22"/>
              </w:rPr>
            </w:pPr>
            <w:r w:rsidRPr="000547CB">
              <w:rPr>
                <w:b/>
                <w:sz w:val="22"/>
                <w:szCs w:val="22"/>
              </w:rPr>
              <w:t>≥1/10.000 til</w:t>
            </w:r>
          </w:p>
          <w:p w14:paraId="0E619B26" w14:textId="77777777" w:rsidR="000547CB" w:rsidRPr="000547CB" w:rsidRDefault="000547CB" w:rsidP="000A12ED">
            <w:pPr>
              <w:ind w:left="13"/>
              <w:rPr>
                <w:b/>
                <w:sz w:val="22"/>
                <w:szCs w:val="22"/>
              </w:rPr>
            </w:pPr>
            <w:r w:rsidRPr="000547CB">
              <w:rPr>
                <w:b/>
                <w:sz w:val="22"/>
                <w:szCs w:val="22"/>
              </w:rPr>
              <w:t>&lt;1/1.000</w:t>
            </w:r>
          </w:p>
        </w:tc>
        <w:tc>
          <w:tcPr>
            <w:tcW w:w="724"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5189C819" w14:textId="77777777" w:rsidR="000547CB" w:rsidRPr="000547CB" w:rsidRDefault="000547CB" w:rsidP="000A12ED">
            <w:pPr>
              <w:ind w:left="13"/>
              <w:rPr>
                <w:b/>
                <w:sz w:val="22"/>
                <w:szCs w:val="22"/>
              </w:rPr>
            </w:pPr>
            <w:r w:rsidRPr="000547CB">
              <w:rPr>
                <w:b/>
                <w:sz w:val="22"/>
                <w:szCs w:val="22"/>
              </w:rPr>
              <w:t>Meget sjældne</w:t>
            </w:r>
          </w:p>
          <w:p w14:paraId="2DCE4D9F" w14:textId="77777777" w:rsidR="000547CB" w:rsidRPr="000547CB" w:rsidRDefault="000547CB" w:rsidP="000A12ED">
            <w:pPr>
              <w:ind w:left="13"/>
              <w:rPr>
                <w:b/>
                <w:sz w:val="22"/>
                <w:szCs w:val="22"/>
              </w:rPr>
            </w:pPr>
            <w:r w:rsidRPr="000547CB">
              <w:rPr>
                <w:b/>
                <w:sz w:val="22"/>
                <w:szCs w:val="22"/>
              </w:rPr>
              <w:t>&lt;1/10.000</w:t>
            </w:r>
          </w:p>
        </w:tc>
      </w:tr>
      <w:tr w:rsidR="004C59A7" w:rsidRPr="000547CB" w14:paraId="709EB609" w14:textId="77777777" w:rsidTr="000A12ED">
        <w:trPr>
          <w:gridBefore w:val="1"/>
          <w:wBefore w:w="5" w:type="pct"/>
          <w:trHeight w:val="20"/>
        </w:trPr>
        <w:tc>
          <w:tcPr>
            <w:tcW w:w="832"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22684E93" w14:textId="77777777" w:rsidR="000547CB" w:rsidRPr="000547CB" w:rsidRDefault="000547CB" w:rsidP="000A12ED">
            <w:pPr>
              <w:ind w:left="13"/>
              <w:rPr>
                <w:sz w:val="22"/>
                <w:szCs w:val="22"/>
              </w:rPr>
            </w:pPr>
            <w:r w:rsidRPr="000547CB">
              <w:rPr>
                <w:sz w:val="22"/>
                <w:szCs w:val="22"/>
              </w:rPr>
              <w:t>Infektioner og parasitære sygdomme</w:t>
            </w:r>
          </w:p>
        </w:tc>
        <w:tc>
          <w:tcPr>
            <w:tcW w:w="1029"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169B2F87" w14:textId="77777777" w:rsidR="000547CB" w:rsidRPr="000547CB" w:rsidRDefault="000547CB" w:rsidP="000A12ED">
            <w:pPr>
              <w:ind w:left="13"/>
              <w:rPr>
                <w:sz w:val="22"/>
                <w:szCs w:val="22"/>
                <w:lang w:val="en-GB"/>
              </w:rPr>
            </w:pPr>
          </w:p>
        </w:tc>
        <w:tc>
          <w:tcPr>
            <w:tcW w:w="637"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5A7B0484" w14:textId="77777777" w:rsidR="000547CB" w:rsidRPr="000547CB" w:rsidRDefault="000547CB" w:rsidP="000A12ED">
            <w:pPr>
              <w:ind w:left="13"/>
              <w:rPr>
                <w:sz w:val="22"/>
                <w:szCs w:val="22"/>
                <w:lang w:val="en-GB"/>
              </w:rPr>
            </w:pPr>
          </w:p>
        </w:tc>
        <w:tc>
          <w:tcPr>
            <w:tcW w:w="832"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3C6917D1" w14:textId="77777777" w:rsidR="000547CB" w:rsidRPr="000547CB" w:rsidRDefault="000547CB" w:rsidP="000A12ED">
            <w:pPr>
              <w:ind w:left="13"/>
              <w:rPr>
                <w:sz w:val="22"/>
                <w:szCs w:val="22"/>
                <w:lang w:val="en-GB"/>
              </w:rPr>
            </w:pPr>
          </w:p>
        </w:tc>
        <w:tc>
          <w:tcPr>
            <w:tcW w:w="941"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26C37AEE" w14:textId="77777777" w:rsidR="000547CB" w:rsidRPr="000547CB" w:rsidRDefault="000547CB" w:rsidP="000A12ED">
            <w:pPr>
              <w:ind w:left="13"/>
              <w:rPr>
                <w:sz w:val="22"/>
                <w:szCs w:val="22"/>
              </w:rPr>
            </w:pPr>
            <w:proofErr w:type="spellStart"/>
            <w:r w:rsidRPr="000547CB">
              <w:rPr>
                <w:sz w:val="22"/>
                <w:szCs w:val="22"/>
              </w:rPr>
              <w:t>Herpetisk</w:t>
            </w:r>
            <w:proofErr w:type="spellEnd"/>
            <w:r w:rsidRPr="000547CB">
              <w:rPr>
                <w:sz w:val="22"/>
                <w:szCs w:val="22"/>
              </w:rPr>
              <w:t xml:space="preserve"> </w:t>
            </w:r>
            <w:proofErr w:type="spellStart"/>
            <w:r w:rsidRPr="000547CB">
              <w:rPr>
                <w:sz w:val="22"/>
                <w:szCs w:val="22"/>
              </w:rPr>
              <w:t>keratitis</w:t>
            </w:r>
            <w:proofErr w:type="spellEnd"/>
            <w:r w:rsidRPr="000547CB">
              <w:rPr>
                <w:sz w:val="22"/>
                <w:szCs w:val="22"/>
                <w:vertAlign w:val="superscript"/>
              </w:rPr>
              <w:t>*§</w:t>
            </w:r>
          </w:p>
        </w:tc>
        <w:tc>
          <w:tcPr>
            <w:tcW w:w="724"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344FB34F" w14:textId="77777777" w:rsidR="000547CB" w:rsidRPr="000547CB" w:rsidRDefault="000547CB" w:rsidP="000A12ED">
            <w:pPr>
              <w:ind w:left="13"/>
              <w:rPr>
                <w:sz w:val="22"/>
                <w:szCs w:val="22"/>
                <w:lang w:val="en-GB"/>
              </w:rPr>
            </w:pPr>
          </w:p>
        </w:tc>
      </w:tr>
      <w:tr w:rsidR="004C59A7" w:rsidRPr="000547CB" w14:paraId="2ACA353A" w14:textId="77777777" w:rsidTr="000A12ED">
        <w:trPr>
          <w:gridBefore w:val="1"/>
          <w:wBefore w:w="5" w:type="pct"/>
          <w:trHeight w:val="20"/>
        </w:trPr>
        <w:tc>
          <w:tcPr>
            <w:tcW w:w="832"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13BA7D65" w14:textId="77777777" w:rsidR="000547CB" w:rsidRPr="000547CB" w:rsidRDefault="000547CB" w:rsidP="000A12ED">
            <w:pPr>
              <w:ind w:left="13"/>
              <w:rPr>
                <w:sz w:val="22"/>
                <w:szCs w:val="22"/>
              </w:rPr>
            </w:pPr>
            <w:r w:rsidRPr="000547CB">
              <w:rPr>
                <w:sz w:val="22"/>
                <w:szCs w:val="22"/>
              </w:rPr>
              <w:t>Nervesystemet</w:t>
            </w:r>
          </w:p>
        </w:tc>
        <w:tc>
          <w:tcPr>
            <w:tcW w:w="1029"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469448F" w14:textId="77777777" w:rsidR="000547CB" w:rsidRPr="000547CB" w:rsidRDefault="000547CB" w:rsidP="000A12ED">
            <w:pPr>
              <w:ind w:left="13"/>
              <w:rPr>
                <w:sz w:val="22"/>
                <w:szCs w:val="22"/>
                <w:lang w:val="en-GB"/>
              </w:rPr>
            </w:pPr>
          </w:p>
        </w:tc>
        <w:tc>
          <w:tcPr>
            <w:tcW w:w="637"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05781CFC" w14:textId="77777777" w:rsidR="000547CB" w:rsidRPr="000547CB" w:rsidRDefault="000547CB" w:rsidP="000A12ED">
            <w:pPr>
              <w:ind w:left="13"/>
              <w:rPr>
                <w:sz w:val="22"/>
                <w:szCs w:val="22"/>
                <w:lang w:val="en-GB"/>
              </w:rPr>
            </w:pPr>
          </w:p>
        </w:tc>
        <w:tc>
          <w:tcPr>
            <w:tcW w:w="832"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6BFCACE9" w14:textId="77777777" w:rsidR="000547CB" w:rsidRPr="000547CB" w:rsidRDefault="000547CB" w:rsidP="000A12ED">
            <w:pPr>
              <w:ind w:left="13"/>
              <w:rPr>
                <w:sz w:val="22"/>
                <w:szCs w:val="22"/>
              </w:rPr>
            </w:pPr>
            <w:r w:rsidRPr="000547CB">
              <w:rPr>
                <w:sz w:val="22"/>
                <w:szCs w:val="22"/>
              </w:rPr>
              <w:t>Hovedpine</w:t>
            </w:r>
            <w:r w:rsidRPr="000547CB">
              <w:rPr>
                <w:sz w:val="22"/>
                <w:szCs w:val="22"/>
                <w:vertAlign w:val="superscript"/>
              </w:rPr>
              <w:t>*</w:t>
            </w:r>
            <w:r w:rsidRPr="000547CB">
              <w:rPr>
                <w:sz w:val="22"/>
                <w:szCs w:val="22"/>
              </w:rPr>
              <w:t>, svimmelhed</w:t>
            </w:r>
            <w:r w:rsidRPr="000547CB">
              <w:rPr>
                <w:sz w:val="22"/>
                <w:szCs w:val="22"/>
                <w:vertAlign w:val="superscript"/>
              </w:rPr>
              <w:t>*</w:t>
            </w:r>
          </w:p>
        </w:tc>
        <w:tc>
          <w:tcPr>
            <w:tcW w:w="941"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57825DC8" w14:textId="77777777" w:rsidR="000547CB" w:rsidRPr="000547CB" w:rsidRDefault="000547CB" w:rsidP="000A12ED">
            <w:pPr>
              <w:ind w:left="13"/>
              <w:rPr>
                <w:sz w:val="22"/>
                <w:szCs w:val="22"/>
                <w:lang w:val="en-GB"/>
              </w:rPr>
            </w:pPr>
          </w:p>
        </w:tc>
        <w:tc>
          <w:tcPr>
            <w:tcW w:w="724"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3F54944D" w14:textId="77777777" w:rsidR="000547CB" w:rsidRPr="000547CB" w:rsidRDefault="000547CB" w:rsidP="000A12ED">
            <w:pPr>
              <w:ind w:left="13"/>
              <w:rPr>
                <w:sz w:val="22"/>
                <w:szCs w:val="22"/>
                <w:lang w:val="en-GB"/>
              </w:rPr>
            </w:pPr>
          </w:p>
        </w:tc>
      </w:tr>
      <w:tr w:rsidR="004C59A7" w:rsidRPr="000547CB" w14:paraId="4F515EA2" w14:textId="77777777" w:rsidTr="000A12ED">
        <w:trPr>
          <w:gridBefore w:val="1"/>
          <w:wBefore w:w="5" w:type="pct"/>
          <w:trHeight w:val="20"/>
        </w:trPr>
        <w:tc>
          <w:tcPr>
            <w:tcW w:w="832"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2A68B116" w14:textId="77777777" w:rsidR="000547CB" w:rsidRPr="000547CB" w:rsidRDefault="000547CB" w:rsidP="000A12ED">
            <w:pPr>
              <w:ind w:left="13"/>
              <w:rPr>
                <w:sz w:val="22"/>
                <w:szCs w:val="22"/>
              </w:rPr>
            </w:pPr>
            <w:r w:rsidRPr="000547CB">
              <w:rPr>
                <w:sz w:val="22"/>
                <w:szCs w:val="22"/>
              </w:rPr>
              <w:t>Øjne</w:t>
            </w:r>
          </w:p>
        </w:tc>
        <w:tc>
          <w:tcPr>
            <w:tcW w:w="1029"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0D5E699E" w14:textId="210328E3" w:rsidR="000547CB" w:rsidRPr="000547CB" w:rsidRDefault="000547CB" w:rsidP="000A12ED">
            <w:pPr>
              <w:ind w:left="13"/>
              <w:rPr>
                <w:sz w:val="22"/>
                <w:szCs w:val="22"/>
              </w:rPr>
            </w:pPr>
            <w:proofErr w:type="spellStart"/>
            <w:r w:rsidRPr="000547CB">
              <w:rPr>
                <w:sz w:val="22"/>
                <w:szCs w:val="22"/>
              </w:rPr>
              <w:t>Iris</w:t>
            </w:r>
            <w:r w:rsidRPr="000547CB">
              <w:rPr>
                <w:sz w:val="22"/>
                <w:szCs w:val="22"/>
              </w:rPr>
              <w:softHyphen/>
              <w:t>hyperpigmentering</w:t>
            </w:r>
            <w:proofErr w:type="spellEnd"/>
            <w:r w:rsidRPr="000547CB">
              <w:rPr>
                <w:sz w:val="22"/>
                <w:szCs w:val="22"/>
              </w:rPr>
              <w:t xml:space="preserve">, let til moderat </w:t>
            </w:r>
            <w:proofErr w:type="spellStart"/>
            <w:r w:rsidRPr="000547CB">
              <w:rPr>
                <w:sz w:val="22"/>
                <w:szCs w:val="22"/>
              </w:rPr>
              <w:t>konjunktival</w:t>
            </w:r>
            <w:proofErr w:type="spellEnd"/>
            <w:r w:rsidRPr="000547CB">
              <w:rPr>
                <w:sz w:val="22"/>
                <w:szCs w:val="22"/>
              </w:rPr>
              <w:t xml:space="preserve"> </w:t>
            </w:r>
            <w:proofErr w:type="spellStart"/>
            <w:r w:rsidRPr="000547CB">
              <w:rPr>
                <w:sz w:val="22"/>
                <w:szCs w:val="22"/>
              </w:rPr>
              <w:t>hyperæmi</w:t>
            </w:r>
            <w:proofErr w:type="spellEnd"/>
            <w:r w:rsidRPr="000547CB">
              <w:rPr>
                <w:sz w:val="22"/>
                <w:szCs w:val="22"/>
              </w:rPr>
              <w:t>, øjenirritation (brændende fornemmelse, kløe, svie og fornemmelse af fremmedlegeme), ændring af øjenvipper og vellushår på øjenlågene (øget længde, tykkelse, pigmentering og antal af øjenvipper)</w:t>
            </w:r>
          </w:p>
        </w:tc>
        <w:tc>
          <w:tcPr>
            <w:tcW w:w="637"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7A0696F4" w14:textId="77777777" w:rsidR="000547CB" w:rsidRPr="000547CB" w:rsidRDefault="000547CB" w:rsidP="000A12ED">
            <w:pPr>
              <w:ind w:left="13"/>
              <w:rPr>
                <w:sz w:val="22"/>
                <w:szCs w:val="22"/>
              </w:rPr>
            </w:pPr>
            <w:r w:rsidRPr="000547CB">
              <w:rPr>
                <w:sz w:val="22"/>
                <w:szCs w:val="22"/>
              </w:rPr>
              <w:t xml:space="preserve">Punktformet </w:t>
            </w:r>
            <w:proofErr w:type="spellStart"/>
            <w:r w:rsidRPr="000547CB">
              <w:rPr>
                <w:sz w:val="22"/>
                <w:szCs w:val="22"/>
              </w:rPr>
              <w:t>keratitis</w:t>
            </w:r>
            <w:proofErr w:type="spellEnd"/>
            <w:r w:rsidRPr="000547CB">
              <w:rPr>
                <w:sz w:val="22"/>
                <w:szCs w:val="22"/>
              </w:rPr>
              <w:t xml:space="preserve">, oftest uden symptomer, </w:t>
            </w:r>
            <w:proofErr w:type="spellStart"/>
            <w:r w:rsidRPr="000547CB">
              <w:rPr>
                <w:sz w:val="22"/>
                <w:szCs w:val="22"/>
              </w:rPr>
              <w:t>blefaritis</w:t>
            </w:r>
            <w:proofErr w:type="spellEnd"/>
            <w:r w:rsidRPr="000547CB">
              <w:rPr>
                <w:sz w:val="22"/>
                <w:szCs w:val="22"/>
              </w:rPr>
              <w:t xml:space="preserve">, øjensmerter, fotofobi, </w:t>
            </w:r>
            <w:proofErr w:type="spellStart"/>
            <w:r w:rsidRPr="000547CB">
              <w:rPr>
                <w:sz w:val="22"/>
                <w:szCs w:val="22"/>
              </w:rPr>
              <w:t>konjunktivitis</w:t>
            </w:r>
            <w:proofErr w:type="spellEnd"/>
            <w:r w:rsidRPr="000547CB">
              <w:rPr>
                <w:sz w:val="22"/>
                <w:szCs w:val="22"/>
              </w:rPr>
              <w:t xml:space="preserve"> *</w:t>
            </w:r>
          </w:p>
        </w:tc>
        <w:tc>
          <w:tcPr>
            <w:tcW w:w="832"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69DA168F" w14:textId="77777777" w:rsidR="000547CB" w:rsidRPr="000547CB" w:rsidRDefault="000547CB" w:rsidP="000A12ED">
            <w:pPr>
              <w:ind w:left="13"/>
              <w:rPr>
                <w:sz w:val="22"/>
                <w:szCs w:val="22"/>
              </w:rPr>
            </w:pPr>
            <w:r w:rsidRPr="000547CB">
              <w:rPr>
                <w:sz w:val="22"/>
                <w:szCs w:val="22"/>
              </w:rPr>
              <w:t xml:space="preserve">Øjenlågsødem, tørre øjne, </w:t>
            </w:r>
            <w:proofErr w:type="spellStart"/>
            <w:r w:rsidRPr="000547CB">
              <w:rPr>
                <w:sz w:val="22"/>
                <w:szCs w:val="22"/>
              </w:rPr>
              <w:t>keratitis</w:t>
            </w:r>
            <w:proofErr w:type="spellEnd"/>
            <w:r w:rsidRPr="000547CB">
              <w:rPr>
                <w:sz w:val="22"/>
                <w:szCs w:val="22"/>
                <w:vertAlign w:val="superscript"/>
              </w:rPr>
              <w:t>*</w:t>
            </w:r>
            <w:r w:rsidRPr="000547CB">
              <w:rPr>
                <w:sz w:val="22"/>
                <w:szCs w:val="22"/>
              </w:rPr>
              <w:t xml:space="preserve">, sløret syn, </w:t>
            </w:r>
            <w:proofErr w:type="spellStart"/>
            <w:r w:rsidRPr="000547CB">
              <w:rPr>
                <w:sz w:val="22"/>
                <w:szCs w:val="22"/>
              </w:rPr>
              <w:t>makulaødem</w:t>
            </w:r>
            <w:proofErr w:type="spellEnd"/>
            <w:r w:rsidRPr="000547CB">
              <w:rPr>
                <w:sz w:val="22"/>
                <w:szCs w:val="22"/>
              </w:rPr>
              <w:t xml:space="preserve">, herunder </w:t>
            </w:r>
            <w:proofErr w:type="spellStart"/>
            <w:r w:rsidRPr="000547CB">
              <w:rPr>
                <w:sz w:val="22"/>
                <w:szCs w:val="22"/>
              </w:rPr>
              <w:t>cystoidt</w:t>
            </w:r>
            <w:proofErr w:type="spellEnd"/>
            <w:r w:rsidRPr="000547CB">
              <w:rPr>
                <w:sz w:val="22"/>
                <w:szCs w:val="22"/>
              </w:rPr>
              <w:t xml:space="preserve"> </w:t>
            </w:r>
            <w:proofErr w:type="spellStart"/>
            <w:r w:rsidRPr="000547CB">
              <w:rPr>
                <w:sz w:val="22"/>
                <w:szCs w:val="22"/>
              </w:rPr>
              <w:t>makulært</w:t>
            </w:r>
            <w:proofErr w:type="spellEnd"/>
            <w:r w:rsidRPr="000547CB">
              <w:rPr>
                <w:sz w:val="22"/>
                <w:szCs w:val="22"/>
              </w:rPr>
              <w:t xml:space="preserve"> ødem</w:t>
            </w:r>
            <w:r w:rsidRPr="000547CB">
              <w:rPr>
                <w:sz w:val="22"/>
                <w:szCs w:val="22"/>
                <w:vertAlign w:val="superscript"/>
              </w:rPr>
              <w:t>*</w:t>
            </w:r>
            <w:r w:rsidRPr="000547CB">
              <w:rPr>
                <w:sz w:val="22"/>
                <w:szCs w:val="22"/>
              </w:rPr>
              <w:t xml:space="preserve">, </w:t>
            </w:r>
            <w:proofErr w:type="spellStart"/>
            <w:r w:rsidRPr="000547CB">
              <w:rPr>
                <w:sz w:val="22"/>
                <w:szCs w:val="22"/>
              </w:rPr>
              <w:t>uveitis</w:t>
            </w:r>
            <w:proofErr w:type="spellEnd"/>
            <w:r w:rsidRPr="000547CB">
              <w:rPr>
                <w:sz w:val="22"/>
                <w:szCs w:val="22"/>
                <w:vertAlign w:val="superscript"/>
              </w:rPr>
              <w:t>*</w:t>
            </w:r>
          </w:p>
        </w:tc>
        <w:tc>
          <w:tcPr>
            <w:tcW w:w="941"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6EA058F8" w14:textId="77777777" w:rsidR="000547CB" w:rsidRPr="000547CB" w:rsidRDefault="000547CB" w:rsidP="000A12ED">
            <w:pPr>
              <w:ind w:left="13"/>
              <w:rPr>
                <w:sz w:val="22"/>
                <w:szCs w:val="22"/>
              </w:rPr>
            </w:pPr>
            <w:proofErr w:type="spellStart"/>
            <w:r w:rsidRPr="000547CB">
              <w:rPr>
                <w:sz w:val="22"/>
                <w:szCs w:val="22"/>
              </w:rPr>
              <w:t>Iritis</w:t>
            </w:r>
            <w:proofErr w:type="spellEnd"/>
            <w:r w:rsidRPr="000547CB">
              <w:rPr>
                <w:sz w:val="22"/>
                <w:szCs w:val="22"/>
                <w:vertAlign w:val="superscript"/>
              </w:rPr>
              <w:t>*</w:t>
            </w:r>
            <w:r w:rsidRPr="000547CB">
              <w:rPr>
                <w:sz w:val="22"/>
                <w:szCs w:val="22"/>
              </w:rPr>
              <w:t xml:space="preserve">, </w:t>
            </w:r>
            <w:proofErr w:type="spellStart"/>
            <w:r w:rsidRPr="000547CB">
              <w:rPr>
                <w:sz w:val="22"/>
                <w:szCs w:val="22"/>
              </w:rPr>
              <w:t>corneaødem</w:t>
            </w:r>
            <w:proofErr w:type="spellEnd"/>
            <w:r w:rsidRPr="000547CB">
              <w:rPr>
                <w:sz w:val="22"/>
                <w:szCs w:val="22"/>
                <w:vertAlign w:val="superscript"/>
              </w:rPr>
              <w:t>*</w:t>
            </w:r>
            <w:r w:rsidRPr="000547CB">
              <w:rPr>
                <w:sz w:val="22"/>
                <w:szCs w:val="22"/>
              </w:rPr>
              <w:t xml:space="preserve">, </w:t>
            </w:r>
            <w:proofErr w:type="spellStart"/>
            <w:r w:rsidRPr="000547CB">
              <w:rPr>
                <w:sz w:val="22"/>
                <w:szCs w:val="22"/>
              </w:rPr>
              <w:t>cornealerosion</w:t>
            </w:r>
            <w:proofErr w:type="spellEnd"/>
            <w:r w:rsidRPr="000547CB">
              <w:rPr>
                <w:sz w:val="22"/>
                <w:szCs w:val="22"/>
              </w:rPr>
              <w:t xml:space="preserve">, </w:t>
            </w:r>
            <w:proofErr w:type="spellStart"/>
            <w:r w:rsidRPr="000547CB">
              <w:rPr>
                <w:sz w:val="22"/>
                <w:szCs w:val="22"/>
              </w:rPr>
              <w:t>periorbitalt</w:t>
            </w:r>
            <w:proofErr w:type="spellEnd"/>
            <w:r w:rsidRPr="000547CB">
              <w:rPr>
                <w:sz w:val="22"/>
                <w:szCs w:val="22"/>
              </w:rPr>
              <w:t xml:space="preserve"> ødem, trichiasis</w:t>
            </w:r>
            <w:r w:rsidRPr="000547CB">
              <w:rPr>
                <w:sz w:val="22"/>
                <w:szCs w:val="22"/>
                <w:vertAlign w:val="superscript"/>
              </w:rPr>
              <w:t>*</w:t>
            </w:r>
            <w:r w:rsidRPr="000547CB">
              <w:rPr>
                <w:sz w:val="22"/>
                <w:szCs w:val="22"/>
              </w:rPr>
              <w:t xml:space="preserve">, </w:t>
            </w:r>
            <w:proofErr w:type="spellStart"/>
            <w:r w:rsidRPr="000547CB">
              <w:rPr>
                <w:sz w:val="22"/>
                <w:szCs w:val="22"/>
              </w:rPr>
              <w:t>distichiasis</w:t>
            </w:r>
            <w:proofErr w:type="spellEnd"/>
            <w:r w:rsidRPr="000547CB">
              <w:rPr>
                <w:sz w:val="22"/>
                <w:szCs w:val="22"/>
              </w:rPr>
              <w:t>, iriscyste</w:t>
            </w:r>
            <w:r w:rsidRPr="000547CB">
              <w:rPr>
                <w:sz w:val="22"/>
                <w:szCs w:val="22"/>
                <w:vertAlign w:val="superscript"/>
              </w:rPr>
              <w:t>*§</w:t>
            </w:r>
            <w:r w:rsidRPr="000547CB">
              <w:rPr>
                <w:sz w:val="22"/>
                <w:szCs w:val="22"/>
              </w:rPr>
              <w:t xml:space="preserve">, lokaliseret hudreaktion på øjenlågene, mørkfarvning af øjenlågenes </w:t>
            </w:r>
            <w:proofErr w:type="spellStart"/>
            <w:r w:rsidRPr="000547CB">
              <w:rPr>
                <w:sz w:val="22"/>
                <w:szCs w:val="22"/>
              </w:rPr>
              <w:t>palpebrale</w:t>
            </w:r>
            <w:proofErr w:type="spellEnd"/>
            <w:r w:rsidRPr="000547CB">
              <w:rPr>
                <w:sz w:val="22"/>
                <w:szCs w:val="22"/>
              </w:rPr>
              <w:t xml:space="preserve"> hud, </w:t>
            </w:r>
            <w:proofErr w:type="spellStart"/>
            <w:r w:rsidRPr="000547CB">
              <w:rPr>
                <w:sz w:val="22"/>
                <w:szCs w:val="22"/>
              </w:rPr>
              <w:t>pseudopemfigoid</w:t>
            </w:r>
            <w:proofErr w:type="spellEnd"/>
            <w:r w:rsidRPr="000547CB">
              <w:rPr>
                <w:sz w:val="22"/>
                <w:szCs w:val="22"/>
              </w:rPr>
              <w:t xml:space="preserve"> i den </w:t>
            </w:r>
            <w:proofErr w:type="spellStart"/>
            <w:r w:rsidRPr="000547CB">
              <w:rPr>
                <w:sz w:val="22"/>
                <w:szCs w:val="22"/>
              </w:rPr>
              <w:t>okulære</w:t>
            </w:r>
            <w:proofErr w:type="spellEnd"/>
            <w:r w:rsidRPr="000547CB">
              <w:rPr>
                <w:sz w:val="22"/>
                <w:szCs w:val="22"/>
              </w:rPr>
              <w:t xml:space="preserve"> </w:t>
            </w:r>
            <w:proofErr w:type="spellStart"/>
            <w:r w:rsidRPr="000547CB">
              <w:rPr>
                <w:sz w:val="22"/>
                <w:szCs w:val="22"/>
              </w:rPr>
              <w:t>konjunktiva</w:t>
            </w:r>
            <w:proofErr w:type="spellEnd"/>
            <w:r w:rsidRPr="000547CB">
              <w:rPr>
                <w:sz w:val="22"/>
                <w:szCs w:val="22"/>
                <w:vertAlign w:val="superscript"/>
              </w:rPr>
              <w:t>*§</w:t>
            </w:r>
          </w:p>
        </w:tc>
        <w:tc>
          <w:tcPr>
            <w:tcW w:w="724"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188206F3" w14:textId="77777777" w:rsidR="000547CB" w:rsidRPr="000547CB" w:rsidRDefault="000547CB" w:rsidP="000A12ED">
            <w:pPr>
              <w:ind w:left="13"/>
              <w:rPr>
                <w:sz w:val="22"/>
                <w:szCs w:val="22"/>
              </w:rPr>
            </w:pPr>
            <w:proofErr w:type="spellStart"/>
            <w:r w:rsidRPr="000547CB">
              <w:rPr>
                <w:sz w:val="22"/>
                <w:szCs w:val="22"/>
              </w:rPr>
              <w:t>Periorbitale</w:t>
            </w:r>
            <w:proofErr w:type="spellEnd"/>
            <w:r w:rsidRPr="000547CB">
              <w:rPr>
                <w:sz w:val="22"/>
                <w:szCs w:val="22"/>
              </w:rPr>
              <w:t xml:space="preserve"> og </w:t>
            </w:r>
            <w:proofErr w:type="spellStart"/>
            <w:r w:rsidRPr="000547CB">
              <w:rPr>
                <w:sz w:val="22"/>
                <w:szCs w:val="22"/>
              </w:rPr>
              <w:t>palpebrale</w:t>
            </w:r>
            <w:proofErr w:type="spellEnd"/>
            <w:r w:rsidRPr="000547CB">
              <w:rPr>
                <w:sz w:val="22"/>
                <w:szCs w:val="22"/>
              </w:rPr>
              <w:t xml:space="preserve"> ændringer med resulterende fordybning af øjenlågsfuren</w:t>
            </w:r>
          </w:p>
        </w:tc>
      </w:tr>
      <w:tr w:rsidR="004C59A7" w:rsidRPr="000547CB" w14:paraId="28D7536F" w14:textId="77777777" w:rsidTr="000A12ED">
        <w:trPr>
          <w:gridBefore w:val="1"/>
          <w:wBefore w:w="5" w:type="pct"/>
          <w:trHeight w:val="20"/>
        </w:trPr>
        <w:tc>
          <w:tcPr>
            <w:tcW w:w="832"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7FA85C31" w14:textId="77777777" w:rsidR="000547CB" w:rsidRPr="000547CB" w:rsidRDefault="000547CB" w:rsidP="000A12ED">
            <w:pPr>
              <w:ind w:left="13"/>
              <w:rPr>
                <w:sz w:val="22"/>
                <w:szCs w:val="22"/>
              </w:rPr>
            </w:pPr>
            <w:r w:rsidRPr="000547CB">
              <w:rPr>
                <w:sz w:val="22"/>
                <w:szCs w:val="22"/>
              </w:rPr>
              <w:t>Hjerte</w:t>
            </w:r>
          </w:p>
        </w:tc>
        <w:tc>
          <w:tcPr>
            <w:tcW w:w="1029"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8E5C0DA" w14:textId="77777777" w:rsidR="000547CB" w:rsidRPr="000547CB" w:rsidRDefault="000547CB" w:rsidP="000A12ED">
            <w:pPr>
              <w:ind w:left="13"/>
              <w:rPr>
                <w:sz w:val="22"/>
                <w:szCs w:val="22"/>
                <w:lang w:val="en-GB"/>
              </w:rPr>
            </w:pPr>
          </w:p>
        </w:tc>
        <w:tc>
          <w:tcPr>
            <w:tcW w:w="637"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2124718B" w14:textId="77777777" w:rsidR="000547CB" w:rsidRPr="000547CB" w:rsidRDefault="000547CB" w:rsidP="000A12ED">
            <w:pPr>
              <w:ind w:left="13"/>
              <w:rPr>
                <w:sz w:val="22"/>
                <w:szCs w:val="22"/>
                <w:lang w:val="en-GB"/>
              </w:rPr>
            </w:pPr>
          </w:p>
        </w:tc>
        <w:tc>
          <w:tcPr>
            <w:tcW w:w="832"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0E24AF33" w14:textId="77777777" w:rsidR="000547CB" w:rsidRPr="000547CB" w:rsidRDefault="000547CB" w:rsidP="000A12ED">
            <w:pPr>
              <w:ind w:left="13"/>
              <w:rPr>
                <w:sz w:val="22"/>
                <w:szCs w:val="22"/>
              </w:rPr>
            </w:pPr>
            <w:r w:rsidRPr="000547CB">
              <w:rPr>
                <w:sz w:val="22"/>
                <w:szCs w:val="22"/>
              </w:rPr>
              <w:t xml:space="preserve">Angina, </w:t>
            </w:r>
            <w:proofErr w:type="spellStart"/>
            <w:r w:rsidRPr="000547CB">
              <w:rPr>
                <w:sz w:val="22"/>
                <w:szCs w:val="22"/>
              </w:rPr>
              <w:t>palpitationer</w:t>
            </w:r>
            <w:proofErr w:type="spellEnd"/>
          </w:p>
        </w:tc>
        <w:tc>
          <w:tcPr>
            <w:tcW w:w="941"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3061F8DE" w14:textId="77777777" w:rsidR="000547CB" w:rsidRPr="000547CB" w:rsidRDefault="000547CB" w:rsidP="000A12ED">
            <w:pPr>
              <w:ind w:left="13"/>
              <w:rPr>
                <w:sz w:val="22"/>
                <w:szCs w:val="22"/>
                <w:lang w:val="en-GB"/>
              </w:rPr>
            </w:pPr>
          </w:p>
        </w:tc>
        <w:tc>
          <w:tcPr>
            <w:tcW w:w="724"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39951F1C" w14:textId="77777777" w:rsidR="000547CB" w:rsidRPr="000547CB" w:rsidRDefault="000547CB" w:rsidP="000A12ED">
            <w:pPr>
              <w:ind w:left="13"/>
              <w:rPr>
                <w:sz w:val="22"/>
                <w:szCs w:val="22"/>
              </w:rPr>
            </w:pPr>
            <w:r w:rsidRPr="000547CB">
              <w:rPr>
                <w:sz w:val="22"/>
                <w:szCs w:val="22"/>
              </w:rPr>
              <w:t>Ustabil angina</w:t>
            </w:r>
          </w:p>
        </w:tc>
      </w:tr>
      <w:tr w:rsidR="004C59A7" w:rsidRPr="000547CB" w14:paraId="6E18701D" w14:textId="77777777" w:rsidTr="000A12ED">
        <w:trPr>
          <w:gridAfter w:val="1"/>
          <w:wAfter w:w="5" w:type="pct"/>
          <w:trHeight w:val="20"/>
        </w:trPr>
        <w:tc>
          <w:tcPr>
            <w:tcW w:w="831"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67A89021" w14:textId="77777777" w:rsidR="000547CB" w:rsidRPr="000547CB" w:rsidRDefault="000547CB" w:rsidP="000A12ED">
            <w:pPr>
              <w:ind w:left="13"/>
              <w:rPr>
                <w:sz w:val="22"/>
                <w:szCs w:val="22"/>
              </w:rPr>
            </w:pPr>
            <w:r w:rsidRPr="000547CB">
              <w:rPr>
                <w:sz w:val="22"/>
                <w:szCs w:val="22"/>
              </w:rPr>
              <w:t xml:space="preserve">Luftveje, thorax og </w:t>
            </w:r>
            <w:proofErr w:type="spellStart"/>
            <w:r w:rsidRPr="000547CB">
              <w:rPr>
                <w:sz w:val="22"/>
                <w:szCs w:val="22"/>
              </w:rPr>
              <w:t>mediastinum</w:t>
            </w:r>
            <w:proofErr w:type="spellEnd"/>
          </w:p>
        </w:tc>
        <w:tc>
          <w:tcPr>
            <w:tcW w:w="1034"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48AE34C7" w14:textId="77777777" w:rsidR="000547CB" w:rsidRPr="000547CB" w:rsidRDefault="000547CB" w:rsidP="000A12ED">
            <w:pPr>
              <w:ind w:left="13"/>
              <w:rPr>
                <w:sz w:val="22"/>
                <w:szCs w:val="22"/>
                <w:lang w:val="en-GB"/>
              </w:rPr>
            </w:pPr>
          </w:p>
        </w:tc>
        <w:tc>
          <w:tcPr>
            <w:tcW w:w="631"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5E2B9A9F" w14:textId="77777777" w:rsidR="000547CB" w:rsidRPr="000547CB" w:rsidRDefault="000547CB" w:rsidP="000A12ED">
            <w:pPr>
              <w:ind w:left="13"/>
              <w:rPr>
                <w:sz w:val="22"/>
                <w:szCs w:val="22"/>
                <w:lang w:val="en-GB"/>
              </w:rPr>
            </w:pPr>
          </w:p>
        </w:tc>
        <w:tc>
          <w:tcPr>
            <w:tcW w:w="832"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49D7A7EB" w14:textId="77777777" w:rsidR="000547CB" w:rsidRPr="000547CB" w:rsidRDefault="000547CB" w:rsidP="000A12ED">
            <w:pPr>
              <w:ind w:left="13"/>
              <w:rPr>
                <w:sz w:val="22"/>
                <w:szCs w:val="22"/>
              </w:rPr>
            </w:pPr>
            <w:r w:rsidRPr="000547CB">
              <w:rPr>
                <w:sz w:val="22"/>
                <w:szCs w:val="22"/>
              </w:rPr>
              <w:t>Astma</w:t>
            </w:r>
            <w:r w:rsidRPr="000547CB">
              <w:rPr>
                <w:sz w:val="22"/>
                <w:szCs w:val="22"/>
                <w:vertAlign w:val="superscript"/>
              </w:rPr>
              <w:t>*</w:t>
            </w:r>
            <w:r w:rsidRPr="000547CB">
              <w:rPr>
                <w:sz w:val="22"/>
                <w:szCs w:val="22"/>
              </w:rPr>
              <w:t>, dyspnø</w:t>
            </w:r>
            <w:r w:rsidRPr="000547CB">
              <w:rPr>
                <w:sz w:val="22"/>
                <w:szCs w:val="22"/>
                <w:vertAlign w:val="superscript"/>
              </w:rPr>
              <w:t>*</w:t>
            </w:r>
          </w:p>
        </w:tc>
        <w:tc>
          <w:tcPr>
            <w:tcW w:w="947"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7151BA42" w14:textId="77777777" w:rsidR="000547CB" w:rsidRPr="000547CB" w:rsidRDefault="000547CB" w:rsidP="000A12ED">
            <w:pPr>
              <w:ind w:left="13"/>
              <w:rPr>
                <w:sz w:val="22"/>
                <w:szCs w:val="22"/>
              </w:rPr>
            </w:pPr>
            <w:r w:rsidRPr="000547CB">
              <w:rPr>
                <w:sz w:val="22"/>
                <w:szCs w:val="22"/>
              </w:rPr>
              <w:t>Forværring af astma</w:t>
            </w:r>
          </w:p>
        </w:tc>
        <w:tc>
          <w:tcPr>
            <w:tcW w:w="719"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676378A6" w14:textId="77777777" w:rsidR="000547CB" w:rsidRPr="000547CB" w:rsidRDefault="000547CB" w:rsidP="000A12ED">
            <w:pPr>
              <w:ind w:left="13"/>
              <w:rPr>
                <w:sz w:val="22"/>
                <w:szCs w:val="22"/>
                <w:lang w:val="en-GB"/>
              </w:rPr>
            </w:pPr>
          </w:p>
        </w:tc>
      </w:tr>
      <w:tr w:rsidR="004C59A7" w:rsidRPr="000547CB" w14:paraId="5EAA40C0" w14:textId="77777777" w:rsidTr="000A12ED">
        <w:trPr>
          <w:gridAfter w:val="1"/>
          <w:wAfter w:w="5" w:type="pct"/>
          <w:trHeight w:val="20"/>
        </w:trPr>
        <w:tc>
          <w:tcPr>
            <w:tcW w:w="831"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0C32D158" w14:textId="114440C5" w:rsidR="000547CB" w:rsidRPr="000547CB" w:rsidRDefault="000547CB" w:rsidP="000A12ED">
            <w:pPr>
              <w:ind w:left="13"/>
              <w:rPr>
                <w:sz w:val="22"/>
                <w:szCs w:val="22"/>
              </w:rPr>
            </w:pPr>
            <w:r w:rsidRPr="000547CB">
              <w:rPr>
                <w:sz w:val="22"/>
                <w:szCs w:val="22"/>
              </w:rPr>
              <w:t>Mave-tarm-kanalen</w:t>
            </w:r>
          </w:p>
        </w:tc>
        <w:tc>
          <w:tcPr>
            <w:tcW w:w="1034"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1495CF2C" w14:textId="77777777" w:rsidR="000547CB" w:rsidRPr="000547CB" w:rsidRDefault="000547CB" w:rsidP="000A12ED">
            <w:pPr>
              <w:ind w:left="13"/>
              <w:rPr>
                <w:sz w:val="22"/>
                <w:szCs w:val="22"/>
                <w:lang w:val="en-GB"/>
              </w:rPr>
            </w:pPr>
          </w:p>
        </w:tc>
        <w:tc>
          <w:tcPr>
            <w:tcW w:w="631"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52399949" w14:textId="77777777" w:rsidR="000547CB" w:rsidRPr="000547CB" w:rsidRDefault="000547CB" w:rsidP="000A12ED">
            <w:pPr>
              <w:ind w:left="13"/>
              <w:rPr>
                <w:sz w:val="22"/>
                <w:szCs w:val="22"/>
                <w:lang w:val="en-GB"/>
              </w:rPr>
            </w:pPr>
          </w:p>
        </w:tc>
        <w:tc>
          <w:tcPr>
            <w:tcW w:w="832"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06BA583F" w14:textId="77777777" w:rsidR="000547CB" w:rsidRPr="000547CB" w:rsidRDefault="000547CB" w:rsidP="000A12ED">
            <w:pPr>
              <w:ind w:left="13"/>
              <w:rPr>
                <w:sz w:val="22"/>
                <w:szCs w:val="22"/>
              </w:rPr>
            </w:pPr>
            <w:r w:rsidRPr="000547CB">
              <w:rPr>
                <w:sz w:val="22"/>
                <w:szCs w:val="22"/>
              </w:rPr>
              <w:t>Kvalme*</w:t>
            </w:r>
          </w:p>
          <w:p w14:paraId="35D80A61" w14:textId="77777777" w:rsidR="000547CB" w:rsidRPr="000547CB" w:rsidRDefault="000547CB" w:rsidP="000A12ED">
            <w:pPr>
              <w:ind w:left="13"/>
              <w:rPr>
                <w:sz w:val="22"/>
                <w:szCs w:val="22"/>
              </w:rPr>
            </w:pPr>
            <w:r w:rsidRPr="000547CB">
              <w:rPr>
                <w:sz w:val="22"/>
                <w:szCs w:val="22"/>
              </w:rPr>
              <w:t>opkastning*</w:t>
            </w:r>
          </w:p>
        </w:tc>
        <w:tc>
          <w:tcPr>
            <w:tcW w:w="947"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3C130C7F" w14:textId="77777777" w:rsidR="000547CB" w:rsidRPr="000547CB" w:rsidRDefault="000547CB" w:rsidP="000A12ED">
            <w:pPr>
              <w:ind w:left="13"/>
              <w:rPr>
                <w:sz w:val="22"/>
                <w:szCs w:val="22"/>
                <w:lang w:val="en-GB"/>
              </w:rPr>
            </w:pPr>
          </w:p>
        </w:tc>
        <w:tc>
          <w:tcPr>
            <w:tcW w:w="719"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41D33522" w14:textId="77777777" w:rsidR="000547CB" w:rsidRPr="000547CB" w:rsidRDefault="000547CB" w:rsidP="000A12ED">
            <w:pPr>
              <w:ind w:left="13"/>
              <w:rPr>
                <w:sz w:val="22"/>
                <w:szCs w:val="22"/>
                <w:lang w:val="en-GB"/>
              </w:rPr>
            </w:pPr>
          </w:p>
        </w:tc>
      </w:tr>
      <w:tr w:rsidR="004C59A7" w:rsidRPr="000547CB" w14:paraId="18DA7C9A" w14:textId="77777777" w:rsidTr="000A12ED">
        <w:trPr>
          <w:gridAfter w:val="1"/>
          <w:wAfter w:w="5" w:type="pct"/>
          <w:trHeight w:val="20"/>
        </w:trPr>
        <w:tc>
          <w:tcPr>
            <w:tcW w:w="831"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4482F911" w14:textId="77777777" w:rsidR="000547CB" w:rsidRPr="000547CB" w:rsidRDefault="000547CB" w:rsidP="000A12ED">
            <w:pPr>
              <w:ind w:left="13"/>
              <w:rPr>
                <w:sz w:val="22"/>
                <w:szCs w:val="22"/>
              </w:rPr>
            </w:pPr>
            <w:r w:rsidRPr="000547CB">
              <w:rPr>
                <w:sz w:val="22"/>
                <w:szCs w:val="22"/>
              </w:rPr>
              <w:t>Hud og subkutane væv</w:t>
            </w:r>
          </w:p>
        </w:tc>
        <w:tc>
          <w:tcPr>
            <w:tcW w:w="1034"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6F99C98E" w14:textId="77777777" w:rsidR="000547CB" w:rsidRPr="000547CB" w:rsidRDefault="000547CB" w:rsidP="000A12ED">
            <w:pPr>
              <w:ind w:left="13"/>
              <w:rPr>
                <w:sz w:val="22"/>
                <w:szCs w:val="22"/>
                <w:lang w:val="en-GB"/>
              </w:rPr>
            </w:pPr>
          </w:p>
        </w:tc>
        <w:tc>
          <w:tcPr>
            <w:tcW w:w="631"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79D63841" w14:textId="77777777" w:rsidR="000547CB" w:rsidRPr="000547CB" w:rsidRDefault="000547CB" w:rsidP="000A12ED">
            <w:pPr>
              <w:ind w:left="13"/>
              <w:rPr>
                <w:sz w:val="22"/>
                <w:szCs w:val="22"/>
                <w:lang w:val="en-GB"/>
              </w:rPr>
            </w:pPr>
          </w:p>
        </w:tc>
        <w:tc>
          <w:tcPr>
            <w:tcW w:w="832"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2A391691" w14:textId="77777777" w:rsidR="000547CB" w:rsidRPr="000547CB" w:rsidRDefault="000547CB" w:rsidP="000A12ED">
            <w:pPr>
              <w:ind w:left="13"/>
              <w:rPr>
                <w:sz w:val="22"/>
                <w:szCs w:val="22"/>
              </w:rPr>
            </w:pPr>
            <w:r w:rsidRPr="000547CB">
              <w:rPr>
                <w:sz w:val="22"/>
                <w:szCs w:val="22"/>
              </w:rPr>
              <w:t>Udslæt</w:t>
            </w:r>
          </w:p>
        </w:tc>
        <w:tc>
          <w:tcPr>
            <w:tcW w:w="947"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6B238361" w14:textId="77777777" w:rsidR="000547CB" w:rsidRPr="000547CB" w:rsidRDefault="000547CB" w:rsidP="000A12ED">
            <w:pPr>
              <w:ind w:left="13"/>
              <w:rPr>
                <w:sz w:val="22"/>
                <w:szCs w:val="22"/>
              </w:rPr>
            </w:pPr>
            <w:proofErr w:type="spellStart"/>
            <w:r w:rsidRPr="000547CB">
              <w:rPr>
                <w:sz w:val="22"/>
                <w:szCs w:val="22"/>
              </w:rPr>
              <w:t>Pruritus</w:t>
            </w:r>
            <w:proofErr w:type="spellEnd"/>
          </w:p>
        </w:tc>
        <w:tc>
          <w:tcPr>
            <w:tcW w:w="719"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4C73FDC0" w14:textId="77777777" w:rsidR="000547CB" w:rsidRPr="000547CB" w:rsidRDefault="000547CB" w:rsidP="000A12ED">
            <w:pPr>
              <w:ind w:left="13"/>
              <w:rPr>
                <w:sz w:val="22"/>
                <w:szCs w:val="22"/>
                <w:lang w:val="en-GB"/>
              </w:rPr>
            </w:pPr>
          </w:p>
        </w:tc>
      </w:tr>
      <w:tr w:rsidR="004C59A7" w:rsidRPr="000547CB" w14:paraId="64B7E718" w14:textId="77777777" w:rsidTr="000A12ED">
        <w:trPr>
          <w:gridAfter w:val="1"/>
          <w:wAfter w:w="5" w:type="pct"/>
          <w:trHeight w:val="20"/>
        </w:trPr>
        <w:tc>
          <w:tcPr>
            <w:tcW w:w="831"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10EAEF39" w14:textId="77777777" w:rsidR="000547CB" w:rsidRPr="000547CB" w:rsidRDefault="000547CB" w:rsidP="000A12ED">
            <w:pPr>
              <w:ind w:left="13"/>
              <w:rPr>
                <w:sz w:val="22"/>
                <w:szCs w:val="22"/>
              </w:rPr>
            </w:pPr>
            <w:r w:rsidRPr="000547CB">
              <w:rPr>
                <w:sz w:val="22"/>
                <w:szCs w:val="22"/>
              </w:rPr>
              <w:t>Knogler, led, muskler og bindevæv</w:t>
            </w:r>
          </w:p>
        </w:tc>
        <w:tc>
          <w:tcPr>
            <w:tcW w:w="1034"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1FE817EE" w14:textId="77777777" w:rsidR="000547CB" w:rsidRPr="000547CB" w:rsidRDefault="000547CB" w:rsidP="000A12ED">
            <w:pPr>
              <w:ind w:left="13"/>
              <w:rPr>
                <w:sz w:val="22"/>
                <w:szCs w:val="22"/>
              </w:rPr>
            </w:pPr>
          </w:p>
        </w:tc>
        <w:tc>
          <w:tcPr>
            <w:tcW w:w="631"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25EABE1C" w14:textId="77777777" w:rsidR="000547CB" w:rsidRPr="000547CB" w:rsidRDefault="000547CB" w:rsidP="000A12ED">
            <w:pPr>
              <w:ind w:left="13"/>
              <w:rPr>
                <w:sz w:val="22"/>
                <w:szCs w:val="22"/>
              </w:rPr>
            </w:pPr>
          </w:p>
        </w:tc>
        <w:tc>
          <w:tcPr>
            <w:tcW w:w="832"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398BF7F0" w14:textId="77777777" w:rsidR="000547CB" w:rsidRPr="000547CB" w:rsidRDefault="000547CB" w:rsidP="000A12ED">
            <w:pPr>
              <w:ind w:left="13"/>
              <w:rPr>
                <w:sz w:val="22"/>
                <w:szCs w:val="22"/>
              </w:rPr>
            </w:pPr>
            <w:r w:rsidRPr="000547CB">
              <w:rPr>
                <w:sz w:val="22"/>
                <w:szCs w:val="22"/>
              </w:rPr>
              <w:t>Myalgi</w:t>
            </w:r>
            <w:r w:rsidRPr="000547CB">
              <w:rPr>
                <w:sz w:val="22"/>
                <w:szCs w:val="22"/>
                <w:vertAlign w:val="superscript"/>
              </w:rPr>
              <w:t>*</w:t>
            </w:r>
            <w:r w:rsidRPr="000547CB">
              <w:rPr>
                <w:sz w:val="22"/>
                <w:szCs w:val="22"/>
              </w:rPr>
              <w:t xml:space="preserve">; </w:t>
            </w:r>
            <w:proofErr w:type="spellStart"/>
            <w:r w:rsidRPr="000547CB">
              <w:rPr>
                <w:sz w:val="22"/>
                <w:szCs w:val="22"/>
              </w:rPr>
              <w:t>artralgi</w:t>
            </w:r>
            <w:proofErr w:type="spellEnd"/>
            <w:r w:rsidRPr="000547CB">
              <w:rPr>
                <w:sz w:val="22"/>
                <w:szCs w:val="22"/>
                <w:vertAlign w:val="superscript"/>
              </w:rPr>
              <w:t>*</w:t>
            </w:r>
          </w:p>
        </w:tc>
        <w:tc>
          <w:tcPr>
            <w:tcW w:w="947"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49B37BC4" w14:textId="77777777" w:rsidR="000547CB" w:rsidRPr="000547CB" w:rsidRDefault="000547CB" w:rsidP="000A12ED">
            <w:pPr>
              <w:ind w:left="13"/>
              <w:rPr>
                <w:sz w:val="22"/>
                <w:szCs w:val="22"/>
                <w:lang w:val="en-GB"/>
              </w:rPr>
            </w:pPr>
          </w:p>
        </w:tc>
        <w:tc>
          <w:tcPr>
            <w:tcW w:w="719"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059FF648" w14:textId="77777777" w:rsidR="000547CB" w:rsidRPr="000547CB" w:rsidRDefault="000547CB" w:rsidP="000A12ED">
            <w:pPr>
              <w:ind w:left="13"/>
              <w:rPr>
                <w:sz w:val="22"/>
                <w:szCs w:val="22"/>
                <w:lang w:val="en-GB"/>
              </w:rPr>
            </w:pPr>
          </w:p>
        </w:tc>
      </w:tr>
      <w:tr w:rsidR="004C59A7" w:rsidRPr="000547CB" w14:paraId="066C37AC" w14:textId="77777777" w:rsidTr="000A12ED">
        <w:trPr>
          <w:gridAfter w:val="1"/>
          <w:wAfter w:w="5" w:type="pct"/>
          <w:trHeight w:val="20"/>
        </w:trPr>
        <w:tc>
          <w:tcPr>
            <w:tcW w:w="831"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7E2973BC" w14:textId="77777777" w:rsidR="000547CB" w:rsidRPr="000547CB" w:rsidRDefault="000547CB" w:rsidP="000A12ED">
            <w:pPr>
              <w:ind w:left="13"/>
              <w:rPr>
                <w:sz w:val="22"/>
                <w:szCs w:val="22"/>
              </w:rPr>
            </w:pPr>
            <w:r w:rsidRPr="000547CB">
              <w:rPr>
                <w:sz w:val="22"/>
                <w:szCs w:val="22"/>
              </w:rPr>
              <w:t xml:space="preserve">Almene symptomer og reaktioner på administrationsstedet </w:t>
            </w:r>
          </w:p>
        </w:tc>
        <w:tc>
          <w:tcPr>
            <w:tcW w:w="1034"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1749E258" w14:textId="77777777" w:rsidR="000547CB" w:rsidRPr="000547CB" w:rsidRDefault="000547CB" w:rsidP="000A12ED">
            <w:pPr>
              <w:ind w:left="13"/>
              <w:rPr>
                <w:sz w:val="22"/>
                <w:szCs w:val="22"/>
              </w:rPr>
            </w:pPr>
          </w:p>
        </w:tc>
        <w:tc>
          <w:tcPr>
            <w:tcW w:w="631"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087D04F1" w14:textId="77777777" w:rsidR="000547CB" w:rsidRPr="000547CB" w:rsidRDefault="000547CB" w:rsidP="000A12ED">
            <w:pPr>
              <w:ind w:left="13"/>
              <w:rPr>
                <w:sz w:val="22"/>
                <w:szCs w:val="22"/>
              </w:rPr>
            </w:pPr>
          </w:p>
        </w:tc>
        <w:tc>
          <w:tcPr>
            <w:tcW w:w="832"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hideMark/>
          </w:tcPr>
          <w:p w14:paraId="3F334327" w14:textId="77777777" w:rsidR="000547CB" w:rsidRPr="000547CB" w:rsidRDefault="000547CB" w:rsidP="000A12ED">
            <w:pPr>
              <w:ind w:left="13"/>
              <w:rPr>
                <w:sz w:val="22"/>
                <w:szCs w:val="22"/>
              </w:rPr>
            </w:pPr>
            <w:r w:rsidRPr="000547CB">
              <w:rPr>
                <w:sz w:val="22"/>
                <w:szCs w:val="22"/>
              </w:rPr>
              <w:t>Brystsmerter</w:t>
            </w:r>
            <w:r w:rsidRPr="000547CB">
              <w:rPr>
                <w:sz w:val="22"/>
                <w:szCs w:val="22"/>
                <w:vertAlign w:val="superscript"/>
              </w:rPr>
              <w:t>*</w:t>
            </w:r>
          </w:p>
        </w:tc>
        <w:tc>
          <w:tcPr>
            <w:tcW w:w="947" w:type="pct"/>
            <w:gridSpan w:val="2"/>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2CA41273" w14:textId="77777777" w:rsidR="000547CB" w:rsidRPr="000547CB" w:rsidRDefault="000547CB" w:rsidP="000A12ED">
            <w:pPr>
              <w:ind w:left="13"/>
              <w:rPr>
                <w:sz w:val="22"/>
                <w:szCs w:val="22"/>
                <w:lang w:val="en-GB"/>
              </w:rPr>
            </w:pPr>
          </w:p>
        </w:tc>
        <w:tc>
          <w:tcPr>
            <w:tcW w:w="719"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14:paraId="2D64931B" w14:textId="77777777" w:rsidR="000547CB" w:rsidRPr="000547CB" w:rsidRDefault="000547CB" w:rsidP="000A12ED">
            <w:pPr>
              <w:ind w:left="13"/>
              <w:rPr>
                <w:sz w:val="22"/>
                <w:szCs w:val="22"/>
                <w:lang w:val="en-GB"/>
              </w:rPr>
            </w:pPr>
          </w:p>
        </w:tc>
      </w:tr>
    </w:tbl>
    <w:p w14:paraId="00A07231" w14:textId="7197B64C" w:rsidR="000547CB" w:rsidRPr="000547CB" w:rsidRDefault="000547CB" w:rsidP="000A12ED">
      <w:pPr>
        <w:ind w:left="284" w:hanging="284"/>
        <w:rPr>
          <w:sz w:val="24"/>
          <w:szCs w:val="24"/>
        </w:rPr>
      </w:pPr>
      <w:r w:rsidRPr="000547CB">
        <w:rPr>
          <w:sz w:val="24"/>
          <w:szCs w:val="24"/>
        </w:rPr>
        <w:t>*</w:t>
      </w:r>
      <w:r w:rsidR="000A12ED" w:rsidRPr="004C59A7">
        <w:rPr>
          <w:sz w:val="24"/>
          <w:szCs w:val="24"/>
        </w:rPr>
        <w:tab/>
      </w:r>
      <w:r w:rsidRPr="000547CB">
        <w:rPr>
          <w:sz w:val="24"/>
          <w:szCs w:val="24"/>
        </w:rPr>
        <w:t>Bivirkninger identificeret efter markedsføring</w:t>
      </w:r>
    </w:p>
    <w:p w14:paraId="264977D3" w14:textId="64398029" w:rsidR="000547CB" w:rsidRPr="000547CB" w:rsidRDefault="000547CB" w:rsidP="000A12ED">
      <w:pPr>
        <w:ind w:left="284" w:hanging="284"/>
        <w:rPr>
          <w:sz w:val="24"/>
          <w:szCs w:val="24"/>
        </w:rPr>
      </w:pPr>
      <w:r w:rsidRPr="000547CB">
        <w:rPr>
          <w:sz w:val="24"/>
          <w:szCs w:val="24"/>
        </w:rPr>
        <w:t>§</w:t>
      </w:r>
      <w:r w:rsidR="000A12ED" w:rsidRPr="004C59A7">
        <w:rPr>
          <w:sz w:val="24"/>
          <w:szCs w:val="24"/>
        </w:rPr>
        <w:tab/>
      </w:r>
      <w:r w:rsidRPr="000547CB">
        <w:rPr>
          <w:sz w:val="24"/>
          <w:szCs w:val="24"/>
        </w:rPr>
        <w:t xml:space="preserve">Bivirkningshyppighed estimeret ved anvendelse af ‘The </w:t>
      </w:r>
      <w:proofErr w:type="spellStart"/>
      <w:r w:rsidRPr="000547CB">
        <w:rPr>
          <w:sz w:val="24"/>
          <w:szCs w:val="24"/>
        </w:rPr>
        <w:t>Rule</w:t>
      </w:r>
      <w:proofErr w:type="spellEnd"/>
      <w:r w:rsidRPr="000547CB">
        <w:rPr>
          <w:sz w:val="24"/>
          <w:szCs w:val="24"/>
        </w:rPr>
        <w:t xml:space="preserve"> of 3’</w:t>
      </w:r>
    </w:p>
    <w:p w14:paraId="6B86B211" w14:textId="77777777" w:rsidR="000547CB" w:rsidRPr="000547CB" w:rsidRDefault="000547CB" w:rsidP="000547CB">
      <w:pPr>
        <w:tabs>
          <w:tab w:val="left" w:pos="851"/>
        </w:tabs>
        <w:ind w:left="851"/>
        <w:rPr>
          <w:sz w:val="24"/>
          <w:szCs w:val="24"/>
        </w:rPr>
      </w:pPr>
    </w:p>
    <w:p w14:paraId="296A2868" w14:textId="77777777" w:rsidR="000547CB" w:rsidRPr="000547CB" w:rsidRDefault="000547CB" w:rsidP="000A12ED">
      <w:pPr>
        <w:ind w:left="851"/>
        <w:rPr>
          <w:sz w:val="24"/>
          <w:szCs w:val="24"/>
        </w:rPr>
      </w:pPr>
      <w:r w:rsidRPr="000547CB">
        <w:rPr>
          <w:sz w:val="24"/>
          <w:szCs w:val="24"/>
        </w:rPr>
        <w:t xml:space="preserve">Der er meget sjældent rapporteret tilfælde af </w:t>
      </w:r>
      <w:proofErr w:type="spellStart"/>
      <w:r w:rsidRPr="000547CB">
        <w:rPr>
          <w:sz w:val="24"/>
          <w:szCs w:val="24"/>
        </w:rPr>
        <w:t>corneaforkalkning</w:t>
      </w:r>
      <w:proofErr w:type="spellEnd"/>
      <w:r w:rsidRPr="000547CB">
        <w:rPr>
          <w:sz w:val="24"/>
          <w:szCs w:val="24"/>
        </w:rPr>
        <w:t xml:space="preserve"> i forbindelse med anvendelse af </w:t>
      </w:r>
      <w:proofErr w:type="spellStart"/>
      <w:r w:rsidRPr="000547CB">
        <w:rPr>
          <w:sz w:val="24"/>
          <w:szCs w:val="24"/>
        </w:rPr>
        <w:t>phosphatholdige</w:t>
      </w:r>
      <w:proofErr w:type="spellEnd"/>
      <w:r w:rsidRPr="000547CB">
        <w:rPr>
          <w:sz w:val="24"/>
          <w:szCs w:val="24"/>
        </w:rPr>
        <w:t xml:space="preserve"> øjendråber hos enkelte patienter med betydeligt beskadiget </w:t>
      </w:r>
      <w:proofErr w:type="spellStart"/>
      <w:r w:rsidRPr="000547CB">
        <w:rPr>
          <w:sz w:val="24"/>
          <w:szCs w:val="24"/>
        </w:rPr>
        <w:t>cornea</w:t>
      </w:r>
      <w:proofErr w:type="spellEnd"/>
      <w:r w:rsidRPr="000547CB">
        <w:rPr>
          <w:sz w:val="24"/>
          <w:szCs w:val="24"/>
        </w:rPr>
        <w:t>.</w:t>
      </w:r>
    </w:p>
    <w:p w14:paraId="689CE124" w14:textId="77777777" w:rsidR="000547CB" w:rsidRPr="000547CB" w:rsidRDefault="000547CB" w:rsidP="000A12ED">
      <w:pPr>
        <w:ind w:left="851"/>
        <w:rPr>
          <w:sz w:val="24"/>
          <w:szCs w:val="24"/>
        </w:rPr>
      </w:pPr>
    </w:p>
    <w:p w14:paraId="6576073B" w14:textId="77777777" w:rsidR="000547CB" w:rsidRPr="000547CB" w:rsidRDefault="000547CB" w:rsidP="000A12ED">
      <w:pPr>
        <w:numPr>
          <w:ilvl w:val="2"/>
          <w:numId w:val="6"/>
        </w:numPr>
        <w:ind w:left="851" w:firstLine="0"/>
        <w:rPr>
          <w:sz w:val="24"/>
          <w:szCs w:val="24"/>
        </w:rPr>
      </w:pPr>
      <w:r w:rsidRPr="000547CB">
        <w:rPr>
          <w:sz w:val="24"/>
          <w:szCs w:val="24"/>
          <w:u w:val="single"/>
        </w:rPr>
        <w:t>Beskrivelse af udvalgte bivirkninger</w:t>
      </w:r>
      <w:r w:rsidRPr="000547CB">
        <w:rPr>
          <w:sz w:val="24"/>
          <w:szCs w:val="24"/>
        </w:rPr>
        <w:t xml:space="preserve"> </w:t>
      </w:r>
    </w:p>
    <w:p w14:paraId="7C004483" w14:textId="77777777" w:rsidR="000547CB" w:rsidRPr="000547CB" w:rsidRDefault="000547CB" w:rsidP="000A12ED">
      <w:pPr>
        <w:ind w:left="851"/>
        <w:rPr>
          <w:sz w:val="24"/>
          <w:szCs w:val="24"/>
          <w:lang w:val="en-GB"/>
        </w:rPr>
      </w:pPr>
    </w:p>
    <w:p w14:paraId="31514CE0" w14:textId="77777777" w:rsidR="000547CB" w:rsidRPr="000547CB" w:rsidRDefault="000547CB" w:rsidP="000A12ED">
      <w:pPr>
        <w:ind w:left="851"/>
        <w:rPr>
          <w:sz w:val="24"/>
          <w:szCs w:val="24"/>
        </w:rPr>
      </w:pPr>
      <w:r w:rsidRPr="000547CB">
        <w:rPr>
          <w:sz w:val="24"/>
          <w:szCs w:val="24"/>
        </w:rPr>
        <w:t>Der foreligger ingen oplysninger.</w:t>
      </w:r>
    </w:p>
    <w:p w14:paraId="16FF0DCF" w14:textId="77777777" w:rsidR="000547CB" w:rsidRPr="000547CB" w:rsidRDefault="000547CB" w:rsidP="000A12ED">
      <w:pPr>
        <w:ind w:left="851"/>
        <w:rPr>
          <w:sz w:val="24"/>
          <w:szCs w:val="24"/>
          <w:lang w:val="en-GB"/>
        </w:rPr>
      </w:pPr>
    </w:p>
    <w:p w14:paraId="51C18F45" w14:textId="77777777" w:rsidR="000547CB" w:rsidRPr="000547CB" w:rsidRDefault="000547CB" w:rsidP="000A12ED">
      <w:pPr>
        <w:numPr>
          <w:ilvl w:val="2"/>
          <w:numId w:val="6"/>
        </w:numPr>
        <w:ind w:left="851" w:firstLine="0"/>
        <w:rPr>
          <w:sz w:val="24"/>
          <w:szCs w:val="24"/>
        </w:rPr>
      </w:pPr>
      <w:r w:rsidRPr="000547CB">
        <w:rPr>
          <w:sz w:val="24"/>
          <w:szCs w:val="24"/>
          <w:u w:val="single"/>
        </w:rPr>
        <w:t>Pædiatrisk population</w:t>
      </w:r>
    </w:p>
    <w:p w14:paraId="09A23870" w14:textId="77777777" w:rsidR="000547CB" w:rsidRPr="000547CB" w:rsidRDefault="000547CB" w:rsidP="000A12ED">
      <w:pPr>
        <w:ind w:left="851"/>
        <w:rPr>
          <w:sz w:val="24"/>
          <w:szCs w:val="24"/>
          <w:lang w:val="en-GB"/>
        </w:rPr>
      </w:pPr>
    </w:p>
    <w:p w14:paraId="2F5BE985" w14:textId="77777777" w:rsidR="000547CB" w:rsidRPr="000547CB" w:rsidRDefault="000547CB" w:rsidP="000A12ED">
      <w:pPr>
        <w:ind w:left="851"/>
        <w:rPr>
          <w:sz w:val="24"/>
          <w:szCs w:val="24"/>
        </w:rPr>
      </w:pPr>
      <w:r w:rsidRPr="000547CB">
        <w:rPr>
          <w:sz w:val="24"/>
          <w:szCs w:val="24"/>
        </w:rPr>
        <w:t xml:space="preserve">I to kortvarige kliniske forsøg (≤ 12 uger) med i alt 93 pædiatriske patienter (henholdsvis 25 og 68) var sikkerhedsprofilen tilsvarende den, der blev set hos voksne, og der blev ikke observeret nye bivirkninger. Korttidssikkerhedsprofilerne i de pædiatriske undergrupper var ligeledes ens (se pkt. 5.1). Bivirkninger, der blev observeret hyppigere hos pædiatriske patienter end hos voksne, omfatter: </w:t>
      </w:r>
      <w:proofErr w:type="spellStart"/>
      <w:r w:rsidRPr="000547CB">
        <w:rPr>
          <w:sz w:val="24"/>
          <w:szCs w:val="24"/>
        </w:rPr>
        <w:t>nasofaryngitis</w:t>
      </w:r>
      <w:proofErr w:type="spellEnd"/>
      <w:r w:rsidRPr="000547CB">
        <w:rPr>
          <w:sz w:val="24"/>
          <w:szCs w:val="24"/>
        </w:rPr>
        <w:t xml:space="preserve"> og </w:t>
      </w:r>
      <w:proofErr w:type="spellStart"/>
      <w:r w:rsidRPr="000547CB">
        <w:rPr>
          <w:sz w:val="24"/>
          <w:szCs w:val="24"/>
        </w:rPr>
        <w:t>pyreksi</w:t>
      </w:r>
      <w:proofErr w:type="spellEnd"/>
      <w:r w:rsidRPr="000547CB">
        <w:rPr>
          <w:sz w:val="24"/>
          <w:szCs w:val="24"/>
        </w:rPr>
        <w:t>.</w:t>
      </w:r>
    </w:p>
    <w:p w14:paraId="741A5C12" w14:textId="77777777" w:rsidR="000547CB" w:rsidRPr="000547CB" w:rsidRDefault="000547CB" w:rsidP="000A12ED">
      <w:pPr>
        <w:ind w:left="851"/>
        <w:rPr>
          <w:sz w:val="24"/>
          <w:szCs w:val="24"/>
          <w:u w:val="single"/>
        </w:rPr>
      </w:pPr>
    </w:p>
    <w:p w14:paraId="324B06B1" w14:textId="77777777" w:rsidR="000547CB" w:rsidRPr="000547CB" w:rsidRDefault="000547CB" w:rsidP="000A12ED">
      <w:pPr>
        <w:ind w:left="851"/>
        <w:rPr>
          <w:sz w:val="24"/>
          <w:szCs w:val="24"/>
          <w:u w:val="single"/>
        </w:rPr>
      </w:pPr>
      <w:r w:rsidRPr="000547CB">
        <w:rPr>
          <w:sz w:val="24"/>
          <w:szCs w:val="24"/>
          <w:u w:val="single"/>
        </w:rPr>
        <w:t>I et langvarigt pædiatrisk observationsstudie med 115 patienter var sikkerhedsprofilen i overensstemmelse med den, der blev rapporteret i tidligere pædiatriske studier, og der blev ikke observeret nye bivirkninger (se pkt. 5.1).</w:t>
      </w:r>
    </w:p>
    <w:p w14:paraId="034C7A5D" w14:textId="77777777" w:rsidR="000547CB" w:rsidRPr="000547CB" w:rsidRDefault="000547CB" w:rsidP="000A12ED">
      <w:pPr>
        <w:ind w:left="851"/>
        <w:rPr>
          <w:sz w:val="24"/>
          <w:szCs w:val="24"/>
          <w:u w:val="single"/>
        </w:rPr>
      </w:pPr>
    </w:p>
    <w:p w14:paraId="27FEEEE5" w14:textId="77777777" w:rsidR="000547CB" w:rsidRPr="000547CB" w:rsidRDefault="000547CB" w:rsidP="000A12ED">
      <w:pPr>
        <w:ind w:left="851"/>
        <w:rPr>
          <w:sz w:val="24"/>
          <w:szCs w:val="24"/>
        </w:rPr>
      </w:pPr>
      <w:r w:rsidRPr="000547CB">
        <w:rPr>
          <w:sz w:val="24"/>
          <w:szCs w:val="24"/>
          <w:u w:val="single"/>
        </w:rPr>
        <w:t>Indberetning af formodede bivirkninger</w:t>
      </w:r>
    </w:p>
    <w:p w14:paraId="7A1F8801" w14:textId="77777777" w:rsidR="000547CB" w:rsidRPr="004C59A7" w:rsidRDefault="000547CB" w:rsidP="000A12ED">
      <w:pPr>
        <w:ind w:left="851"/>
        <w:rPr>
          <w:sz w:val="24"/>
          <w:szCs w:val="24"/>
        </w:rPr>
      </w:pPr>
      <w:r w:rsidRPr="000547CB">
        <w:rPr>
          <w:sz w:val="24"/>
          <w:szCs w:val="24"/>
        </w:rPr>
        <w:t>Når lægemidlet er godkendt, er indberetning af formodede bivirkninger vigtig. Det muliggør løbende overvågning af benefit/</w:t>
      </w:r>
      <w:proofErr w:type="spellStart"/>
      <w:r w:rsidRPr="000547CB">
        <w:rPr>
          <w:sz w:val="24"/>
          <w:szCs w:val="24"/>
        </w:rPr>
        <w:t>risk</w:t>
      </w:r>
      <w:proofErr w:type="spellEnd"/>
      <w:r w:rsidRPr="000547CB">
        <w:rPr>
          <w:sz w:val="24"/>
          <w:szCs w:val="24"/>
        </w:rPr>
        <w:t xml:space="preserve">-forholdet for lægemidlet. Sundhedspersoner anmodes om at indberette alle formodede bivirkninger via </w:t>
      </w:r>
    </w:p>
    <w:p w14:paraId="6BF7CF76" w14:textId="77777777" w:rsidR="000A12ED" w:rsidRPr="000547CB" w:rsidRDefault="000A12ED" w:rsidP="000A12ED">
      <w:pPr>
        <w:ind w:left="851"/>
        <w:rPr>
          <w:sz w:val="24"/>
          <w:szCs w:val="24"/>
        </w:rPr>
      </w:pPr>
    </w:p>
    <w:p w14:paraId="26B183C7" w14:textId="77777777" w:rsidR="000547CB" w:rsidRPr="000547CB" w:rsidRDefault="000547CB" w:rsidP="000A12ED">
      <w:pPr>
        <w:ind w:left="851"/>
        <w:rPr>
          <w:sz w:val="24"/>
          <w:szCs w:val="24"/>
        </w:rPr>
      </w:pPr>
      <w:r w:rsidRPr="000547CB">
        <w:rPr>
          <w:sz w:val="24"/>
          <w:szCs w:val="24"/>
        </w:rPr>
        <w:t>Lægemiddelstyrelsen</w:t>
      </w:r>
    </w:p>
    <w:p w14:paraId="0319350D" w14:textId="77777777" w:rsidR="000547CB" w:rsidRPr="000547CB" w:rsidRDefault="000547CB" w:rsidP="000A12ED">
      <w:pPr>
        <w:ind w:left="851"/>
        <w:rPr>
          <w:sz w:val="24"/>
          <w:szCs w:val="24"/>
        </w:rPr>
      </w:pPr>
      <w:r w:rsidRPr="000547CB">
        <w:rPr>
          <w:sz w:val="24"/>
          <w:szCs w:val="24"/>
        </w:rPr>
        <w:t>Axel Heides Gade 1</w:t>
      </w:r>
    </w:p>
    <w:p w14:paraId="7914D955" w14:textId="77777777" w:rsidR="000547CB" w:rsidRPr="000547CB" w:rsidRDefault="000547CB" w:rsidP="000A12ED">
      <w:pPr>
        <w:ind w:left="851"/>
        <w:rPr>
          <w:sz w:val="24"/>
          <w:szCs w:val="24"/>
        </w:rPr>
      </w:pPr>
      <w:r w:rsidRPr="000547CB">
        <w:rPr>
          <w:sz w:val="24"/>
          <w:szCs w:val="24"/>
        </w:rPr>
        <w:t>2300 København S</w:t>
      </w:r>
    </w:p>
    <w:p w14:paraId="2FE29921" w14:textId="77777777" w:rsidR="000547CB" w:rsidRPr="000547CB" w:rsidRDefault="000547CB" w:rsidP="000A12ED">
      <w:pPr>
        <w:ind w:left="851"/>
        <w:rPr>
          <w:sz w:val="24"/>
          <w:szCs w:val="24"/>
        </w:rPr>
      </w:pPr>
      <w:r w:rsidRPr="000547CB">
        <w:rPr>
          <w:sz w:val="24"/>
          <w:szCs w:val="24"/>
        </w:rPr>
        <w:t>Websted: www.meldenbivirkning.dk</w:t>
      </w:r>
    </w:p>
    <w:p w14:paraId="4F29E337" w14:textId="77777777" w:rsidR="009260DE" w:rsidRPr="004C59A7" w:rsidRDefault="009260DE" w:rsidP="00A10294">
      <w:pPr>
        <w:tabs>
          <w:tab w:val="left" w:pos="851"/>
        </w:tabs>
        <w:ind w:left="851"/>
        <w:rPr>
          <w:sz w:val="24"/>
          <w:szCs w:val="24"/>
        </w:rPr>
      </w:pPr>
    </w:p>
    <w:p w14:paraId="14FEA108" w14:textId="77777777" w:rsidR="009260DE" w:rsidRPr="004C59A7" w:rsidRDefault="009260DE" w:rsidP="009260DE">
      <w:pPr>
        <w:tabs>
          <w:tab w:val="left" w:pos="851"/>
        </w:tabs>
        <w:ind w:left="851" w:hanging="851"/>
        <w:rPr>
          <w:b/>
          <w:sz w:val="24"/>
          <w:szCs w:val="24"/>
        </w:rPr>
      </w:pPr>
      <w:r w:rsidRPr="004C59A7">
        <w:rPr>
          <w:b/>
          <w:sz w:val="24"/>
          <w:szCs w:val="24"/>
        </w:rPr>
        <w:t>4.9</w:t>
      </w:r>
      <w:r w:rsidRPr="004C59A7">
        <w:rPr>
          <w:b/>
          <w:sz w:val="24"/>
          <w:szCs w:val="24"/>
        </w:rPr>
        <w:tab/>
        <w:t>Overdosering</w:t>
      </w:r>
    </w:p>
    <w:p w14:paraId="7FBA2AAA" w14:textId="77777777" w:rsidR="004C59A7" w:rsidRDefault="004C59A7" w:rsidP="000A12ED">
      <w:pPr>
        <w:ind w:left="851"/>
        <w:rPr>
          <w:sz w:val="24"/>
          <w:szCs w:val="24"/>
          <w:u w:val="single"/>
        </w:rPr>
      </w:pPr>
    </w:p>
    <w:p w14:paraId="18157C76" w14:textId="7E40318F" w:rsidR="000547CB" w:rsidRPr="000547CB" w:rsidRDefault="000547CB" w:rsidP="000A12ED">
      <w:pPr>
        <w:ind w:left="851"/>
        <w:rPr>
          <w:sz w:val="24"/>
          <w:szCs w:val="24"/>
        </w:rPr>
      </w:pPr>
      <w:r w:rsidRPr="000547CB">
        <w:rPr>
          <w:sz w:val="24"/>
          <w:szCs w:val="24"/>
          <w:u w:val="single"/>
        </w:rPr>
        <w:t>Symptomer</w:t>
      </w:r>
    </w:p>
    <w:p w14:paraId="0B548473" w14:textId="77777777" w:rsidR="000547CB" w:rsidRPr="000547CB" w:rsidRDefault="000547CB" w:rsidP="000A12ED">
      <w:pPr>
        <w:ind w:left="851"/>
        <w:rPr>
          <w:sz w:val="24"/>
          <w:szCs w:val="24"/>
        </w:rPr>
      </w:pPr>
      <w:r w:rsidRPr="000547CB">
        <w:rPr>
          <w:sz w:val="24"/>
          <w:szCs w:val="24"/>
        </w:rPr>
        <w:t xml:space="preserve">Bortset fra øjenirritation og </w:t>
      </w:r>
      <w:proofErr w:type="spellStart"/>
      <w:r w:rsidRPr="000547CB">
        <w:rPr>
          <w:sz w:val="24"/>
          <w:szCs w:val="24"/>
        </w:rPr>
        <w:t>konjunktival</w:t>
      </w:r>
      <w:proofErr w:type="spellEnd"/>
      <w:r w:rsidRPr="000547CB">
        <w:rPr>
          <w:sz w:val="24"/>
          <w:szCs w:val="24"/>
        </w:rPr>
        <w:t xml:space="preserve"> </w:t>
      </w:r>
      <w:proofErr w:type="spellStart"/>
      <w:r w:rsidRPr="000547CB">
        <w:rPr>
          <w:sz w:val="24"/>
          <w:szCs w:val="24"/>
        </w:rPr>
        <w:t>hyperæmi</w:t>
      </w:r>
      <w:proofErr w:type="spellEnd"/>
      <w:r w:rsidRPr="000547CB">
        <w:rPr>
          <w:sz w:val="24"/>
          <w:szCs w:val="24"/>
        </w:rPr>
        <w:t xml:space="preserve"> er der ingen andre </w:t>
      </w:r>
      <w:proofErr w:type="spellStart"/>
      <w:r w:rsidRPr="000547CB">
        <w:rPr>
          <w:sz w:val="24"/>
          <w:szCs w:val="24"/>
        </w:rPr>
        <w:t>okulære</w:t>
      </w:r>
      <w:proofErr w:type="spellEnd"/>
      <w:r w:rsidRPr="000547CB">
        <w:rPr>
          <w:sz w:val="24"/>
          <w:szCs w:val="24"/>
        </w:rPr>
        <w:t xml:space="preserve"> bivirkninger kendt ved overdosering af Tanolux.</w:t>
      </w:r>
    </w:p>
    <w:p w14:paraId="4469F17D" w14:textId="77777777" w:rsidR="000547CB" w:rsidRPr="000547CB" w:rsidRDefault="000547CB" w:rsidP="000A12ED">
      <w:pPr>
        <w:ind w:left="851"/>
        <w:rPr>
          <w:sz w:val="24"/>
          <w:szCs w:val="24"/>
          <w:u w:val="single"/>
        </w:rPr>
      </w:pPr>
    </w:p>
    <w:p w14:paraId="2F622DB7" w14:textId="77777777" w:rsidR="000547CB" w:rsidRPr="000547CB" w:rsidRDefault="000547CB" w:rsidP="000A12ED">
      <w:pPr>
        <w:ind w:left="851"/>
        <w:rPr>
          <w:sz w:val="24"/>
          <w:szCs w:val="24"/>
        </w:rPr>
      </w:pPr>
      <w:r w:rsidRPr="000547CB">
        <w:rPr>
          <w:sz w:val="24"/>
          <w:szCs w:val="24"/>
          <w:u w:val="single"/>
        </w:rPr>
        <w:t>Behandling</w:t>
      </w:r>
    </w:p>
    <w:p w14:paraId="64808F22" w14:textId="77777777" w:rsidR="000547CB" w:rsidRPr="000547CB" w:rsidRDefault="000547CB" w:rsidP="000A12ED">
      <w:pPr>
        <w:ind w:left="851"/>
        <w:rPr>
          <w:sz w:val="24"/>
          <w:szCs w:val="24"/>
        </w:rPr>
      </w:pPr>
      <w:r w:rsidRPr="000547CB">
        <w:rPr>
          <w:sz w:val="24"/>
          <w:szCs w:val="24"/>
        </w:rPr>
        <w:t xml:space="preserve">Hvis Tanolux indtages ved et uheld, kan følgende information være nyttig: Én enkeltdosisbeholder indeholder 20 mikrogram </w:t>
      </w:r>
      <w:proofErr w:type="spellStart"/>
      <w:r w:rsidRPr="000547CB">
        <w:rPr>
          <w:sz w:val="24"/>
          <w:szCs w:val="24"/>
        </w:rPr>
        <w:t>latanoprost</w:t>
      </w:r>
      <w:proofErr w:type="spellEnd"/>
      <w:r w:rsidRPr="000547CB">
        <w:rPr>
          <w:sz w:val="24"/>
          <w:szCs w:val="24"/>
        </w:rPr>
        <w:t xml:space="preserve">. Mere end 90 % </w:t>
      </w:r>
      <w:proofErr w:type="spellStart"/>
      <w:r w:rsidRPr="000547CB">
        <w:rPr>
          <w:sz w:val="24"/>
          <w:szCs w:val="24"/>
        </w:rPr>
        <w:t>metaboliseres</w:t>
      </w:r>
      <w:proofErr w:type="spellEnd"/>
      <w:r w:rsidRPr="000547CB">
        <w:rPr>
          <w:sz w:val="24"/>
          <w:szCs w:val="24"/>
        </w:rPr>
        <w:t xml:space="preserve"> ved </w:t>
      </w:r>
      <w:proofErr w:type="spellStart"/>
      <w:r w:rsidRPr="000547CB">
        <w:rPr>
          <w:sz w:val="24"/>
          <w:szCs w:val="24"/>
        </w:rPr>
        <w:t>first</w:t>
      </w:r>
      <w:proofErr w:type="spellEnd"/>
      <w:r w:rsidRPr="000547CB">
        <w:rPr>
          <w:sz w:val="24"/>
          <w:szCs w:val="24"/>
        </w:rPr>
        <w:t xml:space="preserve"> </w:t>
      </w:r>
      <w:proofErr w:type="spellStart"/>
      <w:r w:rsidRPr="000547CB">
        <w:rPr>
          <w:sz w:val="24"/>
          <w:szCs w:val="24"/>
        </w:rPr>
        <w:t>pass</w:t>
      </w:r>
      <w:proofErr w:type="spellEnd"/>
      <w:r w:rsidRPr="000547CB">
        <w:rPr>
          <w:sz w:val="24"/>
          <w:szCs w:val="24"/>
        </w:rPr>
        <w:t xml:space="preserve"> gennem leveren. Intravenøs infusion af 3 mikrogram/kg til raske forsøgspersoner medførte ingen symptomer, mens doser på 5,5–10 mikrogram/kg forårsagede kvalme, mavesmerter, svimmelhed, træthed, hedeture og svedtendens. Hos aber er </w:t>
      </w:r>
      <w:proofErr w:type="spellStart"/>
      <w:r w:rsidRPr="000547CB">
        <w:rPr>
          <w:sz w:val="24"/>
          <w:szCs w:val="24"/>
        </w:rPr>
        <w:t>latanoprost</w:t>
      </w:r>
      <w:proofErr w:type="spellEnd"/>
      <w:r w:rsidRPr="000547CB">
        <w:rPr>
          <w:sz w:val="24"/>
          <w:szCs w:val="24"/>
        </w:rPr>
        <w:t xml:space="preserve"> administreret intravenøst i doser på op til 500 mikrogram/kg uden væsentlige effekter på det kardiovaskulære system.</w:t>
      </w:r>
    </w:p>
    <w:p w14:paraId="32FFFA65" w14:textId="77777777" w:rsidR="000547CB" w:rsidRPr="000547CB" w:rsidRDefault="000547CB" w:rsidP="000A12ED">
      <w:pPr>
        <w:ind w:left="851"/>
        <w:rPr>
          <w:sz w:val="24"/>
          <w:szCs w:val="24"/>
        </w:rPr>
      </w:pPr>
    </w:p>
    <w:p w14:paraId="2135D5E0" w14:textId="77777777" w:rsidR="000547CB" w:rsidRPr="000547CB" w:rsidRDefault="000547CB" w:rsidP="000A12ED">
      <w:pPr>
        <w:ind w:left="851"/>
        <w:rPr>
          <w:sz w:val="24"/>
          <w:szCs w:val="24"/>
        </w:rPr>
      </w:pPr>
      <w:r w:rsidRPr="000547CB">
        <w:rPr>
          <w:sz w:val="24"/>
          <w:szCs w:val="24"/>
        </w:rPr>
        <w:t xml:space="preserve">Intravenøs administration af </w:t>
      </w:r>
      <w:proofErr w:type="spellStart"/>
      <w:r w:rsidRPr="000547CB">
        <w:rPr>
          <w:sz w:val="24"/>
          <w:szCs w:val="24"/>
        </w:rPr>
        <w:t>latanoprost</w:t>
      </w:r>
      <w:proofErr w:type="spellEnd"/>
      <w:r w:rsidRPr="000547CB">
        <w:rPr>
          <w:sz w:val="24"/>
          <w:szCs w:val="24"/>
        </w:rPr>
        <w:t xml:space="preserve"> hos aber har været forbundet med forbigående </w:t>
      </w:r>
      <w:proofErr w:type="spellStart"/>
      <w:r w:rsidRPr="000547CB">
        <w:rPr>
          <w:sz w:val="24"/>
          <w:szCs w:val="24"/>
        </w:rPr>
        <w:t>bronkokonstriktion</w:t>
      </w:r>
      <w:proofErr w:type="spellEnd"/>
      <w:r w:rsidRPr="000547CB">
        <w:rPr>
          <w:sz w:val="24"/>
          <w:szCs w:val="24"/>
        </w:rPr>
        <w:t xml:space="preserve">. Hos patienter med moderat bronkialastma blev der imidlertid ikke induceret </w:t>
      </w:r>
      <w:proofErr w:type="spellStart"/>
      <w:r w:rsidRPr="000547CB">
        <w:rPr>
          <w:sz w:val="24"/>
          <w:szCs w:val="24"/>
        </w:rPr>
        <w:t>bronkokonstriktion</w:t>
      </w:r>
      <w:proofErr w:type="spellEnd"/>
      <w:r w:rsidRPr="000547CB">
        <w:rPr>
          <w:sz w:val="24"/>
          <w:szCs w:val="24"/>
        </w:rPr>
        <w:t xml:space="preserve"> ved </w:t>
      </w:r>
      <w:proofErr w:type="spellStart"/>
      <w:r w:rsidRPr="000547CB">
        <w:rPr>
          <w:sz w:val="24"/>
          <w:szCs w:val="24"/>
        </w:rPr>
        <w:t>topikal</w:t>
      </w:r>
      <w:proofErr w:type="spellEnd"/>
      <w:r w:rsidRPr="000547CB">
        <w:rPr>
          <w:sz w:val="24"/>
          <w:szCs w:val="24"/>
        </w:rPr>
        <w:t xml:space="preserve"> </w:t>
      </w:r>
      <w:proofErr w:type="spellStart"/>
      <w:r w:rsidRPr="000547CB">
        <w:rPr>
          <w:sz w:val="24"/>
          <w:szCs w:val="24"/>
        </w:rPr>
        <w:t>okulær</w:t>
      </w:r>
      <w:proofErr w:type="spellEnd"/>
      <w:r w:rsidRPr="000547CB">
        <w:rPr>
          <w:sz w:val="24"/>
          <w:szCs w:val="24"/>
        </w:rPr>
        <w:t xml:space="preserve"> administration af </w:t>
      </w:r>
      <w:proofErr w:type="spellStart"/>
      <w:r w:rsidRPr="000547CB">
        <w:rPr>
          <w:sz w:val="24"/>
          <w:szCs w:val="24"/>
        </w:rPr>
        <w:t>latanoprost</w:t>
      </w:r>
      <w:proofErr w:type="spellEnd"/>
      <w:r w:rsidRPr="000547CB">
        <w:rPr>
          <w:sz w:val="24"/>
          <w:szCs w:val="24"/>
        </w:rPr>
        <w:t xml:space="preserve"> i en dosis svarende til syvdobbelt af den kliniske dosis af Tanolux.</w:t>
      </w:r>
    </w:p>
    <w:p w14:paraId="295ABC68" w14:textId="77777777" w:rsidR="000547CB" w:rsidRPr="000547CB" w:rsidRDefault="000547CB" w:rsidP="000A12ED">
      <w:pPr>
        <w:ind w:left="851"/>
        <w:rPr>
          <w:sz w:val="24"/>
          <w:szCs w:val="24"/>
        </w:rPr>
      </w:pPr>
    </w:p>
    <w:p w14:paraId="18FAA6F1" w14:textId="77777777" w:rsidR="000547CB" w:rsidRPr="000547CB" w:rsidRDefault="000547CB" w:rsidP="000A12ED">
      <w:pPr>
        <w:ind w:left="851"/>
        <w:rPr>
          <w:sz w:val="24"/>
          <w:szCs w:val="24"/>
        </w:rPr>
      </w:pPr>
      <w:r w:rsidRPr="000547CB">
        <w:rPr>
          <w:sz w:val="24"/>
          <w:szCs w:val="24"/>
        </w:rPr>
        <w:t>Skulle det ske overdosering af Tanolux, bør behandlingen være symptomatisk.</w:t>
      </w:r>
    </w:p>
    <w:p w14:paraId="16A83D31" w14:textId="77777777" w:rsidR="009260DE" w:rsidRPr="004C59A7" w:rsidRDefault="009260DE" w:rsidP="009260DE">
      <w:pPr>
        <w:tabs>
          <w:tab w:val="left" w:pos="851"/>
        </w:tabs>
        <w:ind w:left="851"/>
        <w:rPr>
          <w:sz w:val="24"/>
          <w:szCs w:val="24"/>
        </w:rPr>
      </w:pPr>
    </w:p>
    <w:p w14:paraId="4F4036F9" w14:textId="77777777" w:rsidR="009260DE" w:rsidRPr="004C59A7" w:rsidRDefault="009260DE" w:rsidP="009260DE">
      <w:pPr>
        <w:tabs>
          <w:tab w:val="left" w:pos="851"/>
        </w:tabs>
        <w:ind w:left="851" w:hanging="851"/>
        <w:rPr>
          <w:b/>
          <w:sz w:val="24"/>
          <w:szCs w:val="24"/>
        </w:rPr>
      </w:pPr>
      <w:r w:rsidRPr="004C59A7">
        <w:rPr>
          <w:b/>
          <w:sz w:val="24"/>
          <w:szCs w:val="24"/>
        </w:rPr>
        <w:t>4.10</w:t>
      </w:r>
      <w:r w:rsidRPr="004C59A7">
        <w:rPr>
          <w:b/>
          <w:sz w:val="24"/>
          <w:szCs w:val="24"/>
        </w:rPr>
        <w:tab/>
        <w:t>Udlevering</w:t>
      </w:r>
    </w:p>
    <w:p w14:paraId="6D89D4CE" w14:textId="2347A2D8" w:rsidR="009260DE" w:rsidRPr="004C59A7" w:rsidRDefault="003247ED" w:rsidP="009260DE">
      <w:pPr>
        <w:tabs>
          <w:tab w:val="left" w:pos="851"/>
        </w:tabs>
        <w:ind w:left="851"/>
        <w:rPr>
          <w:sz w:val="24"/>
          <w:szCs w:val="24"/>
        </w:rPr>
      </w:pPr>
      <w:r w:rsidRPr="004C59A7">
        <w:rPr>
          <w:sz w:val="24"/>
          <w:szCs w:val="24"/>
        </w:rPr>
        <w:t>B</w:t>
      </w:r>
    </w:p>
    <w:p w14:paraId="5BB5E7AF" w14:textId="77777777" w:rsidR="009260DE" w:rsidRPr="004C59A7" w:rsidRDefault="009260DE" w:rsidP="009260DE">
      <w:pPr>
        <w:tabs>
          <w:tab w:val="left" w:pos="851"/>
        </w:tabs>
        <w:ind w:left="851"/>
        <w:rPr>
          <w:sz w:val="24"/>
          <w:szCs w:val="24"/>
        </w:rPr>
      </w:pPr>
    </w:p>
    <w:p w14:paraId="6C86005C" w14:textId="77777777" w:rsidR="009260DE" w:rsidRPr="004C59A7" w:rsidRDefault="009260DE" w:rsidP="009260DE">
      <w:pPr>
        <w:tabs>
          <w:tab w:val="left" w:pos="851"/>
        </w:tabs>
        <w:ind w:left="851"/>
        <w:rPr>
          <w:sz w:val="24"/>
          <w:szCs w:val="24"/>
        </w:rPr>
      </w:pPr>
    </w:p>
    <w:p w14:paraId="6BC8B6D1" w14:textId="77777777" w:rsidR="009260DE" w:rsidRPr="004C59A7" w:rsidRDefault="009260DE" w:rsidP="009260DE">
      <w:pPr>
        <w:tabs>
          <w:tab w:val="left" w:pos="851"/>
        </w:tabs>
        <w:ind w:left="851" w:hanging="851"/>
        <w:rPr>
          <w:b/>
          <w:sz w:val="24"/>
          <w:szCs w:val="24"/>
        </w:rPr>
      </w:pPr>
      <w:r w:rsidRPr="004C59A7">
        <w:rPr>
          <w:b/>
          <w:sz w:val="24"/>
          <w:szCs w:val="24"/>
        </w:rPr>
        <w:t>5.</w:t>
      </w:r>
      <w:r w:rsidRPr="004C59A7">
        <w:rPr>
          <w:b/>
          <w:sz w:val="24"/>
          <w:szCs w:val="24"/>
        </w:rPr>
        <w:tab/>
        <w:t>FARMAKOLOGISKE EGENSKABER</w:t>
      </w:r>
    </w:p>
    <w:p w14:paraId="0E1A5143" w14:textId="77777777" w:rsidR="009260DE" w:rsidRPr="004C59A7" w:rsidRDefault="009260DE" w:rsidP="009260DE">
      <w:pPr>
        <w:tabs>
          <w:tab w:val="left" w:pos="851"/>
        </w:tabs>
        <w:ind w:left="851"/>
        <w:rPr>
          <w:sz w:val="24"/>
          <w:szCs w:val="24"/>
        </w:rPr>
      </w:pPr>
    </w:p>
    <w:p w14:paraId="22AC2905" w14:textId="77777777" w:rsidR="009260DE" w:rsidRPr="004C59A7" w:rsidRDefault="009260DE" w:rsidP="009260DE">
      <w:pPr>
        <w:tabs>
          <w:tab w:val="num" w:pos="851"/>
        </w:tabs>
        <w:ind w:left="851" w:hanging="851"/>
        <w:rPr>
          <w:b/>
          <w:sz w:val="24"/>
          <w:szCs w:val="24"/>
        </w:rPr>
      </w:pPr>
      <w:r w:rsidRPr="004C59A7">
        <w:rPr>
          <w:b/>
          <w:sz w:val="24"/>
          <w:szCs w:val="24"/>
        </w:rPr>
        <w:t>5.1</w:t>
      </w:r>
      <w:r w:rsidRPr="004C59A7">
        <w:rPr>
          <w:b/>
          <w:sz w:val="24"/>
          <w:szCs w:val="24"/>
        </w:rPr>
        <w:tab/>
      </w:r>
      <w:proofErr w:type="spellStart"/>
      <w:r w:rsidRPr="004C59A7">
        <w:rPr>
          <w:b/>
          <w:sz w:val="24"/>
          <w:szCs w:val="24"/>
        </w:rPr>
        <w:t>Farmakodynamiske</w:t>
      </w:r>
      <w:proofErr w:type="spellEnd"/>
      <w:r w:rsidRPr="004C59A7">
        <w:rPr>
          <w:b/>
          <w:sz w:val="24"/>
          <w:szCs w:val="24"/>
        </w:rPr>
        <w:t xml:space="preserve"> egenskaber</w:t>
      </w:r>
    </w:p>
    <w:p w14:paraId="179DBD4C" w14:textId="44135A5F" w:rsidR="000547CB" w:rsidRPr="000547CB" w:rsidRDefault="000547CB" w:rsidP="000A12ED">
      <w:pPr>
        <w:ind w:left="851"/>
        <w:rPr>
          <w:sz w:val="24"/>
          <w:szCs w:val="24"/>
        </w:rPr>
      </w:pPr>
      <w:proofErr w:type="spellStart"/>
      <w:r w:rsidRPr="000547CB">
        <w:rPr>
          <w:sz w:val="24"/>
          <w:szCs w:val="24"/>
        </w:rPr>
        <w:t>Farmakoterapeutisk</w:t>
      </w:r>
      <w:proofErr w:type="spellEnd"/>
      <w:r w:rsidRPr="000547CB">
        <w:rPr>
          <w:sz w:val="24"/>
          <w:szCs w:val="24"/>
        </w:rPr>
        <w:t xml:space="preserve"> klassifikation: Oftalmologiske midler; </w:t>
      </w:r>
      <w:proofErr w:type="spellStart"/>
      <w:r w:rsidRPr="000547CB">
        <w:rPr>
          <w:sz w:val="24"/>
          <w:szCs w:val="24"/>
        </w:rPr>
        <w:t>antiglaukomatika</w:t>
      </w:r>
      <w:proofErr w:type="spellEnd"/>
      <w:r w:rsidRPr="000547CB">
        <w:rPr>
          <w:sz w:val="24"/>
          <w:szCs w:val="24"/>
        </w:rPr>
        <w:t xml:space="preserve"> og </w:t>
      </w:r>
      <w:proofErr w:type="spellStart"/>
      <w:r w:rsidRPr="000547CB">
        <w:rPr>
          <w:sz w:val="24"/>
          <w:szCs w:val="24"/>
        </w:rPr>
        <w:t>miotika</w:t>
      </w:r>
      <w:proofErr w:type="spellEnd"/>
      <w:r w:rsidRPr="000547CB">
        <w:rPr>
          <w:sz w:val="24"/>
          <w:szCs w:val="24"/>
        </w:rPr>
        <w:t xml:space="preserve">, </w:t>
      </w:r>
      <w:proofErr w:type="spellStart"/>
      <w:r w:rsidRPr="000547CB">
        <w:rPr>
          <w:sz w:val="24"/>
          <w:szCs w:val="24"/>
        </w:rPr>
        <w:t>prostaglandinanaloger</w:t>
      </w:r>
      <w:proofErr w:type="spellEnd"/>
      <w:r w:rsidR="00E60C48">
        <w:rPr>
          <w:sz w:val="24"/>
          <w:szCs w:val="24"/>
        </w:rPr>
        <w:t>,</w:t>
      </w:r>
      <w:r w:rsidRPr="000547CB">
        <w:rPr>
          <w:sz w:val="24"/>
          <w:szCs w:val="24"/>
        </w:rPr>
        <w:t xml:space="preserve"> ATC-kode: S01EE01.</w:t>
      </w:r>
    </w:p>
    <w:p w14:paraId="1973DB5D" w14:textId="77777777" w:rsidR="000547CB" w:rsidRPr="000547CB" w:rsidRDefault="000547CB" w:rsidP="000A12ED">
      <w:pPr>
        <w:ind w:left="851"/>
        <w:rPr>
          <w:sz w:val="24"/>
          <w:szCs w:val="24"/>
        </w:rPr>
      </w:pPr>
    </w:p>
    <w:p w14:paraId="0CB32E98" w14:textId="77777777" w:rsidR="000547CB" w:rsidRPr="000547CB" w:rsidRDefault="000547CB" w:rsidP="000A12ED">
      <w:pPr>
        <w:ind w:left="851"/>
        <w:rPr>
          <w:sz w:val="24"/>
          <w:szCs w:val="24"/>
        </w:rPr>
      </w:pPr>
      <w:r w:rsidRPr="000547CB">
        <w:rPr>
          <w:sz w:val="24"/>
          <w:szCs w:val="24"/>
        </w:rPr>
        <w:t xml:space="preserve">Det aktive stof </w:t>
      </w:r>
      <w:proofErr w:type="spellStart"/>
      <w:r w:rsidRPr="000547CB">
        <w:rPr>
          <w:sz w:val="24"/>
          <w:szCs w:val="24"/>
        </w:rPr>
        <w:t>latanoprost</w:t>
      </w:r>
      <w:proofErr w:type="spellEnd"/>
      <w:r w:rsidRPr="000547CB">
        <w:rPr>
          <w:sz w:val="24"/>
          <w:szCs w:val="24"/>
        </w:rPr>
        <w:t xml:space="preserve">, en analog af </w:t>
      </w:r>
      <w:proofErr w:type="spellStart"/>
      <w:r w:rsidRPr="000547CB">
        <w:rPr>
          <w:sz w:val="24"/>
          <w:szCs w:val="24"/>
        </w:rPr>
        <w:t>prostaglandin</w:t>
      </w:r>
      <w:proofErr w:type="spellEnd"/>
      <w:r w:rsidRPr="000547CB">
        <w:rPr>
          <w:sz w:val="24"/>
          <w:szCs w:val="24"/>
        </w:rPr>
        <w:t xml:space="preserve"> F</w:t>
      </w:r>
      <w:r w:rsidRPr="000547CB">
        <w:rPr>
          <w:sz w:val="24"/>
          <w:szCs w:val="24"/>
          <w:vertAlign w:val="subscript"/>
        </w:rPr>
        <w:t>2α</w:t>
      </w:r>
      <w:r w:rsidRPr="000547CB">
        <w:rPr>
          <w:sz w:val="24"/>
          <w:szCs w:val="24"/>
        </w:rPr>
        <w:t xml:space="preserve">, er en selektiv </w:t>
      </w:r>
      <w:proofErr w:type="spellStart"/>
      <w:r w:rsidRPr="000547CB">
        <w:rPr>
          <w:sz w:val="24"/>
          <w:szCs w:val="24"/>
        </w:rPr>
        <w:t>prostanoid</w:t>
      </w:r>
      <w:proofErr w:type="spellEnd"/>
      <w:r w:rsidRPr="000547CB">
        <w:rPr>
          <w:sz w:val="24"/>
          <w:szCs w:val="24"/>
        </w:rPr>
        <w:t xml:space="preserve">-FP-receptoragonist, som reducerer det </w:t>
      </w:r>
      <w:proofErr w:type="spellStart"/>
      <w:r w:rsidRPr="000547CB">
        <w:rPr>
          <w:sz w:val="24"/>
          <w:szCs w:val="24"/>
        </w:rPr>
        <w:t>intraokulære</w:t>
      </w:r>
      <w:proofErr w:type="spellEnd"/>
      <w:r w:rsidRPr="000547CB">
        <w:rPr>
          <w:sz w:val="24"/>
          <w:szCs w:val="24"/>
        </w:rPr>
        <w:t xml:space="preserve"> tryk (IOP) ved at øge afløbet af kammervandet. Reduktionen af IOP hos mennesker indtræder cirka tre til fire timer efter administration, og den maksimale virkning opnås efter otte til tolv timer. Trykreduktion opretholdes i mindst 24 timer.</w:t>
      </w:r>
    </w:p>
    <w:p w14:paraId="510F2C59" w14:textId="77777777" w:rsidR="000547CB" w:rsidRPr="000547CB" w:rsidRDefault="000547CB" w:rsidP="000A12ED">
      <w:pPr>
        <w:ind w:left="851"/>
        <w:rPr>
          <w:sz w:val="24"/>
          <w:szCs w:val="24"/>
        </w:rPr>
      </w:pPr>
    </w:p>
    <w:p w14:paraId="4E2535D6" w14:textId="77777777" w:rsidR="000547CB" w:rsidRPr="000547CB" w:rsidRDefault="000547CB" w:rsidP="000A12ED">
      <w:pPr>
        <w:ind w:left="851"/>
        <w:rPr>
          <w:sz w:val="24"/>
          <w:szCs w:val="24"/>
        </w:rPr>
      </w:pPr>
      <w:r w:rsidRPr="000547CB">
        <w:rPr>
          <w:sz w:val="24"/>
          <w:szCs w:val="24"/>
        </w:rPr>
        <w:t xml:space="preserve">Studier på dyr og mennesker tyder på, at hovedvirkningsmekanismen er øget </w:t>
      </w:r>
      <w:proofErr w:type="spellStart"/>
      <w:r w:rsidRPr="000547CB">
        <w:rPr>
          <w:sz w:val="24"/>
          <w:szCs w:val="24"/>
        </w:rPr>
        <w:t>uveoscleralt</w:t>
      </w:r>
      <w:proofErr w:type="spellEnd"/>
      <w:r w:rsidRPr="000547CB">
        <w:rPr>
          <w:sz w:val="24"/>
          <w:szCs w:val="24"/>
        </w:rPr>
        <w:t xml:space="preserve"> afløb, selvom en vis reduktion i afløbsmodstand er blevet rapporteret hos mennesker.</w:t>
      </w:r>
    </w:p>
    <w:p w14:paraId="048F34FA" w14:textId="77777777" w:rsidR="000547CB" w:rsidRPr="000547CB" w:rsidRDefault="000547CB" w:rsidP="000A12ED">
      <w:pPr>
        <w:ind w:left="851"/>
        <w:rPr>
          <w:sz w:val="24"/>
          <w:szCs w:val="24"/>
        </w:rPr>
      </w:pPr>
    </w:p>
    <w:p w14:paraId="04F01352" w14:textId="357EBADD" w:rsidR="000547CB" w:rsidRPr="000547CB" w:rsidRDefault="000547CB" w:rsidP="000A12ED">
      <w:pPr>
        <w:ind w:left="851"/>
        <w:rPr>
          <w:sz w:val="24"/>
          <w:szCs w:val="24"/>
        </w:rPr>
      </w:pPr>
      <w:r w:rsidRPr="000547CB">
        <w:rPr>
          <w:sz w:val="24"/>
          <w:szCs w:val="24"/>
        </w:rPr>
        <w:t xml:space="preserve">Centrale afprøvninger har vist, at </w:t>
      </w:r>
      <w:proofErr w:type="spellStart"/>
      <w:r w:rsidRPr="000547CB">
        <w:rPr>
          <w:sz w:val="24"/>
          <w:szCs w:val="24"/>
        </w:rPr>
        <w:t>latanoprost</w:t>
      </w:r>
      <w:proofErr w:type="spellEnd"/>
      <w:r w:rsidRPr="000547CB">
        <w:rPr>
          <w:sz w:val="24"/>
          <w:szCs w:val="24"/>
        </w:rPr>
        <w:t xml:space="preserve"> er effektivt som monoterapi. Der er endvidere udført kliniske forsøg med kombinationsbehandling. Disse omfatter forsøg som viser, at </w:t>
      </w:r>
      <w:proofErr w:type="spellStart"/>
      <w:r w:rsidRPr="000547CB">
        <w:rPr>
          <w:sz w:val="24"/>
          <w:szCs w:val="24"/>
        </w:rPr>
        <w:t>latanoprost</w:t>
      </w:r>
      <w:proofErr w:type="spellEnd"/>
      <w:r w:rsidRPr="000547CB">
        <w:rPr>
          <w:sz w:val="24"/>
          <w:szCs w:val="24"/>
        </w:rPr>
        <w:t xml:space="preserve"> er effektiv i kombination med beta-</w:t>
      </w:r>
      <w:proofErr w:type="spellStart"/>
      <w:r w:rsidRPr="000547CB">
        <w:rPr>
          <w:sz w:val="24"/>
          <w:szCs w:val="24"/>
        </w:rPr>
        <w:t>adrenerge</w:t>
      </w:r>
      <w:proofErr w:type="spellEnd"/>
      <w:r w:rsidRPr="000547CB">
        <w:rPr>
          <w:sz w:val="24"/>
          <w:szCs w:val="24"/>
        </w:rPr>
        <w:t xml:space="preserve"> antagonister (</w:t>
      </w:r>
      <w:proofErr w:type="spellStart"/>
      <w:r w:rsidRPr="000547CB">
        <w:rPr>
          <w:sz w:val="24"/>
          <w:szCs w:val="24"/>
        </w:rPr>
        <w:t>timolol</w:t>
      </w:r>
      <w:proofErr w:type="spellEnd"/>
      <w:r w:rsidRPr="000547CB">
        <w:rPr>
          <w:sz w:val="24"/>
          <w:szCs w:val="24"/>
        </w:rPr>
        <w:t xml:space="preserve">). Korttidsstudier (1 eller 2 uger) tyder på, at virkningen af </w:t>
      </w:r>
      <w:proofErr w:type="spellStart"/>
      <w:r w:rsidRPr="000547CB">
        <w:rPr>
          <w:sz w:val="24"/>
          <w:szCs w:val="24"/>
        </w:rPr>
        <w:t>latanoprost</w:t>
      </w:r>
      <w:proofErr w:type="spellEnd"/>
      <w:r w:rsidRPr="000547CB">
        <w:rPr>
          <w:sz w:val="24"/>
          <w:szCs w:val="24"/>
        </w:rPr>
        <w:t xml:space="preserve"> er additiv i kombination med </w:t>
      </w:r>
      <w:proofErr w:type="spellStart"/>
      <w:r w:rsidRPr="000547CB">
        <w:rPr>
          <w:sz w:val="24"/>
          <w:szCs w:val="24"/>
        </w:rPr>
        <w:t>adrenerge</w:t>
      </w:r>
      <w:proofErr w:type="spellEnd"/>
      <w:r w:rsidRPr="000547CB">
        <w:rPr>
          <w:sz w:val="24"/>
          <w:szCs w:val="24"/>
        </w:rPr>
        <w:t xml:space="preserve"> agonister (</w:t>
      </w:r>
      <w:proofErr w:type="spellStart"/>
      <w:r w:rsidRPr="000547CB">
        <w:rPr>
          <w:sz w:val="24"/>
          <w:szCs w:val="24"/>
        </w:rPr>
        <w:t>dipivalylepinephrin</w:t>
      </w:r>
      <w:proofErr w:type="spellEnd"/>
      <w:r w:rsidRPr="000547CB">
        <w:rPr>
          <w:sz w:val="24"/>
          <w:szCs w:val="24"/>
        </w:rPr>
        <w:t xml:space="preserve">), orale </w:t>
      </w:r>
      <w:proofErr w:type="spellStart"/>
      <w:r w:rsidRPr="000547CB">
        <w:rPr>
          <w:sz w:val="24"/>
          <w:szCs w:val="24"/>
        </w:rPr>
        <w:t>carboanhydrase</w:t>
      </w:r>
      <w:r w:rsidR="00E60C48">
        <w:rPr>
          <w:sz w:val="24"/>
          <w:szCs w:val="24"/>
        </w:rPr>
        <w:softHyphen/>
      </w:r>
      <w:r w:rsidRPr="000547CB">
        <w:rPr>
          <w:sz w:val="24"/>
          <w:szCs w:val="24"/>
        </w:rPr>
        <w:t>hæmmere</w:t>
      </w:r>
      <w:proofErr w:type="spellEnd"/>
      <w:r w:rsidRPr="000547CB">
        <w:rPr>
          <w:sz w:val="24"/>
          <w:szCs w:val="24"/>
        </w:rPr>
        <w:t xml:space="preserve"> (</w:t>
      </w:r>
      <w:proofErr w:type="spellStart"/>
      <w:r w:rsidRPr="000547CB">
        <w:rPr>
          <w:sz w:val="24"/>
          <w:szCs w:val="24"/>
        </w:rPr>
        <w:t>acetazolamid</w:t>
      </w:r>
      <w:proofErr w:type="spellEnd"/>
      <w:r w:rsidRPr="000547CB">
        <w:rPr>
          <w:sz w:val="24"/>
          <w:szCs w:val="24"/>
        </w:rPr>
        <w:t xml:space="preserve">) og mindst delvist additiv med </w:t>
      </w:r>
      <w:proofErr w:type="spellStart"/>
      <w:r w:rsidRPr="000547CB">
        <w:rPr>
          <w:sz w:val="24"/>
          <w:szCs w:val="24"/>
        </w:rPr>
        <w:t>kolinerge</w:t>
      </w:r>
      <w:proofErr w:type="spellEnd"/>
      <w:r w:rsidRPr="000547CB">
        <w:rPr>
          <w:sz w:val="24"/>
          <w:szCs w:val="24"/>
        </w:rPr>
        <w:t xml:space="preserve"> agonister (</w:t>
      </w:r>
      <w:proofErr w:type="spellStart"/>
      <w:r w:rsidRPr="000547CB">
        <w:rPr>
          <w:sz w:val="24"/>
          <w:szCs w:val="24"/>
        </w:rPr>
        <w:t>pilocarpin</w:t>
      </w:r>
      <w:proofErr w:type="spellEnd"/>
      <w:r w:rsidRPr="000547CB">
        <w:rPr>
          <w:sz w:val="24"/>
          <w:szCs w:val="24"/>
        </w:rPr>
        <w:t>).</w:t>
      </w:r>
    </w:p>
    <w:p w14:paraId="0921E29F" w14:textId="77777777" w:rsidR="000547CB" w:rsidRPr="000547CB" w:rsidRDefault="000547CB" w:rsidP="000A12ED">
      <w:pPr>
        <w:ind w:left="851"/>
        <w:rPr>
          <w:sz w:val="24"/>
          <w:szCs w:val="24"/>
        </w:rPr>
      </w:pPr>
    </w:p>
    <w:p w14:paraId="73FF9938" w14:textId="77777777" w:rsidR="000547CB" w:rsidRPr="000547CB" w:rsidRDefault="000547CB" w:rsidP="000A12ED">
      <w:pPr>
        <w:ind w:left="851"/>
        <w:rPr>
          <w:sz w:val="24"/>
          <w:szCs w:val="24"/>
        </w:rPr>
      </w:pPr>
      <w:r w:rsidRPr="000547CB">
        <w:rPr>
          <w:sz w:val="24"/>
          <w:szCs w:val="24"/>
        </w:rPr>
        <w:t xml:space="preserve">Kliniske afprøvninger har vist, at </w:t>
      </w:r>
      <w:proofErr w:type="spellStart"/>
      <w:r w:rsidRPr="000547CB">
        <w:rPr>
          <w:sz w:val="24"/>
          <w:szCs w:val="24"/>
        </w:rPr>
        <w:t>latanoprost</w:t>
      </w:r>
      <w:proofErr w:type="spellEnd"/>
      <w:r w:rsidRPr="000547CB">
        <w:rPr>
          <w:sz w:val="24"/>
          <w:szCs w:val="24"/>
        </w:rPr>
        <w:t xml:space="preserve"> ikke har nogen signifikant virkning på produktionen af kammervand. </w:t>
      </w:r>
      <w:proofErr w:type="spellStart"/>
      <w:r w:rsidRPr="000547CB">
        <w:rPr>
          <w:sz w:val="24"/>
          <w:szCs w:val="24"/>
        </w:rPr>
        <w:t>Latanoprost</w:t>
      </w:r>
      <w:proofErr w:type="spellEnd"/>
      <w:r w:rsidRPr="000547CB">
        <w:rPr>
          <w:sz w:val="24"/>
          <w:szCs w:val="24"/>
        </w:rPr>
        <w:t xml:space="preserve"> har ikke vist sig at have nogen virkning på blod-kammervands-barrieren.</w:t>
      </w:r>
    </w:p>
    <w:p w14:paraId="2FA5E0AC" w14:textId="77777777" w:rsidR="000547CB" w:rsidRPr="000547CB" w:rsidRDefault="000547CB" w:rsidP="000A12ED">
      <w:pPr>
        <w:ind w:left="851"/>
        <w:rPr>
          <w:sz w:val="24"/>
          <w:szCs w:val="24"/>
        </w:rPr>
      </w:pPr>
      <w:proofErr w:type="spellStart"/>
      <w:r w:rsidRPr="000547CB">
        <w:rPr>
          <w:sz w:val="24"/>
          <w:szCs w:val="24"/>
        </w:rPr>
        <w:t>Latanoprost</w:t>
      </w:r>
      <w:proofErr w:type="spellEnd"/>
      <w:r w:rsidRPr="000547CB">
        <w:rPr>
          <w:sz w:val="24"/>
          <w:szCs w:val="24"/>
        </w:rPr>
        <w:t xml:space="preserve"> har ingen eller kun ubetydelig virkning på den </w:t>
      </w:r>
      <w:proofErr w:type="spellStart"/>
      <w:r w:rsidRPr="000547CB">
        <w:rPr>
          <w:sz w:val="24"/>
          <w:szCs w:val="24"/>
        </w:rPr>
        <w:t>intraokulære</w:t>
      </w:r>
      <w:proofErr w:type="spellEnd"/>
      <w:r w:rsidRPr="000547CB">
        <w:rPr>
          <w:sz w:val="24"/>
          <w:szCs w:val="24"/>
        </w:rPr>
        <w:t xml:space="preserve"> </w:t>
      </w:r>
      <w:proofErr w:type="spellStart"/>
      <w:r w:rsidRPr="000547CB">
        <w:rPr>
          <w:sz w:val="24"/>
          <w:szCs w:val="24"/>
        </w:rPr>
        <w:t>blod¬cirkulation</w:t>
      </w:r>
      <w:proofErr w:type="spellEnd"/>
      <w:r w:rsidRPr="000547CB">
        <w:rPr>
          <w:sz w:val="24"/>
          <w:szCs w:val="24"/>
        </w:rPr>
        <w:t xml:space="preserve">, når det anvendes i kliniske doser på aber. Mild til moderat </w:t>
      </w:r>
      <w:proofErr w:type="spellStart"/>
      <w:r w:rsidRPr="000547CB">
        <w:rPr>
          <w:sz w:val="24"/>
          <w:szCs w:val="24"/>
        </w:rPr>
        <w:t>konjunktival</w:t>
      </w:r>
      <w:proofErr w:type="spellEnd"/>
      <w:r w:rsidRPr="000547CB">
        <w:rPr>
          <w:sz w:val="24"/>
          <w:szCs w:val="24"/>
        </w:rPr>
        <w:t xml:space="preserve"> eller </w:t>
      </w:r>
      <w:proofErr w:type="spellStart"/>
      <w:r w:rsidRPr="000547CB">
        <w:rPr>
          <w:sz w:val="24"/>
          <w:szCs w:val="24"/>
        </w:rPr>
        <w:t>episcleral</w:t>
      </w:r>
      <w:proofErr w:type="spellEnd"/>
      <w:r w:rsidRPr="000547CB">
        <w:rPr>
          <w:sz w:val="24"/>
          <w:szCs w:val="24"/>
        </w:rPr>
        <w:t xml:space="preserve"> </w:t>
      </w:r>
      <w:proofErr w:type="spellStart"/>
      <w:r w:rsidRPr="000547CB">
        <w:rPr>
          <w:sz w:val="24"/>
          <w:szCs w:val="24"/>
        </w:rPr>
        <w:t>hyperæmi</w:t>
      </w:r>
      <w:proofErr w:type="spellEnd"/>
      <w:r w:rsidRPr="000547CB">
        <w:rPr>
          <w:sz w:val="24"/>
          <w:szCs w:val="24"/>
        </w:rPr>
        <w:t xml:space="preserve"> kan imidlertid opstå under </w:t>
      </w:r>
      <w:proofErr w:type="spellStart"/>
      <w:r w:rsidRPr="000547CB">
        <w:rPr>
          <w:sz w:val="24"/>
          <w:szCs w:val="24"/>
        </w:rPr>
        <w:t>topikal</w:t>
      </w:r>
      <w:proofErr w:type="spellEnd"/>
      <w:r w:rsidRPr="000547CB">
        <w:rPr>
          <w:sz w:val="24"/>
          <w:szCs w:val="24"/>
        </w:rPr>
        <w:t xml:space="preserve"> behandling.</w:t>
      </w:r>
    </w:p>
    <w:p w14:paraId="09A8EC8C" w14:textId="77777777" w:rsidR="000547CB" w:rsidRPr="000547CB" w:rsidRDefault="000547CB" w:rsidP="000A12ED">
      <w:pPr>
        <w:ind w:left="851"/>
        <w:rPr>
          <w:sz w:val="24"/>
          <w:szCs w:val="24"/>
        </w:rPr>
      </w:pPr>
    </w:p>
    <w:p w14:paraId="308763F8" w14:textId="77777777" w:rsidR="000547CB" w:rsidRPr="000547CB" w:rsidRDefault="000547CB" w:rsidP="000A12ED">
      <w:pPr>
        <w:ind w:left="851"/>
        <w:rPr>
          <w:sz w:val="24"/>
          <w:szCs w:val="24"/>
        </w:rPr>
      </w:pPr>
      <w:r w:rsidRPr="000547CB">
        <w:rPr>
          <w:sz w:val="24"/>
          <w:szCs w:val="24"/>
        </w:rPr>
        <w:t xml:space="preserve">Kronisk behandling med </w:t>
      </w:r>
      <w:proofErr w:type="spellStart"/>
      <w:r w:rsidRPr="000547CB">
        <w:rPr>
          <w:sz w:val="24"/>
          <w:szCs w:val="24"/>
        </w:rPr>
        <w:t>latanoprost</w:t>
      </w:r>
      <w:proofErr w:type="spellEnd"/>
      <w:r w:rsidRPr="000547CB">
        <w:rPr>
          <w:sz w:val="24"/>
          <w:szCs w:val="24"/>
        </w:rPr>
        <w:t xml:space="preserve"> i øjne hos aber, der havde gennemgået </w:t>
      </w:r>
      <w:proofErr w:type="spellStart"/>
      <w:r w:rsidRPr="000547CB">
        <w:rPr>
          <w:sz w:val="24"/>
          <w:szCs w:val="24"/>
        </w:rPr>
        <w:t>ekstrakapsulær</w:t>
      </w:r>
      <w:proofErr w:type="spellEnd"/>
      <w:r w:rsidRPr="000547CB">
        <w:rPr>
          <w:sz w:val="24"/>
          <w:szCs w:val="24"/>
        </w:rPr>
        <w:t xml:space="preserve"> linseekstraktion, påvirkede ikke de </w:t>
      </w:r>
      <w:proofErr w:type="spellStart"/>
      <w:r w:rsidRPr="000547CB">
        <w:rPr>
          <w:sz w:val="24"/>
          <w:szCs w:val="24"/>
        </w:rPr>
        <w:t>retinale</w:t>
      </w:r>
      <w:proofErr w:type="spellEnd"/>
      <w:r w:rsidRPr="000547CB">
        <w:rPr>
          <w:sz w:val="24"/>
          <w:szCs w:val="24"/>
        </w:rPr>
        <w:t xml:space="preserve"> blodkar. Dette blev påvist ved </w:t>
      </w:r>
      <w:proofErr w:type="spellStart"/>
      <w:r w:rsidRPr="000547CB">
        <w:rPr>
          <w:sz w:val="24"/>
          <w:szCs w:val="24"/>
        </w:rPr>
        <w:t>fluoresceinangiografi</w:t>
      </w:r>
      <w:proofErr w:type="spellEnd"/>
      <w:r w:rsidRPr="000547CB">
        <w:rPr>
          <w:sz w:val="24"/>
          <w:szCs w:val="24"/>
        </w:rPr>
        <w:t>.</w:t>
      </w:r>
    </w:p>
    <w:p w14:paraId="5512E1E8" w14:textId="77777777" w:rsidR="000547CB" w:rsidRPr="000547CB" w:rsidRDefault="000547CB" w:rsidP="000A12ED">
      <w:pPr>
        <w:ind w:left="851"/>
        <w:rPr>
          <w:sz w:val="24"/>
          <w:szCs w:val="24"/>
        </w:rPr>
      </w:pPr>
    </w:p>
    <w:p w14:paraId="50715FB1" w14:textId="77777777" w:rsidR="000547CB" w:rsidRPr="000547CB" w:rsidRDefault="000547CB" w:rsidP="000A12ED">
      <w:pPr>
        <w:ind w:left="851"/>
        <w:rPr>
          <w:sz w:val="24"/>
          <w:szCs w:val="24"/>
        </w:rPr>
      </w:pPr>
      <w:proofErr w:type="spellStart"/>
      <w:r w:rsidRPr="000547CB">
        <w:rPr>
          <w:sz w:val="24"/>
          <w:szCs w:val="24"/>
        </w:rPr>
        <w:t>Latanoprost</w:t>
      </w:r>
      <w:proofErr w:type="spellEnd"/>
      <w:r w:rsidRPr="000547CB">
        <w:rPr>
          <w:sz w:val="24"/>
          <w:szCs w:val="24"/>
        </w:rPr>
        <w:t xml:space="preserve"> har ikke induceret </w:t>
      </w:r>
      <w:proofErr w:type="spellStart"/>
      <w:r w:rsidRPr="000547CB">
        <w:rPr>
          <w:sz w:val="24"/>
          <w:szCs w:val="24"/>
        </w:rPr>
        <w:t>fluoresceinlækage</w:t>
      </w:r>
      <w:proofErr w:type="spellEnd"/>
      <w:r w:rsidRPr="000547CB">
        <w:rPr>
          <w:sz w:val="24"/>
          <w:szCs w:val="24"/>
        </w:rPr>
        <w:t xml:space="preserve"> i det </w:t>
      </w:r>
      <w:proofErr w:type="spellStart"/>
      <w:r w:rsidRPr="000547CB">
        <w:rPr>
          <w:sz w:val="24"/>
          <w:szCs w:val="24"/>
        </w:rPr>
        <w:t>posteriore</w:t>
      </w:r>
      <w:proofErr w:type="spellEnd"/>
      <w:r w:rsidRPr="000547CB">
        <w:rPr>
          <w:sz w:val="24"/>
          <w:szCs w:val="24"/>
        </w:rPr>
        <w:t xml:space="preserve"> segment i </w:t>
      </w:r>
      <w:proofErr w:type="spellStart"/>
      <w:r w:rsidRPr="000547CB">
        <w:rPr>
          <w:sz w:val="24"/>
          <w:szCs w:val="24"/>
        </w:rPr>
        <w:t>pseudofakiske</w:t>
      </w:r>
      <w:proofErr w:type="spellEnd"/>
      <w:r w:rsidRPr="000547CB">
        <w:rPr>
          <w:sz w:val="24"/>
          <w:szCs w:val="24"/>
        </w:rPr>
        <w:t xml:space="preserve"> menneskeøjne efter korttidsbehandling.</w:t>
      </w:r>
    </w:p>
    <w:p w14:paraId="2870DE0C" w14:textId="77777777" w:rsidR="000547CB" w:rsidRPr="000547CB" w:rsidRDefault="000547CB" w:rsidP="000A12ED">
      <w:pPr>
        <w:ind w:left="851"/>
        <w:rPr>
          <w:sz w:val="24"/>
          <w:szCs w:val="24"/>
        </w:rPr>
      </w:pPr>
    </w:p>
    <w:p w14:paraId="0D03368C" w14:textId="77777777" w:rsidR="000547CB" w:rsidRPr="000547CB" w:rsidRDefault="000547CB" w:rsidP="000A12ED">
      <w:pPr>
        <w:ind w:left="851"/>
        <w:rPr>
          <w:sz w:val="24"/>
          <w:szCs w:val="24"/>
        </w:rPr>
      </w:pPr>
      <w:proofErr w:type="spellStart"/>
      <w:r w:rsidRPr="000547CB">
        <w:rPr>
          <w:sz w:val="24"/>
          <w:szCs w:val="24"/>
        </w:rPr>
        <w:t>Latanoprost</w:t>
      </w:r>
      <w:proofErr w:type="spellEnd"/>
      <w:r w:rsidRPr="000547CB">
        <w:rPr>
          <w:sz w:val="24"/>
          <w:szCs w:val="24"/>
        </w:rPr>
        <w:t xml:space="preserve"> i kliniske doser har ikke vist nogen signifikante farmakologiske effekter på det kardiovaskulære eller respiratoriske system.</w:t>
      </w:r>
    </w:p>
    <w:p w14:paraId="4F505793" w14:textId="77777777" w:rsidR="000547CB" w:rsidRPr="000547CB" w:rsidRDefault="000547CB" w:rsidP="000A12ED">
      <w:pPr>
        <w:ind w:left="851"/>
        <w:rPr>
          <w:sz w:val="24"/>
          <w:szCs w:val="24"/>
        </w:rPr>
      </w:pPr>
    </w:p>
    <w:p w14:paraId="583C7D84" w14:textId="77777777" w:rsidR="000547CB" w:rsidRPr="000547CB" w:rsidRDefault="000547CB" w:rsidP="000A12ED">
      <w:pPr>
        <w:ind w:left="851"/>
        <w:rPr>
          <w:sz w:val="24"/>
          <w:szCs w:val="24"/>
        </w:rPr>
      </w:pPr>
      <w:r w:rsidRPr="000547CB">
        <w:rPr>
          <w:sz w:val="24"/>
          <w:szCs w:val="24"/>
        </w:rPr>
        <w:t xml:space="preserve">Det offentliggjorte britiske </w:t>
      </w:r>
      <w:proofErr w:type="spellStart"/>
      <w:r w:rsidRPr="000547CB">
        <w:rPr>
          <w:sz w:val="24"/>
          <w:szCs w:val="24"/>
        </w:rPr>
        <w:t>glaukombehandlingsstudie</w:t>
      </w:r>
      <w:proofErr w:type="spellEnd"/>
      <w:r w:rsidRPr="000547CB">
        <w:rPr>
          <w:sz w:val="24"/>
          <w:szCs w:val="24"/>
        </w:rPr>
        <w:t xml:space="preserve"> (United Kingdom </w:t>
      </w:r>
      <w:proofErr w:type="spellStart"/>
      <w:r w:rsidRPr="000547CB">
        <w:rPr>
          <w:sz w:val="24"/>
          <w:szCs w:val="24"/>
        </w:rPr>
        <w:t>Glaucoma</w:t>
      </w:r>
      <w:proofErr w:type="spellEnd"/>
      <w:r w:rsidRPr="000547CB">
        <w:rPr>
          <w:sz w:val="24"/>
          <w:szCs w:val="24"/>
        </w:rPr>
        <w:t xml:space="preserve"> </w:t>
      </w:r>
      <w:proofErr w:type="spellStart"/>
      <w:r w:rsidRPr="000547CB">
        <w:rPr>
          <w:sz w:val="24"/>
          <w:szCs w:val="24"/>
        </w:rPr>
        <w:t>Treatment</w:t>
      </w:r>
      <w:proofErr w:type="spellEnd"/>
      <w:r w:rsidRPr="000547CB">
        <w:rPr>
          <w:sz w:val="24"/>
          <w:szCs w:val="24"/>
        </w:rPr>
        <w:t xml:space="preserve"> </w:t>
      </w:r>
      <w:proofErr w:type="spellStart"/>
      <w:r w:rsidRPr="000547CB">
        <w:rPr>
          <w:sz w:val="24"/>
          <w:szCs w:val="24"/>
        </w:rPr>
        <w:t>Study</w:t>
      </w:r>
      <w:proofErr w:type="spellEnd"/>
      <w:r w:rsidRPr="000547CB">
        <w:rPr>
          <w:sz w:val="24"/>
          <w:szCs w:val="24"/>
        </w:rPr>
        <w:t xml:space="preserve">, UKGTS), et randomiseret, tredobbelt blindet, placebokontrolleret studie, evaluerede effekten af øjendråber med </w:t>
      </w:r>
      <w:proofErr w:type="spellStart"/>
      <w:r w:rsidRPr="000547CB">
        <w:rPr>
          <w:sz w:val="24"/>
          <w:szCs w:val="24"/>
        </w:rPr>
        <w:t>latanoprost</w:t>
      </w:r>
      <w:proofErr w:type="spellEnd"/>
      <w:r w:rsidRPr="000547CB">
        <w:rPr>
          <w:sz w:val="24"/>
          <w:szCs w:val="24"/>
        </w:rPr>
        <w:t xml:space="preserve"> (50 mikrogram/ml) til bevarelse af synsfeltet hos 516 patienter med </w:t>
      </w:r>
      <w:proofErr w:type="spellStart"/>
      <w:r w:rsidRPr="000547CB">
        <w:rPr>
          <w:sz w:val="24"/>
          <w:szCs w:val="24"/>
        </w:rPr>
        <w:t>nydiagnosticeret</w:t>
      </w:r>
      <w:proofErr w:type="spellEnd"/>
      <w:r w:rsidRPr="000547CB">
        <w:rPr>
          <w:sz w:val="24"/>
          <w:szCs w:val="24"/>
        </w:rPr>
        <w:t xml:space="preserve"> mild til moderat åbenvinklet </w:t>
      </w:r>
      <w:proofErr w:type="spellStart"/>
      <w:r w:rsidRPr="000547CB">
        <w:rPr>
          <w:sz w:val="24"/>
          <w:szCs w:val="24"/>
        </w:rPr>
        <w:t>glaukom</w:t>
      </w:r>
      <w:proofErr w:type="spellEnd"/>
      <w:r w:rsidRPr="000547CB">
        <w:rPr>
          <w:sz w:val="24"/>
          <w:szCs w:val="24"/>
        </w:rPr>
        <w:t xml:space="preserve"> (OAG). 59 patienter (25,6 %; 95 % CI 20,1–31,8) i placebogruppen havde en synsfeltsforringelse forenelig med </w:t>
      </w:r>
      <w:proofErr w:type="spellStart"/>
      <w:r w:rsidRPr="000547CB">
        <w:rPr>
          <w:sz w:val="24"/>
          <w:szCs w:val="24"/>
        </w:rPr>
        <w:t>glaukom</w:t>
      </w:r>
      <w:proofErr w:type="spellEnd"/>
      <w:r w:rsidRPr="000547CB">
        <w:rPr>
          <w:sz w:val="24"/>
          <w:szCs w:val="24"/>
        </w:rPr>
        <w:t xml:space="preserve"> sammenlignet med 35 patienter (15,2 %; 95 % CI 10,8–20,4) i </w:t>
      </w:r>
      <w:proofErr w:type="spellStart"/>
      <w:r w:rsidRPr="000547CB">
        <w:rPr>
          <w:sz w:val="24"/>
          <w:szCs w:val="24"/>
        </w:rPr>
        <w:t>latanoprostgruppen</w:t>
      </w:r>
      <w:proofErr w:type="spellEnd"/>
      <w:r w:rsidRPr="000547CB">
        <w:rPr>
          <w:sz w:val="24"/>
          <w:szCs w:val="24"/>
        </w:rPr>
        <w:t xml:space="preserve"> (p = 0,006). Dette var forbundet med en reduktion i IOP fra baseline på 3,8 </w:t>
      </w:r>
      <w:proofErr w:type="spellStart"/>
      <w:r w:rsidRPr="000547CB">
        <w:rPr>
          <w:sz w:val="24"/>
          <w:szCs w:val="24"/>
        </w:rPr>
        <w:t>mmHg</w:t>
      </w:r>
      <w:proofErr w:type="spellEnd"/>
      <w:r w:rsidRPr="000547CB">
        <w:rPr>
          <w:sz w:val="24"/>
          <w:szCs w:val="24"/>
        </w:rPr>
        <w:t xml:space="preserve"> i </w:t>
      </w:r>
      <w:proofErr w:type="spellStart"/>
      <w:r w:rsidRPr="000547CB">
        <w:rPr>
          <w:sz w:val="24"/>
          <w:szCs w:val="24"/>
        </w:rPr>
        <w:t>latanoprostgruppen</w:t>
      </w:r>
      <w:proofErr w:type="spellEnd"/>
      <w:r w:rsidRPr="000547CB">
        <w:rPr>
          <w:sz w:val="24"/>
          <w:szCs w:val="24"/>
        </w:rPr>
        <w:t xml:space="preserve"> og 0,9 </w:t>
      </w:r>
      <w:proofErr w:type="spellStart"/>
      <w:r w:rsidRPr="000547CB">
        <w:rPr>
          <w:sz w:val="24"/>
          <w:szCs w:val="24"/>
        </w:rPr>
        <w:t>mmHg</w:t>
      </w:r>
      <w:proofErr w:type="spellEnd"/>
      <w:r w:rsidRPr="000547CB">
        <w:rPr>
          <w:sz w:val="24"/>
          <w:szCs w:val="24"/>
        </w:rPr>
        <w:t xml:space="preserve"> i placebogruppen (efter overførsel af sidste observation, LOCF). Tiden frem til den første forværring var signifikant længere i </w:t>
      </w:r>
      <w:proofErr w:type="spellStart"/>
      <w:r w:rsidRPr="000547CB">
        <w:rPr>
          <w:sz w:val="24"/>
          <w:szCs w:val="24"/>
        </w:rPr>
        <w:t>latanoprostgruppen</w:t>
      </w:r>
      <w:proofErr w:type="spellEnd"/>
      <w:r w:rsidRPr="000547CB">
        <w:rPr>
          <w:sz w:val="24"/>
          <w:szCs w:val="24"/>
        </w:rPr>
        <w:t xml:space="preserve"> end i placebogruppen (justeret HR 0,44, 95 % CI 0,28-0,69; p=0,0003). På trods af tidlig forsøgsafslutning efter en </w:t>
      </w:r>
      <w:proofErr w:type="spellStart"/>
      <w:r w:rsidRPr="000547CB">
        <w:rPr>
          <w:sz w:val="24"/>
          <w:szCs w:val="24"/>
        </w:rPr>
        <w:t>interimanalyse</w:t>
      </w:r>
      <w:proofErr w:type="spellEnd"/>
      <w:r w:rsidRPr="000547CB">
        <w:rPr>
          <w:sz w:val="24"/>
          <w:szCs w:val="24"/>
        </w:rPr>
        <w:t xml:space="preserve"> baseret på det primære endepunkt (tid til hændelse), og den potentielle begrænsning ved højt patientfrafald ved opfølgning, viste studiet, at sænkning af IOP med </w:t>
      </w:r>
      <w:proofErr w:type="spellStart"/>
      <w:r w:rsidRPr="000547CB">
        <w:rPr>
          <w:sz w:val="24"/>
          <w:szCs w:val="24"/>
        </w:rPr>
        <w:t>latanoprost</w:t>
      </w:r>
      <w:proofErr w:type="spellEnd"/>
      <w:r w:rsidRPr="000547CB">
        <w:rPr>
          <w:sz w:val="24"/>
          <w:szCs w:val="24"/>
        </w:rPr>
        <w:t xml:space="preserve"> forsinkede synsfeltsforringelsen hos nogle patienter med mild til moderat åbenvinklet </w:t>
      </w:r>
      <w:proofErr w:type="spellStart"/>
      <w:r w:rsidRPr="000547CB">
        <w:rPr>
          <w:sz w:val="24"/>
          <w:szCs w:val="24"/>
        </w:rPr>
        <w:t>glaukom</w:t>
      </w:r>
      <w:proofErr w:type="spellEnd"/>
      <w:r w:rsidRPr="000547CB">
        <w:rPr>
          <w:sz w:val="24"/>
          <w:szCs w:val="24"/>
        </w:rPr>
        <w:t>.</w:t>
      </w:r>
    </w:p>
    <w:p w14:paraId="7FFAE7B1" w14:textId="77777777" w:rsidR="000547CB" w:rsidRPr="000547CB" w:rsidRDefault="000547CB" w:rsidP="000A12ED">
      <w:pPr>
        <w:ind w:left="851"/>
        <w:rPr>
          <w:i/>
          <w:sz w:val="24"/>
          <w:szCs w:val="24"/>
        </w:rPr>
      </w:pPr>
    </w:p>
    <w:p w14:paraId="57976C42" w14:textId="77777777" w:rsidR="000547CB" w:rsidRPr="000547CB" w:rsidRDefault="000547CB" w:rsidP="000A12ED">
      <w:pPr>
        <w:ind w:left="851"/>
        <w:rPr>
          <w:i/>
          <w:sz w:val="24"/>
          <w:szCs w:val="24"/>
        </w:rPr>
      </w:pPr>
      <w:r w:rsidRPr="000547CB">
        <w:rPr>
          <w:i/>
          <w:sz w:val="24"/>
          <w:szCs w:val="24"/>
        </w:rPr>
        <w:t>Pædiatrisk population</w:t>
      </w:r>
    </w:p>
    <w:p w14:paraId="6720FCA9" w14:textId="77777777" w:rsidR="000547CB" w:rsidRPr="000547CB" w:rsidRDefault="000547CB" w:rsidP="000A12ED">
      <w:pPr>
        <w:ind w:left="851"/>
        <w:rPr>
          <w:sz w:val="24"/>
          <w:szCs w:val="24"/>
        </w:rPr>
      </w:pPr>
    </w:p>
    <w:p w14:paraId="7789D3AE" w14:textId="306B6745" w:rsidR="000547CB" w:rsidRPr="000547CB" w:rsidRDefault="000547CB" w:rsidP="000A12ED">
      <w:pPr>
        <w:ind w:left="851"/>
        <w:rPr>
          <w:sz w:val="24"/>
          <w:szCs w:val="24"/>
        </w:rPr>
      </w:pPr>
      <w:r w:rsidRPr="000547CB">
        <w:rPr>
          <w:sz w:val="24"/>
          <w:szCs w:val="24"/>
        </w:rPr>
        <w:t xml:space="preserve">Effekten af Tanolux hos pædiatriske patienter ≤ 18 år blev demonstreret i et 12-ugers, dobbeltblindet klinisk forsøg, hvor </w:t>
      </w:r>
      <w:proofErr w:type="spellStart"/>
      <w:r w:rsidRPr="000547CB">
        <w:rPr>
          <w:sz w:val="24"/>
          <w:szCs w:val="24"/>
        </w:rPr>
        <w:t>latanoprost</w:t>
      </w:r>
      <w:proofErr w:type="spellEnd"/>
      <w:r w:rsidRPr="000547CB">
        <w:rPr>
          <w:sz w:val="24"/>
          <w:szCs w:val="24"/>
        </w:rPr>
        <w:t xml:space="preserve"> blev sammenlignet med </w:t>
      </w:r>
      <w:proofErr w:type="spellStart"/>
      <w:r w:rsidRPr="000547CB">
        <w:rPr>
          <w:sz w:val="24"/>
          <w:szCs w:val="24"/>
        </w:rPr>
        <w:t>timolol</w:t>
      </w:r>
      <w:proofErr w:type="spellEnd"/>
      <w:r w:rsidRPr="000547CB">
        <w:rPr>
          <w:sz w:val="24"/>
          <w:szCs w:val="24"/>
        </w:rPr>
        <w:t xml:space="preserve"> hos 107 patienter diagnosticeret med </w:t>
      </w:r>
      <w:proofErr w:type="spellStart"/>
      <w:r w:rsidRPr="000547CB">
        <w:rPr>
          <w:sz w:val="24"/>
          <w:szCs w:val="24"/>
        </w:rPr>
        <w:t>okulær</w:t>
      </w:r>
      <w:proofErr w:type="spellEnd"/>
      <w:r w:rsidRPr="000547CB">
        <w:rPr>
          <w:sz w:val="24"/>
          <w:szCs w:val="24"/>
        </w:rPr>
        <w:t xml:space="preserve"> hypertension og pædiatrisk </w:t>
      </w:r>
      <w:proofErr w:type="spellStart"/>
      <w:r w:rsidRPr="000547CB">
        <w:rPr>
          <w:sz w:val="24"/>
          <w:szCs w:val="24"/>
        </w:rPr>
        <w:t>glaukom</w:t>
      </w:r>
      <w:proofErr w:type="spellEnd"/>
      <w:r w:rsidRPr="000547CB">
        <w:rPr>
          <w:sz w:val="24"/>
          <w:szCs w:val="24"/>
        </w:rPr>
        <w:t xml:space="preserve">. For nyfødte skulle </w:t>
      </w:r>
      <w:proofErr w:type="spellStart"/>
      <w:r w:rsidRPr="000547CB">
        <w:rPr>
          <w:sz w:val="24"/>
          <w:szCs w:val="24"/>
        </w:rPr>
        <w:t>gestationsalderen</w:t>
      </w:r>
      <w:proofErr w:type="spellEnd"/>
      <w:r w:rsidRPr="000547CB">
        <w:rPr>
          <w:sz w:val="24"/>
          <w:szCs w:val="24"/>
        </w:rPr>
        <w:t xml:space="preserve"> være mindst 36 uger. Patienterne fik enten </w:t>
      </w:r>
      <w:proofErr w:type="spellStart"/>
      <w:r w:rsidRPr="000547CB">
        <w:rPr>
          <w:sz w:val="24"/>
          <w:szCs w:val="24"/>
        </w:rPr>
        <w:t>latanoprost</w:t>
      </w:r>
      <w:proofErr w:type="spellEnd"/>
      <w:r w:rsidRPr="000547CB">
        <w:rPr>
          <w:sz w:val="24"/>
          <w:szCs w:val="24"/>
        </w:rPr>
        <w:t xml:space="preserve"> 50</w:t>
      </w:r>
      <w:r w:rsidR="00E60C48">
        <w:rPr>
          <w:sz w:val="24"/>
          <w:szCs w:val="24"/>
        </w:rPr>
        <w:t> </w:t>
      </w:r>
      <w:r w:rsidRPr="000547CB">
        <w:rPr>
          <w:sz w:val="24"/>
          <w:szCs w:val="24"/>
        </w:rPr>
        <w:t xml:space="preserve">mikrogram/ml 1 gang dagligt eller </w:t>
      </w:r>
      <w:proofErr w:type="spellStart"/>
      <w:r w:rsidRPr="000547CB">
        <w:rPr>
          <w:sz w:val="24"/>
          <w:szCs w:val="24"/>
        </w:rPr>
        <w:t>timolol</w:t>
      </w:r>
      <w:proofErr w:type="spellEnd"/>
      <w:r w:rsidRPr="000547CB">
        <w:rPr>
          <w:sz w:val="24"/>
          <w:szCs w:val="24"/>
        </w:rPr>
        <w:t xml:space="preserve"> 0,5 % (5 mg/ml) (eller valgfrit 0,25 % (2,5</w:t>
      </w:r>
      <w:r w:rsidR="00E60C48">
        <w:rPr>
          <w:sz w:val="24"/>
          <w:szCs w:val="24"/>
        </w:rPr>
        <w:t> </w:t>
      </w:r>
      <w:r w:rsidRPr="000547CB">
        <w:rPr>
          <w:sz w:val="24"/>
          <w:szCs w:val="24"/>
        </w:rPr>
        <w:t xml:space="preserve">mg/ml) for patienter yngre end 3 år) to gange dagligt. Det primære effektendepunkt var den gennemsnitlige reduktion i IOP fra referenceværdien ved uge 12 af det kliniske forsøg. Den gennemsnitlige reduktion i IOP i </w:t>
      </w:r>
      <w:proofErr w:type="spellStart"/>
      <w:r w:rsidRPr="000547CB">
        <w:rPr>
          <w:sz w:val="24"/>
          <w:szCs w:val="24"/>
        </w:rPr>
        <w:t>latanoprost</w:t>
      </w:r>
      <w:proofErr w:type="spellEnd"/>
      <w:r w:rsidRPr="000547CB">
        <w:rPr>
          <w:sz w:val="24"/>
          <w:szCs w:val="24"/>
        </w:rPr>
        <w:t xml:space="preserve">- og </w:t>
      </w:r>
      <w:proofErr w:type="spellStart"/>
      <w:r w:rsidRPr="000547CB">
        <w:rPr>
          <w:sz w:val="24"/>
          <w:szCs w:val="24"/>
        </w:rPr>
        <w:t>timolol</w:t>
      </w:r>
      <w:proofErr w:type="spellEnd"/>
      <w:r w:rsidRPr="000547CB">
        <w:rPr>
          <w:sz w:val="24"/>
          <w:szCs w:val="24"/>
        </w:rPr>
        <w:t>-grupperne var ens. I</w:t>
      </w:r>
      <w:r w:rsidR="004D3913">
        <w:rPr>
          <w:sz w:val="24"/>
          <w:szCs w:val="24"/>
        </w:rPr>
        <w:t> </w:t>
      </w:r>
      <w:r w:rsidRPr="000547CB">
        <w:rPr>
          <w:sz w:val="24"/>
          <w:szCs w:val="24"/>
        </w:rPr>
        <w:t xml:space="preserve">alle de undersøgte aldersgrupper (0 til &lt;3 år, 3 til &lt;12 år og 12 til 18 år) var den gennemsnitlige reduktion i IOP ved uge 12 i </w:t>
      </w:r>
      <w:proofErr w:type="spellStart"/>
      <w:r w:rsidRPr="000547CB">
        <w:rPr>
          <w:sz w:val="24"/>
          <w:szCs w:val="24"/>
        </w:rPr>
        <w:t>latanoprost</w:t>
      </w:r>
      <w:proofErr w:type="spellEnd"/>
      <w:r w:rsidRPr="000547CB">
        <w:rPr>
          <w:sz w:val="24"/>
          <w:szCs w:val="24"/>
        </w:rPr>
        <w:t xml:space="preserve">- gruppen den samme som i </w:t>
      </w:r>
      <w:proofErr w:type="spellStart"/>
      <w:r w:rsidRPr="000547CB">
        <w:rPr>
          <w:sz w:val="24"/>
          <w:szCs w:val="24"/>
        </w:rPr>
        <w:t>timolol</w:t>
      </w:r>
      <w:proofErr w:type="spellEnd"/>
      <w:r w:rsidRPr="000547CB">
        <w:rPr>
          <w:sz w:val="24"/>
          <w:szCs w:val="24"/>
        </w:rPr>
        <w:t xml:space="preserve">-gruppen. </w:t>
      </w:r>
    </w:p>
    <w:p w14:paraId="7D8AB6D0" w14:textId="77777777" w:rsidR="000547CB" w:rsidRPr="000547CB" w:rsidRDefault="000547CB" w:rsidP="000A12ED">
      <w:pPr>
        <w:ind w:left="851"/>
        <w:rPr>
          <w:sz w:val="24"/>
          <w:szCs w:val="24"/>
        </w:rPr>
      </w:pPr>
    </w:p>
    <w:p w14:paraId="4D944C76" w14:textId="77777777" w:rsidR="000547CB" w:rsidRPr="000547CB" w:rsidRDefault="000547CB" w:rsidP="000A12ED">
      <w:pPr>
        <w:ind w:left="851"/>
        <w:rPr>
          <w:sz w:val="24"/>
          <w:szCs w:val="24"/>
        </w:rPr>
      </w:pPr>
      <w:r w:rsidRPr="000547CB">
        <w:rPr>
          <w:sz w:val="24"/>
          <w:szCs w:val="24"/>
        </w:rPr>
        <w:t xml:space="preserve">Imidlertid var effektdata for aldersgruppen 0 til &lt;3 år kun baseret på 13 patienter for </w:t>
      </w:r>
      <w:proofErr w:type="spellStart"/>
      <w:r w:rsidRPr="000547CB">
        <w:rPr>
          <w:sz w:val="24"/>
          <w:szCs w:val="24"/>
        </w:rPr>
        <w:t>latanoprost</w:t>
      </w:r>
      <w:proofErr w:type="spellEnd"/>
      <w:r w:rsidRPr="000547CB">
        <w:rPr>
          <w:sz w:val="24"/>
          <w:szCs w:val="24"/>
        </w:rPr>
        <w:t xml:space="preserve"> og ingen relevant effekt blev set hos de 4 patienter, som udgjorde aldersgruppen 0 til &lt;1 år. Der findes ingen data for præmature børn (</w:t>
      </w:r>
      <w:proofErr w:type="spellStart"/>
      <w:r w:rsidRPr="000547CB">
        <w:rPr>
          <w:sz w:val="24"/>
          <w:szCs w:val="24"/>
        </w:rPr>
        <w:t>gestationsalder</w:t>
      </w:r>
      <w:proofErr w:type="spellEnd"/>
      <w:r w:rsidRPr="000547CB">
        <w:rPr>
          <w:sz w:val="24"/>
          <w:szCs w:val="24"/>
        </w:rPr>
        <w:t xml:space="preserve"> under 36 uge). </w:t>
      </w:r>
    </w:p>
    <w:p w14:paraId="4D46314B" w14:textId="77777777" w:rsidR="000547CB" w:rsidRPr="000547CB" w:rsidRDefault="000547CB" w:rsidP="000A12ED">
      <w:pPr>
        <w:ind w:left="851"/>
        <w:rPr>
          <w:sz w:val="24"/>
          <w:szCs w:val="24"/>
        </w:rPr>
      </w:pPr>
    </w:p>
    <w:p w14:paraId="18DDEFB4" w14:textId="77777777" w:rsidR="000547CB" w:rsidRPr="000547CB" w:rsidRDefault="000547CB" w:rsidP="000A12ED">
      <w:pPr>
        <w:ind w:left="851"/>
        <w:rPr>
          <w:sz w:val="24"/>
          <w:szCs w:val="24"/>
        </w:rPr>
      </w:pPr>
      <w:r w:rsidRPr="000547CB">
        <w:rPr>
          <w:sz w:val="24"/>
          <w:szCs w:val="24"/>
        </w:rPr>
        <w:t xml:space="preserve">Reduktion i IOP hos patienter i undergruppen med PCG var ens i </w:t>
      </w:r>
      <w:proofErr w:type="spellStart"/>
      <w:r w:rsidRPr="000547CB">
        <w:rPr>
          <w:sz w:val="24"/>
          <w:szCs w:val="24"/>
        </w:rPr>
        <w:t>latanoprost</w:t>
      </w:r>
      <w:proofErr w:type="spellEnd"/>
      <w:r w:rsidRPr="000547CB">
        <w:rPr>
          <w:sz w:val="24"/>
          <w:szCs w:val="24"/>
        </w:rPr>
        <w:t xml:space="preserve">- og </w:t>
      </w:r>
      <w:proofErr w:type="spellStart"/>
      <w:r w:rsidRPr="000547CB">
        <w:rPr>
          <w:sz w:val="24"/>
          <w:szCs w:val="24"/>
        </w:rPr>
        <w:t>timolol</w:t>
      </w:r>
      <w:proofErr w:type="spellEnd"/>
      <w:r w:rsidRPr="000547CB">
        <w:rPr>
          <w:sz w:val="24"/>
          <w:szCs w:val="24"/>
        </w:rPr>
        <w:t xml:space="preserve">-gruppen. Undergruppen med ikke-PCG (f.eks. juvenil åbenvinklet </w:t>
      </w:r>
      <w:proofErr w:type="spellStart"/>
      <w:r w:rsidRPr="000547CB">
        <w:rPr>
          <w:sz w:val="24"/>
          <w:szCs w:val="24"/>
        </w:rPr>
        <w:t>glaukom</w:t>
      </w:r>
      <w:proofErr w:type="spellEnd"/>
      <w:r w:rsidRPr="000547CB">
        <w:rPr>
          <w:sz w:val="24"/>
          <w:szCs w:val="24"/>
        </w:rPr>
        <w:t xml:space="preserve"> og </w:t>
      </w:r>
      <w:proofErr w:type="spellStart"/>
      <w:r w:rsidRPr="000547CB">
        <w:rPr>
          <w:sz w:val="24"/>
          <w:szCs w:val="24"/>
        </w:rPr>
        <w:t>afakisk</w:t>
      </w:r>
      <w:proofErr w:type="spellEnd"/>
      <w:r w:rsidRPr="000547CB">
        <w:rPr>
          <w:sz w:val="24"/>
          <w:szCs w:val="24"/>
        </w:rPr>
        <w:t xml:space="preserve"> </w:t>
      </w:r>
      <w:proofErr w:type="spellStart"/>
      <w:r w:rsidRPr="000547CB">
        <w:rPr>
          <w:sz w:val="24"/>
          <w:szCs w:val="24"/>
        </w:rPr>
        <w:t>glaukom</w:t>
      </w:r>
      <w:proofErr w:type="spellEnd"/>
      <w:r w:rsidRPr="000547CB">
        <w:rPr>
          <w:sz w:val="24"/>
          <w:szCs w:val="24"/>
        </w:rPr>
        <w:t>) viste lignende resultater som PCG-undergruppen.</w:t>
      </w:r>
    </w:p>
    <w:p w14:paraId="15417D9F" w14:textId="77777777" w:rsidR="000547CB" w:rsidRPr="000547CB" w:rsidRDefault="000547CB" w:rsidP="000A12ED">
      <w:pPr>
        <w:ind w:left="851"/>
        <w:rPr>
          <w:sz w:val="24"/>
          <w:szCs w:val="24"/>
        </w:rPr>
      </w:pPr>
    </w:p>
    <w:p w14:paraId="0C7CFD34" w14:textId="77777777" w:rsidR="000547CB" w:rsidRPr="000547CB" w:rsidRDefault="000547CB" w:rsidP="000A12ED">
      <w:pPr>
        <w:ind w:left="851"/>
        <w:rPr>
          <w:sz w:val="24"/>
          <w:szCs w:val="24"/>
        </w:rPr>
      </w:pPr>
      <w:r w:rsidRPr="000547CB">
        <w:rPr>
          <w:sz w:val="24"/>
          <w:szCs w:val="24"/>
        </w:rPr>
        <w:t>Der blev set effekt på IOP efter den første uge af behandlingen, og effekten blev opretholdt gennem hele den 12 uger lange forsøgsperiode, som hos voksne (se tabellen).</w:t>
      </w:r>
    </w:p>
    <w:p w14:paraId="320A6F76" w14:textId="77777777" w:rsidR="000547CB" w:rsidRPr="000547CB" w:rsidRDefault="000547CB" w:rsidP="000547CB">
      <w:pPr>
        <w:tabs>
          <w:tab w:val="left" w:pos="851"/>
        </w:tabs>
        <w:ind w:left="851"/>
        <w:rPr>
          <w:sz w:val="24"/>
          <w:szCs w:val="24"/>
        </w:rPr>
      </w:pPr>
    </w:p>
    <w:tbl>
      <w:tblPr>
        <w:tblStyle w:val="Tabel-Gitter"/>
        <w:tblW w:w="5000" w:type="pct"/>
        <w:tblLook w:val="04A0" w:firstRow="1" w:lastRow="0" w:firstColumn="1" w:lastColumn="0" w:noHBand="0" w:noVBand="1"/>
      </w:tblPr>
      <w:tblGrid>
        <w:gridCol w:w="2653"/>
        <w:gridCol w:w="1741"/>
        <w:gridCol w:w="1741"/>
        <w:gridCol w:w="1741"/>
        <w:gridCol w:w="1752"/>
      </w:tblGrid>
      <w:tr w:rsidR="000547CB" w:rsidRPr="000547CB" w14:paraId="4926C7DF" w14:textId="77777777" w:rsidTr="000A12ED">
        <w:tc>
          <w:tcPr>
            <w:tcW w:w="5000" w:type="pct"/>
            <w:gridSpan w:val="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562C4DA" w14:textId="77777777" w:rsidR="000547CB" w:rsidRPr="000547CB" w:rsidRDefault="000547CB" w:rsidP="000A12ED">
            <w:pPr>
              <w:rPr>
                <w:sz w:val="22"/>
                <w:szCs w:val="22"/>
              </w:rPr>
            </w:pPr>
            <w:r w:rsidRPr="000547CB">
              <w:rPr>
                <w:b/>
                <w:sz w:val="22"/>
                <w:szCs w:val="22"/>
              </w:rPr>
              <w:t>Tabel: Reduktion i IOP (</w:t>
            </w:r>
            <w:proofErr w:type="spellStart"/>
            <w:r w:rsidRPr="000547CB">
              <w:rPr>
                <w:b/>
                <w:sz w:val="22"/>
                <w:szCs w:val="22"/>
              </w:rPr>
              <w:t>mmHg</w:t>
            </w:r>
            <w:proofErr w:type="spellEnd"/>
            <w:r w:rsidRPr="000547CB">
              <w:rPr>
                <w:b/>
                <w:sz w:val="22"/>
                <w:szCs w:val="22"/>
              </w:rPr>
              <w:t>) ved uge 12 samt behandlings undergrupper og baseline-diagnose</w:t>
            </w:r>
          </w:p>
        </w:tc>
      </w:tr>
      <w:tr w:rsidR="000547CB" w:rsidRPr="000547CB" w14:paraId="0B6D70FB" w14:textId="77777777" w:rsidTr="000A12ED">
        <w:tc>
          <w:tcPr>
            <w:tcW w:w="13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FCE8655" w14:textId="77777777" w:rsidR="000547CB" w:rsidRPr="000547CB" w:rsidRDefault="000547CB" w:rsidP="000A12ED">
            <w:pPr>
              <w:rPr>
                <w:sz w:val="22"/>
                <w:szCs w:val="22"/>
              </w:rPr>
            </w:pPr>
          </w:p>
        </w:tc>
        <w:tc>
          <w:tcPr>
            <w:tcW w:w="1808"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104604A" w14:textId="77777777" w:rsidR="000547CB" w:rsidRPr="000547CB" w:rsidRDefault="000547CB" w:rsidP="000A12ED">
            <w:pPr>
              <w:rPr>
                <w:sz w:val="22"/>
                <w:szCs w:val="22"/>
              </w:rPr>
            </w:pPr>
            <w:proofErr w:type="spellStart"/>
            <w:r w:rsidRPr="000547CB">
              <w:rPr>
                <w:b/>
                <w:sz w:val="22"/>
                <w:szCs w:val="22"/>
              </w:rPr>
              <w:t>Latanoprost</w:t>
            </w:r>
            <w:proofErr w:type="spellEnd"/>
            <w:r w:rsidRPr="000547CB">
              <w:rPr>
                <w:b/>
                <w:sz w:val="22"/>
                <w:szCs w:val="22"/>
              </w:rPr>
              <w:t xml:space="preserve"> N=53</w:t>
            </w:r>
          </w:p>
        </w:tc>
        <w:tc>
          <w:tcPr>
            <w:tcW w:w="1814"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FEEE8FF" w14:textId="77777777" w:rsidR="000547CB" w:rsidRPr="000547CB" w:rsidRDefault="000547CB" w:rsidP="000A12ED">
            <w:pPr>
              <w:rPr>
                <w:sz w:val="22"/>
                <w:szCs w:val="22"/>
              </w:rPr>
            </w:pPr>
            <w:proofErr w:type="spellStart"/>
            <w:r w:rsidRPr="000547CB">
              <w:rPr>
                <w:b/>
                <w:sz w:val="22"/>
                <w:szCs w:val="22"/>
              </w:rPr>
              <w:t>Timolol</w:t>
            </w:r>
            <w:proofErr w:type="spellEnd"/>
            <w:r w:rsidRPr="000547CB">
              <w:rPr>
                <w:b/>
                <w:sz w:val="22"/>
                <w:szCs w:val="22"/>
              </w:rPr>
              <w:t xml:space="preserve"> N=54</w:t>
            </w:r>
          </w:p>
        </w:tc>
      </w:tr>
      <w:tr w:rsidR="000547CB" w:rsidRPr="000547CB" w14:paraId="2D7E65D5" w14:textId="77777777" w:rsidTr="000A12ED">
        <w:tc>
          <w:tcPr>
            <w:tcW w:w="13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09407DB" w14:textId="77777777" w:rsidR="000547CB" w:rsidRPr="000547CB" w:rsidRDefault="000547CB" w:rsidP="000A12ED">
            <w:pPr>
              <w:rPr>
                <w:sz w:val="22"/>
                <w:szCs w:val="22"/>
              </w:rPr>
            </w:pPr>
            <w:r w:rsidRPr="000547CB">
              <w:rPr>
                <w:sz w:val="22"/>
                <w:szCs w:val="22"/>
              </w:rPr>
              <w:t>Gennemsnitlig referenceværdi (SE)</w:t>
            </w:r>
          </w:p>
        </w:tc>
        <w:tc>
          <w:tcPr>
            <w:tcW w:w="1808"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9FE18A7" w14:textId="77777777" w:rsidR="000547CB" w:rsidRPr="000547CB" w:rsidRDefault="000547CB" w:rsidP="000A12ED">
            <w:pPr>
              <w:rPr>
                <w:sz w:val="22"/>
                <w:szCs w:val="22"/>
              </w:rPr>
            </w:pPr>
            <w:r w:rsidRPr="000547CB">
              <w:rPr>
                <w:sz w:val="22"/>
                <w:szCs w:val="22"/>
              </w:rPr>
              <w:t>27,3 (0,75)</w:t>
            </w:r>
          </w:p>
        </w:tc>
        <w:tc>
          <w:tcPr>
            <w:tcW w:w="1814"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4048C12" w14:textId="77777777" w:rsidR="000547CB" w:rsidRPr="000547CB" w:rsidRDefault="000547CB" w:rsidP="000A12ED">
            <w:pPr>
              <w:rPr>
                <w:sz w:val="22"/>
                <w:szCs w:val="22"/>
              </w:rPr>
            </w:pPr>
            <w:r w:rsidRPr="000547CB">
              <w:rPr>
                <w:sz w:val="22"/>
                <w:szCs w:val="22"/>
              </w:rPr>
              <w:t>27,8 (0,84)</w:t>
            </w:r>
          </w:p>
        </w:tc>
      </w:tr>
      <w:tr w:rsidR="000547CB" w:rsidRPr="000547CB" w14:paraId="13C9F259" w14:textId="77777777" w:rsidTr="000A12ED">
        <w:tc>
          <w:tcPr>
            <w:tcW w:w="13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515674E" w14:textId="77777777" w:rsidR="000547CB" w:rsidRPr="000547CB" w:rsidRDefault="000547CB" w:rsidP="000A12ED">
            <w:pPr>
              <w:rPr>
                <w:sz w:val="22"/>
                <w:szCs w:val="22"/>
              </w:rPr>
            </w:pPr>
            <w:r w:rsidRPr="000547CB">
              <w:rPr>
                <w:sz w:val="22"/>
                <w:szCs w:val="22"/>
              </w:rPr>
              <w:t>Gennemsnitlig ændring fra referenceværdien ved uge 12</w:t>
            </w:r>
            <w:r w:rsidRPr="000547CB">
              <w:rPr>
                <w:sz w:val="22"/>
                <w:szCs w:val="22"/>
                <w:vertAlign w:val="superscript"/>
              </w:rPr>
              <w:t>†</w:t>
            </w:r>
            <w:r w:rsidRPr="000547CB">
              <w:rPr>
                <w:sz w:val="22"/>
                <w:szCs w:val="22"/>
              </w:rPr>
              <w:t>(SE)</w:t>
            </w:r>
          </w:p>
        </w:tc>
        <w:tc>
          <w:tcPr>
            <w:tcW w:w="1808"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1290DC1" w14:textId="77777777" w:rsidR="000547CB" w:rsidRPr="000547CB" w:rsidRDefault="000547CB" w:rsidP="000A12ED">
            <w:pPr>
              <w:rPr>
                <w:sz w:val="22"/>
                <w:szCs w:val="22"/>
              </w:rPr>
            </w:pPr>
            <w:r w:rsidRPr="000547CB">
              <w:rPr>
                <w:sz w:val="22"/>
                <w:szCs w:val="22"/>
              </w:rPr>
              <w:t>-7,18 (0,81)</w:t>
            </w:r>
          </w:p>
        </w:tc>
        <w:tc>
          <w:tcPr>
            <w:tcW w:w="1814"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F01669A" w14:textId="77777777" w:rsidR="000547CB" w:rsidRPr="000547CB" w:rsidRDefault="000547CB" w:rsidP="000A12ED">
            <w:pPr>
              <w:rPr>
                <w:sz w:val="22"/>
                <w:szCs w:val="22"/>
              </w:rPr>
            </w:pPr>
            <w:r w:rsidRPr="000547CB">
              <w:rPr>
                <w:sz w:val="22"/>
                <w:szCs w:val="22"/>
              </w:rPr>
              <w:t>-5,72 (0,81)</w:t>
            </w:r>
          </w:p>
        </w:tc>
      </w:tr>
      <w:tr w:rsidR="000547CB" w:rsidRPr="000547CB" w14:paraId="7828333A" w14:textId="77777777" w:rsidTr="000A12ED">
        <w:tc>
          <w:tcPr>
            <w:tcW w:w="13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562FB7D" w14:textId="77777777" w:rsidR="000547CB" w:rsidRPr="000547CB" w:rsidRDefault="000547CB" w:rsidP="000A12ED">
            <w:pPr>
              <w:rPr>
                <w:sz w:val="22"/>
                <w:szCs w:val="22"/>
              </w:rPr>
            </w:pPr>
            <w:proofErr w:type="spellStart"/>
            <w:r w:rsidRPr="000547CB">
              <w:rPr>
                <w:i/>
                <w:sz w:val="22"/>
                <w:szCs w:val="22"/>
              </w:rPr>
              <w:t>p</w:t>
            </w:r>
            <w:r w:rsidRPr="000547CB">
              <w:rPr>
                <w:sz w:val="22"/>
                <w:szCs w:val="22"/>
              </w:rPr>
              <w:t>-værdi</w:t>
            </w:r>
            <w:proofErr w:type="spellEnd"/>
            <w:r w:rsidRPr="000547CB">
              <w:rPr>
                <w:sz w:val="22"/>
                <w:szCs w:val="22"/>
              </w:rPr>
              <w:t xml:space="preserve"> vs. </w:t>
            </w:r>
            <w:proofErr w:type="spellStart"/>
            <w:r w:rsidRPr="000547CB">
              <w:rPr>
                <w:sz w:val="22"/>
                <w:szCs w:val="22"/>
              </w:rPr>
              <w:t>timolol</w:t>
            </w:r>
            <w:proofErr w:type="spellEnd"/>
          </w:p>
        </w:tc>
        <w:tc>
          <w:tcPr>
            <w:tcW w:w="3622"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156C09F" w14:textId="77777777" w:rsidR="000547CB" w:rsidRPr="000547CB" w:rsidRDefault="000547CB" w:rsidP="000A12ED">
            <w:pPr>
              <w:rPr>
                <w:sz w:val="22"/>
                <w:szCs w:val="22"/>
              </w:rPr>
            </w:pPr>
            <w:r w:rsidRPr="000547CB">
              <w:rPr>
                <w:sz w:val="22"/>
                <w:szCs w:val="22"/>
              </w:rPr>
              <w:t>0,2056</w:t>
            </w:r>
          </w:p>
        </w:tc>
      </w:tr>
      <w:tr w:rsidR="000547CB" w:rsidRPr="000547CB" w14:paraId="65128A28" w14:textId="77777777" w:rsidTr="000A12ED">
        <w:tc>
          <w:tcPr>
            <w:tcW w:w="13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942435D" w14:textId="77777777" w:rsidR="000547CB" w:rsidRPr="000547CB" w:rsidRDefault="000547CB" w:rsidP="000A12ED">
            <w:pPr>
              <w:rPr>
                <w:sz w:val="22"/>
                <w:szCs w:val="22"/>
                <w:lang w:val="en-GB"/>
              </w:rPr>
            </w:pPr>
          </w:p>
        </w:tc>
        <w:tc>
          <w:tcPr>
            <w:tcW w:w="90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E1F1F93" w14:textId="77777777" w:rsidR="000547CB" w:rsidRPr="000547CB" w:rsidRDefault="000547CB" w:rsidP="000A12ED">
            <w:pPr>
              <w:rPr>
                <w:sz w:val="22"/>
                <w:szCs w:val="22"/>
              </w:rPr>
            </w:pPr>
            <w:r w:rsidRPr="000547CB">
              <w:rPr>
                <w:b/>
                <w:sz w:val="22"/>
                <w:szCs w:val="22"/>
              </w:rPr>
              <w:t>PCG N=28</w:t>
            </w:r>
          </w:p>
        </w:tc>
        <w:tc>
          <w:tcPr>
            <w:tcW w:w="90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B0B2D9B" w14:textId="77777777" w:rsidR="000547CB" w:rsidRPr="000547CB" w:rsidRDefault="000547CB" w:rsidP="000A12ED">
            <w:pPr>
              <w:rPr>
                <w:sz w:val="22"/>
                <w:szCs w:val="22"/>
              </w:rPr>
            </w:pPr>
            <w:r w:rsidRPr="000547CB">
              <w:rPr>
                <w:b/>
                <w:sz w:val="22"/>
                <w:szCs w:val="22"/>
              </w:rPr>
              <w:t>Non-PCG N=25</w:t>
            </w:r>
          </w:p>
        </w:tc>
        <w:tc>
          <w:tcPr>
            <w:tcW w:w="90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6E18009" w14:textId="77777777" w:rsidR="000547CB" w:rsidRPr="000547CB" w:rsidRDefault="000547CB" w:rsidP="000A12ED">
            <w:pPr>
              <w:rPr>
                <w:sz w:val="22"/>
                <w:szCs w:val="22"/>
              </w:rPr>
            </w:pPr>
            <w:r w:rsidRPr="000547CB">
              <w:rPr>
                <w:b/>
                <w:sz w:val="22"/>
                <w:szCs w:val="22"/>
              </w:rPr>
              <w:t>PCG N=26</w:t>
            </w:r>
          </w:p>
        </w:tc>
        <w:tc>
          <w:tcPr>
            <w:tcW w:w="91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3F97BE4" w14:textId="77777777" w:rsidR="000547CB" w:rsidRPr="000547CB" w:rsidRDefault="000547CB" w:rsidP="000A12ED">
            <w:pPr>
              <w:rPr>
                <w:sz w:val="22"/>
                <w:szCs w:val="22"/>
              </w:rPr>
            </w:pPr>
            <w:r w:rsidRPr="000547CB">
              <w:rPr>
                <w:b/>
                <w:sz w:val="22"/>
                <w:szCs w:val="22"/>
              </w:rPr>
              <w:t>Non-PCG N=28</w:t>
            </w:r>
          </w:p>
        </w:tc>
      </w:tr>
      <w:tr w:rsidR="000547CB" w:rsidRPr="000547CB" w14:paraId="38CFBF1F" w14:textId="77777777" w:rsidTr="000A12ED">
        <w:tc>
          <w:tcPr>
            <w:tcW w:w="13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34B0071" w14:textId="77777777" w:rsidR="000547CB" w:rsidRPr="000547CB" w:rsidRDefault="000547CB" w:rsidP="000A12ED">
            <w:pPr>
              <w:rPr>
                <w:sz w:val="22"/>
                <w:szCs w:val="22"/>
              </w:rPr>
            </w:pPr>
            <w:r w:rsidRPr="000547CB">
              <w:rPr>
                <w:sz w:val="22"/>
                <w:szCs w:val="22"/>
              </w:rPr>
              <w:t>Gennemsnitlig referenceværdi (SE)</w:t>
            </w:r>
          </w:p>
        </w:tc>
        <w:tc>
          <w:tcPr>
            <w:tcW w:w="90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F5CB5B5" w14:textId="77777777" w:rsidR="000547CB" w:rsidRPr="000547CB" w:rsidRDefault="000547CB" w:rsidP="000A12ED">
            <w:pPr>
              <w:rPr>
                <w:sz w:val="22"/>
                <w:szCs w:val="22"/>
              </w:rPr>
            </w:pPr>
            <w:r w:rsidRPr="000547CB">
              <w:rPr>
                <w:sz w:val="22"/>
                <w:szCs w:val="22"/>
              </w:rPr>
              <w:t>26,5</w:t>
            </w:r>
          </w:p>
          <w:p w14:paraId="62B3C59B" w14:textId="77777777" w:rsidR="000547CB" w:rsidRPr="000547CB" w:rsidRDefault="000547CB" w:rsidP="000A12ED">
            <w:pPr>
              <w:rPr>
                <w:sz w:val="22"/>
                <w:szCs w:val="22"/>
              </w:rPr>
            </w:pPr>
            <w:r w:rsidRPr="000547CB">
              <w:rPr>
                <w:sz w:val="22"/>
                <w:szCs w:val="22"/>
              </w:rPr>
              <w:t>(0,72)</w:t>
            </w:r>
          </w:p>
        </w:tc>
        <w:tc>
          <w:tcPr>
            <w:tcW w:w="90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5B0B7E2" w14:textId="77777777" w:rsidR="000547CB" w:rsidRPr="000547CB" w:rsidRDefault="000547CB" w:rsidP="000A12ED">
            <w:pPr>
              <w:rPr>
                <w:sz w:val="22"/>
                <w:szCs w:val="22"/>
              </w:rPr>
            </w:pPr>
            <w:r w:rsidRPr="000547CB">
              <w:rPr>
                <w:sz w:val="22"/>
                <w:szCs w:val="22"/>
              </w:rPr>
              <w:t>28,2 (1,37)</w:t>
            </w:r>
          </w:p>
        </w:tc>
        <w:tc>
          <w:tcPr>
            <w:tcW w:w="90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78B1426" w14:textId="77777777" w:rsidR="000547CB" w:rsidRPr="000547CB" w:rsidRDefault="000547CB" w:rsidP="000A12ED">
            <w:pPr>
              <w:rPr>
                <w:sz w:val="22"/>
                <w:szCs w:val="22"/>
              </w:rPr>
            </w:pPr>
            <w:r w:rsidRPr="000547CB">
              <w:rPr>
                <w:sz w:val="22"/>
                <w:szCs w:val="22"/>
              </w:rPr>
              <w:t>26,3</w:t>
            </w:r>
          </w:p>
          <w:p w14:paraId="7D90AE5F" w14:textId="77777777" w:rsidR="000547CB" w:rsidRPr="000547CB" w:rsidRDefault="000547CB" w:rsidP="000A12ED">
            <w:pPr>
              <w:rPr>
                <w:sz w:val="22"/>
                <w:szCs w:val="22"/>
              </w:rPr>
            </w:pPr>
            <w:r w:rsidRPr="000547CB">
              <w:rPr>
                <w:sz w:val="22"/>
                <w:szCs w:val="22"/>
              </w:rPr>
              <w:t>(0,95)</w:t>
            </w:r>
          </w:p>
        </w:tc>
        <w:tc>
          <w:tcPr>
            <w:tcW w:w="91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27E7809" w14:textId="77777777" w:rsidR="000547CB" w:rsidRPr="000547CB" w:rsidRDefault="000547CB" w:rsidP="000A12ED">
            <w:pPr>
              <w:rPr>
                <w:sz w:val="22"/>
                <w:szCs w:val="22"/>
              </w:rPr>
            </w:pPr>
            <w:r w:rsidRPr="000547CB">
              <w:rPr>
                <w:sz w:val="22"/>
                <w:szCs w:val="22"/>
              </w:rPr>
              <w:t>29,1 (1,33)</w:t>
            </w:r>
          </w:p>
        </w:tc>
      </w:tr>
      <w:tr w:rsidR="000547CB" w:rsidRPr="000547CB" w14:paraId="46179166" w14:textId="77777777" w:rsidTr="000A12ED">
        <w:tc>
          <w:tcPr>
            <w:tcW w:w="13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4E3D78A" w14:textId="77777777" w:rsidR="000547CB" w:rsidRPr="000547CB" w:rsidRDefault="000547CB" w:rsidP="000A12ED">
            <w:pPr>
              <w:rPr>
                <w:sz w:val="22"/>
                <w:szCs w:val="22"/>
              </w:rPr>
            </w:pPr>
            <w:r w:rsidRPr="000547CB">
              <w:rPr>
                <w:sz w:val="22"/>
                <w:szCs w:val="22"/>
              </w:rPr>
              <w:t>Gennemsnitlig ændring fra referenceværdien ved uge 12</w:t>
            </w:r>
            <w:r w:rsidRPr="000547CB">
              <w:rPr>
                <w:sz w:val="22"/>
                <w:szCs w:val="22"/>
                <w:vertAlign w:val="superscript"/>
              </w:rPr>
              <w:t>†</w:t>
            </w:r>
            <w:r w:rsidRPr="000547CB">
              <w:rPr>
                <w:sz w:val="22"/>
                <w:szCs w:val="22"/>
              </w:rPr>
              <w:t>(SE)</w:t>
            </w:r>
          </w:p>
        </w:tc>
        <w:tc>
          <w:tcPr>
            <w:tcW w:w="90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3D0835B" w14:textId="77777777" w:rsidR="000547CB" w:rsidRPr="000547CB" w:rsidRDefault="000547CB" w:rsidP="000A12ED">
            <w:pPr>
              <w:rPr>
                <w:sz w:val="22"/>
                <w:szCs w:val="22"/>
              </w:rPr>
            </w:pPr>
            <w:r w:rsidRPr="000547CB">
              <w:rPr>
                <w:sz w:val="22"/>
                <w:szCs w:val="22"/>
              </w:rPr>
              <w:t>-5,90</w:t>
            </w:r>
          </w:p>
          <w:p w14:paraId="714BF2B4" w14:textId="77777777" w:rsidR="000547CB" w:rsidRPr="000547CB" w:rsidRDefault="000547CB" w:rsidP="000A12ED">
            <w:pPr>
              <w:rPr>
                <w:sz w:val="22"/>
                <w:szCs w:val="22"/>
              </w:rPr>
            </w:pPr>
            <w:r w:rsidRPr="000547CB">
              <w:rPr>
                <w:sz w:val="22"/>
                <w:szCs w:val="22"/>
              </w:rPr>
              <w:t>(0,98)</w:t>
            </w:r>
          </w:p>
        </w:tc>
        <w:tc>
          <w:tcPr>
            <w:tcW w:w="90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9AAC986" w14:textId="77777777" w:rsidR="000547CB" w:rsidRPr="000547CB" w:rsidRDefault="000547CB" w:rsidP="000A12ED">
            <w:pPr>
              <w:rPr>
                <w:sz w:val="22"/>
                <w:szCs w:val="22"/>
              </w:rPr>
            </w:pPr>
            <w:r w:rsidRPr="000547CB">
              <w:rPr>
                <w:sz w:val="22"/>
                <w:szCs w:val="22"/>
              </w:rPr>
              <w:t>-8,66 (1,25)</w:t>
            </w:r>
          </w:p>
        </w:tc>
        <w:tc>
          <w:tcPr>
            <w:tcW w:w="90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801BCF8" w14:textId="77777777" w:rsidR="000547CB" w:rsidRPr="000547CB" w:rsidRDefault="000547CB" w:rsidP="000A12ED">
            <w:pPr>
              <w:rPr>
                <w:sz w:val="22"/>
                <w:szCs w:val="22"/>
              </w:rPr>
            </w:pPr>
            <w:r w:rsidRPr="000547CB">
              <w:rPr>
                <w:sz w:val="22"/>
                <w:szCs w:val="22"/>
              </w:rPr>
              <w:t>-5,34</w:t>
            </w:r>
          </w:p>
          <w:p w14:paraId="75BB6522" w14:textId="77777777" w:rsidR="000547CB" w:rsidRPr="000547CB" w:rsidRDefault="000547CB" w:rsidP="000A12ED">
            <w:pPr>
              <w:rPr>
                <w:sz w:val="22"/>
                <w:szCs w:val="22"/>
              </w:rPr>
            </w:pPr>
            <w:r w:rsidRPr="000547CB">
              <w:rPr>
                <w:sz w:val="22"/>
                <w:szCs w:val="22"/>
              </w:rPr>
              <w:t>(1,02)</w:t>
            </w:r>
          </w:p>
        </w:tc>
        <w:tc>
          <w:tcPr>
            <w:tcW w:w="91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123D10C" w14:textId="77777777" w:rsidR="000547CB" w:rsidRPr="000547CB" w:rsidRDefault="000547CB" w:rsidP="000A12ED">
            <w:pPr>
              <w:rPr>
                <w:sz w:val="22"/>
                <w:szCs w:val="22"/>
              </w:rPr>
            </w:pPr>
            <w:r w:rsidRPr="000547CB">
              <w:rPr>
                <w:sz w:val="22"/>
                <w:szCs w:val="22"/>
              </w:rPr>
              <w:t>-6,02 (1,18)</w:t>
            </w:r>
          </w:p>
        </w:tc>
      </w:tr>
      <w:tr w:rsidR="000547CB" w:rsidRPr="000547CB" w14:paraId="3F46D4AB" w14:textId="77777777" w:rsidTr="000A12ED">
        <w:tc>
          <w:tcPr>
            <w:tcW w:w="137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131E04E" w14:textId="77777777" w:rsidR="000547CB" w:rsidRPr="000547CB" w:rsidRDefault="000547CB" w:rsidP="000A12ED">
            <w:pPr>
              <w:rPr>
                <w:sz w:val="22"/>
                <w:szCs w:val="22"/>
              </w:rPr>
            </w:pPr>
            <w:proofErr w:type="spellStart"/>
            <w:r w:rsidRPr="000547CB">
              <w:rPr>
                <w:i/>
                <w:sz w:val="22"/>
                <w:szCs w:val="22"/>
              </w:rPr>
              <w:t>p</w:t>
            </w:r>
            <w:r w:rsidRPr="000547CB">
              <w:rPr>
                <w:sz w:val="22"/>
                <w:szCs w:val="22"/>
              </w:rPr>
              <w:t>-værdi</w:t>
            </w:r>
            <w:proofErr w:type="spellEnd"/>
            <w:r w:rsidRPr="000547CB">
              <w:rPr>
                <w:sz w:val="22"/>
                <w:szCs w:val="22"/>
              </w:rPr>
              <w:t xml:space="preserve"> vs. </w:t>
            </w:r>
            <w:proofErr w:type="spellStart"/>
            <w:r w:rsidRPr="000547CB">
              <w:rPr>
                <w:sz w:val="22"/>
                <w:szCs w:val="22"/>
              </w:rPr>
              <w:t>timolol</w:t>
            </w:r>
            <w:proofErr w:type="spellEnd"/>
          </w:p>
        </w:tc>
        <w:tc>
          <w:tcPr>
            <w:tcW w:w="90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176D98B" w14:textId="77777777" w:rsidR="000547CB" w:rsidRPr="000547CB" w:rsidRDefault="000547CB" w:rsidP="000A12ED">
            <w:pPr>
              <w:rPr>
                <w:sz w:val="22"/>
                <w:szCs w:val="22"/>
              </w:rPr>
            </w:pPr>
            <w:r w:rsidRPr="000547CB">
              <w:rPr>
                <w:sz w:val="22"/>
                <w:szCs w:val="22"/>
              </w:rPr>
              <w:t>0,6957</w:t>
            </w:r>
          </w:p>
        </w:tc>
        <w:tc>
          <w:tcPr>
            <w:tcW w:w="90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7846EBC" w14:textId="77777777" w:rsidR="000547CB" w:rsidRPr="000547CB" w:rsidRDefault="000547CB" w:rsidP="000A12ED">
            <w:pPr>
              <w:rPr>
                <w:sz w:val="22"/>
                <w:szCs w:val="22"/>
              </w:rPr>
            </w:pPr>
            <w:r w:rsidRPr="000547CB">
              <w:rPr>
                <w:sz w:val="22"/>
                <w:szCs w:val="22"/>
              </w:rPr>
              <w:t>0,1317</w:t>
            </w:r>
          </w:p>
        </w:tc>
        <w:tc>
          <w:tcPr>
            <w:tcW w:w="90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E98CF7A" w14:textId="77777777" w:rsidR="000547CB" w:rsidRPr="000547CB" w:rsidRDefault="000547CB" w:rsidP="000A12ED">
            <w:pPr>
              <w:rPr>
                <w:sz w:val="22"/>
                <w:szCs w:val="22"/>
                <w:lang w:val="en-GB"/>
              </w:rPr>
            </w:pPr>
          </w:p>
        </w:tc>
        <w:tc>
          <w:tcPr>
            <w:tcW w:w="91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75C6977" w14:textId="77777777" w:rsidR="000547CB" w:rsidRPr="000547CB" w:rsidRDefault="000547CB" w:rsidP="000A12ED">
            <w:pPr>
              <w:rPr>
                <w:sz w:val="22"/>
                <w:szCs w:val="22"/>
                <w:lang w:val="en-GB"/>
              </w:rPr>
            </w:pPr>
          </w:p>
        </w:tc>
      </w:tr>
    </w:tbl>
    <w:p w14:paraId="1B59872E" w14:textId="77777777" w:rsidR="000547CB" w:rsidRPr="000547CB" w:rsidRDefault="000547CB" w:rsidP="000A12ED">
      <w:pPr>
        <w:rPr>
          <w:sz w:val="24"/>
          <w:szCs w:val="24"/>
        </w:rPr>
      </w:pPr>
      <w:r w:rsidRPr="000547CB">
        <w:rPr>
          <w:sz w:val="24"/>
          <w:szCs w:val="24"/>
        </w:rPr>
        <w:t>SE: Standardfejl.</w:t>
      </w:r>
    </w:p>
    <w:p w14:paraId="54A3A822" w14:textId="77777777" w:rsidR="000547CB" w:rsidRPr="000547CB" w:rsidRDefault="000547CB" w:rsidP="000A12ED">
      <w:pPr>
        <w:rPr>
          <w:sz w:val="24"/>
          <w:szCs w:val="24"/>
        </w:rPr>
      </w:pPr>
      <w:r w:rsidRPr="000547CB">
        <w:rPr>
          <w:sz w:val="24"/>
          <w:szCs w:val="24"/>
          <w:vertAlign w:val="superscript"/>
        </w:rPr>
        <w:t>†</w:t>
      </w:r>
      <w:r w:rsidRPr="000547CB">
        <w:rPr>
          <w:sz w:val="24"/>
          <w:szCs w:val="24"/>
        </w:rPr>
        <w:t xml:space="preserve">Justeret estimat baseret på </w:t>
      </w:r>
      <w:proofErr w:type="spellStart"/>
      <w:r w:rsidRPr="000547CB">
        <w:rPr>
          <w:sz w:val="24"/>
          <w:szCs w:val="24"/>
        </w:rPr>
        <w:t>kovarians</w:t>
      </w:r>
      <w:proofErr w:type="spellEnd"/>
      <w:r w:rsidRPr="000547CB">
        <w:rPr>
          <w:sz w:val="24"/>
          <w:szCs w:val="24"/>
        </w:rPr>
        <w:t>-analyse (ANCOVA) modellen.</w:t>
      </w:r>
    </w:p>
    <w:p w14:paraId="2575F193" w14:textId="77777777" w:rsidR="000547CB" w:rsidRPr="000547CB" w:rsidRDefault="000547CB" w:rsidP="000A12ED">
      <w:pPr>
        <w:ind w:left="851"/>
        <w:rPr>
          <w:sz w:val="24"/>
          <w:szCs w:val="24"/>
        </w:rPr>
      </w:pPr>
    </w:p>
    <w:p w14:paraId="38C16A59" w14:textId="77777777" w:rsidR="000547CB" w:rsidRPr="000547CB" w:rsidRDefault="000547CB" w:rsidP="000A12ED">
      <w:pPr>
        <w:ind w:left="851"/>
        <w:rPr>
          <w:sz w:val="24"/>
          <w:szCs w:val="24"/>
        </w:rPr>
      </w:pPr>
      <w:r w:rsidRPr="000547CB">
        <w:rPr>
          <w:sz w:val="24"/>
          <w:szCs w:val="24"/>
        </w:rPr>
        <w:t>To ikke-</w:t>
      </w:r>
      <w:proofErr w:type="spellStart"/>
      <w:r w:rsidRPr="000547CB">
        <w:rPr>
          <w:sz w:val="24"/>
          <w:szCs w:val="24"/>
        </w:rPr>
        <w:t>interventionelle</w:t>
      </w:r>
      <w:proofErr w:type="spellEnd"/>
      <w:r w:rsidRPr="000547CB">
        <w:rPr>
          <w:sz w:val="24"/>
          <w:szCs w:val="24"/>
        </w:rPr>
        <w:t xml:space="preserve">, langvarige sikkerhedsstudier efter tilladelsen til markedsføring (PASS) blev udarbejdet for at beskrive hyppigheden af ændringer i </w:t>
      </w:r>
      <w:proofErr w:type="spellStart"/>
      <w:r w:rsidRPr="000547CB">
        <w:rPr>
          <w:sz w:val="24"/>
          <w:szCs w:val="24"/>
        </w:rPr>
        <w:t>hyperpigmentering</w:t>
      </w:r>
      <w:proofErr w:type="spellEnd"/>
      <w:r w:rsidRPr="000547CB">
        <w:rPr>
          <w:sz w:val="24"/>
          <w:szCs w:val="24"/>
        </w:rPr>
        <w:t xml:space="preserve"> i øjet over en opfølgningsperiode på i alt 10 år ved at kombinere data, der blev indsamlet i studiets 3-årige periode, med data fra det forlængede 7-årige opfølgningsstudie blandt pædiatriske patienter med </w:t>
      </w:r>
      <w:proofErr w:type="spellStart"/>
      <w:r w:rsidRPr="000547CB">
        <w:rPr>
          <w:sz w:val="24"/>
          <w:szCs w:val="24"/>
        </w:rPr>
        <w:t>glaukom</w:t>
      </w:r>
      <w:proofErr w:type="spellEnd"/>
      <w:r w:rsidRPr="000547CB">
        <w:rPr>
          <w:sz w:val="24"/>
          <w:szCs w:val="24"/>
        </w:rPr>
        <w:t xml:space="preserve"> eller forhøjet IOP. I alt 115 patienter blev overført fra hovedstudiet og var en del af det fulde analysesæt (FAS). Kvalificerede patienter (&lt; 18 år) til studiet blev kategoriseret i 3 grupper: 76 patienter i </w:t>
      </w:r>
      <w:proofErr w:type="spellStart"/>
      <w:r w:rsidRPr="000547CB">
        <w:rPr>
          <w:sz w:val="24"/>
          <w:szCs w:val="24"/>
        </w:rPr>
        <w:t>latanoprost</w:t>
      </w:r>
      <w:proofErr w:type="spellEnd"/>
      <w:r w:rsidRPr="000547CB">
        <w:rPr>
          <w:sz w:val="24"/>
          <w:szCs w:val="24"/>
        </w:rPr>
        <w:t xml:space="preserve">-gruppen (kontinuerligt behandlet med </w:t>
      </w:r>
      <w:proofErr w:type="spellStart"/>
      <w:r w:rsidRPr="000547CB">
        <w:rPr>
          <w:sz w:val="24"/>
          <w:szCs w:val="24"/>
        </w:rPr>
        <w:t>latanoprost</w:t>
      </w:r>
      <w:proofErr w:type="spellEnd"/>
      <w:r w:rsidRPr="000547CB">
        <w:rPr>
          <w:sz w:val="24"/>
          <w:szCs w:val="24"/>
        </w:rPr>
        <w:t xml:space="preserve"> i ≥ 1 måned), 1 patient i ikke-</w:t>
      </w:r>
      <w:proofErr w:type="spellStart"/>
      <w:r w:rsidRPr="000547CB">
        <w:rPr>
          <w:sz w:val="24"/>
          <w:szCs w:val="24"/>
        </w:rPr>
        <w:t>latanoprost</w:t>
      </w:r>
      <w:proofErr w:type="spellEnd"/>
      <w:r w:rsidRPr="000547CB">
        <w:rPr>
          <w:sz w:val="24"/>
          <w:szCs w:val="24"/>
        </w:rPr>
        <w:t>-PGA-gruppen (kontinuerligt behandlet med ikke-</w:t>
      </w:r>
      <w:proofErr w:type="spellStart"/>
      <w:r w:rsidRPr="000547CB">
        <w:rPr>
          <w:sz w:val="24"/>
          <w:szCs w:val="24"/>
        </w:rPr>
        <w:t>latanoprost</w:t>
      </w:r>
      <w:proofErr w:type="spellEnd"/>
      <w:r w:rsidRPr="000547CB">
        <w:rPr>
          <w:sz w:val="24"/>
          <w:szCs w:val="24"/>
        </w:rPr>
        <w:t xml:space="preserve"> PGA i ≥ 1 måned) og 38 patienter i gruppen, der ikke blev eksponeret for PGA (ikke kontinuerligt behandlet med PGA i ≥ 1 måned). Studiets resultater tydede på, at ændringer af </w:t>
      </w:r>
      <w:proofErr w:type="spellStart"/>
      <w:r w:rsidRPr="000547CB">
        <w:rPr>
          <w:sz w:val="24"/>
          <w:szCs w:val="24"/>
        </w:rPr>
        <w:t>hyperpigmentering</w:t>
      </w:r>
      <w:proofErr w:type="spellEnd"/>
      <w:r w:rsidRPr="000547CB">
        <w:rPr>
          <w:sz w:val="24"/>
          <w:szCs w:val="24"/>
        </w:rPr>
        <w:t xml:space="preserve"> i øjet kun blev observeret hos et lille antal patienter i begge behandlingsgrupper, med en højere forekomst i gruppen der blev eksponeret for </w:t>
      </w:r>
      <w:proofErr w:type="spellStart"/>
      <w:r w:rsidRPr="000547CB">
        <w:rPr>
          <w:sz w:val="24"/>
          <w:szCs w:val="24"/>
        </w:rPr>
        <w:t>latanoprost</w:t>
      </w:r>
      <w:proofErr w:type="spellEnd"/>
      <w:r w:rsidRPr="000547CB">
        <w:rPr>
          <w:sz w:val="24"/>
          <w:szCs w:val="24"/>
        </w:rPr>
        <w:t xml:space="preserve"> end i gruppen, der ikke blev eksponeret for PGA. Hyppighederne af </w:t>
      </w:r>
      <w:proofErr w:type="spellStart"/>
      <w:r w:rsidRPr="000547CB">
        <w:rPr>
          <w:sz w:val="24"/>
          <w:szCs w:val="24"/>
        </w:rPr>
        <w:t>hyperpigmentering</w:t>
      </w:r>
      <w:proofErr w:type="spellEnd"/>
      <w:r w:rsidRPr="000547CB">
        <w:rPr>
          <w:sz w:val="24"/>
          <w:szCs w:val="24"/>
        </w:rPr>
        <w:t xml:space="preserve"> af øjenvipperne var 4,5 % vs. 0 %, og hyppighederne af </w:t>
      </w:r>
      <w:proofErr w:type="spellStart"/>
      <w:r w:rsidRPr="000547CB">
        <w:rPr>
          <w:sz w:val="24"/>
          <w:szCs w:val="24"/>
        </w:rPr>
        <w:t>irishyperpigmentering</w:t>
      </w:r>
      <w:proofErr w:type="spellEnd"/>
      <w:r w:rsidRPr="000547CB">
        <w:rPr>
          <w:sz w:val="24"/>
          <w:szCs w:val="24"/>
        </w:rPr>
        <w:t xml:space="preserve"> var 6,0 % vs. 3,0 % i henholdsvis gruppen der blev eksponeret for </w:t>
      </w:r>
      <w:proofErr w:type="spellStart"/>
      <w:r w:rsidRPr="000547CB">
        <w:rPr>
          <w:sz w:val="24"/>
          <w:szCs w:val="24"/>
        </w:rPr>
        <w:t>latanoprost</w:t>
      </w:r>
      <w:proofErr w:type="spellEnd"/>
      <w:r w:rsidRPr="000547CB">
        <w:rPr>
          <w:sz w:val="24"/>
          <w:szCs w:val="24"/>
        </w:rPr>
        <w:t xml:space="preserve"> og gruppen, der ikke blev eksponeret for PGA. Hyppighedsraterne (pr. 100 </w:t>
      </w:r>
      <w:proofErr w:type="spellStart"/>
      <w:r w:rsidRPr="000547CB">
        <w:rPr>
          <w:sz w:val="24"/>
          <w:szCs w:val="24"/>
        </w:rPr>
        <w:t>patientår</w:t>
      </w:r>
      <w:proofErr w:type="spellEnd"/>
      <w:r w:rsidRPr="000547CB">
        <w:rPr>
          <w:sz w:val="24"/>
          <w:szCs w:val="24"/>
        </w:rPr>
        <w:t xml:space="preserve">) for ændringer i </w:t>
      </w:r>
      <w:proofErr w:type="spellStart"/>
      <w:r w:rsidRPr="000547CB">
        <w:rPr>
          <w:sz w:val="24"/>
          <w:szCs w:val="24"/>
        </w:rPr>
        <w:t>hyperpigmentering</w:t>
      </w:r>
      <w:proofErr w:type="spellEnd"/>
      <w:r w:rsidRPr="000547CB">
        <w:rPr>
          <w:sz w:val="24"/>
          <w:szCs w:val="24"/>
        </w:rPr>
        <w:t xml:space="preserve"> i øjet var lav og sammenlignelig i begge behandlingsgrupper: forlængelse af øjenvipper 2,53 versus 3,35, </w:t>
      </w:r>
      <w:proofErr w:type="spellStart"/>
      <w:r w:rsidRPr="000547CB">
        <w:rPr>
          <w:sz w:val="24"/>
          <w:szCs w:val="24"/>
        </w:rPr>
        <w:t>irishyperpigmentering</w:t>
      </w:r>
      <w:proofErr w:type="spellEnd"/>
      <w:r w:rsidRPr="000547CB">
        <w:rPr>
          <w:sz w:val="24"/>
          <w:szCs w:val="24"/>
        </w:rPr>
        <w:t xml:space="preserve"> 0,92 versus 0,42 og </w:t>
      </w:r>
      <w:proofErr w:type="spellStart"/>
      <w:r w:rsidRPr="000547CB">
        <w:rPr>
          <w:sz w:val="24"/>
          <w:szCs w:val="24"/>
        </w:rPr>
        <w:t>hyperpigmentering</w:t>
      </w:r>
      <w:proofErr w:type="spellEnd"/>
      <w:r w:rsidRPr="000547CB">
        <w:rPr>
          <w:sz w:val="24"/>
          <w:szCs w:val="24"/>
        </w:rPr>
        <w:t xml:space="preserve"> af øjenvipperne 0,69 versus ingen.</w:t>
      </w:r>
    </w:p>
    <w:p w14:paraId="6F1998EB" w14:textId="77777777" w:rsidR="000547CB" w:rsidRPr="000547CB" w:rsidRDefault="000547CB" w:rsidP="000A12ED">
      <w:pPr>
        <w:ind w:left="851"/>
        <w:rPr>
          <w:sz w:val="24"/>
          <w:szCs w:val="24"/>
        </w:rPr>
      </w:pPr>
      <w:r w:rsidRPr="000547CB">
        <w:rPr>
          <w:sz w:val="24"/>
          <w:szCs w:val="24"/>
        </w:rPr>
        <w:t xml:space="preserve">Ingen alvorlige bivirkninger blev anset for at være relateret til forsøgsbehandlingen.  Størstedelen af de indberettede behandlingsfremkaldte bivirkninger var i systemorganklassen Øjne. Disse var overvejende milde og blev hyppigere indberettet i gruppen, der blev eksponeret for </w:t>
      </w:r>
      <w:proofErr w:type="spellStart"/>
      <w:r w:rsidRPr="000547CB">
        <w:rPr>
          <w:sz w:val="24"/>
          <w:szCs w:val="24"/>
        </w:rPr>
        <w:t>latanoprost</w:t>
      </w:r>
      <w:proofErr w:type="spellEnd"/>
      <w:r w:rsidRPr="000547CB">
        <w:rPr>
          <w:sz w:val="24"/>
          <w:szCs w:val="24"/>
        </w:rPr>
        <w:t>, end i gruppen der ikke blev eksponeret for PGA. Der blev ikke set nogen klinisk signifikante sikkerhedsproblemer eller nye sikkerhedsproblemer/forskellige hyppigheder af bivirkninger sammenlignet med den eksisterende sikkerhedsprofil. Samlet set er de observerede hyppigheder af sikkerhedsendepunkter i dette studie sammenlignelige med hyppighederne af bivirkninger, som er blevet rapporteret i tidligere pædiatriske studier.</w:t>
      </w:r>
    </w:p>
    <w:p w14:paraId="5AF38A98" w14:textId="77777777" w:rsidR="009260DE" w:rsidRPr="004C59A7" w:rsidRDefault="009260DE" w:rsidP="009260DE">
      <w:pPr>
        <w:tabs>
          <w:tab w:val="left" w:pos="851"/>
        </w:tabs>
        <w:ind w:left="851"/>
        <w:rPr>
          <w:sz w:val="24"/>
          <w:szCs w:val="24"/>
        </w:rPr>
      </w:pPr>
    </w:p>
    <w:p w14:paraId="4C18D4D1" w14:textId="77777777" w:rsidR="009260DE" w:rsidRPr="004C59A7" w:rsidRDefault="009260DE" w:rsidP="009260DE">
      <w:pPr>
        <w:tabs>
          <w:tab w:val="left" w:pos="851"/>
        </w:tabs>
        <w:ind w:left="851" w:hanging="851"/>
        <w:rPr>
          <w:b/>
          <w:sz w:val="24"/>
          <w:szCs w:val="24"/>
        </w:rPr>
      </w:pPr>
      <w:r w:rsidRPr="004C59A7">
        <w:rPr>
          <w:b/>
          <w:sz w:val="24"/>
          <w:szCs w:val="24"/>
        </w:rPr>
        <w:t>5.2</w:t>
      </w:r>
      <w:r w:rsidRPr="004C59A7">
        <w:rPr>
          <w:b/>
          <w:sz w:val="24"/>
          <w:szCs w:val="24"/>
        </w:rPr>
        <w:tab/>
      </w:r>
      <w:proofErr w:type="spellStart"/>
      <w:r w:rsidRPr="004C59A7">
        <w:rPr>
          <w:b/>
          <w:sz w:val="24"/>
          <w:szCs w:val="24"/>
        </w:rPr>
        <w:t>Farmakokinetiske</w:t>
      </w:r>
      <w:proofErr w:type="spellEnd"/>
      <w:r w:rsidRPr="004C59A7">
        <w:rPr>
          <w:b/>
          <w:sz w:val="24"/>
          <w:szCs w:val="24"/>
        </w:rPr>
        <w:t xml:space="preserve"> egenskaber</w:t>
      </w:r>
    </w:p>
    <w:p w14:paraId="4815E679" w14:textId="77777777" w:rsidR="004C59A7" w:rsidRDefault="004C59A7" w:rsidP="000A12ED">
      <w:pPr>
        <w:ind w:left="851"/>
        <w:rPr>
          <w:sz w:val="24"/>
          <w:szCs w:val="24"/>
          <w:u w:val="single"/>
        </w:rPr>
      </w:pPr>
    </w:p>
    <w:p w14:paraId="2D19E4A6" w14:textId="6C4C5997" w:rsidR="000547CB" w:rsidRPr="000547CB" w:rsidRDefault="000547CB" w:rsidP="000A12ED">
      <w:pPr>
        <w:ind w:left="851"/>
        <w:rPr>
          <w:sz w:val="24"/>
          <w:szCs w:val="24"/>
          <w:u w:val="single"/>
        </w:rPr>
      </w:pPr>
      <w:r w:rsidRPr="000547CB">
        <w:rPr>
          <w:sz w:val="24"/>
          <w:szCs w:val="24"/>
          <w:u w:val="single"/>
        </w:rPr>
        <w:t>Absorption</w:t>
      </w:r>
    </w:p>
    <w:p w14:paraId="556579B0" w14:textId="77777777" w:rsidR="000547CB" w:rsidRPr="000547CB" w:rsidRDefault="000547CB" w:rsidP="000A12ED">
      <w:pPr>
        <w:ind w:left="851"/>
        <w:rPr>
          <w:sz w:val="24"/>
          <w:szCs w:val="24"/>
        </w:rPr>
      </w:pPr>
    </w:p>
    <w:p w14:paraId="30FA366C" w14:textId="77777777" w:rsidR="000547CB" w:rsidRPr="000547CB" w:rsidRDefault="000547CB" w:rsidP="000A12ED">
      <w:pPr>
        <w:ind w:left="851"/>
        <w:rPr>
          <w:sz w:val="24"/>
          <w:szCs w:val="24"/>
        </w:rPr>
      </w:pPr>
      <w:proofErr w:type="spellStart"/>
      <w:r w:rsidRPr="000547CB">
        <w:rPr>
          <w:sz w:val="24"/>
          <w:szCs w:val="24"/>
        </w:rPr>
        <w:t>Latanoprost</w:t>
      </w:r>
      <w:proofErr w:type="spellEnd"/>
      <w:r w:rsidRPr="000547CB">
        <w:rPr>
          <w:sz w:val="24"/>
          <w:szCs w:val="24"/>
        </w:rPr>
        <w:t xml:space="preserve"> (MW 432,58) er et </w:t>
      </w:r>
      <w:proofErr w:type="spellStart"/>
      <w:r w:rsidRPr="000547CB">
        <w:rPr>
          <w:sz w:val="24"/>
          <w:szCs w:val="24"/>
        </w:rPr>
        <w:t>isopropylester</w:t>
      </w:r>
      <w:proofErr w:type="spellEnd"/>
      <w:r w:rsidRPr="000547CB">
        <w:rPr>
          <w:sz w:val="24"/>
          <w:szCs w:val="24"/>
        </w:rPr>
        <w:t xml:space="preserve">-prodrug, som i sig selv er inaktivt, men som efter hydrolyse til </w:t>
      </w:r>
      <w:proofErr w:type="spellStart"/>
      <w:r w:rsidRPr="000547CB">
        <w:rPr>
          <w:sz w:val="24"/>
          <w:szCs w:val="24"/>
        </w:rPr>
        <w:t>latanoprost</w:t>
      </w:r>
      <w:proofErr w:type="spellEnd"/>
      <w:r w:rsidRPr="000547CB">
        <w:rPr>
          <w:sz w:val="24"/>
          <w:szCs w:val="24"/>
        </w:rPr>
        <w:t>-syre bliver biologisk aktivt.</w:t>
      </w:r>
    </w:p>
    <w:p w14:paraId="0A068CC7" w14:textId="77777777" w:rsidR="000547CB" w:rsidRPr="000547CB" w:rsidRDefault="000547CB" w:rsidP="000A12ED">
      <w:pPr>
        <w:ind w:left="851"/>
        <w:rPr>
          <w:sz w:val="24"/>
          <w:szCs w:val="24"/>
        </w:rPr>
      </w:pPr>
    </w:p>
    <w:p w14:paraId="385362F8" w14:textId="77777777" w:rsidR="000547CB" w:rsidRPr="000547CB" w:rsidRDefault="000547CB" w:rsidP="000A12ED">
      <w:pPr>
        <w:ind w:left="851"/>
        <w:rPr>
          <w:sz w:val="24"/>
          <w:szCs w:val="24"/>
        </w:rPr>
      </w:pPr>
      <w:r w:rsidRPr="000547CB">
        <w:rPr>
          <w:sz w:val="24"/>
          <w:szCs w:val="24"/>
        </w:rPr>
        <w:t xml:space="preserve">Prodrug absorberes godt gennem </w:t>
      </w:r>
      <w:proofErr w:type="spellStart"/>
      <w:r w:rsidRPr="000547CB">
        <w:rPr>
          <w:sz w:val="24"/>
          <w:szCs w:val="24"/>
        </w:rPr>
        <w:t>cornea</w:t>
      </w:r>
      <w:proofErr w:type="spellEnd"/>
      <w:r w:rsidRPr="000547CB">
        <w:rPr>
          <w:sz w:val="24"/>
          <w:szCs w:val="24"/>
        </w:rPr>
        <w:t xml:space="preserve">, og alt lægemiddel, der passerer over i kammervandet, hydrolyseres ved passagen gennem </w:t>
      </w:r>
      <w:proofErr w:type="spellStart"/>
      <w:r w:rsidRPr="000547CB">
        <w:rPr>
          <w:sz w:val="24"/>
          <w:szCs w:val="24"/>
        </w:rPr>
        <w:t>cornea</w:t>
      </w:r>
      <w:proofErr w:type="spellEnd"/>
      <w:r w:rsidRPr="000547CB">
        <w:rPr>
          <w:sz w:val="24"/>
          <w:szCs w:val="24"/>
        </w:rPr>
        <w:t>.</w:t>
      </w:r>
    </w:p>
    <w:p w14:paraId="7208922B" w14:textId="77777777" w:rsidR="000547CB" w:rsidRPr="000547CB" w:rsidRDefault="000547CB" w:rsidP="000A12ED">
      <w:pPr>
        <w:ind w:left="851"/>
        <w:rPr>
          <w:sz w:val="24"/>
          <w:szCs w:val="24"/>
        </w:rPr>
      </w:pPr>
      <w:r w:rsidRPr="000547CB">
        <w:rPr>
          <w:sz w:val="24"/>
          <w:szCs w:val="24"/>
        </w:rPr>
        <w:t xml:space="preserve">Biotilgængeligheden af </w:t>
      </w:r>
      <w:proofErr w:type="spellStart"/>
      <w:r w:rsidRPr="000547CB">
        <w:rPr>
          <w:sz w:val="24"/>
          <w:szCs w:val="24"/>
        </w:rPr>
        <w:t>syreformen</w:t>
      </w:r>
      <w:proofErr w:type="spellEnd"/>
      <w:r w:rsidRPr="000547CB">
        <w:rPr>
          <w:sz w:val="24"/>
          <w:szCs w:val="24"/>
        </w:rPr>
        <w:t xml:space="preserve"> af </w:t>
      </w:r>
      <w:proofErr w:type="spellStart"/>
      <w:r w:rsidRPr="000547CB">
        <w:rPr>
          <w:sz w:val="24"/>
          <w:szCs w:val="24"/>
        </w:rPr>
        <w:t>latanoprost</w:t>
      </w:r>
      <w:proofErr w:type="spellEnd"/>
      <w:r w:rsidRPr="000547CB">
        <w:rPr>
          <w:sz w:val="24"/>
          <w:szCs w:val="24"/>
        </w:rPr>
        <w:t xml:space="preserve"> er omkring 45 % efter </w:t>
      </w:r>
      <w:proofErr w:type="spellStart"/>
      <w:r w:rsidRPr="000547CB">
        <w:rPr>
          <w:sz w:val="24"/>
          <w:szCs w:val="24"/>
        </w:rPr>
        <w:t>topikal</w:t>
      </w:r>
      <w:proofErr w:type="spellEnd"/>
      <w:r w:rsidRPr="000547CB">
        <w:rPr>
          <w:sz w:val="24"/>
          <w:szCs w:val="24"/>
        </w:rPr>
        <w:t xml:space="preserve"> administration.</w:t>
      </w:r>
    </w:p>
    <w:p w14:paraId="4DDC5FCD" w14:textId="77777777" w:rsidR="000547CB" w:rsidRPr="000547CB" w:rsidRDefault="000547CB" w:rsidP="000A12ED">
      <w:pPr>
        <w:ind w:left="851"/>
        <w:rPr>
          <w:sz w:val="24"/>
          <w:szCs w:val="24"/>
          <w:u w:val="single"/>
        </w:rPr>
      </w:pPr>
    </w:p>
    <w:p w14:paraId="1A540FC5" w14:textId="77777777" w:rsidR="000547CB" w:rsidRPr="000547CB" w:rsidRDefault="000547CB" w:rsidP="000A12ED">
      <w:pPr>
        <w:ind w:left="851"/>
        <w:rPr>
          <w:sz w:val="24"/>
          <w:szCs w:val="24"/>
          <w:u w:val="single"/>
        </w:rPr>
      </w:pPr>
      <w:r w:rsidRPr="000547CB">
        <w:rPr>
          <w:sz w:val="24"/>
          <w:szCs w:val="24"/>
          <w:u w:val="single"/>
        </w:rPr>
        <w:t>Fordeling</w:t>
      </w:r>
    </w:p>
    <w:p w14:paraId="25EDB94E" w14:textId="77777777" w:rsidR="000547CB" w:rsidRPr="000547CB" w:rsidRDefault="000547CB" w:rsidP="000A12ED">
      <w:pPr>
        <w:ind w:left="851"/>
        <w:rPr>
          <w:sz w:val="24"/>
          <w:szCs w:val="24"/>
          <w:u w:val="single"/>
        </w:rPr>
      </w:pPr>
    </w:p>
    <w:p w14:paraId="2BEABCC7" w14:textId="298C93A1" w:rsidR="000547CB" w:rsidRPr="000547CB" w:rsidRDefault="000547CB" w:rsidP="000A12ED">
      <w:pPr>
        <w:ind w:left="851"/>
        <w:rPr>
          <w:sz w:val="24"/>
          <w:szCs w:val="24"/>
        </w:rPr>
      </w:pPr>
      <w:r w:rsidRPr="000547CB">
        <w:rPr>
          <w:sz w:val="24"/>
          <w:szCs w:val="24"/>
        </w:rPr>
        <w:t xml:space="preserve">Fordelingsvolumen hos mennesker er 0,16 ± 0,02 l/kg, og </w:t>
      </w:r>
      <w:proofErr w:type="spellStart"/>
      <w:r w:rsidRPr="000547CB">
        <w:rPr>
          <w:sz w:val="24"/>
          <w:szCs w:val="24"/>
        </w:rPr>
        <w:t>clearance</w:t>
      </w:r>
      <w:proofErr w:type="spellEnd"/>
      <w:r w:rsidRPr="000547CB">
        <w:rPr>
          <w:sz w:val="24"/>
          <w:szCs w:val="24"/>
        </w:rPr>
        <w:t xml:space="preserve"> er 0,40</w:t>
      </w:r>
      <w:r w:rsidR="00E60C48">
        <w:rPr>
          <w:sz w:val="24"/>
          <w:szCs w:val="24"/>
        </w:rPr>
        <w:t> </w:t>
      </w:r>
      <w:r w:rsidRPr="000547CB">
        <w:rPr>
          <w:sz w:val="24"/>
          <w:szCs w:val="24"/>
        </w:rPr>
        <w:t>±</w:t>
      </w:r>
      <w:r w:rsidR="00E60C48">
        <w:rPr>
          <w:sz w:val="24"/>
          <w:szCs w:val="24"/>
        </w:rPr>
        <w:t> </w:t>
      </w:r>
      <w:r w:rsidRPr="000547CB">
        <w:rPr>
          <w:sz w:val="24"/>
          <w:szCs w:val="24"/>
        </w:rPr>
        <w:t>0,04</w:t>
      </w:r>
      <w:r w:rsidR="00E60C48">
        <w:rPr>
          <w:sz w:val="24"/>
          <w:szCs w:val="24"/>
        </w:rPr>
        <w:t> </w:t>
      </w:r>
      <w:r w:rsidRPr="000547CB">
        <w:rPr>
          <w:sz w:val="24"/>
          <w:szCs w:val="24"/>
        </w:rPr>
        <w:t>l/time/kg.</w:t>
      </w:r>
    </w:p>
    <w:p w14:paraId="6758F728" w14:textId="77777777" w:rsidR="000547CB" w:rsidRPr="000547CB" w:rsidRDefault="000547CB" w:rsidP="000A12ED">
      <w:pPr>
        <w:ind w:left="851"/>
        <w:rPr>
          <w:sz w:val="24"/>
          <w:szCs w:val="24"/>
        </w:rPr>
      </w:pPr>
      <w:r w:rsidRPr="000547CB">
        <w:rPr>
          <w:sz w:val="24"/>
          <w:szCs w:val="24"/>
        </w:rPr>
        <w:t xml:space="preserve">Studier hos mennesker tyder på, at maksimal koncentration i kammervandet opnås ca. 2 timer efter </w:t>
      </w:r>
      <w:proofErr w:type="spellStart"/>
      <w:r w:rsidRPr="000547CB">
        <w:rPr>
          <w:sz w:val="24"/>
          <w:szCs w:val="24"/>
        </w:rPr>
        <w:t>topikal</w:t>
      </w:r>
      <w:proofErr w:type="spellEnd"/>
      <w:r w:rsidRPr="000547CB">
        <w:rPr>
          <w:sz w:val="24"/>
          <w:szCs w:val="24"/>
        </w:rPr>
        <w:t xml:space="preserve"> administration. Efter </w:t>
      </w:r>
      <w:proofErr w:type="spellStart"/>
      <w:r w:rsidRPr="000547CB">
        <w:rPr>
          <w:sz w:val="24"/>
          <w:szCs w:val="24"/>
        </w:rPr>
        <w:t>topikal</w:t>
      </w:r>
      <w:proofErr w:type="spellEnd"/>
      <w:r w:rsidRPr="000547CB">
        <w:rPr>
          <w:sz w:val="24"/>
          <w:szCs w:val="24"/>
        </w:rPr>
        <w:t xml:space="preserve"> applikation hos aber fordeles </w:t>
      </w:r>
      <w:proofErr w:type="spellStart"/>
      <w:r w:rsidRPr="000547CB">
        <w:rPr>
          <w:sz w:val="24"/>
          <w:szCs w:val="24"/>
        </w:rPr>
        <w:t>latanoprost</w:t>
      </w:r>
      <w:proofErr w:type="spellEnd"/>
      <w:r w:rsidRPr="000547CB">
        <w:rPr>
          <w:sz w:val="24"/>
          <w:szCs w:val="24"/>
        </w:rPr>
        <w:t xml:space="preserve"> primært i det forreste kammer, </w:t>
      </w:r>
      <w:proofErr w:type="spellStart"/>
      <w:r w:rsidRPr="000547CB">
        <w:rPr>
          <w:sz w:val="24"/>
          <w:szCs w:val="24"/>
        </w:rPr>
        <w:t>conjunctiva</w:t>
      </w:r>
      <w:proofErr w:type="spellEnd"/>
      <w:r w:rsidRPr="000547CB">
        <w:rPr>
          <w:sz w:val="24"/>
          <w:szCs w:val="24"/>
        </w:rPr>
        <w:t xml:space="preserve"> og øjenlågene. Kun ubetydelige mængder af lægemidlet når det </w:t>
      </w:r>
      <w:proofErr w:type="spellStart"/>
      <w:r w:rsidRPr="000547CB">
        <w:rPr>
          <w:sz w:val="24"/>
          <w:szCs w:val="24"/>
        </w:rPr>
        <w:t>posteriore</w:t>
      </w:r>
      <w:proofErr w:type="spellEnd"/>
      <w:r w:rsidRPr="000547CB">
        <w:rPr>
          <w:sz w:val="24"/>
          <w:szCs w:val="24"/>
        </w:rPr>
        <w:t xml:space="preserve"> segment.</w:t>
      </w:r>
    </w:p>
    <w:p w14:paraId="5B0EA3B4" w14:textId="77777777" w:rsidR="000547CB" w:rsidRPr="000547CB" w:rsidRDefault="000547CB" w:rsidP="000A12ED">
      <w:pPr>
        <w:ind w:left="851"/>
        <w:rPr>
          <w:sz w:val="24"/>
          <w:szCs w:val="24"/>
          <w:u w:val="single"/>
        </w:rPr>
      </w:pPr>
    </w:p>
    <w:p w14:paraId="5BAB18FD" w14:textId="77777777" w:rsidR="000547CB" w:rsidRPr="000547CB" w:rsidRDefault="000547CB" w:rsidP="000A12ED">
      <w:pPr>
        <w:ind w:left="851"/>
        <w:rPr>
          <w:sz w:val="24"/>
          <w:szCs w:val="24"/>
        </w:rPr>
      </w:pPr>
      <w:r w:rsidRPr="000547CB">
        <w:rPr>
          <w:sz w:val="24"/>
          <w:szCs w:val="24"/>
          <w:u w:val="single"/>
        </w:rPr>
        <w:t>Biotransformation og elimination</w:t>
      </w:r>
    </w:p>
    <w:p w14:paraId="4DEA91A1" w14:textId="77777777" w:rsidR="000547CB" w:rsidRPr="000547CB" w:rsidRDefault="000547CB" w:rsidP="000A12ED">
      <w:pPr>
        <w:ind w:left="851"/>
        <w:rPr>
          <w:sz w:val="24"/>
          <w:szCs w:val="24"/>
        </w:rPr>
      </w:pPr>
    </w:p>
    <w:p w14:paraId="3AE1A0A9" w14:textId="77777777" w:rsidR="000547CB" w:rsidRPr="000547CB" w:rsidRDefault="000547CB" w:rsidP="000A12ED">
      <w:pPr>
        <w:ind w:left="851"/>
        <w:rPr>
          <w:sz w:val="24"/>
          <w:szCs w:val="24"/>
        </w:rPr>
      </w:pPr>
      <w:r w:rsidRPr="000547CB">
        <w:rPr>
          <w:sz w:val="24"/>
          <w:szCs w:val="24"/>
        </w:rPr>
        <w:t xml:space="preserve">Der sker praktisk taget ingen metabolisme af </w:t>
      </w:r>
      <w:proofErr w:type="spellStart"/>
      <w:r w:rsidRPr="000547CB">
        <w:rPr>
          <w:sz w:val="24"/>
          <w:szCs w:val="24"/>
        </w:rPr>
        <w:t>latanoprost</w:t>
      </w:r>
      <w:proofErr w:type="spellEnd"/>
      <w:r w:rsidRPr="000547CB">
        <w:rPr>
          <w:sz w:val="24"/>
          <w:szCs w:val="24"/>
        </w:rPr>
        <w:t>-syre i øjet. Hovedmetabolismen finder sted i leveren. Plasmahalveringstiden er 17 minutter hos mennesker. Hovedmetabolitterne, 1,2-dinor og 1,2,3,4</w:t>
      </w:r>
      <w:r w:rsidRPr="000547CB">
        <w:rPr>
          <w:sz w:val="24"/>
          <w:szCs w:val="24"/>
        </w:rPr>
        <w:noBreakHyphen/>
        <w:t>tetranormetabolitterne udviser ingen eller kun svag biologisk aktivitet i dyrestudier og udskilles primært i urinen.</w:t>
      </w:r>
    </w:p>
    <w:p w14:paraId="7CDD3EB2" w14:textId="77777777" w:rsidR="000547CB" w:rsidRPr="000547CB" w:rsidRDefault="000547CB" w:rsidP="000A12ED">
      <w:pPr>
        <w:ind w:left="851"/>
        <w:rPr>
          <w:i/>
          <w:sz w:val="24"/>
          <w:szCs w:val="24"/>
        </w:rPr>
      </w:pPr>
    </w:p>
    <w:p w14:paraId="4EBB218F" w14:textId="77777777" w:rsidR="000547CB" w:rsidRPr="000547CB" w:rsidRDefault="000547CB" w:rsidP="000A12ED">
      <w:pPr>
        <w:ind w:left="851"/>
        <w:rPr>
          <w:i/>
          <w:sz w:val="24"/>
          <w:szCs w:val="24"/>
        </w:rPr>
      </w:pPr>
      <w:r w:rsidRPr="000547CB">
        <w:rPr>
          <w:i/>
          <w:sz w:val="24"/>
          <w:szCs w:val="24"/>
        </w:rPr>
        <w:t>Pædiatrisk population</w:t>
      </w:r>
    </w:p>
    <w:p w14:paraId="7C033E31" w14:textId="77777777" w:rsidR="000547CB" w:rsidRPr="000547CB" w:rsidRDefault="000547CB" w:rsidP="000A12ED">
      <w:pPr>
        <w:ind w:left="851"/>
        <w:rPr>
          <w:sz w:val="24"/>
          <w:szCs w:val="24"/>
        </w:rPr>
      </w:pPr>
    </w:p>
    <w:p w14:paraId="2375D670" w14:textId="6CB9A843" w:rsidR="000547CB" w:rsidRPr="000547CB" w:rsidRDefault="000547CB" w:rsidP="000A12ED">
      <w:pPr>
        <w:ind w:left="851"/>
        <w:rPr>
          <w:sz w:val="24"/>
          <w:szCs w:val="24"/>
        </w:rPr>
      </w:pPr>
      <w:r w:rsidRPr="000547CB">
        <w:rPr>
          <w:sz w:val="24"/>
          <w:szCs w:val="24"/>
        </w:rPr>
        <w:t xml:space="preserve">Plasmakoncentration af </w:t>
      </w:r>
      <w:proofErr w:type="spellStart"/>
      <w:r w:rsidRPr="000547CB">
        <w:rPr>
          <w:sz w:val="24"/>
          <w:szCs w:val="24"/>
        </w:rPr>
        <w:t>latanoprost</w:t>
      </w:r>
      <w:proofErr w:type="spellEnd"/>
      <w:r w:rsidRPr="000547CB">
        <w:rPr>
          <w:sz w:val="24"/>
          <w:szCs w:val="24"/>
        </w:rPr>
        <w:t xml:space="preserve">-syre blev undersøgt i et åbent </w:t>
      </w:r>
      <w:proofErr w:type="spellStart"/>
      <w:r w:rsidRPr="000547CB">
        <w:rPr>
          <w:sz w:val="24"/>
          <w:szCs w:val="24"/>
        </w:rPr>
        <w:t>farmakokinetisk</w:t>
      </w:r>
      <w:proofErr w:type="spellEnd"/>
      <w:r w:rsidRPr="000547CB">
        <w:rPr>
          <w:sz w:val="24"/>
          <w:szCs w:val="24"/>
        </w:rPr>
        <w:t xml:space="preserve"> forsøg med 22 voksne og 25 pædiatriske patienter (fra nyfødt til &lt; 18 år) med </w:t>
      </w:r>
      <w:proofErr w:type="spellStart"/>
      <w:r w:rsidRPr="000547CB">
        <w:rPr>
          <w:sz w:val="24"/>
          <w:szCs w:val="24"/>
        </w:rPr>
        <w:t>okulær</w:t>
      </w:r>
      <w:proofErr w:type="spellEnd"/>
      <w:r w:rsidRPr="000547CB">
        <w:rPr>
          <w:sz w:val="24"/>
          <w:szCs w:val="24"/>
        </w:rPr>
        <w:t xml:space="preserve"> hypertension og </w:t>
      </w:r>
      <w:proofErr w:type="spellStart"/>
      <w:r w:rsidRPr="000547CB">
        <w:rPr>
          <w:sz w:val="24"/>
          <w:szCs w:val="24"/>
        </w:rPr>
        <w:t>glaukom</w:t>
      </w:r>
      <w:proofErr w:type="spellEnd"/>
      <w:r w:rsidRPr="000547CB">
        <w:rPr>
          <w:sz w:val="24"/>
          <w:szCs w:val="24"/>
        </w:rPr>
        <w:t xml:space="preserve">. Alle aldersgrupper blev behandlet med 1 dråbe </w:t>
      </w:r>
      <w:proofErr w:type="spellStart"/>
      <w:r w:rsidRPr="000547CB">
        <w:rPr>
          <w:sz w:val="24"/>
          <w:szCs w:val="24"/>
        </w:rPr>
        <w:t>latanoprost</w:t>
      </w:r>
      <w:proofErr w:type="spellEnd"/>
      <w:r w:rsidRPr="000547CB">
        <w:rPr>
          <w:sz w:val="24"/>
          <w:szCs w:val="24"/>
        </w:rPr>
        <w:t xml:space="preserve"> 50</w:t>
      </w:r>
      <w:r w:rsidR="004C59A7">
        <w:rPr>
          <w:sz w:val="24"/>
          <w:szCs w:val="24"/>
        </w:rPr>
        <w:t> </w:t>
      </w:r>
      <w:r w:rsidRPr="000547CB">
        <w:rPr>
          <w:sz w:val="24"/>
          <w:szCs w:val="24"/>
        </w:rPr>
        <w:t xml:space="preserve">mikrogram/ml dagligt i hvert øje i minimum 2 uger. Systemisk eksposition for </w:t>
      </w:r>
      <w:proofErr w:type="spellStart"/>
      <w:r w:rsidRPr="000547CB">
        <w:rPr>
          <w:sz w:val="24"/>
          <w:szCs w:val="24"/>
        </w:rPr>
        <w:t>latanoprost</w:t>
      </w:r>
      <w:proofErr w:type="spellEnd"/>
      <w:r w:rsidRPr="000547CB">
        <w:rPr>
          <w:sz w:val="24"/>
          <w:szCs w:val="24"/>
        </w:rPr>
        <w:t xml:space="preserve">-syre var ca. 2 gange højere hos børn i alderen 3 til &lt; 12 år og 6 gange højere hos børn &lt; 3 år sammenlignet med voksne, men en bred sikkerhedsmargin mht. systemiske bivirkninger blev opretholdt (se pkt. 4.9). Den </w:t>
      </w:r>
      <w:proofErr w:type="spellStart"/>
      <w:r w:rsidRPr="000547CB">
        <w:rPr>
          <w:sz w:val="24"/>
          <w:szCs w:val="24"/>
        </w:rPr>
        <w:t>mediane</w:t>
      </w:r>
      <w:proofErr w:type="spellEnd"/>
      <w:r w:rsidRPr="000547CB">
        <w:rPr>
          <w:sz w:val="24"/>
          <w:szCs w:val="24"/>
        </w:rPr>
        <w:t xml:space="preserve"> tid til at opnå maksimal plasmakoncentration var 5 minutter efter dosis i alle aldersgrupper. Den </w:t>
      </w:r>
      <w:proofErr w:type="spellStart"/>
      <w:r w:rsidRPr="000547CB">
        <w:rPr>
          <w:sz w:val="24"/>
          <w:szCs w:val="24"/>
        </w:rPr>
        <w:t>mediane</w:t>
      </w:r>
      <w:proofErr w:type="spellEnd"/>
      <w:r w:rsidRPr="000547CB">
        <w:rPr>
          <w:sz w:val="24"/>
          <w:szCs w:val="24"/>
        </w:rPr>
        <w:t xml:space="preserve"> plasma-eliminationshalveringstid var kort (&lt; 20 minutter), ens hos pædiatriske og voksne patienter, og medførte ingen akkumulering af </w:t>
      </w:r>
      <w:proofErr w:type="spellStart"/>
      <w:r w:rsidRPr="000547CB">
        <w:rPr>
          <w:sz w:val="24"/>
          <w:szCs w:val="24"/>
        </w:rPr>
        <w:t>latanoprost</w:t>
      </w:r>
      <w:proofErr w:type="spellEnd"/>
      <w:r w:rsidRPr="000547CB">
        <w:rPr>
          <w:sz w:val="24"/>
          <w:szCs w:val="24"/>
        </w:rPr>
        <w:t xml:space="preserve">-syre i den systemiske cirkulation under </w:t>
      </w:r>
      <w:proofErr w:type="spellStart"/>
      <w:r w:rsidRPr="000547CB">
        <w:rPr>
          <w:sz w:val="24"/>
          <w:szCs w:val="24"/>
        </w:rPr>
        <w:t>steady</w:t>
      </w:r>
      <w:proofErr w:type="spellEnd"/>
      <w:r w:rsidRPr="000547CB">
        <w:rPr>
          <w:sz w:val="24"/>
          <w:szCs w:val="24"/>
        </w:rPr>
        <w:t>-state-forhold.</w:t>
      </w:r>
    </w:p>
    <w:p w14:paraId="47A8CEBD" w14:textId="77777777" w:rsidR="009260DE" w:rsidRPr="004C59A7" w:rsidRDefault="009260DE" w:rsidP="009260DE">
      <w:pPr>
        <w:tabs>
          <w:tab w:val="left" w:pos="851"/>
        </w:tabs>
        <w:ind w:left="851"/>
        <w:rPr>
          <w:sz w:val="24"/>
          <w:szCs w:val="24"/>
        </w:rPr>
      </w:pPr>
    </w:p>
    <w:p w14:paraId="3210031A" w14:textId="77777777" w:rsidR="009260DE" w:rsidRPr="004C59A7" w:rsidRDefault="009260DE" w:rsidP="009260DE">
      <w:pPr>
        <w:tabs>
          <w:tab w:val="left" w:pos="851"/>
        </w:tabs>
        <w:ind w:left="851" w:hanging="851"/>
        <w:rPr>
          <w:b/>
          <w:sz w:val="24"/>
          <w:szCs w:val="24"/>
        </w:rPr>
      </w:pPr>
      <w:r w:rsidRPr="004C59A7">
        <w:rPr>
          <w:b/>
          <w:sz w:val="24"/>
          <w:szCs w:val="24"/>
        </w:rPr>
        <w:t>5.3</w:t>
      </w:r>
      <w:r w:rsidRPr="004C59A7">
        <w:rPr>
          <w:b/>
          <w:sz w:val="24"/>
          <w:szCs w:val="24"/>
        </w:rPr>
        <w:tab/>
      </w:r>
      <w:r w:rsidR="00BD7931" w:rsidRPr="004C59A7">
        <w:rPr>
          <w:b/>
          <w:sz w:val="24"/>
          <w:szCs w:val="24"/>
        </w:rPr>
        <w:t>Non-</w:t>
      </w:r>
      <w:r w:rsidRPr="004C59A7">
        <w:rPr>
          <w:b/>
          <w:sz w:val="24"/>
          <w:szCs w:val="24"/>
        </w:rPr>
        <w:t>kliniske sikkerhedsdata</w:t>
      </w:r>
    </w:p>
    <w:p w14:paraId="59944A26" w14:textId="77777777" w:rsidR="000547CB" w:rsidRPr="000547CB" w:rsidRDefault="000547CB" w:rsidP="000A12ED">
      <w:pPr>
        <w:ind w:left="851"/>
        <w:rPr>
          <w:sz w:val="24"/>
          <w:szCs w:val="24"/>
        </w:rPr>
      </w:pPr>
      <w:proofErr w:type="spellStart"/>
      <w:r w:rsidRPr="000547CB">
        <w:rPr>
          <w:sz w:val="24"/>
          <w:szCs w:val="24"/>
        </w:rPr>
        <w:t>Latanoprosts</w:t>
      </w:r>
      <w:proofErr w:type="spellEnd"/>
      <w:r w:rsidRPr="000547CB">
        <w:rPr>
          <w:sz w:val="24"/>
          <w:szCs w:val="24"/>
        </w:rPr>
        <w:t xml:space="preserve"> </w:t>
      </w:r>
      <w:proofErr w:type="spellStart"/>
      <w:r w:rsidRPr="000547CB">
        <w:rPr>
          <w:sz w:val="24"/>
          <w:szCs w:val="24"/>
        </w:rPr>
        <w:t>okulære</w:t>
      </w:r>
      <w:proofErr w:type="spellEnd"/>
      <w:r w:rsidRPr="000547CB">
        <w:rPr>
          <w:sz w:val="24"/>
          <w:szCs w:val="24"/>
        </w:rPr>
        <w:t xml:space="preserve"> såvel som systemiske toksicitet er undersøgt i adskillige dyrestudier. Generelt tolereres </w:t>
      </w:r>
      <w:proofErr w:type="spellStart"/>
      <w:r w:rsidRPr="000547CB">
        <w:rPr>
          <w:sz w:val="24"/>
          <w:szCs w:val="24"/>
        </w:rPr>
        <w:t>latanoprost</w:t>
      </w:r>
      <w:proofErr w:type="spellEnd"/>
      <w:r w:rsidRPr="000547CB">
        <w:rPr>
          <w:sz w:val="24"/>
          <w:szCs w:val="24"/>
        </w:rPr>
        <w:t xml:space="preserve"> godt med en sikkerhedsmargen mellem den </w:t>
      </w:r>
      <w:proofErr w:type="spellStart"/>
      <w:r w:rsidRPr="000547CB">
        <w:rPr>
          <w:sz w:val="24"/>
          <w:szCs w:val="24"/>
        </w:rPr>
        <w:t>okulære</w:t>
      </w:r>
      <w:proofErr w:type="spellEnd"/>
      <w:r w:rsidRPr="000547CB">
        <w:rPr>
          <w:sz w:val="24"/>
          <w:szCs w:val="24"/>
        </w:rPr>
        <w:t xml:space="preserve"> kliniske dosis og systemisk toksicitet på mindst 1.000 gange. Høje </w:t>
      </w:r>
      <w:proofErr w:type="spellStart"/>
      <w:r w:rsidRPr="000547CB">
        <w:rPr>
          <w:sz w:val="24"/>
          <w:szCs w:val="24"/>
        </w:rPr>
        <w:t>latanoprostdoser</w:t>
      </w:r>
      <w:proofErr w:type="spellEnd"/>
      <w:r w:rsidRPr="000547CB">
        <w:rPr>
          <w:sz w:val="24"/>
          <w:szCs w:val="24"/>
        </w:rPr>
        <w:t xml:space="preserve">, ca. 100 gange den kliniske dosis/kg legemsvægt, administreret intravenøst til ikke-bedøvede aber, har vist sig at øge respirationsfrekvensen, sandsynligvis som udtryk for en kortvarig </w:t>
      </w:r>
      <w:proofErr w:type="spellStart"/>
      <w:r w:rsidRPr="000547CB">
        <w:rPr>
          <w:sz w:val="24"/>
          <w:szCs w:val="24"/>
        </w:rPr>
        <w:t>bronkokonstriktion</w:t>
      </w:r>
      <w:proofErr w:type="spellEnd"/>
      <w:r w:rsidRPr="000547CB">
        <w:rPr>
          <w:sz w:val="24"/>
          <w:szCs w:val="24"/>
        </w:rPr>
        <w:t xml:space="preserve">. </w:t>
      </w:r>
      <w:proofErr w:type="spellStart"/>
      <w:r w:rsidRPr="000547CB">
        <w:rPr>
          <w:sz w:val="24"/>
          <w:szCs w:val="24"/>
        </w:rPr>
        <w:t>Latanoprost</w:t>
      </w:r>
      <w:proofErr w:type="spellEnd"/>
      <w:r w:rsidRPr="000547CB">
        <w:rPr>
          <w:sz w:val="24"/>
          <w:szCs w:val="24"/>
        </w:rPr>
        <w:t xml:space="preserve"> har ikke vist sig at have allergene egenskaber i dyrestudier.</w:t>
      </w:r>
    </w:p>
    <w:p w14:paraId="28ED8C71" w14:textId="77777777" w:rsidR="000547CB" w:rsidRPr="000547CB" w:rsidRDefault="000547CB" w:rsidP="000A12ED">
      <w:pPr>
        <w:ind w:left="851"/>
        <w:rPr>
          <w:sz w:val="24"/>
          <w:szCs w:val="24"/>
        </w:rPr>
      </w:pPr>
    </w:p>
    <w:p w14:paraId="3C31A677" w14:textId="77777777" w:rsidR="000547CB" w:rsidRPr="000547CB" w:rsidRDefault="000547CB" w:rsidP="000A12ED">
      <w:pPr>
        <w:ind w:left="851"/>
        <w:rPr>
          <w:sz w:val="24"/>
          <w:szCs w:val="24"/>
        </w:rPr>
      </w:pPr>
      <w:r w:rsidRPr="000547CB">
        <w:rPr>
          <w:sz w:val="24"/>
          <w:szCs w:val="24"/>
        </w:rPr>
        <w:t xml:space="preserve">Der er ikke blevet påvist toksiske virkninger i øjet ved doser op til 100 mikrogram-/øje/dag hos kaniner eller aber (klinisk dosis er ca. 1,5 mikrogram/øje/dag). </w:t>
      </w:r>
      <w:proofErr w:type="spellStart"/>
      <w:r w:rsidRPr="000547CB">
        <w:rPr>
          <w:sz w:val="24"/>
          <w:szCs w:val="24"/>
        </w:rPr>
        <w:t>Latanoprost</w:t>
      </w:r>
      <w:proofErr w:type="spellEnd"/>
      <w:r w:rsidRPr="000547CB">
        <w:rPr>
          <w:sz w:val="24"/>
          <w:szCs w:val="24"/>
        </w:rPr>
        <w:t xml:space="preserve"> forårsager imidlertid øget pigmentering af iris hos aber.</w:t>
      </w:r>
    </w:p>
    <w:p w14:paraId="57CBEDC8" w14:textId="77777777" w:rsidR="000547CB" w:rsidRPr="000547CB" w:rsidRDefault="000547CB" w:rsidP="000A12ED">
      <w:pPr>
        <w:ind w:left="851"/>
        <w:rPr>
          <w:sz w:val="24"/>
          <w:szCs w:val="24"/>
        </w:rPr>
      </w:pPr>
    </w:p>
    <w:p w14:paraId="456E0798" w14:textId="77777777" w:rsidR="000547CB" w:rsidRPr="000547CB" w:rsidRDefault="000547CB" w:rsidP="000A12ED">
      <w:pPr>
        <w:ind w:left="851"/>
        <w:rPr>
          <w:sz w:val="24"/>
          <w:szCs w:val="24"/>
        </w:rPr>
      </w:pPr>
      <w:r w:rsidRPr="000547CB">
        <w:rPr>
          <w:sz w:val="24"/>
          <w:szCs w:val="24"/>
        </w:rPr>
        <w:t xml:space="preserve">Mekanismen for øget pigmentering er tilsyneladende stimulation af melaninproduktionen i melanocytterne i iris, uden at der er iagttaget nogen </w:t>
      </w:r>
      <w:proofErr w:type="spellStart"/>
      <w:r w:rsidRPr="000547CB">
        <w:rPr>
          <w:sz w:val="24"/>
          <w:szCs w:val="24"/>
        </w:rPr>
        <w:t>proliferative</w:t>
      </w:r>
      <w:proofErr w:type="spellEnd"/>
      <w:r w:rsidRPr="000547CB">
        <w:rPr>
          <w:sz w:val="24"/>
          <w:szCs w:val="24"/>
        </w:rPr>
        <w:t xml:space="preserve"> ændringer. Farveændringen af iris kan være permanent.</w:t>
      </w:r>
    </w:p>
    <w:p w14:paraId="29262850" w14:textId="77777777" w:rsidR="000547CB" w:rsidRPr="000547CB" w:rsidRDefault="000547CB" w:rsidP="000A12ED">
      <w:pPr>
        <w:ind w:left="851"/>
        <w:rPr>
          <w:sz w:val="24"/>
          <w:szCs w:val="24"/>
        </w:rPr>
      </w:pPr>
    </w:p>
    <w:p w14:paraId="37E55397" w14:textId="05EFEEB4" w:rsidR="000547CB" w:rsidRPr="000547CB" w:rsidRDefault="000547CB" w:rsidP="000A12ED">
      <w:pPr>
        <w:ind w:left="851"/>
        <w:rPr>
          <w:sz w:val="24"/>
          <w:szCs w:val="24"/>
        </w:rPr>
      </w:pPr>
      <w:r w:rsidRPr="000547CB">
        <w:rPr>
          <w:sz w:val="24"/>
          <w:szCs w:val="24"/>
        </w:rPr>
        <w:t xml:space="preserve">Kroniske </w:t>
      </w:r>
      <w:proofErr w:type="spellStart"/>
      <w:r w:rsidRPr="000547CB">
        <w:rPr>
          <w:sz w:val="24"/>
          <w:szCs w:val="24"/>
        </w:rPr>
        <w:t>okulære</w:t>
      </w:r>
      <w:proofErr w:type="spellEnd"/>
      <w:r w:rsidRPr="000547CB">
        <w:rPr>
          <w:sz w:val="24"/>
          <w:szCs w:val="24"/>
        </w:rPr>
        <w:t xml:space="preserve"> </w:t>
      </w:r>
      <w:proofErr w:type="spellStart"/>
      <w:r w:rsidRPr="000547CB">
        <w:rPr>
          <w:sz w:val="24"/>
          <w:szCs w:val="24"/>
        </w:rPr>
        <w:t>toksisitetsstudier</w:t>
      </w:r>
      <w:proofErr w:type="spellEnd"/>
      <w:r w:rsidRPr="000547CB">
        <w:rPr>
          <w:sz w:val="24"/>
          <w:szCs w:val="24"/>
        </w:rPr>
        <w:t xml:space="preserve"> viser, at administration af </w:t>
      </w:r>
      <w:proofErr w:type="spellStart"/>
      <w:r w:rsidRPr="000547CB">
        <w:rPr>
          <w:sz w:val="24"/>
          <w:szCs w:val="24"/>
        </w:rPr>
        <w:t>latanoprost</w:t>
      </w:r>
      <w:proofErr w:type="spellEnd"/>
      <w:r w:rsidRPr="000547CB">
        <w:rPr>
          <w:sz w:val="24"/>
          <w:szCs w:val="24"/>
        </w:rPr>
        <w:t xml:space="preserve"> 6</w:t>
      </w:r>
      <w:r w:rsidR="00E60C48">
        <w:rPr>
          <w:sz w:val="24"/>
          <w:szCs w:val="24"/>
        </w:rPr>
        <w:t> </w:t>
      </w:r>
      <w:r w:rsidRPr="000547CB">
        <w:rPr>
          <w:sz w:val="24"/>
          <w:szCs w:val="24"/>
        </w:rPr>
        <w:t xml:space="preserve">mikrogram/øje/dag forårsager øget </w:t>
      </w:r>
      <w:proofErr w:type="spellStart"/>
      <w:r w:rsidRPr="000547CB">
        <w:rPr>
          <w:sz w:val="24"/>
          <w:szCs w:val="24"/>
        </w:rPr>
        <w:t>palpebral</w:t>
      </w:r>
      <w:proofErr w:type="spellEnd"/>
      <w:r w:rsidRPr="000547CB">
        <w:rPr>
          <w:sz w:val="24"/>
          <w:szCs w:val="24"/>
        </w:rPr>
        <w:t xml:space="preserve"> fissur. Denne effekt er reversibel og opstår ved doser over klinisk niveau. Effekten er ikke set hos mennesker.</w:t>
      </w:r>
    </w:p>
    <w:p w14:paraId="73C4891D" w14:textId="77777777" w:rsidR="000547CB" w:rsidRPr="000547CB" w:rsidRDefault="000547CB" w:rsidP="000A12ED">
      <w:pPr>
        <w:ind w:left="851"/>
        <w:rPr>
          <w:sz w:val="24"/>
          <w:szCs w:val="24"/>
        </w:rPr>
      </w:pPr>
    </w:p>
    <w:p w14:paraId="55CD25C1" w14:textId="60A534EC" w:rsidR="000547CB" w:rsidRPr="000547CB" w:rsidRDefault="000547CB" w:rsidP="000A12ED">
      <w:pPr>
        <w:ind w:left="851"/>
        <w:rPr>
          <w:sz w:val="24"/>
          <w:szCs w:val="24"/>
        </w:rPr>
      </w:pPr>
      <w:proofErr w:type="spellStart"/>
      <w:r w:rsidRPr="000547CB">
        <w:rPr>
          <w:sz w:val="24"/>
          <w:szCs w:val="24"/>
        </w:rPr>
        <w:t>Latanoprost</w:t>
      </w:r>
      <w:proofErr w:type="spellEnd"/>
      <w:r w:rsidRPr="000547CB">
        <w:rPr>
          <w:sz w:val="24"/>
          <w:szCs w:val="24"/>
        </w:rPr>
        <w:t xml:space="preserve"> var negativ i revers mutationsforsøg i bakterier, i genmutationsforsøg i </w:t>
      </w:r>
      <w:proofErr w:type="spellStart"/>
      <w:r w:rsidRPr="000547CB">
        <w:rPr>
          <w:sz w:val="24"/>
          <w:szCs w:val="24"/>
        </w:rPr>
        <w:t>muselymfomer</w:t>
      </w:r>
      <w:proofErr w:type="spellEnd"/>
      <w:r w:rsidRPr="000547CB">
        <w:rPr>
          <w:sz w:val="24"/>
          <w:szCs w:val="24"/>
        </w:rPr>
        <w:t xml:space="preserve"> og i muse-</w:t>
      </w:r>
      <w:proofErr w:type="spellStart"/>
      <w:r w:rsidRPr="000547CB">
        <w:rPr>
          <w:sz w:val="24"/>
          <w:szCs w:val="24"/>
        </w:rPr>
        <w:t>mikronukleustesten</w:t>
      </w:r>
      <w:proofErr w:type="spellEnd"/>
      <w:r w:rsidRPr="000547CB">
        <w:rPr>
          <w:sz w:val="24"/>
          <w:szCs w:val="24"/>
        </w:rPr>
        <w:t xml:space="preserve">. Kromosomafvigelser blev observeret </w:t>
      </w:r>
      <w:r w:rsidRPr="000547CB">
        <w:rPr>
          <w:i/>
          <w:sz w:val="24"/>
          <w:szCs w:val="24"/>
        </w:rPr>
        <w:t xml:space="preserve">in </w:t>
      </w:r>
      <w:proofErr w:type="spellStart"/>
      <w:r w:rsidRPr="000547CB">
        <w:rPr>
          <w:i/>
          <w:sz w:val="24"/>
          <w:szCs w:val="24"/>
        </w:rPr>
        <w:t>vitro</w:t>
      </w:r>
      <w:proofErr w:type="spellEnd"/>
      <w:r w:rsidRPr="000547CB">
        <w:rPr>
          <w:iCs/>
          <w:sz w:val="24"/>
          <w:szCs w:val="24"/>
        </w:rPr>
        <w:t xml:space="preserve"> </w:t>
      </w:r>
      <w:r w:rsidRPr="000547CB">
        <w:rPr>
          <w:sz w:val="24"/>
          <w:szCs w:val="24"/>
        </w:rPr>
        <w:t xml:space="preserve">i humane lymfocytter. Lignende virkninger blev observeret med </w:t>
      </w:r>
      <w:proofErr w:type="spellStart"/>
      <w:r w:rsidRPr="000547CB">
        <w:rPr>
          <w:sz w:val="24"/>
          <w:szCs w:val="24"/>
        </w:rPr>
        <w:t>prostaglandin</w:t>
      </w:r>
      <w:proofErr w:type="spellEnd"/>
      <w:r w:rsidRPr="000547CB">
        <w:rPr>
          <w:sz w:val="24"/>
          <w:szCs w:val="24"/>
        </w:rPr>
        <w:t xml:space="preserve"> F</w:t>
      </w:r>
      <w:r w:rsidRPr="000547CB">
        <w:rPr>
          <w:sz w:val="24"/>
          <w:szCs w:val="24"/>
          <w:vertAlign w:val="subscript"/>
        </w:rPr>
        <w:t>2α</w:t>
      </w:r>
      <w:r w:rsidRPr="000547CB">
        <w:rPr>
          <w:sz w:val="24"/>
          <w:szCs w:val="24"/>
        </w:rPr>
        <w:t xml:space="preserve">, et naturligt forekommende </w:t>
      </w:r>
      <w:proofErr w:type="spellStart"/>
      <w:r w:rsidRPr="000547CB">
        <w:rPr>
          <w:sz w:val="24"/>
          <w:szCs w:val="24"/>
        </w:rPr>
        <w:t>prostaglandin</w:t>
      </w:r>
      <w:proofErr w:type="spellEnd"/>
      <w:r w:rsidRPr="000547CB">
        <w:rPr>
          <w:sz w:val="24"/>
          <w:szCs w:val="24"/>
        </w:rPr>
        <w:t>, hvilket tyder på, at dette er en klasseeffekt.</w:t>
      </w:r>
    </w:p>
    <w:p w14:paraId="3A2E3FA5" w14:textId="77777777" w:rsidR="000547CB" w:rsidRPr="000547CB" w:rsidRDefault="000547CB" w:rsidP="000A12ED">
      <w:pPr>
        <w:ind w:left="851"/>
        <w:rPr>
          <w:sz w:val="24"/>
          <w:szCs w:val="24"/>
        </w:rPr>
      </w:pPr>
    </w:p>
    <w:p w14:paraId="1B4C7150" w14:textId="77777777" w:rsidR="000547CB" w:rsidRPr="000547CB" w:rsidRDefault="000547CB" w:rsidP="000A12ED">
      <w:pPr>
        <w:ind w:left="851"/>
        <w:rPr>
          <w:sz w:val="24"/>
          <w:szCs w:val="24"/>
        </w:rPr>
      </w:pPr>
      <w:r w:rsidRPr="000547CB">
        <w:rPr>
          <w:sz w:val="24"/>
          <w:szCs w:val="24"/>
        </w:rPr>
        <w:t xml:space="preserve">Yderligere </w:t>
      </w:r>
      <w:proofErr w:type="spellStart"/>
      <w:r w:rsidRPr="000547CB">
        <w:rPr>
          <w:sz w:val="24"/>
          <w:szCs w:val="24"/>
        </w:rPr>
        <w:t>mutagenicitetsstudier</w:t>
      </w:r>
      <w:proofErr w:type="spellEnd"/>
      <w:r w:rsidRPr="000547CB">
        <w:rPr>
          <w:sz w:val="24"/>
          <w:szCs w:val="24"/>
        </w:rPr>
        <w:t xml:space="preserve"> </w:t>
      </w:r>
      <w:r w:rsidRPr="000547CB">
        <w:rPr>
          <w:i/>
          <w:sz w:val="24"/>
          <w:szCs w:val="24"/>
        </w:rPr>
        <w:t>in</w:t>
      </w:r>
      <w:r w:rsidRPr="000547CB">
        <w:rPr>
          <w:sz w:val="24"/>
          <w:szCs w:val="24"/>
        </w:rPr>
        <w:t xml:space="preserve"> </w:t>
      </w:r>
      <w:proofErr w:type="spellStart"/>
      <w:r w:rsidRPr="000547CB">
        <w:rPr>
          <w:i/>
          <w:sz w:val="24"/>
          <w:szCs w:val="24"/>
        </w:rPr>
        <w:t>vitro</w:t>
      </w:r>
      <w:proofErr w:type="spellEnd"/>
      <w:r w:rsidRPr="000547CB">
        <w:rPr>
          <w:i/>
          <w:sz w:val="24"/>
          <w:szCs w:val="24"/>
        </w:rPr>
        <w:t xml:space="preserve">/in </w:t>
      </w:r>
      <w:proofErr w:type="spellStart"/>
      <w:r w:rsidRPr="000547CB">
        <w:rPr>
          <w:i/>
          <w:sz w:val="24"/>
          <w:szCs w:val="24"/>
        </w:rPr>
        <w:t>vivo</w:t>
      </w:r>
      <w:proofErr w:type="spellEnd"/>
      <w:r w:rsidRPr="000547CB">
        <w:rPr>
          <w:sz w:val="24"/>
          <w:szCs w:val="24"/>
        </w:rPr>
        <w:t xml:space="preserve"> på ikke-planlagt DNA-syntese i rotter var negative og tyder på, at </w:t>
      </w:r>
      <w:proofErr w:type="spellStart"/>
      <w:r w:rsidRPr="000547CB">
        <w:rPr>
          <w:sz w:val="24"/>
          <w:szCs w:val="24"/>
        </w:rPr>
        <w:t>latanoprost</w:t>
      </w:r>
      <w:proofErr w:type="spellEnd"/>
      <w:r w:rsidRPr="000547CB">
        <w:rPr>
          <w:sz w:val="24"/>
          <w:szCs w:val="24"/>
        </w:rPr>
        <w:t xml:space="preserve"> ikke har mutagent potentiale. </w:t>
      </w:r>
      <w:proofErr w:type="spellStart"/>
      <w:r w:rsidRPr="000547CB">
        <w:rPr>
          <w:sz w:val="24"/>
          <w:szCs w:val="24"/>
        </w:rPr>
        <w:t>Carcinogenicitetsstudier</w:t>
      </w:r>
      <w:proofErr w:type="spellEnd"/>
      <w:r w:rsidRPr="000547CB">
        <w:rPr>
          <w:sz w:val="24"/>
          <w:szCs w:val="24"/>
        </w:rPr>
        <w:t xml:space="preserve"> på mus og rotter var negative.</w:t>
      </w:r>
    </w:p>
    <w:p w14:paraId="5EA3D1C4" w14:textId="77777777" w:rsidR="000547CB" w:rsidRPr="000547CB" w:rsidRDefault="000547CB" w:rsidP="000A12ED">
      <w:pPr>
        <w:ind w:left="851"/>
        <w:rPr>
          <w:sz w:val="24"/>
          <w:szCs w:val="24"/>
        </w:rPr>
      </w:pPr>
    </w:p>
    <w:p w14:paraId="4DB345E3" w14:textId="77777777" w:rsidR="000547CB" w:rsidRPr="000547CB" w:rsidRDefault="000547CB" w:rsidP="000A12ED">
      <w:pPr>
        <w:ind w:left="851"/>
        <w:rPr>
          <w:sz w:val="24"/>
          <w:szCs w:val="24"/>
        </w:rPr>
      </w:pPr>
      <w:r w:rsidRPr="000547CB">
        <w:rPr>
          <w:sz w:val="24"/>
          <w:szCs w:val="24"/>
        </w:rPr>
        <w:t xml:space="preserve">Dyrestudier med </w:t>
      </w:r>
      <w:proofErr w:type="spellStart"/>
      <w:r w:rsidRPr="000547CB">
        <w:rPr>
          <w:sz w:val="24"/>
          <w:szCs w:val="24"/>
        </w:rPr>
        <w:t>latanoprost</w:t>
      </w:r>
      <w:proofErr w:type="spellEnd"/>
      <w:r w:rsidRPr="000547CB">
        <w:rPr>
          <w:sz w:val="24"/>
          <w:szCs w:val="24"/>
        </w:rPr>
        <w:t xml:space="preserve"> har ikke vist påvirkning af fertilitet hos hverken mænd eller kvinder. I embryotoksicitetsstudier på rotter blev der ikke iagttaget nogen embryotoksicitet ved intravenøse doser (5, 50 og 250 mikrogram/kg/dag). </w:t>
      </w:r>
      <w:proofErr w:type="spellStart"/>
      <w:r w:rsidRPr="000547CB">
        <w:rPr>
          <w:sz w:val="24"/>
          <w:szCs w:val="24"/>
        </w:rPr>
        <w:t>Latanoprost</w:t>
      </w:r>
      <w:proofErr w:type="spellEnd"/>
      <w:r w:rsidRPr="000547CB">
        <w:rPr>
          <w:sz w:val="24"/>
          <w:szCs w:val="24"/>
        </w:rPr>
        <w:t xml:space="preserve"> forårsagede imidlertid embryoletal virkning hos kaniner ved doser på 5 mikrogram /kg/dag og derover.</w:t>
      </w:r>
    </w:p>
    <w:p w14:paraId="718CEEB4" w14:textId="77777777" w:rsidR="000547CB" w:rsidRPr="000547CB" w:rsidRDefault="000547CB" w:rsidP="000A12ED">
      <w:pPr>
        <w:ind w:left="851"/>
        <w:rPr>
          <w:sz w:val="24"/>
          <w:szCs w:val="24"/>
        </w:rPr>
      </w:pPr>
    </w:p>
    <w:p w14:paraId="46AE560B" w14:textId="77777777" w:rsidR="000547CB" w:rsidRPr="000547CB" w:rsidRDefault="000547CB" w:rsidP="000A12ED">
      <w:pPr>
        <w:ind w:left="851"/>
        <w:rPr>
          <w:sz w:val="24"/>
          <w:szCs w:val="24"/>
        </w:rPr>
      </w:pPr>
      <w:r w:rsidRPr="000547CB">
        <w:rPr>
          <w:sz w:val="24"/>
          <w:szCs w:val="24"/>
        </w:rPr>
        <w:t xml:space="preserve">Dosen på 5 mikrogram/kg/dag (ca. 100 gange klinisk dosis) forårsagede signifikant </w:t>
      </w:r>
      <w:proofErr w:type="spellStart"/>
      <w:r w:rsidRPr="000547CB">
        <w:rPr>
          <w:sz w:val="24"/>
          <w:szCs w:val="24"/>
        </w:rPr>
        <w:t>embryoføtal</w:t>
      </w:r>
      <w:proofErr w:type="spellEnd"/>
      <w:r w:rsidRPr="000547CB">
        <w:rPr>
          <w:sz w:val="24"/>
          <w:szCs w:val="24"/>
        </w:rPr>
        <w:t xml:space="preserve"> toksicitet karakteriseret ved øget hyppighed af sen resorption og abort samt nedsat fostervægt. </w:t>
      </w:r>
    </w:p>
    <w:p w14:paraId="2927B824" w14:textId="77777777" w:rsidR="000547CB" w:rsidRPr="000547CB" w:rsidRDefault="000547CB" w:rsidP="000A12ED">
      <w:pPr>
        <w:ind w:left="851"/>
        <w:rPr>
          <w:sz w:val="24"/>
          <w:szCs w:val="24"/>
        </w:rPr>
      </w:pPr>
      <w:r w:rsidRPr="000547CB">
        <w:rPr>
          <w:sz w:val="24"/>
          <w:szCs w:val="24"/>
        </w:rPr>
        <w:t xml:space="preserve">Intet </w:t>
      </w:r>
      <w:proofErr w:type="spellStart"/>
      <w:r w:rsidRPr="000547CB">
        <w:rPr>
          <w:sz w:val="24"/>
          <w:szCs w:val="24"/>
        </w:rPr>
        <w:t>teratogent</w:t>
      </w:r>
      <w:proofErr w:type="spellEnd"/>
      <w:r w:rsidRPr="000547CB">
        <w:rPr>
          <w:sz w:val="24"/>
          <w:szCs w:val="24"/>
        </w:rPr>
        <w:t xml:space="preserve"> potentiale er blevet påvist.</w:t>
      </w:r>
    </w:p>
    <w:p w14:paraId="73D0163D" w14:textId="77777777" w:rsidR="000547CB" w:rsidRPr="000547CB" w:rsidRDefault="000547CB" w:rsidP="000547CB">
      <w:pPr>
        <w:tabs>
          <w:tab w:val="left" w:pos="851"/>
        </w:tabs>
        <w:ind w:left="851"/>
        <w:rPr>
          <w:sz w:val="24"/>
          <w:szCs w:val="24"/>
        </w:rPr>
      </w:pPr>
    </w:p>
    <w:p w14:paraId="7C53C9B8" w14:textId="77777777" w:rsidR="009260DE" w:rsidRPr="004C59A7" w:rsidRDefault="009260DE" w:rsidP="009260DE">
      <w:pPr>
        <w:tabs>
          <w:tab w:val="left" w:pos="851"/>
        </w:tabs>
        <w:ind w:left="851"/>
        <w:rPr>
          <w:sz w:val="24"/>
          <w:szCs w:val="24"/>
        </w:rPr>
      </w:pPr>
    </w:p>
    <w:p w14:paraId="356E9427" w14:textId="77777777" w:rsidR="009260DE" w:rsidRPr="004C59A7" w:rsidRDefault="009260DE" w:rsidP="009260DE">
      <w:pPr>
        <w:tabs>
          <w:tab w:val="left" w:pos="851"/>
        </w:tabs>
        <w:ind w:left="851" w:hanging="851"/>
        <w:rPr>
          <w:b/>
          <w:sz w:val="24"/>
          <w:szCs w:val="24"/>
        </w:rPr>
      </w:pPr>
      <w:r w:rsidRPr="004C59A7">
        <w:rPr>
          <w:b/>
          <w:sz w:val="24"/>
          <w:szCs w:val="24"/>
        </w:rPr>
        <w:t>6.</w:t>
      </w:r>
      <w:r w:rsidRPr="004C59A7">
        <w:rPr>
          <w:b/>
          <w:sz w:val="24"/>
          <w:szCs w:val="24"/>
        </w:rPr>
        <w:tab/>
        <w:t>FARMACEUTISKE OPLYSNINGER</w:t>
      </w:r>
    </w:p>
    <w:p w14:paraId="6E365CD4" w14:textId="77777777" w:rsidR="009260DE" w:rsidRPr="004C59A7" w:rsidRDefault="009260DE" w:rsidP="009260DE">
      <w:pPr>
        <w:tabs>
          <w:tab w:val="left" w:pos="851"/>
        </w:tabs>
        <w:ind w:left="851"/>
        <w:rPr>
          <w:sz w:val="24"/>
          <w:szCs w:val="24"/>
        </w:rPr>
      </w:pPr>
    </w:p>
    <w:p w14:paraId="369427DA" w14:textId="77777777" w:rsidR="009260DE" w:rsidRPr="004C59A7" w:rsidRDefault="009260DE" w:rsidP="009260DE">
      <w:pPr>
        <w:tabs>
          <w:tab w:val="left" w:pos="851"/>
        </w:tabs>
        <w:ind w:left="851" w:hanging="851"/>
        <w:rPr>
          <w:b/>
          <w:sz w:val="24"/>
          <w:szCs w:val="24"/>
        </w:rPr>
      </w:pPr>
      <w:r w:rsidRPr="004C59A7">
        <w:rPr>
          <w:b/>
          <w:sz w:val="24"/>
          <w:szCs w:val="24"/>
        </w:rPr>
        <w:t>6.1</w:t>
      </w:r>
      <w:r w:rsidRPr="004C59A7">
        <w:rPr>
          <w:b/>
          <w:sz w:val="24"/>
          <w:szCs w:val="24"/>
        </w:rPr>
        <w:tab/>
        <w:t>Hjælpestoffer</w:t>
      </w:r>
    </w:p>
    <w:p w14:paraId="38741475" w14:textId="77777777" w:rsidR="000547CB" w:rsidRPr="000547CB" w:rsidRDefault="000547CB" w:rsidP="0020197B">
      <w:pPr>
        <w:ind w:left="851"/>
        <w:rPr>
          <w:sz w:val="24"/>
          <w:szCs w:val="24"/>
        </w:rPr>
      </w:pPr>
      <w:proofErr w:type="spellStart"/>
      <w:r w:rsidRPr="000547CB">
        <w:rPr>
          <w:sz w:val="24"/>
          <w:szCs w:val="24"/>
        </w:rPr>
        <w:t>Natriumchlorid</w:t>
      </w:r>
      <w:proofErr w:type="spellEnd"/>
      <w:r w:rsidRPr="000547CB">
        <w:rPr>
          <w:sz w:val="24"/>
          <w:szCs w:val="24"/>
        </w:rPr>
        <w:t xml:space="preserve"> </w:t>
      </w:r>
    </w:p>
    <w:p w14:paraId="5841A5AB" w14:textId="77777777" w:rsidR="000547CB" w:rsidRPr="000547CB" w:rsidRDefault="000547CB" w:rsidP="0020197B">
      <w:pPr>
        <w:ind w:left="851"/>
        <w:rPr>
          <w:sz w:val="24"/>
          <w:szCs w:val="24"/>
        </w:rPr>
      </w:pPr>
      <w:proofErr w:type="spellStart"/>
      <w:r w:rsidRPr="000547CB">
        <w:rPr>
          <w:sz w:val="24"/>
          <w:szCs w:val="24"/>
        </w:rPr>
        <w:t>Natriumdihydrogenphosphatmonohydrat</w:t>
      </w:r>
      <w:proofErr w:type="spellEnd"/>
      <w:r w:rsidRPr="000547CB">
        <w:rPr>
          <w:sz w:val="24"/>
          <w:szCs w:val="24"/>
        </w:rPr>
        <w:t xml:space="preserve"> (E339i)</w:t>
      </w:r>
    </w:p>
    <w:p w14:paraId="697D70CD" w14:textId="77777777" w:rsidR="000547CB" w:rsidRPr="000547CB" w:rsidRDefault="000547CB" w:rsidP="0020197B">
      <w:pPr>
        <w:ind w:left="851"/>
        <w:rPr>
          <w:sz w:val="24"/>
          <w:szCs w:val="24"/>
        </w:rPr>
      </w:pPr>
      <w:proofErr w:type="spellStart"/>
      <w:r w:rsidRPr="000547CB">
        <w:rPr>
          <w:sz w:val="24"/>
          <w:szCs w:val="24"/>
        </w:rPr>
        <w:t>Dinatriumphosphat</w:t>
      </w:r>
      <w:proofErr w:type="spellEnd"/>
      <w:r w:rsidRPr="000547CB">
        <w:rPr>
          <w:sz w:val="24"/>
          <w:szCs w:val="24"/>
        </w:rPr>
        <w:t xml:space="preserve">, vandfrit (E339ii) </w:t>
      </w:r>
    </w:p>
    <w:p w14:paraId="0C5D66F5" w14:textId="77777777" w:rsidR="000547CB" w:rsidRPr="000547CB" w:rsidRDefault="000547CB" w:rsidP="0020197B">
      <w:pPr>
        <w:ind w:left="851"/>
        <w:rPr>
          <w:sz w:val="24"/>
          <w:szCs w:val="24"/>
        </w:rPr>
      </w:pPr>
      <w:proofErr w:type="spellStart"/>
      <w:r w:rsidRPr="000547CB">
        <w:rPr>
          <w:sz w:val="24"/>
          <w:szCs w:val="24"/>
        </w:rPr>
        <w:t>Benzalkoniumchloridopløsning</w:t>
      </w:r>
      <w:proofErr w:type="spellEnd"/>
    </w:p>
    <w:p w14:paraId="7643697E" w14:textId="77777777" w:rsidR="000547CB" w:rsidRPr="000547CB" w:rsidRDefault="000547CB" w:rsidP="0020197B">
      <w:pPr>
        <w:ind w:left="851"/>
        <w:rPr>
          <w:sz w:val="24"/>
          <w:szCs w:val="24"/>
        </w:rPr>
      </w:pPr>
      <w:r w:rsidRPr="000547CB">
        <w:rPr>
          <w:sz w:val="24"/>
          <w:szCs w:val="24"/>
        </w:rPr>
        <w:t>Vand til injektionsvæsker</w:t>
      </w:r>
    </w:p>
    <w:p w14:paraId="10F19541" w14:textId="77777777" w:rsidR="009260DE" w:rsidRPr="004C59A7" w:rsidRDefault="009260DE" w:rsidP="009260DE">
      <w:pPr>
        <w:tabs>
          <w:tab w:val="left" w:pos="851"/>
        </w:tabs>
        <w:ind w:left="851"/>
        <w:rPr>
          <w:sz w:val="24"/>
          <w:szCs w:val="24"/>
        </w:rPr>
      </w:pPr>
    </w:p>
    <w:p w14:paraId="1EF79C48" w14:textId="77777777" w:rsidR="009260DE" w:rsidRPr="004C59A7" w:rsidRDefault="009260DE" w:rsidP="009260DE">
      <w:pPr>
        <w:tabs>
          <w:tab w:val="left" w:pos="851"/>
        </w:tabs>
        <w:ind w:left="851" w:hanging="851"/>
        <w:rPr>
          <w:b/>
          <w:sz w:val="24"/>
          <w:szCs w:val="24"/>
        </w:rPr>
      </w:pPr>
      <w:r w:rsidRPr="004C59A7">
        <w:rPr>
          <w:b/>
          <w:sz w:val="24"/>
          <w:szCs w:val="24"/>
        </w:rPr>
        <w:t>6.2</w:t>
      </w:r>
      <w:r w:rsidRPr="004C59A7">
        <w:rPr>
          <w:b/>
          <w:sz w:val="24"/>
          <w:szCs w:val="24"/>
        </w:rPr>
        <w:tab/>
        <w:t>Uforligeligheder</w:t>
      </w:r>
    </w:p>
    <w:p w14:paraId="0D3FDBF7" w14:textId="77777777" w:rsidR="000547CB" w:rsidRPr="000547CB" w:rsidRDefault="000547CB" w:rsidP="0020197B">
      <w:pPr>
        <w:ind w:left="851"/>
        <w:rPr>
          <w:sz w:val="24"/>
          <w:szCs w:val="24"/>
        </w:rPr>
      </w:pPr>
      <w:r w:rsidRPr="000547CB">
        <w:rPr>
          <w:i/>
          <w:sz w:val="24"/>
          <w:szCs w:val="24"/>
        </w:rPr>
        <w:t xml:space="preserve">In </w:t>
      </w:r>
      <w:proofErr w:type="spellStart"/>
      <w:r w:rsidRPr="000547CB">
        <w:rPr>
          <w:i/>
          <w:sz w:val="24"/>
          <w:szCs w:val="24"/>
        </w:rPr>
        <w:t>vitro</w:t>
      </w:r>
      <w:proofErr w:type="spellEnd"/>
      <w:r w:rsidRPr="000547CB">
        <w:rPr>
          <w:i/>
          <w:sz w:val="24"/>
          <w:szCs w:val="24"/>
        </w:rPr>
        <w:t>-</w:t>
      </w:r>
      <w:r w:rsidRPr="000547CB">
        <w:rPr>
          <w:sz w:val="24"/>
          <w:szCs w:val="24"/>
        </w:rPr>
        <w:t xml:space="preserve">studier har vist, at der sker udfældning, når øjendråber indeholdende </w:t>
      </w:r>
      <w:proofErr w:type="spellStart"/>
      <w:r w:rsidRPr="000547CB">
        <w:rPr>
          <w:sz w:val="24"/>
          <w:szCs w:val="24"/>
        </w:rPr>
        <w:t>thiomersal</w:t>
      </w:r>
      <w:proofErr w:type="spellEnd"/>
      <w:r w:rsidRPr="000547CB">
        <w:rPr>
          <w:sz w:val="24"/>
          <w:szCs w:val="24"/>
        </w:rPr>
        <w:t xml:space="preserve"> blandes med </w:t>
      </w:r>
      <w:proofErr w:type="spellStart"/>
      <w:r w:rsidRPr="000547CB">
        <w:rPr>
          <w:sz w:val="24"/>
          <w:szCs w:val="24"/>
        </w:rPr>
        <w:t>latanoprost</w:t>
      </w:r>
      <w:proofErr w:type="spellEnd"/>
      <w:r w:rsidRPr="000547CB">
        <w:rPr>
          <w:sz w:val="24"/>
          <w:szCs w:val="24"/>
        </w:rPr>
        <w:t>. Hvis sådanne lægemidler anvendes, bør øjendråberne administreres med mindst 5 minutters mellemrum.</w:t>
      </w:r>
    </w:p>
    <w:p w14:paraId="74A27D0F" w14:textId="77777777" w:rsidR="009260DE" w:rsidRPr="004C59A7" w:rsidRDefault="009260DE" w:rsidP="009260DE">
      <w:pPr>
        <w:tabs>
          <w:tab w:val="left" w:pos="851"/>
        </w:tabs>
        <w:ind w:left="851"/>
        <w:rPr>
          <w:sz w:val="24"/>
          <w:szCs w:val="24"/>
        </w:rPr>
      </w:pPr>
    </w:p>
    <w:p w14:paraId="18A4A9A1" w14:textId="77777777" w:rsidR="009260DE" w:rsidRPr="004C59A7" w:rsidRDefault="009260DE" w:rsidP="009260DE">
      <w:pPr>
        <w:tabs>
          <w:tab w:val="left" w:pos="851"/>
        </w:tabs>
        <w:ind w:left="851" w:hanging="851"/>
        <w:rPr>
          <w:b/>
          <w:sz w:val="24"/>
          <w:szCs w:val="24"/>
        </w:rPr>
      </w:pPr>
      <w:r w:rsidRPr="004C59A7">
        <w:rPr>
          <w:b/>
          <w:sz w:val="24"/>
          <w:szCs w:val="24"/>
        </w:rPr>
        <w:t>6.3</w:t>
      </w:r>
      <w:r w:rsidRPr="004C59A7">
        <w:rPr>
          <w:b/>
          <w:sz w:val="24"/>
          <w:szCs w:val="24"/>
        </w:rPr>
        <w:tab/>
        <w:t>Opbevaringstid</w:t>
      </w:r>
    </w:p>
    <w:p w14:paraId="0FACF8CA" w14:textId="77777777" w:rsidR="000547CB" w:rsidRPr="000547CB" w:rsidRDefault="000547CB" w:rsidP="0020197B">
      <w:pPr>
        <w:ind w:left="851"/>
        <w:rPr>
          <w:sz w:val="24"/>
          <w:szCs w:val="24"/>
        </w:rPr>
      </w:pPr>
      <w:r w:rsidRPr="000547CB">
        <w:rPr>
          <w:sz w:val="24"/>
          <w:szCs w:val="24"/>
        </w:rPr>
        <w:t>24 måneder</w:t>
      </w:r>
    </w:p>
    <w:p w14:paraId="70CCA392" w14:textId="77777777" w:rsidR="009260DE" w:rsidRPr="004C59A7" w:rsidRDefault="009260DE" w:rsidP="009260DE">
      <w:pPr>
        <w:tabs>
          <w:tab w:val="left" w:pos="851"/>
        </w:tabs>
        <w:ind w:left="851"/>
        <w:rPr>
          <w:sz w:val="24"/>
          <w:szCs w:val="24"/>
        </w:rPr>
      </w:pPr>
    </w:p>
    <w:p w14:paraId="75AC117F" w14:textId="77777777" w:rsidR="009260DE" w:rsidRPr="004C59A7" w:rsidRDefault="009260DE" w:rsidP="009260DE">
      <w:pPr>
        <w:tabs>
          <w:tab w:val="left" w:pos="851"/>
        </w:tabs>
        <w:ind w:left="851" w:hanging="851"/>
        <w:rPr>
          <w:b/>
          <w:sz w:val="24"/>
          <w:szCs w:val="24"/>
        </w:rPr>
      </w:pPr>
      <w:r w:rsidRPr="004C59A7">
        <w:rPr>
          <w:b/>
          <w:sz w:val="24"/>
          <w:szCs w:val="24"/>
        </w:rPr>
        <w:t>6.4</w:t>
      </w:r>
      <w:r w:rsidRPr="004C59A7">
        <w:rPr>
          <w:b/>
          <w:sz w:val="24"/>
          <w:szCs w:val="24"/>
        </w:rPr>
        <w:tab/>
        <w:t>Særlige opbevaringsforhold</w:t>
      </w:r>
    </w:p>
    <w:p w14:paraId="25CF8AF8" w14:textId="77777777" w:rsidR="000547CB" w:rsidRPr="000547CB" w:rsidRDefault="000547CB" w:rsidP="0020197B">
      <w:pPr>
        <w:ind w:left="851"/>
        <w:rPr>
          <w:sz w:val="24"/>
          <w:szCs w:val="24"/>
        </w:rPr>
      </w:pPr>
      <w:bookmarkStart w:id="1" w:name="_Hlk114042057"/>
      <w:bookmarkStart w:id="2" w:name="_Hlk51677314"/>
      <w:r w:rsidRPr="000547CB">
        <w:rPr>
          <w:sz w:val="24"/>
          <w:szCs w:val="24"/>
        </w:rPr>
        <w:t>Dette lægemiddel kræver ingen særlige opbevaringsforhold.</w:t>
      </w:r>
      <w:bookmarkEnd w:id="1"/>
      <w:bookmarkEnd w:id="2"/>
    </w:p>
    <w:p w14:paraId="516829CD" w14:textId="77777777" w:rsidR="009260DE" w:rsidRPr="004C59A7" w:rsidRDefault="009260DE" w:rsidP="009260DE">
      <w:pPr>
        <w:tabs>
          <w:tab w:val="left" w:pos="851"/>
        </w:tabs>
        <w:ind w:left="851"/>
        <w:rPr>
          <w:sz w:val="24"/>
          <w:szCs w:val="24"/>
        </w:rPr>
      </w:pPr>
    </w:p>
    <w:p w14:paraId="2418846D" w14:textId="77777777" w:rsidR="009260DE" w:rsidRPr="004C59A7" w:rsidRDefault="009260DE" w:rsidP="009260DE">
      <w:pPr>
        <w:tabs>
          <w:tab w:val="left" w:pos="851"/>
        </w:tabs>
        <w:ind w:left="851" w:hanging="851"/>
        <w:rPr>
          <w:b/>
          <w:sz w:val="24"/>
          <w:szCs w:val="24"/>
        </w:rPr>
      </w:pPr>
      <w:r w:rsidRPr="004C59A7">
        <w:rPr>
          <w:b/>
          <w:sz w:val="24"/>
          <w:szCs w:val="24"/>
        </w:rPr>
        <w:t>6.5</w:t>
      </w:r>
      <w:r w:rsidRPr="004C59A7">
        <w:rPr>
          <w:b/>
          <w:sz w:val="24"/>
          <w:szCs w:val="24"/>
        </w:rPr>
        <w:tab/>
        <w:t>Emballagetype og pakningsstørrelser</w:t>
      </w:r>
    </w:p>
    <w:p w14:paraId="4C2682D4" w14:textId="77777777" w:rsidR="00E60C48" w:rsidRDefault="000547CB" w:rsidP="0020197B">
      <w:pPr>
        <w:ind w:left="851"/>
        <w:rPr>
          <w:sz w:val="24"/>
          <w:szCs w:val="24"/>
        </w:rPr>
      </w:pPr>
      <w:r w:rsidRPr="000547CB">
        <w:rPr>
          <w:sz w:val="24"/>
          <w:szCs w:val="24"/>
        </w:rPr>
        <w:t xml:space="preserve">Éngangsdoser i transparente beholdere af </w:t>
      </w:r>
      <w:proofErr w:type="spellStart"/>
      <w:r w:rsidRPr="000547CB">
        <w:rPr>
          <w:sz w:val="24"/>
          <w:szCs w:val="24"/>
        </w:rPr>
        <w:t>lavdensitetspolyethylen</w:t>
      </w:r>
      <w:proofErr w:type="spellEnd"/>
      <w:r w:rsidRPr="000547CB">
        <w:rPr>
          <w:sz w:val="24"/>
          <w:szCs w:val="24"/>
        </w:rPr>
        <w:t xml:space="preserve"> (LDPE) med afrivningshætte. </w:t>
      </w:r>
    </w:p>
    <w:p w14:paraId="14E8CFA9" w14:textId="3CEC3127" w:rsidR="000547CB" w:rsidRPr="000547CB" w:rsidRDefault="000547CB" w:rsidP="0020197B">
      <w:pPr>
        <w:ind w:left="851"/>
        <w:rPr>
          <w:sz w:val="24"/>
          <w:szCs w:val="24"/>
        </w:rPr>
      </w:pPr>
      <w:r w:rsidRPr="000547CB">
        <w:rPr>
          <w:sz w:val="24"/>
          <w:szCs w:val="24"/>
        </w:rPr>
        <w:t>Hver éngangsdosisbeholder indeholder 0,4 ml opløsning.</w:t>
      </w:r>
    </w:p>
    <w:p w14:paraId="5057D7DE" w14:textId="77777777" w:rsidR="00E60C48" w:rsidRDefault="00E60C48" w:rsidP="0020197B">
      <w:pPr>
        <w:ind w:left="851"/>
        <w:rPr>
          <w:sz w:val="24"/>
          <w:szCs w:val="24"/>
        </w:rPr>
      </w:pPr>
    </w:p>
    <w:p w14:paraId="42733BAB" w14:textId="7C75DACD" w:rsidR="000547CB" w:rsidRPr="000547CB" w:rsidRDefault="000547CB" w:rsidP="0020197B">
      <w:pPr>
        <w:ind w:left="851"/>
        <w:rPr>
          <w:sz w:val="24"/>
          <w:szCs w:val="24"/>
        </w:rPr>
      </w:pPr>
      <w:r w:rsidRPr="000547CB">
        <w:rPr>
          <w:sz w:val="24"/>
          <w:szCs w:val="24"/>
        </w:rPr>
        <w:t>Æske med 30, 60 eller 90 éngangsdosisbeholdere i tre aluminiumsfolieposer.</w:t>
      </w:r>
    </w:p>
    <w:p w14:paraId="59C4EE94" w14:textId="77777777" w:rsidR="000547CB" w:rsidRPr="000547CB" w:rsidRDefault="000547CB" w:rsidP="0020197B">
      <w:pPr>
        <w:ind w:left="851"/>
        <w:rPr>
          <w:sz w:val="24"/>
          <w:szCs w:val="24"/>
        </w:rPr>
      </w:pPr>
      <w:r w:rsidRPr="000547CB">
        <w:rPr>
          <w:sz w:val="24"/>
          <w:szCs w:val="24"/>
        </w:rPr>
        <w:t xml:space="preserve">Hver pose indeholder 10 éngangsdosisbeholdere. </w:t>
      </w:r>
    </w:p>
    <w:p w14:paraId="2C26B527" w14:textId="77777777" w:rsidR="00E60C48" w:rsidRDefault="00E60C48" w:rsidP="0020197B">
      <w:pPr>
        <w:ind w:left="851"/>
        <w:rPr>
          <w:sz w:val="24"/>
          <w:szCs w:val="24"/>
        </w:rPr>
      </w:pPr>
    </w:p>
    <w:p w14:paraId="73018D56" w14:textId="550140FB" w:rsidR="000547CB" w:rsidRPr="000547CB" w:rsidRDefault="000547CB" w:rsidP="0020197B">
      <w:pPr>
        <w:ind w:left="851"/>
        <w:rPr>
          <w:sz w:val="24"/>
          <w:szCs w:val="24"/>
        </w:rPr>
      </w:pPr>
      <w:r w:rsidRPr="000547CB">
        <w:rPr>
          <w:sz w:val="24"/>
          <w:szCs w:val="24"/>
        </w:rPr>
        <w:t>Ikke alle pakningsstørrelser er nødvendigvis markedsført.</w:t>
      </w:r>
    </w:p>
    <w:p w14:paraId="33F2AD8E" w14:textId="77777777" w:rsidR="009260DE" w:rsidRPr="004C59A7" w:rsidRDefault="009260DE" w:rsidP="009260DE">
      <w:pPr>
        <w:tabs>
          <w:tab w:val="left" w:pos="851"/>
        </w:tabs>
        <w:ind w:left="851"/>
        <w:rPr>
          <w:sz w:val="24"/>
          <w:szCs w:val="24"/>
        </w:rPr>
      </w:pPr>
    </w:p>
    <w:p w14:paraId="7FF8E3A5" w14:textId="77777777" w:rsidR="009260DE" w:rsidRPr="004C59A7" w:rsidRDefault="009260DE" w:rsidP="009260DE">
      <w:pPr>
        <w:tabs>
          <w:tab w:val="left" w:pos="851"/>
        </w:tabs>
        <w:ind w:left="851" w:hanging="851"/>
        <w:rPr>
          <w:b/>
          <w:sz w:val="24"/>
          <w:szCs w:val="24"/>
        </w:rPr>
      </w:pPr>
      <w:r w:rsidRPr="004C59A7">
        <w:rPr>
          <w:b/>
          <w:sz w:val="24"/>
          <w:szCs w:val="24"/>
        </w:rPr>
        <w:t>6.6</w:t>
      </w:r>
      <w:r w:rsidRPr="004C59A7">
        <w:rPr>
          <w:b/>
          <w:sz w:val="24"/>
          <w:szCs w:val="24"/>
        </w:rPr>
        <w:tab/>
        <w:t xml:space="preserve">Regler for </w:t>
      </w:r>
      <w:r w:rsidR="00BD7931" w:rsidRPr="004C59A7">
        <w:rPr>
          <w:b/>
          <w:sz w:val="24"/>
          <w:szCs w:val="24"/>
        </w:rPr>
        <w:t>bortskaffelse</w:t>
      </w:r>
      <w:r w:rsidRPr="004C59A7">
        <w:rPr>
          <w:b/>
          <w:sz w:val="24"/>
          <w:szCs w:val="24"/>
        </w:rPr>
        <w:t xml:space="preserve"> og anden håndtering</w:t>
      </w:r>
    </w:p>
    <w:p w14:paraId="25E8E6D9" w14:textId="7FA25802" w:rsidR="009260DE" w:rsidRPr="004C59A7" w:rsidRDefault="000547CB" w:rsidP="0020197B">
      <w:pPr>
        <w:ind w:left="851"/>
        <w:rPr>
          <w:sz w:val="24"/>
          <w:szCs w:val="24"/>
        </w:rPr>
      </w:pPr>
      <w:r w:rsidRPr="004C59A7">
        <w:rPr>
          <w:sz w:val="24"/>
          <w:szCs w:val="24"/>
        </w:rPr>
        <w:t>Ingen særlige forholdsregler ved bortskaffelse.</w:t>
      </w:r>
    </w:p>
    <w:p w14:paraId="7E14AE39" w14:textId="64005615" w:rsidR="00E60C48" w:rsidRDefault="00E60C48">
      <w:pPr>
        <w:rPr>
          <w:sz w:val="24"/>
          <w:szCs w:val="24"/>
        </w:rPr>
      </w:pPr>
      <w:r>
        <w:rPr>
          <w:sz w:val="24"/>
          <w:szCs w:val="24"/>
        </w:rPr>
        <w:br w:type="page"/>
      </w:r>
    </w:p>
    <w:p w14:paraId="7BF35751" w14:textId="77777777" w:rsidR="000547CB" w:rsidRPr="004C59A7" w:rsidRDefault="000547CB" w:rsidP="000730CA">
      <w:pPr>
        <w:tabs>
          <w:tab w:val="left" w:pos="851"/>
        </w:tabs>
        <w:ind w:left="851"/>
        <w:rPr>
          <w:sz w:val="24"/>
          <w:szCs w:val="24"/>
        </w:rPr>
      </w:pPr>
    </w:p>
    <w:p w14:paraId="72ECC9D4" w14:textId="77777777" w:rsidR="009260DE" w:rsidRPr="004C59A7" w:rsidRDefault="009260DE" w:rsidP="009260DE">
      <w:pPr>
        <w:tabs>
          <w:tab w:val="left" w:pos="851"/>
        </w:tabs>
        <w:ind w:left="851" w:hanging="851"/>
        <w:rPr>
          <w:b/>
          <w:sz w:val="24"/>
          <w:szCs w:val="24"/>
        </w:rPr>
      </w:pPr>
      <w:r w:rsidRPr="004C59A7">
        <w:rPr>
          <w:b/>
          <w:sz w:val="24"/>
          <w:szCs w:val="24"/>
        </w:rPr>
        <w:t>7.</w:t>
      </w:r>
      <w:r w:rsidRPr="004C59A7">
        <w:rPr>
          <w:b/>
          <w:sz w:val="24"/>
          <w:szCs w:val="24"/>
        </w:rPr>
        <w:tab/>
        <w:t>INDEHAVER AF MARKEDSFØRINGSTILLADELSEN</w:t>
      </w:r>
    </w:p>
    <w:p w14:paraId="1BFD9B59" w14:textId="77777777" w:rsidR="000547CB" w:rsidRPr="000547CB" w:rsidRDefault="000547CB" w:rsidP="0020197B">
      <w:pPr>
        <w:ind w:left="851"/>
        <w:rPr>
          <w:sz w:val="24"/>
          <w:szCs w:val="24"/>
        </w:rPr>
      </w:pPr>
      <w:r w:rsidRPr="000547CB">
        <w:rPr>
          <w:sz w:val="24"/>
          <w:szCs w:val="24"/>
        </w:rPr>
        <w:t>GHN Pharma Nordic AB</w:t>
      </w:r>
    </w:p>
    <w:p w14:paraId="6B3D5549" w14:textId="430DA9F3" w:rsidR="000547CB" w:rsidRPr="000547CB" w:rsidRDefault="000547CB" w:rsidP="0020197B">
      <w:pPr>
        <w:ind w:left="851"/>
        <w:rPr>
          <w:sz w:val="24"/>
          <w:szCs w:val="24"/>
        </w:rPr>
      </w:pPr>
      <w:proofErr w:type="spellStart"/>
      <w:r w:rsidRPr="000547CB">
        <w:rPr>
          <w:sz w:val="24"/>
          <w:szCs w:val="24"/>
        </w:rPr>
        <w:t>Fl</w:t>
      </w:r>
      <w:r w:rsidR="002D6ED3">
        <w:rPr>
          <w:sz w:val="24"/>
          <w:szCs w:val="24"/>
        </w:rPr>
        <w:t>ö</w:t>
      </w:r>
      <w:r w:rsidRPr="000547CB">
        <w:rPr>
          <w:sz w:val="24"/>
          <w:szCs w:val="24"/>
        </w:rPr>
        <w:t>jelbergsgatan</w:t>
      </w:r>
      <w:proofErr w:type="spellEnd"/>
      <w:r w:rsidRPr="000547CB">
        <w:rPr>
          <w:sz w:val="24"/>
          <w:szCs w:val="24"/>
        </w:rPr>
        <w:t xml:space="preserve"> 12 </w:t>
      </w:r>
    </w:p>
    <w:p w14:paraId="1B9DD81F" w14:textId="77777777" w:rsidR="003247ED" w:rsidRPr="004C59A7" w:rsidRDefault="003247ED" w:rsidP="0020197B">
      <w:pPr>
        <w:ind w:left="851"/>
        <w:rPr>
          <w:sz w:val="24"/>
          <w:szCs w:val="24"/>
        </w:rPr>
      </w:pPr>
      <w:r w:rsidRPr="000547CB">
        <w:rPr>
          <w:sz w:val="24"/>
          <w:szCs w:val="24"/>
        </w:rPr>
        <w:t>431 37</w:t>
      </w:r>
      <w:r w:rsidRPr="004C59A7">
        <w:rPr>
          <w:sz w:val="24"/>
          <w:szCs w:val="24"/>
        </w:rPr>
        <w:t xml:space="preserve"> </w:t>
      </w:r>
      <w:proofErr w:type="spellStart"/>
      <w:r w:rsidR="000547CB" w:rsidRPr="000547CB">
        <w:rPr>
          <w:sz w:val="24"/>
          <w:szCs w:val="24"/>
        </w:rPr>
        <w:t>Mölndal</w:t>
      </w:r>
      <w:proofErr w:type="spellEnd"/>
    </w:p>
    <w:p w14:paraId="6213A99D" w14:textId="3192FAE9" w:rsidR="000547CB" w:rsidRPr="000547CB" w:rsidRDefault="000547CB" w:rsidP="0020197B">
      <w:pPr>
        <w:ind w:left="851"/>
        <w:rPr>
          <w:sz w:val="24"/>
          <w:szCs w:val="24"/>
        </w:rPr>
      </w:pPr>
      <w:r w:rsidRPr="000547CB">
        <w:rPr>
          <w:sz w:val="24"/>
          <w:szCs w:val="24"/>
        </w:rPr>
        <w:t>S</w:t>
      </w:r>
      <w:r w:rsidR="003247ED" w:rsidRPr="004C59A7">
        <w:rPr>
          <w:sz w:val="24"/>
          <w:szCs w:val="24"/>
        </w:rPr>
        <w:t>verige</w:t>
      </w:r>
    </w:p>
    <w:p w14:paraId="4CAF6522" w14:textId="77777777" w:rsidR="00641C65" w:rsidRPr="004C59A7" w:rsidRDefault="00641C65" w:rsidP="009260DE">
      <w:pPr>
        <w:tabs>
          <w:tab w:val="left" w:pos="851"/>
        </w:tabs>
        <w:ind w:left="851"/>
        <w:rPr>
          <w:sz w:val="24"/>
          <w:szCs w:val="24"/>
        </w:rPr>
      </w:pPr>
    </w:p>
    <w:p w14:paraId="7FC7A2BD" w14:textId="77777777" w:rsidR="009260DE" w:rsidRPr="004C59A7" w:rsidRDefault="009260DE" w:rsidP="009260DE">
      <w:pPr>
        <w:tabs>
          <w:tab w:val="left" w:pos="851"/>
        </w:tabs>
        <w:ind w:left="851" w:hanging="851"/>
        <w:rPr>
          <w:b/>
          <w:sz w:val="24"/>
          <w:szCs w:val="24"/>
        </w:rPr>
      </w:pPr>
      <w:r w:rsidRPr="004C59A7">
        <w:rPr>
          <w:b/>
          <w:sz w:val="24"/>
          <w:szCs w:val="24"/>
        </w:rPr>
        <w:t>8.</w:t>
      </w:r>
      <w:r w:rsidRPr="004C59A7">
        <w:rPr>
          <w:b/>
          <w:sz w:val="24"/>
          <w:szCs w:val="24"/>
        </w:rPr>
        <w:tab/>
        <w:t>MARKEDSFØRINGSTILLADELSESNUMMER (</w:t>
      </w:r>
      <w:r w:rsidR="00BF6243" w:rsidRPr="004C59A7">
        <w:rPr>
          <w:b/>
          <w:sz w:val="24"/>
          <w:szCs w:val="24"/>
        </w:rPr>
        <w:t>-</w:t>
      </w:r>
      <w:r w:rsidRPr="004C59A7">
        <w:rPr>
          <w:b/>
          <w:sz w:val="24"/>
          <w:szCs w:val="24"/>
        </w:rPr>
        <w:t>NUMRE)</w:t>
      </w:r>
    </w:p>
    <w:p w14:paraId="28BB2140" w14:textId="2205BD15" w:rsidR="009260DE" w:rsidRPr="004C59A7" w:rsidRDefault="000547CB" w:rsidP="009260DE">
      <w:pPr>
        <w:tabs>
          <w:tab w:val="left" w:pos="851"/>
        </w:tabs>
        <w:ind w:left="851"/>
        <w:rPr>
          <w:sz w:val="24"/>
          <w:szCs w:val="24"/>
        </w:rPr>
      </w:pPr>
      <w:r w:rsidRPr="004C59A7">
        <w:rPr>
          <w:sz w:val="24"/>
          <w:szCs w:val="24"/>
        </w:rPr>
        <w:t>736</w:t>
      </w:r>
      <w:r w:rsidR="00043C3D" w:rsidRPr="004C59A7">
        <w:rPr>
          <w:sz w:val="24"/>
          <w:szCs w:val="24"/>
        </w:rPr>
        <w:t>82</w:t>
      </w:r>
    </w:p>
    <w:p w14:paraId="2DF76001" w14:textId="77777777" w:rsidR="009260DE" w:rsidRPr="004C59A7" w:rsidRDefault="009260DE" w:rsidP="009260DE">
      <w:pPr>
        <w:tabs>
          <w:tab w:val="left" w:pos="851"/>
        </w:tabs>
        <w:ind w:left="851"/>
        <w:jc w:val="both"/>
        <w:rPr>
          <w:sz w:val="24"/>
          <w:szCs w:val="24"/>
        </w:rPr>
      </w:pPr>
    </w:p>
    <w:p w14:paraId="062AD258" w14:textId="77777777" w:rsidR="009260DE" w:rsidRPr="004C59A7" w:rsidRDefault="009260DE" w:rsidP="009260DE">
      <w:pPr>
        <w:tabs>
          <w:tab w:val="left" w:pos="851"/>
        </w:tabs>
        <w:ind w:left="851" w:hanging="851"/>
        <w:rPr>
          <w:b/>
          <w:sz w:val="24"/>
          <w:szCs w:val="24"/>
        </w:rPr>
      </w:pPr>
      <w:r w:rsidRPr="004C59A7">
        <w:rPr>
          <w:b/>
          <w:sz w:val="24"/>
          <w:szCs w:val="24"/>
        </w:rPr>
        <w:t>9.</w:t>
      </w:r>
      <w:r w:rsidRPr="004C59A7">
        <w:rPr>
          <w:b/>
          <w:sz w:val="24"/>
          <w:szCs w:val="24"/>
        </w:rPr>
        <w:tab/>
        <w:t>DATO FOR FØRSTE MARKEDSFØRINGSTILLADELSE</w:t>
      </w:r>
    </w:p>
    <w:p w14:paraId="33D4347D" w14:textId="6A23F4F9" w:rsidR="009260DE" w:rsidRPr="004C59A7" w:rsidRDefault="004D3913" w:rsidP="009260DE">
      <w:pPr>
        <w:tabs>
          <w:tab w:val="left" w:pos="851"/>
        </w:tabs>
        <w:ind w:left="851"/>
        <w:rPr>
          <w:sz w:val="24"/>
          <w:szCs w:val="24"/>
        </w:rPr>
      </w:pPr>
      <w:r>
        <w:rPr>
          <w:sz w:val="24"/>
          <w:szCs w:val="24"/>
        </w:rPr>
        <w:t>26. marts 2026</w:t>
      </w:r>
    </w:p>
    <w:p w14:paraId="6EEE73ED" w14:textId="77777777" w:rsidR="009260DE" w:rsidRPr="004C59A7" w:rsidRDefault="009260DE" w:rsidP="009260DE">
      <w:pPr>
        <w:tabs>
          <w:tab w:val="left" w:pos="851"/>
        </w:tabs>
        <w:ind w:left="851"/>
        <w:rPr>
          <w:sz w:val="24"/>
          <w:szCs w:val="24"/>
        </w:rPr>
      </w:pPr>
    </w:p>
    <w:p w14:paraId="4CE2471B" w14:textId="77777777" w:rsidR="009260DE" w:rsidRPr="004C59A7" w:rsidRDefault="009260DE" w:rsidP="009260DE">
      <w:pPr>
        <w:tabs>
          <w:tab w:val="left" w:pos="851"/>
        </w:tabs>
        <w:ind w:left="851" w:hanging="851"/>
        <w:rPr>
          <w:b/>
          <w:sz w:val="24"/>
          <w:szCs w:val="24"/>
        </w:rPr>
      </w:pPr>
      <w:r w:rsidRPr="004C59A7">
        <w:rPr>
          <w:b/>
          <w:sz w:val="24"/>
          <w:szCs w:val="24"/>
        </w:rPr>
        <w:t>10.</w:t>
      </w:r>
      <w:r w:rsidRPr="004C59A7">
        <w:rPr>
          <w:b/>
          <w:sz w:val="24"/>
          <w:szCs w:val="24"/>
        </w:rPr>
        <w:tab/>
        <w:t>DATO FOR ÆNDRING AF TEKSTEN</w:t>
      </w:r>
    </w:p>
    <w:p w14:paraId="1FCEA1F7" w14:textId="5ED6CB1B" w:rsidR="009260DE" w:rsidRPr="004C59A7" w:rsidRDefault="00043C3D" w:rsidP="009260DE">
      <w:pPr>
        <w:tabs>
          <w:tab w:val="left" w:pos="851"/>
        </w:tabs>
        <w:ind w:left="851"/>
        <w:rPr>
          <w:sz w:val="24"/>
          <w:szCs w:val="24"/>
        </w:rPr>
      </w:pPr>
      <w:r w:rsidRPr="004C59A7">
        <w:rPr>
          <w:sz w:val="24"/>
          <w:szCs w:val="24"/>
        </w:rPr>
        <w:t>-</w:t>
      </w:r>
    </w:p>
    <w:sectPr w:rsidR="009260DE" w:rsidRPr="004C59A7"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070B" w14:textId="77777777" w:rsidR="003D583F" w:rsidRDefault="003D583F">
      <w:r>
        <w:separator/>
      </w:r>
    </w:p>
  </w:endnote>
  <w:endnote w:type="continuationSeparator" w:id="0">
    <w:p w14:paraId="2C505DFD" w14:textId="77777777" w:rsidR="003D583F" w:rsidRDefault="003D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1B42" w14:textId="77777777" w:rsidR="000259B9" w:rsidRDefault="000259B9">
    <w:pPr>
      <w:pStyle w:val="Sidefod"/>
      <w:pBdr>
        <w:bottom w:val="single" w:sz="6" w:space="1" w:color="auto"/>
      </w:pBdr>
    </w:pPr>
  </w:p>
  <w:p w14:paraId="17F7694D" w14:textId="77777777" w:rsidR="000259B9" w:rsidRDefault="000259B9" w:rsidP="00C42586">
    <w:pPr>
      <w:pStyle w:val="Sidefod"/>
      <w:tabs>
        <w:tab w:val="clear" w:pos="4819"/>
        <w:tab w:val="left" w:pos="8505"/>
      </w:tabs>
      <w:rPr>
        <w:i/>
        <w:sz w:val="18"/>
        <w:szCs w:val="18"/>
      </w:rPr>
    </w:pPr>
  </w:p>
  <w:p w14:paraId="098F7CE7" w14:textId="7881607D"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844943">
      <w:rPr>
        <w:i/>
        <w:noProof/>
        <w:sz w:val="18"/>
        <w:szCs w:val="18"/>
      </w:rPr>
      <w:t>Tanolux, øjendråber, opløsning i enkeltdosisbeholder 50 mikrogram-ml.docx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6988E" w14:textId="77777777" w:rsidR="003D583F" w:rsidRDefault="003D583F">
      <w:r>
        <w:separator/>
      </w:r>
    </w:p>
  </w:footnote>
  <w:footnote w:type="continuationSeparator" w:id="0">
    <w:p w14:paraId="62350B28" w14:textId="77777777" w:rsidR="003D583F" w:rsidRDefault="003D5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E73125D"/>
    <w:multiLevelType w:val="multilevel"/>
    <w:tmpl w:val="6B08B148"/>
    <w:lvl w:ilvl="0">
      <w:start w:val="1"/>
      <w:numFmt w:val="decimal"/>
      <w:lvlText w:val="%1."/>
      <w:lvlJc w:val="left"/>
      <w:pPr>
        <w:ind w:left="354" w:hanging="240"/>
      </w:pPr>
      <w:rPr>
        <w:rFonts w:ascii="Times New Roman" w:eastAsia="Arial" w:hAnsi="Times New Roman" w:cs="Times New Roman" w:hint="default"/>
        <w:b/>
        <w:bCs/>
        <w:i w:val="0"/>
        <w:iCs w:val="0"/>
        <w:spacing w:val="-1"/>
        <w:w w:val="102"/>
        <w:sz w:val="22"/>
        <w:szCs w:val="22"/>
      </w:rPr>
    </w:lvl>
    <w:lvl w:ilvl="1">
      <w:start w:val="1"/>
      <w:numFmt w:val="decimal"/>
      <w:lvlText w:val="%1.%2"/>
      <w:lvlJc w:val="left"/>
      <w:pPr>
        <w:ind w:left="481" w:hanging="300"/>
      </w:pPr>
      <w:rPr>
        <w:rFonts w:ascii="Times New Roman" w:eastAsia="Arial" w:hAnsi="Times New Roman" w:cs="Times New Roman" w:hint="default"/>
        <w:b/>
        <w:bCs/>
        <w:i w:val="0"/>
        <w:iCs w:val="0"/>
        <w:spacing w:val="-2"/>
        <w:w w:val="100"/>
        <w:sz w:val="22"/>
        <w:szCs w:val="22"/>
      </w:rPr>
    </w:lvl>
    <w:lvl w:ilvl="2">
      <w:start w:val="1"/>
      <w:numFmt w:val="lowerLetter"/>
      <w:lvlText w:val="%3."/>
      <w:lvlJc w:val="left"/>
      <w:pPr>
        <w:ind w:left="515" w:hanging="200"/>
      </w:pPr>
      <w:rPr>
        <w:rFonts w:ascii="Times New Roman" w:eastAsia="Arial" w:hAnsi="Times New Roman" w:cs="Times New Roman" w:hint="default"/>
        <w:b w:val="0"/>
        <w:bCs w:val="0"/>
        <w:i w:val="0"/>
        <w:iCs w:val="0"/>
        <w:strike w:val="0"/>
        <w:dstrike w:val="0"/>
        <w:w w:val="100"/>
        <w:sz w:val="24"/>
        <w:szCs w:val="24"/>
        <w:u w:val="none" w:color="000000"/>
        <w:effect w:val="none"/>
      </w:rPr>
    </w:lvl>
    <w:lvl w:ilvl="3">
      <w:numFmt w:val="bullet"/>
      <w:lvlText w:val="•"/>
      <w:lvlJc w:val="left"/>
      <w:pPr>
        <w:ind w:left="520" w:hanging="200"/>
      </w:pPr>
    </w:lvl>
    <w:lvl w:ilvl="4">
      <w:numFmt w:val="bullet"/>
      <w:lvlText w:val="•"/>
      <w:lvlJc w:val="left"/>
      <w:pPr>
        <w:ind w:left="1845" w:hanging="200"/>
      </w:pPr>
    </w:lvl>
    <w:lvl w:ilvl="5">
      <w:numFmt w:val="bullet"/>
      <w:lvlText w:val="•"/>
      <w:lvlJc w:val="left"/>
      <w:pPr>
        <w:ind w:left="3171" w:hanging="200"/>
      </w:pPr>
    </w:lvl>
    <w:lvl w:ilvl="6">
      <w:numFmt w:val="bullet"/>
      <w:lvlText w:val="•"/>
      <w:lvlJc w:val="left"/>
      <w:pPr>
        <w:ind w:left="4497" w:hanging="200"/>
      </w:pPr>
    </w:lvl>
    <w:lvl w:ilvl="7">
      <w:numFmt w:val="bullet"/>
      <w:lvlText w:val="•"/>
      <w:lvlJc w:val="left"/>
      <w:pPr>
        <w:ind w:left="5822" w:hanging="200"/>
      </w:pPr>
    </w:lvl>
    <w:lvl w:ilvl="8">
      <w:numFmt w:val="bullet"/>
      <w:lvlText w:val="•"/>
      <w:lvlJc w:val="left"/>
      <w:pPr>
        <w:ind w:left="7148" w:hanging="2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982009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930487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8529451">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6254039">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871394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9804593">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3F"/>
    <w:rsid w:val="000259B9"/>
    <w:rsid w:val="00041491"/>
    <w:rsid w:val="00043C3D"/>
    <w:rsid w:val="00050D16"/>
    <w:rsid w:val="000547CB"/>
    <w:rsid w:val="000730CA"/>
    <w:rsid w:val="00074F2A"/>
    <w:rsid w:val="000A12ED"/>
    <w:rsid w:val="000A1CA8"/>
    <w:rsid w:val="000A466B"/>
    <w:rsid w:val="000B058C"/>
    <w:rsid w:val="000C63E9"/>
    <w:rsid w:val="000D68B0"/>
    <w:rsid w:val="000E4EE6"/>
    <w:rsid w:val="001454E2"/>
    <w:rsid w:val="0020197B"/>
    <w:rsid w:val="00206CE8"/>
    <w:rsid w:val="0021526C"/>
    <w:rsid w:val="00283A2B"/>
    <w:rsid w:val="002B30AD"/>
    <w:rsid w:val="002C1EC0"/>
    <w:rsid w:val="002C2C01"/>
    <w:rsid w:val="002D6ED3"/>
    <w:rsid w:val="003247ED"/>
    <w:rsid w:val="003A29AE"/>
    <w:rsid w:val="003A32D7"/>
    <w:rsid w:val="003B4074"/>
    <w:rsid w:val="003C769A"/>
    <w:rsid w:val="003D3A90"/>
    <w:rsid w:val="003D583F"/>
    <w:rsid w:val="003F1838"/>
    <w:rsid w:val="004251C1"/>
    <w:rsid w:val="0043599A"/>
    <w:rsid w:val="0045746C"/>
    <w:rsid w:val="0049104B"/>
    <w:rsid w:val="004C59A7"/>
    <w:rsid w:val="004D3913"/>
    <w:rsid w:val="004E3B12"/>
    <w:rsid w:val="00532310"/>
    <w:rsid w:val="00565F0F"/>
    <w:rsid w:val="00594A86"/>
    <w:rsid w:val="00596D86"/>
    <w:rsid w:val="00637F5A"/>
    <w:rsid w:val="00641C65"/>
    <w:rsid w:val="006560B1"/>
    <w:rsid w:val="006756DD"/>
    <w:rsid w:val="0071241E"/>
    <w:rsid w:val="007353AE"/>
    <w:rsid w:val="00737275"/>
    <w:rsid w:val="00740EEC"/>
    <w:rsid w:val="0078011A"/>
    <w:rsid w:val="00782AF4"/>
    <w:rsid w:val="00790EE7"/>
    <w:rsid w:val="007B6649"/>
    <w:rsid w:val="0082576E"/>
    <w:rsid w:val="00844943"/>
    <w:rsid w:val="0089346F"/>
    <w:rsid w:val="00907F75"/>
    <w:rsid w:val="009260DE"/>
    <w:rsid w:val="0093258A"/>
    <w:rsid w:val="009C7BA3"/>
    <w:rsid w:val="009D1F5A"/>
    <w:rsid w:val="009E7025"/>
    <w:rsid w:val="00A10294"/>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60C48"/>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8ECEB"/>
  <w15:chartTrackingRefBased/>
  <w15:docId w15:val="{5B22E36C-7A54-4BDF-AB3D-C2FEC291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uiPriority w:val="59"/>
    <w:rsid w:val="0005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8007">
      <w:bodyDiv w:val="1"/>
      <w:marLeft w:val="0"/>
      <w:marRight w:val="0"/>
      <w:marTop w:val="0"/>
      <w:marBottom w:val="0"/>
      <w:divBdr>
        <w:top w:val="none" w:sz="0" w:space="0" w:color="auto"/>
        <w:left w:val="none" w:sz="0" w:space="0" w:color="auto"/>
        <w:bottom w:val="none" w:sz="0" w:space="0" w:color="auto"/>
        <w:right w:val="none" w:sz="0" w:space="0" w:color="auto"/>
      </w:divBdr>
    </w:div>
    <w:div w:id="16436813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75647795">
      <w:bodyDiv w:val="1"/>
      <w:marLeft w:val="0"/>
      <w:marRight w:val="0"/>
      <w:marTop w:val="0"/>
      <w:marBottom w:val="0"/>
      <w:divBdr>
        <w:top w:val="none" w:sz="0" w:space="0" w:color="auto"/>
        <w:left w:val="none" w:sz="0" w:space="0" w:color="auto"/>
        <w:bottom w:val="none" w:sz="0" w:space="0" w:color="auto"/>
        <w:right w:val="none" w:sz="0" w:space="0" w:color="auto"/>
      </w:divBdr>
    </w:div>
    <w:div w:id="341593650">
      <w:bodyDiv w:val="1"/>
      <w:marLeft w:val="0"/>
      <w:marRight w:val="0"/>
      <w:marTop w:val="0"/>
      <w:marBottom w:val="0"/>
      <w:divBdr>
        <w:top w:val="none" w:sz="0" w:space="0" w:color="auto"/>
        <w:left w:val="none" w:sz="0" w:space="0" w:color="auto"/>
        <w:bottom w:val="none" w:sz="0" w:space="0" w:color="auto"/>
        <w:right w:val="none" w:sz="0" w:space="0" w:color="auto"/>
      </w:divBdr>
    </w:div>
    <w:div w:id="344594606">
      <w:bodyDiv w:val="1"/>
      <w:marLeft w:val="0"/>
      <w:marRight w:val="0"/>
      <w:marTop w:val="0"/>
      <w:marBottom w:val="0"/>
      <w:divBdr>
        <w:top w:val="none" w:sz="0" w:space="0" w:color="auto"/>
        <w:left w:val="none" w:sz="0" w:space="0" w:color="auto"/>
        <w:bottom w:val="none" w:sz="0" w:space="0" w:color="auto"/>
        <w:right w:val="none" w:sz="0" w:space="0" w:color="auto"/>
      </w:divBdr>
    </w:div>
    <w:div w:id="363604470">
      <w:bodyDiv w:val="1"/>
      <w:marLeft w:val="0"/>
      <w:marRight w:val="0"/>
      <w:marTop w:val="0"/>
      <w:marBottom w:val="0"/>
      <w:divBdr>
        <w:top w:val="none" w:sz="0" w:space="0" w:color="auto"/>
        <w:left w:val="none" w:sz="0" w:space="0" w:color="auto"/>
        <w:bottom w:val="none" w:sz="0" w:space="0" w:color="auto"/>
        <w:right w:val="none" w:sz="0" w:space="0" w:color="auto"/>
      </w:divBdr>
    </w:div>
    <w:div w:id="374544539">
      <w:bodyDiv w:val="1"/>
      <w:marLeft w:val="0"/>
      <w:marRight w:val="0"/>
      <w:marTop w:val="0"/>
      <w:marBottom w:val="0"/>
      <w:divBdr>
        <w:top w:val="none" w:sz="0" w:space="0" w:color="auto"/>
        <w:left w:val="none" w:sz="0" w:space="0" w:color="auto"/>
        <w:bottom w:val="none" w:sz="0" w:space="0" w:color="auto"/>
        <w:right w:val="none" w:sz="0" w:space="0" w:color="auto"/>
      </w:divBdr>
    </w:div>
    <w:div w:id="409428164">
      <w:bodyDiv w:val="1"/>
      <w:marLeft w:val="0"/>
      <w:marRight w:val="0"/>
      <w:marTop w:val="0"/>
      <w:marBottom w:val="0"/>
      <w:divBdr>
        <w:top w:val="none" w:sz="0" w:space="0" w:color="auto"/>
        <w:left w:val="none" w:sz="0" w:space="0" w:color="auto"/>
        <w:bottom w:val="none" w:sz="0" w:space="0" w:color="auto"/>
        <w:right w:val="none" w:sz="0" w:space="0" w:color="auto"/>
      </w:divBdr>
    </w:div>
    <w:div w:id="583729308">
      <w:bodyDiv w:val="1"/>
      <w:marLeft w:val="0"/>
      <w:marRight w:val="0"/>
      <w:marTop w:val="0"/>
      <w:marBottom w:val="0"/>
      <w:divBdr>
        <w:top w:val="none" w:sz="0" w:space="0" w:color="auto"/>
        <w:left w:val="none" w:sz="0" w:space="0" w:color="auto"/>
        <w:bottom w:val="none" w:sz="0" w:space="0" w:color="auto"/>
        <w:right w:val="none" w:sz="0" w:space="0" w:color="auto"/>
      </w:divBdr>
    </w:div>
    <w:div w:id="593444062">
      <w:bodyDiv w:val="1"/>
      <w:marLeft w:val="0"/>
      <w:marRight w:val="0"/>
      <w:marTop w:val="0"/>
      <w:marBottom w:val="0"/>
      <w:divBdr>
        <w:top w:val="none" w:sz="0" w:space="0" w:color="auto"/>
        <w:left w:val="none" w:sz="0" w:space="0" w:color="auto"/>
        <w:bottom w:val="none" w:sz="0" w:space="0" w:color="auto"/>
        <w:right w:val="none" w:sz="0" w:space="0" w:color="auto"/>
      </w:divBdr>
    </w:div>
    <w:div w:id="611866881">
      <w:bodyDiv w:val="1"/>
      <w:marLeft w:val="0"/>
      <w:marRight w:val="0"/>
      <w:marTop w:val="0"/>
      <w:marBottom w:val="0"/>
      <w:divBdr>
        <w:top w:val="none" w:sz="0" w:space="0" w:color="auto"/>
        <w:left w:val="none" w:sz="0" w:space="0" w:color="auto"/>
        <w:bottom w:val="none" w:sz="0" w:space="0" w:color="auto"/>
        <w:right w:val="none" w:sz="0" w:space="0" w:color="auto"/>
      </w:divBdr>
    </w:div>
    <w:div w:id="671643966">
      <w:bodyDiv w:val="1"/>
      <w:marLeft w:val="0"/>
      <w:marRight w:val="0"/>
      <w:marTop w:val="0"/>
      <w:marBottom w:val="0"/>
      <w:divBdr>
        <w:top w:val="none" w:sz="0" w:space="0" w:color="auto"/>
        <w:left w:val="none" w:sz="0" w:space="0" w:color="auto"/>
        <w:bottom w:val="none" w:sz="0" w:space="0" w:color="auto"/>
        <w:right w:val="none" w:sz="0" w:space="0" w:color="auto"/>
      </w:divBdr>
    </w:div>
    <w:div w:id="719406988">
      <w:bodyDiv w:val="1"/>
      <w:marLeft w:val="0"/>
      <w:marRight w:val="0"/>
      <w:marTop w:val="0"/>
      <w:marBottom w:val="0"/>
      <w:divBdr>
        <w:top w:val="none" w:sz="0" w:space="0" w:color="auto"/>
        <w:left w:val="none" w:sz="0" w:space="0" w:color="auto"/>
        <w:bottom w:val="none" w:sz="0" w:space="0" w:color="auto"/>
        <w:right w:val="none" w:sz="0" w:space="0" w:color="auto"/>
      </w:divBdr>
    </w:div>
    <w:div w:id="739910427">
      <w:bodyDiv w:val="1"/>
      <w:marLeft w:val="0"/>
      <w:marRight w:val="0"/>
      <w:marTop w:val="0"/>
      <w:marBottom w:val="0"/>
      <w:divBdr>
        <w:top w:val="none" w:sz="0" w:space="0" w:color="auto"/>
        <w:left w:val="none" w:sz="0" w:space="0" w:color="auto"/>
        <w:bottom w:val="none" w:sz="0" w:space="0" w:color="auto"/>
        <w:right w:val="none" w:sz="0" w:space="0" w:color="auto"/>
      </w:divBdr>
    </w:div>
    <w:div w:id="762192758">
      <w:bodyDiv w:val="1"/>
      <w:marLeft w:val="0"/>
      <w:marRight w:val="0"/>
      <w:marTop w:val="0"/>
      <w:marBottom w:val="0"/>
      <w:divBdr>
        <w:top w:val="none" w:sz="0" w:space="0" w:color="auto"/>
        <w:left w:val="none" w:sz="0" w:space="0" w:color="auto"/>
        <w:bottom w:val="none" w:sz="0" w:space="0" w:color="auto"/>
        <w:right w:val="none" w:sz="0" w:space="0" w:color="auto"/>
      </w:divBdr>
    </w:div>
    <w:div w:id="766509553">
      <w:bodyDiv w:val="1"/>
      <w:marLeft w:val="0"/>
      <w:marRight w:val="0"/>
      <w:marTop w:val="0"/>
      <w:marBottom w:val="0"/>
      <w:divBdr>
        <w:top w:val="none" w:sz="0" w:space="0" w:color="auto"/>
        <w:left w:val="none" w:sz="0" w:space="0" w:color="auto"/>
        <w:bottom w:val="none" w:sz="0" w:space="0" w:color="auto"/>
        <w:right w:val="none" w:sz="0" w:space="0" w:color="auto"/>
      </w:divBdr>
    </w:div>
    <w:div w:id="769084052">
      <w:bodyDiv w:val="1"/>
      <w:marLeft w:val="0"/>
      <w:marRight w:val="0"/>
      <w:marTop w:val="0"/>
      <w:marBottom w:val="0"/>
      <w:divBdr>
        <w:top w:val="none" w:sz="0" w:space="0" w:color="auto"/>
        <w:left w:val="none" w:sz="0" w:space="0" w:color="auto"/>
        <w:bottom w:val="none" w:sz="0" w:space="0" w:color="auto"/>
        <w:right w:val="none" w:sz="0" w:space="0" w:color="auto"/>
      </w:divBdr>
    </w:div>
    <w:div w:id="770122726">
      <w:bodyDiv w:val="1"/>
      <w:marLeft w:val="0"/>
      <w:marRight w:val="0"/>
      <w:marTop w:val="0"/>
      <w:marBottom w:val="0"/>
      <w:divBdr>
        <w:top w:val="none" w:sz="0" w:space="0" w:color="auto"/>
        <w:left w:val="none" w:sz="0" w:space="0" w:color="auto"/>
        <w:bottom w:val="none" w:sz="0" w:space="0" w:color="auto"/>
        <w:right w:val="none" w:sz="0" w:space="0" w:color="auto"/>
      </w:divBdr>
    </w:div>
    <w:div w:id="782456988">
      <w:bodyDiv w:val="1"/>
      <w:marLeft w:val="0"/>
      <w:marRight w:val="0"/>
      <w:marTop w:val="0"/>
      <w:marBottom w:val="0"/>
      <w:divBdr>
        <w:top w:val="none" w:sz="0" w:space="0" w:color="auto"/>
        <w:left w:val="none" w:sz="0" w:space="0" w:color="auto"/>
        <w:bottom w:val="none" w:sz="0" w:space="0" w:color="auto"/>
        <w:right w:val="none" w:sz="0" w:space="0" w:color="auto"/>
      </w:divBdr>
    </w:div>
    <w:div w:id="805312920">
      <w:bodyDiv w:val="1"/>
      <w:marLeft w:val="0"/>
      <w:marRight w:val="0"/>
      <w:marTop w:val="0"/>
      <w:marBottom w:val="0"/>
      <w:divBdr>
        <w:top w:val="none" w:sz="0" w:space="0" w:color="auto"/>
        <w:left w:val="none" w:sz="0" w:space="0" w:color="auto"/>
        <w:bottom w:val="none" w:sz="0" w:space="0" w:color="auto"/>
        <w:right w:val="none" w:sz="0" w:space="0" w:color="auto"/>
      </w:divBdr>
    </w:div>
    <w:div w:id="807279537">
      <w:bodyDiv w:val="1"/>
      <w:marLeft w:val="0"/>
      <w:marRight w:val="0"/>
      <w:marTop w:val="0"/>
      <w:marBottom w:val="0"/>
      <w:divBdr>
        <w:top w:val="none" w:sz="0" w:space="0" w:color="auto"/>
        <w:left w:val="none" w:sz="0" w:space="0" w:color="auto"/>
        <w:bottom w:val="none" w:sz="0" w:space="0" w:color="auto"/>
        <w:right w:val="none" w:sz="0" w:space="0" w:color="auto"/>
      </w:divBdr>
    </w:div>
    <w:div w:id="875971153">
      <w:bodyDiv w:val="1"/>
      <w:marLeft w:val="0"/>
      <w:marRight w:val="0"/>
      <w:marTop w:val="0"/>
      <w:marBottom w:val="0"/>
      <w:divBdr>
        <w:top w:val="none" w:sz="0" w:space="0" w:color="auto"/>
        <w:left w:val="none" w:sz="0" w:space="0" w:color="auto"/>
        <w:bottom w:val="none" w:sz="0" w:space="0" w:color="auto"/>
        <w:right w:val="none" w:sz="0" w:space="0" w:color="auto"/>
      </w:divBdr>
    </w:div>
    <w:div w:id="961308796">
      <w:bodyDiv w:val="1"/>
      <w:marLeft w:val="0"/>
      <w:marRight w:val="0"/>
      <w:marTop w:val="0"/>
      <w:marBottom w:val="0"/>
      <w:divBdr>
        <w:top w:val="none" w:sz="0" w:space="0" w:color="auto"/>
        <w:left w:val="none" w:sz="0" w:space="0" w:color="auto"/>
        <w:bottom w:val="none" w:sz="0" w:space="0" w:color="auto"/>
        <w:right w:val="none" w:sz="0" w:space="0" w:color="auto"/>
      </w:divBdr>
    </w:div>
    <w:div w:id="1154563173">
      <w:bodyDiv w:val="1"/>
      <w:marLeft w:val="0"/>
      <w:marRight w:val="0"/>
      <w:marTop w:val="0"/>
      <w:marBottom w:val="0"/>
      <w:divBdr>
        <w:top w:val="none" w:sz="0" w:space="0" w:color="auto"/>
        <w:left w:val="none" w:sz="0" w:space="0" w:color="auto"/>
        <w:bottom w:val="none" w:sz="0" w:space="0" w:color="auto"/>
        <w:right w:val="none" w:sz="0" w:space="0" w:color="auto"/>
      </w:divBdr>
    </w:div>
    <w:div w:id="1278030204">
      <w:bodyDiv w:val="1"/>
      <w:marLeft w:val="0"/>
      <w:marRight w:val="0"/>
      <w:marTop w:val="0"/>
      <w:marBottom w:val="0"/>
      <w:divBdr>
        <w:top w:val="none" w:sz="0" w:space="0" w:color="auto"/>
        <w:left w:val="none" w:sz="0" w:space="0" w:color="auto"/>
        <w:bottom w:val="none" w:sz="0" w:space="0" w:color="auto"/>
        <w:right w:val="none" w:sz="0" w:space="0" w:color="auto"/>
      </w:divBdr>
    </w:div>
    <w:div w:id="1325627721">
      <w:bodyDiv w:val="1"/>
      <w:marLeft w:val="0"/>
      <w:marRight w:val="0"/>
      <w:marTop w:val="0"/>
      <w:marBottom w:val="0"/>
      <w:divBdr>
        <w:top w:val="none" w:sz="0" w:space="0" w:color="auto"/>
        <w:left w:val="none" w:sz="0" w:space="0" w:color="auto"/>
        <w:bottom w:val="none" w:sz="0" w:space="0" w:color="auto"/>
        <w:right w:val="none" w:sz="0" w:space="0" w:color="auto"/>
      </w:divBdr>
    </w:div>
    <w:div w:id="1389456413">
      <w:bodyDiv w:val="1"/>
      <w:marLeft w:val="0"/>
      <w:marRight w:val="0"/>
      <w:marTop w:val="0"/>
      <w:marBottom w:val="0"/>
      <w:divBdr>
        <w:top w:val="none" w:sz="0" w:space="0" w:color="auto"/>
        <w:left w:val="none" w:sz="0" w:space="0" w:color="auto"/>
        <w:bottom w:val="none" w:sz="0" w:space="0" w:color="auto"/>
        <w:right w:val="none" w:sz="0" w:space="0" w:color="auto"/>
      </w:divBdr>
    </w:div>
    <w:div w:id="1412703314">
      <w:bodyDiv w:val="1"/>
      <w:marLeft w:val="0"/>
      <w:marRight w:val="0"/>
      <w:marTop w:val="0"/>
      <w:marBottom w:val="0"/>
      <w:divBdr>
        <w:top w:val="none" w:sz="0" w:space="0" w:color="auto"/>
        <w:left w:val="none" w:sz="0" w:space="0" w:color="auto"/>
        <w:bottom w:val="none" w:sz="0" w:space="0" w:color="auto"/>
        <w:right w:val="none" w:sz="0" w:space="0" w:color="auto"/>
      </w:divBdr>
    </w:div>
    <w:div w:id="1423405777">
      <w:bodyDiv w:val="1"/>
      <w:marLeft w:val="0"/>
      <w:marRight w:val="0"/>
      <w:marTop w:val="0"/>
      <w:marBottom w:val="0"/>
      <w:divBdr>
        <w:top w:val="none" w:sz="0" w:space="0" w:color="auto"/>
        <w:left w:val="none" w:sz="0" w:space="0" w:color="auto"/>
        <w:bottom w:val="none" w:sz="0" w:space="0" w:color="auto"/>
        <w:right w:val="none" w:sz="0" w:space="0" w:color="auto"/>
      </w:divBdr>
    </w:div>
    <w:div w:id="1484279647">
      <w:bodyDiv w:val="1"/>
      <w:marLeft w:val="0"/>
      <w:marRight w:val="0"/>
      <w:marTop w:val="0"/>
      <w:marBottom w:val="0"/>
      <w:divBdr>
        <w:top w:val="none" w:sz="0" w:space="0" w:color="auto"/>
        <w:left w:val="none" w:sz="0" w:space="0" w:color="auto"/>
        <w:bottom w:val="none" w:sz="0" w:space="0" w:color="auto"/>
        <w:right w:val="none" w:sz="0" w:space="0" w:color="auto"/>
      </w:divBdr>
    </w:div>
    <w:div w:id="1591423676">
      <w:bodyDiv w:val="1"/>
      <w:marLeft w:val="0"/>
      <w:marRight w:val="0"/>
      <w:marTop w:val="0"/>
      <w:marBottom w:val="0"/>
      <w:divBdr>
        <w:top w:val="none" w:sz="0" w:space="0" w:color="auto"/>
        <w:left w:val="none" w:sz="0" w:space="0" w:color="auto"/>
        <w:bottom w:val="none" w:sz="0" w:space="0" w:color="auto"/>
        <w:right w:val="none" w:sz="0" w:space="0" w:color="auto"/>
      </w:divBdr>
    </w:div>
    <w:div w:id="1660768956">
      <w:bodyDiv w:val="1"/>
      <w:marLeft w:val="0"/>
      <w:marRight w:val="0"/>
      <w:marTop w:val="0"/>
      <w:marBottom w:val="0"/>
      <w:divBdr>
        <w:top w:val="none" w:sz="0" w:space="0" w:color="auto"/>
        <w:left w:val="none" w:sz="0" w:space="0" w:color="auto"/>
        <w:bottom w:val="none" w:sz="0" w:space="0" w:color="auto"/>
        <w:right w:val="none" w:sz="0" w:space="0" w:color="auto"/>
      </w:divBdr>
    </w:div>
    <w:div w:id="1717926744">
      <w:bodyDiv w:val="1"/>
      <w:marLeft w:val="0"/>
      <w:marRight w:val="0"/>
      <w:marTop w:val="0"/>
      <w:marBottom w:val="0"/>
      <w:divBdr>
        <w:top w:val="none" w:sz="0" w:space="0" w:color="auto"/>
        <w:left w:val="none" w:sz="0" w:space="0" w:color="auto"/>
        <w:bottom w:val="none" w:sz="0" w:space="0" w:color="auto"/>
        <w:right w:val="none" w:sz="0" w:space="0" w:color="auto"/>
      </w:divBdr>
    </w:div>
    <w:div w:id="1770195096">
      <w:bodyDiv w:val="1"/>
      <w:marLeft w:val="0"/>
      <w:marRight w:val="0"/>
      <w:marTop w:val="0"/>
      <w:marBottom w:val="0"/>
      <w:divBdr>
        <w:top w:val="none" w:sz="0" w:space="0" w:color="auto"/>
        <w:left w:val="none" w:sz="0" w:space="0" w:color="auto"/>
        <w:bottom w:val="none" w:sz="0" w:space="0" w:color="auto"/>
        <w:right w:val="none" w:sz="0" w:space="0" w:color="auto"/>
      </w:divBdr>
    </w:div>
    <w:div w:id="1838689577">
      <w:bodyDiv w:val="1"/>
      <w:marLeft w:val="0"/>
      <w:marRight w:val="0"/>
      <w:marTop w:val="0"/>
      <w:marBottom w:val="0"/>
      <w:divBdr>
        <w:top w:val="none" w:sz="0" w:space="0" w:color="auto"/>
        <w:left w:val="none" w:sz="0" w:space="0" w:color="auto"/>
        <w:bottom w:val="none" w:sz="0" w:space="0" w:color="auto"/>
        <w:right w:val="none" w:sz="0" w:space="0" w:color="auto"/>
      </w:divBdr>
    </w:div>
    <w:div w:id="1887836881">
      <w:bodyDiv w:val="1"/>
      <w:marLeft w:val="0"/>
      <w:marRight w:val="0"/>
      <w:marTop w:val="0"/>
      <w:marBottom w:val="0"/>
      <w:divBdr>
        <w:top w:val="none" w:sz="0" w:space="0" w:color="auto"/>
        <w:left w:val="none" w:sz="0" w:space="0" w:color="auto"/>
        <w:bottom w:val="none" w:sz="0" w:space="0" w:color="auto"/>
        <w:right w:val="none" w:sz="0" w:space="0" w:color="auto"/>
      </w:divBdr>
    </w:div>
    <w:div w:id="1976401850">
      <w:bodyDiv w:val="1"/>
      <w:marLeft w:val="0"/>
      <w:marRight w:val="0"/>
      <w:marTop w:val="0"/>
      <w:marBottom w:val="0"/>
      <w:divBdr>
        <w:top w:val="none" w:sz="0" w:space="0" w:color="auto"/>
        <w:left w:val="none" w:sz="0" w:space="0" w:color="auto"/>
        <w:bottom w:val="none" w:sz="0" w:space="0" w:color="auto"/>
        <w:right w:val="none" w:sz="0" w:space="0" w:color="auto"/>
      </w:divBdr>
    </w:div>
    <w:div w:id="2000305671">
      <w:bodyDiv w:val="1"/>
      <w:marLeft w:val="0"/>
      <w:marRight w:val="0"/>
      <w:marTop w:val="0"/>
      <w:marBottom w:val="0"/>
      <w:divBdr>
        <w:top w:val="none" w:sz="0" w:space="0" w:color="auto"/>
        <w:left w:val="none" w:sz="0" w:space="0" w:color="auto"/>
        <w:bottom w:val="none" w:sz="0" w:space="0" w:color="auto"/>
        <w:right w:val="none" w:sz="0" w:space="0" w:color="auto"/>
      </w:divBdr>
    </w:div>
    <w:div w:id="2065175177">
      <w:bodyDiv w:val="1"/>
      <w:marLeft w:val="0"/>
      <w:marRight w:val="0"/>
      <w:marTop w:val="0"/>
      <w:marBottom w:val="0"/>
      <w:divBdr>
        <w:top w:val="none" w:sz="0" w:space="0" w:color="auto"/>
        <w:left w:val="none" w:sz="0" w:space="0" w:color="auto"/>
        <w:bottom w:val="none" w:sz="0" w:space="0" w:color="auto"/>
        <w:right w:val="none" w:sz="0" w:space="0" w:color="auto"/>
      </w:divBdr>
    </w:div>
    <w:div w:id="207562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71</TotalTime>
  <Pages>13</Pages>
  <Words>3911</Words>
  <Characters>25398</Characters>
  <Application>Microsoft Office Word</Application>
  <DocSecurity>0</DocSecurity>
  <Lines>211</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2025040123, MT</dc:description>
  <cp:lastModifiedBy>Gitte Jørgensen</cp:lastModifiedBy>
  <cp:revision>9</cp:revision>
  <cp:lastPrinted>2012-08-22T08:53:00Z</cp:lastPrinted>
  <dcterms:created xsi:type="dcterms:W3CDTF">2026-03-26T07:58:00Z</dcterms:created>
  <dcterms:modified xsi:type="dcterms:W3CDTF">2026-03-26T13:15:00Z</dcterms:modified>
</cp:coreProperties>
</file>