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8DA6" w14:textId="2B93D7A6" w:rsidR="009260DE" w:rsidRPr="007849BA" w:rsidRDefault="0021526C" w:rsidP="00F4752A">
      <w:pPr>
        <w:rPr>
          <w:b/>
          <w:sz w:val="24"/>
          <w:szCs w:val="24"/>
        </w:rPr>
      </w:pPr>
      <w:bookmarkStart w:id="0" w:name="_GoBack"/>
      <w:bookmarkEnd w:id="0"/>
      <w:r w:rsidRPr="007849BA">
        <w:rPr>
          <w:noProof/>
          <w:sz w:val="24"/>
          <w:szCs w:val="24"/>
          <w:lang w:eastAsia="da-DK"/>
        </w:rPr>
        <w:drawing>
          <wp:anchor distT="0" distB="0" distL="114300" distR="114300" simplePos="0" relativeHeight="251658240" behindDoc="0" locked="0" layoutInCell="1" allowOverlap="1" wp14:anchorId="37E3D60D" wp14:editId="3A9785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849BA">
        <w:rPr>
          <w:sz w:val="24"/>
          <w:szCs w:val="24"/>
        </w:rPr>
        <w:br w:type="textWrapping" w:clear="all"/>
      </w:r>
    </w:p>
    <w:p w14:paraId="6C48CF8D" w14:textId="0D6B3F57" w:rsidR="009260DE" w:rsidRPr="007849BA" w:rsidRDefault="009260DE" w:rsidP="009260DE">
      <w:pPr>
        <w:pStyle w:val="Titel"/>
        <w:tabs>
          <w:tab w:val="right" w:pos="9356"/>
        </w:tabs>
        <w:jc w:val="left"/>
        <w:rPr>
          <w:b w:val="0"/>
          <w:szCs w:val="24"/>
          <w:lang w:eastAsia="en-US"/>
        </w:rPr>
      </w:pPr>
      <w:r w:rsidRPr="007849BA">
        <w:rPr>
          <w:b w:val="0"/>
          <w:szCs w:val="24"/>
          <w:lang w:eastAsia="en-US"/>
        </w:rPr>
        <w:tab/>
      </w:r>
      <w:r w:rsidR="006A1361">
        <w:rPr>
          <w:szCs w:val="24"/>
        </w:rPr>
        <w:t>24. januar 2025</w:t>
      </w:r>
    </w:p>
    <w:p w14:paraId="404F418B" w14:textId="77777777" w:rsidR="009260DE" w:rsidRPr="007849BA" w:rsidRDefault="009260DE" w:rsidP="009260DE">
      <w:pPr>
        <w:pStyle w:val="Titel"/>
        <w:tabs>
          <w:tab w:val="left" w:pos="8222"/>
        </w:tabs>
        <w:jc w:val="left"/>
        <w:rPr>
          <w:b w:val="0"/>
          <w:szCs w:val="24"/>
        </w:rPr>
      </w:pPr>
    </w:p>
    <w:p w14:paraId="3B924BEF" w14:textId="77777777" w:rsidR="009260DE" w:rsidRPr="007849BA" w:rsidRDefault="009260DE" w:rsidP="009260DE">
      <w:pPr>
        <w:pStyle w:val="Titel"/>
        <w:jc w:val="left"/>
        <w:rPr>
          <w:b w:val="0"/>
          <w:szCs w:val="24"/>
        </w:rPr>
      </w:pPr>
    </w:p>
    <w:p w14:paraId="7677F2E0" w14:textId="77777777" w:rsidR="009260DE" w:rsidRPr="007849BA" w:rsidRDefault="009260DE" w:rsidP="009260DE">
      <w:pPr>
        <w:pStyle w:val="Titel"/>
        <w:jc w:val="left"/>
        <w:rPr>
          <w:b w:val="0"/>
          <w:szCs w:val="24"/>
        </w:rPr>
      </w:pPr>
    </w:p>
    <w:p w14:paraId="72AD8085" w14:textId="77777777" w:rsidR="009260DE" w:rsidRPr="007849BA" w:rsidRDefault="009260DE" w:rsidP="009260DE">
      <w:pPr>
        <w:jc w:val="center"/>
        <w:rPr>
          <w:b/>
          <w:sz w:val="24"/>
          <w:szCs w:val="24"/>
        </w:rPr>
      </w:pPr>
      <w:r w:rsidRPr="007849BA">
        <w:rPr>
          <w:b/>
          <w:sz w:val="24"/>
          <w:szCs w:val="24"/>
        </w:rPr>
        <w:t>PRODUKTRESUMÉ</w:t>
      </w:r>
    </w:p>
    <w:p w14:paraId="052865FB" w14:textId="77777777" w:rsidR="009260DE" w:rsidRPr="007849BA" w:rsidRDefault="009260DE" w:rsidP="009260DE">
      <w:pPr>
        <w:jc w:val="center"/>
        <w:rPr>
          <w:b/>
          <w:sz w:val="24"/>
          <w:szCs w:val="24"/>
        </w:rPr>
      </w:pPr>
    </w:p>
    <w:p w14:paraId="79DD04CE" w14:textId="77777777" w:rsidR="009260DE" w:rsidRPr="007849BA" w:rsidRDefault="009260DE" w:rsidP="009260DE">
      <w:pPr>
        <w:jc w:val="center"/>
        <w:rPr>
          <w:b/>
          <w:sz w:val="24"/>
          <w:szCs w:val="24"/>
        </w:rPr>
      </w:pPr>
      <w:r w:rsidRPr="007849BA">
        <w:rPr>
          <w:b/>
          <w:sz w:val="24"/>
          <w:szCs w:val="24"/>
        </w:rPr>
        <w:t>for</w:t>
      </w:r>
    </w:p>
    <w:p w14:paraId="2F0E3CA3" w14:textId="77777777" w:rsidR="000B058C" w:rsidRPr="007849BA" w:rsidRDefault="000B058C" w:rsidP="009260DE">
      <w:pPr>
        <w:jc w:val="center"/>
        <w:rPr>
          <w:b/>
          <w:sz w:val="24"/>
          <w:szCs w:val="24"/>
        </w:rPr>
      </w:pPr>
    </w:p>
    <w:p w14:paraId="5038FEF9" w14:textId="4ED8BA1C" w:rsidR="009260DE" w:rsidRPr="007849BA" w:rsidRDefault="00295D2D" w:rsidP="009260DE">
      <w:pPr>
        <w:jc w:val="center"/>
        <w:rPr>
          <w:b/>
          <w:sz w:val="24"/>
          <w:szCs w:val="24"/>
        </w:rPr>
      </w:pPr>
      <w:proofErr w:type="spellStart"/>
      <w:r w:rsidRPr="007849BA">
        <w:rPr>
          <w:b/>
          <w:sz w:val="24"/>
          <w:szCs w:val="24"/>
        </w:rPr>
        <w:t>Tapentadol</w:t>
      </w:r>
      <w:proofErr w:type="spellEnd"/>
      <w:r w:rsidRPr="007849BA">
        <w:rPr>
          <w:b/>
          <w:sz w:val="24"/>
          <w:szCs w:val="24"/>
        </w:rPr>
        <w:t xml:space="preserve"> "G.L. Pharma", filmovertrukne tabletter</w:t>
      </w:r>
    </w:p>
    <w:p w14:paraId="359A746B" w14:textId="77777777" w:rsidR="009260DE" w:rsidRPr="007849BA" w:rsidRDefault="009260DE" w:rsidP="009260DE">
      <w:pPr>
        <w:jc w:val="both"/>
        <w:rPr>
          <w:sz w:val="24"/>
          <w:szCs w:val="24"/>
        </w:rPr>
      </w:pPr>
    </w:p>
    <w:p w14:paraId="0170FE2C" w14:textId="77777777" w:rsidR="009260DE" w:rsidRPr="007849BA" w:rsidRDefault="009260DE" w:rsidP="009260DE">
      <w:pPr>
        <w:jc w:val="both"/>
        <w:rPr>
          <w:sz w:val="24"/>
          <w:szCs w:val="24"/>
        </w:rPr>
      </w:pPr>
    </w:p>
    <w:p w14:paraId="66D39488" w14:textId="77777777" w:rsidR="009260DE" w:rsidRPr="007849BA" w:rsidRDefault="009260DE" w:rsidP="009260DE">
      <w:pPr>
        <w:tabs>
          <w:tab w:val="left" w:pos="851"/>
        </w:tabs>
        <w:ind w:left="851" w:hanging="851"/>
        <w:rPr>
          <w:b/>
          <w:sz w:val="24"/>
          <w:szCs w:val="24"/>
        </w:rPr>
      </w:pPr>
      <w:r w:rsidRPr="007849BA">
        <w:rPr>
          <w:b/>
          <w:sz w:val="24"/>
          <w:szCs w:val="24"/>
        </w:rPr>
        <w:t>0.</w:t>
      </w:r>
      <w:r w:rsidRPr="007849BA">
        <w:rPr>
          <w:b/>
          <w:sz w:val="24"/>
          <w:szCs w:val="24"/>
        </w:rPr>
        <w:tab/>
        <w:t>D.SP.NR.</w:t>
      </w:r>
    </w:p>
    <w:p w14:paraId="5DF6083D" w14:textId="3C126392" w:rsidR="009260DE" w:rsidRPr="007849BA" w:rsidRDefault="00295D2D" w:rsidP="009260DE">
      <w:pPr>
        <w:tabs>
          <w:tab w:val="left" w:pos="851"/>
        </w:tabs>
        <w:ind w:left="851"/>
        <w:rPr>
          <w:sz w:val="24"/>
          <w:szCs w:val="24"/>
        </w:rPr>
      </w:pPr>
      <w:r w:rsidRPr="007849BA">
        <w:rPr>
          <w:sz w:val="24"/>
          <w:szCs w:val="24"/>
        </w:rPr>
        <w:t>33185</w:t>
      </w:r>
    </w:p>
    <w:p w14:paraId="42A6E181" w14:textId="77777777" w:rsidR="009260DE" w:rsidRPr="007849BA" w:rsidRDefault="009260DE" w:rsidP="009260DE">
      <w:pPr>
        <w:tabs>
          <w:tab w:val="left" w:pos="851"/>
        </w:tabs>
        <w:ind w:left="851"/>
        <w:rPr>
          <w:sz w:val="24"/>
          <w:szCs w:val="24"/>
        </w:rPr>
      </w:pPr>
    </w:p>
    <w:p w14:paraId="1725E76F" w14:textId="77777777" w:rsidR="009260DE" w:rsidRPr="007849BA" w:rsidRDefault="009260DE" w:rsidP="009260DE">
      <w:pPr>
        <w:tabs>
          <w:tab w:val="left" w:pos="851"/>
        </w:tabs>
        <w:ind w:left="851" w:hanging="851"/>
        <w:rPr>
          <w:b/>
          <w:sz w:val="24"/>
          <w:szCs w:val="24"/>
        </w:rPr>
      </w:pPr>
      <w:r w:rsidRPr="007849BA">
        <w:rPr>
          <w:b/>
          <w:sz w:val="24"/>
          <w:szCs w:val="24"/>
        </w:rPr>
        <w:t>1.</w:t>
      </w:r>
      <w:r w:rsidRPr="007849BA">
        <w:rPr>
          <w:b/>
          <w:sz w:val="24"/>
          <w:szCs w:val="24"/>
        </w:rPr>
        <w:tab/>
        <w:t>LÆGEMIDLETS NAVN</w:t>
      </w:r>
    </w:p>
    <w:p w14:paraId="242C5170" w14:textId="6C9CA910" w:rsidR="009260DE" w:rsidRPr="007849BA" w:rsidRDefault="00295D2D" w:rsidP="009260DE">
      <w:pPr>
        <w:tabs>
          <w:tab w:val="left" w:pos="851"/>
        </w:tabs>
        <w:ind w:left="851"/>
        <w:rPr>
          <w:sz w:val="24"/>
          <w:szCs w:val="24"/>
        </w:rPr>
      </w:pPr>
      <w:proofErr w:type="spellStart"/>
      <w:r w:rsidRPr="007849BA">
        <w:rPr>
          <w:sz w:val="24"/>
          <w:szCs w:val="24"/>
        </w:rPr>
        <w:t>Tapentadol</w:t>
      </w:r>
      <w:proofErr w:type="spellEnd"/>
      <w:r w:rsidRPr="007849BA">
        <w:rPr>
          <w:sz w:val="24"/>
          <w:szCs w:val="24"/>
        </w:rPr>
        <w:t xml:space="preserve"> "G.L. Pharma"</w:t>
      </w:r>
    </w:p>
    <w:p w14:paraId="533CED6F" w14:textId="77777777" w:rsidR="009260DE" w:rsidRPr="007849BA" w:rsidRDefault="009260DE" w:rsidP="009260DE">
      <w:pPr>
        <w:tabs>
          <w:tab w:val="left" w:pos="851"/>
        </w:tabs>
        <w:ind w:left="851"/>
        <w:rPr>
          <w:sz w:val="24"/>
          <w:szCs w:val="24"/>
        </w:rPr>
      </w:pPr>
    </w:p>
    <w:p w14:paraId="636D9A8E" w14:textId="77777777" w:rsidR="009260DE" w:rsidRPr="007849BA" w:rsidRDefault="009260DE" w:rsidP="009260DE">
      <w:pPr>
        <w:tabs>
          <w:tab w:val="left" w:pos="851"/>
        </w:tabs>
        <w:ind w:left="851" w:hanging="851"/>
        <w:rPr>
          <w:b/>
          <w:sz w:val="24"/>
          <w:szCs w:val="24"/>
        </w:rPr>
      </w:pPr>
      <w:r w:rsidRPr="007849BA">
        <w:rPr>
          <w:b/>
          <w:sz w:val="24"/>
          <w:szCs w:val="24"/>
        </w:rPr>
        <w:t>2.</w:t>
      </w:r>
      <w:r w:rsidRPr="007849BA">
        <w:rPr>
          <w:b/>
          <w:sz w:val="24"/>
          <w:szCs w:val="24"/>
        </w:rPr>
        <w:tab/>
        <w:t>KVALITATIV OG KVANTITATIV SAMMENSÆTNING</w:t>
      </w:r>
    </w:p>
    <w:p w14:paraId="48989D05" w14:textId="77777777" w:rsidR="00295D2D" w:rsidRPr="007849BA" w:rsidRDefault="00295D2D" w:rsidP="00F4752A">
      <w:pPr>
        <w:ind w:left="851"/>
        <w:rPr>
          <w:sz w:val="24"/>
          <w:szCs w:val="24"/>
        </w:rPr>
      </w:pPr>
      <w:r w:rsidRPr="007849BA">
        <w:rPr>
          <w:sz w:val="24"/>
          <w:szCs w:val="24"/>
        </w:rPr>
        <w:t xml:space="preserve">Hver tablet indeholder </w:t>
      </w:r>
      <w:proofErr w:type="spellStart"/>
      <w:r w:rsidRPr="007849BA">
        <w:rPr>
          <w:sz w:val="24"/>
          <w:szCs w:val="24"/>
        </w:rPr>
        <w:t>tapentadoltartrat</w:t>
      </w:r>
      <w:proofErr w:type="spellEnd"/>
      <w:r w:rsidRPr="007849BA">
        <w:rPr>
          <w:sz w:val="24"/>
          <w:szCs w:val="24"/>
        </w:rPr>
        <w:t xml:space="preserve"> svarende til 50 mg </w:t>
      </w:r>
      <w:proofErr w:type="spellStart"/>
      <w:r w:rsidRPr="007849BA">
        <w:rPr>
          <w:sz w:val="24"/>
          <w:szCs w:val="24"/>
        </w:rPr>
        <w:t>tapentadol</w:t>
      </w:r>
      <w:proofErr w:type="spellEnd"/>
      <w:r w:rsidRPr="007849BA">
        <w:rPr>
          <w:sz w:val="24"/>
          <w:szCs w:val="24"/>
        </w:rPr>
        <w:t xml:space="preserve">. </w:t>
      </w:r>
    </w:p>
    <w:p w14:paraId="21CCB251" w14:textId="77777777" w:rsidR="00295D2D" w:rsidRPr="007849BA" w:rsidRDefault="00295D2D" w:rsidP="00F4752A">
      <w:pPr>
        <w:ind w:left="851"/>
        <w:rPr>
          <w:sz w:val="24"/>
          <w:szCs w:val="24"/>
        </w:rPr>
      </w:pPr>
    </w:p>
    <w:p w14:paraId="44E19DAD" w14:textId="77777777" w:rsidR="00295D2D" w:rsidRPr="007849BA" w:rsidRDefault="00295D2D" w:rsidP="00F4752A">
      <w:pPr>
        <w:ind w:left="851"/>
        <w:rPr>
          <w:sz w:val="24"/>
          <w:szCs w:val="24"/>
        </w:rPr>
      </w:pPr>
      <w:r w:rsidRPr="007849BA">
        <w:rPr>
          <w:sz w:val="24"/>
          <w:szCs w:val="24"/>
        </w:rPr>
        <w:t>Hjælpestof, som behandleren skal være opmærksom på:</w:t>
      </w:r>
    </w:p>
    <w:p w14:paraId="1E6ABDEE" w14:textId="3309D465"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50 mg indeholder 26 mg </w:t>
      </w:r>
      <w:proofErr w:type="spellStart"/>
      <w:r w:rsidRPr="007849BA">
        <w:rPr>
          <w:sz w:val="24"/>
          <w:szCs w:val="24"/>
        </w:rPr>
        <w:t>lactose</w:t>
      </w:r>
      <w:proofErr w:type="spellEnd"/>
      <w:r w:rsidRPr="007849BA">
        <w:rPr>
          <w:sz w:val="24"/>
          <w:szCs w:val="24"/>
        </w:rPr>
        <w:t xml:space="preserve"> (som monohydrat).</w:t>
      </w:r>
    </w:p>
    <w:p w14:paraId="00052344" w14:textId="1B203C64" w:rsidR="00295D2D" w:rsidRPr="006A1361" w:rsidRDefault="00295D2D" w:rsidP="00F4752A">
      <w:pPr>
        <w:ind w:left="851"/>
        <w:rPr>
          <w:sz w:val="24"/>
          <w:szCs w:val="24"/>
          <w:lang w:val="en-US"/>
        </w:rPr>
      </w:pPr>
      <w:proofErr w:type="spellStart"/>
      <w:r w:rsidRPr="006A1361">
        <w:rPr>
          <w:sz w:val="24"/>
          <w:szCs w:val="24"/>
          <w:lang w:val="en-US"/>
        </w:rPr>
        <w:t>Tapentadol</w:t>
      </w:r>
      <w:proofErr w:type="spellEnd"/>
      <w:r w:rsidRPr="006A1361">
        <w:rPr>
          <w:sz w:val="24"/>
          <w:szCs w:val="24"/>
          <w:lang w:val="en-US"/>
        </w:rPr>
        <w:t xml:space="preserve"> </w:t>
      </w:r>
      <w:r w:rsidR="00F4752A" w:rsidRPr="006A1361">
        <w:rPr>
          <w:sz w:val="24"/>
          <w:szCs w:val="24"/>
          <w:lang w:val="en-US"/>
        </w:rPr>
        <w:t>"G.L. Pharma"</w:t>
      </w:r>
      <w:r w:rsidRPr="006A1361">
        <w:rPr>
          <w:sz w:val="24"/>
          <w:szCs w:val="24"/>
          <w:lang w:val="en-US"/>
        </w:rPr>
        <w:t xml:space="preserve"> 50 mg </w:t>
      </w:r>
      <w:proofErr w:type="spellStart"/>
      <w:r w:rsidRPr="006A1361">
        <w:rPr>
          <w:sz w:val="24"/>
          <w:szCs w:val="24"/>
          <w:lang w:val="en-US"/>
        </w:rPr>
        <w:t>indeholder</w:t>
      </w:r>
      <w:proofErr w:type="spellEnd"/>
      <w:r w:rsidRPr="006A1361">
        <w:rPr>
          <w:sz w:val="24"/>
          <w:szCs w:val="24"/>
          <w:lang w:val="en-US"/>
        </w:rPr>
        <w:t xml:space="preserve"> 10 mg </w:t>
      </w:r>
      <w:proofErr w:type="spellStart"/>
      <w:r w:rsidRPr="006A1361">
        <w:rPr>
          <w:sz w:val="24"/>
          <w:szCs w:val="24"/>
          <w:lang w:val="en-US"/>
        </w:rPr>
        <w:t>croscarmellosenatrium</w:t>
      </w:r>
      <w:proofErr w:type="spellEnd"/>
      <w:r w:rsidRPr="006A1361">
        <w:rPr>
          <w:sz w:val="24"/>
          <w:szCs w:val="24"/>
          <w:lang w:val="en-US"/>
        </w:rPr>
        <w:t>.</w:t>
      </w:r>
    </w:p>
    <w:p w14:paraId="602685F9" w14:textId="77777777" w:rsidR="00295D2D" w:rsidRPr="006A1361" w:rsidRDefault="00295D2D" w:rsidP="00F4752A">
      <w:pPr>
        <w:ind w:left="851"/>
        <w:rPr>
          <w:sz w:val="24"/>
          <w:szCs w:val="24"/>
          <w:lang w:val="en-US"/>
        </w:rPr>
      </w:pPr>
    </w:p>
    <w:p w14:paraId="40EE89FC" w14:textId="77777777" w:rsidR="00295D2D" w:rsidRPr="007849BA" w:rsidRDefault="00295D2D" w:rsidP="00F4752A">
      <w:pPr>
        <w:ind w:left="851"/>
        <w:rPr>
          <w:sz w:val="24"/>
          <w:szCs w:val="24"/>
        </w:rPr>
      </w:pPr>
      <w:r w:rsidRPr="007849BA">
        <w:rPr>
          <w:sz w:val="24"/>
          <w:szCs w:val="24"/>
        </w:rPr>
        <w:t>Alle hjælpestoffer er anført under pkt. 6.1.</w:t>
      </w:r>
    </w:p>
    <w:p w14:paraId="6E2274FA" w14:textId="77777777" w:rsidR="009260DE" w:rsidRPr="007849BA" w:rsidRDefault="009260DE" w:rsidP="009260DE">
      <w:pPr>
        <w:tabs>
          <w:tab w:val="left" w:pos="851"/>
        </w:tabs>
        <w:ind w:left="851"/>
        <w:rPr>
          <w:sz w:val="24"/>
          <w:szCs w:val="24"/>
        </w:rPr>
      </w:pPr>
    </w:p>
    <w:p w14:paraId="3AEE8418" w14:textId="77777777" w:rsidR="009260DE" w:rsidRPr="007849BA" w:rsidRDefault="009260DE" w:rsidP="009260DE">
      <w:pPr>
        <w:tabs>
          <w:tab w:val="left" w:pos="851"/>
        </w:tabs>
        <w:ind w:left="851" w:hanging="851"/>
        <w:rPr>
          <w:b/>
          <w:sz w:val="24"/>
          <w:szCs w:val="24"/>
        </w:rPr>
      </w:pPr>
      <w:r w:rsidRPr="007849BA">
        <w:rPr>
          <w:b/>
          <w:sz w:val="24"/>
          <w:szCs w:val="24"/>
        </w:rPr>
        <w:t>3.</w:t>
      </w:r>
      <w:r w:rsidRPr="007849BA">
        <w:rPr>
          <w:b/>
          <w:sz w:val="24"/>
          <w:szCs w:val="24"/>
        </w:rPr>
        <w:tab/>
        <w:t>LÆGEMIDDELFORM</w:t>
      </w:r>
    </w:p>
    <w:p w14:paraId="1903FA38" w14:textId="77777777" w:rsidR="00295D2D" w:rsidRPr="007849BA" w:rsidRDefault="00295D2D" w:rsidP="00F4752A">
      <w:pPr>
        <w:ind w:left="851"/>
        <w:rPr>
          <w:sz w:val="24"/>
          <w:szCs w:val="24"/>
        </w:rPr>
      </w:pPr>
      <w:r w:rsidRPr="007849BA">
        <w:rPr>
          <w:sz w:val="24"/>
          <w:szCs w:val="24"/>
        </w:rPr>
        <w:t>Filmovertrukne tabletter (tablet)</w:t>
      </w:r>
    </w:p>
    <w:p w14:paraId="48A30000" w14:textId="77777777" w:rsidR="00295D2D" w:rsidRPr="007849BA" w:rsidRDefault="00295D2D" w:rsidP="00F4752A">
      <w:pPr>
        <w:ind w:left="851"/>
        <w:rPr>
          <w:sz w:val="24"/>
          <w:szCs w:val="24"/>
        </w:rPr>
      </w:pPr>
    </w:p>
    <w:p w14:paraId="3043C8AF" w14:textId="77777777" w:rsidR="00295D2D" w:rsidRPr="007849BA" w:rsidRDefault="00295D2D" w:rsidP="00F4752A">
      <w:pPr>
        <w:ind w:left="851"/>
        <w:rPr>
          <w:sz w:val="24"/>
          <w:szCs w:val="24"/>
        </w:rPr>
      </w:pPr>
      <w:r w:rsidRPr="007849BA">
        <w:rPr>
          <w:sz w:val="24"/>
          <w:szCs w:val="24"/>
        </w:rPr>
        <w:t xml:space="preserve">Hvide til offwhite, runde og </w:t>
      </w:r>
      <w:proofErr w:type="spellStart"/>
      <w:r w:rsidRPr="007849BA">
        <w:rPr>
          <w:sz w:val="24"/>
          <w:szCs w:val="24"/>
        </w:rPr>
        <w:t>bikonvekse</w:t>
      </w:r>
      <w:proofErr w:type="spellEnd"/>
      <w:r w:rsidRPr="007849BA">
        <w:rPr>
          <w:sz w:val="24"/>
          <w:szCs w:val="24"/>
        </w:rPr>
        <w:t xml:space="preserve"> filmovertrukne tabletter med ”50” præget på den ene side, med en diameter på 7 mm og en højde på 4 mm.</w:t>
      </w:r>
    </w:p>
    <w:p w14:paraId="3AF1FFEA" w14:textId="77777777" w:rsidR="009260DE" w:rsidRPr="007849BA" w:rsidRDefault="009260DE" w:rsidP="009260DE">
      <w:pPr>
        <w:tabs>
          <w:tab w:val="left" w:pos="851"/>
        </w:tabs>
        <w:ind w:left="851"/>
        <w:rPr>
          <w:sz w:val="24"/>
          <w:szCs w:val="24"/>
        </w:rPr>
      </w:pPr>
    </w:p>
    <w:p w14:paraId="70F37E8F" w14:textId="77777777" w:rsidR="009260DE" w:rsidRPr="007849BA" w:rsidRDefault="009260DE" w:rsidP="009260DE">
      <w:pPr>
        <w:tabs>
          <w:tab w:val="left" w:pos="851"/>
        </w:tabs>
        <w:ind w:left="851"/>
        <w:rPr>
          <w:sz w:val="24"/>
          <w:szCs w:val="24"/>
        </w:rPr>
      </w:pPr>
    </w:p>
    <w:p w14:paraId="484B29E3" w14:textId="77777777" w:rsidR="009260DE" w:rsidRPr="007849BA" w:rsidRDefault="009260DE" w:rsidP="009260DE">
      <w:pPr>
        <w:tabs>
          <w:tab w:val="left" w:pos="851"/>
        </w:tabs>
        <w:ind w:left="851" w:hanging="851"/>
        <w:rPr>
          <w:b/>
          <w:sz w:val="24"/>
          <w:szCs w:val="24"/>
        </w:rPr>
      </w:pPr>
      <w:r w:rsidRPr="007849BA">
        <w:rPr>
          <w:b/>
          <w:sz w:val="24"/>
          <w:szCs w:val="24"/>
        </w:rPr>
        <w:t>4.</w:t>
      </w:r>
      <w:r w:rsidRPr="007849BA">
        <w:rPr>
          <w:b/>
          <w:sz w:val="24"/>
          <w:szCs w:val="24"/>
        </w:rPr>
        <w:tab/>
        <w:t>KLINISKE OPLYSNINGER</w:t>
      </w:r>
    </w:p>
    <w:p w14:paraId="0692BFB6" w14:textId="77777777" w:rsidR="009260DE" w:rsidRPr="007849BA" w:rsidRDefault="009260DE" w:rsidP="009260DE">
      <w:pPr>
        <w:tabs>
          <w:tab w:val="left" w:pos="851"/>
        </w:tabs>
        <w:ind w:left="851"/>
        <w:rPr>
          <w:b/>
          <w:sz w:val="24"/>
          <w:szCs w:val="24"/>
        </w:rPr>
      </w:pPr>
    </w:p>
    <w:p w14:paraId="46D15F37" w14:textId="77777777" w:rsidR="009260DE" w:rsidRPr="007849BA" w:rsidRDefault="009260DE" w:rsidP="009260DE">
      <w:pPr>
        <w:tabs>
          <w:tab w:val="left" w:pos="851"/>
        </w:tabs>
        <w:ind w:left="851" w:hanging="851"/>
        <w:rPr>
          <w:b/>
          <w:sz w:val="24"/>
          <w:szCs w:val="24"/>
          <w:u w:val="single"/>
        </w:rPr>
      </w:pPr>
      <w:r w:rsidRPr="007849BA">
        <w:rPr>
          <w:b/>
          <w:sz w:val="24"/>
          <w:szCs w:val="24"/>
        </w:rPr>
        <w:t>4.1</w:t>
      </w:r>
      <w:r w:rsidRPr="007849BA">
        <w:rPr>
          <w:b/>
          <w:sz w:val="24"/>
          <w:szCs w:val="24"/>
        </w:rPr>
        <w:tab/>
        <w:t>Terapeutiske indikationer</w:t>
      </w:r>
    </w:p>
    <w:p w14:paraId="51C1896F" w14:textId="0E5C08CE" w:rsidR="00295D2D" w:rsidRPr="007849BA" w:rsidRDefault="00295D2D" w:rsidP="00F4752A">
      <w:pPr>
        <w:ind w:left="851"/>
        <w:rPr>
          <w:noProof/>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w:t>
      </w:r>
      <w:r w:rsidRPr="007849BA">
        <w:rPr>
          <w:noProof/>
          <w:sz w:val="24"/>
          <w:szCs w:val="24"/>
        </w:rPr>
        <w:t xml:space="preserve">er indiceret til lindring af moderate til svære, akutte smerter hos voksne, som kun kan behandles tilstrækkeligt med opioide analgetika. </w:t>
      </w:r>
    </w:p>
    <w:p w14:paraId="229AF265" w14:textId="77777777" w:rsidR="009260DE" w:rsidRPr="007849BA" w:rsidRDefault="009260DE" w:rsidP="009260DE">
      <w:pPr>
        <w:tabs>
          <w:tab w:val="left" w:pos="851"/>
        </w:tabs>
        <w:ind w:left="851"/>
        <w:rPr>
          <w:sz w:val="24"/>
          <w:szCs w:val="24"/>
        </w:rPr>
      </w:pPr>
    </w:p>
    <w:p w14:paraId="2D51C1AB" w14:textId="77777777" w:rsidR="009260DE" w:rsidRPr="007849BA" w:rsidRDefault="009260DE" w:rsidP="009260DE">
      <w:pPr>
        <w:tabs>
          <w:tab w:val="left" w:pos="851"/>
        </w:tabs>
        <w:ind w:left="851" w:hanging="851"/>
        <w:rPr>
          <w:b/>
          <w:sz w:val="24"/>
          <w:szCs w:val="24"/>
        </w:rPr>
      </w:pPr>
      <w:r w:rsidRPr="007849BA">
        <w:rPr>
          <w:b/>
          <w:sz w:val="24"/>
          <w:szCs w:val="24"/>
        </w:rPr>
        <w:t>4.2</w:t>
      </w:r>
      <w:r w:rsidRPr="007849BA">
        <w:rPr>
          <w:b/>
          <w:sz w:val="24"/>
          <w:szCs w:val="24"/>
        </w:rPr>
        <w:tab/>
        <w:t xml:space="preserve">Dosering og </w:t>
      </w:r>
      <w:r w:rsidR="002C1EC0" w:rsidRPr="007849BA">
        <w:rPr>
          <w:b/>
          <w:sz w:val="24"/>
          <w:szCs w:val="24"/>
        </w:rPr>
        <w:t>administration</w:t>
      </w:r>
    </w:p>
    <w:p w14:paraId="70F6EFA8" w14:textId="77777777" w:rsidR="00F4752A" w:rsidRPr="007849BA" w:rsidRDefault="00F4752A" w:rsidP="00F4752A">
      <w:pPr>
        <w:ind w:left="851"/>
        <w:rPr>
          <w:noProof/>
          <w:sz w:val="24"/>
          <w:szCs w:val="24"/>
        </w:rPr>
      </w:pPr>
    </w:p>
    <w:p w14:paraId="72008A96" w14:textId="3EB99787" w:rsidR="00295D2D" w:rsidRPr="007849BA" w:rsidRDefault="00295D2D" w:rsidP="00F4752A">
      <w:pPr>
        <w:ind w:left="851"/>
        <w:rPr>
          <w:noProof/>
          <w:sz w:val="24"/>
          <w:szCs w:val="24"/>
          <w:u w:val="single"/>
        </w:rPr>
      </w:pPr>
      <w:r w:rsidRPr="007849BA">
        <w:rPr>
          <w:noProof/>
          <w:sz w:val="24"/>
          <w:szCs w:val="24"/>
          <w:u w:val="single"/>
        </w:rPr>
        <w:t>Dosering</w:t>
      </w:r>
    </w:p>
    <w:p w14:paraId="19D184A5" w14:textId="77777777" w:rsidR="00295D2D" w:rsidRPr="007849BA" w:rsidRDefault="00295D2D" w:rsidP="00F4752A">
      <w:pPr>
        <w:ind w:left="851"/>
        <w:rPr>
          <w:noProof/>
          <w:sz w:val="24"/>
          <w:szCs w:val="24"/>
        </w:rPr>
      </w:pPr>
    </w:p>
    <w:p w14:paraId="15DA7401" w14:textId="77777777" w:rsidR="00295D2D" w:rsidRPr="007849BA" w:rsidRDefault="00295D2D" w:rsidP="00F4752A">
      <w:pPr>
        <w:ind w:left="851"/>
        <w:rPr>
          <w:noProof/>
          <w:sz w:val="24"/>
          <w:szCs w:val="24"/>
        </w:rPr>
      </w:pPr>
      <w:r w:rsidRPr="007849BA">
        <w:rPr>
          <w:noProof/>
          <w:sz w:val="24"/>
          <w:szCs w:val="24"/>
        </w:rPr>
        <w:t xml:space="preserve">Doseringsregimet bør tilpasses den enkelte patient  afhængigt af smerternes intensitet, erfaringer med tidligere behandling og muligheden for monitorering af patienten. </w:t>
      </w:r>
    </w:p>
    <w:p w14:paraId="78A0F778" w14:textId="77777777" w:rsidR="00295D2D" w:rsidRPr="007849BA" w:rsidRDefault="00295D2D" w:rsidP="00F4752A">
      <w:pPr>
        <w:ind w:left="851"/>
        <w:rPr>
          <w:noProof/>
          <w:sz w:val="24"/>
          <w:szCs w:val="24"/>
        </w:rPr>
      </w:pPr>
    </w:p>
    <w:p w14:paraId="52429DC5" w14:textId="77777777" w:rsidR="00295D2D" w:rsidRPr="007849BA" w:rsidRDefault="00295D2D" w:rsidP="00F4752A">
      <w:pPr>
        <w:ind w:left="851"/>
        <w:rPr>
          <w:i/>
          <w:iCs/>
          <w:noProof/>
          <w:sz w:val="24"/>
          <w:szCs w:val="24"/>
        </w:rPr>
      </w:pPr>
      <w:r w:rsidRPr="007849BA">
        <w:rPr>
          <w:i/>
          <w:iCs/>
          <w:noProof/>
          <w:sz w:val="24"/>
          <w:szCs w:val="24"/>
        </w:rPr>
        <w:lastRenderedPageBreak/>
        <w:t>Initiering af behandling</w:t>
      </w:r>
    </w:p>
    <w:p w14:paraId="60AB6D0D" w14:textId="77777777" w:rsidR="00295D2D" w:rsidRPr="007849BA" w:rsidRDefault="00295D2D" w:rsidP="00F4752A">
      <w:pPr>
        <w:ind w:left="851"/>
        <w:rPr>
          <w:sz w:val="24"/>
          <w:szCs w:val="24"/>
        </w:rPr>
      </w:pPr>
      <w:r w:rsidRPr="007849BA">
        <w:rPr>
          <w:noProof/>
          <w:sz w:val="24"/>
          <w:szCs w:val="24"/>
        </w:rPr>
        <w:t xml:space="preserve">Initiering af behandlingen hos patienter, der ikke tager opioide analgetika. Patienterne bør påbegynde behandlingen med enkeltdoser på 50 mg tapentadol som </w:t>
      </w:r>
      <w:r w:rsidRPr="007849BA">
        <w:rPr>
          <w:sz w:val="24"/>
          <w:szCs w:val="24"/>
        </w:rPr>
        <w:t xml:space="preserve">filmovertrukne tabletter hver 4. til 6. time. Der kan være behov for højere initialdoser afhængigt af smerteintensitet og patientens tidligere behov for </w:t>
      </w:r>
      <w:proofErr w:type="spellStart"/>
      <w:r w:rsidRPr="007849BA">
        <w:rPr>
          <w:sz w:val="24"/>
          <w:szCs w:val="24"/>
        </w:rPr>
        <w:t>analgetika</w:t>
      </w:r>
      <w:proofErr w:type="spellEnd"/>
      <w:r w:rsidRPr="007849BA">
        <w:rPr>
          <w:sz w:val="24"/>
          <w:szCs w:val="24"/>
        </w:rPr>
        <w:t xml:space="preserve">. </w:t>
      </w:r>
    </w:p>
    <w:p w14:paraId="2B836770" w14:textId="77777777" w:rsidR="00295D2D" w:rsidRPr="007849BA" w:rsidRDefault="00295D2D" w:rsidP="00F4752A">
      <w:pPr>
        <w:ind w:left="851"/>
        <w:rPr>
          <w:noProof/>
          <w:sz w:val="24"/>
          <w:szCs w:val="24"/>
        </w:rPr>
      </w:pPr>
    </w:p>
    <w:p w14:paraId="6B23F3C0" w14:textId="77777777" w:rsidR="00295D2D" w:rsidRPr="007849BA" w:rsidRDefault="00295D2D" w:rsidP="00F4752A">
      <w:pPr>
        <w:ind w:left="851"/>
        <w:rPr>
          <w:i/>
          <w:iCs/>
          <w:noProof/>
          <w:sz w:val="24"/>
          <w:szCs w:val="24"/>
        </w:rPr>
      </w:pPr>
      <w:r w:rsidRPr="007849BA">
        <w:rPr>
          <w:i/>
          <w:iCs/>
          <w:noProof/>
          <w:sz w:val="24"/>
          <w:szCs w:val="24"/>
        </w:rPr>
        <w:t>Titrering og vedligeholdelse</w:t>
      </w:r>
    </w:p>
    <w:p w14:paraId="5D4AF234" w14:textId="77777777" w:rsidR="00295D2D" w:rsidRPr="007849BA" w:rsidRDefault="00295D2D" w:rsidP="00F4752A">
      <w:pPr>
        <w:ind w:left="851"/>
        <w:rPr>
          <w:sz w:val="24"/>
          <w:szCs w:val="24"/>
        </w:rPr>
      </w:pPr>
      <w:r w:rsidRPr="007849BA">
        <w:rPr>
          <w:sz w:val="24"/>
          <w:szCs w:val="24"/>
        </w:rPr>
        <w:t xml:space="preserve">På den første behandlingsdag kan en ekstra dosis tages allerede én time efter den første dosis, hvis smertekontrol ikke opnås. Dosis bør derefter titreres individuelt til et niveau, der giver tilstrækkelig analgesi med et minimum af bivirkninger, under nøje overvågning af den ordinerende læge. </w:t>
      </w:r>
    </w:p>
    <w:p w14:paraId="1F3A8CA2" w14:textId="77777777" w:rsidR="00295D2D" w:rsidRPr="007849BA" w:rsidRDefault="00295D2D" w:rsidP="00F4752A">
      <w:pPr>
        <w:ind w:left="851"/>
        <w:rPr>
          <w:sz w:val="24"/>
          <w:szCs w:val="24"/>
        </w:rPr>
      </w:pPr>
      <w:bookmarkStart w:id="1" w:name="_msocom_2"/>
    </w:p>
    <w:p w14:paraId="2431F13B" w14:textId="77777777" w:rsidR="00295D2D" w:rsidRPr="007849BA" w:rsidRDefault="00295D2D" w:rsidP="00F4752A">
      <w:pPr>
        <w:ind w:left="851"/>
        <w:rPr>
          <w:sz w:val="24"/>
          <w:szCs w:val="24"/>
        </w:rPr>
      </w:pPr>
      <w:r w:rsidRPr="007849BA">
        <w:rPr>
          <w:sz w:val="24"/>
          <w:szCs w:val="24"/>
        </w:rPr>
        <w:t xml:space="preserve">Totale døgndoser over 700 mg </w:t>
      </w:r>
      <w:proofErr w:type="spellStart"/>
      <w:r w:rsidRPr="007849BA">
        <w:rPr>
          <w:sz w:val="24"/>
          <w:szCs w:val="24"/>
        </w:rPr>
        <w:t>tapentadol</w:t>
      </w:r>
      <w:proofErr w:type="spellEnd"/>
      <w:r w:rsidRPr="007849BA">
        <w:rPr>
          <w:sz w:val="24"/>
          <w:szCs w:val="24"/>
        </w:rPr>
        <w:t xml:space="preserve"> på den første behandlingsdag og vedligeholdelsesdøgndoser over 600 mg </w:t>
      </w:r>
      <w:proofErr w:type="spellStart"/>
      <w:r w:rsidRPr="007849BA">
        <w:rPr>
          <w:sz w:val="24"/>
          <w:szCs w:val="24"/>
        </w:rPr>
        <w:t>tapentadol</w:t>
      </w:r>
      <w:proofErr w:type="spellEnd"/>
      <w:r w:rsidRPr="007849BA">
        <w:rPr>
          <w:sz w:val="24"/>
          <w:szCs w:val="24"/>
        </w:rPr>
        <w:t xml:space="preserve"> er ikke blevet undersøgt og anbefales derfor ikke.</w:t>
      </w:r>
      <w:bookmarkEnd w:id="1"/>
    </w:p>
    <w:p w14:paraId="2B0017C3" w14:textId="77777777" w:rsidR="00295D2D" w:rsidRPr="007849BA" w:rsidRDefault="00295D2D" w:rsidP="00F4752A">
      <w:pPr>
        <w:ind w:left="851"/>
        <w:rPr>
          <w:noProof/>
          <w:sz w:val="24"/>
          <w:szCs w:val="24"/>
        </w:rPr>
      </w:pPr>
    </w:p>
    <w:p w14:paraId="3D9C5793" w14:textId="77777777" w:rsidR="00295D2D" w:rsidRPr="007849BA" w:rsidRDefault="00295D2D" w:rsidP="00F4752A">
      <w:pPr>
        <w:ind w:left="851"/>
        <w:rPr>
          <w:i/>
          <w:iCs/>
          <w:sz w:val="24"/>
          <w:szCs w:val="24"/>
        </w:rPr>
      </w:pPr>
      <w:r w:rsidRPr="007849BA">
        <w:rPr>
          <w:i/>
          <w:iCs/>
          <w:sz w:val="24"/>
          <w:szCs w:val="24"/>
        </w:rPr>
        <w:t>Behandlingens varighed</w:t>
      </w:r>
    </w:p>
    <w:p w14:paraId="31D88409" w14:textId="247AC171" w:rsidR="00295D2D" w:rsidRPr="007849BA" w:rsidRDefault="00295D2D" w:rsidP="00F4752A">
      <w:pPr>
        <w:ind w:left="851"/>
        <w:rPr>
          <w:sz w:val="24"/>
          <w:szCs w:val="24"/>
        </w:rPr>
      </w:pPr>
      <w:r w:rsidRPr="007849BA">
        <w:rPr>
          <w:sz w:val="24"/>
          <w:szCs w:val="24"/>
        </w:rPr>
        <w:t xml:space="preserve">De filmovertrukne tabletter er beregnet til lindring af akutte smerter. Hvis behandlingen forventes at være af længere varighed, eller hvis et sådant behov opstår, og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gav effektiv smertelindring uden uudholdelige bivirkninger, bør det overvejes at skifte patienten over til behandling med </w:t>
      </w:r>
      <w:proofErr w:type="spellStart"/>
      <w:r w:rsidRPr="007849BA">
        <w:rPr>
          <w:sz w:val="24"/>
          <w:szCs w:val="24"/>
        </w:rPr>
        <w:t>tapentadol</w:t>
      </w:r>
      <w:proofErr w:type="spellEnd"/>
      <w:r w:rsidRPr="007849BA">
        <w:rPr>
          <w:sz w:val="24"/>
          <w:szCs w:val="24"/>
        </w:rPr>
        <w:t xml:space="preserve"> depottabletter. Som ved al symptombehandling skal den fortsatte anvendelse af </w:t>
      </w:r>
      <w:proofErr w:type="spellStart"/>
      <w:r w:rsidRPr="007849BA">
        <w:rPr>
          <w:sz w:val="24"/>
          <w:szCs w:val="24"/>
        </w:rPr>
        <w:t>tapentadol</w:t>
      </w:r>
      <w:proofErr w:type="spellEnd"/>
      <w:r w:rsidRPr="007849BA">
        <w:rPr>
          <w:sz w:val="24"/>
          <w:szCs w:val="24"/>
        </w:rPr>
        <w:t xml:space="preserve"> evalueres løbende. </w:t>
      </w:r>
    </w:p>
    <w:p w14:paraId="5A4E1ABE" w14:textId="77777777" w:rsidR="00295D2D" w:rsidRPr="007849BA" w:rsidRDefault="00295D2D" w:rsidP="00F4752A">
      <w:pPr>
        <w:ind w:left="851"/>
        <w:rPr>
          <w:noProof/>
          <w:sz w:val="24"/>
          <w:szCs w:val="24"/>
        </w:rPr>
      </w:pPr>
    </w:p>
    <w:p w14:paraId="0164E430" w14:textId="77777777" w:rsidR="00295D2D" w:rsidRPr="007849BA" w:rsidRDefault="00295D2D" w:rsidP="00F4752A">
      <w:pPr>
        <w:ind w:left="851"/>
        <w:rPr>
          <w:i/>
          <w:iCs/>
          <w:sz w:val="24"/>
          <w:szCs w:val="24"/>
        </w:rPr>
      </w:pPr>
      <w:proofErr w:type="spellStart"/>
      <w:r w:rsidRPr="007849BA">
        <w:rPr>
          <w:i/>
          <w:iCs/>
          <w:sz w:val="24"/>
          <w:szCs w:val="24"/>
        </w:rPr>
        <w:t>Seponering</w:t>
      </w:r>
      <w:proofErr w:type="spellEnd"/>
      <w:r w:rsidRPr="007849BA">
        <w:rPr>
          <w:i/>
          <w:iCs/>
          <w:sz w:val="24"/>
          <w:szCs w:val="24"/>
        </w:rPr>
        <w:t xml:space="preserve"> af behandlingen</w:t>
      </w:r>
    </w:p>
    <w:p w14:paraId="1692ADE7" w14:textId="77777777" w:rsidR="00295D2D" w:rsidRPr="007849BA" w:rsidRDefault="00295D2D" w:rsidP="00F4752A">
      <w:pPr>
        <w:ind w:left="851"/>
        <w:rPr>
          <w:sz w:val="24"/>
          <w:szCs w:val="24"/>
        </w:rPr>
      </w:pPr>
      <w:r w:rsidRPr="007849BA">
        <w:rPr>
          <w:sz w:val="24"/>
          <w:szCs w:val="24"/>
        </w:rPr>
        <w:t xml:space="preserve">Der kan opstå </w:t>
      </w:r>
      <w:proofErr w:type="spellStart"/>
      <w:r w:rsidRPr="007849BA">
        <w:rPr>
          <w:sz w:val="24"/>
          <w:szCs w:val="24"/>
        </w:rPr>
        <w:t>seponeringssymptomer</w:t>
      </w:r>
      <w:proofErr w:type="spellEnd"/>
      <w:r w:rsidRPr="007849BA">
        <w:rPr>
          <w:sz w:val="24"/>
          <w:szCs w:val="24"/>
        </w:rPr>
        <w:t xml:space="preserve"> efter brat afbrydelse af behandling med </w:t>
      </w:r>
      <w:proofErr w:type="spellStart"/>
      <w:r w:rsidRPr="007849BA">
        <w:rPr>
          <w:sz w:val="24"/>
          <w:szCs w:val="24"/>
        </w:rPr>
        <w:t>tapentadol</w:t>
      </w:r>
      <w:proofErr w:type="spellEnd"/>
      <w:r w:rsidRPr="007849BA">
        <w:rPr>
          <w:sz w:val="24"/>
          <w:szCs w:val="24"/>
        </w:rPr>
        <w:t xml:space="preserve"> (se pkt. 4.8). Når patienten ikke længere har behov for behandling med </w:t>
      </w:r>
      <w:proofErr w:type="spellStart"/>
      <w:r w:rsidRPr="007849BA">
        <w:rPr>
          <w:sz w:val="24"/>
          <w:szCs w:val="24"/>
        </w:rPr>
        <w:t>tapentadol</w:t>
      </w:r>
      <w:proofErr w:type="spellEnd"/>
      <w:r w:rsidRPr="007849BA">
        <w:rPr>
          <w:sz w:val="24"/>
          <w:szCs w:val="24"/>
        </w:rPr>
        <w:t xml:space="preserve">, er det tilrådeligt med en gradvis nedtrapning af dosis for at forebygge </w:t>
      </w:r>
      <w:proofErr w:type="spellStart"/>
      <w:r w:rsidRPr="007849BA">
        <w:rPr>
          <w:sz w:val="24"/>
          <w:szCs w:val="24"/>
        </w:rPr>
        <w:t>seponeringssymptomer</w:t>
      </w:r>
      <w:proofErr w:type="spellEnd"/>
      <w:r w:rsidRPr="007849BA">
        <w:rPr>
          <w:sz w:val="24"/>
          <w:szCs w:val="24"/>
        </w:rPr>
        <w:t>.</w:t>
      </w:r>
    </w:p>
    <w:p w14:paraId="14262DB2" w14:textId="77777777" w:rsidR="00295D2D" w:rsidRPr="007849BA" w:rsidRDefault="00295D2D" w:rsidP="00F4752A">
      <w:pPr>
        <w:ind w:left="851"/>
        <w:rPr>
          <w:noProof/>
          <w:sz w:val="24"/>
          <w:szCs w:val="24"/>
        </w:rPr>
      </w:pPr>
    </w:p>
    <w:p w14:paraId="17B3BC2D" w14:textId="77777777" w:rsidR="00295D2D" w:rsidRPr="007849BA" w:rsidRDefault="00295D2D" w:rsidP="00F4752A">
      <w:pPr>
        <w:ind w:left="851"/>
        <w:rPr>
          <w:i/>
          <w:iCs/>
          <w:sz w:val="24"/>
          <w:szCs w:val="24"/>
        </w:rPr>
      </w:pPr>
      <w:r w:rsidRPr="007849BA">
        <w:rPr>
          <w:i/>
          <w:iCs/>
          <w:sz w:val="24"/>
          <w:szCs w:val="24"/>
        </w:rPr>
        <w:t>Nedsat nyrefunktion</w:t>
      </w:r>
    </w:p>
    <w:p w14:paraId="6546D683" w14:textId="77777777" w:rsidR="00295D2D" w:rsidRPr="007849BA" w:rsidRDefault="00295D2D" w:rsidP="00F4752A">
      <w:pPr>
        <w:ind w:left="851"/>
        <w:rPr>
          <w:sz w:val="24"/>
          <w:szCs w:val="24"/>
        </w:rPr>
      </w:pPr>
      <w:bookmarkStart w:id="2" w:name="OLE_LINK3"/>
      <w:bookmarkStart w:id="3" w:name="OLE_LINK4"/>
      <w:r w:rsidRPr="007849BA">
        <w:rPr>
          <w:sz w:val="24"/>
          <w:szCs w:val="24"/>
        </w:rPr>
        <w:t>Dosisjustering er ikke nødvendig hos patienter med let til moderat nedsat nyrefunktion (se pkt. 5.2).</w:t>
      </w:r>
    </w:p>
    <w:bookmarkEnd w:id="2"/>
    <w:bookmarkEnd w:id="3"/>
    <w:p w14:paraId="69A03EB6" w14:textId="77777777" w:rsidR="00295D2D" w:rsidRPr="007849BA" w:rsidRDefault="00295D2D" w:rsidP="00F4752A">
      <w:pPr>
        <w:ind w:left="851"/>
        <w:rPr>
          <w:sz w:val="24"/>
          <w:szCs w:val="24"/>
        </w:rPr>
      </w:pPr>
    </w:p>
    <w:p w14:paraId="4392A97A" w14:textId="1EC3F03C" w:rsidR="00295D2D" w:rsidRPr="007849BA" w:rsidRDefault="00295D2D" w:rsidP="00F4752A">
      <w:pPr>
        <w:ind w:left="851"/>
        <w:rPr>
          <w:sz w:val="24"/>
          <w:szCs w:val="24"/>
        </w:rPr>
      </w:pPr>
      <w:r w:rsidRPr="007849BA">
        <w:rPr>
          <w:sz w:val="24"/>
          <w:szCs w:val="24"/>
        </w:rPr>
        <w:t xml:space="preserve">Der er ikke udført kontrollerede effektundersøgelser med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hos patienter med alvorligt nedsat nyrefunktion, og præparatet bør derfor ikke anvendes til denne population (se pkt. 4.4 og 5.2).</w:t>
      </w:r>
    </w:p>
    <w:p w14:paraId="6C7C9398" w14:textId="77777777" w:rsidR="00295D2D" w:rsidRPr="007849BA" w:rsidRDefault="00295D2D" w:rsidP="00F4752A">
      <w:pPr>
        <w:ind w:left="851"/>
        <w:rPr>
          <w:noProof/>
          <w:sz w:val="24"/>
          <w:szCs w:val="24"/>
        </w:rPr>
      </w:pPr>
    </w:p>
    <w:p w14:paraId="02372C1A" w14:textId="77777777" w:rsidR="00295D2D" w:rsidRPr="007849BA" w:rsidRDefault="00295D2D" w:rsidP="00F4752A">
      <w:pPr>
        <w:ind w:left="851"/>
        <w:rPr>
          <w:i/>
          <w:iCs/>
          <w:sz w:val="24"/>
          <w:szCs w:val="24"/>
        </w:rPr>
      </w:pPr>
      <w:r w:rsidRPr="007849BA">
        <w:rPr>
          <w:i/>
          <w:iCs/>
          <w:sz w:val="24"/>
          <w:szCs w:val="24"/>
        </w:rPr>
        <w:t>Nedsat leverfunktion</w:t>
      </w:r>
    </w:p>
    <w:p w14:paraId="19A39AEB" w14:textId="77777777" w:rsidR="00295D2D" w:rsidRPr="007849BA" w:rsidRDefault="00295D2D" w:rsidP="00F4752A">
      <w:pPr>
        <w:ind w:left="851"/>
        <w:rPr>
          <w:sz w:val="24"/>
          <w:szCs w:val="24"/>
        </w:rPr>
      </w:pPr>
      <w:r w:rsidRPr="007849BA">
        <w:rPr>
          <w:sz w:val="24"/>
          <w:szCs w:val="24"/>
        </w:rPr>
        <w:t xml:space="preserve">Dosisjustering er ikke nødvendig hos patienter med let nedsat leverfunktion (se pkt. 5.2). </w:t>
      </w:r>
    </w:p>
    <w:p w14:paraId="347AE910" w14:textId="77777777" w:rsidR="00295D2D" w:rsidRPr="007849BA" w:rsidRDefault="00295D2D" w:rsidP="00F4752A">
      <w:pPr>
        <w:ind w:left="851"/>
        <w:rPr>
          <w:sz w:val="24"/>
          <w:szCs w:val="24"/>
        </w:rPr>
      </w:pPr>
    </w:p>
    <w:p w14:paraId="6A4BE46D" w14:textId="0CAD306E"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anvendes med forsigtighed til patienter med moderat nedsat leverfunktion. Behandling af denne patientpopulation bør indledes med den lavest tilgængelige dosis, som højst må tages hver 8. time. Ved start af behandlingen bør der ikke anvendes daglige doser højere end 150 mg </w:t>
      </w:r>
      <w:proofErr w:type="spellStart"/>
      <w:r w:rsidRPr="007849BA">
        <w:rPr>
          <w:sz w:val="24"/>
          <w:szCs w:val="24"/>
        </w:rPr>
        <w:t>tapentadol</w:t>
      </w:r>
      <w:proofErr w:type="spellEnd"/>
      <w:r w:rsidRPr="007849BA">
        <w:rPr>
          <w:sz w:val="24"/>
          <w:szCs w:val="24"/>
        </w:rPr>
        <w:t xml:space="preserve"> som filmovertrukne tabletter. Den videre behandling bør afspejle vedligeholdelse af analgesi med acceptabel </w:t>
      </w:r>
      <w:proofErr w:type="spellStart"/>
      <w:r w:rsidRPr="007849BA">
        <w:rPr>
          <w:sz w:val="24"/>
          <w:szCs w:val="24"/>
        </w:rPr>
        <w:t>tolerabilitet</w:t>
      </w:r>
      <w:proofErr w:type="spellEnd"/>
      <w:r w:rsidRPr="007849BA">
        <w:rPr>
          <w:sz w:val="24"/>
          <w:szCs w:val="24"/>
        </w:rPr>
        <w:t>, hvilket opnås ved enten at afkorte eller forlænge intervallet mellem doserne (se pkt. 4.4 og 5.2).</w:t>
      </w:r>
    </w:p>
    <w:p w14:paraId="7C870CB9" w14:textId="77777777" w:rsidR="00295D2D" w:rsidRPr="007849BA" w:rsidRDefault="00295D2D" w:rsidP="00F4752A">
      <w:pPr>
        <w:ind w:left="851"/>
        <w:rPr>
          <w:sz w:val="24"/>
          <w:szCs w:val="24"/>
        </w:rPr>
      </w:pPr>
    </w:p>
    <w:p w14:paraId="64002152" w14:textId="6A1C5D5B"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er ikke undersøgt hos patienter med alvorligt nedsat leverfunktion, og præparatet bør derfor ikke anvendes til denne population (se pkt. 4.4 og 5.2).</w:t>
      </w:r>
    </w:p>
    <w:p w14:paraId="740B3A67" w14:textId="77777777" w:rsidR="00295D2D" w:rsidRPr="007849BA" w:rsidRDefault="00295D2D" w:rsidP="00F4752A">
      <w:pPr>
        <w:ind w:left="851"/>
        <w:rPr>
          <w:noProof/>
          <w:sz w:val="24"/>
          <w:szCs w:val="24"/>
        </w:rPr>
      </w:pPr>
    </w:p>
    <w:p w14:paraId="6DCC65AB" w14:textId="77777777" w:rsidR="00295D2D" w:rsidRPr="007849BA" w:rsidRDefault="00295D2D" w:rsidP="00F4752A">
      <w:pPr>
        <w:ind w:left="851"/>
        <w:rPr>
          <w:i/>
          <w:iCs/>
          <w:noProof/>
          <w:sz w:val="24"/>
          <w:szCs w:val="24"/>
        </w:rPr>
      </w:pPr>
      <w:r w:rsidRPr="007849BA">
        <w:rPr>
          <w:i/>
          <w:iCs/>
          <w:noProof/>
          <w:sz w:val="24"/>
          <w:szCs w:val="24"/>
        </w:rPr>
        <w:lastRenderedPageBreak/>
        <w:t>Ældre patienter (personer på 65 år eller derover)</w:t>
      </w:r>
    </w:p>
    <w:p w14:paraId="556552D2" w14:textId="77777777" w:rsidR="00295D2D" w:rsidRPr="007849BA" w:rsidRDefault="00295D2D" w:rsidP="00F4752A">
      <w:pPr>
        <w:ind w:left="851"/>
        <w:rPr>
          <w:noProof/>
          <w:sz w:val="24"/>
          <w:szCs w:val="24"/>
        </w:rPr>
      </w:pPr>
      <w:r w:rsidRPr="007849BA">
        <w:rPr>
          <w:noProof/>
          <w:sz w:val="24"/>
          <w:szCs w:val="24"/>
        </w:rPr>
        <w:t>Generelt er det ikke nødvendigt at tilpasse dosis hos ældre patienter. Ældre patienter er dog mere tilbøjelige til at have nedsat nyre- og leverfunktion, og doseringen bør fastsættes omhyggeligt i henhold til anbefalingerne (se pkt. 4.4 og 5.2).</w:t>
      </w:r>
    </w:p>
    <w:p w14:paraId="2B272C50" w14:textId="77777777" w:rsidR="00295D2D" w:rsidRPr="007849BA" w:rsidRDefault="00295D2D" w:rsidP="00F4752A">
      <w:pPr>
        <w:ind w:left="851"/>
        <w:rPr>
          <w:noProof/>
          <w:sz w:val="24"/>
          <w:szCs w:val="24"/>
        </w:rPr>
      </w:pPr>
    </w:p>
    <w:p w14:paraId="18DBD3BA" w14:textId="77777777" w:rsidR="00295D2D" w:rsidRPr="007849BA" w:rsidRDefault="00295D2D" w:rsidP="00F4752A">
      <w:pPr>
        <w:ind w:left="851"/>
        <w:rPr>
          <w:noProof/>
          <w:sz w:val="24"/>
          <w:szCs w:val="24"/>
        </w:rPr>
      </w:pPr>
      <w:r w:rsidRPr="007849BA">
        <w:rPr>
          <w:i/>
          <w:noProof/>
          <w:sz w:val="24"/>
          <w:szCs w:val="24"/>
        </w:rPr>
        <w:t>Pædiatrisk population</w:t>
      </w:r>
    </w:p>
    <w:p w14:paraId="4456582B" w14:textId="7ED97018" w:rsidR="00295D2D" w:rsidRPr="007849BA" w:rsidRDefault="00295D2D" w:rsidP="00F4752A">
      <w:pPr>
        <w:ind w:left="851"/>
        <w:rPr>
          <w:noProof/>
          <w:sz w:val="24"/>
          <w:szCs w:val="24"/>
        </w:rPr>
      </w:pPr>
      <w:r w:rsidRPr="007849BA">
        <w:rPr>
          <w:sz w:val="24"/>
          <w:szCs w:val="24"/>
        </w:rPr>
        <w:t xml:space="preserve">Sikkerhed og virkning af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hos børn og unge under 18 år er endnu ikke klarlagt. Derfor anbefales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ikke til brug i denne population. </w:t>
      </w:r>
    </w:p>
    <w:p w14:paraId="3F813C0B" w14:textId="77777777" w:rsidR="00295D2D" w:rsidRPr="007849BA" w:rsidRDefault="00295D2D" w:rsidP="00F4752A">
      <w:pPr>
        <w:ind w:left="851"/>
        <w:rPr>
          <w:sz w:val="24"/>
          <w:szCs w:val="24"/>
        </w:rPr>
      </w:pPr>
    </w:p>
    <w:p w14:paraId="5BE94457" w14:textId="77777777" w:rsidR="00295D2D" w:rsidRPr="007849BA" w:rsidRDefault="00295D2D" w:rsidP="00F4752A">
      <w:pPr>
        <w:ind w:left="851"/>
        <w:rPr>
          <w:sz w:val="24"/>
          <w:szCs w:val="24"/>
          <w:u w:val="single"/>
        </w:rPr>
      </w:pPr>
      <w:r w:rsidRPr="007849BA">
        <w:rPr>
          <w:sz w:val="24"/>
          <w:szCs w:val="24"/>
          <w:u w:val="single"/>
        </w:rPr>
        <w:t>Administration</w:t>
      </w:r>
    </w:p>
    <w:p w14:paraId="1EEFAF59" w14:textId="695A51F8" w:rsidR="00295D2D" w:rsidRPr="007849BA" w:rsidRDefault="00295D2D" w:rsidP="00F4752A">
      <w:pPr>
        <w:ind w:left="851"/>
        <w:rPr>
          <w:noProof/>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tages med rigelig væske.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kan tages alene eller i forbindelse med et måltid.</w:t>
      </w:r>
    </w:p>
    <w:p w14:paraId="1A797374" w14:textId="77777777" w:rsidR="009260DE" w:rsidRPr="007849BA" w:rsidRDefault="009260DE" w:rsidP="009260DE">
      <w:pPr>
        <w:tabs>
          <w:tab w:val="left" w:pos="851"/>
        </w:tabs>
        <w:ind w:left="851"/>
        <w:rPr>
          <w:sz w:val="24"/>
          <w:szCs w:val="24"/>
        </w:rPr>
      </w:pPr>
    </w:p>
    <w:p w14:paraId="404ED87F" w14:textId="77777777" w:rsidR="009260DE" w:rsidRPr="007849BA" w:rsidRDefault="009260DE" w:rsidP="009260DE">
      <w:pPr>
        <w:tabs>
          <w:tab w:val="left" w:pos="851"/>
        </w:tabs>
        <w:ind w:left="851" w:hanging="851"/>
        <w:rPr>
          <w:b/>
          <w:sz w:val="24"/>
          <w:szCs w:val="24"/>
        </w:rPr>
      </w:pPr>
      <w:r w:rsidRPr="007849BA">
        <w:rPr>
          <w:b/>
          <w:sz w:val="24"/>
          <w:szCs w:val="24"/>
        </w:rPr>
        <w:t>4.3</w:t>
      </w:r>
      <w:r w:rsidRPr="007849BA">
        <w:rPr>
          <w:b/>
          <w:sz w:val="24"/>
          <w:szCs w:val="24"/>
        </w:rPr>
        <w:tab/>
        <w:t>Kontraindikationer</w:t>
      </w:r>
    </w:p>
    <w:p w14:paraId="2D3E0DAA" w14:textId="4097EF10"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er kontraindiceret</w:t>
      </w:r>
    </w:p>
    <w:p w14:paraId="409F0AB9" w14:textId="77777777" w:rsidR="00295D2D" w:rsidRPr="007849BA" w:rsidRDefault="00295D2D" w:rsidP="00F4752A">
      <w:pPr>
        <w:ind w:left="851"/>
        <w:rPr>
          <w:sz w:val="24"/>
          <w:szCs w:val="24"/>
        </w:rPr>
      </w:pPr>
    </w:p>
    <w:p w14:paraId="306B3E7D" w14:textId="77777777" w:rsidR="00295D2D" w:rsidRPr="007849BA" w:rsidRDefault="00295D2D" w:rsidP="00F4752A">
      <w:pPr>
        <w:pStyle w:val="Listeafsnit"/>
        <w:numPr>
          <w:ilvl w:val="0"/>
          <w:numId w:val="8"/>
        </w:numPr>
        <w:ind w:left="1276" w:hanging="425"/>
        <w:rPr>
          <w:noProof/>
          <w:sz w:val="24"/>
          <w:szCs w:val="24"/>
        </w:rPr>
      </w:pPr>
      <w:r w:rsidRPr="007849BA">
        <w:rPr>
          <w:sz w:val="24"/>
          <w:szCs w:val="24"/>
        </w:rPr>
        <w:t xml:space="preserve">hos patienter med overfølsomhed over for </w:t>
      </w:r>
      <w:proofErr w:type="spellStart"/>
      <w:r w:rsidRPr="007849BA">
        <w:rPr>
          <w:sz w:val="24"/>
          <w:szCs w:val="24"/>
        </w:rPr>
        <w:t>tapentadol</w:t>
      </w:r>
      <w:proofErr w:type="spellEnd"/>
      <w:r w:rsidRPr="007849BA">
        <w:rPr>
          <w:sz w:val="24"/>
          <w:szCs w:val="24"/>
        </w:rPr>
        <w:t xml:space="preserve"> eller over for et eller flere af hjælpestofferne anført i pkt. 6.1.</w:t>
      </w:r>
      <w:r w:rsidRPr="007849BA">
        <w:rPr>
          <w:noProof/>
          <w:sz w:val="24"/>
          <w:szCs w:val="24"/>
        </w:rPr>
        <w:t xml:space="preserve"> </w:t>
      </w:r>
    </w:p>
    <w:p w14:paraId="1D490EBD" w14:textId="77777777" w:rsidR="00295D2D" w:rsidRPr="007849BA" w:rsidRDefault="00295D2D" w:rsidP="00F4752A">
      <w:pPr>
        <w:pStyle w:val="Listeafsnit"/>
        <w:numPr>
          <w:ilvl w:val="0"/>
          <w:numId w:val="8"/>
        </w:numPr>
        <w:ind w:left="1276" w:hanging="425"/>
        <w:rPr>
          <w:noProof/>
          <w:sz w:val="24"/>
          <w:szCs w:val="24"/>
        </w:rPr>
      </w:pPr>
      <w:r w:rsidRPr="007849BA">
        <w:rPr>
          <w:noProof/>
          <w:sz w:val="24"/>
          <w:szCs w:val="24"/>
        </w:rPr>
        <w:t xml:space="preserve">i situationer, hvor aktive stoffer med agonistisk virkning på µ-opioidreceptorer er kontraindiceret, dvs. hos patienter med betydelig respirationsdepression (i omgivelser uden monitorering eller ved fravær af genoplivningsudstyr), og patienter med akut eller alvorlig astmatisk bronkitis eller hyperkapni </w:t>
      </w:r>
    </w:p>
    <w:p w14:paraId="16C72D86" w14:textId="77777777" w:rsidR="00295D2D" w:rsidRPr="007849BA" w:rsidRDefault="00295D2D" w:rsidP="00F4752A">
      <w:pPr>
        <w:pStyle w:val="Listeafsnit"/>
        <w:numPr>
          <w:ilvl w:val="0"/>
          <w:numId w:val="8"/>
        </w:numPr>
        <w:ind w:left="1276" w:hanging="425"/>
        <w:rPr>
          <w:noProof/>
          <w:sz w:val="24"/>
          <w:szCs w:val="24"/>
        </w:rPr>
      </w:pPr>
      <w:r w:rsidRPr="007849BA">
        <w:rPr>
          <w:noProof/>
          <w:sz w:val="24"/>
          <w:szCs w:val="24"/>
        </w:rPr>
        <w:t>hos enhver patient, der har eller er mistænkt for at have paralytisk ileus</w:t>
      </w:r>
    </w:p>
    <w:p w14:paraId="722A1E61" w14:textId="77777777" w:rsidR="00295D2D" w:rsidRPr="007849BA" w:rsidRDefault="00295D2D" w:rsidP="00F4752A">
      <w:pPr>
        <w:pStyle w:val="Listeafsnit"/>
        <w:numPr>
          <w:ilvl w:val="0"/>
          <w:numId w:val="8"/>
        </w:numPr>
        <w:ind w:left="1276" w:hanging="425"/>
        <w:rPr>
          <w:noProof/>
          <w:sz w:val="24"/>
          <w:szCs w:val="24"/>
        </w:rPr>
      </w:pPr>
      <w:r w:rsidRPr="007849BA">
        <w:rPr>
          <w:noProof/>
          <w:sz w:val="24"/>
          <w:szCs w:val="24"/>
        </w:rPr>
        <w:t>hos patienter med akut intoksikation med alkohol, hypnotika, analgetika med central virkning eller psykofarmaka (se pkt. 4.5).</w:t>
      </w:r>
    </w:p>
    <w:p w14:paraId="0B61AAF2" w14:textId="77777777" w:rsidR="009260DE" w:rsidRPr="007849BA" w:rsidRDefault="009260DE" w:rsidP="009260DE">
      <w:pPr>
        <w:tabs>
          <w:tab w:val="left" w:pos="851"/>
        </w:tabs>
        <w:ind w:left="851"/>
        <w:rPr>
          <w:sz w:val="24"/>
          <w:szCs w:val="24"/>
        </w:rPr>
      </w:pPr>
    </w:p>
    <w:p w14:paraId="3CE7BF89" w14:textId="77777777" w:rsidR="009260DE" w:rsidRPr="007849BA" w:rsidRDefault="009260DE" w:rsidP="009260DE">
      <w:pPr>
        <w:tabs>
          <w:tab w:val="left" w:pos="851"/>
        </w:tabs>
        <w:ind w:left="851" w:hanging="851"/>
        <w:rPr>
          <w:b/>
          <w:sz w:val="24"/>
          <w:szCs w:val="24"/>
        </w:rPr>
      </w:pPr>
      <w:r w:rsidRPr="007849BA">
        <w:rPr>
          <w:b/>
          <w:sz w:val="24"/>
          <w:szCs w:val="24"/>
        </w:rPr>
        <w:t>4.4</w:t>
      </w:r>
      <w:r w:rsidRPr="007849BA">
        <w:rPr>
          <w:b/>
          <w:sz w:val="24"/>
          <w:szCs w:val="24"/>
        </w:rPr>
        <w:tab/>
        <w:t>Særlige advarsler og forsigtighedsregler vedrørende brugen</w:t>
      </w:r>
    </w:p>
    <w:p w14:paraId="113131A4" w14:textId="77777777" w:rsidR="00F4752A" w:rsidRPr="007849BA" w:rsidRDefault="00F4752A" w:rsidP="00F4752A">
      <w:pPr>
        <w:ind w:left="851"/>
        <w:rPr>
          <w:sz w:val="24"/>
          <w:szCs w:val="24"/>
        </w:rPr>
      </w:pPr>
    </w:p>
    <w:p w14:paraId="4D8002FD" w14:textId="72F08BD4" w:rsidR="00295D2D" w:rsidRPr="007849BA" w:rsidRDefault="00295D2D" w:rsidP="00F4752A">
      <w:pPr>
        <w:ind w:left="851"/>
        <w:rPr>
          <w:i/>
          <w:sz w:val="24"/>
          <w:szCs w:val="24"/>
        </w:rPr>
      </w:pPr>
      <w:r w:rsidRPr="007849BA">
        <w:rPr>
          <w:i/>
          <w:sz w:val="24"/>
          <w:szCs w:val="24"/>
        </w:rPr>
        <w:t xml:space="preserve">Tolerance og Opioid </w:t>
      </w:r>
      <w:proofErr w:type="spellStart"/>
      <w:r w:rsidRPr="007849BA">
        <w:rPr>
          <w:i/>
          <w:sz w:val="24"/>
          <w:szCs w:val="24"/>
        </w:rPr>
        <w:t>Use</w:t>
      </w:r>
      <w:proofErr w:type="spellEnd"/>
      <w:r w:rsidRPr="007849BA">
        <w:rPr>
          <w:i/>
          <w:sz w:val="24"/>
          <w:szCs w:val="24"/>
        </w:rPr>
        <w:t xml:space="preserve"> </w:t>
      </w:r>
      <w:proofErr w:type="spellStart"/>
      <w:r w:rsidRPr="007849BA">
        <w:rPr>
          <w:i/>
          <w:sz w:val="24"/>
          <w:szCs w:val="24"/>
        </w:rPr>
        <w:t>Disorder</w:t>
      </w:r>
      <w:proofErr w:type="spellEnd"/>
      <w:r w:rsidRPr="007849BA">
        <w:rPr>
          <w:i/>
          <w:sz w:val="24"/>
          <w:szCs w:val="24"/>
        </w:rPr>
        <w:t xml:space="preserve"> (misbrug og afhængighed)</w:t>
      </w:r>
    </w:p>
    <w:p w14:paraId="42FF7D26" w14:textId="77777777" w:rsidR="00295D2D" w:rsidRPr="007849BA" w:rsidRDefault="00295D2D" w:rsidP="00F4752A">
      <w:pPr>
        <w:ind w:left="851"/>
        <w:rPr>
          <w:noProof/>
          <w:sz w:val="24"/>
          <w:szCs w:val="24"/>
        </w:rPr>
      </w:pPr>
      <w:r w:rsidRPr="007849BA">
        <w:rPr>
          <w:noProof/>
          <w:sz w:val="24"/>
          <w:szCs w:val="24"/>
        </w:rPr>
        <w:t>Tolerance, fysisk og psykologisk afhængighed og Opioid Use Disorder (OUD) kan udvikles ved gentagen administration af opioider. Misbrug eller bevidst forkert brug af opioider kan resultere i overdosering og/eller dødsfald.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 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5E710174" w14:textId="77777777" w:rsidR="00295D2D" w:rsidRPr="007849BA" w:rsidRDefault="00295D2D" w:rsidP="00F4752A">
      <w:pPr>
        <w:ind w:left="851"/>
        <w:rPr>
          <w:noProof/>
          <w:sz w:val="24"/>
          <w:szCs w:val="24"/>
        </w:rPr>
      </w:pPr>
    </w:p>
    <w:p w14:paraId="3051B980" w14:textId="77777777" w:rsidR="00295D2D" w:rsidRPr="007849BA" w:rsidRDefault="00295D2D" w:rsidP="00F4752A">
      <w:pPr>
        <w:ind w:left="851"/>
        <w:rPr>
          <w:rFonts w:eastAsia="SimSun"/>
          <w:i/>
          <w:sz w:val="24"/>
          <w:szCs w:val="24"/>
        </w:rPr>
      </w:pPr>
      <w:r w:rsidRPr="007849BA">
        <w:rPr>
          <w:rFonts w:eastAsia="SimSun"/>
          <w:i/>
          <w:sz w:val="24"/>
          <w:szCs w:val="24"/>
        </w:rPr>
        <w:t xml:space="preserve">Risiko forbundet med samtidig brug af </w:t>
      </w:r>
      <w:proofErr w:type="spellStart"/>
      <w:r w:rsidRPr="007849BA">
        <w:rPr>
          <w:rFonts w:eastAsia="SimSun"/>
          <w:i/>
          <w:sz w:val="24"/>
          <w:szCs w:val="24"/>
        </w:rPr>
        <w:t>sedativa</w:t>
      </w:r>
      <w:proofErr w:type="spellEnd"/>
      <w:r w:rsidRPr="007849BA">
        <w:rPr>
          <w:rFonts w:eastAsia="SimSun"/>
          <w:i/>
          <w:sz w:val="24"/>
          <w:szCs w:val="24"/>
        </w:rPr>
        <w:t xml:space="preserve"> herunder benzodiazepiner eller lignende lægemidler</w:t>
      </w:r>
    </w:p>
    <w:p w14:paraId="4A462EBA" w14:textId="5F14A2A1" w:rsidR="00295D2D" w:rsidRPr="007849BA" w:rsidRDefault="00295D2D" w:rsidP="00F4752A">
      <w:pPr>
        <w:ind w:left="851"/>
        <w:rPr>
          <w:rFonts w:eastAsia="SimSun"/>
          <w:sz w:val="24"/>
          <w:szCs w:val="24"/>
        </w:rPr>
      </w:pPr>
      <w:r w:rsidRPr="007849BA">
        <w:rPr>
          <w:rFonts w:eastAsia="SimSun"/>
          <w:sz w:val="24"/>
          <w:szCs w:val="24"/>
        </w:rPr>
        <w:t xml:space="preserve">Samtidig brug af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w:t>
      </w:r>
      <w:r w:rsidRPr="007849BA">
        <w:rPr>
          <w:rFonts w:eastAsia="SimSun"/>
          <w:sz w:val="24"/>
          <w:szCs w:val="24"/>
        </w:rPr>
        <w:t xml:space="preserve">og </w:t>
      </w:r>
      <w:proofErr w:type="spellStart"/>
      <w:r w:rsidRPr="007849BA">
        <w:rPr>
          <w:rFonts w:eastAsia="SimSun"/>
          <w:sz w:val="24"/>
          <w:szCs w:val="24"/>
        </w:rPr>
        <w:t>sedativa</w:t>
      </w:r>
      <w:proofErr w:type="spellEnd"/>
      <w:r w:rsidRPr="007849BA">
        <w:rPr>
          <w:rFonts w:eastAsia="SimSun"/>
          <w:sz w:val="24"/>
          <w:szCs w:val="24"/>
        </w:rPr>
        <w:t xml:space="preserve">, herunder benzodiazepiner eller lignende lægemidler, kan føre til sedation, respirationsdepression, koma og dødsfald. På grund af disse risici bør samtidig ordination af </w:t>
      </w:r>
      <w:proofErr w:type="spellStart"/>
      <w:r w:rsidRPr="007849BA">
        <w:rPr>
          <w:rFonts w:eastAsia="SimSun"/>
          <w:sz w:val="24"/>
          <w:szCs w:val="24"/>
        </w:rPr>
        <w:t>sedativa</w:t>
      </w:r>
      <w:proofErr w:type="spellEnd"/>
      <w:r w:rsidRPr="007849BA">
        <w:rPr>
          <w:rFonts w:eastAsia="SimSun"/>
          <w:sz w:val="24"/>
          <w:szCs w:val="24"/>
        </w:rPr>
        <w:t xml:space="preserve"> forbeholdes patienter, som ikke har alternative behandlingsmuligheder. Hvis det besluttes at ordinere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w:t>
      </w:r>
      <w:r w:rsidRPr="007849BA">
        <w:rPr>
          <w:rFonts w:eastAsia="SimSun"/>
          <w:sz w:val="24"/>
          <w:szCs w:val="24"/>
        </w:rPr>
        <w:t xml:space="preserve">samtidig med </w:t>
      </w:r>
      <w:proofErr w:type="spellStart"/>
      <w:r w:rsidRPr="007849BA">
        <w:rPr>
          <w:rFonts w:eastAsia="SimSun"/>
          <w:sz w:val="24"/>
          <w:szCs w:val="24"/>
        </w:rPr>
        <w:t>sedativa</w:t>
      </w:r>
      <w:proofErr w:type="spellEnd"/>
      <w:r w:rsidRPr="007849BA">
        <w:rPr>
          <w:rFonts w:eastAsia="SimSun"/>
          <w:sz w:val="24"/>
          <w:szCs w:val="24"/>
        </w:rPr>
        <w:t xml:space="preserve">, bør en reduktion af dosis for et eller begge lægemidler overvejes, og varigheden af den samtidige behandling skal være så kort som muligt. </w:t>
      </w:r>
    </w:p>
    <w:p w14:paraId="017B7D80" w14:textId="77777777" w:rsidR="00295D2D" w:rsidRPr="007849BA" w:rsidRDefault="00295D2D" w:rsidP="00F4752A">
      <w:pPr>
        <w:ind w:left="851"/>
        <w:rPr>
          <w:rFonts w:eastAsia="SimSun"/>
          <w:sz w:val="24"/>
          <w:szCs w:val="24"/>
        </w:rPr>
      </w:pPr>
    </w:p>
    <w:p w14:paraId="798A4880" w14:textId="77777777" w:rsidR="00295D2D" w:rsidRPr="007849BA" w:rsidRDefault="00295D2D" w:rsidP="00F4752A">
      <w:pPr>
        <w:ind w:left="851"/>
        <w:rPr>
          <w:rFonts w:eastAsia="SimSun"/>
          <w:sz w:val="24"/>
          <w:szCs w:val="24"/>
        </w:rPr>
      </w:pPr>
      <w:r w:rsidRPr="007849BA">
        <w:rPr>
          <w:rFonts w:eastAsia="SimSun"/>
          <w:sz w:val="24"/>
          <w:szCs w:val="24"/>
        </w:rPr>
        <w:lastRenderedPageBreak/>
        <w:t>Patienterne skal overvåges nøje for tegn og symptomer på respirationsdepression og sedation. I denne henseende anbefales det på det kraftigste at informere patienter og omsorgspersoner om at være opmærksomme på disse symptomer (se pkt. 4.5).</w:t>
      </w:r>
    </w:p>
    <w:p w14:paraId="490C4EC3" w14:textId="77777777" w:rsidR="00295D2D" w:rsidRPr="007849BA" w:rsidRDefault="00295D2D" w:rsidP="00F4752A">
      <w:pPr>
        <w:ind w:left="851"/>
        <w:rPr>
          <w:rFonts w:eastAsia="SimSun"/>
          <w:sz w:val="24"/>
          <w:szCs w:val="24"/>
        </w:rPr>
      </w:pPr>
    </w:p>
    <w:p w14:paraId="78366262" w14:textId="77777777" w:rsidR="00295D2D" w:rsidRPr="007849BA" w:rsidRDefault="00295D2D" w:rsidP="00F4752A">
      <w:pPr>
        <w:ind w:left="851"/>
        <w:rPr>
          <w:i/>
          <w:sz w:val="24"/>
          <w:szCs w:val="24"/>
        </w:rPr>
      </w:pPr>
      <w:r w:rsidRPr="007849BA">
        <w:rPr>
          <w:i/>
          <w:sz w:val="24"/>
          <w:szCs w:val="24"/>
        </w:rPr>
        <w:t>Respirationsdepression</w:t>
      </w:r>
    </w:p>
    <w:p w14:paraId="596937BF" w14:textId="49347BD3"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kan give dosisrelateret respirationsdepression i høje doser eller hos patienter, der er særlig følsomme over for µ-opioidagonister. Derfor skal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anvendes med forsigtighed til patienter med nedsat åndedrætsfunktion. Andre former for </w:t>
      </w:r>
      <w:proofErr w:type="spellStart"/>
      <w:r w:rsidRPr="007849BA">
        <w:rPr>
          <w:sz w:val="24"/>
          <w:szCs w:val="24"/>
        </w:rPr>
        <w:t>analgetika</w:t>
      </w:r>
      <w:proofErr w:type="spellEnd"/>
      <w:r w:rsidRPr="007849BA">
        <w:rPr>
          <w:sz w:val="24"/>
          <w:szCs w:val="24"/>
        </w:rPr>
        <w:t xml:space="preserve"> end µ-opioidagonister bør overvejes, og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må kun anvendes under tæt lægetilsyn og i den laveste virksomme dosis hos disse patienter. I tilfælde af respirationsdepression skal det behandles som alle andre tilfælde af respirations</w:t>
      </w:r>
      <w:r w:rsidRPr="007849BA">
        <w:rPr>
          <w:sz w:val="24"/>
          <w:szCs w:val="24"/>
        </w:rPr>
        <w:softHyphen/>
        <w:t>depression, der skyldes en µ-opioidagonist (se pkt. 4.9).</w:t>
      </w:r>
    </w:p>
    <w:p w14:paraId="348C74D4" w14:textId="77777777" w:rsidR="00295D2D" w:rsidRPr="007849BA" w:rsidRDefault="00295D2D" w:rsidP="00F4752A">
      <w:pPr>
        <w:ind w:left="851"/>
        <w:rPr>
          <w:sz w:val="24"/>
          <w:szCs w:val="24"/>
          <w:lang w:eastAsia="en-GB"/>
        </w:rPr>
      </w:pPr>
    </w:p>
    <w:p w14:paraId="0B6AA5B6" w14:textId="77777777" w:rsidR="00295D2D" w:rsidRPr="007849BA" w:rsidRDefault="00295D2D" w:rsidP="00F4752A">
      <w:pPr>
        <w:ind w:left="851"/>
        <w:rPr>
          <w:i/>
          <w:sz w:val="24"/>
          <w:szCs w:val="24"/>
        </w:rPr>
      </w:pPr>
      <w:r w:rsidRPr="007849BA">
        <w:rPr>
          <w:i/>
          <w:sz w:val="24"/>
          <w:szCs w:val="24"/>
        </w:rPr>
        <w:t xml:space="preserve">Kranietraume og forhøjet </w:t>
      </w:r>
      <w:proofErr w:type="spellStart"/>
      <w:r w:rsidRPr="007849BA">
        <w:rPr>
          <w:i/>
          <w:sz w:val="24"/>
          <w:szCs w:val="24"/>
        </w:rPr>
        <w:t>intrakranielt</w:t>
      </w:r>
      <w:proofErr w:type="spellEnd"/>
      <w:r w:rsidRPr="007849BA">
        <w:rPr>
          <w:i/>
          <w:sz w:val="24"/>
          <w:szCs w:val="24"/>
        </w:rPr>
        <w:t xml:space="preserve"> tryk</w:t>
      </w:r>
    </w:p>
    <w:p w14:paraId="1563EF8B" w14:textId="34ECEA9C" w:rsidR="00295D2D" w:rsidRPr="007849BA" w:rsidRDefault="00295D2D" w:rsidP="00F4752A">
      <w:pPr>
        <w:ind w:left="851"/>
        <w:rPr>
          <w:sz w:val="24"/>
          <w:szCs w:val="24"/>
        </w:rPr>
      </w:pPr>
      <w:bookmarkStart w:id="4" w:name="OLE_LINK13"/>
      <w:bookmarkStart w:id="5" w:name="OLE_LINK14"/>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må ikke anvendes til patienter, som kan være særligt følsomme over for de </w:t>
      </w:r>
      <w:proofErr w:type="spellStart"/>
      <w:r w:rsidRPr="007849BA">
        <w:rPr>
          <w:sz w:val="24"/>
          <w:szCs w:val="24"/>
        </w:rPr>
        <w:t>intrakranielle</w:t>
      </w:r>
      <w:proofErr w:type="spellEnd"/>
      <w:r w:rsidRPr="007849BA">
        <w:rPr>
          <w:sz w:val="24"/>
          <w:szCs w:val="24"/>
        </w:rPr>
        <w:t xml:space="preserve"> virkninger af kuldioxidretention såsom patienter med dokumenteret øget </w:t>
      </w:r>
      <w:proofErr w:type="spellStart"/>
      <w:r w:rsidRPr="007849BA">
        <w:rPr>
          <w:sz w:val="24"/>
          <w:szCs w:val="24"/>
        </w:rPr>
        <w:t>intrakranielt</w:t>
      </w:r>
      <w:proofErr w:type="spellEnd"/>
      <w:r w:rsidRPr="007849BA">
        <w:rPr>
          <w:sz w:val="24"/>
          <w:szCs w:val="24"/>
        </w:rPr>
        <w:t xml:space="preserve"> tryk, nedsat bevidsthedsniveau eller koma. </w:t>
      </w:r>
      <w:proofErr w:type="spellStart"/>
      <w:r w:rsidRPr="007849BA">
        <w:rPr>
          <w:sz w:val="24"/>
          <w:szCs w:val="24"/>
        </w:rPr>
        <w:t>Analgetika</w:t>
      </w:r>
      <w:proofErr w:type="spellEnd"/>
      <w:r w:rsidRPr="007849BA">
        <w:rPr>
          <w:sz w:val="24"/>
          <w:szCs w:val="24"/>
        </w:rPr>
        <w:t xml:space="preserve"> med </w:t>
      </w:r>
      <w:proofErr w:type="spellStart"/>
      <w:r w:rsidRPr="007849BA">
        <w:rPr>
          <w:sz w:val="24"/>
          <w:szCs w:val="24"/>
        </w:rPr>
        <w:t>agonistisk</w:t>
      </w:r>
      <w:proofErr w:type="spellEnd"/>
      <w:r w:rsidRPr="007849BA">
        <w:rPr>
          <w:sz w:val="24"/>
          <w:szCs w:val="24"/>
        </w:rPr>
        <w:t xml:space="preserve"> påvirkning af µ-opioidreceptorer kan skjule det kliniske forløb hos patienter med kranietraumer.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anvendes med forsigtighed til patienter med kranietraumer og hjernetumorer.</w:t>
      </w:r>
    </w:p>
    <w:bookmarkEnd w:id="4"/>
    <w:bookmarkEnd w:id="5"/>
    <w:p w14:paraId="35E9525B" w14:textId="77777777" w:rsidR="00295D2D" w:rsidRPr="007849BA" w:rsidRDefault="00295D2D" w:rsidP="00F4752A">
      <w:pPr>
        <w:ind w:left="851"/>
        <w:rPr>
          <w:sz w:val="24"/>
          <w:szCs w:val="24"/>
        </w:rPr>
      </w:pPr>
    </w:p>
    <w:p w14:paraId="53094300" w14:textId="77777777" w:rsidR="00295D2D" w:rsidRPr="007849BA" w:rsidRDefault="00295D2D" w:rsidP="00F4752A">
      <w:pPr>
        <w:ind w:left="851"/>
        <w:rPr>
          <w:i/>
          <w:sz w:val="24"/>
          <w:szCs w:val="24"/>
        </w:rPr>
      </w:pPr>
      <w:r w:rsidRPr="007849BA">
        <w:rPr>
          <w:i/>
          <w:sz w:val="24"/>
          <w:szCs w:val="24"/>
        </w:rPr>
        <w:t>Krampeanfald</w:t>
      </w:r>
    </w:p>
    <w:p w14:paraId="255C3DF4" w14:textId="47E3C933" w:rsidR="00295D2D" w:rsidRPr="007849BA" w:rsidRDefault="00295D2D" w:rsidP="00F4752A">
      <w:pPr>
        <w:ind w:left="851"/>
        <w:rPr>
          <w:sz w:val="24"/>
          <w:szCs w:val="24"/>
        </w:rPr>
      </w:pPr>
      <w:bookmarkStart w:id="6" w:name="OLE_LINK18"/>
      <w:bookmarkStart w:id="7" w:name="OLE_LINK17"/>
      <w:bookmarkStart w:id="8" w:name="OLE_LINK16"/>
      <w:bookmarkStart w:id="9" w:name="OLE_LINK15"/>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er ikke evalueret systematisk hos patienter med krampeanfald, og disse patienter var ekskluderet fra kliniske studier. Som andre </w:t>
      </w:r>
      <w:proofErr w:type="spellStart"/>
      <w:r w:rsidRPr="007849BA">
        <w:rPr>
          <w:sz w:val="24"/>
          <w:szCs w:val="24"/>
        </w:rPr>
        <w:t>analgetika</w:t>
      </w:r>
      <w:proofErr w:type="spellEnd"/>
      <w:r w:rsidRPr="007849BA">
        <w:rPr>
          <w:sz w:val="24"/>
          <w:szCs w:val="24"/>
        </w:rPr>
        <w:t xml:space="preserve"> med µ-</w:t>
      </w:r>
      <w:proofErr w:type="spellStart"/>
      <w:r w:rsidRPr="007849BA">
        <w:rPr>
          <w:sz w:val="24"/>
          <w:szCs w:val="24"/>
        </w:rPr>
        <w:t>opioidagonistisk</w:t>
      </w:r>
      <w:proofErr w:type="spellEnd"/>
      <w:r w:rsidRPr="007849BA">
        <w:rPr>
          <w:sz w:val="24"/>
          <w:szCs w:val="24"/>
        </w:rPr>
        <w:t xml:space="preserve"> virkning bør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ikke anvendes til patienter med krampeanfald i anamnesen eller lidelser, der indebærer en risiko for krampeanfald. </w:t>
      </w:r>
      <w:proofErr w:type="spellStart"/>
      <w:r w:rsidRPr="007849BA">
        <w:rPr>
          <w:spacing w:val="-3"/>
          <w:sz w:val="24"/>
          <w:szCs w:val="24"/>
        </w:rPr>
        <w:t>Tapentadol</w:t>
      </w:r>
      <w:proofErr w:type="spellEnd"/>
      <w:r w:rsidRPr="007849BA">
        <w:rPr>
          <w:spacing w:val="-3"/>
          <w:sz w:val="24"/>
          <w:szCs w:val="24"/>
        </w:rPr>
        <w:t xml:space="preserve"> kan tillige forøge risikoen for krampeanfald hos patienter, som tager andre lægemidler, som sænker krampetærsklen (se pkt. 4.5).</w:t>
      </w:r>
      <w:bookmarkEnd w:id="6"/>
      <w:bookmarkEnd w:id="7"/>
      <w:bookmarkEnd w:id="8"/>
      <w:bookmarkEnd w:id="9"/>
    </w:p>
    <w:p w14:paraId="5EC18325" w14:textId="77777777" w:rsidR="00295D2D" w:rsidRPr="007849BA" w:rsidRDefault="00295D2D" w:rsidP="00F4752A">
      <w:pPr>
        <w:ind w:left="851"/>
        <w:rPr>
          <w:sz w:val="24"/>
          <w:szCs w:val="24"/>
        </w:rPr>
      </w:pPr>
    </w:p>
    <w:p w14:paraId="40D1038C" w14:textId="77777777" w:rsidR="00295D2D" w:rsidRPr="007849BA" w:rsidRDefault="00295D2D" w:rsidP="00F4752A">
      <w:pPr>
        <w:ind w:left="851"/>
        <w:rPr>
          <w:i/>
          <w:sz w:val="24"/>
          <w:szCs w:val="24"/>
        </w:rPr>
      </w:pPr>
      <w:r w:rsidRPr="007849BA">
        <w:rPr>
          <w:i/>
          <w:sz w:val="24"/>
          <w:szCs w:val="24"/>
        </w:rPr>
        <w:t>Nedsat nyrefunktion</w:t>
      </w:r>
    </w:p>
    <w:p w14:paraId="2D81FB49" w14:textId="11253753" w:rsidR="00295D2D" w:rsidRPr="007849BA" w:rsidRDefault="00295D2D" w:rsidP="00F4752A">
      <w:pPr>
        <w:ind w:left="851"/>
        <w:rPr>
          <w:sz w:val="24"/>
          <w:szCs w:val="24"/>
        </w:rPr>
      </w:pPr>
      <w:r w:rsidRPr="007849BA">
        <w:rPr>
          <w:sz w:val="24"/>
          <w:szCs w:val="24"/>
        </w:rPr>
        <w:t xml:space="preserve">Der er ikke udført kontrollerede effektundersøgelser med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hos patienter med alvorligt nedsat nyrefunktion, og bør derfor ikke anvendes til denne population (se pkt. 4.2 og 5.2).</w:t>
      </w:r>
    </w:p>
    <w:p w14:paraId="6E91E8CC" w14:textId="77777777" w:rsidR="00295D2D" w:rsidRPr="007849BA" w:rsidRDefault="00295D2D" w:rsidP="00F4752A">
      <w:pPr>
        <w:ind w:left="851"/>
        <w:rPr>
          <w:sz w:val="24"/>
          <w:szCs w:val="24"/>
        </w:rPr>
      </w:pPr>
    </w:p>
    <w:p w14:paraId="6E9CCCAC" w14:textId="77777777" w:rsidR="00295D2D" w:rsidRPr="007849BA" w:rsidRDefault="00295D2D" w:rsidP="00F4752A">
      <w:pPr>
        <w:ind w:left="851"/>
        <w:rPr>
          <w:i/>
          <w:sz w:val="24"/>
          <w:szCs w:val="24"/>
        </w:rPr>
      </w:pPr>
      <w:r w:rsidRPr="007849BA">
        <w:rPr>
          <w:i/>
          <w:sz w:val="24"/>
          <w:szCs w:val="24"/>
        </w:rPr>
        <w:t>Nedsat leverfunktion</w:t>
      </w:r>
    </w:p>
    <w:p w14:paraId="1064D85A" w14:textId="25E76833" w:rsidR="00295D2D" w:rsidRPr="007849BA" w:rsidRDefault="00295D2D" w:rsidP="00F4752A">
      <w:pPr>
        <w:ind w:left="851"/>
        <w:rPr>
          <w:sz w:val="24"/>
          <w:szCs w:val="24"/>
        </w:rPr>
      </w:pPr>
      <w:r w:rsidRPr="007849BA">
        <w:rPr>
          <w:sz w:val="24"/>
          <w:szCs w:val="24"/>
        </w:rPr>
        <w:t xml:space="preserve">Forsøgspersoner med let og moderat nedsat leverfunktion viste henholdsvis 2 gange og 4,5 gange stigning i systemisk eksponering sammenlignet med personer med normal leverfunktion.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anvendes med forsigtighed til patienter med moderat nedsat leverfunktion (se pkt. 4.2 og 5.2), særlig ved initiering af behandling. </w:t>
      </w:r>
    </w:p>
    <w:p w14:paraId="07CC9D89" w14:textId="77777777" w:rsidR="00295D2D" w:rsidRPr="007849BA" w:rsidRDefault="00295D2D" w:rsidP="00F4752A">
      <w:pPr>
        <w:ind w:left="851"/>
        <w:rPr>
          <w:sz w:val="24"/>
          <w:szCs w:val="24"/>
        </w:rPr>
      </w:pPr>
    </w:p>
    <w:p w14:paraId="4FC44405" w14:textId="2ABFC39A"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er ikke undersøgt hos patienter med alvorligt nedsat leverfunktion, og præparatet bør derfor ikke anvendes til denne population (se pkt. 4.2 og 5.2).</w:t>
      </w:r>
    </w:p>
    <w:p w14:paraId="377256F3" w14:textId="77777777" w:rsidR="00295D2D" w:rsidRPr="007849BA" w:rsidRDefault="00295D2D" w:rsidP="00F4752A">
      <w:pPr>
        <w:ind w:left="851"/>
        <w:rPr>
          <w:sz w:val="24"/>
          <w:szCs w:val="24"/>
        </w:rPr>
      </w:pPr>
    </w:p>
    <w:p w14:paraId="387E67AB" w14:textId="77777777" w:rsidR="00295D2D" w:rsidRPr="007849BA" w:rsidRDefault="00295D2D" w:rsidP="00F4752A">
      <w:pPr>
        <w:ind w:left="851"/>
        <w:rPr>
          <w:i/>
          <w:sz w:val="24"/>
          <w:szCs w:val="24"/>
        </w:rPr>
      </w:pPr>
      <w:bookmarkStart w:id="10" w:name="OLE_LINK19"/>
      <w:bookmarkStart w:id="11" w:name="OLE_LINK20"/>
      <w:r w:rsidRPr="007849BA">
        <w:rPr>
          <w:i/>
          <w:sz w:val="24"/>
          <w:szCs w:val="24"/>
        </w:rPr>
        <w:t xml:space="preserve">Anvendelse ved sygdom i </w:t>
      </w:r>
      <w:proofErr w:type="spellStart"/>
      <w:r w:rsidRPr="007849BA">
        <w:rPr>
          <w:i/>
          <w:sz w:val="24"/>
          <w:szCs w:val="24"/>
        </w:rPr>
        <w:t>pankreas</w:t>
      </w:r>
      <w:proofErr w:type="spellEnd"/>
      <w:r w:rsidRPr="007849BA">
        <w:rPr>
          <w:i/>
          <w:sz w:val="24"/>
          <w:szCs w:val="24"/>
        </w:rPr>
        <w:t>/galdeveje</w:t>
      </w:r>
    </w:p>
    <w:bookmarkEnd w:id="10"/>
    <w:bookmarkEnd w:id="11"/>
    <w:p w14:paraId="645BD838" w14:textId="6D0423A8" w:rsidR="00295D2D" w:rsidRPr="007849BA" w:rsidRDefault="00295D2D" w:rsidP="00F4752A">
      <w:pPr>
        <w:ind w:left="851"/>
        <w:rPr>
          <w:sz w:val="24"/>
          <w:szCs w:val="24"/>
        </w:rPr>
      </w:pPr>
      <w:r w:rsidRPr="007849BA">
        <w:rPr>
          <w:sz w:val="24"/>
          <w:szCs w:val="24"/>
        </w:rPr>
        <w:t>Aktive stoffer med µ-</w:t>
      </w:r>
      <w:proofErr w:type="spellStart"/>
      <w:r w:rsidRPr="007849BA">
        <w:rPr>
          <w:sz w:val="24"/>
          <w:szCs w:val="24"/>
        </w:rPr>
        <w:t>opioidagonistisk</w:t>
      </w:r>
      <w:proofErr w:type="spellEnd"/>
      <w:r w:rsidRPr="007849BA">
        <w:rPr>
          <w:sz w:val="24"/>
          <w:szCs w:val="24"/>
        </w:rPr>
        <w:t xml:space="preserve"> virkning kan give spasmer i </w:t>
      </w:r>
      <w:proofErr w:type="spellStart"/>
      <w:r w:rsidRPr="007849BA">
        <w:rPr>
          <w:sz w:val="24"/>
          <w:szCs w:val="24"/>
        </w:rPr>
        <w:t>sphincter</w:t>
      </w:r>
      <w:proofErr w:type="spellEnd"/>
      <w:r w:rsidRPr="007849BA">
        <w:rPr>
          <w:sz w:val="24"/>
          <w:szCs w:val="24"/>
        </w:rPr>
        <w:t xml:space="preserve"> </w:t>
      </w:r>
      <w:proofErr w:type="spellStart"/>
      <w:r w:rsidRPr="007849BA">
        <w:rPr>
          <w:sz w:val="24"/>
          <w:szCs w:val="24"/>
        </w:rPr>
        <w:t>Oddi</w:t>
      </w:r>
      <w:proofErr w:type="spellEnd"/>
      <w:r w:rsidRPr="007849BA">
        <w:rPr>
          <w:sz w:val="24"/>
          <w:szCs w:val="24"/>
        </w:rPr>
        <w:t xml:space="preserve">.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anvendes med forsigtighed til patienter med sygdom i galdevejene inklusive akut </w:t>
      </w:r>
      <w:proofErr w:type="spellStart"/>
      <w:r w:rsidRPr="007849BA">
        <w:rPr>
          <w:sz w:val="24"/>
          <w:szCs w:val="24"/>
        </w:rPr>
        <w:t>pankreatitis</w:t>
      </w:r>
      <w:proofErr w:type="spellEnd"/>
      <w:r w:rsidRPr="007849BA">
        <w:rPr>
          <w:sz w:val="24"/>
          <w:szCs w:val="24"/>
        </w:rPr>
        <w:t>.</w:t>
      </w:r>
    </w:p>
    <w:p w14:paraId="3282D907" w14:textId="5FE29658" w:rsidR="007849BA" w:rsidRDefault="007849BA">
      <w:pPr>
        <w:rPr>
          <w:sz w:val="24"/>
          <w:szCs w:val="24"/>
        </w:rPr>
      </w:pPr>
      <w:r>
        <w:rPr>
          <w:sz w:val="24"/>
          <w:szCs w:val="24"/>
        </w:rPr>
        <w:br w:type="page"/>
      </w:r>
    </w:p>
    <w:p w14:paraId="12AEA4E2" w14:textId="77777777" w:rsidR="00295D2D" w:rsidRPr="007849BA" w:rsidRDefault="00295D2D" w:rsidP="00F4752A">
      <w:pPr>
        <w:ind w:left="851"/>
        <w:rPr>
          <w:sz w:val="24"/>
          <w:szCs w:val="24"/>
        </w:rPr>
      </w:pPr>
    </w:p>
    <w:p w14:paraId="60CC9E9C" w14:textId="77777777" w:rsidR="00295D2D" w:rsidRPr="007849BA" w:rsidRDefault="00295D2D" w:rsidP="00F4752A">
      <w:pPr>
        <w:ind w:left="851"/>
        <w:rPr>
          <w:i/>
          <w:iCs/>
          <w:sz w:val="24"/>
          <w:szCs w:val="24"/>
        </w:rPr>
      </w:pPr>
      <w:r w:rsidRPr="007849BA">
        <w:rPr>
          <w:i/>
          <w:iCs/>
          <w:sz w:val="24"/>
          <w:szCs w:val="24"/>
        </w:rPr>
        <w:t>Søvnrelaterede vejrtrækningsforstyrrelser</w:t>
      </w:r>
    </w:p>
    <w:p w14:paraId="24EDA1F0" w14:textId="77777777" w:rsidR="00295D2D" w:rsidRPr="007849BA" w:rsidRDefault="00295D2D" w:rsidP="00F4752A">
      <w:pPr>
        <w:ind w:left="851"/>
        <w:rPr>
          <w:sz w:val="24"/>
          <w:szCs w:val="24"/>
        </w:rPr>
      </w:pPr>
      <w:r w:rsidRPr="007849BA">
        <w:rPr>
          <w:sz w:val="24"/>
          <w:szCs w:val="24"/>
        </w:rPr>
        <w:t xml:space="preserve">Opioider kan forårsage søvnrelaterede vejrtrækningsforstyrrelser, herunder central søvnapnø (CSA) og søvnrelateret </w:t>
      </w:r>
      <w:proofErr w:type="spellStart"/>
      <w:r w:rsidRPr="007849BA">
        <w:rPr>
          <w:sz w:val="24"/>
          <w:szCs w:val="24"/>
        </w:rPr>
        <w:t>hypoxæmi</w:t>
      </w:r>
      <w:proofErr w:type="spellEnd"/>
      <w:r w:rsidRPr="007849BA">
        <w:rPr>
          <w:sz w:val="24"/>
          <w:szCs w:val="24"/>
        </w:rPr>
        <w:t>. Brug af opioider øger dosisafhængigt risikoen for CSA. Overvej at sænke den totale opioiddosis hos patienter med CSA.</w:t>
      </w:r>
    </w:p>
    <w:p w14:paraId="4B6A30CE" w14:textId="77777777" w:rsidR="00295D2D" w:rsidRPr="007849BA" w:rsidRDefault="00295D2D" w:rsidP="00F4752A">
      <w:pPr>
        <w:ind w:left="851"/>
        <w:rPr>
          <w:sz w:val="24"/>
          <w:szCs w:val="24"/>
        </w:rPr>
      </w:pPr>
    </w:p>
    <w:p w14:paraId="43DF26A7" w14:textId="77777777" w:rsidR="00295D2D" w:rsidRPr="007849BA" w:rsidRDefault="00295D2D" w:rsidP="00F4752A">
      <w:pPr>
        <w:ind w:left="851"/>
        <w:rPr>
          <w:i/>
          <w:sz w:val="24"/>
          <w:szCs w:val="24"/>
        </w:rPr>
      </w:pPr>
      <w:r w:rsidRPr="007849BA">
        <w:rPr>
          <w:i/>
          <w:sz w:val="24"/>
          <w:szCs w:val="24"/>
        </w:rPr>
        <w:t>Blandede opioidagonister/-antagonister</w:t>
      </w:r>
    </w:p>
    <w:p w14:paraId="62DAAA02" w14:textId="60B69D39" w:rsidR="00295D2D" w:rsidRPr="007849BA" w:rsidRDefault="00295D2D" w:rsidP="00F4752A">
      <w:pPr>
        <w:ind w:left="851"/>
        <w:rPr>
          <w:sz w:val="24"/>
          <w:szCs w:val="24"/>
        </w:rPr>
      </w:pPr>
      <w:r w:rsidRPr="007849BA">
        <w:rPr>
          <w:sz w:val="24"/>
          <w:szCs w:val="24"/>
        </w:rPr>
        <w:t xml:space="preserve">Der bør udvises forsigtighed ved kombination af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og blandede µ-opioidagonister/-antagonister (f.eks. </w:t>
      </w:r>
      <w:proofErr w:type="spellStart"/>
      <w:r w:rsidRPr="007849BA">
        <w:rPr>
          <w:sz w:val="24"/>
          <w:szCs w:val="24"/>
        </w:rPr>
        <w:t>pentazocin</w:t>
      </w:r>
      <w:proofErr w:type="spellEnd"/>
      <w:r w:rsidRPr="007849BA">
        <w:rPr>
          <w:sz w:val="24"/>
          <w:szCs w:val="24"/>
        </w:rPr>
        <w:t xml:space="preserve">, </w:t>
      </w:r>
      <w:proofErr w:type="spellStart"/>
      <w:r w:rsidRPr="007849BA">
        <w:rPr>
          <w:sz w:val="24"/>
          <w:szCs w:val="24"/>
        </w:rPr>
        <w:t>nalbuphin</w:t>
      </w:r>
      <w:proofErr w:type="spellEnd"/>
      <w:r w:rsidRPr="007849BA">
        <w:rPr>
          <w:sz w:val="24"/>
          <w:szCs w:val="24"/>
        </w:rPr>
        <w:t xml:space="preserve">) eller partielle µ-opioidagonister (f.eks. </w:t>
      </w:r>
      <w:proofErr w:type="spellStart"/>
      <w:r w:rsidRPr="007849BA">
        <w:rPr>
          <w:sz w:val="24"/>
          <w:szCs w:val="24"/>
        </w:rPr>
        <w:t>buprenorphin</w:t>
      </w:r>
      <w:proofErr w:type="spellEnd"/>
      <w:r w:rsidRPr="007849BA">
        <w:rPr>
          <w:sz w:val="24"/>
          <w:szCs w:val="24"/>
        </w:rPr>
        <w:t xml:space="preserve">). Hos patienter, der får vedligeholdelsesdoser af </w:t>
      </w:r>
      <w:proofErr w:type="spellStart"/>
      <w:r w:rsidRPr="007849BA">
        <w:rPr>
          <w:sz w:val="24"/>
          <w:szCs w:val="24"/>
        </w:rPr>
        <w:t>buprenorphin</w:t>
      </w:r>
      <w:proofErr w:type="spellEnd"/>
      <w:r w:rsidRPr="007849BA">
        <w:rPr>
          <w:sz w:val="24"/>
          <w:szCs w:val="24"/>
        </w:rPr>
        <w:t xml:space="preserve"> til behandling af opioidafhængighed, bør andre behandlingsmuligheder overvejes (såsom f.eks. midlertidig </w:t>
      </w:r>
      <w:proofErr w:type="spellStart"/>
      <w:r w:rsidRPr="007849BA">
        <w:rPr>
          <w:sz w:val="24"/>
          <w:szCs w:val="24"/>
        </w:rPr>
        <w:t>seponering</w:t>
      </w:r>
      <w:proofErr w:type="spellEnd"/>
      <w:r w:rsidRPr="007849BA">
        <w:rPr>
          <w:sz w:val="24"/>
          <w:szCs w:val="24"/>
        </w:rPr>
        <w:t xml:space="preserve"> af </w:t>
      </w:r>
      <w:proofErr w:type="spellStart"/>
      <w:r w:rsidRPr="007849BA">
        <w:rPr>
          <w:sz w:val="24"/>
          <w:szCs w:val="24"/>
        </w:rPr>
        <w:t>buprenorphin</w:t>
      </w:r>
      <w:proofErr w:type="spellEnd"/>
      <w:r w:rsidRPr="007849BA">
        <w:rPr>
          <w:sz w:val="24"/>
          <w:szCs w:val="24"/>
        </w:rPr>
        <w:t xml:space="preserve">), hvis der opstår behov for administration af rene µ-opioidagonister (som </w:t>
      </w:r>
      <w:proofErr w:type="spellStart"/>
      <w:r w:rsidRPr="007849BA">
        <w:rPr>
          <w:sz w:val="24"/>
          <w:szCs w:val="24"/>
        </w:rPr>
        <w:t>tapentadol</w:t>
      </w:r>
      <w:proofErr w:type="spellEnd"/>
      <w:r w:rsidRPr="007849BA">
        <w:rPr>
          <w:sz w:val="24"/>
          <w:szCs w:val="24"/>
        </w:rPr>
        <w:t xml:space="preserve">) ved akutte smerter. Der foreligger rapporter om behov for øget dosering af rene µ-opioidagonister efter kombination med </w:t>
      </w:r>
      <w:proofErr w:type="spellStart"/>
      <w:r w:rsidRPr="007849BA">
        <w:rPr>
          <w:sz w:val="24"/>
          <w:szCs w:val="24"/>
        </w:rPr>
        <w:t>buprenorphin</w:t>
      </w:r>
      <w:proofErr w:type="spellEnd"/>
      <w:r w:rsidRPr="007849BA">
        <w:rPr>
          <w:sz w:val="24"/>
          <w:szCs w:val="24"/>
        </w:rPr>
        <w:t>, og patienten skal monitoreres nøje for bivirkninger såsom respirationsdepression.</w:t>
      </w:r>
    </w:p>
    <w:p w14:paraId="79B90AA8" w14:textId="77777777" w:rsidR="00295D2D" w:rsidRPr="007849BA" w:rsidRDefault="00295D2D" w:rsidP="00F4752A">
      <w:pPr>
        <w:ind w:left="851"/>
        <w:rPr>
          <w:sz w:val="24"/>
          <w:szCs w:val="24"/>
        </w:rPr>
      </w:pPr>
    </w:p>
    <w:p w14:paraId="4ADAB981" w14:textId="037F403C" w:rsidR="00295D2D" w:rsidRPr="007849BA" w:rsidRDefault="00295D2D" w:rsidP="00F4752A">
      <w:pPr>
        <w:ind w:left="851"/>
        <w:rPr>
          <w:i/>
          <w:iCs/>
          <w:sz w:val="24"/>
          <w:szCs w:val="24"/>
        </w:rPr>
      </w:pPr>
      <w:proofErr w:type="spellStart"/>
      <w:r w:rsidRPr="007849BA">
        <w:rPr>
          <w:i/>
          <w:iCs/>
          <w:sz w:val="24"/>
          <w:szCs w:val="24"/>
        </w:rPr>
        <w:t>Tapentadol</w:t>
      </w:r>
      <w:proofErr w:type="spellEnd"/>
      <w:r w:rsidRPr="007849BA">
        <w:rPr>
          <w:i/>
          <w:iCs/>
          <w:sz w:val="24"/>
          <w:szCs w:val="24"/>
        </w:rPr>
        <w:t xml:space="preserve"> </w:t>
      </w:r>
      <w:r w:rsidR="00F4752A" w:rsidRPr="007849BA">
        <w:rPr>
          <w:i/>
          <w:iCs/>
          <w:sz w:val="24"/>
          <w:szCs w:val="24"/>
        </w:rPr>
        <w:t>"G.L. Pharma"</w:t>
      </w:r>
      <w:r w:rsidRPr="007849BA">
        <w:rPr>
          <w:i/>
          <w:iCs/>
          <w:sz w:val="24"/>
          <w:szCs w:val="24"/>
        </w:rPr>
        <w:t xml:space="preserve"> indeholder </w:t>
      </w:r>
      <w:proofErr w:type="spellStart"/>
      <w:r w:rsidRPr="007849BA">
        <w:rPr>
          <w:i/>
          <w:iCs/>
          <w:sz w:val="24"/>
          <w:szCs w:val="24"/>
        </w:rPr>
        <w:t>lactose</w:t>
      </w:r>
      <w:proofErr w:type="spellEnd"/>
      <w:r w:rsidRPr="007849BA">
        <w:rPr>
          <w:i/>
          <w:iCs/>
          <w:sz w:val="24"/>
          <w:szCs w:val="24"/>
        </w:rPr>
        <w:t xml:space="preserve"> </w:t>
      </w:r>
    </w:p>
    <w:p w14:paraId="440B680C" w14:textId="190397A7"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indeholder </w:t>
      </w:r>
      <w:proofErr w:type="spellStart"/>
      <w:r w:rsidRPr="007849BA">
        <w:rPr>
          <w:sz w:val="24"/>
          <w:szCs w:val="24"/>
        </w:rPr>
        <w:t>lactose</w:t>
      </w:r>
      <w:proofErr w:type="spellEnd"/>
      <w:r w:rsidRPr="007849BA">
        <w:rPr>
          <w:sz w:val="24"/>
          <w:szCs w:val="24"/>
        </w:rPr>
        <w:t xml:space="preserve">. Bør ikke anvendes til patienter med hereditær </w:t>
      </w:r>
      <w:proofErr w:type="spellStart"/>
      <w:r w:rsidRPr="007849BA">
        <w:rPr>
          <w:sz w:val="24"/>
          <w:szCs w:val="24"/>
        </w:rPr>
        <w:t>galactoseintolerans</w:t>
      </w:r>
      <w:proofErr w:type="spellEnd"/>
      <w:r w:rsidRPr="007849BA">
        <w:rPr>
          <w:sz w:val="24"/>
          <w:szCs w:val="24"/>
        </w:rPr>
        <w:t xml:space="preserve">, total </w:t>
      </w:r>
      <w:proofErr w:type="spellStart"/>
      <w:r w:rsidRPr="007849BA">
        <w:rPr>
          <w:sz w:val="24"/>
          <w:szCs w:val="24"/>
        </w:rPr>
        <w:t>lactasemangel</w:t>
      </w:r>
      <w:proofErr w:type="spellEnd"/>
      <w:r w:rsidRPr="007849BA">
        <w:rPr>
          <w:sz w:val="24"/>
          <w:szCs w:val="24"/>
        </w:rPr>
        <w:t xml:space="preserve"> eller </w:t>
      </w:r>
      <w:proofErr w:type="spellStart"/>
      <w:r w:rsidRPr="007849BA">
        <w:rPr>
          <w:sz w:val="24"/>
          <w:szCs w:val="24"/>
        </w:rPr>
        <w:t>glucose</w:t>
      </w:r>
      <w:proofErr w:type="spellEnd"/>
      <w:r w:rsidRPr="007849BA">
        <w:rPr>
          <w:sz w:val="24"/>
          <w:szCs w:val="24"/>
        </w:rPr>
        <w:t>/</w:t>
      </w:r>
      <w:proofErr w:type="spellStart"/>
      <w:r w:rsidRPr="007849BA">
        <w:rPr>
          <w:sz w:val="24"/>
          <w:szCs w:val="24"/>
        </w:rPr>
        <w:t>galactosemalabsorption</w:t>
      </w:r>
      <w:proofErr w:type="spellEnd"/>
      <w:r w:rsidRPr="007849BA">
        <w:rPr>
          <w:sz w:val="24"/>
          <w:szCs w:val="24"/>
        </w:rPr>
        <w:t>.</w:t>
      </w:r>
    </w:p>
    <w:p w14:paraId="04A37A91" w14:textId="77777777" w:rsidR="00295D2D" w:rsidRPr="007849BA" w:rsidRDefault="00295D2D" w:rsidP="00F4752A">
      <w:pPr>
        <w:ind w:left="851"/>
        <w:rPr>
          <w:sz w:val="24"/>
          <w:szCs w:val="24"/>
        </w:rPr>
      </w:pPr>
    </w:p>
    <w:p w14:paraId="0EA1B6DD" w14:textId="03EEE6C8" w:rsidR="00295D2D" w:rsidRPr="007849BA" w:rsidRDefault="00295D2D" w:rsidP="00F4752A">
      <w:pPr>
        <w:ind w:left="851"/>
        <w:rPr>
          <w:i/>
          <w:sz w:val="24"/>
          <w:szCs w:val="24"/>
        </w:rPr>
      </w:pPr>
      <w:proofErr w:type="spellStart"/>
      <w:r w:rsidRPr="007849BA">
        <w:rPr>
          <w:i/>
          <w:iCs/>
          <w:sz w:val="24"/>
          <w:szCs w:val="24"/>
        </w:rPr>
        <w:t>Tapentadol</w:t>
      </w:r>
      <w:proofErr w:type="spellEnd"/>
      <w:r w:rsidRPr="007849BA">
        <w:rPr>
          <w:i/>
          <w:iCs/>
          <w:sz w:val="24"/>
          <w:szCs w:val="24"/>
        </w:rPr>
        <w:t xml:space="preserve"> </w:t>
      </w:r>
      <w:r w:rsidR="00F4752A" w:rsidRPr="007849BA">
        <w:rPr>
          <w:i/>
          <w:iCs/>
          <w:sz w:val="24"/>
          <w:szCs w:val="24"/>
        </w:rPr>
        <w:t>"G.L. Pharma"</w:t>
      </w:r>
      <w:r w:rsidRPr="007849BA">
        <w:rPr>
          <w:i/>
          <w:iCs/>
          <w:sz w:val="24"/>
          <w:szCs w:val="24"/>
        </w:rPr>
        <w:t xml:space="preserve"> indeholder natrium</w:t>
      </w:r>
    </w:p>
    <w:p w14:paraId="6CF0F9E0" w14:textId="608C0FBC"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indeholder mindre end 1 mmol (23 mg) natrium pr. dosis dvs. den er i det væsentlige natrium</w:t>
      </w:r>
      <w:r w:rsidRPr="007849BA">
        <w:rPr>
          <w:sz w:val="24"/>
          <w:szCs w:val="24"/>
        </w:rPr>
        <w:softHyphen/>
        <w:t>fri.</w:t>
      </w:r>
    </w:p>
    <w:p w14:paraId="53CDDB6C" w14:textId="77777777" w:rsidR="009260DE" w:rsidRPr="007849BA" w:rsidRDefault="009260DE" w:rsidP="009260DE">
      <w:pPr>
        <w:tabs>
          <w:tab w:val="left" w:pos="851"/>
        </w:tabs>
        <w:ind w:left="851"/>
        <w:rPr>
          <w:sz w:val="24"/>
          <w:szCs w:val="24"/>
        </w:rPr>
      </w:pPr>
    </w:p>
    <w:p w14:paraId="1B67AB2F" w14:textId="77777777" w:rsidR="009260DE" w:rsidRPr="007849BA" w:rsidRDefault="009260DE" w:rsidP="009260DE">
      <w:pPr>
        <w:tabs>
          <w:tab w:val="left" w:pos="851"/>
        </w:tabs>
        <w:ind w:left="851" w:hanging="851"/>
        <w:rPr>
          <w:b/>
          <w:sz w:val="24"/>
          <w:szCs w:val="24"/>
        </w:rPr>
      </w:pPr>
      <w:r w:rsidRPr="007849BA">
        <w:rPr>
          <w:b/>
          <w:sz w:val="24"/>
          <w:szCs w:val="24"/>
        </w:rPr>
        <w:t>4.5</w:t>
      </w:r>
      <w:r w:rsidRPr="007849BA">
        <w:rPr>
          <w:b/>
          <w:sz w:val="24"/>
          <w:szCs w:val="24"/>
        </w:rPr>
        <w:tab/>
        <w:t>Interaktion med andre lægemidler og andre former for interaktion</w:t>
      </w:r>
    </w:p>
    <w:p w14:paraId="5E74BFD4" w14:textId="77777777" w:rsidR="00F4752A" w:rsidRPr="007849BA" w:rsidRDefault="00F4752A" w:rsidP="00F4752A">
      <w:pPr>
        <w:ind w:left="851"/>
        <w:rPr>
          <w:sz w:val="24"/>
          <w:szCs w:val="24"/>
        </w:rPr>
      </w:pPr>
    </w:p>
    <w:p w14:paraId="7AD0CA73" w14:textId="274A0A2A" w:rsidR="00295D2D" w:rsidRPr="007849BA" w:rsidRDefault="00295D2D" w:rsidP="00F4752A">
      <w:pPr>
        <w:ind w:left="851"/>
        <w:rPr>
          <w:i/>
          <w:sz w:val="24"/>
          <w:szCs w:val="24"/>
        </w:rPr>
      </w:pPr>
      <w:r w:rsidRPr="007849BA">
        <w:rPr>
          <w:i/>
          <w:sz w:val="24"/>
          <w:szCs w:val="24"/>
        </w:rPr>
        <w:t>Centralt virkende lægemidler/</w:t>
      </w:r>
      <w:proofErr w:type="spellStart"/>
      <w:r w:rsidRPr="007849BA">
        <w:rPr>
          <w:i/>
          <w:sz w:val="24"/>
          <w:szCs w:val="24"/>
        </w:rPr>
        <w:t>hæmmere</w:t>
      </w:r>
      <w:proofErr w:type="spellEnd"/>
      <w:r w:rsidRPr="007849BA">
        <w:rPr>
          <w:i/>
          <w:sz w:val="24"/>
          <w:szCs w:val="24"/>
        </w:rPr>
        <w:t xml:space="preserve"> af centralnervesystemet (CNS), inklusive alkohol og CNS dæmpende euforiserende lægemidler</w:t>
      </w:r>
    </w:p>
    <w:p w14:paraId="36F39FB4" w14:textId="57D5E2DF" w:rsidR="00295D2D" w:rsidRPr="007849BA" w:rsidRDefault="00295D2D" w:rsidP="00F4752A">
      <w:pPr>
        <w:ind w:left="851"/>
        <w:rPr>
          <w:sz w:val="24"/>
          <w:szCs w:val="24"/>
        </w:rPr>
      </w:pPr>
      <w:r w:rsidRPr="007849BA">
        <w:rPr>
          <w:sz w:val="24"/>
          <w:szCs w:val="24"/>
        </w:rPr>
        <w:t xml:space="preserve">Samtidig brug af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og </w:t>
      </w:r>
      <w:proofErr w:type="spellStart"/>
      <w:r w:rsidRPr="007849BA">
        <w:rPr>
          <w:sz w:val="24"/>
          <w:szCs w:val="24"/>
        </w:rPr>
        <w:t>sedativa</w:t>
      </w:r>
      <w:proofErr w:type="spellEnd"/>
      <w:r w:rsidRPr="007849BA">
        <w:rPr>
          <w:sz w:val="24"/>
          <w:szCs w:val="24"/>
        </w:rPr>
        <w:t xml:space="preserve"> som benzodiazepiner eller andre respirations- eller CNS-hæmmende lægemidler (andre opioider, </w:t>
      </w:r>
      <w:proofErr w:type="spellStart"/>
      <w:r w:rsidRPr="007849BA">
        <w:rPr>
          <w:sz w:val="24"/>
          <w:szCs w:val="24"/>
        </w:rPr>
        <w:t>antitussiva</w:t>
      </w:r>
      <w:proofErr w:type="spellEnd"/>
      <w:r w:rsidRPr="007849BA">
        <w:rPr>
          <w:sz w:val="24"/>
          <w:szCs w:val="24"/>
        </w:rPr>
        <w:t xml:space="preserve"> eller substitutionsbehandlinger, barbiturater, antipsykotika, H1-antihistaminer, alkohol) øger risikoen for sedation, respirationsdepression, koma og dødsfald på grund af den </w:t>
      </w:r>
      <w:proofErr w:type="spellStart"/>
      <w:r w:rsidRPr="007849BA">
        <w:rPr>
          <w:sz w:val="24"/>
          <w:szCs w:val="24"/>
        </w:rPr>
        <w:t>additive</w:t>
      </w:r>
      <w:proofErr w:type="spellEnd"/>
      <w:r w:rsidRPr="007849BA">
        <w:rPr>
          <w:sz w:val="24"/>
          <w:szCs w:val="24"/>
        </w:rPr>
        <w:t xml:space="preserve"> CNS-hæmmende virkning. Når en kombinationsbehandling med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og et respirations- eller CNS-hæmmende lægemiddel tages i betragtning, bør reduktion af dosis for et eller begge lægemidler derfor overvejes og varigheden af samtidig brug bør begrænses (se pkt. 4.4). Samtidig brug af opioider og </w:t>
      </w:r>
      <w:proofErr w:type="spellStart"/>
      <w:r w:rsidRPr="007849BA">
        <w:rPr>
          <w:sz w:val="24"/>
          <w:szCs w:val="24"/>
        </w:rPr>
        <w:t>gabapentinoider</w:t>
      </w:r>
      <w:proofErr w:type="spellEnd"/>
      <w:r w:rsidRPr="007849BA">
        <w:rPr>
          <w:sz w:val="24"/>
          <w:szCs w:val="24"/>
        </w:rPr>
        <w:t xml:space="preserve"> (</w:t>
      </w:r>
      <w:proofErr w:type="spellStart"/>
      <w:r w:rsidRPr="007849BA">
        <w:rPr>
          <w:sz w:val="24"/>
          <w:szCs w:val="24"/>
        </w:rPr>
        <w:t>gabapentin</w:t>
      </w:r>
      <w:proofErr w:type="spellEnd"/>
      <w:r w:rsidRPr="007849BA">
        <w:rPr>
          <w:sz w:val="24"/>
          <w:szCs w:val="24"/>
        </w:rPr>
        <w:t xml:space="preserve"> og </w:t>
      </w:r>
      <w:proofErr w:type="spellStart"/>
      <w:r w:rsidRPr="007849BA">
        <w:rPr>
          <w:sz w:val="24"/>
          <w:szCs w:val="24"/>
        </w:rPr>
        <w:t>pregabalin</w:t>
      </w:r>
      <w:proofErr w:type="spellEnd"/>
      <w:r w:rsidRPr="007849BA">
        <w:rPr>
          <w:sz w:val="24"/>
          <w:szCs w:val="24"/>
        </w:rPr>
        <w:t>) øger risikoen for opioidoverdosering, respirationsdepression og død.</w:t>
      </w:r>
    </w:p>
    <w:p w14:paraId="3B429508" w14:textId="77777777" w:rsidR="00295D2D" w:rsidRPr="007849BA" w:rsidRDefault="00295D2D" w:rsidP="00F4752A">
      <w:pPr>
        <w:ind w:left="851"/>
        <w:rPr>
          <w:sz w:val="24"/>
          <w:szCs w:val="24"/>
        </w:rPr>
      </w:pPr>
    </w:p>
    <w:p w14:paraId="045C292E" w14:textId="77777777" w:rsidR="00295D2D" w:rsidRPr="007849BA" w:rsidRDefault="00295D2D" w:rsidP="00F4752A">
      <w:pPr>
        <w:ind w:left="851"/>
        <w:rPr>
          <w:i/>
          <w:sz w:val="24"/>
          <w:szCs w:val="24"/>
        </w:rPr>
      </w:pPr>
      <w:r w:rsidRPr="007849BA">
        <w:rPr>
          <w:i/>
          <w:sz w:val="24"/>
          <w:szCs w:val="24"/>
        </w:rPr>
        <w:t>Blandede opioidagonister/antagonister</w:t>
      </w:r>
    </w:p>
    <w:p w14:paraId="5EA471F2" w14:textId="555B48B0" w:rsidR="00295D2D" w:rsidRPr="007849BA" w:rsidRDefault="00295D2D" w:rsidP="00F4752A">
      <w:pPr>
        <w:ind w:left="851"/>
        <w:rPr>
          <w:sz w:val="24"/>
          <w:szCs w:val="24"/>
        </w:rPr>
      </w:pPr>
      <w:r w:rsidRPr="007849BA">
        <w:rPr>
          <w:sz w:val="24"/>
          <w:szCs w:val="24"/>
        </w:rPr>
        <w:t xml:space="preserve">Forsigtighed tilrådes ved kombination af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med blandede µ-opioid</w:t>
      </w:r>
      <w:r w:rsidRPr="007849BA">
        <w:rPr>
          <w:sz w:val="24"/>
          <w:szCs w:val="24"/>
        </w:rPr>
        <w:softHyphen/>
        <w:t>agonister/</w:t>
      </w:r>
      <w:r w:rsidRPr="007849BA">
        <w:rPr>
          <w:sz w:val="24"/>
          <w:szCs w:val="24"/>
        </w:rPr>
        <w:noBreakHyphen/>
        <w:t xml:space="preserve">antagonister (f.eks. </w:t>
      </w:r>
      <w:proofErr w:type="spellStart"/>
      <w:r w:rsidRPr="007849BA">
        <w:rPr>
          <w:sz w:val="24"/>
          <w:szCs w:val="24"/>
        </w:rPr>
        <w:t>pentazocin</w:t>
      </w:r>
      <w:proofErr w:type="spellEnd"/>
      <w:r w:rsidRPr="007849BA">
        <w:rPr>
          <w:sz w:val="24"/>
          <w:szCs w:val="24"/>
        </w:rPr>
        <w:t xml:space="preserve">, </w:t>
      </w:r>
      <w:proofErr w:type="spellStart"/>
      <w:r w:rsidRPr="007849BA">
        <w:rPr>
          <w:sz w:val="24"/>
          <w:szCs w:val="24"/>
        </w:rPr>
        <w:t>nalbuphin</w:t>
      </w:r>
      <w:proofErr w:type="spellEnd"/>
      <w:r w:rsidRPr="007849BA">
        <w:rPr>
          <w:sz w:val="24"/>
          <w:szCs w:val="24"/>
        </w:rPr>
        <w:t>) eller partielle µ-opioid</w:t>
      </w:r>
      <w:r w:rsidRPr="007849BA">
        <w:rPr>
          <w:sz w:val="24"/>
          <w:szCs w:val="24"/>
        </w:rPr>
        <w:softHyphen/>
        <w:t xml:space="preserve">agonister (f.eks. </w:t>
      </w:r>
      <w:proofErr w:type="spellStart"/>
      <w:r w:rsidRPr="007849BA">
        <w:rPr>
          <w:sz w:val="24"/>
          <w:szCs w:val="24"/>
        </w:rPr>
        <w:t>buprenorphin</w:t>
      </w:r>
      <w:proofErr w:type="spellEnd"/>
      <w:r w:rsidRPr="007849BA">
        <w:rPr>
          <w:sz w:val="24"/>
          <w:szCs w:val="24"/>
        </w:rPr>
        <w:t>) (se også pkt. 4.4).</w:t>
      </w:r>
    </w:p>
    <w:p w14:paraId="65B43F82" w14:textId="77777777" w:rsidR="00295D2D" w:rsidRPr="007849BA" w:rsidRDefault="00295D2D" w:rsidP="00F4752A">
      <w:pPr>
        <w:ind w:left="851"/>
        <w:rPr>
          <w:sz w:val="24"/>
          <w:szCs w:val="24"/>
          <w:highlight w:val="yellow"/>
        </w:rPr>
      </w:pPr>
    </w:p>
    <w:p w14:paraId="4EF53BF6" w14:textId="6AAE4CBB" w:rsidR="00295D2D" w:rsidRPr="007849BA" w:rsidRDefault="00295D2D" w:rsidP="00F4752A">
      <w:pPr>
        <w:ind w:left="851"/>
        <w:rPr>
          <w:spacing w:val="-3"/>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kan forårsage kramper og øge potentialet for selektive serotonin </w:t>
      </w:r>
      <w:proofErr w:type="spellStart"/>
      <w:r w:rsidRPr="007849BA">
        <w:rPr>
          <w:sz w:val="24"/>
          <w:szCs w:val="24"/>
        </w:rPr>
        <w:t>genoptagshæmmere</w:t>
      </w:r>
      <w:proofErr w:type="spellEnd"/>
      <w:r w:rsidRPr="007849BA">
        <w:rPr>
          <w:sz w:val="24"/>
          <w:szCs w:val="24"/>
        </w:rPr>
        <w:t xml:space="preserve"> (SSRI), serotonin-noradrenalin </w:t>
      </w:r>
      <w:proofErr w:type="spellStart"/>
      <w:r w:rsidRPr="007849BA">
        <w:rPr>
          <w:sz w:val="24"/>
          <w:szCs w:val="24"/>
        </w:rPr>
        <w:t>genoptagshæmmere</w:t>
      </w:r>
      <w:proofErr w:type="spellEnd"/>
      <w:r w:rsidRPr="007849BA">
        <w:rPr>
          <w:sz w:val="24"/>
          <w:szCs w:val="24"/>
        </w:rPr>
        <w:t xml:space="preserve"> (SNRI), tricykliske </w:t>
      </w:r>
      <w:proofErr w:type="spellStart"/>
      <w:r w:rsidRPr="007849BA">
        <w:rPr>
          <w:sz w:val="24"/>
          <w:szCs w:val="24"/>
        </w:rPr>
        <w:t>antidepressiva</w:t>
      </w:r>
      <w:proofErr w:type="spellEnd"/>
      <w:r w:rsidRPr="007849BA">
        <w:rPr>
          <w:sz w:val="24"/>
          <w:szCs w:val="24"/>
        </w:rPr>
        <w:t>, antipsykotika og andre krampetærskelsænkende lægemidler til at forårsage kramper.</w:t>
      </w:r>
    </w:p>
    <w:p w14:paraId="310A2F20" w14:textId="77777777" w:rsidR="00295D2D" w:rsidRPr="007849BA" w:rsidRDefault="00295D2D" w:rsidP="00F4752A">
      <w:pPr>
        <w:ind w:left="851"/>
        <w:rPr>
          <w:sz w:val="24"/>
          <w:szCs w:val="24"/>
        </w:rPr>
      </w:pPr>
    </w:p>
    <w:p w14:paraId="6EBEA189" w14:textId="77777777" w:rsidR="00295D2D" w:rsidRPr="007849BA" w:rsidRDefault="00295D2D" w:rsidP="00F4752A">
      <w:pPr>
        <w:ind w:left="851"/>
        <w:rPr>
          <w:sz w:val="24"/>
          <w:szCs w:val="24"/>
        </w:rPr>
      </w:pPr>
      <w:r w:rsidRPr="007849BA">
        <w:rPr>
          <w:sz w:val="24"/>
          <w:szCs w:val="24"/>
        </w:rPr>
        <w:t xml:space="preserve">Tilfælde af serotoninsyndrom er rapporteret, tidsmæssigt sammenfaldende med terapeutisk brug af </w:t>
      </w:r>
      <w:proofErr w:type="spellStart"/>
      <w:r w:rsidRPr="007849BA">
        <w:rPr>
          <w:sz w:val="24"/>
          <w:szCs w:val="24"/>
        </w:rPr>
        <w:t>tapentadol</w:t>
      </w:r>
      <w:proofErr w:type="spellEnd"/>
      <w:r w:rsidRPr="007849BA">
        <w:rPr>
          <w:sz w:val="24"/>
          <w:szCs w:val="24"/>
        </w:rPr>
        <w:t xml:space="preserve"> kombineret med </w:t>
      </w:r>
      <w:proofErr w:type="spellStart"/>
      <w:r w:rsidRPr="007849BA">
        <w:rPr>
          <w:sz w:val="24"/>
          <w:szCs w:val="24"/>
        </w:rPr>
        <w:t>serotonerge</w:t>
      </w:r>
      <w:proofErr w:type="spellEnd"/>
      <w:r w:rsidRPr="007849BA">
        <w:rPr>
          <w:sz w:val="24"/>
          <w:szCs w:val="24"/>
        </w:rPr>
        <w:t xml:space="preserve"> lægemidler såsom selektive serotonin </w:t>
      </w:r>
      <w:proofErr w:type="spellStart"/>
      <w:r w:rsidRPr="007849BA">
        <w:rPr>
          <w:sz w:val="24"/>
          <w:szCs w:val="24"/>
        </w:rPr>
        <w:lastRenderedPageBreak/>
        <w:t>genoptagshæmmere</w:t>
      </w:r>
      <w:proofErr w:type="spellEnd"/>
      <w:r w:rsidRPr="007849BA">
        <w:rPr>
          <w:sz w:val="24"/>
          <w:szCs w:val="24"/>
        </w:rPr>
        <w:t xml:space="preserve"> (SSRI), serotonin-noradrenalin </w:t>
      </w:r>
      <w:proofErr w:type="spellStart"/>
      <w:r w:rsidRPr="007849BA">
        <w:rPr>
          <w:sz w:val="24"/>
          <w:szCs w:val="24"/>
        </w:rPr>
        <w:t>genoptagshæmmere</w:t>
      </w:r>
      <w:proofErr w:type="spellEnd"/>
      <w:r w:rsidRPr="007849BA">
        <w:rPr>
          <w:sz w:val="24"/>
          <w:szCs w:val="24"/>
        </w:rPr>
        <w:t xml:space="preserve"> (SNRI) og tricykliske </w:t>
      </w:r>
      <w:proofErr w:type="spellStart"/>
      <w:r w:rsidRPr="007849BA">
        <w:rPr>
          <w:sz w:val="24"/>
          <w:szCs w:val="24"/>
        </w:rPr>
        <w:t>antidepressiva</w:t>
      </w:r>
      <w:proofErr w:type="spellEnd"/>
      <w:r w:rsidRPr="007849BA">
        <w:rPr>
          <w:sz w:val="24"/>
          <w:szCs w:val="24"/>
        </w:rPr>
        <w:t xml:space="preserve">. </w:t>
      </w:r>
    </w:p>
    <w:p w14:paraId="2247E67A" w14:textId="77777777" w:rsidR="00295D2D" w:rsidRPr="007849BA" w:rsidRDefault="00295D2D" w:rsidP="00F4752A">
      <w:pPr>
        <w:ind w:left="851"/>
        <w:rPr>
          <w:sz w:val="24"/>
          <w:szCs w:val="24"/>
        </w:rPr>
      </w:pPr>
    </w:p>
    <w:p w14:paraId="3B61AAC4" w14:textId="77777777" w:rsidR="00295D2D" w:rsidRPr="007849BA" w:rsidRDefault="00295D2D" w:rsidP="00F4752A">
      <w:pPr>
        <w:ind w:left="851"/>
        <w:rPr>
          <w:sz w:val="24"/>
          <w:szCs w:val="24"/>
        </w:rPr>
      </w:pPr>
      <w:r w:rsidRPr="007849BA">
        <w:rPr>
          <w:sz w:val="24"/>
          <w:szCs w:val="24"/>
        </w:rPr>
        <w:t>Serotoninsyndrom er sandsynligt, når en af følgende er observeret:</w:t>
      </w:r>
    </w:p>
    <w:p w14:paraId="2CE0EFE1" w14:textId="77777777" w:rsidR="00295D2D" w:rsidRPr="007849BA" w:rsidRDefault="00295D2D" w:rsidP="00F4752A">
      <w:pPr>
        <w:pStyle w:val="Listeafsnit"/>
        <w:numPr>
          <w:ilvl w:val="0"/>
          <w:numId w:val="9"/>
        </w:numPr>
        <w:ind w:left="1276" w:hanging="425"/>
        <w:rPr>
          <w:sz w:val="24"/>
          <w:szCs w:val="24"/>
        </w:rPr>
      </w:pPr>
      <w:r w:rsidRPr="007849BA">
        <w:rPr>
          <w:sz w:val="24"/>
          <w:szCs w:val="24"/>
        </w:rPr>
        <w:t xml:space="preserve">Spontan </w:t>
      </w:r>
      <w:proofErr w:type="spellStart"/>
      <w:r w:rsidRPr="007849BA">
        <w:rPr>
          <w:sz w:val="24"/>
          <w:szCs w:val="24"/>
        </w:rPr>
        <w:t>klonus</w:t>
      </w:r>
      <w:proofErr w:type="spellEnd"/>
    </w:p>
    <w:p w14:paraId="4C5F59F0" w14:textId="77777777" w:rsidR="00295D2D" w:rsidRPr="007849BA" w:rsidRDefault="00295D2D" w:rsidP="00F4752A">
      <w:pPr>
        <w:pStyle w:val="Listeafsnit"/>
        <w:numPr>
          <w:ilvl w:val="0"/>
          <w:numId w:val="9"/>
        </w:numPr>
        <w:ind w:left="1276" w:hanging="425"/>
        <w:rPr>
          <w:sz w:val="24"/>
          <w:szCs w:val="24"/>
        </w:rPr>
      </w:pPr>
      <w:proofErr w:type="spellStart"/>
      <w:r w:rsidRPr="007849BA">
        <w:rPr>
          <w:sz w:val="24"/>
          <w:szCs w:val="24"/>
        </w:rPr>
        <w:t>Inducerbar</w:t>
      </w:r>
      <w:proofErr w:type="spellEnd"/>
      <w:r w:rsidRPr="007849BA">
        <w:rPr>
          <w:sz w:val="24"/>
          <w:szCs w:val="24"/>
        </w:rPr>
        <w:t xml:space="preserve"> eller </w:t>
      </w:r>
      <w:proofErr w:type="spellStart"/>
      <w:r w:rsidRPr="007849BA">
        <w:rPr>
          <w:sz w:val="24"/>
          <w:szCs w:val="24"/>
        </w:rPr>
        <w:t>okulær</w:t>
      </w:r>
      <w:proofErr w:type="spellEnd"/>
      <w:r w:rsidRPr="007849BA">
        <w:rPr>
          <w:sz w:val="24"/>
          <w:szCs w:val="24"/>
        </w:rPr>
        <w:t xml:space="preserve"> </w:t>
      </w:r>
      <w:proofErr w:type="spellStart"/>
      <w:r w:rsidRPr="007849BA">
        <w:rPr>
          <w:sz w:val="24"/>
          <w:szCs w:val="24"/>
        </w:rPr>
        <w:t>klonus</w:t>
      </w:r>
      <w:proofErr w:type="spellEnd"/>
      <w:r w:rsidRPr="007849BA">
        <w:rPr>
          <w:sz w:val="24"/>
          <w:szCs w:val="24"/>
        </w:rPr>
        <w:t xml:space="preserve"> med agitation eller </w:t>
      </w:r>
      <w:proofErr w:type="spellStart"/>
      <w:r w:rsidRPr="007849BA">
        <w:rPr>
          <w:sz w:val="24"/>
          <w:szCs w:val="24"/>
        </w:rPr>
        <w:t>diaforese</w:t>
      </w:r>
      <w:proofErr w:type="spellEnd"/>
    </w:p>
    <w:p w14:paraId="010A25CE" w14:textId="77777777" w:rsidR="00295D2D" w:rsidRPr="007849BA" w:rsidRDefault="00295D2D" w:rsidP="00F4752A">
      <w:pPr>
        <w:pStyle w:val="Listeafsnit"/>
        <w:numPr>
          <w:ilvl w:val="0"/>
          <w:numId w:val="9"/>
        </w:numPr>
        <w:ind w:left="1276" w:hanging="425"/>
        <w:rPr>
          <w:sz w:val="24"/>
          <w:szCs w:val="24"/>
        </w:rPr>
      </w:pPr>
      <w:proofErr w:type="spellStart"/>
      <w:r w:rsidRPr="007849BA">
        <w:rPr>
          <w:sz w:val="24"/>
          <w:szCs w:val="24"/>
        </w:rPr>
        <w:t>Tremor</w:t>
      </w:r>
      <w:proofErr w:type="spellEnd"/>
      <w:r w:rsidRPr="007849BA">
        <w:rPr>
          <w:sz w:val="24"/>
          <w:szCs w:val="24"/>
        </w:rPr>
        <w:t xml:space="preserve"> og </w:t>
      </w:r>
      <w:proofErr w:type="spellStart"/>
      <w:r w:rsidRPr="007849BA">
        <w:rPr>
          <w:sz w:val="24"/>
          <w:szCs w:val="24"/>
        </w:rPr>
        <w:t>hyperrefleksi</w:t>
      </w:r>
      <w:proofErr w:type="spellEnd"/>
    </w:p>
    <w:p w14:paraId="7D590C99" w14:textId="77777777" w:rsidR="00295D2D" w:rsidRPr="007849BA" w:rsidRDefault="00295D2D" w:rsidP="00F4752A">
      <w:pPr>
        <w:pStyle w:val="Listeafsnit"/>
        <w:numPr>
          <w:ilvl w:val="0"/>
          <w:numId w:val="9"/>
        </w:numPr>
        <w:ind w:left="1276" w:hanging="425"/>
        <w:rPr>
          <w:sz w:val="24"/>
          <w:szCs w:val="24"/>
        </w:rPr>
      </w:pPr>
      <w:proofErr w:type="spellStart"/>
      <w:r w:rsidRPr="007849BA">
        <w:rPr>
          <w:sz w:val="24"/>
          <w:szCs w:val="24"/>
        </w:rPr>
        <w:t>Hypertoni</w:t>
      </w:r>
      <w:proofErr w:type="spellEnd"/>
      <w:r w:rsidRPr="007849BA">
        <w:rPr>
          <w:sz w:val="24"/>
          <w:szCs w:val="24"/>
        </w:rPr>
        <w:t xml:space="preserve"> og kropstemperatur &gt; 38 °C samt </w:t>
      </w:r>
      <w:proofErr w:type="spellStart"/>
      <w:r w:rsidRPr="007849BA">
        <w:rPr>
          <w:sz w:val="24"/>
          <w:szCs w:val="24"/>
        </w:rPr>
        <w:t>inducerbar</w:t>
      </w:r>
      <w:proofErr w:type="spellEnd"/>
      <w:r w:rsidRPr="007849BA">
        <w:rPr>
          <w:sz w:val="24"/>
          <w:szCs w:val="24"/>
        </w:rPr>
        <w:t xml:space="preserve"> </w:t>
      </w:r>
      <w:proofErr w:type="spellStart"/>
      <w:r w:rsidRPr="007849BA">
        <w:rPr>
          <w:sz w:val="24"/>
          <w:szCs w:val="24"/>
        </w:rPr>
        <w:t>okulær</w:t>
      </w:r>
      <w:proofErr w:type="spellEnd"/>
      <w:r w:rsidRPr="007849BA">
        <w:rPr>
          <w:sz w:val="24"/>
          <w:szCs w:val="24"/>
        </w:rPr>
        <w:t xml:space="preserve"> </w:t>
      </w:r>
      <w:proofErr w:type="spellStart"/>
      <w:r w:rsidRPr="007849BA">
        <w:rPr>
          <w:sz w:val="24"/>
          <w:szCs w:val="24"/>
        </w:rPr>
        <w:t>klonus</w:t>
      </w:r>
      <w:proofErr w:type="spellEnd"/>
    </w:p>
    <w:p w14:paraId="5C4555B3" w14:textId="77777777" w:rsidR="00295D2D" w:rsidRPr="007849BA" w:rsidRDefault="00295D2D" w:rsidP="00F4752A">
      <w:pPr>
        <w:ind w:left="851"/>
        <w:rPr>
          <w:sz w:val="24"/>
          <w:szCs w:val="24"/>
        </w:rPr>
      </w:pPr>
    </w:p>
    <w:p w14:paraId="6AF58CAA" w14:textId="77777777" w:rsidR="00295D2D" w:rsidRPr="007849BA" w:rsidRDefault="00295D2D" w:rsidP="00F4752A">
      <w:pPr>
        <w:ind w:left="851"/>
        <w:rPr>
          <w:sz w:val="24"/>
          <w:szCs w:val="24"/>
        </w:rPr>
      </w:pPr>
      <w:proofErr w:type="spellStart"/>
      <w:r w:rsidRPr="007849BA">
        <w:rPr>
          <w:sz w:val="24"/>
          <w:szCs w:val="24"/>
        </w:rPr>
        <w:t>Seponering</w:t>
      </w:r>
      <w:proofErr w:type="spellEnd"/>
      <w:r w:rsidRPr="007849BA">
        <w:rPr>
          <w:sz w:val="24"/>
          <w:szCs w:val="24"/>
        </w:rPr>
        <w:t xml:space="preserve"> af det </w:t>
      </w:r>
      <w:proofErr w:type="spellStart"/>
      <w:r w:rsidRPr="007849BA">
        <w:rPr>
          <w:sz w:val="24"/>
          <w:szCs w:val="24"/>
        </w:rPr>
        <w:t>serotonerge</w:t>
      </w:r>
      <w:proofErr w:type="spellEnd"/>
      <w:r w:rsidRPr="007849BA">
        <w:rPr>
          <w:sz w:val="24"/>
          <w:szCs w:val="24"/>
        </w:rPr>
        <w:t xml:space="preserve"> lægemiddel giver normalt en hurtig forbedring. Behandling vil afhænge af art og sværhedsgrad af symptomerne.</w:t>
      </w:r>
    </w:p>
    <w:p w14:paraId="69225163" w14:textId="77777777" w:rsidR="00295D2D" w:rsidRPr="007849BA" w:rsidRDefault="00295D2D" w:rsidP="00F4752A">
      <w:pPr>
        <w:ind w:left="851"/>
        <w:rPr>
          <w:iCs/>
          <w:sz w:val="24"/>
          <w:szCs w:val="24"/>
          <w:highlight w:val="yellow"/>
        </w:rPr>
      </w:pPr>
    </w:p>
    <w:p w14:paraId="64993813" w14:textId="77777777" w:rsidR="00295D2D" w:rsidRPr="007849BA" w:rsidRDefault="00295D2D" w:rsidP="00F4752A">
      <w:pPr>
        <w:ind w:left="851"/>
        <w:rPr>
          <w:sz w:val="24"/>
          <w:szCs w:val="24"/>
        </w:rPr>
      </w:pPr>
      <w:r w:rsidRPr="007849BA">
        <w:rPr>
          <w:sz w:val="24"/>
          <w:szCs w:val="24"/>
        </w:rPr>
        <w:t xml:space="preserve">Den vigtigste eliminationsvej for </w:t>
      </w:r>
      <w:proofErr w:type="spellStart"/>
      <w:r w:rsidRPr="007849BA">
        <w:rPr>
          <w:sz w:val="24"/>
          <w:szCs w:val="24"/>
        </w:rPr>
        <w:t>tapentadol</w:t>
      </w:r>
      <w:proofErr w:type="spellEnd"/>
      <w:r w:rsidRPr="007849BA">
        <w:rPr>
          <w:sz w:val="24"/>
          <w:szCs w:val="24"/>
        </w:rPr>
        <w:t xml:space="preserve"> er </w:t>
      </w:r>
      <w:proofErr w:type="spellStart"/>
      <w:r w:rsidRPr="007849BA">
        <w:rPr>
          <w:sz w:val="24"/>
          <w:szCs w:val="24"/>
        </w:rPr>
        <w:t>konjugering</w:t>
      </w:r>
      <w:proofErr w:type="spellEnd"/>
      <w:r w:rsidRPr="007849BA">
        <w:rPr>
          <w:sz w:val="24"/>
          <w:szCs w:val="24"/>
        </w:rPr>
        <w:t xml:space="preserve"> med </w:t>
      </w:r>
      <w:proofErr w:type="spellStart"/>
      <w:r w:rsidRPr="007849BA">
        <w:rPr>
          <w:sz w:val="24"/>
          <w:szCs w:val="24"/>
        </w:rPr>
        <w:t>glucoronsyre</w:t>
      </w:r>
      <w:proofErr w:type="spellEnd"/>
      <w:r w:rsidRPr="007849BA">
        <w:rPr>
          <w:sz w:val="24"/>
          <w:szCs w:val="24"/>
        </w:rPr>
        <w:t xml:space="preserve"> via </w:t>
      </w:r>
      <w:proofErr w:type="spellStart"/>
      <w:r w:rsidRPr="007849BA">
        <w:rPr>
          <w:sz w:val="24"/>
          <w:szCs w:val="24"/>
        </w:rPr>
        <w:t>uridin</w:t>
      </w:r>
      <w:r w:rsidRPr="007849BA">
        <w:rPr>
          <w:sz w:val="24"/>
          <w:szCs w:val="24"/>
        </w:rPr>
        <w:softHyphen/>
        <w:t>diphosphattransferase</w:t>
      </w:r>
      <w:proofErr w:type="spellEnd"/>
      <w:r w:rsidRPr="007849BA">
        <w:rPr>
          <w:sz w:val="24"/>
          <w:szCs w:val="24"/>
        </w:rPr>
        <w:t xml:space="preserve"> (UGT), primært </w:t>
      </w:r>
      <w:proofErr w:type="spellStart"/>
      <w:r w:rsidRPr="007849BA">
        <w:rPr>
          <w:sz w:val="24"/>
          <w:szCs w:val="24"/>
        </w:rPr>
        <w:t>isoformerne</w:t>
      </w:r>
      <w:proofErr w:type="spellEnd"/>
      <w:r w:rsidRPr="007849BA">
        <w:rPr>
          <w:sz w:val="24"/>
          <w:szCs w:val="24"/>
        </w:rPr>
        <w:t xml:space="preserve"> UGT1A6, UGT1A9 og UGT2B7. Derfor kan samtidig behandling med stærke inhibitorer af disse </w:t>
      </w:r>
      <w:proofErr w:type="spellStart"/>
      <w:r w:rsidRPr="007849BA">
        <w:rPr>
          <w:sz w:val="24"/>
          <w:szCs w:val="24"/>
        </w:rPr>
        <w:t>isoenzymer</w:t>
      </w:r>
      <w:proofErr w:type="spellEnd"/>
      <w:r w:rsidRPr="007849BA">
        <w:rPr>
          <w:sz w:val="24"/>
          <w:szCs w:val="24"/>
        </w:rPr>
        <w:t xml:space="preserve"> (f.eks. </w:t>
      </w:r>
      <w:proofErr w:type="spellStart"/>
      <w:r w:rsidRPr="007849BA">
        <w:rPr>
          <w:sz w:val="24"/>
          <w:szCs w:val="24"/>
        </w:rPr>
        <w:t>ketoconazol</w:t>
      </w:r>
      <w:proofErr w:type="spellEnd"/>
      <w:r w:rsidRPr="007849BA">
        <w:rPr>
          <w:sz w:val="24"/>
          <w:szCs w:val="24"/>
        </w:rPr>
        <w:t xml:space="preserve">, </w:t>
      </w:r>
      <w:proofErr w:type="spellStart"/>
      <w:r w:rsidRPr="007849BA">
        <w:rPr>
          <w:sz w:val="24"/>
          <w:szCs w:val="24"/>
        </w:rPr>
        <w:t>fluconazol</w:t>
      </w:r>
      <w:proofErr w:type="spellEnd"/>
      <w:r w:rsidRPr="007849BA">
        <w:rPr>
          <w:sz w:val="24"/>
          <w:szCs w:val="24"/>
        </w:rPr>
        <w:t xml:space="preserve">, </w:t>
      </w:r>
      <w:proofErr w:type="spellStart"/>
      <w:r w:rsidRPr="007849BA">
        <w:rPr>
          <w:sz w:val="24"/>
          <w:szCs w:val="24"/>
        </w:rPr>
        <w:t>meclofenaminsyre</w:t>
      </w:r>
      <w:proofErr w:type="spellEnd"/>
      <w:r w:rsidRPr="007849BA">
        <w:rPr>
          <w:sz w:val="24"/>
          <w:szCs w:val="24"/>
        </w:rPr>
        <w:t xml:space="preserve">) føre til øget systemisk eksponering af </w:t>
      </w:r>
      <w:proofErr w:type="spellStart"/>
      <w:r w:rsidRPr="007849BA">
        <w:rPr>
          <w:sz w:val="24"/>
          <w:szCs w:val="24"/>
        </w:rPr>
        <w:t>tapentadol</w:t>
      </w:r>
      <w:proofErr w:type="spellEnd"/>
      <w:r w:rsidRPr="007849BA">
        <w:rPr>
          <w:sz w:val="24"/>
          <w:szCs w:val="24"/>
        </w:rPr>
        <w:t xml:space="preserve"> (se pkt. 5.2). </w:t>
      </w:r>
    </w:p>
    <w:p w14:paraId="65092D6E" w14:textId="77777777" w:rsidR="00295D2D" w:rsidRPr="007849BA" w:rsidRDefault="00295D2D" w:rsidP="00F4752A">
      <w:pPr>
        <w:ind w:left="851"/>
        <w:rPr>
          <w:sz w:val="24"/>
          <w:szCs w:val="24"/>
        </w:rPr>
      </w:pPr>
    </w:p>
    <w:p w14:paraId="2C20D0D2" w14:textId="77777777" w:rsidR="00295D2D" w:rsidRPr="007849BA" w:rsidRDefault="00295D2D" w:rsidP="00F4752A">
      <w:pPr>
        <w:ind w:left="851"/>
        <w:rPr>
          <w:sz w:val="24"/>
          <w:szCs w:val="24"/>
        </w:rPr>
      </w:pPr>
      <w:r w:rsidRPr="007849BA">
        <w:rPr>
          <w:sz w:val="24"/>
          <w:szCs w:val="24"/>
        </w:rPr>
        <w:t xml:space="preserve">For patienter i behandling med </w:t>
      </w:r>
      <w:proofErr w:type="spellStart"/>
      <w:r w:rsidRPr="007849BA">
        <w:rPr>
          <w:sz w:val="24"/>
          <w:szCs w:val="24"/>
        </w:rPr>
        <w:t>tapentadol</w:t>
      </w:r>
      <w:proofErr w:type="spellEnd"/>
      <w:r w:rsidRPr="007849BA">
        <w:rPr>
          <w:sz w:val="24"/>
          <w:szCs w:val="24"/>
        </w:rPr>
        <w:t xml:space="preserve"> bør der udvises forsigtighed, hvis samtidig indtagelse af stærkt enzyminducerende stoffer (f.eks. </w:t>
      </w:r>
      <w:proofErr w:type="spellStart"/>
      <w:r w:rsidRPr="007849BA">
        <w:rPr>
          <w:sz w:val="24"/>
          <w:szCs w:val="24"/>
        </w:rPr>
        <w:t>rifampicin</w:t>
      </w:r>
      <w:proofErr w:type="spellEnd"/>
      <w:r w:rsidRPr="007849BA">
        <w:rPr>
          <w:sz w:val="24"/>
          <w:szCs w:val="24"/>
        </w:rPr>
        <w:t xml:space="preserve">, </w:t>
      </w:r>
      <w:proofErr w:type="spellStart"/>
      <w:r w:rsidRPr="007849BA">
        <w:rPr>
          <w:sz w:val="24"/>
          <w:szCs w:val="24"/>
        </w:rPr>
        <w:t>fenobarbital</w:t>
      </w:r>
      <w:proofErr w:type="spellEnd"/>
      <w:r w:rsidRPr="007849BA">
        <w:rPr>
          <w:sz w:val="24"/>
          <w:szCs w:val="24"/>
        </w:rPr>
        <w:t>, perikon (</w:t>
      </w:r>
      <w:proofErr w:type="spellStart"/>
      <w:r w:rsidRPr="007849BA">
        <w:rPr>
          <w:sz w:val="24"/>
          <w:szCs w:val="24"/>
        </w:rPr>
        <w:t>hypericum</w:t>
      </w:r>
      <w:proofErr w:type="spellEnd"/>
      <w:r w:rsidRPr="007849BA">
        <w:rPr>
          <w:sz w:val="24"/>
          <w:szCs w:val="24"/>
        </w:rPr>
        <w:t xml:space="preserve"> </w:t>
      </w:r>
      <w:proofErr w:type="spellStart"/>
      <w:r w:rsidRPr="007849BA">
        <w:rPr>
          <w:sz w:val="24"/>
          <w:szCs w:val="24"/>
        </w:rPr>
        <w:t>perforatum</w:t>
      </w:r>
      <w:proofErr w:type="spellEnd"/>
      <w:r w:rsidRPr="007849BA">
        <w:rPr>
          <w:sz w:val="24"/>
          <w:szCs w:val="24"/>
        </w:rPr>
        <w:t>)) startes eller stoppes, da det kan forårsage henholdsvis nedsat effekt eller risiko for bivirkninger.</w:t>
      </w:r>
    </w:p>
    <w:p w14:paraId="01F7C56F" w14:textId="77777777" w:rsidR="00295D2D" w:rsidRPr="007849BA" w:rsidRDefault="00295D2D" w:rsidP="00F4752A">
      <w:pPr>
        <w:ind w:left="851"/>
        <w:rPr>
          <w:sz w:val="24"/>
          <w:szCs w:val="24"/>
        </w:rPr>
      </w:pPr>
    </w:p>
    <w:p w14:paraId="195DEF32" w14:textId="33771A09" w:rsidR="00295D2D" w:rsidRPr="007849BA" w:rsidRDefault="00295D2D" w:rsidP="00F4752A">
      <w:pPr>
        <w:ind w:left="851"/>
        <w:rPr>
          <w:sz w:val="24"/>
          <w:szCs w:val="24"/>
        </w:rPr>
      </w:pPr>
      <w:r w:rsidRPr="007849BA">
        <w:rPr>
          <w:sz w:val="24"/>
          <w:szCs w:val="24"/>
        </w:rPr>
        <w:t xml:space="preserve">Behandling med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undgås hos patienter, som får MAO-</w:t>
      </w:r>
      <w:proofErr w:type="spellStart"/>
      <w:r w:rsidRPr="007849BA">
        <w:rPr>
          <w:sz w:val="24"/>
          <w:szCs w:val="24"/>
        </w:rPr>
        <w:t>hæmmere</w:t>
      </w:r>
      <w:proofErr w:type="spellEnd"/>
      <w:r w:rsidRPr="007849BA">
        <w:rPr>
          <w:sz w:val="24"/>
          <w:szCs w:val="24"/>
        </w:rPr>
        <w:t xml:space="preserve"> (</w:t>
      </w:r>
      <w:proofErr w:type="spellStart"/>
      <w:r w:rsidRPr="007849BA">
        <w:rPr>
          <w:sz w:val="24"/>
          <w:szCs w:val="24"/>
        </w:rPr>
        <w:t>monoamino</w:t>
      </w:r>
      <w:r w:rsidRPr="007849BA">
        <w:rPr>
          <w:sz w:val="24"/>
          <w:szCs w:val="24"/>
        </w:rPr>
        <w:softHyphen/>
        <w:t>oxidase</w:t>
      </w:r>
      <w:proofErr w:type="spellEnd"/>
      <w:r w:rsidRPr="007849BA">
        <w:rPr>
          <w:sz w:val="24"/>
          <w:szCs w:val="24"/>
        </w:rPr>
        <w:t xml:space="preserve"> </w:t>
      </w:r>
      <w:proofErr w:type="spellStart"/>
      <w:r w:rsidRPr="007849BA">
        <w:rPr>
          <w:sz w:val="24"/>
          <w:szCs w:val="24"/>
        </w:rPr>
        <w:t>hæmmere</w:t>
      </w:r>
      <w:proofErr w:type="spellEnd"/>
      <w:r w:rsidRPr="007849BA">
        <w:rPr>
          <w:sz w:val="24"/>
          <w:szCs w:val="24"/>
        </w:rPr>
        <w:t xml:space="preserve">), eller som har anvendt disse midler i løbet af de seneste 14 dage, på grund af potentielle </w:t>
      </w:r>
      <w:proofErr w:type="spellStart"/>
      <w:r w:rsidRPr="007849BA">
        <w:rPr>
          <w:sz w:val="24"/>
          <w:szCs w:val="24"/>
        </w:rPr>
        <w:t>additive</w:t>
      </w:r>
      <w:proofErr w:type="spellEnd"/>
      <w:r w:rsidRPr="007849BA">
        <w:rPr>
          <w:sz w:val="24"/>
          <w:szCs w:val="24"/>
        </w:rPr>
        <w:t xml:space="preserve"> virkninger på koncentrationen af noradrenalin i synapserne, hvilket kan føre til </w:t>
      </w:r>
      <w:proofErr w:type="spellStart"/>
      <w:r w:rsidRPr="007849BA">
        <w:rPr>
          <w:sz w:val="24"/>
          <w:szCs w:val="24"/>
        </w:rPr>
        <w:t>kardiovaskulære</w:t>
      </w:r>
      <w:proofErr w:type="spellEnd"/>
      <w:r w:rsidRPr="007849BA">
        <w:rPr>
          <w:sz w:val="24"/>
          <w:szCs w:val="24"/>
        </w:rPr>
        <w:t xml:space="preserve"> bivirkninger, f.eks. en </w:t>
      </w:r>
      <w:proofErr w:type="spellStart"/>
      <w:r w:rsidRPr="007849BA">
        <w:rPr>
          <w:sz w:val="24"/>
          <w:szCs w:val="24"/>
        </w:rPr>
        <w:t>hypertensiv</w:t>
      </w:r>
      <w:proofErr w:type="spellEnd"/>
      <w:r w:rsidRPr="007849BA">
        <w:rPr>
          <w:sz w:val="24"/>
          <w:szCs w:val="24"/>
        </w:rPr>
        <w:t xml:space="preserve"> krise.</w:t>
      </w:r>
    </w:p>
    <w:p w14:paraId="02C174EA" w14:textId="77777777" w:rsidR="009260DE" w:rsidRPr="007849BA" w:rsidRDefault="009260DE" w:rsidP="009260DE">
      <w:pPr>
        <w:tabs>
          <w:tab w:val="left" w:pos="851"/>
        </w:tabs>
        <w:ind w:left="851"/>
        <w:rPr>
          <w:sz w:val="24"/>
          <w:szCs w:val="24"/>
        </w:rPr>
      </w:pPr>
    </w:p>
    <w:p w14:paraId="52AEEFAD" w14:textId="77777777" w:rsidR="009260DE" w:rsidRPr="007849BA" w:rsidRDefault="009260DE" w:rsidP="009260DE">
      <w:pPr>
        <w:tabs>
          <w:tab w:val="left" w:pos="851"/>
        </w:tabs>
        <w:ind w:left="851" w:hanging="851"/>
        <w:rPr>
          <w:b/>
          <w:sz w:val="24"/>
          <w:szCs w:val="24"/>
        </w:rPr>
      </w:pPr>
      <w:r w:rsidRPr="007849BA">
        <w:rPr>
          <w:b/>
          <w:sz w:val="24"/>
          <w:szCs w:val="24"/>
        </w:rPr>
        <w:t>4.6</w:t>
      </w:r>
      <w:r w:rsidRPr="007849BA">
        <w:rPr>
          <w:b/>
          <w:sz w:val="24"/>
          <w:szCs w:val="24"/>
        </w:rPr>
        <w:tab/>
      </w:r>
      <w:r w:rsidR="0071241E" w:rsidRPr="007849BA">
        <w:rPr>
          <w:b/>
          <w:sz w:val="24"/>
          <w:szCs w:val="24"/>
        </w:rPr>
        <w:t>Fertilitet, g</w:t>
      </w:r>
      <w:r w:rsidRPr="007849BA">
        <w:rPr>
          <w:b/>
          <w:sz w:val="24"/>
          <w:szCs w:val="24"/>
        </w:rPr>
        <w:t>raviditet og amning</w:t>
      </w:r>
    </w:p>
    <w:p w14:paraId="53FA3146" w14:textId="77777777" w:rsidR="00D07E17" w:rsidRPr="007849BA" w:rsidRDefault="00D07E17" w:rsidP="00F4752A">
      <w:pPr>
        <w:ind w:left="851"/>
        <w:rPr>
          <w:noProof/>
          <w:sz w:val="24"/>
          <w:szCs w:val="24"/>
        </w:rPr>
      </w:pPr>
    </w:p>
    <w:p w14:paraId="2839009C" w14:textId="7F7C05DF" w:rsidR="00295D2D" w:rsidRPr="007849BA" w:rsidRDefault="00295D2D" w:rsidP="00F4752A">
      <w:pPr>
        <w:ind w:left="851"/>
        <w:rPr>
          <w:sz w:val="24"/>
          <w:szCs w:val="24"/>
          <w:u w:val="single"/>
        </w:rPr>
      </w:pPr>
      <w:r w:rsidRPr="007849BA">
        <w:rPr>
          <w:noProof/>
          <w:sz w:val="24"/>
          <w:szCs w:val="24"/>
          <w:u w:val="single"/>
        </w:rPr>
        <w:t>Graviditet</w:t>
      </w:r>
    </w:p>
    <w:p w14:paraId="2DD92A54" w14:textId="77777777" w:rsidR="00295D2D" w:rsidRPr="007849BA" w:rsidRDefault="00295D2D" w:rsidP="00F4752A">
      <w:pPr>
        <w:ind w:left="851"/>
        <w:rPr>
          <w:sz w:val="24"/>
          <w:szCs w:val="24"/>
        </w:rPr>
      </w:pPr>
      <w:r w:rsidRPr="007849BA">
        <w:rPr>
          <w:sz w:val="24"/>
          <w:szCs w:val="24"/>
        </w:rPr>
        <w:t>Der er meget begrænsede data fra anvendelse til gravide kvinder.</w:t>
      </w:r>
    </w:p>
    <w:p w14:paraId="7F39A131" w14:textId="77777777" w:rsidR="00295D2D" w:rsidRPr="007849BA" w:rsidRDefault="00295D2D" w:rsidP="00F4752A">
      <w:pPr>
        <w:ind w:left="851"/>
        <w:rPr>
          <w:sz w:val="24"/>
          <w:szCs w:val="24"/>
        </w:rPr>
      </w:pPr>
    </w:p>
    <w:p w14:paraId="60E9DC58" w14:textId="77777777" w:rsidR="00295D2D" w:rsidRPr="007849BA" w:rsidRDefault="00295D2D" w:rsidP="00F4752A">
      <w:pPr>
        <w:ind w:left="851"/>
        <w:rPr>
          <w:sz w:val="24"/>
          <w:szCs w:val="24"/>
        </w:rPr>
      </w:pPr>
      <w:r w:rsidRPr="007849BA">
        <w:rPr>
          <w:sz w:val="24"/>
          <w:szCs w:val="24"/>
        </w:rPr>
        <w:t xml:space="preserve">Dyrestudier har ikke vist </w:t>
      </w:r>
      <w:proofErr w:type="spellStart"/>
      <w:r w:rsidRPr="007849BA">
        <w:rPr>
          <w:sz w:val="24"/>
          <w:szCs w:val="24"/>
        </w:rPr>
        <w:t>teratogene</w:t>
      </w:r>
      <w:proofErr w:type="spellEnd"/>
      <w:r w:rsidRPr="007849BA">
        <w:rPr>
          <w:sz w:val="24"/>
          <w:szCs w:val="24"/>
        </w:rPr>
        <w:t xml:space="preserve"> virkninger. Der forekom dog sen udvikling og embryotoksicitet i doser der resulterede i overeksponering (påvirkning af centralnervesystemet relateret til µ-opioider ved doser, der oversteg det terapeutiske interval). Virkning på den </w:t>
      </w:r>
      <w:proofErr w:type="spellStart"/>
      <w:r w:rsidRPr="007849BA">
        <w:rPr>
          <w:sz w:val="24"/>
          <w:szCs w:val="24"/>
        </w:rPr>
        <w:t>postnatale</w:t>
      </w:r>
      <w:proofErr w:type="spellEnd"/>
      <w:r w:rsidRPr="007849BA">
        <w:rPr>
          <w:sz w:val="24"/>
          <w:szCs w:val="24"/>
        </w:rPr>
        <w:t xml:space="preserve"> udvikling var tidligere set i moderens NOAEL (se pkt. 5.3). </w:t>
      </w:r>
    </w:p>
    <w:p w14:paraId="06B70C71" w14:textId="77777777" w:rsidR="00295D2D" w:rsidRPr="007849BA" w:rsidRDefault="00295D2D" w:rsidP="00F4752A">
      <w:pPr>
        <w:ind w:left="851"/>
        <w:rPr>
          <w:sz w:val="24"/>
          <w:szCs w:val="24"/>
        </w:rPr>
      </w:pPr>
    </w:p>
    <w:p w14:paraId="3764F0D1" w14:textId="476CD5C0"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kun anvendes under graviditet, hvis den potentielle risiko for fostret opvejes af de potentielle fordele. Ved langvarig brug af opioider under graviditet vil fosteret også blive eksponeret. Dette kan føre til, at det nyfødte barn udvikler neonatalt abstinenssyndrom (NAS). Neonatalt abstinenssyndrom kan være livstruende, hvis det ikke opdages og behandles. En </w:t>
      </w:r>
      <w:proofErr w:type="spellStart"/>
      <w:r w:rsidRPr="007849BA">
        <w:rPr>
          <w:sz w:val="24"/>
          <w:szCs w:val="24"/>
        </w:rPr>
        <w:t>antidot</w:t>
      </w:r>
      <w:proofErr w:type="spellEnd"/>
      <w:r w:rsidRPr="007849BA">
        <w:rPr>
          <w:sz w:val="24"/>
          <w:szCs w:val="24"/>
        </w:rPr>
        <w:t xml:space="preserve"> til det nyfødte barn skal være let tilgængelig.</w:t>
      </w:r>
    </w:p>
    <w:p w14:paraId="36774A62" w14:textId="77777777" w:rsidR="00295D2D" w:rsidRPr="007849BA" w:rsidRDefault="00295D2D" w:rsidP="00F4752A">
      <w:pPr>
        <w:ind w:left="851"/>
        <w:rPr>
          <w:sz w:val="24"/>
          <w:szCs w:val="24"/>
        </w:rPr>
      </w:pPr>
    </w:p>
    <w:p w14:paraId="196D5DE2" w14:textId="77777777" w:rsidR="00295D2D" w:rsidRPr="007849BA" w:rsidRDefault="00295D2D" w:rsidP="00F4752A">
      <w:pPr>
        <w:ind w:left="851"/>
        <w:rPr>
          <w:sz w:val="24"/>
          <w:szCs w:val="24"/>
          <w:u w:val="single"/>
        </w:rPr>
      </w:pPr>
      <w:r w:rsidRPr="007849BA">
        <w:rPr>
          <w:sz w:val="24"/>
          <w:szCs w:val="24"/>
          <w:u w:val="single"/>
        </w:rPr>
        <w:t>Fødselsveer og fødsel</w:t>
      </w:r>
    </w:p>
    <w:p w14:paraId="13B75722" w14:textId="7E150398" w:rsidR="00295D2D" w:rsidRPr="007849BA" w:rsidRDefault="00295D2D" w:rsidP="00F4752A">
      <w:pPr>
        <w:ind w:left="851"/>
        <w:rPr>
          <w:sz w:val="24"/>
          <w:szCs w:val="24"/>
        </w:rPr>
      </w:pPr>
      <w:proofErr w:type="spellStart"/>
      <w:r w:rsidRPr="007849BA">
        <w:rPr>
          <w:sz w:val="24"/>
          <w:szCs w:val="24"/>
        </w:rPr>
        <w:t>Tapentadols</w:t>
      </w:r>
      <w:proofErr w:type="spellEnd"/>
      <w:r w:rsidRPr="007849BA">
        <w:rPr>
          <w:sz w:val="24"/>
          <w:szCs w:val="24"/>
        </w:rPr>
        <w:t xml:space="preserve"> påvirkning af veer og fødsel hos mennesker kendes ikke.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bør ikke anvendes til kvinder med fødselsveer og umiddelbart før en fødsel. På grund af </w:t>
      </w:r>
      <w:proofErr w:type="spellStart"/>
      <w:r w:rsidRPr="007849BA">
        <w:rPr>
          <w:sz w:val="24"/>
          <w:szCs w:val="24"/>
        </w:rPr>
        <w:t>tapentadols</w:t>
      </w:r>
      <w:proofErr w:type="spellEnd"/>
      <w:r w:rsidRPr="007849BA">
        <w:rPr>
          <w:sz w:val="24"/>
          <w:szCs w:val="24"/>
        </w:rPr>
        <w:t xml:space="preserve"> µ-</w:t>
      </w:r>
      <w:proofErr w:type="spellStart"/>
      <w:r w:rsidRPr="007849BA">
        <w:rPr>
          <w:sz w:val="24"/>
          <w:szCs w:val="24"/>
        </w:rPr>
        <w:t>opioidagonistiske</w:t>
      </w:r>
      <w:proofErr w:type="spellEnd"/>
      <w:r w:rsidRPr="007849BA">
        <w:rPr>
          <w:sz w:val="24"/>
          <w:szCs w:val="24"/>
        </w:rPr>
        <w:t xml:space="preserve"> virkning skal nyfødte børn af mødre, som er blevet behandlet med </w:t>
      </w:r>
      <w:proofErr w:type="spellStart"/>
      <w:r w:rsidRPr="007849BA">
        <w:rPr>
          <w:sz w:val="24"/>
          <w:szCs w:val="24"/>
        </w:rPr>
        <w:t>tapentadol</w:t>
      </w:r>
      <w:proofErr w:type="spellEnd"/>
      <w:r w:rsidRPr="007849BA">
        <w:rPr>
          <w:sz w:val="24"/>
          <w:szCs w:val="24"/>
        </w:rPr>
        <w:t>, monitoreres for respirations</w:t>
      </w:r>
      <w:r w:rsidRPr="007849BA">
        <w:rPr>
          <w:sz w:val="24"/>
          <w:szCs w:val="24"/>
        </w:rPr>
        <w:softHyphen/>
        <w:t>depression.</w:t>
      </w:r>
    </w:p>
    <w:p w14:paraId="7B967762" w14:textId="77777777" w:rsidR="00295D2D" w:rsidRPr="007849BA" w:rsidRDefault="00295D2D" w:rsidP="00F4752A">
      <w:pPr>
        <w:ind w:left="851"/>
        <w:rPr>
          <w:noProof/>
          <w:sz w:val="24"/>
          <w:szCs w:val="24"/>
        </w:rPr>
      </w:pPr>
    </w:p>
    <w:p w14:paraId="566EE81B" w14:textId="77777777" w:rsidR="00295D2D" w:rsidRPr="007849BA" w:rsidRDefault="00295D2D" w:rsidP="00F4752A">
      <w:pPr>
        <w:ind w:left="851"/>
        <w:rPr>
          <w:noProof/>
          <w:sz w:val="24"/>
          <w:szCs w:val="24"/>
          <w:u w:val="single"/>
        </w:rPr>
      </w:pPr>
      <w:r w:rsidRPr="007849BA">
        <w:rPr>
          <w:noProof/>
          <w:sz w:val="24"/>
          <w:szCs w:val="24"/>
          <w:u w:val="single"/>
        </w:rPr>
        <w:t>Amning</w:t>
      </w:r>
    </w:p>
    <w:p w14:paraId="77CB373C" w14:textId="0653DBDD" w:rsidR="00295D2D" w:rsidRPr="007849BA" w:rsidRDefault="00295D2D" w:rsidP="00F4752A">
      <w:pPr>
        <w:ind w:left="851"/>
        <w:rPr>
          <w:sz w:val="24"/>
          <w:szCs w:val="24"/>
        </w:rPr>
      </w:pPr>
      <w:r w:rsidRPr="007849BA">
        <w:rPr>
          <w:sz w:val="24"/>
          <w:szCs w:val="24"/>
        </w:rPr>
        <w:t xml:space="preserve">Det er ukendt, om </w:t>
      </w:r>
      <w:proofErr w:type="spellStart"/>
      <w:r w:rsidRPr="007849BA">
        <w:rPr>
          <w:sz w:val="24"/>
          <w:szCs w:val="24"/>
        </w:rPr>
        <w:t>tapentadol</w:t>
      </w:r>
      <w:proofErr w:type="spellEnd"/>
      <w:r w:rsidRPr="007849BA">
        <w:rPr>
          <w:sz w:val="24"/>
          <w:szCs w:val="24"/>
        </w:rPr>
        <w:t xml:space="preserve"> udskilles i human mælk. I et studie med rotteunger, som diede hos moderdyr behandlet med </w:t>
      </w:r>
      <w:proofErr w:type="spellStart"/>
      <w:r w:rsidRPr="007849BA">
        <w:rPr>
          <w:sz w:val="24"/>
          <w:szCs w:val="24"/>
        </w:rPr>
        <w:t>tapentadol</w:t>
      </w:r>
      <w:proofErr w:type="spellEnd"/>
      <w:r w:rsidRPr="007849BA">
        <w:rPr>
          <w:sz w:val="24"/>
          <w:szCs w:val="24"/>
        </w:rPr>
        <w:t xml:space="preserve">, blev det konkluderet, at </w:t>
      </w:r>
      <w:proofErr w:type="spellStart"/>
      <w:r w:rsidRPr="007849BA">
        <w:rPr>
          <w:sz w:val="24"/>
          <w:szCs w:val="24"/>
        </w:rPr>
        <w:t>tapentadol</w:t>
      </w:r>
      <w:proofErr w:type="spellEnd"/>
      <w:r w:rsidRPr="007849BA">
        <w:rPr>
          <w:sz w:val="24"/>
          <w:szCs w:val="24"/>
        </w:rPr>
        <w:t xml:space="preserve"> udskilles i mælken (se pkt. 5.3). Det kan derfor ikke udelukkes, at der foreligger en risiko for det ammede barn.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må ikke anvendes under amning.</w:t>
      </w:r>
    </w:p>
    <w:p w14:paraId="4A12FA6C" w14:textId="77777777" w:rsidR="00295D2D" w:rsidRPr="007849BA" w:rsidRDefault="00295D2D" w:rsidP="00F4752A">
      <w:pPr>
        <w:ind w:left="851"/>
        <w:rPr>
          <w:noProof/>
          <w:sz w:val="24"/>
          <w:szCs w:val="24"/>
        </w:rPr>
      </w:pPr>
    </w:p>
    <w:p w14:paraId="551DE45D" w14:textId="77777777" w:rsidR="00295D2D" w:rsidRPr="007849BA" w:rsidRDefault="00295D2D" w:rsidP="00F4752A">
      <w:pPr>
        <w:ind w:left="851"/>
        <w:rPr>
          <w:sz w:val="24"/>
          <w:szCs w:val="24"/>
          <w:u w:val="single"/>
        </w:rPr>
      </w:pPr>
      <w:r w:rsidRPr="007849BA">
        <w:rPr>
          <w:noProof/>
          <w:sz w:val="24"/>
          <w:szCs w:val="24"/>
          <w:u w:val="single"/>
        </w:rPr>
        <w:t>Fertilitet</w:t>
      </w:r>
      <w:r w:rsidRPr="007849BA">
        <w:rPr>
          <w:sz w:val="24"/>
          <w:szCs w:val="24"/>
          <w:u w:val="single"/>
        </w:rPr>
        <w:t xml:space="preserve"> </w:t>
      </w:r>
    </w:p>
    <w:p w14:paraId="76CEA989" w14:textId="0CF64F0B" w:rsidR="00295D2D" w:rsidRPr="007849BA" w:rsidRDefault="00295D2D" w:rsidP="00F4752A">
      <w:pPr>
        <w:ind w:left="851"/>
        <w:rPr>
          <w:sz w:val="24"/>
          <w:szCs w:val="24"/>
        </w:rPr>
      </w:pPr>
      <w:r w:rsidRPr="007849BA">
        <w:rPr>
          <w:sz w:val="24"/>
          <w:szCs w:val="24"/>
        </w:rPr>
        <w:t xml:space="preserve">Der foreligger ingen tilgængelige humane data for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 xml:space="preserve">"G.L. </w:t>
      </w:r>
      <w:proofErr w:type="spellStart"/>
      <w:r w:rsidR="00F4752A" w:rsidRPr="007849BA">
        <w:rPr>
          <w:sz w:val="24"/>
          <w:szCs w:val="24"/>
        </w:rPr>
        <w:t>Pharma"</w:t>
      </w:r>
      <w:r w:rsidRPr="007849BA">
        <w:rPr>
          <w:sz w:val="24"/>
          <w:szCs w:val="24"/>
        </w:rPr>
        <w:t>s</w:t>
      </w:r>
      <w:proofErr w:type="spellEnd"/>
      <w:r w:rsidRPr="007849BA">
        <w:rPr>
          <w:sz w:val="24"/>
          <w:szCs w:val="24"/>
        </w:rPr>
        <w:t xml:space="preserve"> påvirkning af fertiliteten. I et studie af fertilitets- og tidlig embryonal udvikling blev der ikke observeret påvirkning af reproduktive parametre hos han- eller hunrotter (se pkt. 5.3).</w:t>
      </w:r>
    </w:p>
    <w:p w14:paraId="1DB86EBE" w14:textId="77777777" w:rsidR="009260DE" w:rsidRPr="007849BA" w:rsidRDefault="009260DE" w:rsidP="009260DE">
      <w:pPr>
        <w:tabs>
          <w:tab w:val="left" w:pos="851"/>
        </w:tabs>
        <w:ind w:left="851"/>
        <w:rPr>
          <w:sz w:val="24"/>
          <w:szCs w:val="24"/>
        </w:rPr>
      </w:pPr>
    </w:p>
    <w:p w14:paraId="477D31C9" w14:textId="77777777" w:rsidR="009260DE" w:rsidRPr="007849BA" w:rsidRDefault="009260DE" w:rsidP="009260DE">
      <w:pPr>
        <w:tabs>
          <w:tab w:val="left" w:pos="851"/>
        </w:tabs>
        <w:ind w:left="851" w:hanging="851"/>
        <w:rPr>
          <w:b/>
          <w:sz w:val="24"/>
          <w:szCs w:val="24"/>
        </w:rPr>
      </w:pPr>
      <w:r w:rsidRPr="007849BA">
        <w:rPr>
          <w:b/>
          <w:sz w:val="24"/>
          <w:szCs w:val="24"/>
        </w:rPr>
        <w:t>4.7</w:t>
      </w:r>
      <w:r w:rsidRPr="007849BA">
        <w:rPr>
          <w:b/>
          <w:sz w:val="24"/>
          <w:szCs w:val="24"/>
        </w:rPr>
        <w:tab/>
        <w:t xml:space="preserve">Virkning på evnen til at føre motorkøretøj </w:t>
      </w:r>
      <w:r w:rsidR="0071241E" w:rsidRPr="007849BA">
        <w:rPr>
          <w:b/>
          <w:sz w:val="24"/>
          <w:szCs w:val="24"/>
        </w:rPr>
        <w:t>og</w:t>
      </w:r>
      <w:r w:rsidRPr="007849BA">
        <w:rPr>
          <w:b/>
          <w:sz w:val="24"/>
          <w:szCs w:val="24"/>
        </w:rPr>
        <w:t xml:space="preserve"> betjene maskiner</w:t>
      </w:r>
    </w:p>
    <w:p w14:paraId="5B24A3E2" w14:textId="77777777" w:rsidR="00295D2D" w:rsidRPr="007849BA" w:rsidRDefault="00295D2D" w:rsidP="00F4752A">
      <w:pPr>
        <w:ind w:left="851"/>
        <w:rPr>
          <w:sz w:val="24"/>
          <w:szCs w:val="24"/>
        </w:rPr>
      </w:pPr>
      <w:r w:rsidRPr="007849BA">
        <w:rPr>
          <w:sz w:val="24"/>
          <w:szCs w:val="24"/>
        </w:rPr>
        <w:t xml:space="preserve">Mærkning. </w:t>
      </w:r>
    </w:p>
    <w:p w14:paraId="27B00353" w14:textId="05CF8051"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kan påvirke evnen til at føre motorkøretøj og betjene maskiner i væsentlig grad, eftersom det nedsætter funktionen af centralnervesystemet (se pkt. 4.8). Dette gælder især i begyndelsen af behandlingen, når der foretages dosisændring samt i forbindelse med brug af alkohol eller beroligende midler (se pkt. 4.4). Patienterne skal informeres om risikoen ved at føre motorkøretøj og betjene maskiner.</w:t>
      </w:r>
    </w:p>
    <w:p w14:paraId="77298511" w14:textId="77777777" w:rsidR="009260DE" w:rsidRPr="007849BA" w:rsidRDefault="009260DE" w:rsidP="009260DE">
      <w:pPr>
        <w:tabs>
          <w:tab w:val="left" w:pos="851"/>
        </w:tabs>
        <w:ind w:left="851"/>
        <w:rPr>
          <w:sz w:val="24"/>
          <w:szCs w:val="24"/>
        </w:rPr>
      </w:pPr>
    </w:p>
    <w:p w14:paraId="0EE2D178" w14:textId="77777777" w:rsidR="009260DE" w:rsidRPr="007849BA" w:rsidRDefault="009260DE" w:rsidP="009260DE">
      <w:pPr>
        <w:tabs>
          <w:tab w:val="left" w:pos="851"/>
        </w:tabs>
        <w:ind w:left="851" w:hanging="851"/>
        <w:rPr>
          <w:b/>
          <w:sz w:val="24"/>
          <w:szCs w:val="24"/>
        </w:rPr>
      </w:pPr>
      <w:r w:rsidRPr="007849BA">
        <w:rPr>
          <w:b/>
          <w:sz w:val="24"/>
          <w:szCs w:val="24"/>
        </w:rPr>
        <w:t>4.8</w:t>
      </w:r>
      <w:r w:rsidRPr="007849BA">
        <w:rPr>
          <w:b/>
          <w:sz w:val="24"/>
          <w:szCs w:val="24"/>
        </w:rPr>
        <w:tab/>
        <w:t>Bivirkninger</w:t>
      </w:r>
    </w:p>
    <w:p w14:paraId="5B334384" w14:textId="77777777" w:rsidR="00295D2D" w:rsidRPr="007849BA" w:rsidRDefault="00295D2D" w:rsidP="00F4752A">
      <w:pPr>
        <w:ind w:left="851"/>
        <w:rPr>
          <w:sz w:val="24"/>
          <w:szCs w:val="24"/>
        </w:rPr>
      </w:pPr>
      <w:r w:rsidRPr="007849BA">
        <w:rPr>
          <w:sz w:val="24"/>
          <w:szCs w:val="24"/>
        </w:rPr>
        <w:t xml:space="preserve">De bivirkninger, der forekom hos patienter i placebokontrollerede studier med </w:t>
      </w:r>
      <w:proofErr w:type="spellStart"/>
      <w:r w:rsidRPr="007849BA">
        <w:rPr>
          <w:sz w:val="24"/>
          <w:szCs w:val="24"/>
        </w:rPr>
        <w:t>tapentadol</w:t>
      </w:r>
      <w:proofErr w:type="spellEnd"/>
      <w:r w:rsidRPr="007849BA">
        <w:rPr>
          <w:sz w:val="24"/>
          <w:szCs w:val="24"/>
        </w:rPr>
        <w:t xml:space="preserve"> filmovertrukne tabletter, var overvejende milde eller moderate. Bivirkninger forekom hyppigst i mave-tarm-kanalen og centralnervesystemet (kvalme, opkastning, døsighed, svimmelhed og hovedpine).</w:t>
      </w:r>
    </w:p>
    <w:p w14:paraId="58B1F74B" w14:textId="77777777" w:rsidR="00295D2D" w:rsidRPr="007849BA" w:rsidRDefault="00295D2D" w:rsidP="00F4752A">
      <w:pPr>
        <w:ind w:left="851"/>
        <w:rPr>
          <w:sz w:val="24"/>
          <w:szCs w:val="24"/>
        </w:rPr>
      </w:pPr>
    </w:p>
    <w:p w14:paraId="3E68D801" w14:textId="77777777" w:rsidR="00295D2D" w:rsidRPr="007849BA" w:rsidRDefault="00295D2D" w:rsidP="00F4752A">
      <w:pPr>
        <w:ind w:left="851"/>
        <w:rPr>
          <w:sz w:val="24"/>
          <w:szCs w:val="24"/>
        </w:rPr>
      </w:pPr>
      <w:r w:rsidRPr="007849BA">
        <w:rPr>
          <w:sz w:val="24"/>
          <w:szCs w:val="24"/>
        </w:rPr>
        <w:t xml:space="preserve">I tabellen nedenfor angives bivirkninger, der er påvist i kliniske studier med </w:t>
      </w:r>
      <w:proofErr w:type="spellStart"/>
      <w:r w:rsidRPr="007849BA">
        <w:rPr>
          <w:sz w:val="24"/>
          <w:szCs w:val="24"/>
        </w:rPr>
        <w:t>tapentadol</w:t>
      </w:r>
      <w:proofErr w:type="spellEnd"/>
      <w:r w:rsidRPr="007849BA">
        <w:rPr>
          <w:sz w:val="24"/>
          <w:szCs w:val="24"/>
        </w:rPr>
        <w:t xml:space="preserve"> filmovertrukne tabletter og efter markedsføring. De er opstillet efter klasse og hyppighed. Hyppighed defineres som meget almindelig (≥1/10), almindelig (≥1/100 til &lt;1/10), ikke almindelig (≥1/1.000 til &lt; 1/100), sjælden (≥1/10.000 til &lt;1/1.000), meget sjælden (&lt;1/10.000) og ikke kendt (kan ikke estimeres ud fra forhåndenværende data). </w:t>
      </w:r>
    </w:p>
    <w:p w14:paraId="6D606B82" w14:textId="77777777" w:rsidR="00295D2D" w:rsidRPr="007849BA" w:rsidRDefault="00295D2D" w:rsidP="00F4752A">
      <w:pPr>
        <w:ind w:left="851"/>
        <w:rPr>
          <w:sz w:val="24"/>
          <w:szCs w:val="24"/>
        </w:rPr>
      </w:pPr>
    </w:p>
    <w:tbl>
      <w:tblPr>
        <w:tblW w:w="5000" w:type="pct"/>
        <w:tblCellMar>
          <w:left w:w="70" w:type="dxa"/>
          <w:right w:w="70" w:type="dxa"/>
        </w:tblCellMar>
        <w:tblLook w:val="04A0" w:firstRow="1" w:lastRow="0" w:firstColumn="1" w:lastColumn="0" w:noHBand="0" w:noVBand="1"/>
      </w:tblPr>
      <w:tblGrid>
        <w:gridCol w:w="1693"/>
        <w:gridCol w:w="1313"/>
        <w:gridCol w:w="1718"/>
        <w:gridCol w:w="2035"/>
        <w:gridCol w:w="1706"/>
        <w:gridCol w:w="1163"/>
      </w:tblGrid>
      <w:tr w:rsidR="00295D2D" w:rsidRPr="007849BA" w14:paraId="0F80E057" w14:textId="77777777" w:rsidTr="00F4752A">
        <w:trPr>
          <w:cantSplit/>
          <w:trHeight w:val="146"/>
        </w:trPr>
        <w:tc>
          <w:tcPr>
            <w:tcW w:w="879" w:type="pct"/>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2709460D" w14:textId="77777777" w:rsidR="00295D2D" w:rsidRPr="007849BA" w:rsidRDefault="00295D2D">
            <w:pPr>
              <w:widowControl w:val="0"/>
              <w:rPr>
                <w:b/>
                <w:sz w:val="22"/>
                <w:szCs w:val="22"/>
              </w:rPr>
            </w:pPr>
          </w:p>
          <w:p w14:paraId="29D122E3" w14:textId="77777777" w:rsidR="00295D2D" w:rsidRPr="007849BA" w:rsidRDefault="00295D2D">
            <w:pPr>
              <w:widowControl w:val="0"/>
              <w:snapToGrid w:val="0"/>
              <w:rPr>
                <w:sz w:val="22"/>
                <w:szCs w:val="22"/>
              </w:rPr>
            </w:pPr>
            <w:r w:rsidRPr="007849BA">
              <w:rPr>
                <w:b/>
                <w:sz w:val="22"/>
                <w:szCs w:val="22"/>
              </w:rPr>
              <w:t>Systemorgan</w:t>
            </w:r>
            <w:r w:rsidRPr="007849BA">
              <w:rPr>
                <w:b/>
                <w:sz w:val="22"/>
                <w:szCs w:val="22"/>
              </w:rPr>
              <w:softHyphen/>
              <w:t>klasse</w:t>
            </w:r>
          </w:p>
        </w:tc>
        <w:tc>
          <w:tcPr>
            <w:tcW w:w="3517" w:type="pct"/>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573420DA" w14:textId="77777777" w:rsidR="00295D2D" w:rsidRPr="007849BA" w:rsidRDefault="00295D2D">
            <w:pPr>
              <w:widowControl w:val="0"/>
              <w:snapToGrid w:val="0"/>
              <w:jc w:val="center"/>
              <w:rPr>
                <w:sz w:val="22"/>
                <w:szCs w:val="22"/>
              </w:rPr>
            </w:pPr>
            <w:r w:rsidRPr="007849BA">
              <w:rPr>
                <w:b/>
                <w:sz w:val="22"/>
                <w:szCs w:val="22"/>
              </w:rPr>
              <w:t>Hyppighed</w:t>
            </w:r>
          </w:p>
        </w:tc>
        <w:tc>
          <w:tcPr>
            <w:tcW w:w="604" w:type="pct"/>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5DD227E" w14:textId="77777777" w:rsidR="00295D2D" w:rsidRPr="007849BA" w:rsidRDefault="00295D2D">
            <w:pPr>
              <w:widowControl w:val="0"/>
              <w:snapToGrid w:val="0"/>
              <w:rPr>
                <w:b/>
                <w:sz w:val="22"/>
                <w:szCs w:val="22"/>
              </w:rPr>
            </w:pPr>
          </w:p>
        </w:tc>
      </w:tr>
      <w:tr w:rsidR="00D07E17" w:rsidRPr="007849BA" w14:paraId="5684A857" w14:textId="77777777" w:rsidTr="00F4752A">
        <w:trPr>
          <w:cantSplit/>
          <w:trHeight w:val="146"/>
        </w:trPr>
        <w:tc>
          <w:tcPr>
            <w:tcW w:w="879" w:type="pct"/>
            <w:vMerge/>
            <w:tcBorders>
              <w:top w:val="single" w:sz="12" w:space="0" w:color="auto"/>
              <w:left w:val="single" w:sz="4" w:space="0" w:color="auto"/>
              <w:bottom w:val="single" w:sz="12" w:space="0" w:color="auto"/>
              <w:right w:val="single" w:sz="4" w:space="0" w:color="auto"/>
            </w:tcBorders>
            <w:vAlign w:val="center"/>
            <w:hideMark/>
          </w:tcPr>
          <w:p w14:paraId="5E2B35A8" w14:textId="77777777" w:rsidR="00295D2D" w:rsidRPr="007849BA" w:rsidRDefault="00295D2D">
            <w:pPr>
              <w:rPr>
                <w:sz w:val="22"/>
                <w:szCs w:val="22"/>
              </w:rPr>
            </w:pPr>
          </w:p>
        </w:tc>
        <w:tc>
          <w:tcPr>
            <w:tcW w:w="682" w:type="pct"/>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AB655E2" w14:textId="77777777" w:rsidR="00295D2D" w:rsidRPr="007849BA" w:rsidRDefault="00295D2D">
            <w:pPr>
              <w:widowControl w:val="0"/>
              <w:rPr>
                <w:b/>
                <w:sz w:val="22"/>
                <w:szCs w:val="22"/>
              </w:rPr>
            </w:pPr>
            <w:r w:rsidRPr="007849BA">
              <w:rPr>
                <w:b/>
                <w:sz w:val="22"/>
                <w:szCs w:val="22"/>
              </w:rPr>
              <w:t>Meget almindelige</w:t>
            </w:r>
          </w:p>
          <w:p w14:paraId="00098F81"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9D2F785" w14:textId="77777777" w:rsidR="00295D2D" w:rsidRPr="007849BA" w:rsidRDefault="00295D2D">
            <w:pPr>
              <w:widowControl w:val="0"/>
              <w:rPr>
                <w:b/>
                <w:sz w:val="22"/>
                <w:szCs w:val="22"/>
              </w:rPr>
            </w:pPr>
            <w:r w:rsidRPr="007849BA">
              <w:rPr>
                <w:b/>
                <w:sz w:val="22"/>
                <w:szCs w:val="22"/>
              </w:rPr>
              <w:t>Almindelige</w:t>
            </w:r>
          </w:p>
          <w:p w14:paraId="7D6E70DF" w14:textId="77777777" w:rsidR="00295D2D" w:rsidRPr="007849BA" w:rsidRDefault="00295D2D">
            <w:pPr>
              <w:widowControl w:val="0"/>
              <w:snapToGrid w:val="0"/>
              <w:rPr>
                <w:sz w:val="22"/>
                <w:szCs w:val="22"/>
              </w:rPr>
            </w:pPr>
          </w:p>
        </w:tc>
        <w:tc>
          <w:tcPr>
            <w:tcW w:w="1057" w:type="pct"/>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0ED146B" w14:textId="77777777" w:rsidR="00295D2D" w:rsidRPr="007849BA" w:rsidRDefault="00295D2D">
            <w:pPr>
              <w:widowControl w:val="0"/>
              <w:rPr>
                <w:b/>
                <w:sz w:val="22"/>
                <w:szCs w:val="22"/>
              </w:rPr>
            </w:pPr>
            <w:r w:rsidRPr="007849BA">
              <w:rPr>
                <w:b/>
                <w:sz w:val="22"/>
                <w:szCs w:val="22"/>
              </w:rPr>
              <w:t>Ikke almindelige</w:t>
            </w:r>
          </w:p>
          <w:p w14:paraId="72350271" w14:textId="77777777" w:rsidR="00295D2D" w:rsidRPr="007849BA" w:rsidRDefault="00295D2D">
            <w:pPr>
              <w:widowControl w:val="0"/>
              <w:snapToGrid w:val="0"/>
              <w:rPr>
                <w:sz w:val="22"/>
                <w:szCs w:val="22"/>
              </w:rPr>
            </w:pPr>
          </w:p>
        </w:tc>
        <w:tc>
          <w:tcPr>
            <w:tcW w:w="886" w:type="pct"/>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6ABA461" w14:textId="77777777" w:rsidR="00295D2D" w:rsidRPr="007849BA" w:rsidRDefault="00295D2D">
            <w:pPr>
              <w:widowControl w:val="0"/>
              <w:rPr>
                <w:b/>
                <w:sz w:val="22"/>
                <w:szCs w:val="22"/>
              </w:rPr>
            </w:pPr>
            <w:r w:rsidRPr="007849BA">
              <w:rPr>
                <w:b/>
                <w:sz w:val="22"/>
                <w:szCs w:val="22"/>
              </w:rPr>
              <w:t>Sjældne</w:t>
            </w:r>
          </w:p>
          <w:p w14:paraId="31CE1CD8"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14:paraId="4B354AD5" w14:textId="77777777" w:rsidR="00295D2D" w:rsidRPr="007849BA" w:rsidRDefault="00295D2D">
            <w:pPr>
              <w:widowControl w:val="0"/>
              <w:rPr>
                <w:b/>
                <w:sz w:val="22"/>
                <w:szCs w:val="22"/>
              </w:rPr>
            </w:pPr>
            <w:r w:rsidRPr="007849BA">
              <w:rPr>
                <w:b/>
                <w:sz w:val="22"/>
                <w:szCs w:val="22"/>
              </w:rPr>
              <w:t>Ukendt</w:t>
            </w:r>
          </w:p>
        </w:tc>
      </w:tr>
      <w:tr w:rsidR="00295D2D" w:rsidRPr="007849BA" w14:paraId="5C574ED8"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3A3AFF14" w14:textId="77777777" w:rsidR="00295D2D" w:rsidRPr="007849BA" w:rsidRDefault="00295D2D">
            <w:pPr>
              <w:widowControl w:val="0"/>
              <w:rPr>
                <w:b/>
                <w:sz w:val="22"/>
                <w:szCs w:val="22"/>
              </w:rPr>
            </w:pPr>
            <w:r w:rsidRPr="007849BA">
              <w:rPr>
                <w:b/>
                <w:sz w:val="22"/>
                <w:szCs w:val="22"/>
              </w:rPr>
              <w:t>Immunsystemet</w:t>
            </w:r>
          </w:p>
        </w:tc>
        <w:tc>
          <w:tcPr>
            <w:tcW w:w="682" w:type="pct"/>
            <w:tcBorders>
              <w:top w:val="single" w:sz="4" w:space="0" w:color="auto"/>
              <w:left w:val="single" w:sz="4" w:space="0" w:color="auto"/>
              <w:bottom w:val="single" w:sz="4" w:space="0" w:color="auto"/>
              <w:right w:val="single" w:sz="4" w:space="0" w:color="auto"/>
            </w:tcBorders>
          </w:tcPr>
          <w:p w14:paraId="04586435"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tcPr>
          <w:p w14:paraId="4E08F2BC" w14:textId="77777777" w:rsidR="00295D2D" w:rsidRPr="007849BA" w:rsidRDefault="00295D2D">
            <w:pPr>
              <w:widowControl w:val="0"/>
              <w:snapToGrid w:val="0"/>
              <w:rPr>
                <w:sz w:val="22"/>
                <w:szCs w:val="22"/>
              </w:rPr>
            </w:pPr>
          </w:p>
        </w:tc>
        <w:tc>
          <w:tcPr>
            <w:tcW w:w="1057" w:type="pct"/>
            <w:tcBorders>
              <w:top w:val="single" w:sz="4" w:space="0" w:color="auto"/>
              <w:left w:val="single" w:sz="4" w:space="0" w:color="auto"/>
              <w:bottom w:val="single" w:sz="4" w:space="0" w:color="auto"/>
              <w:right w:val="single" w:sz="4" w:space="0" w:color="auto"/>
            </w:tcBorders>
          </w:tcPr>
          <w:p w14:paraId="4854F9F4" w14:textId="77777777" w:rsidR="00295D2D" w:rsidRPr="007849BA" w:rsidRDefault="00295D2D">
            <w:pPr>
              <w:widowControl w:val="0"/>
              <w:snapToGrid w:val="0"/>
              <w:rPr>
                <w:sz w:val="22"/>
                <w:szCs w:val="22"/>
              </w:rPr>
            </w:pPr>
          </w:p>
        </w:tc>
        <w:tc>
          <w:tcPr>
            <w:tcW w:w="886" w:type="pct"/>
            <w:tcBorders>
              <w:top w:val="single" w:sz="4" w:space="0" w:color="auto"/>
              <w:left w:val="single" w:sz="4" w:space="0" w:color="auto"/>
              <w:bottom w:val="single" w:sz="4" w:space="0" w:color="auto"/>
              <w:right w:val="single" w:sz="4" w:space="0" w:color="auto"/>
            </w:tcBorders>
            <w:hideMark/>
          </w:tcPr>
          <w:p w14:paraId="7F05CF71" w14:textId="77777777" w:rsidR="00295D2D" w:rsidRPr="007849BA" w:rsidRDefault="00295D2D">
            <w:pPr>
              <w:widowControl w:val="0"/>
              <w:snapToGrid w:val="0"/>
              <w:rPr>
                <w:sz w:val="22"/>
                <w:szCs w:val="22"/>
              </w:rPr>
            </w:pPr>
            <w:r w:rsidRPr="007849BA">
              <w:rPr>
                <w:sz w:val="22"/>
                <w:szCs w:val="22"/>
              </w:rPr>
              <w:t>Lægemiddelover</w:t>
            </w:r>
            <w:r w:rsidRPr="007849BA">
              <w:rPr>
                <w:sz w:val="22"/>
                <w:szCs w:val="22"/>
              </w:rPr>
              <w:softHyphen/>
              <w:t xml:space="preserve">følsomhed* </w:t>
            </w:r>
          </w:p>
        </w:tc>
        <w:tc>
          <w:tcPr>
            <w:tcW w:w="604" w:type="pct"/>
            <w:tcBorders>
              <w:top w:val="single" w:sz="4" w:space="0" w:color="auto"/>
              <w:left w:val="single" w:sz="4" w:space="0" w:color="auto"/>
              <w:bottom w:val="single" w:sz="4" w:space="0" w:color="auto"/>
              <w:right w:val="single" w:sz="4" w:space="0" w:color="auto"/>
            </w:tcBorders>
          </w:tcPr>
          <w:p w14:paraId="1CF41F09" w14:textId="77777777" w:rsidR="00295D2D" w:rsidRPr="007849BA" w:rsidRDefault="00295D2D">
            <w:pPr>
              <w:widowControl w:val="0"/>
              <w:snapToGrid w:val="0"/>
              <w:rPr>
                <w:sz w:val="22"/>
                <w:szCs w:val="22"/>
              </w:rPr>
            </w:pPr>
          </w:p>
        </w:tc>
      </w:tr>
      <w:tr w:rsidR="00295D2D" w:rsidRPr="007849BA" w14:paraId="50798DFF"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1C78A59D" w14:textId="77777777" w:rsidR="00295D2D" w:rsidRPr="007849BA" w:rsidRDefault="00295D2D">
            <w:pPr>
              <w:widowControl w:val="0"/>
              <w:rPr>
                <w:b/>
                <w:sz w:val="22"/>
                <w:szCs w:val="22"/>
              </w:rPr>
            </w:pPr>
            <w:r w:rsidRPr="007849BA">
              <w:rPr>
                <w:b/>
                <w:sz w:val="22"/>
                <w:szCs w:val="22"/>
              </w:rPr>
              <w:t>Metabolisme og ernæring</w:t>
            </w:r>
          </w:p>
        </w:tc>
        <w:tc>
          <w:tcPr>
            <w:tcW w:w="682" w:type="pct"/>
            <w:tcBorders>
              <w:top w:val="single" w:sz="4" w:space="0" w:color="auto"/>
              <w:left w:val="single" w:sz="4" w:space="0" w:color="auto"/>
              <w:bottom w:val="single" w:sz="4" w:space="0" w:color="auto"/>
              <w:right w:val="single" w:sz="4" w:space="0" w:color="auto"/>
            </w:tcBorders>
          </w:tcPr>
          <w:p w14:paraId="5B763626"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hideMark/>
          </w:tcPr>
          <w:p w14:paraId="61083FE5" w14:textId="77777777" w:rsidR="00295D2D" w:rsidRPr="007849BA" w:rsidRDefault="00295D2D">
            <w:pPr>
              <w:widowControl w:val="0"/>
              <w:snapToGrid w:val="0"/>
              <w:rPr>
                <w:sz w:val="22"/>
                <w:szCs w:val="22"/>
              </w:rPr>
            </w:pPr>
            <w:r w:rsidRPr="007849BA">
              <w:rPr>
                <w:sz w:val="22"/>
                <w:szCs w:val="22"/>
              </w:rPr>
              <w:t>Nedsat appetit</w:t>
            </w:r>
          </w:p>
        </w:tc>
        <w:tc>
          <w:tcPr>
            <w:tcW w:w="1057" w:type="pct"/>
            <w:tcBorders>
              <w:top w:val="single" w:sz="4" w:space="0" w:color="auto"/>
              <w:left w:val="single" w:sz="4" w:space="0" w:color="auto"/>
              <w:bottom w:val="single" w:sz="4" w:space="0" w:color="auto"/>
              <w:right w:val="single" w:sz="4" w:space="0" w:color="auto"/>
            </w:tcBorders>
          </w:tcPr>
          <w:p w14:paraId="14882A35" w14:textId="77777777" w:rsidR="00295D2D" w:rsidRPr="007849BA" w:rsidRDefault="00295D2D">
            <w:pPr>
              <w:widowControl w:val="0"/>
              <w:snapToGrid w:val="0"/>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46C7E9F4"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4" w:space="0" w:color="auto"/>
              <w:right w:val="single" w:sz="4" w:space="0" w:color="auto"/>
            </w:tcBorders>
          </w:tcPr>
          <w:p w14:paraId="7E67000A" w14:textId="77777777" w:rsidR="00295D2D" w:rsidRPr="007849BA" w:rsidRDefault="00295D2D">
            <w:pPr>
              <w:widowControl w:val="0"/>
              <w:snapToGrid w:val="0"/>
              <w:rPr>
                <w:sz w:val="22"/>
                <w:szCs w:val="22"/>
              </w:rPr>
            </w:pPr>
          </w:p>
        </w:tc>
      </w:tr>
      <w:tr w:rsidR="00295D2D" w:rsidRPr="007849BA" w14:paraId="664C61CC"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62494DF8" w14:textId="77777777" w:rsidR="00295D2D" w:rsidRPr="007849BA" w:rsidRDefault="00295D2D">
            <w:pPr>
              <w:widowControl w:val="0"/>
              <w:rPr>
                <w:sz w:val="22"/>
                <w:szCs w:val="22"/>
              </w:rPr>
            </w:pPr>
            <w:r w:rsidRPr="007849BA">
              <w:rPr>
                <w:b/>
                <w:sz w:val="22"/>
                <w:szCs w:val="22"/>
              </w:rPr>
              <w:t>Psykiske forstyrrelser</w:t>
            </w:r>
          </w:p>
        </w:tc>
        <w:tc>
          <w:tcPr>
            <w:tcW w:w="682" w:type="pct"/>
            <w:tcBorders>
              <w:top w:val="single" w:sz="4" w:space="0" w:color="auto"/>
              <w:left w:val="single" w:sz="4" w:space="0" w:color="auto"/>
              <w:bottom w:val="single" w:sz="4" w:space="0" w:color="auto"/>
              <w:right w:val="single" w:sz="4" w:space="0" w:color="auto"/>
            </w:tcBorders>
          </w:tcPr>
          <w:p w14:paraId="3141173C"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hideMark/>
          </w:tcPr>
          <w:p w14:paraId="2925211B" w14:textId="77777777" w:rsidR="00295D2D" w:rsidRPr="007849BA" w:rsidRDefault="00295D2D">
            <w:pPr>
              <w:widowControl w:val="0"/>
              <w:snapToGrid w:val="0"/>
              <w:rPr>
                <w:sz w:val="22"/>
                <w:szCs w:val="22"/>
              </w:rPr>
            </w:pPr>
            <w:r w:rsidRPr="007849BA">
              <w:rPr>
                <w:sz w:val="22"/>
                <w:szCs w:val="22"/>
              </w:rPr>
              <w:t>Angst, konfusion, hallucination, søvnforstyrrelser, unormalt drømmemønster</w:t>
            </w:r>
          </w:p>
        </w:tc>
        <w:tc>
          <w:tcPr>
            <w:tcW w:w="1057" w:type="pct"/>
            <w:tcBorders>
              <w:top w:val="single" w:sz="4" w:space="0" w:color="auto"/>
              <w:left w:val="single" w:sz="4" w:space="0" w:color="auto"/>
              <w:bottom w:val="single" w:sz="4" w:space="0" w:color="auto"/>
              <w:right w:val="single" w:sz="4" w:space="0" w:color="auto"/>
            </w:tcBorders>
          </w:tcPr>
          <w:p w14:paraId="44ABDB70" w14:textId="63CB14ED" w:rsidR="00295D2D" w:rsidRPr="007849BA" w:rsidRDefault="00295D2D" w:rsidP="00D07E17">
            <w:pPr>
              <w:widowControl w:val="0"/>
              <w:snapToGrid w:val="0"/>
              <w:rPr>
                <w:sz w:val="22"/>
                <w:szCs w:val="22"/>
              </w:rPr>
            </w:pPr>
            <w:r w:rsidRPr="007849BA">
              <w:rPr>
                <w:sz w:val="22"/>
                <w:szCs w:val="22"/>
              </w:rPr>
              <w:t>Depression, desorientering, agitation, nervøsitet, rastløshed, eufori</w:t>
            </w:r>
          </w:p>
        </w:tc>
        <w:tc>
          <w:tcPr>
            <w:tcW w:w="886" w:type="pct"/>
            <w:tcBorders>
              <w:top w:val="single" w:sz="4" w:space="0" w:color="auto"/>
              <w:left w:val="single" w:sz="4" w:space="0" w:color="auto"/>
              <w:bottom w:val="single" w:sz="4" w:space="0" w:color="auto"/>
              <w:right w:val="single" w:sz="4" w:space="0" w:color="auto"/>
            </w:tcBorders>
            <w:hideMark/>
          </w:tcPr>
          <w:p w14:paraId="100E4157" w14:textId="77777777" w:rsidR="00295D2D" w:rsidRPr="007849BA" w:rsidRDefault="00295D2D">
            <w:pPr>
              <w:widowControl w:val="0"/>
              <w:snapToGrid w:val="0"/>
              <w:rPr>
                <w:sz w:val="22"/>
                <w:szCs w:val="22"/>
              </w:rPr>
            </w:pPr>
            <w:r w:rsidRPr="007849BA">
              <w:rPr>
                <w:sz w:val="22"/>
                <w:szCs w:val="22"/>
              </w:rPr>
              <w:t>Tanke</w:t>
            </w:r>
            <w:r w:rsidRPr="007849BA">
              <w:rPr>
                <w:sz w:val="22"/>
                <w:szCs w:val="22"/>
              </w:rPr>
              <w:softHyphen/>
              <w:t>forstyrrelser</w:t>
            </w:r>
          </w:p>
        </w:tc>
        <w:tc>
          <w:tcPr>
            <w:tcW w:w="604" w:type="pct"/>
            <w:tcBorders>
              <w:top w:val="single" w:sz="4" w:space="0" w:color="auto"/>
              <w:left w:val="single" w:sz="4" w:space="0" w:color="auto"/>
              <w:bottom w:val="single" w:sz="4" w:space="0" w:color="auto"/>
              <w:right w:val="single" w:sz="4" w:space="0" w:color="auto"/>
            </w:tcBorders>
            <w:hideMark/>
          </w:tcPr>
          <w:p w14:paraId="0DED5E6E" w14:textId="77777777" w:rsidR="00295D2D" w:rsidRPr="007849BA" w:rsidRDefault="00295D2D">
            <w:pPr>
              <w:widowControl w:val="0"/>
              <w:snapToGrid w:val="0"/>
              <w:rPr>
                <w:sz w:val="22"/>
                <w:szCs w:val="22"/>
              </w:rPr>
            </w:pPr>
            <w:r w:rsidRPr="007849BA">
              <w:rPr>
                <w:sz w:val="22"/>
                <w:szCs w:val="22"/>
              </w:rPr>
              <w:t>Delirium**</w:t>
            </w:r>
          </w:p>
        </w:tc>
      </w:tr>
      <w:tr w:rsidR="00295D2D" w:rsidRPr="007849BA" w14:paraId="23F31C81"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1B50C606" w14:textId="77777777" w:rsidR="00295D2D" w:rsidRPr="007849BA" w:rsidRDefault="00295D2D">
            <w:pPr>
              <w:widowControl w:val="0"/>
              <w:snapToGrid w:val="0"/>
              <w:rPr>
                <w:sz w:val="22"/>
                <w:szCs w:val="22"/>
              </w:rPr>
            </w:pPr>
            <w:r w:rsidRPr="007849BA">
              <w:rPr>
                <w:b/>
                <w:sz w:val="22"/>
                <w:szCs w:val="22"/>
              </w:rPr>
              <w:t>Nerve</w:t>
            </w:r>
            <w:r w:rsidRPr="007849BA">
              <w:rPr>
                <w:b/>
                <w:sz w:val="22"/>
                <w:szCs w:val="22"/>
              </w:rPr>
              <w:softHyphen/>
              <w:t>systemet</w:t>
            </w:r>
          </w:p>
        </w:tc>
        <w:tc>
          <w:tcPr>
            <w:tcW w:w="682" w:type="pct"/>
            <w:tcBorders>
              <w:top w:val="single" w:sz="4" w:space="0" w:color="auto"/>
              <w:left w:val="single" w:sz="4" w:space="0" w:color="auto"/>
              <w:bottom w:val="single" w:sz="4" w:space="0" w:color="auto"/>
              <w:right w:val="single" w:sz="4" w:space="0" w:color="auto"/>
            </w:tcBorders>
            <w:hideMark/>
          </w:tcPr>
          <w:p w14:paraId="04C991C6" w14:textId="77777777" w:rsidR="00295D2D" w:rsidRPr="007849BA" w:rsidRDefault="00295D2D">
            <w:pPr>
              <w:widowControl w:val="0"/>
              <w:snapToGrid w:val="0"/>
              <w:rPr>
                <w:sz w:val="22"/>
                <w:szCs w:val="22"/>
              </w:rPr>
            </w:pPr>
            <w:r w:rsidRPr="007849BA">
              <w:rPr>
                <w:sz w:val="22"/>
                <w:szCs w:val="22"/>
              </w:rPr>
              <w:t>Svimmelhed, døsighed, hovedpine</w:t>
            </w:r>
          </w:p>
        </w:tc>
        <w:tc>
          <w:tcPr>
            <w:tcW w:w="892" w:type="pct"/>
            <w:tcBorders>
              <w:top w:val="single" w:sz="4" w:space="0" w:color="auto"/>
              <w:left w:val="single" w:sz="4" w:space="0" w:color="auto"/>
              <w:bottom w:val="single" w:sz="4" w:space="0" w:color="auto"/>
              <w:right w:val="single" w:sz="4" w:space="0" w:color="auto"/>
            </w:tcBorders>
            <w:hideMark/>
          </w:tcPr>
          <w:p w14:paraId="43EA183F" w14:textId="77777777" w:rsidR="00295D2D" w:rsidRPr="007849BA" w:rsidRDefault="00295D2D">
            <w:pPr>
              <w:widowControl w:val="0"/>
              <w:snapToGrid w:val="0"/>
              <w:rPr>
                <w:sz w:val="22"/>
                <w:szCs w:val="22"/>
              </w:rPr>
            </w:pPr>
            <w:proofErr w:type="spellStart"/>
            <w:r w:rsidRPr="007849BA">
              <w:rPr>
                <w:sz w:val="22"/>
                <w:szCs w:val="22"/>
              </w:rPr>
              <w:t>Tremor</w:t>
            </w:r>
            <w:proofErr w:type="spellEnd"/>
          </w:p>
        </w:tc>
        <w:tc>
          <w:tcPr>
            <w:tcW w:w="1057" w:type="pct"/>
            <w:tcBorders>
              <w:top w:val="single" w:sz="4" w:space="0" w:color="auto"/>
              <w:left w:val="single" w:sz="4" w:space="0" w:color="auto"/>
              <w:bottom w:val="single" w:sz="4" w:space="0" w:color="auto"/>
              <w:right w:val="single" w:sz="4" w:space="0" w:color="auto"/>
            </w:tcBorders>
          </w:tcPr>
          <w:p w14:paraId="4CCE6D41" w14:textId="3B310CF6" w:rsidR="00295D2D" w:rsidRPr="007849BA" w:rsidRDefault="00295D2D" w:rsidP="00D07E17">
            <w:pPr>
              <w:widowControl w:val="0"/>
              <w:rPr>
                <w:sz w:val="22"/>
                <w:szCs w:val="22"/>
              </w:rPr>
            </w:pPr>
            <w:r w:rsidRPr="007849BA">
              <w:rPr>
                <w:sz w:val="22"/>
                <w:szCs w:val="22"/>
              </w:rPr>
              <w:t>Opmærksomheds</w:t>
            </w:r>
            <w:r w:rsidRPr="007849BA">
              <w:rPr>
                <w:sz w:val="22"/>
                <w:szCs w:val="22"/>
              </w:rPr>
              <w:softHyphen/>
              <w:t xml:space="preserve">forstyrrelser, hukommelsessvigt, præsynkope, sedation, </w:t>
            </w:r>
            <w:proofErr w:type="spellStart"/>
            <w:r w:rsidRPr="007849BA">
              <w:rPr>
                <w:sz w:val="22"/>
                <w:szCs w:val="22"/>
              </w:rPr>
              <w:t>ataksi</w:t>
            </w:r>
            <w:proofErr w:type="spellEnd"/>
            <w:r w:rsidRPr="007849BA">
              <w:rPr>
                <w:sz w:val="22"/>
                <w:szCs w:val="22"/>
              </w:rPr>
              <w:t xml:space="preserve">, </w:t>
            </w:r>
            <w:proofErr w:type="spellStart"/>
            <w:r w:rsidRPr="007849BA">
              <w:rPr>
                <w:sz w:val="22"/>
                <w:szCs w:val="22"/>
              </w:rPr>
              <w:t>dysartri</w:t>
            </w:r>
            <w:proofErr w:type="spellEnd"/>
            <w:r w:rsidRPr="007849BA">
              <w:rPr>
                <w:sz w:val="22"/>
                <w:szCs w:val="22"/>
              </w:rPr>
              <w:t xml:space="preserve">, </w:t>
            </w:r>
            <w:proofErr w:type="spellStart"/>
            <w:r w:rsidRPr="007849BA">
              <w:rPr>
                <w:sz w:val="22"/>
                <w:szCs w:val="22"/>
              </w:rPr>
              <w:t>hypæstesi</w:t>
            </w:r>
            <w:proofErr w:type="spellEnd"/>
            <w:r w:rsidRPr="007849BA">
              <w:rPr>
                <w:sz w:val="22"/>
                <w:szCs w:val="22"/>
              </w:rPr>
              <w:t xml:space="preserve">, </w:t>
            </w:r>
            <w:proofErr w:type="spellStart"/>
            <w:r w:rsidRPr="007849BA">
              <w:rPr>
                <w:sz w:val="22"/>
                <w:szCs w:val="22"/>
              </w:rPr>
              <w:t>paræstesi</w:t>
            </w:r>
            <w:proofErr w:type="spellEnd"/>
            <w:r w:rsidRPr="007849BA">
              <w:rPr>
                <w:sz w:val="22"/>
                <w:szCs w:val="22"/>
              </w:rPr>
              <w:t>, ufrivillige muskel</w:t>
            </w:r>
            <w:r w:rsidRPr="007849BA">
              <w:rPr>
                <w:sz w:val="22"/>
                <w:szCs w:val="22"/>
              </w:rPr>
              <w:softHyphen/>
            </w:r>
            <w:r w:rsidRPr="007849BA">
              <w:rPr>
                <w:sz w:val="22"/>
                <w:szCs w:val="22"/>
              </w:rPr>
              <w:lastRenderedPageBreak/>
              <w:t>sammentrækninger</w:t>
            </w:r>
          </w:p>
        </w:tc>
        <w:tc>
          <w:tcPr>
            <w:tcW w:w="886" w:type="pct"/>
            <w:tcBorders>
              <w:top w:val="single" w:sz="4" w:space="0" w:color="auto"/>
              <w:left w:val="single" w:sz="4" w:space="0" w:color="auto"/>
              <w:bottom w:val="single" w:sz="4" w:space="0" w:color="auto"/>
              <w:right w:val="single" w:sz="4" w:space="0" w:color="auto"/>
            </w:tcBorders>
            <w:hideMark/>
          </w:tcPr>
          <w:p w14:paraId="264239AC" w14:textId="77777777" w:rsidR="00295D2D" w:rsidRPr="007849BA" w:rsidRDefault="00295D2D">
            <w:pPr>
              <w:widowControl w:val="0"/>
              <w:snapToGrid w:val="0"/>
              <w:rPr>
                <w:sz w:val="22"/>
                <w:szCs w:val="22"/>
              </w:rPr>
            </w:pPr>
            <w:r w:rsidRPr="007849BA">
              <w:rPr>
                <w:sz w:val="22"/>
                <w:szCs w:val="22"/>
              </w:rPr>
              <w:lastRenderedPageBreak/>
              <w:t>Kramper, nedsat bevidstheds</w:t>
            </w:r>
            <w:r w:rsidRPr="007849BA">
              <w:rPr>
                <w:sz w:val="22"/>
                <w:szCs w:val="22"/>
              </w:rPr>
              <w:softHyphen/>
              <w:t>niveau, koordina</w:t>
            </w:r>
            <w:r w:rsidRPr="007849BA">
              <w:rPr>
                <w:sz w:val="22"/>
                <w:szCs w:val="22"/>
              </w:rPr>
              <w:softHyphen/>
              <w:t>tions</w:t>
            </w:r>
            <w:r w:rsidRPr="007849BA">
              <w:rPr>
                <w:sz w:val="22"/>
                <w:szCs w:val="22"/>
              </w:rPr>
              <w:softHyphen/>
              <w:t>problemer</w:t>
            </w:r>
          </w:p>
        </w:tc>
        <w:tc>
          <w:tcPr>
            <w:tcW w:w="604" w:type="pct"/>
            <w:tcBorders>
              <w:top w:val="single" w:sz="4" w:space="0" w:color="auto"/>
              <w:left w:val="single" w:sz="4" w:space="0" w:color="auto"/>
              <w:bottom w:val="single" w:sz="4" w:space="0" w:color="auto"/>
              <w:right w:val="single" w:sz="4" w:space="0" w:color="auto"/>
            </w:tcBorders>
          </w:tcPr>
          <w:p w14:paraId="55AB33E8" w14:textId="77777777" w:rsidR="00295D2D" w:rsidRPr="007849BA" w:rsidRDefault="00295D2D">
            <w:pPr>
              <w:widowControl w:val="0"/>
              <w:snapToGrid w:val="0"/>
              <w:rPr>
                <w:sz w:val="22"/>
                <w:szCs w:val="22"/>
              </w:rPr>
            </w:pPr>
          </w:p>
        </w:tc>
      </w:tr>
      <w:tr w:rsidR="00295D2D" w:rsidRPr="007849BA" w14:paraId="23CEFBAA"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409956CE" w14:textId="77777777" w:rsidR="00295D2D" w:rsidRPr="007849BA" w:rsidRDefault="00295D2D">
            <w:pPr>
              <w:widowControl w:val="0"/>
              <w:rPr>
                <w:b/>
                <w:sz w:val="22"/>
                <w:szCs w:val="22"/>
              </w:rPr>
            </w:pPr>
            <w:r w:rsidRPr="007849BA">
              <w:rPr>
                <w:b/>
                <w:sz w:val="22"/>
                <w:szCs w:val="22"/>
              </w:rPr>
              <w:t>Øjne</w:t>
            </w:r>
          </w:p>
        </w:tc>
        <w:tc>
          <w:tcPr>
            <w:tcW w:w="682" w:type="pct"/>
            <w:tcBorders>
              <w:top w:val="single" w:sz="4" w:space="0" w:color="auto"/>
              <w:left w:val="single" w:sz="4" w:space="0" w:color="auto"/>
              <w:bottom w:val="single" w:sz="4" w:space="0" w:color="auto"/>
              <w:right w:val="single" w:sz="4" w:space="0" w:color="auto"/>
            </w:tcBorders>
          </w:tcPr>
          <w:p w14:paraId="55A403C9"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tcPr>
          <w:p w14:paraId="103225E4" w14:textId="77777777" w:rsidR="00295D2D" w:rsidRPr="007849BA" w:rsidRDefault="00295D2D">
            <w:pPr>
              <w:widowControl w:val="0"/>
              <w:snapToGrid w:val="0"/>
              <w:rPr>
                <w:sz w:val="22"/>
                <w:szCs w:val="22"/>
              </w:rPr>
            </w:pPr>
          </w:p>
        </w:tc>
        <w:tc>
          <w:tcPr>
            <w:tcW w:w="1057" w:type="pct"/>
            <w:tcBorders>
              <w:top w:val="single" w:sz="4" w:space="0" w:color="auto"/>
              <w:left w:val="single" w:sz="4" w:space="0" w:color="auto"/>
              <w:bottom w:val="single" w:sz="4" w:space="0" w:color="auto"/>
              <w:right w:val="single" w:sz="4" w:space="0" w:color="auto"/>
            </w:tcBorders>
            <w:hideMark/>
          </w:tcPr>
          <w:p w14:paraId="6EE45692" w14:textId="77777777" w:rsidR="00295D2D" w:rsidRPr="007849BA" w:rsidRDefault="00295D2D">
            <w:pPr>
              <w:widowControl w:val="0"/>
              <w:snapToGrid w:val="0"/>
              <w:rPr>
                <w:sz w:val="22"/>
                <w:szCs w:val="22"/>
              </w:rPr>
            </w:pPr>
            <w:r w:rsidRPr="007849BA">
              <w:rPr>
                <w:sz w:val="22"/>
                <w:szCs w:val="22"/>
              </w:rPr>
              <w:t>Synsforstyrrelser</w:t>
            </w:r>
          </w:p>
        </w:tc>
        <w:tc>
          <w:tcPr>
            <w:tcW w:w="886" w:type="pct"/>
            <w:tcBorders>
              <w:top w:val="single" w:sz="4" w:space="0" w:color="auto"/>
              <w:left w:val="single" w:sz="4" w:space="0" w:color="auto"/>
              <w:bottom w:val="single" w:sz="4" w:space="0" w:color="auto"/>
              <w:right w:val="single" w:sz="4" w:space="0" w:color="auto"/>
            </w:tcBorders>
          </w:tcPr>
          <w:p w14:paraId="48DA0877"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4" w:space="0" w:color="auto"/>
              <w:right w:val="single" w:sz="4" w:space="0" w:color="auto"/>
            </w:tcBorders>
          </w:tcPr>
          <w:p w14:paraId="6F838695" w14:textId="77777777" w:rsidR="00295D2D" w:rsidRPr="007849BA" w:rsidRDefault="00295D2D">
            <w:pPr>
              <w:widowControl w:val="0"/>
              <w:snapToGrid w:val="0"/>
              <w:rPr>
                <w:sz w:val="22"/>
                <w:szCs w:val="22"/>
              </w:rPr>
            </w:pPr>
          </w:p>
        </w:tc>
      </w:tr>
      <w:tr w:rsidR="00295D2D" w:rsidRPr="007849BA" w14:paraId="50D9FB88"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56997436" w14:textId="77777777" w:rsidR="00295D2D" w:rsidRPr="007849BA" w:rsidRDefault="00295D2D">
            <w:pPr>
              <w:widowControl w:val="0"/>
              <w:rPr>
                <w:b/>
                <w:sz w:val="22"/>
                <w:szCs w:val="22"/>
              </w:rPr>
            </w:pPr>
            <w:r w:rsidRPr="007849BA">
              <w:rPr>
                <w:b/>
                <w:sz w:val="22"/>
                <w:szCs w:val="22"/>
              </w:rPr>
              <w:t>Hjerte</w:t>
            </w:r>
          </w:p>
        </w:tc>
        <w:tc>
          <w:tcPr>
            <w:tcW w:w="682" w:type="pct"/>
            <w:tcBorders>
              <w:top w:val="single" w:sz="4" w:space="0" w:color="auto"/>
              <w:left w:val="single" w:sz="4" w:space="0" w:color="auto"/>
              <w:bottom w:val="single" w:sz="4" w:space="0" w:color="auto"/>
              <w:right w:val="single" w:sz="4" w:space="0" w:color="auto"/>
            </w:tcBorders>
          </w:tcPr>
          <w:p w14:paraId="580C1215"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tcPr>
          <w:p w14:paraId="621EA0FE" w14:textId="77777777" w:rsidR="00295D2D" w:rsidRPr="007849BA" w:rsidRDefault="00295D2D">
            <w:pPr>
              <w:widowControl w:val="0"/>
              <w:snapToGrid w:val="0"/>
              <w:rPr>
                <w:sz w:val="22"/>
                <w:szCs w:val="22"/>
              </w:rPr>
            </w:pPr>
          </w:p>
        </w:tc>
        <w:tc>
          <w:tcPr>
            <w:tcW w:w="1057" w:type="pct"/>
            <w:tcBorders>
              <w:top w:val="single" w:sz="4" w:space="0" w:color="auto"/>
              <w:left w:val="single" w:sz="4" w:space="0" w:color="auto"/>
              <w:bottom w:val="single" w:sz="4" w:space="0" w:color="auto"/>
              <w:right w:val="single" w:sz="4" w:space="0" w:color="auto"/>
            </w:tcBorders>
            <w:hideMark/>
          </w:tcPr>
          <w:p w14:paraId="4C1329A8" w14:textId="77777777" w:rsidR="00295D2D" w:rsidRPr="007849BA" w:rsidRDefault="00295D2D">
            <w:pPr>
              <w:widowControl w:val="0"/>
              <w:snapToGrid w:val="0"/>
              <w:rPr>
                <w:sz w:val="22"/>
                <w:szCs w:val="22"/>
              </w:rPr>
            </w:pPr>
            <w:r w:rsidRPr="007849BA">
              <w:rPr>
                <w:sz w:val="22"/>
                <w:szCs w:val="22"/>
              </w:rPr>
              <w:t xml:space="preserve">Øget hjertefrekvens, </w:t>
            </w:r>
            <w:proofErr w:type="spellStart"/>
            <w:r w:rsidRPr="007849BA">
              <w:rPr>
                <w:sz w:val="22"/>
                <w:szCs w:val="22"/>
              </w:rPr>
              <w:t>palpitationer</w:t>
            </w:r>
            <w:proofErr w:type="spellEnd"/>
          </w:p>
        </w:tc>
        <w:tc>
          <w:tcPr>
            <w:tcW w:w="886" w:type="pct"/>
            <w:tcBorders>
              <w:top w:val="single" w:sz="4" w:space="0" w:color="auto"/>
              <w:left w:val="single" w:sz="4" w:space="0" w:color="auto"/>
              <w:bottom w:val="single" w:sz="4" w:space="0" w:color="auto"/>
              <w:right w:val="single" w:sz="4" w:space="0" w:color="auto"/>
            </w:tcBorders>
            <w:hideMark/>
          </w:tcPr>
          <w:p w14:paraId="1631F5C4" w14:textId="77777777" w:rsidR="00295D2D" w:rsidRPr="007849BA" w:rsidRDefault="00295D2D">
            <w:pPr>
              <w:widowControl w:val="0"/>
              <w:snapToGrid w:val="0"/>
              <w:rPr>
                <w:sz w:val="22"/>
                <w:szCs w:val="22"/>
              </w:rPr>
            </w:pPr>
            <w:r w:rsidRPr="007849BA">
              <w:rPr>
                <w:sz w:val="22"/>
                <w:szCs w:val="22"/>
              </w:rPr>
              <w:t>Nedsat hjerte</w:t>
            </w:r>
            <w:r w:rsidRPr="007849BA">
              <w:rPr>
                <w:sz w:val="22"/>
                <w:szCs w:val="22"/>
              </w:rPr>
              <w:softHyphen/>
              <w:t>frekvens</w:t>
            </w:r>
          </w:p>
        </w:tc>
        <w:tc>
          <w:tcPr>
            <w:tcW w:w="604" w:type="pct"/>
            <w:tcBorders>
              <w:top w:val="single" w:sz="4" w:space="0" w:color="auto"/>
              <w:left w:val="single" w:sz="4" w:space="0" w:color="auto"/>
              <w:bottom w:val="single" w:sz="4" w:space="0" w:color="auto"/>
              <w:right w:val="single" w:sz="4" w:space="0" w:color="auto"/>
            </w:tcBorders>
          </w:tcPr>
          <w:p w14:paraId="15AE0A9E" w14:textId="77777777" w:rsidR="00295D2D" w:rsidRPr="007849BA" w:rsidRDefault="00295D2D">
            <w:pPr>
              <w:widowControl w:val="0"/>
              <w:snapToGrid w:val="0"/>
              <w:rPr>
                <w:sz w:val="22"/>
                <w:szCs w:val="22"/>
              </w:rPr>
            </w:pPr>
          </w:p>
        </w:tc>
      </w:tr>
      <w:tr w:rsidR="00295D2D" w:rsidRPr="007849BA" w14:paraId="56B55764"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559369B8" w14:textId="77777777" w:rsidR="00295D2D" w:rsidRPr="007849BA" w:rsidRDefault="00295D2D">
            <w:pPr>
              <w:widowControl w:val="0"/>
              <w:snapToGrid w:val="0"/>
              <w:rPr>
                <w:sz w:val="22"/>
                <w:szCs w:val="22"/>
              </w:rPr>
            </w:pPr>
            <w:proofErr w:type="spellStart"/>
            <w:r w:rsidRPr="007849BA">
              <w:rPr>
                <w:b/>
                <w:sz w:val="22"/>
                <w:szCs w:val="22"/>
              </w:rPr>
              <w:t>Vaskulære</w:t>
            </w:r>
            <w:proofErr w:type="spellEnd"/>
            <w:r w:rsidRPr="007849BA">
              <w:rPr>
                <w:b/>
                <w:sz w:val="22"/>
                <w:szCs w:val="22"/>
              </w:rPr>
              <w:t xml:space="preserve"> sygdomme</w:t>
            </w:r>
          </w:p>
        </w:tc>
        <w:tc>
          <w:tcPr>
            <w:tcW w:w="682" w:type="pct"/>
            <w:tcBorders>
              <w:top w:val="single" w:sz="4" w:space="0" w:color="auto"/>
              <w:left w:val="single" w:sz="4" w:space="0" w:color="auto"/>
              <w:bottom w:val="single" w:sz="4" w:space="0" w:color="auto"/>
              <w:right w:val="single" w:sz="4" w:space="0" w:color="auto"/>
            </w:tcBorders>
          </w:tcPr>
          <w:p w14:paraId="134BA578"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hideMark/>
          </w:tcPr>
          <w:p w14:paraId="5817961A" w14:textId="77777777" w:rsidR="00295D2D" w:rsidRPr="007849BA" w:rsidRDefault="00295D2D">
            <w:pPr>
              <w:widowControl w:val="0"/>
              <w:snapToGrid w:val="0"/>
              <w:rPr>
                <w:sz w:val="22"/>
                <w:szCs w:val="22"/>
              </w:rPr>
            </w:pPr>
            <w:r w:rsidRPr="007849BA">
              <w:rPr>
                <w:sz w:val="22"/>
                <w:szCs w:val="22"/>
              </w:rPr>
              <w:t>Rødmen</w:t>
            </w:r>
          </w:p>
        </w:tc>
        <w:tc>
          <w:tcPr>
            <w:tcW w:w="1057" w:type="pct"/>
            <w:tcBorders>
              <w:top w:val="single" w:sz="4" w:space="0" w:color="auto"/>
              <w:left w:val="single" w:sz="4" w:space="0" w:color="auto"/>
              <w:bottom w:val="single" w:sz="4" w:space="0" w:color="auto"/>
              <w:right w:val="single" w:sz="4" w:space="0" w:color="auto"/>
            </w:tcBorders>
            <w:hideMark/>
          </w:tcPr>
          <w:p w14:paraId="1BE6556A" w14:textId="77777777" w:rsidR="00295D2D" w:rsidRPr="007849BA" w:rsidRDefault="00295D2D">
            <w:pPr>
              <w:widowControl w:val="0"/>
              <w:snapToGrid w:val="0"/>
              <w:rPr>
                <w:sz w:val="22"/>
                <w:szCs w:val="22"/>
              </w:rPr>
            </w:pPr>
            <w:r w:rsidRPr="007849BA">
              <w:rPr>
                <w:sz w:val="22"/>
                <w:szCs w:val="22"/>
              </w:rPr>
              <w:t>Blodtryksfald</w:t>
            </w:r>
          </w:p>
        </w:tc>
        <w:tc>
          <w:tcPr>
            <w:tcW w:w="886" w:type="pct"/>
            <w:tcBorders>
              <w:top w:val="single" w:sz="4" w:space="0" w:color="auto"/>
              <w:left w:val="single" w:sz="4" w:space="0" w:color="auto"/>
              <w:bottom w:val="single" w:sz="4" w:space="0" w:color="auto"/>
              <w:right w:val="single" w:sz="4" w:space="0" w:color="auto"/>
            </w:tcBorders>
          </w:tcPr>
          <w:p w14:paraId="6E67818C"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4" w:space="0" w:color="auto"/>
              <w:right w:val="single" w:sz="4" w:space="0" w:color="auto"/>
            </w:tcBorders>
          </w:tcPr>
          <w:p w14:paraId="13E1C0FD" w14:textId="77777777" w:rsidR="00295D2D" w:rsidRPr="007849BA" w:rsidRDefault="00295D2D">
            <w:pPr>
              <w:widowControl w:val="0"/>
              <w:snapToGrid w:val="0"/>
              <w:rPr>
                <w:sz w:val="22"/>
                <w:szCs w:val="22"/>
              </w:rPr>
            </w:pPr>
          </w:p>
        </w:tc>
      </w:tr>
      <w:tr w:rsidR="00295D2D" w:rsidRPr="007849BA" w14:paraId="0642196D"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05E67AFD" w14:textId="77777777" w:rsidR="00295D2D" w:rsidRPr="007849BA" w:rsidRDefault="00295D2D">
            <w:pPr>
              <w:widowControl w:val="0"/>
              <w:rPr>
                <w:sz w:val="22"/>
                <w:szCs w:val="22"/>
              </w:rPr>
            </w:pPr>
            <w:r w:rsidRPr="007849BA">
              <w:rPr>
                <w:b/>
                <w:sz w:val="22"/>
                <w:szCs w:val="22"/>
              </w:rPr>
              <w:t xml:space="preserve">Luftveje, thorax og </w:t>
            </w:r>
            <w:proofErr w:type="spellStart"/>
            <w:r w:rsidRPr="007849BA">
              <w:rPr>
                <w:b/>
                <w:sz w:val="22"/>
                <w:szCs w:val="22"/>
              </w:rPr>
              <w:t>mediastinum</w:t>
            </w:r>
            <w:proofErr w:type="spellEnd"/>
          </w:p>
        </w:tc>
        <w:tc>
          <w:tcPr>
            <w:tcW w:w="682" w:type="pct"/>
            <w:tcBorders>
              <w:top w:val="single" w:sz="4" w:space="0" w:color="auto"/>
              <w:left w:val="single" w:sz="4" w:space="0" w:color="auto"/>
              <w:bottom w:val="single" w:sz="4" w:space="0" w:color="auto"/>
              <w:right w:val="single" w:sz="4" w:space="0" w:color="auto"/>
            </w:tcBorders>
          </w:tcPr>
          <w:p w14:paraId="7608DF59"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tcPr>
          <w:p w14:paraId="4D6D5650" w14:textId="77777777" w:rsidR="00295D2D" w:rsidRPr="007849BA" w:rsidRDefault="00295D2D">
            <w:pPr>
              <w:widowControl w:val="0"/>
              <w:snapToGrid w:val="0"/>
              <w:rPr>
                <w:sz w:val="22"/>
                <w:szCs w:val="22"/>
              </w:rPr>
            </w:pPr>
          </w:p>
        </w:tc>
        <w:tc>
          <w:tcPr>
            <w:tcW w:w="1057" w:type="pct"/>
            <w:tcBorders>
              <w:top w:val="single" w:sz="4" w:space="0" w:color="auto"/>
              <w:left w:val="single" w:sz="4" w:space="0" w:color="auto"/>
              <w:bottom w:val="single" w:sz="4" w:space="0" w:color="auto"/>
              <w:right w:val="single" w:sz="4" w:space="0" w:color="auto"/>
            </w:tcBorders>
            <w:hideMark/>
          </w:tcPr>
          <w:p w14:paraId="76951400" w14:textId="77777777" w:rsidR="00295D2D" w:rsidRPr="007849BA" w:rsidRDefault="00295D2D">
            <w:pPr>
              <w:widowControl w:val="0"/>
              <w:snapToGrid w:val="0"/>
              <w:rPr>
                <w:sz w:val="22"/>
                <w:szCs w:val="22"/>
              </w:rPr>
            </w:pPr>
            <w:r w:rsidRPr="007849BA">
              <w:rPr>
                <w:sz w:val="22"/>
                <w:szCs w:val="22"/>
              </w:rPr>
              <w:t>Respirations</w:t>
            </w:r>
            <w:r w:rsidRPr="007849BA">
              <w:rPr>
                <w:sz w:val="22"/>
                <w:szCs w:val="22"/>
              </w:rPr>
              <w:softHyphen/>
              <w:t xml:space="preserve">depression, nedsat iltmætning, dyspnø </w:t>
            </w:r>
          </w:p>
        </w:tc>
        <w:tc>
          <w:tcPr>
            <w:tcW w:w="886" w:type="pct"/>
            <w:tcBorders>
              <w:top w:val="single" w:sz="4" w:space="0" w:color="auto"/>
              <w:left w:val="single" w:sz="4" w:space="0" w:color="auto"/>
              <w:bottom w:val="single" w:sz="4" w:space="0" w:color="auto"/>
              <w:right w:val="single" w:sz="4" w:space="0" w:color="auto"/>
            </w:tcBorders>
          </w:tcPr>
          <w:p w14:paraId="502D3524"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4" w:space="0" w:color="auto"/>
              <w:right w:val="single" w:sz="4" w:space="0" w:color="auto"/>
            </w:tcBorders>
          </w:tcPr>
          <w:p w14:paraId="715C8AB4" w14:textId="77777777" w:rsidR="00295D2D" w:rsidRPr="007849BA" w:rsidRDefault="00295D2D">
            <w:pPr>
              <w:widowControl w:val="0"/>
              <w:snapToGrid w:val="0"/>
              <w:rPr>
                <w:sz w:val="22"/>
                <w:szCs w:val="22"/>
              </w:rPr>
            </w:pPr>
          </w:p>
        </w:tc>
      </w:tr>
      <w:tr w:rsidR="00295D2D" w:rsidRPr="007849BA" w14:paraId="5D434269"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30D60BCB" w14:textId="77777777" w:rsidR="00295D2D" w:rsidRPr="007849BA" w:rsidRDefault="00295D2D">
            <w:pPr>
              <w:widowControl w:val="0"/>
              <w:snapToGrid w:val="0"/>
              <w:rPr>
                <w:sz w:val="22"/>
                <w:szCs w:val="22"/>
              </w:rPr>
            </w:pPr>
            <w:r w:rsidRPr="007849BA">
              <w:rPr>
                <w:b/>
                <w:sz w:val="22"/>
                <w:szCs w:val="22"/>
              </w:rPr>
              <w:t>Mave-tarm-kanalen</w:t>
            </w:r>
          </w:p>
        </w:tc>
        <w:tc>
          <w:tcPr>
            <w:tcW w:w="682" w:type="pct"/>
            <w:tcBorders>
              <w:top w:val="single" w:sz="4" w:space="0" w:color="auto"/>
              <w:left w:val="single" w:sz="4" w:space="0" w:color="auto"/>
              <w:bottom w:val="single" w:sz="4" w:space="0" w:color="auto"/>
              <w:right w:val="single" w:sz="4" w:space="0" w:color="auto"/>
            </w:tcBorders>
            <w:hideMark/>
          </w:tcPr>
          <w:p w14:paraId="1E8F3022" w14:textId="77777777" w:rsidR="00295D2D" w:rsidRPr="007849BA" w:rsidRDefault="00295D2D">
            <w:pPr>
              <w:widowControl w:val="0"/>
              <w:snapToGrid w:val="0"/>
              <w:rPr>
                <w:sz w:val="22"/>
                <w:szCs w:val="22"/>
              </w:rPr>
            </w:pPr>
            <w:r w:rsidRPr="007849BA">
              <w:rPr>
                <w:sz w:val="22"/>
                <w:szCs w:val="22"/>
              </w:rPr>
              <w:t>Kvalme, opkastning</w:t>
            </w:r>
          </w:p>
        </w:tc>
        <w:tc>
          <w:tcPr>
            <w:tcW w:w="892" w:type="pct"/>
            <w:tcBorders>
              <w:top w:val="single" w:sz="4" w:space="0" w:color="auto"/>
              <w:left w:val="single" w:sz="4" w:space="0" w:color="auto"/>
              <w:bottom w:val="single" w:sz="4" w:space="0" w:color="auto"/>
              <w:right w:val="single" w:sz="4" w:space="0" w:color="auto"/>
            </w:tcBorders>
            <w:hideMark/>
          </w:tcPr>
          <w:p w14:paraId="76364378" w14:textId="77777777" w:rsidR="00295D2D" w:rsidRPr="007849BA" w:rsidRDefault="00295D2D">
            <w:pPr>
              <w:widowControl w:val="0"/>
              <w:snapToGrid w:val="0"/>
              <w:rPr>
                <w:sz w:val="22"/>
                <w:szCs w:val="22"/>
              </w:rPr>
            </w:pPr>
            <w:r w:rsidRPr="007849BA">
              <w:rPr>
                <w:sz w:val="22"/>
                <w:szCs w:val="22"/>
              </w:rPr>
              <w:t>Obstipation, diarré, dyspepsi, mundtørhed.</w:t>
            </w:r>
          </w:p>
        </w:tc>
        <w:tc>
          <w:tcPr>
            <w:tcW w:w="1057" w:type="pct"/>
            <w:tcBorders>
              <w:top w:val="single" w:sz="4" w:space="0" w:color="auto"/>
              <w:left w:val="single" w:sz="4" w:space="0" w:color="auto"/>
              <w:bottom w:val="single" w:sz="4" w:space="0" w:color="auto"/>
              <w:right w:val="single" w:sz="4" w:space="0" w:color="auto"/>
            </w:tcBorders>
            <w:hideMark/>
          </w:tcPr>
          <w:p w14:paraId="1AC73880" w14:textId="77777777" w:rsidR="00295D2D" w:rsidRPr="007849BA" w:rsidRDefault="00295D2D">
            <w:pPr>
              <w:widowControl w:val="0"/>
              <w:snapToGrid w:val="0"/>
              <w:rPr>
                <w:sz w:val="22"/>
                <w:szCs w:val="22"/>
              </w:rPr>
            </w:pPr>
            <w:proofErr w:type="spellStart"/>
            <w:r w:rsidRPr="007849BA">
              <w:rPr>
                <w:sz w:val="22"/>
                <w:szCs w:val="22"/>
              </w:rPr>
              <w:t>Abdominalgener</w:t>
            </w:r>
            <w:proofErr w:type="spellEnd"/>
          </w:p>
        </w:tc>
        <w:tc>
          <w:tcPr>
            <w:tcW w:w="886" w:type="pct"/>
            <w:tcBorders>
              <w:top w:val="single" w:sz="4" w:space="0" w:color="auto"/>
              <w:left w:val="single" w:sz="4" w:space="0" w:color="auto"/>
              <w:bottom w:val="single" w:sz="4" w:space="0" w:color="auto"/>
              <w:right w:val="single" w:sz="4" w:space="0" w:color="auto"/>
            </w:tcBorders>
            <w:hideMark/>
          </w:tcPr>
          <w:p w14:paraId="67CF3B2C" w14:textId="77777777" w:rsidR="00295D2D" w:rsidRPr="007849BA" w:rsidRDefault="00295D2D">
            <w:pPr>
              <w:widowControl w:val="0"/>
              <w:snapToGrid w:val="0"/>
              <w:rPr>
                <w:sz w:val="22"/>
                <w:szCs w:val="22"/>
              </w:rPr>
            </w:pPr>
            <w:bookmarkStart w:id="12" w:name="OLE_LINK2"/>
            <w:r w:rsidRPr="007849BA">
              <w:rPr>
                <w:sz w:val="22"/>
                <w:szCs w:val="22"/>
              </w:rPr>
              <w:t>Nedsat ventrikel</w:t>
            </w:r>
            <w:r w:rsidRPr="007849BA">
              <w:rPr>
                <w:sz w:val="22"/>
                <w:szCs w:val="22"/>
              </w:rPr>
              <w:softHyphen/>
              <w:t>tømning</w:t>
            </w:r>
            <w:bookmarkEnd w:id="12"/>
          </w:p>
        </w:tc>
        <w:tc>
          <w:tcPr>
            <w:tcW w:w="604" w:type="pct"/>
            <w:tcBorders>
              <w:top w:val="single" w:sz="4" w:space="0" w:color="auto"/>
              <w:left w:val="single" w:sz="4" w:space="0" w:color="auto"/>
              <w:bottom w:val="single" w:sz="4" w:space="0" w:color="auto"/>
              <w:right w:val="single" w:sz="4" w:space="0" w:color="auto"/>
            </w:tcBorders>
          </w:tcPr>
          <w:p w14:paraId="141DFB6D" w14:textId="77777777" w:rsidR="00295D2D" w:rsidRPr="007849BA" w:rsidRDefault="00295D2D">
            <w:pPr>
              <w:widowControl w:val="0"/>
              <w:snapToGrid w:val="0"/>
              <w:rPr>
                <w:sz w:val="22"/>
                <w:szCs w:val="22"/>
              </w:rPr>
            </w:pPr>
          </w:p>
        </w:tc>
      </w:tr>
      <w:tr w:rsidR="00295D2D" w:rsidRPr="007849BA" w14:paraId="5055B2B9"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7857B0B9" w14:textId="77777777" w:rsidR="00295D2D" w:rsidRPr="007849BA" w:rsidRDefault="00295D2D">
            <w:pPr>
              <w:widowControl w:val="0"/>
              <w:rPr>
                <w:b/>
                <w:sz w:val="22"/>
                <w:szCs w:val="22"/>
              </w:rPr>
            </w:pPr>
            <w:r w:rsidRPr="007849BA">
              <w:rPr>
                <w:b/>
                <w:sz w:val="22"/>
                <w:szCs w:val="22"/>
              </w:rPr>
              <w:t>Hud og subkutane væv</w:t>
            </w:r>
          </w:p>
        </w:tc>
        <w:tc>
          <w:tcPr>
            <w:tcW w:w="682" w:type="pct"/>
            <w:tcBorders>
              <w:top w:val="single" w:sz="4" w:space="0" w:color="auto"/>
              <w:left w:val="single" w:sz="4" w:space="0" w:color="auto"/>
              <w:bottom w:val="single" w:sz="4" w:space="0" w:color="auto"/>
              <w:right w:val="single" w:sz="4" w:space="0" w:color="auto"/>
            </w:tcBorders>
          </w:tcPr>
          <w:p w14:paraId="5723AFB4"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hideMark/>
          </w:tcPr>
          <w:p w14:paraId="0F186808" w14:textId="77777777" w:rsidR="00295D2D" w:rsidRPr="007849BA" w:rsidRDefault="00295D2D">
            <w:pPr>
              <w:widowControl w:val="0"/>
              <w:snapToGrid w:val="0"/>
              <w:rPr>
                <w:sz w:val="22"/>
                <w:szCs w:val="22"/>
              </w:rPr>
            </w:pPr>
            <w:proofErr w:type="spellStart"/>
            <w:r w:rsidRPr="007849BA">
              <w:rPr>
                <w:sz w:val="22"/>
                <w:szCs w:val="22"/>
              </w:rPr>
              <w:t>Pruritus</w:t>
            </w:r>
            <w:proofErr w:type="spellEnd"/>
            <w:r w:rsidRPr="007849BA">
              <w:rPr>
                <w:sz w:val="22"/>
                <w:szCs w:val="22"/>
              </w:rPr>
              <w:t xml:space="preserve">, </w:t>
            </w:r>
            <w:proofErr w:type="spellStart"/>
            <w:r w:rsidRPr="007849BA">
              <w:rPr>
                <w:sz w:val="22"/>
                <w:szCs w:val="22"/>
              </w:rPr>
              <w:t>hyperhidrose</w:t>
            </w:r>
            <w:proofErr w:type="spellEnd"/>
            <w:r w:rsidRPr="007849BA">
              <w:rPr>
                <w:sz w:val="22"/>
                <w:szCs w:val="22"/>
              </w:rPr>
              <w:t>, udslæt</w:t>
            </w:r>
          </w:p>
        </w:tc>
        <w:tc>
          <w:tcPr>
            <w:tcW w:w="1057" w:type="pct"/>
            <w:tcBorders>
              <w:top w:val="single" w:sz="4" w:space="0" w:color="auto"/>
              <w:left w:val="single" w:sz="4" w:space="0" w:color="auto"/>
              <w:bottom w:val="single" w:sz="4" w:space="0" w:color="auto"/>
              <w:right w:val="single" w:sz="4" w:space="0" w:color="auto"/>
            </w:tcBorders>
            <w:hideMark/>
          </w:tcPr>
          <w:p w14:paraId="365BB401" w14:textId="77777777" w:rsidR="00295D2D" w:rsidRPr="007849BA" w:rsidRDefault="00295D2D">
            <w:pPr>
              <w:widowControl w:val="0"/>
              <w:snapToGrid w:val="0"/>
              <w:rPr>
                <w:sz w:val="22"/>
                <w:szCs w:val="22"/>
              </w:rPr>
            </w:pPr>
            <w:proofErr w:type="spellStart"/>
            <w:r w:rsidRPr="007849BA">
              <w:rPr>
                <w:sz w:val="22"/>
                <w:szCs w:val="22"/>
              </w:rPr>
              <w:t>Urticaria</w:t>
            </w:r>
            <w:proofErr w:type="spellEnd"/>
          </w:p>
        </w:tc>
        <w:tc>
          <w:tcPr>
            <w:tcW w:w="886" w:type="pct"/>
            <w:tcBorders>
              <w:top w:val="single" w:sz="4" w:space="0" w:color="auto"/>
              <w:left w:val="single" w:sz="4" w:space="0" w:color="auto"/>
              <w:bottom w:val="single" w:sz="4" w:space="0" w:color="auto"/>
              <w:right w:val="single" w:sz="4" w:space="0" w:color="auto"/>
            </w:tcBorders>
          </w:tcPr>
          <w:p w14:paraId="77154D92"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4" w:space="0" w:color="auto"/>
              <w:right w:val="single" w:sz="4" w:space="0" w:color="auto"/>
            </w:tcBorders>
          </w:tcPr>
          <w:p w14:paraId="074DD79F" w14:textId="77777777" w:rsidR="00295D2D" w:rsidRPr="007849BA" w:rsidRDefault="00295D2D">
            <w:pPr>
              <w:widowControl w:val="0"/>
              <w:snapToGrid w:val="0"/>
              <w:rPr>
                <w:sz w:val="22"/>
                <w:szCs w:val="22"/>
              </w:rPr>
            </w:pPr>
          </w:p>
        </w:tc>
      </w:tr>
      <w:tr w:rsidR="00295D2D" w:rsidRPr="007849BA" w14:paraId="3786F89D"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02B63362" w14:textId="77777777" w:rsidR="00295D2D" w:rsidRPr="007849BA" w:rsidRDefault="00295D2D">
            <w:pPr>
              <w:widowControl w:val="0"/>
              <w:rPr>
                <w:b/>
                <w:sz w:val="22"/>
                <w:szCs w:val="22"/>
              </w:rPr>
            </w:pPr>
            <w:r w:rsidRPr="007849BA">
              <w:rPr>
                <w:b/>
                <w:sz w:val="22"/>
                <w:szCs w:val="22"/>
              </w:rPr>
              <w:t>Knogler, led, muskler og bindevæv</w:t>
            </w:r>
          </w:p>
        </w:tc>
        <w:tc>
          <w:tcPr>
            <w:tcW w:w="682" w:type="pct"/>
            <w:tcBorders>
              <w:top w:val="single" w:sz="4" w:space="0" w:color="auto"/>
              <w:left w:val="single" w:sz="4" w:space="0" w:color="auto"/>
              <w:bottom w:val="single" w:sz="4" w:space="0" w:color="auto"/>
              <w:right w:val="single" w:sz="4" w:space="0" w:color="auto"/>
            </w:tcBorders>
          </w:tcPr>
          <w:p w14:paraId="22DDF7B7"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hideMark/>
          </w:tcPr>
          <w:p w14:paraId="3874FB67" w14:textId="77777777" w:rsidR="00295D2D" w:rsidRPr="007849BA" w:rsidRDefault="00295D2D">
            <w:pPr>
              <w:widowControl w:val="0"/>
              <w:snapToGrid w:val="0"/>
              <w:rPr>
                <w:sz w:val="22"/>
                <w:szCs w:val="22"/>
              </w:rPr>
            </w:pPr>
            <w:r w:rsidRPr="007849BA">
              <w:rPr>
                <w:sz w:val="22"/>
                <w:szCs w:val="22"/>
              </w:rPr>
              <w:t>Muskelspasmer</w:t>
            </w:r>
          </w:p>
        </w:tc>
        <w:tc>
          <w:tcPr>
            <w:tcW w:w="1057" w:type="pct"/>
            <w:tcBorders>
              <w:top w:val="single" w:sz="4" w:space="0" w:color="auto"/>
              <w:left w:val="single" w:sz="4" w:space="0" w:color="auto"/>
              <w:bottom w:val="single" w:sz="4" w:space="0" w:color="auto"/>
              <w:right w:val="single" w:sz="4" w:space="0" w:color="auto"/>
            </w:tcBorders>
            <w:hideMark/>
          </w:tcPr>
          <w:p w14:paraId="7ADD79AD" w14:textId="77777777" w:rsidR="00295D2D" w:rsidRPr="007849BA" w:rsidRDefault="00295D2D">
            <w:pPr>
              <w:widowControl w:val="0"/>
              <w:snapToGrid w:val="0"/>
              <w:rPr>
                <w:sz w:val="22"/>
                <w:szCs w:val="22"/>
              </w:rPr>
            </w:pPr>
            <w:r w:rsidRPr="007849BA">
              <w:rPr>
                <w:sz w:val="22"/>
                <w:szCs w:val="22"/>
              </w:rPr>
              <w:t>Fornemmelse af tyngde</w:t>
            </w:r>
          </w:p>
        </w:tc>
        <w:tc>
          <w:tcPr>
            <w:tcW w:w="886" w:type="pct"/>
            <w:tcBorders>
              <w:top w:val="single" w:sz="4" w:space="0" w:color="auto"/>
              <w:left w:val="single" w:sz="4" w:space="0" w:color="auto"/>
              <w:bottom w:val="single" w:sz="4" w:space="0" w:color="auto"/>
              <w:right w:val="single" w:sz="4" w:space="0" w:color="auto"/>
            </w:tcBorders>
          </w:tcPr>
          <w:p w14:paraId="1D91EB32"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4" w:space="0" w:color="auto"/>
              <w:right w:val="single" w:sz="4" w:space="0" w:color="auto"/>
            </w:tcBorders>
          </w:tcPr>
          <w:p w14:paraId="01F88EB2" w14:textId="77777777" w:rsidR="00295D2D" w:rsidRPr="007849BA" w:rsidRDefault="00295D2D">
            <w:pPr>
              <w:widowControl w:val="0"/>
              <w:snapToGrid w:val="0"/>
              <w:rPr>
                <w:sz w:val="22"/>
                <w:szCs w:val="22"/>
              </w:rPr>
            </w:pPr>
          </w:p>
        </w:tc>
      </w:tr>
      <w:tr w:rsidR="00295D2D" w:rsidRPr="007849BA" w14:paraId="639F0119" w14:textId="77777777" w:rsidTr="00F4752A">
        <w:trPr>
          <w:trHeight w:val="146"/>
        </w:trPr>
        <w:tc>
          <w:tcPr>
            <w:tcW w:w="879" w:type="pct"/>
            <w:tcBorders>
              <w:top w:val="single" w:sz="4" w:space="0" w:color="auto"/>
              <w:left w:val="single" w:sz="4" w:space="0" w:color="auto"/>
              <w:bottom w:val="single" w:sz="4" w:space="0" w:color="auto"/>
              <w:right w:val="single" w:sz="4" w:space="0" w:color="auto"/>
            </w:tcBorders>
            <w:hideMark/>
          </w:tcPr>
          <w:p w14:paraId="4FFC707C" w14:textId="77777777" w:rsidR="00295D2D" w:rsidRPr="007849BA" w:rsidRDefault="00295D2D">
            <w:pPr>
              <w:widowControl w:val="0"/>
              <w:rPr>
                <w:b/>
                <w:sz w:val="22"/>
                <w:szCs w:val="22"/>
              </w:rPr>
            </w:pPr>
            <w:r w:rsidRPr="007849BA">
              <w:rPr>
                <w:b/>
                <w:sz w:val="22"/>
                <w:szCs w:val="22"/>
              </w:rPr>
              <w:t>Nyrer og urinveje</w:t>
            </w:r>
          </w:p>
        </w:tc>
        <w:tc>
          <w:tcPr>
            <w:tcW w:w="682" w:type="pct"/>
            <w:tcBorders>
              <w:top w:val="single" w:sz="4" w:space="0" w:color="auto"/>
              <w:left w:val="single" w:sz="4" w:space="0" w:color="auto"/>
              <w:bottom w:val="single" w:sz="4" w:space="0" w:color="auto"/>
              <w:right w:val="single" w:sz="4" w:space="0" w:color="auto"/>
            </w:tcBorders>
          </w:tcPr>
          <w:p w14:paraId="22742089" w14:textId="77777777" w:rsidR="00295D2D" w:rsidRPr="007849BA" w:rsidRDefault="00295D2D">
            <w:pPr>
              <w:widowControl w:val="0"/>
              <w:snapToGrid w:val="0"/>
              <w:rPr>
                <w:sz w:val="22"/>
                <w:szCs w:val="22"/>
              </w:rPr>
            </w:pPr>
          </w:p>
        </w:tc>
        <w:tc>
          <w:tcPr>
            <w:tcW w:w="892" w:type="pct"/>
            <w:tcBorders>
              <w:top w:val="single" w:sz="4" w:space="0" w:color="auto"/>
              <w:left w:val="single" w:sz="4" w:space="0" w:color="auto"/>
              <w:bottom w:val="single" w:sz="4" w:space="0" w:color="auto"/>
              <w:right w:val="single" w:sz="4" w:space="0" w:color="auto"/>
            </w:tcBorders>
          </w:tcPr>
          <w:p w14:paraId="5C10F94A" w14:textId="77777777" w:rsidR="00295D2D" w:rsidRPr="007849BA" w:rsidRDefault="00295D2D">
            <w:pPr>
              <w:widowControl w:val="0"/>
              <w:snapToGrid w:val="0"/>
              <w:rPr>
                <w:sz w:val="22"/>
                <w:szCs w:val="22"/>
              </w:rPr>
            </w:pPr>
          </w:p>
        </w:tc>
        <w:tc>
          <w:tcPr>
            <w:tcW w:w="1057" w:type="pct"/>
            <w:tcBorders>
              <w:top w:val="single" w:sz="4" w:space="0" w:color="auto"/>
              <w:left w:val="single" w:sz="4" w:space="0" w:color="auto"/>
              <w:bottom w:val="single" w:sz="4" w:space="0" w:color="auto"/>
              <w:right w:val="single" w:sz="4" w:space="0" w:color="auto"/>
            </w:tcBorders>
            <w:hideMark/>
          </w:tcPr>
          <w:p w14:paraId="12387DB4" w14:textId="77777777" w:rsidR="00295D2D" w:rsidRPr="007849BA" w:rsidRDefault="00295D2D">
            <w:pPr>
              <w:widowControl w:val="0"/>
              <w:snapToGrid w:val="0"/>
              <w:rPr>
                <w:sz w:val="22"/>
                <w:szCs w:val="22"/>
              </w:rPr>
            </w:pPr>
            <w:r w:rsidRPr="007849BA">
              <w:rPr>
                <w:sz w:val="22"/>
                <w:szCs w:val="22"/>
              </w:rPr>
              <w:t xml:space="preserve">Igangsætningsbesvær ved vandladning, </w:t>
            </w:r>
            <w:proofErr w:type="spellStart"/>
            <w:r w:rsidRPr="007849BA">
              <w:rPr>
                <w:sz w:val="22"/>
                <w:szCs w:val="22"/>
              </w:rPr>
              <w:t>pollakisuri</w:t>
            </w:r>
            <w:proofErr w:type="spellEnd"/>
          </w:p>
        </w:tc>
        <w:tc>
          <w:tcPr>
            <w:tcW w:w="886" w:type="pct"/>
            <w:tcBorders>
              <w:top w:val="single" w:sz="4" w:space="0" w:color="auto"/>
              <w:left w:val="single" w:sz="4" w:space="0" w:color="auto"/>
              <w:bottom w:val="single" w:sz="4" w:space="0" w:color="auto"/>
              <w:right w:val="single" w:sz="4" w:space="0" w:color="auto"/>
            </w:tcBorders>
          </w:tcPr>
          <w:p w14:paraId="1C3B127F" w14:textId="77777777" w:rsidR="00295D2D" w:rsidRPr="007849BA" w:rsidRDefault="00295D2D">
            <w:pPr>
              <w:widowControl w:val="0"/>
              <w:snapToGrid w:val="0"/>
              <w:rPr>
                <w:sz w:val="22"/>
                <w:szCs w:val="22"/>
              </w:rPr>
            </w:pPr>
          </w:p>
        </w:tc>
        <w:tc>
          <w:tcPr>
            <w:tcW w:w="604" w:type="pct"/>
            <w:tcBorders>
              <w:top w:val="single" w:sz="4" w:space="0" w:color="auto"/>
              <w:left w:val="single" w:sz="4" w:space="0" w:color="auto"/>
              <w:bottom w:val="single" w:sz="4" w:space="0" w:color="auto"/>
              <w:right w:val="single" w:sz="4" w:space="0" w:color="auto"/>
            </w:tcBorders>
          </w:tcPr>
          <w:p w14:paraId="21415D24" w14:textId="77777777" w:rsidR="00295D2D" w:rsidRPr="007849BA" w:rsidRDefault="00295D2D">
            <w:pPr>
              <w:widowControl w:val="0"/>
              <w:snapToGrid w:val="0"/>
              <w:rPr>
                <w:sz w:val="22"/>
                <w:szCs w:val="22"/>
              </w:rPr>
            </w:pPr>
          </w:p>
        </w:tc>
      </w:tr>
      <w:tr w:rsidR="00295D2D" w:rsidRPr="007849BA" w14:paraId="035AE0AF" w14:textId="77777777" w:rsidTr="00F4752A">
        <w:trPr>
          <w:trHeight w:val="146"/>
        </w:trPr>
        <w:tc>
          <w:tcPr>
            <w:tcW w:w="879" w:type="pct"/>
            <w:tcBorders>
              <w:top w:val="single" w:sz="4" w:space="0" w:color="auto"/>
              <w:left w:val="single" w:sz="4" w:space="0" w:color="auto"/>
              <w:bottom w:val="single" w:sz="12" w:space="0" w:color="auto"/>
              <w:right w:val="single" w:sz="4" w:space="0" w:color="auto"/>
            </w:tcBorders>
            <w:hideMark/>
          </w:tcPr>
          <w:p w14:paraId="65F9FFCF" w14:textId="77777777" w:rsidR="00295D2D" w:rsidRPr="007849BA" w:rsidRDefault="00295D2D" w:rsidP="00D07E17">
            <w:pPr>
              <w:rPr>
                <w:b/>
                <w:sz w:val="22"/>
                <w:szCs w:val="22"/>
              </w:rPr>
            </w:pPr>
            <w:r w:rsidRPr="007849BA">
              <w:rPr>
                <w:b/>
                <w:sz w:val="22"/>
                <w:szCs w:val="22"/>
              </w:rPr>
              <w:t>Almene symptomer og reaktioner på administrations</w:t>
            </w:r>
            <w:r w:rsidRPr="007849BA">
              <w:rPr>
                <w:b/>
                <w:sz w:val="22"/>
                <w:szCs w:val="22"/>
              </w:rPr>
              <w:softHyphen/>
              <w:t>stedet</w:t>
            </w:r>
          </w:p>
        </w:tc>
        <w:tc>
          <w:tcPr>
            <w:tcW w:w="682" w:type="pct"/>
            <w:tcBorders>
              <w:top w:val="single" w:sz="4" w:space="0" w:color="auto"/>
              <w:left w:val="single" w:sz="4" w:space="0" w:color="auto"/>
              <w:bottom w:val="single" w:sz="12" w:space="0" w:color="auto"/>
              <w:right w:val="single" w:sz="4" w:space="0" w:color="auto"/>
            </w:tcBorders>
          </w:tcPr>
          <w:p w14:paraId="42D79F56" w14:textId="77777777" w:rsidR="00295D2D" w:rsidRPr="007849BA" w:rsidRDefault="00295D2D">
            <w:pPr>
              <w:keepNext/>
              <w:widowControl w:val="0"/>
              <w:snapToGrid w:val="0"/>
              <w:rPr>
                <w:sz w:val="22"/>
                <w:szCs w:val="22"/>
              </w:rPr>
            </w:pPr>
          </w:p>
        </w:tc>
        <w:tc>
          <w:tcPr>
            <w:tcW w:w="892" w:type="pct"/>
            <w:tcBorders>
              <w:top w:val="single" w:sz="4" w:space="0" w:color="auto"/>
              <w:left w:val="single" w:sz="4" w:space="0" w:color="auto"/>
              <w:bottom w:val="single" w:sz="12" w:space="0" w:color="auto"/>
              <w:right w:val="single" w:sz="4" w:space="0" w:color="auto"/>
            </w:tcBorders>
            <w:hideMark/>
          </w:tcPr>
          <w:p w14:paraId="650878BC" w14:textId="77777777" w:rsidR="00295D2D" w:rsidRPr="007849BA" w:rsidRDefault="00295D2D">
            <w:pPr>
              <w:keepNext/>
              <w:widowControl w:val="0"/>
              <w:snapToGrid w:val="0"/>
              <w:rPr>
                <w:sz w:val="22"/>
                <w:szCs w:val="22"/>
              </w:rPr>
            </w:pPr>
            <w:r w:rsidRPr="007849BA">
              <w:rPr>
                <w:sz w:val="22"/>
                <w:szCs w:val="22"/>
              </w:rPr>
              <w:t>Asteni, træthed, fornemmelse af ændret legemstemperatur</w:t>
            </w:r>
          </w:p>
        </w:tc>
        <w:tc>
          <w:tcPr>
            <w:tcW w:w="1057" w:type="pct"/>
            <w:tcBorders>
              <w:top w:val="single" w:sz="4" w:space="0" w:color="auto"/>
              <w:left w:val="single" w:sz="4" w:space="0" w:color="auto"/>
              <w:bottom w:val="single" w:sz="12" w:space="0" w:color="auto"/>
              <w:right w:val="single" w:sz="4" w:space="0" w:color="auto"/>
            </w:tcBorders>
            <w:hideMark/>
          </w:tcPr>
          <w:p w14:paraId="110CC3FA" w14:textId="77777777" w:rsidR="00295D2D" w:rsidRPr="007849BA" w:rsidRDefault="00295D2D">
            <w:pPr>
              <w:keepNext/>
              <w:widowControl w:val="0"/>
              <w:snapToGrid w:val="0"/>
              <w:rPr>
                <w:sz w:val="22"/>
                <w:szCs w:val="22"/>
              </w:rPr>
            </w:pPr>
            <w:proofErr w:type="spellStart"/>
            <w:r w:rsidRPr="007849BA">
              <w:rPr>
                <w:sz w:val="22"/>
                <w:szCs w:val="22"/>
              </w:rPr>
              <w:t>Seponerings</w:t>
            </w:r>
            <w:r w:rsidRPr="007849BA">
              <w:rPr>
                <w:sz w:val="22"/>
                <w:szCs w:val="22"/>
              </w:rPr>
              <w:softHyphen/>
              <w:t>syndrom</w:t>
            </w:r>
            <w:proofErr w:type="spellEnd"/>
            <w:r w:rsidRPr="007849BA">
              <w:rPr>
                <w:sz w:val="22"/>
                <w:szCs w:val="22"/>
              </w:rPr>
              <w:t xml:space="preserve">, ødem, utilpashed, fornemmelse af beruselse, irritabilitet, fornemmelse af afslappethed </w:t>
            </w:r>
          </w:p>
        </w:tc>
        <w:tc>
          <w:tcPr>
            <w:tcW w:w="886" w:type="pct"/>
            <w:tcBorders>
              <w:top w:val="single" w:sz="4" w:space="0" w:color="auto"/>
              <w:left w:val="single" w:sz="4" w:space="0" w:color="auto"/>
              <w:bottom w:val="single" w:sz="12" w:space="0" w:color="auto"/>
              <w:right w:val="single" w:sz="4" w:space="0" w:color="auto"/>
            </w:tcBorders>
          </w:tcPr>
          <w:p w14:paraId="31C71514" w14:textId="77777777" w:rsidR="00295D2D" w:rsidRPr="007849BA" w:rsidRDefault="00295D2D">
            <w:pPr>
              <w:keepNext/>
              <w:widowControl w:val="0"/>
              <w:snapToGrid w:val="0"/>
              <w:rPr>
                <w:sz w:val="22"/>
                <w:szCs w:val="22"/>
              </w:rPr>
            </w:pPr>
          </w:p>
        </w:tc>
        <w:tc>
          <w:tcPr>
            <w:tcW w:w="604" w:type="pct"/>
            <w:tcBorders>
              <w:top w:val="single" w:sz="4" w:space="0" w:color="auto"/>
              <w:left w:val="single" w:sz="4" w:space="0" w:color="auto"/>
              <w:bottom w:val="single" w:sz="12" w:space="0" w:color="auto"/>
              <w:right w:val="single" w:sz="4" w:space="0" w:color="auto"/>
            </w:tcBorders>
          </w:tcPr>
          <w:p w14:paraId="3D807024" w14:textId="77777777" w:rsidR="00295D2D" w:rsidRPr="007849BA" w:rsidRDefault="00295D2D">
            <w:pPr>
              <w:keepNext/>
              <w:widowControl w:val="0"/>
              <w:snapToGrid w:val="0"/>
              <w:rPr>
                <w:sz w:val="22"/>
                <w:szCs w:val="22"/>
              </w:rPr>
            </w:pPr>
          </w:p>
        </w:tc>
      </w:tr>
      <w:tr w:rsidR="00295D2D" w:rsidRPr="007849BA" w14:paraId="6EA8F7A9" w14:textId="77777777" w:rsidTr="00F4752A">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A579D" w14:textId="059ADB9A" w:rsidR="00295D2D" w:rsidRPr="007849BA" w:rsidRDefault="00295D2D" w:rsidP="008D0D53">
            <w:pPr>
              <w:suppressAutoHyphens/>
              <w:ind w:left="316" w:hanging="316"/>
              <w:rPr>
                <w:sz w:val="22"/>
                <w:szCs w:val="22"/>
              </w:rPr>
            </w:pPr>
            <w:r w:rsidRPr="007849BA">
              <w:rPr>
                <w:sz w:val="22"/>
                <w:szCs w:val="22"/>
              </w:rPr>
              <w:t xml:space="preserve">* </w:t>
            </w:r>
            <w:r w:rsidR="008D0D53" w:rsidRPr="007849BA">
              <w:rPr>
                <w:sz w:val="22"/>
                <w:szCs w:val="22"/>
              </w:rPr>
              <w:tab/>
            </w:r>
            <w:r w:rsidRPr="007849BA">
              <w:rPr>
                <w:sz w:val="22"/>
                <w:szCs w:val="22"/>
              </w:rPr>
              <w:t xml:space="preserve">Sjældne tilfælde af </w:t>
            </w:r>
            <w:proofErr w:type="spellStart"/>
            <w:r w:rsidRPr="007849BA">
              <w:rPr>
                <w:sz w:val="22"/>
                <w:szCs w:val="22"/>
              </w:rPr>
              <w:t>angioødem</w:t>
            </w:r>
            <w:proofErr w:type="spellEnd"/>
            <w:r w:rsidRPr="007849BA">
              <w:rPr>
                <w:sz w:val="22"/>
                <w:szCs w:val="22"/>
              </w:rPr>
              <w:t xml:space="preserve">, anafylaksi og </w:t>
            </w:r>
            <w:proofErr w:type="spellStart"/>
            <w:r w:rsidRPr="007849BA">
              <w:rPr>
                <w:sz w:val="22"/>
                <w:szCs w:val="22"/>
              </w:rPr>
              <w:t>anafylaktisk</w:t>
            </w:r>
            <w:proofErr w:type="spellEnd"/>
            <w:r w:rsidRPr="007849BA">
              <w:rPr>
                <w:sz w:val="22"/>
                <w:szCs w:val="22"/>
              </w:rPr>
              <w:t xml:space="preserve"> </w:t>
            </w:r>
            <w:proofErr w:type="spellStart"/>
            <w:r w:rsidRPr="007849BA">
              <w:rPr>
                <w:sz w:val="22"/>
                <w:szCs w:val="22"/>
              </w:rPr>
              <w:t>shock</w:t>
            </w:r>
            <w:proofErr w:type="spellEnd"/>
            <w:r w:rsidRPr="007849BA">
              <w:rPr>
                <w:sz w:val="22"/>
                <w:szCs w:val="22"/>
              </w:rPr>
              <w:t xml:space="preserve"> er rapporteret efter markedsføring.</w:t>
            </w:r>
          </w:p>
          <w:p w14:paraId="1AB00B2A" w14:textId="20E76782" w:rsidR="00295D2D" w:rsidRPr="007849BA" w:rsidRDefault="00295D2D" w:rsidP="008D0D53">
            <w:pPr>
              <w:spacing w:after="140" w:line="280" w:lineRule="atLeast"/>
              <w:ind w:left="316" w:hanging="316"/>
              <w:jc w:val="both"/>
              <w:rPr>
                <w:sz w:val="22"/>
                <w:szCs w:val="22"/>
              </w:rPr>
            </w:pPr>
            <w:r w:rsidRPr="007849BA">
              <w:rPr>
                <w:sz w:val="22"/>
                <w:szCs w:val="22"/>
              </w:rPr>
              <w:t xml:space="preserve">** </w:t>
            </w:r>
            <w:r w:rsidR="008D0D53" w:rsidRPr="007849BA">
              <w:rPr>
                <w:sz w:val="22"/>
                <w:szCs w:val="22"/>
              </w:rPr>
              <w:tab/>
            </w:r>
            <w:r w:rsidRPr="007849BA">
              <w:rPr>
                <w:sz w:val="22"/>
                <w:szCs w:val="22"/>
              </w:rPr>
              <w:t>Efter markedsføring er der observeret tilfælde af delirium hos patienter med yderligere risikofaktorer såsom kræft og fremskreden alder.</w:t>
            </w:r>
          </w:p>
        </w:tc>
      </w:tr>
    </w:tbl>
    <w:p w14:paraId="63321171" w14:textId="77777777" w:rsidR="00295D2D" w:rsidRPr="007849BA" w:rsidRDefault="00295D2D" w:rsidP="00F4752A">
      <w:pPr>
        <w:ind w:left="851"/>
        <w:rPr>
          <w:noProof/>
          <w:sz w:val="24"/>
          <w:szCs w:val="24"/>
        </w:rPr>
      </w:pPr>
    </w:p>
    <w:p w14:paraId="12D4106B" w14:textId="77777777" w:rsidR="00295D2D" w:rsidRPr="007849BA" w:rsidRDefault="00295D2D" w:rsidP="00F4752A">
      <w:pPr>
        <w:ind w:left="851"/>
        <w:rPr>
          <w:sz w:val="24"/>
          <w:szCs w:val="24"/>
        </w:rPr>
      </w:pPr>
      <w:r w:rsidRPr="007849BA">
        <w:rPr>
          <w:sz w:val="24"/>
          <w:szCs w:val="24"/>
        </w:rPr>
        <w:t xml:space="preserve">I kliniske studier, hvor patienterne blev eksponeret i op til 90 dage, blev der ikke observeret mange tegn på </w:t>
      </w:r>
      <w:proofErr w:type="spellStart"/>
      <w:r w:rsidRPr="007849BA">
        <w:rPr>
          <w:sz w:val="24"/>
          <w:szCs w:val="24"/>
        </w:rPr>
        <w:t>seponerings</w:t>
      </w:r>
      <w:r w:rsidRPr="007849BA">
        <w:rPr>
          <w:sz w:val="24"/>
          <w:szCs w:val="24"/>
        </w:rPr>
        <w:softHyphen/>
        <w:t>symptomer</w:t>
      </w:r>
      <w:proofErr w:type="spellEnd"/>
      <w:r w:rsidRPr="007849BA">
        <w:rPr>
          <w:sz w:val="24"/>
          <w:szCs w:val="24"/>
        </w:rPr>
        <w:t xml:space="preserve"> efter brat afbrydelse af behandlingen, og de få observerede symptomer var generelt af mild karakter. Læger bør dog være på vagt over for </w:t>
      </w:r>
      <w:proofErr w:type="spellStart"/>
      <w:r w:rsidRPr="007849BA">
        <w:rPr>
          <w:sz w:val="24"/>
          <w:szCs w:val="24"/>
        </w:rPr>
        <w:t>seponerings</w:t>
      </w:r>
      <w:r w:rsidRPr="007849BA">
        <w:rPr>
          <w:sz w:val="24"/>
          <w:szCs w:val="24"/>
        </w:rPr>
        <w:softHyphen/>
        <w:t>symptomer</w:t>
      </w:r>
      <w:proofErr w:type="spellEnd"/>
      <w:r w:rsidRPr="007849BA">
        <w:rPr>
          <w:sz w:val="24"/>
          <w:szCs w:val="24"/>
        </w:rPr>
        <w:t xml:space="preserve"> (se pkt. 4.2) og behandle patienterne efter anvisningerne, hvis de opstår.</w:t>
      </w:r>
    </w:p>
    <w:p w14:paraId="6C868FB7" w14:textId="77777777" w:rsidR="00295D2D" w:rsidRPr="007849BA" w:rsidRDefault="00295D2D" w:rsidP="00F4752A">
      <w:pPr>
        <w:ind w:left="851"/>
        <w:rPr>
          <w:sz w:val="24"/>
          <w:szCs w:val="24"/>
        </w:rPr>
      </w:pPr>
    </w:p>
    <w:p w14:paraId="01445E30" w14:textId="77777777" w:rsidR="00295D2D" w:rsidRPr="007849BA" w:rsidRDefault="00295D2D" w:rsidP="00F4752A">
      <w:pPr>
        <w:ind w:left="851"/>
        <w:rPr>
          <w:sz w:val="24"/>
          <w:szCs w:val="24"/>
        </w:rPr>
      </w:pPr>
      <w:r w:rsidRPr="007849BA">
        <w:rPr>
          <w:sz w:val="24"/>
          <w:szCs w:val="24"/>
        </w:rPr>
        <w:t xml:space="preserve">Det er velkendt, at risikoen for selvmordstanker og selvmord er højere hos patienter med kroniske smerter. Yderligere er stoffer med udpræget indvirkning på det </w:t>
      </w:r>
      <w:proofErr w:type="spellStart"/>
      <w:r w:rsidRPr="007849BA">
        <w:rPr>
          <w:sz w:val="24"/>
          <w:szCs w:val="24"/>
        </w:rPr>
        <w:t>monoaminerge</w:t>
      </w:r>
      <w:proofErr w:type="spellEnd"/>
      <w:r w:rsidRPr="007849BA">
        <w:rPr>
          <w:sz w:val="24"/>
          <w:szCs w:val="24"/>
        </w:rPr>
        <w:t xml:space="preserve"> system, sat i forbindelse med øget risiko for </w:t>
      </w:r>
      <w:proofErr w:type="spellStart"/>
      <w:r w:rsidRPr="007849BA">
        <w:rPr>
          <w:sz w:val="24"/>
          <w:szCs w:val="24"/>
        </w:rPr>
        <w:t>suicidal</w:t>
      </w:r>
      <w:proofErr w:type="spellEnd"/>
      <w:r w:rsidRPr="007849BA">
        <w:rPr>
          <w:sz w:val="24"/>
          <w:szCs w:val="24"/>
        </w:rPr>
        <w:t xml:space="preserve"> adfærd hos patienter med depression, især i starten af behandlingen. Data fra kliniske studier med </w:t>
      </w:r>
      <w:proofErr w:type="spellStart"/>
      <w:r w:rsidRPr="007849BA">
        <w:rPr>
          <w:sz w:val="24"/>
          <w:szCs w:val="24"/>
        </w:rPr>
        <w:t>tapentadol</w:t>
      </w:r>
      <w:proofErr w:type="spellEnd"/>
      <w:r w:rsidRPr="007849BA">
        <w:rPr>
          <w:sz w:val="24"/>
          <w:szCs w:val="24"/>
        </w:rPr>
        <w:t xml:space="preserve"> og post-marketing rapporter har ikke påvist en øget risiko.</w:t>
      </w:r>
    </w:p>
    <w:p w14:paraId="36DE10E9" w14:textId="77777777" w:rsidR="00295D2D" w:rsidRPr="007849BA" w:rsidRDefault="00295D2D" w:rsidP="00F4752A">
      <w:pPr>
        <w:ind w:left="851"/>
        <w:rPr>
          <w:sz w:val="24"/>
          <w:szCs w:val="24"/>
        </w:rPr>
      </w:pPr>
    </w:p>
    <w:p w14:paraId="003B7A57" w14:textId="77777777" w:rsidR="00295D2D" w:rsidRPr="007849BA" w:rsidRDefault="00295D2D" w:rsidP="00F4752A">
      <w:pPr>
        <w:ind w:left="851"/>
        <w:rPr>
          <w:sz w:val="24"/>
          <w:szCs w:val="24"/>
          <w:u w:val="single"/>
        </w:rPr>
      </w:pPr>
      <w:r w:rsidRPr="007849BA">
        <w:rPr>
          <w:sz w:val="24"/>
          <w:szCs w:val="24"/>
          <w:u w:val="single"/>
        </w:rPr>
        <w:t>Indberetning af formodede bivirkninger</w:t>
      </w:r>
    </w:p>
    <w:p w14:paraId="04D10352" w14:textId="77777777" w:rsidR="00295D2D" w:rsidRPr="007849BA" w:rsidRDefault="00295D2D" w:rsidP="00F4752A">
      <w:pPr>
        <w:ind w:left="851"/>
        <w:rPr>
          <w:sz w:val="24"/>
          <w:szCs w:val="24"/>
        </w:rPr>
      </w:pPr>
      <w:r w:rsidRPr="007849BA">
        <w:rPr>
          <w:sz w:val="24"/>
          <w:szCs w:val="24"/>
        </w:rPr>
        <w:t>Når lægemidlet er godkendt, er indberetning af formodede bivirkninger vigtig. Det muliggør løbende overvågning af benefit/</w:t>
      </w:r>
      <w:proofErr w:type="spellStart"/>
      <w:r w:rsidRPr="007849BA">
        <w:rPr>
          <w:sz w:val="24"/>
          <w:szCs w:val="24"/>
        </w:rPr>
        <w:t>risk</w:t>
      </w:r>
      <w:proofErr w:type="spellEnd"/>
      <w:r w:rsidRPr="007849BA">
        <w:rPr>
          <w:sz w:val="24"/>
          <w:szCs w:val="24"/>
        </w:rPr>
        <w:t>-forholdet for lægemidlet. Sundhedspersoner anmodes om at indberette alle mistænkte bivirkninger via:</w:t>
      </w:r>
    </w:p>
    <w:p w14:paraId="61791E9B" w14:textId="77777777" w:rsidR="00295D2D" w:rsidRPr="007849BA" w:rsidRDefault="00295D2D" w:rsidP="00F4752A">
      <w:pPr>
        <w:ind w:left="851"/>
        <w:rPr>
          <w:sz w:val="24"/>
          <w:szCs w:val="24"/>
        </w:rPr>
      </w:pPr>
    </w:p>
    <w:p w14:paraId="7E9802E6" w14:textId="77777777" w:rsidR="00295D2D" w:rsidRPr="007849BA" w:rsidRDefault="00295D2D" w:rsidP="00F4752A">
      <w:pPr>
        <w:ind w:left="851"/>
        <w:rPr>
          <w:sz w:val="24"/>
          <w:szCs w:val="24"/>
        </w:rPr>
      </w:pPr>
      <w:r w:rsidRPr="007849BA">
        <w:rPr>
          <w:sz w:val="24"/>
          <w:szCs w:val="24"/>
        </w:rPr>
        <w:t>Lægemiddelstyrelsen</w:t>
      </w:r>
    </w:p>
    <w:p w14:paraId="28B41C67" w14:textId="77777777" w:rsidR="00295D2D" w:rsidRPr="007849BA" w:rsidRDefault="00295D2D" w:rsidP="00F4752A">
      <w:pPr>
        <w:ind w:left="851"/>
        <w:rPr>
          <w:sz w:val="24"/>
          <w:szCs w:val="24"/>
        </w:rPr>
      </w:pPr>
      <w:r w:rsidRPr="007849BA">
        <w:rPr>
          <w:sz w:val="24"/>
          <w:szCs w:val="24"/>
        </w:rPr>
        <w:t>Axel Heides Gade 1</w:t>
      </w:r>
    </w:p>
    <w:p w14:paraId="20B27629" w14:textId="77777777" w:rsidR="00295D2D" w:rsidRPr="007849BA" w:rsidRDefault="00295D2D" w:rsidP="00F4752A">
      <w:pPr>
        <w:ind w:left="851"/>
        <w:rPr>
          <w:sz w:val="24"/>
          <w:szCs w:val="24"/>
        </w:rPr>
      </w:pPr>
      <w:r w:rsidRPr="007849BA">
        <w:rPr>
          <w:sz w:val="24"/>
          <w:szCs w:val="24"/>
        </w:rPr>
        <w:t>DK-2300 København S</w:t>
      </w:r>
    </w:p>
    <w:p w14:paraId="796BB518" w14:textId="77777777" w:rsidR="00295D2D" w:rsidRPr="007849BA" w:rsidRDefault="00295D2D" w:rsidP="00F4752A">
      <w:pPr>
        <w:ind w:left="851"/>
        <w:rPr>
          <w:sz w:val="24"/>
          <w:szCs w:val="24"/>
        </w:rPr>
      </w:pPr>
      <w:r w:rsidRPr="007849BA">
        <w:rPr>
          <w:sz w:val="24"/>
          <w:szCs w:val="24"/>
        </w:rPr>
        <w:lastRenderedPageBreak/>
        <w:t xml:space="preserve">Websted: </w:t>
      </w:r>
      <w:hyperlink r:id="rId8" w:history="1">
        <w:r w:rsidRPr="007849BA">
          <w:rPr>
            <w:rStyle w:val="Hyperlink"/>
            <w:sz w:val="24"/>
            <w:szCs w:val="24"/>
          </w:rPr>
          <w:t>www.meldenbivirkning.dk</w:t>
        </w:r>
      </w:hyperlink>
    </w:p>
    <w:p w14:paraId="1608366C" w14:textId="77777777" w:rsidR="009260DE" w:rsidRPr="007849BA" w:rsidRDefault="009260DE" w:rsidP="00A10294">
      <w:pPr>
        <w:tabs>
          <w:tab w:val="left" w:pos="851"/>
        </w:tabs>
        <w:ind w:left="851"/>
        <w:rPr>
          <w:sz w:val="24"/>
          <w:szCs w:val="24"/>
        </w:rPr>
      </w:pPr>
    </w:p>
    <w:p w14:paraId="541C8641" w14:textId="77777777" w:rsidR="009260DE" w:rsidRPr="007849BA" w:rsidRDefault="009260DE" w:rsidP="009260DE">
      <w:pPr>
        <w:tabs>
          <w:tab w:val="left" w:pos="851"/>
        </w:tabs>
        <w:ind w:left="851" w:hanging="851"/>
        <w:rPr>
          <w:b/>
          <w:sz w:val="24"/>
          <w:szCs w:val="24"/>
        </w:rPr>
      </w:pPr>
      <w:r w:rsidRPr="007849BA">
        <w:rPr>
          <w:b/>
          <w:sz w:val="24"/>
          <w:szCs w:val="24"/>
        </w:rPr>
        <w:t>4.9</w:t>
      </w:r>
      <w:r w:rsidRPr="007849BA">
        <w:rPr>
          <w:b/>
          <w:sz w:val="24"/>
          <w:szCs w:val="24"/>
        </w:rPr>
        <w:tab/>
        <w:t>Overdosering</w:t>
      </w:r>
    </w:p>
    <w:p w14:paraId="6D3C3BE0" w14:textId="77777777" w:rsidR="00301BB6" w:rsidRPr="007849BA" w:rsidRDefault="00301BB6" w:rsidP="00F4752A">
      <w:pPr>
        <w:ind w:left="851"/>
        <w:rPr>
          <w:sz w:val="24"/>
          <w:szCs w:val="24"/>
        </w:rPr>
      </w:pPr>
    </w:p>
    <w:p w14:paraId="13969152" w14:textId="5B79DDBB" w:rsidR="00295D2D" w:rsidRPr="007849BA" w:rsidRDefault="00295D2D" w:rsidP="00F4752A">
      <w:pPr>
        <w:ind w:left="851"/>
        <w:rPr>
          <w:sz w:val="24"/>
          <w:szCs w:val="24"/>
          <w:u w:val="single"/>
        </w:rPr>
      </w:pPr>
      <w:r w:rsidRPr="007849BA">
        <w:rPr>
          <w:sz w:val="24"/>
          <w:szCs w:val="24"/>
          <w:u w:val="single"/>
        </w:rPr>
        <w:t>Symptomer</w:t>
      </w:r>
    </w:p>
    <w:p w14:paraId="1251A686" w14:textId="77777777" w:rsidR="00295D2D" w:rsidRPr="007849BA" w:rsidRDefault="00295D2D" w:rsidP="00F4752A">
      <w:pPr>
        <w:ind w:left="851"/>
        <w:rPr>
          <w:sz w:val="24"/>
          <w:szCs w:val="24"/>
        </w:rPr>
      </w:pPr>
      <w:r w:rsidRPr="007849BA">
        <w:rPr>
          <w:sz w:val="24"/>
          <w:szCs w:val="24"/>
        </w:rPr>
        <w:t xml:space="preserve">Der er begrænset erfaring hos mennesker med overdosering af </w:t>
      </w:r>
      <w:proofErr w:type="spellStart"/>
      <w:r w:rsidRPr="007849BA">
        <w:rPr>
          <w:sz w:val="24"/>
          <w:szCs w:val="24"/>
        </w:rPr>
        <w:t>tapentadol</w:t>
      </w:r>
      <w:proofErr w:type="spellEnd"/>
      <w:r w:rsidRPr="007849BA">
        <w:rPr>
          <w:sz w:val="24"/>
          <w:szCs w:val="24"/>
        </w:rPr>
        <w:t xml:space="preserve">. Prækliniske data tyder på, at der ved </w:t>
      </w:r>
      <w:proofErr w:type="spellStart"/>
      <w:r w:rsidRPr="007849BA">
        <w:rPr>
          <w:sz w:val="24"/>
          <w:szCs w:val="24"/>
        </w:rPr>
        <w:t>intoksikation</w:t>
      </w:r>
      <w:proofErr w:type="spellEnd"/>
      <w:r w:rsidRPr="007849BA">
        <w:rPr>
          <w:sz w:val="24"/>
          <w:szCs w:val="24"/>
        </w:rPr>
        <w:t xml:space="preserve"> med </w:t>
      </w:r>
      <w:proofErr w:type="spellStart"/>
      <w:r w:rsidRPr="007849BA">
        <w:rPr>
          <w:sz w:val="24"/>
          <w:szCs w:val="24"/>
        </w:rPr>
        <w:t>tapentadol</w:t>
      </w:r>
      <w:proofErr w:type="spellEnd"/>
      <w:r w:rsidRPr="007849BA">
        <w:rPr>
          <w:sz w:val="24"/>
          <w:szCs w:val="24"/>
        </w:rPr>
        <w:t xml:space="preserve"> må forventes samme symptomer som ved andre centralt virkende </w:t>
      </w:r>
      <w:proofErr w:type="spellStart"/>
      <w:r w:rsidRPr="007849BA">
        <w:rPr>
          <w:sz w:val="24"/>
          <w:szCs w:val="24"/>
        </w:rPr>
        <w:t>analgetika</w:t>
      </w:r>
      <w:proofErr w:type="spellEnd"/>
      <w:r w:rsidRPr="007849BA">
        <w:rPr>
          <w:sz w:val="24"/>
          <w:szCs w:val="24"/>
        </w:rPr>
        <w:t xml:space="preserve"> med </w:t>
      </w:r>
      <w:proofErr w:type="spellStart"/>
      <w:r w:rsidRPr="007849BA">
        <w:rPr>
          <w:sz w:val="24"/>
          <w:szCs w:val="24"/>
        </w:rPr>
        <w:t>agonistisk</w:t>
      </w:r>
      <w:proofErr w:type="spellEnd"/>
      <w:r w:rsidRPr="007849BA">
        <w:rPr>
          <w:sz w:val="24"/>
          <w:szCs w:val="24"/>
        </w:rPr>
        <w:t xml:space="preserve"> påvirkning af µ-opioidreceptorer. I princippet omfatter disse symptomer ved klinisk brug især </w:t>
      </w:r>
      <w:proofErr w:type="spellStart"/>
      <w:r w:rsidRPr="007849BA">
        <w:rPr>
          <w:sz w:val="24"/>
          <w:szCs w:val="24"/>
        </w:rPr>
        <w:t>miosis</w:t>
      </w:r>
      <w:proofErr w:type="spellEnd"/>
      <w:r w:rsidRPr="007849BA">
        <w:rPr>
          <w:sz w:val="24"/>
          <w:szCs w:val="24"/>
        </w:rPr>
        <w:t xml:space="preserve">, opkastning, </w:t>
      </w:r>
      <w:proofErr w:type="spellStart"/>
      <w:r w:rsidRPr="007849BA">
        <w:rPr>
          <w:sz w:val="24"/>
          <w:szCs w:val="24"/>
        </w:rPr>
        <w:t>kardiovaskulært</w:t>
      </w:r>
      <w:proofErr w:type="spellEnd"/>
      <w:r w:rsidRPr="007849BA">
        <w:rPr>
          <w:sz w:val="24"/>
          <w:szCs w:val="24"/>
        </w:rPr>
        <w:t xml:space="preserve"> kollaps, bevidstheds</w:t>
      </w:r>
      <w:r w:rsidRPr="007849BA">
        <w:rPr>
          <w:sz w:val="24"/>
          <w:szCs w:val="24"/>
        </w:rPr>
        <w:softHyphen/>
        <w:t>forstyrrelser til koma, kramper og respirationsdepression til respirationsstop.</w:t>
      </w:r>
    </w:p>
    <w:p w14:paraId="616E0AD7" w14:textId="77777777" w:rsidR="00295D2D" w:rsidRPr="007849BA" w:rsidRDefault="00295D2D" w:rsidP="00F4752A">
      <w:pPr>
        <w:ind w:left="851"/>
        <w:rPr>
          <w:sz w:val="24"/>
          <w:szCs w:val="24"/>
        </w:rPr>
      </w:pPr>
    </w:p>
    <w:p w14:paraId="55A2C1BB" w14:textId="77777777" w:rsidR="00295D2D" w:rsidRPr="007849BA" w:rsidRDefault="00295D2D" w:rsidP="00F4752A">
      <w:pPr>
        <w:ind w:left="851"/>
        <w:rPr>
          <w:sz w:val="24"/>
          <w:szCs w:val="24"/>
          <w:u w:val="single"/>
        </w:rPr>
      </w:pPr>
      <w:r w:rsidRPr="007849BA">
        <w:rPr>
          <w:sz w:val="24"/>
          <w:szCs w:val="24"/>
          <w:u w:val="single"/>
        </w:rPr>
        <w:t xml:space="preserve">Behandling </w:t>
      </w:r>
    </w:p>
    <w:p w14:paraId="5FEF04CA" w14:textId="77777777" w:rsidR="00295D2D" w:rsidRPr="007849BA" w:rsidRDefault="00295D2D" w:rsidP="00F4752A">
      <w:pPr>
        <w:ind w:left="851"/>
        <w:rPr>
          <w:sz w:val="24"/>
          <w:szCs w:val="24"/>
        </w:rPr>
      </w:pPr>
      <w:r w:rsidRPr="007849BA">
        <w:rPr>
          <w:sz w:val="24"/>
          <w:szCs w:val="24"/>
        </w:rPr>
        <w:t>Ved overdosering skal behandlingen rettes mod symptomerne ved µ-</w:t>
      </w:r>
      <w:proofErr w:type="spellStart"/>
      <w:r w:rsidRPr="007849BA">
        <w:rPr>
          <w:sz w:val="24"/>
          <w:szCs w:val="24"/>
        </w:rPr>
        <w:t>opioidagonisme</w:t>
      </w:r>
      <w:proofErr w:type="spellEnd"/>
      <w:r w:rsidRPr="007849BA">
        <w:rPr>
          <w:sz w:val="24"/>
          <w:szCs w:val="24"/>
        </w:rPr>
        <w:t xml:space="preserve">. Ved mistanke om overdosering af </w:t>
      </w:r>
      <w:proofErr w:type="spellStart"/>
      <w:r w:rsidRPr="007849BA">
        <w:rPr>
          <w:sz w:val="24"/>
          <w:szCs w:val="24"/>
        </w:rPr>
        <w:t>tapentadol</w:t>
      </w:r>
      <w:proofErr w:type="spellEnd"/>
      <w:r w:rsidRPr="007849BA">
        <w:rPr>
          <w:sz w:val="24"/>
          <w:szCs w:val="24"/>
        </w:rPr>
        <w:t xml:space="preserve"> skal der først og fremmest genskabes frie luftveje og indledes assisteret eller kontrolleret ventilation. </w:t>
      </w:r>
    </w:p>
    <w:p w14:paraId="6F979BC3" w14:textId="77777777" w:rsidR="00295D2D" w:rsidRPr="007849BA" w:rsidRDefault="00295D2D" w:rsidP="00F4752A">
      <w:pPr>
        <w:ind w:left="851"/>
        <w:rPr>
          <w:sz w:val="24"/>
          <w:szCs w:val="24"/>
        </w:rPr>
      </w:pPr>
      <w:bookmarkStart w:id="13" w:name="OLE_LINK23"/>
      <w:bookmarkStart w:id="14" w:name="OLE_LINK24"/>
    </w:p>
    <w:p w14:paraId="263F74A3" w14:textId="77777777" w:rsidR="00295D2D" w:rsidRPr="007849BA" w:rsidRDefault="00295D2D" w:rsidP="00F4752A">
      <w:pPr>
        <w:ind w:left="851"/>
        <w:rPr>
          <w:sz w:val="24"/>
          <w:szCs w:val="24"/>
        </w:rPr>
      </w:pPr>
      <w:r w:rsidRPr="007849BA">
        <w:rPr>
          <w:sz w:val="24"/>
          <w:szCs w:val="24"/>
        </w:rPr>
        <w:t xml:space="preserve">Rene opioidantagonister såsom </w:t>
      </w:r>
      <w:proofErr w:type="spellStart"/>
      <w:r w:rsidRPr="007849BA">
        <w:rPr>
          <w:sz w:val="24"/>
          <w:szCs w:val="24"/>
        </w:rPr>
        <w:t>naloxon</w:t>
      </w:r>
      <w:proofErr w:type="spellEnd"/>
      <w:r w:rsidRPr="007849BA">
        <w:rPr>
          <w:sz w:val="24"/>
          <w:szCs w:val="24"/>
        </w:rPr>
        <w:t xml:space="preserve"> fungerer som specifikke </w:t>
      </w:r>
      <w:proofErr w:type="spellStart"/>
      <w:r w:rsidRPr="007849BA">
        <w:rPr>
          <w:sz w:val="24"/>
          <w:szCs w:val="24"/>
        </w:rPr>
        <w:t>antidoter</w:t>
      </w:r>
      <w:proofErr w:type="spellEnd"/>
      <w:r w:rsidRPr="007849BA">
        <w:rPr>
          <w:sz w:val="24"/>
          <w:szCs w:val="24"/>
        </w:rPr>
        <w:t xml:space="preserve"> mod respirations</w:t>
      </w:r>
      <w:r w:rsidRPr="007849BA">
        <w:rPr>
          <w:sz w:val="24"/>
          <w:szCs w:val="24"/>
        </w:rPr>
        <w:softHyphen/>
        <w:t xml:space="preserve">depression, der skyldes overdosering med opioider. Respirationsdepression efter en overdosis kan vare længere end virkningen af opioidantagonisten. Administration af en opioidantagonist kan ikke fungere som substitut for kontinuerlig monitorering af luftveje, åndedræt og kredsløb efter overdosering med et opioid. I tilfælde af suboptimalt eller kortvarigt respons på opioidantagonister bør der suppleres med endnu en dosis antagonist (f.eks. </w:t>
      </w:r>
      <w:proofErr w:type="spellStart"/>
      <w:r w:rsidRPr="007849BA">
        <w:rPr>
          <w:sz w:val="24"/>
          <w:szCs w:val="24"/>
        </w:rPr>
        <w:t>nalaxon</w:t>
      </w:r>
      <w:proofErr w:type="spellEnd"/>
      <w:r w:rsidRPr="007849BA">
        <w:rPr>
          <w:sz w:val="24"/>
          <w:szCs w:val="24"/>
        </w:rPr>
        <w:t>) som angivet i fremstillerens produktinformation.</w:t>
      </w:r>
    </w:p>
    <w:bookmarkEnd w:id="13"/>
    <w:bookmarkEnd w:id="14"/>
    <w:p w14:paraId="6B6A6129" w14:textId="77777777" w:rsidR="00295D2D" w:rsidRPr="007849BA" w:rsidRDefault="00295D2D" w:rsidP="00F4752A">
      <w:pPr>
        <w:ind w:left="851"/>
        <w:rPr>
          <w:sz w:val="24"/>
          <w:szCs w:val="24"/>
        </w:rPr>
      </w:pPr>
    </w:p>
    <w:p w14:paraId="6B1E5AD4" w14:textId="77777777" w:rsidR="00295D2D" w:rsidRPr="007849BA" w:rsidRDefault="00295D2D" w:rsidP="00F4752A">
      <w:pPr>
        <w:ind w:left="851"/>
        <w:rPr>
          <w:sz w:val="24"/>
          <w:szCs w:val="24"/>
        </w:rPr>
      </w:pPr>
      <w:proofErr w:type="spellStart"/>
      <w:r w:rsidRPr="007849BA">
        <w:rPr>
          <w:sz w:val="24"/>
          <w:szCs w:val="24"/>
        </w:rPr>
        <w:t>Gastrointestinal</w:t>
      </w:r>
      <w:proofErr w:type="spellEnd"/>
      <w:r w:rsidRPr="007849BA">
        <w:rPr>
          <w:sz w:val="24"/>
          <w:szCs w:val="24"/>
        </w:rPr>
        <w:t xml:space="preserve"> dekontaminering kan overvejes for at eliminere aktivt stof, som ikke er absorberet. Der kan udføres </w:t>
      </w:r>
      <w:proofErr w:type="spellStart"/>
      <w:r w:rsidRPr="007849BA">
        <w:rPr>
          <w:sz w:val="24"/>
          <w:szCs w:val="24"/>
        </w:rPr>
        <w:t>gastrointestinal</w:t>
      </w:r>
      <w:proofErr w:type="spellEnd"/>
      <w:r w:rsidRPr="007849BA">
        <w:rPr>
          <w:sz w:val="24"/>
          <w:szCs w:val="24"/>
        </w:rPr>
        <w:t xml:space="preserve"> dekontaminering med aktivt kul eller ventrikeltømning inden for 2 timer efter indtagelsen. Frie luftveje skal sikres før bestræbelser på </w:t>
      </w:r>
      <w:proofErr w:type="spellStart"/>
      <w:r w:rsidRPr="007849BA">
        <w:rPr>
          <w:sz w:val="24"/>
          <w:szCs w:val="24"/>
        </w:rPr>
        <w:t>gastrointestinal</w:t>
      </w:r>
      <w:proofErr w:type="spellEnd"/>
      <w:r w:rsidRPr="007849BA">
        <w:rPr>
          <w:sz w:val="24"/>
          <w:szCs w:val="24"/>
        </w:rPr>
        <w:t xml:space="preserve"> dekontaminering.</w:t>
      </w:r>
    </w:p>
    <w:p w14:paraId="616095AE" w14:textId="77777777" w:rsidR="009260DE" w:rsidRPr="007849BA" w:rsidRDefault="009260DE" w:rsidP="009260DE">
      <w:pPr>
        <w:tabs>
          <w:tab w:val="left" w:pos="851"/>
        </w:tabs>
        <w:ind w:left="851"/>
        <w:rPr>
          <w:sz w:val="24"/>
          <w:szCs w:val="24"/>
        </w:rPr>
      </w:pPr>
    </w:p>
    <w:p w14:paraId="515B1E29" w14:textId="77777777" w:rsidR="009260DE" w:rsidRPr="007849BA" w:rsidRDefault="009260DE" w:rsidP="009260DE">
      <w:pPr>
        <w:tabs>
          <w:tab w:val="left" w:pos="851"/>
        </w:tabs>
        <w:ind w:left="851" w:hanging="851"/>
        <w:rPr>
          <w:b/>
          <w:sz w:val="24"/>
          <w:szCs w:val="24"/>
        </w:rPr>
      </w:pPr>
      <w:r w:rsidRPr="007849BA">
        <w:rPr>
          <w:b/>
          <w:sz w:val="24"/>
          <w:szCs w:val="24"/>
        </w:rPr>
        <w:t>4.10</w:t>
      </w:r>
      <w:r w:rsidRPr="007849BA">
        <w:rPr>
          <w:b/>
          <w:sz w:val="24"/>
          <w:szCs w:val="24"/>
        </w:rPr>
        <w:tab/>
        <w:t>Udlevering</w:t>
      </w:r>
    </w:p>
    <w:p w14:paraId="2FA0DE97" w14:textId="0CA08D05" w:rsidR="009260DE" w:rsidRPr="007849BA" w:rsidRDefault="00295D2D" w:rsidP="009260DE">
      <w:pPr>
        <w:tabs>
          <w:tab w:val="left" w:pos="851"/>
        </w:tabs>
        <w:ind w:left="851"/>
        <w:rPr>
          <w:sz w:val="24"/>
          <w:szCs w:val="24"/>
        </w:rPr>
      </w:pPr>
      <w:r w:rsidRPr="007849BA">
        <w:rPr>
          <w:sz w:val="24"/>
          <w:szCs w:val="24"/>
        </w:rPr>
        <w:t>A§4 (kopieringspligtigt)</w:t>
      </w:r>
    </w:p>
    <w:p w14:paraId="49881C93" w14:textId="77777777" w:rsidR="009260DE" w:rsidRPr="007849BA" w:rsidRDefault="009260DE" w:rsidP="009260DE">
      <w:pPr>
        <w:tabs>
          <w:tab w:val="left" w:pos="851"/>
        </w:tabs>
        <w:ind w:left="851"/>
        <w:rPr>
          <w:sz w:val="24"/>
          <w:szCs w:val="24"/>
        </w:rPr>
      </w:pPr>
    </w:p>
    <w:p w14:paraId="05BD0574" w14:textId="77777777" w:rsidR="009260DE" w:rsidRPr="007849BA" w:rsidRDefault="009260DE" w:rsidP="009260DE">
      <w:pPr>
        <w:tabs>
          <w:tab w:val="left" w:pos="851"/>
        </w:tabs>
        <w:ind w:left="851"/>
        <w:rPr>
          <w:sz w:val="24"/>
          <w:szCs w:val="24"/>
        </w:rPr>
      </w:pPr>
    </w:p>
    <w:p w14:paraId="3F86E2A5" w14:textId="77777777" w:rsidR="009260DE" w:rsidRPr="007849BA" w:rsidRDefault="009260DE" w:rsidP="009260DE">
      <w:pPr>
        <w:tabs>
          <w:tab w:val="left" w:pos="851"/>
        </w:tabs>
        <w:ind w:left="851" w:hanging="851"/>
        <w:rPr>
          <w:b/>
          <w:sz w:val="24"/>
          <w:szCs w:val="24"/>
        </w:rPr>
      </w:pPr>
      <w:r w:rsidRPr="007849BA">
        <w:rPr>
          <w:b/>
          <w:sz w:val="24"/>
          <w:szCs w:val="24"/>
        </w:rPr>
        <w:t>5.</w:t>
      </w:r>
      <w:r w:rsidRPr="007849BA">
        <w:rPr>
          <w:b/>
          <w:sz w:val="24"/>
          <w:szCs w:val="24"/>
        </w:rPr>
        <w:tab/>
        <w:t>FARMAKOLOGISKE EGENSKABER</w:t>
      </w:r>
    </w:p>
    <w:p w14:paraId="34B1B3ED" w14:textId="77777777" w:rsidR="009260DE" w:rsidRPr="007849BA" w:rsidRDefault="009260DE" w:rsidP="009260DE">
      <w:pPr>
        <w:tabs>
          <w:tab w:val="left" w:pos="851"/>
        </w:tabs>
        <w:ind w:left="851"/>
        <w:rPr>
          <w:sz w:val="24"/>
          <w:szCs w:val="24"/>
        </w:rPr>
      </w:pPr>
    </w:p>
    <w:p w14:paraId="205058BA" w14:textId="77777777" w:rsidR="009260DE" w:rsidRPr="007849BA" w:rsidRDefault="009260DE" w:rsidP="009260DE">
      <w:pPr>
        <w:tabs>
          <w:tab w:val="num" w:pos="851"/>
        </w:tabs>
        <w:ind w:left="851" w:hanging="851"/>
        <w:rPr>
          <w:b/>
          <w:sz w:val="24"/>
          <w:szCs w:val="24"/>
        </w:rPr>
      </w:pPr>
      <w:r w:rsidRPr="007849BA">
        <w:rPr>
          <w:b/>
          <w:sz w:val="24"/>
          <w:szCs w:val="24"/>
        </w:rPr>
        <w:t>5.1</w:t>
      </w:r>
      <w:r w:rsidRPr="007849BA">
        <w:rPr>
          <w:b/>
          <w:sz w:val="24"/>
          <w:szCs w:val="24"/>
        </w:rPr>
        <w:tab/>
      </w:r>
      <w:proofErr w:type="spellStart"/>
      <w:r w:rsidRPr="007849BA">
        <w:rPr>
          <w:b/>
          <w:sz w:val="24"/>
          <w:szCs w:val="24"/>
        </w:rPr>
        <w:t>Farmakodynamiske</w:t>
      </w:r>
      <w:proofErr w:type="spellEnd"/>
      <w:r w:rsidRPr="007849BA">
        <w:rPr>
          <w:b/>
          <w:sz w:val="24"/>
          <w:szCs w:val="24"/>
        </w:rPr>
        <w:t xml:space="preserve"> egenskaber</w:t>
      </w:r>
    </w:p>
    <w:p w14:paraId="78420953" w14:textId="77777777" w:rsidR="00295D2D" w:rsidRPr="007849BA" w:rsidRDefault="00295D2D" w:rsidP="00F4752A">
      <w:pPr>
        <w:ind w:left="851"/>
        <w:rPr>
          <w:noProof/>
          <w:sz w:val="24"/>
          <w:szCs w:val="24"/>
        </w:rPr>
      </w:pPr>
      <w:proofErr w:type="spellStart"/>
      <w:r w:rsidRPr="007849BA">
        <w:rPr>
          <w:sz w:val="24"/>
          <w:szCs w:val="24"/>
        </w:rPr>
        <w:t>Farmakoterapeutisk</w:t>
      </w:r>
      <w:proofErr w:type="spellEnd"/>
      <w:r w:rsidRPr="007849BA">
        <w:rPr>
          <w:sz w:val="24"/>
          <w:szCs w:val="24"/>
        </w:rPr>
        <w:t xml:space="preserve"> klassifikation: </w:t>
      </w:r>
      <w:proofErr w:type="spellStart"/>
      <w:r w:rsidRPr="007849BA">
        <w:rPr>
          <w:sz w:val="24"/>
          <w:szCs w:val="24"/>
        </w:rPr>
        <w:t>Analgetika</w:t>
      </w:r>
      <w:proofErr w:type="spellEnd"/>
      <w:r w:rsidRPr="007849BA">
        <w:rPr>
          <w:sz w:val="24"/>
          <w:szCs w:val="24"/>
        </w:rPr>
        <w:t>, opioider, andre opioider. ATC-kode: N02AX06.</w:t>
      </w:r>
    </w:p>
    <w:p w14:paraId="186CBC67" w14:textId="77777777" w:rsidR="00295D2D" w:rsidRPr="007849BA" w:rsidRDefault="00295D2D" w:rsidP="00F4752A">
      <w:pPr>
        <w:ind w:left="851"/>
        <w:rPr>
          <w:sz w:val="24"/>
          <w:szCs w:val="24"/>
        </w:rPr>
      </w:pPr>
    </w:p>
    <w:p w14:paraId="1E8469A7" w14:textId="77777777" w:rsidR="00295D2D" w:rsidRPr="007849BA" w:rsidRDefault="00295D2D" w:rsidP="00F4752A">
      <w:pPr>
        <w:ind w:left="851"/>
        <w:rPr>
          <w:sz w:val="24"/>
          <w:szCs w:val="24"/>
        </w:rPr>
      </w:pPr>
      <w:bookmarkStart w:id="15" w:name="_Hlk178504775"/>
      <w:proofErr w:type="spellStart"/>
      <w:r w:rsidRPr="007849BA">
        <w:rPr>
          <w:sz w:val="24"/>
          <w:szCs w:val="24"/>
        </w:rPr>
        <w:t>Tapentadol</w:t>
      </w:r>
      <w:proofErr w:type="spellEnd"/>
      <w:r w:rsidRPr="007849BA">
        <w:rPr>
          <w:sz w:val="24"/>
          <w:szCs w:val="24"/>
        </w:rPr>
        <w:t xml:space="preserve"> er et stærkt </w:t>
      </w:r>
      <w:proofErr w:type="spellStart"/>
      <w:r w:rsidRPr="007849BA">
        <w:rPr>
          <w:sz w:val="24"/>
          <w:szCs w:val="24"/>
        </w:rPr>
        <w:t>analgetikum</w:t>
      </w:r>
      <w:proofErr w:type="spellEnd"/>
      <w:r w:rsidRPr="007849BA">
        <w:rPr>
          <w:sz w:val="24"/>
          <w:szCs w:val="24"/>
        </w:rPr>
        <w:t xml:space="preserve"> med µ-</w:t>
      </w:r>
      <w:proofErr w:type="spellStart"/>
      <w:r w:rsidRPr="007849BA">
        <w:rPr>
          <w:sz w:val="24"/>
          <w:szCs w:val="24"/>
        </w:rPr>
        <w:t>agonistisk</w:t>
      </w:r>
      <w:proofErr w:type="spellEnd"/>
      <w:r w:rsidRPr="007849BA">
        <w:rPr>
          <w:sz w:val="24"/>
          <w:szCs w:val="24"/>
        </w:rPr>
        <w:t xml:space="preserve"> </w:t>
      </w:r>
      <w:proofErr w:type="spellStart"/>
      <w:r w:rsidRPr="007849BA">
        <w:rPr>
          <w:sz w:val="24"/>
          <w:szCs w:val="24"/>
        </w:rPr>
        <w:t>opioide</w:t>
      </w:r>
      <w:proofErr w:type="spellEnd"/>
      <w:r w:rsidRPr="007849BA">
        <w:rPr>
          <w:sz w:val="24"/>
          <w:szCs w:val="24"/>
        </w:rPr>
        <w:t xml:space="preserve"> egenskaber og hæmmer samtidig genoptagelsen af noradrenalin. </w:t>
      </w:r>
      <w:proofErr w:type="spellStart"/>
      <w:r w:rsidRPr="007849BA">
        <w:rPr>
          <w:sz w:val="24"/>
          <w:szCs w:val="24"/>
        </w:rPr>
        <w:t>Tapentadol</w:t>
      </w:r>
      <w:proofErr w:type="spellEnd"/>
      <w:r w:rsidRPr="007849BA">
        <w:rPr>
          <w:sz w:val="24"/>
          <w:szCs w:val="24"/>
        </w:rPr>
        <w:t xml:space="preserve"> har en direkte analgetisk virkning uden omdannelse til en farmakologisk aktiv metabolit.</w:t>
      </w:r>
    </w:p>
    <w:p w14:paraId="58D5E1EA" w14:textId="77777777" w:rsidR="00295D2D" w:rsidRPr="007849BA" w:rsidRDefault="00295D2D" w:rsidP="00F4752A">
      <w:pPr>
        <w:ind w:left="851"/>
        <w:rPr>
          <w:sz w:val="24"/>
          <w:szCs w:val="24"/>
        </w:rPr>
      </w:pPr>
    </w:p>
    <w:p w14:paraId="2048BB55" w14:textId="77777777" w:rsidR="00295D2D" w:rsidRPr="007849BA" w:rsidRDefault="00295D2D" w:rsidP="00F4752A">
      <w:pPr>
        <w:ind w:left="851"/>
        <w:rPr>
          <w:sz w:val="24"/>
          <w:szCs w:val="24"/>
        </w:rPr>
      </w:pPr>
      <w:proofErr w:type="spellStart"/>
      <w:r w:rsidRPr="007849BA">
        <w:rPr>
          <w:sz w:val="24"/>
          <w:szCs w:val="24"/>
        </w:rPr>
        <w:t>Tapentadols</w:t>
      </w:r>
      <w:proofErr w:type="spellEnd"/>
      <w:r w:rsidRPr="007849BA">
        <w:rPr>
          <w:sz w:val="24"/>
          <w:szCs w:val="24"/>
        </w:rPr>
        <w:t xml:space="preserve"> effekt er påvist i prækliniske modeller med </w:t>
      </w:r>
      <w:proofErr w:type="spellStart"/>
      <w:r w:rsidRPr="007849BA">
        <w:rPr>
          <w:sz w:val="24"/>
          <w:szCs w:val="24"/>
        </w:rPr>
        <w:t>nociceptive</w:t>
      </w:r>
      <w:proofErr w:type="spellEnd"/>
      <w:r w:rsidRPr="007849BA">
        <w:rPr>
          <w:sz w:val="24"/>
          <w:szCs w:val="24"/>
        </w:rPr>
        <w:t xml:space="preserve">, neuropatiske, </w:t>
      </w:r>
      <w:proofErr w:type="spellStart"/>
      <w:r w:rsidRPr="007849BA">
        <w:rPr>
          <w:sz w:val="24"/>
          <w:szCs w:val="24"/>
        </w:rPr>
        <w:t>viscerale</w:t>
      </w:r>
      <w:proofErr w:type="spellEnd"/>
      <w:r w:rsidRPr="007849BA">
        <w:rPr>
          <w:sz w:val="24"/>
          <w:szCs w:val="24"/>
        </w:rPr>
        <w:t xml:space="preserve"> og inflammatoriske smerter. Effekten er verificeret i kliniske studier med </w:t>
      </w:r>
      <w:proofErr w:type="spellStart"/>
      <w:r w:rsidRPr="007849BA">
        <w:rPr>
          <w:sz w:val="24"/>
          <w:szCs w:val="24"/>
        </w:rPr>
        <w:t>tapentadol</w:t>
      </w:r>
      <w:proofErr w:type="spellEnd"/>
      <w:r w:rsidRPr="007849BA">
        <w:rPr>
          <w:sz w:val="24"/>
          <w:szCs w:val="24"/>
        </w:rPr>
        <w:t xml:space="preserve"> filmovertrukne tabletter, der omfattede </w:t>
      </w:r>
      <w:proofErr w:type="spellStart"/>
      <w:r w:rsidRPr="007849BA">
        <w:rPr>
          <w:sz w:val="24"/>
          <w:szCs w:val="24"/>
        </w:rPr>
        <w:t>nociceptive</w:t>
      </w:r>
      <w:proofErr w:type="spellEnd"/>
      <w:r w:rsidRPr="007849BA">
        <w:rPr>
          <w:sz w:val="24"/>
          <w:szCs w:val="24"/>
        </w:rPr>
        <w:t xml:space="preserve"> smertetilstande inklusive postoperative ortopædiske og </w:t>
      </w:r>
      <w:proofErr w:type="spellStart"/>
      <w:r w:rsidRPr="007849BA">
        <w:rPr>
          <w:sz w:val="24"/>
          <w:szCs w:val="24"/>
        </w:rPr>
        <w:t>abdominale</w:t>
      </w:r>
      <w:proofErr w:type="spellEnd"/>
      <w:r w:rsidRPr="007849BA">
        <w:rPr>
          <w:sz w:val="24"/>
          <w:szCs w:val="24"/>
        </w:rPr>
        <w:t xml:space="preserve"> smerter samt kroniske smerter, der skyldtes </w:t>
      </w:r>
      <w:proofErr w:type="spellStart"/>
      <w:r w:rsidRPr="007849BA">
        <w:rPr>
          <w:sz w:val="24"/>
          <w:szCs w:val="24"/>
        </w:rPr>
        <w:t>osteoartritis</w:t>
      </w:r>
      <w:proofErr w:type="spellEnd"/>
      <w:r w:rsidRPr="007849BA">
        <w:rPr>
          <w:sz w:val="24"/>
          <w:szCs w:val="24"/>
        </w:rPr>
        <w:t xml:space="preserve"> i hofte eller knæ. Generelt svarede analgesien af </w:t>
      </w:r>
      <w:proofErr w:type="spellStart"/>
      <w:r w:rsidRPr="007849BA">
        <w:rPr>
          <w:sz w:val="24"/>
          <w:szCs w:val="24"/>
        </w:rPr>
        <w:t>tapentadol</w:t>
      </w:r>
      <w:proofErr w:type="spellEnd"/>
      <w:r w:rsidRPr="007849BA">
        <w:rPr>
          <w:sz w:val="24"/>
          <w:szCs w:val="24"/>
        </w:rPr>
        <w:t xml:space="preserve"> i </w:t>
      </w:r>
      <w:proofErr w:type="spellStart"/>
      <w:r w:rsidRPr="007849BA">
        <w:rPr>
          <w:sz w:val="24"/>
          <w:szCs w:val="24"/>
        </w:rPr>
        <w:t>nociceptive</w:t>
      </w:r>
      <w:proofErr w:type="spellEnd"/>
      <w:r w:rsidRPr="007849BA">
        <w:rPr>
          <w:sz w:val="24"/>
          <w:szCs w:val="24"/>
        </w:rPr>
        <w:t xml:space="preserve"> smertestudier til den virkning, der sås ved sammenligning med et stærkt opioid.</w:t>
      </w:r>
    </w:p>
    <w:p w14:paraId="21475FE2" w14:textId="77777777" w:rsidR="00295D2D" w:rsidRPr="007849BA" w:rsidRDefault="00295D2D" w:rsidP="00F4752A">
      <w:pPr>
        <w:ind w:left="851"/>
        <w:rPr>
          <w:sz w:val="24"/>
          <w:szCs w:val="24"/>
        </w:rPr>
      </w:pPr>
    </w:p>
    <w:p w14:paraId="4A3616D3" w14:textId="77777777" w:rsidR="00295D2D" w:rsidRPr="007849BA" w:rsidRDefault="00295D2D" w:rsidP="00F4752A">
      <w:pPr>
        <w:ind w:left="851"/>
        <w:rPr>
          <w:sz w:val="24"/>
          <w:szCs w:val="24"/>
        </w:rPr>
      </w:pPr>
      <w:bookmarkStart w:id="16" w:name="OLE_LINK25"/>
      <w:bookmarkStart w:id="17" w:name="OLE_LINK26"/>
      <w:r w:rsidRPr="007849BA">
        <w:rPr>
          <w:sz w:val="24"/>
          <w:szCs w:val="24"/>
        </w:rPr>
        <w:lastRenderedPageBreak/>
        <w:t xml:space="preserve">Virkninger på det </w:t>
      </w:r>
      <w:proofErr w:type="spellStart"/>
      <w:r w:rsidRPr="007849BA">
        <w:rPr>
          <w:sz w:val="24"/>
          <w:szCs w:val="24"/>
        </w:rPr>
        <w:t>kardiovaskulære</w:t>
      </w:r>
      <w:proofErr w:type="spellEnd"/>
      <w:r w:rsidRPr="007849BA">
        <w:rPr>
          <w:sz w:val="24"/>
          <w:szCs w:val="24"/>
        </w:rPr>
        <w:t xml:space="preserve"> system: I en omfattende undersøgelse af QT-intervallet hos mennesker påvirkede gentagne terapeutiske og supraterapeutiske doser af </w:t>
      </w:r>
      <w:proofErr w:type="spellStart"/>
      <w:r w:rsidRPr="007849BA">
        <w:rPr>
          <w:sz w:val="24"/>
          <w:szCs w:val="24"/>
        </w:rPr>
        <w:t>tapentadol</w:t>
      </w:r>
      <w:proofErr w:type="spellEnd"/>
      <w:r w:rsidRPr="007849BA">
        <w:rPr>
          <w:sz w:val="24"/>
          <w:szCs w:val="24"/>
        </w:rPr>
        <w:t xml:space="preserve"> ikke QT-intervallet. Tilsvarende udviste </w:t>
      </w:r>
      <w:proofErr w:type="spellStart"/>
      <w:r w:rsidRPr="007849BA">
        <w:rPr>
          <w:sz w:val="24"/>
          <w:szCs w:val="24"/>
        </w:rPr>
        <w:t>tapentadol</w:t>
      </w:r>
      <w:proofErr w:type="spellEnd"/>
      <w:r w:rsidRPr="007849BA">
        <w:rPr>
          <w:sz w:val="24"/>
          <w:szCs w:val="24"/>
        </w:rPr>
        <w:t xml:space="preserve"> ingen relevant påvirkning af andre EKG-parametre (hjertefrekvens, PR-interval, QRS-varighed, T-taks- eller U-taksmorfologi).</w:t>
      </w:r>
    </w:p>
    <w:bookmarkEnd w:id="16"/>
    <w:bookmarkEnd w:id="17"/>
    <w:p w14:paraId="18167F8F" w14:textId="77777777" w:rsidR="00295D2D" w:rsidRPr="007849BA" w:rsidRDefault="00295D2D" w:rsidP="00F4752A">
      <w:pPr>
        <w:ind w:left="851"/>
        <w:rPr>
          <w:sz w:val="24"/>
          <w:szCs w:val="24"/>
        </w:rPr>
      </w:pPr>
    </w:p>
    <w:p w14:paraId="322861CC" w14:textId="77777777" w:rsidR="00295D2D" w:rsidRPr="007849BA" w:rsidRDefault="00295D2D" w:rsidP="00F4752A">
      <w:pPr>
        <w:ind w:left="851"/>
        <w:rPr>
          <w:sz w:val="24"/>
          <w:szCs w:val="24"/>
          <w:u w:val="single"/>
        </w:rPr>
      </w:pPr>
      <w:r w:rsidRPr="007849BA">
        <w:rPr>
          <w:sz w:val="24"/>
          <w:szCs w:val="24"/>
          <w:u w:val="single"/>
        </w:rPr>
        <w:t xml:space="preserve">Pædiatrisk population </w:t>
      </w:r>
    </w:p>
    <w:p w14:paraId="523CA893" w14:textId="638197CE" w:rsidR="00295D2D" w:rsidRPr="007849BA" w:rsidRDefault="00295D2D" w:rsidP="00F4752A">
      <w:pPr>
        <w:ind w:left="851"/>
        <w:rPr>
          <w:sz w:val="24"/>
          <w:szCs w:val="24"/>
        </w:rPr>
      </w:pPr>
      <w:r w:rsidRPr="007849BA">
        <w:rPr>
          <w:noProof/>
          <w:sz w:val="24"/>
          <w:szCs w:val="24"/>
        </w:rPr>
        <w:t xml:space="preserve">Det Europæiske Lægemiddelagentur </w:t>
      </w:r>
      <w:r w:rsidRPr="007849BA">
        <w:rPr>
          <w:rFonts w:eastAsia="SimSun"/>
          <w:sz w:val="24"/>
          <w:szCs w:val="24"/>
          <w:lang w:eastAsia="zh-CN"/>
        </w:rPr>
        <w:t xml:space="preserve">har udsat forpligtelsen til at fremlægge resultaterne af studier </w:t>
      </w:r>
      <w:r w:rsidRPr="007849BA">
        <w:rPr>
          <w:sz w:val="24"/>
          <w:szCs w:val="24"/>
        </w:rPr>
        <w:t xml:space="preserve">med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i alle undergrupper af den pædiatriske population ved moderate til svære, akutte smerter (se pkt. 4.2 for oplysninger om pædiatrisk anvendelse).</w:t>
      </w:r>
    </w:p>
    <w:bookmarkEnd w:id="15"/>
    <w:p w14:paraId="57B39122" w14:textId="77777777" w:rsidR="009260DE" w:rsidRPr="007849BA" w:rsidRDefault="009260DE" w:rsidP="009260DE">
      <w:pPr>
        <w:tabs>
          <w:tab w:val="left" w:pos="851"/>
        </w:tabs>
        <w:ind w:left="851"/>
        <w:rPr>
          <w:sz w:val="24"/>
          <w:szCs w:val="24"/>
        </w:rPr>
      </w:pPr>
    </w:p>
    <w:p w14:paraId="1ED3A33D" w14:textId="77777777" w:rsidR="009260DE" w:rsidRPr="007849BA" w:rsidRDefault="009260DE" w:rsidP="009260DE">
      <w:pPr>
        <w:tabs>
          <w:tab w:val="left" w:pos="851"/>
        </w:tabs>
        <w:ind w:left="851" w:hanging="851"/>
        <w:rPr>
          <w:b/>
          <w:sz w:val="24"/>
          <w:szCs w:val="24"/>
        </w:rPr>
      </w:pPr>
      <w:r w:rsidRPr="007849BA">
        <w:rPr>
          <w:b/>
          <w:sz w:val="24"/>
          <w:szCs w:val="24"/>
        </w:rPr>
        <w:t>5.2</w:t>
      </w:r>
      <w:r w:rsidRPr="007849BA">
        <w:rPr>
          <w:b/>
          <w:sz w:val="24"/>
          <w:szCs w:val="24"/>
        </w:rPr>
        <w:tab/>
      </w:r>
      <w:proofErr w:type="spellStart"/>
      <w:r w:rsidRPr="007849BA">
        <w:rPr>
          <w:b/>
          <w:sz w:val="24"/>
          <w:szCs w:val="24"/>
        </w:rPr>
        <w:t>Farmakokinetiske</w:t>
      </w:r>
      <w:proofErr w:type="spellEnd"/>
      <w:r w:rsidRPr="007849BA">
        <w:rPr>
          <w:b/>
          <w:sz w:val="24"/>
          <w:szCs w:val="24"/>
        </w:rPr>
        <w:t xml:space="preserve"> egenskaber</w:t>
      </w:r>
    </w:p>
    <w:p w14:paraId="26083888" w14:textId="77777777" w:rsidR="00301BB6" w:rsidRPr="007849BA" w:rsidRDefault="00301BB6" w:rsidP="00F4752A">
      <w:pPr>
        <w:ind w:left="851"/>
        <w:rPr>
          <w:sz w:val="24"/>
          <w:szCs w:val="24"/>
        </w:rPr>
      </w:pPr>
    </w:p>
    <w:p w14:paraId="6FA59A84" w14:textId="3AD204A0" w:rsidR="00295D2D" w:rsidRPr="007849BA" w:rsidRDefault="00295D2D" w:rsidP="00F4752A">
      <w:pPr>
        <w:ind w:left="851"/>
        <w:rPr>
          <w:sz w:val="24"/>
          <w:szCs w:val="24"/>
          <w:u w:val="single"/>
        </w:rPr>
      </w:pPr>
      <w:r w:rsidRPr="007849BA">
        <w:rPr>
          <w:sz w:val="24"/>
          <w:szCs w:val="24"/>
          <w:u w:val="single"/>
        </w:rPr>
        <w:t>Absorption</w:t>
      </w:r>
    </w:p>
    <w:p w14:paraId="3F25A58D" w14:textId="5C4A7EFA"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absorberes hurtigt og fuldstændigt efter oral anvendelse af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Den gennemsnitlige absolutte biotilgængelighed efter en enkelt dosis (fastende) er ca. 32</w:t>
      </w:r>
      <w:r w:rsidR="007849BA">
        <w:rPr>
          <w:sz w:val="24"/>
          <w:szCs w:val="24"/>
        </w:rPr>
        <w:t xml:space="preserve"> %</w:t>
      </w:r>
      <w:r w:rsidRPr="007849BA">
        <w:rPr>
          <w:sz w:val="24"/>
          <w:szCs w:val="24"/>
        </w:rPr>
        <w:t xml:space="preserve"> på grund af omfattende </w:t>
      </w:r>
      <w:proofErr w:type="spellStart"/>
      <w:r w:rsidRPr="007849BA">
        <w:rPr>
          <w:sz w:val="24"/>
          <w:szCs w:val="24"/>
        </w:rPr>
        <w:t>first</w:t>
      </w:r>
      <w:proofErr w:type="spellEnd"/>
      <w:r w:rsidRPr="007849BA">
        <w:rPr>
          <w:sz w:val="24"/>
          <w:szCs w:val="24"/>
        </w:rPr>
        <w:t>-</w:t>
      </w:r>
      <w:proofErr w:type="spellStart"/>
      <w:r w:rsidRPr="007849BA">
        <w:rPr>
          <w:sz w:val="24"/>
          <w:szCs w:val="24"/>
        </w:rPr>
        <w:t>pass</w:t>
      </w:r>
      <w:proofErr w:type="spellEnd"/>
      <w:r w:rsidRPr="007849BA">
        <w:rPr>
          <w:sz w:val="24"/>
          <w:szCs w:val="24"/>
        </w:rPr>
        <w:t xml:space="preserve">-metabolisme. </w:t>
      </w:r>
      <w:proofErr w:type="spellStart"/>
      <w:r w:rsidRPr="007849BA">
        <w:rPr>
          <w:sz w:val="24"/>
          <w:szCs w:val="24"/>
        </w:rPr>
        <w:t>Tapentadols</w:t>
      </w:r>
      <w:proofErr w:type="spellEnd"/>
      <w:r w:rsidRPr="007849BA">
        <w:rPr>
          <w:sz w:val="24"/>
          <w:szCs w:val="24"/>
        </w:rPr>
        <w:t xml:space="preserve"> maksimale serumkoncentration kan typisk observeres ca. 1,25 timer efter administration af filmovertrukne tabletter. Der er set </w:t>
      </w:r>
      <w:proofErr w:type="spellStart"/>
      <w:r w:rsidRPr="007849BA">
        <w:rPr>
          <w:sz w:val="24"/>
          <w:szCs w:val="24"/>
        </w:rPr>
        <w:t>dosisproprotionelle</w:t>
      </w:r>
      <w:proofErr w:type="spellEnd"/>
      <w:r w:rsidRPr="007849BA">
        <w:rPr>
          <w:sz w:val="24"/>
          <w:szCs w:val="24"/>
        </w:rPr>
        <w:t xml:space="preserve"> stigninger i </w:t>
      </w:r>
      <w:proofErr w:type="spellStart"/>
      <w:r w:rsidRPr="007849BA">
        <w:rPr>
          <w:sz w:val="24"/>
          <w:szCs w:val="24"/>
        </w:rPr>
        <w:t>C</w:t>
      </w:r>
      <w:r w:rsidRPr="007849BA">
        <w:rPr>
          <w:sz w:val="24"/>
          <w:szCs w:val="24"/>
          <w:vertAlign w:val="subscript"/>
        </w:rPr>
        <w:t>max</w:t>
      </w:r>
      <w:proofErr w:type="spellEnd"/>
      <w:r w:rsidRPr="007849BA">
        <w:rPr>
          <w:sz w:val="24"/>
          <w:szCs w:val="24"/>
        </w:rPr>
        <w:t xml:space="preserve">- og AUC-værdier efter administration af </w:t>
      </w:r>
      <w:proofErr w:type="spellStart"/>
      <w:r w:rsidRPr="007849BA">
        <w:rPr>
          <w:sz w:val="24"/>
          <w:szCs w:val="24"/>
        </w:rPr>
        <w:t>tapentadol</w:t>
      </w:r>
      <w:proofErr w:type="spellEnd"/>
      <w:r w:rsidRPr="007849BA">
        <w:rPr>
          <w:sz w:val="24"/>
          <w:szCs w:val="24"/>
        </w:rPr>
        <w:t xml:space="preserve"> filmovertrukne tabletter i det orale terapeutiske dosisområde.</w:t>
      </w:r>
    </w:p>
    <w:p w14:paraId="224CE5C5" w14:textId="77777777" w:rsidR="00295D2D" w:rsidRPr="007849BA" w:rsidRDefault="00295D2D" w:rsidP="00F4752A">
      <w:pPr>
        <w:ind w:left="851"/>
        <w:rPr>
          <w:sz w:val="24"/>
          <w:szCs w:val="24"/>
        </w:rPr>
      </w:pPr>
      <w:bookmarkStart w:id="18" w:name="OLE_LINK27"/>
      <w:bookmarkStart w:id="19" w:name="OLE_LINK28"/>
    </w:p>
    <w:p w14:paraId="7B177E58" w14:textId="77777777" w:rsidR="00295D2D" w:rsidRPr="007849BA" w:rsidRDefault="00295D2D" w:rsidP="00F4752A">
      <w:pPr>
        <w:ind w:left="851"/>
        <w:rPr>
          <w:sz w:val="24"/>
          <w:szCs w:val="24"/>
        </w:rPr>
      </w:pPr>
      <w:r w:rsidRPr="007849BA">
        <w:rPr>
          <w:sz w:val="24"/>
          <w:szCs w:val="24"/>
        </w:rPr>
        <w:t xml:space="preserve">Et studie med gentagne (hver 6. time) doser i intervallet 75 til 175 mg </w:t>
      </w:r>
      <w:proofErr w:type="spellStart"/>
      <w:r w:rsidRPr="007849BA">
        <w:rPr>
          <w:sz w:val="24"/>
          <w:szCs w:val="24"/>
        </w:rPr>
        <w:t>tapentadol</w:t>
      </w:r>
      <w:proofErr w:type="spellEnd"/>
      <w:r w:rsidRPr="007849BA">
        <w:rPr>
          <w:sz w:val="24"/>
          <w:szCs w:val="24"/>
        </w:rPr>
        <w:t xml:space="preserve">, administreret som filmovertrukne tabletter, viste en akkumuleringsratio mellem 1,4 og 1,7 for den aktive substans og mellem 1,7 og 2,0 for den vigtigste metabolit </w:t>
      </w:r>
      <w:proofErr w:type="spellStart"/>
      <w:r w:rsidRPr="007849BA">
        <w:rPr>
          <w:sz w:val="24"/>
          <w:szCs w:val="24"/>
        </w:rPr>
        <w:t>tapentadol</w:t>
      </w:r>
      <w:proofErr w:type="spellEnd"/>
      <w:r w:rsidRPr="007849BA">
        <w:rPr>
          <w:sz w:val="24"/>
          <w:szCs w:val="24"/>
        </w:rPr>
        <w:noBreakHyphen/>
        <w:t>O-</w:t>
      </w:r>
      <w:proofErr w:type="spellStart"/>
      <w:r w:rsidRPr="007849BA">
        <w:rPr>
          <w:sz w:val="24"/>
          <w:szCs w:val="24"/>
        </w:rPr>
        <w:t>glucuronid</w:t>
      </w:r>
      <w:proofErr w:type="spellEnd"/>
      <w:r w:rsidRPr="007849BA">
        <w:rPr>
          <w:sz w:val="24"/>
          <w:szCs w:val="24"/>
        </w:rPr>
        <w:t xml:space="preserve">, hvilket primært bestemmes af doseringsintervallet og den tilsyneladende halveringstid af </w:t>
      </w:r>
      <w:proofErr w:type="spellStart"/>
      <w:r w:rsidRPr="007849BA">
        <w:rPr>
          <w:sz w:val="24"/>
          <w:szCs w:val="24"/>
        </w:rPr>
        <w:t>tapentadol</w:t>
      </w:r>
      <w:proofErr w:type="spellEnd"/>
      <w:r w:rsidRPr="007849BA">
        <w:rPr>
          <w:sz w:val="24"/>
          <w:szCs w:val="24"/>
        </w:rPr>
        <w:t xml:space="preserve"> og dets metabolit. </w:t>
      </w:r>
      <w:proofErr w:type="spellStart"/>
      <w:r w:rsidRPr="007849BA">
        <w:rPr>
          <w:sz w:val="24"/>
          <w:szCs w:val="24"/>
        </w:rPr>
        <w:t>Steady</w:t>
      </w:r>
      <w:proofErr w:type="spellEnd"/>
      <w:r w:rsidRPr="007849BA">
        <w:rPr>
          <w:sz w:val="24"/>
          <w:szCs w:val="24"/>
        </w:rPr>
        <w:t xml:space="preserve"> </w:t>
      </w:r>
      <w:proofErr w:type="spellStart"/>
      <w:r w:rsidRPr="007849BA">
        <w:rPr>
          <w:sz w:val="24"/>
          <w:szCs w:val="24"/>
        </w:rPr>
        <w:t>state</w:t>
      </w:r>
      <w:proofErr w:type="spellEnd"/>
      <w:r w:rsidRPr="007849BA">
        <w:rPr>
          <w:sz w:val="24"/>
          <w:szCs w:val="24"/>
        </w:rPr>
        <w:t xml:space="preserve">-serumkoncentrationer af </w:t>
      </w:r>
      <w:proofErr w:type="spellStart"/>
      <w:r w:rsidRPr="007849BA">
        <w:rPr>
          <w:sz w:val="24"/>
          <w:szCs w:val="24"/>
        </w:rPr>
        <w:t>tapentadol</w:t>
      </w:r>
      <w:proofErr w:type="spellEnd"/>
      <w:r w:rsidRPr="007849BA">
        <w:rPr>
          <w:sz w:val="24"/>
          <w:szCs w:val="24"/>
        </w:rPr>
        <w:t xml:space="preserve"> opnås på den anden dag i behandlingen.</w:t>
      </w:r>
    </w:p>
    <w:bookmarkEnd w:id="18"/>
    <w:bookmarkEnd w:id="19"/>
    <w:p w14:paraId="4F56F69F" w14:textId="77777777" w:rsidR="00295D2D" w:rsidRPr="007849BA" w:rsidRDefault="00295D2D" w:rsidP="00F4752A">
      <w:pPr>
        <w:ind w:left="851"/>
        <w:rPr>
          <w:sz w:val="24"/>
          <w:szCs w:val="24"/>
        </w:rPr>
      </w:pPr>
    </w:p>
    <w:p w14:paraId="564006F4" w14:textId="77777777" w:rsidR="00295D2D" w:rsidRPr="007849BA" w:rsidRDefault="00295D2D" w:rsidP="00F4752A">
      <w:pPr>
        <w:ind w:left="851"/>
        <w:rPr>
          <w:i/>
          <w:iCs/>
          <w:sz w:val="24"/>
          <w:szCs w:val="24"/>
        </w:rPr>
      </w:pPr>
      <w:r w:rsidRPr="007849BA">
        <w:rPr>
          <w:i/>
          <w:iCs/>
          <w:sz w:val="24"/>
          <w:szCs w:val="24"/>
        </w:rPr>
        <w:t>Fødepåvirkning</w:t>
      </w:r>
    </w:p>
    <w:p w14:paraId="7157ACA2" w14:textId="5B34B78A" w:rsidR="00295D2D" w:rsidRPr="007849BA" w:rsidRDefault="00295D2D" w:rsidP="00F4752A">
      <w:pPr>
        <w:ind w:left="851"/>
        <w:rPr>
          <w:sz w:val="24"/>
          <w:szCs w:val="24"/>
        </w:rPr>
      </w:pPr>
      <w:r w:rsidRPr="007849BA">
        <w:rPr>
          <w:sz w:val="24"/>
          <w:szCs w:val="24"/>
        </w:rPr>
        <w:t xml:space="preserve">AUC og </w:t>
      </w:r>
      <w:proofErr w:type="spellStart"/>
      <w:r w:rsidRPr="007849BA">
        <w:rPr>
          <w:sz w:val="24"/>
          <w:szCs w:val="24"/>
        </w:rPr>
        <w:t>C</w:t>
      </w:r>
      <w:r w:rsidRPr="007849BA">
        <w:rPr>
          <w:sz w:val="24"/>
          <w:szCs w:val="24"/>
          <w:vertAlign w:val="subscript"/>
        </w:rPr>
        <w:t>max</w:t>
      </w:r>
      <w:proofErr w:type="spellEnd"/>
      <w:r w:rsidRPr="007849BA">
        <w:rPr>
          <w:sz w:val="24"/>
          <w:szCs w:val="24"/>
        </w:rPr>
        <w:t xml:space="preserve"> steg med henholdsvis 25</w:t>
      </w:r>
      <w:r w:rsidR="007849BA">
        <w:rPr>
          <w:sz w:val="24"/>
          <w:szCs w:val="24"/>
        </w:rPr>
        <w:t xml:space="preserve"> %</w:t>
      </w:r>
      <w:r w:rsidRPr="007849BA">
        <w:rPr>
          <w:sz w:val="24"/>
          <w:szCs w:val="24"/>
        </w:rPr>
        <w:t xml:space="preserve"> og 16</w:t>
      </w:r>
      <w:r w:rsidR="007849BA">
        <w:rPr>
          <w:sz w:val="24"/>
          <w:szCs w:val="24"/>
        </w:rPr>
        <w:t xml:space="preserve"> %</w:t>
      </w:r>
      <w:r w:rsidRPr="007849BA">
        <w:rPr>
          <w:sz w:val="24"/>
          <w:szCs w:val="24"/>
        </w:rPr>
        <w:t xml:space="preserve"> ved administration af filmovertrukne tabletter efter et fedt- og kalorieholdigt morgenmåltid. Tiden til maximal plasma koncentration var forsinket med 1,5 time under disse betingelser. Baseret på effektdata set ved tidlige vurderingstidspunkter i fase II/III kliniske studier ser det ikke ud til, at fødepåvirkningen er af klinisk relevans. </w:t>
      </w:r>
      <w:proofErr w:type="spellStart"/>
      <w:r w:rsidRPr="007849BA">
        <w:rPr>
          <w:sz w:val="24"/>
          <w:szCs w:val="24"/>
        </w:rPr>
        <w:t>Tapentadol</w:t>
      </w:r>
      <w:proofErr w:type="spellEnd"/>
      <w:r w:rsidRPr="007849BA">
        <w:rPr>
          <w:sz w:val="24"/>
          <w:szCs w:val="24"/>
        </w:rPr>
        <w:t xml:space="preserve"> </w:t>
      </w:r>
      <w:r w:rsidR="00F4752A" w:rsidRPr="007849BA">
        <w:rPr>
          <w:sz w:val="24"/>
          <w:szCs w:val="24"/>
        </w:rPr>
        <w:t>"G.L. Pharma"</w:t>
      </w:r>
      <w:r w:rsidRPr="007849BA">
        <w:rPr>
          <w:sz w:val="24"/>
          <w:szCs w:val="24"/>
        </w:rPr>
        <w:t xml:space="preserve"> kan tages alene eller i forbindelse med et måltid.</w:t>
      </w:r>
    </w:p>
    <w:p w14:paraId="4B86B591" w14:textId="77777777" w:rsidR="00295D2D" w:rsidRPr="007849BA" w:rsidRDefault="00295D2D" w:rsidP="00F4752A">
      <w:pPr>
        <w:ind w:left="851"/>
        <w:rPr>
          <w:sz w:val="24"/>
          <w:szCs w:val="24"/>
          <w:highlight w:val="yellow"/>
        </w:rPr>
      </w:pPr>
    </w:p>
    <w:p w14:paraId="09F0591D" w14:textId="77777777" w:rsidR="00295D2D" w:rsidRPr="007849BA" w:rsidRDefault="00295D2D" w:rsidP="00F4752A">
      <w:pPr>
        <w:ind w:left="851"/>
        <w:rPr>
          <w:sz w:val="24"/>
          <w:szCs w:val="24"/>
          <w:u w:val="single"/>
        </w:rPr>
      </w:pPr>
      <w:r w:rsidRPr="007849BA">
        <w:rPr>
          <w:noProof/>
          <w:sz w:val="24"/>
          <w:szCs w:val="24"/>
          <w:u w:val="single"/>
        </w:rPr>
        <w:t>Fordeling</w:t>
      </w:r>
    </w:p>
    <w:p w14:paraId="6497746A" w14:textId="6889A519" w:rsidR="00295D2D" w:rsidRPr="007849BA" w:rsidRDefault="00295D2D" w:rsidP="00F4752A">
      <w:pPr>
        <w:ind w:left="851"/>
        <w:rPr>
          <w:sz w:val="24"/>
          <w:szCs w:val="24"/>
        </w:rPr>
      </w:pPr>
      <w:r w:rsidRPr="007849BA">
        <w:rPr>
          <w:sz w:val="24"/>
          <w:szCs w:val="24"/>
        </w:rPr>
        <w:t xml:space="preserve">Der er omfattende distribution af </w:t>
      </w:r>
      <w:proofErr w:type="spellStart"/>
      <w:r w:rsidRPr="007849BA">
        <w:rPr>
          <w:sz w:val="24"/>
          <w:szCs w:val="24"/>
        </w:rPr>
        <w:t>tapentadol</w:t>
      </w:r>
      <w:proofErr w:type="spellEnd"/>
      <w:r w:rsidRPr="007849BA">
        <w:rPr>
          <w:sz w:val="24"/>
          <w:szCs w:val="24"/>
        </w:rPr>
        <w:t xml:space="preserve"> i kroppen. Efter intravenøs administration er </w:t>
      </w:r>
      <w:proofErr w:type="spellStart"/>
      <w:r w:rsidRPr="007849BA">
        <w:rPr>
          <w:sz w:val="24"/>
          <w:szCs w:val="24"/>
        </w:rPr>
        <w:t>tapentadols</w:t>
      </w:r>
      <w:proofErr w:type="spellEnd"/>
      <w:r w:rsidRPr="007849BA">
        <w:rPr>
          <w:sz w:val="24"/>
          <w:szCs w:val="24"/>
        </w:rPr>
        <w:t xml:space="preserve"> fordelingsvolumen (</w:t>
      </w:r>
      <w:proofErr w:type="spellStart"/>
      <w:r w:rsidRPr="007849BA">
        <w:rPr>
          <w:sz w:val="24"/>
          <w:szCs w:val="24"/>
        </w:rPr>
        <w:t>Vz</w:t>
      </w:r>
      <w:proofErr w:type="spellEnd"/>
      <w:r w:rsidRPr="007849BA">
        <w:rPr>
          <w:sz w:val="24"/>
          <w:szCs w:val="24"/>
        </w:rPr>
        <w:t>) 540 ± 98 l. Serumproteinbindingen er lav, op til ca. 20</w:t>
      </w:r>
      <w:r w:rsidR="007849BA">
        <w:rPr>
          <w:sz w:val="24"/>
          <w:szCs w:val="24"/>
        </w:rPr>
        <w:t> %</w:t>
      </w:r>
      <w:r w:rsidRPr="007849BA">
        <w:rPr>
          <w:sz w:val="24"/>
          <w:szCs w:val="24"/>
        </w:rPr>
        <w:t>.</w:t>
      </w:r>
    </w:p>
    <w:p w14:paraId="215A0045" w14:textId="77777777" w:rsidR="00295D2D" w:rsidRPr="007849BA" w:rsidRDefault="00295D2D" w:rsidP="00F4752A">
      <w:pPr>
        <w:ind w:left="851"/>
        <w:rPr>
          <w:sz w:val="24"/>
          <w:szCs w:val="24"/>
        </w:rPr>
      </w:pPr>
    </w:p>
    <w:p w14:paraId="14C910EA" w14:textId="77777777" w:rsidR="00295D2D" w:rsidRPr="007849BA" w:rsidRDefault="00295D2D" w:rsidP="00F4752A">
      <w:pPr>
        <w:ind w:left="851"/>
        <w:rPr>
          <w:sz w:val="24"/>
          <w:szCs w:val="24"/>
          <w:u w:val="single"/>
        </w:rPr>
      </w:pPr>
      <w:bookmarkStart w:id="20" w:name="OLE_LINK29"/>
      <w:bookmarkStart w:id="21" w:name="OLE_LINK30"/>
      <w:r w:rsidRPr="007849BA">
        <w:rPr>
          <w:sz w:val="24"/>
          <w:szCs w:val="24"/>
          <w:u w:val="single"/>
        </w:rPr>
        <w:t>Biotransformation</w:t>
      </w:r>
    </w:p>
    <w:p w14:paraId="009A9D2E" w14:textId="2BA1EFA2"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gennemgår omfattende metabolisme hos mennesker. Ca. 97</w:t>
      </w:r>
      <w:r w:rsidR="007849BA">
        <w:rPr>
          <w:sz w:val="24"/>
          <w:szCs w:val="24"/>
        </w:rPr>
        <w:t xml:space="preserve"> %</w:t>
      </w:r>
      <w:r w:rsidRPr="007849BA">
        <w:rPr>
          <w:sz w:val="24"/>
          <w:szCs w:val="24"/>
        </w:rPr>
        <w:t xml:space="preserve"> af moderstoffet </w:t>
      </w:r>
      <w:proofErr w:type="spellStart"/>
      <w:r w:rsidRPr="007849BA">
        <w:rPr>
          <w:sz w:val="24"/>
          <w:szCs w:val="24"/>
        </w:rPr>
        <w:t>metaboliseres</w:t>
      </w:r>
      <w:proofErr w:type="spellEnd"/>
      <w:r w:rsidRPr="007849BA">
        <w:rPr>
          <w:sz w:val="24"/>
          <w:szCs w:val="24"/>
        </w:rPr>
        <w:t xml:space="preserve">. </w:t>
      </w:r>
      <w:proofErr w:type="spellStart"/>
      <w:r w:rsidRPr="007849BA">
        <w:rPr>
          <w:sz w:val="24"/>
          <w:szCs w:val="24"/>
        </w:rPr>
        <w:t>Tapentadol</w:t>
      </w:r>
      <w:proofErr w:type="spellEnd"/>
      <w:r w:rsidRPr="007849BA">
        <w:rPr>
          <w:sz w:val="24"/>
          <w:szCs w:val="24"/>
        </w:rPr>
        <w:t xml:space="preserve"> </w:t>
      </w:r>
      <w:proofErr w:type="spellStart"/>
      <w:r w:rsidRPr="007849BA">
        <w:rPr>
          <w:sz w:val="24"/>
          <w:szCs w:val="24"/>
        </w:rPr>
        <w:t>metaboliseres</w:t>
      </w:r>
      <w:proofErr w:type="spellEnd"/>
      <w:r w:rsidRPr="007849BA">
        <w:rPr>
          <w:sz w:val="24"/>
          <w:szCs w:val="24"/>
        </w:rPr>
        <w:t xml:space="preserve"> især ved </w:t>
      </w:r>
      <w:proofErr w:type="spellStart"/>
      <w:r w:rsidRPr="007849BA">
        <w:rPr>
          <w:sz w:val="24"/>
          <w:szCs w:val="24"/>
        </w:rPr>
        <w:t>konjugering</w:t>
      </w:r>
      <w:proofErr w:type="spellEnd"/>
      <w:r w:rsidRPr="007849BA">
        <w:rPr>
          <w:sz w:val="24"/>
          <w:szCs w:val="24"/>
        </w:rPr>
        <w:t xml:space="preserve"> med </w:t>
      </w:r>
      <w:proofErr w:type="spellStart"/>
      <w:r w:rsidRPr="007849BA">
        <w:rPr>
          <w:sz w:val="24"/>
          <w:szCs w:val="24"/>
        </w:rPr>
        <w:t>glucuronsyre</w:t>
      </w:r>
      <w:proofErr w:type="spellEnd"/>
      <w:r w:rsidRPr="007849BA">
        <w:rPr>
          <w:sz w:val="24"/>
          <w:szCs w:val="24"/>
        </w:rPr>
        <w:t xml:space="preserve">, så der dannes </w:t>
      </w:r>
      <w:proofErr w:type="spellStart"/>
      <w:r w:rsidRPr="007849BA">
        <w:rPr>
          <w:sz w:val="24"/>
          <w:szCs w:val="24"/>
        </w:rPr>
        <w:t>glucuronider</w:t>
      </w:r>
      <w:proofErr w:type="spellEnd"/>
      <w:r w:rsidRPr="007849BA">
        <w:rPr>
          <w:sz w:val="24"/>
          <w:szCs w:val="24"/>
        </w:rPr>
        <w:t xml:space="preserve">. Efter oral administration af </w:t>
      </w:r>
      <w:proofErr w:type="spellStart"/>
      <w:r w:rsidRPr="007849BA">
        <w:rPr>
          <w:sz w:val="24"/>
          <w:szCs w:val="24"/>
        </w:rPr>
        <w:t>tapentadol</w:t>
      </w:r>
      <w:proofErr w:type="spellEnd"/>
      <w:r w:rsidRPr="007849BA">
        <w:rPr>
          <w:sz w:val="24"/>
          <w:szCs w:val="24"/>
        </w:rPr>
        <w:t xml:space="preserve"> udskilles ca. 70</w:t>
      </w:r>
      <w:r w:rsidR="007849BA">
        <w:rPr>
          <w:sz w:val="24"/>
          <w:szCs w:val="24"/>
        </w:rPr>
        <w:t xml:space="preserve"> %</w:t>
      </w:r>
      <w:r w:rsidRPr="007849BA">
        <w:rPr>
          <w:sz w:val="24"/>
          <w:szCs w:val="24"/>
        </w:rPr>
        <w:t xml:space="preserve"> af dosis i urinen som </w:t>
      </w:r>
      <w:proofErr w:type="spellStart"/>
      <w:r w:rsidRPr="007849BA">
        <w:rPr>
          <w:sz w:val="24"/>
          <w:szCs w:val="24"/>
        </w:rPr>
        <w:t>konjugater</w:t>
      </w:r>
      <w:proofErr w:type="spellEnd"/>
      <w:r w:rsidRPr="007849BA">
        <w:rPr>
          <w:sz w:val="24"/>
          <w:szCs w:val="24"/>
        </w:rPr>
        <w:t xml:space="preserve"> (55</w:t>
      </w:r>
      <w:r w:rsidR="007849BA">
        <w:rPr>
          <w:sz w:val="24"/>
          <w:szCs w:val="24"/>
        </w:rPr>
        <w:t xml:space="preserve"> %</w:t>
      </w:r>
      <w:r w:rsidRPr="007849BA">
        <w:rPr>
          <w:sz w:val="24"/>
          <w:szCs w:val="24"/>
        </w:rPr>
        <w:t xml:space="preserve"> </w:t>
      </w:r>
      <w:proofErr w:type="spellStart"/>
      <w:r w:rsidRPr="007849BA">
        <w:rPr>
          <w:sz w:val="24"/>
          <w:szCs w:val="24"/>
        </w:rPr>
        <w:t>glucuronid</w:t>
      </w:r>
      <w:proofErr w:type="spellEnd"/>
      <w:r w:rsidRPr="007849BA">
        <w:rPr>
          <w:sz w:val="24"/>
          <w:szCs w:val="24"/>
        </w:rPr>
        <w:t xml:space="preserve"> og 15</w:t>
      </w:r>
      <w:r w:rsidR="007849BA">
        <w:rPr>
          <w:sz w:val="24"/>
          <w:szCs w:val="24"/>
        </w:rPr>
        <w:t xml:space="preserve"> %</w:t>
      </w:r>
      <w:r w:rsidRPr="007849BA">
        <w:rPr>
          <w:sz w:val="24"/>
          <w:szCs w:val="24"/>
        </w:rPr>
        <w:t xml:space="preserve"> sulfat). </w:t>
      </w:r>
      <w:proofErr w:type="spellStart"/>
      <w:r w:rsidRPr="007849BA">
        <w:rPr>
          <w:sz w:val="24"/>
          <w:szCs w:val="24"/>
        </w:rPr>
        <w:t>Uridin</w:t>
      </w:r>
      <w:proofErr w:type="spellEnd"/>
      <w:r w:rsidRPr="007849BA">
        <w:rPr>
          <w:sz w:val="24"/>
          <w:szCs w:val="24"/>
        </w:rPr>
        <w:t xml:space="preserve"> </w:t>
      </w:r>
      <w:proofErr w:type="spellStart"/>
      <w:r w:rsidRPr="007849BA">
        <w:rPr>
          <w:sz w:val="24"/>
          <w:szCs w:val="24"/>
        </w:rPr>
        <w:t>difosfat</w:t>
      </w:r>
      <w:proofErr w:type="spellEnd"/>
      <w:r w:rsidRPr="007849BA">
        <w:rPr>
          <w:sz w:val="24"/>
          <w:szCs w:val="24"/>
        </w:rPr>
        <w:t xml:space="preserve"> </w:t>
      </w:r>
      <w:proofErr w:type="spellStart"/>
      <w:r w:rsidRPr="007849BA">
        <w:rPr>
          <w:sz w:val="24"/>
          <w:szCs w:val="24"/>
        </w:rPr>
        <w:t>glucuronyltransferase</w:t>
      </w:r>
      <w:proofErr w:type="spellEnd"/>
      <w:r w:rsidRPr="007849BA">
        <w:rPr>
          <w:sz w:val="24"/>
          <w:szCs w:val="24"/>
        </w:rPr>
        <w:t xml:space="preserve"> (UGT) er det primære enzym i </w:t>
      </w:r>
      <w:proofErr w:type="spellStart"/>
      <w:r w:rsidRPr="007849BA">
        <w:rPr>
          <w:sz w:val="24"/>
          <w:szCs w:val="24"/>
        </w:rPr>
        <w:t>glucuronideringen</w:t>
      </w:r>
      <w:proofErr w:type="spellEnd"/>
      <w:r w:rsidRPr="007849BA">
        <w:rPr>
          <w:sz w:val="24"/>
          <w:szCs w:val="24"/>
        </w:rPr>
        <w:t xml:space="preserve"> (især </w:t>
      </w:r>
      <w:proofErr w:type="spellStart"/>
      <w:r w:rsidRPr="007849BA">
        <w:rPr>
          <w:sz w:val="24"/>
          <w:szCs w:val="24"/>
        </w:rPr>
        <w:t>isoformerne</w:t>
      </w:r>
      <w:proofErr w:type="spellEnd"/>
      <w:r w:rsidRPr="007849BA">
        <w:rPr>
          <w:sz w:val="24"/>
          <w:szCs w:val="24"/>
        </w:rPr>
        <w:t xml:space="preserve"> UGT1A6, UGT1A9 og UGT2B7). I alt 3</w:t>
      </w:r>
      <w:r w:rsidR="007849BA">
        <w:rPr>
          <w:sz w:val="24"/>
          <w:szCs w:val="24"/>
        </w:rPr>
        <w:t xml:space="preserve"> %</w:t>
      </w:r>
      <w:r w:rsidRPr="007849BA">
        <w:rPr>
          <w:sz w:val="24"/>
          <w:szCs w:val="24"/>
        </w:rPr>
        <w:t xml:space="preserve"> af det aktive stof udskilles </w:t>
      </w:r>
      <w:proofErr w:type="spellStart"/>
      <w:r w:rsidRPr="007849BA">
        <w:rPr>
          <w:sz w:val="24"/>
          <w:szCs w:val="24"/>
        </w:rPr>
        <w:t>uomdannet</w:t>
      </w:r>
      <w:proofErr w:type="spellEnd"/>
      <w:r w:rsidRPr="007849BA">
        <w:rPr>
          <w:sz w:val="24"/>
          <w:szCs w:val="24"/>
        </w:rPr>
        <w:t xml:space="preserve"> i urinen. </w:t>
      </w:r>
      <w:proofErr w:type="spellStart"/>
      <w:r w:rsidRPr="007849BA">
        <w:rPr>
          <w:sz w:val="24"/>
          <w:szCs w:val="24"/>
        </w:rPr>
        <w:t>Tapentadol</w:t>
      </w:r>
      <w:proofErr w:type="spellEnd"/>
      <w:r w:rsidRPr="007849BA">
        <w:rPr>
          <w:sz w:val="24"/>
          <w:szCs w:val="24"/>
        </w:rPr>
        <w:t xml:space="preserve"> </w:t>
      </w:r>
      <w:proofErr w:type="spellStart"/>
      <w:r w:rsidRPr="007849BA">
        <w:rPr>
          <w:sz w:val="24"/>
          <w:szCs w:val="24"/>
        </w:rPr>
        <w:t>metaboliseres</w:t>
      </w:r>
      <w:proofErr w:type="spellEnd"/>
      <w:r w:rsidRPr="007849BA">
        <w:rPr>
          <w:sz w:val="24"/>
          <w:szCs w:val="24"/>
        </w:rPr>
        <w:t xml:space="preserve"> desuden til N-</w:t>
      </w:r>
      <w:proofErr w:type="spellStart"/>
      <w:r w:rsidRPr="007849BA">
        <w:rPr>
          <w:sz w:val="24"/>
          <w:szCs w:val="24"/>
        </w:rPr>
        <w:t>desmethyltapentadol</w:t>
      </w:r>
      <w:proofErr w:type="spellEnd"/>
      <w:r w:rsidRPr="007849BA">
        <w:rPr>
          <w:sz w:val="24"/>
          <w:szCs w:val="24"/>
        </w:rPr>
        <w:t xml:space="preserve"> (13</w:t>
      </w:r>
      <w:r w:rsidR="007849BA">
        <w:rPr>
          <w:sz w:val="24"/>
          <w:szCs w:val="24"/>
        </w:rPr>
        <w:t xml:space="preserve"> %</w:t>
      </w:r>
      <w:r w:rsidRPr="007849BA">
        <w:rPr>
          <w:sz w:val="24"/>
          <w:szCs w:val="24"/>
        </w:rPr>
        <w:t xml:space="preserve">) af CYP2C9 og </w:t>
      </w:r>
      <w:r w:rsidRPr="007849BA">
        <w:rPr>
          <w:sz w:val="24"/>
          <w:szCs w:val="24"/>
        </w:rPr>
        <w:lastRenderedPageBreak/>
        <w:t xml:space="preserve">CYP2C19 og til </w:t>
      </w:r>
      <w:proofErr w:type="spellStart"/>
      <w:r w:rsidRPr="007849BA">
        <w:rPr>
          <w:sz w:val="24"/>
          <w:szCs w:val="24"/>
        </w:rPr>
        <w:t>hydroxytapentadol</w:t>
      </w:r>
      <w:proofErr w:type="spellEnd"/>
      <w:r w:rsidRPr="007849BA">
        <w:rPr>
          <w:sz w:val="24"/>
          <w:szCs w:val="24"/>
        </w:rPr>
        <w:t xml:space="preserve"> (2</w:t>
      </w:r>
      <w:r w:rsidR="007849BA">
        <w:rPr>
          <w:sz w:val="24"/>
          <w:szCs w:val="24"/>
        </w:rPr>
        <w:t xml:space="preserve"> %</w:t>
      </w:r>
      <w:r w:rsidRPr="007849BA">
        <w:rPr>
          <w:sz w:val="24"/>
          <w:szCs w:val="24"/>
        </w:rPr>
        <w:t xml:space="preserve">) af CYP2D6, og disse metabolitter </w:t>
      </w:r>
      <w:proofErr w:type="spellStart"/>
      <w:r w:rsidRPr="007849BA">
        <w:rPr>
          <w:sz w:val="24"/>
          <w:szCs w:val="24"/>
        </w:rPr>
        <w:t>metaboliseres</w:t>
      </w:r>
      <w:proofErr w:type="spellEnd"/>
      <w:r w:rsidRPr="007849BA">
        <w:rPr>
          <w:sz w:val="24"/>
          <w:szCs w:val="24"/>
        </w:rPr>
        <w:t xml:space="preserve"> yderligere ved </w:t>
      </w:r>
      <w:proofErr w:type="spellStart"/>
      <w:r w:rsidRPr="007849BA">
        <w:rPr>
          <w:sz w:val="24"/>
          <w:szCs w:val="24"/>
        </w:rPr>
        <w:t>konjugering</w:t>
      </w:r>
      <w:proofErr w:type="spellEnd"/>
      <w:r w:rsidRPr="007849BA">
        <w:rPr>
          <w:sz w:val="24"/>
          <w:szCs w:val="24"/>
        </w:rPr>
        <w:t xml:space="preserve">. Metabolisme af det aktive stof ved hjælp af </w:t>
      </w:r>
      <w:proofErr w:type="spellStart"/>
      <w:r w:rsidRPr="007849BA">
        <w:rPr>
          <w:sz w:val="24"/>
          <w:szCs w:val="24"/>
        </w:rPr>
        <w:t>cytochrom</w:t>
      </w:r>
      <w:proofErr w:type="spellEnd"/>
      <w:r w:rsidRPr="007849BA">
        <w:rPr>
          <w:sz w:val="24"/>
          <w:szCs w:val="24"/>
        </w:rPr>
        <w:t xml:space="preserve"> P450-systemet er således mindre vigtigt end </w:t>
      </w:r>
      <w:proofErr w:type="spellStart"/>
      <w:r w:rsidRPr="007849BA">
        <w:rPr>
          <w:sz w:val="24"/>
          <w:szCs w:val="24"/>
        </w:rPr>
        <w:t>glucuronidering</w:t>
      </w:r>
      <w:proofErr w:type="spellEnd"/>
      <w:r w:rsidRPr="007849BA">
        <w:rPr>
          <w:sz w:val="24"/>
          <w:szCs w:val="24"/>
        </w:rPr>
        <w:t>.</w:t>
      </w:r>
    </w:p>
    <w:bookmarkEnd w:id="20"/>
    <w:bookmarkEnd w:id="21"/>
    <w:p w14:paraId="468C9BB8" w14:textId="77777777" w:rsidR="00295D2D" w:rsidRPr="007849BA" w:rsidRDefault="00295D2D" w:rsidP="00F4752A">
      <w:pPr>
        <w:ind w:left="851"/>
        <w:rPr>
          <w:sz w:val="24"/>
          <w:szCs w:val="24"/>
        </w:rPr>
      </w:pPr>
    </w:p>
    <w:p w14:paraId="1B3EA98E" w14:textId="77777777" w:rsidR="00295D2D" w:rsidRPr="007849BA" w:rsidRDefault="00295D2D" w:rsidP="00F4752A">
      <w:pPr>
        <w:ind w:left="851"/>
        <w:rPr>
          <w:sz w:val="24"/>
          <w:szCs w:val="24"/>
        </w:rPr>
      </w:pPr>
      <w:r w:rsidRPr="007849BA">
        <w:rPr>
          <w:sz w:val="24"/>
          <w:szCs w:val="24"/>
        </w:rPr>
        <w:t>Ingen af metabolitterne bidrager til den analgetiske virkning.</w:t>
      </w:r>
    </w:p>
    <w:p w14:paraId="4DFB6502" w14:textId="77777777" w:rsidR="00295D2D" w:rsidRPr="007849BA" w:rsidRDefault="00295D2D" w:rsidP="00F4752A">
      <w:pPr>
        <w:ind w:left="851"/>
        <w:rPr>
          <w:sz w:val="24"/>
          <w:szCs w:val="24"/>
        </w:rPr>
      </w:pPr>
    </w:p>
    <w:p w14:paraId="405ECEF3" w14:textId="77777777" w:rsidR="00295D2D" w:rsidRPr="007849BA" w:rsidRDefault="00295D2D" w:rsidP="00F4752A">
      <w:pPr>
        <w:ind w:left="851"/>
        <w:rPr>
          <w:sz w:val="24"/>
          <w:szCs w:val="24"/>
          <w:u w:val="single"/>
        </w:rPr>
      </w:pPr>
      <w:r w:rsidRPr="007849BA">
        <w:rPr>
          <w:sz w:val="24"/>
          <w:szCs w:val="24"/>
          <w:u w:val="single"/>
        </w:rPr>
        <w:t>Elimination</w:t>
      </w:r>
    </w:p>
    <w:p w14:paraId="10361639" w14:textId="0E4EEAC7"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og dets metabolitter udskilles næsten fuldstændigt (99</w:t>
      </w:r>
      <w:r w:rsidR="007849BA">
        <w:rPr>
          <w:sz w:val="24"/>
          <w:szCs w:val="24"/>
        </w:rPr>
        <w:t xml:space="preserve"> %</w:t>
      </w:r>
      <w:r w:rsidRPr="007849BA">
        <w:rPr>
          <w:sz w:val="24"/>
          <w:szCs w:val="24"/>
        </w:rPr>
        <w:t xml:space="preserve">) gennem nyrerne. Den totale </w:t>
      </w:r>
      <w:proofErr w:type="spellStart"/>
      <w:r w:rsidRPr="007849BA">
        <w:rPr>
          <w:sz w:val="24"/>
          <w:szCs w:val="24"/>
        </w:rPr>
        <w:t>clearance</w:t>
      </w:r>
      <w:proofErr w:type="spellEnd"/>
      <w:r w:rsidRPr="007849BA">
        <w:rPr>
          <w:sz w:val="24"/>
          <w:szCs w:val="24"/>
        </w:rPr>
        <w:t xml:space="preserve"> efter intravenøs administration er 1530 ± 177 ml/min. Terminal halveringstid er i gennemsnit 4 timer efter oral administration. </w:t>
      </w:r>
    </w:p>
    <w:p w14:paraId="05FF494D" w14:textId="77777777" w:rsidR="00295D2D" w:rsidRPr="007849BA" w:rsidRDefault="00295D2D" w:rsidP="00F4752A">
      <w:pPr>
        <w:ind w:left="851"/>
        <w:rPr>
          <w:sz w:val="24"/>
          <w:szCs w:val="24"/>
        </w:rPr>
      </w:pPr>
    </w:p>
    <w:p w14:paraId="2DABB21E" w14:textId="77777777" w:rsidR="00295D2D" w:rsidRPr="007849BA" w:rsidRDefault="00295D2D" w:rsidP="00F4752A">
      <w:pPr>
        <w:ind w:left="851"/>
        <w:rPr>
          <w:b/>
          <w:bCs/>
          <w:sz w:val="24"/>
          <w:szCs w:val="24"/>
        </w:rPr>
      </w:pPr>
      <w:r w:rsidRPr="007849BA">
        <w:rPr>
          <w:b/>
          <w:bCs/>
          <w:sz w:val="24"/>
          <w:szCs w:val="24"/>
        </w:rPr>
        <w:t xml:space="preserve">Særlige populationer </w:t>
      </w:r>
    </w:p>
    <w:p w14:paraId="2EDCE3A5" w14:textId="77777777" w:rsidR="00295D2D" w:rsidRPr="007849BA" w:rsidRDefault="00295D2D" w:rsidP="00F4752A">
      <w:pPr>
        <w:ind w:left="851"/>
        <w:rPr>
          <w:bCs/>
          <w:sz w:val="24"/>
          <w:szCs w:val="24"/>
        </w:rPr>
      </w:pPr>
    </w:p>
    <w:p w14:paraId="6B15F400" w14:textId="77777777" w:rsidR="00295D2D" w:rsidRPr="007849BA" w:rsidRDefault="00295D2D" w:rsidP="00F4752A">
      <w:pPr>
        <w:ind w:left="851"/>
        <w:rPr>
          <w:i/>
          <w:iCs/>
          <w:sz w:val="24"/>
          <w:szCs w:val="24"/>
        </w:rPr>
      </w:pPr>
      <w:r w:rsidRPr="007849BA">
        <w:rPr>
          <w:i/>
          <w:iCs/>
          <w:sz w:val="24"/>
          <w:szCs w:val="24"/>
        </w:rPr>
        <w:t>Ældre patienter</w:t>
      </w:r>
    </w:p>
    <w:p w14:paraId="443E93A5" w14:textId="615F7C37" w:rsidR="00295D2D" w:rsidRPr="007849BA" w:rsidRDefault="00295D2D" w:rsidP="00F4752A">
      <w:pPr>
        <w:ind w:left="851"/>
        <w:rPr>
          <w:sz w:val="24"/>
          <w:szCs w:val="24"/>
        </w:rPr>
      </w:pPr>
      <w:r w:rsidRPr="007849BA">
        <w:rPr>
          <w:sz w:val="24"/>
          <w:szCs w:val="24"/>
        </w:rPr>
        <w:t xml:space="preserve">Der sås samme gennemsnitlige eksponering (AUC) for </w:t>
      </w:r>
      <w:proofErr w:type="spellStart"/>
      <w:r w:rsidRPr="007849BA">
        <w:rPr>
          <w:sz w:val="24"/>
          <w:szCs w:val="24"/>
        </w:rPr>
        <w:t>tapentadol</w:t>
      </w:r>
      <w:proofErr w:type="spellEnd"/>
      <w:r w:rsidRPr="007849BA">
        <w:rPr>
          <w:sz w:val="24"/>
          <w:szCs w:val="24"/>
        </w:rPr>
        <w:t xml:space="preserve"> i et studie med ældre patienter (65-78 år) sammenlignet med yngre voksne (19-43 år), hvor </w:t>
      </w:r>
      <w:proofErr w:type="spellStart"/>
      <w:r w:rsidRPr="007849BA">
        <w:rPr>
          <w:sz w:val="24"/>
          <w:szCs w:val="24"/>
        </w:rPr>
        <w:t>C</w:t>
      </w:r>
      <w:r w:rsidRPr="007849BA">
        <w:rPr>
          <w:sz w:val="24"/>
          <w:szCs w:val="24"/>
          <w:vertAlign w:val="subscript"/>
        </w:rPr>
        <w:t>max</w:t>
      </w:r>
      <w:proofErr w:type="spellEnd"/>
      <w:r w:rsidRPr="007849BA">
        <w:rPr>
          <w:sz w:val="24"/>
          <w:szCs w:val="24"/>
        </w:rPr>
        <w:t xml:space="preserve"> i gennemsnit var 16</w:t>
      </w:r>
      <w:r w:rsidR="007849BA">
        <w:rPr>
          <w:sz w:val="24"/>
          <w:szCs w:val="24"/>
        </w:rPr>
        <w:t xml:space="preserve"> %</w:t>
      </w:r>
      <w:r w:rsidRPr="007849BA">
        <w:rPr>
          <w:sz w:val="24"/>
          <w:szCs w:val="24"/>
        </w:rPr>
        <w:t xml:space="preserve"> lavere hos de ældre sammenlignet med de yngre forsøgspersoner.</w:t>
      </w:r>
    </w:p>
    <w:p w14:paraId="2FB2ED4B" w14:textId="77777777" w:rsidR="00295D2D" w:rsidRPr="007849BA" w:rsidRDefault="00295D2D" w:rsidP="00F4752A">
      <w:pPr>
        <w:ind w:left="851"/>
        <w:rPr>
          <w:sz w:val="24"/>
          <w:szCs w:val="24"/>
        </w:rPr>
      </w:pPr>
    </w:p>
    <w:p w14:paraId="7E46339A" w14:textId="77777777" w:rsidR="00295D2D" w:rsidRPr="007849BA" w:rsidRDefault="00295D2D" w:rsidP="00F4752A">
      <w:pPr>
        <w:ind w:left="851"/>
        <w:rPr>
          <w:i/>
          <w:iCs/>
          <w:sz w:val="24"/>
          <w:szCs w:val="24"/>
        </w:rPr>
      </w:pPr>
      <w:r w:rsidRPr="007849BA">
        <w:rPr>
          <w:i/>
          <w:iCs/>
          <w:sz w:val="24"/>
          <w:szCs w:val="24"/>
        </w:rPr>
        <w:t>Nedsat nyrefunktion</w:t>
      </w:r>
    </w:p>
    <w:p w14:paraId="6636A795" w14:textId="77777777" w:rsidR="00295D2D" w:rsidRPr="007849BA" w:rsidRDefault="00295D2D" w:rsidP="00F4752A">
      <w:pPr>
        <w:ind w:left="851"/>
        <w:rPr>
          <w:sz w:val="24"/>
          <w:szCs w:val="24"/>
        </w:rPr>
      </w:pPr>
      <w:proofErr w:type="spellStart"/>
      <w:r w:rsidRPr="007849BA">
        <w:rPr>
          <w:sz w:val="24"/>
          <w:szCs w:val="24"/>
        </w:rPr>
        <w:t>Tapentadol</w:t>
      </w:r>
      <w:proofErr w:type="spellEnd"/>
      <w:r w:rsidRPr="007849BA">
        <w:rPr>
          <w:sz w:val="24"/>
          <w:szCs w:val="24"/>
        </w:rPr>
        <w:t xml:space="preserve"> udviste sammenlignelige værdier for AUC og </w:t>
      </w:r>
      <w:proofErr w:type="spellStart"/>
      <w:r w:rsidRPr="007849BA">
        <w:rPr>
          <w:sz w:val="24"/>
          <w:szCs w:val="24"/>
        </w:rPr>
        <w:t>C</w:t>
      </w:r>
      <w:r w:rsidRPr="007849BA">
        <w:rPr>
          <w:sz w:val="24"/>
          <w:szCs w:val="24"/>
          <w:vertAlign w:val="subscript"/>
        </w:rPr>
        <w:t>max</w:t>
      </w:r>
      <w:proofErr w:type="spellEnd"/>
      <w:r w:rsidRPr="007849BA">
        <w:rPr>
          <w:sz w:val="24"/>
          <w:szCs w:val="24"/>
        </w:rPr>
        <w:t xml:space="preserve"> hos forsøgspersoner med nedsat nyrefunktion af forskellig grad (fra normal til alvorligt nedsat funktion). I modsætning hertil sås tiltagende eksponering (AUC) for </w:t>
      </w:r>
      <w:proofErr w:type="spellStart"/>
      <w:r w:rsidRPr="007849BA">
        <w:rPr>
          <w:sz w:val="24"/>
          <w:szCs w:val="24"/>
        </w:rPr>
        <w:t>tapentadol</w:t>
      </w:r>
      <w:proofErr w:type="spellEnd"/>
      <w:r w:rsidRPr="007849BA">
        <w:rPr>
          <w:sz w:val="24"/>
          <w:szCs w:val="24"/>
        </w:rPr>
        <w:t>-O-</w:t>
      </w:r>
      <w:proofErr w:type="spellStart"/>
      <w:r w:rsidRPr="007849BA">
        <w:rPr>
          <w:sz w:val="24"/>
          <w:szCs w:val="24"/>
        </w:rPr>
        <w:t>glucuronid</w:t>
      </w:r>
      <w:proofErr w:type="spellEnd"/>
      <w:r w:rsidRPr="007849BA">
        <w:rPr>
          <w:sz w:val="24"/>
          <w:szCs w:val="24"/>
        </w:rPr>
        <w:t xml:space="preserve"> med tiltagende forværring af nyrefunktionen. Hos forsøgspersoner med let, moderat og svært nedsat nyrefunktion er </w:t>
      </w:r>
      <w:proofErr w:type="spellStart"/>
      <w:r w:rsidRPr="007849BA">
        <w:rPr>
          <w:sz w:val="24"/>
          <w:szCs w:val="24"/>
        </w:rPr>
        <w:t>tapentadol</w:t>
      </w:r>
      <w:proofErr w:type="spellEnd"/>
      <w:r w:rsidRPr="007849BA">
        <w:rPr>
          <w:sz w:val="24"/>
          <w:szCs w:val="24"/>
        </w:rPr>
        <w:t>-O-</w:t>
      </w:r>
      <w:proofErr w:type="spellStart"/>
      <w:r w:rsidRPr="007849BA">
        <w:rPr>
          <w:sz w:val="24"/>
          <w:szCs w:val="24"/>
        </w:rPr>
        <w:t>glucuronids</w:t>
      </w:r>
      <w:proofErr w:type="spellEnd"/>
      <w:r w:rsidRPr="007849BA">
        <w:rPr>
          <w:sz w:val="24"/>
          <w:szCs w:val="24"/>
        </w:rPr>
        <w:t xml:space="preserve"> AUC øget med henholdsvis faktor 1,5; 2,5 og 5,5 i forhold til normal nyrefunktion.</w:t>
      </w:r>
    </w:p>
    <w:p w14:paraId="59C7FD15" w14:textId="77777777" w:rsidR="00295D2D" w:rsidRPr="007849BA" w:rsidRDefault="00295D2D" w:rsidP="00F4752A">
      <w:pPr>
        <w:ind w:left="851"/>
        <w:rPr>
          <w:sz w:val="24"/>
          <w:szCs w:val="24"/>
        </w:rPr>
      </w:pPr>
    </w:p>
    <w:p w14:paraId="6844F56E" w14:textId="77777777" w:rsidR="00295D2D" w:rsidRPr="007849BA" w:rsidRDefault="00295D2D" w:rsidP="00F4752A">
      <w:pPr>
        <w:ind w:left="851"/>
        <w:rPr>
          <w:i/>
          <w:iCs/>
          <w:sz w:val="24"/>
          <w:szCs w:val="24"/>
        </w:rPr>
      </w:pPr>
      <w:r w:rsidRPr="007849BA">
        <w:rPr>
          <w:i/>
          <w:iCs/>
          <w:sz w:val="24"/>
          <w:szCs w:val="24"/>
        </w:rPr>
        <w:t>Nedsat leverfunktion</w:t>
      </w:r>
    </w:p>
    <w:p w14:paraId="38885EE5" w14:textId="77777777" w:rsidR="00295D2D" w:rsidRPr="007849BA" w:rsidRDefault="00295D2D" w:rsidP="00F4752A">
      <w:pPr>
        <w:ind w:left="851"/>
        <w:rPr>
          <w:sz w:val="24"/>
          <w:szCs w:val="24"/>
        </w:rPr>
      </w:pPr>
      <w:r w:rsidRPr="007849BA">
        <w:rPr>
          <w:sz w:val="24"/>
          <w:szCs w:val="24"/>
        </w:rPr>
        <w:t xml:space="preserve">Administration af </w:t>
      </w:r>
      <w:proofErr w:type="spellStart"/>
      <w:r w:rsidRPr="007849BA">
        <w:rPr>
          <w:sz w:val="24"/>
          <w:szCs w:val="24"/>
        </w:rPr>
        <w:t>tapentadol</w:t>
      </w:r>
      <w:proofErr w:type="spellEnd"/>
      <w:r w:rsidRPr="007849BA">
        <w:rPr>
          <w:sz w:val="24"/>
          <w:szCs w:val="24"/>
        </w:rPr>
        <w:t xml:space="preserve"> medførte højere eksponering og serumværdier hos forsøgspersoner med nedsat leverfunktion sammenlignet med forsøgspersoner med normal leverfunktion. Forholdet mellem </w:t>
      </w:r>
      <w:proofErr w:type="spellStart"/>
      <w:r w:rsidRPr="007849BA">
        <w:rPr>
          <w:sz w:val="24"/>
          <w:szCs w:val="24"/>
        </w:rPr>
        <w:t>tapentadols</w:t>
      </w:r>
      <w:proofErr w:type="spellEnd"/>
      <w:r w:rsidRPr="007849BA">
        <w:rPr>
          <w:sz w:val="24"/>
          <w:szCs w:val="24"/>
        </w:rPr>
        <w:t xml:space="preserve"> </w:t>
      </w:r>
      <w:proofErr w:type="spellStart"/>
      <w:r w:rsidRPr="007849BA">
        <w:rPr>
          <w:sz w:val="24"/>
          <w:szCs w:val="24"/>
        </w:rPr>
        <w:t>farmakokinetiske</w:t>
      </w:r>
      <w:proofErr w:type="spellEnd"/>
      <w:r w:rsidRPr="007849BA">
        <w:rPr>
          <w:sz w:val="24"/>
          <w:szCs w:val="24"/>
        </w:rPr>
        <w:t xml:space="preserve"> parametre i grupperne med let og moderat nedsat leverfunktion sammenlignet med gruppen med normal leverfunktion var henholdsvis 1,7 og 4,2 for AUC, henholdsvis 1,4 og 2,5 for </w:t>
      </w:r>
      <w:proofErr w:type="spellStart"/>
      <w:r w:rsidRPr="007849BA">
        <w:rPr>
          <w:sz w:val="24"/>
          <w:szCs w:val="24"/>
        </w:rPr>
        <w:t>C</w:t>
      </w:r>
      <w:r w:rsidRPr="007849BA">
        <w:rPr>
          <w:sz w:val="24"/>
          <w:szCs w:val="24"/>
          <w:vertAlign w:val="subscript"/>
        </w:rPr>
        <w:t>max</w:t>
      </w:r>
      <w:proofErr w:type="spellEnd"/>
      <w:r w:rsidRPr="007849BA">
        <w:rPr>
          <w:sz w:val="24"/>
          <w:szCs w:val="24"/>
        </w:rPr>
        <w:t xml:space="preserve"> og henholdsvis 1,2 og 1,4 for t</w:t>
      </w:r>
      <w:r w:rsidRPr="007849BA">
        <w:rPr>
          <w:sz w:val="24"/>
          <w:szCs w:val="24"/>
          <w:vertAlign w:val="subscript"/>
        </w:rPr>
        <w:t>½</w:t>
      </w:r>
      <w:r w:rsidRPr="007849BA">
        <w:rPr>
          <w:sz w:val="24"/>
          <w:szCs w:val="24"/>
        </w:rPr>
        <w:t xml:space="preserve">. Dannelse af </w:t>
      </w:r>
      <w:proofErr w:type="spellStart"/>
      <w:r w:rsidRPr="007849BA">
        <w:rPr>
          <w:sz w:val="24"/>
          <w:szCs w:val="24"/>
        </w:rPr>
        <w:t>tapentadol</w:t>
      </w:r>
      <w:proofErr w:type="spellEnd"/>
      <w:r w:rsidRPr="007849BA">
        <w:rPr>
          <w:sz w:val="24"/>
          <w:szCs w:val="24"/>
        </w:rPr>
        <w:t>-O-</w:t>
      </w:r>
      <w:proofErr w:type="spellStart"/>
      <w:r w:rsidRPr="007849BA">
        <w:rPr>
          <w:sz w:val="24"/>
          <w:szCs w:val="24"/>
        </w:rPr>
        <w:t>glucuronid</w:t>
      </w:r>
      <w:proofErr w:type="spellEnd"/>
      <w:r w:rsidRPr="007849BA">
        <w:rPr>
          <w:sz w:val="24"/>
          <w:szCs w:val="24"/>
        </w:rPr>
        <w:t xml:space="preserve"> skete langsommere hos forsøgspersoner med nedsat leverfunktion.</w:t>
      </w:r>
    </w:p>
    <w:p w14:paraId="62AD3A2D" w14:textId="77777777" w:rsidR="00295D2D" w:rsidRPr="007849BA" w:rsidRDefault="00295D2D" w:rsidP="00F4752A">
      <w:pPr>
        <w:ind w:left="851"/>
        <w:rPr>
          <w:sz w:val="24"/>
          <w:szCs w:val="24"/>
          <w:highlight w:val="yellow"/>
        </w:rPr>
      </w:pPr>
    </w:p>
    <w:p w14:paraId="2A9DB906" w14:textId="77777777" w:rsidR="00295D2D" w:rsidRPr="007849BA" w:rsidRDefault="00295D2D" w:rsidP="00F4752A">
      <w:pPr>
        <w:ind w:left="851"/>
        <w:rPr>
          <w:i/>
          <w:iCs/>
          <w:sz w:val="24"/>
          <w:szCs w:val="24"/>
        </w:rPr>
      </w:pPr>
      <w:proofErr w:type="spellStart"/>
      <w:r w:rsidRPr="007849BA">
        <w:rPr>
          <w:i/>
          <w:iCs/>
          <w:sz w:val="24"/>
          <w:szCs w:val="24"/>
        </w:rPr>
        <w:t>Farmakokinetisk</w:t>
      </w:r>
      <w:proofErr w:type="spellEnd"/>
      <w:r w:rsidRPr="007849BA">
        <w:rPr>
          <w:i/>
          <w:iCs/>
          <w:sz w:val="24"/>
          <w:szCs w:val="24"/>
        </w:rPr>
        <w:t xml:space="preserve"> interaktion</w:t>
      </w:r>
    </w:p>
    <w:p w14:paraId="7FCFEB80" w14:textId="77777777" w:rsidR="00295D2D" w:rsidRPr="007849BA" w:rsidRDefault="00295D2D" w:rsidP="00F4752A">
      <w:pPr>
        <w:ind w:left="851"/>
        <w:rPr>
          <w:rFonts w:eastAsia="Arial Unicode MS"/>
          <w:sz w:val="24"/>
          <w:szCs w:val="24"/>
        </w:rPr>
      </w:pPr>
      <w:proofErr w:type="spellStart"/>
      <w:r w:rsidRPr="007849BA">
        <w:rPr>
          <w:sz w:val="24"/>
          <w:szCs w:val="24"/>
        </w:rPr>
        <w:t>Tapentadol</w:t>
      </w:r>
      <w:proofErr w:type="spellEnd"/>
      <w:r w:rsidRPr="007849BA">
        <w:rPr>
          <w:sz w:val="24"/>
          <w:szCs w:val="24"/>
        </w:rPr>
        <w:t xml:space="preserve"> </w:t>
      </w:r>
      <w:proofErr w:type="spellStart"/>
      <w:r w:rsidRPr="007849BA">
        <w:rPr>
          <w:sz w:val="24"/>
          <w:szCs w:val="24"/>
        </w:rPr>
        <w:t>metaboliseres</w:t>
      </w:r>
      <w:proofErr w:type="spellEnd"/>
      <w:r w:rsidRPr="007849BA">
        <w:rPr>
          <w:sz w:val="24"/>
          <w:szCs w:val="24"/>
        </w:rPr>
        <w:t xml:space="preserve"> primært ved </w:t>
      </w:r>
      <w:proofErr w:type="spellStart"/>
      <w:r w:rsidRPr="007849BA">
        <w:rPr>
          <w:sz w:val="24"/>
          <w:szCs w:val="24"/>
        </w:rPr>
        <w:t>glucuronidering</w:t>
      </w:r>
      <w:proofErr w:type="spellEnd"/>
      <w:r w:rsidRPr="007849BA">
        <w:rPr>
          <w:sz w:val="24"/>
          <w:szCs w:val="24"/>
        </w:rPr>
        <w:t xml:space="preserve">, og kun en mindre del </w:t>
      </w:r>
      <w:proofErr w:type="spellStart"/>
      <w:r w:rsidRPr="007849BA">
        <w:rPr>
          <w:sz w:val="24"/>
          <w:szCs w:val="24"/>
        </w:rPr>
        <w:t>metaboliseres</w:t>
      </w:r>
      <w:proofErr w:type="spellEnd"/>
      <w:r w:rsidRPr="007849BA">
        <w:rPr>
          <w:sz w:val="24"/>
          <w:szCs w:val="24"/>
        </w:rPr>
        <w:t xml:space="preserve"> ved oxidation. </w:t>
      </w:r>
    </w:p>
    <w:p w14:paraId="668A82E9" w14:textId="77777777" w:rsidR="00295D2D" w:rsidRPr="007849BA" w:rsidRDefault="00295D2D" w:rsidP="00F4752A">
      <w:pPr>
        <w:ind w:left="851"/>
        <w:rPr>
          <w:sz w:val="24"/>
          <w:szCs w:val="24"/>
        </w:rPr>
      </w:pPr>
      <w:bookmarkStart w:id="22" w:name="OLE_LINK31"/>
      <w:bookmarkStart w:id="23" w:name="OLE_LINK32"/>
    </w:p>
    <w:p w14:paraId="6ACD16C2" w14:textId="6A2228E0" w:rsidR="00295D2D" w:rsidRPr="007849BA" w:rsidRDefault="00295D2D" w:rsidP="00F4752A">
      <w:pPr>
        <w:ind w:left="851"/>
        <w:rPr>
          <w:sz w:val="24"/>
          <w:szCs w:val="24"/>
        </w:rPr>
      </w:pPr>
      <w:r w:rsidRPr="007849BA">
        <w:rPr>
          <w:sz w:val="24"/>
          <w:szCs w:val="24"/>
        </w:rPr>
        <w:t xml:space="preserve">Eftersom </w:t>
      </w:r>
      <w:proofErr w:type="spellStart"/>
      <w:r w:rsidRPr="007849BA">
        <w:rPr>
          <w:sz w:val="24"/>
          <w:szCs w:val="24"/>
        </w:rPr>
        <w:t>glucuronidering</w:t>
      </w:r>
      <w:proofErr w:type="spellEnd"/>
      <w:r w:rsidRPr="007849BA">
        <w:rPr>
          <w:sz w:val="24"/>
          <w:szCs w:val="24"/>
        </w:rPr>
        <w:t xml:space="preserve"> er et system med stor kapacitet og lav affinitet, der ikke så let mættes selv ved sygdom, og eftersom terapeutiske koncentrationer af aktive stoffer generelt er langt under de koncentrationer, som kræves til potentiel hæmning af </w:t>
      </w:r>
      <w:proofErr w:type="spellStart"/>
      <w:r w:rsidRPr="007849BA">
        <w:rPr>
          <w:sz w:val="24"/>
          <w:szCs w:val="24"/>
        </w:rPr>
        <w:t>glucuronidering</w:t>
      </w:r>
      <w:proofErr w:type="spellEnd"/>
      <w:r w:rsidRPr="007849BA">
        <w:rPr>
          <w:sz w:val="24"/>
          <w:szCs w:val="24"/>
        </w:rPr>
        <w:t xml:space="preserve">, vil der næppe forekomme klinisk relevante interaktioner på grund af </w:t>
      </w:r>
      <w:proofErr w:type="spellStart"/>
      <w:r w:rsidRPr="007849BA">
        <w:rPr>
          <w:sz w:val="24"/>
          <w:szCs w:val="24"/>
        </w:rPr>
        <w:t>glucuronidering</w:t>
      </w:r>
      <w:proofErr w:type="spellEnd"/>
      <w:r w:rsidRPr="007849BA">
        <w:rPr>
          <w:sz w:val="24"/>
          <w:szCs w:val="24"/>
        </w:rPr>
        <w:t>. I en række lægemiddel</w:t>
      </w:r>
      <w:r w:rsidRPr="007849BA">
        <w:rPr>
          <w:sz w:val="24"/>
          <w:szCs w:val="24"/>
        </w:rPr>
        <w:softHyphen/>
        <w:t>interaktions</w:t>
      </w:r>
      <w:r w:rsidRPr="007849BA">
        <w:rPr>
          <w:sz w:val="24"/>
          <w:szCs w:val="24"/>
        </w:rPr>
        <w:softHyphen/>
        <w:t xml:space="preserve">undersøgelser med paracetamol, </w:t>
      </w:r>
      <w:proofErr w:type="spellStart"/>
      <w:r w:rsidRPr="007849BA">
        <w:rPr>
          <w:sz w:val="24"/>
          <w:szCs w:val="24"/>
        </w:rPr>
        <w:t>naproxen</w:t>
      </w:r>
      <w:proofErr w:type="spellEnd"/>
      <w:r w:rsidRPr="007849BA">
        <w:rPr>
          <w:sz w:val="24"/>
          <w:szCs w:val="24"/>
        </w:rPr>
        <w:t xml:space="preserve">, acetylsalicylsyre og </w:t>
      </w:r>
      <w:proofErr w:type="spellStart"/>
      <w:r w:rsidRPr="007849BA">
        <w:rPr>
          <w:sz w:val="24"/>
          <w:szCs w:val="24"/>
        </w:rPr>
        <w:t>probenecid</w:t>
      </w:r>
      <w:proofErr w:type="spellEnd"/>
      <w:r w:rsidRPr="007849BA">
        <w:rPr>
          <w:sz w:val="24"/>
          <w:szCs w:val="24"/>
        </w:rPr>
        <w:t xml:space="preserve"> undersøgtes disse aktive stoffers potentielle påvirkning af </w:t>
      </w:r>
      <w:proofErr w:type="spellStart"/>
      <w:r w:rsidRPr="007849BA">
        <w:rPr>
          <w:sz w:val="24"/>
          <w:szCs w:val="24"/>
        </w:rPr>
        <w:t>tapentadols</w:t>
      </w:r>
      <w:proofErr w:type="spellEnd"/>
      <w:r w:rsidRPr="007849BA">
        <w:rPr>
          <w:sz w:val="24"/>
          <w:szCs w:val="24"/>
        </w:rPr>
        <w:t xml:space="preserve"> </w:t>
      </w:r>
      <w:proofErr w:type="spellStart"/>
      <w:r w:rsidRPr="007849BA">
        <w:rPr>
          <w:sz w:val="24"/>
          <w:szCs w:val="24"/>
        </w:rPr>
        <w:t>glucuronidering</w:t>
      </w:r>
      <w:proofErr w:type="spellEnd"/>
      <w:r w:rsidRPr="007849BA">
        <w:rPr>
          <w:sz w:val="24"/>
          <w:szCs w:val="24"/>
        </w:rPr>
        <w:t xml:space="preserve">. Studierne med undersøgelse af de aktive stoffer </w:t>
      </w:r>
      <w:proofErr w:type="spellStart"/>
      <w:r w:rsidRPr="007849BA">
        <w:rPr>
          <w:sz w:val="24"/>
          <w:szCs w:val="24"/>
        </w:rPr>
        <w:t>naproxen</w:t>
      </w:r>
      <w:proofErr w:type="spellEnd"/>
      <w:r w:rsidRPr="007849BA">
        <w:rPr>
          <w:sz w:val="24"/>
          <w:szCs w:val="24"/>
        </w:rPr>
        <w:t xml:space="preserve"> (500 mg 2 gange daglig i 2 dage) og </w:t>
      </w:r>
      <w:proofErr w:type="spellStart"/>
      <w:r w:rsidRPr="007849BA">
        <w:rPr>
          <w:sz w:val="24"/>
          <w:szCs w:val="24"/>
        </w:rPr>
        <w:t>probenecid</w:t>
      </w:r>
      <w:proofErr w:type="spellEnd"/>
      <w:r w:rsidRPr="007849BA">
        <w:rPr>
          <w:sz w:val="24"/>
          <w:szCs w:val="24"/>
        </w:rPr>
        <w:t xml:space="preserve"> (500 mg 2 gange daglig i 2 dage) viste, at </w:t>
      </w:r>
      <w:proofErr w:type="spellStart"/>
      <w:r w:rsidRPr="007849BA">
        <w:rPr>
          <w:sz w:val="24"/>
          <w:szCs w:val="24"/>
        </w:rPr>
        <w:t>tapentadols</w:t>
      </w:r>
      <w:proofErr w:type="spellEnd"/>
      <w:r w:rsidRPr="007849BA">
        <w:rPr>
          <w:sz w:val="24"/>
          <w:szCs w:val="24"/>
        </w:rPr>
        <w:t xml:space="preserve"> AUC steg med henholdsvis 17</w:t>
      </w:r>
      <w:r w:rsidR="007849BA">
        <w:rPr>
          <w:sz w:val="24"/>
          <w:szCs w:val="24"/>
        </w:rPr>
        <w:t xml:space="preserve"> %</w:t>
      </w:r>
      <w:r w:rsidRPr="007849BA">
        <w:rPr>
          <w:sz w:val="24"/>
          <w:szCs w:val="24"/>
        </w:rPr>
        <w:t xml:space="preserve"> og 57</w:t>
      </w:r>
      <w:r w:rsidR="007849BA">
        <w:rPr>
          <w:sz w:val="24"/>
          <w:szCs w:val="24"/>
        </w:rPr>
        <w:t xml:space="preserve"> %</w:t>
      </w:r>
      <w:r w:rsidRPr="007849BA">
        <w:rPr>
          <w:sz w:val="24"/>
          <w:szCs w:val="24"/>
        </w:rPr>
        <w:t xml:space="preserve">. Generelt sås ingen klinisk relevante virkninger på </w:t>
      </w:r>
      <w:proofErr w:type="spellStart"/>
      <w:r w:rsidRPr="007849BA">
        <w:rPr>
          <w:sz w:val="24"/>
          <w:szCs w:val="24"/>
        </w:rPr>
        <w:t>tapentadols</w:t>
      </w:r>
      <w:proofErr w:type="spellEnd"/>
      <w:r w:rsidRPr="007849BA">
        <w:rPr>
          <w:sz w:val="24"/>
          <w:szCs w:val="24"/>
        </w:rPr>
        <w:t xml:space="preserve"> serumkoncentration i disse studier.</w:t>
      </w:r>
    </w:p>
    <w:p w14:paraId="58EF02D1" w14:textId="77777777" w:rsidR="00295D2D" w:rsidRPr="007849BA" w:rsidRDefault="00295D2D" w:rsidP="00F4752A">
      <w:pPr>
        <w:ind w:left="851"/>
        <w:rPr>
          <w:sz w:val="24"/>
          <w:szCs w:val="24"/>
        </w:rPr>
      </w:pPr>
    </w:p>
    <w:bookmarkEnd w:id="22"/>
    <w:bookmarkEnd w:id="23"/>
    <w:p w14:paraId="644BECF5" w14:textId="77777777" w:rsidR="00295D2D" w:rsidRPr="007849BA" w:rsidRDefault="00295D2D" w:rsidP="00F4752A">
      <w:pPr>
        <w:ind w:left="851"/>
        <w:rPr>
          <w:sz w:val="24"/>
          <w:szCs w:val="24"/>
        </w:rPr>
      </w:pPr>
      <w:r w:rsidRPr="007849BA">
        <w:rPr>
          <w:sz w:val="24"/>
          <w:szCs w:val="24"/>
        </w:rPr>
        <w:lastRenderedPageBreak/>
        <w:t xml:space="preserve">Der er desuden udført interaktionsundersøgelser af </w:t>
      </w:r>
      <w:proofErr w:type="spellStart"/>
      <w:r w:rsidRPr="007849BA">
        <w:rPr>
          <w:sz w:val="24"/>
          <w:szCs w:val="24"/>
        </w:rPr>
        <w:t>tapentadol</w:t>
      </w:r>
      <w:proofErr w:type="spellEnd"/>
      <w:r w:rsidRPr="007849BA">
        <w:rPr>
          <w:sz w:val="24"/>
          <w:szCs w:val="24"/>
        </w:rPr>
        <w:t xml:space="preserve"> med </w:t>
      </w:r>
      <w:proofErr w:type="spellStart"/>
      <w:r w:rsidRPr="007849BA">
        <w:rPr>
          <w:sz w:val="24"/>
          <w:szCs w:val="24"/>
        </w:rPr>
        <w:t>metoclopramid</w:t>
      </w:r>
      <w:proofErr w:type="spellEnd"/>
      <w:r w:rsidRPr="007849BA">
        <w:rPr>
          <w:sz w:val="24"/>
          <w:szCs w:val="24"/>
        </w:rPr>
        <w:t xml:space="preserve"> og </w:t>
      </w:r>
      <w:proofErr w:type="spellStart"/>
      <w:r w:rsidRPr="007849BA">
        <w:rPr>
          <w:sz w:val="24"/>
          <w:szCs w:val="24"/>
        </w:rPr>
        <w:t>omeprazol</w:t>
      </w:r>
      <w:proofErr w:type="spellEnd"/>
      <w:r w:rsidRPr="007849BA">
        <w:rPr>
          <w:sz w:val="24"/>
          <w:szCs w:val="24"/>
        </w:rPr>
        <w:t xml:space="preserve"> for at undersøge disse aktive stoffers potentielle påvirkning af </w:t>
      </w:r>
      <w:proofErr w:type="spellStart"/>
      <w:r w:rsidRPr="007849BA">
        <w:rPr>
          <w:sz w:val="24"/>
          <w:szCs w:val="24"/>
        </w:rPr>
        <w:t>tapentadols</w:t>
      </w:r>
      <w:proofErr w:type="spellEnd"/>
      <w:r w:rsidRPr="007849BA">
        <w:rPr>
          <w:sz w:val="24"/>
          <w:szCs w:val="24"/>
        </w:rPr>
        <w:t xml:space="preserve"> absorption. Studierne viste ingen klinisk relevante virkninger på </w:t>
      </w:r>
      <w:proofErr w:type="spellStart"/>
      <w:r w:rsidRPr="007849BA">
        <w:rPr>
          <w:sz w:val="24"/>
          <w:szCs w:val="24"/>
        </w:rPr>
        <w:t>tapentadols</w:t>
      </w:r>
      <w:proofErr w:type="spellEnd"/>
      <w:r w:rsidRPr="007849BA">
        <w:rPr>
          <w:sz w:val="24"/>
          <w:szCs w:val="24"/>
        </w:rPr>
        <w:t xml:space="preserve"> serumkoncentration.</w:t>
      </w:r>
    </w:p>
    <w:p w14:paraId="4FCE5576" w14:textId="77777777" w:rsidR="00295D2D" w:rsidRPr="007849BA" w:rsidRDefault="00295D2D" w:rsidP="00F4752A">
      <w:pPr>
        <w:ind w:left="851"/>
        <w:rPr>
          <w:i/>
          <w:iCs/>
          <w:sz w:val="24"/>
          <w:szCs w:val="24"/>
        </w:rPr>
      </w:pPr>
    </w:p>
    <w:p w14:paraId="39B15D45" w14:textId="77777777" w:rsidR="00295D2D" w:rsidRPr="007849BA" w:rsidRDefault="00295D2D" w:rsidP="00F4752A">
      <w:pPr>
        <w:ind w:left="851"/>
        <w:rPr>
          <w:sz w:val="24"/>
          <w:szCs w:val="24"/>
        </w:rPr>
      </w:pPr>
      <w:r w:rsidRPr="007849BA">
        <w:rPr>
          <w:iCs/>
          <w:sz w:val="24"/>
          <w:szCs w:val="24"/>
        </w:rPr>
        <w:t>I</w:t>
      </w:r>
      <w:r w:rsidRPr="007849BA">
        <w:rPr>
          <w:i/>
          <w:iCs/>
          <w:sz w:val="24"/>
          <w:szCs w:val="24"/>
        </w:rPr>
        <w:t xml:space="preserve"> in </w:t>
      </w:r>
      <w:proofErr w:type="spellStart"/>
      <w:r w:rsidRPr="007849BA">
        <w:rPr>
          <w:i/>
          <w:iCs/>
          <w:sz w:val="24"/>
          <w:szCs w:val="24"/>
        </w:rPr>
        <w:t>vitro</w:t>
      </w:r>
      <w:proofErr w:type="spellEnd"/>
      <w:r w:rsidRPr="007849BA">
        <w:rPr>
          <w:i/>
          <w:iCs/>
          <w:sz w:val="24"/>
          <w:szCs w:val="24"/>
        </w:rPr>
        <w:t>-</w:t>
      </w:r>
      <w:r w:rsidRPr="007849BA">
        <w:rPr>
          <w:sz w:val="24"/>
          <w:szCs w:val="24"/>
        </w:rPr>
        <w:t xml:space="preserve">studier udviste </w:t>
      </w:r>
      <w:proofErr w:type="spellStart"/>
      <w:r w:rsidRPr="007849BA">
        <w:rPr>
          <w:sz w:val="24"/>
          <w:szCs w:val="24"/>
        </w:rPr>
        <w:t>tapentadol</w:t>
      </w:r>
      <w:proofErr w:type="spellEnd"/>
      <w:r w:rsidRPr="007849BA">
        <w:rPr>
          <w:sz w:val="24"/>
          <w:szCs w:val="24"/>
        </w:rPr>
        <w:t xml:space="preserve"> ikke potentiale for hæmning eller induktion af </w:t>
      </w:r>
      <w:proofErr w:type="spellStart"/>
      <w:r w:rsidRPr="007849BA">
        <w:rPr>
          <w:sz w:val="24"/>
          <w:szCs w:val="24"/>
        </w:rPr>
        <w:t>cytochrom</w:t>
      </w:r>
      <w:proofErr w:type="spellEnd"/>
      <w:r w:rsidRPr="007849BA">
        <w:rPr>
          <w:sz w:val="24"/>
          <w:szCs w:val="24"/>
        </w:rPr>
        <w:t xml:space="preserve"> P450-enzymer. Det er derfor usandsynligt, at der vil forekomme klinisk relevante interaktioner medieret af </w:t>
      </w:r>
      <w:proofErr w:type="spellStart"/>
      <w:r w:rsidRPr="007849BA">
        <w:rPr>
          <w:sz w:val="24"/>
          <w:szCs w:val="24"/>
        </w:rPr>
        <w:t>cytochrom</w:t>
      </w:r>
      <w:proofErr w:type="spellEnd"/>
      <w:r w:rsidRPr="007849BA">
        <w:rPr>
          <w:sz w:val="24"/>
          <w:szCs w:val="24"/>
        </w:rPr>
        <w:t xml:space="preserve"> P450-systemet. </w:t>
      </w:r>
    </w:p>
    <w:p w14:paraId="6453EBE4" w14:textId="77777777" w:rsidR="00295D2D" w:rsidRPr="007849BA" w:rsidRDefault="00295D2D" w:rsidP="00F4752A">
      <w:pPr>
        <w:ind w:left="851"/>
        <w:rPr>
          <w:sz w:val="24"/>
          <w:szCs w:val="24"/>
        </w:rPr>
      </w:pPr>
    </w:p>
    <w:p w14:paraId="028D8324" w14:textId="066E6BA4" w:rsidR="00295D2D" w:rsidRPr="007849BA" w:rsidRDefault="00295D2D" w:rsidP="00F4752A">
      <w:pPr>
        <w:ind w:left="851"/>
        <w:rPr>
          <w:sz w:val="24"/>
          <w:szCs w:val="24"/>
        </w:rPr>
      </w:pPr>
      <w:proofErr w:type="spellStart"/>
      <w:r w:rsidRPr="007849BA">
        <w:rPr>
          <w:sz w:val="24"/>
          <w:szCs w:val="24"/>
        </w:rPr>
        <w:t>Tapentadols</w:t>
      </w:r>
      <w:proofErr w:type="spellEnd"/>
      <w:r w:rsidRPr="007849BA">
        <w:rPr>
          <w:sz w:val="24"/>
          <w:szCs w:val="24"/>
        </w:rPr>
        <w:t xml:space="preserve"> binding til plasmaproteiner er lav (ca. 20</w:t>
      </w:r>
      <w:r w:rsidR="007849BA">
        <w:rPr>
          <w:sz w:val="24"/>
          <w:szCs w:val="24"/>
        </w:rPr>
        <w:t xml:space="preserve"> %</w:t>
      </w:r>
      <w:r w:rsidRPr="007849BA">
        <w:rPr>
          <w:sz w:val="24"/>
          <w:szCs w:val="24"/>
        </w:rPr>
        <w:t xml:space="preserve">). Sandsynligheden for </w:t>
      </w:r>
      <w:proofErr w:type="spellStart"/>
      <w:r w:rsidRPr="007849BA">
        <w:rPr>
          <w:sz w:val="24"/>
          <w:szCs w:val="24"/>
        </w:rPr>
        <w:t>farmakokinetiske</w:t>
      </w:r>
      <w:proofErr w:type="spellEnd"/>
      <w:r w:rsidRPr="007849BA">
        <w:rPr>
          <w:sz w:val="24"/>
          <w:szCs w:val="24"/>
        </w:rPr>
        <w:t xml:space="preserve"> lægemiddelinteraktioner i form af </w:t>
      </w:r>
      <w:proofErr w:type="spellStart"/>
      <w:r w:rsidRPr="007849BA">
        <w:rPr>
          <w:sz w:val="24"/>
          <w:szCs w:val="24"/>
        </w:rPr>
        <w:t>displacering</w:t>
      </w:r>
      <w:proofErr w:type="spellEnd"/>
      <w:r w:rsidRPr="007849BA">
        <w:rPr>
          <w:sz w:val="24"/>
          <w:szCs w:val="24"/>
        </w:rPr>
        <w:t xml:space="preserve"> fra stoffets proteinbindingssted er derfor lav.</w:t>
      </w:r>
    </w:p>
    <w:p w14:paraId="43ED0D71" w14:textId="77777777" w:rsidR="009260DE" w:rsidRPr="007849BA" w:rsidRDefault="009260DE" w:rsidP="009260DE">
      <w:pPr>
        <w:tabs>
          <w:tab w:val="left" w:pos="851"/>
        </w:tabs>
        <w:ind w:left="851"/>
        <w:rPr>
          <w:sz w:val="24"/>
          <w:szCs w:val="24"/>
        </w:rPr>
      </w:pPr>
    </w:p>
    <w:p w14:paraId="78298A81" w14:textId="77777777" w:rsidR="009260DE" w:rsidRPr="007849BA" w:rsidRDefault="009260DE" w:rsidP="009260DE">
      <w:pPr>
        <w:tabs>
          <w:tab w:val="left" w:pos="851"/>
        </w:tabs>
        <w:ind w:left="851" w:hanging="851"/>
        <w:rPr>
          <w:b/>
          <w:sz w:val="24"/>
          <w:szCs w:val="24"/>
        </w:rPr>
      </w:pPr>
      <w:r w:rsidRPr="007849BA">
        <w:rPr>
          <w:b/>
          <w:sz w:val="24"/>
          <w:szCs w:val="24"/>
        </w:rPr>
        <w:t>5.3</w:t>
      </w:r>
      <w:r w:rsidRPr="007849BA">
        <w:rPr>
          <w:b/>
          <w:sz w:val="24"/>
          <w:szCs w:val="24"/>
        </w:rPr>
        <w:tab/>
      </w:r>
      <w:r w:rsidR="00BD7931" w:rsidRPr="007849BA">
        <w:rPr>
          <w:b/>
          <w:sz w:val="24"/>
          <w:szCs w:val="24"/>
        </w:rPr>
        <w:t>Non-</w:t>
      </w:r>
      <w:r w:rsidRPr="007849BA">
        <w:rPr>
          <w:b/>
          <w:sz w:val="24"/>
          <w:szCs w:val="24"/>
        </w:rPr>
        <w:t>kliniske sikkerhedsdata</w:t>
      </w:r>
    </w:p>
    <w:p w14:paraId="10A803D6" w14:textId="77777777" w:rsidR="00295D2D" w:rsidRPr="007849BA" w:rsidRDefault="00295D2D" w:rsidP="00F4752A">
      <w:pPr>
        <w:ind w:left="851"/>
        <w:rPr>
          <w:sz w:val="24"/>
          <w:szCs w:val="24"/>
        </w:rPr>
      </w:pPr>
      <w:bookmarkStart w:id="24" w:name="OLE_LINK33"/>
      <w:bookmarkStart w:id="25" w:name="OLE_LINK34"/>
      <w:proofErr w:type="spellStart"/>
      <w:r w:rsidRPr="007849BA">
        <w:rPr>
          <w:sz w:val="24"/>
          <w:szCs w:val="24"/>
        </w:rPr>
        <w:t>Tapentadol</w:t>
      </w:r>
      <w:proofErr w:type="spellEnd"/>
      <w:r w:rsidRPr="007849BA">
        <w:rPr>
          <w:sz w:val="24"/>
          <w:szCs w:val="24"/>
        </w:rPr>
        <w:t xml:space="preserve"> var ikke genotoksisk i bakterier i </w:t>
      </w:r>
      <w:proofErr w:type="spellStart"/>
      <w:r w:rsidRPr="007849BA">
        <w:rPr>
          <w:sz w:val="24"/>
          <w:szCs w:val="24"/>
        </w:rPr>
        <w:t>Ames</w:t>
      </w:r>
      <w:proofErr w:type="spellEnd"/>
      <w:r w:rsidRPr="007849BA">
        <w:rPr>
          <w:sz w:val="24"/>
          <w:szCs w:val="24"/>
        </w:rPr>
        <w:t xml:space="preserve">’ test. I en </w:t>
      </w:r>
      <w:r w:rsidRPr="007849BA">
        <w:rPr>
          <w:i/>
          <w:iCs/>
          <w:sz w:val="24"/>
          <w:szCs w:val="24"/>
        </w:rPr>
        <w:t xml:space="preserve">in </w:t>
      </w:r>
      <w:proofErr w:type="spellStart"/>
      <w:r w:rsidRPr="007849BA">
        <w:rPr>
          <w:i/>
          <w:iCs/>
          <w:sz w:val="24"/>
          <w:szCs w:val="24"/>
        </w:rPr>
        <w:t>vitro</w:t>
      </w:r>
      <w:proofErr w:type="spellEnd"/>
      <w:r w:rsidRPr="007849BA">
        <w:rPr>
          <w:sz w:val="24"/>
          <w:szCs w:val="24"/>
        </w:rPr>
        <w:t xml:space="preserve"> test for kromosomafvigelser var resultaterne tvetydige, men ved gentagelse af testen var de klart negative. </w:t>
      </w:r>
      <w:proofErr w:type="spellStart"/>
      <w:r w:rsidRPr="007849BA">
        <w:rPr>
          <w:sz w:val="24"/>
          <w:szCs w:val="24"/>
        </w:rPr>
        <w:t>Tapentadol</w:t>
      </w:r>
      <w:proofErr w:type="spellEnd"/>
      <w:r w:rsidRPr="007849BA">
        <w:rPr>
          <w:sz w:val="24"/>
          <w:szCs w:val="24"/>
        </w:rPr>
        <w:t xml:space="preserve"> var ikke genotoksisk </w:t>
      </w:r>
      <w:r w:rsidRPr="007849BA">
        <w:rPr>
          <w:i/>
          <w:iCs/>
          <w:sz w:val="24"/>
          <w:szCs w:val="24"/>
        </w:rPr>
        <w:t xml:space="preserve">in </w:t>
      </w:r>
      <w:proofErr w:type="spellStart"/>
      <w:r w:rsidRPr="007849BA">
        <w:rPr>
          <w:i/>
          <w:iCs/>
          <w:sz w:val="24"/>
          <w:szCs w:val="24"/>
        </w:rPr>
        <w:t>vivo</w:t>
      </w:r>
      <w:proofErr w:type="spellEnd"/>
      <w:r w:rsidRPr="007849BA">
        <w:rPr>
          <w:sz w:val="24"/>
          <w:szCs w:val="24"/>
        </w:rPr>
        <w:t xml:space="preserve"> ved de to endepunkter kromosomafvigelse og ikke-planlagt DNA-syntese, når stoffet blev testet i op til den maksimale tolererede dosis. Langtids dyrestudier viste ikke potentielle </w:t>
      </w:r>
      <w:proofErr w:type="spellStart"/>
      <w:r w:rsidRPr="007849BA">
        <w:rPr>
          <w:sz w:val="24"/>
          <w:szCs w:val="24"/>
        </w:rPr>
        <w:t>carcinogene</w:t>
      </w:r>
      <w:proofErr w:type="spellEnd"/>
      <w:r w:rsidRPr="007849BA">
        <w:rPr>
          <w:sz w:val="24"/>
          <w:szCs w:val="24"/>
        </w:rPr>
        <w:t xml:space="preserve"> risici relevante for mennesker.</w:t>
      </w:r>
    </w:p>
    <w:p w14:paraId="18A7EE34" w14:textId="77777777" w:rsidR="00295D2D" w:rsidRPr="007849BA" w:rsidRDefault="00295D2D" w:rsidP="00F4752A">
      <w:pPr>
        <w:ind w:left="851"/>
        <w:rPr>
          <w:sz w:val="24"/>
          <w:szCs w:val="24"/>
        </w:rPr>
      </w:pPr>
    </w:p>
    <w:p w14:paraId="7D6A02F9" w14:textId="77777777" w:rsidR="00295D2D" w:rsidRPr="007849BA" w:rsidRDefault="00295D2D" w:rsidP="00F4752A">
      <w:pPr>
        <w:ind w:left="851"/>
        <w:rPr>
          <w:sz w:val="24"/>
          <w:szCs w:val="24"/>
        </w:rPr>
      </w:pPr>
      <w:bookmarkStart w:id="26" w:name="OLE_LINK35"/>
      <w:bookmarkStart w:id="27" w:name="OLE_LINK36"/>
      <w:bookmarkEnd w:id="24"/>
      <w:bookmarkEnd w:id="25"/>
      <w:proofErr w:type="spellStart"/>
      <w:r w:rsidRPr="007849BA">
        <w:rPr>
          <w:sz w:val="24"/>
          <w:szCs w:val="24"/>
        </w:rPr>
        <w:t>Tapentadol</w:t>
      </w:r>
      <w:proofErr w:type="spellEnd"/>
      <w:r w:rsidRPr="007849BA">
        <w:rPr>
          <w:sz w:val="24"/>
          <w:szCs w:val="24"/>
        </w:rPr>
        <w:t xml:space="preserve"> påvirkede ikke fertiliteten hos han- eller hunrotter, men der var nedsat </w:t>
      </w:r>
      <w:r w:rsidRPr="007849BA">
        <w:rPr>
          <w:i/>
          <w:iCs/>
          <w:sz w:val="24"/>
          <w:szCs w:val="24"/>
        </w:rPr>
        <w:t xml:space="preserve">in </w:t>
      </w:r>
      <w:proofErr w:type="spellStart"/>
      <w:r w:rsidRPr="007849BA">
        <w:rPr>
          <w:i/>
          <w:iCs/>
          <w:sz w:val="24"/>
          <w:szCs w:val="24"/>
        </w:rPr>
        <w:t>utero</w:t>
      </w:r>
      <w:proofErr w:type="spellEnd"/>
      <w:r w:rsidRPr="007849BA">
        <w:rPr>
          <w:sz w:val="24"/>
          <w:szCs w:val="24"/>
        </w:rPr>
        <w:t xml:space="preserve"> overlevelse ved høje doser. Det vides ikke, om dette var medieret via hannen eller hunnen. </w:t>
      </w:r>
      <w:proofErr w:type="spellStart"/>
      <w:r w:rsidRPr="007849BA">
        <w:rPr>
          <w:sz w:val="24"/>
          <w:szCs w:val="24"/>
        </w:rPr>
        <w:t>Tapentadol</w:t>
      </w:r>
      <w:proofErr w:type="spellEnd"/>
      <w:r w:rsidRPr="007849BA">
        <w:rPr>
          <w:sz w:val="24"/>
          <w:szCs w:val="24"/>
        </w:rPr>
        <w:t xml:space="preserve"> viste ingen </w:t>
      </w:r>
      <w:proofErr w:type="spellStart"/>
      <w:r w:rsidRPr="007849BA">
        <w:rPr>
          <w:sz w:val="24"/>
          <w:szCs w:val="24"/>
        </w:rPr>
        <w:t>teratogene</w:t>
      </w:r>
      <w:proofErr w:type="spellEnd"/>
      <w:r w:rsidRPr="007849BA">
        <w:rPr>
          <w:sz w:val="24"/>
          <w:szCs w:val="24"/>
        </w:rPr>
        <w:t xml:space="preserve"> virkninger hos rotter og kaniner efter intravenøs og subkutan eksponering. Der blev dog observeret sen udvikling og embryotoksicitet efter administration af doser, der førte til overeksponering (µ-påvirkning af centralnervesystemet relateret til µ-opioider ved doser, der oversteg det terapeutiske interval). Efter intravenøs dosering i rotter sås nedsat </w:t>
      </w:r>
      <w:r w:rsidRPr="007849BA">
        <w:rPr>
          <w:i/>
          <w:iCs/>
          <w:sz w:val="24"/>
          <w:szCs w:val="24"/>
        </w:rPr>
        <w:t xml:space="preserve">in </w:t>
      </w:r>
      <w:proofErr w:type="spellStart"/>
      <w:r w:rsidRPr="007849BA">
        <w:rPr>
          <w:i/>
          <w:iCs/>
          <w:sz w:val="24"/>
          <w:szCs w:val="24"/>
        </w:rPr>
        <w:t>utero</w:t>
      </w:r>
      <w:proofErr w:type="spellEnd"/>
      <w:r w:rsidRPr="007849BA">
        <w:rPr>
          <w:sz w:val="24"/>
          <w:szCs w:val="24"/>
        </w:rPr>
        <w:t xml:space="preserve"> overlevelse. Hos rotter forårsagede </w:t>
      </w:r>
      <w:proofErr w:type="spellStart"/>
      <w:r w:rsidRPr="007849BA">
        <w:rPr>
          <w:sz w:val="24"/>
          <w:szCs w:val="24"/>
        </w:rPr>
        <w:t>tapentadol</w:t>
      </w:r>
      <w:proofErr w:type="spellEnd"/>
      <w:r w:rsidRPr="007849BA">
        <w:rPr>
          <w:sz w:val="24"/>
          <w:szCs w:val="24"/>
        </w:rPr>
        <w:t xml:space="preserve"> øget mortalitet hos F1-ungerne, der blev direkte eksponeret via mælken 1-4 dage efter fødslen også ved doser der ikke fremprovokerede </w:t>
      </w:r>
      <w:proofErr w:type="spellStart"/>
      <w:r w:rsidRPr="007849BA">
        <w:rPr>
          <w:sz w:val="24"/>
          <w:szCs w:val="24"/>
        </w:rPr>
        <w:t>maternal</w:t>
      </w:r>
      <w:proofErr w:type="spellEnd"/>
      <w:r w:rsidRPr="007849BA">
        <w:rPr>
          <w:sz w:val="24"/>
          <w:szCs w:val="24"/>
        </w:rPr>
        <w:t xml:space="preserve"> </w:t>
      </w:r>
      <w:proofErr w:type="spellStart"/>
      <w:r w:rsidRPr="007849BA">
        <w:rPr>
          <w:sz w:val="24"/>
          <w:szCs w:val="24"/>
        </w:rPr>
        <w:t>toxicitet</w:t>
      </w:r>
      <w:proofErr w:type="spellEnd"/>
      <w:r w:rsidRPr="007849BA">
        <w:rPr>
          <w:sz w:val="24"/>
          <w:szCs w:val="24"/>
        </w:rPr>
        <w:t>. Der sås ingen virkninger på det neurologiske adfærdsmønster.</w:t>
      </w:r>
    </w:p>
    <w:p w14:paraId="6701129A" w14:textId="77777777" w:rsidR="00295D2D" w:rsidRPr="007849BA" w:rsidRDefault="00295D2D" w:rsidP="00F4752A">
      <w:pPr>
        <w:ind w:left="851"/>
        <w:rPr>
          <w:sz w:val="24"/>
          <w:szCs w:val="24"/>
        </w:rPr>
      </w:pPr>
      <w:r w:rsidRPr="007849BA">
        <w:rPr>
          <w:sz w:val="24"/>
          <w:szCs w:val="24"/>
        </w:rPr>
        <w:t xml:space="preserve"> </w:t>
      </w:r>
    </w:p>
    <w:bookmarkEnd w:id="26"/>
    <w:bookmarkEnd w:id="27"/>
    <w:p w14:paraId="2F33796F" w14:textId="77777777" w:rsidR="00295D2D" w:rsidRPr="007849BA" w:rsidRDefault="00295D2D" w:rsidP="00F4752A">
      <w:pPr>
        <w:ind w:left="851"/>
        <w:rPr>
          <w:sz w:val="24"/>
          <w:szCs w:val="24"/>
        </w:rPr>
      </w:pPr>
      <w:r w:rsidRPr="007849BA">
        <w:rPr>
          <w:sz w:val="24"/>
          <w:szCs w:val="24"/>
        </w:rPr>
        <w:t xml:space="preserve">Udskillelse i brystmælk blev undersøgt hos rotteunger, der havde diet hos moderdyr efter administration af </w:t>
      </w:r>
      <w:proofErr w:type="spellStart"/>
      <w:r w:rsidRPr="007849BA">
        <w:rPr>
          <w:sz w:val="24"/>
          <w:szCs w:val="24"/>
        </w:rPr>
        <w:t>tapentadol</w:t>
      </w:r>
      <w:proofErr w:type="spellEnd"/>
      <w:r w:rsidRPr="007849BA">
        <w:rPr>
          <w:sz w:val="24"/>
          <w:szCs w:val="24"/>
        </w:rPr>
        <w:t xml:space="preserve">. Ungerne blev dosisafhængigt eksponeret for </w:t>
      </w:r>
      <w:proofErr w:type="spellStart"/>
      <w:r w:rsidRPr="007849BA">
        <w:rPr>
          <w:sz w:val="24"/>
          <w:szCs w:val="24"/>
        </w:rPr>
        <w:t>tapentadol</w:t>
      </w:r>
      <w:proofErr w:type="spellEnd"/>
      <w:r w:rsidRPr="007849BA">
        <w:rPr>
          <w:sz w:val="24"/>
          <w:szCs w:val="24"/>
        </w:rPr>
        <w:t xml:space="preserve"> og </w:t>
      </w:r>
      <w:proofErr w:type="spellStart"/>
      <w:r w:rsidRPr="007849BA">
        <w:rPr>
          <w:sz w:val="24"/>
          <w:szCs w:val="24"/>
        </w:rPr>
        <w:t>tapentadol</w:t>
      </w:r>
      <w:proofErr w:type="spellEnd"/>
      <w:r w:rsidRPr="007849BA">
        <w:rPr>
          <w:sz w:val="24"/>
          <w:szCs w:val="24"/>
        </w:rPr>
        <w:t>-O-</w:t>
      </w:r>
      <w:proofErr w:type="spellStart"/>
      <w:r w:rsidRPr="007849BA">
        <w:rPr>
          <w:sz w:val="24"/>
          <w:szCs w:val="24"/>
        </w:rPr>
        <w:t>glucuronid</w:t>
      </w:r>
      <w:proofErr w:type="spellEnd"/>
      <w:r w:rsidRPr="007849BA">
        <w:rPr>
          <w:sz w:val="24"/>
          <w:szCs w:val="24"/>
        </w:rPr>
        <w:t xml:space="preserve">, og det blev konkluderet, at </w:t>
      </w:r>
      <w:proofErr w:type="spellStart"/>
      <w:r w:rsidRPr="007849BA">
        <w:rPr>
          <w:sz w:val="24"/>
          <w:szCs w:val="24"/>
        </w:rPr>
        <w:t>tapentadol</w:t>
      </w:r>
      <w:proofErr w:type="spellEnd"/>
      <w:r w:rsidRPr="007849BA">
        <w:rPr>
          <w:sz w:val="24"/>
          <w:szCs w:val="24"/>
        </w:rPr>
        <w:t xml:space="preserve"> udskilles i mælken.</w:t>
      </w:r>
    </w:p>
    <w:p w14:paraId="3A0E6E64" w14:textId="77777777" w:rsidR="009260DE" w:rsidRPr="007849BA" w:rsidRDefault="009260DE" w:rsidP="009260DE">
      <w:pPr>
        <w:tabs>
          <w:tab w:val="left" w:pos="851"/>
        </w:tabs>
        <w:ind w:left="851"/>
        <w:rPr>
          <w:sz w:val="24"/>
          <w:szCs w:val="24"/>
        </w:rPr>
      </w:pPr>
    </w:p>
    <w:p w14:paraId="56ADCC51" w14:textId="77777777" w:rsidR="009260DE" w:rsidRPr="007849BA" w:rsidRDefault="009260DE" w:rsidP="009260DE">
      <w:pPr>
        <w:tabs>
          <w:tab w:val="left" w:pos="851"/>
        </w:tabs>
        <w:ind w:left="851"/>
        <w:rPr>
          <w:sz w:val="24"/>
          <w:szCs w:val="24"/>
        </w:rPr>
      </w:pPr>
    </w:p>
    <w:p w14:paraId="64841F08" w14:textId="77777777" w:rsidR="009260DE" w:rsidRPr="007849BA" w:rsidRDefault="009260DE" w:rsidP="009260DE">
      <w:pPr>
        <w:tabs>
          <w:tab w:val="left" w:pos="851"/>
        </w:tabs>
        <w:ind w:left="851" w:hanging="851"/>
        <w:rPr>
          <w:b/>
          <w:sz w:val="24"/>
          <w:szCs w:val="24"/>
        </w:rPr>
      </w:pPr>
      <w:r w:rsidRPr="007849BA">
        <w:rPr>
          <w:b/>
          <w:sz w:val="24"/>
          <w:szCs w:val="24"/>
        </w:rPr>
        <w:t>6.</w:t>
      </w:r>
      <w:r w:rsidRPr="007849BA">
        <w:rPr>
          <w:b/>
          <w:sz w:val="24"/>
          <w:szCs w:val="24"/>
        </w:rPr>
        <w:tab/>
        <w:t>FARMACEUTISKE OPLYSNINGER</w:t>
      </w:r>
    </w:p>
    <w:p w14:paraId="3BA76D6B" w14:textId="77777777" w:rsidR="009260DE" w:rsidRPr="007849BA" w:rsidRDefault="009260DE" w:rsidP="009260DE">
      <w:pPr>
        <w:tabs>
          <w:tab w:val="left" w:pos="851"/>
        </w:tabs>
        <w:ind w:left="851"/>
        <w:rPr>
          <w:sz w:val="24"/>
          <w:szCs w:val="24"/>
        </w:rPr>
      </w:pPr>
    </w:p>
    <w:p w14:paraId="211D70D9" w14:textId="77777777" w:rsidR="009260DE" w:rsidRPr="007849BA" w:rsidRDefault="009260DE" w:rsidP="009260DE">
      <w:pPr>
        <w:tabs>
          <w:tab w:val="left" w:pos="851"/>
        </w:tabs>
        <w:ind w:left="851" w:hanging="851"/>
        <w:rPr>
          <w:b/>
          <w:sz w:val="24"/>
          <w:szCs w:val="24"/>
        </w:rPr>
      </w:pPr>
      <w:r w:rsidRPr="007849BA">
        <w:rPr>
          <w:b/>
          <w:sz w:val="24"/>
          <w:szCs w:val="24"/>
        </w:rPr>
        <w:t>6.1</w:t>
      </w:r>
      <w:r w:rsidRPr="007849BA">
        <w:rPr>
          <w:b/>
          <w:sz w:val="24"/>
          <w:szCs w:val="24"/>
        </w:rPr>
        <w:tab/>
        <w:t>Hjælpestoffer</w:t>
      </w:r>
    </w:p>
    <w:p w14:paraId="17163355" w14:textId="77777777" w:rsidR="00301BB6" w:rsidRPr="007849BA" w:rsidRDefault="00301BB6" w:rsidP="00F4752A">
      <w:pPr>
        <w:ind w:left="851"/>
        <w:rPr>
          <w:sz w:val="24"/>
          <w:szCs w:val="24"/>
        </w:rPr>
      </w:pPr>
    </w:p>
    <w:p w14:paraId="40D28DE7" w14:textId="246D7B0C" w:rsidR="00295D2D" w:rsidRPr="007849BA" w:rsidRDefault="00295D2D" w:rsidP="00F4752A">
      <w:pPr>
        <w:ind w:left="851"/>
        <w:rPr>
          <w:sz w:val="24"/>
          <w:szCs w:val="24"/>
          <w:u w:val="single"/>
        </w:rPr>
      </w:pPr>
      <w:r w:rsidRPr="007849BA">
        <w:rPr>
          <w:sz w:val="24"/>
          <w:szCs w:val="24"/>
          <w:u w:val="single"/>
        </w:rPr>
        <w:t>Tabletkerne:</w:t>
      </w:r>
    </w:p>
    <w:p w14:paraId="689AB985" w14:textId="77777777" w:rsidR="00295D2D" w:rsidRPr="007849BA" w:rsidRDefault="00295D2D" w:rsidP="00F4752A">
      <w:pPr>
        <w:ind w:left="851"/>
        <w:rPr>
          <w:sz w:val="24"/>
          <w:szCs w:val="24"/>
        </w:rPr>
      </w:pPr>
      <w:r w:rsidRPr="007849BA">
        <w:rPr>
          <w:sz w:val="24"/>
          <w:szCs w:val="24"/>
        </w:rPr>
        <w:t>Cellulose, mikrokrystallinsk</w:t>
      </w:r>
    </w:p>
    <w:p w14:paraId="12CC2505" w14:textId="77777777" w:rsidR="00295D2D" w:rsidRPr="006A1361" w:rsidRDefault="00295D2D" w:rsidP="00F4752A">
      <w:pPr>
        <w:ind w:left="851"/>
        <w:rPr>
          <w:sz w:val="24"/>
          <w:szCs w:val="24"/>
          <w:lang w:val="en-US"/>
        </w:rPr>
      </w:pPr>
      <w:proofErr w:type="spellStart"/>
      <w:r w:rsidRPr="006A1361">
        <w:rPr>
          <w:sz w:val="24"/>
          <w:szCs w:val="24"/>
          <w:lang w:val="en-US"/>
        </w:rPr>
        <w:t>Lactosemonohydrat</w:t>
      </w:r>
      <w:proofErr w:type="spellEnd"/>
    </w:p>
    <w:p w14:paraId="3CB4F467" w14:textId="77777777" w:rsidR="00295D2D" w:rsidRPr="006A1361" w:rsidRDefault="00295D2D" w:rsidP="00F4752A">
      <w:pPr>
        <w:ind w:left="851"/>
        <w:rPr>
          <w:sz w:val="24"/>
          <w:szCs w:val="24"/>
          <w:lang w:val="en-US"/>
        </w:rPr>
      </w:pPr>
      <w:bookmarkStart w:id="28" w:name="_Hlk188530634"/>
      <w:proofErr w:type="spellStart"/>
      <w:r w:rsidRPr="006A1361">
        <w:rPr>
          <w:sz w:val="24"/>
          <w:szCs w:val="24"/>
          <w:lang w:val="en-US"/>
        </w:rPr>
        <w:t>Croscarmellosenatrium</w:t>
      </w:r>
      <w:proofErr w:type="spellEnd"/>
    </w:p>
    <w:bookmarkEnd w:id="28"/>
    <w:p w14:paraId="0510E71E" w14:textId="77777777" w:rsidR="00295D2D" w:rsidRPr="006A1361" w:rsidRDefault="00295D2D" w:rsidP="00F4752A">
      <w:pPr>
        <w:ind w:left="851"/>
        <w:rPr>
          <w:sz w:val="24"/>
          <w:szCs w:val="24"/>
          <w:lang w:val="en-US"/>
        </w:rPr>
      </w:pPr>
      <w:proofErr w:type="spellStart"/>
      <w:r w:rsidRPr="006A1361">
        <w:rPr>
          <w:sz w:val="24"/>
          <w:szCs w:val="24"/>
          <w:lang w:val="en-US"/>
        </w:rPr>
        <w:t>Povidon</w:t>
      </w:r>
      <w:proofErr w:type="spellEnd"/>
      <w:r w:rsidRPr="006A1361">
        <w:rPr>
          <w:sz w:val="24"/>
          <w:szCs w:val="24"/>
          <w:lang w:val="en-US"/>
        </w:rPr>
        <w:t xml:space="preserve"> </w:t>
      </w:r>
    </w:p>
    <w:p w14:paraId="747F1940" w14:textId="77777777" w:rsidR="00295D2D" w:rsidRPr="006A1361" w:rsidRDefault="00295D2D" w:rsidP="00F4752A">
      <w:pPr>
        <w:ind w:left="851"/>
        <w:rPr>
          <w:sz w:val="24"/>
          <w:szCs w:val="24"/>
          <w:lang w:val="en-US"/>
        </w:rPr>
      </w:pPr>
      <w:proofErr w:type="spellStart"/>
      <w:r w:rsidRPr="006A1361">
        <w:rPr>
          <w:sz w:val="24"/>
          <w:szCs w:val="24"/>
          <w:lang w:val="en-US"/>
        </w:rPr>
        <w:t>Magnesiumstearat</w:t>
      </w:r>
      <w:proofErr w:type="spellEnd"/>
    </w:p>
    <w:p w14:paraId="4AF8A4A9" w14:textId="77777777" w:rsidR="00295D2D" w:rsidRPr="006A1361" w:rsidRDefault="00295D2D" w:rsidP="00F4752A">
      <w:pPr>
        <w:ind w:left="851"/>
        <w:rPr>
          <w:sz w:val="24"/>
          <w:szCs w:val="24"/>
          <w:lang w:val="en-US"/>
        </w:rPr>
      </w:pPr>
    </w:p>
    <w:p w14:paraId="3FD1BD56" w14:textId="77777777" w:rsidR="00295D2D" w:rsidRPr="006A1361" w:rsidRDefault="00295D2D" w:rsidP="00F4752A">
      <w:pPr>
        <w:ind w:left="851"/>
        <w:rPr>
          <w:sz w:val="24"/>
          <w:szCs w:val="24"/>
          <w:u w:val="single"/>
          <w:lang w:val="en-US"/>
        </w:rPr>
      </w:pPr>
      <w:proofErr w:type="spellStart"/>
      <w:r w:rsidRPr="006A1361">
        <w:rPr>
          <w:sz w:val="24"/>
          <w:szCs w:val="24"/>
          <w:u w:val="single"/>
          <w:lang w:val="en-US"/>
        </w:rPr>
        <w:t>Tabletovertræk</w:t>
      </w:r>
      <w:proofErr w:type="spellEnd"/>
      <w:r w:rsidRPr="006A1361">
        <w:rPr>
          <w:sz w:val="24"/>
          <w:szCs w:val="24"/>
          <w:u w:val="single"/>
          <w:lang w:val="en-US"/>
        </w:rPr>
        <w:t>:</w:t>
      </w:r>
    </w:p>
    <w:p w14:paraId="6C597331" w14:textId="77777777" w:rsidR="00295D2D" w:rsidRPr="007849BA" w:rsidRDefault="00295D2D" w:rsidP="00F4752A">
      <w:pPr>
        <w:ind w:left="851"/>
        <w:rPr>
          <w:sz w:val="24"/>
          <w:szCs w:val="24"/>
        </w:rPr>
      </w:pPr>
      <w:proofErr w:type="spellStart"/>
      <w:r w:rsidRPr="007849BA">
        <w:rPr>
          <w:sz w:val="24"/>
          <w:szCs w:val="24"/>
        </w:rPr>
        <w:t>Hypromellose</w:t>
      </w:r>
      <w:proofErr w:type="spellEnd"/>
    </w:p>
    <w:p w14:paraId="3EA50EAB" w14:textId="77777777" w:rsidR="00295D2D" w:rsidRPr="007849BA" w:rsidRDefault="00295D2D" w:rsidP="00F4752A">
      <w:pPr>
        <w:ind w:left="851"/>
        <w:rPr>
          <w:sz w:val="24"/>
          <w:szCs w:val="24"/>
        </w:rPr>
      </w:pPr>
      <w:proofErr w:type="spellStart"/>
      <w:r w:rsidRPr="007849BA">
        <w:rPr>
          <w:sz w:val="24"/>
          <w:szCs w:val="24"/>
        </w:rPr>
        <w:t>Polydextrose</w:t>
      </w:r>
      <w:proofErr w:type="spellEnd"/>
    </w:p>
    <w:p w14:paraId="5D30974D" w14:textId="77777777" w:rsidR="00295D2D" w:rsidRPr="007849BA" w:rsidRDefault="00295D2D" w:rsidP="00F4752A">
      <w:pPr>
        <w:ind w:left="851"/>
        <w:rPr>
          <w:sz w:val="24"/>
          <w:szCs w:val="24"/>
        </w:rPr>
      </w:pPr>
      <w:r w:rsidRPr="007849BA">
        <w:rPr>
          <w:sz w:val="24"/>
          <w:szCs w:val="24"/>
        </w:rPr>
        <w:lastRenderedPageBreak/>
        <w:t>Titandioxid (E171)</w:t>
      </w:r>
    </w:p>
    <w:p w14:paraId="2C29555E" w14:textId="77777777" w:rsidR="00295D2D" w:rsidRPr="007849BA" w:rsidRDefault="00295D2D" w:rsidP="00F4752A">
      <w:pPr>
        <w:ind w:left="851"/>
        <w:rPr>
          <w:sz w:val="24"/>
          <w:szCs w:val="24"/>
        </w:rPr>
      </w:pPr>
      <w:proofErr w:type="spellStart"/>
      <w:r w:rsidRPr="007849BA">
        <w:rPr>
          <w:sz w:val="24"/>
          <w:szCs w:val="24"/>
        </w:rPr>
        <w:t>Maltodextrin</w:t>
      </w:r>
      <w:proofErr w:type="spellEnd"/>
    </w:p>
    <w:p w14:paraId="48BCBC4F" w14:textId="77777777" w:rsidR="00295D2D" w:rsidRPr="007849BA" w:rsidRDefault="00295D2D" w:rsidP="00F4752A">
      <w:pPr>
        <w:ind w:left="851"/>
        <w:rPr>
          <w:sz w:val="24"/>
          <w:szCs w:val="24"/>
        </w:rPr>
      </w:pPr>
      <w:r w:rsidRPr="007849BA">
        <w:rPr>
          <w:sz w:val="24"/>
          <w:szCs w:val="24"/>
        </w:rPr>
        <w:t>Triglycerider, middelkædelængde</w:t>
      </w:r>
    </w:p>
    <w:p w14:paraId="7F38129F" w14:textId="77777777" w:rsidR="009260DE" w:rsidRPr="007849BA" w:rsidRDefault="009260DE" w:rsidP="009260DE">
      <w:pPr>
        <w:tabs>
          <w:tab w:val="left" w:pos="851"/>
        </w:tabs>
        <w:ind w:left="851"/>
        <w:rPr>
          <w:sz w:val="24"/>
          <w:szCs w:val="24"/>
        </w:rPr>
      </w:pPr>
    </w:p>
    <w:p w14:paraId="252F68C2" w14:textId="77777777" w:rsidR="009260DE" w:rsidRPr="007849BA" w:rsidRDefault="009260DE" w:rsidP="009260DE">
      <w:pPr>
        <w:tabs>
          <w:tab w:val="left" w:pos="851"/>
        </w:tabs>
        <w:ind w:left="851" w:hanging="851"/>
        <w:rPr>
          <w:b/>
          <w:sz w:val="24"/>
          <w:szCs w:val="24"/>
        </w:rPr>
      </w:pPr>
      <w:r w:rsidRPr="007849BA">
        <w:rPr>
          <w:b/>
          <w:sz w:val="24"/>
          <w:szCs w:val="24"/>
        </w:rPr>
        <w:t>6.2</w:t>
      </w:r>
      <w:r w:rsidRPr="007849BA">
        <w:rPr>
          <w:b/>
          <w:sz w:val="24"/>
          <w:szCs w:val="24"/>
        </w:rPr>
        <w:tab/>
        <w:t>Uforligeligheder</w:t>
      </w:r>
    </w:p>
    <w:p w14:paraId="2C84F662" w14:textId="77777777" w:rsidR="00295D2D" w:rsidRPr="007849BA" w:rsidRDefault="00295D2D" w:rsidP="00F4752A">
      <w:pPr>
        <w:ind w:left="851"/>
        <w:rPr>
          <w:sz w:val="24"/>
          <w:szCs w:val="24"/>
        </w:rPr>
      </w:pPr>
      <w:r w:rsidRPr="007849BA">
        <w:rPr>
          <w:sz w:val="24"/>
          <w:szCs w:val="24"/>
        </w:rPr>
        <w:t>Ikke relevant.</w:t>
      </w:r>
    </w:p>
    <w:p w14:paraId="7806CB04" w14:textId="77777777" w:rsidR="009260DE" w:rsidRPr="007849BA" w:rsidRDefault="009260DE" w:rsidP="009260DE">
      <w:pPr>
        <w:tabs>
          <w:tab w:val="left" w:pos="851"/>
        </w:tabs>
        <w:ind w:left="851"/>
        <w:rPr>
          <w:sz w:val="24"/>
          <w:szCs w:val="24"/>
        </w:rPr>
      </w:pPr>
    </w:p>
    <w:p w14:paraId="37A743AD" w14:textId="77777777" w:rsidR="009260DE" w:rsidRPr="007849BA" w:rsidRDefault="009260DE" w:rsidP="009260DE">
      <w:pPr>
        <w:tabs>
          <w:tab w:val="left" w:pos="851"/>
        </w:tabs>
        <w:ind w:left="851" w:hanging="851"/>
        <w:rPr>
          <w:b/>
          <w:sz w:val="24"/>
          <w:szCs w:val="24"/>
        </w:rPr>
      </w:pPr>
      <w:r w:rsidRPr="007849BA">
        <w:rPr>
          <w:b/>
          <w:sz w:val="24"/>
          <w:szCs w:val="24"/>
        </w:rPr>
        <w:t>6.3</w:t>
      </w:r>
      <w:r w:rsidRPr="007849BA">
        <w:rPr>
          <w:b/>
          <w:sz w:val="24"/>
          <w:szCs w:val="24"/>
        </w:rPr>
        <w:tab/>
        <w:t>Opbevaringstid</w:t>
      </w:r>
    </w:p>
    <w:p w14:paraId="53ED7A50" w14:textId="77777777" w:rsidR="00295D2D" w:rsidRPr="007849BA" w:rsidRDefault="00295D2D" w:rsidP="00F4752A">
      <w:pPr>
        <w:ind w:left="851"/>
        <w:rPr>
          <w:sz w:val="24"/>
          <w:szCs w:val="24"/>
        </w:rPr>
      </w:pPr>
      <w:r w:rsidRPr="007849BA">
        <w:rPr>
          <w:sz w:val="24"/>
          <w:szCs w:val="24"/>
        </w:rPr>
        <w:t>30 måneder</w:t>
      </w:r>
    </w:p>
    <w:p w14:paraId="65043F43" w14:textId="77777777" w:rsidR="009260DE" w:rsidRPr="007849BA" w:rsidRDefault="009260DE" w:rsidP="009260DE">
      <w:pPr>
        <w:tabs>
          <w:tab w:val="left" w:pos="851"/>
        </w:tabs>
        <w:ind w:left="851"/>
        <w:rPr>
          <w:sz w:val="24"/>
          <w:szCs w:val="24"/>
        </w:rPr>
      </w:pPr>
    </w:p>
    <w:p w14:paraId="6EFBE7FF" w14:textId="77777777" w:rsidR="009260DE" w:rsidRPr="007849BA" w:rsidRDefault="009260DE" w:rsidP="009260DE">
      <w:pPr>
        <w:tabs>
          <w:tab w:val="left" w:pos="851"/>
        </w:tabs>
        <w:ind w:left="851" w:hanging="851"/>
        <w:rPr>
          <w:b/>
          <w:sz w:val="24"/>
          <w:szCs w:val="24"/>
        </w:rPr>
      </w:pPr>
      <w:r w:rsidRPr="007849BA">
        <w:rPr>
          <w:b/>
          <w:sz w:val="24"/>
          <w:szCs w:val="24"/>
        </w:rPr>
        <w:t>6.4</w:t>
      </w:r>
      <w:r w:rsidRPr="007849BA">
        <w:rPr>
          <w:b/>
          <w:sz w:val="24"/>
          <w:szCs w:val="24"/>
        </w:rPr>
        <w:tab/>
        <w:t>Særlige opbevaringsforhold</w:t>
      </w:r>
    </w:p>
    <w:p w14:paraId="73C181D7" w14:textId="77777777" w:rsidR="00295D2D" w:rsidRPr="007849BA" w:rsidRDefault="00295D2D" w:rsidP="00F4752A">
      <w:pPr>
        <w:ind w:left="851"/>
        <w:rPr>
          <w:sz w:val="24"/>
          <w:szCs w:val="24"/>
        </w:rPr>
      </w:pPr>
      <w:r w:rsidRPr="007849BA">
        <w:rPr>
          <w:sz w:val="24"/>
          <w:szCs w:val="24"/>
        </w:rPr>
        <w:t>Dette lægemiddel kræver ingen særlige forholdsregler vedrørende opbevaringen.</w:t>
      </w:r>
    </w:p>
    <w:p w14:paraId="095C121B" w14:textId="77777777" w:rsidR="009260DE" w:rsidRPr="007849BA" w:rsidRDefault="009260DE" w:rsidP="009260DE">
      <w:pPr>
        <w:tabs>
          <w:tab w:val="left" w:pos="851"/>
        </w:tabs>
        <w:ind w:left="851"/>
        <w:rPr>
          <w:sz w:val="24"/>
          <w:szCs w:val="24"/>
        </w:rPr>
      </w:pPr>
    </w:p>
    <w:p w14:paraId="2C2F4850" w14:textId="77777777" w:rsidR="009260DE" w:rsidRPr="007849BA" w:rsidRDefault="009260DE" w:rsidP="009260DE">
      <w:pPr>
        <w:tabs>
          <w:tab w:val="left" w:pos="851"/>
        </w:tabs>
        <w:ind w:left="851" w:hanging="851"/>
        <w:rPr>
          <w:b/>
          <w:sz w:val="24"/>
          <w:szCs w:val="24"/>
        </w:rPr>
      </w:pPr>
      <w:r w:rsidRPr="007849BA">
        <w:rPr>
          <w:b/>
          <w:sz w:val="24"/>
          <w:szCs w:val="24"/>
        </w:rPr>
        <w:t>6.5</w:t>
      </w:r>
      <w:r w:rsidRPr="007849BA">
        <w:rPr>
          <w:b/>
          <w:sz w:val="24"/>
          <w:szCs w:val="24"/>
        </w:rPr>
        <w:tab/>
        <w:t>Emballagetype og pakningsstørrelser</w:t>
      </w:r>
    </w:p>
    <w:p w14:paraId="61852ACE" w14:textId="77777777" w:rsidR="00295D2D" w:rsidRPr="007849BA" w:rsidRDefault="00295D2D" w:rsidP="00F4752A">
      <w:pPr>
        <w:ind w:left="851"/>
        <w:rPr>
          <w:sz w:val="24"/>
          <w:szCs w:val="24"/>
        </w:rPr>
      </w:pPr>
      <w:r w:rsidRPr="007849BA">
        <w:rPr>
          <w:sz w:val="24"/>
          <w:szCs w:val="24"/>
        </w:rPr>
        <w:t>Aluminium/Aluminium blisterkort</w:t>
      </w:r>
    </w:p>
    <w:p w14:paraId="4CC80038" w14:textId="77777777" w:rsidR="00295D2D" w:rsidRPr="007849BA" w:rsidRDefault="00295D2D" w:rsidP="00F4752A">
      <w:pPr>
        <w:ind w:left="851"/>
        <w:rPr>
          <w:sz w:val="24"/>
          <w:szCs w:val="24"/>
        </w:rPr>
      </w:pPr>
      <w:r w:rsidRPr="007849BA">
        <w:rPr>
          <w:sz w:val="24"/>
          <w:szCs w:val="24"/>
        </w:rPr>
        <w:t>Pakninger med 7, 10, 14, 20, 21, 28, 30, 50, 56, 60, 98, 100 filmovertrukne tabletter.</w:t>
      </w:r>
    </w:p>
    <w:p w14:paraId="2FBD46F3" w14:textId="77777777" w:rsidR="00295D2D" w:rsidRPr="007849BA" w:rsidRDefault="00295D2D" w:rsidP="00F4752A">
      <w:pPr>
        <w:ind w:left="851"/>
        <w:rPr>
          <w:sz w:val="24"/>
          <w:szCs w:val="24"/>
        </w:rPr>
      </w:pPr>
    </w:p>
    <w:p w14:paraId="0B57B39E" w14:textId="77777777" w:rsidR="00295D2D" w:rsidRPr="007849BA" w:rsidRDefault="00295D2D" w:rsidP="00F4752A">
      <w:pPr>
        <w:ind w:left="851"/>
        <w:rPr>
          <w:sz w:val="24"/>
          <w:szCs w:val="24"/>
        </w:rPr>
      </w:pPr>
      <w:r w:rsidRPr="007849BA">
        <w:rPr>
          <w:sz w:val="24"/>
          <w:szCs w:val="24"/>
        </w:rPr>
        <w:t>PVC/PVDC/PVC/Aluminium blisterkort</w:t>
      </w:r>
    </w:p>
    <w:p w14:paraId="3E9277FC" w14:textId="77777777" w:rsidR="00295D2D" w:rsidRPr="007849BA" w:rsidRDefault="00295D2D" w:rsidP="00F4752A">
      <w:pPr>
        <w:ind w:left="851"/>
        <w:rPr>
          <w:sz w:val="24"/>
          <w:szCs w:val="24"/>
        </w:rPr>
      </w:pPr>
      <w:r w:rsidRPr="007849BA">
        <w:rPr>
          <w:sz w:val="24"/>
          <w:szCs w:val="24"/>
        </w:rPr>
        <w:t>Pakninger med 7, 10, 14, 20, 21, 28, 30, 50, 56, 60, 98, 100 filmovertrukne tabletter.</w:t>
      </w:r>
    </w:p>
    <w:p w14:paraId="1411D23F" w14:textId="77777777" w:rsidR="00295D2D" w:rsidRPr="007849BA" w:rsidRDefault="00295D2D" w:rsidP="00F4752A">
      <w:pPr>
        <w:ind w:left="851"/>
        <w:rPr>
          <w:sz w:val="24"/>
          <w:szCs w:val="24"/>
        </w:rPr>
      </w:pPr>
    </w:p>
    <w:p w14:paraId="0ABB6A3F" w14:textId="77777777" w:rsidR="00295D2D" w:rsidRPr="007849BA" w:rsidRDefault="00295D2D" w:rsidP="00F4752A">
      <w:pPr>
        <w:ind w:left="851"/>
        <w:rPr>
          <w:sz w:val="24"/>
          <w:szCs w:val="24"/>
        </w:rPr>
      </w:pPr>
      <w:r w:rsidRPr="007849BA">
        <w:rPr>
          <w:sz w:val="24"/>
          <w:szCs w:val="24"/>
        </w:rPr>
        <w:t>Ikke alle pakningsstørrelser er nødvendigvis markedsført.</w:t>
      </w:r>
    </w:p>
    <w:p w14:paraId="70F39B9C" w14:textId="77777777" w:rsidR="009260DE" w:rsidRPr="007849BA" w:rsidRDefault="009260DE" w:rsidP="009260DE">
      <w:pPr>
        <w:tabs>
          <w:tab w:val="left" w:pos="851"/>
        </w:tabs>
        <w:ind w:left="851"/>
        <w:rPr>
          <w:sz w:val="24"/>
          <w:szCs w:val="24"/>
        </w:rPr>
      </w:pPr>
    </w:p>
    <w:p w14:paraId="4CA59F64" w14:textId="77777777" w:rsidR="009260DE" w:rsidRPr="007849BA" w:rsidRDefault="009260DE" w:rsidP="009260DE">
      <w:pPr>
        <w:tabs>
          <w:tab w:val="left" w:pos="851"/>
        </w:tabs>
        <w:ind w:left="851" w:hanging="851"/>
        <w:rPr>
          <w:b/>
          <w:sz w:val="24"/>
          <w:szCs w:val="24"/>
        </w:rPr>
      </w:pPr>
      <w:r w:rsidRPr="007849BA">
        <w:rPr>
          <w:b/>
          <w:sz w:val="24"/>
          <w:szCs w:val="24"/>
        </w:rPr>
        <w:t>6.6</w:t>
      </w:r>
      <w:r w:rsidRPr="007849BA">
        <w:rPr>
          <w:b/>
          <w:sz w:val="24"/>
          <w:szCs w:val="24"/>
        </w:rPr>
        <w:tab/>
        <w:t xml:space="preserve">Regler for </w:t>
      </w:r>
      <w:r w:rsidR="00BD7931" w:rsidRPr="007849BA">
        <w:rPr>
          <w:b/>
          <w:sz w:val="24"/>
          <w:szCs w:val="24"/>
        </w:rPr>
        <w:t>bortskaffelse</w:t>
      </w:r>
      <w:r w:rsidRPr="007849BA">
        <w:rPr>
          <w:b/>
          <w:sz w:val="24"/>
          <w:szCs w:val="24"/>
        </w:rPr>
        <w:t xml:space="preserve"> og anden håndtering</w:t>
      </w:r>
    </w:p>
    <w:p w14:paraId="0580C745" w14:textId="77777777" w:rsidR="00295D2D" w:rsidRPr="007849BA" w:rsidRDefault="00295D2D" w:rsidP="00F4752A">
      <w:pPr>
        <w:ind w:left="851"/>
        <w:rPr>
          <w:sz w:val="24"/>
          <w:szCs w:val="24"/>
        </w:rPr>
      </w:pPr>
      <w:r w:rsidRPr="007849BA">
        <w:rPr>
          <w:sz w:val="24"/>
          <w:szCs w:val="24"/>
        </w:rPr>
        <w:t>Ingen særlige forholdsregler.</w:t>
      </w:r>
    </w:p>
    <w:p w14:paraId="2A63E3AD" w14:textId="77777777" w:rsidR="009260DE" w:rsidRPr="007849BA" w:rsidRDefault="009260DE" w:rsidP="000730CA">
      <w:pPr>
        <w:tabs>
          <w:tab w:val="left" w:pos="851"/>
        </w:tabs>
        <w:ind w:left="851"/>
        <w:rPr>
          <w:sz w:val="24"/>
          <w:szCs w:val="24"/>
        </w:rPr>
      </w:pPr>
    </w:p>
    <w:p w14:paraId="55222842" w14:textId="77777777" w:rsidR="009260DE" w:rsidRPr="007849BA" w:rsidRDefault="009260DE" w:rsidP="009260DE">
      <w:pPr>
        <w:tabs>
          <w:tab w:val="left" w:pos="851"/>
        </w:tabs>
        <w:ind w:left="851" w:hanging="851"/>
        <w:rPr>
          <w:b/>
          <w:sz w:val="24"/>
          <w:szCs w:val="24"/>
        </w:rPr>
      </w:pPr>
      <w:r w:rsidRPr="007849BA">
        <w:rPr>
          <w:b/>
          <w:sz w:val="24"/>
          <w:szCs w:val="24"/>
        </w:rPr>
        <w:t>7.</w:t>
      </w:r>
      <w:r w:rsidRPr="007849BA">
        <w:rPr>
          <w:b/>
          <w:sz w:val="24"/>
          <w:szCs w:val="24"/>
        </w:rPr>
        <w:tab/>
        <w:t>INDEHAVER AF MARKEDSFØRINGSTILLADELSEN</w:t>
      </w:r>
    </w:p>
    <w:p w14:paraId="2455AB43" w14:textId="77777777" w:rsidR="00295D2D" w:rsidRPr="006A1361" w:rsidRDefault="00295D2D" w:rsidP="00F4752A">
      <w:pPr>
        <w:ind w:left="851"/>
        <w:rPr>
          <w:sz w:val="24"/>
          <w:szCs w:val="24"/>
          <w:lang w:val="en-US"/>
        </w:rPr>
      </w:pPr>
      <w:r w:rsidRPr="006A1361">
        <w:rPr>
          <w:sz w:val="24"/>
          <w:szCs w:val="24"/>
          <w:lang w:val="en-US"/>
        </w:rPr>
        <w:t xml:space="preserve">G.L. Pharma GmbH </w:t>
      </w:r>
    </w:p>
    <w:p w14:paraId="0597F9E4" w14:textId="77777777" w:rsidR="00295D2D" w:rsidRPr="006A1361" w:rsidRDefault="00295D2D" w:rsidP="00F4752A">
      <w:pPr>
        <w:ind w:left="851"/>
        <w:rPr>
          <w:sz w:val="24"/>
          <w:szCs w:val="24"/>
          <w:lang w:val="en-US"/>
        </w:rPr>
      </w:pPr>
      <w:proofErr w:type="spellStart"/>
      <w:r w:rsidRPr="006A1361">
        <w:rPr>
          <w:sz w:val="24"/>
          <w:szCs w:val="24"/>
          <w:lang w:val="en-US"/>
        </w:rPr>
        <w:t>Schlossplatz</w:t>
      </w:r>
      <w:proofErr w:type="spellEnd"/>
      <w:r w:rsidRPr="006A1361">
        <w:rPr>
          <w:sz w:val="24"/>
          <w:szCs w:val="24"/>
          <w:lang w:val="en-US"/>
        </w:rPr>
        <w:t xml:space="preserve"> 1</w:t>
      </w:r>
    </w:p>
    <w:p w14:paraId="325A5D6C" w14:textId="77777777" w:rsidR="00295D2D" w:rsidRPr="007849BA" w:rsidRDefault="00295D2D" w:rsidP="00F4752A">
      <w:pPr>
        <w:ind w:left="851"/>
        <w:rPr>
          <w:sz w:val="24"/>
          <w:szCs w:val="24"/>
        </w:rPr>
      </w:pPr>
      <w:r w:rsidRPr="007849BA">
        <w:rPr>
          <w:sz w:val="24"/>
          <w:szCs w:val="24"/>
        </w:rPr>
        <w:t xml:space="preserve">8502 </w:t>
      </w:r>
      <w:proofErr w:type="spellStart"/>
      <w:r w:rsidRPr="007849BA">
        <w:rPr>
          <w:sz w:val="24"/>
          <w:szCs w:val="24"/>
        </w:rPr>
        <w:t>Lannach</w:t>
      </w:r>
      <w:proofErr w:type="spellEnd"/>
      <w:r w:rsidRPr="007849BA">
        <w:rPr>
          <w:sz w:val="24"/>
          <w:szCs w:val="24"/>
        </w:rPr>
        <w:t xml:space="preserve"> </w:t>
      </w:r>
    </w:p>
    <w:p w14:paraId="4FBEB78C" w14:textId="77777777" w:rsidR="00295D2D" w:rsidRPr="007849BA" w:rsidRDefault="00295D2D" w:rsidP="00F4752A">
      <w:pPr>
        <w:ind w:left="851"/>
        <w:rPr>
          <w:sz w:val="24"/>
          <w:szCs w:val="24"/>
        </w:rPr>
      </w:pPr>
      <w:r w:rsidRPr="007849BA">
        <w:rPr>
          <w:sz w:val="24"/>
          <w:szCs w:val="24"/>
        </w:rPr>
        <w:t>Østrig</w:t>
      </w:r>
    </w:p>
    <w:p w14:paraId="38E79F55" w14:textId="77777777" w:rsidR="009260DE" w:rsidRPr="007849BA" w:rsidRDefault="009260DE" w:rsidP="00F4752A">
      <w:pPr>
        <w:ind w:left="851"/>
        <w:rPr>
          <w:sz w:val="24"/>
          <w:szCs w:val="24"/>
        </w:rPr>
      </w:pPr>
    </w:p>
    <w:p w14:paraId="28D8560C" w14:textId="77777777" w:rsidR="00641C65" w:rsidRPr="007849BA" w:rsidRDefault="00641C65" w:rsidP="00F4752A">
      <w:pPr>
        <w:ind w:left="851"/>
        <w:rPr>
          <w:sz w:val="24"/>
          <w:szCs w:val="24"/>
        </w:rPr>
      </w:pPr>
      <w:r w:rsidRPr="007849BA">
        <w:rPr>
          <w:b/>
          <w:sz w:val="24"/>
          <w:szCs w:val="24"/>
        </w:rPr>
        <w:t>Repræsentant</w:t>
      </w:r>
    </w:p>
    <w:p w14:paraId="6868E245" w14:textId="77777777" w:rsidR="001E5C27" w:rsidRPr="007849BA" w:rsidRDefault="001E5C27" w:rsidP="00F4752A">
      <w:pPr>
        <w:ind w:left="851"/>
        <w:rPr>
          <w:sz w:val="24"/>
          <w:szCs w:val="24"/>
        </w:rPr>
      </w:pPr>
      <w:r w:rsidRPr="007849BA">
        <w:rPr>
          <w:sz w:val="24"/>
          <w:szCs w:val="24"/>
        </w:rPr>
        <w:t>G.L. Pharma Nordic Aktiebolag</w:t>
      </w:r>
    </w:p>
    <w:p w14:paraId="57FD3790" w14:textId="77777777" w:rsidR="001E5C27" w:rsidRPr="007849BA" w:rsidRDefault="001E5C27" w:rsidP="00F4752A">
      <w:pPr>
        <w:ind w:left="851"/>
        <w:rPr>
          <w:sz w:val="24"/>
          <w:szCs w:val="24"/>
        </w:rPr>
      </w:pPr>
      <w:proofErr w:type="spellStart"/>
      <w:r w:rsidRPr="007849BA">
        <w:rPr>
          <w:sz w:val="24"/>
          <w:szCs w:val="24"/>
        </w:rPr>
        <w:t>Övägen</w:t>
      </w:r>
      <w:proofErr w:type="spellEnd"/>
      <w:r w:rsidRPr="007849BA">
        <w:rPr>
          <w:sz w:val="24"/>
          <w:szCs w:val="24"/>
        </w:rPr>
        <w:t xml:space="preserve"> 1</w:t>
      </w:r>
    </w:p>
    <w:p w14:paraId="1ABD6EF3" w14:textId="2849839A" w:rsidR="001E5C27" w:rsidRPr="007849BA" w:rsidRDefault="001E5C27" w:rsidP="00F4752A">
      <w:pPr>
        <w:ind w:left="851"/>
        <w:rPr>
          <w:sz w:val="24"/>
          <w:szCs w:val="24"/>
        </w:rPr>
      </w:pPr>
      <w:r w:rsidRPr="007849BA">
        <w:rPr>
          <w:sz w:val="24"/>
          <w:szCs w:val="24"/>
        </w:rPr>
        <w:t>21647 Limhamn</w:t>
      </w:r>
    </w:p>
    <w:p w14:paraId="705619BF" w14:textId="77777777" w:rsidR="001E5C27" w:rsidRPr="007849BA" w:rsidRDefault="001E5C27" w:rsidP="00F4752A">
      <w:pPr>
        <w:ind w:left="851"/>
        <w:rPr>
          <w:sz w:val="24"/>
          <w:szCs w:val="24"/>
        </w:rPr>
      </w:pPr>
      <w:r w:rsidRPr="007849BA">
        <w:rPr>
          <w:sz w:val="24"/>
          <w:szCs w:val="24"/>
        </w:rPr>
        <w:t>Sverige</w:t>
      </w:r>
    </w:p>
    <w:p w14:paraId="0EBD91B4" w14:textId="77777777" w:rsidR="00641C65" w:rsidRPr="007849BA" w:rsidRDefault="00641C65" w:rsidP="009260DE">
      <w:pPr>
        <w:tabs>
          <w:tab w:val="left" w:pos="851"/>
        </w:tabs>
        <w:ind w:left="851"/>
        <w:rPr>
          <w:sz w:val="24"/>
          <w:szCs w:val="24"/>
        </w:rPr>
      </w:pPr>
    </w:p>
    <w:p w14:paraId="198B6243" w14:textId="77777777" w:rsidR="009260DE" w:rsidRPr="007849BA" w:rsidRDefault="009260DE" w:rsidP="009260DE">
      <w:pPr>
        <w:tabs>
          <w:tab w:val="left" w:pos="851"/>
        </w:tabs>
        <w:ind w:left="851" w:hanging="851"/>
        <w:rPr>
          <w:b/>
          <w:sz w:val="24"/>
          <w:szCs w:val="24"/>
        </w:rPr>
      </w:pPr>
      <w:r w:rsidRPr="007849BA">
        <w:rPr>
          <w:b/>
          <w:sz w:val="24"/>
          <w:szCs w:val="24"/>
        </w:rPr>
        <w:t>8.</w:t>
      </w:r>
      <w:r w:rsidRPr="007849BA">
        <w:rPr>
          <w:b/>
          <w:sz w:val="24"/>
          <w:szCs w:val="24"/>
        </w:rPr>
        <w:tab/>
        <w:t>MARKEDSFØRINGSTILLADELSESNUMMER (</w:t>
      </w:r>
      <w:r w:rsidR="00BF6243" w:rsidRPr="007849BA">
        <w:rPr>
          <w:b/>
          <w:sz w:val="24"/>
          <w:szCs w:val="24"/>
        </w:rPr>
        <w:t>-</w:t>
      </w:r>
      <w:r w:rsidRPr="007849BA">
        <w:rPr>
          <w:b/>
          <w:sz w:val="24"/>
          <w:szCs w:val="24"/>
        </w:rPr>
        <w:t>NUMRE)</w:t>
      </w:r>
    </w:p>
    <w:p w14:paraId="13455CD7" w14:textId="1B945D79" w:rsidR="009260DE" w:rsidRPr="007849BA" w:rsidRDefault="001E5C27" w:rsidP="009260DE">
      <w:pPr>
        <w:tabs>
          <w:tab w:val="left" w:pos="851"/>
        </w:tabs>
        <w:ind w:left="851"/>
        <w:rPr>
          <w:sz w:val="24"/>
          <w:szCs w:val="24"/>
        </w:rPr>
      </w:pPr>
      <w:r w:rsidRPr="007849BA">
        <w:rPr>
          <w:sz w:val="24"/>
          <w:szCs w:val="24"/>
        </w:rPr>
        <w:t>68527</w:t>
      </w:r>
    </w:p>
    <w:p w14:paraId="670755EE" w14:textId="77777777" w:rsidR="009260DE" w:rsidRPr="007849BA" w:rsidRDefault="009260DE" w:rsidP="009260DE">
      <w:pPr>
        <w:tabs>
          <w:tab w:val="left" w:pos="851"/>
        </w:tabs>
        <w:ind w:left="851"/>
        <w:jc w:val="both"/>
        <w:rPr>
          <w:sz w:val="24"/>
          <w:szCs w:val="24"/>
        </w:rPr>
      </w:pPr>
    </w:p>
    <w:p w14:paraId="1F7883A6" w14:textId="77777777" w:rsidR="009260DE" w:rsidRPr="007849BA" w:rsidRDefault="009260DE" w:rsidP="009260DE">
      <w:pPr>
        <w:tabs>
          <w:tab w:val="left" w:pos="851"/>
        </w:tabs>
        <w:ind w:left="851" w:hanging="851"/>
        <w:rPr>
          <w:b/>
          <w:sz w:val="24"/>
          <w:szCs w:val="24"/>
        </w:rPr>
      </w:pPr>
      <w:r w:rsidRPr="007849BA">
        <w:rPr>
          <w:b/>
          <w:sz w:val="24"/>
          <w:szCs w:val="24"/>
        </w:rPr>
        <w:t>9.</w:t>
      </w:r>
      <w:r w:rsidRPr="007849BA">
        <w:rPr>
          <w:b/>
          <w:sz w:val="24"/>
          <w:szCs w:val="24"/>
        </w:rPr>
        <w:tab/>
        <w:t>DATO FOR FØRSTE MARKEDSFØRINGSTILLADELSE</w:t>
      </w:r>
    </w:p>
    <w:p w14:paraId="6D5F3844" w14:textId="1B5ABC5B" w:rsidR="009260DE" w:rsidRPr="007849BA" w:rsidRDefault="006A1361" w:rsidP="009260DE">
      <w:pPr>
        <w:tabs>
          <w:tab w:val="left" w:pos="851"/>
        </w:tabs>
        <w:ind w:left="851"/>
        <w:rPr>
          <w:sz w:val="24"/>
          <w:szCs w:val="24"/>
        </w:rPr>
      </w:pPr>
      <w:r>
        <w:rPr>
          <w:sz w:val="24"/>
          <w:szCs w:val="24"/>
        </w:rPr>
        <w:t>24. januar 2025</w:t>
      </w:r>
    </w:p>
    <w:p w14:paraId="78FE750C" w14:textId="77777777" w:rsidR="009260DE" w:rsidRPr="007849BA" w:rsidRDefault="009260DE" w:rsidP="009260DE">
      <w:pPr>
        <w:tabs>
          <w:tab w:val="left" w:pos="851"/>
        </w:tabs>
        <w:ind w:left="851"/>
        <w:rPr>
          <w:sz w:val="24"/>
          <w:szCs w:val="24"/>
        </w:rPr>
      </w:pPr>
    </w:p>
    <w:p w14:paraId="54DD4060" w14:textId="77777777" w:rsidR="009260DE" w:rsidRPr="007849BA" w:rsidRDefault="009260DE" w:rsidP="009260DE">
      <w:pPr>
        <w:tabs>
          <w:tab w:val="left" w:pos="851"/>
        </w:tabs>
        <w:ind w:left="851" w:hanging="851"/>
        <w:rPr>
          <w:b/>
          <w:sz w:val="24"/>
          <w:szCs w:val="24"/>
        </w:rPr>
      </w:pPr>
      <w:r w:rsidRPr="007849BA">
        <w:rPr>
          <w:b/>
          <w:sz w:val="24"/>
          <w:szCs w:val="24"/>
        </w:rPr>
        <w:t>10.</w:t>
      </w:r>
      <w:r w:rsidRPr="007849BA">
        <w:rPr>
          <w:b/>
          <w:sz w:val="24"/>
          <w:szCs w:val="24"/>
        </w:rPr>
        <w:tab/>
        <w:t>DATO FOR ÆNDRING AF TEKSTEN</w:t>
      </w:r>
    </w:p>
    <w:p w14:paraId="46FB75D2" w14:textId="1ED3F1CD" w:rsidR="009260DE" w:rsidRPr="007849BA" w:rsidRDefault="001E5C27" w:rsidP="009260DE">
      <w:pPr>
        <w:tabs>
          <w:tab w:val="left" w:pos="851"/>
        </w:tabs>
        <w:ind w:left="851"/>
        <w:rPr>
          <w:sz w:val="24"/>
          <w:szCs w:val="24"/>
        </w:rPr>
      </w:pPr>
      <w:r w:rsidRPr="007849BA">
        <w:rPr>
          <w:sz w:val="24"/>
          <w:szCs w:val="24"/>
        </w:rPr>
        <w:t>-</w:t>
      </w:r>
    </w:p>
    <w:sectPr w:rsidR="009260DE" w:rsidRPr="007849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51D2" w14:textId="77777777" w:rsidR="008016C7" w:rsidRDefault="008016C7">
      <w:r>
        <w:separator/>
      </w:r>
    </w:p>
  </w:endnote>
  <w:endnote w:type="continuationSeparator" w:id="0">
    <w:p w14:paraId="37BBEA8A" w14:textId="77777777" w:rsidR="008016C7" w:rsidRDefault="0080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592A" w14:textId="77777777" w:rsidR="000259B9" w:rsidRDefault="000259B9">
    <w:pPr>
      <w:pStyle w:val="Sidefod"/>
      <w:pBdr>
        <w:bottom w:val="single" w:sz="6" w:space="1" w:color="auto"/>
      </w:pBdr>
    </w:pPr>
  </w:p>
  <w:p w14:paraId="7D826291" w14:textId="77777777" w:rsidR="000259B9" w:rsidRDefault="000259B9" w:rsidP="00C42586">
    <w:pPr>
      <w:pStyle w:val="Sidefod"/>
      <w:tabs>
        <w:tab w:val="clear" w:pos="4819"/>
        <w:tab w:val="left" w:pos="8505"/>
      </w:tabs>
      <w:rPr>
        <w:i/>
        <w:sz w:val="18"/>
        <w:szCs w:val="18"/>
      </w:rPr>
    </w:pPr>
  </w:p>
  <w:p w14:paraId="0E0C4B5E" w14:textId="2916846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849BA">
      <w:rPr>
        <w:i/>
        <w:noProof/>
        <w:sz w:val="18"/>
        <w:szCs w:val="18"/>
      </w:rPr>
      <w:t>Tapentadol G.L. Pharma, filmovertrukne tabletter 50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2E904" w14:textId="77777777" w:rsidR="008016C7" w:rsidRDefault="008016C7">
      <w:r>
        <w:separator/>
      </w:r>
    </w:p>
  </w:footnote>
  <w:footnote w:type="continuationSeparator" w:id="0">
    <w:p w14:paraId="1CBD411E" w14:textId="77777777" w:rsidR="008016C7" w:rsidRDefault="00801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67C"/>
    <w:multiLevelType w:val="hybridMultilevel"/>
    <w:tmpl w:val="FAB4585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F80D91"/>
    <w:multiLevelType w:val="hybridMultilevel"/>
    <w:tmpl w:val="3DA083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EF767A"/>
    <w:multiLevelType w:val="hybridMultilevel"/>
    <w:tmpl w:val="DF60FC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684713F"/>
    <w:multiLevelType w:val="hybridMultilevel"/>
    <w:tmpl w:val="8E32A02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C7"/>
    <w:rsid w:val="000259B9"/>
    <w:rsid w:val="00041491"/>
    <w:rsid w:val="00050D16"/>
    <w:rsid w:val="000730CA"/>
    <w:rsid w:val="00074F2A"/>
    <w:rsid w:val="000A1CA8"/>
    <w:rsid w:val="000A466B"/>
    <w:rsid w:val="000B058C"/>
    <w:rsid w:val="000D68B0"/>
    <w:rsid w:val="000E4EE6"/>
    <w:rsid w:val="001454E2"/>
    <w:rsid w:val="001E5C27"/>
    <w:rsid w:val="00206CE8"/>
    <w:rsid w:val="0021526C"/>
    <w:rsid w:val="00283A2B"/>
    <w:rsid w:val="00295D2D"/>
    <w:rsid w:val="002B30AD"/>
    <w:rsid w:val="002C1EC0"/>
    <w:rsid w:val="002C2C01"/>
    <w:rsid w:val="00301BB6"/>
    <w:rsid w:val="003A29AE"/>
    <w:rsid w:val="003A32D7"/>
    <w:rsid w:val="003B4074"/>
    <w:rsid w:val="003C769A"/>
    <w:rsid w:val="003D3A90"/>
    <w:rsid w:val="003F1838"/>
    <w:rsid w:val="004251C1"/>
    <w:rsid w:val="0045746C"/>
    <w:rsid w:val="0049104B"/>
    <w:rsid w:val="004E3B12"/>
    <w:rsid w:val="004F1B3E"/>
    <w:rsid w:val="00532310"/>
    <w:rsid w:val="00565F0F"/>
    <w:rsid w:val="00594A86"/>
    <w:rsid w:val="00596D86"/>
    <w:rsid w:val="00637F5A"/>
    <w:rsid w:val="00641C65"/>
    <w:rsid w:val="006560B1"/>
    <w:rsid w:val="00662400"/>
    <w:rsid w:val="006756DD"/>
    <w:rsid w:val="006A1361"/>
    <w:rsid w:val="0071241E"/>
    <w:rsid w:val="00737275"/>
    <w:rsid w:val="00740EEC"/>
    <w:rsid w:val="0078011A"/>
    <w:rsid w:val="00782AF4"/>
    <w:rsid w:val="007849BA"/>
    <w:rsid w:val="00790EE7"/>
    <w:rsid w:val="007B6649"/>
    <w:rsid w:val="008016C7"/>
    <w:rsid w:val="0082576E"/>
    <w:rsid w:val="0089346F"/>
    <w:rsid w:val="008D0D53"/>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07E17"/>
    <w:rsid w:val="00D11748"/>
    <w:rsid w:val="00D237F6"/>
    <w:rsid w:val="00D34D98"/>
    <w:rsid w:val="00D366CF"/>
    <w:rsid w:val="00D93992"/>
    <w:rsid w:val="00E108AA"/>
    <w:rsid w:val="00E3749A"/>
    <w:rsid w:val="00E7437F"/>
    <w:rsid w:val="00E865B8"/>
    <w:rsid w:val="00EC0B9B"/>
    <w:rsid w:val="00ED5E9F"/>
    <w:rsid w:val="00F4752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14999"/>
  <w15:chartTrackingRefBased/>
  <w15:docId w15:val="{759C0B38-C6A9-4EEB-9984-1E8C342A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95D2D"/>
    <w:pPr>
      <w:spacing w:before="120" w:after="120"/>
      <w:jc w:val="both"/>
    </w:pPr>
    <w:rPr>
      <w:sz w:val="22"/>
      <w:lang w:val="en-US"/>
    </w:rPr>
  </w:style>
  <w:style w:type="paragraph" w:styleId="Listeafsnit">
    <w:name w:val="List Paragraph"/>
    <w:basedOn w:val="Normal"/>
    <w:uiPriority w:val="34"/>
    <w:qFormat/>
    <w:rsid w:val="00295D2D"/>
    <w:pPr>
      <w:ind w:left="720"/>
      <w:contextualSpacing/>
    </w:pPr>
    <w:rPr>
      <w:sz w:val="22"/>
    </w:rPr>
  </w:style>
  <w:style w:type="paragraph" w:styleId="Brdtekstindrykning">
    <w:name w:val="Body Text Indent"/>
    <w:basedOn w:val="Normal"/>
    <w:link w:val="BrdtekstindrykningTegn"/>
    <w:semiHidden/>
    <w:unhideWhenUsed/>
    <w:rsid w:val="00295D2D"/>
    <w:pPr>
      <w:ind w:left="851"/>
    </w:pPr>
    <w:rPr>
      <w:b/>
      <w:spacing w:val="-3"/>
      <w:sz w:val="24"/>
      <w:lang w:eastAsia="da-DK"/>
    </w:rPr>
  </w:style>
  <w:style w:type="character" w:customStyle="1" w:styleId="BrdtekstindrykningTegn">
    <w:name w:val="Brødtekstindrykning Tegn"/>
    <w:basedOn w:val="Standardskrifttypeiafsnit"/>
    <w:link w:val="Brdtekstindrykning"/>
    <w:semiHidden/>
    <w:rsid w:val="00295D2D"/>
    <w:rPr>
      <w:b/>
      <w:spacing w:val="-3"/>
      <w:sz w:val="24"/>
    </w:rPr>
  </w:style>
  <w:style w:type="character" w:styleId="Hyperlink">
    <w:name w:val="Hyperlink"/>
    <w:uiPriority w:val="99"/>
    <w:semiHidden/>
    <w:unhideWhenUsed/>
    <w:rsid w:val="00295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4642810">
      <w:bodyDiv w:val="1"/>
      <w:marLeft w:val="0"/>
      <w:marRight w:val="0"/>
      <w:marTop w:val="0"/>
      <w:marBottom w:val="0"/>
      <w:divBdr>
        <w:top w:val="none" w:sz="0" w:space="0" w:color="auto"/>
        <w:left w:val="none" w:sz="0" w:space="0" w:color="auto"/>
        <w:bottom w:val="none" w:sz="0" w:space="0" w:color="auto"/>
        <w:right w:val="none" w:sz="0" w:space="0" w:color="auto"/>
      </w:divBdr>
    </w:div>
    <w:div w:id="391123539">
      <w:bodyDiv w:val="1"/>
      <w:marLeft w:val="0"/>
      <w:marRight w:val="0"/>
      <w:marTop w:val="0"/>
      <w:marBottom w:val="0"/>
      <w:divBdr>
        <w:top w:val="none" w:sz="0" w:space="0" w:color="auto"/>
        <w:left w:val="none" w:sz="0" w:space="0" w:color="auto"/>
        <w:bottom w:val="none" w:sz="0" w:space="0" w:color="auto"/>
        <w:right w:val="none" w:sz="0" w:space="0" w:color="auto"/>
      </w:divBdr>
    </w:div>
    <w:div w:id="415517259">
      <w:bodyDiv w:val="1"/>
      <w:marLeft w:val="0"/>
      <w:marRight w:val="0"/>
      <w:marTop w:val="0"/>
      <w:marBottom w:val="0"/>
      <w:divBdr>
        <w:top w:val="none" w:sz="0" w:space="0" w:color="auto"/>
        <w:left w:val="none" w:sz="0" w:space="0" w:color="auto"/>
        <w:bottom w:val="none" w:sz="0" w:space="0" w:color="auto"/>
        <w:right w:val="none" w:sz="0" w:space="0" w:color="auto"/>
      </w:divBdr>
    </w:div>
    <w:div w:id="441464897">
      <w:bodyDiv w:val="1"/>
      <w:marLeft w:val="0"/>
      <w:marRight w:val="0"/>
      <w:marTop w:val="0"/>
      <w:marBottom w:val="0"/>
      <w:divBdr>
        <w:top w:val="none" w:sz="0" w:space="0" w:color="auto"/>
        <w:left w:val="none" w:sz="0" w:space="0" w:color="auto"/>
        <w:bottom w:val="none" w:sz="0" w:space="0" w:color="auto"/>
        <w:right w:val="none" w:sz="0" w:space="0" w:color="auto"/>
      </w:divBdr>
    </w:div>
    <w:div w:id="637339746">
      <w:bodyDiv w:val="1"/>
      <w:marLeft w:val="0"/>
      <w:marRight w:val="0"/>
      <w:marTop w:val="0"/>
      <w:marBottom w:val="0"/>
      <w:divBdr>
        <w:top w:val="none" w:sz="0" w:space="0" w:color="auto"/>
        <w:left w:val="none" w:sz="0" w:space="0" w:color="auto"/>
        <w:bottom w:val="none" w:sz="0" w:space="0" w:color="auto"/>
        <w:right w:val="none" w:sz="0" w:space="0" w:color="auto"/>
      </w:divBdr>
    </w:div>
    <w:div w:id="695737138">
      <w:bodyDiv w:val="1"/>
      <w:marLeft w:val="0"/>
      <w:marRight w:val="0"/>
      <w:marTop w:val="0"/>
      <w:marBottom w:val="0"/>
      <w:divBdr>
        <w:top w:val="none" w:sz="0" w:space="0" w:color="auto"/>
        <w:left w:val="none" w:sz="0" w:space="0" w:color="auto"/>
        <w:bottom w:val="none" w:sz="0" w:space="0" w:color="auto"/>
        <w:right w:val="none" w:sz="0" w:space="0" w:color="auto"/>
      </w:divBdr>
    </w:div>
    <w:div w:id="750004487">
      <w:bodyDiv w:val="1"/>
      <w:marLeft w:val="0"/>
      <w:marRight w:val="0"/>
      <w:marTop w:val="0"/>
      <w:marBottom w:val="0"/>
      <w:divBdr>
        <w:top w:val="none" w:sz="0" w:space="0" w:color="auto"/>
        <w:left w:val="none" w:sz="0" w:space="0" w:color="auto"/>
        <w:bottom w:val="none" w:sz="0" w:space="0" w:color="auto"/>
        <w:right w:val="none" w:sz="0" w:space="0" w:color="auto"/>
      </w:divBdr>
    </w:div>
    <w:div w:id="823738693">
      <w:bodyDiv w:val="1"/>
      <w:marLeft w:val="0"/>
      <w:marRight w:val="0"/>
      <w:marTop w:val="0"/>
      <w:marBottom w:val="0"/>
      <w:divBdr>
        <w:top w:val="none" w:sz="0" w:space="0" w:color="auto"/>
        <w:left w:val="none" w:sz="0" w:space="0" w:color="auto"/>
        <w:bottom w:val="none" w:sz="0" w:space="0" w:color="auto"/>
        <w:right w:val="none" w:sz="0" w:space="0" w:color="auto"/>
      </w:divBdr>
    </w:div>
    <w:div w:id="831216000">
      <w:bodyDiv w:val="1"/>
      <w:marLeft w:val="0"/>
      <w:marRight w:val="0"/>
      <w:marTop w:val="0"/>
      <w:marBottom w:val="0"/>
      <w:divBdr>
        <w:top w:val="none" w:sz="0" w:space="0" w:color="auto"/>
        <w:left w:val="none" w:sz="0" w:space="0" w:color="auto"/>
        <w:bottom w:val="none" w:sz="0" w:space="0" w:color="auto"/>
        <w:right w:val="none" w:sz="0" w:space="0" w:color="auto"/>
      </w:divBdr>
    </w:div>
    <w:div w:id="974601323">
      <w:bodyDiv w:val="1"/>
      <w:marLeft w:val="0"/>
      <w:marRight w:val="0"/>
      <w:marTop w:val="0"/>
      <w:marBottom w:val="0"/>
      <w:divBdr>
        <w:top w:val="none" w:sz="0" w:space="0" w:color="auto"/>
        <w:left w:val="none" w:sz="0" w:space="0" w:color="auto"/>
        <w:bottom w:val="none" w:sz="0" w:space="0" w:color="auto"/>
        <w:right w:val="none" w:sz="0" w:space="0" w:color="auto"/>
      </w:divBdr>
    </w:div>
    <w:div w:id="980812037">
      <w:bodyDiv w:val="1"/>
      <w:marLeft w:val="0"/>
      <w:marRight w:val="0"/>
      <w:marTop w:val="0"/>
      <w:marBottom w:val="0"/>
      <w:divBdr>
        <w:top w:val="none" w:sz="0" w:space="0" w:color="auto"/>
        <w:left w:val="none" w:sz="0" w:space="0" w:color="auto"/>
        <w:bottom w:val="none" w:sz="0" w:space="0" w:color="auto"/>
        <w:right w:val="none" w:sz="0" w:space="0" w:color="auto"/>
      </w:divBdr>
    </w:div>
    <w:div w:id="986209376">
      <w:bodyDiv w:val="1"/>
      <w:marLeft w:val="0"/>
      <w:marRight w:val="0"/>
      <w:marTop w:val="0"/>
      <w:marBottom w:val="0"/>
      <w:divBdr>
        <w:top w:val="none" w:sz="0" w:space="0" w:color="auto"/>
        <w:left w:val="none" w:sz="0" w:space="0" w:color="auto"/>
        <w:bottom w:val="none" w:sz="0" w:space="0" w:color="auto"/>
        <w:right w:val="none" w:sz="0" w:space="0" w:color="auto"/>
      </w:divBdr>
    </w:div>
    <w:div w:id="1189562004">
      <w:bodyDiv w:val="1"/>
      <w:marLeft w:val="0"/>
      <w:marRight w:val="0"/>
      <w:marTop w:val="0"/>
      <w:marBottom w:val="0"/>
      <w:divBdr>
        <w:top w:val="none" w:sz="0" w:space="0" w:color="auto"/>
        <w:left w:val="none" w:sz="0" w:space="0" w:color="auto"/>
        <w:bottom w:val="none" w:sz="0" w:space="0" w:color="auto"/>
        <w:right w:val="none" w:sz="0" w:space="0" w:color="auto"/>
      </w:divBdr>
    </w:div>
    <w:div w:id="1352417852">
      <w:bodyDiv w:val="1"/>
      <w:marLeft w:val="0"/>
      <w:marRight w:val="0"/>
      <w:marTop w:val="0"/>
      <w:marBottom w:val="0"/>
      <w:divBdr>
        <w:top w:val="none" w:sz="0" w:space="0" w:color="auto"/>
        <w:left w:val="none" w:sz="0" w:space="0" w:color="auto"/>
        <w:bottom w:val="none" w:sz="0" w:space="0" w:color="auto"/>
        <w:right w:val="none" w:sz="0" w:space="0" w:color="auto"/>
      </w:divBdr>
    </w:div>
    <w:div w:id="1377581933">
      <w:bodyDiv w:val="1"/>
      <w:marLeft w:val="0"/>
      <w:marRight w:val="0"/>
      <w:marTop w:val="0"/>
      <w:marBottom w:val="0"/>
      <w:divBdr>
        <w:top w:val="none" w:sz="0" w:space="0" w:color="auto"/>
        <w:left w:val="none" w:sz="0" w:space="0" w:color="auto"/>
        <w:bottom w:val="none" w:sz="0" w:space="0" w:color="auto"/>
        <w:right w:val="none" w:sz="0" w:space="0" w:color="auto"/>
      </w:divBdr>
    </w:div>
    <w:div w:id="1398942537">
      <w:bodyDiv w:val="1"/>
      <w:marLeft w:val="0"/>
      <w:marRight w:val="0"/>
      <w:marTop w:val="0"/>
      <w:marBottom w:val="0"/>
      <w:divBdr>
        <w:top w:val="none" w:sz="0" w:space="0" w:color="auto"/>
        <w:left w:val="none" w:sz="0" w:space="0" w:color="auto"/>
        <w:bottom w:val="none" w:sz="0" w:space="0" w:color="auto"/>
        <w:right w:val="none" w:sz="0" w:space="0" w:color="auto"/>
      </w:divBdr>
    </w:div>
    <w:div w:id="1744795804">
      <w:bodyDiv w:val="1"/>
      <w:marLeft w:val="0"/>
      <w:marRight w:val="0"/>
      <w:marTop w:val="0"/>
      <w:marBottom w:val="0"/>
      <w:divBdr>
        <w:top w:val="none" w:sz="0" w:space="0" w:color="auto"/>
        <w:left w:val="none" w:sz="0" w:space="0" w:color="auto"/>
        <w:bottom w:val="none" w:sz="0" w:space="0" w:color="auto"/>
        <w:right w:val="none" w:sz="0" w:space="0" w:color="auto"/>
      </w:divBdr>
    </w:div>
    <w:div w:id="1787701698">
      <w:bodyDiv w:val="1"/>
      <w:marLeft w:val="0"/>
      <w:marRight w:val="0"/>
      <w:marTop w:val="0"/>
      <w:marBottom w:val="0"/>
      <w:divBdr>
        <w:top w:val="none" w:sz="0" w:space="0" w:color="auto"/>
        <w:left w:val="none" w:sz="0" w:space="0" w:color="auto"/>
        <w:bottom w:val="none" w:sz="0" w:space="0" w:color="auto"/>
        <w:right w:val="none" w:sz="0" w:space="0" w:color="auto"/>
      </w:divBdr>
    </w:div>
    <w:div w:id="1805729961">
      <w:bodyDiv w:val="1"/>
      <w:marLeft w:val="0"/>
      <w:marRight w:val="0"/>
      <w:marTop w:val="0"/>
      <w:marBottom w:val="0"/>
      <w:divBdr>
        <w:top w:val="none" w:sz="0" w:space="0" w:color="auto"/>
        <w:left w:val="none" w:sz="0" w:space="0" w:color="auto"/>
        <w:bottom w:val="none" w:sz="0" w:space="0" w:color="auto"/>
        <w:right w:val="none" w:sz="0" w:space="0" w:color="auto"/>
      </w:divBdr>
    </w:div>
    <w:div w:id="1845826307">
      <w:bodyDiv w:val="1"/>
      <w:marLeft w:val="0"/>
      <w:marRight w:val="0"/>
      <w:marTop w:val="0"/>
      <w:marBottom w:val="0"/>
      <w:divBdr>
        <w:top w:val="none" w:sz="0" w:space="0" w:color="auto"/>
        <w:left w:val="none" w:sz="0" w:space="0" w:color="auto"/>
        <w:bottom w:val="none" w:sz="0" w:space="0" w:color="auto"/>
        <w:right w:val="none" w:sz="0" w:space="0" w:color="auto"/>
      </w:divBdr>
    </w:div>
    <w:div w:id="1990210782">
      <w:bodyDiv w:val="1"/>
      <w:marLeft w:val="0"/>
      <w:marRight w:val="0"/>
      <w:marTop w:val="0"/>
      <w:marBottom w:val="0"/>
      <w:divBdr>
        <w:top w:val="none" w:sz="0" w:space="0" w:color="auto"/>
        <w:left w:val="none" w:sz="0" w:space="0" w:color="auto"/>
        <w:bottom w:val="none" w:sz="0" w:space="0" w:color="auto"/>
        <w:right w:val="none" w:sz="0" w:space="0" w:color="auto"/>
      </w:divBdr>
    </w:div>
    <w:div w:id="19989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82</TotalTime>
  <Pages>13</Pages>
  <Words>4118</Words>
  <Characters>28040</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2022102343, MT</dc:description>
  <cp:lastModifiedBy>Gitte Jørgensen</cp:lastModifiedBy>
  <cp:revision>10</cp:revision>
  <cp:lastPrinted>2012-08-22T08:53:00Z</cp:lastPrinted>
  <dcterms:created xsi:type="dcterms:W3CDTF">2025-01-24T07:53:00Z</dcterms:created>
  <dcterms:modified xsi:type="dcterms:W3CDTF">2025-01-24T12:39:00Z</dcterms:modified>
</cp:coreProperties>
</file>