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FF09" w14:textId="77777777" w:rsidR="009260DE" w:rsidRPr="00301E7F" w:rsidRDefault="0021526C" w:rsidP="009260DE">
      <w:pPr>
        <w:rPr>
          <w:sz w:val="24"/>
          <w:szCs w:val="24"/>
        </w:rPr>
      </w:pPr>
      <w:r w:rsidRPr="00301E7F">
        <w:rPr>
          <w:noProof/>
          <w:sz w:val="24"/>
          <w:szCs w:val="24"/>
          <w:lang w:eastAsia="da-DK"/>
        </w:rPr>
        <w:drawing>
          <wp:anchor distT="0" distB="0" distL="114300" distR="114300" simplePos="0" relativeHeight="251658240" behindDoc="0" locked="0" layoutInCell="1" allowOverlap="1" wp14:anchorId="160BFDF0" wp14:editId="65198D3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01E7F">
        <w:rPr>
          <w:sz w:val="24"/>
          <w:szCs w:val="24"/>
        </w:rPr>
        <w:br w:type="textWrapping" w:clear="all"/>
      </w:r>
    </w:p>
    <w:p w14:paraId="582E86B3" w14:textId="71DB4D66" w:rsidR="009260DE" w:rsidRPr="00301E7F" w:rsidRDefault="009260DE" w:rsidP="009260DE">
      <w:pPr>
        <w:pStyle w:val="Titel"/>
        <w:tabs>
          <w:tab w:val="right" w:pos="9356"/>
        </w:tabs>
        <w:jc w:val="left"/>
        <w:rPr>
          <w:b w:val="0"/>
          <w:szCs w:val="24"/>
          <w:lang w:eastAsia="en-US"/>
        </w:rPr>
      </w:pPr>
      <w:r w:rsidRPr="00301E7F">
        <w:rPr>
          <w:b w:val="0"/>
          <w:szCs w:val="24"/>
          <w:lang w:eastAsia="en-US"/>
        </w:rPr>
        <w:tab/>
      </w:r>
      <w:r w:rsidR="00693FBE">
        <w:rPr>
          <w:szCs w:val="24"/>
        </w:rPr>
        <w:t>12. maj 2026</w:t>
      </w:r>
    </w:p>
    <w:p w14:paraId="0BF27206" w14:textId="77777777" w:rsidR="009260DE" w:rsidRPr="00301E7F" w:rsidRDefault="009260DE" w:rsidP="009260DE">
      <w:pPr>
        <w:pStyle w:val="Titel"/>
        <w:tabs>
          <w:tab w:val="left" w:pos="8222"/>
        </w:tabs>
        <w:jc w:val="left"/>
        <w:rPr>
          <w:b w:val="0"/>
          <w:szCs w:val="24"/>
        </w:rPr>
      </w:pPr>
    </w:p>
    <w:p w14:paraId="6F0D005B" w14:textId="77777777" w:rsidR="009260DE" w:rsidRPr="00301E7F" w:rsidRDefault="009260DE" w:rsidP="009260DE">
      <w:pPr>
        <w:pStyle w:val="Titel"/>
        <w:jc w:val="left"/>
        <w:rPr>
          <w:b w:val="0"/>
          <w:szCs w:val="24"/>
        </w:rPr>
      </w:pPr>
    </w:p>
    <w:p w14:paraId="60D39B64" w14:textId="77777777" w:rsidR="009260DE" w:rsidRPr="00301E7F" w:rsidRDefault="009260DE" w:rsidP="009260DE">
      <w:pPr>
        <w:pStyle w:val="Titel"/>
        <w:jc w:val="left"/>
        <w:rPr>
          <w:b w:val="0"/>
          <w:szCs w:val="24"/>
        </w:rPr>
      </w:pPr>
    </w:p>
    <w:p w14:paraId="30FD40BE" w14:textId="77777777" w:rsidR="009260DE" w:rsidRPr="00301E7F" w:rsidRDefault="009260DE" w:rsidP="009260DE">
      <w:pPr>
        <w:jc w:val="center"/>
        <w:rPr>
          <w:b/>
          <w:sz w:val="24"/>
          <w:szCs w:val="24"/>
        </w:rPr>
      </w:pPr>
      <w:r w:rsidRPr="00301E7F">
        <w:rPr>
          <w:b/>
          <w:sz w:val="24"/>
          <w:szCs w:val="24"/>
        </w:rPr>
        <w:t>PRODUKTRESUMÉ</w:t>
      </w:r>
    </w:p>
    <w:p w14:paraId="7EA984B3" w14:textId="77777777" w:rsidR="009260DE" w:rsidRPr="00301E7F" w:rsidRDefault="009260DE" w:rsidP="009260DE">
      <w:pPr>
        <w:jc w:val="center"/>
        <w:rPr>
          <w:b/>
          <w:sz w:val="24"/>
          <w:szCs w:val="24"/>
        </w:rPr>
      </w:pPr>
    </w:p>
    <w:p w14:paraId="4854B266" w14:textId="77777777" w:rsidR="009260DE" w:rsidRPr="00301E7F" w:rsidRDefault="009260DE" w:rsidP="009260DE">
      <w:pPr>
        <w:jc w:val="center"/>
        <w:rPr>
          <w:b/>
          <w:sz w:val="24"/>
          <w:szCs w:val="24"/>
        </w:rPr>
      </w:pPr>
      <w:r w:rsidRPr="00301E7F">
        <w:rPr>
          <w:b/>
          <w:sz w:val="24"/>
          <w:szCs w:val="24"/>
        </w:rPr>
        <w:t>for</w:t>
      </w:r>
    </w:p>
    <w:p w14:paraId="744CD821" w14:textId="77777777" w:rsidR="000B058C" w:rsidRPr="00301E7F" w:rsidRDefault="000B058C" w:rsidP="009260DE">
      <w:pPr>
        <w:jc w:val="center"/>
        <w:rPr>
          <w:b/>
          <w:sz w:val="24"/>
          <w:szCs w:val="24"/>
        </w:rPr>
      </w:pPr>
    </w:p>
    <w:p w14:paraId="430C6B77" w14:textId="52BEB2DC" w:rsidR="009260DE" w:rsidRPr="00301E7F" w:rsidRDefault="00480915" w:rsidP="009260DE">
      <w:pPr>
        <w:jc w:val="center"/>
        <w:rPr>
          <w:b/>
          <w:sz w:val="24"/>
          <w:szCs w:val="24"/>
        </w:rPr>
      </w:pPr>
      <w:proofErr w:type="spellStart"/>
      <w:r w:rsidRPr="00301E7F">
        <w:rPr>
          <w:b/>
          <w:sz w:val="24"/>
          <w:szCs w:val="24"/>
        </w:rPr>
        <w:t>Tapentadol</w:t>
      </w:r>
      <w:proofErr w:type="spellEnd"/>
      <w:r w:rsidRPr="00301E7F">
        <w:rPr>
          <w:b/>
          <w:sz w:val="24"/>
          <w:szCs w:val="24"/>
        </w:rPr>
        <w:t xml:space="preserve"> "</w:t>
      </w:r>
      <w:proofErr w:type="spellStart"/>
      <w:r w:rsidRPr="00301E7F">
        <w:rPr>
          <w:b/>
          <w:sz w:val="24"/>
          <w:szCs w:val="24"/>
        </w:rPr>
        <w:t>Vivanta</w:t>
      </w:r>
      <w:proofErr w:type="spellEnd"/>
      <w:r w:rsidRPr="00301E7F">
        <w:rPr>
          <w:b/>
          <w:sz w:val="24"/>
          <w:szCs w:val="24"/>
        </w:rPr>
        <w:t>", depottabletter</w:t>
      </w:r>
    </w:p>
    <w:p w14:paraId="4E838946" w14:textId="77777777" w:rsidR="009260DE" w:rsidRPr="00301E7F" w:rsidRDefault="009260DE" w:rsidP="009260DE">
      <w:pPr>
        <w:jc w:val="both"/>
        <w:rPr>
          <w:sz w:val="24"/>
          <w:szCs w:val="24"/>
        </w:rPr>
      </w:pPr>
    </w:p>
    <w:p w14:paraId="2736227D" w14:textId="77777777" w:rsidR="009260DE" w:rsidRPr="00301E7F" w:rsidRDefault="009260DE" w:rsidP="009260DE">
      <w:pPr>
        <w:jc w:val="both"/>
        <w:rPr>
          <w:sz w:val="24"/>
          <w:szCs w:val="24"/>
        </w:rPr>
      </w:pPr>
    </w:p>
    <w:p w14:paraId="62D5EA01" w14:textId="77777777" w:rsidR="009260DE" w:rsidRPr="00301E7F" w:rsidRDefault="009260DE" w:rsidP="009260DE">
      <w:pPr>
        <w:tabs>
          <w:tab w:val="left" w:pos="851"/>
        </w:tabs>
        <w:ind w:left="851" w:hanging="851"/>
        <w:rPr>
          <w:b/>
          <w:sz w:val="24"/>
          <w:szCs w:val="24"/>
        </w:rPr>
      </w:pPr>
      <w:r w:rsidRPr="00301E7F">
        <w:rPr>
          <w:b/>
          <w:sz w:val="24"/>
          <w:szCs w:val="24"/>
        </w:rPr>
        <w:t>0.</w:t>
      </w:r>
      <w:r w:rsidRPr="00301E7F">
        <w:rPr>
          <w:b/>
          <w:sz w:val="24"/>
          <w:szCs w:val="24"/>
        </w:rPr>
        <w:tab/>
        <w:t>D.SP.NR.</w:t>
      </w:r>
    </w:p>
    <w:p w14:paraId="437F04FA" w14:textId="5B534E0E" w:rsidR="009260DE" w:rsidRPr="00301E7F" w:rsidRDefault="00480915" w:rsidP="009260DE">
      <w:pPr>
        <w:tabs>
          <w:tab w:val="left" w:pos="851"/>
        </w:tabs>
        <w:ind w:left="851"/>
        <w:rPr>
          <w:sz w:val="24"/>
          <w:szCs w:val="24"/>
        </w:rPr>
      </w:pPr>
      <w:r w:rsidRPr="00301E7F">
        <w:rPr>
          <w:sz w:val="24"/>
          <w:szCs w:val="24"/>
        </w:rPr>
        <w:t>33092</w:t>
      </w:r>
    </w:p>
    <w:p w14:paraId="7AEEB1C6" w14:textId="77777777" w:rsidR="009260DE" w:rsidRPr="00301E7F" w:rsidRDefault="009260DE" w:rsidP="009260DE">
      <w:pPr>
        <w:tabs>
          <w:tab w:val="left" w:pos="851"/>
        </w:tabs>
        <w:ind w:left="851"/>
        <w:rPr>
          <w:sz w:val="24"/>
          <w:szCs w:val="24"/>
        </w:rPr>
      </w:pPr>
    </w:p>
    <w:p w14:paraId="3226F9A8" w14:textId="77777777" w:rsidR="009260DE" w:rsidRPr="00301E7F" w:rsidRDefault="009260DE" w:rsidP="009260DE">
      <w:pPr>
        <w:tabs>
          <w:tab w:val="left" w:pos="851"/>
        </w:tabs>
        <w:ind w:left="851" w:hanging="851"/>
        <w:rPr>
          <w:b/>
          <w:sz w:val="24"/>
          <w:szCs w:val="24"/>
        </w:rPr>
      </w:pPr>
      <w:r w:rsidRPr="00301E7F">
        <w:rPr>
          <w:b/>
          <w:sz w:val="24"/>
          <w:szCs w:val="24"/>
        </w:rPr>
        <w:t>1.</w:t>
      </w:r>
      <w:r w:rsidRPr="00301E7F">
        <w:rPr>
          <w:b/>
          <w:sz w:val="24"/>
          <w:szCs w:val="24"/>
        </w:rPr>
        <w:tab/>
        <w:t>LÆGEMIDLETS NAVN</w:t>
      </w:r>
    </w:p>
    <w:p w14:paraId="1C447E45" w14:textId="4E082416" w:rsidR="009260DE" w:rsidRPr="00301E7F" w:rsidRDefault="00480915" w:rsidP="009260DE">
      <w:pPr>
        <w:tabs>
          <w:tab w:val="left" w:pos="851"/>
        </w:tabs>
        <w:ind w:left="851"/>
        <w:rPr>
          <w:sz w:val="24"/>
          <w:szCs w:val="24"/>
        </w:rPr>
      </w:pPr>
      <w:proofErr w:type="spellStart"/>
      <w:r w:rsidRPr="00301E7F">
        <w:rPr>
          <w:sz w:val="24"/>
          <w:szCs w:val="24"/>
        </w:rPr>
        <w:t>Tapentadol</w:t>
      </w:r>
      <w:proofErr w:type="spellEnd"/>
      <w:r w:rsidRPr="00301E7F">
        <w:rPr>
          <w:sz w:val="24"/>
          <w:szCs w:val="24"/>
        </w:rPr>
        <w:t xml:space="preserve"> "</w:t>
      </w:r>
      <w:proofErr w:type="spellStart"/>
      <w:r w:rsidRPr="00301E7F">
        <w:rPr>
          <w:sz w:val="24"/>
          <w:szCs w:val="24"/>
        </w:rPr>
        <w:t>Vivanta</w:t>
      </w:r>
      <w:proofErr w:type="spellEnd"/>
      <w:r w:rsidRPr="00301E7F">
        <w:rPr>
          <w:sz w:val="24"/>
          <w:szCs w:val="24"/>
        </w:rPr>
        <w:t>"</w:t>
      </w:r>
    </w:p>
    <w:p w14:paraId="0AACE78C" w14:textId="77777777" w:rsidR="009260DE" w:rsidRPr="00301E7F" w:rsidRDefault="009260DE" w:rsidP="009260DE">
      <w:pPr>
        <w:tabs>
          <w:tab w:val="left" w:pos="851"/>
        </w:tabs>
        <w:ind w:left="851"/>
        <w:rPr>
          <w:sz w:val="24"/>
          <w:szCs w:val="24"/>
        </w:rPr>
      </w:pPr>
    </w:p>
    <w:p w14:paraId="263BAE77" w14:textId="77777777" w:rsidR="009260DE" w:rsidRPr="00301E7F" w:rsidRDefault="009260DE" w:rsidP="009260DE">
      <w:pPr>
        <w:tabs>
          <w:tab w:val="left" w:pos="851"/>
        </w:tabs>
        <w:ind w:left="851" w:hanging="851"/>
        <w:rPr>
          <w:b/>
          <w:sz w:val="24"/>
          <w:szCs w:val="24"/>
        </w:rPr>
      </w:pPr>
      <w:r w:rsidRPr="00301E7F">
        <w:rPr>
          <w:b/>
          <w:sz w:val="24"/>
          <w:szCs w:val="24"/>
        </w:rPr>
        <w:t>2.</w:t>
      </w:r>
      <w:r w:rsidRPr="00301E7F">
        <w:rPr>
          <w:b/>
          <w:sz w:val="24"/>
          <w:szCs w:val="24"/>
        </w:rPr>
        <w:tab/>
        <w:t>KVALITATIV OG KVANTITATIV SAMMENSÆTNING</w:t>
      </w:r>
    </w:p>
    <w:p w14:paraId="67374518" w14:textId="77777777" w:rsidR="00480915" w:rsidRPr="00480915" w:rsidRDefault="00480915" w:rsidP="00A96B6C">
      <w:pPr>
        <w:ind w:left="851"/>
        <w:rPr>
          <w:sz w:val="24"/>
          <w:szCs w:val="24"/>
        </w:rPr>
      </w:pPr>
      <w:r w:rsidRPr="00480915">
        <w:rPr>
          <w:sz w:val="24"/>
          <w:szCs w:val="24"/>
        </w:rPr>
        <w:t xml:space="preserve">Hver depottablet indeholder 25 mg </w:t>
      </w:r>
      <w:proofErr w:type="spellStart"/>
      <w:r w:rsidRPr="00480915">
        <w:rPr>
          <w:sz w:val="24"/>
          <w:szCs w:val="24"/>
        </w:rPr>
        <w:t>tapentadol</w:t>
      </w:r>
      <w:proofErr w:type="spellEnd"/>
      <w:r w:rsidRPr="00480915">
        <w:rPr>
          <w:sz w:val="24"/>
          <w:szCs w:val="24"/>
        </w:rPr>
        <w:t xml:space="preserve"> (som </w:t>
      </w:r>
      <w:proofErr w:type="spellStart"/>
      <w:r w:rsidRPr="00480915">
        <w:rPr>
          <w:sz w:val="24"/>
          <w:szCs w:val="24"/>
        </w:rPr>
        <w:t>tartrat</w:t>
      </w:r>
      <w:proofErr w:type="spellEnd"/>
      <w:r w:rsidRPr="00480915">
        <w:rPr>
          <w:sz w:val="24"/>
          <w:szCs w:val="24"/>
        </w:rPr>
        <w:t>).</w:t>
      </w:r>
    </w:p>
    <w:p w14:paraId="4E62941E" w14:textId="77777777" w:rsidR="00480915" w:rsidRPr="00480915" w:rsidRDefault="00480915" w:rsidP="00A96B6C">
      <w:pPr>
        <w:ind w:left="851"/>
        <w:rPr>
          <w:sz w:val="24"/>
          <w:szCs w:val="24"/>
        </w:rPr>
      </w:pPr>
      <w:r w:rsidRPr="00480915">
        <w:rPr>
          <w:sz w:val="24"/>
          <w:szCs w:val="24"/>
        </w:rPr>
        <w:t xml:space="preserve">Hver depottablet indeholder 50 mg </w:t>
      </w:r>
      <w:proofErr w:type="spellStart"/>
      <w:r w:rsidRPr="00480915">
        <w:rPr>
          <w:sz w:val="24"/>
          <w:szCs w:val="24"/>
        </w:rPr>
        <w:t>tapentadol</w:t>
      </w:r>
      <w:proofErr w:type="spellEnd"/>
      <w:r w:rsidRPr="00480915">
        <w:rPr>
          <w:sz w:val="24"/>
          <w:szCs w:val="24"/>
        </w:rPr>
        <w:t xml:space="preserve"> (som </w:t>
      </w:r>
      <w:proofErr w:type="spellStart"/>
      <w:r w:rsidRPr="00480915">
        <w:rPr>
          <w:sz w:val="24"/>
          <w:szCs w:val="24"/>
        </w:rPr>
        <w:t>tartrat</w:t>
      </w:r>
      <w:proofErr w:type="spellEnd"/>
      <w:r w:rsidRPr="00480915">
        <w:rPr>
          <w:sz w:val="24"/>
          <w:szCs w:val="24"/>
        </w:rPr>
        <w:t>).</w:t>
      </w:r>
    </w:p>
    <w:p w14:paraId="36D91A0A" w14:textId="77777777" w:rsidR="00480915" w:rsidRPr="00480915" w:rsidRDefault="00480915" w:rsidP="00A96B6C">
      <w:pPr>
        <w:ind w:left="851"/>
        <w:rPr>
          <w:sz w:val="24"/>
          <w:szCs w:val="24"/>
        </w:rPr>
      </w:pPr>
      <w:r w:rsidRPr="00480915">
        <w:rPr>
          <w:sz w:val="24"/>
          <w:szCs w:val="24"/>
        </w:rPr>
        <w:t xml:space="preserve">Hver depottablet indeholder 100 mg </w:t>
      </w:r>
      <w:proofErr w:type="spellStart"/>
      <w:r w:rsidRPr="00480915">
        <w:rPr>
          <w:sz w:val="24"/>
          <w:szCs w:val="24"/>
        </w:rPr>
        <w:t>tapentadol</w:t>
      </w:r>
      <w:proofErr w:type="spellEnd"/>
      <w:r w:rsidRPr="00480915">
        <w:rPr>
          <w:sz w:val="24"/>
          <w:szCs w:val="24"/>
        </w:rPr>
        <w:t xml:space="preserve"> (som </w:t>
      </w:r>
      <w:proofErr w:type="spellStart"/>
      <w:r w:rsidRPr="00480915">
        <w:rPr>
          <w:sz w:val="24"/>
          <w:szCs w:val="24"/>
        </w:rPr>
        <w:t>tartrat</w:t>
      </w:r>
      <w:proofErr w:type="spellEnd"/>
      <w:r w:rsidRPr="00480915">
        <w:rPr>
          <w:sz w:val="24"/>
          <w:szCs w:val="24"/>
        </w:rPr>
        <w:t>).</w:t>
      </w:r>
    </w:p>
    <w:p w14:paraId="41C8D4FD" w14:textId="77777777" w:rsidR="00480915" w:rsidRPr="00480915" w:rsidRDefault="00480915" w:rsidP="00A96B6C">
      <w:pPr>
        <w:ind w:left="851"/>
        <w:rPr>
          <w:sz w:val="24"/>
          <w:szCs w:val="24"/>
        </w:rPr>
      </w:pPr>
      <w:r w:rsidRPr="00480915">
        <w:rPr>
          <w:sz w:val="24"/>
          <w:szCs w:val="24"/>
        </w:rPr>
        <w:t xml:space="preserve">Hver depottablet indeholder 150 mg </w:t>
      </w:r>
      <w:proofErr w:type="spellStart"/>
      <w:r w:rsidRPr="00480915">
        <w:rPr>
          <w:sz w:val="24"/>
          <w:szCs w:val="24"/>
        </w:rPr>
        <w:t>tapentadol</w:t>
      </w:r>
      <w:proofErr w:type="spellEnd"/>
      <w:r w:rsidRPr="00480915">
        <w:rPr>
          <w:sz w:val="24"/>
          <w:szCs w:val="24"/>
        </w:rPr>
        <w:t xml:space="preserve"> (som </w:t>
      </w:r>
      <w:proofErr w:type="spellStart"/>
      <w:r w:rsidRPr="00480915">
        <w:rPr>
          <w:sz w:val="24"/>
          <w:szCs w:val="24"/>
        </w:rPr>
        <w:t>tartrat</w:t>
      </w:r>
      <w:proofErr w:type="spellEnd"/>
      <w:r w:rsidRPr="00480915">
        <w:rPr>
          <w:sz w:val="24"/>
          <w:szCs w:val="24"/>
        </w:rPr>
        <w:t>).</w:t>
      </w:r>
    </w:p>
    <w:p w14:paraId="509FC234" w14:textId="77777777" w:rsidR="00480915" w:rsidRPr="00480915" w:rsidRDefault="00480915" w:rsidP="00A96B6C">
      <w:pPr>
        <w:ind w:left="851"/>
        <w:rPr>
          <w:sz w:val="24"/>
          <w:szCs w:val="24"/>
        </w:rPr>
      </w:pPr>
      <w:r w:rsidRPr="00480915">
        <w:rPr>
          <w:sz w:val="24"/>
          <w:szCs w:val="24"/>
        </w:rPr>
        <w:t xml:space="preserve">Hver depottablet indeholder 200 mg </w:t>
      </w:r>
      <w:proofErr w:type="spellStart"/>
      <w:r w:rsidRPr="00480915">
        <w:rPr>
          <w:sz w:val="24"/>
          <w:szCs w:val="24"/>
        </w:rPr>
        <w:t>tapentadol</w:t>
      </w:r>
      <w:proofErr w:type="spellEnd"/>
      <w:r w:rsidRPr="00480915">
        <w:rPr>
          <w:sz w:val="24"/>
          <w:szCs w:val="24"/>
        </w:rPr>
        <w:t xml:space="preserve"> (som </w:t>
      </w:r>
      <w:proofErr w:type="spellStart"/>
      <w:r w:rsidRPr="00480915">
        <w:rPr>
          <w:sz w:val="24"/>
          <w:szCs w:val="24"/>
        </w:rPr>
        <w:t>tartrat</w:t>
      </w:r>
      <w:proofErr w:type="spellEnd"/>
      <w:r w:rsidRPr="00480915">
        <w:rPr>
          <w:sz w:val="24"/>
          <w:szCs w:val="24"/>
        </w:rPr>
        <w:t>).</w:t>
      </w:r>
    </w:p>
    <w:p w14:paraId="1BEA2BFF" w14:textId="77777777" w:rsidR="00480915" w:rsidRPr="00480915" w:rsidRDefault="00480915" w:rsidP="00A96B6C">
      <w:pPr>
        <w:ind w:left="851"/>
        <w:rPr>
          <w:sz w:val="24"/>
          <w:szCs w:val="24"/>
        </w:rPr>
      </w:pPr>
      <w:r w:rsidRPr="00480915">
        <w:rPr>
          <w:sz w:val="24"/>
          <w:szCs w:val="24"/>
        </w:rPr>
        <w:t xml:space="preserve">Hver depottablet indeholder 250 mg </w:t>
      </w:r>
      <w:proofErr w:type="spellStart"/>
      <w:r w:rsidRPr="00480915">
        <w:rPr>
          <w:sz w:val="24"/>
          <w:szCs w:val="24"/>
        </w:rPr>
        <w:t>tapentadol</w:t>
      </w:r>
      <w:proofErr w:type="spellEnd"/>
      <w:r w:rsidRPr="00480915">
        <w:rPr>
          <w:sz w:val="24"/>
          <w:szCs w:val="24"/>
        </w:rPr>
        <w:t xml:space="preserve"> (som </w:t>
      </w:r>
      <w:proofErr w:type="spellStart"/>
      <w:r w:rsidRPr="00480915">
        <w:rPr>
          <w:sz w:val="24"/>
          <w:szCs w:val="24"/>
        </w:rPr>
        <w:t>tartrat</w:t>
      </w:r>
      <w:proofErr w:type="spellEnd"/>
      <w:r w:rsidRPr="00480915">
        <w:rPr>
          <w:sz w:val="24"/>
          <w:szCs w:val="24"/>
        </w:rPr>
        <w:t>).</w:t>
      </w:r>
    </w:p>
    <w:p w14:paraId="01A686B8" w14:textId="77777777" w:rsidR="00480915" w:rsidRPr="00480915" w:rsidRDefault="00480915" w:rsidP="00A96B6C">
      <w:pPr>
        <w:ind w:left="851"/>
        <w:rPr>
          <w:sz w:val="24"/>
          <w:szCs w:val="24"/>
        </w:rPr>
      </w:pPr>
    </w:p>
    <w:p w14:paraId="6C8AF358" w14:textId="77777777" w:rsidR="00480915" w:rsidRPr="00480915" w:rsidRDefault="00480915" w:rsidP="00A96B6C">
      <w:pPr>
        <w:ind w:left="851"/>
        <w:rPr>
          <w:sz w:val="24"/>
          <w:szCs w:val="24"/>
          <w:u w:val="single"/>
        </w:rPr>
      </w:pPr>
      <w:r w:rsidRPr="00480915">
        <w:rPr>
          <w:sz w:val="24"/>
          <w:szCs w:val="24"/>
          <w:u w:val="single"/>
        </w:rPr>
        <w:t>Hjælpestof(fer), som behandleren skal være opmærksom på:</w:t>
      </w:r>
    </w:p>
    <w:p w14:paraId="29A66125" w14:textId="77777777" w:rsidR="00480915" w:rsidRPr="00480915" w:rsidRDefault="00480915" w:rsidP="00A96B6C">
      <w:pPr>
        <w:ind w:left="851"/>
        <w:rPr>
          <w:sz w:val="24"/>
          <w:szCs w:val="24"/>
        </w:rPr>
      </w:pPr>
      <w:r w:rsidRPr="00480915">
        <w:rPr>
          <w:sz w:val="24"/>
          <w:szCs w:val="24"/>
        </w:rPr>
        <w:t>Alle hjælpestoffer er anført under pkt. 6.1.</w:t>
      </w:r>
    </w:p>
    <w:p w14:paraId="698F1490" w14:textId="77777777" w:rsidR="009260DE" w:rsidRPr="00301E7F" w:rsidRDefault="009260DE" w:rsidP="009260DE">
      <w:pPr>
        <w:tabs>
          <w:tab w:val="left" w:pos="851"/>
        </w:tabs>
        <w:ind w:left="851"/>
        <w:rPr>
          <w:sz w:val="24"/>
          <w:szCs w:val="24"/>
        </w:rPr>
      </w:pPr>
    </w:p>
    <w:p w14:paraId="3114C376" w14:textId="77777777" w:rsidR="009260DE" w:rsidRPr="00301E7F" w:rsidRDefault="009260DE" w:rsidP="009260DE">
      <w:pPr>
        <w:tabs>
          <w:tab w:val="left" w:pos="851"/>
        </w:tabs>
        <w:ind w:left="851" w:hanging="851"/>
        <w:rPr>
          <w:b/>
          <w:sz w:val="24"/>
          <w:szCs w:val="24"/>
        </w:rPr>
      </w:pPr>
      <w:r w:rsidRPr="00301E7F">
        <w:rPr>
          <w:b/>
          <w:sz w:val="24"/>
          <w:szCs w:val="24"/>
        </w:rPr>
        <w:t>3.</w:t>
      </w:r>
      <w:r w:rsidRPr="00301E7F">
        <w:rPr>
          <w:b/>
          <w:sz w:val="24"/>
          <w:szCs w:val="24"/>
        </w:rPr>
        <w:tab/>
        <w:t>LÆGEMIDDELFORM</w:t>
      </w:r>
    </w:p>
    <w:p w14:paraId="5BAAE083" w14:textId="77777777" w:rsidR="00480915" w:rsidRPr="00480915" w:rsidRDefault="00480915" w:rsidP="00A96B6C">
      <w:pPr>
        <w:ind w:left="851"/>
        <w:rPr>
          <w:sz w:val="24"/>
          <w:szCs w:val="24"/>
        </w:rPr>
      </w:pPr>
      <w:r w:rsidRPr="00480915">
        <w:rPr>
          <w:sz w:val="24"/>
          <w:szCs w:val="24"/>
        </w:rPr>
        <w:t>Depottabletter</w:t>
      </w:r>
    </w:p>
    <w:p w14:paraId="4573F401" w14:textId="77777777" w:rsidR="00480915" w:rsidRPr="00480915" w:rsidRDefault="00480915" w:rsidP="00A96B6C">
      <w:pPr>
        <w:ind w:left="851"/>
        <w:rPr>
          <w:sz w:val="24"/>
          <w:szCs w:val="24"/>
        </w:rPr>
      </w:pPr>
    </w:p>
    <w:p w14:paraId="0C64B238" w14:textId="5711EDD5" w:rsidR="00480915" w:rsidRPr="00480915" w:rsidRDefault="00480915" w:rsidP="00A96B6C">
      <w:pPr>
        <w:ind w:left="851"/>
        <w:rPr>
          <w:sz w:val="24"/>
          <w:szCs w:val="24"/>
        </w:rPr>
      </w:pPr>
      <w:r w:rsidRPr="00480915">
        <w:rPr>
          <w:sz w:val="24"/>
          <w:szCs w:val="24"/>
        </w:rPr>
        <w:t xml:space="preserve">25 mg: Lyserøde filmovertrukne, aflange, </w:t>
      </w:r>
      <w:proofErr w:type="spellStart"/>
      <w:r w:rsidRPr="00480915">
        <w:rPr>
          <w:sz w:val="24"/>
          <w:szCs w:val="24"/>
        </w:rPr>
        <w:t>bikonvekse</w:t>
      </w:r>
      <w:proofErr w:type="spellEnd"/>
      <w:r w:rsidRPr="00480915">
        <w:rPr>
          <w:sz w:val="24"/>
          <w:szCs w:val="24"/>
        </w:rPr>
        <w:t xml:space="preserve"> (ca. 15 mm </w:t>
      </w:r>
      <w:r w:rsidR="00A96B6C" w:rsidRPr="00301E7F">
        <w:rPr>
          <w:sz w:val="24"/>
          <w:szCs w:val="24"/>
        </w:rPr>
        <w:t>×</w:t>
      </w:r>
      <w:r w:rsidRPr="00480915">
        <w:rPr>
          <w:sz w:val="24"/>
          <w:szCs w:val="24"/>
        </w:rPr>
        <w:t xml:space="preserve"> 7 mm) depottabletter, præget med 'T17' på den ene side og jævne på den anden side.</w:t>
      </w:r>
    </w:p>
    <w:p w14:paraId="0E15B862" w14:textId="77777777" w:rsidR="00480915" w:rsidRPr="00480915" w:rsidRDefault="00480915" w:rsidP="00A96B6C">
      <w:pPr>
        <w:ind w:left="851"/>
        <w:rPr>
          <w:sz w:val="24"/>
          <w:szCs w:val="24"/>
        </w:rPr>
      </w:pPr>
    </w:p>
    <w:p w14:paraId="724F3741" w14:textId="509A7ED9" w:rsidR="00480915" w:rsidRPr="00480915" w:rsidRDefault="00480915" w:rsidP="00A96B6C">
      <w:pPr>
        <w:ind w:left="851"/>
        <w:rPr>
          <w:sz w:val="24"/>
          <w:szCs w:val="24"/>
        </w:rPr>
      </w:pPr>
      <w:r w:rsidRPr="00480915">
        <w:rPr>
          <w:sz w:val="24"/>
          <w:szCs w:val="24"/>
        </w:rPr>
        <w:t xml:space="preserve">50 mg: Hvide, filmovertrukne, aflange, </w:t>
      </w:r>
      <w:proofErr w:type="spellStart"/>
      <w:r w:rsidRPr="00480915">
        <w:rPr>
          <w:sz w:val="24"/>
          <w:szCs w:val="24"/>
        </w:rPr>
        <w:t>bikonvekse</w:t>
      </w:r>
      <w:proofErr w:type="spellEnd"/>
      <w:r w:rsidRPr="00480915">
        <w:rPr>
          <w:sz w:val="24"/>
          <w:szCs w:val="24"/>
        </w:rPr>
        <w:t xml:space="preserve"> (ca. 12 mm </w:t>
      </w:r>
      <w:r w:rsidR="00A96B6C" w:rsidRPr="00301E7F">
        <w:rPr>
          <w:sz w:val="24"/>
          <w:szCs w:val="24"/>
        </w:rPr>
        <w:t>×</w:t>
      </w:r>
      <w:r w:rsidRPr="00480915">
        <w:rPr>
          <w:sz w:val="24"/>
          <w:szCs w:val="24"/>
        </w:rPr>
        <w:t xml:space="preserve"> 5 mm) depottabletter, præget med 'T9' på den ene side og jævne på den anden side.</w:t>
      </w:r>
    </w:p>
    <w:p w14:paraId="6407A688" w14:textId="77777777" w:rsidR="00480915" w:rsidRPr="00480915" w:rsidRDefault="00480915" w:rsidP="00A96B6C">
      <w:pPr>
        <w:ind w:left="851"/>
        <w:rPr>
          <w:sz w:val="24"/>
          <w:szCs w:val="24"/>
        </w:rPr>
      </w:pPr>
    </w:p>
    <w:p w14:paraId="148C9B3B" w14:textId="7C3A8F62" w:rsidR="00480915" w:rsidRPr="00480915" w:rsidRDefault="00480915" w:rsidP="00A96B6C">
      <w:pPr>
        <w:ind w:left="851"/>
        <w:rPr>
          <w:sz w:val="24"/>
          <w:szCs w:val="24"/>
        </w:rPr>
      </w:pPr>
      <w:r w:rsidRPr="00480915">
        <w:rPr>
          <w:sz w:val="24"/>
          <w:szCs w:val="24"/>
        </w:rPr>
        <w:t xml:space="preserve">100 mg: Hvide, filmovertrukne, aflange, </w:t>
      </w:r>
      <w:proofErr w:type="spellStart"/>
      <w:r w:rsidRPr="00480915">
        <w:rPr>
          <w:sz w:val="24"/>
          <w:szCs w:val="24"/>
        </w:rPr>
        <w:t>bikonvekse</w:t>
      </w:r>
      <w:proofErr w:type="spellEnd"/>
      <w:r w:rsidRPr="00480915">
        <w:rPr>
          <w:sz w:val="24"/>
          <w:szCs w:val="24"/>
        </w:rPr>
        <w:t xml:space="preserve"> (ca. 15 mm </w:t>
      </w:r>
      <w:r w:rsidR="00A96B6C" w:rsidRPr="00301E7F">
        <w:rPr>
          <w:sz w:val="24"/>
          <w:szCs w:val="24"/>
        </w:rPr>
        <w:t>×</w:t>
      </w:r>
      <w:r w:rsidRPr="00480915">
        <w:rPr>
          <w:sz w:val="24"/>
          <w:szCs w:val="24"/>
        </w:rPr>
        <w:t xml:space="preserve"> 7 mm) depottabletter, præget med 'T10' på den ene side og jævne på den anden side.</w:t>
      </w:r>
    </w:p>
    <w:p w14:paraId="712BE885" w14:textId="77777777" w:rsidR="00480915" w:rsidRPr="00480915" w:rsidRDefault="00480915" w:rsidP="00A96B6C">
      <w:pPr>
        <w:ind w:left="851"/>
        <w:rPr>
          <w:sz w:val="24"/>
          <w:szCs w:val="24"/>
        </w:rPr>
      </w:pPr>
    </w:p>
    <w:p w14:paraId="3C841819" w14:textId="70F7DEA4" w:rsidR="00480915" w:rsidRPr="00480915" w:rsidRDefault="00480915" w:rsidP="00A96B6C">
      <w:pPr>
        <w:ind w:left="851"/>
        <w:rPr>
          <w:sz w:val="24"/>
          <w:szCs w:val="24"/>
        </w:rPr>
      </w:pPr>
      <w:r w:rsidRPr="00480915">
        <w:rPr>
          <w:sz w:val="24"/>
          <w:szCs w:val="24"/>
        </w:rPr>
        <w:t xml:space="preserve">150 mg: Lyserøde, filmovertrukne, aflange, </w:t>
      </w:r>
      <w:proofErr w:type="spellStart"/>
      <w:r w:rsidRPr="00480915">
        <w:rPr>
          <w:sz w:val="24"/>
          <w:szCs w:val="24"/>
        </w:rPr>
        <w:t>bikonvekse</w:t>
      </w:r>
      <w:proofErr w:type="spellEnd"/>
      <w:r w:rsidRPr="00480915">
        <w:rPr>
          <w:sz w:val="24"/>
          <w:szCs w:val="24"/>
        </w:rPr>
        <w:t xml:space="preserve"> (ca. 15 mm </w:t>
      </w:r>
      <w:r w:rsidR="00A96B6C" w:rsidRPr="00301E7F">
        <w:rPr>
          <w:sz w:val="24"/>
          <w:szCs w:val="24"/>
        </w:rPr>
        <w:t>×</w:t>
      </w:r>
      <w:r w:rsidRPr="00480915">
        <w:rPr>
          <w:sz w:val="24"/>
          <w:szCs w:val="24"/>
        </w:rPr>
        <w:t xml:space="preserve"> 7 mm) depottabletter, præget med 'T11' på den ene side og jævne på den anden side.</w:t>
      </w:r>
    </w:p>
    <w:p w14:paraId="329D5292" w14:textId="77777777" w:rsidR="00480915" w:rsidRPr="00480915" w:rsidRDefault="00480915" w:rsidP="00A96B6C">
      <w:pPr>
        <w:ind w:left="851"/>
        <w:rPr>
          <w:sz w:val="24"/>
          <w:szCs w:val="24"/>
        </w:rPr>
      </w:pPr>
    </w:p>
    <w:p w14:paraId="58757C8F" w14:textId="5C5E3E04" w:rsidR="00480915" w:rsidRPr="00480915" w:rsidRDefault="00480915" w:rsidP="00A96B6C">
      <w:pPr>
        <w:ind w:left="851"/>
        <w:rPr>
          <w:sz w:val="24"/>
          <w:szCs w:val="24"/>
        </w:rPr>
      </w:pPr>
      <w:r w:rsidRPr="00480915">
        <w:rPr>
          <w:sz w:val="24"/>
          <w:szCs w:val="24"/>
        </w:rPr>
        <w:t xml:space="preserve">200 mg: Lyserøde filmovertrukne, aflange, </w:t>
      </w:r>
      <w:proofErr w:type="spellStart"/>
      <w:r w:rsidRPr="00480915">
        <w:rPr>
          <w:sz w:val="24"/>
          <w:szCs w:val="24"/>
        </w:rPr>
        <w:t>bikonvekse</w:t>
      </w:r>
      <w:proofErr w:type="spellEnd"/>
      <w:r w:rsidRPr="00480915">
        <w:rPr>
          <w:sz w:val="24"/>
          <w:szCs w:val="24"/>
        </w:rPr>
        <w:t xml:space="preserve"> (ca. 16 mm </w:t>
      </w:r>
      <w:r w:rsidR="00A96B6C" w:rsidRPr="00301E7F">
        <w:rPr>
          <w:sz w:val="24"/>
          <w:szCs w:val="24"/>
        </w:rPr>
        <w:t>×</w:t>
      </w:r>
      <w:r w:rsidRPr="00480915">
        <w:rPr>
          <w:sz w:val="24"/>
          <w:szCs w:val="24"/>
        </w:rPr>
        <w:t xml:space="preserve"> 8 mm) depottabletter, præget med 'T12' på den ene side og jævne på den anden side.</w:t>
      </w:r>
    </w:p>
    <w:p w14:paraId="2E386BC4" w14:textId="77777777" w:rsidR="00480915" w:rsidRPr="00480915" w:rsidRDefault="00480915" w:rsidP="00A96B6C">
      <w:pPr>
        <w:ind w:left="851"/>
        <w:rPr>
          <w:sz w:val="24"/>
          <w:szCs w:val="24"/>
        </w:rPr>
      </w:pPr>
    </w:p>
    <w:p w14:paraId="458B14AC" w14:textId="02A5B13F" w:rsidR="00480915" w:rsidRPr="00480915" w:rsidRDefault="00480915" w:rsidP="00A96B6C">
      <w:pPr>
        <w:ind w:left="851"/>
        <w:rPr>
          <w:sz w:val="24"/>
          <w:szCs w:val="24"/>
        </w:rPr>
      </w:pPr>
      <w:r w:rsidRPr="00480915">
        <w:rPr>
          <w:sz w:val="24"/>
          <w:szCs w:val="24"/>
        </w:rPr>
        <w:lastRenderedPageBreak/>
        <w:t xml:space="preserve">250 mg: Lyserøde filmovertrukne, aflange, </w:t>
      </w:r>
      <w:proofErr w:type="spellStart"/>
      <w:r w:rsidRPr="00480915">
        <w:rPr>
          <w:sz w:val="24"/>
          <w:szCs w:val="24"/>
        </w:rPr>
        <w:t>bikonvekse</w:t>
      </w:r>
      <w:proofErr w:type="spellEnd"/>
      <w:r w:rsidRPr="00480915">
        <w:rPr>
          <w:sz w:val="24"/>
          <w:szCs w:val="24"/>
        </w:rPr>
        <w:t xml:space="preserve"> (ca. 17 mm </w:t>
      </w:r>
      <w:r w:rsidR="00A96B6C" w:rsidRPr="00301E7F">
        <w:rPr>
          <w:sz w:val="24"/>
          <w:szCs w:val="24"/>
        </w:rPr>
        <w:t>×</w:t>
      </w:r>
      <w:r w:rsidRPr="00480915">
        <w:rPr>
          <w:sz w:val="24"/>
          <w:szCs w:val="24"/>
        </w:rPr>
        <w:t xml:space="preserve"> 8 mm) depottabletter, præget med 'T13' på den ene side og jævne på den anden side.</w:t>
      </w:r>
    </w:p>
    <w:p w14:paraId="563DC53D" w14:textId="77777777" w:rsidR="009260DE" w:rsidRPr="00301E7F" w:rsidRDefault="009260DE" w:rsidP="009260DE">
      <w:pPr>
        <w:tabs>
          <w:tab w:val="left" w:pos="851"/>
        </w:tabs>
        <w:ind w:left="851"/>
        <w:rPr>
          <w:sz w:val="24"/>
          <w:szCs w:val="24"/>
        </w:rPr>
      </w:pPr>
    </w:p>
    <w:p w14:paraId="1AC48D34" w14:textId="77777777" w:rsidR="009260DE" w:rsidRPr="00301E7F" w:rsidRDefault="009260DE" w:rsidP="009260DE">
      <w:pPr>
        <w:tabs>
          <w:tab w:val="left" w:pos="851"/>
        </w:tabs>
        <w:ind w:left="851"/>
        <w:rPr>
          <w:sz w:val="24"/>
          <w:szCs w:val="24"/>
        </w:rPr>
      </w:pPr>
    </w:p>
    <w:p w14:paraId="0169C7C8" w14:textId="77777777" w:rsidR="009260DE" w:rsidRPr="00301E7F" w:rsidRDefault="009260DE" w:rsidP="009260DE">
      <w:pPr>
        <w:tabs>
          <w:tab w:val="left" w:pos="851"/>
        </w:tabs>
        <w:ind w:left="851" w:hanging="851"/>
        <w:rPr>
          <w:b/>
          <w:sz w:val="24"/>
          <w:szCs w:val="24"/>
        </w:rPr>
      </w:pPr>
      <w:r w:rsidRPr="00301E7F">
        <w:rPr>
          <w:b/>
          <w:sz w:val="24"/>
          <w:szCs w:val="24"/>
        </w:rPr>
        <w:t>4.</w:t>
      </w:r>
      <w:r w:rsidRPr="00301E7F">
        <w:rPr>
          <w:b/>
          <w:sz w:val="24"/>
          <w:szCs w:val="24"/>
        </w:rPr>
        <w:tab/>
        <w:t>KLINISKE OPLYSNINGER</w:t>
      </w:r>
    </w:p>
    <w:p w14:paraId="5221E67F" w14:textId="77777777" w:rsidR="009260DE" w:rsidRPr="00301E7F" w:rsidRDefault="009260DE" w:rsidP="009260DE">
      <w:pPr>
        <w:tabs>
          <w:tab w:val="left" w:pos="851"/>
        </w:tabs>
        <w:ind w:left="851"/>
        <w:rPr>
          <w:b/>
          <w:sz w:val="24"/>
          <w:szCs w:val="24"/>
        </w:rPr>
      </w:pPr>
    </w:p>
    <w:p w14:paraId="799481BB" w14:textId="77777777" w:rsidR="009260DE" w:rsidRPr="00301E7F" w:rsidRDefault="009260DE" w:rsidP="009260DE">
      <w:pPr>
        <w:tabs>
          <w:tab w:val="left" w:pos="851"/>
        </w:tabs>
        <w:ind w:left="851" w:hanging="851"/>
        <w:rPr>
          <w:b/>
          <w:sz w:val="24"/>
          <w:szCs w:val="24"/>
          <w:u w:val="single"/>
        </w:rPr>
      </w:pPr>
      <w:r w:rsidRPr="00301E7F">
        <w:rPr>
          <w:b/>
          <w:sz w:val="24"/>
          <w:szCs w:val="24"/>
        </w:rPr>
        <w:t>4.1</w:t>
      </w:r>
      <w:r w:rsidRPr="00301E7F">
        <w:rPr>
          <w:b/>
          <w:sz w:val="24"/>
          <w:szCs w:val="24"/>
        </w:rPr>
        <w:tab/>
        <w:t>Terapeutiske indikationer</w:t>
      </w:r>
    </w:p>
    <w:p w14:paraId="1FBAD333" w14:textId="44CDE862"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er indiceret til lindring af:</w:t>
      </w:r>
    </w:p>
    <w:p w14:paraId="5D45213E" w14:textId="77777777" w:rsidR="00480915" w:rsidRPr="00480915" w:rsidRDefault="00480915" w:rsidP="00A96B6C">
      <w:pPr>
        <w:numPr>
          <w:ilvl w:val="0"/>
          <w:numId w:val="6"/>
        </w:numPr>
        <w:ind w:left="1276" w:hanging="425"/>
        <w:rPr>
          <w:sz w:val="24"/>
          <w:szCs w:val="24"/>
        </w:rPr>
      </w:pPr>
      <w:r w:rsidRPr="00480915">
        <w:rPr>
          <w:sz w:val="24"/>
          <w:szCs w:val="24"/>
        </w:rPr>
        <w:t xml:space="preserve">svære, kroniske smerter hos voksne, som kun kan behandles tilstrækkeligt med </w:t>
      </w:r>
      <w:proofErr w:type="spellStart"/>
      <w:r w:rsidRPr="00480915">
        <w:rPr>
          <w:sz w:val="24"/>
          <w:szCs w:val="24"/>
        </w:rPr>
        <w:t>opioide</w:t>
      </w:r>
      <w:proofErr w:type="spellEnd"/>
      <w:r w:rsidRPr="00480915">
        <w:rPr>
          <w:sz w:val="24"/>
          <w:szCs w:val="24"/>
        </w:rPr>
        <w:t xml:space="preserve"> </w:t>
      </w:r>
      <w:proofErr w:type="spellStart"/>
      <w:r w:rsidRPr="00480915">
        <w:rPr>
          <w:sz w:val="24"/>
          <w:szCs w:val="24"/>
        </w:rPr>
        <w:t>analgetika</w:t>
      </w:r>
      <w:proofErr w:type="spellEnd"/>
    </w:p>
    <w:p w14:paraId="40193FEF" w14:textId="77777777" w:rsidR="00480915" w:rsidRPr="00480915" w:rsidRDefault="00480915" w:rsidP="00A96B6C">
      <w:pPr>
        <w:numPr>
          <w:ilvl w:val="0"/>
          <w:numId w:val="6"/>
        </w:numPr>
        <w:ind w:left="1276" w:hanging="425"/>
        <w:rPr>
          <w:sz w:val="24"/>
          <w:szCs w:val="24"/>
        </w:rPr>
      </w:pPr>
      <w:r w:rsidRPr="00480915">
        <w:rPr>
          <w:sz w:val="24"/>
          <w:szCs w:val="24"/>
        </w:rPr>
        <w:t xml:space="preserve">svære, kroniske smerter hos børn over 6 år og unge, som kun kan behandles tilstrækkeligt med </w:t>
      </w:r>
      <w:proofErr w:type="spellStart"/>
      <w:r w:rsidRPr="00480915">
        <w:rPr>
          <w:sz w:val="24"/>
          <w:szCs w:val="24"/>
        </w:rPr>
        <w:t>opioide</w:t>
      </w:r>
      <w:proofErr w:type="spellEnd"/>
      <w:r w:rsidRPr="00480915">
        <w:rPr>
          <w:sz w:val="24"/>
          <w:szCs w:val="24"/>
        </w:rPr>
        <w:t xml:space="preserve"> </w:t>
      </w:r>
      <w:proofErr w:type="spellStart"/>
      <w:r w:rsidRPr="00480915">
        <w:rPr>
          <w:sz w:val="24"/>
          <w:szCs w:val="24"/>
        </w:rPr>
        <w:t>analgetika</w:t>
      </w:r>
      <w:proofErr w:type="spellEnd"/>
      <w:r w:rsidRPr="00480915">
        <w:rPr>
          <w:sz w:val="24"/>
          <w:szCs w:val="24"/>
        </w:rPr>
        <w:t>.</w:t>
      </w:r>
    </w:p>
    <w:p w14:paraId="6879DE76" w14:textId="77777777" w:rsidR="009260DE" w:rsidRPr="00301E7F" w:rsidRDefault="009260DE" w:rsidP="009260DE">
      <w:pPr>
        <w:tabs>
          <w:tab w:val="left" w:pos="851"/>
        </w:tabs>
        <w:ind w:left="851"/>
        <w:rPr>
          <w:sz w:val="24"/>
          <w:szCs w:val="24"/>
        </w:rPr>
      </w:pPr>
    </w:p>
    <w:p w14:paraId="265844D0" w14:textId="77777777" w:rsidR="009260DE" w:rsidRPr="00301E7F" w:rsidRDefault="009260DE" w:rsidP="009260DE">
      <w:pPr>
        <w:tabs>
          <w:tab w:val="left" w:pos="851"/>
        </w:tabs>
        <w:ind w:left="851" w:hanging="851"/>
        <w:rPr>
          <w:b/>
          <w:sz w:val="24"/>
          <w:szCs w:val="24"/>
        </w:rPr>
      </w:pPr>
      <w:r w:rsidRPr="00301E7F">
        <w:rPr>
          <w:b/>
          <w:sz w:val="24"/>
          <w:szCs w:val="24"/>
        </w:rPr>
        <w:t>4.2</w:t>
      </w:r>
      <w:r w:rsidRPr="00301E7F">
        <w:rPr>
          <w:b/>
          <w:sz w:val="24"/>
          <w:szCs w:val="24"/>
        </w:rPr>
        <w:tab/>
        <w:t xml:space="preserve">Dosering og </w:t>
      </w:r>
      <w:r w:rsidR="002C1EC0" w:rsidRPr="00301E7F">
        <w:rPr>
          <w:b/>
          <w:sz w:val="24"/>
          <w:szCs w:val="24"/>
        </w:rPr>
        <w:t>administration</w:t>
      </w:r>
    </w:p>
    <w:p w14:paraId="031ED074" w14:textId="77777777" w:rsidR="00A96B6C" w:rsidRPr="00301E7F" w:rsidRDefault="00A96B6C" w:rsidP="00A96B6C">
      <w:pPr>
        <w:ind w:left="851"/>
        <w:rPr>
          <w:sz w:val="24"/>
          <w:szCs w:val="24"/>
          <w:u w:val="single"/>
        </w:rPr>
      </w:pPr>
    </w:p>
    <w:p w14:paraId="00E056FF" w14:textId="65838F56" w:rsidR="00480915" w:rsidRPr="00480915" w:rsidRDefault="00480915" w:rsidP="00A96B6C">
      <w:pPr>
        <w:ind w:left="851"/>
        <w:rPr>
          <w:sz w:val="24"/>
          <w:szCs w:val="24"/>
          <w:u w:val="single"/>
        </w:rPr>
      </w:pPr>
      <w:r w:rsidRPr="00480915">
        <w:rPr>
          <w:sz w:val="24"/>
          <w:szCs w:val="24"/>
          <w:u w:val="single"/>
        </w:rPr>
        <w:t>Dosering</w:t>
      </w:r>
    </w:p>
    <w:p w14:paraId="397634A0" w14:textId="77777777" w:rsidR="00480915" w:rsidRPr="00480915" w:rsidRDefault="00480915" w:rsidP="00A96B6C">
      <w:pPr>
        <w:ind w:left="851"/>
        <w:rPr>
          <w:sz w:val="24"/>
          <w:szCs w:val="24"/>
        </w:rPr>
      </w:pPr>
      <w:r w:rsidRPr="00480915">
        <w:rPr>
          <w:sz w:val="24"/>
          <w:szCs w:val="24"/>
        </w:rPr>
        <w:t xml:space="preserve">Dosering skal tilpasses den enkelte patient afhængigt af smerternes intensitet, erfaringer med tidligere behandling og muligheden for monitorering af patienten. </w:t>
      </w:r>
    </w:p>
    <w:p w14:paraId="06CDBC9D" w14:textId="2A344712"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skal tages to gange dagligt cirka hver 12. time.</w:t>
      </w:r>
    </w:p>
    <w:p w14:paraId="1DC993DA" w14:textId="77777777" w:rsidR="00480915" w:rsidRPr="00480915" w:rsidRDefault="00480915" w:rsidP="00A96B6C">
      <w:pPr>
        <w:ind w:left="851"/>
        <w:rPr>
          <w:sz w:val="24"/>
          <w:szCs w:val="24"/>
        </w:rPr>
      </w:pPr>
    </w:p>
    <w:p w14:paraId="5939CA3E" w14:textId="77777777" w:rsidR="00480915" w:rsidRPr="00480915" w:rsidRDefault="00480915" w:rsidP="00A96B6C">
      <w:pPr>
        <w:ind w:left="851"/>
        <w:rPr>
          <w:b/>
          <w:sz w:val="24"/>
          <w:szCs w:val="24"/>
          <w:u w:val="single"/>
        </w:rPr>
      </w:pPr>
      <w:r w:rsidRPr="00480915">
        <w:rPr>
          <w:b/>
          <w:sz w:val="24"/>
          <w:szCs w:val="24"/>
          <w:u w:val="single"/>
        </w:rPr>
        <w:t>Voksne</w:t>
      </w:r>
    </w:p>
    <w:p w14:paraId="19108145" w14:textId="77777777" w:rsidR="00480915" w:rsidRPr="00480915" w:rsidRDefault="00480915" w:rsidP="00A96B6C">
      <w:pPr>
        <w:ind w:left="851"/>
        <w:rPr>
          <w:i/>
          <w:sz w:val="24"/>
          <w:szCs w:val="24"/>
        </w:rPr>
      </w:pPr>
      <w:r w:rsidRPr="00480915">
        <w:rPr>
          <w:i/>
          <w:sz w:val="24"/>
          <w:szCs w:val="24"/>
        </w:rPr>
        <w:t>Initiering af behandling</w:t>
      </w:r>
    </w:p>
    <w:p w14:paraId="293BF841" w14:textId="77777777" w:rsidR="00480915" w:rsidRPr="00480915" w:rsidRDefault="00480915" w:rsidP="00A96B6C">
      <w:pPr>
        <w:ind w:left="851"/>
        <w:rPr>
          <w:iCs/>
          <w:sz w:val="24"/>
          <w:szCs w:val="24"/>
        </w:rPr>
      </w:pPr>
      <w:r w:rsidRPr="00480915">
        <w:rPr>
          <w:iCs/>
          <w:sz w:val="24"/>
          <w:szCs w:val="24"/>
        </w:rPr>
        <w:t xml:space="preserve">Initiering af behandlingen hos patienter, der ikke tager </w:t>
      </w:r>
      <w:proofErr w:type="spellStart"/>
      <w:r w:rsidRPr="00480915">
        <w:rPr>
          <w:iCs/>
          <w:sz w:val="24"/>
          <w:szCs w:val="24"/>
        </w:rPr>
        <w:t>opioide</w:t>
      </w:r>
      <w:proofErr w:type="spellEnd"/>
      <w:r w:rsidRPr="00480915">
        <w:rPr>
          <w:iCs/>
          <w:sz w:val="24"/>
          <w:szCs w:val="24"/>
        </w:rPr>
        <w:t xml:space="preserve"> </w:t>
      </w:r>
      <w:proofErr w:type="spellStart"/>
      <w:r w:rsidRPr="00480915">
        <w:rPr>
          <w:iCs/>
          <w:sz w:val="24"/>
          <w:szCs w:val="24"/>
        </w:rPr>
        <w:t>analgetika</w:t>
      </w:r>
      <w:proofErr w:type="spellEnd"/>
      <w:r w:rsidRPr="00480915">
        <w:rPr>
          <w:iCs/>
          <w:sz w:val="24"/>
          <w:szCs w:val="24"/>
        </w:rPr>
        <w:t>:</w:t>
      </w:r>
    </w:p>
    <w:p w14:paraId="7CAF9453" w14:textId="77777777" w:rsidR="00480915" w:rsidRPr="00480915" w:rsidRDefault="00480915" w:rsidP="00A96B6C">
      <w:pPr>
        <w:ind w:left="851"/>
        <w:rPr>
          <w:sz w:val="24"/>
          <w:szCs w:val="24"/>
        </w:rPr>
      </w:pPr>
      <w:r w:rsidRPr="00480915">
        <w:rPr>
          <w:iCs/>
          <w:sz w:val="24"/>
          <w:szCs w:val="24"/>
        </w:rPr>
        <w:t xml:space="preserve">Patienterne bør starte behandlingen med enkeltdoser på 50 mg </w:t>
      </w:r>
      <w:proofErr w:type="spellStart"/>
      <w:r w:rsidRPr="00480915">
        <w:rPr>
          <w:iCs/>
          <w:sz w:val="24"/>
          <w:szCs w:val="24"/>
        </w:rPr>
        <w:t>tapentadol</w:t>
      </w:r>
      <w:proofErr w:type="spellEnd"/>
      <w:r w:rsidRPr="00480915">
        <w:rPr>
          <w:iCs/>
          <w:sz w:val="24"/>
          <w:szCs w:val="24"/>
        </w:rPr>
        <w:t xml:space="preserve"> som depottabletter, der skal tages to gange dagligt</w:t>
      </w:r>
      <w:r w:rsidRPr="00480915">
        <w:rPr>
          <w:sz w:val="24"/>
          <w:szCs w:val="24"/>
        </w:rPr>
        <w:t>.</w:t>
      </w:r>
    </w:p>
    <w:p w14:paraId="76DA35A0" w14:textId="77777777" w:rsidR="00480915" w:rsidRPr="00480915" w:rsidRDefault="00480915" w:rsidP="00A96B6C">
      <w:pPr>
        <w:ind w:left="851"/>
        <w:rPr>
          <w:sz w:val="24"/>
          <w:szCs w:val="24"/>
        </w:rPr>
      </w:pPr>
    </w:p>
    <w:p w14:paraId="2C483689" w14:textId="77777777" w:rsidR="00480915" w:rsidRPr="00480915" w:rsidRDefault="00480915" w:rsidP="00A96B6C">
      <w:pPr>
        <w:ind w:left="851"/>
        <w:rPr>
          <w:i/>
          <w:sz w:val="24"/>
          <w:szCs w:val="24"/>
        </w:rPr>
      </w:pPr>
      <w:r w:rsidRPr="00480915">
        <w:rPr>
          <w:i/>
          <w:sz w:val="24"/>
          <w:szCs w:val="24"/>
        </w:rPr>
        <w:t xml:space="preserve">Initiering af behandlingen hos patienter, der er i behandling med </w:t>
      </w:r>
      <w:proofErr w:type="spellStart"/>
      <w:r w:rsidRPr="00480915">
        <w:rPr>
          <w:i/>
          <w:sz w:val="24"/>
          <w:szCs w:val="24"/>
        </w:rPr>
        <w:t>opioide</w:t>
      </w:r>
      <w:proofErr w:type="spellEnd"/>
      <w:r w:rsidRPr="00480915">
        <w:rPr>
          <w:i/>
          <w:sz w:val="24"/>
          <w:szCs w:val="24"/>
        </w:rPr>
        <w:t xml:space="preserve"> </w:t>
      </w:r>
      <w:proofErr w:type="spellStart"/>
      <w:r w:rsidRPr="00480915">
        <w:rPr>
          <w:i/>
          <w:sz w:val="24"/>
          <w:szCs w:val="24"/>
        </w:rPr>
        <w:t>analgetika</w:t>
      </w:r>
      <w:proofErr w:type="spellEnd"/>
    </w:p>
    <w:p w14:paraId="6960DF89" w14:textId="03A13FA4" w:rsidR="00480915" w:rsidRPr="00480915" w:rsidRDefault="00480915" w:rsidP="00A96B6C">
      <w:pPr>
        <w:ind w:left="851"/>
        <w:rPr>
          <w:iCs/>
          <w:sz w:val="24"/>
          <w:szCs w:val="24"/>
        </w:rPr>
      </w:pPr>
      <w:r w:rsidRPr="00480915">
        <w:rPr>
          <w:iCs/>
          <w:sz w:val="24"/>
          <w:szCs w:val="24"/>
        </w:rPr>
        <w:t xml:space="preserve">Ved skift fra opioider til </w:t>
      </w: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skal der ved valg af initialdosis tages højde for det tidligere lægemiddels egenskaber og anvendelse og den gennemsnitlige døgndosis. Der kan være behov for højere initialdoser af </w:t>
      </w: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hos patienter, der allerede tager opioider, end hos patienter, der ikke har taget opioider, før de begynder på behandlingen med </w:t>
      </w: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w:t>
      </w:r>
    </w:p>
    <w:p w14:paraId="446C8CB2" w14:textId="77777777" w:rsidR="00480915" w:rsidRPr="00480915" w:rsidRDefault="00480915" w:rsidP="00A96B6C">
      <w:pPr>
        <w:ind w:left="851"/>
        <w:rPr>
          <w:sz w:val="24"/>
          <w:szCs w:val="24"/>
        </w:rPr>
      </w:pPr>
    </w:p>
    <w:p w14:paraId="135E6128" w14:textId="77777777" w:rsidR="00480915" w:rsidRPr="00480915" w:rsidRDefault="00480915" w:rsidP="00A96B6C">
      <w:pPr>
        <w:ind w:left="851"/>
        <w:rPr>
          <w:i/>
          <w:sz w:val="24"/>
          <w:szCs w:val="24"/>
        </w:rPr>
      </w:pPr>
      <w:r w:rsidRPr="00480915">
        <w:rPr>
          <w:i/>
          <w:sz w:val="24"/>
          <w:szCs w:val="24"/>
        </w:rPr>
        <w:t>Titrering og vedligeholdelse</w:t>
      </w:r>
    </w:p>
    <w:p w14:paraId="26C202DD" w14:textId="212657FF" w:rsidR="00480915" w:rsidRPr="00480915" w:rsidRDefault="00480915" w:rsidP="00A96B6C">
      <w:pPr>
        <w:ind w:left="851"/>
        <w:rPr>
          <w:iCs/>
          <w:sz w:val="24"/>
          <w:szCs w:val="24"/>
        </w:rPr>
      </w:pPr>
      <w:r w:rsidRPr="00480915">
        <w:rPr>
          <w:iCs/>
          <w:sz w:val="24"/>
          <w:szCs w:val="24"/>
        </w:rPr>
        <w:t>Efter initiering af behandlingen skal dosis titreres individuelt til et niveau, der giver tilstrækkelig analgesi med et minimum af bivirkninger. Patienten skal følges tæt af den behandlende læge. Erfaring fra kliniske studier har vist, at de fleste patienter opnåede tilstrækkelig smertekontrol med et titreringsforløb, hvor dosis blev øget hver 3. dag med 50</w:t>
      </w:r>
      <w:r w:rsidR="00B13B7D">
        <w:rPr>
          <w:iCs/>
          <w:sz w:val="24"/>
          <w:szCs w:val="24"/>
        </w:rPr>
        <w:t> </w:t>
      </w:r>
      <w:r w:rsidRPr="00480915">
        <w:rPr>
          <w:iCs/>
          <w:sz w:val="24"/>
          <w:szCs w:val="24"/>
        </w:rPr>
        <w:t xml:space="preserve">mg </w:t>
      </w:r>
      <w:proofErr w:type="spellStart"/>
      <w:r w:rsidRPr="00480915">
        <w:rPr>
          <w:iCs/>
          <w:sz w:val="24"/>
          <w:szCs w:val="24"/>
        </w:rPr>
        <w:t>tapentadol</w:t>
      </w:r>
      <w:proofErr w:type="spellEnd"/>
      <w:r w:rsidRPr="00480915">
        <w:rPr>
          <w:iCs/>
          <w:sz w:val="24"/>
          <w:szCs w:val="24"/>
        </w:rPr>
        <w:t xml:space="preserve"> depottablet to gange dagligt. 25 mg </w:t>
      </w:r>
      <w:proofErr w:type="spellStart"/>
      <w:r w:rsidRPr="00480915">
        <w:rPr>
          <w:iCs/>
          <w:sz w:val="24"/>
          <w:szCs w:val="24"/>
        </w:rPr>
        <w:t>tapentadol</w:t>
      </w:r>
      <w:proofErr w:type="spellEnd"/>
      <w:r w:rsidRPr="00480915">
        <w:rPr>
          <w:iCs/>
          <w:sz w:val="24"/>
          <w:szCs w:val="24"/>
        </w:rPr>
        <w:t xml:space="preserve"> som depottabletter kan også anvendes til individuel dosisjustering.</w:t>
      </w:r>
    </w:p>
    <w:p w14:paraId="7BF4AF20" w14:textId="77777777" w:rsidR="00480915" w:rsidRPr="00480915" w:rsidRDefault="00480915" w:rsidP="00A96B6C">
      <w:pPr>
        <w:ind w:left="851"/>
        <w:rPr>
          <w:iCs/>
          <w:sz w:val="24"/>
          <w:szCs w:val="24"/>
        </w:rPr>
      </w:pPr>
    </w:p>
    <w:p w14:paraId="74EF4C78" w14:textId="77777777" w:rsidR="00480915" w:rsidRPr="00480915" w:rsidRDefault="00480915" w:rsidP="00A96B6C">
      <w:pPr>
        <w:ind w:left="851"/>
        <w:rPr>
          <w:sz w:val="24"/>
          <w:szCs w:val="24"/>
        </w:rPr>
      </w:pPr>
      <w:r w:rsidRPr="00480915">
        <w:rPr>
          <w:iCs/>
          <w:sz w:val="24"/>
          <w:szCs w:val="24"/>
        </w:rPr>
        <w:t xml:space="preserve">Totale døgndoser af </w:t>
      </w:r>
      <w:proofErr w:type="spellStart"/>
      <w:r w:rsidRPr="00480915">
        <w:rPr>
          <w:iCs/>
          <w:sz w:val="24"/>
          <w:szCs w:val="24"/>
        </w:rPr>
        <w:t>tapentadol</w:t>
      </w:r>
      <w:proofErr w:type="spellEnd"/>
      <w:r w:rsidRPr="00480915">
        <w:rPr>
          <w:iCs/>
          <w:sz w:val="24"/>
          <w:szCs w:val="24"/>
        </w:rPr>
        <w:t xml:space="preserve"> over 500 mg </w:t>
      </w:r>
      <w:proofErr w:type="spellStart"/>
      <w:r w:rsidRPr="00480915">
        <w:rPr>
          <w:iCs/>
          <w:sz w:val="24"/>
          <w:szCs w:val="24"/>
        </w:rPr>
        <w:t>tapentadol</w:t>
      </w:r>
      <w:proofErr w:type="spellEnd"/>
      <w:r w:rsidRPr="00480915">
        <w:rPr>
          <w:iCs/>
          <w:sz w:val="24"/>
          <w:szCs w:val="24"/>
        </w:rPr>
        <w:t xml:space="preserve"> er endnu ikke blevet undersøgt og bør derfor ikke anvendes.</w:t>
      </w:r>
    </w:p>
    <w:p w14:paraId="1B557C86" w14:textId="77777777" w:rsidR="00480915" w:rsidRPr="00480915" w:rsidRDefault="00480915" w:rsidP="00A96B6C">
      <w:pPr>
        <w:ind w:left="851"/>
        <w:rPr>
          <w:sz w:val="24"/>
          <w:szCs w:val="24"/>
        </w:rPr>
      </w:pPr>
    </w:p>
    <w:p w14:paraId="3996EDEE" w14:textId="77777777" w:rsidR="00480915" w:rsidRPr="00480915" w:rsidRDefault="00480915" w:rsidP="00A96B6C">
      <w:pPr>
        <w:ind w:left="851"/>
        <w:rPr>
          <w:i/>
          <w:sz w:val="24"/>
          <w:szCs w:val="24"/>
        </w:rPr>
      </w:pPr>
      <w:r w:rsidRPr="00480915">
        <w:rPr>
          <w:i/>
          <w:sz w:val="24"/>
          <w:szCs w:val="24"/>
        </w:rPr>
        <w:t xml:space="preserve">Behandlingsmål og </w:t>
      </w:r>
      <w:proofErr w:type="spellStart"/>
      <w:r w:rsidRPr="00480915">
        <w:rPr>
          <w:i/>
          <w:sz w:val="24"/>
          <w:szCs w:val="24"/>
        </w:rPr>
        <w:t>seponering</w:t>
      </w:r>
      <w:proofErr w:type="spellEnd"/>
      <w:r w:rsidRPr="00480915">
        <w:rPr>
          <w:i/>
          <w:sz w:val="24"/>
          <w:szCs w:val="24"/>
        </w:rPr>
        <w:t xml:space="preserve"> </w:t>
      </w:r>
    </w:p>
    <w:p w14:paraId="6E32A7B6" w14:textId="30C8E9A7" w:rsidR="00480915" w:rsidRPr="00480915" w:rsidRDefault="00480915" w:rsidP="00A96B6C">
      <w:pPr>
        <w:ind w:left="851"/>
        <w:rPr>
          <w:iCs/>
          <w:sz w:val="24"/>
          <w:szCs w:val="24"/>
        </w:rPr>
      </w:pPr>
      <w:r w:rsidRPr="00480915">
        <w:rPr>
          <w:iCs/>
          <w:sz w:val="24"/>
          <w:szCs w:val="24"/>
        </w:rPr>
        <w:t xml:space="preserve">Før behandling med </w:t>
      </w: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påbegyndes, skal der med patienten aftales en behandlingsstrategi, herunder behandlingsvarighed og behandlingsmål, samt en plan for afslutning af behandlingen, i henhold til retningslinjer for smertebehandling. Under behandlingen bør der være hyppig kontakt mellem lægen og patienten for at vurdere behovet for fortsat behandling samt for at overveje </w:t>
      </w:r>
      <w:proofErr w:type="spellStart"/>
      <w:r w:rsidRPr="00480915">
        <w:rPr>
          <w:iCs/>
          <w:sz w:val="24"/>
          <w:szCs w:val="24"/>
        </w:rPr>
        <w:t>seponering</w:t>
      </w:r>
      <w:proofErr w:type="spellEnd"/>
      <w:r w:rsidRPr="00480915">
        <w:rPr>
          <w:iCs/>
          <w:sz w:val="24"/>
          <w:szCs w:val="24"/>
        </w:rPr>
        <w:t xml:space="preserve"> og justering af doseringer, hvis det er nødvendigt. Når en patient ikke længere har brug for behandling med </w:t>
      </w:r>
      <w:proofErr w:type="spellStart"/>
      <w:r w:rsidRPr="00480915">
        <w:rPr>
          <w:iCs/>
          <w:sz w:val="24"/>
          <w:szCs w:val="24"/>
        </w:rPr>
        <w:lastRenderedPageBreak/>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kan det være tilrådeligt at nedtrappe dosis gradvist for at forebygge abstinenssymptomer. Hvis der ikke er tilstrækkelig smertekontrol, bør muligheden for </w:t>
      </w:r>
      <w:proofErr w:type="spellStart"/>
      <w:r w:rsidRPr="00480915">
        <w:rPr>
          <w:iCs/>
          <w:sz w:val="24"/>
          <w:szCs w:val="24"/>
        </w:rPr>
        <w:t>hyperalgesi</w:t>
      </w:r>
      <w:proofErr w:type="spellEnd"/>
      <w:r w:rsidRPr="00480915">
        <w:rPr>
          <w:iCs/>
          <w:sz w:val="24"/>
          <w:szCs w:val="24"/>
        </w:rPr>
        <w:t xml:space="preserve">, tolerance og progression af den underliggende sygdom overvejes (se pkt. 4.4). </w:t>
      </w:r>
    </w:p>
    <w:p w14:paraId="2858F2AC" w14:textId="77777777" w:rsidR="00480915" w:rsidRPr="00480915" w:rsidRDefault="00480915" w:rsidP="00A96B6C">
      <w:pPr>
        <w:ind w:left="851"/>
        <w:rPr>
          <w:i/>
          <w:sz w:val="24"/>
          <w:szCs w:val="24"/>
        </w:rPr>
      </w:pPr>
    </w:p>
    <w:p w14:paraId="77626634" w14:textId="77777777" w:rsidR="00480915" w:rsidRPr="00480915" w:rsidRDefault="00480915" w:rsidP="00A96B6C">
      <w:pPr>
        <w:ind w:left="851"/>
        <w:rPr>
          <w:i/>
          <w:sz w:val="24"/>
          <w:szCs w:val="24"/>
        </w:rPr>
      </w:pPr>
      <w:r w:rsidRPr="00480915">
        <w:rPr>
          <w:i/>
          <w:sz w:val="24"/>
          <w:szCs w:val="24"/>
        </w:rPr>
        <w:t xml:space="preserve">Behandlingens varighed </w:t>
      </w:r>
    </w:p>
    <w:p w14:paraId="14F7E22A" w14:textId="103CDA06" w:rsidR="00480915" w:rsidRPr="00480915" w:rsidRDefault="00480915" w:rsidP="00A96B6C">
      <w:pPr>
        <w:ind w:left="851"/>
        <w:rPr>
          <w:b/>
          <w:bCs/>
          <w:iCs/>
          <w:sz w:val="24"/>
          <w:szCs w:val="24"/>
        </w:rPr>
      </w:pP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bør ikke anvendes længere end nødvendigt.</w:t>
      </w:r>
      <w:r w:rsidRPr="00480915">
        <w:rPr>
          <w:b/>
          <w:bCs/>
          <w:iCs/>
          <w:sz w:val="24"/>
          <w:szCs w:val="24"/>
        </w:rPr>
        <w:t xml:space="preserve"> </w:t>
      </w:r>
    </w:p>
    <w:p w14:paraId="04AC0FBF" w14:textId="77777777" w:rsidR="00480915" w:rsidRPr="00480915" w:rsidRDefault="00480915" w:rsidP="00A96B6C">
      <w:pPr>
        <w:ind w:left="851"/>
        <w:rPr>
          <w:sz w:val="24"/>
          <w:szCs w:val="24"/>
        </w:rPr>
      </w:pPr>
    </w:p>
    <w:p w14:paraId="57E4C57D" w14:textId="77777777" w:rsidR="00480915" w:rsidRPr="00480915" w:rsidRDefault="00480915" w:rsidP="00A96B6C">
      <w:pPr>
        <w:ind w:left="851"/>
        <w:rPr>
          <w:i/>
          <w:sz w:val="24"/>
          <w:szCs w:val="24"/>
        </w:rPr>
      </w:pPr>
      <w:r w:rsidRPr="00480915">
        <w:rPr>
          <w:i/>
          <w:sz w:val="24"/>
          <w:szCs w:val="24"/>
        </w:rPr>
        <w:t>Nedsat nyrefunktion</w:t>
      </w:r>
    </w:p>
    <w:p w14:paraId="7E79219A" w14:textId="452CCD39" w:rsidR="00480915" w:rsidRPr="00480915" w:rsidRDefault="00480915" w:rsidP="00A96B6C">
      <w:pPr>
        <w:ind w:left="851"/>
        <w:rPr>
          <w:iCs/>
          <w:sz w:val="24"/>
          <w:szCs w:val="24"/>
        </w:rPr>
      </w:pPr>
      <w:r w:rsidRPr="00480915">
        <w:rPr>
          <w:iCs/>
          <w:sz w:val="24"/>
          <w:szCs w:val="24"/>
        </w:rPr>
        <w:t xml:space="preserve">Dosisjustering er ikke nødvendig hos patienter med let til moderat nedsat nyrefunktion (se pkt. 5.2). Der er ikke udført kontrollerede effektundersøgelser med </w:t>
      </w: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hos patienter med alvorligt nedsat nyrefunktion, og præparatet bør derfor ikke anvendes til denne population (se pkt. 4.4 og 5.2).</w:t>
      </w:r>
    </w:p>
    <w:p w14:paraId="080AFEF2" w14:textId="77777777" w:rsidR="00480915" w:rsidRPr="00480915" w:rsidRDefault="00480915" w:rsidP="00A96B6C">
      <w:pPr>
        <w:ind w:left="851"/>
        <w:rPr>
          <w:sz w:val="24"/>
          <w:szCs w:val="24"/>
        </w:rPr>
      </w:pPr>
    </w:p>
    <w:p w14:paraId="28E32FE8" w14:textId="77777777" w:rsidR="00480915" w:rsidRPr="00480915" w:rsidRDefault="00480915" w:rsidP="00A96B6C">
      <w:pPr>
        <w:ind w:left="851"/>
        <w:rPr>
          <w:i/>
          <w:sz w:val="24"/>
          <w:szCs w:val="24"/>
        </w:rPr>
      </w:pPr>
      <w:r w:rsidRPr="00480915">
        <w:rPr>
          <w:i/>
          <w:sz w:val="24"/>
          <w:szCs w:val="24"/>
        </w:rPr>
        <w:t>Nedsat leverfunktion</w:t>
      </w:r>
    </w:p>
    <w:p w14:paraId="2EB18E48" w14:textId="77777777" w:rsidR="00480915" w:rsidRPr="00480915" w:rsidRDefault="00480915" w:rsidP="00A96B6C">
      <w:pPr>
        <w:ind w:left="851"/>
        <w:rPr>
          <w:iCs/>
          <w:sz w:val="24"/>
          <w:szCs w:val="24"/>
        </w:rPr>
      </w:pPr>
      <w:r w:rsidRPr="00480915">
        <w:rPr>
          <w:iCs/>
          <w:sz w:val="24"/>
          <w:szCs w:val="24"/>
        </w:rPr>
        <w:t>Dosisjustering er ikke nødvendig hos patienter med let nedsat leverfunktion (se pkt. 5.2).</w:t>
      </w:r>
    </w:p>
    <w:p w14:paraId="6CAC2011" w14:textId="7492DD8C" w:rsidR="00480915" w:rsidRPr="00480915" w:rsidRDefault="00480915" w:rsidP="00A96B6C">
      <w:pPr>
        <w:ind w:left="851"/>
        <w:rPr>
          <w:iCs/>
          <w:sz w:val="24"/>
          <w:szCs w:val="24"/>
        </w:rPr>
      </w:pP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bør anvendes med forsigtighed til patienter med moderat nedsat leverfunktion. Behandling af denne patientpopulation bør indledes med den lavest tilgængelige styrke, dvs. 25 mg eller 50 mg </w:t>
      </w:r>
      <w:proofErr w:type="spellStart"/>
      <w:r w:rsidRPr="00480915">
        <w:rPr>
          <w:iCs/>
          <w:sz w:val="24"/>
          <w:szCs w:val="24"/>
        </w:rPr>
        <w:t>tapentadol</w:t>
      </w:r>
      <w:proofErr w:type="spellEnd"/>
      <w:r w:rsidRPr="00480915">
        <w:rPr>
          <w:iCs/>
          <w:sz w:val="24"/>
          <w:szCs w:val="24"/>
        </w:rPr>
        <w:t xml:space="preserve"> som depottabletter, som højst må tages en gang i døgnet. Ved start af behandlingen bør der ikke anvendes højere doser end 50 mg </w:t>
      </w:r>
      <w:proofErr w:type="spellStart"/>
      <w:r w:rsidRPr="00480915">
        <w:rPr>
          <w:iCs/>
          <w:sz w:val="24"/>
          <w:szCs w:val="24"/>
        </w:rPr>
        <w:t>tapentadol</w:t>
      </w:r>
      <w:proofErr w:type="spellEnd"/>
      <w:r w:rsidRPr="00480915">
        <w:rPr>
          <w:iCs/>
          <w:sz w:val="24"/>
          <w:szCs w:val="24"/>
        </w:rPr>
        <w:t xml:space="preserve"> som depottabletter. Den videre behandling bør afspejle vedligeholdelse af analgesi med acceptabel </w:t>
      </w:r>
      <w:proofErr w:type="spellStart"/>
      <w:r w:rsidRPr="00480915">
        <w:rPr>
          <w:iCs/>
          <w:sz w:val="24"/>
          <w:szCs w:val="24"/>
        </w:rPr>
        <w:t>tolerabilitet</w:t>
      </w:r>
      <w:proofErr w:type="spellEnd"/>
      <w:r w:rsidRPr="00480915">
        <w:rPr>
          <w:iCs/>
          <w:sz w:val="24"/>
          <w:szCs w:val="24"/>
        </w:rPr>
        <w:t xml:space="preserve"> (se pkt. 4.4 og 5.2).</w:t>
      </w:r>
    </w:p>
    <w:p w14:paraId="22572A0F" w14:textId="77777777" w:rsidR="00480915" w:rsidRPr="00480915" w:rsidRDefault="00480915" w:rsidP="00A96B6C">
      <w:pPr>
        <w:ind w:left="851"/>
        <w:rPr>
          <w:iCs/>
          <w:sz w:val="24"/>
          <w:szCs w:val="24"/>
        </w:rPr>
      </w:pPr>
      <w:proofErr w:type="spellStart"/>
      <w:r w:rsidRPr="00480915">
        <w:rPr>
          <w:iCs/>
          <w:sz w:val="24"/>
          <w:szCs w:val="24"/>
        </w:rPr>
        <w:t>Tapentadol</w:t>
      </w:r>
      <w:proofErr w:type="spellEnd"/>
      <w:r w:rsidRPr="00480915">
        <w:rPr>
          <w:iCs/>
          <w:sz w:val="24"/>
          <w:szCs w:val="24"/>
        </w:rPr>
        <w:t xml:space="preserve"> er ikke undersøgt hos patienter med alvorligt nedsat leverfunktion, og præparatet bør derfor ikke anvendes til denne population (se pkt. 4.4 og 5.2).</w:t>
      </w:r>
    </w:p>
    <w:p w14:paraId="04F53AEC" w14:textId="77777777" w:rsidR="00480915" w:rsidRPr="00480915" w:rsidRDefault="00480915" w:rsidP="00A96B6C">
      <w:pPr>
        <w:ind w:left="851"/>
        <w:rPr>
          <w:sz w:val="24"/>
          <w:szCs w:val="24"/>
        </w:rPr>
      </w:pPr>
    </w:p>
    <w:p w14:paraId="4EE22F6C" w14:textId="77777777" w:rsidR="00480915" w:rsidRPr="00480915" w:rsidRDefault="00480915" w:rsidP="00A96B6C">
      <w:pPr>
        <w:ind w:left="851"/>
        <w:rPr>
          <w:i/>
          <w:sz w:val="24"/>
          <w:szCs w:val="24"/>
        </w:rPr>
      </w:pPr>
      <w:r w:rsidRPr="00480915">
        <w:rPr>
          <w:i/>
          <w:sz w:val="24"/>
          <w:szCs w:val="24"/>
        </w:rPr>
        <w:t>Ældre patienter (65 år og derover)</w:t>
      </w:r>
    </w:p>
    <w:p w14:paraId="56422B35" w14:textId="77777777" w:rsidR="00480915" w:rsidRPr="00480915" w:rsidRDefault="00480915" w:rsidP="00A96B6C">
      <w:pPr>
        <w:ind w:left="851"/>
        <w:rPr>
          <w:iCs/>
          <w:sz w:val="24"/>
          <w:szCs w:val="24"/>
        </w:rPr>
      </w:pPr>
      <w:r w:rsidRPr="00480915">
        <w:rPr>
          <w:iCs/>
          <w:sz w:val="24"/>
          <w:szCs w:val="24"/>
        </w:rPr>
        <w:t>Generelt er det ikke nødvendigt at tilpasse dosis hos ældre patienter. Ældre patienter er dog mere tilbøjelige til at have nedsat nyre- og leverfunktion, og doseringen bør fastsættes omhyggeligt i henhold til anbefalingerne (se pkt. 4.4 og 5.2).</w:t>
      </w:r>
    </w:p>
    <w:p w14:paraId="43807C73" w14:textId="77777777" w:rsidR="00480915" w:rsidRPr="00480915" w:rsidRDefault="00480915" w:rsidP="00A96B6C">
      <w:pPr>
        <w:ind w:left="851"/>
        <w:rPr>
          <w:sz w:val="24"/>
          <w:szCs w:val="24"/>
        </w:rPr>
      </w:pPr>
    </w:p>
    <w:p w14:paraId="33332CB5" w14:textId="77777777" w:rsidR="00480915" w:rsidRPr="00480915" w:rsidRDefault="00480915" w:rsidP="00A96B6C">
      <w:pPr>
        <w:ind w:left="851"/>
        <w:rPr>
          <w:b/>
          <w:sz w:val="24"/>
          <w:szCs w:val="24"/>
          <w:u w:val="single"/>
        </w:rPr>
      </w:pPr>
      <w:r w:rsidRPr="00480915">
        <w:rPr>
          <w:b/>
          <w:sz w:val="24"/>
          <w:szCs w:val="24"/>
          <w:u w:val="single"/>
        </w:rPr>
        <w:t>Pædiatrisk population</w:t>
      </w:r>
    </w:p>
    <w:p w14:paraId="4D46E8EE" w14:textId="77777777" w:rsidR="00480915" w:rsidRPr="00480915" w:rsidRDefault="00480915" w:rsidP="00A96B6C">
      <w:pPr>
        <w:ind w:left="851"/>
        <w:rPr>
          <w:sz w:val="24"/>
          <w:szCs w:val="24"/>
        </w:rPr>
      </w:pPr>
      <w:r w:rsidRPr="00480915">
        <w:rPr>
          <w:sz w:val="24"/>
          <w:szCs w:val="24"/>
        </w:rPr>
        <w:t>Den anbefalede dosis hos børn afhænger af alder og legemsvægt.</w:t>
      </w:r>
    </w:p>
    <w:p w14:paraId="3462CFBF" w14:textId="77777777" w:rsidR="00480915" w:rsidRPr="00480915" w:rsidRDefault="00480915" w:rsidP="00A96B6C">
      <w:pPr>
        <w:ind w:left="851"/>
        <w:rPr>
          <w:sz w:val="24"/>
          <w:szCs w:val="24"/>
        </w:rPr>
      </w:pPr>
    </w:p>
    <w:p w14:paraId="4DC8B1B2" w14:textId="77777777" w:rsidR="00480915" w:rsidRPr="00480915" w:rsidRDefault="00480915" w:rsidP="00A96B6C">
      <w:pPr>
        <w:ind w:left="851"/>
        <w:rPr>
          <w:i/>
          <w:sz w:val="24"/>
          <w:szCs w:val="24"/>
        </w:rPr>
      </w:pPr>
      <w:r w:rsidRPr="00480915">
        <w:rPr>
          <w:i/>
          <w:sz w:val="24"/>
          <w:szCs w:val="24"/>
        </w:rPr>
        <w:t>Initiering af behandling</w:t>
      </w:r>
    </w:p>
    <w:p w14:paraId="2755D54E" w14:textId="77777777" w:rsidR="00480915" w:rsidRPr="00480915" w:rsidRDefault="00480915" w:rsidP="00A96B6C">
      <w:pPr>
        <w:ind w:left="851"/>
        <w:rPr>
          <w:i/>
          <w:sz w:val="24"/>
          <w:szCs w:val="24"/>
        </w:rPr>
      </w:pPr>
      <w:r w:rsidRPr="00480915">
        <w:rPr>
          <w:i/>
          <w:sz w:val="24"/>
          <w:szCs w:val="24"/>
        </w:rPr>
        <w:t xml:space="preserve">Initiering af behandling hos patienter, der ikke tager </w:t>
      </w:r>
      <w:proofErr w:type="spellStart"/>
      <w:r w:rsidRPr="00480915">
        <w:rPr>
          <w:i/>
          <w:sz w:val="24"/>
          <w:szCs w:val="24"/>
        </w:rPr>
        <w:t>opioide</w:t>
      </w:r>
      <w:proofErr w:type="spellEnd"/>
      <w:r w:rsidRPr="00480915">
        <w:rPr>
          <w:i/>
          <w:sz w:val="24"/>
          <w:szCs w:val="24"/>
        </w:rPr>
        <w:t xml:space="preserve"> </w:t>
      </w:r>
      <w:proofErr w:type="spellStart"/>
      <w:r w:rsidRPr="00480915">
        <w:rPr>
          <w:i/>
          <w:sz w:val="24"/>
          <w:szCs w:val="24"/>
        </w:rPr>
        <w:t>analgetika</w:t>
      </w:r>
      <w:proofErr w:type="spellEnd"/>
    </w:p>
    <w:p w14:paraId="22E4CA6F" w14:textId="77777777" w:rsidR="00480915" w:rsidRPr="00480915" w:rsidRDefault="00480915" w:rsidP="00A96B6C">
      <w:pPr>
        <w:ind w:left="851"/>
        <w:rPr>
          <w:sz w:val="24"/>
          <w:szCs w:val="24"/>
        </w:rPr>
      </w:pPr>
      <w:r w:rsidRPr="00480915">
        <w:rPr>
          <w:sz w:val="24"/>
          <w:szCs w:val="24"/>
        </w:rPr>
        <w:t>Hos børn og unge i alderen fra 6 år til under 18 år, er den anbefalede startdosis 1,5 mg per kg legemsvægt hver 12. time. Ikke desto mindre, bør en startdosis på 50 mg ikke overskrides. Ud fra de tilgængelige tabletstyrker bør enten 25 mg eller 50 mg betragtes som startdoser.</w:t>
      </w:r>
    </w:p>
    <w:p w14:paraId="3E36C789" w14:textId="77777777" w:rsidR="00480915" w:rsidRPr="00480915" w:rsidRDefault="00480915" w:rsidP="00A96B6C">
      <w:pPr>
        <w:ind w:left="851"/>
        <w:rPr>
          <w:sz w:val="24"/>
          <w:szCs w:val="24"/>
        </w:rPr>
      </w:pPr>
    </w:p>
    <w:p w14:paraId="5691A9FC" w14:textId="77777777" w:rsidR="00480915" w:rsidRPr="00480915" w:rsidRDefault="00480915" w:rsidP="00A96B6C">
      <w:pPr>
        <w:ind w:left="851"/>
        <w:rPr>
          <w:i/>
          <w:sz w:val="24"/>
          <w:szCs w:val="24"/>
        </w:rPr>
      </w:pPr>
      <w:r w:rsidRPr="00480915">
        <w:rPr>
          <w:i/>
          <w:sz w:val="24"/>
          <w:szCs w:val="24"/>
        </w:rPr>
        <w:t xml:space="preserve">Initiering af behandling hos patienter, der er i behandling med </w:t>
      </w:r>
      <w:proofErr w:type="spellStart"/>
      <w:r w:rsidRPr="00480915">
        <w:rPr>
          <w:i/>
          <w:sz w:val="24"/>
          <w:szCs w:val="24"/>
        </w:rPr>
        <w:t>opioide</w:t>
      </w:r>
      <w:proofErr w:type="spellEnd"/>
      <w:r w:rsidRPr="00480915">
        <w:rPr>
          <w:i/>
          <w:sz w:val="24"/>
          <w:szCs w:val="24"/>
        </w:rPr>
        <w:t xml:space="preserve"> </w:t>
      </w:r>
      <w:proofErr w:type="spellStart"/>
      <w:r w:rsidRPr="00480915">
        <w:rPr>
          <w:i/>
          <w:sz w:val="24"/>
          <w:szCs w:val="24"/>
        </w:rPr>
        <w:t>analgetika</w:t>
      </w:r>
      <w:proofErr w:type="spellEnd"/>
    </w:p>
    <w:p w14:paraId="2D3312DF" w14:textId="4AB563E6" w:rsidR="00480915" w:rsidRPr="00480915" w:rsidRDefault="00480915" w:rsidP="00A96B6C">
      <w:pPr>
        <w:ind w:left="851"/>
        <w:rPr>
          <w:sz w:val="24"/>
          <w:szCs w:val="24"/>
        </w:rPr>
      </w:pPr>
      <w:r w:rsidRPr="00480915">
        <w:rPr>
          <w:sz w:val="24"/>
          <w:szCs w:val="24"/>
        </w:rPr>
        <w:t xml:space="preserve">Ved skift fra opioider til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skal der ved valg af initialdosis tages højde for det tidligere lægemiddels egenskaber og anvendelse samt den gennemsnitlige døgndosis. Der kan være behov for højere initialdoser af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hos patienter, der allerede tager opioider, end hos patienter, der ikke har taget opioider, før de begynder på behandlingen med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w:t>
      </w:r>
    </w:p>
    <w:p w14:paraId="1B67C530" w14:textId="77777777" w:rsidR="00480915" w:rsidRPr="00480915" w:rsidRDefault="00480915" w:rsidP="00A96B6C">
      <w:pPr>
        <w:ind w:left="851"/>
        <w:rPr>
          <w:sz w:val="24"/>
          <w:szCs w:val="24"/>
        </w:rPr>
      </w:pPr>
    </w:p>
    <w:p w14:paraId="7704838C" w14:textId="77777777" w:rsidR="00480915" w:rsidRPr="00480915" w:rsidRDefault="00480915" w:rsidP="00A96B6C">
      <w:pPr>
        <w:ind w:left="851"/>
        <w:rPr>
          <w:i/>
          <w:sz w:val="24"/>
          <w:szCs w:val="24"/>
        </w:rPr>
      </w:pPr>
      <w:r w:rsidRPr="00480915">
        <w:rPr>
          <w:i/>
          <w:sz w:val="24"/>
          <w:szCs w:val="24"/>
        </w:rPr>
        <w:t>Titrering og vedligeholdelse</w:t>
      </w:r>
    </w:p>
    <w:p w14:paraId="03378C25" w14:textId="77777777" w:rsidR="00480915" w:rsidRPr="00480915" w:rsidRDefault="00480915" w:rsidP="00A96B6C">
      <w:pPr>
        <w:ind w:left="851"/>
        <w:rPr>
          <w:sz w:val="24"/>
          <w:szCs w:val="24"/>
        </w:rPr>
      </w:pPr>
      <w:r w:rsidRPr="00480915">
        <w:rPr>
          <w:sz w:val="24"/>
          <w:szCs w:val="24"/>
        </w:rPr>
        <w:t xml:space="preserve">Efter initiering af behandlingen skal dosis titreres individuelt til et niveau, der giver tilstrækkelig analgesi med et minimum af bivirkninger, med dosisøgning på 25 mg til patienter med legemsvægt under 40 kg eller dosisøgning på 25 mg eller 50 mg til patienter med legemsvægt over 40 kg, med mindst 2 dage mellem dosisøgningerne. Patienten skal følges tæt af den behandlende læge. </w:t>
      </w:r>
    </w:p>
    <w:p w14:paraId="05082BB4" w14:textId="480E798B" w:rsidR="00480915" w:rsidRPr="00480915" w:rsidRDefault="00480915" w:rsidP="00A96B6C">
      <w:pPr>
        <w:ind w:left="851"/>
        <w:rPr>
          <w:sz w:val="24"/>
          <w:szCs w:val="24"/>
        </w:rPr>
      </w:pPr>
      <w:r w:rsidRPr="00480915">
        <w:rPr>
          <w:sz w:val="24"/>
          <w:szCs w:val="24"/>
        </w:rPr>
        <w:t>Den maksimale anbefalede dosis er 3,5 mg per kg legemsvægt hver 12. time. De tilgængelige tabletstyrker skal betragtes for at opnå optimal dosis indenfor den generelle anbefaling (1,5 mg/kg til 3.5 mg/kg), som vurderes af behandlende læge. Totaldosis på 500</w:t>
      </w:r>
      <w:r w:rsidR="0024457E" w:rsidRPr="00301E7F">
        <w:rPr>
          <w:sz w:val="24"/>
          <w:szCs w:val="24"/>
        </w:rPr>
        <w:t> </w:t>
      </w:r>
      <w:r w:rsidRPr="00480915">
        <w:rPr>
          <w:sz w:val="24"/>
          <w:szCs w:val="24"/>
        </w:rPr>
        <w:t xml:space="preserve">mg pr. dag </w:t>
      </w:r>
      <w:proofErr w:type="gramStart"/>
      <w:r w:rsidRPr="00480915">
        <w:rPr>
          <w:sz w:val="24"/>
          <w:szCs w:val="24"/>
        </w:rPr>
        <w:t>eksempelvis</w:t>
      </w:r>
      <w:proofErr w:type="gramEnd"/>
      <w:r w:rsidRPr="00480915">
        <w:rPr>
          <w:sz w:val="24"/>
          <w:szCs w:val="24"/>
        </w:rPr>
        <w:t xml:space="preserve"> 250 mg hver 12. time bør ikke overskrides. Enkelte patienter har haft gavn af doser ned til 1,0 mg/kg.</w:t>
      </w:r>
    </w:p>
    <w:p w14:paraId="25815E14" w14:textId="77777777" w:rsidR="00480915" w:rsidRPr="00480915" w:rsidRDefault="00480915" w:rsidP="00A96B6C">
      <w:pPr>
        <w:ind w:left="851"/>
        <w:rPr>
          <w:sz w:val="24"/>
          <w:szCs w:val="24"/>
        </w:rPr>
      </w:pPr>
    </w:p>
    <w:p w14:paraId="6F02ECE3" w14:textId="77777777" w:rsidR="00480915" w:rsidRPr="00480915" w:rsidRDefault="00480915" w:rsidP="00A96B6C">
      <w:pPr>
        <w:ind w:left="851"/>
        <w:rPr>
          <w:i/>
          <w:sz w:val="24"/>
          <w:szCs w:val="24"/>
        </w:rPr>
      </w:pPr>
      <w:proofErr w:type="spellStart"/>
      <w:r w:rsidRPr="00480915">
        <w:rPr>
          <w:i/>
          <w:sz w:val="24"/>
          <w:szCs w:val="24"/>
        </w:rPr>
        <w:t>Seponering</w:t>
      </w:r>
      <w:proofErr w:type="spellEnd"/>
      <w:r w:rsidRPr="00480915">
        <w:rPr>
          <w:i/>
          <w:sz w:val="24"/>
          <w:szCs w:val="24"/>
        </w:rPr>
        <w:t xml:space="preserve"> af behandlingen</w:t>
      </w:r>
    </w:p>
    <w:p w14:paraId="5E46A3EE" w14:textId="77777777" w:rsidR="00480915" w:rsidRPr="00480915" w:rsidRDefault="00480915" w:rsidP="00A96B6C">
      <w:pPr>
        <w:ind w:left="851"/>
        <w:rPr>
          <w:sz w:val="24"/>
          <w:szCs w:val="24"/>
        </w:rPr>
      </w:pPr>
      <w:r w:rsidRPr="00480915">
        <w:rPr>
          <w:sz w:val="24"/>
          <w:szCs w:val="24"/>
        </w:rPr>
        <w:t xml:space="preserve">Der kan opstå </w:t>
      </w:r>
      <w:proofErr w:type="spellStart"/>
      <w:r w:rsidRPr="00480915">
        <w:rPr>
          <w:sz w:val="24"/>
          <w:szCs w:val="24"/>
        </w:rPr>
        <w:t>seponeringssymptomer</w:t>
      </w:r>
      <w:proofErr w:type="spellEnd"/>
      <w:r w:rsidRPr="00480915">
        <w:rPr>
          <w:sz w:val="24"/>
          <w:szCs w:val="24"/>
        </w:rPr>
        <w:t xml:space="preserve"> efter brat afbrydelse af behandling med </w:t>
      </w:r>
      <w:proofErr w:type="spellStart"/>
      <w:r w:rsidRPr="00480915">
        <w:rPr>
          <w:sz w:val="24"/>
          <w:szCs w:val="24"/>
        </w:rPr>
        <w:t>tapentadol</w:t>
      </w:r>
      <w:proofErr w:type="spellEnd"/>
      <w:r w:rsidRPr="00480915">
        <w:rPr>
          <w:sz w:val="24"/>
          <w:szCs w:val="24"/>
        </w:rPr>
        <w:t xml:space="preserve"> (se pkt. 4.4 og pkt. 4.8). Når patienten ikke længere har behov for behandling med </w:t>
      </w:r>
      <w:proofErr w:type="spellStart"/>
      <w:r w:rsidRPr="00480915">
        <w:rPr>
          <w:sz w:val="24"/>
          <w:szCs w:val="24"/>
        </w:rPr>
        <w:t>tapentadol</w:t>
      </w:r>
      <w:proofErr w:type="spellEnd"/>
      <w:r w:rsidRPr="00480915">
        <w:rPr>
          <w:sz w:val="24"/>
          <w:szCs w:val="24"/>
        </w:rPr>
        <w:t xml:space="preserve">, er det tilrådeligt med en gradvis nedtrapning af dosis for at forebygge </w:t>
      </w:r>
      <w:proofErr w:type="spellStart"/>
      <w:r w:rsidRPr="00480915">
        <w:rPr>
          <w:sz w:val="24"/>
          <w:szCs w:val="24"/>
        </w:rPr>
        <w:t>seponeringssymptomer</w:t>
      </w:r>
      <w:proofErr w:type="spellEnd"/>
      <w:r w:rsidRPr="00480915">
        <w:rPr>
          <w:sz w:val="24"/>
          <w:szCs w:val="24"/>
        </w:rPr>
        <w:t>.</w:t>
      </w:r>
    </w:p>
    <w:p w14:paraId="570BD36D" w14:textId="77777777" w:rsidR="00480915" w:rsidRPr="00480915" w:rsidRDefault="00480915" w:rsidP="00A96B6C">
      <w:pPr>
        <w:ind w:left="851"/>
        <w:rPr>
          <w:sz w:val="24"/>
          <w:szCs w:val="24"/>
        </w:rPr>
      </w:pPr>
    </w:p>
    <w:p w14:paraId="7BBAE100" w14:textId="77777777" w:rsidR="00480915" w:rsidRPr="00480915" w:rsidRDefault="00480915" w:rsidP="00A96B6C">
      <w:pPr>
        <w:ind w:left="851"/>
        <w:rPr>
          <w:i/>
          <w:sz w:val="24"/>
          <w:szCs w:val="24"/>
        </w:rPr>
      </w:pPr>
      <w:r w:rsidRPr="00480915">
        <w:rPr>
          <w:i/>
          <w:sz w:val="24"/>
          <w:szCs w:val="24"/>
        </w:rPr>
        <w:t>Nedsat nyrefunktion</w:t>
      </w:r>
    </w:p>
    <w:p w14:paraId="4B56A620" w14:textId="77777777" w:rsidR="00480915" w:rsidRPr="00480915" w:rsidRDefault="00480915" w:rsidP="00A96B6C">
      <w:pPr>
        <w:ind w:left="851"/>
        <w:rPr>
          <w:sz w:val="24"/>
          <w:szCs w:val="24"/>
        </w:rPr>
      </w:pPr>
      <w:r w:rsidRPr="00480915">
        <w:rPr>
          <w:sz w:val="24"/>
          <w:szCs w:val="24"/>
        </w:rPr>
        <w:t xml:space="preserve">Der er ikke udført kontrollerede effektundersøgelser med </w:t>
      </w:r>
      <w:proofErr w:type="spellStart"/>
      <w:r w:rsidRPr="00480915">
        <w:rPr>
          <w:sz w:val="24"/>
          <w:szCs w:val="24"/>
        </w:rPr>
        <w:t>tapentadol</w:t>
      </w:r>
      <w:proofErr w:type="spellEnd"/>
      <w:r w:rsidRPr="00480915">
        <w:rPr>
          <w:sz w:val="24"/>
          <w:szCs w:val="24"/>
        </w:rPr>
        <w:t xml:space="preserve"> hos børn og unge med nedsat nyrefunktion, og præparatet bør derfor ikke anvendes til denne population (se pkt. 4.4 og 5.2).</w:t>
      </w:r>
    </w:p>
    <w:p w14:paraId="562FED78" w14:textId="77777777" w:rsidR="00480915" w:rsidRPr="00480915" w:rsidRDefault="00480915" w:rsidP="00A96B6C">
      <w:pPr>
        <w:ind w:left="851"/>
        <w:rPr>
          <w:sz w:val="24"/>
          <w:szCs w:val="24"/>
        </w:rPr>
      </w:pPr>
    </w:p>
    <w:p w14:paraId="07B5F841" w14:textId="77777777" w:rsidR="00480915" w:rsidRPr="00480915" w:rsidRDefault="00480915" w:rsidP="00A96B6C">
      <w:pPr>
        <w:ind w:left="851"/>
        <w:rPr>
          <w:i/>
          <w:sz w:val="24"/>
          <w:szCs w:val="24"/>
        </w:rPr>
      </w:pPr>
      <w:r w:rsidRPr="00480915">
        <w:rPr>
          <w:i/>
          <w:sz w:val="24"/>
          <w:szCs w:val="24"/>
        </w:rPr>
        <w:t xml:space="preserve">Nedsat leverfunktion </w:t>
      </w:r>
    </w:p>
    <w:p w14:paraId="6B01790D" w14:textId="77777777" w:rsidR="00480915" w:rsidRPr="00480915" w:rsidRDefault="00480915" w:rsidP="00A96B6C">
      <w:pPr>
        <w:ind w:left="851"/>
        <w:rPr>
          <w:sz w:val="24"/>
          <w:szCs w:val="24"/>
        </w:rPr>
      </w:pPr>
      <w:r w:rsidRPr="00480915">
        <w:rPr>
          <w:sz w:val="24"/>
          <w:szCs w:val="24"/>
        </w:rPr>
        <w:t xml:space="preserve">Der er ikke udført kontrollerede effektundersøgelser med </w:t>
      </w:r>
      <w:proofErr w:type="spellStart"/>
      <w:r w:rsidRPr="00480915">
        <w:rPr>
          <w:sz w:val="24"/>
          <w:szCs w:val="24"/>
        </w:rPr>
        <w:t>tapentadol</w:t>
      </w:r>
      <w:proofErr w:type="spellEnd"/>
      <w:r w:rsidRPr="00480915">
        <w:rPr>
          <w:sz w:val="24"/>
          <w:szCs w:val="24"/>
        </w:rPr>
        <w:t xml:space="preserve"> hos børn og unge med nedsat leverfunktion, og præparatet bør derfor ikke anvendes til denne population (se pkt. 4.4 og 5.2).</w:t>
      </w:r>
    </w:p>
    <w:p w14:paraId="328DE4B4" w14:textId="77777777" w:rsidR="00480915" w:rsidRPr="00480915" w:rsidRDefault="00480915" w:rsidP="00A96B6C">
      <w:pPr>
        <w:ind w:left="851"/>
        <w:rPr>
          <w:sz w:val="24"/>
          <w:szCs w:val="24"/>
        </w:rPr>
      </w:pPr>
    </w:p>
    <w:p w14:paraId="088BA656" w14:textId="77777777"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bør ikke anvendes til børn under 6 år pga. manglende dokumentation for sikkerhed og virkning.</w:t>
      </w:r>
    </w:p>
    <w:p w14:paraId="7078D5A8" w14:textId="77777777" w:rsidR="00480915" w:rsidRPr="00480915" w:rsidRDefault="00480915" w:rsidP="00A96B6C">
      <w:pPr>
        <w:ind w:left="851"/>
        <w:rPr>
          <w:sz w:val="24"/>
          <w:szCs w:val="24"/>
        </w:rPr>
      </w:pPr>
    </w:p>
    <w:p w14:paraId="66A97282" w14:textId="77777777" w:rsidR="00480915" w:rsidRPr="00480915" w:rsidRDefault="00480915" w:rsidP="00A96B6C">
      <w:pPr>
        <w:ind w:left="851"/>
        <w:rPr>
          <w:sz w:val="24"/>
          <w:szCs w:val="24"/>
          <w:u w:val="single"/>
        </w:rPr>
      </w:pPr>
      <w:r w:rsidRPr="00480915">
        <w:rPr>
          <w:sz w:val="24"/>
          <w:szCs w:val="24"/>
          <w:u w:val="single"/>
        </w:rPr>
        <w:t>Indgivelsesmåde</w:t>
      </w:r>
    </w:p>
    <w:p w14:paraId="0D9AD566" w14:textId="6F642CEA"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er til oral anvendelse.   </w:t>
      </w:r>
    </w:p>
    <w:p w14:paraId="07F95A50" w14:textId="2E51CDEF" w:rsidR="00480915" w:rsidRPr="00480915" w:rsidRDefault="00480915" w:rsidP="00A96B6C">
      <w:pPr>
        <w:ind w:left="851"/>
        <w:rPr>
          <w:sz w:val="24"/>
          <w:szCs w:val="24"/>
        </w:rPr>
      </w:pPr>
      <w:r w:rsidRPr="00480915">
        <w:rPr>
          <w:sz w:val="24"/>
          <w:szCs w:val="24"/>
        </w:rPr>
        <w:t xml:space="preserve">Tabletten skal synkes hele og må ikke deles eller tygges for at sikre, at egenskaberne ved depottabletterne bevares.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bør tages med rigelig væske.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kan tages alene eller i forbindelse med et måltid.</w:t>
      </w:r>
    </w:p>
    <w:p w14:paraId="040A61A5" w14:textId="77777777" w:rsidR="00480915" w:rsidRPr="00480915" w:rsidRDefault="00480915" w:rsidP="00A96B6C">
      <w:pPr>
        <w:ind w:left="851"/>
        <w:rPr>
          <w:sz w:val="24"/>
          <w:szCs w:val="24"/>
        </w:rPr>
      </w:pPr>
      <w:r w:rsidRPr="00480915">
        <w:rPr>
          <w:sz w:val="24"/>
          <w:szCs w:val="24"/>
        </w:rPr>
        <w:t xml:space="preserve">Tablettens skal (matrix) kan passere mave-tarm systemet uden at blive fuldstændig fordøjet og vil derfor kunne ses i patientens afføring. Dette har imidlertid ingen klinisk relevans, da det aktive stof i tabletten allerede er blevet absorberet.     </w:t>
      </w:r>
    </w:p>
    <w:p w14:paraId="00BBDFBD" w14:textId="77777777" w:rsidR="009260DE" w:rsidRPr="00301E7F" w:rsidRDefault="009260DE" w:rsidP="00A96B6C">
      <w:pPr>
        <w:ind w:left="851"/>
        <w:rPr>
          <w:sz w:val="24"/>
          <w:szCs w:val="24"/>
        </w:rPr>
      </w:pPr>
    </w:p>
    <w:p w14:paraId="4282F8F4" w14:textId="77777777" w:rsidR="009260DE" w:rsidRPr="00301E7F" w:rsidRDefault="009260DE" w:rsidP="009260DE">
      <w:pPr>
        <w:tabs>
          <w:tab w:val="left" w:pos="851"/>
        </w:tabs>
        <w:ind w:left="851" w:hanging="851"/>
        <w:rPr>
          <w:b/>
          <w:sz w:val="24"/>
          <w:szCs w:val="24"/>
        </w:rPr>
      </w:pPr>
      <w:r w:rsidRPr="00301E7F">
        <w:rPr>
          <w:b/>
          <w:sz w:val="24"/>
          <w:szCs w:val="24"/>
        </w:rPr>
        <w:t>4.3</w:t>
      </w:r>
      <w:r w:rsidRPr="00301E7F">
        <w:rPr>
          <w:b/>
          <w:sz w:val="24"/>
          <w:szCs w:val="24"/>
        </w:rPr>
        <w:tab/>
        <w:t>Kontraindikationer</w:t>
      </w:r>
    </w:p>
    <w:p w14:paraId="6CC4373F" w14:textId="0321FA1C"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er kontraindiceret</w:t>
      </w:r>
    </w:p>
    <w:p w14:paraId="3E886319" w14:textId="77777777" w:rsidR="00480915" w:rsidRPr="00480915" w:rsidRDefault="00480915" w:rsidP="00A96B6C">
      <w:pPr>
        <w:numPr>
          <w:ilvl w:val="0"/>
          <w:numId w:val="7"/>
        </w:numPr>
        <w:ind w:left="1276" w:hanging="425"/>
        <w:rPr>
          <w:sz w:val="24"/>
          <w:szCs w:val="24"/>
        </w:rPr>
      </w:pPr>
      <w:r w:rsidRPr="00480915">
        <w:rPr>
          <w:sz w:val="24"/>
          <w:szCs w:val="24"/>
        </w:rPr>
        <w:t xml:space="preserve">ved overfølsomhed over for </w:t>
      </w:r>
      <w:proofErr w:type="spellStart"/>
      <w:r w:rsidRPr="00480915">
        <w:rPr>
          <w:sz w:val="24"/>
          <w:szCs w:val="24"/>
        </w:rPr>
        <w:t>tapentadol</w:t>
      </w:r>
      <w:proofErr w:type="spellEnd"/>
      <w:r w:rsidRPr="00480915">
        <w:rPr>
          <w:sz w:val="24"/>
          <w:szCs w:val="24"/>
        </w:rPr>
        <w:t xml:space="preserve"> eller over for et eller flere af hjælpestofferne anført i pkt. 6.1.</w:t>
      </w:r>
    </w:p>
    <w:p w14:paraId="114E8FA0" w14:textId="77777777" w:rsidR="00480915" w:rsidRPr="00480915" w:rsidRDefault="00480915" w:rsidP="00A96B6C">
      <w:pPr>
        <w:numPr>
          <w:ilvl w:val="0"/>
          <w:numId w:val="7"/>
        </w:numPr>
        <w:ind w:left="1276" w:hanging="425"/>
        <w:rPr>
          <w:sz w:val="24"/>
          <w:szCs w:val="24"/>
        </w:rPr>
      </w:pPr>
      <w:r w:rsidRPr="00480915">
        <w:rPr>
          <w:sz w:val="24"/>
          <w:szCs w:val="24"/>
        </w:rPr>
        <w:t xml:space="preserve">i situationer, hvor aktive stoffer med </w:t>
      </w:r>
      <w:proofErr w:type="spellStart"/>
      <w:r w:rsidRPr="00480915">
        <w:rPr>
          <w:sz w:val="24"/>
          <w:szCs w:val="24"/>
        </w:rPr>
        <w:t>agonistisk</w:t>
      </w:r>
      <w:proofErr w:type="spellEnd"/>
      <w:r w:rsidRPr="00480915">
        <w:rPr>
          <w:sz w:val="24"/>
          <w:szCs w:val="24"/>
        </w:rPr>
        <w:t xml:space="preserve"> virkning på µ-opioidreceptorer er kontraindiceret, dvs. hos patienter med betydelig respirationsdepression (i omgivelser uden monitorering eller ved fravær af genoplivningsudstyr), og patienter med akut eller alvorlig astmatisk bronkitis eller </w:t>
      </w:r>
      <w:proofErr w:type="spellStart"/>
      <w:r w:rsidRPr="00480915">
        <w:rPr>
          <w:sz w:val="24"/>
          <w:szCs w:val="24"/>
        </w:rPr>
        <w:t>hyperkapni</w:t>
      </w:r>
      <w:proofErr w:type="spellEnd"/>
      <w:r w:rsidRPr="00480915">
        <w:rPr>
          <w:sz w:val="24"/>
          <w:szCs w:val="24"/>
        </w:rPr>
        <w:t xml:space="preserve"> </w:t>
      </w:r>
    </w:p>
    <w:p w14:paraId="0DE8A2ED" w14:textId="77777777" w:rsidR="00480915" w:rsidRPr="00480915" w:rsidRDefault="00480915" w:rsidP="00A96B6C">
      <w:pPr>
        <w:numPr>
          <w:ilvl w:val="0"/>
          <w:numId w:val="7"/>
        </w:numPr>
        <w:ind w:left="1276" w:hanging="425"/>
        <w:rPr>
          <w:sz w:val="24"/>
          <w:szCs w:val="24"/>
        </w:rPr>
      </w:pPr>
      <w:r w:rsidRPr="00480915">
        <w:rPr>
          <w:sz w:val="24"/>
          <w:szCs w:val="24"/>
        </w:rPr>
        <w:t xml:space="preserve">ved mistanke om eller diagnosticeret paralytisk </w:t>
      </w:r>
      <w:proofErr w:type="spellStart"/>
      <w:r w:rsidRPr="00480915">
        <w:rPr>
          <w:sz w:val="24"/>
          <w:szCs w:val="24"/>
        </w:rPr>
        <w:t>ileus</w:t>
      </w:r>
      <w:proofErr w:type="spellEnd"/>
    </w:p>
    <w:p w14:paraId="30BF219C" w14:textId="77777777" w:rsidR="00480915" w:rsidRPr="00480915" w:rsidRDefault="00480915" w:rsidP="00A96B6C">
      <w:pPr>
        <w:numPr>
          <w:ilvl w:val="0"/>
          <w:numId w:val="7"/>
        </w:numPr>
        <w:ind w:left="1276" w:hanging="425"/>
        <w:rPr>
          <w:sz w:val="24"/>
          <w:szCs w:val="24"/>
        </w:rPr>
      </w:pPr>
      <w:r w:rsidRPr="00480915">
        <w:rPr>
          <w:sz w:val="24"/>
          <w:szCs w:val="24"/>
        </w:rPr>
        <w:t xml:space="preserve">ved akut </w:t>
      </w:r>
      <w:proofErr w:type="spellStart"/>
      <w:r w:rsidRPr="00480915">
        <w:rPr>
          <w:sz w:val="24"/>
          <w:szCs w:val="24"/>
        </w:rPr>
        <w:t>intoksikation</w:t>
      </w:r>
      <w:proofErr w:type="spellEnd"/>
      <w:r w:rsidRPr="00480915">
        <w:rPr>
          <w:sz w:val="24"/>
          <w:szCs w:val="24"/>
        </w:rPr>
        <w:t xml:space="preserve"> med alkohol, </w:t>
      </w:r>
      <w:proofErr w:type="spellStart"/>
      <w:r w:rsidRPr="00480915">
        <w:rPr>
          <w:sz w:val="24"/>
          <w:szCs w:val="24"/>
        </w:rPr>
        <w:t>hypnotika</w:t>
      </w:r>
      <w:proofErr w:type="spellEnd"/>
      <w:r w:rsidRPr="00480915">
        <w:rPr>
          <w:sz w:val="24"/>
          <w:szCs w:val="24"/>
        </w:rPr>
        <w:t xml:space="preserve">, </w:t>
      </w:r>
      <w:proofErr w:type="spellStart"/>
      <w:r w:rsidRPr="00480915">
        <w:rPr>
          <w:sz w:val="24"/>
          <w:szCs w:val="24"/>
        </w:rPr>
        <w:t>analgetika</w:t>
      </w:r>
      <w:proofErr w:type="spellEnd"/>
      <w:r w:rsidRPr="00480915">
        <w:rPr>
          <w:sz w:val="24"/>
          <w:szCs w:val="24"/>
        </w:rPr>
        <w:t xml:space="preserve"> med central virkning eller psykofarmaka (se pkt. 4.5).</w:t>
      </w:r>
    </w:p>
    <w:p w14:paraId="4129436F" w14:textId="3559A20A" w:rsidR="0024457E" w:rsidRPr="00301E7F" w:rsidRDefault="0024457E">
      <w:pPr>
        <w:rPr>
          <w:sz w:val="24"/>
          <w:szCs w:val="24"/>
        </w:rPr>
      </w:pPr>
      <w:r w:rsidRPr="00301E7F">
        <w:rPr>
          <w:sz w:val="24"/>
          <w:szCs w:val="24"/>
        </w:rPr>
        <w:br w:type="page"/>
      </w:r>
    </w:p>
    <w:p w14:paraId="4AAA2EAD" w14:textId="77777777" w:rsidR="009260DE" w:rsidRPr="00301E7F" w:rsidRDefault="009260DE" w:rsidP="009260DE">
      <w:pPr>
        <w:tabs>
          <w:tab w:val="left" w:pos="851"/>
        </w:tabs>
        <w:ind w:left="851"/>
        <w:rPr>
          <w:sz w:val="24"/>
          <w:szCs w:val="24"/>
        </w:rPr>
      </w:pPr>
    </w:p>
    <w:p w14:paraId="670CE1B3" w14:textId="77777777" w:rsidR="009260DE" w:rsidRPr="00301E7F" w:rsidRDefault="009260DE" w:rsidP="009260DE">
      <w:pPr>
        <w:tabs>
          <w:tab w:val="left" w:pos="851"/>
        </w:tabs>
        <w:ind w:left="851" w:hanging="851"/>
        <w:rPr>
          <w:b/>
          <w:sz w:val="24"/>
          <w:szCs w:val="24"/>
        </w:rPr>
      </w:pPr>
      <w:r w:rsidRPr="00301E7F">
        <w:rPr>
          <w:b/>
          <w:sz w:val="24"/>
          <w:szCs w:val="24"/>
        </w:rPr>
        <w:t>4.4</w:t>
      </w:r>
      <w:r w:rsidRPr="00301E7F">
        <w:rPr>
          <w:b/>
          <w:sz w:val="24"/>
          <w:szCs w:val="24"/>
        </w:rPr>
        <w:tab/>
        <w:t>Særlige advarsler og forsigtighedsregler vedrørende brugen</w:t>
      </w:r>
    </w:p>
    <w:p w14:paraId="7D5808E1" w14:textId="77777777" w:rsidR="0024457E" w:rsidRPr="00301E7F" w:rsidRDefault="0024457E" w:rsidP="00A96B6C">
      <w:pPr>
        <w:ind w:left="851"/>
        <w:rPr>
          <w:i/>
          <w:sz w:val="24"/>
          <w:szCs w:val="24"/>
        </w:rPr>
      </w:pPr>
    </w:p>
    <w:p w14:paraId="6BB55E1E" w14:textId="6E59928C" w:rsidR="00480915" w:rsidRPr="00480915" w:rsidRDefault="00480915" w:rsidP="00A96B6C">
      <w:pPr>
        <w:ind w:left="851"/>
        <w:rPr>
          <w:i/>
          <w:sz w:val="24"/>
          <w:szCs w:val="24"/>
        </w:rPr>
      </w:pPr>
      <w:r w:rsidRPr="00480915">
        <w:rPr>
          <w:i/>
          <w:sz w:val="24"/>
          <w:szCs w:val="24"/>
        </w:rPr>
        <w:t xml:space="preserve">Tolerance og Opioid </w:t>
      </w:r>
      <w:proofErr w:type="spellStart"/>
      <w:r w:rsidRPr="00480915">
        <w:rPr>
          <w:i/>
          <w:sz w:val="24"/>
          <w:szCs w:val="24"/>
        </w:rPr>
        <w:t>Use</w:t>
      </w:r>
      <w:proofErr w:type="spellEnd"/>
      <w:r w:rsidRPr="00480915">
        <w:rPr>
          <w:i/>
          <w:sz w:val="24"/>
          <w:szCs w:val="24"/>
        </w:rPr>
        <w:t xml:space="preserve"> </w:t>
      </w:r>
      <w:proofErr w:type="spellStart"/>
      <w:r w:rsidRPr="00480915">
        <w:rPr>
          <w:i/>
          <w:sz w:val="24"/>
          <w:szCs w:val="24"/>
        </w:rPr>
        <w:t>Disorder</w:t>
      </w:r>
      <w:proofErr w:type="spellEnd"/>
      <w:r w:rsidRPr="00480915">
        <w:rPr>
          <w:i/>
          <w:sz w:val="24"/>
          <w:szCs w:val="24"/>
        </w:rPr>
        <w:t xml:space="preserve"> (misbrug og afhængighed)</w:t>
      </w:r>
    </w:p>
    <w:p w14:paraId="27E89272" w14:textId="03976C35" w:rsidR="00480915" w:rsidRPr="00480915" w:rsidRDefault="00480915" w:rsidP="00A96B6C">
      <w:pPr>
        <w:ind w:left="851"/>
        <w:rPr>
          <w:sz w:val="24"/>
          <w:szCs w:val="24"/>
        </w:rPr>
      </w:pPr>
      <w:r w:rsidRPr="00480915">
        <w:rPr>
          <w:sz w:val="24"/>
          <w:szCs w:val="24"/>
        </w:rPr>
        <w:t xml:space="preserve">Tolerance, fysisk og psykologisk afhængighed og Opioid </w:t>
      </w:r>
      <w:proofErr w:type="spellStart"/>
      <w:r w:rsidRPr="00480915">
        <w:rPr>
          <w:sz w:val="24"/>
          <w:szCs w:val="24"/>
        </w:rPr>
        <w:t>Use</w:t>
      </w:r>
      <w:proofErr w:type="spellEnd"/>
      <w:r w:rsidRPr="00480915">
        <w:rPr>
          <w:sz w:val="24"/>
          <w:szCs w:val="24"/>
        </w:rPr>
        <w:t xml:space="preserve"> </w:t>
      </w:r>
      <w:proofErr w:type="spellStart"/>
      <w:r w:rsidRPr="00480915">
        <w:rPr>
          <w:sz w:val="24"/>
          <w:szCs w:val="24"/>
        </w:rPr>
        <w:t>Disorder</w:t>
      </w:r>
      <w:proofErr w:type="spellEnd"/>
      <w:r w:rsidRPr="00480915">
        <w:rPr>
          <w:sz w:val="24"/>
          <w:szCs w:val="24"/>
        </w:rPr>
        <w:t xml:space="preserve"> (OUD) kan udvikles ved gentagen administration af opioider såsom f.eks.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En højere dosis og længere varighed af opioidbehandling kan øge risikoen for at udvikle OUD. Misbrug eller bevidst forkert brug af opioider kan resultere i overdosering og/eller dødsfald. </w:t>
      </w:r>
    </w:p>
    <w:p w14:paraId="2046E879" w14:textId="77777777" w:rsidR="00480915" w:rsidRPr="00480915" w:rsidRDefault="00480915" w:rsidP="00A96B6C">
      <w:pPr>
        <w:ind w:left="851"/>
        <w:rPr>
          <w:sz w:val="24"/>
          <w:szCs w:val="24"/>
        </w:rPr>
      </w:pPr>
      <w:r w:rsidRPr="00480915">
        <w:rPr>
          <w:sz w:val="24"/>
          <w:szCs w:val="24"/>
        </w:rPr>
        <w:t>Risikoen for at udvikle OUD er forøget hos patienter med en personlig eller familiær anamnese (forældre eller søskende) med misbrugsrelaterede lidelser (herunder alkoholmisbrug), hos nuværende tobaksrygere eller hos patienter med en personlig anamnese med andre psykiske sygdomme (f.eks. svær depression, angst og personlighedsforstyrrelser).</w:t>
      </w:r>
    </w:p>
    <w:p w14:paraId="5B512141" w14:textId="77777777" w:rsidR="00480915" w:rsidRPr="00480915" w:rsidRDefault="00480915" w:rsidP="00A96B6C">
      <w:pPr>
        <w:ind w:left="851"/>
        <w:rPr>
          <w:sz w:val="24"/>
          <w:szCs w:val="24"/>
        </w:rPr>
      </w:pPr>
    </w:p>
    <w:p w14:paraId="52759666" w14:textId="324CDB5B" w:rsidR="00480915" w:rsidRPr="00480915" w:rsidRDefault="00480915" w:rsidP="00A96B6C">
      <w:pPr>
        <w:ind w:left="851"/>
        <w:rPr>
          <w:sz w:val="24"/>
          <w:szCs w:val="24"/>
        </w:rPr>
      </w:pPr>
      <w:r w:rsidRPr="00480915">
        <w:rPr>
          <w:sz w:val="24"/>
          <w:szCs w:val="24"/>
        </w:rPr>
        <w:t xml:space="preserve">Før behandlingen med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påbegyndes, og under behandlingen, skal behandlingsmål og en plan for </w:t>
      </w:r>
      <w:proofErr w:type="spellStart"/>
      <w:r w:rsidRPr="00480915">
        <w:rPr>
          <w:sz w:val="24"/>
          <w:szCs w:val="24"/>
        </w:rPr>
        <w:t>seponering</w:t>
      </w:r>
      <w:proofErr w:type="spellEnd"/>
      <w:r w:rsidRPr="00480915">
        <w:rPr>
          <w:sz w:val="24"/>
          <w:szCs w:val="24"/>
        </w:rPr>
        <w:t xml:space="preserve"> være aftalt med patienten (se pkt. 4.2). Før og under behandlingen skal patienten også informeres om risiciene og tegnene på OUD. Hvis disse tegn forekommer, skal patienten rådes til at kontakte lægen.</w:t>
      </w:r>
    </w:p>
    <w:p w14:paraId="0417B474" w14:textId="77777777" w:rsidR="00480915" w:rsidRPr="00480915" w:rsidRDefault="00480915" w:rsidP="00A96B6C">
      <w:pPr>
        <w:ind w:left="851"/>
        <w:rPr>
          <w:sz w:val="24"/>
          <w:szCs w:val="24"/>
        </w:rPr>
      </w:pPr>
    </w:p>
    <w:p w14:paraId="1C72811D" w14:textId="77777777" w:rsidR="00480915" w:rsidRPr="00480915" w:rsidRDefault="00480915" w:rsidP="00A96B6C">
      <w:pPr>
        <w:ind w:left="851"/>
        <w:rPr>
          <w:sz w:val="24"/>
          <w:szCs w:val="24"/>
        </w:rPr>
      </w:pPr>
      <w:r w:rsidRPr="00480915">
        <w:rPr>
          <w:sz w:val="24"/>
          <w:szCs w:val="24"/>
        </w:rPr>
        <w:t>Patienter bør monitoreres for tegn på lægemiddelsøgende adfærd (f.eks. beder om ny recept for tidligt). Dette omfatter gennemgang af samtidige opioider og psykoaktive stoffer (som benzodiazepiner). For patienter med tegn og symptomer på OUD bør konsultation med en afhængighedsspecialist overvejes.</w:t>
      </w:r>
    </w:p>
    <w:p w14:paraId="6FCFE723" w14:textId="77777777" w:rsidR="00480915" w:rsidRPr="00480915" w:rsidRDefault="00480915" w:rsidP="00A96B6C">
      <w:pPr>
        <w:ind w:left="851"/>
        <w:rPr>
          <w:sz w:val="24"/>
          <w:szCs w:val="24"/>
        </w:rPr>
      </w:pPr>
    </w:p>
    <w:p w14:paraId="15E30CFF" w14:textId="77777777" w:rsidR="00480915" w:rsidRPr="00480915" w:rsidRDefault="00480915" w:rsidP="00A96B6C">
      <w:pPr>
        <w:ind w:left="851"/>
        <w:rPr>
          <w:sz w:val="24"/>
          <w:szCs w:val="24"/>
        </w:rPr>
      </w:pPr>
      <w:r w:rsidRPr="00480915">
        <w:rPr>
          <w:sz w:val="24"/>
          <w:szCs w:val="24"/>
        </w:rPr>
        <w:t xml:space="preserve">Læger bør være opmærksomme på </w:t>
      </w:r>
      <w:proofErr w:type="spellStart"/>
      <w:r w:rsidRPr="00480915">
        <w:rPr>
          <w:sz w:val="24"/>
          <w:szCs w:val="24"/>
        </w:rPr>
        <w:t>seponeringssymptomer</w:t>
      </w:r>
      <w:proofErr w:type="spellEnd"/>
      <w:r w:rsidRPr="00480915">
        <w:rPr>
          <w:sz w:val="24"/>
          <w:szCs w:val="24"/>
        </w:rPr>
        <w:t xml:space="preserve"> efter gentagen administration af </w:t>
      </w:r>
      <w:proofErr w:type="spellStart"/>
      <w:r w:rsidRPr="00480915">
        <w:rPr>
          <w:sz w:val="24"/>
          <w:szCs w:val="24"/>
        </w:rPr>
        <w:t>tapentadol</w:t>
      </w:r>
      <w:proofErr w:type="spellEnd"/>
      <w:r w:rsidRPr="00480915">
        <w:rPr>
          <w:sz w:val="24"/>
          <w:szCs w:val="24"/>
        </w:rPr>
        <w:t xml:space="preserve"> og undgå brat afbrydelse (se pkt. 4.2 og 4.8).</w:t>
      </w:r>
    </w:p>
    <w:p w14:paraId="4276600A" w14:textId="77777777" w:rsidR="00480915" w:rsidRPr="00480915" w:rsidRDefault="00480915" w:rsidP="00A96B6C">
      <w:pPr>
        <w:ind w:left="851"/>
        <w:rPr>
          <w:sz w:val="24"/>
          <w:szCs w:val="24"/>
        </w:rPr>
      </w:pPr>
    </w:p>
    <w:p w14:paraId="524F2B76" w14:textId="77777777" w:rsidR="00480915" w:rsidRPr="00480915" w:rsidRDefault="00480915" w:rsidP="00A96B6C">
      <w:pPr>
        <w:ind w:left="851"/>
        <w:rPr>
          <w:i/>
          <w:sz w:val="24"/>
          <w:szCs w:val="24"/>
        </w:rPr>
      </w:pPr>
      <w:r w:rsidRPr="00480915">
        <w:rPr>
          <w:i/>
          <w:sz w:val="24"/>
          <w:szCs w:val="24"/>
        </w:rPr>
        <w:t xml:space="preserve">Risiko forbundet med samtidig brug af </w:t>
      </w:r>
      <w:proofErr w:type="spellStart"/>
      <w:r w:rsidRPr="00480915">
        <w:rPr>
          <w:i/>
          <w:sz w:val="24"/>
          <w:szCs w:val="24"/>
        </w:rPr>
        <w:t>sedativa</w:t>
      </w:r>
      <w:proofErr w:type="spellEnd"/>
      <w:r w:rsidRPr="00480915">
        <w:rPr>
          <w:i/>
          <w:sz w:val="24"/>
          <w:szCs w:val="24"/>
        </w:rPr>
        <w:t xml:space="preserve"> herunder benzodiazepiner eller lignende lægemidler</w:t>
      </w:r>
    </w:p>
    <w:p w14:paraId="424320D0" w14:textId="03D5A160" w:rsidR="00480915" w:rsidRPr="00480915" w:rsidRDefault="00480915" w:rsidP="00A96B6C">
      <w:pPr>
        <w:ind w:left="851"/>
        <w:rPr>
          <w:sz w:val="24"/>
          <w:szCs w:val="24"/>
        </w:rPr>
      </w:pPr>
      <w:r w:rsidRPr="00480915">
        <w:rPr>
          <w:sz w:val="24"/>
          <w:szCs w:val="24"/>
        </w:rPr>
        <w:t xml:space="preserve">Samtidig brug af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og </w:t>
      </w:r>
      <w:proofErr w:type="spellStart"/>
      <w:r w:rsidRPr="00480915">
        <w:rPr>
          <w:sz w:val="24"/>
          <w:szCs w:val="24"/>
        </w:rPr>
        <w:t>sedativa</w:t>
      </w:r>
      <w:proofErr w:type="spellEnd"/>
      <w:r w:rsidRPr="00480915">
        <w:rPr>
          <w:sz w:val="24"/>
          <w:szCs w:val="24"/>
        </w:rPr>
        <w:t xml:space="preserve">, herunder benzodiazepiner eller lignende lægemidler, kan føre til sedation, respirationsdepression, koma og dødsfald. På grund af disse risici bør samtidig ordination af </w:t>
      </w:r>
      <w:proofErr w:type="spellStart"/>
      <w:r w:rsidRPr="00480915">
        <w:rPr>
          <w:sz w:val="24"/>
          <w:szCs w:val="24"/>
        </w:rPr>
        <w:t>sedativa</w:t>
      </w:r>
      <w:proofErr w:type="spellEnd"/>
      <w:r w:rsidRPr="00480915">
        <w:rPr>
          <w:sz w:val="24"/>
          <w:szCs w:val="24"/>
        </w:rPr>
        <w:t xml:space="preserve"> forbeholdes patienter, som ikke har alternative behandlingsmuligheder. Hvis det besluttes at ordinere </w:t>
      </w:r>
      <w:proofErr w:type="spellStart"/>
      <w:r w:rsidRPr="00480915">
        <w:rPr>
          <w:sz w:val="24"/>
          <w:szCs w:val="24"/>
        </w:rPr>
        <w:t>tapentadol</w:t>
      </w:r>
      <w:proofErr w:type="spellEnd"/>
      <w:r w:rsidRPr="00480915">
        <w:rPr>
          <w:sz w:val="24"/>
          <w:szCs w:val="24"/>
        </w:rPr>
        <w:t xml:space="preserve"> samtidig med </w:t>
      </w:r>
      <w:proofErr w:type="spellStart"/>
      <w:r w:rsidRPr="00480915">
        <w:rPr>
          <w:sz w:val="24"/>
          <w:szCs w:val="24"/>
        </w:rPr>
        <w:t>sedativa</w:t>
      </w:r>
      <w:proofErr w:type="spellEnd"/>
      <w:r w:rsidRPr="00480915">
        <w:rPr>
          <w:sz w:val="24"/>
          <w:szCs w:val="24"/>
        </w:rPr>
        <w:t xml:space="preserve">, bør en reduktion af dosen for et eller begge lægemidler overvejes, og varigheden af den samtidige behandling skal være så kort som muligt. </w:t>
      </w:r>
    </w:p>
    <w:p w14:paraId="244EA853" w14:textId="77777777" w:rsidR="00480915" w:rsidRPr="00480915" w:rsidRDefault="00480915" w:rsidP="00A96B6C">
      <w:pPr>
        <w:ind w:left="851"/>
        <w:rPr>
          <w:sz w:val="24"/>
          <w:szCs w:val="24"/>
        </w:rPr>
      </w:pPr>
      <w:r w:rsidRPr="00480915">
        <w:rPr>
          <w:sz w:val="24"/>
          <w:szCs w:val="24"/>
        </w:rPr>
        <w:t>Patienterne skal overvåges nøje for tegn og symptomer på respirationsdepression og sedation. I denne henseende anbefales det på det kraftigste at informere patienter og omsorgspersoner om at være opmærksomme på disse symptomer (se pkt. 4.5).</w:t>
      </w:r>
    </w:p>
    <w:p w14:paraId="789C4D0B" w14:textId="77777777" w:rsidR="00480915" w:rsidRPr="00480915" w:rsidRDefault="00480915" w:rsidP="00A96B6C">
      <w:pPr>
        <w:ind w:left="851"/>
        <w:rPr>
          <w:sz w:val="24"/>
          <w:szCs w:val="24"/>
        </w:rPr>
      </w:pPr>
    </w:p>
    <w:p w14:paraId="1F44977C" w14:textId="77777777" w:rsidR="00480915" w:rsidRPr="00480915" w:rsidRDefault="00480915" w:rsidP="00A96B6C">
      <w:pPr>
        <w:ind w:left="851"/>
        <w:rPr>
          <w:i/>
          <w:sz w:val="24"/>
          <w:szCs w:val="24"/>
        </w:rPr>
      </w:pPr>
      <w:r w:rsidRPr="00480915">
        <w:rPr>
          <w:i/>
          <w:sz w:val="24"/>
          <w:szCs w:val="24"/>
        </w:rPr>
        <w:t>Respirationsdepression</w:t>
      </w:r>
    </w:p>
    <w:p w14:paraId="25742686" w14:textId="05352ACF"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kan give dosisrelateret respirationsdepression i høje doser eller hos patienter, der er særlig følsomme over for µ-opioidagonister. Derfor skal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anvendes med forsigtighed til patienter med nedsat åndedrætsfunktion. Andre former for </w:t>
      </w:r>
      <w:proofErr w:type="spellStart"/>
      <w:r w:rsidRPr="00480915">
        <w:rPr>
          <w:sz w:val="24"/>
          <w:szCs w:val="24"/>
        </w:rPr>
        <w:t>analgetika</w:t>
      </w:r>
      <w:proofErr w:type="spellEnd"/>
      <w:r w:rsidRPr="00480915">
        <w:rPr>
          <w:sz w:val="24"/>
          <w:szCs w:val="24"/>
        </w:rPr>
        <w:t xml:space="preserve"> end µ-opioidagonister bør overvejes, og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må kun anvendes under tæt lægetilsyn og i den laveste virksomme dosis hos disse patienter. I tilfælde af respirationsdepression skal det behandles som alle andre tilfælde af respirationsdepression, der skyldes en µ-opioidagonist (se pkt. 4.9).</w:t>
      </w:r>
    </w:p>
    <w:p w14:paraId="73F6982D" w14:textId="7DCD82E7" w:rsidR="0024457E" w:rsidRPr="00301E7F" w:rsidRDefault="0024457E">
      <w:pPr>
        <w:rPr>
          <w:sz w:val="24"/>
          <w:szCs w:val="24"/>
        </w:rPr>
      </w:pPr>
      <w:r w:rsidRPr="00301E7F">
        <w:rPr>
          <w:sz w:val="24"/>
          <w:szCs w:val="24"/>
        </w:rPr>
        <w:br w:type="page"/>
      </w:r>
    </w:p>
    <w:p w14:paraId="5023D2E0" w14:textId="77777777" w:rsidR="00480915" w:rsidRPr="00480915" w:rsidRDefault="00480915" w:rsidP="00A96B6C">
      <w:pPr>
        <w:ind w:left="851"/>
        <w:rPr>
          <w:sz w:val="24"/>
          <w:szCs w:val="24"/>
        </w:rPr>
      </w:pPr>
    </w:p>
    <w:p w14:paraId="5638EAB6" w14:textId="77777777" w:rsidR="00480915" w:rsidRPr="00480915" w:rsidRDefault="00480915" w:rsidP="00A96B6C">
      <w:pPr>
        <w:ind w:left="851"/>
        <w:rPr>
          <w:i/>
          <w:sz w:val="24"/>
          <w:szCs w:val="24"/>
        </w:rPr>
      </w:pPr>
      <w:r w:rsidRPr="00480915">
        <w:rPr>
          <w:i/>
          <w:sz w:val="24"/>
          <w:szCs w:val="24"/>
        </w:rPr>
        <w:t xml:space="preserve">Kranietraume og forhøjet </w:t>
      </w:r>
      <w:proofErr w:type="spellStart"/>
      <w:r w:rsidRPr="00480915">
        <w:rPr>
          <w:i/>
          <w:sz w:val="24"/>
          <w:szCs w:val="24"/>
        </w:rPr>
        <w:t>intrakranielt</w:t>
      </w:r>
      <w:proofErr w:type="spellEnd"/>
      <w:r w:rsidRPr="00480915">
        <w:rPr>
          <w:i/>
          <w:sz w:val="24"/>
          <w:szCs w:val="24"/>
        </w:rPr>
        <w:t xml:space="preserve"> tryk</w:t>
      </w:r>
    </w:p>
    <w:p w14:paraId="60912567" w14:textId="5C16335A" w:rsidR="00480915" w:rsidRPr="00480915" w:rsidRDefault="00480915" w:rsidP="00A96B6C">
      <w:pPr>
        <w:ind w:left="851"/>
        <w:rPr>
          <w:iCs/>
          <w:sz w:val="24"/>
          <w:szCs w:val="24"/>
        </w:rPr>
      </w:pP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må ikke anvendes til patienter, som kan være særligt følsomme over for de </w:t>
      </w:r>
      <w:proofErr w:type="spellStart"/>
      <w:r w:rsidRPr="00480915">
        <w:rPr>
          <w:iCs/>
          <w:sz w:val="24"/>
          <w:szCs w:val="24"/>
        </w:rPr>
        <w:t>intrakranielle</w:t>
      </w:r>
      <w:proofErr w:type="spellEnd"/>
      <w:r w:rsidRPr="00480915">
        <w:rPr>
          <w:iCs/>
          <w:sz w:val="24"/>
          <w:szCs w:val="24"/>
        </w:rPr>
        <w:t xml:space="preserve"> virkninger af CO</w:t>
      </w:r>
      <w:r w:rsidRPr="00480915">
        <w:rPr>
          <w:iCs/>
          <w:sz w:val="24"/>
          <w:szCs w:val="24"/>
          <w:vertAlign w:val="subscript"/>
        </w:rPr>
        <w:t>2</w:t>
      </w:r>
      <w:r w:rsidRPr="00480915">
        <w:rPr>
          <w:iCs/>
          <w:sz w:val="24"/>
          <w:szCs w:val="24"/>
        </w:rPr>
        <w:t xml:space="preserve">-retention – f.eks. patienter med dokumenteret øget </w:t>
      </w:r>
      <w:proofErr w:type="spellStart"/>
      <w:r w:rsidRPr="00480915">
        <w:rPr>
          <w:iCs/>
          <w:sz w:val="24"/>
          <w:szCs w:val="24"/>
        </w:rPr>
        <w:t>intrakranielt</w:t>
      </w:r>
      <w:proofErr w:type="spellEnd"/>
      <w:r w:rsidRPr="00480915">
        <w:rPr>
          <w:iCs/>
          <w:sz w:val="24"/>
          <w:szCs w:val="24"/>
        </w:rPr>
        <w:t xml:space="preserve"> tryk, nedsat bevidsthedsniveau eller koma. </w:t>
      </w:r>
      <w:proofErr w:type="spellStart"/>
      <w:r w:rsidRPr="00480915">
        <w:rPr>
          <w:iCs/>
          <w:sz w:val="24"/>
          <w:szCs w:val="24"/>
        </w:rPr>
        <w:t>Analgetika</w:t>
      </w:r>
      <w:proofErr w:type="spellEnd"/>
      <w:r w:rsidRPr="00480915">
        <w:rPr>
          <w:iCs/>
          <w:sz w:val="24"/>
          <w:szCs w:val="24"/>
        </w:rPr>
        <w:t xml:space="preserve"> med </w:t>
      </w:r>
      <w:proofErr w:type="spellStart"/>
      <w:r w:rsidRPr="00480915">
        <w:rPr>
          <w:iCs/>
          <w:sz w:val="24"/>
          <w:szCs w:val="24"/>
        </w:rPr>
        <w:t>agonistisk</w:t>
      </w:r>
      <w:proofErr w:type="spellEnd"/>
      <w:r w:rsidRPr="00480915">
        <w:rPr>
          <w:iCs/>
          <w:sz w:val="24"/>
          <w:szCs w:val="24"/>
        </w:rPr>
        <w:t xml:space="preserve"> påvirkning af µ-opioidreceptorer kan skjule det kliniske forløb hos patienter med kranietraumer. </w:t>
      </w: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bør anvendes med forsigtighed til patienter med kranietraumer og hjernetumorer.</w:t>
      </w:r>
    </w:p>
    <w:p w14:paraId="3B54BFBA" w14:textId="77777777" w:rsidR="00480915" w:rsidRPr="00480915" w:rsidRDefault="00480915" w:rsidP="00A96B6C">
      <w:pPr>
        <w:ind w:left="851"/>
        <w:rPr>
          <w:sz w:val="24"/>
          <w:szCs w:val="24"/>
        </w:rPr>
      </w:pPr>
    </w:p>
    <w:p w14:paraId="3D4C1E35" w14:textId="77777777" w:rsidR="00480915" w:rsidRPr="00480915" w:rsidRDefault="00480915" w:rsidP="00A96B6C">
      <w:pPr>
        <w:ind w:left="851"/>
        <w:rPr>
          <w:i/>
          <w:sz w:val="24"/>
          <w:szCs w:val="24"/>
        </w:rPr>
      </w:pPr>
      <w:r w:rsidRPr="00480915">
        <w:rPr>
          <w:i/>
          <w:sz w:val="24"/>
          <w:szCs w:val="24"/>
        </w:rPr>
        <w:t>Krampeanfald</w:t>
      </w:r>
    </w:p>
    <w:p w14:paraId="2C2FB6B7" w14:textId="1DAD9E5D" w:rsidR="00480915" w:rsidRPr="00480915" w:rsidRDefault="00480915" w:rsidP="00A96B6C">
      <w:pPr>
        <w:ind w:left="851"/>
        <w:rPr>
          <w:iCs/>
          <w:sz w:val="24"/>
          <w:szCs w:val="24"/>
        </w:rPr>
      </w:pPr>
      <w:proofErr w:type="spellStart"/>
      <w:r w:rsidRPr="00480915">
        <w:rPr>
          <w:iCs/>
          <w:sz w:val="24"/>
          <w:szCs w:val="24"/>
        </w:rPr>
        <w:t>Tapentadol</w:t>
      </w:r>
      <w:proofErr w:type="spellEnd"/>
      <w:r w:rsidRPr="00480915">
        <w:rPr>
          <w:iCs/>
          <w:sz w:val="24"/>
          <w:szCs w:val="24"/>
        </w:rPr>
        <w:t xml:space="preserve"> er ikke evalueret systematisk hos patienter med krampeanfald, og disse patienter var ekskluderet fra kliniske studier. Som andre </w:t>
      </w:r>
      <w:proofErr w:type="spellStart"/>
      <w:r w:rsidRPr="00480915">
        <w:rPr>
          <w:iCs/>
          <w:sz w:val="24"/>
          <w:szCs w:val="24"/>
        </w:rPr>
        <w:t>analgetika</w:t>
      </w:r>
      <w:proofErr w:type="spellEnd"/>
      <w:r w:rsidRPr="00480915">
        <w:rPr>
          <w:iCs/>
          <w:sz w:val="24"/>
          <w:szCs w:val="24"/>
        </w:rPr>
        <w:t xml:space="preserve"> med µ-</w:t>
      </w:r>
      <w:proofErr w:type="spellStart"/>
      <w:r w:rsidRPr="00480915">
        <w:rPr>
          <w:iCs/>
          <w:sz w:val="24"/>
          <w:szCs w:val="24"/>
        </w:rPr>
        <w:t>opioidagonistisk</w:t>
      </w:r>
      <w:proofErr w:type="spellEnd"/>
      <w:r w:rsidRPr="00480915">
        <w:rPr>
          <w:iCs/>
          <w:sz w:val="24"/>
          <w:szCs w:val="24"/>
        </w:rPr>
        <w:t xml:space="preserve"> virkning bør </w:t>
      </w: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ikke anvendes til patienter med krampeanfald i anamnesen eller lidelser, der indebærer en risiko for krampeanfald. </w:t>
      </w:r>
      <w:proofErr w:type="spellStart"/>
      <w:r w:rsidRPr="00480915">
        <w:rPr>
          <w:iCs/>
          <w:sz w:val="24"/>
          <w:szCs w:val="24"/>
        </w:rPr>
        <w:t>Tapentadol</w:t>
      </w:r>
      <w:proofErr w:type="spellEnd"/>
      <w:r w:rsidRPr="00480915">
        <w:rPr>
          <w:iCs/>
          <w:sz w:val="24"/>
          <w:szCs w:val="24"/>
        </w:rPr>
        <w:t xml:space="preserve"> kan tillige forøge risikoen for krampeanfald hos patienter, som tager andre lægemidler, som sænker krampetærsklen (se pkt. 4.5).</w:t>
      </w:r>
    </w:p>
    <w:p w14:paraId="3D814DB1" w14:textId="77777777" w:rsidR="00480915" w:rsidRPr="00480915" w:rsidRDefault="00480915" w:rsidP="00A96B6C">
      <w:pPr>
        <w:ind w:left="851"/>
        <w:rPr>
          <w:i/>
          <w:sz w:val="24"/>
          <w:szCs w:val="24"/>
        </w:rPr>
      </w:pPr>
    </w:p>
    <w:p w14:paraId="248E5685" w14:textId="77777777" w:rsidR="00480915" w:rsidRPr="00480915" w:rsidRDefault="00480915" w:rsidP="00A96B6C">
      <w:pPr>
        <w:ind w:left="851"/>
        <w:rPr>
          <w:i/>
          <w:sz w:val="24"/>
          <w:szCs w:val="24"/>
        </w:rPr>
      </w:pPr>
      <w:r w:rsidRPr="00480915">
        <w:rPr>
          <w:i/>
          <w:sz w:val="24"/>
          <w:szCs w:val="24"/>
        </w:rPr>
        <w:t>Nedsat nyrefunktion</w:t>
      </w:r>
    </w:p>
    <w:p w14:paraId="0399F048" w14:textId="77777777" w:rsidR="00480915" w:rsidRPr="00480915" w:rsidRDefault="00480915" w:rsidP="00A96B6C">
      <w:pPr>
        <w:ind w:left="851"/>
        <w:rPr>
          <w:iCs/>
          <w:sz w:val="24"/>
          <w:szCs w:val="24"/>
        </w:rPr>
      </w:pPr>
      <w:r w:rsidRPr="00480915">
        <w:rPr>
          <w:iCs/>
          <w:sz w:val="24"/>
          <w:szCs w:val="24"/>
        </w:rPr>
        <w:t xml:space="preserve">Der er ikke udført kontrollerede effektundersøgelser med </w:t>
      </w:r>
      <w:proofErr w:type="spellStart"/>
      <w:r w:rsidRPr="00480915">
        <w:rPr>
          <w:iCs/>
          <w:sz w:val="24"/>
          <w:szCs w:val="24"/>
        </w:rPr>
        <w:t>tapentadol</w:t>
      </w:r>
      <w:proofErr w:type="spellEnd"/>
      <w:r w:rsidRPr="00480915">
        <w:rPr>
          <w:iCs/>
          <w:sz w:val="24"/>
          <w:szCs w:val="24"/>
        </w:rPr>
        <w:t xml:space="preserve"> hos patienter med alvorligt nedsat nyrefunktion, og præparatet bør derfor ikke anvendes til denne population (se pkt. 4.2 og 5.2).</w:t>
      </w:r>
    </w:p>
    <w:p w14:paraId="43A3A3F7" w14:textId="77777777" w:rsidR="00480915" w:rsidRPr="00480915" w:rsidRDefault="00480915" w:rsidP="00A96B6C">
      <w:pPr>
        <w:ind w:left="851"/>
        <w:rPr>
          <w:sz w:val="24"/>
          <w:szCs w:val="24"/>
        </w:rPr>
      </w:pPr>
    </w:p>
    <w:p w14:paraId="77D62234" w14:textId="77777777" w:rsidR="00480915" w:rsidRPr="00480915" w:rsidRDefault="00480915" w:rsidP="00A96B6C">
      <w:pPr>
        <w:ind w:left="851"/>
        <w:rPr>
          <w:i/>
          <w:sz w:val="24"/>
          <w:szCs w:val="24"/>
        </w:rPr>
      </w:pPr>
      <w:r w:rsidRPr="00480915">
        <w:rPr>
          <w:i/>
          <w:sz w:val="24"/>
          <w:szCs w:val="24"/>
        </w:rPr>
        <w:t>Nedsat leverfunktion</w:t>
      </w:r>
    </w:p>
    <w:p w14:paraId="6CEB1F2C" w14:textId="4506FFD9" w:rsidR="00480915" w:rsidRPr="00480915" w:rsidRDefault="00480915" w:rsidP="00A96B6C">
      <w:pPr>
        <w:ind w:left="851"/>
        <w:rPr>
          <w:iCs/>
          <w:sz w:val="24"/>
          <w:szCs w:val="24"/>
        </w:rPr>
      </w:pPr>
      <w:r w:rsidRPr="00480915">
        <w:rPr>
          <w:iCs/>
          <w:sz w:val="24"/>
          <w:szCs w:val="24"/>
        </w:rPr>
        <w:t xml:space="preserve">Forsøgspersoner med let og moderat nedsat leverfunktion viste henholdsvis 2 gange og 4,5 gange stigning i systemisk eksponering sammenlignet med personer med normal leverfunktion. </w:t>
      </w: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bør anvendes med forsigtighed til patienter med moderat nedsat leverfunktion (se pkt. 4.2 og 5.2), særlig ved initiering af behandling. </w:t>
      </w:r>
    </w:p>
    <w:p w14:paraId="1317C59C" w14:textId="77777777" w:rsidR="00480915" w:rsidRPr="00480915" w:rsidRDefault="00480915" w:rsidP="00A96B6C">
      <w:pPr>
        <w:ind w:left="851"/>
        <w:rPr>
          <w:iCs/>
          <w:sz w:val="24"/>
          <w:szCs w:val="24"/>
        </w:rPr>
      </w:pPr>
      <w:proofErr w:type="spellStart"/>
      <w:r w:rsidRPr="00480915">
        <w:rPr>
          <w:iCs/>
          <w:sz w:val="24"/>
          <w:szCs w:val="24"/>
        </w:rPr>
        <w:t>Tapentadol</w:t>
      </w:r>
      <w:proofErr w:type="spellEnd"/>
      <w:r w:rsidRPr="00480915">
        <w:rPr>
          <w:iCs/>
          <w:sz w:val="24"/>
          <w:szCs w:val="24"/>
        </w:rPr>
        <w:t xml:space="preserve"> er ikke undersøgt hos patienter med alvorligt nedsat leverfunktion, og præparatet bør derfor ikke anvendes til denne population (se pkt. 4.2 og 5.2).</w:t>
      </w:r>
    </w:p>
    <w:p w14:paraId="1204B76F" w14:textId="77777777" w:rsidR="00480915" w:rsidRPr="00480915" w:rsidRDefault="00480915" w:rsidP="00A96B6C">
      <w:pPr>
        <w:ind w:left="851"/>
        <w:rPr>
          <w:sz w:val="24"/>
          <w:szCs w:val="24"/>
        </w:rPr>
      </w:pPr>
    </w:p>
    <w:p w14:paraId="59FDD4EB" w14:textId="77777777" w:rsidR="00480915" w:rsidRPr="00480915" w:rsidRDefault="00480915" w:rsidP="00A96B6C">
      <w:pPr>
        <w:ind w:left="851"/>
        <w:rPr>
          <w:i/>
          <w:sz w:val="24"/>
          <w:szCs w:val="24"/>
        </w:rPr>
      </w:pPr>
      <w:r w:rsidRPr="00480915">
        <w:rPr>
          <w:i/>
          <w:sz w:val="24"/>
          <w:szCs w:val="24"/>
        </w:rPr>
        <w:t>Anvendelse ved sygdom i pankreas/galdeveje</w:t>
      </w:r>
    </w:p>
    <w:p w14:paraId="79DE3307" w14:textId="547693BC" w:rsidR="00480915" w:rsidRPr="00480915" w:rsidRDefault="00480915" w:rsidP="00A96B6C">
      <w:pPr>
        <w:ind w:left="851"/>
        <w:rPr>
          <w:iCs/>
          <w:sz w:val="24"/>
          <w:szCs w:val="24"/>
        </w:rPr>
      </w:pPr>
      <w:r w:rsidRPr="00480915">
        <w:rPr>
          <w:iCs/>
          <w:sz w:val="24"/>
          <w:szCs w:val="24"/>
        </w:rPr>
        <w:t>Aktive stoffer med µ-</w:t>
      </w:r>
      <w:proofErr w:type="spellStart"/>
      <w:r w:rsidRPr="00480915">
        <w:rPr>
          <w:iCs/>
          <w:sz w:val="24"/>
          <w:szCs w:val="24"/>
        </w:rPr>
        <w:t>opioidagonistisk</w:t>
      </w:r>
      <w:proofErr w:type="spellEnd"/>
      <w:r w:rsidRPr="00480915">
        <w:rPr>
          <w:iCs/>
          <w:sz w:val="24"/>
          <w:szCs w:val="24"/>
        </w:rPr>
        <w:t xml:space="preserve"> virkning kan give spasmer i </w:t>
      </w:r>
      <w:proofErr w:type="spellStart"/>
      <w:r w:rsidRPr="00480915">
        <w:rPr>
          <w:iCs/>
          <w:sz w:val="24"/>
          <w:szCs w:val="24"/>
        </w:rPr>
        <w:t>sphincter</w:t>
      </w:r>
      <w:proofErr w:type="spellEnd"/>
      <w:r w:rsidRPr="00480915">
        <w:rPr>
          <w:iCs/>
          <w:sz w:val="24"/>
          <w:szCs w:val="24"/>
        </w:rPr>
        <w:t xml:space="preserve"> </w:t>
      </w:r>
      <w:proofErr w:type="spellStart"/>
      <w:r w:rsidRPr="00480915">
        <w:rPr>
          <w:iCs/>
          <w:sz w:val="24"/>
          <w:szCs w:val="24"/>
        </w:rPr>
        <w:t>Oddi</w:t>
      </w:r>
      <w:proofErr w:type="spellEnd"/>
      <w:r w:rsidRPr="00480915">
        <w:rPr>
          <w:iCs/>
          <w:sz w:val="24"/>
          <w:szCs w:val="24"/>
        </w:rPr>
        <w:t xml:space="preserve">. </w:t>
      </w: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bør anvendes med forsigtighed til patienter med sygdom i galdevejene inklusive akut </w:t>
      </w:r>
      <w:proofErr w:type="spellStart"/>
      <w:r w:rsidRPr="00480915">
        <w:rPr>
          <w:iCs/>
          <w:sz w:val="24"/>
          <w:szCs w:val="24"/>
        </w:rPr>
        <w:t>pankreatitis</w:t>
      </w:r>
      <w:proofErr w:type="spellEnd"/>
      <w:r w:rsidRPr="00480915">
        <w:rPr>
          <w:iCs/>
          <w:sz w:val="24"/>
          <w:szCs w:val="24"/>
        </w:rPr>
        <w:t>.</w:t>
      </w:r>
    </w:p>
    <w:p w14:paraId="5C5896D1" w14:textId="77777777" w:rsidR="00480915" w:rsidRPr="00480915" w:rsidRDefault="00480915" w:rsidP="00A96B6C">
      <w:pPr>
        <w:ind w:left="851"/>
        <w:rPr>
          <w:sz w:val="24"/>
          <w:szCs w:val="24"/>
        </w:rPr>
      </w:pPr>
    </w:p>
    <w:p w14:paraId="4D9EB2C1" w14:textId="77777777" w:rsidR="00480915" w:rsidRPr="00480915" w:rsidRDefault="00480915" w:rsidP="00A96B6C">
      <w:pPr>
        <w:ind w:left="851"/>
        <w:rPr>
          <w:i/>
          <w:iCs/>
          <w:sz w:val="24"/>
          <w:szCs w:val="24"/>
        </w:rPr>
      </w:pPr>
      <w:r w:rsidRPr="00480915">
        <w:rPr>
          <w:i/>
          <w:iCs/>
          <w:sz w:val="24"/>
          <w:szCs w:val="24"/>
        </w:rPr>
        <w:t>Søvnrelaterede vejrtrækningsforstyrrelser</w:t>
      </w:r>
    </w:p>
    <w:p w14:paraId="5C3C865B" w14:textId="77777777" w:rsidR="00480915" w:rsidRPr="00480915" w:rsidRDefault="00480915" w:rsidP="00A96B6C">
      <w:pPr>
        <w:ind w:left="851"/>
        <w:rPr>
          <w:sz w:val="24"/>
          <w:szCs w:val="24"/>
        </w:rPr>
      </w:pPr>
      <w:r w:rsidRPr="00480915">
        <w:rPr>
          <w:sz w:val="24"/>
          <w:szCs w:val="24"/>
        </w:rPr>
        <w:t xml:space="preserve">Opioider kan forårsage søvnrelaterede vejrtrækningsforstyrrelser, herunder central søvnapnø (CSA) og søvnrelateret </w:t>
      </w:r>
      <w:proofErr w:type="spellStart"/>
      <w:r w:rsidRPr="00480915">
        <w:rPr>
          <w:sz w:val="24"/>
          <w:szCs w:val="24"/>
        </w:rPr>
        <w:t>hypoxæmi</w:t>
      </w:r>
      <w:proofErr w:type="spellEnd"/>
      <w:r w:rsidRPr="00480915">
        <w:rPr>
          <w:sz w:val="24"/>
          <w:szCs w:val="24"/>
        </w:rPr>
        <w:t>. Brug af opioider øger dosisafhængigt risikoen for CSA. Overvej at sænke den totale opioiddosis hos patienter med CSA.</w:t>
      </w:r>
    </w:p>
    <w:p w14:paraId="18FB2EA6" w14:textId="77777777" w:rsidR="00480915" w:rsidRPr="00480915" w:rsidRDefault="00480915" w:rsidP="00A96B6C">
      <w:pPr>
        <w:ind w:left="851"/>
        <w:rPr>
          <w:sz w:val="24"/>
          <w:szCs w:val="24"/>
        </w:rPr>
      </w:pPr>
    </w:p>
    <w:p w14:paraId="773944C2" w14:textId="77777777" w:rsidR="00480915" w:rsidRPr="00480915" w:rsidRDefault="00480915" w:rsidP="00A96B6C">
      <w:pPr>
        <w:ind w:left="851"/>
        <w:rPr>
          <w:i/>
          <w:iCs/>
          <w:sz w:val="24"/>
          <w:szCs w:val="24"/>
        </w:rPr>
      </w:pPr>
      <w:r w:rsidRPr="00480915">
        <w:rPr>
          <w:i/>
          <w:iCs/>
          <w:sz w:val="24"/>
          <w:szCs w:val="24"/>
        </w:rPr>
        <w:t>Blandede opioidagonister/-antagonister</w:t>
      </w:r>
    </w:p>
    <w:p w14:paraId="6B0FB7FE" w14:textId="095DB811" w:rsidR="00480915" w:rsidRPr="00480915" w:rsidRDefault="00480915" w:rsidP="00A96B6C">
      <w:pPr>
        <w:ind w:left="851"/>
        <w:rPr>
          <w:sz w:val="24"/>
          <w:szCs w:val="24"/>
        </w:rPr>
      </w:pPr>
      <w:r w:rsidRPr="00480915">
        <w:rPr>
          <w:sz w:val="24"/>
          <w:szCs w:val="24"/>
        </w:rPr>
        <w:t xml:space="preserve">Der bør udvises forsigtighed ved kombination af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og blandede µ-opioid-agonister/-antagonister (f.eks. </w:t>
      </w:r>
      <w:proofErr w:type="spellStart"/>
      <w:r w:rsidRPr="00480915">
        <w:rPr>
          <w:sz w:val="24"/>
          <w:szCs w:val="24"/>
        </w:rPr>
        <w:t>pentazocin</w:t>
      </w:r>
      <w:proofErr w:type="spellEnd"/>
      <w:r w:rsidRPr="00480915">
        <w:rPr>
          <w:sz w:val="24"/>
          <w:szCs w:val="24"/>
        </w:rPr>
        <w:t xml:space="preserve">, </w:t>
      </w:r>
      <w:proofErr w:type="spellStart"/>
      <w:r w:rsidRPr="00480915">
        <w:rPr>
          <w:sz w:val="24"/>
          <w:szCs w:val="24"/>
        </w:rPr>
        <w:t>nalbuphin</w:t>
      </w:r>
      <w:proofErr w:type="spellEnd"/>
      <w:r w:rsidRPr="00480915">
        <w:rPr>
          <w:sz w:val="24"/>
          <w:szCs w:val="24"/>
        </w:rPr>
        <w:t>) eller partielle µ-opioid</w:t>
      </w:r>
      <w:r w:rsidR="0024457E" w:rsidRPr="00301E7F">
        <w:rPr>
          <w:sz w:val="24"/>
          <w:szCs w:val="24"/>
        </w:rPr>
        <w:softHyphen/>
      </w:r>
      <w:r w:rsidRPr="00480915">
        <w:rPr>
          <w:sz w:val="24"/>
          <w:szCs w:val="24"/>
        </w:rPr>
        <w:t xml:space="preserve">agonister (f.eks. </w:t>
      </w:r>
      <w:proofErr w:type="spellStart"/>
      <w:r w:rsidRPr="00480915">
        <w:rPr>
          <w:sz w:val="24"/>
          <w:szCs w:val="24"/>
        </w:rPr>
        <w:t>buprenorphin</w:t>
      </w:r>
      <w:proofErr w:type="spellEnd"/>
      <w:r w:rsidRPr="00480915">
        <w:rPr>
          <w:sz w:val="24"/>
          <w:szCs w:val="24"/>
        </w:rPr>
        <w:t xml:space="preserve">). Hos patienter, der får vedligeholdelsesdoser af </w:t>
      </w:r>
      <w:proofErr w:type="spellStart"/>
      <w:r w:rsidRPr="00480915">
        <w:rPr>
          <w:sz w:val="24"/>
          <w:szCs w:val="24"/>
        </w:rPr>
        <w:t>buprenorphin</w:t>
      </w:r>
      <w:proofErr w:type="spellEnd"/>
      <w:r w:rsidRPr="00480915">
        <w:rPr>
          <w:sz w:val="24"/>
          <w:szCs w:val="24"/>
        </w:rPr>
        <w:t xml:space="preserve"> til behandling af opioidafhængighed, bør andre behandlingsmuligheder overvejes (såsom f.eks. midlertidig </w:t>
      </w:r>
      <w:proofErr w:type="spellStart"/>
      <w:r w:rsidRPr="00480915">
        <w:rPr>
          <w:sz w:val="24"/>
          <w:szCs w:val="24"/>
        </w:rPr>
        <w:t>seponering</w:t>
      </w:r>
      <w:proofErr w:type="spellEnd"/>
      <w:r w:rsidRPr="00480915">
        <w:rPr>
          <w:sz w:val="24"/>
          <w:szCs w:val="24"/>
        </w:rPr>
        <w:t xml:space="preserve"> af </w:t>
      </w:r>
      <w:proofErr w:type="spellStart"/>
      <w:r w:rsidRPr="00480915">
        <w:rPr>
          <w:sz w:val="24"/>
          <w:szCs w:val="24"/>
        </w:rPr>
        <w:t>buprenorphin</w:t>
      </w:r>
      <w:proofErr w:type="spellEnd"/>
      <w:r w:rsidRPr="00480915">
        <w:rPr>
          <w:sz w:val="24"/>
          <w:szCs w:val="24"/>
        </w:rPr>
        <w:t xml:space="preserve">), hvis der opstår behov for administration af rene µ-opioidagonister (som </w:t>
      </w:r>
      <w:proofErr w:type="spellStart"/>
      <w:r w:rsidRPr="00480915">
        <w:rPr>
          <w:sz w:val="24"/>
          <w:szCs w:val="24"/>
        </w:rPr>
        <w:t>tapentadol</w:t>
      </w:r>
      <w:proofErr w:type="spellEnd"/>
      <w:r w:rsidRPr="00480915">
        <w:rPr>
          <w:sz w:val="24"/>
          <w:szCs w:val="24"/>
        </w:rPr>
        <w:t xml:space="preserve">) ved akutte smerter. Der foreligger rapporter om behov for øget dosering af rene µ-opioidagonister efter kombination med </w:t>
      </w:r>
      <w:proofErr w:type="spellStart"/>
      <w:r w:rsidRPr="00480915">
        <w:rPr>
          <w:sz w:val="24"/>
          <w:szCs w:val="24"/>
        </w:rPr>
        <w:t>buprenorphin</w:t>
      </w:r>
      <w:proofErr w:type="spellEnd"/>
      <w:r w:rsidRPr="00480915">
        <w:rPr>
          <w:sz w:val="24"/>
          <w:szCs w:val="24"/>
        </w:rPr>
        <w:t>, og patienten skal monitoreres nøje for bivirkninger såsom respirationsdepression.</w:t>
      </w:r>
    </w:p>
    <w:p w14:paraId="55126C4E" w14:textId="77777777" w:rsidR="00480915" w:rsidRPr="00480915" w:rsidRDefault="00480915" w:rsidP="00A96B6C">
      <w:pPr>
        <w:ind w:left="851"/>
        <w:rPr>
          <w:i/>
          <w:sz w:val="24"/>
          <w:szCs w:val="24"/>
        </w:rPr>
      </w:pPr>
    </w:p>
    <w:p w14:paraId="3ED1CEDE" w14:textId="77777777" w:rsidR="00480915" w:rsidRPr="00480915" w:rsidRDefault="00480915" w:rsidP="00A96B6C">
      <w:pPr>
        <w:ind w:left="851"/>
        <w:rPr>
          <w:i/>
          <w:sz w:val="24"/>
          <w:szCs w:val="24"/>
        </w:rPr>
      </w:pPr>
      <w:r w:rsidRPr="00480915">
        <w:rPr>
          <w:i/>
          <w:sz w:val="24"/>
          <w:szCs w:val="24"/>
        </w:rPr>
        <w:t xml:space="preserve">Pædiatrisk population </w:t>
      </w:r>
    </w:p>
    <w:p w14:paraId="11F9EF05" w14:textId="610EB135" w:rsidR="00480915" w:rsidRPr="00480915" w:rsidRDefault="00480915" w:rsidP="00A96B6C">
      <w:pPr>
        <w:ind w:left="851"/>
        <w:rPr>
          <w:iCs/>
          <w:sz w:val="24"/>
          <w:szCs w:val="24"/>
        </w:rPr>
      </w:pPr>
      <w:r w:rsidRPr="00480915">
        <w:rPr>
          <w:iCs/>
          <w:sz w:val="24"/>
          <w:szCs w:val="24"/>
        </w:rPr>
        <w:t xml:space="preserve">De samme advarsler og forsigtighedsregler ved brug af </w:t>
      </w:r>
      <w:proofErr w:type="spellStart"/>
      <w:r w:rsidRPr="00480915">
        <w:rPr>
          <w:iCs/>
          <w:sz w:val="24"/>
          <w:szCs w:val="24"/>
        </w:rPr>
        <w:t>Tapentadol</w:t>
      </w:r>
      <w:proofErr w:type="spellEnd"/>
      <w:r w:rsidRPr="00480915">
        <w:rPr>
          <w:iCs/>
          <w:sz w:val="24"/>
          <w:szCs w:val="24"/>
        </w:rPr>
        <w:t xml:space="preserve"> </w:t>
      </w:r>
      <w:r w:rsidR="00494579" w:rsidRPr="00301E7F">
        <w:rPr>
          <w:iCs/>
          <w:sz w:val="24"/>
          <w:szCs w:val="24"/>
        </w:rPr>
        <w:t>"</w:t>
      </w:r>
      <w:proofErr w:type="spellStart"/>
      <w:r w:rsidR="00494579" w:rsidRPr="00301E7F">
        <w:rPr>
          <w:iCs/>
          <w:sz w:val="24"/>
          <w:szCs w:val="24"/>
        </w:rPr>
        <w:t>Vivanta</w:t>
      </w:r>
      <w:proofErr w:type="spellEnd"/>
      <w:r w:rsidR="00494579" w:rsidRPr="00301E7F">
        <w:rPr>
          <w:iCs/>
          <w:sz w:val="24"/>
          <w:szCs w:val="24"/>
        </w:rPr>
        <w:t>"</w:t>
      </w:r>
      <w:r w:rsidRPr="00480915">
        <w:rPr>
          <w:iCs/>
          <w:sz w:val="24"/>
          <w:szCs w:val="24"/>
        </w:rPr>
        <w:t xml:space="preserve"> er gældende hos børn, med følgende yderligere overvejelser:</w:t>
      </w:r>
    </w:p>
    <w:p w14:paraId="3C535A86" w14:textId="77777777" w:rsidR="00480915" w:rsidRPr="00480915" w:rsidRDefault="00480915" w:rsidP="00A96B6C">
      <w:pPr>
        <w:ind w:left="851"/>
        <w:rPr>
          <w:sz w:val="24"/>
          <w:szCs w:val="24"/>
        </w:rPr>
      </w:pPr>
    </w:p>
    <w:p w14:paraId="64C499FF" w14:textId="77777777"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er ikke blevet undersøgt hos børn under 6 år (se pkt. 4.1 og 4.2) derfor er brugen hos denne population ikke anbefalet. </w:t>
      </w:r>
    </w:p>
    <w:p w14:paraId="6554CB3D" w14:textId="77777777" w:rsidR="00480915" w:rsidRPr="00480915" w:rsidRDefault="00480915" w:rsidP="00A96B6C">
      <w:pPr>
        <w:ind w:left="851"/>
        <w:rPr>
          <w:sz w:val="24"/>
          <w:szCs w:val="24"/>
        </w:rPr>
      </w:pPr>
    </w:p>
    <w:p w14:paraId="0105C9D1" w14:textId="77777777"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er ikke blevet evalueret hos overvægtige børn og unge, derfor bør de pædiatriske patienter med overvægt overvåges i vid udstrækning og den anbefalede maksimale dosis bør ikke overskrides. </w:t>
      </w:r>
    </w:p>
    <w:p w14:paraId="561C048E" w14:textId="77777777" w:rsidR="00480915" w:rsidRPr="00480915" w:rsidRDefault="00480915" w:rsidP="00A96B6C">
      <w:pPr>
        <w:ind w:left="851"/>
        <w:rPr>
          <w:sz w:val="24"/>
          <w:szCs w:val="24"/>
        </w:rPr>
      </w:pPr>
    </w:p>
    <w:p w14:paraId="0BE7AD2F" w14:textId="77777777"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er ikke undersøgt hos børn og unge med nedsat nyre- og leverfunktion, derfor er brugen hos denne population ikke anbefalet (se pkt. 4.2 og 5.2).</w:t>
      </w:r>
    </w:p>
    <w:p w14:paraId="267E99A4" w14:textId="77777777" w:rsidR="009260DE" w:rsidRPr="00301E7F" w:rsidRDefault="009260DE" w:rsidP="009260DE">
      <w:pPr>
        <w:tabs>
          <w:tab w:val="left" w:pos="851"/>
        </w:tabs>
        <w:ind w:left="851"/>
        <w:rPr>
          <w:sz w:val="24"/>
          <w:szCs w:val="24"/>
        </w:rPr>
      </w:pPr>
    </w:p>
    <w:p w14:paraId="61D8F2D5" w14:textId="77777777" w:rsidR="009260DE" w:rsidRPr="00301E7F" w:rsidRDefault="009260DE" w:rsidP="009260DE">
      <w:pPr>
        <w:tabs>
          <w:tab w:val="left" w:pos="851"/>
        </w:tabs>
        <w:ind w:left="851" w:hanging="851"/>
        <w:rPr>
          <w:b/>
          <w:sz w:val="24"/>
          <w:szCs w:val="24"/>
        </w:rPr>
      </w:pPr>
      <w:r w:rsidRPr="00301E7F">
        <w:rPr>
          <w:b/>
          <w:sz w:val="24"/>
          <w:szCs w:val="24"/>
        </w:rPr>
        <w:t>4.5</w:t>
      </w:r>
      <w:r w:rsidRPr="00301E7F">
        <w:rPr>
          <w:b/>
          <w:sz w:val="24"/>
          <w:szCs w:val="24"/>
        </w:rPr>
        <w:tab/>
        <w:t>Interaktion med andre lægemidler og andre former for interaktion</w:t>
      </w:r>
    </w:p>
    <w:p w14:paraId="04AE27E8" w14:textId="77777777" w:rsidR="0024457E" w:rsidRPr="00301E7F" w:rsidRDefault="0024457E" w:rsidP="00A96B6C">
      <w:pPr>
        <w:ind w:left="851"/>
        <w:rPr>
          <w:i/>
          <w:iCs/>
          <w:sz w:val="24"/>
          <w:szCs w:val="24"/>
        </w:rPr>
      </w:pPr>
    </w:p>
    <w:p w14:paraId="444ECC02" w14:textId="6B6B0BBC" w:rsidR="00480915" w:rsidRPr="00480915" w:rsidRDefault="00480915" w:rsidP="00A96B6C">
      <w:pPr>
        <w:ind w:left="851"/>
        <w:rPr>
          <w:i/>
          <w:iCs/>
          <w:sz w:val="24"/>
          <w:szCs w:val="24"/>
        </w:rPr>
      </w:pPr>
      <w:r w:rsidRPr="00480915">
        <w:rPr>
          <w:i/>
          <w:iCs/>
          <w:sz w:val="24"/>
          <w:szCs w:val="24"/>
        </w:rPr>
        <w:t>Centralt virkende lægemidler/</w:t>
      </w:r>
      <w:proofErr w:type="spellStart"/>
      <w:r w:rsidRPr="00480915">
        <w:rPr>
          <w:i/>
          <w:iCs/>
          <w:sz w:val="24"/>
          <w:szCs w:val="24"/>
        </w:rPr>
        <w:t>hæmmere</w:t>
      </w:r>
      <w:proofErr w:type="spellEnd"/>
      <w:r w:rsidRPr="00480915">
        <w:rPr>
          <w:i/>
          <w:iCs/>
          <w:sz w:val="24"/>
          <w:szCs w:val="24"/>
        </w:rPr>
        <w:t xml:space="preserve"> af centralnervesystemet (CNS), inklusive alkohol og CNS dæmpende euforiserende lægemidler</w:t>
      </w:r>
    </w:p>
    <w:p w14:paraId="1DF53F45" w14:textId="66AE0B52" w:rsidR="00480915" w:rsidRPr="00480915" w:rsidRDefault="00480915" w:rsidP="00A96B6C">
      <w:pPr>
        <w:ind w:left="851"/>
        <w:rPr>
          <w:sz w:val="24"/>
          <w:szCs w:val="24"/>
        </w:rPr>
      </w:pPr>
      <w:r w:rsidRPr="00480915">
        <w:rPr>
          <w:sz w:val="24"/>
          <w:szCs w:val="24"/>
        </w:rPr>
        <w:t xml:space="preserve">Samtidig brug af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og </w:t>
      </w:r>
      <w:proofErr w:type="spellStart"/>
      <w:r w:rsidRPr="00480915">
        <w:rPr>
          <w:sz w:val="24"/>
          <w:szCs w:val="24"/>
        </w:rPr>
        <w:t>sedativa</w:t>
      </w:r>
      <w:proofErr w:type="spellEnd"/>
      <w:r w:rsidRPr="00480915">
        <w:rPr>
          <w:sz w:val="24"/>
          <w:szCs w:val="24"/>
        </w:rPr>
        <w:t xml:space="preserve"> som benzodiazepiner eller andre respirations- eller CNS-hæmmende lægemidler (andre opioider, </w:t>
      </w:r>
      <w:proofErr w:type="spellStart"/>
      <w:r w:rsidRPr="00480915">
        <w:rPr>
          <w:sz w:val="24"/>
          <w:szCs w:val="24"/>
        </w:rPr>
        <w:t>antitussiva</w:t>
      </w:r>
      <w:proofErr w:type="spellEnd"/>
      <w:r w:rsidRPr="00480915">
        <w:rPr>
          <w:sz w:val="24"/>
          <w:szCs w:val="24"/>
        </w:rPr>
        <w:t xml:space="preserve"> eller substitutionsbehandlinger, barbiturater, antipsykotika, H1-antihistaminer, alkohol) øges risikoen for sedation, respirationsdepression, koma og dødsfald på grund af den </w:t>
      </w:r>
      <w:proofErr w:type="spellStart"/>
      <w:r w:rsidRPr="00480915">
        <w:rPr>
          <w:sz w:val="24"/>
          <w:szCs w:val="24"/>
        </w:rPr>
        <w:t>additive</w:t>
      </w:r>
      <w:proofErr w:type="spellEnd"/>
      <w:r w:rsidRPr="00480915">
        <w:rPr>
          <w:sz w:val="24"/>
          <w:szCs w:val="24"/>
        </w:rPr>
        <w:t xml:space="preserve"> CNS-hæmmende virkning. Når en kombinationsbehandling med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og et respirations- eller CNS-hæmmende lægemiddel tages i betragtning, bør reduktion af dosis for et eller begge lægemidler overvejes og varigheden af samtidig brug bør begrænses (se pkt. 4.4). Samtidig brug af opioider og </w:t>
      </w:r>
      <w:proofErr w:type="spellStart"/>
      <w:r w:rsidRPr="00480915">
        <w:rPr>
          <w:sz w:val="24"/>
          <w:szCs w:val="24"/>
        </w:rPr>
        <w:t>gabapentinoider</w:t>
      </w:r>
      <w:proofErr w:type="spellEnd"/>
      <w:r w:rsidRPr="00480915">
        <w:rPr>
          <w:sz w:val="24"/>
          <w:szCs w:val="24"/>
        </w:rPr>
        <w:t xml:space="preserve"> (</w:t>
      </w:r>
      <w:proofErr w:type="spellStart"/>
      <w:r w:rsidRPr="00480915">
        <w:rPr>
          <w:sz w:val="24"/>
          <w:szCs w:val="24"/>
        </w:rPr>
        <w:t>gabapentin</w:t>
      </w:r>
      <w:proofErr w:type="spellEnd"/>
      <w:r w:rsidRPr="00480915">
        <w:rPr>
          <w:sz w:val="24"/>
          <w:szCs w:val="24"/>
        </w:rPr>
        <w:t xml:space="preserve"> og </w:t>
      </w:r>
      <w:proofErr w:type="spellStart"/>
      <w:r w:rsidRPr="00480915">
        <w:rPr>
          <w:sz w:val="24"/>
          <w:szCs w:val="24"/>
        </w:rPr>
        <w:t>pregabalin</w:t>
      </w:r>
      <w:proofErr w:type="spellEnd"/>
      <w:r w:rsidRPr="00480915">
        <w:rPr>
          <w:sz w:val="24"/>
          <w:szCs w:val="24"/>
        </w:rPr>
        <w:t>) øger risikoen for opioidoverdosering, respirationsdepression og død.</w:t>
      </w:r>
    </w:p>
    <w:p w14:paraId="64890C09" w14:textId="77777777" w:rsidR="00480915" w:rsidRPr="00480915" w:rsidRDefault="00480915" w:rsidP="00A96B6C">
      <w:pPr>
        <w:ind w:left="851"/>
        <w:rPr>
          <w:sz w:val="24"/>
          <w:szCs w:val="24"/>
        </w:rPr>
      </w:pPr>
    </w:p>
    <w:p w14:paraId="789FAA87" w14:textId="049999FC" w:rsidR="00480915" w:rsidRPr="00480915" w:rsidRDefault="00480915" w:rsidP="00A96B6C">
      <w:pPr>
        <w:ind w:left="851"/>
        <w:rPr>
          <w:sz w:val="24"/>
          <w:szCs w:val="24"/>
        </w:rPr>
      </w:pPr>
      <w:r w:rsidRPr="00480915">
        <w:rPr>
          <w:sz w:val="24"/>
          <w:szCs w:val="24"/>
        </w:rPr>
        <w:t xml:space="preserve">Samtidig brug af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med </w:t>
      </w:r>
      <w:proofErr w:type="spellStart"/>
      <w:r w:rsidRPr="00480915">
        <w:rPr>
          <w:sz w:val="24"/>
          <w:szCs w:val="24"/>
        </w:rPr>
        <w:t>antikolinergika</w:t>
      </w:r>
      <w:proofErr w:type="spellEnd"/>
      <w:r w:rsidRPr="00480915">
        <w:rPr>
          <w:sz w:val="24"/>
          <w:szCs w:val="24"/>
        </w:rPr>
        <w:t xml:space="preserve"> eller lægemidler med </w:t>
      </w:r>
      <w:proofErr w:type="spellStart"/>
      <w:r w:rsidRPr="00480915">
        <w:rPr>
          <w:sz w:val="24"/>
          <w:szCs w:val="24"/>
        </w:rPr>
        <w:t>antikolinerg</w:t>
      </w:r>
      <w:proofErr w:type="spellEnd"/>
      <w:r w:rsidRPr="00480915">
        <w:rPr>
          <w:sz w:val="24"/>
          <w:szCs w:val="24"/>
        </w:rPr>
        <w:t xml:space="preserve"> aktivitet (f.eks. tricykliske </w:t>
      </w:r>
      <w:proofErr w:type="spellStart"/>
      <w:r w:rsidRPr="00480915">
        <w:rPr>
          <w:sz w:val="24"/>
          <w:szCs w:val="24"/>
        </w:rPr>
        <w:t>antidepressiva</w:t>
      </w:r>
      <w:proofErr w:type="spellEnd"/>
      <w:r w:rsidRPr="00480915">
        <w:rPr>
          <w:sz w:val="24"/>
          <w:szCs w:val="24"/>
        </w:rPr>
        <w:t xml:space="preserve">, antihistaminer, antipsykotika, muskelafslappende midler, </w:t>
      </w:r>
      <w:proofErr w:type="spellStart"/>
      <w:r w:rsidRPr="00480915">
        <w:rPr>
          <w:sz w:val="24"/>
          <w:szCs w:val="24"/>
        </w:rPr>
        <w:t>anti</w:t>
      </w:r>
      <w:proofErr w:type="spellEnd"/>
      <w:r w:rsidRPr="00480915">
        <w:rPr>
          <w:sz w:val="24"/>
          <w:szCs w:val="24"/>
        </w:rPr>
        <w:t xml:space="preserve">-Parkinson lægemidler) kan resultere i øgede </w:t>
      </w:r>
      <w:proofErr w:type="spellStart"/>
      <w:r w:rsidRPr="00480915">
        <w:rPr>
          <w:sz w:val="24"/>
          <w:szCs w:val="24"/>
        </w:rPr>
        <w:t>antikolinerge</w:t>
      </w:r>
      <w:proofErr w:type="spellEnd"/>
      <w:r w:rsidRPr="00480915">
        <w:rPr>
          <w:sz w:val="24"/>
          <w:szCs w:val="24"/>
        </w:rPr>
        <w:t xml:space="preserve"> bivirkninger.</w:t>
      </w:r>
    </w:p>
    <w:p w14:paraId="205E0783" w14:textId="77777777" w:rsidR="00480915" w:rsidRPr="00480915" w:rsidRDefault="00480915" w:rsidP="00A96B6C">
      <w:pPr>
        <w:ind w:left="851"/>
        <w:rPr>
          <w:sz w:val="24"/>
          <w:szCs w:val="24"/>
        </w:rPr>
      </w:pPr>
    </w:p>
    <w:p w14:paraId="5252F9D7" w14:textId="77777777" w:rsidR="00480915" w:rsidRPr="00480915" w:rsidRDefault="00480915" w:rsidP="00A96B6C">
      <w:pPr>
        <w:ind w:left="851"/>
        <w:rPr>
          <w:i/>
          <w:iCs/>
          <w:sz w:val="24"/>
          <w:szCs w:val="24"/>
        </w:rPr>
      </w:pPr>
      <w:r w:rsidRPr="00480915">
        <w:rPr>
          <w:i/>
          <w:iCs/>
          <w:sz w:val="24"/>
          <w:szCs w:val="24"/>
        </w:rPr>
        <w:t>Blandede opioidagonister/antagonister</w:t>
      </w:r>
    </w:p>
    <w:p w14:paraId="5447915C" w14:textId="63B7F847" w:rsidR="00480915" w:rsidRPr="00480915" w:rsidRDefault="00480915" w:rsidP="00A96B6C">
      <w:pPr>
        <w:ind w:left="851"/>
        <w:rPr>
          <w:sz w:val="24"/>
          <w:szCs w:val="24"/>
        </w:rPr>
      </w:pPr>
      <w:r w:rsidRPr="00480915">
        <w:rPr>
          <w:sz w:val="24"/>
          <w:szCs w:val="24"/>
        </w:rPr>
        <w:t xml:space="preserve">Forsigtighed tilrådes ved kombination af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med blandede µ-opioid</w:t>
      </w:r>
      <w:r w:rsidR="0024457E" w:rsidRPr="00301E7F">
        <w:rPr>
          <w:sz w:val="24"/>
          <w:szCs w:val="24"/>
        </w:rPr>
        <w:softHyphen/>
      </w:r>
      <w:r w:rsidRPr="00480915">
        <w:rPr>
          <w:sz w:val="24"/>
          <w:szCs w:val="24"/>
        </w:rPr>
        <w:t xml:space="preserve">agonister/antagonister (f.eks. </w:t>
      </w:r>
      <w:proofErr w:type="spellStart"/>
      <w:r w:rsidRPr="00480915">
        <w:rPr>
          <w:sz w:val="24"/>
          <w:szCs w:val="24"/>
        </w:rPr>
        <w:t>pentazocin</w:t>
      </w:r>
      <w:proofErr w:type="spellEnd"/>
      <w:r w:rsidRPr="00480915">
        <w:rPr>
          <w:sz w:val="24"/>
          <w:szCs w:val="24"/>
        </w:rPr>
        <w:t xml:space="preserve">, </w:t>
      </w:r>
      <w:proofErr w:type="spellStart"/>
      <w:r w:rsidRPr="00480915">
        <w:rPr>
          <w:sz w:val="24"/>
          <w:szCs w:val="24"/>
        </w:rPr>
        <w:t>nalbuphin</w:t>
      </w:r>
      <w:proofErr w:type="spellEnd"/>
      <w:r w:rsidRPr="00480915">
        <w:rPr>
          <w:sz w:val="24"/>
          <w:szCs w:val="24"/>
        </w:rPr>
        <w:t xml:space="preserve">) eller partielle µ-opioidagonister (f.eks. </w:t>
      </w:r>
      <w:proofErr w:type="spellStart"/>
      <w:r w:rsidRPr="00480915">
        <w:rPr>
          <w:sz w:val="24"/>
          <w:szCs w:val="24"/>
        </w:rPr>
        <w:t>buprenorphin</w:t>
      </w:r>
      <w:proofErr w:type="spellEnd"/>
      <w:r w:rsidRPr="00480915">
        <w:rPr>
          <w:sz w:val="24"/>
          <w:szCs w:val="24"/>
        </w:rPr>
        <w:t>) (se også pkt. 4.4).</w:t>
      </w:r>
    </w:p>
    <w:p w14:paraId="58A0519C" w14:textId="77777777" w:rsidR="00480915" w:rsidRPr="00480915" w:rsidRDefault="00480915" w:rsidP="00A96B6C">
      <w:pPr>
        <w:ind w:left="851"/>
        <w:rPr>
          <w:sz w:val="24"/>
          <w:szCs w:val="24"/>
        </w:rPr>
      </w:pPr>
    </w:p>
    <w:p w14:paraId="1967A9B0" w14:textId="77777777"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kan forårsage kramper og øge potentialet for selektive serotonin </w:t>
      </w:r>
      <w:proofErr w:type="spellStart"/>
      <w:r w:rsidRPr="00480915">
        <w:rPr>
          <w:sz w:val="24"/>
          <w:szCs w:val="24"/>
        </w:rPr>
        <w:t>genoptagshæmmere</w:t>
      </w:r>
      <w:proofErr w:type="spellEnd"/>
      <w:r w:rsidRPr="00480915">
        <w:rPr>
          <w:sz w:val="24"/>
          <w:szCs w:val="24"/>
        </w:rPr>
        <w:t xml:space="preserve"> (SSRI), serotonin-noradrenalin </w:t>
      </w:r>
      <w:proofErr w:type="spellStart"/>
      <w:r w:rsidRPr="00480915">
        <w:rPr>
          <w:sz w:val="24"/>
          <w:szCs w:val="24"/>
        </w:rPr>
        <w:t>genoptagshæmmere</w:t>
      </w:r>
      <w:proofErr w:type="spellEnd"/>
      <w:r w:rsidRPr="00480915">
        <w:rPr>
          <w:sz w:val="24"/>
          <w:szCs w:val="24"/>
        </w:rPr>
        <w:t xml:space="preserve"> (SNRI), tricykliske </w:t>
      </w:r>
      <w:proofErr w:type="spellStart"/>
      <w:r w:rsidRPr="00480915">
        <w:rPr>
          <w:sz w:val="24"/>
          <w:szCs w:val="24"/>
        </w:rPr>
        <w:t>antidepressiva</w:t>
      </w:r>
      <w:proofErr w:type="spellEnd"/>
      <w:r w:rsidRPr="00480915">
        <w:rPr>
          <w:sz w:val="24"/>
          <w:szCs w:val="24"/>
        </w:rPr>
        <w:t>, antipsykotika og andre krampetærskelsænkende lægemidler til at forårsage kramper.</w:t>
      </w:r>
    </w:p>
    <w:p w14:paraId="38E57A83" w14:textId="77777777" w:rsidR="00480915" w:rsidRPr="00480915" w:rsidRDefault="00480915" w:rsidP="00A96B6C">
      <w:pPr>
        <w:ind w:left="851"/>
        <w:rPr>
          <w:sz w:val="24"/>
          <w:szCs w:val="24"/>
        </w:rPr>
      </w:pPr>
    </w:p>
    <w:p w14:paraId="5699C88F" w14:textId="77777777" w:rsidR="00480915" w:rsidRPr="00480915" w:rsidRDefault="00480915" w:rsidP="00A96B6C">
      <w:pPr>
        <w:ind w:left="851"/>
        <w:rPr>
          <w:sz w:val="24"/>
          <w:szCs w:val="24"/>
        </w:rPr>
      </w:pPr>
      <w:r w:rsidRPr="00480915">
        <w:rPr>
          <w:sz w:val="24"/>
          <w:szCs w:val="24"/>
        </w:rPr>
        <w:t xml:space="preserve">Tilfælde af serotoninsyndrom er rapporteret, tidsmæssigt sammenfaldende med terapeutisk brug af </w:t>
      </w:r>
      <w:proofErr w:type="spellStart"/>
      <w:r w:rsidRPr="00480915">
        <w:rPr>
          <w:sz w:val="24"/>
          <w:szCs w:val="24"/>
        </w:rPr>
        <w:t>tapentadol</w:t>
      </w:r>
      <w:proofErr w:type="spellEnd"/>
      <w:r w:rsidRPr="00480915">
        <w:rPr>
          <w:sz w:val="24"/>
          <w:szCs w:val="24"/>
        </w:rPr>
        <w:t xml:space="preserve"> kombineret med et </w:t>
      </w:r>
      <w:proofErr w:type="spellStart"/>
      <w:r w:rsidRPr="00480915">
        <w:rPr>
          <w:sz w:val="24"/>
          <w:szCs w:val="24"/>
        </w:rPr>
        <w:t>serotonergt</w:t>
      </w:r>
      <w:proofErr w:type="spellEnd"/>
      <w:r w:rsidRPr="00480915">
        <w:rPr>
          <w:sz w:val="24"/>
          <w:szCs w:val="24"/>
        </w:rPr>
        <w:t xml:space="preserve"> lægemiddel såsom selektive serotonin </w:t>
      </w:r>
      <w:proofErr w:type="spellStart"/>
      <w:r w:rsidRPr="00480915">
        <w:rPr>
          <w:sz w:val="24"/>
          <w:szCs w:val="24"/>
        </w:rPr>
        <w:t>genoptagshæmmere</w:t>
      </w:r>
      <w:proofErr w:type="spellEnd"/>
      <w:r w:rsidRPr="00480915">
        <w:rPr>
          <w:sz w:val="24"/>
          <w:szCs w:val="24"/>
        </w:rPr>
        <w:t xml:space="preserve"> (SSRI), serotonin-noradrenalin </w:t>
      </w:r>
      <w:proofErr w:type="spellStart"/>
      <w:r w:rsidRPr="00480915">
        <w:rPr>
          <w:sz w:val="24"/>
          <w:szCs w:val="24"/>
        </w:rPr>
        <w:t>genoptagshæmmere</w:t>
      </w:r>
      <w:proofErr w:type="spellEnd"/>
      <w:r w:rsidRPr="00480915">
        <w:rPr>
          <w:sz w:val="24"/>
          <w:szCs w:val="24"/>
        </w:rPr>
        <w:t xml:space="preserve"> (SNRI) og tricykliske </w:t>
      </w:r>
      <w:proofErr w:type="spellStart"/>
      <w:r w:rsidRPr="00480915">
        <w:rPr>
          <w:sz w:val="24"/>
          <w:szCs w:val="24"/>
        </w:rPr>
        <w:t>antidepressiva</w:t>
      </w:r>
      <w:proofErr w:type="spellEnd"/>
      <w:r w:rsidRPr="00480915">
        <w:rPr>
          <w:sz w:val="24"/>
          <w:szCs w:val="24"/>
        </w:rPr>
        <w:t>. Serotoninsyndrom er sandsynligt når en af følgende er observeret:</w:t>
      </w:r>
    </w:p>
    <w:p w14:paraId="64AFEF09" w14:textId="77777777" w:rsidR="00480915" w:rsidRPr="00480915" w:rsidRDefault="00480915" w:rsidP="00A96B6C">
      <w:pPr>
        <w:numPr>
          <w:ilvl w:val="0"/>
          <w:numId w:val="8"/>
        </w:numPr>
        <w:ind w:left="1276" w:hanging="425"/>
        <w:rPr>
          <w:sz w:val="24"/>
          <w:szCs w:val="24"/>
        </w:rPr>
      </w:pPr>
      <w:r w:rsidRPr="00480915">
        <w:rPr>
          <w:sz w:val="24"/>
          <w:szCs w:val="24"/>
        </w:rPr>
        <w:t xml:space="preserve">Spontan </w:t>
      </w:r>
      <w:proofErr w:type="spellStart"/>
      <w:r w:rsidRPr="00480915">
        <w:rPr>
          <w:sz w:val="24"/>
          <w:szCs w:val="24"/>
        </w:rPr>
        <w:t>klonus</w:t>
      </w:r>
      <w:proofErr w:type="spellEnd"/>
    </w:p>
    <w:p w14:paraId="4C722B59" w14:textId="77777777" w:rsidR="00480915" w:rsidRPr="00480915" w:rsidRDefault="00480915" w:rsidP="00A96B6C">
      <w:pPr>
        <w:numPr>
          <w:ilvl w:val="0"/>
          <w:numId w:val="8"/>
        </w:numPr>
        <w:ind w:left="1276" w:hanging="425"/>
        <w:rPr>
          <w:sz w:val="24"/>
          <w:szCs w:val="24"/>
        </w:rPr>
      </w:pPr>
      <w:proofErr w:type="spellStart"/>
      <w:r w:rsidRPr="00480915">
        <w:rPr>
          <w:sz w:val="24"/>
          <w:szCs w:val="24"/>
        </w:rPr>
        <w:t>Inducerbar</w:t>
      </w:r>
      <w:proofErr w:type="spellEnd"/>
      <w:r w:rsidRPr="00480915">
        <w:rPr>
          <w:sz w:val="24"/>
          <w:szCs w:val="24"/>
        </w:rPr>
        <w:t xml:space="preserve"> eller </w:t>
      </w:r>
      <w:proofErr w:type="spellStart"/>
      <w:r w:rsidRPr="00480915">
        <w:rPr>
          <w:sz w:val="24"/>
          <w:szCs w:val="24"/>
        </w:rPr>
        <w:t>okulær</w:t>
      </w:r>
      <w:proofErr w:type="spellEnd"/>
      <w:r w:rsidRPr="00480915">
        <w:rPr>
          <w:sz w:val="24"/>
          <w:szCs w:val="24"/>
        </w:rPr>
        <w:t xml:space="preserve"> </w:t>
      </w:r>
      <w:proofErr w:type="spellStart"/>
      <w:r w:rsidRPr="00480915">
        <w:rPr>
          <w:sz w:val="24"/>
          <w:szCs w:val="24"/>
        </w:rPr>
        <w:t>klonus</w:t>
      </w:r>
      <w:proofErr w:type="spellEnd"/>
      <w:r w:rsidRPr="00480915">
        <w:rPr>
          <w:sz w:val="24"/>
          <w:szCs w:val="24"/>
        </w:rPr>
        <w:t xml:space="preserve"> med agitation eller </w:t>
      </w:r>
      <w:proofErr w:type="spellStart"/>
      <w:r w:rsidRPr="00480915">
        <w:rPr>
          <w:sz w:val="24"/>
          <w:szCs w:val="24"/>
        </w:rPr>
        <w:t>diaforese</w:t>
      </w:r>
      <w:proofErr w:type="spellEnd"/>
    </w:p>
    <w:p w14:paraId="52F5D191" w14:textId="77777777" w:rsidR="00480915" w:rsidRPr="00480915" w:rsidRDefault="00480915" w:rsidP="00A96B6C">
      <w:pPr>
        <w:numPr>
          <w:ilvl w:val="0"/>
          <w:numId w:val="8"/>
        </w:numPr>
        <w:ind w:left="1276" w:hanging="425"/>
        <w:rPr>
          <w:sz w:val="24"/>
          <w:szCs w:val="24"/>
        </w:rPr>
      </w:pPr>
      <w:proofErr w:type="spellStart"/>
      <w:r w:rsidRPr="00480915">
        <w:rPr>
          <w:sz w:val="24"/>
          <w:szCs w:val="24"/>
        </w:rPr>
        <w:t>Tremor</w:t>
      </w:r>
      <w:proofErr w:type="spellEnd"/>
      <w:r w:rsidRPr="00480915">
        <w:rPr>
          <w:sz w:val="24"/>
          <w:szCs w:val="24"/>
        </w:rPr>
        <w:t xml:space="preserve"> og </w:t>
      </w:r>
      <w:proofErr w:type="spellStart"/>
      <w:r w:rsidRPr="00480915">
        <w:rPr>
          <w:sz w:val="24"/>
          <w:szCs w:val="24"/>
        </w:rPr>
        <w:t>hyperrefleksi</w:t>
      </w:r>
      <w:proofErr w:type="spellEnd"/>
    </w:p>
    <w:p w14:paraId="3B759885" w14:textId="77777777" w:rsidR="00480915" w:rsidRPr="00480915" w:rsidRDefault="00480915" w:rsidP="00A96B6C">
      <w:pPr>
        <w:numPr>
          <w:ilvl w:val="0"/>
          <w:numId w:val="8"/>
        </w:numPr>
        <w:ind w:left="1276" w:hanging="425"/>
        <w:rPr>
          <w:sz w:val="24"/>
          <w:szCs w:val="24"/>
        </w:rPr>
      </w:pPr>
      <w:proofErr w:type="spellStart"/>
      <w:r w:rsidRPr="00480915">
        <w:rPr>
          <w:sz w:val="24"/>
          <w:szCs w:val="24"/>
        </w:rPr>
        <w:t>Hypertoni</w:t>
      </w:r>
      <w:proofErr w:type="spellEnd"/>
      <w:r w:rsidRPr="00480915">
        <w:rPr>
          <w:sz w:val="24"/>
          <w:szCs w:val="24"/>
        </w:rPr>
        <w:t xml:space="preserve"> og kropstemperatur &gt; 38 °C samt </w:t>
      </w:r>
      <w:proofErr w:type="spellStart"/>
      <w:r w:rsidRPr="00480915">
        <w:rPr>
          <w:sz w:val="24"/>
          <w:szCs w:val="24"/>
        </w:rPr>
        <w:t>inducerbar</w:t>
      </w:r>
      <w:proofErr w:type="spellEnd"/>
      <w:r w:rsidRPr="00480915">
        <w:rPr>
          <w:sz w:val="24"/>
          <w:szCs w:val="24"/>
        </w:rPr>
        <w:t xml:space="preserve"> </w:t>
      </w:r>
      <w:proofErr w:type="spellStart"/>
      <w:r w:rsidRPr="00480915">
        <w:rPr>
          <w:sz w:val="24"/>
          <w:szCs w:val="24"/>
        </w:rPr>
        <w:t>okulær</w:t>
      </w:r>
      <w:proofErr w:type="spellEnd"/>
      <w:r w:rsidRPr="00480915">
        <w:rPr>
          <w:sz w:val="24"/>
          <w:szCs w:val="24"/>
        </w:rPr>
        <w:t xml:space="preserve"> </w:t>
      </w:r>
      <w:proofErr w:type="spellStart"/>
      <w:r w:rsidRPr="00480915">
        <w:rPr>
          <w:sz w:val="24"/>
          <w:szCs w:val="24"/>
        </w:rPr>
        <w:t>klonus</w:t>
      </w:r>
      <w:proofErr w:type="spellEnd"/>
    </w:p>
    <w:p w14:paraId="2968EEEC" w14:textId="77777777" w:rsidR="00480915" w:rsidRPr="00480915" w:rsidRDefault="00480915" w:rsidP="00A96B6C">
      <w:pPr>
        <w:ind w:left="851"/>
        <w:rPr>
          <w:sz w:val="24"/>
          <w:szCs w:val="24"/>
        </w:rPr>
      </w:pPr>
    </w:p>
    <w:p w14:paraId="39A2ADF3" w14:textId="77777777" w:rsidR="00480915" w:rsidRPr="00480915" w:rsidRDefault="00480915" w:rsidP="00A96B6C">
      <w:pPr>
        <w:ind w:left="851"/>
        <w:rPr>
          <w:sz w:val="24"/>
          <w:szCs w:val="24"/>
        </w:rPr>
      </w:pPr>
      <w:proofErr w:type="spellStart"/>
      <w:r w:rsidRPr="00480915">
        <w:rPr>
          <w:sz w:val="24"/>
          <w:szCs w:val="24"/>
        </w:rPr>
        <w:t>Seponering</w:t>
      </w:r>
      <w:proofErr w:type="spellEnd"/>
      <w:r w:rsidRPr="00480915">
        <w:rPr>
          <w:sz w:val="24"/>
          <w:szCs w:val="24"/>
        </w:rPr>
        <w:t xml:space="preserve"> af det </w:t>
      </w:r>
      <w:proofErr w:type="spellStart"/>
      <w:r w:rsidRPr="00480915">
        <w:rPr>
          <w:sz w:val="24"/>
          <w:szCs w:val="24"/>
        </w:rPr>
        <w:t>serotonerge</w:t>
      </w:r>
      <w:proofErr w:type="spellEnd"/>
      <w:r w:rsidRPr="00480915">
        <w:rPr>
          <w:sz w:val="24"/>
          <w:szCs w:val="24"/>
        </w:rPr>
        <w:t xml:space="preserve"> lægemiddel giver normalt en hurtig forbedring. Behandling vil afhænge af art og sværhedsgrad af symptomerne.</w:t>
      </w:r>
    </w:p>
    <w:p w14:paraId="30F8116E" w14:textId="77777777" w:rsidR="00480915" w:rsidRPr="00480915" w:rsidRDefault="00480915" w:rsidP="00A96B6C">
      <w:pPr>
        <w:ind w:left="851"/>
        <w:rPr>
          <w:sz w:val="24"/>
          <w:szCs w:val="24"/>
        </w:rPr>
      </w:pPr>
    </w:p>
    <w:p w14:paraId="37C16DBF" w14:textId="77777777" w:rsidR="00480915" w:rsidRPr="00480915" w:rsidRDefault="00480915" w:rsidP="00A96B6C">
      <w:pPr>
        <w:ind w:left="851"/>
        <w:rPr>
          <w:b/>
          <w:bCs/>
          <w:i/>
          <w:iCs/>
          <w:sz w:val="24"/>
          <w:szCs w:val="24"/>
        </w:rPr>
      </w:pPr>
      <w:r w:rsidRPr="00480915">
        <w:rPr>
          <w:sz w:val="24"/>
          <w:szCs w:val="24"/>
        </w:rPr>
        <w:t xml:space="preserve">Den vigtigste eliminationsvej for </w:t>
      </w:r>
      <w:proofErr w:type="spellStart"/>
      <w:r w:rsidRPr="00480915">
        <w:rPr>
          <w:sz w:val="24"/>
          <w:szCs w:val="24"/>
        </w:rPr>
        <w:t>tapentadol</w:t>
      </w:r>
      <w:proofErr w:type="spellEnd"/>
      <w:r w:rsidRPr="00480915">
        <w:rPr>
          <w:sz w:val="24"/>
          <w:szCs w:val="24"/>
        </w:rPr>
        <w:t xml:space="preserve"> er </w:t>
      </w:r>
      <w:proofErr w:type="spellStart"/>
      <w:r w:rsidRPr="00480915">
        <w:rPr>
          <w:sz w:val="24"/>
          <w:szCs w:val="24"/>
        </w:rPr>
        <w:t>konjugering</w:t>
      </w:r>
      <w:proofErr w:type="spellEnd"/>
      <w:r w:rsidRPr="00480915">
        <w:rPr>
          <w:sz w:val="24"/>
          <w:szCs w:val="24"/>
        </w:rPr>
        <w:t xml:space="preserve"> med </w:t>
      </w:r>
      <w:proofErr w:type="spellStart"/>
      <w:r w:rsidRPr="00480915">
        <w:rPr>
          <w:sz w:val="24"/>
          <w:szCs w:val="24"/>
        </w:rPr>
        <w:t>glucuronsyre</w:t>
      </w:r>
      <w:proofErr w:type="spellEnd"/>
      <w:r w:rsidRPr="00480915">
        <w:rPr>
          <w:sz w:val="24"/>
          <w:szCs w:val="24"/>
        </w:rPr>
        <w:t xml:space="preserve"> medieret via </w:t>
      </w:r>
      <w:proofErr w:type="spellStart"/>
      <w:r w:rsidRPr="00480915">
        <w:rPr>
          <w:sz w:val="24"/>
          <w:szCs w:val="24"/>
        </w:rPr>
        <w:t>uridin</w:t>
      </w:r>
      <w:proofErr w:type="spellEnd"/>
      <w:r w:rsidRPr="00480915">
        <w:rPr>
          <w:sz w:val="24"/>
          <w:szCs w:val="24"/>
        </w:rPr>
        <w:t xml:space="preserve"> </w:t>
      </w:r>
      <w:proofErr w:type="spellStart"/>
      <w:r w:rsidRPr="00480915">
        <w:rPr>
          <w:sz w:val="24"/>
          <w:szCs w:val="24"/>
        </w:rPr>
        <w:t>diphosphat</w:t>
      </w:r>
      <w:proofErr w:type="spellEnd"/>
      <w:r w:rsidRPr="00480915">
        <w:rPr>
          <w:sz w:val="24"/>
          <w:szCs w:val="24"/>
        </w:rPr>
        <w:t xml:space="preserve"> transferase (UGT) primært </w:t>
      </w:r>
      <w:proofErr w:type="spellStart"/>
      <w:r w:rsidRPr="00480915">
        <w:rPr>
          <w:sz w:val="24"/>
          <w:szCs w:val="24"/>
        </w:rPr>
        <w:t>isoformerne</w:t>
      </w:r>
      <w:proofErr w:type="spellEnd"/>
      <w:r w:rsidRPr="00480915">
        <w:rPr>
          <w:sz w:val="24"/>
          <w:szCs w:val="24"/>
        </w:rPr>
        <w:t xml:space="preserve"> UGT1A6, UGT1A9 og UGT2B7. Derfor kan samtidig behandling med stærke inhibitorer af disse </w:t>
      </w:r>
      <w:proofErr w:type="spellStart"/>
      <w:r w:rsidRPr="00480915">
        <w:rPr>
          <w:sz w:val="24"/>
          <w:szCs w:val="24"/>
        </w:rPr>
        <w:t>isoenzymer</w:t>
      </w:r>
      <w:proofErr w:type="spellEnd"/>
      <w:r w:rsidRPr="00480915">
        <w:rPr>
          <w:sz w:val="24"/>
          <w:szCs w:val="24"/>
        </w:rPr>
        <w:t xml:space="preserve"> (f.eks. </w:t>
      </w:r>
      <w:proofErr w:type="spellStart"/>
      <w:r w:rsidRPr="00480915">
        <w:rPr>
          <w:sz w:val="24"/>
          <w:szCs w:val="24"/>
        </w:rPr>
        <w:t>ketoconazol</w:t>
      </w:r>
      <w:proofErr w:type="spellEnd"/>
      <w:r w:rsidRPr="00480915">
        <w:rPr>
          <w:sz w:val="24"/>
          <w:szCs w:val="24"/>
        </w:rPr>
        <w:t xml:space="preserve">, </w:t>
      </w:r>
      <w:proofErr w:type="spellStart"/>
      <w:r w:rsidRPr="00480915">
        <w:rPr>
          <w:sz w:val="24"/>
          <w:szCs w:val="24"/>
        </w:rPr>
        <w:t>fluconazol</w:t>
      </w:r>
      <w:proofErr w:type="spellEnd"/>
      <w:r w:rsidRPr="00480915">
        <w:rPr>
          <w:sz w:val="24"/>
          <w:szCs w:val="24"/>
        </w:rPr>
        <w:t xml:space="preserve">, </w:t>
      </w:r>
      <w:proofErr w:type="spellStart"/>
      <w:r w:rsidRPr="00480915">
        <w:rPr>
          <w:sz w:val="24"/>
          <w:szCs w:val="24"/>
        </w:rPr>
        <w:t>meclofenaminsyre</w:t>
      </w:r>
      <w:proofErr w:type="spellEnd"/>
      <w:r w:rsidRPr="00480915">
        <w:rPr>
          <w:sz w:val="24"/>
          <w:szCs w:val="24"/>
        </w:rPr>
        <w:t xml:space="preserve">) føre til øget systemisk eksponering af </w:t>
      </w:r>
      <w:proofErr w:type="spellStart"/>
      <w:r w:rsidRPr="00480915">
        <w:rPr>
          <w:sz w:val="24"/>
          <w:szCs w:val="24"/>
        </w:rPr>
        <w:t>tapentadol</w:t>
      </w:r>
      <w:proofErr w:type="spellEnd"/>
      <w:r w:rsidRPr="00480915">
        <w:rPr>
          <w:sz w:val="24"/>
          <w:szCs w:val="24"/>
        </w:rPr>
        <w:t xml:space="preserve"> (se pkt. 5.2)</w:t>
      </w:r>
      <w:r w:rsidRPr="00480915">
        <w:rPr>
          <w:i/>
          <w:iCs/>
          <w:sz w:val="24"/>
          <w:szCs w:val="24"/>
        </w:rPr>
        <w:t>.</w:t>
      </w:r>
    </w:p>
    <w:p w14:paraId="129C087D" w14:textId="77777777" w:rsidR="00480915" w:rsidRPr="00480915" w:rsidRDefault="00480915" w:rsidP="00A96B6C">
      <w:pPr>
        <w:ind w:left="851"/>
        <w:rPr>
          <w:bCs/>
          <w:iCs/>
          <w:sz w:val="24"/>
          <w:szCs w:val="24"/>
        </w:rPr>
      </w:pPr>
    </w:p>
    <w:p w14:paraId="06FE5D8F" w14:textId="77777777" w:rsidR="00480915" w:rsidRPr="00480915" w:rsidRDefault="00480915" w:rsidP="00A96B6C">
      <w:pPr>
        <w:ind w:left="851"/>
        <w:rPr>
          <w:sz w:val="24"/>
          <w:szCs w:val="24"/>
        </w:rPr>
      </w:pPr>
      <w:r w:rsidRPr="00480915">
        <w:rPr>
          <w:sz w:val="24"/>
          <w:szCs w:val="24"/>
        </w:rPr>
        <w:t xml:space="preserve">For patienter i behandling med </w:t>
      </w:r>
      <w:proofErr w:type="spellStart"/>
      <w:r w:rsidRPr="00480915">
        <w:rPr>
          <w:sz w:val="24"/>
          <w:szCs w:val="24"/>
        </w:rPr>
        <w:t>tapentadol</w:t>
      </w:r>
      <w:proofErr w:type="spellEnd"/>
      <w:r w:rsidRPr="00480915">
        <w:rPr>
          <w:sz w:val="24"/>
          <w:szCs w:val="24"/>
        </w:rPr>
        <w:t xml:space="preserve"> bør der udvises forsigtighed, hvis der samtidig startes eller stoppes indtagning af stærkt enzyminducerende stoffer (f.eks. </w:t>
      </w:r>
      <w:proofErr w:type="spellStart"/>
      <w:r w:rsidRPr="00480915">
        <w:rPr>
          <w:sz w:val="24"/>
          <w:szCs w:val="24"/>
        </w:rPr>
        <w:t>rifampicin</w:t>
      </w:r>
      <w:proofErr w:type="spellEnd"/>
      <w:r w:rsidRPr="00480915">
        <w:rPr>
          <w:sz w:val="24"/>
          <w:szCs w:val="24"/>
        </w:rPr>
        <w:t xml:space="preserve">, </w:t>
      </w:r>
      <w:proofErr w:type="spellStart"/>
      <w:r w:rsidRPr="00480915">
        <w:rPr>
          <w:sz w:val="24"/>
          <w:szCs w:val="24"/>
        </w:rPr>
        <w:t>fenobarbital</w:t>
      </w:r>
      <w:proofErr w:type="spellEnd"/>
      <w:r w:rsidRPr="00480915">
        <w:rPr>
          <w:sz w:val="24"/>
          <w:szCs w:val="24"/>
        </w:rPr>
        <w:t>, perikon (</w:t>
      </w:r>
      <w:proofErr w:type="spellStart"/>
      <w:r w:rsidRPr="00480915">
        <w:rPr>
          <w:i/>
          <w:iCs/>
          <w:sz w:val="24"/>
          <w:szCs w:val="24"/>
        </w:rPr>
        <w:t>hypericum</w:t>
      </w:r>
      <w:proofErr w:type="spellEnd"/>
      <w:r w:rsidRPr="00480915">
        <w:rPr>
          <w:i/>
          <w:iCs/>
          <w:sz w:val="24"/>
          <w:szCs w:val="24"/>
        </w:rPr>
        <w:t xml:space="preserve"> </w:t>
      </w:r>
      <w:proofErr w:type="spellStart"/>
      <w:r w:rsidRPr="00480915">
        <w:rPr>
          <w:i/>
          <w:iCs/>
          <w:sz w:val="24"/>
          <w:szCs w:val="24"/>
        </w:rPr>
        <w:t>perforatum</w:t>
      </w:r>
      <w:proofErr w:type="spellEnd"/>
      <w:r w:rsidRPr="00480915">
        <w:rPr>
          <w:sz w:val="24"/>
          <w:szCs w:val="24"/>
        </w:rPr>
        <w:t>)), da det kan forårsage henholdsvis nedsat effekt eller risiko for bivirkninger.</w:t>
      </w:r>
    </w:p>
    <w:p w14:paraId="6757E8A0" w14:textId="77777777" w:rsidR="00480915" w:rsidRPr="00480915" w:rsidRDefault="00480915" w:rsidP="00A96B6C">
      <w:pPr>
        <w:ind w:left="851"/>
        <w:rPr>
          <w:sz w:val="24"/>
          <w:szCs w:val="24"/>
        </w:rPr>
      </w:pPr>
    </w:p>
    <w:p w14:paraId="32842C60" w14:textId="6426A7C1" w:rsidR="00480915" w:rsidRPr="00480915" w:rsidRDefault="00480915" w:rsidP="00A96B6C">
      <w:pPr>
        <w:ind w:left="851"/>
        <w:rPr>
          <w:sz w:val="24"/>
          <w:szCs w:val="24"/>
        </w:rPr>
      </w:pPr>
      <w:r w:rsidRPr="00480915">
        <w:rPr>
          <w:sz w:val="24"/>
          <w:szCs w:val="24"/>
        </w:rPr>
        <w:t xml:space="preserve">Behandling med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bør undgås hos patienter, som får MAO-</w:t>
      </w:r>
      <w:proofErr w:type="spellStart"/>
      <w:r w:rsidRPr="00480915">
        <w:rPr>
          <w:sz w:val="24"/>
          <w:szCs w:val="24"/>
        </w:rPr>
        <w:t>hæmmere</w:t>
      </w:r>
      <w:proofErr w:type="spellEnd"/>
      <w:r w:rsidRPr="00480915">
        <w:rPr>
          <w:sz w:val="24"/>
          <w:szCs w:val="24"/>
        </w:rPr>
        <w:t xml:space="preserve"> (</w:t>
      </w:r>
      <w:proofErr w:type="spellStart"/>
      <w:r w:rsidRPr="00480915">
        <w:rPr>
          <w:sz w:val="24"/>
          <w:szCs w:val="24"/>
        </w:rPr>
        <w:t>monoaminooxidase-hæmmere</w:t>
      </w:r>
      <w:proofErr w:type="spellEnd"/>
      <w:r w:rsidRPr="00480915">
        <w:rPr>
          <w:sz w:val="24"/>
          <w:szCs w:val="24"/>
        </w:rPr>
        <w:t xml:space="preserve">), eller som har anvendt disse midler i løbet af de seneste 14 dage, på grund af potentielle </w:t>
      </w:r>
      <w:proofErr w:type="spellStart"/>
      <w:r w:rsidRPr="00480915">
        <w:rPr>
          <w:sz w:val="24"/>
          <w:szCs w:val="24"/>
        </w:rPr>
        <w:t>additive</w:t>
      </w:r>
      <w:proofErr w:type="spellEnd"/>
      <w:r w:rsidRPr="00480915">
        <w:rPr>
          <w:sz w:val="24"/>
          <w:szCs w:val="24"/>
        </w:rPr>
        <w:t xml:space="preserve"> virkninger på koncentrationen af noradrenalin i synapserne, hvilket kan føre til kardiovaskulære bivirkninger, f.eks. en </w:t>
      </w:r>
      <w:proofErr w:type="spellStart"/>
      <w:r w:rsidRPr="00480915">
        <w:rPr>
          <w:sz w:val="24"/>
          <w:szCs w:val="24"/>
        </w:rPr>
        <w:t>hypertensiv</w:t>
      </w:r>
      <w:proofErr w:type="spellEnd"/>
      <w:r w:rsidRPr="00480915">
        <w:rPr>
          <w:sz w:val="24"/>
          <w:szCs w:val="24"/>
        </w:rPr>
        <w:t xml:space="preserve"> krise.</w:t>
      </w:r>
    </w:p>
    <w:p w14:paraId="2B9F68A1" w14:textId="77777777" w:rsidR="009260DE" w:rsidRPr="00301E7F" w:rsidRDefault="009260DE" w:rsidP="009260DE">
      <w:pPr>
        <w:tabs>
          <w:tab w:val="left" w:pos="851"/>
        </w:tabs>
        <w:ind w:left="851"/>
        <w:rPr>
          <w:sz w:val="24"/>
          <w:szCs w:val="24"/>
        </w:rPr>
      </w:pPr>
    </w:p>
    <w:p w14:paraId="1D7DB584" w14:textId="77777777" w:rsidR="009260DE" w:rsidRPr="00301E7F" w:rsidRDefault="009260DE" w:rsidP="009260DE">
      <w:pPr>
        <w:tabs>
          <w:tab w:val="left" w:pos="851"/>
        </w:tabs>
        <w:ind w:left="851" w:hanging="851"/>
        <w:rPr>
          <w:b/>
          <w:sz w:val="24"/>
          <w:szCs w:val="24"/>
        </w:rPr>
      </w:pPr>
      <w:r w:rsidRPr="00301E7F">
        <w:rPr>
          <w:b/>
          <w:sz w:val="24"/>
          <w:szCs w:val="24"/>
        </w:rPr>
        <w:t>4.6</w:t>
      </w:r>
      <w:r w:rsidRPr="00301E7F">
        <w:rPr>
          <w:b/>
          <w:sz w:val="24"/>
          <w:szCs w:val="24"/>
        </w:rPr>
        <w:tab/>
      </w:r>
      <w:r w:rsidR="0071241E" w:rsidRPr="00301E7F">
        <w:rPr>
          <w:b/>
          <w:sz w:val="24"/>
          <w:szCs w:val="24"/>
        </w:rPr>
        <w:t>Fertilitet, g</w:t>
      </w:r>
      <w:r w:rsidRPr="00301E7F">
        <w:rPr>
          <w:b/>
          <w:sz w:val="24"/>
          <w:szCs w:val="24"/>
        </w:rPr>
        <w:t>raviditet og amning</w:t>
      </w:r>
    </w:p>
    <w:p w14:paraId="2A077542" w14:textId="77777777" w:rsidR="0024457E" w:rsidRPr="00301E7F" w:rsidRDefault="0024457E" w:rsidP="00A96B6C">
      <w:pPr>
        <w:ind w:left="851"/>
        <w:rPr>
          <w:i/>
          <w:iCs/>
          <w:sz w:val="24"/>
          <w:szCs w:val="24"/>
        </w:rPr>
      </w:pPr>
    </w:p>
    <w:p w14:paraId="41C8DDC4" w14:textId="6001397E" w:rsidR="00480915" w:rsidRPr="00480915" w:rsidRDefault="00480915" w:rsidP="00A96B6C">
      <w:pPr>
        <w:ind w:left="851"/>
        <w:rPr>
          <w:i/>
          <w:iCs/>
          <w:sz w:val="24"/>
          <w:szCs w:val="24"/>
        </w:rPr>
      </w:pPr>
      <w:r w:rsidRPr="00480915">
        <w:rPr>
          <w:i/>
          <w:iCs/>
          <w:sz w:val="24"/>
          <w:szCs w:val="24"/>
        </w:rPr>
        <w:t>Graviditet</w:t>
      </w:r>
    </w:p>
    <w:p w14:paraId="51F07D9F" w14:textId="77777777" w:rsidR="00480915" w:rsidRPr="00480915" w:rsidRDefault="00480915" w:rsidP="00A96B6C">
      <w:pPr>
        <w:ind w:left="851"/>
        <w:rPr>
          <w:sz w:val="24"/>
          <w:szCs w:val="24"/>
        </w:rPr>
      </w:pPr>
      <w:r w:rsidRPr="00480915">
        <w:rPr>
          <w:sz w:val="24"/>
          <w:szCs w:val="24"/>
        </w:rPr>
        <w:t xml:space="preserve">Der er meget begrænsede data fra anvendelse af </w:t>
      </w:r>
      <w:proofErr w:type="spellStart"/>
      <w:r w:rsidRPr="00480915">
        <w:rPr>
          <w:sz w:val="24"/>
          <w:szCs w:val="24"/>
        </w:rPr>
        <w:t>tapentadol</w:t>
      </w:r>
      <w:proofErr w:type="spellEnd"/>
      <w:r w:rsidRPr="00480915">
        <w:rPr>
          <w:sz w:val="24"/>
          <w:szCs w:val="24"/>
        </w:rPr>
        <w:t xml:space="preserve"> til gravide kvinder.</w:t>
      </w:r>
    </w:p>
    <w:p w14:paraId="1210194D" w14:textId="77777777" w:rsidR="00480915" w:rsidRPr="00480915" w:rsidRDefault="00480915" w:rsidP="00A96B6C">
      <w:pPr>
        <w:ind w:left="851"/>
        <w:rPr>
          <w:sz w:val="24"/>
          <w:szCs w:val="24"/>
        </w:rPr>
      </w:pPr>
      <w:r w:rsidRPr="00480915">
        <w:rPr>
          <w:sz w:val="24"/>
          <w:szCs w:val="24"/>
        </w:rPr>
        <w:t xml:space="preserve">Dyrestudier har ikke vist </w:t>
      </w:r>
      <w:proofErr w:type="spellStart"/>
      <w:r w:rsidRPr="00480915">
        <w:rPr>
          <w:sz w:val="24"/>
          <w:szCs w:val="24"/>
        </w:rPr>
        <w:t>teratogene</w:t>
      </w:r>
      <w:proofErr w:type="spellEnd"/>
      <w:r w:rsidRPr="00480915">
        <w:rPr>
          <w:sz w:val="24"/>
          <w:szCs w:val="24"/>
        </w:rPr>
        <w:t xml:space="preserve"> virkninger. Der forekom dog sen udvikling og embryotoksicitet i doser der resulterede i overeksponering (påvirkning af centralnervesystemet relateret til µ-opioider ved doser, der oversteg det terapeutiske interval). Virkning på den </w:t>
      </w:r>
      <w:proofErr w:type="spellStart"/>
      <w:r w:rsidRPr="00480915">
        <w:rPr>
          <w:sz w:val="24"/>
          <w:szCs w:val="24"/>
        </w:rPr>
        <w:t>postnatale</w:t>
      </w:r>
      <w:proofErr w:type="spellEnd"/>
      <w:r w:rsidRPr="00480915">
        <w:rPr>
          <w:sz w:val="24"/>
          <w:szCs w:val="24"/>
        </w:rPr>
        <w:t xml:space="preserve"> udvikling var tidligere set i moderens NOAEL (No </w:t>
      </w:r>
      <w:proofErr w:type="spellStart"/>
      <w:r w:rsidRPr="00480915">
        <w:rPr>
          <w:sz w:val="24"/>
          <w:szCs w:val="24"/>
        </w:rPr>
        <w:t>Observable</w:t>
      </w:r>
      <w:proofErr w:type="spellEnd"/>
      <w:r w:rsidRPr="00480915">
        <w:rPr>
          <w:sz w:val="24"/>
          <w:szCs w:val="24"/>
        </w:rPr>
        <w:t xml:space="preserve"> </w:t>
      </w:r>
      <w:proofErr w:type="spellStart"/>
      <w:r w:rsidRPr="00480915">
        <w:rPr>
          <w:sz w:val="24"/>
          <w:szCs w:val="24"/>
        </w:rPr>
        <w:t>Adverse</w:t>
      </w:r>
      <w:proofErr w:type="spellEnd"/>
      <w:r w:rsidRPr="00480915">
        <w:rPr>
          <w:sz w:val="24"/>
          <w:szCs w:val="24"/>
        </w:rPr>
        <w:t xml:space="preserve"> </w:t>
      </w:r>
      <w:proofErr w:type="spellStart"/>
      <w:r w:rsidRPr="00480915">
        <w:rPr>
          <w:sz w:val="24"/>
          <w:szCs w:val="24"/>
        </w:rPr>
        <w:t>Effect</w:t>
      </w:r>
      <w:proofErr w:type="spellEnd"/>
      <w:r w:rsidRPr="00480915">
        <w:rPr>
          <w:sz w:val="24"/>
          <w:szCs w:val="24"/>
        </w:rPr>
        <w:t xml:space="preserve"> Level) (se pkt. 5.3).</w:t>
      </w:r>
    </w:p>
    <w:p w14:paraId="0EA75EF7" w14:textId="71FDC9C6"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bør kun anvendes under graviditet, hvis den potentielle risiko for fostret opvejes af de potentielle fordele. Ved langvarig brug af opioider under graviditet vil fosteret også blive eksponeret. Dette kan føre til, at det nyfødte barn udvikler neonatalt abstinenssyndrom (NAS). Neonatalt abstinenssyndrom kan være livstruende, hvis det ikke opdages og behandles. En antidot til det nyfødte barn skal være let tilgængelig.</w:t>
      </w:r>
    </w:p>
    <w:p w14:paraId="45F2E1DA" w14:textId="77777777" w:rsidR="00480915" w:rsidRPr="00480915" w:rsidRDefault="00480915" w:rsidP="00A96B6C">
      <w:pPr>
        <w:ind w:left="851"/>
        <w:rPr>
          <w:iCs/>
          <w:sz w:val="24"/>
          <w:szCs w:val="24"/>
        </w:rPr>
      </w:pPr>
    </w:p>
    <w:p w14:paraId="11CF43E9" w14:textId="77777777" w:rsidR="00480915" w:rsidRPr="00480915" w:rsidRDefault="00480915" w:rsidP="00A96B6C">
      <w:pPr>
        <w:ind w:left="851"/>
        <w:rPr>
          <w:i/>
          <w:iCs/>
          <w:sz w:val="24"/>
          <w:szCs w:val="24"/>
        </w:rPr>
      </w:pPr>
      <w:r w:rsidRPr="00480915">
        <w:rPr>
          <w:i/>
          <w:iCs/>
          <w:sz w:val="24"/>
          <w:szCs w:val="24"/>
        </w:rPr>
        <w:t>Fødselsveer og fødsel</w:t>
      </w:r>
    </w:p>
    <w:p w14:paraId="576D01B5" w14:textId="232CBDD3" w:rsidR="00480915" w:rsidRPr="00480915" w:rsidRDefault="00480915" w:rsidP="00A96B6C">
      <w:pPr>
        <w:ind w:left="851"/>
        <w:rPr>
          <w:sz w:val="24"/>
          <w:szCs w:val="24"/>
        </w:rPr>
      </w:pPr>
      <w:proofErr w:type="spellStart"/>
      <w:r w:rsidRPr="00480915">
        <w:rPr>
          <w:sz w:val="24"/>
          <w:szCs w:val="24"/>
        </w:rPr>
        <w:t>Tapentadols</w:t>
      </w:r>
      <w:proofErr w:type="spellEnd"/>
      <w:r w:rsidRPr="00480915">
        <w:rPr>
          <w:sz w:val="24"/>
          <w:szCs w:val="24"/>
        </w:rPr>
        <w:t xml:space="preserve"> påvirkning af veer og fødsel hos mennesker kendes ikke.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bør ikke anvendes til kvinder med fødselsveer og umiddelbart før en fødsel. På grund af </w:t>
      </w:r>
      <w:proofErr w:type="spellStart"/>
      <w:r w:rsidRPr="00480915">
        <w:rPr>
          <w:sz w:val="24"/>
          <w:szCs w:val="24"/>
        </w:rPr>
        <w:t>tapentadols</w:t>
      </w:r>
      <w:proofErr w:type="spellEnd"/>
      <w:r w:rsidRPr="00480915">
        <w:rPr>
          <w:sz w:val="24"/>
          <w:szCs w:val="24"/>
        </w:rPr>
        <w:t xml:space="preserve"> µ-</w:t>
      </w:r>
      <w:proofErr w:type="spellStart"/>
      <w:r w:rsidRPr="00480915">
        <w:rPr>
          <w:sz w:val="24"/>
          <w:szCs w:val="24"/>
        </w:rPr>
        <w:t>opioidagonistiske</w:t>
      </w:r>
      <w:proofErr w:type="spellEnd"/>
      <w:r w:rsidRPr="00480915">
        <w:rPr>
          <w:sz w:val="24"/>
          <w:szCs w:val="24"/>
        </w:rPr>
        <w:t xml:space="preserve"> virkning skal nyfødte børn af mødre, som er blevet behandlet med </w:t>
      </w:r>
      <w:proofErr w:type="spellStart"/>
      <w:r w:rsidRPr="00480915">
        <w:rPr>
          <w:sz w:val="24"/>
          <w:szCs w:val="24"/>
        </w:rPr>
        <w:t>tapentadol</w:t>
      </w:r>
      <w:proofErr w:type="spellEnd"/>
      <w:r w:rsidRPr="00480915">
        <w:rPr>
          <w:sz w:val="24"/>
          <w:szCs w:val="24"/>
        </w:rPr>
        <w:t>, monitoreres for respirationsdepression.</w:t>
      </w:r>
    </w:p>
    <w:p w14:paraId="0BE76236" w14:textId="77777777" w:rsidR="00480915" w:rsidRPr="00480915" w:rsidRDefault="00480915" w:rsidP="00A96B6C">
      <w:pPr>
        <w:ind w:left="851"/>
        <w:rPr>
          <w:i/>
          <w:iCs/>
          <w:sz w:val="24"/>
          <w:szCs w:val="24"/>
        </w:rPr>
      </w:pPr>
    </w:p>
    <w:p w14:paraId="46AF62D8" w14:textId="77777777" w:rsidR="00480915" w:rsidRPr="00480915" w:rsidRDefault="00480915" w:rsidP="00A96B6C">
      <w:pPr>
        <w:ind w:left="851"/>
        <w:rPr>
          <w:i/>
          <w:iCs/>
          <w:sz w:val="24"/>
          <w:szCs w:val="24"/>
        </w:rPr>
      </w:pPr>
      <w:r w:rsidRPr="00480915">
        <w:rPr>
          <w:i/>
          <w:iCs/>
          <w:sz w:val="24"/>
          <w:szCs w:val="24"/>
        </w:rPr>
        <w:t>Amning</w:t>
      </w:r>
    </w:p>
    <w:p w14:paraId="516FDF45" w14:textId="3B59609D" w:rsidR="00480915" w:rsidRPr="00480915" w:rsidRDefault="00480915" w:rsidP="00A96B6C">
      <w:pPr>
        <w:ind w:left="851"/>
        <w:rPr>
          <w:sz w:val="24"/>
          <w:szCs w:val="24"/>
        </w:rPr>
      </w:pPr>
      <w:r w:rsidRPr="00480915">
        <w:rPr>
          <w:sz w:val="24"/>
          <w:szCs w:val="24"/>
        </w:rPr>
        <w:t xml:space="preserve">Det er ukendt, om </w:t>
      </w:r>
      <w:proofErr w:type="spellStart"/>
      <w:r w:rsidRPr="00480915">
        <w:rPr>
          <w:sz w:val="24"/>
          <w:szCs w:val="24"/>
        </w:rPr>
        <w:t>tapentadol</w:t>
      </w:r>
      <w:proofErr w:type="spellEnd"/>
      <w:r w:rsidRPr="00480915">
        <w:rPr>
          <w:sz w:val="24"/>
          <w:szCs w:val="24"/>
        </w:rPr>
        <w:t xml:space="preserve"> udskilles i human mælk. I et studie med rotteunger, som diede hos moderdyr behandlet med </w:t>
      </w:r>
      <w:proofErr w:type="spellStart"/>
      <w:r w:rsidRPr="00480915">
        <w:rPr>
          <w:sz w:val="24"/>
          <w:szCs w:val="24"/>
        </w:rPr>
        <w:t>tapentadol</w:t>
      </w:r>
      <w:proofErr w:type="spellEnd"/>
      <w:r w:rsidRPr="00480915">
        <w:rPr>
          <w:sz w:val="24"/>
          <w:szCs w:val="24"/>
        </w:rPr>
        <w:t xml:space="preserve">, blev det konkluderet, at </w:t>
      </w:r>
      <w:proofErr w:type="spellStart"/>
      <w:r w:rsidRPr="00480915">
        <w:rPr>
          <w:sz w:val="24"/>
          <w:szCs w:val="24"/>
        </w:rPr>
        <w:t>tapentadol</w:t>
      </w:r>
      <w:proofErr w:type="spellEnd"/>
      <w:r w:rsidRPr="00480915">
        <w:rPr>
          <w:sz w:val="24"/>
          <w:szCs w:val="24"/>
        </w:rPr>
        <w:t xml:space="preserve"> udskilles i mælken (se pkt. 5.3). Det kan derfor ikke udelukkes, at der foreligger en risiko for det ammede barn.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må ikke anvendes under amning.</w:t>
      </w:r>
    </w:p>
    <w:p w14:paraId="4BD53BFF" w14:textId="7B2A40AF" w:rsidR="0024457E" w:rsidRPr="00301E7F" w:rsidRDefault="0024457E">
      <w:pPr>
        <w:rPr>
          <w:sz w:val="24"/>
          <w:szCs w:val="24"/>
        </w:rPr>
      </w:pPr>
      <w:r w:rsidRPr="00301E7F">
        <w:rPr>
          <w:sz w:val="24"/>
          <w:szCs w:val="24"/>
        </w:rPr>
        <w:br w:type="page"/>
      </w:r>
    </w:p>
    <w:p w14:paraId="1F00865E" w14:textId="77777777" w:rsidR="00480915" w:rsidRPr="00480915" w:rsidRDefault="00480915" w:rsidP="00A96B6C">
      <w:pPr>
        <w:ind w:left="851"/>
        <w:rPr>
          <w:sz w:val="24"/>
          <w:szCs w:val="24"/>
        </w:rPr>
      </w:pPr>
    </w:p>
    <w:p w14:paraId="4E6B8EFC" w14:textId="77777777" w:rsidR="00480915" w:rsidRPr="00480915" w:rsidRDefault="00480915" w:rsidP="00A96B6C">
      <w:pPr>
        <w:ind w:left="851"/>
        <w:rPr>
          <w:i/>
          <w:iCs/>
          <w:sz w:val="24"/>
          <w:szCs w:val="24"/>
        </w:rPr>
      </w:pPr>
      <w:r w:rsidRPr="00480915">
        <w:rPr>
          <w:i/>
          <w:iCs/>
          <w:sz w:val="24"/>
          <w:szCs w:val="24"/>
        </w:rPr>
        <w:t>Fertilitet</w:t>
      </w:r>
    </w:p>
    <w:p w14:paraId="0F59423A" w14:textId="23CD72A0" w:rsidR="00480915" w:rsidRPr="00480915" w:rsidRDefault="00480915" w:rsidP="00A96B6C">
      <w:pPr>
        <w:ind w:left="851"/>
        <w:rPr>
          <w:sz w:val="24"/>
          <w:szCs w:val="24"/>
        </w:rPr>
      </w:pPr>
      <w:r w:rsidRPr="00480915">
        <w:rPr>
          <w:sz w:val="24"/>
          <w:szCs w:val="24"/>
        </w:rPr>
        <w:t xml:space="preserve">Der foreligger ingen tilgængelige humane data for </w:t>
      </w:r>
      <w:proofErr w:type="spellStart"/>
      <w:r w:rsidRPr="00480915">
        <w:rPr>
          <w:sz w:val="24"/>
          <w:szCs w:val="24"/>
        </w:rPr>
        <w:t>Tapentadol</w:t>
      </w:r>
      <w:proofErr w:type="spellEnd"/>
      <w:r w:rsidRPr="00480915">
        <w:rPr>
          <w:sz w:val="24"/>
          <w:szCs w:val="24"/>
        </w:rPr>
        <w:t xml:space="preserve"> påvirkning af fertiliteten. I</w:t>
      </w:r>
      <w:r w:rsidR="0024457E" w:rsidRPr="00301E7F">
        <w:rPr>
          <w:sz w:val="24"/>
          <w:szCs w:val="24"/>
        </w:rPr>
        <w:t> </w:t>
      </w:r>
      <w:r w:rsidRPr="00480915">
        <w:rPr>
          <w:sz w:val="24"/>
          <w:szCs w:val="24"/>
        </w:rPr>
        <w:t>et studie af fertilitets- og tidlig embryonal udvikling blev der ikke observeret påvirkning af reproduktive parametre hos han- eller hunrotter (se pkt. 5.3).</w:t>
      </w:r>
    </w:p>
    <w:p w14:paraId="4DAD6986" w14:textId="77777777" w:rsidR="009260DE" w:rsidRPr="00301E7F" w:rsidRDefault="009260DE" w:rsidP="009260DE">
      <w:pPr>
        <w:tabs>
          <w:tab w:val="left" w:pos="851"/>
        </w:tabs>
        <w:ind w:left="851"/>
        <w:rPr>
          <w:sz w:val="24"/>
          <w:szCs w:val="24"/>
        </w:rPr>
      </w:pPr>
    </w:p>
    <w:p w14:paraId="10B614B9" w14:textId="77777777" w:rsidR="009260DE" w:rsidRPr="00301E7F" w:rsidRDefault="009260DE" w:rsidP="009260DE">
      <w:pPr>
        <w:tabs>
          <w:tab w:val="left" w:pos="851"/>
        </w:tabs>
        <w:ind w:left="851" w:hanging="851"/>
        <w:rPr>
          <w:b/>
          <w:sz w:val="24"/>
          <w:szCs w:val="24"/>
        </w:rPr>
      </w:pPr>
      <w:r w:rsidRPr="00301E7F">
        <w:rPr>
          <w:b/>
          <w:sz w:val="24"/>
          <w:szCs w:val="24"/>
        </w:rPr>
        <w:t>4.7</w:t>
      </w:r>
      <w:r w:rsidRPr="00301E7F">
        <w:rPr>
          <w:b/>
          <w:sz w:val="24"/>
          <w:szCs w:val="24"/>
        </w:rPr>
        <w:tab/>
        <w:t xml:space="preserve">Virkning på evnen til at føre motorkøretøj </w:t>
      </w:r>
      <w:r w:rsidR="0071241E" w:rsidRPr="00301E7F">
        <w:rPr>
          <w:b/>
          <w:sz w:val="24"/>
          <w:szCs w:val="24"/>
        </w:rPr>
        <w:t>og</w:t>
      </w:r>
      <w:r w:rsidRPr="00301E7F">
        <w:rPr>
          <w:b/>
          <w:sz w:val="24"/>
          <w:szCs w:val="24"/>
        </w:rPr>
        <w:t xml:space="preserve"> betjene maskiner</w:t>
      </w:r>
    </w:p>
    <w:p w14:paraId="2FC0E387" w14:textId="77777777" w:rsidR="00480915" w:rsidRPr="00480915" w:rsidRDefault="00480915" w:rsidP="00A96B6C">
      <w:pPr>
        <w:ind w:left="851"/>
        <w:rPr>
          <w:bCs/>
          <w:sz w:val="24"/>
          <w:szCs w:val="24"/>
        </w:rPr>
      </w:pPr>
      <w:r w:rsidRPr="00480915">
        <w:rPr>
          <w:bCs/>
          <w:sz w:val="24"/>
          <w:szCs w:val="24"/>
        </w:rPr>
        <w:t>Mærkning.</w:t>
      </w:r>
    </w:p>
    <w:p w14:paraId="15E58C1C" w14:textId="0F5629B8"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kan påvirke evnen til at føre motorkøretøj og betjene maskiner i væsentlig grad, eftersom det nedsætter funktionen af centralnervesystemet (se pkt. 4.8). Dette gælder især i begyndelsen af behandlingen, når det foretages dosisændring samt i forbindelse med brug af alkohol eller beroligende midler (se pkt. 4.4). Patienterne skal informeres om risikoen ved at føre motorkøretøj og betjene maskiner.</w:t>
      </w:r>
    </w:p>
    <w:p w14:paraId="6ED4AF8C" w14:textId="77777777" w:rsidR="009260DE" w:rsidRPr="00301E7F" w:rsidRDefault="009260DE" w:rsidP="009260DE">
      <w:pPr>
        <w:tabs>
          <w:tab w:val="left" w:pos="851"/>
        </w:tabs>
        <w:ind w:left="851"/>
        <w:rPr>
          <w:sz w:val="24"/>
          <w:szCs w:val="24"/>
        </w:rPr>
      </w:pPr>
    </w:p>
    <w:p w14:paraId="705F8870" w14:textId="77777777" w:rsidR="009260DE" w:rsidRPr="00301E7F" w:rsidRDefault="009260DE" w:rsidP="009260DE">
      <w:pPr>
        <w:tabs>
          <w:tab w:val="left" w:pos="851"/>
        </w:tabs>
        <w:ind w:left="851" w:hanging="851"/>
        <w:rPr>
          <w:b/>
          <w:sz w:val="24"/>
          <w:szCs w:val="24"/>
        </w:rPr>
      </w:pPr>
      <w:r w:rsidRPr="00301E7F">
        <w:rPr>
          <w:b/>
          <w:sz w:val="24"/>
          <w:szCs w:val="24"/>
        </w:rPr>
        <w:t>4.8</w:t>
      </w:r>
      <w:r w:rsidRPr="00301E7F">
        <w:rPr>
          <w:b/>
          <w:sz w:val="24"/>
          <w:szCs w:val="24"/>
        </w:rPr>
        <w:tab/>
        <w:t>Bivirkninger</w:t>
      </w:r>
    </w:p>
    <w:p w14:paraId="78F151EE" w14:textId="77777777" w:rsidR="00480915" w:rsidRPr="00480915" w:rsidRDefault="00480915" w:rsidP="00A96B6C">
      <w:pPr>
        <w:ind w:left="851"/>
        <w:rPr>
          <w:sz w:val="24"/>
          <w:szCs w:val="24"/>
        </w:rPr>
      </w:pPr>
      <w:r w:rsidRPr="00480915">
        <w:rPr>
          <w:sz w:val="24"/>
          <w:szCs w:val="24"/>
        </w:rPr>
        <w:t xml:space="preserve">De bivirkninger, der forekom hos patienter i placebokontrollerede studier med </w:t>
      </w:r>
      <w:proofErr w:type="spellStart"/>
      <w:r w:rsidRPr="00480915">
        <w:rPr>
          <w:sz w:val="24"/>
          <w:szCs w:val="24"/>
        </w:rPr>
        <w:t>tapentadol</w:t>
      </w:r>
      <w:proofErr w:type="spellEnd"/>
      <w:r w:rsidRPr="00480915">
        <w:rPr>
          <w:sz w:val="24"/>
          <w:szCs w:val="24"/>
        </w:rPr>
        <w:t>, var overvejende milde eller moderate. Bivirkninger forekom hyppigst i mave-tarm-kanalen og centralnervesystemet (kvalme, svimmelhed, forstoppelse, hovedpine og døsighed).</w:t>
      </w:r>
    </w:p>
    <w:p w14:paraId="5CE1175D" w14:textId="77777777" w:rsidR="00480915" w:rsidRPr="00480915" w:rsidRDefault="00480915" w:rsidP="00A96B6C">
      <w:pPr>
        <w:ind w:left="851"/>
        <w:rPr>
          <w:sz w:val="24"/>
          <w:szCs w:val="24"/>
        </w:rPr>
      </w:pPr>
    </w:p>
    <w:p w14:paraId="424A2706" w14:textId="6AA0228F" w:rsidR="00480915" w:rsidRPr="00480915" w:rsidRDefault="00480915" w:rsidP="00A96B6C">
      <w:pPr>
        <w:ind w:left="851"/>
        <w:rPr>
          <w:sz w:val="24"/>
          <w:szCs w:val="24"/>
        </w:rPr>
      </w:pPr>
      <w:r w:rsidRPr="00480915">
        <w:rPr>
          <w:sz w:val="24"/>
          <w:szCs w:val="24"/>
        </w:rPr>
        <w:t xml:space="preserve">I tabellen nedenfor angives bivirkninger, der er påvist i kliniske studier med </w:t>
      </w:r>
      <w:proofErr w:type="spellStart"/>
      <w:r w:rsidRPr="00480915">
        <w:rPr>
          <w:sz w:val="24"/>
          <w:szCs w:val="24"/>
        </w:rPr>
        <w:t>tapentadol</w:t>
      </w:r>
      <w:proofErr w:type="spellEnd"/>
      <w:r w:rsidRPr="00480915">
        <w:rPr>
          <w:sz w:val="24"/>
          <w:szCs w:val="24"/>
        </w:rPr>
        <w:t xml:space="preserve"> og efter markedsføring. De er opstillet efter klasse og hyppighed. Hyppighed defineres som meget almindelig (≥1/10), almindelig (≥1/100 til &lt;1/10), ikke almindelig (≥1/1.000 til &lt;</w:t>
      </w:r>
      <w:r w:rsidR="00301E7F">
        <w:rPr>
          <w:sz w:val="24"/>
          <w:szCs w:val="24"/>
        </w:rPr>
        <w:t> </w:t>
      </w:r>
      <w:r w:rsidRPr="00480915">
        <w:rPr>
          <w:sz w:val="24"/>
          <w:szCs w:val="24"/>
        </w:rPr>
        <w:t>1/100), sjælden (≥1/10.000 til &lt;1/1.000), meget sjælden (&lt;1/10.000) og ikke kendt (kan ikke estimeres ud fra forhåndenværende data.</w:t>
      </w:r>
    </w:p>
    <w:p w14:paraId="31C7DBA9" w14:textId="77777777" w:rsidR="00480915" w:rsidRPr="00480915" w:rsidRDefault="00480915" w:rsidP="00A96B6C">
      <w:pPr>
        <w:ind w:left="851"/>
        <w:rPr>
          <w:sz w:val="24"/>
          <w:szCs w:val="24"/>
        </w:rPr>
      </w:pPr>
    </w:p>
    <w:tbl>
      <w:tblPr>
        <w:tblStyle w:val="Tabel-Gitter"/>
        <w:tblW w:w="5000" w:type="pct"/>
        <w:tblLook w:val="04A0" w:firstRow="1" w:lastRow="0" w:firstColumn="1" w:lastColumn="0" w:noHBand="0" w:noVBand="1"/>
      </w:tblPr>
      <w:tblGrid>
        <w:gridCol w:w="1909"/>
        <w:gridCol w:w="1348"/>
        <w:gridCol w:w="1620"/>
        <w:gridCol w:w="2025"/>
        <w:gridCol w:w="1488"/>
        <w:gridCol w:w="1238"/>
      </w:tblGrid>
      <w:tr w:rsidR="00480915" w:rsidRPr="00480915" w14:paraId="27A6F937" w14:textId="77777777" w:rsidTr="00A96B6C">
        <w:tc>
          <w:tcPr>
            <w:tcW w:w="5000" w:type="pct"/>
            <w:gridSpan w:val="6"/>
            <w:tcBorders>
              <w:top w:val="single" w:sz="4" w:space="0" w:color="auto"/>
              <w:left w:val="single" w:sz="4" w:space="0" w:color="auto"/>
              <w:bottom w:val="single" w:sz="4" w:space="0" w:color="auto"/>
              <w:right w:val="single" w:sz="4" w:space="0" w:color="auto"/>
            </w:tcBorders>
            <w:hideMark/>
          </w:tcPr>
          <w:p w14:paraId="5B42AB00" w14:textId="77777777" w:rsidR="00480915" w:rsidRPr="00480915" w:rsidRDefault="00480915" w:rsidP="00A96B6C">
            <w:pPr>
              <w:ind w:left="70"/>
              <w:rPr>
                <w:sz w:val="20"/>
              </w:rPr>
            </w:pPr>
            <w:r w:rsidRPr="00480915">
              <w:rPr>
                <w:b/>
                <w:bCs/>
                <w:sz w:val="20"/>
              </w:rPr>
              <w:t>BIVIRKNINGER</w:t>
            </w:r>
          </w:p>
        </w:tc>
      </w:tr>
      <w:tr w:rsidR="00480915" w:rsidRPr="00480915" w14:paraId="4C8AA0D0" w14:textId="77777777" w:rsidTr="00A96B6C">
        <w:tc>
          <w:tcPr>
            <w:tcW w:w="935" w:type="pct"/>
            <w:vMerge w:val="restart"/>
            <w:tcBorders>
              <w:top w:val="single" w:sz="4" w:space="0" w:color="auto"/>
              <w:left w:val="single" w:sz="4" w:space="0" w:color="auto"/>
              <w:bottom w:val="single" w:sz="4" w:space="0" w:color="auto"/>
              <w:right w:val="single" w:sz="4" w:space="0" w:color="auto"/>
            </w:tcBorders>
            <w:hideMark/>
          </w:tcPr>
          <w:p w14:paraId="4BB38121" w14:textId="77777777" w:rsidR="00480915" w:rsidRPr="00480915" w:rsidRDefault="00480915" w:rsidP="00A96B6C">
            <w:pPr>
              <w:ind w:left="70"/>
              <w:rPr>
                <w:b/>
                <w:bCs/>
                <w:sz w:val="20"/>
              </w:rPr>
            </w:pPr>
            <w:r w:rsidRPr="00480915">
              <w:rPr>
                <w:b/>
                <w:bCs/>
                <w:sz w:val="20"/>
              </w:rPr>
              <w:t>Systemorganklasse</w:t>
            </w:r>
          </w:p>
        </w:tc>
        <w:tc>
          <w:tcPr>
            <w:tcW w:w="4065" w:type="pct"/>
            <w:gridSpan w:val="5"/>
            <w:tcBorders>
              <w:top w:val="single" w:sz="4" w:space="0" w:color="auto"/>
              <w:left w:val="single" w:sz="4" w:space="0" w:color="auto"/>
              <w:bottom w:val="single" w:sz="4" w:space="0" w:color="auto"/>
              <w:right w:val="single" w:sz="4" w:space="0" w:color="auto"/>
            </w:tcBorders>
            <w:hideMark/>
          </w:tcPr>
          <w:p w14:paraId="406DBA23" w14:textId="77777777" w:rsidR="00480915" w:rsidRPr="00480915" w:rsidRDefault="00480915" w:rsidP="00A96B6C">
            <w:pPr>
              <w:ind w:left="70"/>
              <w:rPr>
                <w:b/>
                <w:bCs/>
                <w:sz w:val="20"/>
              </w:rPr>
            </w:pPr>
            <w:r w:rsidRPr="00480915">
              <w:rPr>
                <w:b/>
                <w:bCs/>
                <w:sz w:val="20"/>
              </w:rPr>
              <w:t>Hyppighed</w:t>
            </w:r>
          </w:p>
        </w:tc>
      </w:tr>
      <w:tr w:rsidR="00480915" w:rsidRPr="00480915" w14:paraId="599FE44A" w14:textId="77777777" w:rsidTr="00A96B6C">
        <w:tc>
          <w:tcPr>
            <w:tcW w:w="935" w:type="pct"/>
            <w:vMerge/>
            <w:tcBorders>
              <w:top w:val="single" w:sz="4" w:space="0" w:color="auto"/>
              <w:left w:val="single" w:sz="4" w:space="0" w:color="auto"/>
              <w:bottom w:val="single" w:sz="4" w:space="0" w:color="auto"/>
              <w:right w:val="single" w:sz="4" w:space="0" w:color="auto"/>
            </w:tcBorders>
            <w:vAlign w:val="center"/>
            <w:hideMark/>
          </w:tcPr>
          <w:p w14:paraId="7D482C11" w14:textId="77777777" w:rsidR="00480915" w:rsidRPr="00480915" w:rsidRDefault="00480915" w:rsidP="00A96B6C">
            <w:pPr>
              <w:ind w:left="70"/>
              <w:rPr>
                <w:b/>
                <w:bCs/>
                <w:sz w:val="20"/>
              </w:rPr>
            </w:pPr>
          </w:p>
        </w:tc>
        <w:tc>
          <w:tcPr>
            <w:tcW w:w="701" w:type="pct"/>
            <w:tcBorders>
              <w:top w:val="single" w:sz="4" w:space="0" w:color="auto"/>
              <w:left w:val="single" w:sz="4" w:space="0" w:color="auto"/>
              <w:bottom w:val="single" w:sz="4" w:space="0" w:color="auto"/>
              <w:right w:val="single" w:sz="4" w:space="0" w:color="auto"/>
            </w:tcBorders>
            <w:hideMark/>
          </w:tcPr>
          <w:p w14:paraId="54CF8694" w14:textId="77777777" w:rsidR="00480915" w:rsidRPr="00480915" w:rsidRDefault="00480915" w:rsidP="00A96B6C">
            <w:pPr>
              <w:ind w:left="70"/>
              <w:rPr>
                <w:sz w:val="20"/>
              </w:rPr>
            </w:pPr>
            <w:r w:rsidRPr="00480915">
              <w:rPr>
                <w:b/>
                <w:bCs/>
                <w:sz w:val="20"/>
              </w:rPr>
              <w:t>Meget almindelige</w:t>
            </w:r>
          </w:p>
        </w:tc>
        <w:tc>
          <w:tcPr>
            <w:tcW w:w="863" w:type="pct"/>
            <w:tcBorders>
              <w:top w:val="single" w:sz="4" w:space="0" w:color="auto"/>
              <w:left w:val="single" w:sz="4" w:space="0" w:color="auto"/>
              <w:bottom w:val="single" w:sz="4" w:space="0" w:color="auto"/>
              <w:right w:val="single" w:sz="4" w:space="0" w:color="auto"/>
            </w:tcBorders>
            <w:hideMark/>
          </w:tcPr>
          <w:p w14:paraId="386AC617" w14:textId="77777777" w:rsidR="00480915" w:rsidRPr="00480915" w:rsidRDefault="00480915" w:rsidP="00A96B6C">
            <w:pPr>
              <w:ind w:left="70"/>
              <w:rPr>
                <w:sz w:val="20"/>
              </w:rPr>
            </w:pPr>
            <w:r w:rsidRPr="00480915">
              <w:rPr>
                <w:b/>
                <w:bCs/>
                <w:sz w:val="20"/>
              </w:rPr>
              <w:t>Almindelige</w:t>
            </w:r>
          </w:p>
        </w:tc>
        <w:tc>
          <w:tcPr>
            <w:tcW w:w="1053" w:type="pct"/>
            <w:tcBorders>
              <w:top w:val="single" w:sz="4" w:space="0" w:color="auto"/>
              <w:left w:val="single" w:sz="4" w:space="0" w:color="auto"/>
              <w:bottom w:val="single" w:sz="4" w:space="0" w:color="auto"/>
              <w:right w:val="single" w:sz="4" w:space="0" w:color="auto"/>
            </w:tcBorders>
            <w:hideMark/>
          </w:tcPr>
          <w:p w14:paraId="733E3087" w14:textId="77777777" w:rsidR="00480915" w:rsidRPr="00480915" w:rsidRDefault="00480915" w:rsidP="00A96B6C">
            <w:pPr>
              <w:ind w:left="70"/>
              <w:rPr>
                <w:sz w:val="20"/>
              </w:rPr>
            </w:pPr>
            <w:r w:rsidRPr="00480915">
              <w:rPr>
                <w:b/>
                <w:bCs/>
                <w:sz w:val="20"/>
              </w:rPr>
              <w:t>Ikke almindelige</w:t>
            </w:r>
          </w:p>
        </w:tc>
        <w:tc>
          <w:tcPr>
            <w:tcW w:w="794" w:type="pct"/>
            <w:tcBorders>
              <w:top w:val="single" w:sz="4" w:space="0" w:color="auto"/>
              <w:left w:val="single" w:sz="4" w:space="0" w:color="auto"/>
              <w:bottom w:val="single" w:sz="4" w:space="0" w:color="auto"/>
              <w:right w:val="single" w:sz="4" w:space="0" w:color="auto"/>
            </w:tcBorders>
            <w:hideMark/>
          </w:tcPr>
          <w:p w14:paraId="33D89285" w14:textId="77777777" w:rsidR="00480915" w:rsidRPr="00480915" w:rsidRDefault="00480915" w:rsidP="00A96B6C">
            <w:pPr>
              <w:ind w:left="70"/>
              <w:rPr>
                <w:sz w:val="20"/>
              </w:rPr>
            </w:pPr>
            <w:r w:rsidRPr="00480915">
              <w:rPr>
                <w:b/>
                <w:bCs/>
                <w:sz w:val="20"/>
              </w:rPr>
              <w:t>Sjældne</w:t>
            </w:r>
          </w:p>
        </w:tc>
        <w:tc>
          <w:tcPr>
            <w:tcW w:w="654" w:type="pct"/>
            <w:tcBorders>
              <w:top w:val="single" w:sz="4" w:space="0" w:color="auto"/>
              <w:left w:val="single" w:sz="4" w:space="0" w:color="auto"/>
              <w:bottom w:val="single" w:sz="4" w:space="0" w:color="auto"/>
              <w:right w:val="single" w:sz="4" w:space="0" w:color="auto"/>
            </w:tcBorders>
            <w:hideMark/>
          </w:tcPr>
          <w:p w14:paraId="1679CC50" w14:textId="77777777" w:rsidR="00480915" w:rsidRPr="00480915" w:rsidRDefault="00480915" w:rsidP="00A96B6C">
            <w:pPr>
              <w:ind w:left="70"/>
              <w:rPr>
                <w:sz w:val="20"/>
              </w:rPr>
            </w:pPr>
            <w:r w:rsidRPr="00480915">
              <w:rPr>
                <w:b/>
                <w:bCs/>
                <w:sz w:val="20"/>
              </w:rPr>
              <w:t>Ukendt</w:t>
            </w:r>
          </w:p>
        </w:tc>
      </w:tr>
      <w:tr w:rsidR="00480915" w:rsidRPr="00480915" w14:paraId="5593AB59"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6605D2CE" w14:textId="77777777" w:rsidR="00480915" w:rsidRPr="00480915" w:rsidRDefault="00480915" w:rsidP="00A96B6C">
            <w:pPr>
              <w:ind w:left="70"/>
              <w:rPr>
                <w:b/>
                <w:bCs/>
                <w:sz w:val="20"/>
              </w:rPr>
            </w:pPr>
            <w:r w:rsidRPr="00480915">
              <w:rPr>
                <w:b/>
                <w:bCs/>
                <w:sz w:val="20"/>
              </w:rPr>
              <w:t>Immunsystemet</w:t>
            </w:r>
          </w:p>
        </w:tc>
        <w:tc>
          <w:tcPr>
            <w:tcW w:w="701" w:type="pct"/>
            <w:tcBorders>
              <w:top w:val="single" w:sz="4" w:space="0" w:color="auto"/>
              <w:left w:val="single" w:sz="4" w:space="0" w:color="auto"/>
              <w:bottom w:val="single" w:sz="4" w:space="0" w:color="auto"/>
              <w:right w:val="single" w:sz="4" w:space="0" w:color="auto"/>
            </w:tcBorders>
          </w:tcPr>
          <w:p w14:paraId="08752692" w14:textId="77777777" w:rsidR="00480915" w:rsidRPr="00480915" w:rsidRDefault="00480915" w:rsidP="00A96B6C">
            <w:pPr>
              <w:ind w:left="70"/>
              <w:rPr>
                <w:b/>
                <w:bCs/>
                <w:sz w:val="20"/>
              </w:rPr>
            </w:pPr>
          </w:p>
        </w:tc>
        <w:tc>
          <w:tcPr>
            <w:tcW w:w="863" w:type="pct"/>
            <w:tcBorders>
              <w:top w:val="single" w:sz="4" w:space="0" w:color="auto"/>
              <w:left w:val="single" w:sz="4" w:space="0" w:color="auto"/>
              <w:bottom w:val="single" w:sz="4" w:space="0" w:color="auto"/>
              <w:right w:val="single" w:sz="4" w:space="0" w:color="auto"/>
            </w:tcBorders>
          </w:tcPr>
          <w:p w14:paraId="11555A93" w14:textId="77777777" w:rsidR="00480915" w:rsidRPr="00480915" w:rsidRDefault="00480915" w:rsidP="00A96B6C">
            <w:pPr>
              <w:ind w:left="70"/>
              <w:rPr>
                <w:b/>
                <w:bCs/>
                <w:sz w:val="20"/>
              </w:rPr>
            </w:pPr>
          </w:p>
        </w:tc>
        <w:tc>
          <w:tcPr>
            <w:tcW w:w="1053" w:type="pct"/>
            <w:tcBorders>
              <w:top w:val="single" w:sz="4" w:space="0" w:color="auto"/>
              <w:left w:val="single" w:sz="4" w:space="0" w:color="auto"/>
              <w:bottom w:val="single" w:sz="4" w:space="0" w:color="auto"/>
              <w:right w:val="single" w:sz="4" w:space="0" w:color="auto"/>
            </w:tcBorders>
            <w:hideMark/>
          </w:tcPr>
          <w:p w14:paraId="12808156" w14:textId="77777777" w:rsidR="00480915" w:rsidRPr="00480915" w:rsidRDefault="00480915" w:rsidP="00A96B6C">
            <w:pPr>
              <w:ind w:left="70"/>
              <w:rPr>
                <w:b/>
                <w:bCs/>
                <w:sz w:val="20"/>
              </w:rPr>
            </w:pPr>
            <w:r w:rsidRPr="00480915">
              <w:rPr>
                <w:sz w:val="20"/>
              </w:rPr>
              <w:t>Overfølsomhed over for lægemidlet</w:t>
            </w:r>
            <w:r w:rsidRPr="00480915">
              <w:rPr>
                <w:sz w:val="20"/>
                <w:vertAlign w:val="superscript"/>
              </w:rPr>
              <w:t>*</w:t>
            </w:r>
          </w:p>
        </w:tc>
        <w:tc>
          <w:tcPr>
            <w:tcW w:w="794" w:type="pct"/>
            <w:tcBorders>
              <w:top w:val="single" w:sz="4" w:space="0" w:color="auto"/>
              <w:left w:val="single" w:sz="4" w:space="0" w:color="auto"/>
              <w:bottom w:val="single" w:sz="4" w:space="0" w:color="auto"/>
              <w:right w:val="single" w:sz="4" w:space="0" w:color="auto"/>
            </w:tcBorders>
          </w:tcPr>
          <w:p w14:paraId="66EE821A" w14:textId="77777777" w:rsidR="00480915" w:rsidRPr="00480915" w:rsidRDefault="00480915" w:rsidP="00A96B6C">
            <w:pPr>
              <w:ind w:left="70"/>
              <w:rPr>
                <w:b/>
                <w:bCs/>
                <w:sz w:val="20"/>
              </w:rPr>
            </w:pPr>
          </w:p>
        </w:tc>
        <w:tc>
          <w:tcPr>
            <w:tcW w:w="654" w:type="pct"/>
            <w:tcBorders>
              <w:top w:val="single" w:sz="4" w:space="0" w:color="auto"/>
              <w:left w:val="single" w:sz="4" w:space="0" w:color="auto"/>
              <w:bottom w:val="single" w:sz="4" w:space="0" w:color="auto"/>
              <w:right w:val="single" w:sz="4" w:space="0" w:color="auto"/>
            </w:tcBorders>
          </w:tcPr>
          <w:p w14:paraId="670212AF" w14:textId="77777777" w:rsidR="00480915" w:rsidRPr="00480915" w:rsidRDefault="00480915" w:rsidP="00A96B6C">
            <w:pPr>
              <w:ind w:left="70"/>
              <w:rPr>
                <w:b/>
                <w:bCs/>
                <w:sz w:val="20"/>
              </w:rPr>
            </w:pPr>
          </w:p>
        </w:tc>
      </w:tr>
      <w:tr w:rsidR="00480915" w:rsidRPr="00480915" w14:paraId="1349DAB1"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1D216521" w14:textId="77777777" w:rsidR="00480915" w:rsidRPr="00480915" w:rsidRDefault="00480915" w:rsidP="00A96B6C">
            <w:pPr>
              <w:ind w:left="70"/>
              <w:rPr>
                <w:b/>
                <w:bCs/>
                <w:sz w:val="20"/>
              </w:rPr>
            </w:pPr>
            <w:r w:rsidRPr="00480915">
              <w:rPr>
                <w:b/>
                <w:bCs/>
                <w:sz w:val="20"/>
              </w:rPr>
              <w:t>Metabolisme og ernæring</w:t>
            </w:r>
          </w:p>
        </w:tc>
        <w:tc>
          <w:tcPr>
            <w:tcW w:w="701" w:type="pct"/>
            <w:tcBorders>
              <w:top w:val="single" w:sz="4" w:space="0" w:color="auto"/>
              <w:left w:val="single" w:sz="4" w:space="0" w:color="auto"/>
              <w:bottom w:val="single" w:sz="4" w:space="0" w:color="auto"/>
              <w:right w:val="single" w:sz="4" w:space="0" w:color="auto"/>
            </w:tcBorders>
          </w:tcPr>
          <w:p w14:paraId="253156C4" w14:textId="77777777" w:rsidR="00480915" w:rsidRPr="00480915" w:rsidRDefault="00480915" w:rsidP="00A96B6C">
            <w:pPr>
              <w:ind w:left="70"/>
              <w:rPr>
                <w:b/>
                <w:bCs/>
                <w:sz w:val="20"/>
              </w:rPr>
            </w:pPr>
          </w:p>
        </w:tc>
        <w:tc>
          <w:tcPr>
            <w:tcW w:w="863" w:type="pct"/>
            <w:tcBorders>
              <w:top w:val="single" w:sz="4" w:space="0" w:color="auto"/>
              <w:left w:val="single" w:sz="4" w:space="0" w:color="auto"/>
              <w:bottom w:val="single" w:sz="4" w:space="0" w:color="auto"/>
              <w:right w:val="single" w:sz="4" w:space="0" w:color="auto"/>
            </w:tcBorders>
            <w:hideMark/>
          </w:tcPr>
          <w:p w14:paraId="70DA6462" w14:textId="77777777" w:rsidR="00480915" w:rsidRPr="00480915" w:rsidRDefault="00480915" w:rsidP="00A96B6C">
            <w:pPr>
              <w:ind w:left="70"/>
              <w:rPr>
                <w:b/>
                <w:bCs/>
                <w:sz w:val="20"/>
              </w:rPr>
            </w:pPr>
            <w:r w:rsidRPr="00480915">
              <w:rPr>
                <w:sz w:val="20"/>
              </w:rPr>
              <w:t>Nedsat appetit</w:t>
            </w:r>
          </w:p>
        </w:tc>
        <w:tc>
          <w:tcPr>
            <w:tcW w:w="1053" w:type="pct"/>
            <w:tcBorders>
              <w:top w:val="single" w:sz="4" w:space="0" w:color="auto"/>
              <w:left w:val="single" w:sz="4" w:space="0" w:color="auto"/>
              <w:bottom w:val="single" w:sz="4" w:space="0" w:color="auto"/>
              <w:right w:val="single" w:sz="4" w:space="0" w:color="auto"/>
            </w:tcBorders>
            <w:hideMark/>
          </w:tcPr>
          <w:p w14:paraId="0549F2E0" w14:textId="77777777" w:rsidR="00480915" w:rsidRPr="00480915" w:rsidRDefault="00480915" w:rsidP="00A96B6C">
            <w:pPr>
              <w:ind w:left="70"/>
              <w:rPr>
                <w:b/>
                <w:bCs/>
                <w:sz w:val="20"/>
              </w:rPr>
            </w:pPr>
            <w:r w:rsidRPr="00480915">
              <w:rPr>
                <w:sz w:val="20"/>
              </w:rPr>
              <w:t>Vægttab</w:t>
            </w:r>
          </w:p>
        </w:tc>
        <w:tc>
          <w:tcPr>
            <w:tcW w:w="794" w:type="pct"/>
            <w:tcBorders>
              <w:top w:val="single" w:sz="4" w:space="0" w:color="auto"/>
              <w:left w:val="single" w:sz="4" w:space="0" w:color="auto"/>
              <w:bottom w:val="single" w:sz="4" w:space="0" w:color="auto"/>
              <w:right w:val="single" w:sz="4" w:space="0" w:color="auto"/>
            </w:tcBorders>
          </w:tcPr>
          <w:p w14:paraId="00F724D1" w14:textId="77777777" w:rsidR="00480915" w:rsidRPr="00480915" w:rsidRDefault="00480915" w:rsidP="00A96B6C">
            <w:pPr>
              <w:ind w:left="70"/>
              <w:rPr>
                <w:b/>
                <w:bCs/>
                <w:sz w:val="20"/>
              </w:rPr>
            </w:pPr>
          </w:p>
        </w:tc>
        <w:tc>
          <w:tcPr>
            <w:tcW w:w="654" w:type="pct"/>
            <w:tcBorders>
              <w:top w:val="single" w:sz="4" w:space="0" w:color="auto"/>
              <w:left w:val="single" w:sz="4" w:space="0" w:color="auto"/>
              <w:bottom w:val="single" w:sz="4" w:space="0" w:color="auto"/>
              <w:right w:val="single" w:sz="4" w:space="0" w:color="auto"/>
            </w:tcBorders>
          </w:tcPr>
          <w:p w14:paraId="244C0433" w14:textId="77777777" w:rsidR="00480915" w:rsidRPr="00480915" w:rsidRDefault="00480915" w:rsidP="00A96B6C">
            <w:pPr>
              <w:ind w:left="70"/>
              <w:rPr>
                <w:b/>
                <w:bCs/>
                <w:sz w:val="20"/>
              </w:rPr>
            </w:pPr>
          </w:p>
        </w:tc>
      </w:tr>
      <w:tr w:rsidR="00480915" w:rsidRPr="00480915" w14:paraId="23654510"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13578631" w14:textId="77777777" w:rsidR="00480915" w:rsidRPr="00480915" w:rsidRDefault="00480915" w:rsidP="00A96B6C">
            <w:pPr>
              <w:ind w:left="70"/>
              <w:rPr>
                <w:b/>
                <w:bCs/>
                <w:sz w:val="20"/>
              </w:rPr>
            </w:pPr>
            <w:r w:rsidRPr="00480915">
              <w:rPr>
                <w:b/>
                <w:bCs/>
                <w:sz w:val="20"/>
              </w:rPr>
              <w:t>Psykiske forstyrrelser</w:t>
            </w:r>
          </w:p>
        </w:tc>
        <w:tc>
          <w:tcPr>
            <w:tcW w:w="701" w:type="pct"/>
            <w:tcBorders>
              <w:top w:val="single" w:sz="4" w:space="0" w:color="auto"/>
              <w:left w:val="single" w:sz="4" w:space="0" w:color="auto"/>
              <w:bottom w:val="single" w:sz="4" w:space="0" w:color="auto"/>
              <w:right w:val="single" w:sz="4" w:space="0" w:color="auto"/>
            </w:tcBorders>
          </w:tcPr>
          <w:p w14:paraId="1FC3C561" w14:textId="77777777" w:rsidR="00480915" w:rsidRPr="00480915" w:rsidRDefault="00480915" w:rsidP="00A96B6C">
            <w:pPr>
              <w:ind w:left="70"/>
              <w:rPr>
                <w:b/>
                <w:bCs/>
                <w:sz w:val="20"/>
              </w:rPr>
            </w:pPr>
          </w:p>
        </w:tc>
        <w:tc>
          <w:tcPr>
            <w:tcW w:w="863" w:type="pct"/>
            <w:tcBorders>
              <w:top w:val="single" w:sz="4" w:space="0" w:color="auto"/>
              <w:left w:val="single" w:sz="4" w:space="0" w:color="auto"/>
              <w:bottom w:val="single" w:sz="4" w:space="0" w:color="auto"/>
              <w:right w:val="single" w:sz="4" w:space="0" w:color="auto"/>
            </w:tcBorders>
            <w:hideMark/>
          </w:tcPr>
          <w:p w14:paraId="3477E594" w14:textId="77777777" w:rsidR="00480915" w:rsidRPr="00480915" w:rsidRDefault="00480915" w:rsidP="00A96B6C">
            <w:pPr>
              <w:ind w:left="70"/>
              <w:rPr>
                <w:b/>
                <w:bCs/>
                <w:sz w:val="20"/>
              </w:rPr>
            </w:pPr>
            <w:r w:rsidRPr="00480915">
              <w:rPr>
                <w:sz w:val="20"/>
              </w:rPr>
              <w:t>Angst, depression, søvn-forstyrrelser, nervøsitet, rastløshed</w:t>
            </w:r>
          </w:p>
        </w:tc>
        <w:tc>
          <w:tcPr>
            <w:tcW w:w="1053" w:type="pct"/>
            <w:tcBorders>
              <w:top w:val="single" w:sz="4" w:space="0" w:color="auto"/>
              <w:left w:val="single" w:sz="4" w:space="0" w:color="auto"/>
              <w:bottom w:val="single" w:sz="4" w:space="0" w:color="auto"/>
              <w:right w:val="single" w:sz="4" w:space="0" w:color="auto"/>
            </w:tcBorders>
            <w:hideMark/>
          </w:tcPr>
          <w:p w14:paraId="76AF3DF6" w14:textId="77777777" w:rsidR="00480915" w:rsidRPr="00480915" w:rsidRDefault="00480915" w:rsidP="00A96B6C">
            <w:pPr>
              <w:ind w:left="70"/>
              <w:rPr>
                <w:b/>
                <w:bCs/>
                <w:sz w:val="20"/>
              </w:rPr>
            </w:pPr>
            <w:r w:rsidRPr="00480915">
              <w:rPr>
                <w:sz w:val="20"/>
              </w:rPr>
              <w:t>Desorientering, konfusion, agitation, nedsat opfattelsesevne, unormalt drømmemønster, eufori</w:t>
            </w:r>
          </w:p>
        </w:tc>
        <w:tc>
          <w:tcPr>
            <w:tcW w:w="794" w:type="pct"/>
            <w:tcBorders>
              <w:top w:val="single" w:sz="4" w:space="0" w:color="auto"/>
              <w:left w:val="single" w:sz="4" w:space="0" w:color="auto"/>
              <w:bottom w:val="single" w:sz="4" w:space="0" w:color="auto"/>
              <w:right w:val="single" w:sz="4" w:space="0" w:color="auto"/>
            </w:tcBorders>
            <w:hideMark/>
          </w:tcPr>
          <w:p w14:paraId="3BE8EABC" w14:textId="24C589B5" w:rsidR="00480915" w:rsidRPr="00480915" w:rsidRDefault="00480915" w:rsidP="00A96B6C">
            <w:pPr>
              <w:ind w:left="70"/>
              <w:rPr>
                <w:b/>
                <w:bCs/>
                <w:sz w:val="20"/>
              </w:rPr>
            </w:pPr>
            <w:proofErr w:type="spellStart"/>
            <w:r w:rsidRPr="00480915">
              <w:rPr>
                <w:sz w:val="20"/>
              </w:rPr>
              <w:t>Lægemidde</w:t>
            </w:r>
            <w:proofErr w:type="spellEnd"/>
            <w:r w:rsidRPr="00480915">
              <w:rPr>
                <w:sz w:val="20"/>
              </w:rPr>
              <w:t>-afhængighe</w:t>
            </w:r>
            <w:r w:rsidR="0024457E" w:rsidRPr="00301E7F">
              <w:rPr>
                <w:sz w:val="20"/>
              </w:rPr>
              <w:t>d</w:t>
            </w:r>
            <w:r w:rsidRPr="00480915">
              <w:rPr>
                <w:sz w:val="20"/>
              </w:rPr>
              <w:t>, tanke-forstyrrelser</w:t>
            </w:r>
          </w:p>
        </w:tc>
        <w:tc>
          <w:tcPr>
            <w:tcW w:w="654" w:type="pct"/>
            <w:tcBorders>
              <w:top w:val="single" w:sz="4" w:space="0" w:color="auto"/>
              <w:left w:val="single" w:sz="4" w:space="0" w:color="auto"/>
              <w:bottom w:val="single" w:sz="4" w:space="0" w:color="auto"/>
              <w:right w:val="single" w:sz="4" w:space="0" w:color="auto"/>
            </w:tcBorders>
            <w:hideMark/>
          </w:tcPr>
          <w:p w14:paraId="718200CA" w14:textId="77777777" w:rsidR="00480915" w:rsidRPr="00480915" w:rsidRDefault="00480915" w:rsidP="00A96B6C">
            <w:pPr>
              <w:ind w:left="70"/>
              <w:rPr>
                <w:b/>
                <w:bCs/>
                <w:sz w:val="20"/>
              </w:rPr>
            </w:pPr>
            <w:r w:rsidRPr="00480915">
              <w:rPr>
                <w:sz w:val="20"/>
              </w:rPr>
              <w:t>Delirium</w:t>
            </w:r>
            <w:r w:rsidRPr="00480915">
              <w:rPr>
                <w:sz w:val="20"/>
                <w:vertAlign w:val="superscript"/>
              </w:rPr>
              <w:t>**</w:t>
            </w:r>
          </w:p>
        </w:tc>
      </w:tr>
      <w:tr w:rsidR="00480915" w:rsidRPr="00480915" w14:paraId="2F18F4C5"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7F173E11" w14:textId="77777777" w:rsidR="00480915" w:rsidRPr="00480915" w:rsidRDefault="00480915" w:rsidP="00A96B6C">
            <w:pPr>
              <w:ind w:left="70"/>
              <w:rPr>
                <w:b/>
                <w:bCs/>
                <w:sz w:val="20"/>
              </w:rPr>
            </w:pPr>
            <w:r w:rsidRPr="00480915">
              <w:rPr>
                <w:b/>
                <w:bCs/>
                <w:sz w:val="20"/>
              </w:rPr>
              <w:t>Nervesystemet</w:t>
            </w:r>
          </w:p>
        </w:tc>
        <w:tc>
          <w:tcPr>
            <w:tcW w:w="701" w:type="pct"/>
            <w:tcBorders>
              <w:top w:val="single" w:sz="4" w:space="0" w:color="auto"/>
              <w:left w:val="single" w:sz="4" w:space="0" w:color="auto"/>
              <w:bottom w:val="single" w:sz="4" w:space="0" w:color="auto"/>
              <w:right w:val="single" w:sz="4" w:space="0" w:color="auto"/>
            </w:tcBorders>
            <w:hideMark/>
          </w:tcPr>
          <w:p w14:paraId="39B5086A" w14:textId="77777777" w:rsidR="00480915" w:rsidRPr="00480915" w:rsidRDefault="00480915" w:rsidP="00A96B6C">
            <w:pPr>
              <w:ind w:left="70"/>
              <w:rPr>
                <w:b/>
                <w:bCs/>
                <w:sz w:val="20"/>
              </w:rPr>
            </w:pPr>
            <w:r w:rsidRPr="00480915">
              <w:rPr>
                <w:sz w:val="20"/>
              </w:rPr>
              <w:t>Svimmelhed, døsighed, hovedpine</w:t>
            </w:r>
          </w:p>
        </w:tc>
        <w:tc>
          <w:tcPr>
            <w:tcW w:w="863" w:type="pct"/>
            <w:tcBorders>
              <w:top w:val="single" w:sz="4" w:space="0" w:color="auto"/>
              <w:left w:val="single" w:sz="4" w:space="0" w:color="auto"/>
              <w:bottom w:val="single" w:sz="4" w:space="0" w:color="auto"/>
              <w:right w:val="single" w:sz="4" w:space="0" w:color="auto"/>
            </w:tcBorders>
            <w:hideMark/>
          </w:tcPr>
          <w:p w14:paraId="71109642" w14:textId="77777777" w:rsidR="00480915" w:rsidRPr="00480915" w:rsidRDefault="00480915" w:rsidP="00A96B6C">
            <w:pPr>
              <w:ind w:left="70"/>
              <w:rPr>
                <w:b/>
                <w:bCs/>
                <w:sz w:val="20"/>
              </w:rPr>
            </w:pPr>
            <w:r w:rsidRPr="00480915">
              <w:rPr>
                <w:sz w:val="20"/>
              </w:rPr>
              <w:t>Opmærksom-</w:t>
            </w:r>
            <w:proofErr w:type="spellStart"/>
            <w:r w:rsidRPr="00480915">
              <w:rPr>
                <w:sz w:val="20"/>
              </w:rPr>
              <w:t>hedsforstyrrel</w:t>
            </w:r>
            <w:proofErr w:type="spellEnd"/>
            <w:r w:rsidRPr="00480915">
              <w:rPr>
                <w:sz w:val="20"/>
              </w:rPr>
              <w:t xml:space="preserve">-ser, </w:t>
            </w:r>
            <w:proofErr w:type="spellStart"/>
            <w:r w:rsidRPr="00480915">
              <w:rPr>
                <w:sz w:val="20"/>
              </w:rPr>
              <w:t>tremor</w:t>
            </w:r>
            <w:proofErr w:type="spellEnd"/>
            <w:r w:rsidRPr="00480915">
              <w:rPr>
                <w:sz w:val="20"/>
              </w:rPr>
              <w:t xml:space="preserve">, ufrivillige </w:t>
            </w:r>
            <w:proofErr w:type="spellStart"/>
            <w:r w:rsidRPr="00480915">
              <w:rPr>
                <w:sz w:val="20"/>
              </w:rPr>
              <w:t>muskelsammen</w:t>
            </w:r>
            <w:proofErr w:type="spellEnd"/>
            <w:r w:rsidRPr="00480915">
              <w:rPr>
                <w:sz w:val="20"/>
              </w:rPr>
              <w:t>-trækninger</w:t>
            </w:r>
          </w:p>
        </w:tc>
        <w:tc>
          <w:tcPr>
            <w:tcW w:w="1053" w:type="pct"/>
            <w:tcBorders>
              <w:top w:val="single" w:sz="4" w:space="0" w:color="auto"/>
              <w:left w:val="single" w:sz="4" w:space="0" w:color="auto"/>
              <w:bottom w:val="single" w:sz="4" w:space="0" w:color="auto"/>
              <w:right w:val="single" w:sz="4" w:space="0" w:color="auto"/>
            </w:tcBorders>
            <w:hideMark/>
          </w:tcPr>
          <w:p w14:paraId="24615452" w14:textId="77777777" w:rsidR="00480915" w:rsidRPr="00480915" w:rsidRDefault="00480915" w:rsidP="00A96B6C">
            <w:pPr>
              <w:ind w:left="70"/>
              <w:rPr>
                <w:b/>
                <w:bCs/>
                <w:sz w:val="20"/>
              </w:rPr>
            </w:pPr>
            <w:r w:rsidRPr="00480915">
              <w:rPr>
                <w:sz w:val="20"/>
              </w:rPr>
              <w:t xml:space="preserve">Nedsat bevidsthedsniveau, hukommelsessvigt, nedsatte åndsevner, synkope, sedation, balanceforstyrrelser, </w:t>
            </w:r>
            <w:proofErr w:type="spellStart"/>
            <w:r w:rsidRPr="00480915">
              <w:rPr>
                <w:sz w:val="20"/>
              </w:rPr>
              <w:t>dysartri</w:t>
            </w:r>
            <w:proofErr w:type="spellEnd"/>
            <w:r w:rsidRPr="00480915">
              <w:rPr>
                <w:sz w:val="20"/>
              </w:rPr>
              <w:t xml:space="preserve">, </w:t>
            </w:r>
            <w:proofErr w:type="spellStart"/>
            <w:r w:rsidRPr="00480915">
              <w:rPr>
                <w:sz w:val="20"/>
              </w:rPr>
              <w:t>hypæstesi</w:t>
            </w:r>
            <w:proofErr w:type="spellEnd"/>
            <w:r w:rsidRPr="00480915">
              <w:rPr>
                <w:sz w:val="20"/>
              </w:rPr>
              <w:t xml:space="preserve">, </w:t>
            </w:r>
            <w:proofErr w:type="spellStart"/>
            <w:r w:rsidRPr="00480915">
              <w:rPr>
                <w:sz w:val="20"/>
              </w:rPr>
              <w:t>paræstesi</w:t>
            </w:r>
            <w:proofErr w:type="spellEnd"/>
          </w:p>
        </w:tc>
        <w:tc>
          <w:tcPr>
            <w:tcW w:w="794" w:type="pct"/>
            <w:tcBorders>
              <w:top w:val="single" w:sz="4" w:space="0" w:color="auto"/>
              <w:left w:val="single" w:sz="4" w:space="0" w:color="auto"/>
              <w:bottom w:val="single" w:sz="4" w:space="0" w:color="auto"/>
              <w:right w:val="single" w:sz="4" w:space="0" w:color="auto"/>
            </w:tcBorders>
            <w:hideMark/>
          </w:tcPr>
          <w:p w14:paraId="44EC8875" w14:textId="77777777" w:rsidR="00480915" w:rsidRPr="00480915" w:rsidRDefault="00480915" w:rsidP="00A96B6C">
            <w:pPr>
              <w:ind w:left="70"/>
              <w:rPr>
                <w:b/>
                <w:bCs/>
                <w:sz w:val="20"/>
              </w:rPr>
            </w:pPr>
            <w:r w:rsidRPr="00480915">
              <w:rPr>
                <w:sz w:val="20"/>
              </w:rPr>
              <w:t>Kramper, præsynkope, koordinations-problemer</w:t>
            </w:r>
          </w:p>
        </w:tc>
        <w:tc>
          <w:tcPr>
            <w:tcW w:w="654" w:type="pct"/>
            <w:tcBorders>
              <w:top w:val="single" w:sz="4" w:space="0" w:color="auto"/>
              <w:left w:val="single" w:sz="4" w:space="0" w:color="auto"/>
              <w:bottom w:val="single" w:sz="4" w:space="0" w:color="auto"/>
              <w:right w:val="single" w:sz="4" w:space="0" w:color="auto"/>
            </w:tcBorders>
          </w:tcPr>
          <w:p w14:paraId="413BD2F6" w14:textId="77777777" w:rsidR="00480915" w:rsidRPr="00480915" w:rsidRDefault="00480915" w:rsidP="00A96B6C">
            <w:pPr>
              <w:ind w:left="70"/>
              <w:rPr>
                <w:b/>
                <w:bCs/>
                <w:sz w:val="20"/>
              </w:rPr>
            </w:pPr>
          </w:p>
        </w:tc>
      </w:tr>
      <w:tr w:rsidR="00480915" w:rsidRPr="00480915" w14:paraId="605357E3"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6B72F564" w14:textId="77777777" w:rsidR="00480915" w:rsidRPr="00480915" w:rsidRDefault="00480915" w:rsidP="00A96B6C">
            <w:pPr>
              <w:ind w:left="70"/>
              <w:rPr>
                <w:b/>
                <w:bCs/>
                <w:sz w:val="20"/>
              </w:rPr>
            </w:pPr>
            <w:r w:rsidRPr="00480915">
              <w:rPr>
                <w:b/>
                <w:bCs/>
                <w:sz w:val="20"/>
              </w:rPr>
              <w:t>Øjne</w:t>
            </w:r>
          </w:p>
        </w:tc>
        <w:tc>
          <w:tcPr>
            <w:tcW w:w="701" w:type="pct"/>
            <w:tcBorders>
              <w:top w:val="single" w:sz="4" w:space="0" w:color="auto"/>
              <w:left w:val="single" w:sz="4" w:space="0" w:color="auto"/>
              <w:bottom w:val="single" w:sz="4" w:space="0" w:color="auto"/>
              <w:right w:val="single" w:sz="4" w:space="0" w:color="auto"/>
            </w:tcBorders>
          </w:tcPr>
          <w:p w14:paraId="343CF6A3" w14:textId="77777777" w:rsidR="00480915" w:rsidRPr="00480915" w:rsidRDefault="00480915" w:rsidP="00A96B6C">
            <w:pPr>
              <w:ind w:left="70"/>
              <w:rPr>
                <w:sz w:val="20"/>
              </w:rPr>
            </w:pPr>
          </w:p>
        </w:tc>
        <w:tc>
          <w:tcPr>
            <w:tcW w:w="863" w:type="pct"/>
            <w:tcBorders>
              <w:top w:val="single" w:sz="4" w:space="0" w:color="auto"/>
              <w:left w:val="single" w:sz="4" w:space="0" w:color="auto"/>
              <w:bottom w:val="single" w:sz="4" w:space="0" w:color="auto"/>
              <w:right w:val="single" w:sz="4" w:space="0" w:color="auto"/>
            </w:tcBorders>
          </w:tcPr>
          <w:p w14:paraId="21CEA80E" w14:textId="77777777" w:rsidR="00480915" w:rsidRPr="00480915" w:rsidRDefault="00480915" w:rsidP="00A96B6C">
            <w:pPr>
              <w:ind w:left="70"/>
              <w:rPr>
                <w:sz w:val="20"/>
              </w:rPr>
            </w:pPr>
          </w:p>
        </w:tc>
        <w:tc>
          <w:tcPr>
            <w:tcW w:w="1053" w:type="pct"/>
            <w:tcBorders>
              <w:top w:val="single" w:sz="4" w:space="0" w:color="auto"/>
              <w:left w:val="single" w:sz="4" w:space="0" w:color="auto"/>
              <w:bottom w:val="single" w:sz="4" w:space="0" w:color="auto"/>
              <w:right w:val="single" w:sz="4" w:space="0" w:color="auto"/>
            </w:tcBorders>
            <w:hideMark/>
          </w:tcPr>
          <w:p w14:paraId="1011D697" w14:textId="77777777" w:rsidR="00480915" w:rsidRPr="00480915" w:rsidRDefault="00480915" w:rsidP="00A96B6C">
            <w:pPr>
              <w:ind w:left="70"/>
              <w:rPr>
                <w:sz w:val="20"/>
              </w:rPr>
            </w:pPr>
            <w:r w:rsidRPr="00480915">
              <w:rPr>
                <w:sz w:val="20"/>
              </w:rPr>
              <w:t>Synsforstyrrelser</w:t>
            </w:r>
          </w:p>
        </w:tc>
        <w:tc>
          <w:tcPr>
            <w:tcW w:w="794" w:type="pct"/>
            <w:tcBorders>
              <w:top w:val="single" w:sz="4" w:space="0" w:color="auto"/>
              <w:left w:val="single" w:sz="4" w:space="0" w:color="auto"/>
              <w:bottom w:val="single" w:sz="4" w:space="0" w:color="auto"/>
              <w:right w:val="single" w:sz="4" w:space="0" w:color="auto"/>
            </w:tcBorders>
          </w:tcPr>
          <w:p w14:paraId="1762067F" w14:textId="77777777" w:rsidR="00480915" w:rsidRPr="00480915" w:rsidRDefault="00480915" w:rsidP="00A96B6C">
            <w:pPr>
              <w:ind w:left="70"/>
              <w:rPr>
                <w:sz w:val="20"/>
              </w:rPr>
            </w:pPr>
          </w:p>
        </w:tc>
        <w:tc>
          <w:tcPr>
            <w:tcW w:w="654" w:type="pct"/>
            <w:tcBorders>
              <w:top w:val="single" w:sz="4" w:space="0" w:color="auto"/>
              <w:left w:val="single" w:sz="4" w:space="0" w:color="auto"/>
              <w:bottom w:val="single" w:sz="4" w:space="0" w:color="auto"/>
              <w:right w:val="single" w:sz="4" w:space="0" w:color="auto"/>
            </w:tcBorders>
          </w:tcPr>
          <w:p w14:paraId="269FECFC" w14:textId="77777777" w:rsidR="00480915" w:rsidRPr="00480915" w:rsidRDefault="00480915" w:rsidP="00A96B6C">
            <w:pPr>
              <w:ind w:left="70"/>
              <w:rPr>
                <w:b/>
                <w:bCs/>
                <w:sz w:val="20"/>
              </w:rPr>
            </w:pPr>
          </w:p>
        </w:tc>
      </w:tr>
      <w:tr w:rsidR="00480915" w:rsidRPr="00480915" w14:paraId="6DBA209B"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785F7F38" w14:textId="77777777" w:rsidR="00480915" w:rsidRPr="00480915" w:rsidRDefault="00480915" w:rsidP="00A96B6C">
            <w:pPr>
              <w:ind w:left="70"/>
              <w:rPr>
                <w:b/>
                <w:bCs/>
                <w:sz w:val="20"/>
              </w:rPr>
            </w:pPr>
            <w:r w:rsidRPr="00480915">
              <w:rPr>
                <w:b/>
                <w:bCs/>
                <w:sz w:val="20"/>
              </w:rPr>
              <w:t>Hjerte</w:t>
            </w:r>
          </w:p>
        </w:tc>
        <w:tc>
          <w:tcPr>
            <w:tcW w:w="701" w:type="pct"/>
            <w:tcBorders>
              <w:top w:val="single" w:sz="4" w:space="0" w:color="auto"/>
              <w:left w:val="single" w:sz="4" w:space="0" w:color="auto"/>
              <w:bottom w:val="single" w:sz="4" w:space="0" w:color="auto"/>
              <w:right w:val="single" w:sz="4" w:space="0" w:color="auto"/>
            </w:tcBorders>
          </w:tcPr>
          <w:p w14:paraId="02A08CCC" w14:textId="77777777" w:rsidR="00480915" w:rsidRPr="00480915" w:rsidRDefault="00480915" w:rsidP="00A96B6C">
            <w:pPr>
              <w:ind w:left="70"/>
              <w:rPr>
                <w:sz w:val="20"/>
              </w:rPr>
            </w:pPr>
          </w:p>
        </w:tc>
        <w:tc>
          <w:tcPr>
            <w:tcW w:w="863" w:type="pct"/>
            <w:tcBorders>
              <w:top w:val="single" w:sz="4" w:space="0" w:color="auto"/>
              <w:left w:val="single" w:sz="4" w:space="0" w:color="auto"/>
              <w:bottom w:val="single" w:sz="4" w:space="0" w:color="auto"/>
              <w:right w:val="single" w:sz="4" w:space="0" w:color="auto"/>
            </w:tcBorders>
          </w:tcPr>
          <w:p w14:paraId="64460E8D" w14:textId="77777777" w:rsidR="00480915" w:rsidRPr="00480915" w:rsidRDefault="00480915" w:rsidP="00A96B6C">
            <w:pPr>
              <w:ind w:left="70"/>
              <w:rPr>
                <w:sz w:val="20"/>
              </w:rPr>
            </w:pPr>
          </w:p>
        </w:tc>
        <w:tc>
          <w:tcPr>
            <w:tcW w:w="1053" w:type="pct"/>
            <w:tcBorders>
              <w:top w:val="single" w:sz="4" w:space="0" w:color="auto"/>
              <w:left w:val="single" w:sz="4" w:space="0" w:color="auto"/>
              <w:bottom w:val="single" w:sz="4" w:space="0" w:color="auto"/>
              <w:right w:val="single" w:sz="4" w:space="0" w:color="auto"/>
            </w:tcBorders>
            <w:hideMark/>
          </w:tcPr>
          <w:p w14:paraId="6EA92A03" w14:textId="77777777" w:rsidR="00480915" w:rsidRPr="00480915" w:rsidRDefault="00480915" w:rsidP="00A96B6C">
            <w:pPr>
              <w:ind w:left="70"/>
              <w:rPr>
                <w:sz w:val="20"/>
              </w:rPr>
            </w:pPr>
            <w:r w:rsidRPr="00480915">
              <w:rPr>
                <w:sz w:val="20"/>
              </w:rPr>
              <w:t xml:space="preserve">Øget hjertefrekvens, nedsat hjertefrekvens, </w:t>
            </w:r>
            <w:proofErr w:type="spellStart"/>
            <w:r w:rsidRPr="00480915">
              <w:rPr>
                <w:sz w:val="20"/>
              </w:rPr>
              <w:t>palpitationer</w:t>
            </w:r>
            <w:proofErr w:type="spellEnd"/>
          </w:p>
        </w:tc>
        <w:tc>
          <w:tcPr>
            <w:tcW w:w="794" w:type="pct"/>
            <w:tcBorders>
              <w:top w:val="single" w:sz="4" w:space="0" w:color="auto"/>
              <w:left w:val="single" w:sz="4" w:space="0" w:color="auto"/>
              <w:bottom w:val="single" w:sz="4" w:space="0" w:color="auto"/>
              <w:right w:val="single" w:sz="4" w:space="0" w:color="auto"/>
            </w:tcBorders>
          </w:tcPr>
          <w:p w14:paraId="6ABDB06B" w14:textId="77777777" w:rsidR="00480915" w:rsidRPr="00480915" w:rsidRDefault="00480915" w:rsidP="00A96B6C">
            <w:pPr>
              <w:ind w:left="70"/>
              <w:rPr>
                <w:sz w:val="20"/>
              </w:rPr>
            </w:pPr>
          </w:p>
        </w:tc>
        <w:tc>
          <w:tcPr>
            <w:tcW w:w="654" w:type="pct"/>
            <w:tcBorders>
              <w:top w:val="single" w:sz="4" w:space="0" w:color="auto"/>
              <w:left w:val="single" w:sz="4" w:space="0" w:color="auto"/>
              <w:bottom w:val="single" w:sz="4" w:space="0" w:color="auto"/>
              <w:right w:val="single" w:sz="4" w:space="0" w:color="auto"/>
            </w:tcBorders>
          </w:tcPr>
          <w:p w14:paraId="0A25F87A" w14:textId="77777777" w:rsidR="00480915" w:rsidRPr="00480915" w:rsidRDefault="00480915" w:rsidP="00A96B6C">
            <w:pPr>
              <w:ind w:left="70"/>
              <w:rPr>
                <w:b/>
                <w:bCs/>
                <w:sz w:val="20"/>
              </w:rPr>
            </w:pPr>
          </w:p>
        </w:tc>
      </w:tr>
      <w:tr w:rsidR="00480915" w:rsidRPr="00480915" w14:paraId="3277CFA9"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1881D4AB" w14:textId="77777777" w:rsidR="00480915" w:rsidRPr="00480915" w:rsidRDefault="00480915" w:rsidP="00A96B6C">
            <w:pPr>
              <w:ind w:left="70"/>
              <w:rPr>
                <w:b/>
                <w:bCs/>
                <w:sz w:val="20"/>
              </w:rPr>
            </w:pPr>
            <w:r w:rsidRPr="00480915">
              <w:rPr>
                <w:b/>
                <w:bCs/>
                <w:sz w:val="20"/>
              </w:rPr>
              <w:t>Vaskulære sygdomme</w:t>
            </w:r>
          </w:p>
        </w:tc>
        <w:tc>
          <w:tcPr>
            <w:tcW w:w="701" w:type="pct"/>
            <w:tcBorders>
              <w:top w:val="single" w:sz="4" w:space="0" w:color="auto"/>
              <w:left w:val="single" w:sz="4" w:space="0" w:color="auto"/>
              <w:bottom w:val="single" w:sz="4" w:space="0" w:color="auto"/>
              <w:right w:val="single" w:sz="4" w:space="0" w:color="auto"/>
            </w:tcBorders>
          </w:tcPr>
          <w:p w14:paraId="47C86F6D" w14:textId="77777777" w:rsidR="00480915" w:rsidRPr="00480915" w:rsidRDefault="00480915" w:rsidP="00A96B6C">
            <w:pPr>
              <w:ind w:left="70"/>
              <w:rPr>
                <w:sz w:val="20"/>
              </w:rPr>
            </w:pPr>
          </w:p>
        </w:tc>
        <w:tc>
          <w:tcPr>
            <w:tcW w:w="863" w:type="pct"/>
            <w:tcBorders>
              <w:top w:val="single" w:sz="4" w:space="0" w:color="auto"/>
              <w:left w:val="single" w:sz="4" w:space="0" w:color="auto"/>
              <w:bottom w:val="single" w:sz="4" w:space="0" w:color="auto"/>
              <w:right w:val="single" w:sz="4" w:space="0" w:color="auto"/>
            </w:tcBorders>
            <w:hideMark/>
          </w:tcPr>
          <w:p w14:paraId="6F677120" w14:textId="77777777" w:rsidR="00480915" w:rsidRPr="00480915" w:rsidRDefault="00480915" w:rsidP="00A96B6C">
            <w:pPr>
              <w:ind w:left="70"/>
              <w:rPr>
                <w:sz w:val="20"/>
              </w:rPr>
            </w:pPr>
            <w:r w:rsidRPr="00480915">
              <w:rPr>
                <w:sz w:val="20"/>
              </w:rPr>
              <w:t>Rødmen</w:t>
            </w:r>
          </w:p>
        </w:tc>
        <w:tc>
          <w:tcPr>
            <w:tcW w:w="1053" w:type="pct"/>
            <w:tcBorders>
              <w:top w:val="single" w:sz="4" w:space="0" w:color="auto"/>
              <w:left w:val="single" w:sz="4" w:space="0" w:color="auto"/>
              <w:bottom w:val="single" w:sz="4" w:space="0" w:color="auto"/>
              <w:right w:val="single" w:sz="4" w:space="0" w:color="auto"/>
            </w:tcBorders>
            <w:hideMark/>
          </w:tcPr>
          <w:p w14:paraId="6E6BD23B" w14:textId="77777777" w:rsidR="00480915" w:rsidRPr="00480915" w:rsidRDefault="00480915" w:rsidP="00A96B6C">
            <w:pPr>
              <w:ind w:left="70"/>
              <w:rPr>
                <w:sz w:val="20"/>
              </w:rPr>
            </w:pPr>
            <w:r w:rsidRPr="00480915">
              <w:rPr>
                <w:sz w:val="20"/>
              </w:rPr>
              <w:t>Blodtryksfald</w:t>
            </w:r>
          </w:p>
        </w:tc>
        <w:tc>
          <w:tcPr>
            <w:tcW w:w="794" w:type="pct"/>
            <w:tcBorders>
              <w:top w:val="single" w:sz="4" w:space="0" w:color="auto"/>
              <w:left w:val="single" w:sz="4" w:space="0" w:color="auto"/>
              <w:bottom w:val="single" w:sz="4" w:space="0" w:color="auto"/>
              <w:right w:val="single" w:sz="4" w:space="0" w:color="auto"/>
            </w:tcBorders>
          </w:tcPr>
          <w:p w14:paraId="396D1A25" w14:textId="77777777" w:rsidR="00480915" w:rsidRPr="00480915" w:rsidRDefault="00480915" w:rsidP="00A96B6C">
            <w:pPr>
              <w:ind w:left="70"/>
              <w:rPr>
                <w:sz w:val="20"/>
              </w:rPr>
            </w:pPr>
          </w:p>
        </w:tc>
        <w:tc>
          <w:tcPr>
            <w:tcW w:w="654" w:type="pct"/>
            <w:tcBorders>
              <w:top w:val="single" w:sz="4" w:space="0" w:color="auto"/>
              <w:left w:val="single" w:sz="4" w:space="0" w:color="auto"/>
              <w:bottom w:val="single" w:sz="4" w:space="0" w:color="auto"/>
              <w:right w:val="single" w:sz="4" w:space="0" w:color="auto"/>
            </w:tcBorders>
          </w:tcPr>
          <w:p w14:paraId="2990C8E5" w14:textId="77777777" w:rsidR="00480915" w:rsidRPr="00480915" w:rsidRDefault="00480915" w:rsidP="00A96B6C">
            <w:pPr>
              <w:ind w:left="70"/>
              <w:rPr>
                <w:b/>
                <w:bCs/>
                <w:sz w:val="20"/>
              </w:rPr>
            </w:pPr>
          </w:p>
        </w:tc>
      </w:tr>
      <w:tr w:rsidR="00480915" w:rsidRPr="00480915" w14:paraId="12228F87"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39665166" w14:textId="77777777" w:rsidR="00480915" w:rsidRPr="00480915" w:rsidRDefault="00480915" w:rsidP="00A96B6C">
            <w:pPr>
              <w:ind w:left="70"/>
              <w:rPr>
                <w:b/>
                <w:bCs/>
                <w:sz w:val="20"/>
              </w:rPr>
            </w:pPr>
            <w:r w:rsidRPr="00480915">
              <w:rPr>
                <w:b/>
                <w:bCs/>
                <w:sz w:val="20"/>
              </w:rPr>
              <w:t xml:space="preserve">Luftveje, thorax og </w:t>
            </w:r>
            <w:proofErr w:type="spellStart"/>
            <w:r w:rsidRPr="00480915">
              <w:rPr>
                <w:b/>
                <w:bCs/>
                <w:sz w:val="20"/>
              </w:rPr>
              <w:t>mediastinum</w:t>
            </w:r>
            <w:proofErr w:type="spellEnd"/>
          </w:p>
        </w:tc>
        <w:tc>
          <w:tcPr>
            <w:tcW w:w="701" w:type="pct"/>
            <w:tcBorders>
              <w:top w:val="single" w:sz="4" w:space="0" w:color="auto"/>
              <w:left w:val="single" w:sz="4" w:space="0" w:color="auto"/>
              <w:bottom w:val="single" w:sz="4" w:space="0" w:color="auto"/>
              <w:right w:val="single" w:sz="4" w:space="0" w:color="auto"/>
            </w:tcBorders>
          </w:tcPr>
          <w:p w14:paraId="254D8914" w14:textId="77777777" w:rsidR="00480915" w:rsidRPr="00480915" w:rsidRDefault="00480915" w:rsidP="00A96B6C">
            <w:pPr>
              <w:ind w:left="70"/>
              <w:rPr>
                <w:sz w:val="20"/>
              </w:rPr>
            </w:pPr>
          </w:p>
        </w:tc>
        <w:tc>
          <w:tcPr>
            <w:tcW w:w="863" w:type="pct"/>
            <w:tcBorders>
              <w:top w:val="single" w:sz="4" w:space="0" w:color="auto"/>
              <w:left w:val="single" w:sz="4" w:space="0" w:color="auto"/>
              <w:bottom w:val="single" w:sz="4" w:space="0" w:color="auto"/>
              <w:right w:val="single" w:sz="4" w:space="0" w:color="auto"/>
            </w:tcBorders>
            <w:hideMark/>
          </w:tcPr>
          <w:p w14:paraId="2A9081A2" w14:textId="77777777" w:rsidR="00480915" w:rsidRPr="00480915" w:rsidRDefault="00480915" w:rsidP="00A96B6C">
            <w:pPr>
              <w:ind w:left="70"/>
              <w:rPr>
                <w:sz w:val="20"/>
              </w:rPr>
            </w:pPr>
            <w:r w:rsidRPr="00480915">
              <w:rPr>
                <w:sz w:val="20"/>
              </w:rPr>
              <w:t>Dyspnø</w:t>
            </w:r>
          </w:p>
        </w:tc>
        <w:tc>
          <w:tcPr>
            <w:tcW w:w="1053" w:type="pct"/>
            <w:tcBorders>
              <w:top w:val="single" w:sz="4" w:space="0" w:color="auto"/>
              <w:left w:val="single" w:sz="4" w:space="0" w:color="auto"/>
              <w:bottom w:val="single" w:sz="4" w:space="0" w:color="auto"/>
              <w:right w:val="single" w:sz="4" w:space="0" w:color="auto"/>
            </w:tcBorders>
          </w:tcPr>
          <w:p w14:paraId="04C9F4A1" w14:textId="77777777" w:rsidR="00480915" w:rsidRPr="00480915" w:rsidRDefault="00480915" w:rsidP="00A96B6C">
            <w:pPr>
              <w:ind w:left="70"/>
              <w:rPr>
                <w:sz w:val="20"/>
              </w:rPr>
            </w:pPr>
          </w:p>
        </w:tc>
        <w:tc>
          <w:tcPr>
            <w:tcW w:w="794" w:type="pct"/>
            <w:tcBorders>
              <w:top w:val="single" w:sz="4" w:space="0" w:color="auto"/>
              <w:left w:val="single" w:sz="4" w:space="0" w:color="auto"/>
              <w:bottom w:val="single" w:sz="4" w:space="0" w:color="auto"/>
              <w:right w:val="single" w:sz="4" w:space="0" w:color="auto"/>
            </w:tcBorders>
            <w:hideMark/>
          </w:tcPr>
          <w:p w14:paraId="52BA709F" w14:textId="77777777" w:rsidR="00480915" w:rsidRPr="00480915" w:rsidRDefault="00480915" w:rsidP="00A96B6C">
            <w:pPr>
              <w:ind w:left="70"/>
              <w:rPr>
                <w:sz w:val="20"/>
              </w:rPr>
            </w:pPr>
            <w:r w:rsidRPr="00480915">
              <w:rPr>
                <w:sz w:val="20"/>
              </w:rPr>
              <w:t>Respirations-depression</w:t>
            </w:r>
          </w:p>
        </w:tc>
        <w:tc>
          <w:tcPr>
            <w:tcW w:w="654" w:type="pct"/>
            <w:tcBorders>
              <w:top w:val="single" w:sz="4" w:space="0" w:color="auto"/>
              <w:left w:val="single" w:sz="4" w:space="0" w:color="auto"/>
              <w:bottom w:val="single" w:sz="4" w:space="0" w:color="auto"/>
              <w:right w:val="single" w:sz="4" w:space="0" w:color="auto"/>
            </w:tcBorders>
          </w:tcPr>
          <w:p w14:paraId="557F5D13" w14:textId="77777777" w:rsidR="00480915" w:rsidRPr="00480915" w:rsidRDefault="00480915" w:rsidP="00A96B6C">
            <w:pPr>
              <w:ind w:left="70"/>
              <w:rPr>
                <w:b/>
                <w:bCs/>
                <w:sz w:val="20"/>
              </w:rPr>
            </w:pPr>
          </w:p>
        </w:tc>
      </w:tr>
      <w:tr w:rsidR="00480915" w:rsidRPr="00480915" w14:paraId="1E64B3BC"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52E8D78D" w14:textId="77777777" w:rsidR="00480915" w:rsidRPr="00480915" w:rsidRDefault="00480915" w:rsidP="00A96B6C">
            <w:pPr>
              <w:ind w:left="70"/>
              <w:rPr>
                <w:b/>
                <w:bCs/>
                <w:sz w:val="20"/>
              </w:rPr>
            </w:pPr>
            <w:r w:rsidRPr="00480915">
              <w:rPr>
                <w:b/>
                <w:bCs/>
                <w:sz w:val="20"/>
              </w:rPr>
              <w:t>Mave-tarm-kanalen</w:t>
            </w:r>
          </w:p>
        </w:tc>
        <w:tc>
          <w:tcPr>
            <w:tcW w:w="701" w:type="pct"/>
            <w:tcBorders>
              <w:top w:val="single" w:sz="4" w:space="0" w:color="auto"/>
              <w:left w:val="single" w:sz="4" w:space="0" w:color="auto"/>
              <w:bottom w:val="single" w:sz="4" w:space="0" w:color="auto"/>
              <w:right w:val="single" w:sz="4" w:space="0" w:color="auto"/>
            </w:tcBorders>
            <w:hideMark/>
          </w:tcPr>
          <w:p w14:paraId="49A22E30" w14:textId="77777777" w:rsidR="00480915" w:rsidRPr="00480915" w:rsidRDefault="00480915" w:rsidP="00A96B6C">
            <w:pPr>
              <w:ind w:left="70"/>
              <w:rPr>
                <w:sz w:val="20"/>
              </w:rPr>
            </w:pPr>
            <w:r w:rsidRPr="00480915">
              <w:rPr>
                <w:sz w:val="20"/>
              </w:rPr>
              <w:t>Kvalme, obstipation</w:t>
            </w:r>
          </w:p>
        </w:tc>
        <w:tc>
          <w:tcPr>
            <w:tcW w:w="863" w:type="pct"/>
            <w:tcBorders>
              <w:top w:val="single" w:sz="4" w:space="0" w:color="auto"/>
              <w:left w:val="single" w:sz="4" w:space="0" w:color="auto"/>
              <w:bottom w:val="single" w:sz="4" w:space="0" w:color="auto"/>
              <w:right w:val="single" w:sz="4" w:space="0" w:color="auto"/>
            </w:tcBorders>
            <w:hideMark/>
          </w:tcPr>
          <w:p w14:paraId="6DD2CBD7" w14:textId="77777777" w:rsidR="00480915" w:rsidRPr="00480915" w:rsidRDefault="00480915" w:rsidP="00A96B6C">
            <w:pPr>
              <w:ind w:left="70"/>
              <w:rPr>
                <w:sz w:val="20"/>
              </w:rPr>
            </w:pPr>
            <w:r w:rsidRPr="00480915">
              <w:rPr>
                <w:sz w:val="20"/>
              </w:rPr>
              <w:t>Opkastning, diarré, dyspepsi</w:t>
            </w:r>
          </w:p>
        </w:tc>
        <w:tc>
          <w:tcPr>
            <w:tcW w:w="1053" w:type="pct"/>
            <w:tcBorders>
              <w:top w:val="single" w:sz="4" w:space="0" w:color="auto"/>
              <w:left w:val="single" w:sz="4" w:space="0" w:color="auto"/>
              <w:bottom w:val="single" w:sz="4" w:space="0" w:color="auto"/>
              <w:right w:val="single" w:sz="4" w:space="0" w:color="auto"/>
            </w:tcBorders>
            <w:hideMark/>
          </w:tcPr>
          <w:p w14:paraId="4AE2E03B" w14:textId="77777777" w:rsidR="00480915" w:rsidRPr="00480915" w:rsidRDefault="00480915" w:rsidP="00A96B6C">
            <w:pPr>
              <w:ind w:left="70"/>
              <w:rPr>
                <w:sz w:val="20"/>
              </w:rPr>
            </w:pPr>
            <w:proofErr w:type="spellStart"/>
            <w:r w:rsidRPr="00480915">
              <w:rPr>
                <w:sz w:val="20"/>
              </w:rPr>
              <w:t>Abdominalgener</w:t>
            </w:r>
            <w:proofErr w:type="spellEnd"/>
          </w:p>
        </w:tc>
        <w:tc>
          <w:tcPr>
            <w:tcW w:w="794" w:type="pct"/>
            <w:tcBorders>
              <w:top w:val="single" w:sz="4" w:space="0" w:color="auto"/>
              <w:left w:val="single" w:sz="4" w:space="0" w:color="auto"/>
              <w:bottom w:val="single" w:sz="4" w:space="0" w:color="auto"/>
              <w:right w:val="single" w:sz="4" w:space="0" w:color="auto"/>
            </w:tcBorders>
            <w:hideMark/>
          </w:tcPr>
          <w:p w14:paraId="7CC10B46" w14:textId="77777777" w:rsidR="00480915" w:rsidRPr="00480915" w:rsidRDefault="00480915" w:rsidP="00A96B6C">
            <w:pPr>
              <w:ind w:left="70"/>
              <w:rPr>
                <w:sz w:val="20"/>
              </w:rPr>
            </w:pPr>
            <w:r w:rsidRPr="00480915">
              <w:rPr>
                <w:sz w:val="20"/>
              </w:rPr>
              <w:t>Nedsat ventrikel-tømning</w:t>
            </w:r>
          </w:p>
        </w:tc>
        <w:tc>
          <w:tcPr>
            <w:tcW w:w="654" w:type="pct"/>
            <w:tcBorders>
              <w:top w:val="single" w:sz="4" w:space="0" w:color="auto"/>
              <w:left w:val="single" w:sz="4" w:space="0" w:color="auto"/>
              <w:bottom w:val="single" w:sz="4" w:space="0" w:color="auto"/>
              <w:right w:val="single" w:sz="4" w:space="0" w:color="auto"/>
            </w:tcBorders>
          </w:tcPr>
          <w:p w14:paraId="14DA8673" w14:textId="77777777" w:rsidR="00480915" w:rsidRPr="00480915" w:rsidRDefault="00480915" w:rsidP="00A96B6C">
            <w:pPr>
              <w:ind w:left="70"/>
              <w:rPr>
                <w:b/>
                <w:bCs/>
                <w:sz w:val="20"/>
              </w:rPr>
            </w:pPr>
          </w:p>
        </w:tc>
      </w:tr>
      <w:tr w:rsidR="00480915" w:rsidRPr="00480915" w14:paraId="6496C7AB"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184FF17D" w14:textId="77777777" w:rsidR="00480915" w:rsidRPr="00480915" w:rsidRDefault="00480915" w:rsidP="00A96B6C">
            <w:pPr>
              <w:ind w:left="70"/>
              <w:rPr>
                <w:b/>
                <w:bCs/>
                <w:sz w:val="20"/>
              </w:rPr>
            </w:pPr>
            <w:r w:rsidRPr="00480915">
              <w:rPr>
                <w:b/>
                <w:bCs/>
                <w:sz w:val="20"/>
              </w:rPr>
              <w:t>Hud og subkutane væv</w:t>
            </w:r>
          </w:p>
        </w:tc>
        <w:tc>
          <w:tcPr>
            <w:tcW w:w="701" w:type="pct"/>
            <w:tcBorders>
              <w:top w:val="single" w:sz="4" w:space="0" w:color="auto"/>
              <w:left w:val="single" w:sz="4" w:space="0" w:color="auto"/>
              <w:bottom w:val="single" w:sz="4" w:space="0" w:color="auto"/>
              <w:right w:val="single" w:sz="4" w:space="0" w:color="auto"/>
            </w:tcBorders>
          </w:tcPr>
          <w:p w14:paraId="4DF0191B" w14:textId="77777777" w:rsidR="00480915" w:rsidRPr="00480915" w:rsidRDefault="00480915" w:rsidP="00A96B6C">
            <w:pPr>
              <w:ind w:left="70"/>
              <w:rPr>
                <w:sz w:val="20"/>
              </w:rPr>
            </w:pPr>
          </w:p>
        </w:tc>
        <w:tc>
          <w:tcPr>
            <w:tcW w:w="863" w:type="pct"/>
            <w:tcBorders>
              <w:top w:val="single" w:sz="4" w:space="0" w:color="auto"/>
              <w:left w:val="single" w:sz="4" w:space="0" w:color="auto"/>
              <w:bottom w:val="single" w:sz="4" w:space="0" w:color="auto"/>
              <w:right w:val="single" w:sz="4" w:space="0" w:color="auto"/>
            </w:tcBorders>
            <w:hideMark/>
          </w:tcPr>
          <w:p w14:paraId="0F0012B4" w14:textId="77777777" w:rsidR="00480915" w:rsidRPr="00480915" w:rsidRDefault="00480915" w:rsidP="00A96B6C">
            <w:pPr>
              <w:ind w:left="70"/>
              <w:rPr>
                <w:sz w:val="20"/>
              </w:rPr>
            </w:pPr>
            <w:proofErr w:type="spellStart"/>
            <w:r w:rsidRPr="00480915">
              <w:rPr>
                <w:sz w:val="20"/>
              </w:rPr>
              <w:t>Pruritus</w:t>
            </w:r>
            <w:proofErr w:type="spellEnd"/>
            <w:r w:rsidRPr="00480915">
              <w:rPr>
                <w:sz w:val="20"/>
              </w:rPr>
              <w:t xml:space="preserve">, </w:t>
            </w:r>
            <w:proofErr w:type="spellStart"/>
            <w:r w:rsidRPr="00480915">
              <w:rPr>
                <w:sz w:val="20"/>
              </w:rPr>
              <w:t>hyperhidrose</w:t>
            </w:r>
            <w:proofErr w:type="spellEnd"/>
            <w:r w:rsidRPr="00480915">
              <w:rPr>
                <w:sz w:val="20"/>
              </w:rPr>
              <w:t>, udslæt</w:t>
            </w:r>
          </w:p>
        </w:tc>
        <w:tc>
          <w:tcPr>
            <w:tcW w:w="1053" w:type="pct"/>
            <w:tcBorders>
              <w:top w:val="single" w:sz="4" w:space="0" w:color="auto"/>
              <w:left w:val="single" w:sz="4" w:space="0" w:color="auto"/>
              <w:bottom w:val="single" w:sz="4" w:space="0" w:color="auto"/>
              <w:right w:val="single" w:sz="4" w:space="0" w:color="auto"/>
            </w:tcBorders>
            <w:hideMark/>
          </w:tcPr>
          <w:p w14:paraId="10DA3A77" w14:textId="77777777" w:rsidR="00480915" w:rsidRPr="00480915" w:rsidRDefault="00480915" w:rsidP="00A96B6C">
            <w:pPr>
              <w:ind w:left="70"/>
              <w:rPr>
                <w:sz w:val="20"/>
              </w:rPr>
            </w:pPr>
            <w:r w:rsidRPr="00480915">
              <w:rPr>
                <w:sz w:val="20"/>
              </w:rPr>
              <w:t>Urticaria</w:t>
            </w:r>
          </w:p>
        </w:tc>
        <w:tc>
          <w:tcPr>
            <w:tcW w:w="794" w:type="pct"/>
            <w:tcBorders>
              <w:top w:val="single" w:sz="4" w:space="0" w:color="auto"/>
              <w:left w:val="single" w:sz="4" w:space="0" w:color="auto"/>
              <w:bottom w:val="single" w:sz="4" w:space="0" w:color="auto"/>
              <w:right w:val="single" w:sz="4" w:space="0" w:color="auto"/>
            </w:tcBorders>
          </w:tcPr>
          <w:p w14:paraId="1F01AE1D" w14:textId="77777777" w:rsidR="00480915" w:rsidRPr="00480915" w:rsidRDefault="00480915" w:rsidP="00A96B6C">
            <w:pPr>
              <w:ind w:left="70"/>
              <w:rPr>
                <w:sz w:val="20"/>
              </w:rPr>
            </w:pPr>
          </w:p>
        </w:tc>
        <w:tc>
          <w:tcPr>
            <w:tcW w:w="654" w:type="pct"/>
            <w:tcBorders>
              <w:top w:val="single" w:sz="4" w:space="0" w:color="auto"/>
              <w:left w:val="single" w:sz="4" w:space="0" w:color="auto"/>
              <w:bottom w:val="single" w:sz="4" w:space="0" w:color="auto"/>
              <w:right w:val="single" w:sz="4" w:space="0" w:color="auto"/>
            </w:tcBorders>
          </w:tcPr>
          <w:p w14:paraId="1E8161EF" w14:textId="77777777" w:rsidR="00480915" w:rsidRPr="00480915" w:rsidRDefault="00480915" w:rsidP="00A96B6C">
            <w:pPr>
              <w:ind w:left="70"/>
              <w:rPr>
                <w:b/>
                <w:bCs/>
                <w:sz w:val="20"/>
              </w:rPr>
            </w:pPr>
          </w:p>
        </w:tc>
      </w:tr>
      <w:tr w:rsidR="00480915" w:rsidRPr="00480915" w14:paraId="0AF58664"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0776CDA8" w14:textId="77777777" w:rsidR="00480915" w:rsidRPr="00480915" w:rsidRDefault="00480915" w:rsidP="00A96B6C">
            <w:pPr>
              <w:ind w:left="70"/>
              <w:rPr>
                <w:b/>
                <w:bCs/>
                <w:sz w:val="20"/>
              </w:rPr>
            </w:pPr>
            <w:r w:rsidRPr="00480915">
              <w:rPr>
                <w:b/>
                <w:bCs/>
                <w:sz w:val="20"/>
              </w:rPr>
              <w:t>Nyrer og urinveje</w:t>
            </w:r>
          </w:p>
        </w:tc>
        <w:tc>
          <w:tcPr>
            <w:tcW w:w="701" w:type="pct"/>
            <w:tcBorders>
              <w:top w:val="single" w:sz="4" w:space="0" w:color="auto"/>
              <w:left w:val="single" w:sz="4" w:space="0" w:color="auto"/>
              <w:bottom w:val="single" w:sz="4" w:space="0" w:color="auto"/>
              <w:right w:val="single" w:sz="4" w:space="0" w:color="auto"/>
            </w:tcBorders>
          </w:tcPr>
          <w:p w14:paraId="73BC5409" w14:textId="77777777" w:rsidR="00480915" w:rsidRPr="00480915" w:rsidRDefault="00480915" w:rsidP="00A96B6C">
            <w:pPr>
              <w:ind w:left="70"/>
              <w:rPr>
                <w:sz w:val="20"/>
              </w:rPr>
            </w:pPr>
          </w:p>
        </w:tc>
        <w:tc>
          <w:tcPr>
            <w:tcW w:w="863" w:type="pct"/>
            <w:tcBorders>
              <w:top w:val="single" w:sz="4" w:space="0" w:color="auto"/>
              <w:left w:val="single" w:sz="4" w:space="0" w:color="auto"/>
              <w:bottom w:val="single" w:sz="4" w:space="0" w:color="auto"/>
              <w:right w:val="single" w:sz="4" w:space="0" w:color="auto"/>
            </w:tcBorders>
          </w:tcPr>
          <w:p w14:paraId="1AF0CB57" w14:textId="77777777" w:rsidR="00480915" w:rsidRPr="00480915" w:rsidRDefault="00480915" w:rsidP="00A96B6C">
            <w:pPr>
              <w:ind w:left="70"/>
              <w:rPr>
                <w:sz w:val="20"/>
              </w:rPr>
            </w:pPr>
          </w:p>
        </w:tc>
        <w:tc>
          <w:tcPr>
            <w:tcW w:w="1053" w:type="pct"/>
            <w:tcBorders>
              <w:top w:val="single" w:sz="4" w:space="0" w:color="auto"/>
              <w:left w:val="single" w:sz="4" w:space="0" w:color="auto"/>
              <w:bottom w:val="single" w:sz="4" w:space="0" w:color="auto"/>
              <w:right w:val="single" w:sz="4" w:space="0" w:color="auto"/>
            </w:tcBorders>
            <w:hideMark/>
          </w:tcPr>
          <w:p w14:paraId="22B59C01" w14:textId="77777777" w:rsidR="00480915" w:rsidRPr="00480915" w:rsidRDefault="00480915" w:rsidP="00A96B6C">
            <w:pPr>
              <w:ind w:left="70"/>
              <w:rPr>
                <w:sz w:val="20"/>
              </w:rPr>
            </w:pPr>
            <w:r w:rsidRPr="00480915">
              <w:rPr>
                <w:sz w:val="20"/>
              </w:rPr>
              <w:t xml:space="preserve">Igangsætningsbesvær ved vandladning, </w:t>
            </w:r>
            <w:proofErr w:type="spellStart"/>
            <w:r w:rsidRPr="00480915">
              <w:rPr>
                <w:sz w:val="20"/>
              </w:rPr>
              <w:t>pollakisuri</w:t>
            </w:r>
            <w:proofErr w:type="spellEnd"/>
          </w:p>
        </w:tc>
        <w:tc>
          <w:tcPr>
            <w:tcW w:w="794" w:type="pct"/>
            <w:tcBorders>
              <w:top w:val="single" w:sz="4" w:space="0" w:color="auto"/>
              <w:left w:val="single" w:sz="4" w:space="0" w:color="auto"/>
              <w:bottom w:val="single" w:sz="4" w:space="0" w:color="auto"/>
              <w:right w:val="single" w:sz="4" w:space="0" w:color="auto"/>
            </w:tcBorders>
          </w:tcPr>
          <w:p w14:paraId="2C2E8C36" w14:textId="77777777" w:rsidR="00480915" w:rsidRPr="00480915" w:rsidRDefault="00480915" w:rsidP="00A96B6C">
            <w:pPr>
              <w:ind w:left="70"/>
              <w:rPr>
                <w:sz w:val="20"/>
              </w:rPr>
            </w:pPr>
          </w:p>
        </w:tc>
        <w:tc>
          <w:tcPr>
            <w:tcW w:w="654" w:type="pct"/>
            <w:tcBorders>
              <w:top w:val="single" w:sz="4" w:space="0" w:color="auto"/>
              <w:left w:val="single" w:sz="4" w:space="0" w:color="auto"/>
              <w:bottom w:val="single" w:sz="4" w:space="0" w:color="auto"/>
              <w:right w:val="single" w:sz="4" w:space="0" w:color="auto"/>
            </w:tcBorders>
          </w:tcPr>
          <w:p w14:paraId="10C5AFCA" w14:textId="77777777" w:rsidR="00480915" w:rsidRPr="00480915" w:rsidRDefault="00480915" w:rsidP="00A96B6C">
            <w:pPr>
              <w:ind w:left="70"/>
              <w:rPr>
                <w:b/>
                <w:bCs/>
                <w:sz w:val="20"/>
              </w:rPr>
            </w:pPr>
          </w:p>
        </w:tc>
      </w:tr>
      <w:tr w:rsidR="00480915" w:rsidRPr="00480915" w14:paraId="5818A9E9" w14:textId="77777777" w:rsidTr="00A96B6C">
        <w:tc>
          <w:tcPr>
            <w:tcW w:w="935" w:type="pct"/>
            <w:tcBorders>
              <w:top w:val="single" w:sz="4" w:space="0" w:color="auto"/>
              <w:left w:val="single" w:sz="4" w:space="0" w:color="auto"/>
              <w:bottom w:val="single" w:sz="4" w:space="0" w:color="auto"/>
              <w:right w:val="single" w:sz="4" w:space="0" w:color="auto"/>
            </w:tcBorders>
          </w:tcPr>
          <w:p w14:paraId="0831720A" w14:textId="77777777" w:rsidR="00480915" w:rsidRPr="00480915" w:rsidRDefault="00480915" w:rsidP="00A96B6C">
            <w:pPr>
              <w:ind w:left="70"/>
              <w:rPr>
                <w:b/>
                <w:bCs/>
                <w:sz w:val="20"/>
              </w:rPr>
            </w:pPr>
            <w:r w:rsidRPr="00480915">
              <w:rPr>
                <w:b/>
                <w:bCs/>
                <w:sz w:val="20"/>
              </w:rPr>
              <w:t xml:space="preserve">Det reproduktive system og mammae </w:t>
            </w:r>
          </w:p>
          <w:p w14:paraId="6BF09696" w14:textId="77777777" w:rsidR="00480915" w:rsidRPr="00480915" w:rsidRDefault="00480915" w:rsidP="00A96B6C">
            <w:pPr>
              <w:ind w:left="70"/>
              <w:rPr>
                <w:b/>
                <w:bCs/>
                <w:sz w:val="20"/>
              </w:rPr>
            </w:pPr>
          </w:p>
        </w:tc>
        <w:tc>
          <w:tcPr>
            <w:tcW w:w="701" w:type="pct"/>
            <w:tcBorders>
              <w:top w:val="single" w:sz="4" w:space="0" w:color="auto"/>
              <w:left w:val="single" w:sz="4" w:space="0" w:color="auto"/>
              <w:bottom w:val="single" w:sz="4" w:space="0" w:color="auto"/>
              <w:right w:val="single" w:sz="4" w:space="0" w:color="auto"/>
            </w:tcBorders>
          </w:tcPr>
          <w:p w14:paraId="07CDF819" w14:textId="77777777" w:rsidR="00480915" w:rsidRPr="00480915" w:rsidRDefault="00480915" w:rsidP="00A96B6C">
            <w:pPr>
              <w:ind w:left="70"/>
              <w:rPr>
                <w:sz w:val="20"/>
              </w:rPr>
            </w:pPr>
          </w:p>
        </w:tc>
        <w:tc>
          <w:tcPr>
            <w:tcW w:w="863" w:type="pct"/>
            <w:tcBorders>
              <w:top w:val="single" w:sz="4" w:space="0" w:color="auto"/>
              <w:left w:val="single" w:sz="4" w:space="0" w:color="auto"/>
              <w:bottom w:val="single" w:sz="4" w:space="0" w:color="auto"/>
              <w:right w:val="single" w:sz="4" w:space="0" w:color="auto"/>
            </w:tcBorders>
          </w:tcPr>
          <w:p w14:paraId="03B39773" w14:textId="77777777" w:rsidR="00480915" w:rsidRPr="00480915" w:rsidRDefault="00480915" w:rsidP="00A96B6C">
            <w:pPr>
              <w:ind w:left="70"/>
              <w:rPr>
                <w:sz w:val="20"/>
              </w:rPr>
            </w:pPr>
          </w:p>
        </w:tc>
        <w:tc>
          <w:tcPr>
            <w:tcW w:w="1053" w:type="pct"/>
            <w:tcBorders>
              <w:top w:val="single" w:sz="4" w:space="0" w:color="auto"/>
              <w:left w:val="single" w:sz="4" w:space="0" w:color="auto"/>
              <w:bottom w:val="single" w:sz="4" w:space="0" w:color="auto"/>
              <w:right w:val="single" w:sz="4" w:space="0" w:color="auto"/>
            </w:tcBorders>
            <w:hideMark/>
          </w:tcPr>
          <w:p w14:paraId="1BC5CB61" w14:textId="77777777" w:rsidR="00480915" w:rsidRPr="00480915" w:rsidRDefault="00480915" w:rsidP="00A96B6C">
            <w:pPr>
              <w:ind w:left="70"/>
              <w:rPr>
                <w:sz w:val="20"/>
              </w:rPr>
            </w:pPr>
            <w:r w:rsidRPr="00480915">
              <w:rPr>
                <w:sz w:val="20"/>
              </w:rPr>
              <w:t>Seksuel dysfunktion</w:t>
            </w:r>
          </w:p>
        </w:tc>
        <w:tc>
          <w:tcPr>
            <w:tcW w:w="794" w:type="pct"/>
            <w:tcBorders>
              <w:top w:val="single" w:sz="4" w:space="0" w:color="auto"/>
              <w:left w:val="single" w:sz="4" w:space="0" w:color="auto"/>
              <w:bottom w:val="single" w:sz="4" w:space="0" w:color="auto"/>
              <w:right w:val="single" w:sz="4" w:space="0" w:color="auto"/>
            </w:tcBorders>
          </w:tcPr>
          <w:p w14:paraId="0E180F59" w14:textId="77777777" w:rsidR="00480915" w:rsidRPr="00480915" w:rsidRDefault="00480915" w:rsidP="00A96B6C">
            <w:pPr>
              <w:ind w:left="70"/>
              <w:rPr>
                <w:sz w:val="20"/>
              </w:rPr>
            </w:pPr>
          </w:p>
        </w:tc>
        <w:tc>
          <w:tcPr>
            <w:tcW w:w="654" w:type="pct"/>
            <w:tcBorders>
              <w:top w:val="single" w:sz="4" w:space="0" w:color="auto"/>
              <w:left w:val="single" w:sz="4" w:space="0" w:color="auto"/>
              <w:bottom w:val="single" w:sz="4" w:space="0" w:color="auto"/>
              <w:right w:val="single" w:sz="4" w:space="0" w:color="auto"/>
            </w:tcBorders>
          </w:tcPr>
          <w:p w14:paraId="4C118B45" w14:textId="77777777" w:rsidR="00480915" w:rsidRPr="00480915" w:rsidRDefault="00480915" w:rsidP="00A96B6C">
            <w:pPr>
              <w:ind w:left="70"/>
              <w:rPr>
                <w:b/>
                <w:bCs/>
                <w:sz w:val="20"/>
              </w:rPr>
            </w:pPr>
          </w:p>
        </w:tc>
      </w:tr>
      <w:tr w:rsidR="00480915" w:rsidRPr="00480915" w14:paraId="59592996" w14:textId="77777777" w:rsidTr="00A96B6C">
        <w:tc>
          <w:tcPr>
            <w:tcW w:w="935" w:type="pct"/>
            <w:tcBorders>
              <w:top w:val="single" w:sz="4" w:space="0" w:color="auto"/>
              <w:left w:val="single" w:sz="4" w:space="0" w:color="auto"/>
              <w:bottom w:val="single" w:sz="4" w:space="0" w:color="auto"/>
              <w:right w:val="single" w:sz="4" w:space="0" w:color="auto"/>
            </w:tcBorders>
            <w:hideMark/>
          </w:tcPr>
          <w:p w14:paraId="453B334D" w14:textId="77777777" w:rsidR="00480915" w:rsidRPr="00480915" w:rsidRDefault="00480915" w:rsidP="00A96B6C">
            <w:pPr>
              <w:ind w:left="70"/>
              <w:rPr>
                <w:b/>
                <w:bCs/>
                <w:sz w:val="20"/>
              </w:rPr>
            </w:pPr>
            <w:r w:rsidRPr="00480915">
              <w:rPr>
                <w:b/>
                <w:bCs/>
                <w:sz w:val="20"/>
              </w:rPr>
              <w:t>Almene symptomer og reaktioner på administrations-stedet</w:t>
            </w:r>
          </w:p>
        </w:tc>
        <w:tc>
          <w:tcPr>
            <w:tcW w:w="701" w:type="pct"/>
            <w:tcBorders>
              <w:top w:val="single" w:sz="4" w:space="0" w:color="auto"/>
              <w:left w:val="single" w:sz="4" w:space="0" w:color="auto"/>
              <w:bottom w:val="single" w:sz="4" w:space="0" w:color="auto"/>
              <w:right w:val="single" w:sz="4" w:space="0" w:color="auto"/>
            </w:tcBorders>
          </w:tcPr>
          <w:p w14:paraId="0B2BDAC8" w14:textId="77777777" w:rsidR="00480915" w:rsidRPr="00480915" w:rsidRDefault="00480915" w:rsidP="00A96B6C">
            <w:pPr>
              <w:ind w:left="70"/>
              <w:rPr>
                <w:sz w:val="20"/>
              </w:rPr>
            </w:pPr>
          </w:p>
        </w:tc>
        <w:tc>
          <w:tcPr>
            <w:tcW w:w="863" w:type="pct"/>
            <w:tcBorders>
              <w:top w:val="single" w:sz="4" w:space="0" w:color="auto"/>
              <w:left w:val="single" w:sz="4" w:space="0" w:color="auto"/>
              <w:bottom w:val="single" w:sz="4" w:space="0" w:color="auto"/>
              <w:right w:val="single" w:sz="4" w:space="0" w:color="auto"/>
            </w:tcBorders>
            <w:hideMark/>
          </w:tcPr>
          <w:p w14:paraId="2C74DAE9" w14:textId="77777777" w:rsidR="00480915" w:rsidRPr="00480915" w:rsidRDefault="00480915" w:rsidP="00A96B6C">
            <w:pPr>
              <w:ind w:left="70"/>
              <w:rPr>
                <w:sz w:val="20"/>
              </w:rPr>
            </w:pPr>
            <w:r w:rsidRPr="00480915">
              <w:rPr>
                <w:sz w:val="20"/>
              </w:rPr>
              <w:t xml:space="preserve">Asteni, træthed, fornemmelse af ændret </w:t>
            </w:r>
            <w:proofErr w:type="spellStart"/>
            <w:r w:rsidRPr="00480915">
              <w:rPr>
                <w:sz w:val="20"/>
              </w:rPr>
              <w:t>legems-temperatur</w:t>
            </w:r>
            <w:proofErr w:type="spellEnd"/>
            <w:r w:rsidRPr="00480915">
              <w:rPr>
                <w:sz w:val="20"/>
              </w:rPr>
              <w:t>, tørre slimhinder, ødem</w:t>
            </w:r>
          </w:p>
        </w:tc>
        <w:tc>
          <w:tcPr>
            <w:tcW w:w="1053" w:type="pct"/>
            <w:tcBorders>
              <w:top w:val="single" w:sz="4" w:space="0" w:color="auto"/>
              <w:left w:val="single" w:sz="4" w:space="0" w:color="auto"/>
              <w:bottom w:val="single" w:sz="4" w:space="0" w:color="auto"/>
              <w:right w:val="single" w:sz="4" w:space="0" w:color="auto"/>
            </w:tcBorders>
            <w:hideMark/>
          </w:tcPr>
          <w:p w14:paraId="19FEF596" w14:textId="77777777" w:rsidR="00480915" w:rsidRPr="00480915" w:rsidRDefault="00480915" w:rsidP="00A96B6C">
            <w:pPr>
              <w:ind w:left="70"/>
              <w:rPr>
                <w:sz w:val="20"/>
              </w:rPr>
            </w:pPr>
            <w:proofErr w:type="spellStart"/>
            <w:r w:rsidRPr="00480915">
              <w:rPr>
                <w:sz w:val="20"/>
              </w:rPr>
              <w:t>Seponeringssyndrom</w:t>
            </w:r>
            <w:proofErr w:type="spellEnd"/>
            <w:r w:rsidRPr="00480915">
              <w:rPr>
                <w:sz w:val="20"/>
              </w:rPr>
              <w:t>, utilpashed, irritabilitet</w:t>
            </w:r>
          </w:p>
        </w:tc>
        <w:tc>
          <w:tcPr>
            <w:tcW w:w="794" w:type="pct"/>
            <w:tcBorders>
              <w:top w:val="single" w:sz="4" w:space="0" w:color="auto"/>
              <w:left w:val="single" w:sz="4" w:space="0" w:color="auto"/>
              <w:bottom w:val="single" w:sz="4" w:space="0" w:color="auto"/>
              <w:right w:val="single" w:sz="4" w:space="0" w:color="auto"/>
            </w:tcBorders>
            <w:hideMark/>
          </w:tcPr>
          <w:p w14:paraId="65204645" w14:textId="77777777" w:rsidR="00480915" w:rsidRPr="00480915" w:rsidRDefault="00480915" w:rsidP="00A96B6C">
            <w:pPr>
              <w:ind w:left="70"/>
              <w:rPr>
                <w:sz w:val="20"/>
              </w:rPr>
            </w:pPr>
            <w:r w:rsidRPr="00480915">
              <w:rPr>
                <w:sz w:val="20"/>
              </w:rPr>
              <w:t>Fornemmelse af beruselse, fornemmelse af afslappethed</w:t>
            </w:r>
          </w:p>
        </w:tc>
        <w:tc>
          <w:tcPr>
            <w:tcW w:w="654" w:type="pct"/>
            <w:tcBorders>
              <w:top w:val="single" w:sz="4" w:space="0" w:color="auto"/>
              <w:left w:val="single" w:sz="4" w:space="0" w:color="auto"/>
              <w:bottom w:val="single" w:sz="4" w:space="0" w:color="auto"/>
              <w:right w:val="single" w:sz="4" w:space="0" w:color="auto"/>
            </w:tcBorders>
          </w:tcPr>
          <w:p w14:paraId="2234A98C" w14:textId="77777777" w:rsidR="00480915" w:rsidRPr="00480915" w:rsidRDefault="00480915" w:rsidP="00A96B6C">
            <w:pPr>
              <w:ind w:left="70"/>
              <w:rPr>
                <w:b/>
                <w:bCs/>
                <w:sz w:val="20"/>
              </w:rPr>
            </w:pPr>
          </w:p>
        </w:tc>
      </w:tr>
      <w:tr w:rsidR="00480915" w:rsidRPr="00480915" w14:paraId="7770D880" w14:textId="77777777" w:rsidTr="00A96B6C">
        <w:tc>
          <w:tcPr>
            <w:tcW w:w="5000" w:type="pct"/>
            <w:gridSpan w:val="6"/>
            <w:tcBorders>
              <w:top w:val="single" w:sz="4" w:space="0" w:color="auto"/>
              <w:left w:val="single" w:sz="4" w:space="0" w:color="auto"/>
              <w:bottom w:val="single" w:sz="4" w:space="0" w:color="auto"/>
              <w:right w:val="single" w:sz="4" w:space="0" w:color="auto"/>
            </w:tcBorders>
            <w:hideMark/>
          </w:tcPr>
          <w:p w14:paraId="4C9D5581" w14:textId="4956BE92" w:rsidR="00480915" w:rsidRPr="00480915" w:rsidRDefault="00480915" w:rsidP="00B13B7D">
            <w:pPr>
              <w:tabs>
                <w:tab w:val="left" w:pos="430"/>
              </w:tabs>
              <w:ind w:left="70"/>
              <w:rPr>
                <w:i/>
                <w:iCs/>
                <w:sz w:val="20"/>
              </w:rPr>
            </w:pPr>
            <w:r w:rsidRPr="00480915">
              <w:rPr>
                <w:i/>
                <w:iCs/>
                <w:sz w:val="20"/>
                <w:vertAlign w:val="superscript"/>
              </w:rPr>
              <w:t xml:space="preserve">* </w:t>
            </w:r>
            <w:r w:rsidR="00B13B7D">
              <w:rPr>
                <w:i/>
                <w:iCs/>
                <w:sz w:val="20"/>
                <w:vertAlign w:val="superscript"/>
              </w:rPr>
              <w:tab/>
            </w:r>
            <w:r w:rsidRPr="00480915">
              <w:rPr>
                <w:i/>
                <w:iCs/>
                <w:sz w:val="20"/>
              </w:rPr>
              <w:t xml:space="preserve">Sjældne tilfælde af </w:t>
            </w:r>
            <w:proofErr w:type="spellStart"/>
            <w:r w:rsidRPr="00480915">
              <w:rPr>
                <w:i/>
                <w:iCs/>
                <w:sz w:val="20"/>
              </w:rPr>
              <w:t>angioødem</w:t>
            </w:r>
            <w:proofErr w:type="spellEnd"/>
            <w:r w:rsidRPr="00480915">
              <w:rPr>
                <w:i/>
                <w:iCs/>
                <w:sz w:val="20"/>
              </w:rPr>
              <w:t xml:space="preserve">, anafylaksi og </w:t>
            </w:r>
            <w:proofErr w:type="spellStart"/>
            <w:r w:rsidRPr="00480915">
              <w:rPr>
                <w:i/>
                <w:iCs/>
                <w:sz w:val="20"/>
              </w:rPr>
              <w:t>anafylaktisk</w:t>
            </w:r>
            <w:proofErr w:type="spellEnd"/>
            <w:r w:rsidRPr="00480915">
              <w:rPr>
                <w:i/>
                <w:iCs/>
                <w:sz w:val="20"/>
              </w:rPr>
              <w:t xml:space="preserve"> </w:t>
            </w:r>
            <w:proofErr w:type="spellStart"/>
            <w:r w:rsidRPr="00480915">
              <w:rPr>
                <w:i/>
                <w:iCs/>
                <w:sz w:val="20"/>
              </w:rPr>
              <w:t>shock</w:t>
            </w:r>
            <w:proofErr w:type="spellEnd"/>
            <w:r w:rsidRPr="00480915">
              <w:rPr>
                <w:i/>
                <w:iCs/>
                <w:sz w:val="20"/>
              </w:rPr>
              <w:t xml:space="preserve"> er rapporteret efter markedsføring.</w:t>
            </w:r>
          </w:p>
          <w:p w14:paraId="4AE612ED" w14:textId="7E8757E4" w:rsidR="00480915" w:rsidRPr="00480915" w:rsidRDefault="00480915" w:rsidP="00B13B7D">
            <w:pPr>
              <w:tabs>
                <w:tab w:val="left" w:pos="430"/>
              </w:tabs>
              <w:ind w:left="70"/>
              <w:rPr>
                <w:b/>
                <w:bCs/>
                <w:sz w:val="20"/>
              </w:rPr>
            </w:pPr>
            <w:r w:rsidRPr="00480915">
              <w:rPr>
                <w:i/>
                <w:iCs/>
                <w:sz w:val="20"/>
                <w:vertAlign w:val="superscript"/>
              </w:rPr>
              <w:t>**</w:t>
            </w:r>
            <w:r w:rsidRPr="00480915">
              <w:rPr>
                <w:i/>
                <w:iCs/>
                <w:sz w:val="20"/>
              </w:rPr>
              <w:t xml:space="preserve"> </w:t>
            </w:r>
            <w:r w:rsidR="00B13B7D">
              <w:rPr>
                <w:i/>
                <w:iCs/>
                <w:sz w:val="20"/>
              </w:rPr>
              <w:tab/>
            </w:r>
            <w:r w:rsidRPr="00480915">
              <w:rPr>
                <w:i/>
                <w:iCs/>
                <w:sz w:val="20"/>
              </w:rPr>
              <w:t xml:space="preserve">Efter markedsføring er der observeret tilfælde af delirium hos patienter med yderligere risikofaktorer såsom </w:t>
            </w:r>
            <w:r w:rsidR="00B13B7D">
              <w:rPr>
                <w:i/>
                <w:iCs/>
                <w:sz w:val="20"/>
              </w:rPr>
              <w:tab/>
            </w:r>
            <w:r w:rsidRPr="00480915">
              <w:rPr>
                <w:i/>
                <w:iCs/>
                <w:sz w:val="20"/>
              </w:rPr>
              <w:t>kræft og fremskreden alder.</w:t>
            </w:r>
          </w:p>
        </w:tc>
      </w:tr>
    </w:tbl>
    <w:p w14:paraId="3F2E8E80" w14:textId="77777777" w:rsidR="00480915" w:rsidRPr="00480915" w:rsidRDefault="00480915" w:rsidP="00A96B6C">
      <w:pPr>
        <w:ind w:left="851"/>
        <w:rPr>
          <w:sz w:val="24"/>
          <w:szCs w:val="24"/>
        </w:rPr>
      </w:pPr>
    </w:p>
    <w:p w14:paraId="781DA2D5" w14:textId="77777777" w:rsidR="00480915" w:rsidRPr="00480915" w:rsidRDefault="00480915" w:rsidP="00A96B6C">
      <w:pPr>
        <w:ind w:left="851"/>
        <w:rPr>
          <w:sz w:val="24"/>
          <w:szCs w:val="24"/>
          <w:u w:val="single"/>
        </w:rPr>
      </w:pPr>
      <w:r w:rsidRPr="00480915">
        <w:rPr>
          <w:sz w:val="24"/>
          <w:szCs w:val="24"/>
          <w:u w:val="single"/>
        </w:rPr>
        <w:t>Lægemiddelafhængighed</w:t>
      </w:r>
    </w:p>
    <w:p w14:paraId="23FCB985" w14:textId="31AAB338" w:rsidR="00480915" w:rsidRPr="00480915" w:rsidRDefault="00480915" w:rsidP="00A96B6C">
      <w:pPr>
        <w:ind w:left="851"/>
        <w:rPr>
          <w:sz w:val="24"/>
          <w:szCs w:val="24"/>
        </w:rPr>
      </w:pPr>
      <w:r w:rsidRPr="00480915">
        <w:rPr>
          <w:sz w:val="24"/>
          <w:szCs w:val="24"/>
        </w:rPr>
        <w:t xml:space="preserve">Gentagen brug af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kan føre til lægemiddelafhængighed, selv ved terapeutiske doser. Risikoen for lægemiddelafhængighed kan variere afhængigt af patientens individuelle risikofaktorer, dosis og varighed af opioidbehandlingen (se pkt. 4.4).</w:t>
      </w:r>
    </w:p>
    <w:p w14:paraId="3165EBC6" w14:textId="77777777" w:rsidR="00480915" w:rsidRPr="00480915" w:rsidRDefault="00480915" w:rsidP="00A96B6C">
      <w:pPr>
        <w:ind w:left="851"/>
        <w:rPr>
          <w:sz w:val="24"/>
          <w:szCs w:val="24"/>
        </w:rPr>
      </w:pPr>
    </w:p>
    <w:p w14:paraId="2E12D735" w14:textId="77777777" w:rsidR="00480915" w:rsidRPr="00480915" w:rsidRDefault="00480915" w:rsidP="00A96B6C">
      <w:pPr>
        <w:ind w:left="851"/>
        <w:rPr>
          <w:sz w:val="24"/>
          <w:szCs w:val="24"/>
        </w:rPr>
      </w:pPr>
      <w:r w:rsidRPr="00480915">
        <w:rPr>
          <w:sz w:val="24"/>
          <w:szCs w:val="24"/>
        </w:rPr>
        <w:t xml:space="preserve">I kliniske studier, hvor patienterne blev eksponeret for </w:t>
      </w:r>
      <w:proofErr w:type="spellStart"/>
      <w:r w:rsidRPr="00480915">
        <w:rPr>
          <w:sz w:val="24"/>
          <w:szCs w:val="24"/>
        </w:rPr>
        <w:t>tapentadol</w:t>
      </w:r>
      <w:proofErr w:type="spellEnd"/>
      <w:r w:rsidRPr="00480915">
        <w:rPr>
          <w:sz w:val="24"/>
          <w:szCs w:val="24"/>
        </w:rPr>
        <w:t xml:space="preserve"> i op til 1 år, blev der ikke observeret mange tegn på </w:t>
      </w:r>
      <w:proofErr w:type="spellStart"/>
      <w:r w:rsidRPr="00480915">
        <w:rPr>
          <w:sz w:val="24"/>
          <w:szCs w:val="24"/>
        </w:rPr>
        <w:t>seponeringssymptomer</w:t>
      </w:r>
      <w:proofErr w:type="spellEnd"/>
      <w:r w:rsidRPr="00480915">
        <w:rPr>
          <w:sz w:val="24"/>
          <w:szCs w:val="24"/>
        </w:rPr>
        <w:t xml:space="preserve"> efter brat afbrydelse af behandlingen, og de få observerede symptomer var generelt af mild karakter. Læger bør dog være på vagt over for </w:t>
      </w:r>
      <w:proofErr w:type="spellStart"/>
      <w:r w:rsidRPr="00480915">
        <w:rPr>
          <w:sz w:val="24"/>
          <w:szCs w:val="24"/>
        </w:rPr>
        <w:t>seponeringssymptomer</w:t>
      </w:r>
      <w:proofErr w:type="spellEnd"/>
      <w:r w:rsidRPr="00480915">
        <w:rPr>
          <w:sz w:val="24"/>
          <w:szCs w:val="24"/>
        </w:rPr>
        <w:t xml:space="preserve"> (se pkt. 4.2) og behandle patienterne efter anvisningerne, hvis de opstår.</w:t>
      </w:r>
    </w:p>
    <w:p w14:paraId="23D6E2A6" w14:textId="77777777" w:rsidR="00480915" w:rsidRPr="00480915" w:rsidRDefault="00480915" w:rsidP="00A96B6C">
      <w:pPr>
        <w:ind w:left="851"/>
        <w:rPr>
          <w:sz w:val="24"/>
          <w:szCs w:val="24"/>
        </w:rPr>
      </w:pPr>
    </w:p>
    <w:p w14:paraId="05C1BE58" w14:textId="77777777" w:rsidR="00480915" w:rsidRPr="00480915" w:rsidRDefault="00480915" w:rsidP="00A96B6C">
      <w:pPr>
        <w:ind w:left="851"/>
        <w:rPr>
          <w:sz w:val="24"/>
          <w:szCs w:val="24"/>
        </w:rPr>
      </w:pPr>
      <w:r w:rsidRPr="00480915">
        <w:rPr>
          <w:sz w:val="24"/>
          <w:szCs w:val="24"/>
        </w:rPr>
        <w:t xml:space="preserve">Det er velkendt, at risikoen for selvmordstanker og selvmord er højere hos patienter med kroniske smerter. Yderligere er stoffer med udpræget indvirkning på det </w:t>
      </w:r>
      <w:proofErr w:type="spellStart"/>
      <w:r w:rsidRPr="00480915">
        <w:rPr>
          <w:sz w:val="24"/>
          <w:szCs w:val="24"/>
        </w:rPr>
        <w:t>monoaminerge</w:t>
      </w:r>
      <w:proofErr w:type="spellEnd"/>
      <w:r w:rsidRPr="00480915">
        <w:rPr>
          <w:sz w:val="24"/>
          <w:szCs w:val="24"/>
        </w:rPr>
        <w:t xml:space="preserve"> system, sat i forbindelse med øget risiko for suicidal adfærd hos patienter med depression, især i starten af behandlingen. Data fra kliniske studier med </w:t>
      </w:r>
      <w:proofErr w:type="spellStart"/>
      <w:r w:rsidRPr="00480915">
        <w:rPr>
          <w:sz w:val="24"/>
          <w:szCs w:val="24"/>
        </w:rPr>
        <w:t>tapentadol</w:t>
      </w:r>
      <w:proofErr w:type="spellEnd"/>
      <w:r w:rsidRPr="00480915">
        <w:rPr>
          <w:sz w:val="24"/>
          <w:szCs w:val="24"/>
        </w:rPr>
        <w:t xml:space="preserve"> og post-marketing rapporter har ikke påvist en øget risiko med </w:t>
      </w:r>
      <w:proofErr w:type="spellStart"/>
      <w:r w:rsidRPr="00480915">
        <w:rPr>
          <w:sz w:val="24"/>
          <w:szCs w:val="24"/>
        </w:rPr>
        <w:t>tapentadol</w:t>
      </w:r>
      <w:proofErr w:type="spellEnd"/>
      <w:r w:rsidRPr="00480915">
        <w:rPr>
          <w:sz w:val="24"/>
          <w:szCs w:val="24"/>
        </w:rPr>
        <w:t>.</w:t>
      </w:r>
    </w:p>
    <w:p w14:paraId="74AFE6BF" w14:textId="77777777" w:rsidR="00480915" w:rsidRPr="00480915" w:rsidRDefault="00480915" w:rsidP="00A96B6C">
      <w:pPr>
        <w:ind w:left="851"/>
        <w:rPr>
          <w:sz w:val="24"/>
          <w:szCs w:val="24"/>
        </w:rPr>
      </w:pPr>
    </w:p>
    <w:p w14:paraId="1B3410BF" w14:textId="77777777" w:rsidR="00480915" w:rsidRPr="00480915" w:rsidRDefault="00480915" w:rsidP="00A96B6C">
      <w:pPr>
        <w:ind w:left="851"/>
        <w:rPr>
          <w:sz w:val="24"/>
          <w:szCs w:val="24"/>
          <w:u w:val="single"/>
        </w:rPr>
      </w:pPr>
      <w:r w:rsidRPr="00480915">
        <w:rPr>
          <w:sz w:val="24"/>
          <w:szCs w:val="24"/>
          <w:u w:val="single"/>
        </w:rPr>
        <w:t>Indberetning af formodede bivirkninger</w:t>
      </w:r>
    </w:p>
    <w:p w14:paraId="37731D78" w14:textId="77777777" w:rsidR="00480915" w:rsidRPr="00480915" w:rsidRDefault="00480915" w:rsidP="00A96B6C">
      <w:pPr>
        <w:ind w:left="851"/>
        <w:rPr>
          <w:sz w:val="24"/>
          <w:szCs w:val="24"/>
        </w:rPr>
      </w:pPr>
      <w:r w:rsidRPr="00480915">
        <w:rPr>
          <w:sz w:val="24"/>
          <w:szCs w:val="24"/>
        </w:rPr>
        <w:t>Når lægemidlet er godkendt, er indberetning af formodede bivirkninger vigtig. Det muliggør løbende overvågning af benefit/</w:t>
      </w:r>
      <w:proofErr w:type="spellStart"/>
      <w:r w:rsidRPr="00480915">
        <w:rPr>
          <w:sz w:val="24"/>
          <w:szCs w:val="24"/>
        </w:rPr>
        <w:t>risk</w:t>
      </w:r>
      <w:proofErr w:type="spellEnd"/>
      <w:r w:rsidRPr="00480915">
        <w:rPr>
          <w:sz w:val="24"/>
          <w:szCs w:val="24"/>
        </w:rPr>
        <w:t>-forholdet for lægemidlet. Sundhedspersoner anmodes om at indberette alle formodede bivirkninger via:</w:t>
      </w:r>
    </w:p>
    <w:p w14:paraId="563E5344" w14:textId="77777777" w:rsidR="00480915" w:rsidRPr="00480915" w:rsidRDefault="00480915" w:rsidP="00A96B6C">
      <w:pPr>
        <w:ind w:left="851"/>
        <w:rPr>
          <w:sz w:val="24"/>
          <w:szCs w:val="24"/>
        </w:rPr>
      </w:pPr>
    </w:p>
    <w:p w14:paraId="300D4D44" w14:textId="77777777" w:rsidR="00480915" w:rsidRPr="00480915" w:rsidRDefault="00480915" w:rsidP="00A96B6C">
      <w:pPr>
        <w:ind w:left="851"/>
        <w:rPr>
          <w:sz w:val="24"/>
          <w:szCs w:val="24"/>
        </w:rPr>
      </w:pPr>
      <w:r w:rsidRPr="00480915">
        <w:rPr>
          <w:sz w:val="24"/>
          <w:szCs w:val="24"/>
        </w:rPr>
        <w:t>Lægemiddelstyrelsen</w:t>
      </w:r>
    </w:p>
    <w:p w14:paraId="095A0352" w14:textId="77777777" w:rsidR="00480915" w:rsidRPr="00480915" w:rsidRDefault="00480915" w:rsidP="00A96B6C">
      <w:pPr>
        <w:ind w:left="851"/>
        <w:rPr>
          <w:sz w:val="24"/>
          <w:szCs w:val="24"/>
        </w:rPr>
      </w:pPr>
      <w:r w:rsidRPr="00480915">
        <w:rPr>
          <w:sz w:val="24"/>
          <w:szCs w:val="24"/>
        </w:rPr>
        <w:t>Axel Heides Gade 1</w:t>
      </w:r>
    </w:p>
    <w:p w14:paraId="5D3E1D8E" w14:textId="77777777" w:rsidR="00480915" w:rsidRPr="00480915" w:rsidRDefault="00480915" w:rsidP="00A96B6C">
      <w:pPr>
        <w:ind w:left="851"/>
        <w:rPr>
          <w:sz w:val="24"/>
          <w:szCs w:val="24"/>
        </w:rPr>
      </w:pPr>
      <w:r w:rsidRPr="00480915">
        <w:rPr>
          <w:sz w:val="24"/>
          <w:szCs w:val="24"/>
        </w:rPr>
        <w:t>DK-2300 København S</w:t>
      </w:r>
    </w:p>
    <w:p w14:paraId="3300B657" w14:textId="77777777" w:rsidR="00480915" w:rsidRPr="00480915" w:rsidRDefault="00480915" w:rsidP="00A96B6C">
      <w:pPr>
        <w:ind w:left="851"/>
        <w:rPr>
          <w:sz w:val="24"/>
          <w:szCs w:val="24"/>
        </w:rPr>
      </w:pPr>
      <w:r w:rsidRPr="00480915">
        <w:rPr>
          <w:sz w:val="24"/>
          <w:szCs w:val="24"/>
        </w:rPr>
        <w:t>Websted: www.meldenbivirkning.dk</w:t>
      </w:r>
    </w:p>
    <w:p w14:paraId="3D5FF4B5" w14:textId="4940A139" w:rsidR="0024457E" w:rsidRPr="00301E7F" w:rsidRDefault="0024457E">
      <w:pPr>
        <w:rPr>
          <w:sz w:val="24"/>
          <w:szCs w:val="24"/>
        </w:rPr>
      </w:pPr>
      <w:r w:rsidRPr="00301E7F">
        <w:rPr>
          <w:sz w:val="24"/>
          <w:szCs w:val="24"/>
        </w:rPr>
        <w:br w:type="page"/>
      </w:r>
    </w:p>
    <w:p w14:paraId="4F75D196" w14:textId="77777777" w:rsidR="00480915" w:rsidRPr="00480915" w:rsidRDefault="00480915" w:rsidP="00A96B6C">
      <w:pPr>
        <w:ind w:left="851"/>
        <w:rPr>
          <w:sz w:val="24"/>
          <w:szCs w:val="24"/>
        </w:rPr>
      </w:pPr>
    </w:p>
    <w:p w14:paraId="253B9A13" w14:textId="77777777" w:rsidR="00480915" w:rsidRPr="00480915" w:rsidRDefault="00480915" w:rsidP="00A96B6C">
      <w:pPr>
        <w:ind w:left="851"/>
        <w:rPr>
          <w:b/>
          <w:i/>
          <w:sz w:val="24"/>
          <w:szCs w:val="24"/>
        </w:rPr>
      </w:pPr>
      <w:r w:rsidRPr="00480915">
        <w:rPr>
          <w:b/>
          <w:i/>
          <w:sz w:val="24"/>
          <w:szCs w:val="24"/>
        </w:rPr>
        <w:t>Pædiatrisk population</w:t>
      </w:r>
    </w:p>
    <w:p w14:paraId="7A9287F7" w14:textId="5DBC4AD3" w:rsidR="00480915" w:rsidRPr="00480915" w:rsidRDefault="00480915" w:rsidP="00A96B6C">
      <w:pPr>
        <w:ind w:left="851"/>
        <w:rPr>
          <w:sz w:val="24"/>
          <w:szCs w:val="24"/>
        </w:rPr>
      </w:pPr>
      <w:r w:rsidRPr="00480915">
        <w:rPr>
          <w:sz w:val="24"/>
          <w:szCs w:val="24"/>
        </w:rPr>
        <w:t xml:space="preserve">Frekvens, type og sværhedsgraden af bivirkninger hos børn og unge, der behandles med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forventes at være de samme som hos voksne, der behandles med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Der er ikke identificeret nye sikkerhedsproblemer fra de afsluttede pædiatriske forsøg for nogen af de undersøgte aldersundergrupper. Der er begrænsede kliniske forsøgsdata tilgængelige omkring </w:t>
      </w:r>
      <w:proofErr w:type="spellStart"/>
      <w:r w:rsidRPr="00480915">
        <w:rPr>
          <w:sz w:val="24"/>
          <w:szCs w:val="24"/>
        </w:rPr>
        <w:t>seponeringssymptomer</w:t>
      </w:r>
      <w:proofErr w:type="spellEnd"/>
      <w:r w:rsidRPr="00480915">
        <w:rPr>
          <w:sz w:val="24"/>
          <w:szCs w:val="24"/>
        </w:rPr>
        <w:t xml:space="preserve"> hos børn som bruger depottabletformen af </w:t>
      </w:r>
      <w:proofErr w:type="spellStart"/>
      <w:r w:rsidRPr="00480915">
        <w:rPr>
          <w:sz w:val="24"/>
          <w:szCs w:val="24"/>
        </w:rPr>
        <w:t>tapentadol</w:t>
      </w:r>
      <w:proofErr w:type="spellEnd"/>
      <w:r w:rsidRPr="00480915">
        <w:rPr>
          <w:sz w:val="24"/>
          <w:szCs w:val="24"/>
        </w:rPr>
        <w:t>.</w:t>
      </w:r>
    </w:p>
    <w:p w14:paraId="1C0BE1B7" w14:textId="77777777" w:rsidR="009260DE" w:rsidRPr="00301E7F" w:rsidRDefault="009260DE" w:rsidP="00A10294">
      <w:pPr>
        <w:tabs>
          <w:tab w:val="left" w:pos="851"/>
        </w:tabs>
        <w:ind w:left="851"/>
        <w:rPr>
          <w:sz w:val="24"/>
          <w:szCs w:val="24"/>
        </w:rPr>
      </w:pPr>
    </w:p>
    <w:p w14:paraId="0EDEE294" w14:textId="77777777" w:rsidR="009260DE" w:rsidRPr="00301E7F" w:rsidRDefault="009260DE" w:rsidP="009260DE">
      <w:pPr>
        <w:tabs>
          <w:tab w:val="left" w:pos="851"/>
        </w:tabs>
        <w:ind w:left="851" w:hanging="851"/>
        <w:rPr>
          <w:b/>
          <w:sz w:val="24"/>
          <w:szCs w:val="24"/>
        </w:rPr>
      </w:pPr>
      <w:r w:rsidRPr="00301E7F">
        <w:rPr>
          <w:b/>
          <w:sz w:val="24"/>
          <w:szCs w:val="24"/>
        </w:rPr>
        <w:t>4.9</w:t>
      </w:r>
      <w:r w:rsidRPr="00301E7F">
        <w:rPr>
          <w:b/>
          <w:sz w:val="24"/>
          <w:szCs w:val="24"/>
        </w:rPr>
        <w:tab/>
        <w:t>Overdosering</w:t>
      </w:r>
    </w:p>
    <w:p w14:paraId="64411424" w14:textId="77777777" w:rsidR="00480915" w:rsidRPr="00480915" w:rsidRDefault="00480915" w:rsidP="00A96B6C">
      <w:pPr>
        <w:ind w:left="851"/>
        <w:rPr>
          <w:bCs/>
          <w:sz w:val="24"/>
          <w:szCs w:val="24"/>
        </w:rPr>
      </w:pPr>
    </w:p>
    <w:p w14:paraId="2FAE9E31" w14:textId="77777777" w:rsidR="00480915" w:rsidRPr="00480915" w:rsidRDefault="00480915" w:rsidP="00A96B6C">
      <w:pPr>
        <w:ind w:left="851"/>
        <w:rPr>
          <w:i/>
          <w:iCs/>
          <w:sz w:val="24"/>
          <w:szCs w:val="24"/>
        </w:rPr>
      </w:pPr>
      <w:r w:rsidRPr="00480915">
        <w:rPr>
          <w:i/>
          <w:iCs/>
          <w:sz w:val="24"/>
          <w:szCs w:val="24"/>
        </w:rPr>
        <w:t>Symptomer</w:t>
      </w:r>
    </w:p>
    <w:p w14:paraId="58F793F8" w14:textId="33954825" w:rsidR="00480915" w:rsidRPr="00480915" w:rsidRDefault="00480915" w:rsidP="00A96B6C">
      <w:pPr>
        <w:ind w:left="851"/>
        <w:rPr>
          <w:sz w:val="24"/>
          <w:szCs w:val="24"/>
        </w:rPr>
      </w:pPr>
      <w:r w:rsidRPr="00480915">
        <w:rPr>
          <w:sz w:val="24"/>
          <w:szCs w:val="24"/>
        </w:rPr>
        <w:t xml:space="preserve">Der er begrænset erfaring hos mennesker med overdosering af </w:t>
      </w:r>
      <w:proofErr w:type="spellStart"/>
      <w:r w:rsidRPr="00480915">
        <w:rPr>
          <w:sz w:val="24"/>
          <w:szCs w:val="24"/>
        </w:rPr>
        <w:t>tapentadol</w:t>
      </w:r>
      <w:proofErr w:type="spellEnd"/>
      <w:r w:rsidRPr="00480915">
        <w:rPr>
          <w:sz w:val="24"/>
          <w:szCs w:val="24"/>
        </w:rPr>
        <w:t xml:space="preserve">. Prækliniske data tyder på, at der ved </w:t>
      </w:r>
      <w:proofErr w:type="spellStart"/>
      <w:r w:rsidRPr="00480915">
        <w:rPr>
          <w:sz w:val="24"/>
          <w:szCs w:val="24"/>
        </w:rPr>
        <w:t>intoksikation</w:t>
      </w:r>
      <w:proofErr w:type="spellEnd"/>
      <w:r w:rsidRPr="00480915">
        <w:rPr>
          <w:sz w:val="24"/>
          <w:szCs w:val="24"/>
        </w:rPr>
        <w:t xml:space="preserve"> med </w:t>
      </w:r>
      <w:proofErr w:type="spellStart"/>
      <w:r w:rsidRPr="00480915">
        <w:rPr>
          <w:sz w:val="24"/>
          <w:szCs w:val="24"/>
        </w:rPr>
        <w:t>tapentadol</w:t>
      </w:r>
      <w:proofErr w:type="spellEnd"/>
      <w:r w:rsidRPr="00480915">
        <w:rPr>
          <w:sz w:val="24"/>
          <w:szCs w:val="24"/>
        </w:rPr>
        <w:t xml:space="preserve"> må forventes samme symptomer som ved andre centralt virkende </w:t>
      </w:r>
      <w:proofErr w:type="spellStart"/>
      <w:r w:rsidRPr="00480915">
        <w:rPr>
          <w:sz w:val="24"/>
          <w:szCs w:val="24"/>
        </w:rPr>
        <w:t>analgetika</w:t>
      </w:r>
      <w:proofErr w:type="spellEnd"/>
      <w:r w:rsidRPr="00480915">
        <w:rPr>
          <w:sz w:val="24"/>
          <w:szCs w:val="24"/>
        </w:rPr>
        <w:t xml:space="preserve"> med </w:t>
      </w:r>
      <w:proofErr w:type="spellStart"/>
      <w:r w:rsidRPr="00480915">
        <w:rPr>
          <w:sz w:val="24"/>
          <w:szCs w:val="24"/>
        </w:rPr>
        <w:t>agonistisk</w:t>
      </w:r>
      <w:proofErr w:type="spellEnd"/>
      <w:r w:rsidRPr="00480915">
        <w:rPr>
          <w:sz w:val="24"/>
          <w:szCs w:val="24"/>
        </w:rPr>
        <w:t xml:space="preserve"> påvirkning af µ-opioidreceptorer. I</w:t>
      </w:r>
      <w:r w:rsidR="0024457E" w:rsidRPr="00301E7F">
        <w:rPr>
          <w:sz w:val="24"/>
          <w:szCs w:val="24"/>
        </w:rPr>
        <w:t> </w:t>
      </w:r>
      <w:r w:rsidRPr="00480915">
        <w:rPr>
          <w:sz w:val="24"/>
          <w:szCs w:val="24"/>
        </w:rPr>
        <w:t xml:space="preserve">princippet omfatter disse symptomer ved klinisk brug især </w:t>
      </w:r>
      <w:proofErr w:type="spellStart"/>
      <w:r w:rsidRPr="00480915">
        <w:rPr>
          <w:sz w:val="24"/>
          <w:szCs w:val="24"/>
        </w:rPr>
        <w:t>miosis</w:t>
      </w:r>
      <w:proofErr w:type="spellEnd"/>
      <w:r w:rsidRPr="00480915">
        <w:rPr>
          <w:sz w:val="24"/>
          <w:szCs w:val="24"/>
        </w:rPr>
        <w:t>, opkastning, kardiovaskulært kollaps, bevidsthedsforstyrrelser til koma, kramper og respirations</w:t>
      </w:r>
      <w:r w:rsidR="0024457E" w:rsidRPr="00301E7F">
        <w:rPr>
          <w:sz w:val="24"/>
          <w:szCs w:val="24"/>
        </w:rPr>
        <w:softHyphen/>
      </w:r>
      <w:r w:rsidRPr="00480915">
        <w:rPr>
          <w:sz w:val="24"/>
          <w:szCs w:val="24"/>
        </w:rPr>
        <w:t>depression til respirationsstop, der kan være fatalt.</w:t>
      </w:r>
    </w:p>
    <w:p w14:paraId="2CF46697" w14:textId="77777777" w:rsidR="00480915" w:rsidRPr="00480915" w:rsidRDefault="00480915" w:rsidP="00A96B6C">
      <w:pPr>
        <w:ind w:left="851"/>
        <w:rPr>
          <w:sz w:val="24"/>
          <w:szCs w:val="24"/>
        </w:rPr>
      </w:pPr>
    </w:p>
    <w:p w14:paraId="37106BFF" w14:textId="77777777" w:rsidR="00480915" w:rsidRPr="00480915" w:rsidRDefault="00480915" w:rsidP="00A96B6C">
      <w:pPr>
        <w:ind w:left="851"/>
        <w:rPr>
          <w:i/>
          <w:iCs/>
          <w:sz w:val="24"/>
          <w:szCs w:val="24"/>
        </w:rPr>
      </w:pPr>
      <w:r w:rsidRPr="00480915">
        <w:rPr>
          <w:i/>
          <w:iCs/>
          <w:sz w:val="24"/>
          <w:szCs w:val="24"/>
        </w:rPr>
        <w:t>Behandling</w:t>
      </w:r>
    </w:p>
    <w:p w14:paraId="0C0BF7DF" w14:textId="77777777" w:rsidR="00480915" w:rsidRPr="00480915" w:rsidRDefault="00480915" w:rsidP="00A96B6C">
      <w:pPr>
        <w:ind w:left="851"/>
        <w:rPr>
          <w:sz w:val="24"/>
          <w:szCs w:val="24"/>
        </w:rPr>
      </w:pPr>
      <w:r w:rsidRPr="00480915">
        <w:rPr>
          <w:sz w:val="24"/>
          <w:szCs w:val="24"/>
        </w:rPr>
        <w:t>Ved overdosering skal behandlingen rettes mod symptomerne ved µ-</w:t>
      </w:r>
      <w:proofErr w:type="spellStart"/>
      <w:r w:rsidRPr="00480915">
        <w:rPr>
          <w:sz w:val="24"/>
          <w:szCs w:val="24"/>
        </w:rPr>
        <w:t>opioidagonisme</w:t>
      </w:r>
      <w:proofErr w:type="spellEnd"/>
      <w:r w:rsidRPr="00480915">
        <w:rPr>
          <w:sz w:val="24"/>
          <w:szCs w:val="24"/>
        </w:rPr>
        <w:t xml:space="preserve">. Ved mistanke om overdosering af </w:t>
      </w:r>
      <w:proofErr w:type="spellStart"/>
      <w:r w:rsidRPr="00480915">
        <w:rPr>
          <w:sz w:val="24"/>
          <w:szCs w:val="24"/>
        </w:rPr>
        <w:t>tapentadol</w:t>
      </w:r>
      <w:proofErr w:type="spellEnd"/>
      <w:r w:rsidRPr="00480915">
        <w:rPr>
          <w:sz w:val="24"/>
          <w:szCs w:val="24"/>
        </w:rPr>
        <w:t xml:space="preserve"> skal der først og fremmest genskabes frie luftveje og indledes assisteret eller kontrolleret ventilation.</w:t>
      </w:r>
    </w:p>
    <w:p w14:paraId="4230DE82" w14:textId="77777777" w:rsidR="00480915" w:rsidRPr="00480915" w:rsidRDefault="00480915" w:rsidP="00A96B6C">
      <w:pPr>
        <w:ind w:left="851"/>
        <w:rPr>
          <w:sz w:val="24"/>
          <w:szCs w:val="24"/>
        </w:rPr>
      </w:pPr>
      <w:r w:rsidRPr="00480915">
        <w:rPr>
          <w:sz w:val="24"/>
          <w:szCs w:val="24"/>
        </w:rPr>
        <w:t xml:space="preserve">Rene opioidantagonister såsom </w:t>
      </w:r>
      <w:proofErr w:type="spellStart"/>
      <w:r w:rsidRPr="00480915">
        <w:rPr>
          <w:sz w:val="24"/>
          <w:szCs w:val="24"/>
        </w:rPr>
        <w:t>naloxon</w:t>
      </w:r>
      <w:proofErr w:type="spellEnd"/>
      <w:r w:rsidRPr="00480915">
        <w:rPr>
          <w:sz w:val="24"/>
          <w:szCs w:val="24"/>
        </w:rPr>
        <w:t xml:space="preserve"> fungerer som specifikke antidoter mod respirationsdepression, der skyldes overdosering med opioider. Respirationsdepression efter en overdosis kan vare længere end virkningen af opioidantagonisten. Administration af en opioidantagonist kan dog ikke fungere som substitut for kontinuerlig monitorering af luftveje, åndedræt og kredsløb efter overdosering med et opioid. I tilfælde af suboptimalt eller kortvarigt respons på opioidantagonister bør der suppleres med endnu en dosis antagonist (f.eks. </w:t>
      </w:r>
      <w:proofErr w:type="spellStart"/>
      <w:r w:rsidRPr="00480915">
        <w:rPr>
          <w:sz w:val="24"/>
          <w:szCs w:val="24"/>
        </w:rPr>
        <w:t>nalaxon</w:t>
      </w:r>
      <w:proofErr w:type="spellEnd"/>
      <w:r w:rsidRPr="00480915">
        <w:rPr>
          <w:sz w:val="24"/>
          <w:szCs w:val="24"/>
        </w:rPr>
        <w:t>) som angivet i fremstillerens produktinformation.</w:t>
      </w:r>
    </w:p>
    <w:p w14:paraId="67D4F96A" w14:textId="77777777" w:rsidR="00480915" w:rsidRPr="00480915" w:rsidRDefault="00480915" w:rsidP="00A96B6C">
      <w:pPr>
        <w:ind w:left="851"/>
        <w:rPr>
          <w:sz w:val="24"/>
          <w:szCs w:val="24"/>
        </w:rPr>
      </w:pPr>
      <w:proofErr w:type="spellStart"/>
      <w:r w:rsidRPr="00480915">
        <w:rPr>
          <w:sz w:val="24"/>
          <w:szCs w:val="24"/>
        </w:rPr>
        <w:t>Gastrointestinal</w:t>
      </w:r>
      <w:proofErr w:type="spellEnd"/>
      <w:r w:rsidRPr="00480915">
        <w:rPr>
          <w:sz w:val="24"/>
          <w:szCs w:val="24"/>
        </w:rPr>
        <w:t xml:space="preserve"> dekontaminering kan overvejes for at eliminere aktivt stof, som ikke er absorberet. Der kan udføres </w:t>
      </w:r>
      <w:proofErr w:type="spellStart"/>
      <w:r w:rsidRPr="00480915">
        <w:rPr>
          <w:sz w:val="24"/>
          <w:szCs w:val="24"/>
        </w:rPr>
        <w:t>gastrointestinal</w:t>
      </w:r>
      <w:proofErr w:type="spellEnd"/>
      <w:r w:rsidRPr="00480915">
        <w:rPr>
          <w:sz w:val="24"/>
          <w:szCs w:val="24"/>
        </w:rPr>
        <w:t xml:space="preserve"> dekontaminering med aktivt kul eller ventrikeltømning inden for 2 timer efter indtagelsen. Frie luftveje skal sikres før bestræbelser på </w:t>
      </w:r>
      <w:proofErr w:type="spellStart"/>
      <w:r w:rsidRPr="00480915">
        <w:rPr>
          <w:sz w:val="24"/>
          <w:szCs w:val="24"/>
        </w:rPr>
        <w:t>gastrointestinal</w:t>
      </w:r>
      <w:proofErr w:type="spellEnd"/>
      <w:r w:rsidRPr="00480915">
        <w:rPr>
          <w:sz w:val="24"/>
          <w:szCs w:val="24"/>
        </w:rPr>
        <w:t xml:space="preserve"> dekontaminering.</w:t>
      </w:r>
    </w:p>
    <w:p w14:paraId="7E5CF009" w14:textId="77777777" w:rsidR="009260DE" w:rsidRPr="00301E7F" w:rsidRDefault="009260DE" w:rsidP="009260DE">
      <w:pPr>
        <w:tabs>
          <w:tab w:val="left" w:pos="851"/>
        </w:tabs>
        <w:ind w:left="851"/>
        <w:rPr>
          <w:sz w:val="24"/>
          <w:szCs w:val="24"/>
        </w:rPr>
      </w:pPr>
    </w:p>
    <w:p w14:paraId="4E717398" w14:textId="77777777" w:rsidR="009260DE" w:rsidRPr="00301E7F" w:rsidRDefault="009260DE" w:rsidP="009260DE">
      <w:pPr>
        <w:tabs>
          <w:tab w:val="left" w:pos="851"/>
        </w:tabs>
        <w:ind w:left="851" w:hanging="851"/>
        <w:rPr>
          <w:b/>
          <w:sz w:val="24"/>
          <w:szCs w:val="24"/>
        </w:rPr>
      </w:pPr>
      <w:r w:rsidRPr="00301E7F">
        <w:rPr>
          <w:b/>
          <w:sz w:val="24"/>
          <w:szCs w:val="24"/>
        </w:rPr>
        <w:t>4.10</w:t>
      </w:r>
      <w:r w:rsidRPr="00301E7F">
        <w:rPr>
          <w:b/>
          <w:sz w:val="24"/>
          <w:szCs w:val="24"/>
        </w:rPr>
        <w:tab/>
        <w:t>Udlevering</w:t>
      </w:r>
    </w:p>
    <w:p w14:paraId="6570E9AC" w14:textId="53279A04" w:rsidR="009260DE" w:rsidRPr="00301E7F" w:rsidRDefault="00480915" w:rsidP="009260DE">
      <w:pPr>
        <w:tabs>
          <w:tab w:val="left" w:pos="851"/>
        </w:tabs>
        <w:ind w:left="851"/>
        <w:rPr>
          <w:sz w:val="24"/>
          <w:szCs w:val="24"/>
        </w:rPr>
      </w:pPr>
      <w:r w:rsidRPr="00301E7F">
        <w:rPr>
          <w:sz w:val="24"/>
          <w:szCs w:val="24"/>
        </w:rPr>
        <w:t>A§4 (kopieringspligtigt)</w:t>
      </w:r>
    </w:p>
    <w:p w14:paraId="37C161CC" w14:textId="77777777" w:rsidR="009260DE" w:rsidRPr="00301E7F" w:rsidRDefault="009260DE" w:rsidP="009260DE">
      <w:pPr>
        <w:tabs>
          <w:tab w:val="left" w:pos="851"/>
        </w:tabs>
        <w:ind w:left="851"/>
        <w:rPr>
          <w:sz w:val="24"/>
          <w:szCs w:val="24"/>
        </w:rPr>
      </w:pPr>
    </w:p>
    <w:p w14:paraId="1B32E88B" w14:textId="77777777" w:rsidR="0024457E" w:rsidRPr="00301E7F" w:rsidRDefault="0024457E" w:rsidP="009260DE">
      <w:pPr>
        <w:tabs>
          <w:tab w:val="left" w:pos="851"/>
        </w:tabs>
        <w:ind w:left="851"/>
        <w:rPr>
          <w:sz w:val="24"/>
          <w:szCs w:val="24"/>
        </w:rPr>
      </w:pPr>
    </w:p>
    <w:p w14:paraId="10D1A1AF" w14:textId="77777777" w:rsidR="009260DE" w:rsidRPr="00301E7F" w:rsidRDefault="009260DE" w:rsidP="009260DE">
      <w:pPr>
        <w:tabs>
          <w:tab w:val="left" w:pos="851"/>
        </w:tabs>
        <w:ind w:left="851" w:hanging="851"/>
        <w:rPr>
          <w:b/>
          <w:sz w:val="24"/>
          <w:szCs w:val="24"/>
        </w:rPr>
      </w:pPr>
      <w:r w:rsidRPr="00301E7F">
        <w:rPr>
          <w:b/>
          <w:sz w:val="24"/>
          <w:szCs w:val="24"/>
        </w:rPr>
        <w:t>5.</w:t>
      </w:r>
      <w:r w:rsidRPr="00301E7F">
        <w:rPr>
          <w:b/>
          <w:sz w:val="24"/>
          <w:szCs w:val="24"/>
        </w:rPr>
        <w:tab/>
        <w:t>FARMAKOLOGISKE EGENSKABER</w:t>
      </w:r>
    </w:p>
    <w:p w14:paraId="5534707E" w14:textId="77777777" w:rsidR="009260DE" w:rsidRPr="00301E7F" w:rsidRDefault="009260DE" w:rsidP="009260DE">
      <w:pPr>
        <w:tabs>
          <w:tab w:val="left" w:pos="851"/>
        </w:tabs>
        <w:ind w:left="851"/>
        <w:rPr>
          <w:sz w:val="24"/>
          <w:szCs w:val="24"/>
        </w:rPr>
      </w:pPr>
    </w:p>
    <w:p w14:paraId="57CC7B45" w14:textId="77777777" w:rsidR="009260DE" w:rsidRPr="00301E7F" w:rsidRDefault="009260DE" w:rsidP="009260DE">
      <w:pPr>
        <w:tabs>
          <w:tab w:val="num" w:pos="851"/>
        </w:tabs>
        <w:ind w:left="851" w:hanging="851"/>
        <w:rPr>
          <w:b/>
          <w:sz w:val="24"/>
          <w:szCs w:val="24"/>
        </w:rPr>
      </w:pPr>
      <w:r w:rsidRPr="00301E7F">
        <w:rPr>
          <w:b/>
          <w:sz w:val="24"/>
          <w:szCs w:val="24"/>
        </w:rPr>
        <w:t>5.1</w:t>
      </w:r>
      <w:r w:rsidRPr="00301E7F">
        <w:rPr>
          <w:b/>
          <w:sz w:val="24"/>
          <w:szCs w:val="24"/>
        </w:rPr>
        <w:tab/>
      </w:r>
      <w:proofErr w:type="spellStart"/>
      <w:r w:rsidRPr="00301E7F">
        <w:rPr>
          <w:b/>
          <w:sz w:val="24"/>
          <w:szCs w:val="24"/>
        </w:rPr>
        <w:t>Farmakodynamiske</w:t>
      </w:r>
      <w:proofErr w:type="spellEnd"/>
      <w:r w:rsidRPr="00301E7F">
        <w:rPr>
          <w:b/>
          <w:sz w:val="24"/>
          <w:szCs w:val="24"/>
        </w:rPr>
        <w:t xml:space="preserve"> egenskaber</w:t>
      </w:r>
    </w:p>
    <w:p w14:paraId="5E62F6E4" w14:textId="7D2B0CC4" w:rsidR="00480915" w:rsidRPr="00480915" w:rsidRDefault="00480915" w:rsidP="00A96B6C">
      <w:pPr>
        <w:ind w:left="851"/>
        <w:rPr>
          <w:sz w:val="24"/>
          <w:szCs w:val="24"/>
        </w:rPr>
      </w:pPr>
      <w:proofErr w:type="spellStart"/>
      <w:r w:rsidRPr="00480915">
        <w:rPr>
          <w:sz w:val="24"/>
          <w:szCs w:val="24"/>
        </w:rPr>
        <w:t>Farmakoterapeutisk</w:t>
      </w:r>
      <w:proofErr w:type="spellEnd"/>
      <w:r w:rsidRPr="00480915">
        <w:rPr>
          <w:sz w:val="24"/>
          <w:szCs w:val="24"/>
        </w:rPr>
        <w:t xml:space="preserve"> klassifikation. </w:t>
      </w:r>
      <w:proofErr w:type="spellStart"/>
      <w:r w:rsidRPr="00480915">
        <w:rPr>
          <w:sz w:val="24"/>
          <w:szCs w:val="24"/>
        </w:rPr>
        <w:t>Analgetika</w:t>
      </w:r>
      <w:proofErr w:type="spellEnd"/>
      <w:r w:rsidRPr="00480915">
        <w:rPr>
          <w:sz w:val="24"/>
          <w:szCs w:val="24"/>
        </w:rPr>
        <w:t>, opioider, andre opioider</w:t>
      </w:r>
      <w:r w:rsidR="0024457E" w:rsidRPr="00301E7F">
        <w:rPr>
          <w:sz w:val="24"/>
          <w:szCs w:val="24"/>
        </w:rPr>
        <w:t>,</w:t>
      </w:r>
      <w:r w:rsidRPr="00480915">
        <w:rPr>
          <w:sz w:val="24"/>
          <w:szCs w:val="24"/>
        </w:rPr>
        <w:t xml:space="preserve"> ATC-kode: N02AX06</w:t>
      </w:r>
    </w:p>
    <w:p w14:paraId="15A66E5C" w14:textId="77777777" w:rsidR="00480915" w:rsidRPr="00480915" w:rsidRDefault="00480915" w:rsidP="00A96B6C">
      <w:pPr>
        <w:ind w:left="851"/>
        <w:rPr>
          <w:sz w:val="24"/>
          <w:szCs w:val="24"/>
        </w:rPr>
      </w:pPr>
    </w:p>
    <w:p w14:paraId="2CE4779F" w14:textId="77777777"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er et stærkt analgetikum med µ-</w:t>
      </w:r>
      <w:proofErr w:type="spellStart"/>
      <w:r w:rsidRPr="00480915">
        <w:rPr>
          <w:sz w:val="24"/>
          <w:szCs w:val="24"/>
        </w:rPr>
        <w:t>agonistisk</w:t>
      </w:r>
      <w:proofErr w:type="spellEnd"/>
      <w:r w:rsidRPr="00480915">
        <w:rPr>
          <w:sz w:val="24"/>
          <w:szCs w:val="24"/>
        </w:rPr>
        <w:t xml:space="preserve"> </w:t>
      </w:r>
      <w:proofErr w:type="spellStart"/>
      <w:r w:rsidRPr="00480915">
        <w:rPr>
          <w:sz w:val="24"/>
          <w:szCs w:val="24"/>
        </w:rPr>
        <w:t>opioide</w:t>
      </w:r>
      <w:proofErr w:type="spellEnd"/>
      <w:r w:rsidRPr="00480915">
        <w:rPr>
          <w:sz w:val="24"/>
          <w:szCs w:val="24"/>
        </w:rPr>
        <w:t xml:space="preserve"> egenskaber og hæmmer samtidig genoptagelsen af noradrenalin. </w:t>
      </w:r>
      <w:proofErr w:type="spellStart"/>
      <w:r w:rsidRPr="00480915">
        <w:rPr>
          <w:sz w:val="24"/>
          <w:szCs w:val="24"/>
        </w:rPr>
        <w:t>Tapentadol</w:t>
      </w:r>
      <w:proofErr w:type="spellEnd"/>
      <w:r w:rsidRPr="00480915">
        <w:rPr>
          <w:sz w:val="24"/>
          <w:szCs w:val="24"/>
        </w:rPr>
        <w:t xml:space="preserve"> har en direkte analgetisk virkning uden omdannelse til en farmakologisk aktiv metabolit.</w:t>
      </w:r>
    </w:p>
    <w:p w14:paraId="53CDCB14" w14:textId="77777777" w:rsidR="00480915" w:rsidRPr="00480915" w:rsidRDefault="00480915" w:rsidP="00A96B6C">
      <w:pPr>
        <w:ind w:left="851"/>
        <w:rPr>
          <w:sz w:val="24"/>
          <w:szCs w:val="24"/>
        </w:rPr>
      </w:pPr>
    </w:p>
    <w:p w14:paraId="18F4A093" w14:textId="77777777" w:rsidR="00480915" w:rsidRPr="00480915" w:rsidRDefault="00480915" w:rsidP="00A96B6C">
      <w:pPr>
        <w:ind w:left="851"/>
        <w:rPr>
          <w:sz w:val="24"/>
          <w:szCs w:val="24"/>
        </w:rPr>
      </w:pPr>
      <w:proofErr w:type="spellStart"/>
      <w:r w:rsidRPr="00480915">
        <w:rPr>
          <w:sz w:val="24"/>
          <w:szCs w:val="24"/>
        </w:rPr>
        <w:t>Tapentadols</w:t>
      </w:r>
      <w:proofErr w:type="spellEnd"/>
      <w:r w:rsidRPr="00480915">
        <w:rPr>
          <w:sz w:val="24"/>
          <w:szCs w:val="24"/>
        </w:rPr>
        <w:t xml:space="preserve"> effekt er påvist i prækliniske modeller med </w:t>
      </w:r>
      <w:proofErr w:type="spellStart"/>
      <w:r w:rsidRPr="00480915">
        <w:rPr>
          <w:sz w:val="24"/>
          <w:szCs w:val="24"/>
        </w:rPr>
        <w:t>nociceptive</w:t>
      </w:r>
      <w:proofErr w:type="spellEnd"/>
      <w:r w:rsidRPr="00480915">
        <w:rPr>
          <w:sz w:val="24"/>
          <w:szCs w:val="24"/>
        </w:rPr>
        <w:t xml:space="preserve">, neuropatiske, </w:t>
      </w:r>
      <w:proofErr w:type="spellStart"/>
      <w:r w:rsidRPr="00480915">
        <w:rPr>
          <w:sz w:val="24"/>
          <w:szCs w:val="24"/>
        </w:rPr>
        <w:t>viscerale</w:t>
      </w:r>
      <w:proofErr w:type="spellEnd"/>
      <w:r w:rsidRPr="00480915">
        <w:rPr>
          <w:sz w:val="24"/>
          <w:szCs w:val="24"/>
        </w:rPr>
        <w:t xml:space="preserve"> og inflammatoriske smerter. Effekten er verificeret i kliniske studier med </w:t>
      </w:r>
      <w:proofErr w:type="spellStart"/>
      <w:r w:rsidRPr="00480915">
        <w:rPr>
          <w:sz w:val="24"/>
          <w:szCs w:val="24"/>
        </w:rPr>
        <w:t>tapentadol</w:t>
      </w:r>
      <w:proofErr w:type="spellEnd"/>
      <w:r w:rsidRPr="00480915">
        <w:rPr>
          <w:sz w:val="24"/>
          <w:szCs w:val="24"/>
        </w:rPr>
        <w:t xml:space="preserve"> depottabletter anvendt mod ikke-maligne </w:t>
      </w:r>
      <w:proofErr w:type="spellStart"/>
      <w:r w:rsidRPr="00480915">
        <w:rPr>
          <w:sz w:val="24"/>
          <w:szCs w:val="24"/>
        </w:rPr>
        <w:t>nociceptive</w:t>
      </w:r>
      <w:proofErr w:type="spellEnd"/>
      <w:r w:rsidRPr="00480915">
        <w:rPr>
          <w:sz w:val="24"/>
          <w:szCs w:val="24"/>
        </w:rPr>
        <w:t xml:space="preserve"> og neuropatiske kroniske smertetilstande samt kroniske tumor-relaterede smerter. Studier med smerter pga. </w:t>
      </w:r>
      <w:proofErr w:type="spellStart"/>
      <w:r w:rsidRPr="00480915">
        <w:rPr>
          <w:sz w:val="24"/>
          <w:szCs w:val="24"/>
        </w:rPr>
        <w:t>osteoartritis</w:t>
      </w:r>
      <w:proofErr w:type="spellEnd"/>
      <w:r w:rsidRPr="00480915">
        <w:rPr>
          <w:sz w:val="24"/>
          <w:szCs w:val="24"/>
        </w:rPr>
        <w:t xml:space="preserve"> og kroniske lændesmerter viste, at analgesien af </w:t>
      </w:r>
      <w:proofErr w:type="spellStart"/>
      <w:r w:rsidRPr="00480915">
        <w:rPr>
          <w:sz w:val="24"/>
          <w:szCs w:val="24"/>
        </w:rPr>
        <w:t>tapentadol</w:t>
      </w:r>
      <w:proofErr w:type="spellEnd"/>
      <w:r w:rsidRPr="00480915">
        <w:rPr>
          <w:sz w:val="24"/>
          <w:szCs w:val="24"/>
        </w:rPr>
        <w:t xml:space="preserve"> svarede til den virkning, der sås ved sammenligning med et stærkt opioid. I studiet med smertefuld diabetisk perifer </w:t>
      </w:r>
      <w:proofErr w:type="spellStart"/>
      <w:r w:rsidRPr="00480915">
        <w:rPr>
          <w:sz w:val="24"/>
          <w:szCs w:val="24"/>
        </w:rPr>
        <w:t>neuropati</w:t>
      </w:r>
      <w:proofErr w:type="spellEnd"/>
      <w:r w:rsidRPr="00480915">
        <w:rPr>
          <w:sz w:val="24"/>
          <w:szCs w:val="24"/>
        </w:rPr>
        <w:t xml:space="preserve"> adskilte </w:t>
      </w:r>
      <w:proofErr w:type="spellStart"/>
      <w:r w:rsidRPr="00480915">
        <w:rPr>
          <w:sz w:val="24"/>
          <w:szCs w:val="24"/>
        </w:rPr>
        <w:t>tapentadol</w:t>
      </w:r>
      <w:proofErr w:type="spellEnd"/>
      <w:r w:rsidRPr="00480915">
        <w:rPr>
          <w:sz w:val="24"/>
          <w:szCs w:val="24"/>
        </w:rPr>
        <w:t xml:space="preserve"> sig fra placebo, som blev anvendt som komparator.</w:t>
      </w:r>
    </w:p>
    <w:p w14:paraId="7BC0E6DD" w14:textId="77777777" w:rsidR="00480915" w:rsidRPr="00480915" w:rsidRDefault="00480915" w:rsidP="00A96B6C">
      <w:pPr>
        <w:ind w:left="851"/>
        <w:rPr>
          <w:sz w:val="24"/>
          <w:szCs w:val="24"/>
        </w:rPr>
      </w:pPr>
    </w:p>
    <w:p w14:paraId="3265A6B8" w14:textId="1C5AA576" w:rsidR="00480915" w:rsidRPr="00480915" w:rsidRDefault="00480915" w:rsidP="00A96B6C">
      <w:pPr>
        <w:ind w:left="851"/>
        <w:rPr>
          <w:sz w:val="24"/>
          <w:szCs w:val="24"/>
        </w:rPr>
      </w:pPr>
      <w:r w:rsidRPr="00480915">
        <w:rPr>
          <w:sz w:val="24"/>
          <w:szCs w:val="24"/>
        </w:rPr>
        <w:t xml:space="preserve">Virkninger på det kardiovaskulære system: I en omfattende undersøgelse af QT-intervallet hos mennesker påvirkede gentagne terapeutiske og supraterapeutiske doser af </w:t>
      </w:r>
      <w:proofErr w:type="spellStart"/>
      <w:r w:rsidRPr="00480915">
        <w:rPr>
          <w:sz w:val="24"/>
          <w:szCs w:val="24"/>
        </w:rPr>
        <w:t>tapentadol</w:t>
      </w:r>
      <w:proofErr w:type="spellEnd"/>
      <w:r w:rsidRPr="00480915">
        <w:rPr>
          <w:sz w:val="24"/>
          <w:szCs w:val="24"/>
        </w:rPr>
        <w:t xml:space="preserve"> ikke QT-intervallet. Tilsvarende udviste </w:t>
      </w:r>
      <w:proofErr w:type="spellStart"/>
      <w:r w:rsidRPr="00480915">
        <w:rPr>
          <w:sz w:val="24"/>
          <w:szCs w:val="24"/>
        </w:rPr>
        <w:t>tapentadol</w:t>
      </w:r>
      <w:proofErr w:type="spellEnd"/>
      <w:r w:rsidRPr="00480915">
        <w:rPr>
          <w:sz w:val="24"/>
          <w:szCs w:val="24"/>
        </w:rPr>
        <w:t xml:space="preserve"> ingen relevant påvirkning af andre EKG-parametre (hjertefrekvens, PR-interval, QRS-varighed, T-taks- eller U-taks</w:t>
      </w:r>
      <w:r w:rsidR="00301E7F">
        <w:rPr>
          <w:sz w:val="24"/>
          <w:szCs w:val="24"/>
        </w:rPr>
        <w:softHyphen/>
      </w:r>
      <w:r w:rsidRPr="00480915">
        <w:rPr>
          <w:sz w:val="24"/>
          <w:szCs w:val="24"/>
        </w:rPr>
        <w:t>morfologi).</w:t>
      </w:r>
    </w:p>
    <w:p w14:paraId="00B9B332" w14:textId="77777777" w:rsidR="00480915" w:rsidRPr="00480915" w:rsidRDefault="00480915" w:rsidP="00A96B6C">
      <w:pPr>
        <w:ind w:left="851"/>
        <w:rPr>
          <w:i/>
          <w:iCs/>
          <w:sz w:val="24"/>
          <w:szCs w:val="24"/>
        </w:rPr>
      </w:pPr>
    </w:p>
    <w:p w14:paraId="6F1C2A2D" w14:textId="77777777" w:rsidR="00480915" w:rsidRPr="00480915" w:rsidRDefault="00480915" w:rsidP="00A96B6C">
      <w:pPr>
        <w:ind w:left="851"/>
        <w:rPr>
          <w:i/>
          <w:iCs/>
          <w:sz w:val="24"/>
          <w:szCs w:val="24"/>
        </w:rPr>
      </w:pPr>
      <w:r w:rsidRPr="00480915">
        <w:rPr>
          <w:i/>
          <w:iCs/>
          <w:sz w:val="24"/>
          <w:szCs w:val="24"/>
        </w:rPr>
        <w:t>Pædiatrisk population</w:t>
      </w:r>
    </w:p>
    <w:p w14:paraId="268AF637" w14:textId="77777777" w:rsidR="00480915" w:rsidRPr="00480915" w:rsidRDefault="00480915" w:rsidP="00A96B6C">
      <w:pPr>
        <w:ind w:left="851"/>
        <w:rPr>
          <w:sz w:val="24"/>
          <w:szCs w:val="24"/>
        </w:rPr>
      </w:pPr>
      <w:r w:rsidRPr="00480915">
        <w:rPr>
          <w:sz w:val="24"/>
          <w:szCs w:val="24"/>
        </w:rPr>
        <w:t xml:space="preserve">Udvidelse af indikationen til børn &gt; 6 år er baseret på en ekstrapoleringsmetode, der matcher eksponeringen, understøttet af </w:t>
      </w:r>
      <w:proofErr w:type="spellStart"/>
      <w:r w:rsidRPr="00480915">
        <w:rPr>
          <w:sz w:val="24"/>
          <w:szCs w:val="24"/>
        </w:rPr>
        <w:t>popPK</w:t>
      </w:r>
      <w:proofErr w:type="spellEnd"/>
      <w:r w:rsidRPr="00480915">
        <w:rPr>
          <w:sz w:val="24"/>
          <w:szCs w:val="24"/>
        </w:rPr>
        <w:t xml:space="preserve">-modelsimuleringer. Med de anbefalede doser til børn opnås den samme </w:t>
      </w:r>
      <w:proofErr w:type="spellStart"/>
      <w:r w:rsidRPr="00480915">
        <w:rPr>
          <w:sz w:val="24"/>
          <w:szCs w:val="24"/>
        </w:rPr>
        <w:t>tapentadoleksponering</w:t>
      </w:r>
      <w:proofErr w:type="spellEnd"/>
      <w:r w:rsidRPr="00480915">
        <w:rPr>
          <w:sz w:val="24"/>
          <w:szCs w:val="24"/>
        </w:rPr>
        <w:t xml:space="preserve"> som hos voksne.</w:t>
      </w:r>
    </w:p>
    <w:p w14:paraId="3C14505B" w14:textId="77777777" w:rsidR="00480915" w:rsidRPr="00480915" w:rsidRDefault="00480915" w:rsidP="00A96B6C">
      <w:pPr>
        <w:ind w:left="851"/>
        <w:rPr>
          <w:sz w:val="24"/>
          <w:szCs w:val="24"/>
        </w:rPr>
      </w:pPr>
    </w:p>
    <w:p w14:paraId="725B8B9F" w14:textId="77777777" w:rsidR="00480915" w:rsidRPr="00480915" w:rsidRDefault="00480915" w:rsidP="00A96B6C">
      <w:pPr>
        <w:ind w:left="851"/>
        <w:rPr>
          <w:sz w:val="24"/>
          <w:szCs w:val="24"/>
        </w:rPr>
      </w:pPr>
      <w:r w:rsidRPr="00480915">
        <w:rPr>
          <w:sz w:val="24"/>
          <w:szCs w:val="24"/>
        </w:rPr>
        <w:t>Et randomiseret, aktiv-kontrolleret, open-label non-</w:t>
      </w:r>
      <w:proofErr w:type="spellStart"/>
      <w:r w:rsidRPr="00480915">
        <w:rPr>
          <w:sz w:val="24"/>
          <w:szCs w:val="24"/>
        </w:rPr>
        <w:t>inferior</w:t>
      </w:r>
      <w:proofErr w:type="spellEnd"/>
      <w:r w:rsidRPr="00480915">
        <w:rPr>
          <w:sz w:val="24"/>
          <w:szCs w:val="24"/>
        </w:rPr>
        <w:t xml:space="preserve"> studie (KF5503/66) er udført hos 69 børn i alderen 6 år til under 18 år, der har lider af stærke smerter, som forventedes at kræve opioidbehandling i mindst 14 dage. 45 af disse børn blev randomiseret til </w:t>
      </w:r>
      <w:proofErr w:type="spellStart"/>
      <w:r w:rsidRPr="00480915">
        <w:rPr>
          <w:sz w:val="24"/>
          <w:szCs w:val="24"/>
        </w:rPr>
        <w:t>tapentadol</w:t>
      </w:r>
      <w:proofErr w:type="spellEnd"/>
      <w:r w:rsidRPr="00480915">
        <w:rPr>
          <w:sz w:val="24"/>
          <w:szCs w:val="24"/>
        </w:rPr>
        <w:t xml:space="preserve"> depottabletter. Børn blev behandlet med vægtjusterede doser mellem 25 mg og 250 mg </w:t>
      </w:r>
      <w:proofErr w:type="spellStart"/>
      <w:r w:rsidRPr="00480915">
        <w:rPr>
          <w:sz w:val="24"/>
          <w:szCs w:val="24"/>
        </w:rPr>
        <w:t>tapentadol</w:t>
      </w:r>
      <w:proofErr w:type="spellEnd"/>
      <w:r w:rsidRPr="00480915">
        <w:rPr>
          <w:sz w:val="24"/>
          <w:szCs w:val="24"/>
        </w:rPr>
        <w:t xml:space="preserve"> depottabletter to gange dagligt eller tilsvarende doser hos komparatorlægemidlet gennem en 14-dages behandlingsperiode. Sikkerhedsprofilen af </w:t>
      </w:r>
      <w:proofErr w:type="spellStart"/>
      <w:r w:rsidRPr="00480915">
        <w:rPr>
          <w:sz w:val="24"/>
          <w:szCs w:val="24"/>
        </w:rPr>
        <w:t>tapentadol</w:t>
      </w:r>
      <w:proofErr w:type="spellEnd"/>
      <w:r w:rsidRPr="00480915">
        <w:rPr>
          <w:sz w:val="24"/>
          <w:szCs w:val="24"/>
        </w:rPr>
        <w:t xml:space="preserve"> depottabletter hos disse børn var sammenlignelige med komparatorlægemidlet og svarende til den sikkerhedsprofil, der blev observeret hos voksne, behandlet med </w:t>
      </w:r>
      <w:proofErr w:type="spellStart"/>
      <w:r w:rsidRPr="00480915">
        <w:rPr>
          <w:sz w:val="24"/>
          <w:szCs w:val="24"/>
        </w:rPr>
        <w:t>tapentadol</w:t>
      </w:r>
      <w:proofErr w:type="spellEnd"/>
      <w:r w:rsidRPr="00480915">
        <w:rPr>
          <w:sz w:val="24"/>
          <w:szCs w:val="24"/>
        </w:rPr>
        <w:t xml:space="preserve"> depottabletter. Sikkerhedsprofilen for </w:t>
      </w:r>
      <w:proofErr w:type="spellStart"/>
      <w:r w:rsidRPr="00480915">
        <w:rPr>
          <w:sz w:val="24"/>
          <w:szCs w:val="24"/>
        </w:rPr>
        <w:t>tapentadol</w:t>
      </w:r>
      <w:proofErr w:type="spellEnd"/>
      <w:r w:rsidRPr="00480915">
        <w:rPr>
          <w:sz w:val="24"/>
          <w:szCs w:val="24"/>
        </w:rPr>
        <w:t xml:space="preserve"> depottabletter blev opretholdt hos 9 børn i en open-label forlængelsesperiode på op til et år.  </w:t>
      </w:r>
    </w:p>
    <w:p w14:paraId="3D08476D" w14:textId="77777777" w:rsidR="00480915" w:rsidRPr="00480915" w:rsidRDefault="00480915" w:rsidP="00A96B6C">
      <w:pPr>
        <w:ind w:left="851"/>
        <w:rPr>
          <w:sz w:val="24"/>
          <w:szCs w:val="24"/>
        </w:rPr>
      </w:pPr>
    </w:p>
    <w:p w14:paraId="01A8F366" w14:textId="77777777" w:rsidR="00480915" w:rsidRPr="00480915" w:rsidRDefault="00480915" w:rsidP="00A96B6C">
      <w:pPr>
        <w:ind w:left="851"/>
        <w:rPr>
          <w:i/>
          <w:iCs/>
          <w:sz w:val="24"/>
          <w:szCs w:val="24"/>
        </w:rPr>
      </w:pPr>
      <w:r w:rsidRPr="00480915">
        <w:rPr>
          <w:i/>
          <w:iCs/>
          <w:sz w:val="24"/>
          <w:szCs w:val="24"/>
        </w:rPr>
        <w:t>Post-marketing data</w:t>
      </w:r>
    </w:p>
    <w:p w14:paraId="498E3884" w14:textId="77777777" w:rsidR="00480915" w:rsidRPr="00480915" w:rsidRDefault="00480915" w:rsidP="00A96B6C">
      <w:pPr>
        <w:ind w:left="851"/>
        <w:rPr>
          <w:sz w:val="24"/>
          <w:szCs w:val="24"/>
        </w:rPr>
      </w:pPr>
      <w:r w:rsidRPr="00480915">
        <w:rPr>
          <w:sz w:val="24"/>
          <w:szCs w:val="24"/>
        </w:rPr>
        <w:t xml:space="preserve">Der er udført to post-marketing studier for at beskrive praktisk brug af </w:t>
      </w:r>
      <w:proofErr w:type="spellStart"/>
      <w:r w:rsidRPr="00480915">
        <w:rPr>
          <w:sz w:val="24"/>
          <w:szCs w:val="24"/>
        </w:rPr>
        <w:t>tapentadol</w:t>
      </w:r>
      <w:proofErr w:type="spellEnd"/>
      <w:r w:rsidRPr="00480915">
        <w:rPr>
          <w:sz w:val="24"/>
          <w:szCs w:val="24"/>
        </w:rPr>
        <w:t>.</w:t>
      </w:r>
    </w:p>
    <w:p w14:paraId="701AFD16" w14:textId="77777777" w:rsidR="00480915" w:rsidRPr="00480915" w:rsidRDefault="00480915" w:rsidP="00A96B6C">
      <w:pPr>
        <w:ind w:left="851"/>
        <w:rPr>
          <w:sz w:val="24"/>
          <w:szCs w:val="24"/>
        </w:rPr>
      </w:pPr>
      <w:r w:rsidRPr="00480915">
        <w:rPr>
          <w:sz w:val="24"/>
          <w:szCs w:val="24"/>
        </w:rPr>
        <w:t xml:space="preserve">Virkningen af </w:t>
      </w:r>
      <w:proofErr w:type="spellStart"/>
      <w:r w:rsidRPr="00480915">
        <w:rPr>
          <w:sz w:val="24"/>
          <w:szCs w:val="24"/>
        </w:rPr>
        <w:t>tapentadol</w:t>
      </w:r>
      <w:proofErr w:type="spellEnd"/>
      <w:r w:rsidRPr="00480915">
        <w:rPr>
          <w:sz w:val="24"/>
          <w:szCs w:val="24"/>
        </w:rPr>
        <w:t xml:space="preserve"> depottabletter er verificeret i et multicenter, randomiseret dobbelt-blindt parallel gruppe studie med patienter med lændesmerter med en neuropatisk komponent (KF5503/58). Reduktion af gennemsnits-smerteintensitet var den samme i gruppen behandlet med </w:t>
      </w:r>
      <w:proofErr w:type="spellStart"/>
      <w:r w:rsidRPr="00480915">
        <w:rPr>
          <w:sz w:val="24"/>
          <w:szCs w:val="24"/>
        </w:rPr>
        <w:t>tapentadol</w:t>
      </w:r>
      <w:proofErr w:type="spellEnd"/>
      <w:r w:rsidRPr="00480915">
        <w:rPr>
          <w:sz w:val="24"/>
          <w:szCs w:val="24"/>
        </w:rPr>
        <w:t xml:space="preserve"> og gruppen behandlet med komparator. Sidstnævnte fik en kombination af </w:t>
      </w:r>
      <w:proofErr w:type="spellStart"/>
      <w:r w:rsidRPr="00480915">
        <w:rPr>
          <w:sz w:val="24"/>
          <w:szCs w:val="24"/>
        </w:rPr>
        <w:t>tapentadol</w:t>
      </w:r>
      <w:proofErr w:type="spellEnd"/>
      <w:r w:rsidRPr="00480915">
        <w:rPr>
          <w:sz w:val="24"/>
          <w:szCs w:val="24"/>
        </w:rPr>
        <w:t xml:space="preserve"> depottabletter og </w:t>
      </w:r>
      <w:proofErr w:type="spellStart"/>
      <w:r w:rsidRPr="00480915">
        <w:rPr>
          <w:sz w:val="24"/>
          <w:szCs w:val="24"/>
        </w:rPr>
        <w:t>pregabalin</w:t>
      </w:r>
      <w:proofErr w:type="spellEnd"/>
      <w:r w:rsidRPr="00480915">
        <w:rPr>
          <w:sz w:val="24"/>
          <w:szCs w:val="24"/>
        </w:rPr>
        <w:t xml:space="preserve"> tabletter.</w:t>
      </w:r>
    </w:p>
    <w:p w14:paraId="566C3831" w14:textId="77777777" w:rsidR="00480915" w:rsidRPr="00480915" w:rsidRDefault="00480915" w:rsidP="00A96B6C">
      <w:pPr>
        <w:ind w:left="851"/>
        <w:rPr>
          <w:sz w:val="24"/>
          <w:szCs w:val="24"/>
        </w:rPr>
      </w:pPr>
    </w:p>
    <w:p w14:paraId="10B48BBE" w14:textId="77777777" w:rsidR="00480915" w:rsidRPr="00480915" w:rsidRDefault="00480915" w:rsidP="00A96B6C">
      <w:pPr>
        <w:ind w:left="851"/>
        <w:rPr>
          <w:sz w:val="24"/>
          <w:szCs w:val="24"/>
        </w:rPr>
      </w:pPr>
      <w:r w:rsidRPr="00480915">
        <w:rPr>
          <w:sz w:val="24"/>
          <w:szCs w:val="24"/>
        </w:rPr>
        <w:t xml:space="preserve">I et open-label, multicenter, randomiseret forsøg med patienter med alvorlige, kroniske lændesmerter med en neuropatisk komponent (KF5503/60), viste </w:t>
      </w:r>
      <w:proofErr w:type="spellStart"/>
      <w:r w:rsidRPr="00480915">
        <w:rPr>
          <w:sz w:val="24"/>
          <w:szCs w:val="24"/>
        </w:rPr>
        <w:t>tapentadol</w:t>
      </w:r>
      <w:proofErr w:type="spellEnd"/>
      <w:r w:rsidRPr="00480915">
        <w:rPr>
          <w:sz w:val="24"/>
          <w:szCs w:val="24"/>
        </w:rPr>
        <w:t xml:space="preserve"> depottabletter en signifikant reduktion af gennemsnits-smerteintensitet.</w:t>
      </w:r>
    </w:p>
    <w:p w14:paraId="1367674C" w14:textId="77777777" w:rsidR="009260DE" w:rsidRPr="00301E7F" w:rsidRDefault="009260DE" w:rsidP="009260DE">
      <w:pPr>
        <w:tabs>
          <w:tab w:val="left" w:pos="851"/>
        </w:tabs>
        <w:ind w:left="851"/>
        <w:rPr>
          <w:sz w:val="24"/>
          <w:szCs w:val="24"/>
        </w:rPr>
      </w:pPr>
    </w:p>
    <w:p w14:paraId="00F2780D" w14:textId="77777777" w:rsidR="009260DE" w:rsidRPr="00301E7F" w:rsidRDefault="009260DE" w:rsidP="009260DE">
      <w:pPr>
        <w:tabs>
          <w:tab w:val="left" w:pos="851"/>
        </w:tabs>
        <w:ind w:left="851" w:hanging="851"/>
        <w:rPr>
          <w:b/>
          <w:sz w:val="24"/>
          <w:szCs w:val="24"/>
        </w:rPr>
      </w:pPr>
      <w:r w:rsidRPr="00301E7F">
        <w:rPr>
          <w:b/>
          <w:sz w:val="24"/>
          <w:szCs w:val="24"/>
        </w:rPr>
        <w:t>5.2</w:t>
      </w:r>
      <w:r w:rsidRPr="00301E7F">
        <w:rPr>
          <w:b/>
          <w:sz w:val="24"/>
          <w:szCs w:val="24"/>
        </w:rPr>
        <w:tab/>
      </w:r>
      <w:proofErr w:type="spellStart"/>
      <w:r w:rsidRPr="00301E7F">
        <w:rPr>
          <w:b/>
          <w:sz w:val="24"/>
          <w:szCs w:val="24"/>
        </w:rPr>
        <w:t>Farmakokinetiske</w:t>
      </w:r>
      <w:proofErr w:type="spellEnd"/>
      <w:r w:rsidRPr="00301E7F">
        <w:rPr>
          <w:b/>
          <w:sz w:val="24"/>
          <w:szCs w:val="24"/>
        </w:rPr>
        <w:t xml:space="preserve"> egenskaber</w:t>
      </w:r>
    </w:p>
    <w:p w14:paraId="47F3F307" w14:textId="77777777" w:rsidR="0024457E" w:rsidRPr="00301E7F" w:rsidRDefault="0024457E" w:rsidP="00A96B6C">
      <w:pPr>
        <w:ind w:left="851"/>
        <w:rPr>
          <w:i/>
          <w:iCs/>
          <w:sz w:val="24"/>
          <w:szCs w:val="24"/>
        </w:rPr>
      </w:pPr>
    </w:p>
    <w:p w14:paraId="786D47A1" w14:textId="7795C6AE" w:rsidR="00480915" w:rsidRPr="00480915" w:rsidRDefault="00480915" w:rsidP="00A96B6C">
      <w:pPr>
        <w:ind w:left="851"/>
        <w:rPr>
          <w:i/>
          <w:iCs/>
          <w:sz w:val="24"/>
          <w:szCs w:val="24"/>
        </w:rPr>
      </w:pPr>
      <w:r w:rsidRPr="00480915">
        <w:rPr>
          <w:i/>
          <w:iCs/>
          <w:sz w:val="24"/>
          <w:szCs w:val="24"/>
        </w:rPr>
        <w:t>Absorption</w:t>
      </w:r>
    </w:p>
    <w:p w14:paraId="1361F655" w14:textId="77777777" w:rsidR="00480915" w:rsidRPr="00480915" w:rsidRDefault="00480915" w:rsidP="00A96B6C">
      <w:pPr>
        <w:ind w:left="851"/>
        <w:rPr>
          <w:sz w:val="24"/>
          <w:szCs w:val="24"/>
        </w:rPr>
      </w:pPr>
      <w:r w:rsidRPr="00480915">
        <w:rPr>
          <w:sz w:val="24"/>
          <w:szCs w:val="24"/>
        </w:rPr>
        <w:t xml:space="preserve">Den gennemsnitlige absolutte biotilgængelighed for </w:t>
      </w:r>
      <w:proofErr w:type="spellStart"/>
      <w:r w:rsidRPr="00480915">
        <w:rPr>
          <w:sz w:val="24"/>
          <w:szCs w:val="24"/>
        </w:rPr>
        <w:t>tapentadol</w:t>
      </w:r>
      <w:proofErr w:type="spellEnd"/>
      <w:r w:rsidRPr="00480915">
        <w:rPr>
          <w:sz w:val="24"/>
          <w:szCs w:val="24"/>
        </w:rPr>
        <w:t xml:space="preserve"> efter en enkelt dosis (fastende) er ca. 32 % på grund af omfattende førstepassage-metabolisme. </w:t>
      </w:r>
      <w:proofErr w:type="spellStart"/>
      <w:r w:rsidRPr="00480915">
        <w:rPr>
          <w:sz w:val="24"/>
          <w:szCs w:val="24"/>
        </w:rPr>
        <w:t>Tapentadols</w:t>
      </w:r>
      <w:proofErr w:type="spellEnd"/>
      <w:r w:rsidRPr="00480915">
        <w:rPr>
          <w:sz w:val="24"/>
          <w:szCs w:val="24"/>
        </w:rPr>
        <w:t xml:space="preserve"> maksimale serumkoncentration blev observeret 3-6 timer efter administration af depottabletterne.</w:t>
      </w:r>
    </w:p>
    <w:p w14:paraId="3033E4AF" w14:textId="77777777" w:rsidR="00480915" w:rsidRPr="00480915" w:rsidRDefault="00480915" w:rsidP="00A96B6C">
      <w:pPr>
        <w:ind w:left="851"/>
        <w:rPr>
          <w:sz w:val="24"/>
          <w:szCs w:val="24"/>
        </w:rPr>
      </w:pPr>
      <w:r w:rsidRPr="00480915">
        <w:rPr>
          <w:sz w:val="24"/>
          <w:szCs w:val="24"/>
        </w:rPr>
        <w:t>Der sås dosisproportionelle stigninger i AUC efter administration af depottabletterne i hele det terapeutiske dosisområde.</w:t>
      </w:r>
    </w:p>
    <w:p w14:paraId="51D8E431" w14:textId="5C8A6DB7" w:rsidR="00480915" w:rsidRPr="00480915" w:rsidRDefault="00480915" w:rsidP="00A96B6C">
      <w:pPr>
        <w:ind w:left="851"/>
        <w:rPr>
          <w:sz w:val="24"/>
          <w:szCs w:val="24"/>
        </w:rPr>
      </w:pPr>
      <w:r w:rsidRPr="00480915">
        <w:rPr>
          <w:sz w:val="24"/>
          <w:szCs w:val="24"/>
        </w:rPr>
        <w:t xml:space="preserve">Et studie med gentagne doser og indgift to gange dagligt med 86 mg og 172 mg </w:t>
      </w:r>
      <w:proofErr w:type="spellStart"/>
      <w:r w:rsidRPr="00480915">
        <w:rPr>
          <w:sz w:val="24"/>
          <w:szCs w:val="24"/>
        </w:rPr>
        <w:t>tapentadol</w:t>
      </w:r>
      <w:proofErr w:type="spellEnd"/>
      <w:r w:rsidRPr="00480915">
        <w:rPr>
          <w:sz w:val="24"/>
          <w:szCs w:val="24"/>
        </w:rPr>
        <w:t xml:space="preserve"> indgivet som depottabletter viste, at akkumuleringsratio var ca. 1,5 for den aktive substans, hvilket primært bestemmes ud fra dosisintervallet og </w:t>
      </w:r>
      <w:proofErr w:type="spellStart"/>
      <w:r w:rsidRPr="00480915">
        <w:rPr>
          <w:sz w:val="24"/>
          <w:szCs w:val="24"/>
        </w:rPr>
        <w:t>tapentadols</w:t>
      </w:r>
      <w:proofErr w:type="spellEnd"/>
      <w:r w:rsidRPr="00480915">
        <w:rPr>
          <w:sz w:val="24"/>
          <w:szCs w:val="24"/>
        </w:rPr>
        <w:t xml:space="preserve"> tilsyneladende halveringstid. </w:t>
      </w:r>
      <w:proofErr w:type="spellStart"/>
      <w:r w:rsidRPr="00480915">
        <w:rPr>
          <w:sz w:val="24"/>
          <w:szCs w:val="24"/>
        </w:rPr>
        <w:t>Tapentadols</w:t>
      </w:r>
      <w:proofErr w:type="spellEnd"/>
      <w:r w:rsidRPr="00480915">
        <w:rPr>
          <w:sz w:val="24"/>
          <w:szCs w:val="24"/>
        </w:rPr>
        <w:t xml:space="preserve"> serumkoncentration når </w:t>
      </w:r>
      <w:proofErr w:type="spellStart"/>
      <w:r w:rsidRPr="00480915">
        <w:rPr>
          <w:sz w:val="24"/>
          <w:szCs w:val="24"/>
        </w:rPr>
        <w:t>steady</w:t>
      </w:r>
      <w:proofErr w:type="spellEnd"/>
      <w:r w:rsidRPr="00480915">
        <w:rPr>
          <w:sz w:val="24"/>
          <w:szCs w:val="24"/>
        </w:rPr>
        <w:t xml:space="preserve"> </w:t>
      </w:r>
      <w:proofErr w:type="spellStart"/>
      <w:r w:rsidRPr="00480915">
        <w:rPr>
          <w:sz w:val="24"/>
          <w:szCs w:val="24"/>
        </w:rPr>
        <w:t>state</w:t>
      </w:r>
      <w:proofErr w:type="spellEnd"/>
      <w:r w:rsidRPr="00480915">
        <w:rPr>
          <w:sz w:val="24"/>
          <w:szCs w:val="24"/>
        </w:rPr>
        <w:t xml:space="preserve"> på anden dag i behandlingen.</w:t>
      </w:r>
    </w:p>
    <w:p w14:paraId="08B704BF" w14:textId="77777777" w:rsidR="00480915" w:rsidRPr="00480915" w:rsidRDefault="00480915" w:rsidP="00A96B6C">
      <w:pPr>
        <w:ind w:left="851"/>
        <w:rPr>
          <w:sz w:val="24"/>
          <w:szCs w:val="24"/>
        </w:rPr>
      </w:pPr>
    </w:p>
    <w:p w14:paraId="703DB7CD" w14:textId="77777777" w:rsidR="00480915" w:rsidRPr="00480915" w:rsidRDefault="00480915" w:rsidP="00A96B6C">
      <w:pPr>
        <w:ind w:left="851"/>
        <w:rPr>
          <w:i/>
          <w:iCs/>
          <w:sz w:val="24"/>
          <w:szCs w:val="24"/>
        </w:rPr>
      </w:pPr>
      <w:r w:rsidRPr="00480915">
        <w:rPr>
          <w:i/>
          <w:iCs/>
          <w:sz w:val="24"/>
          <w:szCs w:val="24"/>
        </w:rPr>
        <w:t>Fødepåvirkning</w:t>
      </w:r>
    </w:p>
    <w:p w14:paraId="0AC117F4" w14:textId="688C030B" w:rsidR="00480915" w:rsidRPr="00480915" w:rsidRDefault="00480915" w:rsidP="00A96B6C">
      <w:pPr>
        <w:ind w:left="851"/>
        <w:rPr>
          <w:sz w:val="24"/>
          <w:szCs w:val="24"/>
        </w:rPr>
      </w:pPr>
      <w:r w:rsidRPr="00480915">
        <w:rPr>
          <w:sz w:val="24"/>
          <w:szCs w:val="24"/>
        </w:rPr>
        <w:t xml:space="preserve">AUC og </w:t>
      </w:r>
      <w:proofErr w:type="spellStart"/>
      <w:r w:rsidRPr="00480915">
        <w:rPr>
          <w:sz w:val="24"/>
          <w:szCs w:val="24"/>
        </w:rPr>
        <w:t>C</w:t>
      </w:r>
      <w:r w:rsidRPr="00480915">
        <w:rPr>
          <w:sz w:val="24"/>
          <w:szCs w:val="24"/>
          <w:vertAlign w:val="subscript"/>
        </w:rPr>
        <w:t>max</w:t>
      </w:r>
      <w:proofErr w:type="spellEnd"/>
      <w:r w:rsidRPr="00480915">
        <w:rPr>
          <w:sz w:val="24"/>
          <w:szCs w:val="24"/>
        </w:rPr>
        <w:t xml:space="preserve"> blev forøget med henholdsvis 8 % og 18 % ved administration af depottabletter efter et fedt- og kalorieholdigt morgenmåltid. Dette skønnedes at være uden klinisk relevans, da det falder inden for normal </w:t>
      </w:r>
      <w:proofErr w:type="spellStart"/>
      <w:r w:rsidRPr="00480915">
        <w:rPr>
          <w:sz w:val="24"/>
          <w:szCs w:val="24"/>
        </w:rPr>
        <w:t>interindividuel</w:t>
      </w:r>
      <w:proofErr w:type="spellEnd"/>
      <w:r w:rsidRPr="00480915">
        <w:rPr>
          <w:sz w:val="24"/>
          <w:szCs w:val="24"/>
        </w:rPr>
        <w:t xml:space="preserve"> variation for </w:t>
      </w:r>
      <w:proofErr w:type="spellStart"/>
      <w:r w:rsidRPr="00480915">
        <w:rPr>
          <w:sz w:val="24"/>
          <w:szCs w:val="24"/>
        </w:rPr>
        <w:t>tapentadols</w:t>
      </w:r>
      <w:proofErr w:type="spellEnd"/>
      <w:r w:rsidRPr="00480915">
        <w:rPr>
          <w:sz w:val="24"/>
          <w:szCs w:val="24"/>
        </w:rPr>
        <w:t xml:space="preserve"> </w:t>
      </w:r>
      <w:proofErr w:type="spellStart"/>
      <w:r w:rsidRPr="00480915">
        <w:rPr>
          <w:sz w:val="24"/>
          <w:szCs w:val="24"/>
        </w:rPr>
        <w:t>farmakokinetiske</w:t>
      </w:r>
      <w:proofErr w:type="spellEnd"/>
      <w:r w:rsidRPr="00480915">
        <w:rPr>
          <w:sz w:val="24"/>
          <w:szCs w:val="24"/>
        </w:rPr>
        <w:t xml:space="preserve"> parametre. </w:t>
      </w:r>
      <w:proofErr w:type="spellStart"/>
      <w:r w:rsidRPr="00480915">
        <w:rPr>
          <w:sz w:val="24"/>
          <w:szCs w:val="24"/>
        </w:rPr>
        <w:t>Tapentadol</w:t>
      </w:r>
      <w:proofErr w:type="spellEnd"/>
      <w:r w:rsidRPr="00480915">
        <w:rPr>
          <w:sz w:val="24"/>
          <w:szCs w:val="24"/>
        </w:rPr>
        <w:t xml:space="preserve"> </w:t>
      </w:r>
      <w:r w:rsidR="00494579" w:rsidRPr="00301E7F">
        <w:rPr>
          <w:sz w:val="24"/>
          <w:szCs w:val="24"/>
        </w:rPr>
        <w:t>"</w:t>
      </w:r>
      <w:proofErr w:type="spellStart"/>
      <w:r w:rsidR="00494579" w:rsidRPr="00301E7F">
        <w:rPr>
          <w:sz w:val="24"/>
          <w:szCs w:val="24"/>
        </w:rPr>
        <w:t>Vivanta</w:t>
      </w:r>
      <w:proofErr w:type="spellEnd"/>
      <w:r w:rsidR="00494579" w:rsidRPr="00301E7F">
        <w:rPr>
          <w:sz w:val="24"/>
          <w:szCs w:val="24"/>
        </w:rPr>
        <w:t>"</w:t>
      </w:r>
      <w:r w:rsidRPr="00480915">
        <w:rPr>
          <w:sz w:val="24"/>
          <w:szCs w:val="24"/>
        </w:rPr>
        <w:t xml:space="preserve"> kan tages alene eller i forbindelse med et måltid.</w:t>
      </w:r>
    </w:p>
    <w:p w14:paraId="2CC0B572" w14:textId="77777777" w:rsidR="00480915" w:rsidRPr="00480915" w:rsidRDefault="00480915" w:rsidP="00A96B6C">
      <w:pPr>
        <w:ind w:left="851"/>
        <w:rPr>
          <w:sz w:val="24"/>
          <w:szCs w:val="24"/>
        </w:rPr>
      </w:pPr>
    </w:p>
    <w:p w14:paraId="77FDAD07" w14:textId="77777777" w:rsidR="00480915" w:rsidRPr="00480915" w:rsidRDefault="00480915" w:rsidP="00A96B6C">
      <w:pPr>
        <w:ind w:left="851"/>
        <w:rPr>
          <w:i/>
          <w:iCs/>
          <w:sz w:val="24"/>
          <w:szCs w:val="24"/>
        </w:rPr>
      </w:pPr>
      <w:r w:rsidRPr="00480915">
        <w:rPr>
          <w:i/>
          <w:iCs/>
          <w:sz w:val="24"/>
          <w:szCs w:val="24"/>
        </w:rPr>
        <w:t>Fordeling</w:t>
      </w:r>
    </w:p>
    <w:p w14:paraId="59E3E4D8" w14:textId="77777777" w:rsidR="00480915" w:rsidRPr="00480915" w:rsidRDefault="00480915" w:rsidP="00A96B6C">
      <w:pPr>
        <w:ind w:left="851"/>
        <w:rPr>
          <w:sz w:val="24"/>
          <w:szCs w:val="24"/>
        </w:rPr>
      </w:pPr>
      <w:r w:rsidRPr="00480915">
        <w:rPr>
          <w:sz w:val="24"/>
          <w:szCs w:val="24"/>
        </w:rPr>
        <w:t xml:space="preserve">Der er omfattende distribution af </w:t>
      </w:r>
      <w:proofErr w:type="spellStart"/>
      <w:r w:rsidRPr="00480915">
        <w:rPr>
          <w:sz w:val="24"/>
          <w:szCs w:val="24"/>
        </w:rPr>
        <w:t>tapentadol</w:t>
      </w:r>
      <w:proofErr w:type="spellEnd"/>
      <w:r w:rsidRPr="00480915">
        <w:rPr>
          <w:sz w:val="24"/>
          <w:szCs w:val="24"/>
        </w:rPr>
        <w:t xml:space="preserve"> i kroppen. Efter intravenøs administration er </w:t>
      </w:r>
      <w:proofErr w:type="spellStart"/>
      <w:r w:rsidRPr="00480915">
        <w:rPr>
          <w:sz w:val="24"/>
          <w:szCs w:val="24"/>
        </w:rPr>
        <w:t>tapentadols</w:t>
      </w:r>
      <w:proofErr w:type="spellEnd"/>
      <w:r w:rsidRPr="00480915">
        <w:rPr>
          <w:sz w:val="24"/>
          <w:szCs w:val="24"/>
        </w:rPr>
        <w:t xml:space="preserve"> fordelingsvolumen (</w:t>
      </w:r>
      <w:proofErr w:type="spellStart"/>
      <w:r w:rsidRPr="00480915">
        <w:rPr>
          <w:sz w:val="24"/>
          <w:szCs w:val="24"/>
        </w:rPr>
        <w:t>V</w:t>
      </w:r>
      <w:r w:rsidRPr="00480915">
        <w:rPr>
          <w:sz w:val="24"/>
          <w:szCs w:val="24"/>
          <w:vertAlign w:val="subscript"/>
        </w:rPr>
        <w:t>z</w:t>
      </w:r>
      <w:proofErr w:type="spellEnd"/>
      <w:r w:rsidRPr="00480915">
        <w:rPr>
          <w:sz w:val="24"/>
          <w:szCs w:val="24"/>
        </w:rPr>
        <w:t>) 540 ± 98 L. Serumproteinbindingen er lav, op til ca. 20 %.</w:t>
      </w:r>
    </w:p>
    <w:p w14:paraId="16CF23B0" w14:textId="77777777" w:rsidR="00480915" w:rsidRPr="00480915" w:rsidRDefault="00480915" w:rsidP="00A96B6C">
      <w:pPr>
        <w:ind w:left="851"/>
        <w:rPr>
          <w:sz w:val="24"/>
          <w:szCs w:val="24"/>
        </w:rPr>
      </w:pPr>
    </w:p>
    <w:p w14:paraId="2398DC06" w14:textId="77777777" w:rsidR="00480915" w:rsidRPr="00480915" w:rsidRDefault="00480915" w:rsidP="00A96B6C">
      <w:pPr>
        <w:ind w:left="851"/>
        <w:rPr>
          <w:i/>
          <w:iCs/>
          <w:sz w:val="24"/>
          <w:szCs w:val="24"/>
        </w:rPr>
      </w:pPr>
      <w:r w:rsidRPr="00480915">
        <w:rPr>
          <w:i/>
          <w:iCs/>
          <w:sz w:val="24"/>
          <w:szCs w:val="24"/>
        </w:rPr>
        <w:t>Biotransformation</w:t>
      </w:r>
    </w:p>
    <w:p w14:paraId="3A3D97CA" w14:textId="459FFB1E"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gennemgår omfattende metabolisme hos mennesker. Ca. 97 % af moderstoffet </w:t>
      </w:r>
      <w:proofErr w:type="spellStart"/>
      <w:r w:rsidRPr="00480915">
        <w:rPr>
          <w:sz w:val="24"/>
          <w:szCs w:val="24"/>
        </w:rPr>
        <w:t>metaboliseres</w:t>
      </w:r>
      <w:proofErr w:type="spellEnd"/>
      <w:r w:rsidRPr="00480915">
        <w:rPr>
          <w:sz w:val="24"/>
          <w:szCs w:val="24"/>
        </w:rPr>
        <w:t xml:space="preserve">. </w:t>
      </w:r>
      <w:proofErr w:type="spellStart"/>
      <w:r w:rsidRPr="00480915">
        <w:rPr>
          <w:sz w:val="24"/>
          <w:szCs w:val="24"/>
        </w:rPr>
        <w:t>Tapentadol</w:t>
      </w:r>
      <w:proofErr w:type="spellEnd"/>
      <w:r w:rsidRPr="00480915">
        <w:rPr>
          <w:sz w:val="24"/>
          <w:szCs w:val="24"/>
        </w:rPr>
        <w:t xml:space="preserve"> </w:t>
      </w:r>
      <w:proofErr w:type="spellStart"/>
      <w:r w:rsidRPr="00480915">
        <w:rPr>
          <w:sz w:val="24"/>
          <w:szCs w:val="24"/>
        </w:rPr>
        <w:t>metaboliseres</w:t>
      </w:r>
      <w:proofErr w:type="spellEnd"/>
      <w:r w:rsidRPr="00480915">
        <w:rPr>
          <w:sz w:val="24"/>
          <w:szCs w:val="24"/>
        </w:rPr>
        <w:t xml:space="preserve"> især ved </w:t>
      </w:r>
      <w:proofErr w:type="spellStart"/>
      <w:r w:rsidRPr="00480915">
        <w:rPr>
          <w:sz w:val="24"/>
          <w:szCs w:val="24"/>
        </w:rPr>
        <w:t>konjugering</w:t>
      </w:r>
      <w:proofErr w:type="spellEnd"/>
      <w:r w:rsidRPr="00480915">
        <w:rPr>
          <w:sz w:val="24"/>
          <w:szCs w:val="24"/>
        </w:rPr>
        <w:t xml:space="preserve"> med </w:t>
      </w:r>
      <w:proofErr w:type="spellStart"/>
      <w:r w:rsidRPr="00480915">
        <w:rPr>
          <w:sz w:val="24"/>
          <w:szCs w:val="24"/>
        </w:rPr>
        <w:t>glucuronsyre</w:t>
      </w:r>
      <w:proofErr w:type="spellEnd"/>
      <w:r w:rsidRPr="00480915">
        <w:rPr>
          <w:sz w:val="24"/>
          <w:szCs w:val="24"/>
        </w:rPr>
        <w:t xml:space="preserve">, så der dannes </w:t>
      </w:r>
      <w:proofErr w:type="spellStart"/>
      <w:r w:rsidRPr="00480915">
        <w:rPr>
          <w:sz w:val="24"/>
          <w:szCs w:val="24"/>
        </w:rPr>
        <w:t>glucuronider</w:t>
      </w:r>
      <w:proofErr w:type="spellEnd"/>
      <w:r w:rsidRPr="00480915">
        <w:rPr>
          <w:sz w:val="24"/>
          <w:szCs w:val="24"/>
        </w:rPr>
        <w:t xml:space="preserve">. Efter oral administration af </w:t>
      </w:r>
      <w:proofErr w:type="spellStart"/>
      <w:r w:rsidRPr="00480915">
        <w:rPr>
          <w:sz w:val="24"/>
          <w:szCs w:val="24"/>
        </w:rPr>
        <w:t>tapentadol</w:t>
      </w:r>
      <w:proofErr w:type="spellEnd"/>
      <w:r w:rsidRPr="00480915">
        <w:rPr>
          <w:sz w:val="24"/>
          <w:szCs w:val="24"/>
        </w:rPr>
        <w:t xml:space="preserve"> udskilles ca. 70 % af dosis i urinen som </w:t>
      </w:r>
      <w:proofErr w:type="spellStart"/>
      <w:r w:rsidRPr="00480915">
        <w:rPr>
          <w:sz w:val="24"/>
          <w:szCs w:val="24"/>
        </w:rPr>
        <w:t>konjugater</w:t>
      </w:r>
      <w:proofErr w:type="spellEnd"/>
      <w:r w:rsidRPr="00480915">
        <w:rPr>
          <w:sz w:val="24"/>
          <w:szCs w:val="24"/>
        </w:rPr>
        <w:t xml:space="preserve"> (55 % </w:t>
      </w:r>
      <w:proofErr w:type="spellStart"/>
      <w:r w:rsidRPr="00480915">
        <w:rPr>
          <w:sz w:val="24"/>
          <w:szCs w:val="24"/>
        </w:rPr>
        <w:t>glucuronid</w:t>
      </w:r>
      <w:proofErr w:type="spellEnd"/>
      <w:r w:rsidRPr="00480915">
        <w:rPr>
          <w:sz w:val="24"/>
          <w:szCs w:val="24"/>
        </w:rPr>
        <w:t xml:space="preserve"> og 15 % sulfat). </w:t>
      </w:r>
      <w:proofErr w:type="spellStart"/>
      <w:r w:rsidRPr="00480915">
        <w:rPr>
          <w:sz w:val="24"/>
          <w:szCs w:val="24"/>
        </w:rPr>
        <w:t>Uridin-diphosphat-glucuronyl</w:t>
      </w:r>
      <w:r w:rsidR="00301E7F">
        <w:rPr>
          <w:sz w:val="24"/>
          <w:szCs w:val="24"/>
        </w:rPr>
        <w:softHyphen/>
      </w:r>
      <w:r w:rsidRPr="00480915">
        <w:rPr>
          <w:sz w:val="24"/>
          <w:szCs w:val="24"/>
        </w:rPr>
        <w:t>transferase</w:t>
      </w:r>
      <w:proofErr w:type="spellEnd"/>
      <w:r w:rsidRPr="00480915">
        <w:rPr>
          <w:sz w:val="24"/>
          <w:szCs w:val="24"/>
        </w:rPr>
        <w:t xml:space="preserve"> (UGT) er det primære enzym i </w:t>
      </w:r>
      <w:proofErr w:type="spellStart"/>
      <w:r w:rsidRPr="00480915">
        <w:rPr>
          <w:sz w:val="24"/>
          <w:szCs w:val="24"/>
        </w:rPr>
        <w:t>glucuronideringen</w:t>
      </w:r>
      <w:proofErr w:type="spellEnd"/>
      <w:r w:rsidRPr="00480915">
        <w:rPr>
          <w:sz w:val="24"/>
          <w:szCs w:val="24"/>
        </w:rPr>
        <w:t xml:space="preserve"> (især </w:t>
      </w:r>
      <w:proofErr w:type="spellStart"/>
      <w:r w:rsidRPr="00480915">
        <w:rPr>
          <w:sz w:val="24"/>
          <w:szCs w:val="24"/>
        </w:rPr>
        <w:t>isoformerne</w:t>
      </w:r>
      <w:proofErr w:type="spellEnd"/>
      <w:r w:rsidRPr="00480915">
        <w:rPr>
          <w:sz w:val="24"/>
          <w:szCs w:val="24"/>
        </w:rPr>
        <w:t xml:space="preserve"> UGT1A6, UGT1A9 og UGT2B7). I alt 3 % af det aktive stof udskilles </w:t>
      </w:r>
      <w:proofErr w:type="spellStart"/>
      <w:r w:rsidRPr="00480915">
        <w:rPr>
          <w:sz w:val="24"/>
          <w:szCs w:val="24"/>
        </w:rPr>
        <w:t>uomdannet</w:t>
      </w:r>
      <w:proofErr w:type="spellEnd"/>
      <w:r w:rsidRPr="00480915">
        <w:rPr>
          <w:sz w:val="24"/>
          <w:szCs w:val="24"/>
        </w:rPr>
        <w:t xml:space="preserve"> i urinen. </w:t>
      </w:r>
      <w:proofErr w:type="spellStart"/>
      <w:r w:rsidRPr="00480915">
        <w:rPr>
          <w:sz w:val="24"/>
          <w:szCs w:val="24"/>
        </w:rPr>
        <w:t>Tapentadol</w:t>
      </w:r>
      <w:proofErr w:type="spellEnd"/>
      <w:r w:rsidRPr="00480915">
        <w:rPr>
          <w:sz w:val="24"/>
          <w:szCs w:val="24"/>
        </w:rPr>
        <w:t xml:space="preserve"> </w:t>
      </w:r>
      <w:proofErr w:type="spellStart"/>
      <w:r w:rsidRPr="00480915">
        <w:rPr>
          <w:sz w:val="24"/>
          <w:szCs w:val="24"/>
        </w:rPr>
        <w:t>metaboliseres</w:t>
      </w:r>
      <w:proofErr w:type="spellEnd"/>
      <w:r w:rsidRPr="00480915">
        <w:rPr>
          <w:sz w:val="24"/>
          <w:szCs w:val="24"/>
        </w:rPr>
        <w:t xml:space="preserve"> desuden til N-</w:t>
      </w:r>
      <w:proofErr w:type="spellStart"/>
      <w:r w:rsidRPr="00480915">
        <w:rPr>
          <w:sz w:val="24"/>
          <w:szCs w:val="24"/>
        </w:rPr>
        <w:t>desmethyltapentadol</w:t>
      </w:r>
      <w:proofErr w:type="spellEnd"/>
      <w:r w:rsidRPr="00480915">
        <w:rPr>
          <w:sz w:val="24"/>
          <w:szCs w:val="24"/>
        </w:rPr>
        <w:t xml:space="preserve"> (13 %) af CYP2C9 og CYP2C19 og til </w:t>
      </w:r>
      <w:proofErr w:type="spellStart"/>
      <w:r w:rsidRPr="00480915">
        <w:rPr>
          <w:sz w:val="24"/>
          <w:szCs w:val="24"/>
        </w:rPr>
        <w:t>hydroxytapentadol</w:t>
      </w:r>
      <w:proofErr w:type="spellEnd"/>
      <w:r w:rsidRPr="00480915">
        <w:rPr>
          <w:sz w:val="24"/>
          <w:szCs w:val="24"/>
        </w:rPr>
        <w:t xml:space="preserve"> (2 %) af CYP2D6, og disse metabolitter </w:t>
      </w:r>
      <w:proofErr w:type="spellStart"/>
      <w:r w:rsidRPr="00480915">
        <w:rPr>
          <w:sz w:val="24"/>
          <w:szCs w:val="24"/>
        </w:rPr>
        <w:t>metaboliseres</w:t>
      </w:r>
      <w:proofErr w:type="spellEnd"/>
      <w:r w:rsidRPr="00480915">
        <w:rPr>
          <w:sz w:val="24"/>
          <w:szCs w:val="24"/>
        </w:rPr>
        <w:t xml:space="preserve"> yderligere ved </w:t>
      </w:r>
      <w:proofErr w:type="spellStart"/>
      <w:r w:rsidRPr="00480915">
        <w:rPr>
          <w:sz w:val="24"/>
          <w:szCs w:val="24"/>
        </w:rPr>
        <w:t>konjugering</w:t>
      </w:r>
      <w:proofErr w:type="spellEnd"/>
      <w:r w:rsidRPr="00480915">
        <w:rPr>
          <w:sz w:val="24"/>
          <w:szCs w:val="24"/>
        </w:rPr>
        <w:t xml:space="preserve">. Metabolisme af det aktive stof ved hjælp af </w:t>
      </w:r>
      <w:proofErr w:type="spellStart"/>
      <w:r w:rsidRPr="00480915">
        <w:rPr>
          <w:sz w:val="24"/>
          <w:szCs w:val="24"/>
        </w:rPr>
        <w:t>cytochrom</w:t>
      </w:r>
      <w:proofErr w:type="spellEnd"/>
      <w:r w:rsidRPr="00480915">
        <w:rPr>
          <w:sz w:val="24"/>
          <w:szCs w:val="24"/>
        </w:rPr>
        <w:t xml:space="preserve"> P450-systemet er således mindre vigtigt end </w:t>
      </w:r>
      <w:proofErr w:type="spellStart"/>
      <w:r w:rsidRPr="00480915">
        <w:rPr>
          <w:sz w:val="24"/>
          <w:szCs w:val="24"/>
        </w:rPr>
        <w:t>glucuronidering</w:t>
      </w:r>
      <w:proofErr w:type="spellEnd"/>
      <w:r w:rsidRPr="00480915">
        <w:rPr>
          <w:sz w:val="24"/>
          <w:szCs w:val="24"/>
        </w:rPr>
        <w:t>. Ingen af metabolitterne bidrager til den analgetiske virkning.</w:t>
      </w:r>
    </w:p>
    <w:p w14:paraId="67F4F067" w14:textId="77777777" w:rsidR="00480915" w:rsidRPr="00480915" w:rsidRDefault="00480915" w:rsidP="00A96B6C">
      <w:pPr>
        <w:ind w:left="851"/>
        <w:rPr>
          <w:sz w:val="24"/>
          <w:szCs w:val="24"/>
        </w:rPr>
      </w:pPr>
    </w:p>
    <w:p w14:paraId="3AB79F52" w14:textId="77777777" w:rsidR="00480915" w:rsidRPr="00480915" w:rsidRDefault="00480915" w:rsidP="00A96B6C">
      <w:pPr>
        <w:ind w:left="851"/>
        <w:rPr>
          <w:i/>
          <w:iCs/>
          <w:sz w:val="24"/>
          <w:szCs w:val="24"/>
        </w:rPr>
      </w:pPr>
      <w:r w:rsidRPr="00480915">
        <w:rPr>
          <w:i/>
          <w:iCs/>
          <w:sz w:val="24"/>
          <w:szCs w:val="24"/>
        </w:rPr>
        <w:t>Elimination</w:t>
      </w:r>
    </w:p>
    <w:p w14:paraId="3167E8F4" w14:textId="77777777"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og dets metabolitter udskilles næsten fuldstændigt (99 %) gennem nyrerne. Den totale </w:t>
      </w:r>
      <w:proofErr w:type="spellStart"/>
      <w:r w:rsidRPr="00480915">
        <w:rPr>
          <w:sz w:val="24"/>
          <w:szCs w:val="24"/>
        </w:rPr>
        <w:t>clearance</w:t>
      </w:r>
      <w:proofErr w:type="spellEnd"/>
      <w:r w:rsidRPr="00480915">
        <w:rPr>
          <w:sz w:val="24"/>
          <w:szCs w:val="24"/>
        </w:rPr>
        <w:t xml:space="preserve"> efter intravenøs administration er 1530 ± 177 ml/min. Terminal halveringstid er i gennemsnit 5-6 timer efter oral administration.</w:t>
      </w:r>
    </w:p>
    <w:p w14:paraId="7A609C26" w14:textId="77777777" w:rsidR="00480915" w:rsidRPr="00480915" w:rsidRDefault="00480915" w:rsidP="00A96B6C">
      <w:pPr>
        <w:ind w:left="851"/>
        <w:rPr>
          <w:iCs/>
          <w:sz w:val="24"/>
          <w:szCs w:val="24"/>
        </w:rPr>
      </w:pPr>
    </w:p>
    <w:p w14:paraId="675350E4" w14:textId="77777777" w:rsidR="00480915" w:rsidRPr="00480915" w:rsidRDefault="00480915" w:rsidP="00A96B6C">
      <w:pPr>
        <w:ind w:left="851"/>
        <w:rPr>
          <w:i/>
          <w:iCs/>
          <w:sz w:val="24"/>
          <w:szCs w:val="24"/>
        </w:rPr>
      </w:pPr>
      <w:r w:rsidRPr="00480915">
        <w:rPr>
          <w:i/>
          <w:iCs/>
          <w:sz w:val="24"/>
          <w:szCs w:val="24"/>
        </w:rPr>
        <w:t xml:space="preserve">Særlige populationer </w:t>
      </w:r>
    </w:p>
    <w:p w14:paraId="02533B09" w14:textId="77777777" w:rsidR="00480915" w:rsidRPr="00480915" w:rsidRDefault="00480915" w:rsidP="00A96B6C">
      <w:pPr>
        <w:ind w:left="851"/>
        <w:rPr>
          <w:iCs/>
          <w:sz w:val="24"/>
          <w:szCs w:val="24"/>
        </w:rPr>
      </w:pPr>
    </w:p>
    <w:p w14:paraId="4E0C7394" w14:textId="77777777" w:rsidR="00480915" w:rsidRPr="00480915" w:rsidRDefault="00480915" w:rsidP="00A96B6C">
      <w:pPr>
        <w:ind w:left="851"/>
        <w:rPr>
          <w:i/>
          <w:iCs/>
          <w:sz w:val="24"/>
          <w:szCs w:val="24"/>
        </w:rPr>
      </w:pPr>
      <w:r w:rsidRPr="00480915">
        <w:rPr>
          <w:i/>
          <w:iCs/>
          <w:sz w:val="24"/>
          <w:szCs w:val="24"/>
        </w:rPr>
        <w:t>Ældre</w:t>
      </w:r>
    </w:p>
    <w:p w14:paraId="4EBACE28" w14:textId="77777777" w:rsidR="00480915" w:rsidRPr="00480915" w:rsidRDefault="00480915" w:rsidP="00A96B6C">
      <w:pPr>
        <w:ind w:left="851"/>
        <w:rPr>
          <w:sz w:val="24"/>
          <w:szCs w:val="24"/>
        </w:rPr>
      </w:pPr>
      <w:r w:rsidRPr="00480915">
        <w:rPr>
          <w:sz w:val="24"/>
          <w:szCs w:val="24"/>
        </w:rPr>
        <w:t xml:space="preserve">Der sås samme gennemsnitlige eksponering (AUC) for </w:t>
      </w:r>
      <w:proofErr w:type="spellStart"/>
      <w:r w:rsidRPr="00480915">
        <w:rPr>
          <w:sz w:val="24"/>
          <w:szCs w:val="24"/>
        </w:rPr>
        <w:t>tapentadol</w:t>
      </w:r>
      <w:proofErr w:type="spellEnd"/>
      <w:r w:rsidRPr="00480915">
        <w:rPr>
          <w:sz w:val="24"/>
          <w:szCs w:val="24"/>
        </w:rPr>
        <w:t xml:space="preserve"> i et studie med ældre (65-78 år) sammenlignet med yngre voksne (19-43 år), hvor </w:t>
      </w:r>
      <w:proofErr w:type="spellStart"/>
      <w:r w:rsidRPr="00480915">
        <w:rPr>
          <w:sz w:val="24"/>
          <w:szCs w:val="24"/>
        </w:rPr>
        <w:t>C</w:t>
      </w:r>
      <w:r w:rsidRPr="00480915">
        <w:rPr>
          <w:sz w:val="24"/>
          <w:szCs w:val="24"/>
          <w:vertAlign w:val="subscript"/>
        </w:rPr>
        <w:t>max</w:t>
      </w:r>
      <w:proofErr w:type="spellEnd"/>
      <w:r w:rsidRPr="00480915">
        <w:rPr>
          <w:sz w:val="24"/>
          <w:szCs w:val="24"/>
        </w:rPr>
        <w:t xml:space="preserve"> i gennemsnit var 16 % lavere hos de ældre end hos de yngre forsøgspersoner.</w:t>
      </w:r>
    </w:p>
    <w:p w14:paraId="6F83B9C2" w14:textId="77777777" w:rsidR="00480915" w:rsidRPr="00480915" w:rsidRDefault="00480915" w:rsidP="00A96B6C">
      <w:pPr>
        <w:ind w:left="851"/>
        <w:rPr>
          <w:sz w:val="24"/>
          <w:szCs w:val="24"/>
        </w:rPr>
      </w:pPr>
    </w:p>
    <w:p w14:paraId="2B7A3087" w14:textId="77777777" w:rsidR="00480915" w:rsidRPr="00480915" w:rsidRDefault="00480915" w:rsidP="00A96B6C">
      <w:pPr>
        <w:ind w:left="851"/>
        <w:rPr>
          <w:i/>
          <w:iCs/>
          <w:sz w:val="24"/>
          <w:szCs w:val="24"/>
        </w:rPr>
      </w:pPr>
      <w:r w:rsidRPr="00480915">
        <w:rPr>
          <w:i/>
          <w:iCs/>
          <w:sz w:val="24"/>
          <w:szCs w:val="24"/>
        </w:rPr>
        <w:t>Nedsat nyrefunktion</w:t>
      </w:r>
    </w:p>
    <w:p w14:paraId="09A477FF" w14:textId="1073E3B2"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udviste sammenlignelige værdier for AUC og </w:t>
      </w:r>
      <w:proofErr w:type="spellStart"/>
      <w:r w:rsidRPr="00480915">
        <w:rPr>
          <w:sz w:val="24"/>
          <w:szCs w:val="24"/>
        </w:rPr>
        <w:t>C</w:t>
      </w:r>
      <w:r w:rsidRPr="00480915">
        <w:rPr>
          <w:sz w:val="24"/>
          <w:szCs w:val="24"/>
          <w:vertAlign w:val="subscript"/>
        </w:rPr>
        <w:t>max</w:t>
      </w:r>
      <w:proofErr w:type="spellEnd"/>
      <w:r w:rsidRPr="00480915">
        <w:rPr>
          <w:sz w:val="24"/>
          <w:szCs w:val="24"/>
        </w:rPr>
        <w:t xml:space="preserve"> hos forsøgspersoner med nedsat nyrefunktion af forskellig grad (fra normal til alvorligt nedsat funktion). </w:t>
      </w:r>
      <w:proofErr w:type="gramStart"/>
      <w:r w:rsidRPr="00480915">
        <w:rPr>
          <w:sz w:val="24"/>
          <w:szCs w:val="24"/>
        </w:rPr>
        <w:t>I</w:t>
      </w:r>
      <w:r w:rsidR="00301E7F">
        <w:rPr>
          <w:sz w:val="24"/>
          <w:szCs w:val="24"/>
        </w:rPr>
        <w:t> </w:t>
      </w:r>
      <w:r w:rsidRPr="00480915">
        <w:rPr>
          <w:sz w:val="24"/>
          <w:szCs w:val="24"/>
        </w:rPr>
        <w:t>modsætning hertil</w:t>
      </w:r>
      <w:proofErr w:type="gramEnd"/>
      <w:r w:rsidRPr="00480915">
        <w:rPr>
          <w:sz w:val="24"/>
          <w:szCs w:val="24"/>
        </w:rPr>
        <w:t xml:space="preserve"> sås tiltagende eksponering (AUC) for </w:t>
      </w:r>
      <w:proofErr w:type="spellStart"/>
      <w:r w:rsidRPr="00480915">
        <w:rPr>
          <w:sz w:val="24"/>
          <w:szCs w:val="24"/>
        </w:rPr>
        <w:t>tapentadol</w:t>
      </w:r>
      <w:proofErr w:type="spellEnd"/>
      <w:r w:rsidRPr="00480915">
        <w:rPr>
          <w:sz w:val="24"/>
          <w:szCs w:val="24"/>
        </w:rPr>
        <w:t>-O-</w:t>
      </w:r>
      <w:proofErr w:type="spellStart"/>
      <w:r w:rsidRPr="00480915">
        <w:rPr>
          <w:sz w:val="24"/>
          <w:szCs w:val="24"/>
        </w:rPr>
        <w:t>glucuronid</w:t>
      </w:r>
      <w:proofErr w:type="spellEnd"/>
      <w:r w:rsidRPr="00480915">
        <w:rPr>
          <w:sz w:val="24"/>
          <w:szCs w:val="24"/>
        </w:rPr>
        <w:t xml:space="preserve"> med tiltagende forværring af nyrefunktionen. Hos forsøgspersoner med let, moderat og svært nedsat nyrefunktion er </w:t>
      </w:r>
      <w:proofErr w:type="spellStart"/>
      <w:r w:rsidRPr="00480915">
        <w:rPr>
          <w:sz w:val="24"/>
          <w:szCs w:val="24"/>
        </w:rPr>
        <w:t>tapentadol</w:t>
      </w:r>
      <w:proofErr w:type="spellEnd"/>
      <w:r w:rsidRPr="00480915">
        <w:rPr>
          <w:sz w:val="24"/>
          <w:szCs w:val="24"/>
        </w:rPr>
        <w:t>-O-</w:t>
      </w:r>
      <w:proofErr w:type="spellStart"/>
      <w:r w:rsidRPr="00480915">
        <w:rPr>
          <w:sz w:val="24"/>
          <w:szCs w:val="24"/>
        </w:rPr>
        <w:t>glucuronids</w:t>
      </w:r>
      <w:proofErr w:type="spellEnd"/>
      <w:r w:rsidRPr="00480915">
        <w:rPr>
          <w:sz w:val="24"/>
          <w:szCs w:val="24"/>
        </w:rPr>
        <w:t xml:space="preserve"> AUC øget med henholdsvis faktor 1,5; 2,5 og 5,5 i forhold til normal nyrefunktion.</w:t>
      </w:r>
    </w:p>
    <w:p w14:paraId="059C3A05" w14:textId="77777777" w:rsidR="00480915" w:rsidRPr="00480915" w:rsidRDefault="00480915" w:rsidP="00A96B6C">
      <w:pPr>
        <w:ind w:left="851"/>
        <w:rPr>
          <w:sz w:val="24"/>
          <w:szCs w:val="24"/>
        </w:rPr>
      </w:pPr>
    </w:p>
    <w:p w14:paraId="556A9720" w14:textId="77777777" w:rsidR="00480915" w:rsidRPr="00480915" w:rsidRDefault="00480915" w:rsidP="00A96B6C">
      <w:pPr>
        <w:ind w:left="851"/>
        <w:rPr>
          <w:i/>
          <w:iCs/>
          <w:sz w:val="24"/>
          <w:szCs w:val="24"/>
        </w:rPr>
      </w:pPr>
      <w:r w:rsidRPr="00480915">
        <w:rPr>
          <w:i/>
          <w:iCs/>
          <w:sz w:val="24"/>
          <w:szCs w:val="24"/>
        </w:rPr>
        <w:t>Nedsat leverfunktion</w:t>
      </w:r>
    </w:p>
    <w:p w14:paraId="75348123" w14:textId="77777777" w:rsidR="00480915" w:rsidRPr="00480915" w:rsidRDefault="00480915" w:rsidP="00A96B6C">
      <w:pPr>
        <w:ind w:left="851"/>
        <w:rPr>
          <w:sz w:val="24"/>
          <w:szCs w:val="24"/>
        </w:rPr>
      </w:pPr>
      <w:r w:rsidRPr="00480915">
        <w:rPr>
          <w:sz w:val="24"/>
          <w:szCs w:val="24"/>
        </w:rPr>
        <w:t xml:space="preserve">Administration af </w:t>
      </w:r>
      <w:proofErr w:type="spellStart"/>
      <w:r w:rsidRPr="00480915">
        <w:rPr>
          <w:sz w:val="24"/>
          <w:szCs w:val="24"/>
        </w:rPr>
        <w:t>tapentadol</w:t>
      </w:r>
      <w:proofErr w:type="spellEnd"/>
      <w:r w:rsidRPr="00480915">
        <w:rPr>
          <w:sz w:val="24"/>
          <w:szCs w:val="24"/>
        </w:rPr>
        <w:t xml:space="preserve"> medførte højere eksponering og serumværdier hos forsøgspersoner med nedsat leverfunktion sammenlignet med forsøgspersoner med normal leverfunktion. Forholdet mellem </w:t>
      </w:r>
      <w:proofErr w:type="spellStart"/>
      <w:r w:rsidRPr="00480915">
        <w:rPr>
          <w:sz w:val="24"/>
          <w:szCs w:val="24"/>
        </w:rPr>
        <w:t>tapentadols</w:t>
      </w:r>
      <w:proofErr w:type="spellEnd"/>
      <w:r w:rsidRPr="00480915">
        <w:rPr>
          <w:sz w:val="24"/>
          <w:szCs w:val="24"/>
        </w:rPr>
        <w:t xml:space="preserve"> </w:t>
      </w:r>
      <w:proofErr w:type="spellStart"/>
      <w:r w:rsidRPr="00480915">
        <w:rPr>
          <w:sz w:val="24"/>
          <w:szCs w:val="24"/>
        </w:rPr>
        <w:t>farmakokinetiske</w:t>
      </w:r>
      <w:proofErr w:type="spellEnd"/>
      <w:r w:rsidRPr="00480915">
        <w:rPr>
          <w:sz w:val="24"/>
          <w:szCs w:val="24"/>
        </w:rPr>
        <w:t xml:space="preserve"> parametre i grupperne med let og moderat nedsat leverfunktion sammenlignet med gruppen med normal leverfunktion var henholdsvis 1,7 og 4,2 for AUC, henholdsvis 1,4 og 2,5 for </w:t>
      </w:r>
      <w:proofErr w:type="spellStart"/>
      <w:r w:rsidRPr="00480915">
        <w:rPr>
          <w:sz w:val="24"/>
          <w:szCs w:val="24"/>
        </w:rPr>
        <w:t>C</w:t>
      </w:r>
      <w:r w:rsidRPr="00480915">
        <w:rPr>
          <w:sz w:val="24"/>
          <w:szCs w:val="24"/>
          <w:vertAlign w:val="subscript"/>
        </w:rPr>
        <w:t>max</w:t>
      </w:r>
      <w:proofErr w:type="spellEnd"/>
      <w:r w:rsidRPr="00480915">
        <w:rPr>
          <w:sz w:val="24"/>
          <w:szCs w:val="24"/>
        </w:rPr>
        <w:t xml:space="preserve"> og henholdsvis 1,2 og 1,4 for t</w:t>
      </w:r>
      <w:r w:rsidRPr="00480915">
        <w:rPr>
          <w:sz w:val="24"/>
          <w:szCs w:val="24"/>
          <w:vertAlign w:val="subscript"/>
        </w:rPr>
        <w:t>½</w:t>
      </w:r>
      <w:r w:rsidRPr="00480915">
        <w:rPr>
          <w:sz w:val="24"/>
          <w:szCs w:val="24"/>
        </w:rPr>
        <w:t xml:space="preserve">. Dannelse af </w:t>
      </w:r>
      <w:proofErr w:type="spellStart"/>
      <w:r w:rsidRPr="00480915">
        <w:rPr>
          <w:sz w:val="24"/>
          <w:szCs w:val="24"/>
        </w:rPr>
        <w:t>tapentadol</w:t>
      </w:r>
      <w:proofErr w:type="spellEnd"/>
      <w:r w:rsidRPr="00480915">
        <w:rPr>
          <w:sz w:val="24"/>
          <w:szCs w:val="24"/>
        </w:rPr>
        <w:t>-O-</w:t>
      </w:r>
      <w:proofErr w:type="spellStart"/>
      <w:r w:rsidRPr="00480915">
        <w:rPr>
          <w:sz w:val="24"/>
          <w:szCs w:val="24"/>
        </w:rPr>
        <w:t>glucuronid</w:t>
      </w:r>
      <w:proofErr w:type="spellEnd"/>
      <w:r w:rsidRPr="00480915">
        <w:rPr>
          <w:sz w:val="24"/>
          <w:szCs w:val="24"/>
        </w:rPr>
        <w:t xml:space="preserve"> skete langsommere hos forsøgspersoner med nedsat leverfunktion.</w:t>
      </w:r>
    </w:p>
    <w:p w14:paraId="7A4B05BC" w14:textId="77777777" w:rsidR="00480915" w:rsidRPr="00480915" w:rsidRDefault="00480915" w:rsidP="00A96B6C">
      <w:pPr>
        <w:ind w:left="851"/>
        <w:rPr>
          <w:sz w:val="24"/>
          <w:szCs w:val="24"/>
        </w:rPr>
      </w:pPr>
    </w:p>
    <w:p w14:paraId="2B27FE66" w14:textId="77777777" w:rsidR="00480915" w:rsidRPr="00480915" w:rsidRDefault="00480915" w:rsidP="00A96B6C">
      <w:pPr>
        <w:ind w:left="851"/>
        <w:rPr>
          <w:i/>
          <w:iCs/>
          <w:sz w:val="24"/>
          <w:szCs w:val="24"/>
        </w:rPr>
      </w:pPr>
      <w:proofErr w:type="spellStart"/>
      <w:r w:rsidRPr="00480915">
        <w:rPr>
          <w:i/>
          <w:iCs/>
          <w:sz w:val="24"/>
          <w:szCs w:val="24"/>
        </w:rPr>
        <w:t>Farmakokinetisk</w:t>
      </w:r>
      <w:proofErr w:type="spellEnd"/>
      <w:r w:rsidRPr="00480915">
        <w:rPr>
          <w:i/>
          <w:iCs/>
          <w:sz w:val="24"/>
          <w:szCs w:val="24"/>
        </w:rPr>
        <w:t xml:space="preserve"> interaktion</w:t>
      </w:r>
    </w:p>
    <w:p w14:paraId="385767B2" w14:textId="77777777"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w:t>
      </w:r>
      <w:proofErr w:type="spellStart"/>
      <w:r w:rsidRPr="00480915">
        <w:rPr>
          <w:sz w:val="24"/>
          <w:szCs w:val="24"/>
        </w:rPr>
        <w:t>metaboliseres</w:t>
      </w:r>
      <w:proofErr w:type="spellEnd"/>
      <w:r w:rsidRPr="00480915">
        <w:rPr>
          <w:sz w:val="24"/>
          <w:szCs w:val="24"/>
        </w:rPr>
        <w:t xml:space="preserve"> primært ved </w:t>
      </w:r>
      <w:proofErr w:type="spellStart"/>
      <w:r w:rsidRPr="00480915">
        <w:rPr>
          <w:sz w:val="24"/>
          <w:szCs w:val="24"/>
        </w:rPr>
        <w:t>glucuronidering</w:t>
      </w:r>
      <w:proofErr w:type="spellEnd"/>
      <w:r w:rsidRPr="00480915">
        <w:rPr>
          <w:sz w:val="24"/>
          <w:szCs w:val="24"/>
        </w:rPr>
        <w:t xml:space="preserve">, og kun en mindre del </w:t>
      </w:r>
      <w:proofErr w:type="spellStart"/>
      <w:r w:rsidRPr="00480915">
        <w:rPr>
          <w:sz w:val="24"/>
          <w:szCs w:val="24"/>
        </w:rPr>
        <w:t>metaboliseres</w:t>
      </w:r>
      <w:proofErr w:type="spellEnd"/>
      <w:r w:rsidRPr="00480915">
        <w:rPr>
          <w:sz w:val="24"/>
          <w:szCs w:val="24"/>
        </w:rPr>
        <w:t xml:space="preserve"> ved oxidation.</w:t>
      </w:r>
    </w:p>
    <w:p w14:paraId="0C31ECF0" w14:textId="77777777" w:rsidR="00480915" w:rsidRPr="00480915" w:rsidRDefault="00480915" w:rsidP="00A96B6C">
      <w:pPr>
        <w:ind w:left="851"/>
        <w:rPr>
          <w:sz w:val="24"/>
          <w:szCs w:val="24"/>
        </w:rPr>
      </w:pPr>
      <w:r w:rsidRPr="00480915">
        <w:rPr>
          <w:sz w:val="24"/>
          <w:szCs w:val="24"/>
        </w:rPr>
        <w:t xml:space="preserve">Eftersom </w:t>
      </w:r>
      <w:proofErr w:type="spellStart"/>
      <w:r w:rsidRPr="00480915">
        <w:rPr>
          <w:sz w:val="24"/>
          <w:szCs w:val="24"/>
        </w:rPr>
        <w:t>glucuronidering</w:t>
      </w:r>
      <w:proofErr w:type="spellEnd"/>
      <w:r w:rsidRPr="00480915">
        <w:rPr>
          <w:sz w:val="24"/>
          <w:szCs w:val="24"/>
        </w:rPr>
        <w:t xml:space="preserve"> er et system med stor kapacitet og lav affinitet, der ikke så let mættes selv ved sygdom, og eftersom terapeutiske koncentrationer af aktive stoffer generelt er langt under de koncentrationer, som kræves til potentiel hæmning af </w:t>
      </w:r>
      <w:proofErr w:type="spellStart"/>
      <w:r w:rsidRPr="00480915">
        <w:rPr>
          <w:sz w:val="24"/>
          <w:szCs w:val="24"/>
        </w:rPr>
        <w:t>glucuronidering</w:t>
      </w:r>
      <w:proofErr w:type="spellEnd"/>
      <w:r w:rsidRPr="00480915">
        <w:rPr>
          <w:sz w:val="24"/>
          <w:szCs w:val="24"/>
        </w:rPr>
        <w:t xml:space="preserve">, vil der næppe forekomme klinisk relevante interaktioner på grund af </w:t>
      </w:r>
      <w:proofErr w:type="spellStart"/>
      <w:r w:rsidRPr="00480915">
        <w:rPr>
          <w:sz w:val="24"/>
          <w:szCs w:val="24"/>
        </w:rPr>
        <w:t>glucuronidering</w:t>
      </w:r>
      <w:proofErr w:type="spellEnd"/>
      <w:r w:rsidRPr="00480915">
        <w:rPr>
          <w:sz w:val="24"/>
          <w:szCs w:val="24"/>
        </w:rPr>
        <w:t xml:space="preserve">. I en række lægemiddelinteraktionsundersøgelser med paracetamol, </w:t>
      </w:r>
      <w:proofErr w:type="spellStart"/>
      <w:r w:rsidRPr="00480915">
        <w:rPr>
          <w:sz w:val="24"/>
          <w:szCs w:val="24"/>
        </w:rPr>
        <w:t>naproxen</w:t>
      </w:r>
      <w:proofErr w:type="spellEnd"/>
      <w:r w:rsidRPr="00480915">
        <w:rPr>
          <w:sz w:val="24"/>
          <w:szCs w:val="24"/>
        </w:rPr>
        <w:t xml:space="preserve">, acetylsalicylsyre og </w:t>
      </w:r>
      <w:proofErr w:type="spellStart"/>
      <w:r w:rsidRPr="00480915">
        <w:rPr>
          <w:sz w:val="24"/>
          <w:szCs w:val="24"/>
        </w:rPr>
        <w:t>probenecid</w:t>
      </w:r>
      <w:proofErr w:type="spellEnd"/>
      <w:r w:rsidRPr="00480915">
        <w:rPr>
          <w:sz w:val="24"/>
          <w:szCs w:val="24"/>
        </w:rPr>
        <w:t xml:space="preserve"> undersøgtes disse aktive stoffers potentielle påvirkning af </w:t>
      </w:r>
      <w:proofErr w:type="spellStart"/>
      <w:r w:rsidRPr="00480915">
        <w:rPr>
          <w:sz w:val="24"/>
          <w:szCs w:val="24"/>
        </w:rPr>
        <w:t>tapentadols</w:t>
      </w:r>
      <w:proofErr w:type="spellEnd"/>
      <w:r w:rsidRPr="00480915">
        <w:rPr>
          <w:sz w:val="24"/>
          <w:szCs w:val="24"/>
        </w:rPr>
        <w:t xml:space="preserve"> </w:t>
      </w:r>
      <w:proofErr w:type="spellStart"/>
      <w:r w:rsidRPr="00480915">
        <w:rPr>
          <w:sz w:val="24"/>
          <w:szCs w:val="24"/>
        </w:rPr>
        <w:t>glucuronidering</w:t>
      </w:r>
      <w:proofErr w:type="spellEnd"/>
      <w:r w:rsidRPr="00480915">
        <w:rPr>
          <w:sz w:val="24"/>
          <w:szCs w:val="24"/>
        </w:rPr>
        <w:t xml:space="preserve">. Studierne med undersøgelse af de aktive stoffer </w:t>
      </w:r>
      <w:proofErr w:type="spellStart"/>
      <w:r w:rsidRPr="00480915">
        <w:rPr>
          <w:sz w:val="24"/>
          <w:szCs w:val="24"/>
        </w:rPr>
        <w:t>naproxen</w:t>
      </w:r>
      <w:proofErr w:type="spellEnd"/>
      <w:r w:rsidRPr="00480915">
        <w:rPr>
          <w:sz w:val="24"/>
          <w:szCs w:val="24"/>
        </w:rPr>
        <w:t xml:space="preserve"> (500 mg 2 gange daglig i 2 dage) og </w:t>
      </w:r>
      <w:proofErr w:type="spellStart"/>
      <w:r w:rsidRPr="00480915">
        <w:rPr>
          <w:sz w:val="24"/>
          <w:szCs w:val="24"/>
        </w:rPr>
        <w:t>probenecid</w:t>
      </w:r>
      <w:proofErr w:type="spellEnd"/>
      <w:r w:rsidRPr="00480915">
        <w:rPr>
          <w:sz w:val="24"/>
          <w:szCs w:val="24"/>
        </w:rPr>
        <w:t xml:space="preserve"> (500 mg 2 gange daglig i 2 dage) viste, at </w:t>
      </w:r>
      <w:proofErr w:type="spellStart"/>
      <w:r w:rsidRPr="00480915">
        <w:rPr>
          <w:sz w:val="24"/>
          <w:szCs w:val="24"/>
        </w:rPr>
        <w:t>tapentadols</w:t>
      </w:r>
      <w:proofErr w:type="spellEnd"/>
      <w:r w:rsidRPr="00480915">
        <w:rPr>
          <w:sz w:val="24"/>
          <w:szCs w:val="24"/>
        </w:rPr>
        <w:t xml:space="preserve"> AUC steg med henholdsvis 17 % og 57 %. Generelt sås ingen klinisk relevante virkninger på </w:t>
      </w:r>
      <w:proofErr w:type="spellStart"/>
      <w:r w:rsidRPr="00480915">
        <w:rPr>
          <w:sz w:val="24"/>
          <w:szCs w:val="24"/>
        </w:rPr>
        <w:t>tapentadols</w:t>
      </w:r>
      <w:proofErr w:type="spellEnd"/>
      <w:r w:rsidRPr="00480915">
        <w:rPr>
          <w:sz w:val="24"/>
          <w:szCs w:val="24"/>
        </w:rPr>
        <w:t xml:space="preserve"> serumkoncentration i disse studier.</w:t>
      </w:r>
    </w:p>
    <w:p w14:paraId="725B5B6C" w14:textId="77777777" w:rsidR="00480915" w:rsidRPr="00480915" w:rsidRDefault="00480915" w:rsidP="00A96B6C">
      <w:pPr>
        <w:ind w:left="851"/>
        <w:rPr>
          <w:sz w:val="24"/>
          <w:szCs w:val="24"/>
        </w:rPr>
      </w:pPr>
      <w:r w:rsidRPr="00480915">
        <w:rPr>
          <w:sz w:val="24"/>
          <w:szCs w:val="24"/>
        </w:rPr>
        <w:t xml:space="preserve">Der er desuden udført interaktionsundersøgelser af </w:t>
      </w:r>
      <w:proofErr w:type="spellStart"/>
      <w:r w:rsidRPr="00480915">
        <w:rPr>
          <w:sz w:val="24"/>
          <w:szCs w:val="24"/>
        </w:rPr>
        <w:t>tapentadol</w:t>
      </w:r>
      <w:proofErr w:type="spellEnd"/>
      <w:r w:rsidRPr="00480915">
        <w:rPr>
          <w:sz w:val="24"/>
          <w:szCs w:val="24"/>
        </w:rPr>
        <w:t xml:space="preserve"> med </w:t>
      </w:r>
      <w:proofErr w:type="spellStart"/>
      <w:r w:rsidRPr="00480915">
        <w:rPr>
          <w:sz w:val="24"/>
          <w:szCs w:val="24"/>
        </w:rPr>
        <w:t>metoclopramid</w:t>
      </w:r>
      <w:proofErr w:type="spellEnd"/>
      <w:r w:rsidRPr="00480915">
        <w:rPr>
          <w:sz w:val="24"/>
          <w:szCs w:val="24"/>
        </w:rPr>
        <w:t xml:space="preserve"> og </w:t>
      </w:r>
      <w:proofErr w:type="spellStart"/>
      <w:r w:rsidRPr="00480915">
        <w:rPr>
          <w:sz w:val="24"/>
          <w:szCs w:val="24"/>
        </w:rPr>
        <w:t>omeprazol</w:t>
      </w:r>
      <w:proofErr w:type="spellEnd"/>
      <w:r w:rsidRPr="00480915">
        <w:rPr>
          <w:sz w:val="24"/>
          <w:szCs w:val="24"/>
        </w:rPr>
        <w:t xml:space="preserve"> for at undersøge disse aktive stoffers potentielle påvirkning af </w:t>
      </w:r>
      <w:proofErr w:type="spellStart"/>
      <w:r w:rsidRPr="00480915">
        <w:rPr>
          <w:sz w:val="24"/>
          <w:szCs w:val="24"/>
        </w:rPr>
        <w:t>tapentadols</w:t>
      </w:r>
      <w:proofErr w:type="spellEnd"/>
      <w:r w:rsidRPr="00480915">
        <w:rPr>
          <w:sz w:val="24"/>
          <w:szCs w:val="24"/>
        </w:rPr>
        <w:t xml:space="preserve"> absorption. Studierne viste ingen klinisk relevante virkninger på </w:t>
      </w:r>
      <w:proofErr w:type="spellStart"/>
      <w:r w:rsidRPr="00480915">
        <w:rPr>
          <w:sz w:val="24"/>
          <w:szCs w:val="24"/>
        </w:rPr>
        <w:t>tapentadols</w:t>
      </w:r>
      <w:proofErr w:type="spellEnd"/>
      <w:r w:rsidRPr="00480915">
        <w:rPr>
          <w:sz w:val="24"/>
          <w:szCs w:val="24"/>
        </w:rPr>
        <w:t xml:space="preserve"> serumkoncentration.</w:t>
      </w:r>
    </w:p>
    <w:p w14:paraId="35CF2CD4" w14:textId="77777777" w:rsidR="00480915" w:rsidRPr="00480915" w:rsidRDefault="00480915" w:rsidP="00A96B6C">
      <w:pPr>
        <w:ind w:left="851"/>
        <w:rPr>
          <w:sz w:val="24"/>
          <w:szCs w:val="24"/>
        </w:rPr>
      </w:pPr>
      <w:r w:rsidRPr="00480915">
        <w:rPr>
          <w:sz w:val="24"/>
          <w:szCs w:val="24"/>
        </w:rPr>
        <w:t xml:space="preserve">I </w:t>
      </w:r>
      <w:r w:rsidRPr="00480915">
        <w:rPr>
          <w:i/>
          <w:iCs/>
          <w:sz w:val="24"/>
          <w:szCs w:val="24"/>
        </w:rPr>
        <w:t xml:space="preserve">in </w:t>
      </w:r>
      <w:proofErr w:type="spellStart"/>
      <w:r w:rsidRPr="00480915">
        <w:rPr>
          <w:i/>
          <w:iCs/>
          <w:sz w:val="24"/>
          <w:szCs w:val="24"/>
        </w:rPr>
        <w:t>vitro</w:t>
      </w:r>
      <w:proofErr w:type="spellEnd"/>
      <w:r w:rsidRPr="00480915">
        <w:rPr>
          <w:sz w:val="24"/>
          <w:szCs w:val="24"/>
        </w:rPr>
        <w:t xml:space="preserve">-studier udviste </w:t>
      </w:r>
      <w:proofErr w:type="spellStart"/>
      <w:r w:rsidRPr="00480915">
        <w:rPr>
          <w:sz w:val="24"/>
          <w:szCs w:val="24"/>
        </w:rPr>
        <w:t>tapentadol</w:t>
      </w:r>
      <w:proofErr w:type="spellEnd"/>
      <w:r w:rsidRPr="00480915">
        <w:rPr>
          <w:sz w:val="24"/>
          <w:szCs w:val="24"/>
        </w:rPr>
        <w:t xml:space="preserve"> ikke potentiale for hæmning eller induktion af </w:t>
      </w:r>
      <w:proofErr w:type="spellStart"/>
      <w:r w:rsidRPr="00480915">
        <w:rPr>
          <w:sz w:val="24"/>
          <w:szCs w:val="24"/>
        </w:rPr>
        <w:t>cytochrom</w:t>
      </w:r>
      <w:proofErr w:type="spellEnd"/>
      <w:r w:rsidRPr="00480915">
        <w:rPr>
          <w:sz w:val="24"/>
          <w:szCs w:val="24"/>
        </w:rPr>
        <w:t xml:space="preserve"> P450-enzymer. Det er derfor usandsynligt, at der vil forekomme klinisk relevante interaktioner medieret af </w:t>
      </w:r>
      <w:proofErr w:type="spellStart"/>
      <w:r w:rsidRPr="00480915">
        <w:rPr>
          <w:sz w:val="24"/>
          <w:szCs w:val="24"/>
        </w:rPr>
        <w:t>cytochrom</w:t>
      </w:r>
      <w:proofErr w:type="spellEnd"/>
      <w:r w:rsidRPr="00480915">
        <w:rPr>
          <w:sz w:val="24"/>
          <w:szCs w:val="24"/>
        </w:rPr>
        <w:t xml:space="preserve"> P450-systemet.</w:t>
      </w:r>
    </w:p>
    <w:p w14:paraId="67F79EC0" w14:textId="77777777" w:rsidR="00480915" w:rsidRPr="00480915" w:rsidRDefault="00480915" w:rsidP="00A96B6C">
      <w:pPr>
        <w:ind w:left="851"/>
        <w:rPr>
          <w:sz w:val="24"/>
          <w:szCs w:val="24"/>
        </w:rPr>
      </w:pPr>
      <w:proofErr w:type="spellStart"/>
      <w:r w:rsidRPr="00480915">
        <w:rPr>
          <w:sz w:val="24"/>
          <w:szCs w:val="24"/>
        </w:rPr>
        <w:t>Tapentadols</w:t>
      </w:r>
      <w:proofErr w:type="spellEnd"/>
      <w:r w:rsidRPr="00480915">
        <w:rPr>
          <w:sz w:val="24"/>
          <w:szCs w:val="24"/>
        </w:rPr>
        <w:t xml:space="preserve"> binding til plasmaproteiner er lav (ca. 20 %). Sandsynligheden for </w:t>
      </w:r>
      <w:proofErr w:type="spellStart"/>
      <w:r w:rsidRPr="00480915">
        <w:rPr>
          <w:sz w:val="24"/>
          <w:szCs w:val="24"/>
        </w:rPr>
        <w:t>farmakokinetiske</w:t>
      </w:r>
      <w:proofErr w:type="spellEnd"/>
      <w:r w:rsidRPr="00480915">
        <w:rPr>
          <w:sz w:val="24"/>
          <w:szCs w:val="24"/>
        </w:rPr>
        <w:t xml:space="preserve"> lægemiddelinteraktioner i form af </w:t>
      </w:r>
      <w:proofErr w:type="spellStart"/>
      <w:r w:rsidRPr="00480915">
        <w:rPr>
          <w:sz w:val="24"/>
          <w:szCs w:val="24"/>
        </w:rPr>
        <w:t>displacering</w:t>
      </w:r>
      <w:proofErr w:type="spellEnd"/>
      <w:r w:rsidRPr="00480915">
        <w:rPr>
          <w:sz w:val="24"/>
          <w:szCs w:val="24"/>
        </w:rPr>
        <w:t xml:space="preserve"> fra stoffets proteinbindingssted er derfor lav.</w:t>
      </w:r>
    </w:p>
    <w:p w14:paraId="21920E82" w14:textId="77777777" w:rsidR="00480915" w:rsidRPr="00480915" w:rsidRDefault="00480915" w:rsidP="00A96B6C">
      <w:pPr>
        <w:ind w:left="851"/>
        <w:rPr>
          <w:sz w:val="24"/>
          <w:szCs w:val="24"/>
        </w:rPr>
      </w:pPr>
    </w:p>
    <w:p w14:paraId="7B435422" w14:textId="77777777" w:rsidR="00480915" w:rsidRPr="00480915" w:rsidRDefault="00480915" w:rsidP="00A96B6C">
      <w:pPr>
        <w:ind w:left="851"/>
        <w:rPr>
          <w:i/>
          <w:sz w:val="24"/>
          <w:szCs w:val="24"/>
        </w:rPr>
      </w:pPr>
      <w:r w:rsidRPr="00480915">
        <w:rPr>
          <w:i/>
          <w:sz w:val="24"/>
          <w:szCs w:val="24"/>
        </w:rPr>
        <w:t>Pædiatrisk population</w:t>
      </w:r>
    </w:p>
    <w:p w14:paraId="60FFA46B" w14:textId="77777777" w:rsidR="00480915" w:rsidRPr="00480915" w:rsidRDefault="00480915" w:rsidP="00A96B6C">
      <w:pPr>
        <w:ind w:left="851"/>
        <w:rPr>
          <w:i/>
          <w:sz w:val="24"/>
          <w:szCs w:val="24"/>
        </w:rPr>
      </w:pPr>
      <w:r w:rsidRPr="00480915">
        <w:rPr>
          <w:i/>
          <w:sz w:val="24"/>
          <w:szCs w:val="24"/>
        </w:rPr>
        <w:t xml:space="preserve">Absorption </w:t>
      </w:r>
    </w:p>
    <w:p w14:paraId="4A5397AE" w14:textId="77777777" w:rsidR="00480915" w:rsidRPr="00480915" w:rsidRDefault="00480915" w:rsidP="00A96B6C">
      <w:pPr>
        <w:ind w:left="851"/>
        <w:rPr>
          <w:sz w:val="24"/>
          <w:szCs w:val="24"/>
        </w:rPr>
      </w:pPr>
      <w:r w:rsidRPr="00480915">
        <w:rPr>
          <w:sz w:val="24"/>
          <w:szCs w:val="24"/>
        </w:rPr>
        <w:t xml:space="preserve">Ved brug af vægtjusteret dosering sås, at de gennemsnitlige serumkoncentrationer af </w:t>
      </w:r>
      <w:proofErr w:type="spellStart"/>
      <w:r w:rsidRPr="00480915">
        <w:rPr>
          <w:sz w:val="24"/>
          <w:szCs w:val="24"/>
        </w:rPr>
        <w:t>tapentadol</w:t>
      </w:r>
      <w:proofErr w:type="spellEnd"/>
      <w:r w:rsidRPr="00480915">
        <w:rPr>
          <w:sz w:val="24"/>
          <w:szCs w:val="24"/>
        </w:rPr>
        <w:t xml:space="preserve"> observeret i den pædiatriske population var inden for området af koncentrationer observeret hos voksne forsøgspersoner.</w:t>
      </w:r>
    </w:p>
    <w:p w14:paraId="03EEBCE4" w14:textId="77777777" w:rsidR="00480915" w:rsidRPr="00480915" w:rsidRDefault="00480915" w:rsidP="00A96B6C">
      <w:pPr>
        <w:ind w:left="851"/>
        <w:rPr>
          <w:i/>
          <w:sz w:val="24"/>
          <w:szCs w:val="24"/>
        </w:rPr>
      </w:pPr>
    </w:p>
    <w:p w14:paraId="78D11FA9" w14:textId="77777777" w:rsidR="00480915" w:rsidRPr="00480915" w:rsidRDefault="00480915" w:rsidP="00A96B6C">
      <w:pPr>
        <w:ind w:left="851"/>
        <w:rPr>
          <w:i/>
          <w:sz w:val="24"/>
          <w:szCs w:val="24"/>
        </w:rPr>
      </w:pPr>
      <w:r w:rsidRPr="00480915">
        <w:rPr>
          <w:i/>
          <w:sz w:val="24"/>
          <w:szCs w:val="24"/>
        </w:rPr>
        <w:t>Fødepåvirkning</w:t>
      </w:r>
    </w:p>
    <w:p w14:paraId="09B89660" w14:textId="74BF2A15" w:rsidR="00480915" w:rsidRPr="00480915" w:rsidRDefault="00480915" w:rsidP="00A96B6C">
      <w:pPr>
        <w:ind w:left="851"/>
        <w:rPr>
          <w:sz w:val="24"/>
          <w:szCs w:val="24"/>
        </w:rPr>
      </w:pPr>
      <w:r w:rsidRPr="00480915">
        <w:rPr>
          <w:iCs/>
          <w:sz w:val="24"/>
          <w:szCs w:val="24"/>
        </w:rPr>
        <w:t xml:space="preserve">Der er ikke foretaget et dedikeret forsøg angående fødevareeffekt hos børn og unge. I fase II/III forsøg udført på børn og unge blev </w:t>
      </w:r>
      <w:proofErr w:type="spellStart"/>
      <w:r w:rsidRPr="00480915">
        <w:rPr>
          <w:iCs/>
          <w:sz w:val="24"/>
          <w:szCs w:val="24"/>
        </w:rPr>
        <w:t>tapentadol</w:t>
      </w:r>
      <w:proofErr w:type="spellEnd"/>
      <w:r w:rsidRPr="00480915">
        <w:rPr>
          <w:iCs/>
          <w:sz w:val="24"/>
          <w:szCs w:val="24"/>
        </w:rPr>
        <w:t xml:space="preserve"> givet uafhængigt af fødeindtag. Baseret på effektdata opnået under de kliniske forsøg hos børn og unge, er det vurderet, at fødevarer ikke har nogen klinisk relevans. </w:t>
      </w:r>
      <w:proofErr w:type="spellStart"/>
      <w:r w:rsidRPr="00480915">
        <w:rPr>
          <w:iCs/>
          <w:sz w:val="24"/>
          <w:szCs w:val="24"/>
        </w:rPr>
        <w:t>Tapentadol</w:t>
      </w:r>
      <w:proofErr w:type="spellEnd"/>
      <w:r w:rsidRPr="00480915">
        <w:rPr>
          <w:iCs/>
          <w:sz w:val="24"/>
          <w:szCs w:val="24"/>
        </w:rPr>
        <w:t xml:space="preserve"> kan gives med eller uden mad</w:t>
      </w:r>
      <w:r w:rsidRPr="00480915">
        <w:rPr>
          <w:sz w:val="24"/>
          <w:szCs w:val="24"/>
        </w:rPr>
        <w:t>.</w:t>
      </w:r>
    </w:p>
    <w:p w14:paraId="096D9DA5" w14:textId="77777777" w:rsidR="00480915" w:rsidRPr="00480915" w:rsidRDefault="00480915" w:rsidP="00A96B6C">
      <w:pPr>
        <w:ind w:left="851"/>
        <w:rPr>
          <w:sz w:val="24"/>
          <w:szCs w:val="24"/>
        </w:rPr>
      </w:pPr>
    </w:p>
    <w:p w14:paraId="4D458255" w14:textId="77777777" w:rsidR="00480915" w:rsidRPr="00480915" w:rsidRDefault="00480915" w:rsidP="00A96B6C">
      <w:pPr>
        <w:ind w:left="851"/>
        <w:rPr>
          <w:i/>
          <w:sz w:val="24"/>
          <w:szCs w:val="24"/>
        </w:rPr>
      </w:pPr>
      <w:r w:rsidRPr="00480915">
        <w:rPr>
          <w:i/>
          <w:sz w:val="24"/>
          <w:szCs w:val="24"/>
        </w:rPr>
        <w:t xml:space="preserve">Distribution </w:t>
      </w:r>
    </w:p>
    <w:p w14:paraId="7EA5C3FA" w14:textId="77777777" w:rsidR="00480915" w:rsidRPr="00480915" w:rsidRDefault="00480915" w:rsidP="00A96B6C">
      <w:pPr>
        <w:ind w:left="851"/>
        <w:rPr>
          <w:sz w:val="24"/>
          <w:szCs w:val="24"/>
        </w:rPr>
      </w:pPr>
      <w:r w:rsidRPr="00480915">
        <w:rPr>
          <w:iCs/>
          <w:sz w:val="24"/>
          <w:szCs w:val="24"/>
        </w:rPr>
        <w:t xml:space="preserve">Baseret på en </w:t>
      </w:r>
      <w:proofErr w:type="spellStart"/>
      <w:r w:rsidRPr="00480915">
        <w:rPr>
          <w:iCs/>
          <w:sz w:val="24"/>
          <w:szCs w:val="24"/>
        </w:rPr>
        <w:t>populationsfarmakokinetisk</w:t>
      </w:r>
      <w:proofErr w:type="spellEnd"/>
      <w:r w:rsidRPr="00480915">
        <w:rPr>
          <w:iCs/>
          <w:sz w:val="24"/>
          <w:szCs w:val="24"/>
        </w:rPr>
        <w:t xml:space="preserve"> analyse, var det gennemsnitlige (± SD) tilsyneladende fordelingsvolumen (V/F) af </w:t>
      </w:r>
      <w:proofErr w:type="spellStart"/>
      <w:r w:rsidRPr="00480915">
        <w:rPr>
          <w:iCs/>
          <w:sz w:val="24"/>
          <w:szCs w:val="24"/>
        </w:rPr>
        <w:t>tapentadol</w:t>
      </w:r>
      <w:proofErr w:type="spellEnd"/>
      <w:r w:rsidRPr="00480915">
        <w:rPr>
          <w:iCs/>
          <w:sz w:val="24"/>
          <w:szCs w:val="24"/>
        </w:rPr>
        <w:t xml:space="preserve"> efter oral administration af </w:t>
      </w:r>
      <w:proofErr w:type="spellStart"/>
      <w:r w:rsidRPr="00480915">
        <w:rPr>
          <w:iCs/>
          <w:sz w:val="24"/>
          <w:szCs w:val="24"/>
        </w:rPr>
        <w:t>tapentadol</w:t>
      </w:r>
      <w:proofErr w:type="spellEnd"/>
      <w:r w:rsidRPr="00480915">
        <w:rPr>
          <w:iCs/>
          <w:sz w:val="24"/>
          <w:szCs w:val="24"/>
        </w:rPr>
        <w:t xml:space="preserve"> depottabletter i pædiatri; 528 L (± 227 L) for børn i alderen 6 år til under 12 år, og 795 L (± 220 L) for børn i alderen 12 år til under 18 år</w:t>
      </w:r>
      <w:r w:rsidRPr="00480915">
        <w:rPr>
          <w:sz w:val="24"/>
          <w:szCs w:val="24"/>
        </w:rPr>
        <w:t>.</w:t>
      </w:r>
    </w:p>
    <w:p w14:paraId="385C4A80" w14:textId="77777777" w:rsidR="00480915" w:rsidRPr="00480915" w:rsidRDefault="00480915" w:rsidP="00A96B6C">
      <w:pPr>
        <w:ind w:left="851"/>
        <w:rPr>
          <w:sz w:val="24"/>
          <w:szCs w:val="24"/>
        </w:rPr>
      </w:pPr>
    </w:p>
    <w:p w14:paraId="47A2F3EE" w14:textId="77777777" w:rsidR="00480915" w:rsidRPr="00480915" w:rsidRDefault="00480915" w:rsidP="00A96B6C">
      <w:pPr>
        <w:ind w:left="851"/>
        <w:rPr>
          <w:i/>
          <w:sz w:val="24"/>
          <w:szCs w:val="24"/>
        </w:rPr>
      </w:pPr>
      <w:r w:rsidRPr="00480915">
        <w:rPr>
          <w:i/>
          <w:sz w:val="24"/>
          <w:szCs w:val="24"/>
        </w:rPr>
        <w:t>Biotransformation</w:t>
      </w:r>
    </w:p>
    <w:p w14:paraId="5174CCB9" w14:textId="77777777" w:rsidR="00480915" w:rsidRPr="00480915" w:rsidRDefault="00480915" w:rsidP="00A96B6C">
      <w:pPr>
        <w:ind w:left="851"/>
        <w:rPr>
          <w:sz w:val="24"/>
          <w:szCs w:val="24"/>
        </w:rPr>
      </w:pPr>
      <w:r w:rsidRPr="00480915">
        <w:rPr>
          <w:sz w:val="24"/>
          <w:szCs w:val="24"/>
        </w:rPr>
        <w:t xml:space="preserve">Hos mennesker i alderen 5 måneder eller derover er metabolismen af </w:t>
      </w:r>
      <w:proofErr w:type="spellStart"/>
      <w:r w:rsidRPr="00480915">
        <w:rPr>
          <w:sz w:val="24"/>
          <w:szCs w:val="24"/>
        </w:rPr>
        <w:t>tapentadol</w:t>
      </w:r>
      <w:proofErr w:type="spellEnd"/>
      <w:r w:rsidRPr="00480915">
        <w:rPr>
          <w:sz w:val="24"/>
          <w:szCs w:val="24"/>
        </w:rPr>
        <w:t xml:space="preserve"> omfattende.</w:t>
      </w:r>
    </w:p>
    <w:p w14:paraId="08DEB831" w14:textId="77777777" w:rsidR="00480915" w:rsidRPr="00480915" w:rsidRDefault="00480915" w:rsidP="00A96B6C">
      <w:pPr>
        <w:ind w:left="851"/>
        <w:rPr>
          <w:sz w:val="24"/>
          <w:szCs w:val="24"/>
        </w:rPr>
      </w:pPr>
    </w:p>
    <w:p w14:paraId="634CE140" w14:textId="77777777" w:rsidR="00480915" w:rsidRPr="00480915" w:rsidRDefault="00480915" w:rsidP="00A96B6C">
      <w:pPr>
        <w:ind w:left="851"/>
        <w:rPr>
          <w:i/>
          <w:sz w:val="24"/>
          <w:szCs w:val="24"/>
        </w:rPr>
      </w:pPr>
      <w:r w:rsidRPr="00480915">
        <w:rPr>
          <w:i/>
          <w:sz w:val="24"/>
          <w:szCs w:val="24"/>
        </w:rPr>
        <w:t>Elimination</w:t>
      </w:r>
    </w:p>
    <w:p w14:paraId="176A4FF6" w14:textId="149FDB35" w:rsidR="00480915" w:rsidRPr="00480915" w:rsidRDefault="00480915" w:rsidP="00A96B6C">
      <w:pPr>
        <w:ind w:left="851"/>
        <w:rPr>
          <w:sz w:val="24"/>
          <w:szCs w:val="24"/>
        </w:rPr>
      </w:pPr>
      <w:r w:rsidRPr="00480915">
        <w:rPr>
          <w:sz w:val="24"/>
          <w:szCs w:val="24"/>
        </w:rPr>
        <w:t xml:space="preserve">Baseret på en </w:t>
      </w:r>
      <w:proofErr w:type="spellStart"/>
      <w:r w:rsidRPr="00480915">
        <w:rPr>
          <w:sz w:val="24"/>
          <w:szCs w:val="24"/>
        </w:rPr>
        <w:t>populationsfarmakokinetisk</w:t>
      </w:r>
      <w:proofErr w:type="spellEnd"/>
      <w:r w:rsidRPr="00480915">
        <w:rPr>
          <w:sz w:val="24"/>
          <w:szCs w:val="24"/>
        </w:rPr>
        <w:t xml:space="preserve"> analyse, var den gennemsnitlige (± SD) tilsyneladende orale </w:t>
      </w:r>
      <w:proofErr w:type="spellStart"/>
      <w:r w:rsidRPr="00480915">
        <w:rPr>
          <w:sz w:val="24"/>
          <w:szCs w:val="24"/>
        </w:rPr>
        <w:t>clearence</w:t>
      </w:r>
      <w:proofErr w:type="spellEnd"/>
      <w:r w:rsidRPr="00480915">
        <w:rPr>
          <w:sz w:val="24"/>
          <w:szCs w:val="24"/>
        </w:rPr>
        <w:t xml:space="preserve"> (CL/F) af </w:t>
      </w:r>
      <w:proofErr w:type="spellStart"/>
      <w:r w:rsidRPr="00480915">
        <w:rPr>
          <w:sz w:val="24"/>
          <w:szCs w:val="24"/>
        </w:rPr>
        <w:t>tapentadol</w:t>
      </w:r>
      <w:proofErr w:type="spellEnd"/>
      <w:r w:rsidRPr="00480915">
        <w:rPr>
          <w:sz w:val="24"/>
          <w:szCs w:val="24"/>
        </w:rPr>
        <w:t xml:space="preserve"> efter oral administration af </w:t>
      </w:r>
      <w:proofErr w:type="spellStart"/>
      <w:r w:rsidRPr="00480915">
        <w:rPr>
          <w:sz w:val="24"/>
          <w:szCs w:val="24"/>
        </w:rPr>
        <w:t>tapentadol</w:t>
      </w:r>
      <w:proofErr w:type="spellEnd"/>
      <w:r w:rsidRPr="00480915">
        <w:rPr>
          <w:sz w:val="24"/>
          <w:szCs w:val="24"/>
        </w:rPr>
        <w:t xml:space="preserve"> depottabletter i pædiatri; 135 L/h (± 51 L/h) for børn i alderen 6 år til under 12 år, og 180</w:t>
      </w:r>
      <w:r w:rsidR="00693FBE">
        <w:rPr>
          <w:sz w:val="24"/>
          <w:szCs w:val="24"/>
        </w:rPr>
        <w:t> </w:t>
      </w:r>
      <w:r w:rsidRPr="00480915">
        <w:rPr>
          <w:sz w:val="24"/>
          <w:szCs w:val="24"/>
        </w:rPr>
        <w:t>L/h (± 45 L/h) for børn i alderen 12 år til under 18 år.</w:t>
      </w:r>
    </w:p>
    <w:p w14:paraId="648A3F92" w14:textId="77777777" w:rsidR="00480915" w:rsidRPr="00480915" w:rsidRDefault="00480915" w:rsidP="00A96B6C">
      <w:pPr>
        <w:ind w:left="851"/>
        <w:rPr>
          <w:sz w:val="24"/>
          <w:szCs w:val="24"/>
        </w:rPr>
      </w:pPr>
    </w:p>
    <w:p w14:paraId="26B5AE84" w14:textId="77777777" w:rsidR="00480915" w:rsidRPr="00480915" w:rsidRDefault="00480915" w:rsidP="00A96B6C">
      <w:pPr>
        <w:ind w:left="851"/>
        <w:rPr>
          <w:i/>
          <w:sz w:val="24"/>
          <w:szCs w:val="24"/>
        </w:rPr>
      </w:pPr>
      <w:r w:rsidRPr="00480915">
        <w:rPr>
          <w:i/>
          <w:sz w:val="24"/>
          <w:szCs w:val="24"/>
        </w:rPr>
        <w:t xml:space="preserve">Særlige populationer </w:t>
      </w:r>
    </w:p>
    <w:p w14:paraId="22F4B5B4" w14:textId="77777777" w:rsidR="00480915" w:rsidRPr="00480915" w:rsidRDefault="00480915" w:rsidP="00A96B6C">
      <w:pPr>
        <w:ind w:left="851"/>
        <w:rPr>
          <w:i/>
          <w:sz w:val="24"/>
          <w:szCs w:val="24"/>
        </w:rPr>
      </w:pPr>
      <w:r w:rsidRPr="00480915">
        <w:rPr>
          <w:i/>
          <w:sz w:val="24"/>
          <w:szCs w:val="24"/>
        </w:rPr>
        <w:t xml:space="preserve">Nedsat nyre- og leverfunktion </w:t>
      </w:r>
    </w:p>
    <w:p w14:paraId="20EB7343" w14:textId="77777777" w:rsidR="00480915" w:rsidRPr="00480915" w:rsidRDefault="00480915" w:rsidP="00A96B6C">
      <w:pPr>
        <w:ind w:left="851"/>
        <w:rPr>
          <w:iCs/>
          <w:sz w:val="24"/>
          <w:szCs w:val="24"/>
        </w:rPr>
      </w:pPr>
      <w:proofErr w:type="spellStart"/>
      <w:r w:rsidRPr="00480915">
        <w:rPr>
          <w:iCs/>
          <w:sz w:val="24"/>
          <w:szCs w:val="24"/>
        </w:rPr>
        <w:t>Tapentadol</w:t>
      </w:r>
      <w:proofErr w:type="spellEnd"/>
      <w:r w:rsidRPr="00480915">
        <w:rPr>
          <w:iCs/>
          <w:sz w:val="24"/>
          <w:szCs w:val="24"/>
        </w:rPr>
        <w:t xml:space="preserve"> er ikke blevet undersøgt hos børn og unge med nedsat nyre- og leverfunktion. </w:t>
      </w:r>
    </w:p>
    <w:p w14:paraId="03B1A603" w14:textId="77777777" w:rsidR="00480915" w:rsidRPr="00480915" w:rsidRDefault="00480915" w:rsidP="00A96B6C">
      <w:pPr>
        <w:ind w:left="851"/>
        <w:rPr>
          <w:i/>
          <w:sz w:val="24"/>
          <w:szCs w:val="24"/>
        </w:rPr>
      </w:pPr>
    </w:p>
    <w:p w14:paraId="513A7E4E" w14:textId="77777777" w:rsidR="00480915" w:rsidRPr="00480915" w:rsidRDefault="00480915" w:rsidP="00A96B6C">
      <w:pPr>
        <w:ind w:left="851"/>
        <w:rPr>
          <w:i/>
          <w:sz w:val="24"/>
          <w:szCs w:val="24"/>
        </w:rPr>
      </w:pPr>
      <w:proofErr w:type="spellStart"/>
      <w:r w:rsidRPr="00480915">
        <w:rPr>
          <w:i/>
          <w:sz w:val="24"/>
          <w:szCs w:val="24"/>
        </w:rPr>
        <w:t>Farmakokinetiske</w:t>
      </w:r>
      <w:proofErr w:type="spellEnd"/>
      <w:r w:rsidRPr="00480915">
        <w:rPr>
          <w:i/>
          <w:sz w:val="24"/>
          <w:szCs w:val="24"/>
        </w:rPr>
        <w:t xml:space="preserve"> interaktioner </w:t>
      </w:r>
    </w:p>
    <w:p w14:paraId="4C0C5F89" w14:textId="77777777" w:rsidR="00480915" w:rsidRPr="00480915" w:rsidRDefault="00480915" w:rsidP="00A96B6C">
      <w:pPr>
        <w:ind w:left="851"/>
        <w:rPr>
          <w:sz w:val="24"/>
          <w:szCs w:val="24"/>
        </w:rPr>
      </w:pPr>
      <w:r w:rsidRPr="00480915">
        <w:rPr>
          <w:iCs/>
          <w:sz w:val="24"/>
          <w:szCs w:val="24"/>
        </w:rPr>
        <w:t>Der er ikke udført dedikerede lægemiddelinteraktionsforsøg hos børn og unge</w:t>
      </w:r>
      <w:r w:rsidRPr="00480915">
        <w:rPr>
          <w:sz w:val="24"/>
          <w:szCs w:val="24"/>
        </w:rPr>
        <w:t>.</w:t>
      </w:r>
    </w:p>
    <w:p w14:paraId="61D580CC" w14:textId="77777777" w:rsidR="009260DE" w:rsidRPr="00301E7F" w:rsidRDefault="009260DE" w:rsidP="009260DE">
      <w:pPr>
        <w:tabs>
          <w:tab w:val="left" w:pos="851"/>
        </w:tabs>
        <w:ind w:left="851"/>
        <w:rPr>
          <w:sz w:val="24"/>
          <w:szCs w:val="24"/>
        </w:rPr>
      </w:pPr>
    </w:p>
    <w:p w14:paraId="56BB0679" w14:textId="77777777" w:rsidR="009260DE" w:rsidRPr="00301E7F" w:rsidRDefault="009260DE" w:rsidP="009260DE">
      <w:pPr>
        <w:tabs>
          <w:tab w:val="left" w:pos="851"/>
        </w:tabs>
        <w:ind w:left="851" w:hanging="851"/>
        <w:rPr>
          <w:b/>
          <w:sz w:val="24"/>
          <w:szCs w:val="24"/>
        </w:rPr>
      </w:pPr>
      <w:r w:rsidRPr="00301E7F">
        <w:rPr>
          <w:b/>
          <w:sz w:val="24"/>
          <w:szCs w:val="24"/>
        </w:rPr>
        <w:t>5.3</w:t>
      </w:r>
      <w:r w:rsidRPr="00301E7F">
        <w:rPr>
          <w:b/>
          <w:sz w:val="24"/>
          <w:szCs w:val="24"/>
        </w:rPr>
        <w:tab/>
      </w:r>
      <w:r w:rsidR="00BD7931" w:rsidRPr="00301E7F">
        <w:rPr>
          <w:b/>
          <w:sz w:val="24"/>
          <w:szCs w:val="24"/>
        </w:rPr>
        <w:t>Non-</w:t>
      </w:r>
      <w:r w:rsidRPr="00301E7F">
        <w:rPr>
          <w:b/>
          <w:sz w:val="24"/>
          <w:szCs w:val="24"/>
        </w:rPr>
        <w:t>kliniske sikkerhedsdata</w:t>
      </w:r>
    </w:p>
    <w:p w14:paraId="5F068556" w14:textId="07A8C985"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var ikke genotoksisk i bakterier i </w:t>
      </w:r>
      <w:proofErr w:type="spellStart"/>
      <w:r w:rsidRPr="00480915">
        <w:rPr>
          <w:sz w:val="24"/>
          <w:szCs w:val="24"/>
        </w:rPr>
        <w:t>Ames</w:t>
      </w:r>
      <w:proofErr w:type="spellEnd"/>
      <w:r w:rsidRPr="00480915">
        <w:rPr>
          <w:sz w:val="24"/>
          <w:szCs w:val="24"/>
        </w:rPr>
        <w:t xml:space="preserve">’ test. I en </w:t>
      </w:r>
      <w:r w:rsidRPr="00480915">
        <w:rPr>
          <w:i/>
          <w:iCs/>
          <w:sz w:val="24"/>
          <w:szCs w:val="24"/>
        </w:rPr>
        <w:t xml:space="preserve">in </w:t>
      </w:r>
      <w:proofErr w:type="spellStart"/>
      <w:r w:rsidRPr="00480915">
        <w:rPr>
          <w:i/>
          <w:iCs/>
          <w:sz w:val="24"/>
          <w:szCs w:val="24"/>
        </w:rPr>
        <w:t>vitro</w:t>
      </w:r>
      <w:proofErr w:type="spellEnd"/>
      <w:r w:rsidRPr="00480915">
        <w:rPr>
          <w:sz w:val="24"/>
          <w:szCs w:val="24"/>
        </w:rPr>
        <w:t xml:space="preserve">-test for kromosomafvigelser var resultaterne tvetydige, men ved gentagelse af testen var de klart negative. </w:t>
      </w:r>
      <w:proofErr w:type="spellStart"/>
      <w:r w:rsidRPr="00480915">
        <w:rPr>
          <w:sz w:val="24"/>
          <w:szCs w:val="24"/>
        </w:rPr>
        <w:t>Tapentadol</w:t>
      </w:r>
      <w:proofErr w:type="spellEnd"/>
      <w:r w:rsidRPr="00480915">
        <w:rPr>
          <w:sz w:val="24"/>
          <w:szCs w:val="24"/>
        </w:rPr>
        <w:t xml:space="preserve"> var ikke genotoksisk </w:t>
      </w:r>
      <w:r w:rsidRPr="00480915">
        <w:rPr>
          <w:i/>
          <w:iCs/>
          <w:sz w:val="24"/>
          <w:szCs w:val="24"/>
        </w:rPr>
        <w:t xml:space="preserve">in </w:t>
      </w:r>
      <w:proofErr w:type="spellStart"/>
      <w:r w:rsidRPr="00480915">
        <w:rPr>
          <w:i/>
          <w:iCs/>
          <w:sz w:val="24"/>
          <w:szCs w:val="24"/>
        </w:rPr>
        <w:t>vivo</w:t>
      </w:r>
      <w:proofErr w:type="spellEnd"/>
      <w:r w:rsidRPr="00480915">
        <w:rPr>
          <w:sz w:val="24"/>
          <w:szCs w:val="24"/>
        </w:rPr>
        <w:t xml:space="preserve"> ved de to endepunkter kromosom</w:t>
      </w:r>
      <w:r w:rsidR="005053E0">
        <w:rPr>
          <w:sz w:val="24"/>
          <w:szCs w:val="24"/>
        </w:rPr>
        <w:softHyphen/>
      </w:r>
      <w:r w:rsidRPr="00480915">
        <w:rPr>
          <w:sz w:val="24"/>
          <w:szCs w:val="24"/>
        </w:rPr>
        <w:t xml:space="preserve">afvigelse og ikke-planlagt DNA-syntese, når stoffet blev testet i op til den maksimale tolererede dosis. Langtids-dyrestudier viste ikke potentielle </w:t>
      </w:r>
      <w:proofErr w:type="spellStart"/>
      <w:r w:rsidRPr="00480915">
        <w:rPr>
          <w:sz w:val="24"/>
          <w:szCs w:val="24"/>
        </w:rPr>
        <w:t>carcinogene</w:t>
      </w:r>
      <w:proofErr w:type="spellEnd"/>
      <w:r w:rsidRPr="00480915">
        <w:rPr>
          <w:sz w:val="24"/>
          <w:szCs w:val="24"/>
        </w:rPr>
        <w:t xml:space="preserve"> risici relevante for mennesker.</w:t>
      </w:r>
    </w:p>
    <w:p w14:paraId="183610DB" w14:textId="77777777" w:rsidR="00480915" w:rsidRPr="00480915" w:rsidRDefault="00480915" w:rsidP="00A96B6C">
      <w:pPr>
        <w:ind w:left="851"/>
        <w:rPr>
          <w:sz w:val="24"/>
          <w:szCs w:val="24"/>
        </w:rPr>
      </w:pPr>
      <w:proofErr w:type="spellStart"/>
      <w:r w:rsidRPr="00480915">
        <w:rPr>
          <w:sz w:val="24"/>
          <w:szCs w:val="24"/>
        </w:rPr>
        <w:t>Tapentadol</w:t>
      </w:r>
      <w:proofErr w:type="spellEnd"/>
      <w:r w:rsidRPr="00480915">
        <w:rPr>
          <w:sz w:val="24"/>
          <w:szCs w:val="24"/>
        </w:rPr>
        <w:t xml:space="preserve"> påvirkede ikke fertiliteten hos han- eller hunrotter, men der var nedsat </w:t>
      </w:r>
      <w:r w:rsidRPr="00480915">
        <w:rPr>
          <w:i/>
          <w:iCs/>
          <w:sz w:val="24"/>
          <w:szCs w:val="24"/>
        </w:rPr>
        <w:t>in-</w:t>
      </w:r>
      <w:proofErr w:type="spellStart"/>
      <w:r w:rsidRPr="00480915">
        <w:rPr>
          <w:i/>
          <w:iCs/>
          <w:sz w:val="24"/>
          <w:szCs w:val="24"/>
        </w:rPr>
        <w:t>utero</w:t>
      </w:r>
      <w:proofErr w:type="spellEnd"/>
      <w:r w:rsidRPr="00480915">
        <w:rPr>
          <w:sz w:val="24"/>
          <w:szCs w:val="24"/>
        </w:rPr>
        <w:t xml:space="preserve"> overlevelse ved høje doser. Det vides ikke, om dette var medieret via hannen eller hunnen. </w:t>
      </w:r>
      <w:proofErr w:type="spellStart"/>
      <w:r w:rsidRPr="00480915">
        <w:rPr>
          <w:sz w:val="24"/>
          <w:szCs w:val="24"/>
        </w:rPr>
        <w:t>Tapentadol</w:t>
      </w:r>
      <w:proofErr w:type="spellEnd"/>
      <w:r w:rsidRPr="00480915">
        <w:rPr>
          <w:sz w:val="24"/>
          <w:szCs w:val="24"/>
        </w:rPr>
        <w:t xml:space="preserve"> viste ingen </w:t>
      </w:r>
      <w:proofErr w:type="spellStart"/>
      <w:r w:rsidRPr="00480915">
        <w:rPr>
          <w:sz w:val="24"/>
          <w:szCs w:val="24"/>
        </w:rPr>
        <w:t>teratogene</w:t>
      </w:r>
      <w:proofErr w:type="spellEnd"/>
      <w:r w:rsidRPr="00480915">
        <w:rPr>
          <w:sz w:val="24"/>
          <w:szCs w:val="24"/>
        </w:rPr>
        <w:t xml:space="preserve"> virkninger hos rotter og kaniner efter intravenøs og subkutan eksponering. Der blev dog observeret sen udvikling og embryotoksicitet efter administration af doser, der førte til overeksponering (påvirkning af centralnervesystemet relateret til µ-opioider ved doser, der oversteg det terapeutiske interval). Efter intravenøs dosering i rotter sås nedsat </w:t>
      </w:r>
      <w:r w:rsidRPr="00480915">
        <w:rPr>
          <w:i/>
          <w:iCs/>
          <w:sz w:val="24"/>
          <w:szCs w:val="24"/>
        </w:rPr>
        <w:t>in-</w:t>
      </w:r>
      <w:proofErr w:type="spellStart"/>
      <w:r w:rsidRPr="00480915">
        <w:rPr>
          <w:i/>
          <w:iCs/>
          <w:sz w:val="24"/>
          <w:szCs w:val="24"/>
        </w:rPr>
        <w:t>utero</w:t>
      </w:r>
      <w:proofErr w:type="spellEnd"/>
      <w:r w:rsidRPr="00480915">
        <w:rPr>
          <w:sz w:val="24"/>
          <w:szCs w:val="24"/>
        </w:rPr>
        <w:t xml:space="preserve"> overlevelse. Hos rotter forårsagede </w:t>
      </w:r>
      <w:proofErr w:type="spellStart"/>
      <w:r w:rsidRPr="00480915">
        <w:rPr>
          <w:sz w:val="24"/>
          <w:szCs w:val="24"/>
        </w:rPr>
        <w:t>tapentadol</w:t>
      </w:r>
      <w:proofErr w:type="spellEnd"/>
      <w:r w:rsidRPr="00480915">
        <w:rPr>
          <w:sz w:val="24"/>
          <w:szCs w:val="24"/>
        </w:rPr>
        <w:t xml:space="preserve"> øget mortalitet hos F1-ungerne, der blev direkte eksponeret via mælken 1-4 dage efter fødslen også ved doser der ikke fremprovokerede </w:t>
      </w:r>
      <w:proofErr w:type="spellStart"/>
      <w:r w:rsidRPr="00480915">
        <w:rPr>
          <w:sz w:val="24"/>
          <w:szCs w:val="24"/>
        </w:rPr>
        <w:t>maternal</w:t>
      </w:r>
      <w:proofErr w:type="spellEnd"/>
      <w:r w:rsidRPr="00480915">
        <w:rPr>
          <w:sz w:val="24"/>
          <w:szCs w:val="24"/>
        </w:rPr>
        <w:t xml:space="preserve"> </w:t>
      </w:r>
      <w:proofErr w:type="spellStart"/>
      <w:r w:rsidRPr="00480915">
        <w:rPr>
          <w:sz w:val="24"/>
          <w:szCs w:val="24"/>
        </w:rPr>
        <w:t>toxicitet</w:t>
      </w:r>
      <w:proofErr w:type="spellEnd"/>
      <w:r w:rsidRPr="00480915">
        <w:rPr>
          <w:sz w:val="24"/>
          <w:szCs w:val="24"/>
        </w:rPr>
        <w:t xml:space="preserve">. Der sås ingen virkninger på det neurologiske adfærdsmønster. </w:t>
      </w:r>
    </w:p>
    <w:p w14:paraId="6D316883" w14:textId="77777777" w:rsidR="00480915" w:rsidRPr="00480915" w:rsidRDefault="00480915" w:rsidP="00A96B6C">
      <w:pPr>
        <w:ind w:left="851"/>
        <w:rPr>
          <w:sz w:val="24"/>
          <w:szCs w:val="24"/>
        </w:rPr>
      </w:pPr>
      <w:r w:rsidRPr="00480915">
        <w:rPr>
          <w:sz w:val="24"/>
          <w:szCs w:val="24"/>
        </w:rPr>
        <w:t xml:space="preserve">Udskillelse i brystmælk blev undersøgt hos rotteunger, der havde diet hos moderdyr efter administration af </w:t>
      </w:r>
      <w:proofErr w:type="spellStart"/>
      <w:r w:rsidRPr="00480915">
        <w:rPr>
          <w:sz w:val="24"/>
          <w:szCs w:val="24"/>
        </w:rPr>
        <w:t>tapentadol</w:t>
      </w:r>
      <w:proofErr w:type="spellEnd"/>
      <w:r w:rsidRPr="00480915">
        <w:rPr>
          <w:sz w:val="24"/>
          <w:szCs w:val="24"/>
        </w:rPr>
        <w:t xml:space="preserve">. Ungerne blev dosisafhængigt eksponeret for </w:t>
      </w:r>
      <w:proofErr w:type="spellStart"/>
      <w:r w:rsidRPr="00480915">
        <w:rPr>
          <w:sz w:val="24"/>
          <w:szCs w:val="24"/>
        </w:rPr>
        <w:t>tapentadol</w:t>
      </w:r>
      <w:proofErr w:type="spellEnd"/>
      <w:r w:rsidRPr="00480915">
        <w:rPr>
          <w:sz w:val="24"/>
          <w:szCs w:val="24"/>
        </w:rPr>
        <w:t xml:space="preserve"> og </w:t>
      </w:r>
      <w:proofErr w:type="spellStart"/>
      <w:r w:rsidRPr="00480915">
        <w:rPr>
          <w:sz w:val="24"/>
          <w:szCs w:val="24"/>
        </w:rPr>
        <w:t>tapentadol</w:t>
      </w:r>
      <w:proofErr w:type="spellEnd"/>
      <w:r w:rsidRPr="00480915">
        <w:rPr>
          <w:sz w:val="24"/>
          <w:szCs w:val="24"/>
        </w:rPr>
        <w:t>-O-</w:t>
      </w:r>
      <w:proofErr w:type="spellStart"/>
      <w:r w:rsidRPr="00480915">
        <w:rPr>
          <w:sz w:val="24"/>
          <w:szCs w:val="24"/>
        </w:rPr>
        <w:t>glucuronid</w:t>
      </w:r>
      <w:proofErr w:type="spellEnd"/>
      <w:r w:rsidRPr="00480915">
        <w:rPr>
          <w:sz w:val="24"/>
          <w:szCs w:val="24"/>
        </w:rPr>
        <w:t xml:space="preserve">, og det blev konkluderet, at </w:t>
      </w:r>
      <w:proofErr w:type="spellStart"/>
      <w:r w:rsidRPr="00480915">
        <w:rPr>
          <w:sz w:val="24"/>
          <w:szCs w:val="24"/>
        </w:rPr>
        <w:t>tapentadol</w:t>
      </w:r>
      <w:proofErr w:type="spellEnd"/>
      <w:r w:rsidRPr="00480915">
        <w:rPr>
          <w:sz w:val="24"/>
          <w:szCs w:val="24"/>
        </w:rPr>
        <w:t xml:space="preserve"> udskilles i mælken.</w:t>
      </w:r>
    </w:p>
    <w:p w14:paraId="1B836A52" w14:textId="77777777" w:rsidR="00480915" w:rsidRPr="00480915" w:rsidRDefault="00480915" w:rsidP="00A96B6C">
      <w:pPr>
        <w:ind w:left="851"/>
        <w:rPr>
          <w:sz w:val="24"/>
          <w:szCs w:val="24"/>
        </w:rPr>
      </w:pPr>
      <w:r w:rsidRPr="00480915">
        <w:rPr>
          <w:sz w:val="24"/>
          <w:szCs w:val="24"/>
        </w:rPr>
        <w:t>Unge rotter blev behandlet fra post-</w:t>
      </w:r>
      <w:proofErr w:type="spellStart"/>
      <w:r w:rsidRPr="00480915">
        <w:rPr>
          <w:sz w:val="24"/>
          <w:szCs w:val="24"/>
        </w:rPr>
        <w:t>natal</w:t>
      </w:r>
      <w:proofErr w:type="spellEnd"/>
      <w:r w:rsidRPr="00480915">
        <w:rPr>
          <w:sz w:val="24"/>
          <w:szCs w:val="24"/>
        </w:rPr>
        <w:t xml:space="preserve"> dag 6 til dag 90, hvilket dækker den udviklingsperiode, der svarer til spædbarnsalderen, barndommen og ungdommen hos mennesker. I løbet af de 3 første behandlingsdage blev der observeret en numerisk højere incidens af mortalitet ved doser ≥ 25 mg/kg/dag med </w:t>
      </w:r>
      <w:proofErr w:type="spellStart"/>
      <w:r w:rsidRPr="00480915">
        <w:rPr>
          <w:sz w:val="24"/>
          <w:szCs w:val="24"/>
        </w:rPr>
        <w:t>tapentadol</w:t>
      </w:r>
      <w:proofErr w:type="spellEnd"/>
      <w:r w:rsidRPr="00480915">
        <w:rPr>
          <w:sz w:val="24"/>
          <w:szCs w:val="24"/>
        </w:rPr>
        <w:t xml:space="preserve"> plasmaeksponering ved det laveste observeret bivirkningsniveau (LOAEL) sammenlignet med den forventelig kliniske plasmaeksponering hos børn. </w:t>
      </w:r>
      <w:proofErr w:type="spellStart"/>
      <w:r w:rsidRPr="00480915">
        <w:rPr>
          <w:sz w:val="24"/>
          <w:szCs w:val="24"/>
        </w:rPr>
        <w:t>Tapetandol</w:t>
      </w:r>
      <w:proofErr w:type="spellEnd"/>
      <w:r w:rsidRPr="00480915">
        <w:rPr>
          <w:sz w:val="24"/>
          <w:szCs w:val="24"/>
        </w:rPr>
        <w:t xml:space="preserve"> var veltolereret hos rotteunger, der var ældre end 10 dage. Der var ingen behandlingsrelaterede kliniske tegn, påvirkninger på vægten, fødeindtagelsen, afvænning eller reproduktionsudviklingen, vækst af lange knogler, motorisk aktivitet, adfærd eller læring og hukommelse. Vægten af organer og makroskopisk eller mikroskopisk evaluering viste ingen behandlingsrelaterede ændringer. </w:t>
      </w:r>
      <w:proofErr w:type="spellStart"/>
      <w:r w:rsidRPr="00480915">
        <w:rPr>
          <w:sz w:val="24"/>
          <w:szCs w:val="24"/>
        </w:rPr>
        <w:t>Tapentadol</w:t>
      </w:r>
      <w:proofErr w:type="spellEnd"/>
      <w:r w:rsidRPr="00480915">
        <w:rPr>
          <w:sz w:val="24"/>
          <w:szCs w:val="24"/>
        </w:rPr>
        <w:t xml:space="preserve"> påvirkede ikke den seksuelle udvikling, parring eller graviditet hos de behandlede dyr.</w:t>
      </w:r>
    </w:p>
    <w:p w14:paraId="1B9281AA" w14:textId="77777777" w:rsidR="00480915" w:rsidRPr="00480915" w:rsidRDefault="00480915" w:rsidP="00480915">
      <w:pPr>
        <w:tabs>
          <w:tab w:val="left" w:pos="851"/>
        </w:tabs>
        <w:ind w:left="851"/>
        <w:rPr>
          <w:sz w:val="24"/>
          <w:szCs w:val="24"/>
        </w:rPr>
      </w:pPr>
    </w:p>
    <w:p w14:paraId="3575A2F6" w14:textId="77777777" w:rsidR="009260DE" w:rsidRPr="00301E7F" w:rsidRDefault="009260DE" w:rsidP="009260DE">
      <w:pPr>
        <w:tabs>
          <w:tab w:val="left" w:pos="851"/>
        </w:tabs>
        <w:ind w:left="851"/>
        <w:rPr>
          <w:sz w:val="24"/>
          <w:szCs w:val="24"/>
        </w:rPr>
      </w:pPr>
    </w:p>
    <w:p w14:paraId="7CF9971F" w14:textId="77777777" w:rsidR="009260DE" w:rsidRPr="00301E7F" w:rsidRDefault="009260DE" w:rsidP="009260DE">
      <w:pPr>
        <w:tabs>
          <w:tab w:val="left" w:pos="851"/>
        </w:tabs>
        <w:ind w:left="851"/>
        <w:rPr>
          <w:sz w:val="24"/>
          <w:szCs w:val="24"/>
        </w:rPr>
      </w:pPr>
    </w:p>
    <w:p w14:paraId="0E2785B6" w14:textId="77777777" w:rsidR="009260DE" w:rsidRPr="00301E7F" w:rsidRDefault="009260DE" w:rsidP="009260DE">
      <w:pPr>
        <w:tabs>
          <w:tab w:val="left" w:pos="851"/>
        </w:tabs>
        <w:ind w:left="851" w:hanging="851"/>
        <w:rPr>
          <w:b/>
          <w:sz w:val="24"/>
          <w:szCs w:val="24"/>
        </w:rPr>
      </w:pPr>
      <w:r w:rsidRPr="00301E7F">
        <w:rPr>
          <w:b/>
          <w:sz w:val="24"/>
          <w:szCs w:val="24"/>
        </w:rPr>
        <w:t>6.</w:t>
      </w:r>
      <w:r w:rsidRPr="00301E7F">
        <w:rPr>
          <w:b/>
          <w:sz w:val="24"/>
          <w:szCs w:val="24"/>
        </w:rPr>
        <w:tab/>
        <w:t>FARMACEUTISKE OPLYSNINGER</w:t>
      </w:r>
    </w:p>
    <w:p w14:paraId="1D415DED" w14:textId="77777777" w:rsidR="009260DE" w:rsidRPr="00301E7F" w:rsidRDefault="009260DE" w:rsidP="009260DE">
      <w:pPr>
        <w:tabs>
          <w:tab w:val="left" w:pos="851"/>
        </w:tabs>
        <w:ind w:left="851"/>
        <w:rPr>
          <w:sz w:val="24"/>
          <w:szCs w:val="24"/>
        </w:rPr>
      </w:pPr>
    </w:p>
    <w:p w14:paraId="6FBD1986" w14:textId="77777777" w:rsidR="009260DE" w:rsidRPr="00301E7F" w:rsidRDefault="009260DE" w:rsidP="009260DE">
      <w:pPr>
        <w:tabs>
          <w:tab w:val="left" w:pos="851"/>
        </w:tabs>
        <w:ind w:left="851" w:hanging="851"/>
        <w:rPr>
          <w:b/>
          <w:sz w:val="24"/>
          <w:szCs w:val="24"/>
        </w:rPr>
      </w:pPr>
      <w:r w:rsidRPr="00301E7F">
        <w:rPr>
          <w:b/>
          <w:sz w:val="24"/>
          <w:szCs w:val="24"/>
        </w:rPr>
        <w:t>6.1</w:t>
      </w:r>
      <w:r w:rsidRPr="00301E7F">
        <w:rPr>
          <w:b/>
          <w:sz w:val="24"/>
          <w:szCs w:val="24"/>
        </w:rPr>
        <w:tab/>
        <w:t>Hjælpestoffer</w:t>
      </w:r>
    </w:p>
    <w:p w14:paraId="282DB15D" w14:textId="77777777" w:rsidR="00B13B7D" w:rsidRDefault="00B13B7D" w:rsidP="00A96B6C">
      <w:pPr>
        <w:ind w:left="851"/>
        <w:rPr>
          <w:sz w:val="24"/>
          <w:szCs w:val="24"/>
        </w:rPr>
      </w:pPr>
    </w:p>
    <w:p w14:paraId="1CDE0483" w14:textId="2943C6C8" w:rsidR="00480915" w:rsidRPr="00693FBE" w:rsidRDefault="00480915" w:rsidP="00A96B6C">
      <w:pPr>
        <w:ind w:left="851"/>
        <w:rPr>
          <w:sz w:val="24"/>
          <w:szCs w:val="24"/>
          <w:u w:val="single"/>
        </w:rPr>
      </w:pPr>
      <w:r w:rsidRPr="00693FBE">
        <w:rPr>
          <w:sz w:val="24"/>
          <w:szCs w:val="24"/>
          <w:u w:val="single"/>
        </w:rPr>
        <w:t xml:space="preserve">Tabletkerne: </w:t>
      </w:r>
    </w:p>
    <w:p w14:paraId="0C5FC64C" w14:textId="77777777" w:rsidR="00480915" w:rsidRPr="00480915" w:rsidRDefault="00480915" w:rsidP="00A96B6C">
      <w:pPr>
        <w:ind w:left="851"/>
        <w:rPr>
          <w:sz w:val="24"/>
          <w:szCs w:val="24"/>
        </w:rPr>
      </w:pPr>
      <w:r w:rsidRPr="00480915">
        <w:rPr>
          <w:sz w:val="24"/>
          <w:szCs w:val="24"/>
        </w:rPr>
        <w:t xml:space="preserve">Cellulose, mikrokrystallinsk </w:t>
      </w:r>
    </w:p>
    <w:p w14:paraId="514707A2" w14:textId="77777777" w:rsidR="00480915" w:rsidRPr="00480915" w:rsidRDefault="00480915" w:rsidP="00A96B6C">
      <w:pPr>
        <w:ind w:left="851"/>
        <w:rPr>
          <w:sz w:val="24"/>
          <w:szCs w:val="24"/>
        </w:rPr>
      </w:pPr>
      <w:proofErr w:type="spellStart"/>
      <w:r w:rsidRPr="00480915">
        <w:rPr>
          <w:sz w:val="24"/>
          <w:szCs w:val="24"/>
        </w:rPr>
        <w:t>Silica</w:t>
      </w:r>
      <w:proofErr w:type="spellEnd"/>
      <w:r w:rsidRPr="00480915">
        <w:rPr>
          <w:sz w:val="24"/>
          <w:szCs w:val="24"/>
        </w:rPr>
        <w:t xml:space="preserve">, kolloid vandfri </w:t>
      </w:r>
    </w:p>
    <w:p w14:paraId="2CFCAA45" w14:textId="77777777" w:rsidR="00480915" w:rsidRPr="00480915" w:rsidRDefault="00480915" w:rsidP="00A96B6C">
      <w:pPr>
        <w:ind w:left="851"/>
        <w:rPr>
          <w:sz w:val="24"/>
          <w:szCs w:val="24"/>
        </w:rPr>
      </w:pPr>
      <w:proofErr w:type="spellStart"/>
      <w:r w:rsidRPr="00480915">
        <w:rPr>
          <w:sz w:val="24"/>
          <w:szCs w:val="24"/>
        </w:rPr>
        <w:t>Magnesiumstearat</w:t>
      </w:r>
      <w:proofErr w:type="spellEnd"/>
    </w:p>
    <w:p w14:paraId="741CD96D" w14:textId="77777777" w:rsidR="00480915" w:rsidRPr="00480915" w:rsidRDefault="00480915" w:rsidP="00A96B6C">
      <w:pPr>
        <w:ind w:left="851"/>
        <w:rPr>
          <w:sz w:val="24"/>
          <w:szCs w:val="24"/>
        </w:rPr>
      </w:pPr>
      <w:proofErr w:type="spellStart"/>
      <w:r w:rsidRPr="00480915">
        <w:rPr>
          <w:sz w:val="24"/>
          <w:szCs w:val="24"/>
        </w:rPr>
        <w:t>Hypromellose</w:t>
      </w:r>
      <w:proofErr w:type="spellEnd"/>
    </w:p>
    <w:p w14:paraId="11CE2BED" w14:textId="77777777" w:rsidR="00480915" w:rsidRPr="00480915" w:rsidRDefault="00480915" w:rsidP="00A96B6C">
      <w:pPr>
        <w:ind w:left="851"/>
        <w:rPr>
          <w:sz w:val="24"/>
          <w:szCs w:val="24"/>
        </w:rPr>
      </w:pPr>
    </w:p>
    <w:p w14:paraId="2D77EA5B" w14:textId="77777777" w:rsidR="00480915" w:rsidRPr="00480915" w:rsidRDefault="00480915" w:rsidP="00A96B6C">
      <w:pPr>
        <w:ind w:left="851"/>
        <w:rPr>
          <w:sz w:val="24"/>
          <w:szCs w:val="24"/>
          <w:u w:val="single"/>
        </w:rPr>
      </w:pPr>
      <w:r w:rsidRPr="00480915">
        <w:rPr>
          <w:sz w:val="24"/>
          <w:szCs w:val="24"/>
          <w:u w:val="single"/>
        </w:rPr>
        <w:t>Tabletovertræk:</w:t>
      </w:r>
    </w:p>
    <w:p w14:paraId="6C6674EE" w14:textId="77777777" w:rsidR="00480915" w:rsidRPr="00480915" w:rsidRDefault="00480915" w:rsidP="00A96B6C">
      <w:pPr>
        <w:ind w:left="851"/>
        <w:rPr>
          <w:sz w:val="24"/>
          <w:szCs w:val="24"/>
        </w:rPr>
      </w:pPr>
      <w:r w:rsidRPr="00480915">
        <w:rPr>
          <w:sz w:val="24"/>
          <w:szCs w:val="24"/>
        </w:rPr>
        <w:t>Polyvinylalkohol - delvist hydrolyseret (E1203)</w:t>
      </w:r>
    </w:p>
    <w:p w14:paraId="31A0C06E" w14:textId="77777777" w:rsidR="00480915" w:rsidRPr="00480915" w:rsidRDefault="00480915" w:rsidP="00A96B6C">
      <w:pPr>
        <w:ind w:left="851"/>
        <w:rPr>
          <w:sz w:val="24"/>
          <w:szCs w:val="24"/>
        </w:rPr>
      </w:pPr>
      <w:r w:rsidRPr="00480915">
        <w:rPr>
          <w:sz w:val="24"/>
          <w:szCs w:val="24"/>
        </w:rPr>
        <w:t>Titandioxid (E171)</w:t>
      </w:r>
    </w:p>
    <w:p w14:paraId="7F02FA13" w14:textId="77777777" w:rsidR="00480915" w:rsidRPr="00480915" w:rsidRDefault="00480915" w:rsidP="00A96B6C">
      <w:pPr>
        <w:ind w:left="851"/>
        <w:rPr>
          <w:sz w:val="24"/>
          <w:szCs w:val="24"/>
        </w:rPr>
      </w:pPr>
      <w:proofErr w:type="spellStart"/>
      <w:r w:rsidRPr="00480915">
        <w:rPr>
          <w:sz w:val="24"/>
          <w:szCs w:val="24"/>
        </w:rPr>
        <w:t>Macrogol</w:t>
      </w:r>
      <w:proofErr w:type="spellEnd"/>
      <w:r w:rsidRPr="00480915">
        <w:rPr>
          <w:sz w:val="24"/>
          <w:szCs w:val="24"/>
        </w:rPr>
        <w:t xml:space="preserve"> (E1521)</w:t>
      </w:r>
    </w:p>
    <w:p w14:paraId="30409AFF" w14:textId="77777777" w:rsidR="00480915" w:rsidRPr="00480915" w:rsidRDefault="00480915" w:rsidP="00A96B6C">
      <w:pPr>
        <w:ind w:left="851"/>
        <w:rPr>
          <w:sz w:val="24"/>
          <w:szCs w:val="24"/>
        </w:rPr>
      </w:pPr>
      <w:proofErr w:type="spellStart"/>
      <w:r w:rsidRPr="00480915">
        <w:rPr>
          <w:sz w:val="24"/>
          <w:szCs w:val="24"/>
        </w:rPr>
        <w:t>Talcum</w:t>
      </w:r>
      <w:proofErr w:type="spellEnd"/>
      <w:r w:rsidRPr="00480915">
        <w:rPr>
          <w:sz w:val="24"/>
          <w:szCs w:val="24"/>
        </w:rPr>
        <w:t xml:space="preserve"> (E553b)</w:t>
      </w:r>
    </w:p>
    <w:p w14:paraId="3986F849" w14:textId="77777777" w:rsidR="00480915" w:rsidRPr="00480915" w:rsidRDefault="00480915" w:rsidP="00A96B6C">
      <w:pPr>
        <w:ind w:left="851"/>
        <w:rPr>
          <w:sz w:val="24"/>
          <w:szCs w:val="24"/>
        </w:rPr>
      </w:pPr>
      <w:r w:rsidRPr="00480915">
        <w:rPr>
          <w:sz w:val="24"/>
          <w:szCs w:val="24"/>
        </w:rPr>
        <w:t>Jernoxid, rød (E172) [kun til 25 mg, 150 mg, 200 mg, 250 mg]</w:t>
      </w:r>
    </w:p>
    <w:p w14:paraId="58EB44F5" w14:textId="77777777" w:rsidR="009260DE" w:rsidRPr="00301E7F" w:rsidRDefault="009260DE" w:rsidP="009260DE">
      <w:pPr>
        <w:tabs>
          <w:tab w:val="left" w:pos="851"/>
        </w:tabs>
        <w:ind w:left="851"/>
        <w:rPr>
          <w:sz w:val="24"/>
          <w:szCs w:val="24"/>
        </w:rPr>
      </w:pPr>
    </w:p>
    <w:p w14:paraId="54C149DD" w14:textId="77777777" w:rsidR="009260DE" w:rsidRPr="00301E7F" w:rsidRDefault="009260DE" w:rsidP="009260DE">
      <w:pPr>
        <w:tabs>
          <w:tab w:val="left" w:pos="851"/>
        </w:tabs>
        <w:ind w:left="851" w:hanging="851"/>
        <w:rPr>
          <w:b/>
          <w:sz w:val="24"/>
          <w:szCs w:val="24"/>
        </w:rPr>
      </w:pPr>
      <w:r w:rsidRPr="00301E7F">
        <w:rPr>
          <w:b/>
          <w:sz w:val="24"/>
          <w:szCs w:val="24"/>
        </w:rPr>
        <w:t>6.2</w:t>
      </w:r>
      <w:r w:rsidRPr="00301E7F">
        <w:rPr>
          <w:b/>
          <w:sz w:val="24"/>
          <w:szCs w:val="24"/>
        </w:rPr>
        <w:tab/>
        <w:t>Uforligeligheder</w:t>
      </w:r>
    </w:p>
    <w:p w14:paraId="7F51B2E8" w14:textId="77777777" w:rsidR="00480915" w:rsidRPr="00480915" w:rsidRDefault="00480915" w:rsidP="00A96B6C">
      <w:pPr>
        <w:ind w:left="851"/>
        <w:rPr>
          <w:sz w:val="24"/>
          <w:szCs w:val="24"/>
        </w:rPr>
      </w:pPr>
      <w:r w:rsidRPr="00480915">
        <w:rPr>
          <w:sz w:val="24"/>
          <w:szCs w:val="24"/>
        </w:rPr>
        <w:t>Ikke relevant</w:t>
      </w:r>
    </w:p>
    <w:p w14:paraId="02FCC925" w14:textId="77777777" w:rsidR="009260DE" w:rsidRPr="00301E7F" w:rsidRDefault="009260DE" w:rsidP="009260DE">
      <w:pPr>
        <w:tabs>
          <w:tab w:val="left" w:pos="851"/>
        </w:tabs>
        <w:ind w:left="851"/>
        <w:rPr>
          <w:sz w:val="24"/>
          <w:szCs w:val="24"/>
        </w:rPr>
      </w:pPr>
    </w:p>
    <w:p w14:paraId="36BD5168" w14:textId="77777777" w:rsidR="009260DE" w:rsidRPr="00301E7F" w:rsidRDefault="009260DE" w:rsidP="009260DE">
      <w:pPr>
        <w:tabs>
          <w:tab w:val="left" w:pos="851"/>
        </w:tabs>
        <w:ind w:left="851" w:hanging="851"/>
        <w:rPr>
          <w:b/>
          <w:sz w:val="24"/>
          <w:szCs w:val="24"/>
        </w:rPr>
      </w:pPr>
      <w:r w:rsidRPr="00301E7F">
        <w:rPr>
          <w:b/>
          <w:sz w:val="24"/>
          <w:szCs w:val="24"/>
        </w:rPr>
        <w:t>6.3</w:t>
      </w:r>
      <w:r w:rsidRPr="00301E7F">
        <w:rPr>
          <w:b/>
          <w:sz w:val="24"/>
          <w:szCs w:val="24"/>
        </w:rPr>
        <w:tab/>
        <w:t>Opbevaringstid</w:t>
      </w:r>
    </w:p>
    <w:p w14:paraId="7DDE79CE" w14:textId="77777777" w:rsidR="00480915" w:rsidRPr="00480915" w:rsidRDefault="00480915" w:rsidP="00A96B6C">
      <w:pPr>
        <w:ind w:left="851"/>
        <w:rPr>
          <w:sz w:val="24"/>
          <w:szCs w:val="24"/>
        </w:rPr>
      </w:pPr>
      <w:r w:rsidRPr="00480915">
        <w:rPr>
          <w:sz w:val="24"/>
          <w:szCs w:val="24"/>
        </w:rPr>
        <w:t>3 år</w:t>
      </w:r>
    </w:p>
    <w:p w14:paraId="586AEAB5" w14:textId="77777777" w:rsidR="009260DE" w:rsidRPr="00301E7F" w:rsidRDefault="009260DE" w:rsidP="009260DE">
      <w:pPr>
        <w:tabs>
          <w:tab w:val="left" w:pos="851"/>
        </w:tabs>
        <w:ind w:left="851"/>
        <w:rPr>
          <w:sz w:val="24"/>
          <w:szCs w:val="24"/>
        </w:rPr>
      </w:pPr>
    </w:p>
    <w:p w14:paraId="18BB03FD" w14:textId="77777777" w:rsidR="009260DE" w:rsidRPr="00301E7F" w:rsidRDefault="009260DE" w:rsidP="009260DE">
      <w:pPr>
        <w:tabs>
          <w:tab w:val="left" w:pos="851"/>
        </w:tabs>
        <w:ind w:left="851" w:hanging="851"/>
        <w:rPr>
          <w:b/>
          <w:sz w:val="24"/>
          <w:szCs w:val="24"/>
        </w:rPr>
      </w:pPr>
      <w:r w:rsidRPr="00301E7F">
        <w:rPr>
          <w:b/>
          <w:sz w:val="24"/>
          <w:szCs w:val="24"/>
        </w:rPr>
        <w:t>6.4</w:t>
      </w:r>
      <w:r w:rsidRPr="00301E7F">
        <w:rPr>
          <w:b/>
          <w:sz w:val="24"/>
          <w:szCs w:val="24"/>
        </w:rPr>
        <w:tab/>
        <w:t>Særlige opbevaringsforhold</w:t>
      </w:r>
    </w:p>
    <w:p w14:paraId="3218E6E6" w14:textId="77777777" w:rsidR="00480915" w:rsidRPr="00480915" w:rsidRDefault="00480915" w:rsidP="00A96B6C">
      <w:pPr>
        <w:ind w:left="851"/>
        <w:rPr>
          <w:sz w:val="24"/>
          <w:szCs w:val="24"/>
        </w:rPr>
      </w:pPr>
      <w:r w:rsidRPr="00480915">
        <w:rPr>
          <w:sz w:val="24"/>
          <w:szCs w:val="24"/>
        </w:rPr>
        <w:t>Dette lægemiddel kræver ingen særlige forholdsregler vedrørende opbevaringen.</w:t>
      </w:r>
    </w:p>
    <w:p w14:paraId="3999A2F9" w14:textId="77777777" w:rsidR="009260DE" w:rsidRPr="00301E7F" w:rsidRDefault="009260DE" w:rsidP="009260DE">
      <w:pPr>
        <w:tabs>
          <w:tab w:val="left" w:pos="851"/>
        </w:tabs>
        <w:ind w:left="851"/>
        <w:rPr>
          <w:sz w:val="24"/>
          <w:szCs w:val="24"/>
        </w:rPr>
      </w:pPr>
    </w:p>
    <w:p w14:paraId="560DFC47" w14:textId="77777777" w:rsidR="009260DE" w:rsidRPr="00301E7F" w:rsidRDefault="009260DE" w:rsidP="009260DE">
      <w:pPr>
        <w:tabs>
          <w:tab w:val="left" w:pos="851"/>
        </w:tabs>
        <w:ind w:left="851" w:hanging="851"/>
        <w:rPr>
          <w:b/>
          <w:sz w:val="24"/>
          <w:szCs w:val="24"/>
        </w:rPr>
      </w:pPr>
      <w:r w:rsidRPr="00301E7F">
        <w:rPr>
          <w:b/>
          <w:sz w:val="24"/>
          <w:szCs w:val="24"/>
        </w:rPr>
        <w:t>6.5</w:t>
      </w:r>
      <w:r w:rsidRPr="00301E7F">
        <w:rPr>
          <w:b/>
          <w:sz w:val="24"/>
          <w:szCs w:val="24"/>
        </w:rPr>
        <w:tab/>
        <w:t>Emballagetype og pakningsstørrelser</w:t>
      </w:r>
    </w:p>
    <w:p w14:paraId="17053760" w14:textId="67DC544B" w:rsidR="00480915" w:rsidRPr="00480915" w:rsidRDefault="00480915" w:rsidP="00A96B6C">
      <w:pPr>
        <w:ind w:left="851"/>
        <w:rPr>
          <w:bCs/>
          <w:iCs/>
          <w:sz w:val="24"/>
          <w:szCs w:val="24"/>
        </w:rPr>
      </w:pPr>
      <w:r w:rsidRPr="00480915">
        <w:rPr>
          <w:bCs/>
          <w:iCs/>
          <w:sz w:val="24"/>
          <w:szCs w:val="24"/>
        </w:rPr>
        <w:t>Aftrækkelige børnesikrede PVC/PVDC-aluminium/PET/papirblistere i pakninger indeholdende 7, 10, 14, 20, 24, 28, 30, 40, 50, 54, 56, 60, 90, 100 depottabletter eller aftrækkelige børnesikrede perforerede enkeltdosisblistere af PVC/PVDC-aluminium/PET/papir i pakninger indeholdende 10</w:t>
      </w:r>
      <w:r w:rsidR="0024457E" w:rsidRPr="00301E7F">
        <w:rPr>
          <w:bCs/>
          <w:iCs/>
          <w:sz w:val="24"/>
          <w:szCs w:val="24"/>
        </w:rPr>
        <w:t>×</w:t>
      </w:r>
      <w:r w:rsidRPr="00480915">
        <w:rPr>
          <w:bCs/>
          <w:iCs/>
          <w:sz w:val="24"/>
          <w:szCs w:val="24"/>
        </w:rPr>
        <w:t>1, 14</w:t>
      </w:r>
      <w:r w:rsidR="0024457E" w:rsidRPr="00301E7F">
        <w:rPr>
          <w:bCs/>
          <w:iCs/>
          <w:sz w:val="24"/>
          <w:szCs w:val="24"/>
        </w:rPr>
        <w:t>×</w:t>
      </w:r>
      <w:r w:rsidRPr="00480915">
        <w:rPr>
          <w:bCs/>
          <w:iCs/>
          <w:sz w:val="24"/>
          <w:szCs w:val="24"/>
        </w:rPr>
        <w:t>1, 20</w:t>
      </w:r>
      <w:r w:rsidR="0024457E" w:rsidRPr="00301E7F">
        <w:rPr>
          <w:bCs/>
          <w:iCs/>
          <w:sz w:val="24"/>
          <w:szCs w:val="24"/>
        </w:rPr>
        <w:t>×</w:t>
      </w:r>
      <w:r w:rsidRPr="00480915">
        <w:rPr>
          <w:bCs/>
          <w:iCs/>
          <w:sz w:val="24"/>
          <w:szCs w:val="24"/>
        </w:rPr>
        <w:t>1, 28</w:t>
      </w:r>
      <w:r w:rsidR="0024457E" w:rsidRPr="00301E7F">
        <w:rPr>
          <w:bCs/>
          <w:iCs/>
          <w:sz w:val="24"/>
          <w:szCs w:val="24"/>
        </w:rPr>
        <w:t>×</w:t>
      </w:r>
      <w:r w:rsidRPr="00480915">
        <w:rPr>
          <w:bCs/>
          <w:iCs/>
          <w:sz w:val="24"/>
          <w:szCs w:val="24"/>
        </w:rPr>
        <w:t>1, 30</w:t>
      </w:r>
      <w:r w:rsidR="0024457E" w:rsidRPr="00301E7F">
        <w:rPr>
          <w:bCs/>
          <w:iCs/>
          <w:sz w:val="24"/>
          <w:szCs w:val="24"/>
        </w:rPr>
        <w:t>×</w:t>
      </w:r>
      <w:r w:rsidRPr="00480915">
        <w:rPr>
          <w:bCs/>
          <w:iCs/>
          <w:sz w:val="24"/>
          <w:szCs w:val="24"/>
        </w:rPr>
        <w:t>1, 40</w:t>
      </w:r>
      <w:r w:rsidR="0024457E" w:rsidRPr="00301E7F">
        <w:rPr>
          <w:bCs/>
          <w:iCs/>
          <w:sz w:val="24"/>
          <w:szCs w:val="24"/>
        </w:rPr>
        <w:t>×</w:t>
      </w:r>
      <w:r w:rsidRPr="00480915">
        <w:rPr>
          <w:bCs/>
          <w:iCs/>
          <w:sz w:val="24"/>
          <w:szCs w:val="24"/>
        </w:rPr>
        <w:t>1, 50</w:t>
      </w:r>
      <w:r w:rsidR="0024457E" w:rsidRPr="00301E7F">
        <w:rPr>
          <w:bCs/>
          <w:iCs/>
          <w:sz w:val="24"/>
          <w:szCs w:val="24"/>
        </w:rPr>
        <w:t>×</w:t>
      </w:r>
      <w:r w:rsidRPr="00480915">
        <w:rPr>
          <w:bCs/>
          <w:iCs/>
          <w:sz w:val="24"/>
          <w:szCs w:val="24"/>
        </w:rPr>
        <w:t>1, 56</w:t>
      </w:r>
      <w:r w:rsidR="0024457E" w:rsidRPr="00301E7F">
        <w:rPr>
          <w:bCs/>
          <w:iCs/>
          <w:sz w:val="24"/>
          <w:szCs w:val="24"/>
        </w:rPr>
        <w:t>×</w:t>
      </w:r>
      <w:r w:rsidRPr="00480915">
        <w:rPr>
          <w:bCs/>
          <w:iCs/>
          <w:sz w:val="24"/>
          <w:szCs w:val="24"/>
        </w:rPr>
        <w:t>1, 60</w:t>
      </w:r>
      <w:r w:rsidR="0024457E" w:rsidRPr="00301E7F">
        <w:rPr>
          <w:bCs/>
          <w:iCs/>
          <w:sz w:val="24"/>
          <w:szCs w:val="24"/>
        </w:rPr>
        <w:t>×</w:t>
      </w:r>
      <w:r w:rsidRPr="00480915">
        <w:rPr>
          <w:bCs/>
          <w:iCs/>
          <w:sz w:val="24"/>
          <w:szCs w:val="24"/>
        </w:rPr>
        <w:t>1, 90</w:t>
      </w:r>
      <w:r w:rsidR="0024457E" w:rsidRPr="00301E7F">
        <w:rPr>
          <w:bCs/>
          <w:iCs/>
          <w:sz w:val="24"/>
          <w:szCs w:val="24"/>
        </w:rPr>
        <w:t>×</w:t>
      </w:r>
      <w:r w:rsidRPr="00480915">
        <w:rPr>
          <w:bCs/>
          <w:iCs/>
          <w:sz w:val="24"/>
          <w:szCs w:val="24"/>
        </w:rPr>
        <w:t>1, 100</w:t>
      </w:r>
      <w:r w:rsidR="0024457E" w:rsidRPr="00301E7F">
        <w:rPr>
          <w:bCs/>
          <w:iCs/>
          <w:sz w:val="24"/>
          <w:szCs w:val="24"/>
        </w:rPr>
        <w:t>×</w:t>
      </w:r>
      <w:r w:rsidRPr="00480915">
        <w:rPr>
          <w:bCs/>
          <w:iCs/>
          <w:sz w:val="24"/>
          <w:szCs w:val="24"/>
        </w:rPr>
        <w:t>1 depottabletter.</w:t>
      </w:r>
    </w:p>
    <w:p w14:paraId="3E2A0AC2" w14:textId="77777777" w:rsidR="00480915" w:rsidRPr="00480915" w:rsidRDefault="00480915" w:rsidP="00A96B6C">
      <w:pPr>
        <w:ind w:left="851"/>
        <w:rPr>
          <w:bCs/>
          <w:i/>
          <w:sz w:val="24"/>
          <w:szCs w:val="24"/>
        </w:rPr>
      </w:pPr>
    </w:p>
    <w:p w14:paraId="6DEB86BF" w14:textId="77777777" w:rsidR="00480915" w:rsidRPr="00480915" w:rsidRDefault="00480915" w:rsidP="00A96B6C">
      <w:pPr>
        <w:ind w:left="851"/>
        <w:rPr>
          <w:sz w:val="24"/>
          <w:szCs w:val="24"/>
        </w:rPr>
      </w:pPr>
      <w:r w:rsidRPr="00480915">
        <w:rPr>
          <w:sz w:val="24"/>
          <w:szCs w:val="24"/>
        </w:rPr>
        <w:t>Ikke alle pakningsstørrelser er nødvendigvis markedsført.</w:t>
      </w:r>
    </w:p>
    <w:p w14:paraId="5947C63E" w14:textId="77777777" w:rsidR="009260DE" w:rsidRPr="00301E7F" w:rsidRDefault="009260DE" w:rsidP="009260DE">
      <w:pPr>
        <w:tabs>
          <w:tab w:val="left" w:pos="851"/>
        </w:tabs>
        <w:ind w:left="851"/>
        <w:rPr>
          <w:sz w:val="24"/>
          <w:szCs w:val="24"/>
        </w:rPr>
      </w:pPr>
    </w:p>
    <w:p w14:paraId="318D2B8A" w14:textId="77777777" w:rsidR="009260DE" w:rsidRPr="00301E7F" w:rsidRDefault="009260DE" w:rsidP="009260DE">
      <w:pPr>
        <w:tabs>
          <w:tab w:val="left" w:pos="851"/>
        </w:tabs>
        <w:ind w:left="851" w:hanging="851"/>
        <w:rPr>
          <w:b/>
          <w:sz w:val="24"/>
          <w:szCs w:val="24"/>
        </w:rPr>
      </w:pPr>
      <w:r w:rsidRPr="00301E7F">
        <w:rPr>
          <w:b/>
          <w:sz w:val="24"/>
          <w:szCs w:val="24"/>
        </w:rPr>
        <w:t>6.6</w:t>
      </w:r>
      <w:r w:rsidRPr="00301E7F">
        <w:rPr>
          <w:b/>
          <w:sz w:val="24"/>
          <w:szCs w:val="24"/>
        </w:rPr>
        <w:tab/>
        <w:t xml:space="preserve">Regler for </w:t>
      </w:r>
      <w:r w:rsidR="00BD7931" w:rsidRPr="00301E7F">
        <w:rPr>
          <w:b/>
          <w:sz w:val="24"/>
          <w:szCs w:val="24"/>
        </w:rPr>
        <w:t>bortskaffelse</w:t>
      </w:r>
      <w:r w:rsidRPr="00301E7F">
        <w:rPr>
          <w:b/>
          <w:sz w:val="24"/>
          <w:szCs w:val="24"/>
        </w:rPr>
        <w:t xml:space="preserve"> og anden håndtering</w:t>
      </w:r>
    </w:p>
    <w:p w14:paraId="24F49C28" w14:textId="10029462" w:rsidR="009260DE" w:rsidRPr="00301E7F" w:rsidRDefault="00480915" w:rsidP="00A96B6C">
      <w:pPr>
        <w:ind w:left="851"/>
        <w:rPr>
          <w:sz w:val="24"/>
          <w:szCs w:val="24"/>
        </w:rPr>
      </w:pPr>
      <w:r w:rsidRPr="00301E7F">
        <w:rPr>
          <w:sz w:val="24"/>
          <w:szCs w:val="24"/>
        </w:rPr>
        <w:t>Ikke anvendt lægemiddel samt affald heraf skal bortskaffes i henhold til lokale retningslinjer.</w:t>
      </w:r>
    </w:p>
    <w:p w14:paraId="310BF4F1" w14:textId="77777777" w:rsidR="00480915" w:rsidRPr="00301E7F" w:rsidRDefault="00480915" w:rsidP="000730CA">
      <w:pPr>
        <w:tabs>
          <w:tab w:val="left" w:pos="851"/>
        </w:tabs>
        <w:ind w:left="851"/>
        <w:rPr>
          <w:sz w:val="24"/>
          <w:szCs w:val="24"/>
        </w:rPr>
      </w:pPr>
    </w:p>
    <w:p w14:paraId="5717838C" w14:textId="77777777" w:rsidR="009260DE" w:rsidRPr="00301E7F" w:rsidRDefault="009260DE" w:rsidP="009260DE">
      <w:pPr>
        <w:tabs>
          <w:tab w:val="left" w:pos="851"/>
        </w:tabs>
        <w:ind w:left="851" w:hanging="851"/>
        <w:rPr>
          <w:b/>
          <w:sz w:val="24"/>
          <w:szCs w:val="24"/>
        </w:rPr>
      </w:pPr>
      <w:r w:rsidRPr="00301E7F">
        <w:rPr>
          <w:b/>
          <w:sz w:val="24"/>
          <w:szCs w:val="24"/>
        </w:rPr>
        <w:t>7.</w:t>
      </w:r>
      <w:r w:rsidRPr="00301E7F">
        <w:rPr>
          <w:b/>
          <w:sz w:val="24"/>
          <w:szCs w:val="24"/>
        </w:rPr>
        <w:tab/>
        <w:t>INDEHAVER AF MARKEDSFØRINGSTILLADELSEN</w:t>
      </w:r>
    </w:p>
    <w:p w14:paraId="06A8A3F2" w14:textId="77777777" w:rsidR="00480915" w:rsidRPr="00480915" w:rsidRDefault="00480915" w:rsidP="00A96B6C">
      <w:pPr>
        <w:ind w:left="851"/>
        <w:rPr>
          <w:sz w:val="24"/>
          <w:szCs w:val="24"/>
        </w:rPr>
      </w:pPr>
      <w:proofErr w:type="spellStart"/>
      <w:r w:rsidRPr="00480915">
        <w:rPr>
          <w:sz w:val="24"/>
          <w:szCs w:val="24"/>
        </w:rPr>
        <w:t>Vivanta</w:t>
      </w:r>
      <w:proofErr w:type="spellEnd"/>
      <w:r w:rsidRPr="00480915">
        <w:rPr>
          <w:sz w:val="24"/>
          <w:szCs w:val="24"/>
        </w:rPr>
        <w:t xml:space="preserve"> Generics </w:t>
      </w:r>
      <w:proofErr w:type="spellStart"/>
      <w:r w:rsidRPr="00480915">
        <w:rPr>
          <w:sz w:val="24"/>
          <w:szCs w:val="24"/>
        </w:rPr>
        <w:t>s.r.o</w:t>
      </w:r>
      <w:proofErr w:type="spellEnd"/>
    </w:p>
    <w:p w14:paraId="0EA63DD4" w14:textId="77777777" w:rsidR="00480915" w:rsidRPr="00480915" w:rsidRDefault="00480915" w:rsidP="00A96B6C">
      <w:pPr>
        <w:ind w:left="851"/>
        <w:rPr>
          <w:sz w:val="24"/>
          <w:szCs w:val="24"/>
        </w:rPr>
      </w:pPr>
      <w:proofErr w:type="spellStart"/>
      <w:r w:rsidRPr="00480915">
        <w:rPr>
          <w:sz w:val="24"/>
          <w:szCs w:val="24"/>
        </w:rPr>
        <w:t>Třtinová</w:t>
      </w:r>
      <w:proofErr w:type="spellEnd"/>
      <w:r w:rsidRPr="00480915">
        <w:rPr>
          <w:sz w:val="24"/>
          <w:szCs w:val="24"/>
        </w:rPr>
        <w:t xml:space="preserve"> 260/1, </w:t>
      </w:r>
      <w:proofErr w:type="spellStart"/>
      <w:r w:rsidRPr="00480915">
        <w:rPr>
          <w:sz w:val="24"/>
          <w:szCs w:val="24"/>
        </w:rPr>
        <w:t>Čakovice</w:t>
      </w:r>
      <w:proofErr w:type="spellEnd"/>
      <w:r w:rsidRPr="00480915">
        <w:rPr>
          <w:sz w:val="24"/>
          <w:szCs w:val="24"/>
        </w:rPr>
        <w:t>,</w:t>
      </w:r>
    </w:p>
    <w:p w14:paraId="1A9EA95D" w14:textId="77777777" w:rsidR="00480915" w:rsidRPr="00480915" w:rsidRDefault="00480915" w:rsidP="00A96B6C">
      <w:pPr>
        <w:ind w:left="851"/>
        <w:rPr>
          <w:sz w:val="24"/>
          <w:szCs w:val="24"/>
        </w:rPr>
      </w:pPr>
      <w:r w:rsidRPr="00480915">
        <w:rPr>
          <w:sz w:val="24"/>
          <w:szCs w:val="24"/>
        </w:rPr>
        <w:t xml:space="preserve">19600, </w:t>
      </w:r>
      <w:proofErr w:type="spellStart"/>
      <w:r w:rsidRPr="00480915">
        <w:rPr>
          <w:sz w:val="24"/>
          <w:szCs w:val="24"/>
        </w:rPr>
        <w:t>Prague</w:t>
      </w:r>
      <w:proofErr w:type="spellEnd"/>
      <w:r w:rsidRPr="00480915">
        <w:rPr>
          <w:sz w:val="24"/>
          <w:szCs w:val="24"/>
        </w:rPr>
        <w:t xml:space="preserve"> 9</w:t>
      </w:r>
    </w:p>
    <w:p w14:paraId="53D402DD" w14:textId="77777777" w:rsidR="00480915" w:rsidRPr="00480915" w:rsidRDefault="00480915" w:rsidP="00A96B6C">
      <w:pPr>
        <w:ind w:left="851"/>
        <w:rPr>
          <w:sz w:val="24"/>
          <w:szCs w:val="24"/>
        </w:rPr>
      </w:pPr>
      <w:r w:rsidRPr="00480915">
        <w:rPr>
          <w:sz w:val="24"/>
          <w:szCs w:val="24"/>
        </w:rPr>
        <w:t>Tjekkiet</w:t>
      </w:r>
    </w:p>
    <w:p w14:paraId="3E8744DB" w14:textId="7147B88C" w:rsidR="005053E0" w:rsidRDefault="005053E0">
      <w:pPr>
        <w:rPr>
          <w:sz w:val="24"/>
          <w:szCs w:val="24"/>
        </w:rPr>
      </w:pPr>
      <w:r>
        <w:rPr>
          <w:sz w:val="24"/>
          <w:szCs w:val="24"/>
        </w:rPr>
        <w:br w:type="page"/>
      </w:r>
    </w:p>
    <w:p w14:paraId="677FCCC4" w14:textId="77777777" w:rsidR="00641C65" w:rsidRPr="00301E7F" w:rsidRDefault="00641C65" w:rsidP="009260DE">
      <w:pPr>
        <w:tabs>
          <w:tab w:val="left" w:pos="851"/>
        </w:tabs>
        <w:ind w:left="851"/>
        <w:rPr>
          <w:sz w:val="24"/>
          <w:szCs w:val="24"/>
        </w:rPr>
      </w:pPr>
    </w:p>
    <w:p w14:paraId="66694DB6" w14:textId="77777777" w:rsidR="009260DE" w:rsidRPr="00301E7F" w:rsidRDefault="009260DE" w:rsidP="009260DE">
      <w:pPr>
        <w:tabs>
          <w:tab w:val="left" w:pos="851"/>
        </w:tabs>
        <w:ind w:left="851" w:hanging="851"/>
        <w:rPr>
          <w:b/>
          <w:sz w:val="24"/>
          <w:szCs w:val="24"/>
        </w:rPr>
      </w:pPr>
      <w:r w:rsidRPr="00301E7F">
        <w:rPr>
          <w:b/>
          <w:sz w:val="24"/>
          <w:szCs w:val="24"/>
        </w:rPr>
        <w:t>8.</w:t>
      </w:r>
      <w:r w:rsidRPr="00301E7F">
        <w:rPr>
          <w:b/>
          <w:sz w:val="24"/>
          <w:szCs w:val="24"/>
        </w:rPr>
        <w:tab/>
        <w:t>MARKEDSFØRINGSTILLADELSESNUMMER (</w:t>
      </w:r>
      <w:r w:rsidR="00BF6243" w:rsidRPr="00301E7F">
        <w:rPr>
          <w:b/>
          <w:sz w:val="24"/>
          <w:szCs w:val="24"/>
        </w:rPr>
        <w:t>-</w:t>
      </w:r>
      <w:r w:rsidRPr="00301E7F">
        <w:rPr>
          <w:b/>
          <w:sz w:val="24"/>
          <w:szCs w:val="24"/>
        </w:rPr>
        <w:t>NUMRE)</w:t>
      </w:r>
    </w:p>
    <w:p w14:paraId="5E69FF57" w14:textId="095C9477" w:rsidR="00A96B6C" w:rsidRPr="00301E7F" w:rsidRDefault="00A96B6C" w:rsidP="00A96B6C">
      <w:pPr>
        <w:tabs>
          <w:tab w:val="left" w:pos="851"/>
          <w:tab w:val="left" w:pos="1843"/>
        </w:tabs>
        <w:ind w:left="851"/>
        <w:rPr>
          <w:sz w:val="24"/>
          <w:szCs w:val="24"/>
        </w:rPr>
      </w:pPr>
      <w:r w:rsidRPr="00301E7F">
        <w:rPr>
          <w:sz w:val="24"/>
          <w:szCs w:val="24"/>
        </w:rPr>
        <w:t xml:space="preserve">25 mg: </w:t>
      </w:r>
      <w:r w:rsidRPr="00301E7F">
        <w:rPr>
          <w:sz w:val="24"/>
          <w:szCs w:val="24"/>
        </w:rPr>
        <w:tab/>
        <w:t>68171</w:t>
      </w:r>
    </w:p>
    <w:p w14:paraId="4D57A332" w14:textId="3FB84A4F" w:rsidR="00A96B6C" w:rsidRPr="00301E7F" w:rsidRDefault="00A96B6C" w:rsidP="00A96B6C">
      <w:pPr>
        <w:tabs>
          <w:tab w:val="left" w:pos="851"/>
          <w:tab w:val="left" w:pos="1843"/>
        </w:tabs>
        <w:ind w:left="851"/>
        <w:rPr>
          <w:sz w:val="24"/>
          <w:szCs w:val="24"/>
        </w:rPr>
      </w:pPr>
      <w:r w:rsidRPr="00301E7F">
        <w:rPr>
          <w:sz w:val="24"/>
          <w:szCs w:val="24"/>
        </w:rPr>
        <w:t xml:space="preserve">50 mg: </w:t>
      </w:r>
      <w:r w:rsidRPr="00301E7F">
        <w:rPr>
          <w:sz w:val="24"/>
          <w:szCs w:val="24"/>
        </w:rPr>
        <w:tab/>
        <w:t>68172</w:t>
      </w:r>
    </w:p>
    <w:p w14:paraId="58C228AE" w14:textId="1C079191" w:rsidR="00A96B6C" w:rsidRPr="00301E7F" w:rsidRDefault="00A96B6C" w:rsidP="00A96B6C">
      <w:pPr>
        <w:tabs>
          <w:tab w:val="left" w:pos="851"/>
          <w:tab w:val="left" w:pos="1843"/>
        </w:tabs>
        <w:ind w:left="851"/>
        <w:rPr>
          <w:sz w:val="24"/>
          <w:szCs w:val="24"/>
        </w:rPr>
      </w:pPr>
      <w:r w:rsidRPr="00301E7F">
        <w:rPr>
          <w:sz w:val="24"/>
          <w:szCs w:val="24"/>
        </w:rPr>
        <w:t xml:space="preserve">100 mg: </w:t>
      </w:r>
      <w:r w:rsidRPr="00301E7F">
        <w:rPr>
          <w:sz w:val="24"/>
          <w:szCs w:val="24"/>
        </w:rPr>
        <w:tab/>
        <w:t>68173</w:t>
      </w:r>
    </w:p>
    <w:p w14:paraId="6A9C689D" w14:textId="69682B7C" w:rsidR="00A96B6C" w:rsidRPr="00301E7F" w:rsidRDefault="00A96B6C" w:rsidP="00A96B6C">
      <w:pPr>
        <w:tabs>
          <w:tab w:val="left" w:pos="851"/>
          <w:tab w:val="left" w:pos="1843"/>
        </w:tabs>
        <w:ind w:left="851"/>
        <w:rPr>
          <w:sz w:val="24"/>
          <w:szCs w:val="24"/>
        </w:rPr>
      </w:pPr>
      <w:r w:rsidRPr="00301E7F">
        <w:rPr>
          <w:sz w:val="24"/>
          <w:szCs w:val="24"/>
        </w:rPr>
        <w:t xml:space="preserve">150 mg: </w:t>
      </w:r>
      <w:r w:rsidRPr="00301E7F">
        <w:rPr>
          <w:sz w:val="24"/>
          <w:szCs w:val="24"/>
        </w:rPr>
        <w:tab/>
        <w:t>68174</w:t>
      </w:r>
    </w:p>
    <w:p w14:paraId="2F61B6EE" w14:textId="5C591CA5" w:rsidR="00A96B6C" w:rsidRPr="00301E7F" w:rsidRDefault="00A96B6C" w:rsidP="00A96B6C">
      <w:pPr>
        <w:tabs>
          <w:tab w:val="left" w:pos="851"/>
          <w:tab w:val="left" w:pos="1843"/>
        </w:tabs>
        <w:ind w:left="851"/>
        <w:rPr>
          <w:sz w:val="24"/>
          <w:szCs w:val="24"/>
        </w:rPr>
      </w:pPr>
      <w:r w:rsidRPr="00301E7F">
        <w:rPr>
          <w:sz w:val="24"/>
          <w:szCs w:val="24"/>
        </w:rPr>
        <w:t xml:space="preserve">200 mg: </w:t>
      </w:r>
      <w:r w:rsidRPr="00301E7F">
        <w:rPr>
          <w:sz w:val="24"/>
          <w:szCs w:val="24"/>
        </w:rPr>
        <w:tab/>
        <w:t>68175</w:t>
      </w:r>
    </w:p>
    <w:p w14:paraId="70D73C3F" w14:textId="61ACD5A8" w:rsidR="009260DE" w:rsidRPr="00301E7F" w:rsidRDefault="00A96B6C" w:rsidP="00A96B6C">
      <w:pPr>
        <w:tabs>
          <w:tab w:val="left" w:pos="851"/>
          <w:tab w:val="left" w:pos="1843"/>
        </w:tabs>
        <w:ind w:left="851"/>
        <w:rPr>
          <w:sz w:val="24"/>
          <w:szCs w:val="24"/>
        </w:rPr>
      </w:pPr>
      <w:r w:rsidRPr="00301E7F">
        <w:rPr>
          <w:sz w:val="24"/>
          <w:szCs w:val="24"/>
        </w:rPr>
        <w:t xml:space="preserve">250 mg: </w:t>
      </w:r>
      <w:r w:rsidRPr="00301E7F">
        <w:rPr>
          <w:sz w:val="24"/>
          <w:szCs w:val="24"/>
        </w:rPr>
        <w:tab/>
        <w:t>68176</w:t>
      </w:r>
    </w:p>
    <w:p w14:paraId="0C2F23C4" w14:textId="77777777" w:rsidR="009260DE" w:rsidRPr="00301E7F" w:rsidRDefault="009260DE" w:rsidP="009260DE">
      <w:pPr>
        <w:tabs>
          <w:tab w:val="left" w:pos="851"/>
        </w:tabs>
        <w:ind w:left="851"/>
        <w:jc w:val="both"/>
        <w:rPr>
          <w:sz w:val="24"/>
          <w:szCs w:val="24"/>
        </w:rPr>
      </w:pPr>
    </w:p>
    <w:p w14:paraId="077BD8D1" w14:textId="77777777" w:rsidR="009260DE" w:rsidRPr="00301E7F" w:rsidRDefault="009260DE" w:rsidP="009260DE">
      <w:pPr>
        <w:tabs>
          <w:tab w:val="left" w:pos="851"/>
        </w:tabs>
        <w:ind w:left="851" w:hanging="851"/>
        <w:rPr>
          <w:b/>
          <w:sz w:val="24"/>
          <w:szCs w:val="24"/>
        </w:rPr>
      </w:pPr>
      <w:r w:rsidRPr="00301E7F">
        <w:rPr>
          <w:b/>
          <w:sz w:val="24"/>
          <w:szCs w:val="24"/>
        </w:rPr>
        <w:t>9.</w:t>
      </w:r>
      <w:r w:rsidRPr="00301E7F">
        <w:rPr>
          <w:b/>
          <w:sz w:val="24"/>
          <w:szCs w:val="24"/>
        </w:rPr>
        <w:tab/>
        <w:t>DATO FOR FØRSTE MARKEDSFØRINGSTILLADELSE</w:t>
      </w:r>
    </w:p>
    <w:p w14:paraId="35398FC3" w14:textId="6C7FE402" w:rsidR="009260DE" w:rsidRPr="00301E7F" w:rsidRDefault="00693FBE" w:rsidP="009260DE">
      <w:pPr>
        <w:tabs>
          <w:tab w:val="left" w:pos="851"/>
        </w:tabs>
        <w:ind w:left="851"/>
        <w:rPr>
          <w:sz w:val="24"/>
          <w:szCs w:val="24"/>
        </w:rPr>
      </w:pPr>
      <w:r>
        <w:rPr>
          <w:sz w:val="24"/>
          <w:szCs w:val="24"/>
        </w:rPr>
        <w:t>12. maj 2026</w:t>
      </w:r>
    </w:p>
    <w:p w14:paraId="7C4CEA67" w14:textId="77777777" w:rsidR="009260DE" w:rsidRPr="00301E7F" w:rsidRDefault="009260DE" w:rsidP="009260DE">
      <w:pPr>
        <w:tabs>
          <w:tab w:val="left" w:pos="851"/>
        </w:tabs>
        <w:ind w:left="851"/>
        <w:rPr>
          <w:sz w:val="24"/>
          <w:szCs w:val="24"/>
        </w:rPr>
      </w:pPr>
    </w:p>
    <w:p w14:paraId="2DC964F5" w14:textId="77777777" w:rsidR="009260DE" w:rsidRPr="00301E7F" w:rsidRDefault="009260DE" w:rsidP="009260DE">
      <w:pPr>
        <w:tabs>
          <w:tab w:val="left" w:pos="851"/>
        </w:tabs>
        <w:ind w:left="851" w:hanging="851"/>
        <w:rPr>
          <w:b/>
          <w:sz w:val="24"/>
          <w:szCs w:val="24"/>
        </w:rPr>
      </w:pPr>
      <w:r w:rsidRPr="00301E7F">
        <w:rPr>
          <w:b/>
          <w:sz w:val="24"/>
          <w:szCs w:val="24"/>
        </w:rPr>
        <w:t>10.</w:t>
      </w:r>
      <w:r w:rsidRPr="00301E7F">
        <w:rPr>
          <w:b/>
          <w:sz w:val="24"/>
          <w:szCs w:val="24"/>
        </w:rPr>
        <w:tab/>
        <w:t>DATO FOR ÆNDRING AF TEKSTEN</w:t>
      </w:r>
    </w:p>
    <w:p w14:paraId="2232E871" w14:textId="35CC9E99" w:rsidR="009260DE" w:rsidRPr="00301E7F" w:rsidRDefault="00A96B6C" w:rsidP="009260DE">
      <w:pPr>
        <w:tabs>
          <w:tab w:val="left" w:pos="851"/>
        </w:tabs>
        <w:ind w:left="851"/>
        <w:rPr>
          <w:sz w:val="24"/>
          <w:szCs w:val="24"/>
        </w:rPr>
      </w:pPr>
      <w:r w:rsidRPr="00301E7F">
        <w:rPr>
          <w:sz w:val="24"/>
          <w:szCs w:val="24"/>
        </w:rPr>
        <w:t>-</w:t>
      </w:r>
    </w:p>
    <w:sectPr w:rsidR="009260DE" w:rsidRPr="00301E7F"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2F02" w14:textId="77777777" w:rsidR="008620DB" w:rsidRDefault="008620DB">
      <w:r>
        <w:separator/>
      </w:r>
    </w:p>
  </w:endnote>
  <w:endnote w:type="continuationSeparator" w:id="0">
    <w:p w14:paraId="725C129E" w14:textId="77777777" w:rsidR="008620DB" w:rsidRDefault="0086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462E" w14:textId="77777777" w:rsidR="000259B9" w:rsidRDefault="000259B9">
    <w:pPr>
      <w:pStyle w:val="Sidefod"/>
      <w:pBdr>
        <w:bottom w:val="single" w:sz="6" w:space="1" w:color="auto"/>
      </w:pBdr>
    </w:pPr>
  </w:p>
  <w:p w14:paraId="3BBA1D7D" w14:textId="77777777" w:rsidR="000259B9" w:rsidRDefault="000259B9" w:rsidP="00C42586">
    <w:pPr>
      <w:pStyle w:val="Sidefod"/>
      <w:tabs>
        <w:tab w:val="clear" w:pos="4819"/>
        <w:tab w:val="left" w:pos="8505"/>
      </w:tabs>
      <w:rPr>
        <w:i/>
        <w:sz w:val="18"/>
        <w:szCs w:val="18"/>
      </w:rPr>
    </w:pPr>
  </w:p>
  <w:p w14:paraId="6E0A28E3" w14:textId="3E1EF1C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13B7D">
      <w:rPr>
        <w:i/>
        <w:noProof/>
        <w:sz w:val="18"/>
        <w:szCs w:val="18"/>
      </w:rPr>
      <w:t>Tapentadol Vivanta, depottabletter 25 mg, 50 mg, 100 mg, 150 mg, 200 mg og 250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A90A" w14:textId="77777777" w:rsidR="008620DB" w:rsidRDefault="008620DB">
      <w:r>
        <w:separator/>
      </w:r>
    </w:p>
  </w:footnote>
  <w:footnote w:type="continuationSeparator" w:id="0">
    <w:p w14:paraId="0F8617B1" w14:textId="77777777" w:rsidR="008620DB" w:rsidRDefault="00862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C597DA7"/>
    <w:multiLevelType w:val="hybridMultilevel"/>
    <w:tmpl w:val="AA10CC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63E54C8"/>
    <w:multiLevelType w:val="hybridMultilevel"/>
    <w:tmpl w:val="8E9462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7D3D7301"/>
    <w:multiLevelType w:val="hybridMultilevel"/>
    <w:tmpl w:val="2A0A164A"/>
    <w:lvl w:ilvl="0" w:tplc="0C94E87A">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5595623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5811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9853030">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319187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29254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5147872">
    <w:abstractNumId w:val="7"/>
  </w:num>
  <w:num w:numId="7" w16cid:durableId="715858228">
    <w:abstractNumId w:val="1"/>
  </w:num>
  <w:num w:numId="8" w16cid:durableId="818502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DB"/>
    <w:rsid w:val="000259B9"/>
    <w:rsid w:val="00041491"/>
    <w:rsid w:val="00050D16"/>
    <w:rsid w:val="000730CA"/>
    <w:rsid w:val="00074F2A"/>
    <w:rsid w:val="000A1CA8"/>
    <w:rsid w:val="000A466B"/>
    <w:rsid w:val="000B058C"/>
    <w:rsid w:val="000D68B0"/>
    <w:rsid w:val="000E4EE6"/>
    <w:rsid w:val="001454E2"/>
    <w:rsid w:val="00206CE8"/>
    <w:rsid w:val="0021526C"/>
    <w:rsid w:val="0024457E"/>
    <w:rsid w:val="00283A2B"/>
    <w:rsid w:val="002B30AD"/>
    <w:rsid w:val="002B5491"/>
    <w:rsid w:val="002C1EC0"/>
    <w:rsid w:val="002C2C01"/>
    <w:rsid w:val="00301E7F"/>
    <w:rsid w:val="003A29AE"/>
    <w:rsid w:val="003A32D7"/>
    <w:rsid w:val="003B4074"/>
    <w:rsid w:val="003C769A"/>
    <w:rsid w:val="003D3A90"/>
    <w:rsid w:val="003F1838"/>
    <w:rsid w:val="004251C1"/>
    <w:rsid w:val="0045746C"/>
    <w:rsid w:val="00480915"/>
    <w:rsid w:val="0049104B"/>
    <w:rsid w:val="00494579"/>
    <w:rsid w:val="004E3B12"/>
    <w:rsid w:val="005053E0"/>
    <w:rsid w:val="00532310"/>
    <w:rsid w:val="00565F0F"/>
    <w:rsid w:val="005729C8"/>
    <w:rsid w:val="00594A86"/>
    <w:rsid w:val="00596D86"/>
    <w:rsid w:val="00637F5A"/>
    <w:rsid w:val="00641C65"/>
    <w:rsid w:val="006560B1"/>
    <w:rsid w:val="006756DD"/>
    <w:rsid w:val="00693FBE"/>
    <w:rsid w:val="0071241E"/>
    <w:rsid w:val="00737275"/>
    <w:rsid w:val="00740EEC"/>
    <w:rsid w:val="0078011A"/>
    <w:rsid w:val="00782AF4"/>
    <w:rsid w:val="00790EE7"/>
    <w:rsid w:val="007B6649"/>
    <w:rsid w:val="0082576E"/>
    <w:rsid w:val="008620DB"/>
    <w:rsid w:val="0089346F"/>
    <w:rsid w:val="00907F75"/>
    <w:rsid w:val="009260DE"/>
    <w:rsid w:val="0093258A"/>
    <w:rsid w:val="009826DA"/>
    <w:rsid w:val="009C7BA3"/>
    <w:rsid w:val="009D1F5A"/>
    <w:rsid w:val="00A10294"/>
    <w:rsid w:val="00A96B6C"/>
    <w:rsid w:val="00B003BF"/>
    <w:rsid w:val="00B13B7D"/>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A3759"/>
  <w15:chartTrackingRefBased/>
  <w15:docId w15:val="{C0449900-E37C-4BA3-AD29-83D0E625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uiPriority w:val="59"/>
    <w:rsid w:val="00480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427">
      <w:bodyDiv w:val="1"/>
      <w:marLeft w:val="0"/>
      <w:marRight w:val="0"/>
      <w:marTop w:val="0"/>
      <w:marBottom w:val="0"/>
      <w:divBdr>
        <w:top w:val="none" w:sz="0" w:space="0" w:color="auto"/>
        <w:left w:val="none" w:sz="0" w:space="0" w:color="auto"/>
        <w:bottom w:val="none" w:sz="0" w:space="0" w:color="auto"/>
        <w:right w:val="none" w:sz="0" w:space="0" w:color="auto"/>
      </w:divBdr>
    </w:div>
    <w:div w:id="102380152">
      <w:bodyDiv w:val="1"/>
      <w:marLeft w:val="0"/>
      <w:marRight w:val="0"/>
      <w:marTop w:val="0"/>
      <w:marBottom w:val="0"/>
      <w:divBdr>
        <w:top w:val="none" w:sz="0" w:space="0" w:color="auto"/>
        <w:left w:val="none" w:sz="0" w:space="0" w:color="auto"/>
        <w:bottom w:val="none" w:sz="0" w:space="0" w:color="auto"/>
        <w:right w:val="none" w:sz="0" w:space="0" w:color="auto"/>
      </w:divBdr>
    </w:div>
    <w:div w:id="15396016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2280851">
      <w:bodyDiv w:val="1"/>
      <w:marLeft w:val="0"/>
      <w:marRight w:val="0"/>
      <w:marTop w:val="0"/>
      <w:marBottom w:val="0"/>
      <w:divBdr>
        <w:top w:val="none" w:sz="0" w:space="0" w:color="auto"/>
        <w:left w:val="none" w:sz="0" w:space="0" w:color="auto"/>
        <w:bottom w:val="none" w:sz="0" w:space="0" w:color="auto"/>
        <w:right w:val="none" w:sz="0" w:space="0" w:color="auto"/>
      </w:divBdr>
    </w:div>
    <w:div w:id="197931393">
      <w:bodyDiv w:val="1"/>
      <w:marLeft w:val="0"/>
      <w:marRight w:val="0"/>
      <w:marTop w:val="0"/>
      <w:marBottom w:val="0"/>
      <w:divBdr>
        <w:top w:val="none" w:sz="0" w:space="0" w:color="auto"/>
        <w:left w:val="none" w:sz="0" w:space="0" w:color="auto"/>
        <w:bottom w:val="none" w:sz="0" w:space="0" w:color="auto"/>
        <w:right w:val="none" w:sz="0" w:space="0" w:color="auto"/>
      </w:divBdr>
    </w:div>
    <w:div w:id="216278493">
      <w:bodyDiv w:val="1"/>
      <w:marLeft w:val="0"/>
      <w:marRight w:val="0"/>
      <w:marTop w:val="0"/>
      <w:marBottom w:val="0"/>
      <w:divBdr>
        <w:top w:val="none" w:sz="0" w:space="0" w:color="auto"/>
        <w:left w:val="none" w:sz="0" w:space="0" w:color="auto"/>
        <w:bottom w:val="none" w:sz="0" w:space="0" w:color="auto"/>
        <w:right w:val="none" w:sz="0" w:space="0" w:color="auto"/>
      </w:divBdr>
    </w:div>
    <w:div w:id="228350143">
      <w:bodyDiv w:val="1"/>
      <w:marLeft w:val="0"/>
      <w:marRight w:val="0"/>
      <w:marTop w:val="0"/>
      <w:marBottom w:val="0"/>
      <w:divBdr>
        <w:top w:val="none" w:sz="0" w:space="0" w:color="auto"/>
        <w:left w:val="none" w:sz="0" w:space="0" w:color="auto"/>
        <w:bottom w:val="none" w:sz="0" w:space="0" w:color="auto"/>
        <w:right w:val="none" w:sz="0" w:space="0" w:color="auto"/>
      </w:divBdr>
    </w:div>
    <w:div w:id="250623421">
      <w:bodyDiv w:val="1"/>
      <w:marLeft w:val="0"/>
      <w:marRight w:val="0"/>
      <w:marTop w:val="0"/>
      <w:marBottom w:val="0"/>
      <w:divBdr>
        <w:top w:val="none" w:sz="0" w:space="0" w:color="auto"/>
        <w:left w:val="none" w:sz="0" w:space="0" w:color="auto"/>
        <w:bottom w:val="none" w:sz="0" w:space="0" w:color="auto"/>
        <w:right w:val="none" w:sz="0" w:space="0" w:color="auto"/>
      </w:divBdr>
    </w:div>
    <w:div w:id="263850919">
      <w:bodyDiv w:val="1"/>
      <w:marLeft w:val="0"/>
      <w:marRight w:val="0"/>
      <w:marTop w:val="0"/>
      <w:marBottom w:val="0"/>
      <w:divBdr>
        <w:top w:val="none" w:sz="0" w:space="0" w:color="auto"/>
        <w:left w:val="none" w:sz="0" w:space="0" w:color="auto"/>
        <w:bottom w:val="none" w:sz="0" w:space="0" w:color="auto"/>
        <w:right w:val="none" w:sz="0" w:space="0" w:color="auto"/>
      </w:divBdr>
    </w:div>
    <w:div w:id="324600458">
      <w:bodyDiv w:val="1"/>
      <w:marLeft w:val="0"/>
      <w:marRight w:val="0"/>
      <w:marTop w:val="0"/>
      <w:marBottom w:val="0"/>
      <w:divBdr>
        <w:top w:val="none" w:sz="0" w:space="0" w:color="auto"/>
        <w:left w:val="none" w:sz="0" w:space="0" w:color="auto"/>
        <w:bottom w:val="none" w:sz="0" w:space="0" w:color="auto"/>
        <w:right w:val="none" w:sz="0" w:space="0" w:color="auto"/>
      </w:divBdr>
    </w:div>
    <w:div w:id="367068434">
      <w:bodyDiv w:val="1"/>
      <w:marLeft w:val="0"/>
      <w:marRight w:val="0"/>
      <w:marTop w:val="0"/>
      <w:marBottom w:val="0"/>
      <w:divBdr>
        <w:top w:val="none" w:sz="0" w:space="0" w:color="auto"/>
        <w:left w:val="none" w:sz="0" w:space="0" w:color="auto"/>
        <w:bottom w:val="none" w:sz="0" w:space="0" w:color="auto"/>
        <w:right w:val="none" w:sz="0" w:space="0" w:color="auto"/>
      </w:divBdr>
    </w:div>
    <w:div w:id="544755565">
      <w:bodyDiv w:val="1"/>
      <w:marLeft w:val="0"/>
      <w:marRight w:val="0"/>
      <w:marTop w:val="0"/>
      <w:marBottom w:val="0"/>
      <w:divBdr>
        <w:top w:val="none" w:sz="0" w:space="0" w:color="auto"/>
        <w:left w:val="none" w:sz="0" w:space="0" w:color="auto"/>
        <w:bottom w:val="none" w:sz="0" w:space="0" w:color="auto"/>
        <w:right w:val="none" w:sz="0" w:space="0" w:color="auto"/>
      </w:divBdr>
    </w:div>
    <w:div w:id="573272398">
      <w:bodyDiv w:val="1"/>
      <w:marLeft w:val="0"/>
      <w:marRight w:val="0"/>
      <w:marTop w:val="0"/>
      <w:marBottom w:val="0"/>
      <w:divBdr>
        <w:top w:val="none" w:sz="0" w:space="0" w:color="auto"/>
        <w:left w:val="none" w:sz="0" w:space="0" w:color="auto"/>
        <w:bottom w:val="none" w:sz="0" w:space="0" w:color="auto"/>
        <w:right w:val="none" w:sz="0" w:space="0" w:color="auto"/>
      </w:divBdr>
    </w:div>
    <w:div w:id="581254141">
      <w:bodyDiv w:val="1"/>
      <w:marLeft w:val="0"/>
      <w:marRight w:val="0"/>
      <w:marTop w:val="0"/>
      <w:marBottom w:val="0"/>
      <w:divBdr>
        <w:top w:val="none" w:sz="0" w:space="0" w:color="auto"/>
        <w:left w:val="none" w:sz="0" w:space="0" w:color="auto"/>
        <w:bottom w:val="none" w:sz="0" w:space="0" w:color="auto"/>
        <w:right w:val="none" w:sz="0" w:space="0" w:color="auto"/>
      </w:divBdr>
    </w:div>
    <w:div w:id="583343172">
      <w:bodyDiv w:val="1"/>
      <w:marLeft w:val="0"/>
      <w:marRight w:val="0"/>
      <w:marTop w:val="0"/>
      <w:marBottom w:val="0"/>
      <w:divBdr>
        <w:top w:val="none" w:sz="0" w:space="0" w:color="auto"/>
        <w:left w:val="none" w:sz="0" w:space="0" w:color="auto"/>
        <w:bottom w:val="none" w:sz="0" w:space="0" w:color="auto"/>
        <w:right w:val="none" w:sz="0" w:space="0" w:color="auto"/>
      </w:divBdr>
    </w:div>
    <w:div w:id="613444055">
      <w:bodyDiv w:val="1"/>
      <w:marLeft w:val="0"/>
      <w:marRight w:val="0"/>
      <w:marTop w:val="0"/>
      <w:marBottom w:val="0"/>
      <w:divBdr>
        <w:top w:val="none" w:sz="0" w:space="0" w:color="auto"/>
        <w:left w:val="none" w:sz="0" w:space="0" w:color="auto"/>
        <w:bottom w:val="none" w:sz="0" w:space="0" w:color="auto"/>
        <w:right w:val="none" w:sz="0" w:space="0" w:color="auto"/>
      </w:divBdr>
    </w:div>
    <w:div w:id="621498097">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52295173">
      <w:bodyDiv w:val="1"/>
      <w:marLeft w:val="0"/>
      <w:marRight w:val="0"/>
      <w:marTop w:val="0"/>
      <w:marBottom w:val="0"/>
      <w:divBdr>
        <w:top w:val="none" w:sz="0" w:space="0" w:color="auto"/>
        <w:left w:val="none" w:sz="0" w:space="0" w:color="auto"/>
        <w:bottom w:val="none" w:sz="0" w:space="0" w:color="auto"/>
        <w:right w:val="none" w:sz="0" w:space="0" w:color="auto"/>
      </w:divBdr>
    </w:div>
    <w:div w:id="741101466">
      <w:bodyDiv w:val="1"/>
      <w:marLeft w:val="0"/>
      <w:marRight w:val="0"/>
      <w:marTop w:val="0"/>
      <w:marBottom w:val="0"/>
      <w:divBdr>
        <w:top w:val="none" w:sz="0" w:space="0" w:color="auto"/>
        <w:left w:val="none" w:sz="0" w:space="0" w:color="auto"/>
        <w:bottom w:val="none" w:sz="0" w:space="0" w:color="auto"/>
        <w:right w:val="none" w:sz="0" w:space="0" w:color="auto"/>
      </w:divBdr>
    </w:div>
    <w:div w:id="765078304">
      <w:bodyDiv w:val="1"/>
      <w:marLeft w:val="0"/>
      <w:marRight w:val="0"/>
      <w:marTop w:val="0"/>
      <w:marBottom w:val="0"/>
      <w:divBdr>
        <w:top w:val="none" w:sz="0" w:space="0" w:color="auto"/>
        <w:left w:val="none" w:sz="0" w:space="0" w:color="auto"/>
        <w:bottom w:val="none" w:sz="0" w:space="0" w:color="auto"/>
        <w:right w:val="none" w:sz="0" w:space="0" w:color="auto"/>
      </w:divBdr>
    </w:div>
    <w:div w:id="796796167">
      <w:bodyDiv w:val="1"/>
      <w:marLeft w:val="0"/>
      <w:marRight w:val="0"/>
      <w:marTop w:val="0"/>
      <w:marBottom w:val="0"/>
      <w:divBdr>
        <w:top w:val="none" w:sz="0" w:space="0" w:color="auto"/>
        <w:left w:val="none" w:sz="0" w:space="0" w:color="auto"/>
        <w:bottom w:val="none" w:sz="0" w:space="0" w:color="auto"/>
        <w:right w:val="none" w:sz="0" w:space="0" w:color="auto"/>
      </w:divBdr>
    </w:div>
    <w:div w:id="802308764">
      <w:bodyDiv w:val="1"/>
      <w:marLeft w:val="0"/>
      <w:marRight w:val="0"/>
      <w:marTop w:val="0"/>
      <w:marBottom w:val="0"/>
      <w:divBdr>
        <w:top w:val="none" w:sz="0" w:space="0" w:color="auto"/>
        <w:left w:val="none" w:sz="0" w:space="0" w:color="auto"/>
        <w:bottom w:val="none" w:sz="0" w:space="0" w:color="auto"/>
        <w:right w:val="none" w:sz="0" w:space="0" w:color="auto"/>
      </w:divBdr>
    </w:div>
    <w:div w:id="841625690">
      <w:bodyDiv w:val="1"/>
      <w:marLeft w:val="0"/>
      <w:marRight w:val="0"/>
      <w:marTop w:val="0"/>
      <w:marBottom w:val="0"/>
      <w:divBdr>
        <w:top w:val="none" w:sz="0" w:space="0" w:color="auto"/>
        <w:left w:val="none" w:sz="0" w:space="0" w:color="auto"/>
        <w:bottom w:val="none" w:sz="0" w:space="0" w:color="auto"/>
        <w:right w:val="none" w:sz="0" w:space="0" w:color="auto"/>
      </w:divBdr>
    </w:div>
    <w:div w:id="890264551">
      <w:bodyDiv w:val="1"/>
      <w:marLeft w:val="0"/>
      <w:marRight w:val="0"/>
      <w:marTop w:val="0"/>
      <w:marBottom w:val="0"/>
      <w:divBdr>
        <w:top w:val="none" w:sz="0" w:space="0" w:color="auto"/>
        <w:left w:val="none" w:sz="0" w:space="0" w:color="auto"/>
        <w:bottom w:val="none" w:sz="0" w:space="0" w:color="auto"/>
        <w:right w:val="none" w:sz="0" w:space="0" w:color="auto"/>
      </w:divBdr>
    </w:div>
    <w:div w:id="929199866">
      <w:bodyDiv w:val="1"/>
      <w:marLeft w:val="0"/>
      <w:marRight w:val="0"/>
      <w:marTop w:val="0"/>
      <w:marBottom w:val="0"/>
      <w:divBdr>
        <w:top w:val="none" w:sz="0" w:space="0" w:color="auto"/>
        <w:left w:val="none" w:sz="0" w:space="0" w:color="auto"/>
        <w:bottom w:val="none" w:sz="0" w:space="0" w:color="auto"/>
        <w:right w:val="none" w:sz="0" w:space="0" w:color="auto"/>
      </w:divBdr>
    </w:div>
    <w:div w:id="964116691">
      <w:bodyDiv w:val="1"/>
      <w:marLeft w:val="0"/>
      <w:marRight w:val="0"/>
      <w:marTop w:val="0"/>
      <w:marBottom w:val="0"/>
      <w:divBdr>
        <w:top w:val="none" w:sz="0" w:space="0" w:color="auto"/>
        <w:left w:val="none" w:sz="0" w:space="0" w:color="auto"/>
        <w:bottom w:val="none" w:sz="0" w:space="0" w:color="auto"/>
        <w:right w:val="none" w:sz="0" w:space="0" w:color="auto"/>
      </w:divBdr>
    </w:div>
    <w:div w:id="972175695">
      <w:bodyDiv w:val="1"/>
      <w:marLeft w:val="0"/>
      <w:marRight w:val="0"/>
      <w:marTop w:val="0"/>
      <w:marBottom w:val="0"/>
      <w:divBdr>
        <w:top w:val="none" w:sz="0" w:space="0" w:color="auto"/>
        <w:left w:val="none" w:sz="0" w:space="0" w:color="auto"/>
        <w:bottom w:val="none" w:sz="0" w:space="0" w:color="auto"/>
        <w:right w:val="none" w:sz="0" w:space="0" w:color="auto"/>
      </w:divBdr>
    </w:div>
    <w:div w:id="1041440541">
      <w:bodyDiv w:val="1"/>
      <w:marLeft w:val="0"/>
      <w:marRight w:val="0"/>
      <w:marTop w:val="0"/>
      <w:marBottom w:val="0"/>
      <w:divBdr>
        <w:top w:val="none" w:sz="0" w:space="0" w:color="auto"/>
        <w:left w:val="none" w:sz="0" w:space="0" w:color="auto"/>
        <w:bottom w:val="none" w:sz="0" w:space="0" w:color="auto"/>
        <w:right w:val="none" w:sz="0" w:space="0" w:color="auto"/>
      </w:divBdr>
    </w:div>
    <w:div w:id="1111127081">
      <w:bodyDiv w:val="1"/>
      <w:marLeft w:val="0"/>
      <w:marRight w:val="0"/>
      <w:marTop w:val="0"/>
      <w:marBottom w:val="0"/>
      <w:divBdr>
        <w:top w:val="none" w:sz="0" w:space="0" w:color="auto"/>
        <w:left w:val="none" w:sz="0" w:space="0" w:color="auto"/>
        <w:bottom w:val="none" w:sz="0" w:space="0" w:color="auto"/>
        <w:right w:val="none" w:sz="0" w:space="0" w:color="auto"/>
      </w:divBdr>
    </w:div>
    <w:div w:id="1148353803">
      <w:bodyDiv w:val="1"/>
      <w:marLeft w:val="0"/>
      <w:marRight w:val="0"/>
      <w:marTop w:val="0"/>
      <w:marBottom w:val="0"/>
      <w:divBdr>
        <w:top w:val="none" w:sz="0" w:space="0" w:color="auto"/>
        <w:left w:val="none" w:sz="0" w:space="0" w:color="auto"/>
        <w:bottom w:val="none" w:sz="0" w:space="0" w:color="auto"/>
        <w:right w:val="none" w:sz="0" w:space="0" w:color="auto"/>
      </w:divBdr>
    </w:div>
    <w:div w:id="1346590841">
      <w:bodyDiv w:val="1"/>
      <w:marLeft w:val="0"/>
      <w:marRight w:val="0"/>
      <w:marTop w:val="0"/>
      <w:marBottom w:val="0"/>
      <w:divBdr>
        <w:top w:val="none" w:sz="0" w:space="0" w:color="auto"/>
        <w:left w:val="none" w:sz="0" w:space="0" w:color="auto"/>
        <w:bottom w:val="none" w:sz="0" w:space="0" w:color="auto"/>
        <w:right w:val="none" w:sz="0" w:space="0" w:color="auto"/>
      </w:divBdr>
    </w:div>
    <w:div w:id="1381515922">
      <w:bodyDiv w:val="1"/>
      <w:marLeft w:val="0"/>
      <w:marRight w:val="0"/>
      <w:marTop w:val="0"/>
      <w:marBottom w:val="0"/>
      <w:divBdr>
        <w:top w:val="none" w:sz="0" w:space="0" w:color="auto"/>
        <w:left w:val="none" w:sz="0" w:space="0" w:color="auto"/>
        <w:bottom w:val="none" w:sz="0" w:space="0" w:color="auto"/>
        <w:right w:val="none" w:sz="0" w:space="0" w:color="auto"/>
      </w:divBdr>
    </w:div>
    <w:div w:id="1455251186">
      <w:bodyDiv w:val="1"/>
      <w:marLeft w:val="0"/>
      <w:marRight w:val="0"/>
      <w:marTop w:val="0"/>
      <w:marBottom w:val="0"/>
      <w:divBdr>
        <w:top w:val="none" w:sz="0" w:space="0" w:color="auto"/>
        <w:left w:val="none" w:sz="0" w:space="0" w:color="auto"/>
        <w:bottom w:val="none" w:sz="0" w:space="0" w:color="auto"/>
        <w:right w:val="none" w:sz="0" w:space="0" w:color="auto"/>
      </w:divBdr>
    </w:div>
    <w:div w:id="1505319718">
      <w:bodyDiv w:val="1"/>
      <w:marLeft w:val="0"/>
      <w:marRight w:val="0"/>
      <w:marTop w:val="0"/>
      <w:marBottom w:val="0"/>
      <w:divBdr>
        <w:top w:val="none" w:sz="0" w:space="0" w:color="auto"/>
        <w:left w:val="none" w:sz="0" w:space="0" w:color="auto"/>
        <w:bottom w:val="none" w:sz="0" w:space="0" w:color="auto"/>
        <w:right w:val="none" w:sz="0" w:space="0" w:color="auto"/>
      </w:divBdr>
    </w:div>
    <w:div w:id="1741829080">
      <w:bodyDiv w:val="1"/>
      <w:marLeft w:val="0"/>
      <w:marRight w:val="0"/>
      <w:marTop w:val="0"/>
      <w:marBottom w:val="0"/>
      <w:divBdr>
        <w:top w:val="none" w:sz="0" w:space="0" w:color="auto"/>
        <w:left w:val="none" w:sz="0" w:space="0" w:color="auto"/>
        <w:bottom w:val="none" w:sz="0" w:space="0" w:color="auto"/>
        <w:right w:val="none" w:sz="0" w:space="0" w:color="auto"/>
      </w:divBdr>
    </w:div>
    <w:div w:id="1781530911">
      <w:bodyDiv w:val="1"/>
      <w:marLeft w:val="0"/>
      <w:marRight w:val="0"/>
      <w:marTop w:val="0"/>
      <w:marBottom w:val="0"/>
      <w:divBdr>
        <w:top w:val="none" w:sz="0" w:space="0" w:color="auto"/>
        <w:left w:val="none" w:sz="0" w:space="0" w:color="auto"/>
        <w:bottom w:val="none" w:sz="0" w:space="0" w:color="auto"/>
        <w:right w:val="none" w:sz="0" w:space="0" w:color="auto"/>
      </w:divBdr>
    </w:div>
    <w:div w:id="1927574906">
      <w:bodyDiv w:val="1"/>
      <w:marLeft w:val="0"/>
      <w:marRight w:val="0"/>
      <w:marTop w:val="0"/>
      <w:marBottom w:val="0"/>
      <w:divBdr>
        <w:top w:val="none" w:sz="0" w:space="0" w:color="auto"/>
        <w:left w:val="none" w:sz="0" w:space="0" w:color="auto"/>
        <w:bottom w:val="none" w:sz="0" w:space="0" w:color="auto"/>
        <w:right w:val="none" w:sz="0" w:space="0" w:color="auto"/>
      </w:divBdr>
    </w:div>
    <w:div w:id="1971008384">
      <w:bodyDiv w:val="1"/>
      <w:marLeft w:val="0"/>
      <w:marRight w:val="0"/>
      <w:marTop w:val="0"/>
      <w:marBottom w:val="0"/>
      <w:divBdr>
        <w:top w:val="none" w:sz="0" w:space="0" w:color="auto"/>
        <w:left w:val="none" w:sz="0" w:space="0" w:color="auto"/>
        <w:bottom w:val="none" w:sz="0" w:space="0" w:color="auto"/>
        <w:right w:val="none" w:sz="0" w:space="0" w:color="auto"/>
      </w:divBdr>
    </w:div>
    <w:div w:id="21018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56</TotalTime>
  <Pages>17</Pages>
  <Words>5599</Words>
  <Characters>36813</Characters>
  <Application>Microsoft Office Word</Application>
  <DocSecurity>0</DocSecurity>
  <Lines>306</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2022080171, MT</dc:description>
  <cp:lastModifiedBy>Gitte Jørgensen</cp:lastModifiedBy>
  <cp:revision>8</cp:revision>
  <cp:lastPrinted>2012-08-22T08:53:00Z</cp:lastPrinted>
  <dcterms:created xsi:type="dcterms:W3CDTF">2026-05-11T12:33:00Z</dcterms:created>
  <dcterms:modified xsi:type="dcterms:W3CDTF">2026-05-12T07:43:00Z</dcterms:modified>
</cp:coreProperties>
</file>