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82E9"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157AC3B" wp14:editId="2B7723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5A70860" w14:textId="77777777" w:rsidR="009260DE" w:rsidRPr="00C84483" w:rsidRDefault="009260DE" w:rsidP="009260DE">
      <w:pPr>
        <w:pStyle w:val="Titel"/>
        <w:tabs>
          <w:tab w:val="right" w:pos="9356"/>
        </w:tabs>
        <w:jc w:val="left"/>
        <w:rPr>
          <w:b w:val="0"/>
          <w:szCs w:val="24"/>
          <w:lang w:eastAsia="en-US"/>
        </w:rPr>
      </w:pPr>
    </w:p>
    <w:p w14:paraId="63F91BA5" w14:textId="6768C0A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D1BEE">
        <w:rPr>
          <w:szCs w:val="24"/>
        </w:rPr>
        <w:t>3. september 2024</w:t>
      </w:r>
    </w:p>
    <w:p w14:paraId="66A681CC" w14:textId="77777777" w:rsidR="009260DE" w:rsidRPr="00C84483" w:rsidRDefault="009260DE" w:rsidP="009260DE">
      <w:pPr>
        <w:pStyle w:val="Titel"/>
        <w:tabs>
          <w:tab w:val="left" w:pos="8222"/>
        </w:tabs>
        <w:jc w:val="left"/>
        <w:rPr>
          <w:b w:val="0"/>
          <w:szCs w:val="24"/>
        </w:rPr>
      </w:pPr>
    </w:p>
    <w:p w14:paraId="1CCE6ECA" w14:textId="77777777" w:rsidR="009260DE" w:rsidRPr="00C84483" w:rsidRDefault="009260DE" w:rsidP="009260DE">
      <w:pPr>
        <w:pStyle w:val="Titel"/>
        <w:jc w:val="left"/>
        <w:rPr>
          <w:b w:val="0"/>
          <w:szCs w:val="24"/>
        </w:rPr>
      </w:pPr>
    </w:p>
    <w:p w14:paraId="367D02A4" w14:textId="77777777" w:rsidR="009260DE" w:rsidRPr="00C84483" w:rsidRDefault="009260DE" w:rsidP="009260DE">
      <w:pPr>
        <w:pStyle w:val="Titel"/>
        <w:jc w:val="left"/>
        <w:rPr>
          <w:b w:val="0"/>
          <w:szCs w:val="24"/>
        </w:rPr>
      </w:pPr>
    </w:p>
    <w:p w14:paraId="74DB1D73" w14:textId="77777777" w:rsidR="009260DE" w:rsidRPr="00C84483" w:rsidRDefault="009260DE" w:rsidP="009260DE">
      <w:pPr>
        <w:jc w:val="center"/>
        <w:rPr>
          <w:b/>
          <w:sz w:val="24"/>
          <w:szCs w:val="24"/>
        </w:rPr>
      </w:pPr>
      <w:r w:rsidRPr="00C84483">
        <w:rPr>
          <w:b/>
          <w:sz w:val="24"/>
          <w:szCs w:val="24"/>
        </w:rPr>
        <w:t>PRODUKTRESUMÉ</w:t>
      </w:r>
    </w:p>
    <w:p w14:paraId="1505B6BF" w14:textId="77777777" w:rsidR="009260DE" w:rsidRPr="00C84483" w:rsidRDefault="009260DE" w:rsidP="009260DE">
      <w:pPr>
        <w:jc w:val="center"/>
        <w:rPr>
          <w:b/>
          <w:sz w:val="24"/>
          <w:szCs w:val="24"/>
        </w:rPr>
      </w:pPr>
    </w:p>
    <w:p w14:paraId="17407B81" w14:textId="77777777" w:rsidR="009260DE" w:rsidRDefault="009260DE" w:rsidP="009260DE">
      <w:pPr>
        <w:jc w:val="center"/>
        <w:rPr>
          <w:b/>
          <w:sz w:val="24"/>
          <w:szCs w:val="24"/>
        </w:rPr>
      </w:pPr>
      <w:r w:rsidRPr="00C84483">
        <w:rPr>
          <w:b/>
          <w:sz w:val="24"/>
          <w:szCs w:val="24"/>
        </w:rPr>
        <w:t>for</w:t>
      </w:r>
    </w:p>
    <w:p w14:paraId="1FCECD98" w14:textId="77777777" w:rsidR="000B058C" w:rsidRPr="00C84483" w:rsidRDefault="000B058C" w:rsidP="009260DE">
      <w:pPr>
        <w:jc w:val="center"/>
        <w:rPr>
          <w:b/>
          <w:sz w:val="24"/>
          <w:szCs w:val="24"/>
        </w:rPr>
      </w:pPr>
    </w:p>
    <w:p w14:paraId="5BB20FDE" w14:textId="77777777" w:rsidR="009260DE" w:rsidRPr="005D1BEE" w:rsidRDefault="00E81C8E" w:rsidP="009260DE">
      <w:pPr>
        <w:jc w:val="center"/>
        <w:rPr>
          <w:b/>
          <w:sz w:val="24"/>
          <w:szCs w:val="24"/>
        </w:rPr>
      </w:pPr>
      <w:r w:rsidRPr="005D1BEE">
        <w:rPr>
          <w:b/>
          <w:sz w:val="24"/>
          <w:szCs w:val="24"/>
        </w:rPr>
        <w:t>Tapentadol "Zentiva", depottabletter</w:t>
      </w:r>
    </w:p>
    <w:p w14:paraId="591794B5" w14:textId="77777777" w:rsidR="009260DE" w:rsidRPr="005D1BEE" w:rsidRDefault="009260DE" w:rsidP="009260DE">
      <w:pPr>
        <w:jc w:val="both"/>
        <w:rPr>
          <w:sz w:val="24"/>
          <w:szCs w:val="24"/>
        </w:rPr>
      </w:pPr>
    </w:p>
    <w:p w14:paraId="78B0D485" w14:textId="77777777" w:rsidR="009260DE" w:rsidRPr="005D1BEE" w:rsidRDefault="009260DE" w:rsidP="009260DE">
      <w:pPr>
        <w:jc w:val="both"/>
        <w:rPr>
          <w:sz w:val="24"/>
          <w:szCs w:val="24"/>
        </w:rPr>
      </w:pPr>
    </w:p>
    <w:p w14:paraId="32D5DA51" w14:textId="77777777" w:rsidR="009260DE" w:rsidRPr="005D1BEE" w:rsidRDefault="009260DE" w:rsidP="009260DE">
      <w:pPr>
        <w:tabs>
          <w:tab w:val="left" w:pos="851"/>
        </w:tabs>
        <w:ind w:left="851" w:hanging="851"/>
        <w:rPr>
          <w:b/>
          <w:sz w:val="24"/>
          <w:szCs w:val="24"/>
        </w:rPr>
      </w:pPr>
      <w:r w:rsidRPr="005D1BEE">
        <w:rPr>
          <w:b/>
          <w:sz w:val="24"/>
          <w:szCs w:val="24"/>
        </w:rPr>
        <w:t>0.</w:t>
      </w:r>
      <w:r w:rsidRPr="005D1BEE">
        <w:rPr>
          <w:b/>
          <w:sz w:val="24"/>
          <w:szCs w:val="24"/>
        </w:rPr>
        <w:tab/>
        <w:t>D.SP.NR.</w:t>
      </w:r>
    </w:p>
    <w:p w14:paraId="512533C3" w14:textId="538D386A" w:rsidR="009260DE" w:rsidRPr="005D1BEE" w:rsidRDefault="00BF7489" w:rsidP="009260DE">
      <w:pPr>
        <w:tabs>
          <w:tab w:val="left" w:pos="851"/>
        </w:tabs>
        <w:ind w:left="851"/>
        <w:rPr>
          <w:sz w:val="24"/>
          <w:szCs w:val="24"/>
        </w:rPr>
      </w:pPr>
      <w:r w:rsidRPr="005D1BEE">
        <w:rPr>
          <w:sz w:val="24"/>
          <w:szCs w:val="24"/>
        </w:rPr>
        <w:t>33597</w:t>
      </w:r>
    </w:p>
    <w:p w14:paraId="1B3F8D9E" w14:textId="77777777" w:rsidR="009260DE" w:rsidRPr="005D1BEE" w:rsidRDefault="009260DE" w:rsidP="009260DE">
      <w:pPr>
        <w:tabs>
          <w:tab w:val="left" w:pos="851"/>
        </w:tabs>
        <w:ind w:left="851"/>
        <w:rPr>
          <w:sz w:val="24"/>
          <w:szCs w:val="24"/>
        </w:rPr>
      </w:pPr>
    </w:p>
    <w:p w14:paraId="7028AEB4"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3C31418" w14:textId="30989787" w:rsidR="009260DE" w:rsidRPr="00C84483" w:rsidRDefault="00BF7489" w:rsidP="009260DE">
      <w:pPr>
        <w:tabs>
          <w:tab w:val="left" w:pos="851"/>
        </w:tabs>
        <w:ind w:left="851"/>
        <w:rPr>
          <w:sz w:val="24"/>
          <w:szCs w:val="24"/>
        </w:rPr>
      </w:pPr>
      <w:r>
        <w:rPr>
          <w:sz w:val="24"/>
          <w:szCs w:val="24"/>
        </w:rPr>
        <w:t>Tapentadol "Zentiva"</w:t>
      </w:r>
    </w:p>
    <w:p w14:paraId="4DE6BB5A" w14:textId="77777777" w:rsidR="009260DE" w:rsidRPr="00C84483" w:rsidRDefault="009260DE" w:rsidP="009260DE">
      <w:pPr>
        <w:tabs>
          <w:tab w:val="left" w:pos="851"/>
        </w:tabs>
        <w:ind w:left="851"/>
        <w:rPr>
          <w:sz w:val="24"/>
          <w:szCs w:val="24"/>
        </w:rPr>
      </w:pPr>
    </w:p>
    <w:p w14:paraId="27AE555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BAA0631" w14:textId="77777777" w:rsidR="00BF7489" w:rsidRDefault="00BF7489" w:rsidP="00BF7489">
      <w:pPr>
        <w:widowControl w:val="0"/>
        <w:ind w:left="851"/>
        <w:rPr>
          <w:sz w:val="24"/>
          <w:szCs w:val="24"/>
          <w:lang w:val="nb-NO"/>
        </w:rPr>
      </w:pPr>
    </w:p>
    <w:p w14:paraId="74BC7E95" w14:textId="77777777" w:rsidR="00BF7489" w:rsidRDefault="00BF7489" w:rsidP="00BF7489">
      <w:pPr>
        <w:widowControl w:val="0"/>
        <w:ind w:left="851"/>
        <w:rPr>
          <w:sz w:val="24"/>
          <w:szCs w:val="24"/>
          <w:u w:val="single"/>
          <w:lang w:val="nb-NO" w:eastAsia="da-DK"/>
        </w:rPr>
      </w:pPr>
      <w:bookmarkStart w:id="1" w:name="_Hlk148682662"/>
      <w:r>
        <w:rPr>
          <w:sz w:val="24"/>
          <w:szCs w:val="24"/>
          <w:u w:val="single"/>
          <w:lang w:val="nb-NO"/>
        </w:rPr>
        <w:t>Tapentadol "Zentiva" 25 mg depottabletter</w:t>
      </w:r>
    </w:p>
    <w:p w14:paraId="7E5112D6" w14:textId="77777777" w:rsidR="00BF7489" w:rsidRDefault="00BF7489" w:rsidP="00BF7489">
      <w:pPr>
        <w:widowControl w:val="0"/>
        <w:ind w:left="851"/>
        <w:rPr>
          <w:sz w:val="24"/>
          <w:szCs w:val="24"/>
          <w:lang w:val="nb-NO"/>
        </w:rPr>
      </w:pPr>
      <w:r>
        <w:rPr>
          <w:sz w:val="24"/>
          <w:szCs w:val="24"/>
          <w:lang w:val="nb-NO"/>
        </w:rPr>
        <w:t>Hver depottablet indeholder tapentadolphosphat svarende til 25 mg tapentadol.</w:t>
      </w:r>
    </w:p>
    <w:p w14:paraId="074C8D90" w14:textId="77777777" w:rsidR="00BF7489" w:rsidRDefault="00BF7489" w:rsidP="00BF7489">
      <w:pPr>
        <w:widowControl w:val="0"/>
        <w:ind w:left="851"/>
        <w:rPr>
          <w:sz w:val="24"/>
          <w:szCs w:val="24"/>
          <w:lang w:val="nb-NO"/>
        </w:rPr>
      </w:pPr>
    </w:p>
    <w:p w14:paraId="1EDF7D7E" w14:textId="77777777" w:rsidR="00BF7489" w:rsidRDefault="00BF7489" w:rsidP="00BF7489">
      <w:pPr>
        <w:widowControl w:val="0"/>
        <w:ind w:left="851"/>
        <w:rPr>
          <w:sz w:val="24"/>
          <w:szCs w:val="24"/>
          <w:u w:val="single"/>
          <w:lang w:val="nb-NO"/>
        </w:rPr>
      </w:pPr>
      <w:r>
        <w:rPr>
          <w:sz w:val="24"/>
          <w:szCs w:val="24"/>
          <w:u w:val="single"/>
          <w:lang w:val="nb-NO"/>
        </w:rPr>
        <w:t>Tapentadol "Zentiva" 50 mg depottabletter</w:t>
      </w:r>
    </w:p>
    <w:p w14:paraId="7EDE1CBE" w14:textId="77777777" w:rsidR="00BF7489" w:rsidRDefault="00BF7489" w:rsidP="00BF7489">
      <w:pPr>
        <w:widowControl w:val="0"/>
        <w:ind w:left="851"/>
        <w:rPr>
          <w:sz w:val="24"/>
          <w:szCs w:val="24"/>
          <w:lang w:val="nb-NO"/>
        </w:rPr>
      </w:pPr>
      <w:r>
        <w:rPr>
          <w:sz w:val="24"/>
          <w:szCs w:val="24"/>
          <w:lang w:val="nb-NO"/>
        </w:rPr>
        <w:t>Hver depottablet indeholder tapentadolphosphat svarende til 50 mg tapentadol.</w:t>
      </w:r>
    </w:p>
    <w:p w14:paraId="2A019A4A" w14:textId="77777777" w:rsidR="00BF7489" w:rsidRDefault="00BF7489" w:rsidP="00BF7489">
      <w:pPr>
        <w:widowControl w:val="0"/>
        <w:ind w:left="851"/>
        <w:rPr>
          <w:sz w:val="24"/>
          <w:szCs w:val="24"/>
          <w:lang w:val="nb-NO"/>
        </w:rPr>
      </w:pPr>
    </w:p>
    <w:p w14:paraId="1A88C6B4" w14:textId="77777777" w:rsidR="00BF7489" w:rsidRDefault="00BF7489" w:rsidP="00BF7489">
      <w:pPr>
        <w:widowControl w:val="0"/>
        <w:ind w:left="851"/>
        <w:rPr>
          <w:sz w:val="24"/>
          <w:szCs w:val="24"/>
          <w:u w:val="single"/>
          <w:lang w:val="nb-NO"/>
        </w:rPr>
      </w:pPr>
      <w:r>
        <w:rPr>
          <w:sz w:val="24"/>
          <w:szCs w:val="24"/>
          <w:u w:val="single"/>
          <w:lang w:val="nb-NO"/>
        </w:rPr>
        <w:t>Tapentadol "Zentiva" 100 mg depottabletter</w:t>
      </w:r>
    </w:p>
    <w:p w14:paraId="0C3B9540" w14:textId="77777777" w:rsidR="00BF7489" w:rsidRDefault="00BF7489" w:rsidP="00BF7489">
      <w:pPr>
        <w:widowControl w:val="0"/>
        <w:ind w:left="851"/>
        <w:rPr>
          <w:sz w:val="24"/>
          <w:szCs w:val="24"/>
          <w:lang w:val="nb-NO"/>
        </w:rPr>
      </w:pPr>
      <w:r>
        <w:rPr>
          <w:sz w:val="24"/>
          <w:szCs w:val="24"/>
          <w:lang w:val="nb-NO"/>
        </w:rPr>
        <w:t>Hver depottablet indeholder tapentadolphosphat svarende til 100 mg tapentadol.</w:t>
      </w:r>
    </w:p>
    <w:p w14:paraId="64D97205" w14:textId="77777777" w:rsidR="00BF7489" w:rsidRDefault="00BF7489" w:rsidP="00BF7489">
      <w:pPr>
        <w:widowControl w:val="0"/>
        <w:ind w:left="851"/>
        <w:rPr>
          <w:sz w:val="24"/>
          <w:szCs w:val="24"/>
          <w:lang w:val="nb-NO"/>
        </w:rPr>
      </w:pPr>
    </w:p>
    <w:p w14:paraId="04F80562" w14:textId="77777777" w:rsidR="00BF7489" w:rsidRDefault="00BF7489" w:rsidP="00BF7489">
      <w:pPr>
        <w:widowControl w:val="0"/>
        <w:ind w:left="851"/>
        <w:rPr>
          <w:sz w:val="24"/>
          <w:szCs w:val="24"/>
          <w:u w:val="single"/>
          <w:lang w:val="nb-NO"/>
        </w:rPr>
      </w:pPr>
      <w:r>
        <w:rPr>
          <w:sz w:val="24"/>
          <w:szCs w:val="24"/>
          <w:u w:val="single"/>
          <w:lang w:val="nb-NO"/>
        </w:rPr>
        <w:t>Tapentadol "Zentiva" 150 mg depottabletter</w:t>
      </w:r>
    </w:p>
    <w:p w14:paraId="39F332BB" w14:textId="77777777" w:rsidR="00BF7489" w:rsidRDefault="00BF7489" w:rsidP="00BF7489">
      <w:pPr>
        <w:widowControl w:val="0"/>
        <w:ind w:left="851"/>
        <w:rPr>
          <w:sz w:val="24"/>
          <w:szCs w:val="24"/>
          <w:lang w:val="nb-NO"/>
        </w:rPr>
      </w:pPr>
      <w:r>
        <w:rPr>
          <w:sz w:val="24"/>
          <w:szCs w:val="24"/>
          <w:lang w:val="nb-NO"/>
        </w:rPr>
        <w:t>Hver depottablet indeholder tapentadolphosphat svarende til 150 mg tapentadol.</w:t>
      </w:r>
    </w:p>
    <w:p w14:paraId="41EDF744" w14:textId="77777777" w:rsidR="00BF7489" w:rsidRDefault="00BF7489" w:rsidP="00BF7489">
      <w:pPr>
        <w:widowControl w:val="0"/>
        <w:ind w:left="851"/>
        <w:rPr>
          <w:sz w:val="24"/>
          <w:szCs w:val="24"/>
          <w:lang w:val="nb-NO"/>
        </w:rPr>
      </w:pPr>
    </w:p>
    <w:p w14:paraId="6133C28B" w14:textId="77777777" w:rsidR="00BF7489" w:rsidRDefault="00BF7489" w:rsidP="00BF7489">
      <w:pPr>
        <w:widowControl w:val="0"/>
        <w:ind w:left="851"/>
        <w:rPr>
          <w:sz w:val="24"/>
          <w:szCs w:val="24"/>
          <w:u w:val="single"/>
          <w:lang w:val="nb-NO"/>
        </w:rPr>
      </w:pPr>
      <w:r>
        <w:rPr>
          <w:sz w:val="24"/>
          <w:szCs w:val="24"/>
          <w:u w:val="single"/>
          <w:lang w:val="nb-NO"/>
        </w:rPr>
        <w:t>Tapentadol "Zentiva" 200 mg depottabletter</w:t>
      </w:r>
    </w:p>
    <w:p w14:paraId="19BB3C58" w14:textId="77777777" w:rsidR="00BF7489" w:rsidRDefault="00BF7489" w:rsidP="00BF7489">
      <w:pPr>
        <w:widowControl w:val="0"/>
        <w:ind w:left="851"/>
        <w:rPr>
          <w:sz w:val="24"/>
          <w:szCs w:val="24"/>
          <w:lang w:val="nb-NO"/>
        </w:rPr>
      </w:pPr>
      <w:r>
        <w:rPr>
          <w:sz w:val="24"/>
          <w:szCs w:val="24"/>
          <w:lang w:val="nb-NO"/>
        </w:rPr>
        <w:t>Hver depottablet indeholder tapentadolphosphat svarende til 200 mg tapentadol.</w:t>
      </w:r>
    </w:p>
    <w:p w14:paraId="3F06BA62" w14:textId="77777777" w:rsidR="00BF7489" w:rsidRDefault="00BF7489" w:rsidP="00BF7489">
      <w:pPr>
        <w:widowControl w:val="0"/>
        <w:ind w:left="851"/>
        <w:rPr>
          <w:sz w:val="24"/>
          <w:szCs w:val="24"/>
          <w:lang w:val="nb-NO"/>
        </w:rPr>
      </w:pPr>
    </w:p>
    <w:p w14:paraId="00292735" w14:textId="77777777" w:rsidR="00BF7489" w:rsidRDefault="00BF7489" w:rsidP="00BF7489">
      <w:pPr>
        <w:widowControl w:val="0"/>
        <w:ind w:left="851"/>
        <w:rPr>
          <w:sz w:val="24"/>
          <w:szCs w:val="24"/>
          <w:u w:val="single"/>
          <w:lang w:val="nb-NO"/>
        </w:rPr>
      </w:pPr>
      <w:r>
        <w:rPr>
          <w:sz w:val="24"/>
          <w:szCs w:val="24"/>
          <w:u w:val="single"/>
          <w:lang w:val="nb-NO"/>
        </w:rPr>
        <w:t>Tapentadol "Zentiva" 250 mg depottabletter</w:t>
      </w:r>
    </w:p>
    <w:p w14:paraId="45D1DB6B" w14:textId="77777777" w:rsidR="00BF7489" w:rsidRDefault="00BF7489" w:rsidP="00BF7489">
      <w:pPr>
        <w:widowControl w:val="0"/>
        <w:ind w:left="851"/>
        <w:rPr>
          <w:sz w:val="24"/>
          <w:szCs w:val="24"/>
          <w:lang w:val="nb-NO"/>
        </w:rPr>
      </w:pPr>
      <w:r>
        <w:rPr>
          <w:sz w:val="24"/>
          <w:szCs w:val="24"/>
          <w:lang w:val="nb-NO"/>
        </w:rPr>
        <w:t>Hver depottablet indeholder tapentadolphosphat svarende til 250 mg tapentadol.</w:t>
      </w:r>
    </w:p>
    <w:bookmarkEnd w:id="1"/>
    <w:p w14:paraId="1EDB766F" w14:textId="77777777" w:rsidR="00BF7489" w:rsidRDefault="00BF7489" w:rsidP="00BF7489">
      <w:pPr>
        <w:widowControl w:val="0"/>
        <w:ind w:left="851"/>
        <w:rPr>
          <w:sz w:val="24"/>
          <w:szCs w:val="24"/>
          <w:lang w:val="nb-NO"/>
        </w:rPr>
      </w:pPr>
    </w:p>
    <w:p w14:paraId="645B4B07" w14:textId="77777777" w:rsidR="00BF7489" w:rsidRDefault="00BF7489" w:rsidP="00BF7489">
      <w:pPr>
        <w:widowControl w:val="0"/>
        <w:ind w:left="851"/>
        <w:rPr>
          <w:sz w:val="24"/>
          <w:szCs w:val="24"/>
        </w:rPr>
      </w:pPr>
      <w:r>
        <w:rPr>
          <w:sz w:val="24"/>
          <w:szCs w:val="24"/>
        </w:rPr>
        <w:t>Alle hjælpestoffer er anført under pkt. 6.1.</w:t>
      </w:r>
    </w:p>
    <w:p w14:paraId="193F915F" w14:textId="77777777" w:rsidR="009260DE" w:rsidRPr="00C84483" w:rsidRDefault="009260DE" w:rsidP="009260DE">
      <w:pPr>
        <w:tabs>
          <w:tab w:val="left" w:pos="851"/>
        </w:tabs>
        <w:ind w:left="851"/>
        <w:rPr>
          <w:sz w:val="24"/>
          <w:szCs w:val="24"/>
        </w:rPr>
      </w:pPr>
    </w:p>
    <w:p w14:paraId="36B8BA0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4339356" w14:textId="0EB31EF6" w:rsidR="00BF7489" w:rsidRDefault="00BF7489" w:rsidP="00BF7489">
      <w:pPr>
        <w:widowControl w:val="0"/>
        <w:ind w:left="851"/>
        <w:rPr>
          <w:sz w:val="24"/>
          <w:szCs w:val="24"/>
          <w:lang w:eastAsia="da-DK"/>
        </w:rPr>
      </w:pPr>
      <w:r>
        <w:rPr>
          <w:sz w:val="24"/>
          <w:szCs w:val="24"/>
        </w:rPr>
        <w:t>Depottabletter</w:t>
      </w:r>
    </w:p>
    <w:p w14:paraId="29A824AF" w14:textId="77777777" w:rsidR="00BF7489" w:rsidRDefault="00BF7489" w:rsidP="00BF7489">
      <w:pPr>
        <w:widowControl w:val="0"/>
        <w:ind w:left="851" w:hanging="851"/>
        <w:rPr>
          <w:sz w:val="24"/>
          <w:szCs w:val="24"/>
        </w:rPr>
      </w:pPr>
    </w:p>
    <w:p w14:paraId="32940A44" w14:textId="77777777" w:rsidR="00BF7489" w:rsidRDefault="00BF7489" w:rsidP="00BF7489">
      <w:pPr>
        <w:widowControl w:val="0"/>
        <w:ind w:left="851"/>
        <w:rPr>
          <w:sz w:val="24"/>
          <w:szCs w:val="24"/>
          <w:u w:val="single"/>
        </w:rPr>
      </w:pPr>
      <w:bookmarkStart w:id="2" w:name="_Hlk148682704"/>
      <w:r>
        <w:rPr>
          <w:sz w:val="24"/>
          <w:szCs w:val="24"/>
          <w:u w:val="single"/>
        </w:rPr>
        <w:t xml:space="preserve">Tapentadol "Zentiva" 25 mg </w:t>
      </w:r>
    </w:p>
    <w:p w14:paraId="745AB17C" w14:textId="77777777" w:rsidR="00BF7489" w:rsidRDefault="00BF7489" w:rsidP="00BF7489">
      <w:pPr>
        <w:widowControl w:val="0"/>
        <w:ind w:left="851"/>
        <w:rPr>
          <w:sz w:val="24"/>
          <w:szCs w:val="24"/>
        </w:rPr>
      </w:pPr>
      <w:r>
        <w:rPr>
          <w:sz w:val="24"/>
          <w:szCs w:val="24"/>
        </w:rPr>
        <w:t>Brunlige, aflange, bikonvekse depottabletter (6 mm × 12 mm) med delekærv på begge sider. Tabletten kan deles i to lige store doser.</w:t>
      </w:r>
    </w:p>
    <w:p w14:paraId="5657D9A2" w14:textId="77777777" w:rsidR="00BF7489" w:rsidRDefault="00BF7489" w:rsidP="00BF7489">
      <w:pPr>
        <w:widowControl w:val="0"/>
        <w:ind w:left="851"/>
        <w:rPr>
          <w:sz w:val="24"/>
          <w:szCs w:val="24"/>
        </w:rPr>
      </w:pPr>
    </w:p>
    <w:p w14:paraId="0344F1CC" w14:textId="77777777" w:rsidR="00BF7489" w:rsidRDefault="00BF7489" w:rsidP="00BF7489">
      <w:pPr>
        <w:widowControl w:val="0"/>
        <w:ind w:left="851"/>
        <w:rPr>
          <w:sz w:val="24"/>
          <w:szCs w:val="24"/>
          <w:u w:val="single"/>
        </w:rPr>
      </w:pPr>
      <w:r>
        <w:rPr>
          <w:sz w:val="24"/>
          <w:szCs w:val="24"/>
          <w:u w:val="single"/>
        </w:rPr>
        <w:t>Tapentadol "Zentiva" 50 mg</w:t>
      </w:r>
    </w:p>
    <w:p w14:paraId="06FCDFB4" w14:textId="77777777" w:rsidR="00BF7489" w:rsidRDefault="00BF7489" w:rsidP="00BF7489">
      <w:pPr>
        <w:widowControl w:val="0"/>
        <w:ind w:left="851"/>
        <w:rPr>
          <w:sz w:val="24"/>
          <w:szCs w:val="24"/>
        </w:rPr>
      </w:pPr>
      <w:r>
        <w:rPr>
          <w:sz w:val="24"/>
          <w:szCs w:val="24"/>
        </w:rPr>
        <w:t>Hvide, aflange, bikonvekse depottabletter (6 mm × 13 mm) med delekærv på begge sider. Tabletten kan deles i to lige store doser.</w:t>
      </w:r>
    </w:p>
    <w:p w14:paraId="2E1E9F89" w14:textId="77777777" w:rsidR="00BF7489" w:rsidRDefault="00BF7489" w:rsidP="00BF7489">
      <w:pPr>
        <w:widowControl w:val="0"/>
        <w:ind w:left="851"/>
        <w:rPr>
          <w:sz w:val="24"/>
          <w:szCs w:val="24"/>
        </w:rPr>
      </w:pPr>
    </w:p>
    <w:p w14:paraId="67DB1C81" w14:textId="77777777" w:rsidR="00BF7489" w:rsidRDefault="00BF7489" w:rsidP="00BF7489">
      <w:pPr>
        <w:widowControl w:val="0"/>
        <w:ind w:left="851"/>
        <w:rPr>
          <w:sz w:val="24"/>
          <w:szCs w:val="24"/>
          <w:u w:val="single"/>
        </w:rPr>
      </w:pPr>
      <w:r>
        <w:rPr>
          <w:sz w:val="24"/>
          <w:szCs w:val="24"/>
          <w:u w:val="single"/>
        </w:rPr>
        <w:t xml:space="preserve">Tapentadol "Zentiva" 100 mg </w:t>
      </w:r>
    </w:p>
    <w:p w14:paraId="5BE17856" w14:textId="77777777" w:rsidR="00BF7489" w:rsidRDefault="00BF7489" w:rsidP="00BF7489">
      <w:pPr>
        <w:widowControl w:val="0"/>
        <w:ind w:left="851"/>
        <w:rPr>
          <w:sz w:val="24"/>
          <w:szCs w:val="24"/>
        </w:rPr>
      </w:pPr>
      <w:r>
        <w:rPr>
          <w:sz w:val="24"/>
          <w:szCs w:val="24"/>
        </w:rPr>
        <w:t>Gullige, aflange, bikonvekse depottabletter (7 mm × 14 mm) med delekærv på begge sider. Tabletten kan deles i to lige store doser.</w:t>
      </w:r>
    </w:p>
    <w:p w14:paraId="73D259F3" w14:textId="77777777" w:rsidR="00BF7489" w:rsidRDefault="00BF7489" w:rsidP="00BF7489">
      <w:pPr>
        <w:widowControl w:val="0"/>
        <w:ind w:left="851"/>
        <w:rPr>
          <w:sz w:val="24"/>
          <w:szCs w:val="24"/>
        </w:rPr>
      </w:pPr>
    </w:p>
    <w:p w14:paraId="67D1AFE4" w14:textId="77777777" w:rsidR="00BF7489" w:rsidRDefault="00BF7489" w:rsidP="00BF7489">
      <w:pPr>
        <w:widowControl w:val="0"/>
        <w:ind w:left="851"/>
        <w:rPr>
          <w:sz w:val="24"/>
          <w:szCs w:val="24"/>
          <w:u w:val="single"/>
        </w:rPr>
      </w:pPr>
      <w:r>
        <w:rPr>
          <w:sz w:val="24"/>
          <w:szCs w:val="24"/>
          <w:u w:val="single"/>
        </w:rPr>
        <w:t>Tapentadol "Zentiva" 150 mg</w:t>
      </w:r>
    </w:p>
    <w:p w14:paraId="7255BE54" w14:textId="77777777" w:rsidR="00BF7489" w:rsidRDefault="00BF7489" w:rsidP="00BF7489">
      <w:pPr>
        <w:autoSpaceDE w:val="0"/>
        <w:autoSpaceDN w:val="0"/>
        <w:adjustRightInd w:val="0"/>
        <w:ind w:left="851"/>
        <w:rPr>
          <w:sz w:val="24"/>
          <w:szCs w:val="24"/>
        </w:rPr>
      </w:pPr>
      <w:r>
        <w:rPr>
          <w:sz w:val="24"/>
          <w:szCs w:val="24"/>
        </w:rPr>
        <w:t>Lyse rødlige, aflange, bikonvekse depottabletter (7 mm × 15 mm) med delekærv på begge sider. Tabletten kan deles i to lige store doser.</w:t>
      </w:r>
    </w:p>
    <w:p w14:paraId="5E738A0F" w14:textId="77777777" w:rsidR="00BF7489" w:rsidRDefault="00BF7489" w:rsidP="00BF7489">
      <w:pPr>
        <w:widowControl w:val="0"/>
        <w:ind w:left="851"/>
        <w:rPr>
          <w:sz w:val="24"/>
          <w:szCs w:val="24"/>
        </w:rPr>
      </w:pPr>
    </w:p>
    <w:p w14:paraId="118450DF" w14:textId="77777777" w:rsidR="00BF7489" w:rsidRDefault="00BF7489" w:rsidP="00BF7489">
      <w:pPr>
        <w:widowControl w:val="0"/>
        <w:ind w:left="851"/>
        <w:rPr>
          <w:sz w:val="24"/>
          <w:szCs w:val="24"/>
          <w:u w:val="single"/>
        </w:rPr>
      </w:pPr>
      <w:r>
        <w:rPr>
          <w:sz w:val="24"/>
          <w:szCs w:val="24"/>
          <w:u w:val="single"/>
        </w:rPr>
        <w:t xml:space="preserve">Tapentadol "Zentiva" 200 mg </w:t>
      </w:r>
    </w:p>
    <w:p w14:paraId="1C1F3250" w14:textId="77777777" w:rsidR="00BF7489" w:rsidRDefault="00BF7489" w:rsidP="00BF7489">
      <w:pPr>
        <w:widowControl w:val="0"/>
        <w:autoSpaceDE w:val="0"/>
        <w:autoSpaceDN w:val="0"/>
        <w:adjustRightInd w:val="0"/>
        <w:ind w:left="851"/>
        <w:rPr>
          <w:sz w:val="24"/>
          <w:szCs w:val="24"/>
        </w:rPr>
      </w:pPr>
      <w:r>
        <w:rPr>
          <w:sz w:val="24"/>
          <w:szCs w:val="24"/>
        </w:rPr>
        <w:t>Gule, aflange, bikonvekse depottabletter (8 mm × 16 mm) med delekærv på begge sider. Tabletten kan deles i to lige store doser.</w:t>
      </w:r>
    </w:p>
    <w:p w14:paraId="73D9DC7C" w14:textId="77777777" w:rsidR="00BF7489" w:rsidRDefault="00BF7489" w:rsidP="00BF7489">
      <w:pPr>
        <w:widowControl w:val="0"/>
        <w:ind w:left="851"/>
        <w:rPr>
          <w:sz w:val="24"/>
          <w:szCs w:val="24"/>
        </w:rPr>
      </w:pPr>
    </w:p>
    <w:p w14:paraId="07EC6E72" w14:textId="77777777" w:rsidR="00BF7489" w:rsidRDefault="00BF7489" w:rsidP="00BF7489">
      <w:pPr>
        <w:widowControl w:val="0"/>
        <w:ind w:left="851"/>
        <w:rPr>
          <w:sz w:val="24"/>
          <w:szCs w:val="24"/>
          <w:u w:val="single"/>
        </w:rPr>
      </w:pPr>
      <w:r>
        <w:rPr>
          <w:sz w:val="24"/>
          <w:szCs w:val="24"/>
          <w:u w:val="single"/>
        </w:rPr>
        <w:t xml:space="preserve">Tapentadol "Zentiva" 250 mg </w:t>
      </w:r>
    </w:p>
    <w:p w14:paraId="1455C663" w14:textId="77777777" w:rsidR="00BF7489" w:rsidRDefault="00BF7489" w:rsidP="00BF7489">
      <w:pPr>
        <w:widowControl w:val="0"/>
        <w:autoSpaceDE w:val="0"/>
        <w:autoSpaceDN w:val="0"/>
        <w:adjustRightInd w:val="0"/>
        <w:ind w:left="851"/>
        <w:rPr>
          <w:sz w:val="24"/>
          <w:szCs w:val="24"/>
        </w:rPr>
      </w:pPr>
      <w:r>
        <w:rPr>
          <w:sz w:val="24"/>
          <w:szCs w:val="24"/>
        </w:rPr>
        <w:t>Rødbrune, aflange, bikonvekse depottabletter (9 mm × 18 mm) med delekærv på begge sider. Tabletten kan deles i to lige store doser.</w:t>
      </w:r>
      <w:bookmarkEnd w:id="2"/>
    </w:p>
    <w:p w14:paraId="4D2A1618" w14:textId="77777777" w:rsidR="009260DE" w:rsidRPr="00C84483" w:rsidRDefault="009260DE" w:rsidP="009260DE">
      <w:pPr>
        <w:tabs>
          <w:tab w:val="left" w:pos="851"/>
        </w:tabs>
        <w:ind w:left="851"/>
        <w:rPr>
          <w:sz w:val="24"/>
          <w:szCs w:val="24"/>
        </w:rPr>
      </w:pPr>
    </w:p>
    <w:p w14:paraId="629E8337" w14:textId="77777777" w:rsidR="009260DE" w:rsidRPr="00C84483" w:rsidRDefault="009260DE" w:rsidP="009260DE">
      <w:pPr>
        <w:tabs>
          <w:tab w:val="left" w:pos="851"/>
        </w:tabs>
        <w:ind w:left="851"/>
        <w:rPr>
          <w:sz w:val="24"/>
          <w:szCs w:val="24"/>
        </w:rPr>
      </w:pPr>
    </w:p>
    <w:p w14:paraId="761CAF6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5827EED" w14:textId="77777777" w:rsidR="009260DE" w:rsidRPr="00C84483" w:rsidRDefault="009260DE" w:rsidP="009260DE">
      <w:pPr>
        <w:tabs>
          <w:tab w:val="left" w:pos="851"/>
        </w:tabs>
        <w:ind w:left="851"/>
        <w:rPr>
          <w:b/>
          <w:sz w:val="24"/>
          <w:szCs w:val="24"/>
        </w:rPr>
      </w:pPr>
    </w:p>
    <w:p w14:paraId="3A4C290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B22C960" w14:textId="77777777" w:rsidR="00BF7489" w:rsidRDefault="00BF7489" w:rsidP="00BF7489">
      <w:pPr>
        <w:tabs>
          <w:tab w:val="left" w:pos="851"/>
        </w:tabs>
        <w:ind w:left="851"/>
        <w:rPr>
          <w:sz w:val="24"/>
          <w:szCs w:val="24"/>
          <w:lang w:eastAsia="da-DK"/>
        </w:rPr>
      </w:pPr>
      <w:r>
        <w:rPr>
          <w:sz w:val="24"/>
          <w:szCs w:val="24"/>
        </w:rPr>
        <w:t>Tapentadol "Zentiva" er indiceret til lindring af svære, kroniske smerter hos voksne, som kun kan behandles tilstrækkeligt med opioide analgetika.</w:t>
      </w:r>
    </w:p>
    <w:p w14:paraId="1CE914E1" w14:textId="77777777" w:rsidR="009260DE" w:rsidRPr="00C84483" w:rsidRDefault="009260DE" w:rsidP="009260DE">
      <w:pPr>
        <w:tabs>
          <w:tab w:val="left" w:pos="851"/>
        </w:tabs>
        <w:ind w:left="851"/>
        <w:rPr>
          <w:sz w:val="24"/>
          <w:szCs w:val="24"/>
        </w:rPr>
      </w:pPr>
    </w:p>
    <w:p w14:paraId="34D2BD1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22F1331" w14:textId="77777777" w:rsidR="00BF7489" w:rsidRDefault="00BF7489" w:rsidP="00BF7489">
      <w:pPr>
        <w:widowControl w:val="0"/>
        <w:ind w:left="851"/>
        <w:rPr>
          <w:sz w:val="24"/>
          <w:szCs w:val="24"/>
          <w:u w:val="single"/>
        </w:rPr>
      </w:pPr>
    </w:p>
    <w:p w14:paraId="021A8252" w14:textId="7D7FFD8D" w:rsidR="00BF7489" w:rsidRDefault="00BF7489" w:rsidP="00BF7489">
      <w:pPr>
        <w:widowControl w:val="0"/>
        <w:ind w:left="851"/>
        <w:rPr>
          <w:sz w:val="24"/>
          <w:szCs w:val="24"/>
          <w:u w:val="single"/>
          <w:lang w:eastAsia="da-DK"/>
        </w:rPr>
      </w:pPr>
      <w:r>
        <w:rPr>
          <w:sz w:val="24"/>
          <w:szCs w:val="24"/>
          <w:u w:val="single"/>
        </w:rPr>
        <w:t>Dosering</w:t>
      </w:r>
    </w:p>
    <w:p w14:paraId="4E063E88" w14:textId="77777777" w:rsidR="00BF7489" w:rsidRDefault="00BF7489" w:rsidP="00BF7489">
      <w:pPr>
        <w:widowControl w:val="0"/>
        <w:ind w:left="851"/>
        <w:rPr>
          <w:sz w:val="24"/>
          <w:szCs w:val="24"/>
        </w:rPr>
      </w:pPr>
      <w:r>
        <w:rPr>
          <w:sz w:val="24"/>
          <w:szCs w:val="24"/>
        </w:rPr>
        <w:t xml:space="preserve">Dosering skal tilpasses den enkelte patient afhængigt af smerternes intensitet, erfaringer med tidligere behandling og muligheden for monitorering af patienten. </w:t>
      </w:r>
    </w:p>
    <w:p w14:paraId="6099D0D5" w14:textId="77777777" w:rsidR="00BF7489" w:rsidRDefault="00BF7489" w:rsidP="00BF7489">
      <w:pPr>
        <w:widowControl w:val="0"/>
        <w:ind w:left="851"/>
        <w:rPr>
          <w:sz w:val="24"/>
          <w:szCs w:val="24"/>
        </w:rPr>
      </w:pPr>
      <w:r>
        <w:rPr>
          <w:sz w:val="24"/>
          <w:szCs w:val="24"/>
        </w:rPr>
        <w:t>Tapentadol "Zentiva" skal tages to gange dagligt, cirka hver 12. time.</w:t>
      </w:r>
    </w:p>
    <w:p w14:paraId="07ED5BAA" w14:textId="77777777" w:rsidR="00BF7489" w:rsidRDefault="00BF7489" w:rsidP="00BF7489">
      <w:pPr>
        <w:widowControl w:val="0"/>
        <w:ind w:left="851"/>
        <w:rPr>
          <w:sz w:val="24"/>
          <w:szCs w:val="24"/>
        </w:rPr>
      </w:pPr>
    </w:p>
    <w:p w14:paraId="37E24BE5" w14:textId="77777777" w:rsidR="00BF7489" w:rsidRDefault="00BF7489" w:rsidP="00BF7489">
      <w:pPr>
        <w:widowControl w:val="0"/>
        <w:ind w:left="851"/>
        <w:rPr>
          <w:i/>
          <w:sz w:val="24"/>
          <w:szCs w:val="24"/>
          <w:u w:val="single"/>
        </w:rPr>
      </w:pPr>
      <w:r>
        <w:rPr>
          <w:i/>
          <w:sz w:val="24"/>
          <w:szCs w:val="24"/>
          <w:u w:val="single"/>
        </w:rPr>
        <w:t>Initiering af behandling</w:t>
      </w:r>
    </w:p>
    <w:p w14:paraId="45F79AAA" w14:textId="77777777" w:rsidR="00BF7489" w:rsidRDefault="00BF7489" w:rsidP="00BF7489">
      <w:pPr>
        <w:widowControl w:val="0"/>
        <w:ind w:left="851"/>
        <w:rPr>
          <w:i/>
          <w:sz w:val="24"/>
          <w:szCs w:val="24"/>
        </w:rPr>
      </w:pPr>
    </w:p>
    <w:p w14:paraId="7F866070" w14:textId="53001A23" w:rsidR="00BF7489" w:rsidRDefault="00BF7489" w:rsidP="00BF7489">
      <w:pPr>
        <w:widowControl w:val="0"/>
        <w:ind w:left="851"/>
        <w:rPr>
          <w:i/>
          <w:sz w:val="24"/>
          <w:szCs w:val="24"/>
        </w:rPr>
      </w:pPr>
      <w:r>
        <w:rPr>
          <w:i/>
          <w:sz w:val="24"/>
          <w:szCs w:val="24"/>
        </w:rPr>
        <w:t>Initiering af behandling hos patienter, der ikke tager opioide analgetika:</w:t>
      </w:r>
    </w:p>
    <w:p w14:paraId="612E9721" w14:textId="77777777" w:rsidR="00BF7489" w:rsidRDefault="00BF7489" w:rsidP="00BF7489">
      <w:pPr>
        <w:widowControl w:val="0"/>
        <w:ind w:left="851"/>
        <w:rPr>
          <w:sz w:val="24"/>
          <w:szCs w:val="24"/>
        </w:rPr>
      </w:pPr>
      <w:r>
        <w:rPr>
          <w:sz w:val="24"/>
          <w:szCs w:val="24"/>
        </w:rPr>
        <w:t>Patienterne bør starte behandlingen med enkeltdoser på 50 mg Tapentadol "Zentiva", der skal tages to gange dagligt.</w:t>
      </w:r>
    </w:p>
    <w:p w14:paraId="5368C34D" w14:textId="77777777" w:rsidR="00BF7489" w:rsidRDefault="00BF7489" w:rsidP="00BF7489">
      <w:pPr>
        <w:widowControl w:val="0"/>
        <w:ind w:left="851"/>
        <w:rPr>
          <w:sz w:val="24"/>
          <w:szCs w:val="24"/>
        </w:rPr>
      </w:pPr>
    </w:p>
    <w:p w14:paraId="7519338A" w14:textId="77777777" w:rsidR="00BF7489" w:rsidRDefault="00BF7489" w:rsidP="00BF7489">
      <w:pPr>
        <w:widowControl w:val="0"/>
        <w:ind w:left="851"/>
        <w:rPr>
          <w:i/>
          <w:sz w:val="24"/>
          <w:szCs w:val="24"/>
        </w:rPr>
      </w:pPr>
      <w:bookmarkStart w:id="3" w:name="P554515"/>
      <w:bookmarkStart w:id="4" w:name="_Hlk167969840"/>
      <w:r>
        <w:rPr>
          <w:i/>
          <w:sz w:val="24"/>
          <w:szCs w:val="24"/>
        </w:rPr>
        <w:t>Initiering af behandling hos patienter, der er i behandling med opioide analgetika:</w:t>
      </w:r>
    </w:p>
    <w:bookmarkEnd w:id="3"/>
    <w:p w14:paraId="62DB3BC7" w14:textId="77777777" w:rsidR="00BF7489" w:rsidRDefault="00BF7489" w:rsidP="00BF7489">
      <w:pPr>
        <w:widowControl w:val="0"/>
        <w:ind w:left="851"/>
        <w:rPr>
          <w:sz w:val="24"/>
          <w:szCs w:val="24"/>
        </w:rPr>
      </w:pPr>
      <w:r>
        <w:rPr>
          <w:sz w:val="24"/>
          <w:szCs w:val="24"/>
        </w:rPr>
        <w:t>Ved skift fra opioider til Tapentadol "Zentiva" skal der ved valg af initialdosis tages højde for det tidligere lægemiddels egenskaber, anvendelse og den gennemsnitlige døgndosis. Der kan være behov for højere initialdoser af Tapentadol "Zentiva" hos patienter, der allerede tager opioider, end hos patienter, der ikke har taget opioider, før de begynder på behandlingen med Tapentadol "Zentiva".</w:t>
      </w:r>
    </w:p>
    <w:p w14:paraId="0F912ADF" w14:textId="77777777" w:rsidR="00BF7489" w:rsidRDefault="00BF7489" w:rsidP="00BF7489">
      <w:pPr>
        <w:widowControl w:val="0"/>
        <w:ind w:left="851"/>
        <w:rPr>
          <w:i/>
          <w:sz w:val="24"/>
          <w:szCs w:val="24"/>
        </w:rPr>
      </w:pPr>
    </w:p>
    <w:p w14:paraId="4F265DDD" w14:textId="77777777" w:rsidR="00BF7489" w:rsidRDefault="00BF7489" w:rsidP="00BF7489">
      <w:pPr>
        <w:widowControl w:val="0"/>
        <w:ind w:left="851"/>
        <w:rPr>
          <w:i/>
          <w:sz w:val="24"/>
          <w:szCs w:val="24"/>
          <w:u w:val="single"/>
        </w:rPr>
      </w:pPr>
      <w:r>
        <w:rPr>
          <w:i/>
          <w:sz w:val="24"/>
          <w:szCs w:val="24"/>
          <w:u w:val="single"/>
        </w:rPr>
        <w:t>Titrering og vedligeholdelse</w:t>
      </w:r>
    </w:p>
    <w:p w14:paraId="0DEBD19D" w14:textId="77777777" w:rsidR="00BF7489" w:rsidRDefault="00BF7489" w:rsidP="00BF7489">
      <w:pPr>
        <w:widowControl w:val="0"/>
        <w:ind w:left="851"/>
        <w:rPr>
          <w:i/>
          <w:sz w:val="24"/>
          <w:szCs w:val="24"/>
        </w:rPr>
      </w:pPr>
      <w:r>
        <w:rPr>
          <w:sz w:val="24"/>
          <w:szCs w:val="24"/>
        </w:rPr>
        <w:t xml:space="preserve">Efter initiering af behandlingen skal dosis titreres individuelt til et niveau, der giver tilstrækkelig analgesi med et minimum af bivirkninger. Patienten skal følges tæt af den </w:t>
      </w:r>
      <w:r>
        <w:rPr>
          <w:sz w:val="24"/>
          <w:szCs w:val="24"/>
        </w:rPr>
        <w:lastRenderedPageBreak/>
        <w:t xml:space="preserve">behandlende læge. </w:t>
      </w:r>
    </w:p>
    <w:p w14:paraId="2AD51DD9" w14:textId="77777777" w:rsidR="00BF7489" w:rsidRDefault="00BF7489" w:rsidP="00BF7489">
      <w:pPr>
        <w:widowControl w:val="0"/>
        <w:ind w:left="851"/>
        <w:rPr>
          <w:sz w:val="24"/>
          <w:szCs w:val="24"/>
        </w:rPr>
      </w:pPr>
      <w:r>
        <w:rPr>
          <w:sz w:val="24"/>
          <w:szCs w:val="24"/>
        </w:rPr>
        <w:t>Erfaring fra kliniske studier har vist, at de fleste patienter opnåede tilstrækkelig smertekontrol med et titreringsforløb, hvor dosis blev øget hver 3. dag med 50 mg tapentadol depottablet to gange dagligt.</w:t>
      </w:r>
      <w:bookmarkStart w:id="5" w:name="_msocom_2"/>
      <w:r>
        <w:rPr>
          <w:sz w:val="24"/>
          <w:szCs w:val="24"/>
        </w:rPr>
        <w:t xml:space="preserve"> Styrken på 25 mg kan også anvendes til dosisjustering for at imødekomme individuelle patientbehov.</w:t>
      </w:r>
    </w:p>
    <w:p w14:paraId="4CE6CEF2" w14:textId="77777777" w:rsidR="00BF7489" w:rsidRDefault="00BF7489" w:rsidP="00BF7489">
      <w:pPr>
        <w:widowControl w:val="0"/>
        <w:ind w:left="851"/>
        <w:rPr>
          <w:sz w:val="24"/>
          <w:szCs w:val="24"/>
        </w:rPr>
      </w:pPr>
    </w:p>
    <w:p w14:paraId="4D9DEDD5" w14:textId="77777777" w:rsidR="00BF7489" w:rsidRDefault="00BF7489" w:rsidP="00BF7489">
      <w:pPr>
        <w:widowControl w:val="0"/>
        <w:ind w:left="851"/>
        <w:rPr>
          <w:sz w:val="24"/>
          <w:szCs w:val="24"/>
        </w:rPr>
      </w:pPr>
      <w:r>
        <w:rPr>
          <w:sz w:val="24"/>
          <w:szCs w:val="24"/>
        </w:rPr>
        <w:t>Totale døgndoser over 500 mg tapentadol som depottabletter er endnu ikke blevet undersøgt og bør derfor ikke anvendes.</w:t>
      </w:r>
    </w:p>
    <w:bookmarkEnd w:id="5"/>
    <w:p w14:paraId="3EB9EF01" w14:textId="77777777" w:rsidR="00BF7489" w:rsidRDefault="00BF7489" w:rsidP="00BF7489">
      <w:pPr>
        <w:ind w:left="851"/>
        <w:rPr>
          <w:i/>
          <w:sz w:val="24"/>
          <w:szCs w:val="24"/>
          <w:u w:val="single"/>
        </w:rPr>
      </w:pPr>
    </w:p>
    <w:p w14:paraId="7E12BF0B" w14:textId="77777777" w:rsidR="00BF7489" w:rsidRDefault="00BF7489" w:rsidP="00BF7489">
      <w:pPr>
        <w:ind w:left="851"/>
        <w:rPr>
          <w:i/>
          <w:sz w:val="24"/>
          <w:szCs w:val="24"/>
          <w:u w:val="single"/>
        </w:rPr>
      </w:pPr>
      <w:r>
        <w:rPr>
          <w:i/>
          <w:sz w:val="24"/>
          <w:szCs w:val="24"/>
          <w:u w:val="single"/>
        </w:rPr>
        <w:t>Seponering af behandlingen</w:t>
      </w:r>
    </w:p>
    <w:p w14:paraId="3038065A" w14:textId="77777777" w:rsidR="00BF7489" w:rsidRDefault="00BF7489" w:rsidP="00BF7489">
      <w:pPr>
        <w:ind w:left="851"/>
        <w:rPr>
          <w:sz w:val="24"/>
          <w:szCs w:val="24"/>
        </w:rPr>
      </w:pPr>
      <w:r>
        <w:rPr>
          <w:sz w:val="24"/>
          <w:szCs w:val="24"/>
        </w:rPr>
        <w:t>Der kan opstå seponeringssymptomer efter brat seponering af behandling med tapentadol (se pkt. 4.8).</w:t>
      </w:r>
      <w:r>
        <w:rPr>
          <w:i/>
          <w:sz w:val="24"/>
          <w:szCs w:val="24"/>
        </w:rPr>
        <w:t xml:space="preserve"> </w:t>
      </w:r>
      <w:r>
        <w:rPr>
          <w:sz w:val="24"/>
          <w:szCs w:val="24"/>
        </w:rPr>
        <w:t>Når patienten ikke længere har behov for behandling med tapentadol, anbefales en gradvis nedtrapning af dosis for at forebygge seponeringssymptomer.</w:t>
      </w:r>
    </w:p>
    <w:p w14:paraId="70588030" w14:textId="77777777" w:rsidR="00BF7489" w:rsidRDefault="00BF7489" w:rsidP="00BF7489">
      <w:pPr>
        <w:widowControl w:val="0"/>
        <w:ind w:left="851"/>
        <w:rPr>
          <w:sz w:val="24"/>
          <w:szCs w:val="24"/>
        </w:rPr>
      </w:pPr>
    </w:p>
    <w:p w14:paraId="0E3A94F2" w14:textId="77777777" w:rsidR="00BF7489" w:rsidRDefault="00BF7489" w:rsidP="00BF7489">
      <w:pPr>
        <w:widowControl w:val="0"/>
        <w:ind w:left="851"/>
        <w:rPr>
          <w:sz w:val="24"/>
          <w:szCs w:val="24"/>
          <w:u w:val="single"/>
        </w:rPr>
      </w:pPr>
      <w:r>
        <w:rPr>
          <w:sz w:val="24"/>
          <w:szCs w:val="24"/>
          <w:u w:val="single"/>
        </w:rPr>
        <w:t>Særlige populationer</w:t>
      </w:r>
    </w:p>
    <w:p w14:paraId="7870C3C7" w14:textId="77777777" w:rsidR="00BF7489" w:rsidRDefault="00BF7489" w:rsidP="00BF7489">
      <w:pPr>
        <w:widowControl w:val="0"/>
        <w:ind w:left="851"/>
        <w:rPr>
          <w:sz w:val="24"/>
          <w:szCs w:val="24"/>
        </w:rPr>
      </w:pPr>
    </w:p>
    <w:p w14:paraId="1913AE85" w14:textId="77777777" w:rsidR="00BF7489" w:rsidRDefault="00BF7489" w:rsidP="00BF7489">
      <w:pPr>
        <w:ind w:left="851"/>
        <w:rPr>
          <w:i/>
          <w:sz w:val="24"/>
          <w:szCs w:val="24"/>
        </w:rPr>
      </w:pPr>
      <w:r>
        <w:rPr>
          <w:i/>
          <w:sz w:val="24"/>
          <w:szCs w:val="24"/>
        </w:rPr>
        <w:t>Nedsat nyrefunktion</w:t>
      </w:r>
    </w:p>
    <w:p w14:paraId="231AD64C" w14:textId="77777777" w:rsidR="00BF7489" w:rsidRDefault="00BF7489" w:rsidP="00BF7489">
      <w:pPr>
        <w:widowControl w:val="0"/>
        <w:ind w:left="851"/>
        <w:rPr>
          <w:sz w:val="24"/>
          <w:szCs w:val="24"/>
        </w:rPr>
      </w:pPr>
      <w:r>
        <w:rPr>
          <w:sz w:val="24"/>
          <w:szCs w:val="24"/>
        </w:rPr>
        <w:t>Dosisjustering er ikke nødvendig hos patienter med let til moderat nedsat nyrefunktion (se pkt. 5.2).</w:t>
      </w:r>
    </w:p>
    <w:p w14:paraId="579BDB01" w14:textId="77777777" w:rsidR="00BF7489" w:rsidRDefault="00BF7489" w:rsidP="00BF7489">
      <w:pPr>
        <w:widowControl w:val="0"/>
        <w:ind w:left="851"/>
        <w:rPr>
          <w:sz w:val="24"/>
          <w:szCs w:val="24"/>
        </w:rPr>
      </w:pPr>
      <w:r>
        <w:rPr>
          <w:sz w:val="24"/>
          <w:szCs w:val="24"/>
        </w:rPr>
        <w:t>Der er ikke udført kontrollerede effektundersøgelser med tapentadol som depottabletter hos patienter med svært nedsat nyrefunktion, og præparatet bør derfor ikke anvendes til denne population (se pkt. 4.4 og 5.2).</w:t>
      </w:r>
    </w:p>
    <w:p w14:paraId="112D9473" w14:textId="77777777" w:rsidR="00BF7489" w:rsidRDefault="00BF7489" w:rsidP="00BF7489">
      <w:pPr>
        <w:widowControl w:val="0"/>
        <w:ind w:left="851"/>
        <w:rPr>
          <w:sz w:val="24"/>
          <w:szCs w:val="24"/>
        </w:rPr>
      </w:pPr>
    </w:p>
    <w:p w14:paraId="1CA4C683" w14:textId="77777777" w:rsidR="00BF7489" w:rsidRDefault="00BF7489" w:rsidP="00BF7489">
      <w:pPr>
        <w:widowControl w:val="0"/>
        <w:ind w:left="851"/>
        <w:rPr>
          <w:i/>
          <w:sz w:val="24"/>
          <w:szCs w:val="24"/>
        </w:rPr>
      </w:pPr>
      <w:r>
        <w:rPr>
          <w:i/>
          <w:sz w:val="24"/>
          <w:szCs w:val="24"/>
        </w:rPr>
        <w:t>Nedsat leverfunktion</w:t>
      </w:r>
    </w:p>
    <w:p w14:paraId="7860550C" w14:textId="77777777" w:rsidR="00BF7489" w:rsidRDefault="00BF7489" w:rsidP="00BF7489">
      <w:pPr>
        <w:widowControl w:val="0"/>
        <w:ind w:left="851"/>
        <w:rPr>
          <w:i/>
          <w:sz w:val="24"/>
          <w:szCs w:val="24"/>
        </w:rPr>
      </w:pPr>
      <w:r>
        <w:rPr>
          <w:sz w:val="24"/>
          <w:szCs w:val="24"/>
        </w:rPr>
        <w:t>Dosisjustering er ikke nødvendig hos patienter med let nedsat leverfunktion (se pkt. 5.2).</w:t>
      </w:r>
    </w:p>
    <w:p w14:paraId="22AB95D0" w14:textId="77777777" w:rsidR="00BF7489" w:rsidRDefault="00BF7489" w:rsidP="00BF7489">
      <w:pPr>
        <w:widowControl w:val="0"/>
        <w:ind w:left="851"/>
        <w:rPr>
          <w:sz w:val="24"/>
          <w:szCs w:val="24"/>
          <w:highlight w:val="yellow"/>
        </w:rPr>
      </w:pPr>
      <w:r>
        <w:rPr>
          <w:sz w:val="24"/>
          <w:szCs w:val="24"/>
        </w:rPr>
        <w:t>Tapentadol "Zentiva" bør anvendes med forsigtighed til patienter med moderat nedsat leverfunktion.</w:t>
      </w:r>
      <w:r>
        <w:rPr>
          <w:i/>
          <w:sz w:val="24"/>
          <w:szCs w:val="24"/>
        </w:rPr>
        <w:t xml:space="preserve"> </w:t>
      </w:r>
      <w:r>
        <w:rPr>
          <w:sz w:val="24"/>
          <w:szCs w:val="24"/>
        </w:rPr>
        <w:t>Behandling af denne patientpopulation bør indledes med den lavest tilgængelige styrke, dvs. Tapentadol "Zentiva" 25 mg, som højst må tages en gang i døgnet. Ved start af behandlingen bør der ikke anvendes højere doser end 50 mg tapentadol som depottabletter en gang i døgnet. Den videre behandling bør afspejle vedligeholdelse af analgesi med acceptabel tolerabilitet (se pkt. 4.4 og 5.2).</w:t>
      </w:r>
    </w:p>
    <w:p w14:paraId="2B9F0822" w14:textId="77777777" w:rsidR="00BF7489" w:rsidRDefault="00BF7489" w:rsidP="00BF7489">
      <w:pPr>
        <w:widowControl w:val="0"/>
        <w:ind w:left="851"/>
        <w:rPr>
          <w:sz w:val="24"/>
          <w:szCs w:val="24"/>
        </w:rPr>
      </w:pPr>
    </w:p>
    <w:p w14:paraId="0F07C357" w14:textId="77777777" w:rsidR="00BF7489" w:rsidRDefault="00BF7489" w:rsidP="00BF7489">
      <w:pPr>
        <w:widowControl w:val="0"/>
        <w:ind w:left="851"/>
        <w:rPr>
          <w:sz w:val="24"/>
          <w:szCs w:val="24"/>
        </w:rPr>
      </w:pPr>
      <w:r>
        <w:rPr>
          <w:sz w:val="24"/>
          <w:szCs w:val="24"/>
        </w:rPr>
        <w:t>Tapentadol som depottabletter er ikke undersøgt hos patienter med alvorligt nedsat leverfunktion, og præparatet bør derfor ikke anvendes til denne population (se pkt. 4.4 og 5.2).</w:t>
      </w:r>
    </w:p>
    <w:p w14:paraId="37DDA2EB" w14:textId="77777777" w:rsidR="00BF7489" w:rsidRDefault="00BF7489" w:rsidP="00BF7489">
      <w:pPr>
        <w:widowControl w:val="0"/>
        <w:ind w:left="851"/>
        <w:rPr>
          <w:sz w:val="24"/>
          <w:szCs w:val="24"/>
        </w:rPr>
      </w:pPr>
    </w:p>
    <w:p w14:paraId="4CBFE1B2" w14:textId="77777777" w:rsidR="00BF7489" w:rsidRDefault="00BF7489" w:rsidP="00BF7489">
      <w:pPr>
        <w:widowControl w:val="0"/>
        <w:ind w:left="851"/>
        <w:rPr>
          <w:i/>
          <w:sz w:val="24"/>
          <w:szCs w:val="24"/>
        </w:rPr>
      </w:pPr>
      <w:r>
        <w:rPr>
          <w:i/>
          <w:sz w:val="24"/>
          <w:szCs w:val="24"/>
        </w:rPr>
        <w:t>Ældre patienter (</w:t>
      </w:r>
      <w:r>
        <w:rPr>
          <w:i/>
          <w:szCs w:val="22"/>
        </w:rPr>
        <w:t>≥</w:t>
      </w:r>
      <w:r>
        <w:rPr>
          <w:i/>
          <w:sz w:val="24"/>
          <w:szCs w:val="24"/>
        </w:rPr>
        <w:t xml:space="preserve"> 65 år)</w:t>
      </w:r>
    </w:p>
    <w:p w14:paraId="784238B6" w14:textId="77777777" w:rsidR="00BF7489" w:rsidRDefault="00BF7489" w:rsidP="00BF7489">
      <w:pPr>
        <w:widowControl w:val="0"/>
        <w:ind w:left="851"/>
        <w:rPr>
          <w:sz w:val="24"/>
          <w:szCs w:val="24"/>
        </w:rPr>
      </w:pPr>
      <w:r>
        <w:rPr>
          <w:sz w:val="24"/>
          <w:szCs w:val="24"/>
        </w:rPr>
        <w:t>Generelt er det ikke nødvendigt at tilpasse dosis hos ældre patienter. Ældre patienter er dog mere tilbøjelige til at have nedsat nyre- og leverfunktion, og doseringen bør fastsættes omhyggeligt i henhold til anbefalingerne (se pkt. 4.2 og 5.2).</w:t>
      </w:r>
    </w:p>
    <w:p w14:paraId="1F869029" w14:textId="77777777" w:rsidR="00BF7489" w:rsidRDefault="00BF7489" w:rsidP="00BF7489">
      <w:pPr>
        <w:widowControl w:val="0"/>
        <w:ind w:left="851"/>
        <w:rPr>
          <w:sz w:val="24"/>
          <w:szCs w:val="24"/>
        </w:rPr>
      </w:pPr>
    </w:p>
    <w:p w14:paraId="08553A0F" w14:textId="77777777" w:rsidR="00BF7489" w:rsidRDefault="00BF7489" w:rsidP="00BF7489">
      <w:pPr>
        <w:widowControl w:val="0"/>
        <w:ind w:left="851"/>
        <w:rPr>
          <w:b/>
          <w:i/>
          <w:sz w:val="24"/>
          <w:szCs w:val="24"/>
        </w:rPr>
      </w:pPr>
      <w:r>
        <w:rPr>
          <w:i/>
          <w:sz w:val="24"/>
          <w:szCs w:val="24"/>
        </w:rPr>
        <w:t>Pædiatrisk population</w:t>
      </w:r>
    </w:p>
    <w:p w14:paraId="48A0F7AA" w14:textId="77777777" w:rsidR="00BF7489" w:rsidRDefault="00BF7489" w:rsidP="00BF7489">
      <w:pPr>
        <w:ind w:left="851"/>
        <w:rPr>
          <w:sz w:val="24"/>
          <w:szCs w:val="24"/>
        </w:rPr>
      </w:pPr>
      <w:r>
        <w:rPr>
          <w:sz w:val="24"/>
          <w:szCs w:val="24"/>
        </w:rPr>
        <w:t>Sikkerhed og virkning af Tapentadol "Zentiva" hos børn og unge under 18 år er endnu ikke blevet fastlagt. Derfor bør Tapentadol "Zentiva" ikke anvendes i denne population.</w:t>
      </w:r>
    </w:p>
    <w:bookmarkEnd w:id="4"/>
    <w:p w14:paraId="624A00A9" w14:textId="77777777" w:rsidR="00BF7489" w:rsidRDefault="00BF7489" w:rsidP="00BF7489">
      <w:pPr>
        <w:widowControl w:val="0"/>
        <w:ind w:left="851"/>
        <w:rPr>
          <w:sz w:val="24"/>
          <w:szCs w:val="24"/>
        </w:rPr>
      </w:pPr>
    </w:p>
    <w:p w14:paraId="4C082D4F" w14:textId="77777777" w:rsidR="00BF7489" w:rsidRDefault="00BF7489" w:rsidP="00BF7489">
      <w:pPr>
        <w:widowControl w:val="0"/>
        <w:ind w:left="851"/>
        <w:rPr>
          <w:sz w:val="24"/>
          <w:szCs w:val="24"/>
          <w:u w:val="single"/>
        </w:rPr>
      </w:pPr>
      <w:r>
        <w:rPr>
          <w:sz w:val="24"/>
          <w:szCs w:val="24"/>
          <w:u w:val="single"/>
        </w:rPr>
        <w:t>Administration</w:t>
      </w:r>
    </w:p>
    <w:p w14:paraId="70BF0856" w14:textId="77777777" w:rsidR="00BF7489" w:rsidRDefault="00BF7489" w:rsidP="00BF7489">
      <w:pPr>
        <w:widowControl w:val="0"/>
        <w:ind w:left="851"/>
        <w:rPr>
          <w:sz w:val="24"/>
          <w:szCs w:val="24"/>
        </w:rPr>
      </w:pPr>
      <w:r>
        <w:rPr>
          <w:sz w:val="24"/>
          <w:szCs w:val="24"/>
        </w:rPr>
        <w:t>Tapentadol "Zentiva" er til oral anvendelse.</w:t>
      </w:r>
    </w:p>
    <w:p w14:paraId="6BAFC6DF" w14:textId="77777777" w:rsidR="00BF7489" w:rsidRDefault="00BF7489" w:rsidP="00BF7489">
      <w:pPr>
        <w:widowControl w:val="0"/>
        <w:ind w:left="851"/>
        <w:rPr>
          <w:sz w:val="24"/>
          <w:szCs w:val="24"/>
        </w:rPr>
      </w:pPr>
      <w:r>
        <w:rPr>
          <w:sz w:val="24"/>
          <w:szCs w:val="24"/>
        </w:rPr>
        <w:t>Depottabletten må ikke knuses eller tygges for at sikre, at egenskaberne ved depot</w:t>
      </w:r>
      <w:r>
        <w:rPr>
          <w:sz w:val="24"/>
          <w:szCs w:val="24"/>
        </w:rPr>
        <w:softHyphen/>
        <w:t>tabletterne bevares. Tapentadol "Zentiva" bør tages med rigelig væske.</w:t>
      </w:r>
    </w:p>
    <w:p w14:paraId="516D4E20" w14:textId="77777777" w:rsidR="00BF7489" w:rsidRDefault="00BF7489" w:rsidP="00BF7489">
      <w:pPr>
        <w:widowControl w:val="0"/>
        <w:ind w:left="851"/>
        <w:rPr>
          <w:sz w:val="24"/>
          <w:szCs w:val="24"/>
        </w:rPr>
      </w:pPr>
      <w:r>
        <w:rPr>
          <w:sz w:val="24"/>
          <w:szCs w:val="24"/>
        </w:rPr>
        <w:t>Tapentadol "Zentiva" kan tages med eller uden mad.</w:t>
      </w:r>
    </w:p>
    <w:p w14:paraId="695AF7DE" w14:textId="77777777" w:rsidR="00BF7489" w:rsidRDefault="00BF7489" w:rsidP="00BF7489">
      <w:pPr>
        <w:widowControl w:val="0"/>
        <w:ind w:left="851"/>
        <w:rPr>
          <w:sz w:val="24"/>
          <w:szCs w:val="24"/>
        </w:rPr>
      </w:pPr>
      <w:r>
        <w:rPr>
          <w:sz w:val="24"/>
          <w:szCs w:val="24"/>
        </w:rPr>
        <w:t xml:space="preserve">Tablettens skal (matrix) kan passere mave-tarm-systemet uden at blive fuldstændig </w:t>
      </w:r>
      <w:r>
        <w:rPr>
          <w:sz w:val="24"/>
          <w:szCs w:val="24"/>
        </w:rPr>
        <w:lastRenderedPageBreak/>
        <w:t>fordøjet og vil derfor kunne ses i patientens afføring. Dette har ingen klinisk relevans, da det aktive stof i tabletten allerede er blevet absorberet.</w:t>
      </w:r>
      <w:r>
        <w:rPr>
          <w:sz w:val="24"/>
          <w:szCs w:val="24"/>
        </w:rPr>
        <w:tab/>
      </w:r>
    </w:p>
    <w:p w14:paraId="61E3DC1C" w14:textId="77777777" w:rsidR="00BF7489" w:rsidRDefault="00BF7489" w:rsidP="00BF7489">
      <w:pPr>
        <w:tabs>
          <w:tab w:val="left" w:pos="851"/>
        </w:tabs>
        <w:ind w:left="851"/>
        <w:rPr>
          <w:sz w:val="24"/>
          <w:szCs w:val="24"/>
          <w:highlight w:val="yellow"/>
        </w:rPr>
      </w:pPr>
    </w:p>
    <w:p w14:paraId="57A8952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3368675" w14:textId="77777777" w:rsidR="00BF7489" w:rsidRDefault="00BF7489" w:rsidP="00BF7489">
      <w:pPr>
        <w:widowControl w:val="0"/>
        <w:numPr>
          <w:ilvl w:val="0"/>
          <w:numId w:val="6"/>
        </w:numPr>
        <w:tabs>
          <w:tab w:val="clear" w:pos="720"/>
          <w:tab w:val="num" w:pos="1276"/>
        </w:tabs>
        <w:snapToGrid w:val="0"/>
        <w:ind w:left="1276" w:hanging="425"/>
        <w:rPr>
          <w:sz w:val="24"/>
          <w:szCs w:val="24"/>
          <w:lang w:eastAsia="da-DK"/>
        </w:rPr>
      </w:pPr>
      <w:r>
        <w:rPr>
          <w:sz w:val="24"/>
          <w:szCs w:val="24"/>
        </w:rPr>
        <w:t>Overfølsomhed over for det aktive stof eller over for et eller flere af hjælpestofferne anført i pkt. 6.1.</w:t>
      </w:r>
    </w:p>
    <w:p w14:paraId="3DD12B51" w14:textId="77777777" w:rsidR="00BF7489" w:rsidRDefault="00BF7489" w:rsidP="00BF7489">
      <w:pPr>
        <w:widowControl w:val="0"/>
        <w:numPr>
          <w:ilvl w:val="0"/>
          <w:numId w:val="6"/>
        </w:numPr>
        <w:tabs>
          <w:tab w:val="clear" w:pos="720"/>
          <w:tab w:val="num" w:pos="1276"/>
        </w:tabs>
        <w:snapToGrid w:val="0"/>
        <w:ind w:left="1276" w:hanging="425"/>
        <w:rPr>
          <w:sz w:val="24"/>
          <w:szCs w:val="24"/>
        </w:rPr>
      </w:pPr>
      <w:r>
        <w:rPr>
          <w:sz w:val="24"/>
          <w:szCs w:val="24"/>
        </w:rPr>
        <w:t>I situationer hvor aktive stoffer med agonistisk virkning på µ-opioidreceptorer er kontraindiceret, dvs. hos patienter med betydelig respirationsdepression (i omgivelser uden monitorering eller ved fravær af genoplivningsudstyr), og patienter med akut eller alvorlig astmatisk bronkitis eller hyperkapni.</w:t>
      </w:r>
    </w:p>
    <w:p w14:paraId="1C77A316" w14:textId="77777777" w:rsidR="00BF7489" w:rsidRDefault="00BF7489" w:rsidP="00BF7489">
      <w:pPr>
        <w:widowControl w:val="0"/>
        <w:numPr>
          <w:ilvl w:val="0"/>
          <w:numId w:val="6"/>
        </w:numPr>
        <w:tabs>
          <w:tab w:val="clear" w:pos="720"/>
          <w:tab w:val="num" w:pos="1276"/>
        </w:tabs>
        <w:snapToGrid w:val="0"/>
        <w:ind w:left="1276" w:hanging="425"/>
        <w:rPr>
          <w:sz w:val="24"/>
          <w:szCs w:val="24"/>
        </w:rPr>
      </w:pPr>
      <w:r>
        <w:rPr>
          <w:sz w:val="24"/>
          <w:szCs w:val="24"/>
        </w:rPr>
        <w:t>Patienter der har eller er mistænkt for at have paralytisk ileus.</w:t>
      </w:r>
    </w:p>
    <w:p w14:paraId="34B8429B" w14:textId="77777777" w:rsidR="00BF7489" w:rsidRDefault="00BF7489" w:rsidP="00BF7489">
      <w:pPr>
        <w:widowControl w:val="0"/>
        <w:numPr>
          <w:ilvl w:val="0"/>
          <w:numId w:val="6"/>
        </w:numPr>
        <w:tabs>
          <w:tab w:val="clear" w:pos="720"/>
          <w:tab w:val="num" w:pos="1276"/>
        </w:tabs>
        <w:snapToGrid w:val="0"/>
        <w:ind w:left="1276" w:hanging="425"/>
        <w:rPr>
          <w:sz w:val="24"/>
          <w:szCs w:val="24"/>
        </w:rPr>
      </w:pPr>
      <w:r>
        <w:rPr>
          <w:sz w:val="24"/>
          <w:szCs w:val="24"/>
        </w:rPr>
        <w:t>Patienter med akut intoksikation med alkohol, hypnotika, analgetika med central virkning eller psykotrope aktive stoffer (se pkt. 4.5).</w:t>
      </w:r>
    </w:p>
    <w:p w14:paraId="5D5CE89D" w14:textId="77777777" w:rsidR="009260DE" w:rsidRPr="00C84483" w:rsidRDefault="009260DE" w:rsidP="009260DE">
      <w:pPr>
        <w:tabs>
          <w:tab w:val="left" w:pos="851"/>
        </w:tabs>
        <w:ind w:left="851"/>
        <w:rPr>
          <w:sz w:val="24"/>
          <w:szCs w:val="24"/>
        </w:rPr>
      </w:pPr>
    </w:p>
    <w:p w14:paraId="5054B14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EE13DFC" w14:textId="77777777" w:rsidR="00BF7489" w:rsidRDefault="00BF7489" w:rsidP="00BF7489">
      <w:pPr>
        <w:widowControl w:val="0"/>
        <w:ind w:left="851"/>
        <w:rPr>
          <w:i/>
          <w:sz w:val="24"/>
          <w:szCs w:val="24"/>
        </w:rPr>
      </w:pPr>
    </w:p>
    <w:p w14:paraId="52DCDECF" w14:textId="725C6D7D" w:rsidR="00BF7489" w:rsidRDefault="00BF7489" w:rsidP="00BF7489">
      <w:pPr>
        <w:widowControl w:val="0"/>
        <w:ind w:left="851"/>
        <w:rPr>
          <w:i/>
          <w:sz w:val="24"/>
          <w:szCs w:val="24"/>
          <w:lang w:eastAsia="da-DK"/>
        </w:rPr>
      </w:pPr>
      <w:r>
        <w:rPr>
          <w:i/>
          <w:sz w:val="24"/>
          <w:szCs w:val="24"/>
        </w:rPr>
        <w:t>Tolerance og Opioid Use Disorder (misbrug og afhængighed)</w:t>
      </w:r>
    </w:p>
    <w:p w14:paraId="7E5C9778" w14:textId="77777777" w:rsidR="00BF7489" w:rsidRDefault="00BF7489" w:rsidP="00BF7489">
      <w:pPr>
        <w:ind w:left="851"/>
        <w:rPr>
          <w:sz w:val="24"/>
          <w:szCs w:val="24"/>
        </w:rPr>
      </w:pPr>
      <w:r>
        <w:rPr>
          <w:sz w:val="24"/>
          <w:szCs w:val="24"/>
        </w:rPr>
        <w:t xml:space="preserve">Tolerance, fysisk og psykologisk afhængighed og </w:t>
      </w:r>
      <w:bookmarkStart w:id="6" w:name="_Hlk114738316"/>
      <w:r>
        <w:rPr>
          <w:i/>
          <w:sz w:val="24"/>
          <w:szCs w:val="24"/>
        </w:rPr>
        <w:t>Opioid Use Disorder</w:t>
      </w:r>
      <w:r>
        <w:rPr>
          <w:sz w:val="24"/>
          <w:szCs w:val="24"/>
        </w:rPr>
        <w:t xml:space="preserve"> </w:t>
      </w:r>
      <w:bookmarkEnd w:id="6"/>
      <w:r>
        <w:rPr>
          <w:sz w:val="24"/>
          <w:szCs w:val="24"/>
        </w:rPr>
        <w:t xml:space="preserve">(OUD) kan udvikles ved gentagen administration af opioider. Misbrug eller bevidst forkert brug af opioider kan resultere i overdosering og/eller dødsfald. Risikoen for at udvikle OUD er forøget hos patienter med en personlig eller familiær anamnese (forældre eller søskende) med misbrugsrelaterede lidelser (herunder alkoholmisbrug), hos nuværende tobaksrygere eller hos patienter med en personlig anamnese med andre psykiske sygdomme (f.eks. svær depression, angst og personlighedsforstyrrelser). </w:t>
      </w:r>
    </w:p>
    <w:p w14:paraId="412BC27E" w14:textId="77777777" w:rsidR="00BF7489" w:rsidRDefault="00BF7489" w:rsidP="00BF7489">
      <w:pPr>
        <w:ind w:left="851"/>
        <w:rPr>
          <w:rFonts w:eastAsia="SimSun"/>
          <w:sz w:val="24"/>
          <w:szCs w:val="24"/>
        </w:rPr>
      </w:pPr>
      <w:r>
        <w:rPr>
          <w:sz w:val="24"/>
          <w:szCs w:val="24"/>
        </w:rPr>
        <w:t>Patienter skal monitoreres for tegn på lægemiddelsøgende adfærd (f.eks. beder om ny recept for tidligt). Dette omfatter gennemgang af samtidige opioider og psykoaktive stoffer (som benzodiazepiner). For patienter med tegn og symptomer på OUD bør konsultation med en afhængighedsspecialist overvejes.</w:t>
      </w:r>
    </w:p>
    <w:p w14:paraId="46D124D4" w14:textId="77777777" w:rsidR="00BF7489" w:rsidRDefault="00BF7489" w:rsidP="00BF7489">
      <w:pPr>
        <w:ind w:left="851"/>
        <w:rPr>
          <w:rFonts w:eastAsia="SimSun"/>
          <w:sz w:val="24"/>
          <w:szCs w:val="24"/>
        </w:rPr>
      </w:pPr>
    </w:p>
    <w:p w14:paraId="607EB6AD" w14:textId="77777777" w:rsidR="00BF7489" w:rsidRDefault="00BF7489" w:rsidP="00BF7489">
      <w:pPr>
        <w:ind w:left="851"/>
        <w:rPr>
          <w:rFonts w:eastAsia="SimSun"/>
          <w:i/>
          <w:sz w:val="24"/>
          <w:szCs w:val="24"/>
        </w:rPr>
      </w:pPr>
      <w:r>
        <w:rPr>
          <w:rFonts w:eastAsia="SimSun"/>
          <w:i/>
          <w:sz w:val="24"/>
          <w:szCs w:val="24"/>
        </w:rPr>
        <w:t>Risiko ved samtidig brug af sedative lægemidler herunder benzodiazepiner eller lignende lægemidler</w:t>
      </w:r>
    </w:p>
    <w:p w14:paraId="7832E6A2" w14:textId="77777777" w:rsidR="00BF7489" w:rsidRDefault="00BF7489" w:rsidP="00BF7489">
      <w:pPr>
        <w:ind w:left="851"/>
        <w:rPr>
          <w:rFonts w:eastAsia="SimSun"/>
          <w:sz w:val="24"/>
          <w:szCs w:val="24"/>
        </w:rPr>
      </w:pPr>
      <w:r>
        <w:rPr>
          <w:rFonts w:eastAsia="SimSun"/>
          <w:sz w:val="24"/>
          <w:szCs w:val="24"/>
        </w:rPr>
        <w:t xml:space="preserve">Samtidig brug af </w:t>
      </w:r>
      <w:r>
        <w:rPr>
          <w:sz w:val="24"/>
          <w:szCs w:val="24"/>
        </w:rPr>
        <w:t xml:space="preserve">Tapentadol "Zentiva" </w:t>
      </w:r>
      <w:r>
        <w:rPr>
          <w:rFonts w:eastAsia="SimSun"/>
          <w:sz w:val="24"/>
          <w:szCs w:val="24"/>
        </w:rPr>
        <w:t xml:space="preserve">og sedative lægemidler, herunder benzodiazepiner eller lignende lægemidler, kan føre til sedation, respirationsdepression, koma og død. På grund af disse risici bør samtidig ordinering af sedative lægemidler forbeholdes patienter, som ikke har alternative behandlingsmuligheder. Hvis det besluttes at ordinere </w:t>
      </w:r>
      <w:r>
        <w:rPr>
          <w:sz w:val="24"/>
          <w:szCs w:val="24"/>
        </w:rPr>
        <w:t xml:space="preserve">Tapentadol "Zentiva" </w:t>
      </w:r>
      <w:r>
        <w:rPr>
          <w:rFonts w:eastAsia="SimSun"/>
          <w:sz w:val="24"/>
          <w:szCs w:val="24"/>
        </w:rPr>
        <w:t>samtidig med sedative lægemidler, bør en reduktion af dosen for et eller begge lægemidler overvejes, og varigheden af den samtidige behandling skal være så kort som muligt.</w:t>
      </w:r>
    </w:p>
    <w:p w14:paraId="53C6C23F" w14:textId="77777777" w:rsidR="00BF7489" w:rsidRDefault="00BF7489" w:rsidP="00BF7489">
      <w:pPr>
        <w:ind w:left="851"/>
        <w:rPr>
          <w:rFonts w:eastAsia="SimSun"/>
          <w:sz w:val="24"/>
          <w:szCs w:val="24"/>
        </w:rPr>
      </w:pPr>
    </w:p>
    <w:p w14:paraId="0B16CC39" w14:textId="77777777" w:rsidR="00BF7489" w:rsidRDefault="00BF7489" w:rsidP="00BF7489">
      <w:pPr>
        <w:ind w:left="851"/>
        <w:rPr>
          <w:rFonts w:eastAsia="SimSun"/>
          <w:sz w:val="24"/>
          <w:szCs w:val="24"/>
        </w:rPr>
      </w:pPr>
      <w:r>
        <w:rPr>
          <w:rFonts w:eastAsia="SimSun"/>
          <w:sz w:val="24"/>
          <w:szCs w:val="24"/>
        </w:rPr>
        <w:t>Patienterne skal overvåges nøje for tegn og symptomer på respirationsdepression og sedation. I denne henseende anbefales det på det kraftigste at informere patienter og omsorgspersoner om at være opmærksomme på disse symptomer (se pkt. 4.5).</w:t>
      </w:r>
    </w:p>
    <w:p w14:paraId="04A55850" w14:textId="77777777" w:rsidR="00BF7489" w:rsidRDefault="00BF7489" w:rsidP="00BF7489">
      <w:pPr>
        <w:widowControl w:val="0"/>
        <w:ind w:left="851"/>
        <w:rPr>
          <w:sz w:val="24"/>
          <w:szCs w:val="24"/>
        </w:rPr>
      </w:pPr>
    </w:p>
    <w:p w14:paraId="5639B1FA" w14:textId="77777777" w:rsidR="00BF7489" w:rsidRDefault="00BF7489" w:rsidP="00BF7489">
      <w:pPr>
        <w:widowControl w:val="0"/>
        <w:ind w:left="851"/>
        <w:rPr>
          <w:i/>
          <w:sz w:val="24"/>
          <w:szCs w:val="24"/>
        </w:rPr>
      </w:pPr>
      <w:r>
        <w:rPr>
          <w:i/>
          <w:sz w:val="24"/>
          <w:szCs w:val="24"/>
        </w:rPr>
        <w:t>Respirationsdepression</w:t>
      </w:r>
    </w:p>
    <w:p w14:paraId="7E6DB782" w14:textId="77777777" w:rsidR="00BF7489" w:rsidRDefault="00BF7489" w:rsidP="00BF7489">
      <w:pPr>
        <w:widowControl w:val="0"/>
        <w:ind w:left="851"/>
        <w:rPr>
          <w:sz w:val="24"/>
          <w:szCs w:val="24"/>
        </w:rPr>
      </w:pPr>
      <w:r>
        <w:rPr>
          <w:sz w:val="24"/>
          <w:szCs w:val="24"/>
        </w:rPr>
        <w:t>Tapentadol "Zentiva" kan give dosisrelateret respirationsdepression i høje doser eller hos patienter, der er særlig følsomme over for µ-opioidreceptoragonister. Derfor skal Tapentadol "Zentiva" anvendes med forsigtighed til patienter med nedsat åndedrætsfunktion. Andre former for analgetika end µ-opioidreceptoragonister bør overvejes, og Tapentadol "Zentiva" må kun anvendes under tæt lægetilsyn og i den laveste virksomme dosis hos disse patienter. I tilfælde af respirationsdepression skal det behandles som alle andre tilfælde af respirations</w:t>
      </w:r>
      <w:r>
        <w:rPr>
          <w:sz w:val="24"/>
          <w:szCs w:val="24"/>
        </w:rPr>
        <w:softHyphen/>
        <w:t xml:space="preserve">depression, der skyldes en µ-opioidreceptoragonist </w:t>
      </w:r>
      <w:r>
        <w:rPr>
          <w:sz w:val="24"/>
          <w:szCs w:val="24"/>
        </w:rPr>
        <w:lastRenderedPageBreak/>
        <w:t>(se pkt. 4.9).</w:t>
      </w:r>
    </w:p>
    <w:p w14:paraId="5225E173" w14:textId="77777777" w:rsidR="00BF7489" w:rsidRDefault="00BF7489" w:rsidP="00BF7489">
      <w:pPr>
        <w:widowControl w:val="0"/>
        <w:ind w:left="851"/>
        <w:rPr>
          <w:i/>
          <w:sz w:val="24"/>
          <w:szCs w:val="24"/>
        </w:rPr>
      </w:pPr>
    </w:p>
    <w:p w14:paraId="1246CFEC" w14:textId="77777777" w:rsidR="00BF7489" w:rsidRDefault="00BF7489" w:rsidP="00BF7489">
      <w:pPr>
        <w:widowControl w:val="0"/>
        <w:ind w:left="851"/>
        <w:rPr>
          <w:i/>
          <w:sz w:val="24"/>
          <w:szCs w:val="24"/>
        </w:rPr>
      </w:pPr>
      <w:r>
        <w:rPr>
          <w:i/>
          <w:sz w:val="24"/>
          <w:szCs w:val="24"/>
        </w:rPr>
        <w:t>Kranietraume og forhøjet intrakranielt tryk</w:t>
      </w:r>
    </w:p>
    <w:p w14:paraId="41A34DBA" w14:textId="77777777" w:rsidR="00BF7489" w:rsidRDefault="00BF7489" w:rsidP="00BF7489">
      <w:pPr>
        <w:widowControl w:val="0"/>
        <w:ind w:left="851"/>
        <w:rPr>
          <w:sz w:val="24"/>
          <w:szCs w:val="24"/>
        </w:rPr>
      </w:pPr>
      <w:r>
        <w:rPr>
          <w:sz w:val="24"/>
          <w:szCs w:val="24"/>
        </w:rPr>
        <w:t>Tapentadol "Zentiva" må ikke anvendes til patienter, som kan være særligt følsomme over for de intrakranielle virkninger af CO</w:t>
      </w:r>
      <w:r>
        <w:rPr>
          <w:sz w:val="24"/>
          <w:szCs w:val="24"/>
          <w:vertAlign w:val="subscript"/>
        </w:rPr>
        <w:t>2</w:t>
      </w:r>
      <w:r>
        <w:rPr>
          <w:sz w:val="24"/>
          <w:szCs w:val="24"/>
        </w:rPr>
        <w:t>-retention såsom patienter med tegn på øget intrakranielt tryk, nedsat bevidsthedsniveau eller koma. Analgetika med agonistisk virkning på µ-opioidreceptorer kan skjule det kliniske forløb hos patienter med kranietraumer. Tapentadol "Zentiva" bør anvendes med forsigtighed til patienter med kranietraumer og hjernetumorer.</w:t>
      </w:r>
    </w:p>
    <w:p w14:paraId="30E9ACDE" w14:textId="77777777" w:rsidR="00BF7489" w:rsidRDefault="00BF7489" w:rsidP="00BF7489">
      <w:pPr>
        <w:widowControl w:val="0"/>
        <w:ind w:left="851"/>
        <w:rPr>
          <w:sz w:val="24"/>
          <w:szCs w:val="24"/>
        </w:rPr>
      </w:pPr>
    </w:p>
    <w:p w14:paraId="0F998164" w14:textId="77777777" w:rsidR="00BF7489" w:rsidRDefault="00BF7489" w:rsidP="00BF7489">
      <w:pPr>
        <w:widowControl w:val="0"/>
        <w:ind w:left="851"/>
        <w:rPr>
          <w:i/>
          <w:sz w:val="24"/>
          <w:szCs w:val="24"/>
        </w:rPr>
      </w:pPr>
      <w:r>
        <w:rPr>
          <w:i/>
          <w:sz w:val="24"/>
          <w:szCs w:val="24"/>
        </w:rPr>
        <w:t>Krampeanfald</w:t>
      </w:r>
    </w:p>
    <w:p w14:paraId="0F058A69" w14:textId="77777777" w:rsidR="00BF7489" w:rsidRDefault="00BF7489" w:rsidP="00BF7489">
      <w:pPr>
        <w:widowControl w:val="0"/>
        <w:ind w:left="851"/>
        <w:rPr>
          <w:sz w:val="24"/>
          <w:szCs w:val="24"/>
        </w:rPr>
      </w:pPr>
      <w:r>
        <w:rPr>
          <w:sz w:val="24"/>
          <w:szCs w:val="24"/>
        </w:rPr>
        <w:t xml:space="preserve">Tapentadol som depottabletter er ikke evalueret systematisk hos patienter med krampeanfald, og disse patienter var ekskluderet fra kliniske studier. Som andre analgetika med µ-opioidagonistisk virkning bør Tapentadol "Zentiva" ikke anvendes til patienter med krampeanfald i anamnesen eller lidelser, der indebærer en risiko for krampeanfald.  Desuden kan </w:t>
      </w:r>
      <w:r>
        <w:rPr>
          <w:spacing w:val="-3"/>
          <w:sz w:val="24"/>
          <w:szCs w:val="24"/>
        </w:rPr>
        <w:t>tapentadol øge risikoen for krampeanfald hos patienter, der tager andre lægemidler, som sænker krampetærsklen (se pkt. 4.5).</w:t>
      </w:r>
    </w:p>
    <w:p w14:paraId="629B90A5" w14:textId="77777777" w:rsidR="00BF7489" w:rsidRDefault="00BF7489" w:rsidP="00BF7489">
      <w:pPr>
        <w:widowControl w:val="0"/>
        <w:ind w:left="851"/>
        <w:rPr>
          <w:sz w:val="24"/>
          <w:szCs w:val="24"/>
        </w:rPr>
      </w:pPr>
    </w:p>
    <w:p w14:paraId="0508F41E" w14:textId="77777777" w:rsidR="00BF7489" w:rsidRDefault="00BF7489" w:rsidP="00BF7489">
      <w:pPr>
        <w:ind w:left="851"/>
        <w:rPr>
          <w:i/>
          <w:sz w:val="24"/>
          <w:szCs w:val="24"/>
        </w:rPr>
      </w:pPr>
      <w:r>
        <w:rPr>
          <w:i/>
          <w:sz w:val="24"/>
          <w:szCs w:val="24"/>
        </w:rPr>
        <w:t>Nedsat nyrefunktion</w:t>
      </w:r>
    </w:p>
    <w:p w14:paraId="4389E523" w14:textId="77777777" w:rsidR="00BF7489" w:rsidRDefault="00BF7489" w:rsidP="00BF7489">
      <w:pPr>
        <w:ind w:left="851"/>
        <w:rPr>
          <w:sz w:val="24"/>
          <w:szCs w:val="24"/>
        </w:rPr>
      </w:pPr>
      <w:r>
        <w:rPr>
          <w:sz w:val="24"/>
          <w:szCs w:val="24"/>
        </w:rPr>
        <w:t>Der er ikke udført kontrollerede effektundersøgelser med tapentadol som depottabletter hos patienter med svært nedsat nyrefunktion, og præparatet bør derfor ikke anvendes til denne population (se pkt. 4.2 og 5.2).</w:t>
      </w:r>
    </w:p>
    <w:p w14:paraId="1C283912" w14:textId="77777777" w:rsidR="00BF7489" w:rsidRDefault="00BF7489" w:rsidP="00BF7489">
      <w:pPr>
        <w:ind w:left="851"/>
        <w:rPr>
          <w:sz w:val="24"/>
          <w:szCs w:val="24"/>
        </w:rPr>
      </w:pPr>
    </w:p>
    <w:p w14:paraId="4E223AB5" w14:textId="77777777" w:rsidR="00BF7489" w:rsidRDefault="00BF7489" w:rsidP="00BF7489">
      <w:pPr>
        <w:ind w:left="851"/>
        <w:rPr>
          <w:i/>
          <w:sz w:val="24"/>
          <w:szCs w:val="24"/>
        </w:rPr>
      </w:pPr>
      <w:r>
        <w:rPr>
          <w:i/>
          <w:sz w:val="24"/>
          <w:szCs w:val="24"/>
        </w:rPr>
        <w:t>Nedsat leverfunktion</w:t>
      </w:r>
    </w:p>
    <w:p w14:paraId="1233236C" w14:textId="77777777" w:rsidR="00BF7489" w:rsidRDefault="00BF7489" w:rsidP="00BF7489">
      <w:pPr>
        <w:ind w:left="851"/>
        <w:rPr>
          <w:sz w:val="24"/>
          <w:szCs w:val="24"/>
        </w:rPr>
      </w:pPr>
      <w:r>
        <w:rPr>
          <w:sz w:val="24"/>
          <w:szCs w:val="24"/>
        </w:rPr>
        <w:t>Forsøgspersoner med let og moderat nedsat leverfunktion viste henholdsvis 2 gange og 4,5 gange stigning i systemisk eksponering sammenlignet med personer med normal leverfunktion. Tapentadol "Zentiva" bør anvendes med forsigtighed til patienter med moderat nedsat leverfunktion (se pkt. 4.2 og 5.2), særligt ved initiering af behandling.</w:t>
      </w:r>
    </w:p>
    <w:p w14:paraId="4EE2AEC4" w14:textId="77777777" w:rsidR="00BF7489" w:rsidRDefault="00BF7489" w:rsidP="00BF7489">
      <w:pPr>
        <w:ind w:left="851"/>
        <w:rPr>
          <w:sz w:val="24"/>
          <w:szCs w:val="24"/>
        </w:rPr>
      </w:pPr>
      <w:r>
        <w:rPr>
          <w:sz w:val="24"/>
          <w:szCs w:val="24"/>
        </w:rPr>
        <w:t>Tapentadol som depottabletter er ikke undersøgt hos patienter med svært nedsat leverfunktion, og præparatet bør derfor ikke anvendes til denne population (se pkt. 4.2 og 5.2).</w:t>
      </w:r>
    </w:p>
    <w:p w14:paraId="69576872" w14:textId="77777777" w:rsidR="00BF7489" w:rsidRDefault="00BF7489" w:rsidP="00BF7489">
      <w:pPr>
        <w:ind w:left="851"/>
        <w:rPr>
          <w:sz w:val="24"/>
          <w:szCs w:val="24"/>
        </w:rPr>
      </w:pPr>
    </w:p>
    <w:p w14:paraId="594ED60C" w14:textId="77777777" w:rsidR="00BF7489" w:rsidRDefault="00BF7489" w:rsidP="00BF7489">
      <w:pPr>
        <w:ind w:left="851"/>
        <w:rPr>
          <w:i/>
          <w:sz w:val="24"/>
          <w:szCs w:val="24"/>
        </w:rPr>
      </w:pPr>
      <w:r>
        <w:rPr>
          <w:i/>
          <w:sz w:val="24"/>
          <w:szCs w:val="24"/>
        </w:rPr>
        <w:t>Anvendelse ved sygdom i pankreas/galdeveje</w:t>
      </w:r>
    </w:p>
    <w:p w14:paraId="40767522" w14:textId="77777777" w:rsidR="00BF7489" w:rsidRDefault="00BF7489" w:rsidP="00BF7489">
      <w:pPr>
        <w:ind w:left="851"/>
        <w:rPr>
          <w:sz w:val="24"/>
          <w:szCs w:val="24"/>
        </w:rPr>
      </w:pPr>
      <w:r>
        <w:rPr>
          <w:sz w:val="24"/>
          <w:szCs w:val="24"/>
        </w:rPr>
        <w:t>Aktive stoffer med µ-opioidreceptoragonistisk virkning kan give spasmer i sphincter Oddi. Tapentadol "Zentiva" bør anvendes med forsigtighed til patienter med sygdom i galdevejene, herunder akut pankreatitis.</w:t>
      </w:r>
    </w:p>
    <w:p w14:paraId="1B786CF9" w14:textId="77777777" w:rsidR="00BF7489" w:rsidRDefault="00BF7489" w:rsidP="00BF7489">
      <w:pPr>
        <w:ind w:left="851"/>
        <w:rPr>
          <w:sz w:val="24"/>
          <w:szCs w:val="24"/>
        </w:rPr>
      </w:pPr>
    </w:p>
    <w:p w14:paraId="75F95B34" w14:textId="77777777" w:rsidR="00BF7489" w:rsidRDefault="00BF7489" w:rsidP="00BF7489">
      <w:pPr>
        <w:ind w:left="851"/>
        <w:rPr>
          <w:i/>
          <w:sz w:val="24"/>
          <w:szCs w:val="24"/>
        </w:rPr>
      </w:pPr>
      <w:r>
        <w:rPr>
          <w:i/>
          <w:sz w:val="24"/>
          <w:szCs w:val="24"/>
        </w:rPr>
        <w:t>Søvnrelaterede vejrtrækningsforstyrrelser</w:t>
      </w:r>
    </w:p>
    <w:p w14:paraId="7A2CD66B" w14:textId="77777777" w:rsidR="00BF7489" w:rsidRDefault="00BF7489" w:rsidP="00BF7489">
      <w:pPr>
        <w:ind w:left="851"/>
        <w:rPr>
          <w:sz w:val="24"/>
          <w:szCs w:val="24"/>
        </w:rPr>
      </w:pPr>
      <w:r>
        <w:rPr>
          <w:sz w:val="24"/>
          <w:szCs w:val="24"/>
        </w:rPr>
        <w:t>Opioider kan forårsage søvnrelaterede vejrtrækningsforstyrrelser, herunder central søvnapnø (CSA) og søvnrelateret hypoxæmi. Brug af opioider øger dosisafhængigt risikoen for CSA. Det bør overvejes at sænke den totale opioiddosis hos patienter med CSA.</w:t>
      </w:r>
    </w:p>
    <w:p w14:paraId="252AC2E1" w14:textId="77777777" w:rsidR="00BF7489" w:rsidRDefault="00BF7489" w:rsidP="00BF7489">
      <w:pPr>
        <w:ind w:left="851"/>
        <w:rPr>
          <w:sz w:val="24"/>
          <w:szCs w:val="24"/>
        </w:rPr>
      </w:pPr>
    </w:p>
    <w:p w14:paraId="7482FCE3" w14:textId="77777777" w:rsidR="00BF7489" w:rsidRDefault="00BF7489" w:rsidP="00BF7489">
      <w:pPr>
        <w:ind w:left="851"/>
        <w:rPr>
          <w:i/>
          <w:sz w:val="24"/>
          <w:szCs w:val="24"/>
        </w:rPr>
      </w:pPr>
      <w:r>
        <w:rPr>
          <w:i/>
          <w:sz w:val="24"/>
          <w:szCs w:val="24"/>
        </w:rPr>
        <w:t>Blandede opioidagonister/-antagonister</w:t>
      </w:r>
    </w:p>
    <w:p w14:paraId="602C97C9" w14:textId="77777777" w:rsidR="00BF7489" w:rsidRDefault="00BF7489" w:rsidP="00BF7489">
      <w:pPr>
        <w:ind w:left="851"/>
        <w:rPr>
          <w:sz w:val="24"/>
          <w:szCs w:val="24"/>
        </w:rPr>
      </w:pPr>
      <w:r>
        <w:rPr>
          <w:sz w:val="24"/>
          <w:szCs w:val="24"/>
        </w:rPr>
        <w:t xml:space="preserve">Der bør udvises forsigtighed ved kombination af Tapentadol "Zentiva" med blandede µ-opioidagonister/-antagonister (f.eks. pentazocin, nalbuphin) eller partielle µ-opioidagonister (f.eks. buprenorphin). Hos patienter, der får vedligeholdelsesdoser af buprenorphin til behandling af opioidafhængighed, bør andre behandlingsmuligheder overvejes (såsom f.eks. midlertidig seponering af buprenorphin), hvis der opstår behov for administration af fulde µ-agonister (som tapentadol) ved akutte smerter. Der er rapporteret om behov for øget dosering af fulde µ-receptoragonister efter kombination med </w:t>
      </w:r>
      <w:r>
        <w:rPr>
          <w:sz w:val="24"/>
          <w:szCs w:val="24"/>
        </w:rPr>
        <w:lastRenderedPageBreak/>
        <w:t>buprenorphin, og patienten skal monitoreres nøje for bivirkninger såsom respirationsdepression under sådanne omstændigheder.</w:t>
      </w:r>
    </w:p>
    <w:p w14:paraId="06E8D882" w14:textId="77777777" w:rsidR="009260DE" w:rsidRPr="00C84483" w:rsidRDefault="009260DE" w:rsidP="009260DE">
      <w:pPr>
        <w:tabs>
          <w:tab w:val="left" w:pos="851"/>
        </w:tabs>
        <w:ind w:left="851"/>
        <w:rPr>
          <w:sz w:val="24"/>
          <w:szCs w:val="24"/>
        </w:rPr>
      </w:pPr>
    </w:p>
    <w:p w14:paraId="2DC69EB0"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8AA1E0F" w14:textId="77777777" w:rsidR="00540B03" w:rsidRDefault="00540B03" w:rsidP="00540B03">
      <w:pPr>
        <w:ind w:left="851"/>
        <w:rPr>
          <w:sz w:val="24"/>
          <w:szCs w:val="24"/>
        </w:rPr>
      </w:pPr>
    </w:p>
    <w:p w14:paraId="415012B2" w14:textId="77777777" w:rsidR="00540B03" w:rsidRDefault="00540B03" w:rsidP="00540B03">
      <w:pPr>
        <w:ind w:left="851"/>
        <w:rPr>
          <w:i/>
          <w:sz w:val="24"/>
          <w:szCs w:val="24"/>
          <w:lang w:eastAsia="da-DK"/>
        </w:rPr>
      </w:pPr>
      <w:r>
        <w:rPr>
          <w:i/>
          <w:sz w:val="24"/>
          <w:szCs w:val="24"/>
        </w:rPr>
        <w:t>Centralt virkende lægemidler/CNS (centralnervesystem) -undertrykkende lægemidler, herunder alkohol og CNS-undertrykkende narkotiske stoffer</w:t>
      </w:r>
    </w:p>
    <w:p w14:paraId="37EA0A0F" w14:textId="77777777" w:rsidR="00540B03" w:rsidRDefault="00540B03" w:rsidP="00540B03">
      <w:pPr>
        <w:ind w:left="851"/>
        <w:rPr>
          <w:sz w:val="24"/>
          <w:szCs w:val="24"/>
        </w:rPr>
      </w:pPr>
      <w:r>
        <w:rPr>
          <w:sz w:val="24"/>
          <w:szCs w:val="24"/>
        </w:rPr>
        <w:t>Samtidig brug af Tapentadol "Zentiva" med sedativa såsom benzodiazepiner eller andre respiratorisk- eller CNS-hæmmende lægemidler (andre opioider, antitussive midler eller substitutionsbehandlinger, barbiturater, antipsykotika, H</w:t>
      </w:r>
      <w:r>
        <w:rPr>
          <w:sz w:val="24"/>
          <w:szCs w:val="24"/>
          <w:vertAlign w:val="subscript"/>
        </w:rPr>
        <w:t>1</w:t>
      </w:r>
      <w:r>
        <w:rPr>
          <w:sz w:val="24"/>
          <w:szCs w:val="24"/>
        </w:rPr>
        <w:t>-antihistaminer, alkohol) øger risikoen for sedation, respirationsdepression, koma og død på grund af den additive CNS-hæmmende virkning. Når en kombinationsbehandling med Tapentadol "Zentiva" og et respiratorisk- eller CNS-hæmmende lægemiddel tages i betragtning, bør reduktion af dosis for et eller begge lægemidler derfor overvejes og varigheden af samtidig brug bør begrænses (se pkt. 4.4). Samtidig brug af opioider og gabapentinoider (gabapentin og pregabalin) øger risikoen for opioidoverdosering, respirationsdepression og død.</w:t>
      </w:r>
    </w:p>
    <w:p w14:paraId="2890C1A9" w14:textId="77777777" w:rsidR="00540B03" w:rsidRDefault="00540B03" w:rsidP="00540B03">
      <w:pPr>
        <w:ind w:left="851"/>
        <w:rPr>
          <w:sz w:val="24"/>
          <w:szCs w:val="24"/>
        </w:rPr>
      </w:pPr>
    </w:p>
    <w:p w14:paraId="54622C90" w14:textId="77777777" w:rsidR="00540B03" w:rsidRDefault="00540B03" w:rsidP="00540B03">
      <w:pPr>
        <w:ind w:left="851"/>
        <w:rPr>
          <w:i/>
          <w:sz w:val="24"/>
          <w:szCs w:val="24"/>
        </w:rPr>
      </w:pPr>
      <w:r>
        <w:rPr>
          <w:i/>
          <w:sz w:val="24"/>
          <w:szCs w:val="24"/>
        </w:rPr>
        <w:t>Blandede opioidagonister/-antagonister</w:t>
      </w:r>
    </w:p>
    <w:p w14:paraId="555464AE" w14:textId="77777777" w:rsidR="00540B03" w:rsidRDefault="00540B03" w:rsidP="00540B03">
      <w:pPr>
        <w:ind w:left="851"/>
        <w:rPr>
          <w:sz w:val="24"/>
          <w:szCs w:val="24"/>
        </w:rPr>
      </w:pPr>
      <w:r>
        <w:rPr>
          <w:sz w:val="24"/>
          <w:szCs w:val="24"/>
        </w:rPr>
        <w:t>Der bør udvises forsigtighed ved kombination af Tapentadol "Zentiva" med blandede µ-opioidagonister/</w:t>
      </w:r>
      <w:r>
        <w:rPr>
          <w:sz w:val="24"/>
          <w:szCs w:val="24"/>
        </w:rPr>
        <w:noBreakHyphen/>
        <w:t>antagonister (f.eks. pentazocin, nalbuphin) eller partielle µ-opioidagonister (f.eks. buprenorphin) (se også pkt. 4.4).</w:t>
      </w:r>
    </w:p>
    <w:p w14:paraId="21A75548" w14:textId="77777777" w:rsidR="00540B03" w:rsidRDefault="00540B03" w:rsidP="00540B03">
      <w:pPr>
        <w:ind w:left="851"/>
        <w:rPr>
          <w:sz w:val="24"/>
          <w:szCs w:val="24"/>
        </w:rPr>
      </w:pPr>
    </w:p>
    <w:p w14:paraId="2B7F7E7A" w14:textId="77777777" w:rsidR="00540B03" w:rsidRDefault="00540B03" w:rsidP="00540B03">
      <w:pPr>
        <w:ind w:left="851"/>
        <w:rPr>
          <w:spacing w:val="-3"/>
          <w:sz w:val="24"/>
          <w:szCs w:val="24"/>
        </w:rPr>
      </w:pPr>
      <w:r>
        <w:rPr>
          <w:sz w:val="24"/>
          <w:szCs w:val="24"/>
        </w:rPr>
        <w:t>Tapentadol "Zentiva" kan forårsage krampeanfald og øge potentialet for selektive serotoningenoptagshæmmere (SSRI), serotonin-noradrenalingenoptagshæmmere (SNRI), tricykliske antidepressiva, antipsykotika og andre lægemidler, der sænker krampetærsklen til at forårsage kramper.</w:t>
      </w:r>
    </w:p>
    <w:p w14:paraId="5523E78F" w14:textId="77777777" w:rsidR="00540B03" w:rsidRDefault="00540B03" w:rsidP="00540B03">
      <w:pPr>
        <w:ind w:left="851"/>
        <w:rPr>
          <w:sz w:val="24"/>
          <w:szCs w:val="24"/>
        </w:rPr>
      </w:pPr>
    </w:p>
    <w:p w14:paraId="5D773F99" w14:textId="77777777" w:rsidR="00540B03" w:rsidRDefault="00540B03" w:rsidP="00540B03">
      <w:pPr>
        <w:pStyle w:val="Brdtekstindrykning"/>
        <w:rPr>
          <w:b w:val="0"/>
          <w:szCs w:val="24"/>
        </w:rPr>
      </w:pPr>
      <w:r>
        <w:rPr>
          <w:b w:val="0"/>
          <w:szCs w:val="24"/>
        </w:rPr>
        <w:t>Tilfælde af serotoninsyndrom er rapporteret, tidsmæssigt sammenfaldende med terapeutisk brug af tapentadol kombineret med serotonerge lægemidler såsom selektive serotoningenoptagshæmmere (SSRI), serotonin-noradrenalingenoptagshæmmere (SNRI) og tricykliske antidepressiva.</w:t>
      </w:r>
    </w:p>
    <w:p w14:paraId="42CFCAF1" w14:textId="77777777" w:rsidR="00540B03" w:rsidRDefault="00540B03" w:rsidP="00540B03">
      <w:pPr>
        <w:pStyle w:val="Brdtekstindrykning"/>
        <w:rPr>
          <w:b w:val="0"/>
          <w:szCs w:val="24"/>
        </w:rPr>
      </w:pPr>
    </w:p>
    <w:p w14:paraId="38A94AC8" w14:textId="77777777" w:rsidR="00540B03" w:rsidRDefault="00540B03" w:rsidP="00540B03">
      <w:pPr>
        <w:pStyle w:val="Brdtekstindrykning"/>
        <w:rPr>
          <w:b w:val="0"/>
          <w:szCs w:val="24"/>
        </w:rPr>
      </w:pPr>
      <w:r>
        <w:rPr>
          <w:b w:val="0"/>
          <w:szCs w:val="24"/>
        </w:rPr>
        <w:t>Serotoninsyndrom er sandsynligt, når et af følgende er observeret:</w:t>
      </w:r>
    </w:p>
    <w:p w14:paraId="51A69C38" w14:textId="77777777" w:rsidR="00540B03" w:rsidRDefault="00540B03" w:rsidP="00540B03">
      <w:pPr>
        <w:pStyle w:val="Brdtekstindrykning"/>
        <w:numPr>
          <w:ilvl w:val="0"/>
          <w:numId w:val="7"/>
        </w:numPr>
        <w:ind w:left="1134" w:hanging="283"/>
        <w:rPr>
          <w:b w:val="0"/>
          <w:szCs w:val="24"/>
        </w:rPr>
      </w:pPr>
      <w:r>
        <w:rPr>
          <w:b w:val="0"/>
          <w:szCs w:val="24"/>
        </w:rPr>
        <w:t>spontan klonus</w:t>
      </w:r>
    </w:p>
    <w:p w14:paraId="7FC3E7B5" w14:textId="77777777" w:rsidR="00540B03" w:rsidRDefault="00540B03" w:rsidP="00540B03">
      <w:pPr>
        <w:pStyle w:val="Brdtekstindrykning"/>
        <w:numPr>
          <w:ilvl w:val="0"/>
          <w:numId w:val="7"/>
        </w:numPr>
        <w:ind w:left="1134" w:hanging="283"/>
        <w:rPr>
          <w:b w:val="0"/>
          <w:szCs w:val="24"/>
        </w:rPr>
      </w:pPr>
      <w:r>
        <w:rPr>
          <w:b w:val="0"/>
          <w:szCs w:val="24"/>
        </w:rPr>
        <w:t>inducerbar eller okulær klonus med agitation eller diaforese</w:t>
      </w:r>
    </w:p>
    <w:p w14:paraId="199D0304" w14:textId="77777777" w:rsidR="00540B03" w:rsidRDefault="00540B03" w:rsidP="00540B03">
      <w:pPr>
        <w:pStyle w:val="Brdtekstindrykning"/>
        <w:numPr>
          <w:ilvl w:val="0"/>
          <w:numId w:val="7"/>
        </w:numPr>
        <w:ind w:left="1134" w:hanging="283"/>
        <w:rPr>
          <w:b w:val="0"/>
          <w:szCs w:val="24"/>
        </w:rPr>
      </w:pPr>
      <w:r>
        <w:rPr>
          <w:b w:val="0"/>
          <w:szCs w:val="24"/>
        </w:rPr>
        <w:t>tremor og hyperrefleksi</w:t>
      </w:r>
    </w:p>
    <w:p w14:paraId="37897876" w14:textId="77777777" w:rsidR="00540B03" w:rsidRDefault="00540B03" w:rsidP="00540B03">
      <w:pPr>
        <w:pStyle w:val="Brdtekstindrykning"/>
        <w:numPr>
          <w:ilvl w:val="0"/>
          <w:numId w:val="7"/>
        </w:numPr>
        <w:ind w:left="1134" w:hanging="283"/>
        <w:rPr>
          <w:b w:val="0"/>
          <w:szCs w:val="24"/>
        </w:rPr>
      </w:pPr>
      <w:r>
        <w:rPr>
          <w:b w:val="0"/>
          <w:szCs w:val="24"/>
        </w:rPr>
        <w:t>hypertoni og kropstemperatur &gt; 38 °C samt inducerbar okulær klonus.</w:t>
      </w:r>
    </w:p>
    <w:p w14:paraId="2FDF0FB3" w14:textId="77777777" w:rsidR="00540B03" w:rsidRDefault="00540B03" w:rsidP="00540B03">
      <w:pPr>
        <w:widowControl w:val="0"/>
        <w:autoSpaceDE w:val="0"/>
        <w:autoSpaceDN w:val="0"/>
        <w:adjustRightInd w:val="0"/>
        <w:ind w:left="851"/>
        <w:rPr>
          <w:sz w:val="24"/>
          <w:szCs w:val="24"/>
        </w:rPr>
      </w:pPr>
    </w:p>
    <w:p w14:paraId="1B6A0EC9" w14:textId="77777777" w:rsidR="00540B03" w:rsidRDefault="00540B03" w:rsidP="00540B03">
      <w:pPr>
        <w:widowControl w:val="0"/>
        <w:autoSpaceDE w:val="0"/>
        <w:autoSpaceDN w:val="0"/>
        <w:adjustRightInd w:val="0"/>
        <w:ind w:left="851"/>
        <w:rPr>
          <w:sz w:val="24"/>
          <w:szCs w:val="24"/>
        </w:rPr>
      </w:pPr>
      <w:r>
        <w:rPr>
          <w:sz w:val="24"/>
          <w:szCs w:val="24"/>
        </w:rPr>
        <w:t>Seponering af det serotonerge lægemiddel giver normalt en hurtig forbedring. Behandling vil afhænge af art og sværhedsgrad af symptomerne.</w:t>
      </w:r>
    </w:p>
    <w:p w14:paraId="4EC5F6CE" w14:textId="77777777" w:rsidR="00540B03" w:rsidRDefault="00540B03" w:rsidP="00540B03">
      <w:pPr>
        <w:widowControl w:val="0"/>
        <w:autoSpaceDE w:val="0"/>
        <w:autoSpaceDN w:val="0"/>
        <w:adjustRightInd w:val="0"/>
        <w:ind w:left="851"/>
        <w:rPr>
          <w:sz w:val="24"/>
          <w:szCs w:val="24"/>
        </w:rPr>
      </w:pPr>
    </w:p>
    <w:p w14:paraId="1B9A291C" w14:textId="77777777" w:rsidR="00540B03" w:rsidRDefault="00540B03" w:rsidP="00540B03">
      <w:pPr>
        <w:widowControl w:val="0"/>
        <w:ind w:left="851"/>
        <w:rPr>
          <w:sz w:val="24"/>
          <w:szCs w:val="24"/>
        </w:rPr>
      </w:pPr>
      <w:r>
        <w:rPr>
          <w:sz w:val="24"/>
          <w:szCs w:val="24"/>
        </w:rPr>
        <w:t>Den vigtigste eliminationsvej for tapentadol er konjugering med glucoronsyre via uridin diphosphat transferase (UGT) primært isoformerne UGT1A6, UGT1A9 og UGT2B7. Derfor kan samtidig behandling med stærke inhibitorer af disse isoenzymer (f.eks. ketoconazol, fluconazol, meclofenaminsyre) føre til øget systemisk eksponering af tapentadol (se pkt. 5.2).</w:t>
      </w:r>
    </w:p>
    <w:p w14:paraId="0427DCB6" w14:textId="77777777" w:rsidR="00540B03" w:rsidRDefault="00540B03" w:rsidP="00540B03">
      <w:pPr>
        <w:widowControl w:val="0"/>
        <w:ind w:left="851"/>
        <w:rPr>
          <w:sz w:val="24"/>
          <w:szCs w:val="24"/>
        </w:rPr>
      </w:pPr>
    </w:p>
    <w:p w14:paraId="084AD4D0" w14:textId="77777777" w:rsidR="00540B03" w:rsidRDefault="00540B03" w:rsidP="00540B03">
      <w:pPr>
        <w:widowControl w:val="0"/>
        <w:ind w:left="851"/>
        <w:rPr>
          <w:sz w:val="24"/>
          <w:szCs w:val="24"/>
        </w:rPr>
      </w:pPr>
      <w:r>
        <w:rPr>
          <w:sz w:val="24"/>
          <w:szCs w:val="24"/>
        </w:rPr>
        <w:t>For patienter i behandling med tapentadol bør der udvises forsigtighed, hvis der samtidig startes eller stoppes indtagning af stærkt enzyminducerende stoffer (f.eks. rifampicin, phenobarbital, perikon (</w:t>
      </w:r>
      <w:r>
        <w:rPr>
          <w:i/>
          <w:sz w:val="24"/>
          <w:szCs w:val="24"/>
        </w:rPr>
        <w:t>hypericum perforatum</w:t>
      </w:r>
      <w:r>
        <w:rPr>
          <w:sz w:val="24"/>
          <w:szCs w:val="24"/>
        </w:rPr>
        <w:t>)), da det kan forårsage henholdsvis nedsat effekt eller risiko for bivirkninger.</w:t>
      </w:r>
    </w:p>
    <w:p w14:paraId="39D2E6DC" w14:textId="77777777" w:rsidR="00540B03" w:rsidRDefault="00540B03" w:rsidP="00540B03">
      <w:pPr>
        <w:tabs>
          <w:tab w:val="left" w:pos="851"/>
        </w:tabs>
        <w:ind w:left="851"/>
        <w:rPr>
          <w:sz w:val="24"/>
          <w:szCs w:val="24"/>
          <w:highlight w:val="yellow"/>
        </w:rPr>
      </w:pPr>
    </w:p>
    <w:p w14:paraId="6AEF61B5" w14:textId="77777777" w:rsidR="00540B03" w:rsidRDefault="00540B03" w:rsidP="00540B03">
      <w:pPr>
        <w:tabs>
          <w:tab w:val="left" w:pos="851"/>
        </w:tabs>
        <w:ind w:left="851"/>
        <w:rPr>
          <w:sz w:val="24"/>
          <w:szCs w:val="24"/>
        </w:rPr>
      </w:pPr>
      <w:r>
        <w:rPr>
          <w:sz w:val="24"/>
          <w:szCs w:val="24"/>
        </w:rPr>
        <w:t>Behandling med Tapentadol "Zentiva" bør undgås hos patienter, som får monoamino</w:t>
      </w:r>
      <w:r>
        <w:rPr>
          <w:sz w:val="24"/>
          <w:szCs w:val="24"/>
        </w:rPr>
        <w:softHyphen/>
        <w:t>oxidase</w:t>
      </w:r>
      <w:r>
        <w:rPr>
          <w:sz w:val="24"/>
          <w:szCs w:val="24"/>
        </w:rPr>
        <w:softHyphen/>
        <w:t>(MAO) hæmmere, eller som har anvendt disse midler i løbet af de seneste 14 dage, på grund af potentielle additive virkninger på koncentrationen af noradrenalin</w:t>
      </w:r>
      <w:r>
        <w:rPr>
          <w:rStyle w:val="msoins0"/>
          <w:sz w:val="24"/>
          <w:szCs w:val="24"/>
        </w:rPr>
        <w:t xml:space="preserve"> i synapserne</w:t>
      </w:r>
      <w:r>
        <w:rPr>
          <w:sz w:val="24"/>
          <w:szCs w:val="24"/>
        </w:rPr>
        <w:t xml:space="preserve">, hvilket kan føre til kardiovaskulære bivirkninger, </w:t>
      </w:r>
      <w:r>
        <w:rPr>
          <w:rStyle w:val="Fremhv"/>
          <w:sz w:val="24"/>
          <w:szCs w:val="24"/>
        </w:rPr>
        <w:t>såsom en hypertensiv krise</w:t>
      </w:r>
      <w:r>
        <w:rPr>
          <w:sz w:val="24"/>
          <w:szCs w:val="24"/>
        </w:rPr>
        <w:t>.</w:t>
      </w:r>
    </w:p>
    <w:p w14:paraId="7C844A25" w14:textId="77777777" w:rsidR="00540B03" w:rsidRDefault="00540B03" w:rsidP="00540B03">
      <w:pPr>
        <w:tabs>
          <w:tab w:val="left" w:pos="851"/>
        </w:tabs>
        <w:ind w:left="851"/>
        <w:rPr>
          <w:sz w:val="24"/>
          <w:szCs w:val="24"/>
        </w:rPr>
      </w:pPr>
    </w:p>
    <w:p w14:paraId="62C1976B"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C205473" w14:textId="77777777" w:rsidR="00540B03" w:rsidRDefault="00540B03" w:rsidP="00540B03">
      <w:pPr>
        <w:widowControl w:val="0"/>
        <w:ind w:left="851"/>
        <w:rPr>
          <w:i/>
          <w:sz w:val="24"/>
          <w:szCs w:val="24"/>
        </w:rPr>
      </w:pPr>
    </w:p>
    <w:p w14:paraId="4F546AA3" w14:textId="77777777" w:rsidR="00540B03" w:rsidRDefault="00540B03" w:rsidP="00540B03">
      <w:pPr>
        <w:widowControl w:val="0"/>
        <w:ind w:left="851"/>
        <w:rPr>
          <w:i/>
          <w:sz w:val="24"/>
          <w:szCs w:val="24"/>
          <w:lang w:eastAsia="da-DK"/>
        </w:rPr>
      </w:pPr>
      <w:r>
        <w:rPr>
          <w:i/>
          <w:sz w:val="24"/>
          <w:szCs w:val="24"/>
        </w:rPr>
        <w:t>Graviditet</w:t>
      </w:r>
    </w:p>
    <w:p w14:paraId="748BC528" w14:textId="77777777" w:rsidR="00540B03" w:rsidRDefault="00540B03" w:rsidP="00540B03">
      <w:pPr>
        <w:widowControl w:val="0"/>
        <w:tabs>
          <w:tab w:val="left" w:pos="1304"/>
        </w:tabs>
        <w:ind w:left="851"/>
        <w:rPr>
          <w:sz w:val="24"/>
          <w:szCs w:val="24"/>
        </w:rPr>
      </w:pPr>
      <w:r>
        <w:rPr>
          <w:sz w:val="24"/>
          <w:szCs w:val="24"/>
        </w:rPr>
        <w:t>Der er meget begrænset mængde data fra anvendelse til gravide kvinder.</w:t>
      </w:r>
    </w:p>
    <w:p w14:paraId="3117767C" w14:textId="77777777" w:rsidR="00540B03" w:rsidRDefault="00540B03" w:rsidP="00540B03">
      <w:pPr>
        <w:widowControl w:val="0"/>
        <w:ind w:left="851"/>
        <w:rPr>
          <w:sz w:val="24"/>
          <w:szCs w:val="24"/>
        </w:rPr>
      </w:pPr>
      <w:r>
        <w:rPr>
          <w:sz w:val="24"/>
          <w:szCs w:val="24"/>
        </w:rPr>
        <w:t xml:space="preserve">Dyreforsøg har ikke vist teratogene virkninger. Forsinket udvikling og embryotoksicitet blev dog observeret ved doser, der resulterede i overdreven farmakologi (µ-opioid-relaterede CNS-effekter relateret til dosering over det terapeutiske interval). Virkninger på den postnatale udvikling blev allerede observeret i moderens NOAEL (No Observable Adverse Effect Level) (se pkt. 5.3). </w:t>
      </w:r>
    </w:p>
    <w:p w14:paraId="6C293CB3" w14:textId="77777777" w:rsidR="00540B03" w:rsidRDefault="00540B03" w:rsidP="00540B03">
      <w:pPr>
        <w:ind w:left="851"/>
        <w:rPr>
          <w:sz w:val="24"/>
          <w:szCs w:val="24"/>
        </w:rPr>
      </w:pPr>
    </w:p>
    <w:p w14:paraId="050A8E13" w14:textId="77777777" w:rsidR="00540B03" w:rsidRDefault="00540B03" w:rsidP="00540B03">
      <w:pPr>
        <w:ind w:left="851"/>
        <w:rPr>
          <w:sz w:val="24"/>
          <w:szCs w:val="24"/>
        </w:rPr>
      </w:pPr>
      <w:r>
        <w:rPr>
          <w:sz w:val="24"/>
          <w:szCs w:val="24"/>
        </w:rPr>
        <w:t>Tapentadol "Zentiva" bør kun anvendes under graviditet, hvis den potentielle risiko for fostret opvejes af de potentielle fordele. Ved langvarig brug af opioider under graviditet vil fosteret også blive eksponeret. Dette kan føre til, at det nyfødte barn udvikler neonatalt abstinenssyndrom (NAS). Neonatalt opioid-abstinenssyndrom kan være livstruende, hvis det ikke opdages og behandles. En antidot til det nyfødte barn skal være let tilgængelig.</w:t>
      </w:r>
    </w:p>
    <w:p w14:paraId="00F929E0" w14:textId="77777777" w:rsidR="00540B03" w:rsidRDefault="00540B03" w:rsidP="00540B03">
      <w:pPr>
        <w:ind w:left="851"/>
        <w:rPr>
          <w:sz w:val="24"/>
          <w:szCs w:val="24"/>
        </w:rPr>
      </w:pPr>
    </w:p>
    <w:p w14:paraId="71C827FA" w14:textId="77777777" w:rsidR="00540B03" w:rsidRDefault="00540B03" w:rsidP="00540B03">
      <w:pPr>
        <w:widowControl w:val="0"/>
        <w:ind w:left="851"/>
        <w:rPr>
          <w:i/>
          <w:sz w:val="24"/>
          <w:szCs w:val="24"/>
        </w:rPr>
      </w:pPr>
      <w:r>
        <w:rPr>
          <w:i/>
          <w:sz w:val="24"/>
          <w:szCs w:val="24"/>
        </w:rPr>
        <w:t>Fødselsveer og fødsel</w:t>
      </w:r>
    </w:p>
    <w:p w14:paraId="26B2851A" w14:textId="77777777" w:rsidR="00540B03" w:rsidRDefault="00540B03" w:rsidP="00540B03">
      <w:pPr>
        <w:widowControl w:val="0"/>
        <w:ind w:left="851"/>
        <w:rPr>
          <w:sz w:val="24"/>
          <w:szCs w:val="24"/>
        </w:rPr>
      </w:pPr>
      <w:r>
        <w:rPr>
          <w:sz w:val="24"/>
          <w:szCs w:val="24"/>
        </w:rPr>
        <w:t>Tapentadols påvirkning af veer og fødsel hos mennesker kendes ikke. Tapentadol "Zentiva" bør ikke anvendes til kvinder under og umiddelbart før fødselsveer og fødsel. På grund af tapentadols µ-opioidreceptoragonistiske virkning skal nyfødte børn, hvis mødre er blevet behandlet med tapentadol, monitoreres for respirations</w:t>
      </w:r>
      <w:r>
        <w:rPr>
          <w:sz w:val="24"/>
          <w:szCs w:val="24"/>
        </w:rPr>
        <w:softHyphen/>
        <w:t>depression.</w:t>
      </w:r>
    </w:p>
    <w:p w14:paraId="29A90F63" w14:textId="77777777" w:rsidR="00540B03" w:rsidRDefault="00540B03" w:rsidP="00540B03">
      <w:pPr>
        <w:widowControl w:val="0"/>
        <w:ind w:left="851"/>
        <w:rPr>
          <w:i/>
          <w:sz w:val="24"/>
          <w:szCs w:val="24"/>
        </w:rPr>
      </w:pPr>
    </w:p>
    <w:p w14:paraId="55C013BE" w14:textId="77777777" w:rsidR="00540B03" w:rsidRDefault="00540B03" w:rsidP="00540B03">
      <w:pPr>
        <w:widowControl w:val="0"/>
        <w:ind w:left="851"/>
        <w:rPr>
          <w:i/>
          <w:sz w:val="24"/>
          <w:szCs w:val="24"/>
        </w:rPr>
      </w:pPr>
      <w:r>
        <w:rPr>
          <w:i/>
          <w:sz w:val="24"/>
          <w:szCs w:val="24"/>
        </w:rPr>
        <w:t>Amning</w:t>
      </w:r>
    </w:p>
    <w:p w14:paraId="44C24481" w14:textId="77777777" w:rsidR="00540B03" w:rsidRDefault="00540B03" w:rsidP="00540B03">
      <w:pPr>
        <w:widowControl w:val="0"/>
        <w:ind w:left="851"/>
        <w:rPr>
          <w:sz w:val="24"/>
          <w:szCs w:val="24"/>
        </w:rPr>
      </w:pPr>
      <w:r>
        <w:rPr>
          <w:sz w:val="24"/>
          <w:szCs w:val="24"/>
        </w:rPr>
        <w:t>Det er ukendt, om tapentadol udskilles i human mælk. I et studie med rotteunger, som diede hos moderdyr behandlet med tapentadol, blev det konkluderet, at tapentadol udskilles i mælken (se pkt. 5.3). Det kan derfor ikke udelukkes, at der foreligger en risiko for det ammede barn. Tapentadol "Zentiva" må ikke anvendes under amning.</w:t>
      </w:r>
    </w:p>
    <w:p w14:paraId="6BCAD297" w14:textId="77777777" w:rsidR="00540B03" w:rsidRDefault="00540B03" w:rsidP="00540B03">
      <w:pPr>
        <w:widowControl w:val="0"/>
        <w:ind w:left="851"/>
        <w:rPr>
          <w:sz w:val="24"/>
          <w:szCs w:val="24"/>
        </w:rPr>
      </w:pPr>
    </w:p>
    <w:p w14:paraId="5EFDE0DE" w14:textId="77777777" w:rsidR="00540B03" w:rsidRDefault="00540B03" w:rsidP="00540B03">
      <w:pPr>
        <w:ind w:left="851"/>
        <w:rPr>
          <w:i/>
          <w:iCs/>
          <w:sz w:val="24"/>
          <w:szCs w:val="24"/>
        </w:rPr>
      </w:pPr>
      <w:r>
        <w:rPr>
          <w:i/>
          <w:iCs/>
          <w:sz w:val="24"/>
          <w:szCs w:val="24"/>
        </w:rPr>
        <w:t xml:space="preserve">Fertilitet </w:t>
      </w:r>
    </w:p>
    <w:p w14:paraId="4CA881C9" w14:textId="77777777" w:rsidR="00540B03" w:rsidRDefault="00540B03" w:rsidP="00540B03">
      <w:pPr>
        <w:widowControl w:val="0"/>
        <w:ind w:left="851"/>
        <w:rPr>
          <w:sz w:val="24"/>
          <w:szCs w:val="24"/>
        </w:rPr>
      </w:pPr>
      <w:r>
        <w:rPr>
          <w:sz w:val="24"/>
          <w:szCs w:val="24"/>
        </w:rPr>
        <w:t>Der foreligger ingen tilgængelige humane data for Tapentadol "Zentiva"s påvirkning af fertiliteten. I et studie om fertilitets- og tidlig embryonal udvikling blev der ikke observeret påvirkning af reproduktive parametre hos han- eller hunrotter (se pkt. 5.3).</w:t>
      </w:r>
    </w:p>
    <w:p w14:paraId="604A82A8" w14:textId="77777777" w:rsidR="009260DE" w:rsidRPr="00C84483" w:rsidRDefault="009260DE" w:rsidP="009260DE">
      <w:pPr>
        <w:tabs>
          <w:tab w:val="left" w:pos="851"/>
        </w:tabs>
        <w:ind w:left="851"/>
        <w:rPr>
          <w:sz w:val="24"/>
          <w:szCs w:val="24"/>
        </w:rPr>
      </w:pPr>
    </w:p>
    <w:p w14:paraId="25833F4C"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7201F66" w14:textId="77777777" w:rsidR="009260DE" w:rsidRDefault="00E81C8E" w:rsidP="009260DE">
      <w:pPr>
        <w:tabs>
          <w:tab w:val="left" w:pos="851"/>
        </w:tabs>
        <w:ind w:left="851"/>
        <w:rPr>
          <w:sz w:val="24"/>
          <w:szCs w:val="24"/>
        </w:rPr>
      </w:pPr>
      <w:r>
        <w:rPr>
          <w:sz w:val="24"/>
          <w:szCs w:val="24"/>
        </w:rPr>
        <w:t>Mærkning.</w:t>
      </w:r>
    </w:p>
    <w:p w14:paraId="0CDB4974" w14:textId="77777777" w:rsidR="00540B03" w:rsidRDefault="00540B03" w:rsidP="00540B03">
      <w:pPr>
        <w:widowControl w:val="0"/>
        <w:ind w:left="851"/>
        <w:rPr>
          <w:sz w:val="24"/>
          <w:szCs w:val="24"/>
        </w:rPr>
      </w:pPr>
      <w:r>
        <w:rPr>
          <w:sz w:val="24"/>
          <w:szCs w:val="24"/>
        </w:rPr>
        <w:t>Tapentadol "Zentiva" kan påvirke evnen til at føre motorkøretøj og betjene maskiner i væsentlig grad, eftersom det nedsætter funktionen af centralnervesystemet (se pkt. 4.8). Dette gælder især i begyndelsen af behandlingen, når der foretages dosisændring samt i forbindelse med brug af alkohol eller beroligende midler (se pkt. 4.4). Patienterne skal informeres om risikoen ved at føre motorkøretøj og betjene maskiner.</w:t>
      </w:r>
    </w:p>
    <w:p w14:paraId="42F623B3" w14:textId="77777777" w:rsidR="009260DE" w:rsidRPr="00C84483" w:rsidRDefault="009260DE" w:rsidP="009260DE">
      <w:pPr>
        <w:tabs>
          <w:tab w:val="left" w:pos="851"/>
        </w:tabs>
        <w:ind w:left="851"/>
        <w:rPr>
          <w:sz w:val="24"/>
          <w:szCs w:val="24"/>
        </w:rPr>
      </w:pPr>
    </w:p>
    <w:p w14:paraId="77C4530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CCDEEE8" w14:textId="77777777" w:rsidR="00540B03" w:rsidRDefault="00540B03" w:rsidP="00540B03">
      <w:pPr>
        <w:widowControl w:val="0"/>
        <w:ind w:left="851"/>
        <w:rPr>
          <w:sz w:val="24"/>
          <w:szCs w:val="24"/>
          <w:lang w:eastAsia="da-DK"/>
        </w:rPr>
      </w:pPr>
      <w:r>
        <w:rPr>
          <w:sz w:val="24"/>
          <w:szCs w:val="24"/>
        </w:rPr>
        <w:t xml:space="preserve">De bivirkninger, der forekom hos patienter i placebokontrollerede studier med tapentadol som depottabletter var overvejende milde eller moderate. Bivirkninger forekom hyppigst i mave-tarm-kanalen og centralnervesystemet (kvalme, svimmelhed, forstoppelse, </w:t>
      </w:r>
      <w:r>
        <w:rPr>
          <w:sz w:val="24"/>
          <w:szCs w:val="24"/>
        </w:rPr>
        <w:lastRenderedPageBreak/>
        <w:t xml:space="preserve">hovedpine og døsighed). </w:t>
      </w:r>
    </w:p>
    <w:p w14:paraId="5352FB65" w14:textId="77777777" w:rsidR="00540B03" w:rsidRDefault="00540B03" w:rsidP="00540B03">
      <w:pPr>
        <w:widowControl w:val="0"/>
        <w:ind w:left="851"/>
        <w:rPr>
          <w:sz w:val="24"/>
          <w:szCs w:val="24"/>
        </w:rPr>
      </w:pPr>
    </w:p>
    <w:p w14:paraId="3183259D" w14:textId="77777777" w:rsidR="00540B03" w:rsidRDefault="00540B03" w:rsidP="00540B03">
      <w:pPr>
        <w:widowControl w:val="0"/>
        <w:ind w:left="851"/>
        <w:rPr>
          <w:sz w:val="24"/>
          <w:szCs w:val="24"/>
        </w:rPr>
      </w:pPr>
      <w:r>
        <w:rPr>
          <w:sz w:val="24"/>
          <w:szCs w:val="24"/>
        </w:rPr>
        <w:t>I tabellen nedenfor angives bivirkninger, der er påvist i kliniske studier med tapentadol som depottabletter og fra efter markeds</w:t>
      </w:r>
      <w:r>
        <w:rPr>
          <w:color w:val="000000"/>
          <w:sz w:val="24"/>
          <w:szCs w:val="24"/>
        </w:rPr>
        <w:t>føring</w:t>
      </w:r>
      <w:r>
        <w:rPr>
          <w:sz w:val="24"/>
          <w:szCs w:val="24"/>
        </w:rPr>
        <w:t>. De er opstillet efter klasse og hyppighed. Hyppighed defineres som meget almindelig (≥1/10), almindelig (≥1/100 til &lt;1/10), ikke almindelig (≥1/1.000 til &lt; 1/100), sjælden (≥1/10.000 til &lt;1/1.000), meget sjælden (&lt;1/10.000) og ikke kendt (kan ikke estimeres ud fra forhåndenværende data).</w:t>
      </w:r>
    </w:p>
    <w:p w14:paraId="0F46BC4C" w14:textId="77777777" w:rsidR="00540B03" w:rsidRDefault="00540B03" w:rsidP="00540B03">
      <w:pPr>
        <w:tabs>
          <w:tab w:val="left" w:pos="851"/>
        </w:tabs>
        <w:ind w:left="709"/>
        <w:rPr>
          <w:sz w:val="24"/>
          <w:szCs w:val="24"/>
        </w:rPr>
      </w:pPr>
    </w:p>
    <w:tbl>
      <w:tblPr>
        <w:tblW w:w="5000" w:type="pct"/>
        <w:tblCellMar>
          <w:left w:w="70" w:type="dxa"/>
          <w:right w:w="70" w:type="dxa"/>
        </w:tblCellMar>
        <w:tblLook w:val="04A0" w:firstRow="1" w:lastRow="0" w:firstColumn="1" w:lastColumn="0" w:noHBand="0" w:noVBand="1"/>
      </w:tblPr>
      <w:tblGrid>
        <w:gridCol w:w="1976"/>
        <w:gridCol w:w="1364"/>
        <w:gridCol w:w="1582"/>
        <w:gridCol w:w="2128"/>
        <w:gridCol w:w="1446"/>
        <w:gridCol w:w="1132"/>
      </w:tblGrid>
      <w:tr w:rsidR="00540B03" w14:paraId="044A953E" w14:textId="77777777" w:rsidTr="00540B03">
        <w:trPr>
          <w:trHeight w:val="146"/>
        </w:trPr>
        <w:tc>
          <w:tcPr>
            <w:tcW w:w="5000" w:type="pct"/>
            <w:gridSpan w:val="6"/>
            <w:tcBorders>
              <w:top w:val="single" w:sz="12" w:space="0" w:color="auto"/>
              <w:left w:val="single" w:sz="4" w:space="0" w:color="auto"/>
              <w:bottom w:val="single" w:sz="12" w:space="0" w:color="auto"/>
              <w:right w:val="single" w:sz="4" w:space="0" w:color="auto"/>
            </w:tcBorders>
            <w:hideMark/>
          </w:tcPr>
          <w:p w14:paraId="27B2754B" w14:textId="77777777" w:rsidR="00540B03" w:rsidRDefault="00540B03">
            <w:pPr>
              <w:widowControl w:val="0"/>
              <w:snapToGrid w:val="0"/>
              <w:jc w:val="center"/>
              <w:rPr>
                <w:b/>
                <w:sz w:val="22"/>
                <w:szCs w:val="22"/>
              </w:rPr>
            </w:pPr>
            <w:r>
              <w:rPr>
                <w:b/>
                <w:sz w:val="22"/>
                <w:szCs w:val="22"/>
              </w:rPr>
              <w:t>BIVIRKNINGER</w:t>
            </w:r>
          </w:p>
        </w:tc>
      </w:tr>
      <w:tr w:rsidR="00540B03" w14:paraId="464B5AA3" w14:textId="77777777" w:rsidTr="00540B03">
        <w:trPr>
          <w:trHeight w:val="146"/>
        </w:trPr>
        <w:tc>
          <w:tcPr>
            <w:tcW w:w="1032" w:type="pct"/>
            <w:vMerge w:val="restart"/>
            <w:tcBorders>
              <w:top w:val="single" w:sz="12" w:space="0" w:color="auto"/>
              <w:left w:val="single" w:sz="4" w:space="0" w:color="auto"/>
              <w:bottom w:val="single" w:sz="12" w:space="0" w:color="auto"/>
              <w:right w:val="single" w:sz="4" w:space="0" w:color="auto"/>
            </w:tcBorders>
          </w:tcPr>
          <w:p w14:paraId="3C4C1A94" w14:textId="77777777" w:rsidR="00540B03" w:rsidRDefault="00540B03">
            <w:pPr>
              <w:widowControl w:val="0"/>
              <w:rPr>
                <w:b/>
                <w:sz w:val="22"/>
                <w:szCs w:val="22"/>
              </w:rPr>
            </w:pPr>
          </w:p>
          <w:p w14:paraId="4EA47C4D" w14:textId="77777777" w:rsidR="00540B03" w:rsidRDefault="00540B03">
            <w:pPr>
              <w:widowControl w:val="0"/>
              <w:snapToGrid w:val="0"/>
              <w:rPr>
                <w:sz w:val="22"/>
                <w:szCs w:val="22"/>
              </w:rPr>
            </w:pPr>
            <w:r>
              <w:rPr>
                <w:b/>
                <w:sz w:val="22"/>
                <w:szCs w:val="22"/>
              </w:rPr>
              <w:t>Systemorgan</w:t>
            </w:r>
            <w:r>
              <w:rPr>
                <w:b/>
                <w:sz w:val="22"/>
                <w:szCs w:val="22"/>
              </w:rPr>
              <w:softHyphen/>
              <w:t>klasse</w:t>
            </w:r>
          </w:p>
        </w:tc>
        <w:tc>
          <w:tcPr>
            <w:tcW w:w="3968" w:type="pct"/>
            <w:gridSpan w:val="5"/>
            <w:tcBorders>
              <w:top w:val="single" w:sz="12" w:space="0" w:color="auto"/>
              <w:left w:val="single" w:sz="4" w:space="0" w:color="auto"/>
              <w:bottom w:val="single" w:sz="4" w:space="0" w:color="auto"/>
              <w:right w:val="single" w:sz="4" w:space="0" w:color="auto"/>
            </w:tcBorders>
            <w:hideMark/>
          </w:tcPr>
          <w:p w14:paraId="17417C54" w14:textId="77777777" w:rsidR="00540B03" w:rsidRDefault="00540B03">
            <w:pPr>
              <w:widowControl w:val="0"/>
              <w:snapToGrid w:val="0"/>
              <w:jc w:val="center"/>
              <w:rPr>
                <w:b/>
                <w:sz w:val="22"/>
                <w:szCs w:val="22"/>
              </w:rPr>
            </w:pPr>
            <w:r>
              <w:rPr>
                <w:b/>
                <w:sz w:val="22"/>
                <w:szCs w:val="22"/>
              </w:rPr>
              <w:t>Hyppighed</w:t>
            </w:r>
          </w:p>
        </w:tc>
      </w:tr>
      <w:tr w:rsidR="00540B03" w14:paraId="33613B3A" w14:textId="77777777" w:rsidTr="00540B03">
        <w:trPr>
          <w:trHeight w:val="146"/>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53E0FAED" w14:textId="77777777" w:rsidR="00540B03" w:rsidRDefault="00540B03">
            <w:pPr>
              <w:rPr>
                <w:sz w:val="22"/>
                <w:szCs w:val="22"/>
              </w:rPr>
            </w:pPr>
          </w:p>
        </w:tc>
        <w:tc>
          <w:tcPr>
            <w:tcW w:w="714" w:type="pct"/>
            <w:tcBorders>
              <w:top w:val="single" w:sz="4" w:space="0" w:color="auto"/>
              <w:left w:val="single" w:sz="4" w:space="0" w:color="auto"/>
              <w:bottom w:val="single" w:sz="12" w:space="0" w:color="auto"/>
              <w:right w:val="single" w:sz="4" w:space="0" w:color="auto"/>
            </w:tcBorders>
            <w:hideMark/>
          </w:tcPr>
          <w:p w14:paraId="79073C85" w14:textId="77777777" w:rsidR="00540B03" w:rsidRDefault="00540B03">
            <w:pPr>
              <w:widowControl w:val="0"/>
              <w:jc w:val="center"/>
              <w:rPr>
                <w:b/>
                <w:sz w:val="22"/>
                <w:szCs w:val="22"/>
              </w:rPr>
            </w:pPr>
            <w:r>
              <w:rPr>
                <w:b/>
                <w:sz w:val="22"/>
                <w:szCs w:val="22"/>
              </w:rPr>
              <w:t>Meget almindelige</w:t>
            </w:r>
          </w:p>
        </w:tc>
        <w:tc>
          <w:tcPr>
            <w:tcW w:w="794" w:type="pct"/>
            <w:tcBorders>
              <w:top w:val="single" w:sz="4" w:space="0" w:color="auto"/>
              <w:left w:val="single" w:sz="4" w:space="0" w:color="auto"/>
              <w:bottom w:val="single" w:sz="12" w:space="0" w:color="auto"/>
              <w:right w:val="single" w:sz="4" w:space="0" w:color="auto"/>
            </w:tcBorders>
          </w:tcPr>
          <w:p w14:paraId="25A9C622" w14:textId="77777777" w:rsidR="00540B03" w:rsidRDefault="00540B03">
            <w:pPr>
              <w:widowControl w:val="0"/>
              <w:jc w:val="center"/>
              <w:rPr>
                <w:b/>
                <w:sz w:val="22"/>
                <w:szCs w:val="22"/>
              </w:rPr>
            </w:pPr>
            <w:r>
              <w:rPr>
                <w:b/>
                <w:sz w:val="22"/>
                <w:szCs w:val="22"/>
              </w:rPr>
              <w:t>Almindelige</w:t>
            </w:r>
          </w:p>
          <w:p w14:paraId="7D22DE17" w14:textId="77777777" w:rsidR="00540B03" w:rsidRDefault="00540B03">
            <w:pPr>
              <w:widowControl w:val="0"/>
              <w:snapToGrid w:val="0"/>
              <w:jc w:val="center"/>
              <w:rPr>
                <w:sz w:val="22"/>
                <w:szCs w:val="22"/>
              </w:rPr>
            </w:pPr>
          </w:p>
        </w:tc>
        <w:tc>
          <w:tcPr>
            <w:tcW w:w="1111" w:type="pct"/>
            <w:tcBorders>
              <w:top w:val="single" w:sz="4" w:space="0" w:color="auto"/>
              <w:left w:val="single" w:sz="4" w:space="0" w:color="auto"/>
              <w:bottom w:val="single" w:sz="12" w:space="0" w:color="auto"/>
              <w:right w:val="single" w:sz="4" w:space="0" w:color="auto"/>
            </w:tcBorders>
          </w:tcPr>
          <w:p w14:paraId="3DAF0D18" w14:textId="77777777" w:rsidR="00540B03" w:rsidRDefault="00540B03">
            <w:pPr>
              <w:widowControl w:val="0"/>
              <w:jc w:val="center"/>
              <w:rPr>
                <w:b/>
                <w:sz w:val="22"/>
                <w:szCs w:val="22"/>
              </w:rPr>
            </w:pPr>
            <w:r>
              <w:rPr>
                <w:b/>
                <w:sz w:val="22"/>
                <w:szCs w:val="22"/>
              </w:rPr>
              <w:t>Ikke almindelige</w:t>
            </w:r>
          </w:p>
          <w:p w14:paraId="7F962B8E" w14:textId="77777777" w:rsidR="00540B03" w:rsidRDefault="00540B03">
            <w:pPr>
              <w:widowControl w:val="0"/>
              <w:snapToGrid w:val="0"/>
              <w:jc w:val="center"/>
              <w:rPr>
                <w:sz w:val="22"/>
                <w:szCs w:val="22"/>
              </w:rPr>
            </w:pPr>
          </w:p>
        </w:tc>
        <w:tc>
          <w:tcPr>
            <w:tcW w:w="756" w:type="pct"/>
            <w:tcBorders>
              <w:top w:val="single" w:sz="4" w:space="0" w:color="auto"/>
              <w:left w:val="single" w:sz="4" w:space="0" w:color="auto"/>
              <w:bottom w:val="single" w:sz="12" w:space="0" w:color="auto"/>
              <w:right w:val="single" w:sz="4" w:space="0" w:color="auto"/>
            </w:tcBorders>
          </w:tcPr>
          <w:p w14:paraId="3F11DE9F" w14:textId="77777777" w:rsidR="00540B03" w:rsidRDefault="00540B03">
            <w:pPr>
              <w:widowControl w:val="0"/>
              <w:jc w:val="center"/>
              <w:rPr>
                <w:b/>
                <w:sz w:val="22"/>
                <w:szCs w:val="22"/>
              </w:rPr>
            </w:pPr>
            <w:r>
              <w:rPr>
                <w:b/>
                <w:sz w:val="22"/>
                <w:szCs w:val="22"/>
              </w:rPr>
              <w:t>Sjældne</w:t>
            </w:r>
          </w:p>
          <w:p w14:paraId="2B96534D" w14:textId="77777777" w:rsidR="00540B03" w:rsidRDefault="00540B03">
            <w:pPr>
              <w:widowControl w:val="0"/>
              <w:snapToGrid w:val="0"/>
              <w:jc w:val="center"/>
              <w:rPr>
                <w:sz w:val="22"/>
                <w:szCs w:val="22"/>
              </w:rPr>
            </w:pPr>
          </w:p>
        </w:tc>
        <w:tc>
          <w:tcPr>
            <w:tcW w:w="593" w:type="pct"/>
            <w:tcBorders>
              <w:top w:val="single" w:sz="4" w:space="0" w:color="auto"/>
              <w:left w:val="single" w:sz="4" w:space="0" w:color="auto"/>
              <w:bottom w:val="single" w:sz="12" w:space="0" w:color="auto"/>
              <w:right w:val="single" w:sz="4" w:space="0" w:color="auto"/>
            </w:tcBorders>
            <w:hideMark/>
          </w:tcPr>
          <w:p w14:paraId="41068D22" w14:textId="77777777" w:rsidR="00540B03" w:rsidRDefault="00540B03">
            <w:pPr>
              <w:widowControl w:val="0"/>
              <w:jc w:val="center"/>
              <w:rPr>
                <w:b/>
                <w:sz w:val="22"/>
                <w:szCs w:val="22"/>
              </w:rPr>
            </w:pPr>
            <w:r>
              <w:rPr>
                <w:b/>
                <w:sz w:val="22"/>
                <w:szCs w:val="22"/>
              </w:rPr>
              <w:t>Ikke kendte</w:t>
            </w:r>
          </w:p>
        </w:tc>
      </w:tr>
      <w:tr w:rsidR="00540B03" w14:paraId="3DD764F8"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3429ECCC" w14:textId="77777777" w:rsidR="00540B03" w:rsidRDefault="00540B03">
            <w:pPr>
              <w:widowControl w:val="0"/>
              <w:rPr>
                <w:b/>
                <w:sz w:val="22"/>
                <w:szCs w:val="22"/>
              </w:rPr>
            </w:pPr>
            <w:r>
              <w:rPr>
                <w:b/>
                <w:sz w:val="22"/>
                <w:szCs w:val="22"/>
              </w:rPr>
              <w:t>Immunsystemet</w:t>
            </w:r>
          </w:p>
        </w:tc>
        <w:tc>
          <w:tcPr>
            <w:tcW w:w="714" w:type="pct"/>
            <w:tcBorders>
              <w:top w:val="single" w:sz="4" w:space="0" w:color="auto"/>
              <w:left w:val="single" w:sz="4" w:space="0" w:color="auto"/>
              <w:bottom w:val="single" w:sz="4" w:space="0" w:color="auto"/>
              <w:right w:val="single" w:sz="4" w:space="0" w:color="auto"/>
            </w:tcBorders>
          </w:tcPr>
          <w:p w14:paraId="476E27F3"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tcPr>
          <w:p w14:paraId="67FF66F2" w14:textId="77777777" w:rsidR="00540B03" w:rsidRDefault="00540B03">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4C1D51AB" w14:textId="77777777" w:rsidR="00540B03" w:rsidRDefault="00540B03">
            <w:pPr>
              <w:widowControl w:val="0"/>
              <w:snapToGrid w:val="0"/>
              <w:jc w:val="center"/>
              <w:rPr>
                <w:sz w:val="22"/>
                <w:szCs w:val="22"/>
              </w:rPr>
            </w:pPr>
            <w:r>
              <w:rPr>
                <w:sz w:val="22"/>
                <w:szCs w:val="22"/>
              </w:rPr>
              <w:t>Overfølsomhed over for lægemidlet*</w:t>
            </w:r>
          </w:p>
        </w:tc>
        <w:tc>
          <w:tcPr>
            <w:tcW w:w="756" w:type="pct"/>
            <w:tcBorders>
              <w:top w:val="single" w:sz="4" w:space="0" w:color="auto"/>
              <w:left w:val="single" w:sz="4" w:space="0" w:color="auto"/>
              <w:bottom w:val="single" w:sz="4" w:space="0" w:color="auto"/>
              <w:right w:val="single" w:sz="4" w:space="0" w:color="auto"/>
            </w:tcBorders>
          </w:tcPr>
          <w:p w14:paraId="1BD2DB59" w14:textId="77777777" w:rsidR="00540B03" w:rsidRDefault="00540B03">
            <w:pPr>
              <w:widowControl w:val="0"/>
              <w:snapToGrid w:val="0"/>
              <w:jc w:val="center"/>
              <w:rPr>
                <w:sz w:val="22"/>
                <w:szCs w:val="22"/>
                <w:highlight w:val="yellow"/>
              </w:rPr>
            </w:pPr>
          </w:p>
        </w:tc>
        <w:tc>
          <w:tcPr>
            <w:tcW w:w="593" w:type="pct"/>
            <w:tcBorders>
              <w:top w:val="single" w:sz="4" w:space="0" w:color="auto"/>
              <w:left w:val="single" w:sz="4" w:space="0" w:color="auto"/>
              <w:bottom w:val="single" w:sz="4" w:space="0" w:color="auto"/>
              <w:right w:val="single" w:sz="4" w:space="0" w:color="auto"/>
            </w:tcBorders>
          </w:tcPr>
          <w:p w14:paraId="0335B117" w14:textId="77777777" w:rsidR="00540B03" w:rsidRDefault="00540B03">
            <w:pPr>
              <w:widowControl w:val="0"/>
              <w:snapToGrid w:val="0"/>
              <w:jc w:val="center"/>
              <w:rPr>
                <w:sz w:val="22"/>
                <w:szCs w:val="22"/>
                <w:highlight w:val="yellow"/>
              </w:rPr>
            </w:pPr>
          </w:p>
        </w:tc>
      </w:tr>
      <w:tr w:rsidR="00540B03" w14:paraId="04DA9963" w14:textId="77777777" w:rsidTr="00540B03">
        <w:trPr>
          <w:trHeight w:val="412"/>
        </w:trPr>
        <w:tc>
          <w:tcPr>
            <w:tcW w:w="1032" w:type="pct"/>
            <w:tcBorders>
              <w:top w:val="single" w:sz="4" w:space="0" w:color="auto"/>
              <w:left w:val="single" w:sz="4" w:space="0" w:color="auto"/>
              <w:bottom w:val="single" w:sz="4" w:space="0" w:color="auto"/>
              <w:right w:val="single" w:sz="4" w:space="0" w:color="auto"/>
            </w:tcBorders>
            <w:hideMark/>
          </w:tcPr>
          <w:p w14:paraId="0B495EFB" w14:textId="77777777" w:rsidR="00540B03" w:rsidRDefault="00540B03">
            <w:pPr>
              <w:widowControl w:val="0"/>
              <w:rPr>
                <w:b/>
                <w:sz w:val="22"/>
                <w:szCs w:val="22"/>
              </w:rPr>
            </w:pPr>
            <w:r>
              <w:rPr>
                <w:b/>
                <w:sz w:val="22"/>
                <w:szCs w:val="22"/>
              </w:rPr>
              <w:t>Metabolisme og ernæring</w:t>
            </w:r>
          </w:p>
        </w:tc>
        <w:tc>
          <w:tcPr>
            <w:tcW w:w="714" w:type="pct"/>
            <w:tcBorders>
              <w:top w:val="single" w:sz="4" w:space="0" w:color="auto"/>
              <w:left w:val="single" w:sz="4" w:space="0" w:color="auto"/>
              <w:bottom w:val="single" w:sz="4" w:space="0" w:color="auto"/>
              <w:right w:val="single" w:sz="4" w:space="0" w:color="auto"/>
            </w:tcBorders>
          </w:tcPr>
          <w:p w14:paraId="18CD8858"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hideMark/>
          </w:tcPr>
          <w:p w14:paraId="1FF4648C" w14:textId="77777777" w:rsidR="00540B03" w:rsidRDefault="00540B03">
            <w:pPr>
              <w:widowControl w:val="0"/>
              <w:snapToGrid w:val="0"/>
              <w:jc w:val="center"/>
              <w:rPr>
                <w:sz w:val="22"/>
                <w:szCs w:val="22"/>
              </w:rPr>
            </w:pPr>
            <w:r>
              <w:rPr>
                <w:sz w:val="22"/>
                <w:szCs w:val="22"/>
              </w:rPr>
              <w:t>Nedsat appetit</w:t>
            </w:r>
          </w:p>
        </w:tc>
        <w:tc>
          <w:tcPr>
            <w:tcW w:w="1111" w:type="pct"/>
            <w:tcBorders>
              <w:top w:val="single" w:sz="4" w:space="0" w:color="auto"/>
              <w:left w:val="single" w:sz="4" w:space="0" w:color="auto"/>
              <w:bottom w:val="single" w:sz="4" w:space="0" w:color="auto"/>
              <w:right w:val="single" w:sz="4" w:space="0" w:color="auto"/>
            </w:tcBorders>
            <w:hideMark/>
          </w:tcPr>
          <w:p w14:paraId="7DC21AC2" w14:textId="77777777" w:rsidR="00540B03" w:rsidRDefault="00540B03">
            <w:pPr>
              <w:widowControl w:val="0"/>
              <w:snapToGrid w:val="0"/>
              <w:jc w:val="center"/>
              <w:rPr>
                <w:sz w:val="22"/>
                <w:szCs w:val="22"/>
              </w:rPr>
            </w:pPr>
            <w:r>
              <w:rPr>
                <w:sz w:val="22"/>
                <w:szCs w:val="22"/>
              </w:rPr>
              <w:t>Vægttab</w:t>
            </w:r>
          </w:p>
        </w:tc>
        <w:tc>
          <w:tcPr>
            <w:tcW w:w="756" w:type="pct"/>
            <w:tcBorders>
              <w:top w:val="single" w:sz="4" w:space="0" w:color="auto"/>
              <w:left w:val="single" w:sz="4" w:space="0" w:color="auto"/>
              <w:bottom w:val="single" w:sz="4" w:space="0" w:color="auto"/>
              <w:right w:val="single" w:sz="4" w:space="0" w:color="auto"/>
            </w:tcBorders>
          </w:tcPr>
          <w:p w14:paraId="1A8984C2" w14:textId="77777777" w:rsidR="00540B03" w:rsidRDefault="00540B03">
            <w:pPr>
              <w:widowControl w:val="0"/>
              <w:snapToGrid w:val="0"/>
              <w:jc w:val="center"/>
              <w:rPr>
                <w:sz w:val="22"/>
                <w:szCs w:val="22"/>
                <w:highlight w:val="yellow"/>
              </w:rPr>
            </w:pPr>
          </w:p>
        </w:tc>
        <w:tc>
          <w:tcPr>
            <w:tcW w:w="593" w:type="pct"/>
            <w:tcBorders>
              <w:top w:val="single" w:sz="4" w:space="0" w:color="auto"/>
              <w:left w:val="single" w:sz="4" w:space="0" w:color="auto"/>
              <w:bottom w:val="single" w:sz="4" w:space="0" w:color="auto"/>
              <w:right w:val="single" w:sz="4" w:space="0" w:color="auto"/>
            </w:tcBorders>
          </w:tcPr>
          <w:p w14:paraId="28B6B8C1" w14:textId="77777777" w:rsidR="00540B03" w:rsidRDefault="00540B03">
            <w:pPr>
              <w:widowControl w:val="0"/>
              <w:snapToGrid w:val="0"/>
              <w:jc w:val="center"/>
              <w:rPr>
                <w:sz w:val="22"/>
                <w:szCs w:val="22"/>
                <w:highlight w:val="yellow"/>
              </w:rPr>
            </w:pPr>
          </w:p>
        </w:tc>
      </w:tr>
      <w:tr w:rsidR="00540B03" w14:paraId="61E13A1C"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513B1333" w14:textId="77777777" w:rsidR="00540B03" w:rsidRDefault="00540B03">
            <w:pPr>
              <w:widowControl w:val="0"/>
              <w:snapToGrid w:val="0"/>
              <w:rPr>
                <w:sz w:val="22"/>
                <w:szCs w:val="22"/>
              </w:rPr>
            </w:pPr>
            <w:r>
              <w:rPr>
                <w:b/>
                <w:sz w:val="22"/>
                <w:szCs w:val="22"/>
              </w:rPr>
              <w:t>Psykiske forstyrrelser</w:t>
            </w:r>
          </w:p>
        </w:tc>
        <w:tc>
          <w:tcPr>
            <w:tcW w:w="714" w:type="pct"/>
            <w:tcBorders>
              <w:top w:val="single" w:sz="4" w:space="0" w:color="auto"/>
              <w:left w:val="single" w:sz="4" w:space="0" w:color="auto"/>
              <w:bottom w:val="single" w:sz="4" w:space="0" w:color="auto"/>
              <w:right w:val="single" w:sz="4" w:space="0" w:color="auto"/>
            </w:tcBorders>
          </w:tcPr>
          <w:p w14:paraId="625C7A1F"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hideMark/>
          </w:tcPr>
          <w:p w14:paraId="10C5D500" w14:textId="77777777" w:rsidR="00540B03" w:rsidRDefault="00540B03">
            <w:pPr>
              <w:widowControl w:val="0"/>
              <w:snapToGrid w:val="0"/>
              <w:jc w:val="center"/>
              <w:rPr>
                <w:sz w:val="22"/>
                <w:szCs w:val="22"/>
                <w:highlight w:val="yellow"/>
              </w:rPr>
            </w:pPr>
            <w:r>
              <w:rPr>
                <w:sz w:val="22"/>
                <w:szCs w:val="22"/>
              </w:rPr>
              <w:t>Angst, depression, søvn</w:t>
            </w:r>
            <w:r>
              <w:rPr>
                <w:sz w:val="22"/>
                <w:szCs w:val="22"/>
              </w:rPr>
              <w:softHyphen/>
              <w:t>forstyrrelser, nervøsitet, rastløshed</w:t>
            </w:r>
          </w:p>
        </w:tc>
        <w:tc>
          <w:tcPr>
            <w:tcW w:w="1111" w:type="pct"/>
            <w:tcBorders>
              <w:top w:val="single" w:sz="4" w:space="0" w:color="auto"/>
              <w:left w:val="single" w:sz="4" w:space="0" w:color="auto"/>
              <w:bottom w:val="single" w:sz="4" w:space="0" w:color="auto"/>
              <w:right w:val="single" w:sz="4" w:space="0" w:color="auto"/>
            </w:tcBorders>
            <w:hideMark/>
          </w:tcPr>
          <w:p w14:paraId="10891D65" w14:textId="77777777" w:rsidR="00540B03" w:rsidRDefault="00540B03">
            <w:pPr>
              <w:widowControl w:val="0"/>
              <w:snapToGrid w:val="0"/>
              <w:jc w:val="center"/>
              <w:rPr>
                <w:sz w:val="22"/>
                <w:szCs w:val="22"/>
                <w:highlight w:val="yellow"/>
              </w:rPr>
            </w:pPr>
            <w:r>
              <w:rPr>
                <w:sz w:val="22"/>
                <w:szCs w:val="22"/>
              </w:rPr>
              <w:t>Desorientering, konfusion, agitation, nedsat opfattelsesevne, unormalt drømmemønster, eufori</w:t>
            </w:r>
          </w:p>
        </w:tc>
        <w:tc>
          <w:tcPr>
            <w:tcW w:w="756" w:type="pct"/>
            <w:tcBorders>
              <w:top w:val="single" w:sz="4" w:space="0" w:color="auto"/>
              <w:left w:val="single" w:sz="4" w:space="0" w:color="auto"/>
              <w:bottom w:val="single" w:sz="4" w:space="0" w:color="auto"/>
              <w:right w:val="single" w:sz="4" w:space="0" w:color="auto"/>
            </w:tcBorders>
            <w:hideMark/>
          </w:tcPr>
          <w:p w14:paraId="77396E99" w14:textId="77777777" w:rsidR="00540B03" w:rsidRDefault="00540B03">
            <w:pPr>
              <w:widowControl w:val="0"/>
              <w:snapToGrid w:val="0"/>
              <w:jc w:val="center"/>
              <w:rPr>
                <w:sz w:val="22"/>
                <w:szCs w:val="22"/>
              </w:rPr>
            </w:pPr>
            <w:r>
              <w:rPr>
                <w:sz w:val="22"/>
                <w:szCs w:val="22"/>
              </w:rPr>
              <w:t>Lægemiddel</w:t>
            </w:r>
            <w:r>
              <w:rPr>
                <w:sz w:val="22"/>
                <w:szCs w:val="22"/>
              </w:rPr>
              <w:softHyphen/>
              <w:t>afhængig</w:t>
            </w:r>
            <w:r>
              <w:rPr>
                <w:sz w:val="22"/>
                <w:szCs w:val="22"/>
              </w:rPr>
              <w:softHyphen/>
              <w:t>hed, tanke</w:t>
            </w:r>
            <w:r>
              <w:rPr>
                <w:sz w:val="22"/>
                <w:szCs w:val="22"/>
              </w:rPr>
              <w:softHyphen/>
              <w:t>forstyrrelser</w:t>
            </w:r>
          </w:p>
        </w:tc>
        <w:tc>
          <w:tcPr>
            <w:tcW w:w="593" w:type="pct"/>
            <w:tcBorders>
              <w:top w:val="single" w:sz="4" w:space="0" w:color="auto"/>
              <w:left w:val="single" w:sz="4" w:space="0" w:color="auto"/>
              <w:bottom w:val="single" w:sz="4" w:space="0" w:color="auto"/>
              <w:right w:val="single" w:sz="4" w:space="0" w:color="auto"/>
            </w:tcBorders>
            <w:tcMar>
              <w:top w:w="0" w:type="dxa"/>
              <w:left w:w="70" w:type="dxa"/>
              <w:bottom w:w="0" w:type="dxa"/>
              <w:right w:w="28" w:type="dxa"/>
            </w:tcMar>
            <w:hideMark/>
          </w:tcPr>
          <w:p w14:paraId="7154EBA6" w14:textId="77777777" w:rsidR="00540B03" w:rsidRDefault="00540B03">
            <w:pPr>
              <w:widowControl w:val="0"/>
              <w:snapToGrid w:val="0"/>
              <w:jc w:val="center"/>
              <w:rPr>
                <w:sz w:val="22"/>
                <w:szCs w:val="22"/>
              </w:rPr>
            </w:pPr>
            <w:r>
              <w:rPr>
                <w:sz w:val="22"/>
                <w:szCs w:val="22"/>
              </w:rPr>
              <w:t>Delirium**</w:t>
            </w:r>
          </w:p>
        </w:tc>
      </w:tr>
      <w:tr w:rsidR="00540B03" w14:paraId="55AF9EC3"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187F394A" w14:textId="77777777" w:rsidR="00540B03" w:rsidRDefault="00540B03">
            <w:pPr>
              <w:widowControl w:val="0"/>
              <w:snapToGrid w:val="0"/>
              <w:rPr>
                <w:sz w:val="22"/>
                <w:szCs w:val="22"/>
              </w:rPr>
            </w:pPr>
            <w:r>
              <w:rPr>
                <w:b/>
                <w:sz w:val="22"/>
                <w:szCs w:val="22"/>
              </w:rPr>
              <w:t>Nerve</w:t>
            </w:r>
            <w:r>
              <w:rPr>
                <w:b/>
                <w:sz w:val="22"/>
                <w:szCs w:val="22"/>
              </w:rPr>
              <w:softHyphen/>
              <w:t>systemet</w:t>
            </w:r>
          </w:p>
        </w:tc>
        <w:tc>
          <w:tcPr>
            <w:tcW w:w="714" w:type="pct"/>
            <w:tcBorders>
              <w:top w:val="single" w:sz="4" w:space="0" w:color="auto"/>
              <w:left w:val="single" w:sz="4" w:space="0" w:color="auto"/>
              <w:bottom w:val="single" w:sz="4" w:space="0" w:color="auto"/>
              <w:right w:val="single" w:sz="4" w:space="0" w:color="auto"/>
            </w:tcBorders>
            <w:hideMark/>
          </w:tcPr>
          <w:p w14:paraId="63C57BAF" w14:textId="77777777" w:rsidR="00540B03" w:rsidRDefault="00540B03">
            <w:pPr>
              <w:widowControl w:val="0"/>
              <w:snapToGrid w:val="0"/>
              <w:jc w:val="center"/>
              <w:rPr>
                <w:sz w:val="22"/>
                <w:szCs w:val="22"/>
                <w:highlight w:val="yellow"/>
              </w:rPr>
            </w:pPr>
            <w:r>
              <w:rPr>
                <w:sz w:val="22"/>
                <w:szCs w:val="22"/>
              </w:rPr>
              <w:t>Svimmelhed, døsighed, hovedpine</w:t>
            </w:r>
          </w:p>
        </w:tc>
        <w:tc>
          <w:tcPr>
            <w:tcW w:w="794" w:type="pct"/>
            <w:tcBorders>
              <w:top w:val="single" w:sz="4" w:space="0" w:color="auto"/>
              <w:left w:val="single" w:sz="4" w:space="0" w:color="auto"/>
              <w:bottom w:val="single" w:sz="4" w:space="0" w:color="auto"/>
              <w:right w:val="single" w:sz="4" w:space="0" w:color="auto"/>
            </w:tcBorders>
            <w:hideMark/>
          </w:tcPr>
          <w:p w14:paraId="2A26E46F" w14:textId="77777777" w:rsidR="00540B03" w:rsidRDefault="00540B03">
            <w:pPr>
              <w:widowControl w:val="0"/>
              <w:snapToGrid w:val="0"/>
              <w:jc w:val="center"/>
              <w:rPr>
                <w:sz w:val="22"/>
                <w:szCs w:val="22"/>
                <w:highlight w:val="yellow"/>
              </w:rPr>
            </w:pPr>
            <w:r>
              <w:rPr>
                <w:sz w:val="22"/>
                <w:szCs w:val="22"/>
              </w:rPr>
              <w:t>Opmærksom</w:t>
            </w:r>
            <w:r>
              <w:rPr>
                <w:sz w:val="22"/>
                <w:szCs w:val="22"/>
              </w:rPr>
              <w:softHyphen/>
              <w:t>hedsforstyrrel</w:t>
            </w:r>
            <w:r>
              <w:rPr>
                <w:sz w:val="22"/>
                <w:szCs w:val="22"/>
              </w:rPr>
              <w:softHyphen/>
              <w:t>ser, tremor, ufrivillige muskelsammen</w:t>
            </w:r>
            <w:r>
              <w:rPr>
                <w:sz w:val="22"/>
                <w:szCs w:val="22"/>
              </w:rPr>
              <w:softHyphen/>
              <w:t>træk</w:t>
            </w:r>
            <w:r>
              <w:rPr>
                <w:sz w:val="22"/>
                <w:szCs w:val="22"/>
              </w:rPr>
              <w:softHyphen/>
              <w:t>ninger</w:t>
            </w:r>
          </w:p>
        </w:tc>
        <w:tc>
          <w:tcPr>
            <w:tcW w:w="1111" w:type="pct"/>
            <w:tcBorders>
              <w:top w:val="single" w:sz="4" w:space="0" w:color="auto"/>
              <w:left w:val="single" w:sz="4" w:space="0" w:color="auto"/>
              <w:bottom w:val="single" w:sz="4" w:space="0" w:color="auto"/>
              <w:right w:val="single" w:sz="4" w:space="0" w:color="auto"/>
            </w:tcBorders>
            <w:hideMark/>
          </w:tcPr>
          <w:p w14:paraId="31163378" w14:textId="77777777" w:rsidR="00540B03" w:rsidRDefault="00540B03">
            <w:pPr>
              <w:widowControl w:val="0"/>
              <w:snapToGrid w:val="0"/>
              <w:jc w:val="center"/>
              <w:rPr>
                <w:sz w:val="22"/>
                <w:szCs w:val="22"/>
                <w:highlight w:val="yellow"/>
              </w:rPr>
            </w:pPr>
            <w:r>
              <w:rPr>
                <w:sz w:val="22"/>
                <w:szCs w:val="22"/>
              </w:rPr>
              <w:t>Nedsat bevidsthedsniveau, hukommelsessvigt, psykisk funktionsnedsættelse, synkope, sedation, balance</w:t>
            </w:r>
            <w:r>
              <w:rPr>
                <w:sz w:val="22"/>
                <w:szCs w:val="22"/>
              </w:rPr>
              <w:softHyphen/>
              <w:t>forstyrrelser, dysartri, hypoæstesi, paræstesi</w:t>
            </w:r>
          </w:p>
        </w:tc>
        <w:tc>
          <w:tcPr>
            <w:tcW w:w="756" w:type="pct"/>
            <w:tcBorders>
              <w:top w:val="single" w:sz="4" w:space="0" w:color="auto"/>
              <w:left w:val="single" w:sz="4" w:space="0" w:color="auto"/>
              <w:bottom w:val="single" w:sz="4" w:space="0" w:color="auto"/>
              <w:right w:val="single" w:sz="4" w:space="0" w:color="auto"/>
            </w:tcBorders>
            <w:hideMark/>
          </w:tcPr>
          <w:p w14:paraId="3BC13E76" w14:textId="77777777" w:rsidR="00540B03" w:rsidRDefault="00540B03">
            <w:pPr>
              <w:widowControl w:val="0"/>
              <w:snapToGrid w:val="0"/>
              <w:jc w:val="center"/>
              <w:rPr>
                <w:sz w:val="22"/>
                <w:szCs w:val="22"/>
              </w:rPr>
            </w:pPr>
            <w:bookmarkStart w:id="7" w:name="OLE_LINK41"/>
            <w:bookmarkStart w:id="8" w:name="OLE_LINK42"/>
            <w:r>
              <w:rPr>
                <w:sz w:val="22"/>
                <w:szCs w:val="22"/>
              </w:rPr>
              <w:t>Kramper, præsynkope, koordinations</w:t>
            </w:r>
            <w:r>
              <w:rPr>
                <w:sz w:val="22"/>
                <w:szCs w:val="22"/>
              </w:rPr>
              <w:softHyphen/>
              <w:t>problemer</w:t>
            </w:r>
            <w:bookmarkEnd w:id="7"/>
            <w:bookmarkEnd w:id="8"/>
          </w:p>
        </w:tc>
        <w:tc>
          <w:tcPr>
            <w:tcW w:w="593" w:type="pct"/>
            <w:tcBorders>
              <w:top w:val="single" w:sz="4" w:space="0" w:color="auto"/>
              <w:left w:val="single" w:sz="4" w:space="0" w:color="auto"/>
              <w:bottom w:val="single" w:sz="4" w:space="0" w:color="auto"/>
              <w:right w:val="single" w:sz="4" w:space="0" w:color="auto"/>
            </w:tcBorders>
          </w:tcPr>
          <w:p w14:paraId="7F8613B9" w14:textId="77777777" w:rsidR="00540B03" w:rsidRDefault="00540B03">
            <w:pPr>
              <w:widowControl w:val="0"/>
              <w:snapToGrid w:val="0"/>
              <w:jc w:val="center"/>
              <w:rPr>
                <w:sz w:val="22"/>
                <w:szCs w:val="22"/>
                <w:highlight w:val="yellow"/>
              </w:rPr>
            </w:pPr>
          </w:p>
        </w:tc>
      </w:tr>
      <w:tr w:rsidR="00540B03" w14:paraId="233C8809"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4D6A70BC" w14:textId="77777777" w:rsidR="00540B03" w:rsidRDefault="00540B03">
            <w:pPr>
              <w:widowControl w:val="0"/>
              <w:rPr>
                <w:b/>
                <w:sz w:val="22"/>
                <w:szCs w:val="22"/>
              </w:rPr>
            </w:pPr>
            <w:r>
              <w:rPr>
                <w:b/>
                <w:sz w:val="22"/>
                <w:szCs w:val="22"/>
              </w:rPr>
              <w:t>Øjne</w:t>
            </w:r>
          </w:p>
        </w:tc>
        <w:tc>
          <w:tcPr>
            <w:tcW w:w="714" w:type="pct"/>
            <w:tcBorders>
              <w:top w:val="single" w:sz="4" w:space="0" w:color="auto"/>
              <w:left w:val="single" w:sz="4" w:space="0" w:color="auto"/>
              <w:bottom w:val="single" w:sz="4" w:space="0" w:color="auto"/>
              <w:right w:val="single" w:sz="4" w:space="0" w:color="auto"/>
            </w:tcBorders>
          </w:tcPr>
          <w:p w14:paraId="0773CA98"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tcPr>
          <w:p w14:paraId="002FEB16" w14:textId="77777777" w:rsidR="00540B03" w:rsidRDefault="00540B03">
            <w:pPr>
              <w:widowControl w:val="0"/>
              <w:snapToGrid w:val="0"/>
              <w:jc w:val="center"/>
              <w:rPr>
                <w:sz w:val="22"/>
                <w:szCs w:val="22"/>
                <w:highlight w:val="yellow"/>
              </w:rPr>
            </w:pPr>
          </w:p>
        </w:tc>
        <w:tc>
          <w:tcPr>
            <w:tcW w:w="1111" w:type="pct"/>
            <w:tcBorders>
              <w:top w:val="single" w:sz="4" w:space="0" w:color="auto"/>
              <w:left w:val="single" w:sz="4" w:space="0" w:color="auto"/>
              <w:bottom w:val="single" w:sz="4" w:space="0" w:color="auto"/>
              <w:right w:val="single" w:sz="4" w:space="0" w:color="auto"/>
            </w:tcBorders>
            <w:hideMark/>
          </w:tcPr>
          <w:p w14:paraId="495A5181" w14:textId="77777777" w:rsidR="00540B03" w:rsidRDefault="00540B03">
            <w:pPr>
              <w:widowControl w:val="0"/>
              <w:snapToGrid w:val="0"/>
              <w:jc w:val="center"/>
              <w:rPr>
                <w:sz w:val="22"/>
                <w:szCs w:val="22"/>
              </w:rPr>
            </w:pPr>
            <w:r>
              <w:rPr>
                <w:sz w:val="22"/>
                <w:szCs w:val="22"/>
              </w:rPr>
              <w:t>Synsforstyrrelser</w:t>
            </w:r>
          </w:p>
        </w:tc>
        <w:tc>
          <w:tcPr>
            <w:tcW w:w="756" w:type="pct"/>
            <w:tcBorders>
              <w:top w:val="single" w:sz="4" w:space="0" w:color="auto"/>
              <w:left w:val="single" w:sz="4" w:space="0" w:color="auto"/>
              <w:bottom w:val="single" w:sz="4" w:space="0" w:color="auto"/>
              <w:right w:val="single" w:sz="4" w:space="0" w:color="auto"/>
            </w:tcBorders>
          </w:tcPr>
          <w:p w14:paraId="28F5A9A4" w14:textId="77777777" w:rsidR="00540B03" w:rsidRDefault="00540B03">
            <w:pPr>
              <w:widowControl w:val="0"/>
              <w:snapToGrid w:val="0"/>
              <w:jc w:val="center"/>
              <w:rPr>
                <w:sz w:val="22"/>
                <w:szCs w:val="22"/>
                <w:highlight w:val="yellow"/>
              </w:rPr>
            </w:pPr>
          </w:p>
        </w:tc>
        <w:tc>
          <w:tcPr>
            <w:tcW w:w="593" w:type="pct"/>
            <w:tcBorders>
              <w:top w:val="single" w:sz="4" w:space="0" w:color="auto"/>
              <w:left w:val="single" w:sz="4" w:space="0" w:color="auto"/>
              <w:bottom w:val="single" w:sz="4" w:space="0" w:color="auto"/>
              <w:right w:val="single" w:sz="4" w:space="0" w:color="auto"/>
            </w:tcBorders>
          </w:tcPr>
          <w:p w14:paraId="7379D064" w14:textId="77777777" w:rsidR="00540B03" w:rsidRDefault="00540B03">
            <w:pPr>
              <w:widowControl w:val="0"/>
              <w:snapToGrid w:val="0"/>
              <w:jc w:val="center"/>
              <w:rPr>
                <w:sz w:val="22"/>
                <w:szCs w:val="22"/>
                <w:highlight w:val="yellow"/>
              </w:rPr>
            </w:pPr>
          </w:p>
        </w:tc>
      </w:tr>
      <w:tr w:rsidR="00540B03" w14:paraId="5CADE554"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643B96E9" w14:textId="77777777" w:rsidR="00540B03" w:rsidRDefault="00540B03">
            <w:pPr>
              <w:widowControl w:val="0"/>
              <w:rPr>
                <w:b/>
                <w:sz w:val="22"/>
                <w:szCs w:val="22"/>
              </w:rPr>
            </w:pPr>
            <w:r>
              <w:rPr>
                <w:b/>
                <w:sz w:val="22"/>
                <w:szCs w:val="22"/>
              </w:rPr>
              <w:t>Hjerte</w:t>
            </w:r>
          </w:p>
        </w:tc>
        <w:tc>
          <w:tcPr>
            <w:tcW w:w="714" w:type="pct"/>
            <w:tcBorders>
              <w:top w:val="single" w:sz="4" w:space="0" w:color="auto"/>
              <w:left w:val="single" w:sz="4" w:space="0" w:color="auto"/>
              <w:bottom w:val="single" w:sz="4" w:space="0" w:color="auto"/>
              <w:right w:val="single" w:sz="4" w:space="0" w:color="auto"/>
            </w:tcBorders>
          </w:tcPr>
          <w:p w14:paraId="5D195A16"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tcPr>
          <w:p w14:paraId="30A1D7FB" w14:textId="77777777" w:rsidR="00540B03" w:rsidRDefault="00540B03">
            <w:pPr>
              <w:widowControl w:val="0"/>
              <w:snapToGrid w:val="0"/>
              <w:jc w:val="center"/>
              <w:rPr>
                <w:sz w:val="22"/>
                <w:szCs w:val="22"/>
                <w:highlight w:val="yellow"/>
              </w:rPr>
            </w:pPr>
          </w:p>
        </w:tc>
        <w:tc>
          <w:tcPr>
            <w:tcW w:w="1111" w:type="pct"/>
            <w:tcBorders>
              <w:top w:val="single" w:sz="4" w:space="0" w:color="auto"/>
              <w:left w:val="single" w:sz="4" w:space="0" w:color="auto"/>
              <w:bottom w:val="single" w:sz="4" w:space="0" w:color="auto"/>
              <w:right w:val="single" w:sz="4" w:space="0" w:color="auto"/>
            </w:tcBorders>
            <w:hideMark/>
          </w:tcPr>
          <w:p w14:paraId="4BE797CB" w14:textId="77777777" w:rsidR="00540B03" w:rsidRDefault="00540B03">
            <w:pPr>
              <w:widowControl w:val="0"/>
              <w:snapToGrid w:val="0"/>
              <w:jc w:val="center"/>
              <w:rPr>
                <w:sz w:val="22"/>
                <w:szCs w:val="22"/>
              </w:rPr>
            </w:pPr>
            <w:r>
              <w:rPr>
                <w:sz w:val="22"/>
                <w:szCs w:val="22"/>
              </w:rPr>
              <w:t>Øget hjertefrekvens, nedsat hjertefrekvens, palpitationer</w:t>
            </w:r>
          </w:p>
        </w:tc>
        <w:tc>
          <w:tcPr>
            <w:tcW w:w="756" w:type="pct"/>
            <w:tcBorders>
              <w:top w:val="single" w:sz="4" w:space="0" w:color="auto"/>
              <w:left w:val="single" w:sz="4" w:space="0" w:color="auto"/>
              <w:bottom w:val="single" w:sz="4" w:space="0" w:color="auto"/>
              <w:right w:val="single" w:sz="4" w:space="0" w:color="auto"/>
            </w:tcBorders>
          </w:tcPr>
          <w:p w14:paraId="0EB717E6" w14:textId="77777777" w:rsidR="00540B03" w:rsidRDefault="00540B03">
            <w:pPr>
              <w:widowControl w:val="0"/>
              <w:snapToGrid w:val="0"/>
              <w:jc w:val="center"/>
              <w:rPr>
                <w:sz w:val="22"/>
                <w:szCs w:val="22"/>
                <w:highlight w:val="yellow"/>
              </w:rPr>
            </w:pPr>
          </w:p>
        </w:tc>
        <w:tc>
          <w:tcPr>
            <w:tcW w:w="593" w:type="pct"/>
            <w:tcBorders>
              <w:top w:val="single" w:sz="4" w:space="0" w:color="auto"/>
              <w:left w:val="single" w:sz="4" w:space="0" w:color="auto"/>
              <w:bottom w:val="single" w:sz="4" w:space="0" w:color="auto"/>
              <w:right w:val="single" w:sz="4" w:space="0" w:color="auto"/>
            </w:tcBorders>
          </w:tcPr>
          <w:p w14:paraId="211C7B2B" w14:textId="77777777" w:rsidR="00540B03" w:rsidRDefault="00540B03">
            <w:pPr>
              <w:widowControl w:val="0"/>
              <w:snapToGrid w:val="0"/>
              <w:jc w:val="center"/>
              <w:rPr>
                <w:sz w:val="22"/>
                <w:szCs w:val="22"/>
                <w:highlight w:val="yellow"/>
              </w:rPr>
            </w:pPr>
          </w:p>
        </w:tc>
      </w:tr>
      <w:tr w:rsidR="00540B03" w14:paraId="163BA6C6"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1643B703" w14:textId="77777777" w:rsidR="00540B03" w:rsidRDefault="00540B03">
            <w:pPr>
              <w:widowControl w:val="0"/>
              <w:snapToGrid w:val="0"/>
              <w:rPr>
                <w:sz w:val="22"/>
                <w:szCs w:val="22"/>
              </w:rPr>
            </w:pPr>
            <w:r>
              <w:rPr>
                <w:b/>
                <w:sz w:val="22"/>
                <w:szCs w:val="22"/>
              </w:rPr>
              <w:t>Vaskulære sygdomme</w:t>
            </w:r>
          </w:p>
        </w:tc>
        <w:tc>
          <w:tcPr>
            <w:tcW w:w="714" w:type="pct"/>
            <w:tcBorders>
              <w:top w:val="single" w:sz="4" w:space="0" w:color="auto"/>
              <w:left w:val="single" w:sz="4" w:space="0" w:color="auto"/>
              <w:bottom w:val="single" w:sz="4" w:space="0" w:color="auto"/>
              <w:right w:val="single" w:sz="4" w:space="0" w:color="auto"/>
            </w:tcBorders>
          </w:tcPr>
          <w:p w14:paraId="3ED0AC5B"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hideMark/>
          </w:tcPr>
          <w:p w14:paraId="6670F6B9" w14:textId="77777777" w:rsidR="00540B03" w:rsidRDefault="00540B03">
            <w:pPr>
              <w:widowControl w:val="0"/>
              <w:snapToGrid w:val="0"/>
              <w:jc w:val="center"/>
              <w:rPr>
                <w:sz w:val="22"/>
                <w:szCs w:val="22"/>
              </w:rPr>
            </w:pPr>
            <w:r>
              <w:rPr>
                <w:sz w:val="22"/>
                <w:szCs w:val="22"/>
              </w:rPr>
              <w:t>Rødmen</w:t>
            </w:r>
          </w:p>
        </w:tc>
        <w:tc>
          <w:tcPr>
            <w:tcW w:w="1111" w:type="pct"/>
            <w:tcBorders>
              <w:top w:val="single" w:sz="4" w:space="0" w:color="auto"/>
              <w:left w:val="single" w:sz="4" w:space="0" w:color="auto"/>
              <w:bottom w:val="single" w:sz="4" w:space="0" w:color="auto"/>
              <w:right w:val="single" w:sz="4" w:space="0" w:color="auto"/>
            </w:tcBorders>
            <w:hideMark/>
          </w:tcPr>
          <w:p w14:paraId="16B604FB" w14:textId="77777777" w:rsidR="00540B03" w:rsidRDefault="00540B03">
            <w:pPr>
              <w:widowControl w:val="0"/>
              <w:snapToGrid w:val="0"/>
              <w:jc w:val="center"/>
              <w:rPr>
                <w:sz w:val="22"/>
                <w:szCs w:val="22"/>
              </w:rPr>
            </w:pPr>
            <w:r>
              <w:rPr>
                <w:sz w:val="22"/>
                <w:szCs w:val="22"/>
              </w:rPr>
              <w:t>Blodtryksfald</w:t>
            </w:r>
          </w:p>
        </w:tc>
        <w:tc>
          <w:tcPr>
            <w:tcW w:w="756" w:type="pct"/>
            <w:tcBorders>
              <w:top w:val="single" w:sz="4" w:space="0" w:color="auto"/>
              <w:left w:val="single" w:sz="4" w:space="0" w:color="auto"/>
              <w:bottom w:val="single" w:sz="4" w:space="0" w:color="auto"/>
              <w:right w:val="single" w:sz="4" w:space="0" w:color="auto"/>
            </w:tcBorders>
          </w:tcPr>
          <w:p w14:paraId="5FE9C8A1" w14:textId="77777777" w:rsidR="00540B03" w:rsidRDefault="00540B03">
            <w:pPr>
              <w:widowControl w:val="0"/>
              <w:snapToGrid w:val="0"/>
              <w:jc w:val="center"/>
              <w:rPr>
                <w:sz w:val="22"/>
                <w:szCs w:val="22"/>
                <w:highlight w:val="yellow"/>
              </w:rPr>
            </w:pPr>
          </w:p>
        </w:tc>
        <w:tc>
          <w:tcPr>
            <w:tcW w:w="593" w:type="pct"/>
            <w:tcBorders>
              <w:top w:val="single" w:sz="4" w:space="0" w:color="auto"/>
              <w:left w:val="single" w:sz="4" w:space="0" w:color="auto"/>
              <w:bottom w:val="single" w:sz="4" w:space="0" w:color="auto"/>
              <w:right w:val="single" w:sz="4" w:space="0" w:color="auto"/>
            </w:tcBorders>
          </w:tcPr>
          <w:p w14:paraId="26C2B237" w14:textId="77777777" w:rsidR="00540B03" w:rsidRDefault="00540B03">
            <w:pPr>
              <w:widowControl w:val="0"/>
              <w:snapToGrid w:val="0"/>
              <w:jc w:val="center"/>
              <w:rPr>
                <w:sz w:val="22"/>
                <w:szCs w:val="22"/>
                <w:highlight w:val="yellow"/>
              </w:rPr>
            </w:pPr>
          </w:p>
        </w:tc>
      </w:tr>
      <w:tr w:rsidR="00540B03" w14:paraId="4F8C0864"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0979B5A7" w14:textId="77777777" w:rsidR="00540B03" w:rsidRDefault="00540B03">
            <w:pPr>
              <w:widowControl w:val="0"/>
              <w:snapToGrid w:val="0"/>
              <w:rPr>
                <w:sz w:val="22"/>
                <w:szCs w:val="22"/>
              </w:rPr>
            </w:pPr>
            <w:r>
              <w:rPr>
                <w:b/>
                <w:sz w:val="22"/>
                <w:szCs w:val="22"/>
              </w:rPr>
              <w:t>Luftveje, thorax og mediastinum</w:t>
            </w:r>
          </w:p>
        </w:tc>
        <w:tc>
          <w:tcPr>
            <w:tcW w:w="714" w:type="pct"/>
            <w:tcBorders>
              <w:top w:val="single" w:sz="4" w:space="0" w:color="auto"/>
              <w:left w:val="single" w:sz="4" w:space="0" w:color="auto"/>
              <w:bottom w:val="single" w:sz="4" w:space="0" w:color="auto"/>
              <w:right w:val="single" w:sz="4" w:space="0" w:color="auto"/>
            </w:tcBorders>
          </w:tcPr>
          <w:p w14:paraId="1D3A723B"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hideMark/>
          </w:tcPr>
          <w:p w14:paraId="663CFB80" w14:textId="77777777" w:rsidR="00540B03" w:rsidRDefault="00540B03">
            <w:pPr>
              <w:widowControl w:val="0"/>
              <w:snapToGrid w:val="0"/>
              <w:jc w:val="center"/>
              <w:rPr>
                <w:sz w:val="22"/>
                <w:szCs w:val="22"/>
              </w:rPr>
            </w:pPr>
            <w:r>
              <w:rPr>
                <w:sz w:val="22"/>
                <w:szCs w:val="22"/>
              </w:rPr>
              <w:t>Dyspnø</w:t>
            </w:r>
          </w:p>
        </w:tc>
        <w:tc>
          <w:tcPr>
            <w:tcW w:w="1111" w:type="pct"/>
            <w:tcBorders>
              <w:top w:val="single" w:sz="4" w:space="0" w:color="auto"/>
              <w:left w:val="single" w:sz="4" w:space="0" w:color="auto"/>
              <w:bottom w:val="single" w:sz="4" w:space="0" w:color="auto"/>
              <w:right w:val="single" w:sz="4" w:space="0" w:color="auto"/>
            </w:tcBorders>
          </w:tcPr>
          <w:p w14:paraId="4C8954EF" w14:textId="77777777" w:rsidR="00540B03" w:rsidRDefault="00540B03">
            <w:pPr>
              <w:widowControl w:val="0"/>
              <w:snapToGrid w:val="0"/>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hideMark/>
          </w:tcPr>
          <w:p w14:paraId="4B8C4331" w14:textId="77777777" w:rsidR="00540B03" w:rsidRDefault="00540B03">
            <w:pPr>
              <w:widowControl w:val="0"/>
              <w:snapToGrid w:val="0"/>
              <w:jc w:val="center"/>
              <w:rPr>
                <w:sz w:val="22"/>
                <w:szCs w:val="22"/>
              </w:rPr>
            </w:pPr>
            <w:r>
              <w:rPr>
                <w:sz w:val="22"/>
                <w:szCs w:val="22"/>
              </w:rPr>
              <w:t>Respira</w:t>
            </w:r>
            <w:r>
              <w:rPr>
                <w:sz w:val="22"/>
                <w:szCs w:val="22"/>
              </w:rPr>
              <w:softHyphen/>
              <w:t>tions</w:t>
            </w:r>
            <w:r>
              <w:rPr>
                <w:sz w:val="22"/>
                <w:szCs w:val="22"/>
              </w:rPr>
              <w:softHyphen/>
              <w:t>depression</w:t>
            </w:r>
          </w:p>
        </w:tc>
        <w:tc>
          <w:tcPr>
            <w:tcW w:w="593" w:type="pct"/>
            <w:tcBorders>
              <w:top w:val="single" w:sz="4" w:space="0" w:color="auto"/>
              <w:left w:val="single" w:sz="4" w:space="0" w:color="auto"/>
              <w:bottom w:val="single" w:sz="4" w:space="0" w:color="auto"/>
              <w:right w:val="single" w:sz="4" w:space="0" w:color="auto"/>
            </w:tcBorders>
          </w:tcPr>
          <w:p w14:paraId="5EFA9DFE" w14:textId="77777777" w:rsidR="00540B03" w:rsidRDefault="00540B03">
            <w:pPr>
              <w:widowControl w:val="0"/>
              <w:snapToGrid w:val="0"/>
              <w:jc w:val="center"/>
              <w:rPr>
                <w:sz w:val="22"/>
                <w:szCs w:val="22"/>
                <w:highlight w:val="yellow"/>
              </w:rPr>
            </w:pPr>
          </w:p>
        </w:tc>
      </w:tr>
      <w:tr w:rsidR="00540B03" w14:paraId="0954E7F3"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4A2ACC7A" w14:textId="77777777" w:rsidR="00540B03" w:rsidRDefault="00540B03">
            <w:pPr>
              <w:rPr>
                <w:b/>
                <w:sz w:val="22"/>
                <w:szCs w:val="22"/>
              </w:rPr>
            </w:pPr>
            <w:r>
              <w:rPr>
                <w:b/>
                <w:sz w:val="22"/>
                <w:szCs w:val="22"/>
              </w:rPr>
              <w:t>Mave-tarm-kanalen</w:t>
            </w:r>
          </w:p>
        </w:tc>
        <w:tc>
          <w:tcPr>
            <w:tcW w:w="714" w:type="pct"/>
            <w:tcBorders>
              <w:top w:val="single" w:sz="4" w:space="0" w:color="auto"/>
              <w:left w:val="single" w:sz="4" w:space="0" w:color="auto"/>
              <w:bottom w:val="single" w:sz="4" w:space="0" w:color="auto"/>
              <w:right w:val="single" w:sz="4" w:space="0" w:color="auto"/>
            </w:tcBorders>
            <w:hideMark/>
          </w:tcPr>
          <w:p w14:paraId="66F35097" w14:textId="77777777" w:rsidR="00540B03" w:rsidRDefault="00540B03">
            <w:pPr>
              <w:jc w:val="center"/>
              <w:rPr>
                <w:sz w:val="22"/>
                <w:szCs w:val="22"/>
                <w:highlight w:val="yellow"/>
              </w:rPr>
            </w:pPr>
            <w:r>
              <w:rPr>
                <w:sz w:val="22"/>
                <w:szCs w:val="22"/>
              </w:rPr>
              <w:t>Kvalme, obstipation</w:t>
            </w:r>
          </w:p>
        </w:tc>
        <w:tc>
          <w:tcPr>
            <w:tcW w:w="794" w:type="pct"/>
            <w:tcBorders>
              <w:top w:val="single" w:sz="4" w:space="0" w:color="auto"/>
              <w:left w:val="single" w:sz="4" w:space="0" w:color="auto"/>
              <w:bottom w:val="single" w:sz="4" w:space="0" w:color="auto"/>
              <w:right w:val="single" w:sz="4" w:space="0" w:color="auto"/>
            </w:tcBorders>
            <w:hideMark/>
          </w:tcPr>
          <w:p w14:paraId="1F679CC1" w14:textId="77777777" w:rsidR="00540B03" w:rsidRDefault="00540B03">
            <w:pPr>
              <w:jc w:val="center"/>
              <w:rPr>
                <w:sz w:val="22"/>
                <w:szCs w:val="22"/>
              </w:rPr>
            </w:pPr>
            <w:r>
              <w:rPr>
                <w:sz w:val="22"/>
                <w:szCs w:val="22"/>
              </w:rPr>
              <w:t>Opkastning, diarré, dyspepsi</w:t>
            </w:r>
          </w:p>
        </w:tc>
        <w:tc>
          <w:tcPr>
            <w:tcW w:w="1111" w:type="pct"/>
            <w:tcBorders>
              <w:top w:val="single" w:sz="4" w:space="0" w:color="auto"/>
              <w:left w:val="single" w:sz="4" w:space="0" w:color="auto"/>
              <w:bottom w:val="single" w:sz="4" w:space="0" w:color="auto"/>
              <w:right w:val="single" w:sz="4" w:space="0" w:color="auto"/>
            </w:tcBorders>
            <w:hideMark/>
          </w:tcPr>
          <w:p w14:paraId="64F5612B" w14:textId="77777777" w:rsidR="00540B03" w:rsidRDefault="00540B03">
            <w:pPr>
              <w:jc w:val="center"/>
              <w:rPr>
                <w:sz w:val="22"/>
                <w:szCs w:val="22"/>
              </w:rPr>
            </w:pPr>
            <w:r>
              <w:rPr>
                <w:sz w:val="22"/>
                <w:szCs w:val="22"/>
              </w:rPr>
              <w:t>Abdominalgener</w:t>
            </w:r>
          </w:p>
        </w:tc>
        <w:tc>
          <w:tcPr>
            <w:tcW w:w="756" w:type="pct"/>
            <w:tcBorders>
              <w:top w:val="single" w:sz="4" w:space="0" w:color="auto"/>
              <w:left w:val="single" w:sz="4" w:space="0" w:color="auto"/>
              <w:bottom w:val="single" w:sz="4" w:space="0" w:color="auto"/>
              <w:right w:val="single" w:sz="4" w:space="0" w:color="auto"/>
            </w:tcBorders>
            <w:hideMark/>
          </w:tcPr>
          <w:p w14:paraId="349D8C48" w14:textId="77777777" w:rsidR="00540B03" w:rsidRDefault="00540B03">
            <w:pPr>
              <w:jc w:val="center"/>
              <w:rPr>
                <w:sz w:val="22"/>
                <w:szCs w:val="22"/>
              </w:rPr>
            </w:pPr>
            <w:r>
              <w:rPr>
                <w:sz w:val="22"/>
                <w:szCs w:val="22"/>
              </w:rPr>
              <w:t>Nedsat ventrikel</w:t>
            </w:r>
            <w:r>
              <w:rPr>
                <w:sz w:val="22"/>
                <w:szCs w:val="22"/>
              </w:rPr>
              <w:softHyphen/>
              <w:t>tømning</w:t>
            </w:r>
          </w:p>
        </w:tc>
        <w:tc>
          <w:tcPr>
            <w:tcW w:w="593" w:type="pct"/>
            <w:tcBorders>
              <w:top w:val="single" w:sz="4" w:space="0" w:color="auto"/>
              <w:left w:val="single" w:sz="4" w:space="0" w:color="auto"/>
              <w:bottom w:val="single" w:sz="4" w:space="0" w:color="auto"/>
              <w:right w:val="single" w:sz="4" w:space="0" w:color="auto"/>
            </w:tcBorders>
          </w:tcPr>
          <w:p w14:paraId="1B1B81F2" w14:textId="77777777" w:rsidR="00540B03" w:rsidRDefault="00540B03">
            <w:pPr>
              <w:jc w:val="center"/>
              <w:rPr>
                <w:sz w:val="22"/>
                <w:szCs w:val="22"/>
                <w:highlight w:val="yellow"/>
              </w:rPr>
            </w:pPr>
          </w:p>
        </w:tc>
      </w:tr>
      <w:tr w:rsidR="00540B03" w14:paraId="086BC28B"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19531040" w14:textId="77777777" w:rsidR="00540B03" w:rsidRDefault="00540B03">
            <w:pPr>
              <w:widowControl w:val="0"/>
              <w:rPr>
                <w:b/>
                <w:sz w:val="22"/>
                <w:szCs w:val="22"/>
              </w:rPr>
            </w:pPr>
            <w:r>
              <w:rPr>
                <w:b/>
                <w:sz w:val="22"/>
                <w:szCs w:val="22"/>
              </w:rPr>
              <w:t>Hud og subkutane væv</w:t>
            </w:r>
          </w:p>
        </w:tc>
        <w:tc>
          <w:tcPr>
            <w:tcW w:w="714" w:type="pct"/>
            <w:tcBorders>
              <w:top w:val="single" w:sz="4" w:space="0" w:color="auto"/>
              <w:left w:val="single" w:sz="4" w:space="0" w:color="auto"/>
              <w:bottom w:val="single" w:sz="4" w:space="0" w:color="auto"/>
              <w:right w:val="single" w:sz="4" w:space="0" w:color="auto"/>
            </w:tcBorders>
          </w:tcPr>
          <w:p w14:paraId="22A318DB"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hideMark/>
          </w:tcPr>
          <w:p w14:paraId="65FD4679" w14:textId="77777777" w:rsidR="00540B03" w:rsidRDefault="00540B03">
            <w:pPr>
              <w:widowControl w:val="0"/>
              <w:snapToGrid w:val="0"/>
              <w:jc w:val="center"/>
              <w:rPr>
                <w:sz w:val="22"/>
                <w:szCs w:val="22"/>
                <w:highlight w:val="yellow"/>
              </w:rPr>
            </w:pPr>
            <w:r>
              <w:rPr>
                <w:sz w:val="22"/>
                <w:szCs w:val="22"/>
              </w:rPr>
              <w:t>Pruritus, hyperhidrose, udslæt</w:t>
            </w:r>
          </w:p>
        </w:tc>
        <w:tc>
          <w:tcPr>
            <w:tcW w:w="1111" w:type="pct"/>
            <w:tcBorders>
              <w:top w:val="single" w:sz="4" w:space="0" w:color="auto"/>
              <w:left w:val="single" w:sz="4" w:space="0" w:color="auto"/>
              <w:bottom w:val="single" w:sz="4" w:space="0" w:color="auto"/>
              <w:right w:val="single" w:sz="4" w:space="0" w:color="auto"/>
            </w:tcBorders>
            <w:hideMark/>
          </w:tcPr>
          <w:p w14:paraId="408583A6" w14:textId="77777777" w:rsidR="00540B03" w:rsidRDefault="00540B03">
            <w:pPr>
              <w:widowControl w:val="0"/>
              <w:snapToGrid w:val="0"/>
              <w:jc w:val="center"/>
              <w:rPr>
                <w:sz w:val="22"/>
                <w:szCs w:val="22"/>
              </w:rPr>
            </w:pPr>
            <w:r>
              <w:rPr>
                <w:sz w:val="22"/>
                <w:szCs w:val="22"/>
              </w:rPr>
              <w:t>Urticaria</w:t>
            </w:r>
          </w:p>
        </w:tc>
        <w:tc>
          <w:tcPr>
            <w:tcW w:w="756" w:type="pct"/>
            <w:tcBorders>
              <w:top w:val="single" w:sz="4" w:space="0" w:color="auto"/>
              <w:left w:val="single" w:sz="4" w:space="0" w:color="auto"/>
              <w:bottom w:val="single" w:sz="4" w:space="0" w:color="auto"/>
              <w:right w:val="single" w:sz="4" w:space="0" w:color="auto"/>
            </w:tcBorders>
          </w:tcPr>
          <w:p w14:paraId="5D183C2A" w14:textId="77777777" w:rsidR="00540B03" w:rsidRDefault="00540B03">
            <w:pPr>
              <w:widowControl w:val="0"/>
              <w:snapToGrid w:val="0"/>
              <w:jc w:val="center"/>
              <w:rPr>
                <w:sz w:val="22"/>
                <w:szCs w:val="22"/>
                <w:highlight w:val="yellow"/>
              </w:rPr>
            </w:pPr>
          </w:p>
        </w:tc>
        <w:tc>
          <w:tcPr>
            <w:tcW w:w="593" w:type="pct"/>
            <w:tcBorders>
              <w:top w:val="single" w:sz="4" w:space="0" w:color="auto"/>
              <w:left w:val="single" w:sz="4" w:space="0" w:color="auto"/>
              <w:bottom w:val="single" w:sz="4" w:space="0" w:color="auto"/>
              <w:right w:val="single" w:sz="4" w:space="0" w:color="auto"/>
            </w:tcBorders>
          </w:tcPr>
          <w:p w14:paraId="05C8EE54" w14:textId="77777777" w:rsidR="00540B03" w:rsidRDefault="00540B03">
            <w:pPr>
              <w:widowControl w:val="0"/>
              <w:snapToGrid w:val="0"/>
              <w:jc w:val="center"/>
              <w:rPr>
                <w:sz w:val="22"/>
                <w:szCs w:val="22"/>
                <w:highlight w:val="yellow"/>
              </w:rPr>
            </w:pPr>
          </w:p>
        </w:tc>
      </w:tr>
      <w:tr w:rsidR="00540B03" w14:paraId="701B46A0"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2913008D" w14:textId="77777777" w:rsidR="00540B03" w:rsidRDefault="00540B03">
            <w:pPr>
              <w:widowControl w:val="0"/>
              <w:rPr>
                <w:b/>
                <w:sz w:val="22"/>
                <w:szCs w:val="22"/>
              </w:rPr>
            </w:pPr>
            <w:r>
              <w:rPr>
                <w:b/>
                <w:sz w:val="22"/>
                <w:szCs w:val="22"/>
              </w:rPr>
              <w:t>Nyrer og urinveje</w:t>
            </w:r>
          </w:p>
        </w:tc>
        <w:tc>
          <w:tcPr>
            <w:tcW w:w="714" w:type="pct"/>
            <w:tcBorders>
              <w:top w:val="single" w:sz="4" w:space="0" w:color="auto"/>
              <w:left w:val="single" w:sz="4" w:space="0" w:color="auto"/>
              <w:bottom w:val="single" w:sz="4" w:space="0" w:color="auto"/>
              <w:right w:val="single" w:sz="4" w:space="0" w:color="auto"/>
            </w:tcBorders>
          </w:tcPr>
          <w:p w14:paraId="5908E196"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tcPr>
          <w:p w14:paraId="44C31275" w14:textId="77777777" w:rsidR="00540B03" w:rsidRDefault="00540B03">
            <w:pPr>
              <w:widowControl w:val="0"/>
              <w:snapToGrid w:val="0"/>
              <w:jc w:val="center"/>
              <w:rPr>
                <w:sz w:val="22"/>
                <w:szCs w:val="22"/>
                <w:highlight w:val="yellow"/>
              </w:rPr>
            </w:pPr>
          </w:p>
        </w:tc>
        <w:tc>
          <w:tcPr>
            <w:tcW w:w="1111" w:type="pct"/>
            <w:tcBorders>
              <w:top w:val="single" w:sz="4" w:space="0" w:color="auto"/>
              <w:left w:val="single" w:sz="4" w:space="0" w:color="auto"/>
              <w:bottom w:val="single" w:sz="4" w:space="0" w:color="auto"/>
              <w:right w:val="single" w:sz="4" w:space="0" w:color="auto"/>
            </w:tcBorders>
            <w:hideMark/>
          </w:tcPr>
          <w:p w14:paraId="0AA7D99D" w14:textId="77777777" w:rsidR="00540B03" w:rsidRDefault="00540B03">
            <w:pPr>
              <w:widowControl w:val="0"/>
              <w:snapToGrid w:val="0"/>
              <w:jc w:val="center"/>
              <w:rPr>
                <w:sz w:val="22"/>
                <w:szCs w:val="22"/>
              </w:rPr>
            </w:pPr>
            <w:r>
              <w:rPr>
                <w:sz w:val="22"/>
                <w:szCs w:val="22"/>
              </w:rPr>
              <w:t>Igangsætningsbesvær ved vandladning, pollakisuri</w:t>
            </w:r>
          </w:p>
        </w:tc>
        <w:tc>
          <w:tcPr>
            <w:tcW w:w="756" w:type="pct"/>
            <w:tcBorders>
              <w:top w:val="single" w:sz="4" w:space="0" w:color="auto"/>
              <w:left w:val="single" w:sz="4" w:space="0" w:color="auto"/>
              <w:bottom w:val="single" w:sz="4" w:space="0" w:color="auto"/>
              <w:right w:val="single" w:sz="4" w:space="0" w:color="auto"/>
            </w:tcBorders>
          </w:tcPr>
          <w:p w14:paraId="64541DF8" w14:textId="77777777" w:rsidR="00540B03" w:rsidRDefault="00540B03">
            <w:pPr>
              <w:widowControl w:val="0"/>
              <w:snapToGrid w:val="0"/>
              <w:jc w:val="center"/>
              <w:rPr>
                <w:sz w:val="22"/>
                <w:szCs w:val="22"/>
                <w:highlight w:val="yellow"/>
              </w:rPr>
            </w:pPr>
          </w:p>
        </w:tc>
        <w:tc>
          <w:tcPr>
            <w:tcW w:w="593" w:type="pct"/>
            <w:tcBorders>
              <w:top w:val="single" w:sz="4" w:space="0" w:color="auto"/>
              <w:left w:val="single" w:sz="4" w:space="0" w:color="auto"/>
              <w:bottom w:val="single" w:sz="4" w:space="0" w:color="auto"/>
              <w:right w:val="single" w:sz="4" w:space="0" w:color="auto"/>
            </w:tcBorders>
          </w:tcPr>
          <w:p w14:paraId="0A0EAD4E" w14:textId="77777777" w:rsidR="00540B03" w:rsidRDefault="00540B03">
            <w:pPr>
              <w:widowControl w:val="0"/>
              <w:snapToGrid w:val="0"/>
              <w:jc w:val="center"/>
              <w:rPr>
                <w:sz w:val="22"/>
                <w:szCs w:val="22"/>
                <w:highlight w:val="yellow"/>
              </w:rPr>
            </w:pPr>
          </w:p>
        </w:tc>
      </w:tr>
      <w:tr w:rsidR="00540B03" w14:paraId="5D61DA0B"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6171584A" w14:textId="77777777" w:rsidR="00540B03" w:rsidRDefault="00540B03">
            <w:pPr>
              <w:widowControl w:val="0"/>
              <w:snapToGrid w:val="0"/>
              <w:rPr>
                <w:sz w:val="22"/>
                <w:szCs w:val="22"/>
              </w:rPr>
            </w:pPr>
            <w:r>
              <w:rPr>
                <w:b/>
                <w:sz w:val="22"/>
                <w:szCs w:val="22"/>
              </w:rPr>
              <w:t>Det reproduktive system og mammae</w:t>
            </w:r>
          </w:p>
        </w:tc>
        <w:tc>
          <w:tcPr>
            <w:tcW w:w="714" w:type="pct"/>
            <w:tcBorders>
              <w:top w:val="single" w:sz="4" w:space="0" w:color="auto"/>
              <w:left w:val="single" w:sz="4" w:space="0" w:color="auto"/>
              <w:bottom w:val="single" w:sz="4" w:space="0" w:color="auto"/>
              <w:right w:val="single" w:sz="4" w:space="0" w:color="auto"/>
            </w:tcBorders>
          </w:tcPr>
          <w:p w14:paraId="54550BF0"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tcPr>
          <w:p w14:paraId="5DB7D618" w14:textId="77777777" w:rsidR="00540B03" w:rsidRDefault="00540B03">
            <w:pPr>
              <w:widowControl w:val="0"/>
              <w:snapToGrid w:val="0"/>
              <w:jc w:val="center"/>
              <w:rPr>
                <w:sz w:val="22"/>
                <w:szCs w:val="22"/>
                <w:highlight w:val="yellow"/>
              </w:rPr>
            </w:pPr>
          </w:p>
        </w:tc>
        <w:tc>
          <w:tcPr>
            <w:tcW w:w="1111" w:type="pct"/>
            <w:tcBorders>
              <w:top w:val="single" w:sz="4" w:space="0" w:color="auto"/>
              <w:left w:val="single" w:sz="4" w:space="0" w:color="auto"/>
              <w:bottom w:val="single" w:sz="4" w:space="0" w:color="auto"/>
              <w:right w:val="single" w:sz="4" w:space="0" w:color="auto"/>
            </w:tcBorders>
            <w:hideMark/>
          </w:tcPr>
          <w:p w14:paraId="709D43BD" w14:textId="77777777" w:rsidR="00540B03" w:rsidRDefault="00540B03">
            <w:pPr>
              <w:widowControl w:val="0"/>
              <w:snapToGrid w:val="0"/>
              <w:jc w:val="center"/>
              <w:rPr>
                <w:sz w:val="22"/>
                <w:szCs w:val="22"/>
                <w:highlight w:val="yellow"/>
              </w:rPr>
            </w:pPr>
            <w:r>
              <w:rPr>
                <w:sz w:val="22"/>
                <w:szCs w:val="22"/>
              </w:rPr>
              <w:t>Seksuel dysfunktion</w:t>
            </w:r>
          </w:p>
        </w:tc>
        <w:tc>
          <w:tcPr>
            <w:tcW w:w="756" w:type="pct"/>
            <w:tcBorders>
              <w:top w:val="single" w:sz="4" w:space="0" w:color="auto"/>
              <w:left w:val="single" w:sz="4" w:space="0" w:color="auto"/>
              <w:bottom w:val="single" w:sz="4" w:space="0" w:color="auto"/>
              <w:right w:val="single" w:sz="4" w:space="0" w:color="auto"/>
            </w:tcBorders>
          </w:tcPr>
          <w:p w14:paraId="5C3C8E83" w14:textId="77777777" w:rsidR="00540B03" w:rsidRDefault="00540B03">
            <w:pPr>
              <w:widowControl w:val="0"/>
              <w:snapToGrid w:val="0"/>
              <w:jc w:val="center"/>
              <w:rPr>
                <w:sz w:val="22"/>
                <w:szCs w:val="22"/>
                <w:highlight w:val="yellow"/>
              </w:rPr>
            </w:pPr>
          </w:p>
        </w:tc>
        <w:tc>
          <w:tcPr>
            <w:tcW w:w="593" w:type="pct"/>
            <w:tcBorders>
              <w:top w:val="single" w:sz="4" w:space="0" w:color="auto"/>
              <w:left w:val="single" w:sz="4" w:space="0" w:color="auto"/>
              <w:bottom w:val="single" w:sz="4" w:space="0" w:color="auto"/>
              <w:right w:val="single" w:sz="4" w:space="0" w:color="auto"/>
            </w:tcBorders>
          </w:tcPr>
          <w:p w14:paraId="1A342450" w14:textId="77777777" w:rsidR="00540B03" w:rsidRDefault="00540B03">
            <w:pPr>
              <w:widowControl w:val="0"/>
              <w:snapToGrid w:val="0"/>
              <w:jc w:val="center"/>
              <w:rPr>
                <w:sz w:val="22"/>
                <w:szCs w:val="22"/>
                <w:highlight w:val="yellow"/>
              </w:rPr>
            </w:pPr>
          </w:p>
        </w:tc>
      </w:tr>
      <w:tr w:rsidR="00540B03" w14:paraId="342EBFA8" w14:textId="77777777" w:rsidTr="00540B03">
        <w:trPr>
          <w:trHeight w:val="146"/>
        </w:trPr>
        <w:tc>
          <w:tcPr>
            <w:tcW w:w="1032" w:type="pct"/>
            <w:tcBorders>
              <w:top w:val="single" w:sz="4" w:space="0" w:color="auto"/>
              <w:left w:val="single" w:sz="4" w:space="0" w:color="auto"/>
              <w:bottom w:val="single" w:sz="4" w:space="0" w:color="auto"/>
              <w:right w:val="single" w:sz="4" w:space="0" w:color="auto"/>
            </w:tcBorders>
            <w:hideMark/>
          </w:tcPr>
          <w:p w14:paraId="0DF6AEB1" w14:textId="77777777" w:rsidR="00540B03" w:rsidRDefault="00540B03">
            <w:pPr>
              <w:widowControl w:val="0"/>
              <w:snapToGrid w:val="0"/>
              <w:rPr>
                <w:sz w:val="22"/>
                <w:szCs w:val="22"/>
              </w:rPr>
            </w:pPr>
            <w:r>
              <w:rPr>
                <w:b/>
                <w:sz w:val="22"/>
                <w:szCs w:val="22"/>
              </w:rPr>
              <w:t xml:space="preserve">Almene symptomer og reaktioner på </w:t>
            </w:r>
            <w:r>
              <w:rPr>
                <w:b/>
                <w:sz w:val="22"/>
                <w:szCs w:val="22"/>
              </w:rPr>
              <w:lastRenderedPageBreak/>
              <w:t>administrations</w:t>
            </w:r>
            <w:r>
              <w:rPr>
                <w:b/>
                <w:sz w:val="22"/>
                <w:szCs w:val="22"/>
              </w:rPr>
              <w:softHyphen/>
              <w:t>stedet</w:t>
            </w:r>
          </w:p>
        </w:tc>
        <w:tc>
          <w:tcPr>
            <w:tcW w:w="714" w:type="pct"/>
            <w:tcBorders>
              <w:top w:val="single" w:sz="4" w:space="0" w:color="auto"/>
              <w:left w:val="single" w:sz="4" w:space="0" w:color="auto"/>
              <w:bottom w:val="single" w:sz="4" w:space="0" w:color="auto"/>
              <w:right w:val="single" w:sz="4" w:space="0" w:color="auto"/>
            </w:tcBorders>
          </w:tcPr>
          <w:p w14:paraId="4B9875D8" w14:textId="77777777" w:rsidR="00540B03" w:rsidRDefault="00540B03">
            <w:pPr>
              <w:widowControl w:val="0"/>
              <w:snapToGrid w:val="0"/>
              <w:jc w:val="center"/>
              <w:rPr>
                <w:sz w:val="22"/>
                <w:szCs w:val="22"/>
                <w:highlight w:val="yellow"/>
              </w:rPr>
            </w:pPr>
          </w:p>
        </w:tc>
        <w:tc>
          <w:tcPr>
            <w:tcW w:w="794" w:type="pct"/>
            <w:tcBorders>
              <w:top w:val="single" w:sz="4" w:space="0" w:color="auto"/>
              <w:left w:val="single" w:sz="4" w:space="0" w:color="auto"/>
              <w:bottom w:val="single" w:sz="4" w:space="0" w:color="auto"/>
              <w:right w:val="single" w:sz="4" w:space="0" w:color="auto"/>
            </w:tcBorders>
            <w:hideMark/>
          </w:tcPr>
          <w:p w14:paraId="32EDCC7E" w14:textId="77777777" w:rsidR="00540B03" w:rsidRDefault="00540B03">
            <w:pPr>
              <w:widowControl w:val="0"/>
              <w:snapToGrid w:val="0"/>
              <w:jc w:val="center"/>
              <w:rPr>
                <w:sz w:val="22"/>
                <w:szCs w:val="22"/>
              </w:rPr>
            </w:pPr>
            <w:r>
              <w:rPr>
                <w:sz w:val="22"/>
                <w:szCs w:val="22"/>
              </w:rPr>
              <w:t>Asteni, træthed, fornemmelse af ændret krops-</w:t>
            </w:r>
            <w:r>
              <w:rPr>
                <w:sz w:val="22"/>
                <w:szCs w:val="22"/>
              </w:rPr>
              <w:lastRenderedPageBreak/>
              <w:t>temperatur, tørre slimhinder, ødem</w:t>
            </w:r>
          </w:p>
        </w:tc>
        <w:tc>
          <w:tcPr>
            <w:tcW w:w="1111" w:type="pct"/>
            <w:tcBorders>
              <w:top w:val="single" w:sz="4" w:space="0" w:color="auto"/>
              <w:left w:val="single" w:sz="4" w:space="0" w:color="auto"/>
              <w:bottom w:val="single" w:sz="4" w:space="0" w:color="auto"/>
              <w:right w:val="single" w:sz="4" w:space="0" w:color="auto"/>
            </w:tcBorders>
            <w:hideMark/>
          </w:tcPr>
          <w:p w14:paraId="67CABC43" w14:textId="77777777" w:rsidR="00540B03" w:rsidRDefault="00540B03">
            <w:pPr>
              <w:widowControl w:val="0"/>
              <w:snapToGrid w:val="0"/>
              <w:jc w:val="center"/>
              <w:rPr>
                <w:sz w:val="22"/>
                <w:szCs w:val="22"/>
                <w:highlight w:val="yellow"/>
              </w:rPr>
            </w:pPr>
            <w:r>
              <w:rPr>
                <w:sz w:val="22"/>
                <w:szCs w:val="22"/>
              </w:rPr>
              <w:lastRenderedPageBreak/>
              <w:t>Medicinabstinens-syndrom, utilpashed, irritabilitet</w:t>
            </w:r>
          </w:p>
        </w:tc>
        <w:tc>
          <w:tcPr>
            <w:tcW w:w="756" w:type="pct"/>
            <w:tcBorders>
              <w:top w:val="single" w:sz="4" w:space="0" w:color="auto"/>
              <w:left w:val="single" w:sz="4" w:space="0" w:color="auto"/>
              <w:bottom w:val="single" w:sz="4" w:space="0" w:color="auto"/>
              <w:right w:val="single" w:sz="4" w:space="0" w:color="auto"/>
            </w:tcBorders>
            <w:hideMark/>
          </w:tcPr>
          <w:p w14:paraId="67A542E9" w14:textId="77777777" w:rsidR="00540B03" w:rsidRDefault="00540B03">
            <w:pPr>
              <w:widowControl w:val="0"/>
              <w:snapToGrid w:val="0"/>
              <w:jc w:val="center"/>
              <w:rPr>
                <w:sz w:val="22"/>
                <w:szCs w:val="22"/>
                <w:highlight w:val="yellow"/>
              </w:rPr>
            </w:pPr>
            <w:r>
              <w:rPr>
                <w:sz w:val="22"/>
                <w:szCs w:val="22"/>
              </w:rPr>
              <w:t xml:space="preserve">Fornemmelse af beruselse, fornemmelse </w:t>
            </w:r>
            <w:r>
              <w:rPr>
                <w:sz w:val="22"/>
                <w:szCs w:val="22"/>
              </w:rPr>
              <w:lastRenderedPageBreak/>
              <w:t>af afslappethed</w:t>
            </w:r>
          </w:p>
        </w:tc>
        <w:tc>
          <w:tcPr>
            <w:tcW w:w="593" w:type="pct"/>
            <w:tcBorders>
              <w:top w:val="single" w:sz="4" w:space="0" w:color="auto"/>
              <w:left w:val="single" w:sz="4" w:space="0" w:color="auto"/>
              <w:bottom w:val="single" w:sz="4" w:space="0" w:color="auto"/>
              <w:right w:val="single" w:sz="4" w:space="0" w:color="auto"/>
            </w:tcBorders>
          </w:tcPr>
          <w:p w14:paraId="4A04C60D" w14:textId="77777777" w:rsidR="00540B03" w:rsidRDefault="00540B03">
            <w:pPr>
              <w:widowControl w:val="0"/>
              <w:snapToGrid w:val="0"/>
              <w:jc w:val="center"/>
              <w:rPr>
                <w:sz w:val="22"/>
                <w:szCs w:val="22"/>
                <w:highlight w:val="yellow"/>
              </w:rPr>
            </w:pPr>
          </w:p>
        </w:tc>
      </w:tr>
      <w:tr w:rsidR="00540B03" w14:paraId="41CCAE34" w14:textId="77777777" w:rsidTr="00540B03">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B6F32" w14:textId="77777777" w:rsidR="00540B03" w:rsidRDefault="00540B03">
            <w:pPr>
              <w:tabs>
                <w:tab w:val="left" w:pos="565"/>
              </w:tabs>
              <w:suppressAutoHyphens/>
              <w:rPr>
                <w:i/>
                <w:iCs/>
                <w:sz w:val="22"/>
                <w:szCs w:val="22"/>
              </w:rPr>
            </w:pPr>
            <w:r>
              <w:rPr>
                <w:i/>
                <w:iCs/>
                <w:sz w:val="22"/>
                <w:szCs w:val="22"/>
              </w:rPr>
              <w:t xml:space="preserve">* </w:t>
            </w:r>
            <w:r>
              <w:rPr>
                <w:i/>
                <w:iCs/>
                <w:sz w:val="22"/>
                <w:szCs w:val="22"/>
              </w:rPr>
              <w:tab/>
              <w:t xml:space="preserve">Efter markedsføring er der rapporteret sjældne tilfælde af angioødem, anafylaksi og </w:t>
            </w:r>
            <w:r>
              <w:rPr>
                <w:i/>
                <w:iCs/>
                <w:sz w:val="22"/>
                <w:szCs w:val="22"/>
              </w:rPr>
              <w:tab/>
              <w:t>anafylaktisk shock.</w:t>
            </w:r>
          </w:p>
          <w:p w14:paraId="1A657881" w14:textId="77777777" w:rsidR="00540B03" w:rsidRDefault="00540B03">
            <w:pPr>
              <w:tabs>
                <w:tab w:val="left" w:pos="565"/>
              </w:tabs>
              <w:spacing w:after="140" w:line="280" w:lineRule="atLeast"/>
              <w:rPr>
                <w:sz w:val="22"/>
                <w:szCs w:val="22"/>
              </w:rPr>
            </w:pPr>
            <w:r>
              <w:rPr>
                <w:i/>
                <w:iCs/>
                <w:sz w:val="22"/>
                <w:szCs w:val="22"/>
              </w:rPr>
              <w:t xml:space="preserve">** </w:t>
            </w:r>
            <w:r>
              <w:rPr>
                <w:i/>
                <w:iCs/>
                <w:sz w:val="22"/>
                <w:szCs w:val="22"/>
              </w:rPr>
              <w:tab/>
              <w:t xml:space="preserve">Efter markedsføring er der observeret tilfælde af delirium hos patienter med yderligere </w:t>
            </w:r>
            <w:r>
              <w:rPr>
                <w:i/>
                <w:iCs/>
                <w:sz w:val="22"/>
                <w:szCs w:val="22"/>
              </w:rPr>
              <w:tab/>
              <w:t>risikofaktorer såsom kræft og fremskreden alder.</w:t>
            </w:r>
          </w:p>
        </w:tc>
      </w:tr>
    </w:tbl>
    <w:p w14:paraId="6443CEDA" w14:textId="77777777" w:rsidR="00540B03" w:rsidRDefault="00540B03" w:rsidP="00540B03">
      <w:pPr>
        <w:tabs>
          <w:tab w:val="left" w:pos="851"/>
        </w:tabs>
        <w:ind w:left="851"/>
        <w:rPr>
          <w:sz w:val="24"/>
          <w:szCs w:val="24"/>
          <w:highlight w:val="yellow"/>
        </w:rPr>
      </w:pPr>
    </w:p>
    <w:p w14:paraId="18636E25" w14:textId="77777777" w:rsidR="00540B03" w:rsidRDefault="00540B03" w:rsidP="00540B03">
      <w:pPr>
        <w:widowControl w:val="0"/>
        <w:ind w:left="851"/>
        <w:rPr>
          <w:sz w:val="24"/>
          <w:szCs w:val="24"/>
        </w:rPr>
      </w:pPr>
      <w:r>
        <w:rPr>
          <w:sz w:val="24"/>
          <w:szCs w:val="24"/>
        </w:rPr>
        <w:t>I kliniske studier, hvor patienterne blev eksponeret for tapentadol som depottabletter i op til 1 år, blev der ikke observeret mange tegn på seponerings</w:t>
      </w:r>
      <w:r>
        <w:rPr>
          <w:sz w:val="24"/>
          <w:szCs w:val="24"/>
        </w:rPr>
        <w:softHyphen/>
        <w:t>symptomer efter brat afbrydelse af behandlingen, og de få observerede symptomer var generelt af mild karakter. Læger bør dog være på vagt over for seponeringssymptomer (se pkt. 4.2) og behandle patienterne efter anvisningerne, hvis de opstår.</w:t>
      </w:r>
    </w:p>
    <w:p w14:paraId="398538F7" w14:textId="77777777" w:rsidR="00540B03" w:rsidRDefault="00540B03" w:rsidP="00540B03">
      <w:pPr>
        <w:widowControl w:val="0"/>
        <w:ind w:left="851"/>
        <w:rPr>
          <w:sz w:val="24"/>
          <w:szCs w:val="24"/>
        </w:rPr>
      </w:pPr>
    </w:p>
    <w:p w14:paraId="46E7260F" w14:textId="77777777" w:rsidR="00540B03" w:rsidRDefault="00540B03" w:rsidP="00540B03">
      <w:pPr>
        <w:tabs>
          <w:tab w:val="left" w:pos="851"/>
        </w:tabs>
        <w:ind w:left="851"/>
        <w:rPr>
          <w:sz w:val="24"/>
          <w:szCs w:val="24"/>
        </w:rPr>
      </w:pPr>
      <w:r>
        <w:rPr>
          <w:sz w:val="24"/>
          <w:szCs w:val="24"/>
        </w:rPr>
        <w:t>Det er velkendt, at risikoen for selvmordstanker og selvmord er højere hos patienter med kroniske smerter. Yderligere er stoffer med udpræget indvirkning på det monoaminerge system sat i forbindelse med øget risiko for selvmordstanker/adfærd hos patienter med depression, især i starten af behandlingen. Data fra kliniske studier med tapentadol og post-marketing rapporter har ikke påvist en øget risiko.</w:t>
      </w:r>
    </w:p>
    <w:p w14:paraId="2CABEE7C" w14:textId="77777777" w:rsidR="00540B03" w:rsidRDefault="00540B03" w:rsidP="00540B03">
      <w:pPr>
        <w:tabs>
          <w:tab w:val="left" w:pos="851"/>
        </w:tabs>
        <w:ind w:left="851"/>
        <w:rPr>
          <w:sz w:val="24"/>
          <w:szCs w:val="24"/>
        </w:rPr>
      </w:pPr>
    </w:p>
    <w:p w14:paraId="5AE8C723" w14:textId="77777777" w:rsidR="00540B03" w:rsidRDefault="00540B03" w:rsidP="00540B03">
      <w:pPr>
        <w:autoSpaceDE w:val="0"/>
        <w:autoSpaceDN w:val="0"/>
        <w:ind w:left="851"/>
        <w:rPr>
          <w:sz w:val="24"/>
          <w:szCs w:val="24"/>
          <w:u w:val="single"/>
        </w:rPr>
      </w:pPr>
      <w:r>
        <w:rPr>
          <w:sz w:val="24"/>
          <w:szCs w:val="24"/>
          <w:u w:val="single"/>
        </w:rPr>
        <w:t>Indberetning af formodede bivirkninger</w:t>
      </w:r>
    </w:p>
    <w:p w14:paraId="2F2C7D7B" w14:textId="77777777" w:rsidR="00540B03" w:rsidRDefault="00540B03" w:rsidP="00540B03">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8D6A383" w14:textId="77777777" w:rsidR="00540B03" w:rsidRDefault="00540B03" w:rsidP="00540B03">
      <w:pPr>
        <w:tabs>
          <w:tab w:val="left" w:pos="2440"/>
        </w:tabs>
        <w:ind w:left="851"/>
        <w:rPr>
          <w:sz w:val="24"/>
          <w:szCs w:val="24"/>
        </w:rPr>
      </w:pPr>
    </w:p>
    <w:p w14:paraId="3D4BAB89" w14:textId="77777777" w:rsidR="00540B03" w:rsidRDefault="00540B03" w:rsidP="00540B03">
      <w:pPr>
        <w:ind w:left="851"/>
        <w:rPr>
          <w:sz w:val="24"/>
          <w:szCs w:val="24"/>
        </w:rPr>
      </w:pPr>
      <w:r>
        <w:rPr>
          <w:sz w:val="24"/>
          <w:szCs w:val="24"/>
        </w:rPr>
        <w:t>Lægemiddelstyrelsen</w:t>
      </w:r>
    </w:p>
    <w:p w14:paraId="1B008389" w14:textId="77777777" w:rsidR="00540B03" w:rsidRDefault="00540B03" w:rsidP="00540B03">
      <w:pPr>
        <w:ind w:left="851"/>
        <w:rPr>
          <w:sz w:val="24"/>
          <w:szCs w:val="24"/>
        </w:rPr>
      </w:pPr>
      <w:r>
        <w:rPr>
          <w:sz w:val="24"/>
          <w:szCs w:val="24"/>
        </w:rPr>
        <w:t>Axel Heides Gade 1</w:t>
      </w:r>
    </w:p>
    <w:p w14:paraId="7DC2CD4C" w14:textId="77777777" w:rsidR="00540B03" w:rsidRDefault="00540B03" w:rsidP="00540B03">
      <w:pPr>
        <w:ind w:left="851"/>
        <w:rPr>
          <w:sz w:val="24"/>
          <w:szCs w:val="24"/>
        </w:rPr>
      </w:pPr>
      <w:r>
        <w:rPr>
          <w:sz w:val="24"/>
          <w:szCs w:val="24"/>
        </w:rPr>
        <w:t>DK-2300 København S</w:t>
      </w:r>
    </w:p>
    <w:p w14:paraId="354AD518" w14:textId="637CE172" w:rsidR="00540B03" w:rsidRDefault="00540B03" w:rsidP="00540B03">
      <w:pPr>
        <w:ind w:left="851"/>
        <w:rPr>
          <w:sz w:val="24"/>
          <w:szCs w:val="24"/>
        </w:rPr>
      </w:pPr>
      <w:r>
        <w:rPr>
          <w:sz w:val="24"/>
          <w:szCs w:val="24"/>
        </w:rPr>
        <w:t xml:space="preserve">Websted: </w:t>
      </w:r>
      <w:r w:rsidRPr="00540B03">
        <w:rPr>
          <w:sz w:val="24"/>
          <w:szCs w:val="24"/>
        </w:rPr>
        <w:t>www.meldenbivirkning.dk</w:t>
      </w:r>
    </w:p>
    <w:p w14:paraId="4980CADB" w14:textId="77777777" w:rsidR="009260DE" w:rsidRPr="00A10294" w:rsidRDefault="009260DE" w:rsidP="00A10294">
      <w:pPr>
        <w:tabs>
          <w:tab w:val="left" w:pos="851"/>
        </w:tabs>
        <w:ind w:left="851"/>
        <w:rPr>
          <w:sz w:val="24"/>
          <w:szCs w:val="24"/>
        </w:rPr>
      </w:pPr>
    </w:p>
    <w:p w14:paraId="6CF3012F"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2F1B703" w14:textId="77777777" w:rsidR="00540B03" w:rsidRDefault="00540B03" w:rsidP="00540B03">
      <w:pPr>
        <w:ind w:left="851"/>
        <w:rPr>
          <w:sz w:val="24"/>
          <w:szCs w:val="24"/>
        </w:rPr>
      </w:pPr>
    </w:p>
    <w:p w14:paraId="0E06A4DE" w14:textId="77777777" w:rsidR="00540B03" w:rsidRDefault="00540B03" w:rsidP="00540B03">
      <w:pPr>
        <w:ind w:left="851"/>
        <w:rPr>
          <w:i/>
          <w:sz w:val="24"/>
          <w:szCs w:val="24"/>
          <w:lang w:eastAsia="da-DK"/>
        </w:rPr>
      </w:pPr>
      <w:bookmarkStart w:id="9" w:name="_Hlk168388682"/>
      <w:r>
        <w:rPr>
          <w:i/>
          <w:sz w:val="24"/>
          <w:szCs w:val="24"/>
        </w:rPr>
        <w:t>Symptomer</w:t>
      </w:r>
    </w:p>
    <w:p w14:paraId="2FEF83A9" w14:textId="77777777" w:rsidR="00540B03" w:rsidRDefault="00540B03" w:rsidP="00540B03">
      <w:pPr>
        <w:ind w:left="851"/>
        <w:rPr>
          <w:sz w:val="24"/>
          <w:szCs w:val="24"/>
        </w:rPr>
      </w:pPr>
      <w:r>
        <w:rPr>
          <w:sz w:val="24"/>
          <w:szCs w:val="24"/>
        </w:rPr>
        <w:t>Der er begrænset erfaring hos mennesker med overdosering af tapentadol. Prækliniske data tyder på, at der ved intoksikation med tapentadol må forventes samme symptomer som ved andre centralt virkende analgetika med agonistisk påvirkning af µ-opioidreceptorer. I princippet omfatter disse symptomer ved klinisk brug især miosis, opkastning, kardiovaskulært kollaps, bevidstheds</w:t>
      </w:r>
      <w:r>
        <w:rPr>
          <w:sz w:val="24"/>
          <w:szCs w:val="24"/>
        </w:rPr>
        <w:softHyphen/>
        <w:t>forstyrrelser op til koma, krampeanfald og respirationsdepression til respirationsstop.</w:t>
      </w:r>
    </w:p>
    <w:p w14:paraId="129ABEEB" w14:textId="77777777" w:rsidR="00540B03" w:rsidRDefault="00540B03" w:rsidP="00540B03">
      <w:pPr>
        <w:ind w:left="851"/>
        <w:rPr>
          <w:sz w:val="24"/>
          <w:szCs w:val="24"/>
        </w:rPr>
      </w:pPr>
    </w:p>
    <w:p w14:paraId="559AECA6" w14:textId="77777777" w:rsidR="00540B03" w:rsidRDefault="00540B03" w:rsidP="00540B03">
      <w:pPr>
        <w:ind w:left="851"/>
        <w:rPr>
          <w:i/>
          <w:sz w:val="24"/>
          <w:szCs w:val="24"/>
        </w:rPr>
      </w:pPr>
      <w:r>
        <w:rPr>
          <w:i/>
          <w:sz w:val="24"/>
          <w:szCs w:val="24"/>
        </w:rPr>
        <w:t>Behandling</w:t>
      </w:r>
    </w:p>
    <w:p w14:paraId="33758DBF" w14:textId="77777777" w:rsidR="00540B03" w:rsidRDefault="00540B03" w:rsidP="00540B03">
      <w:pPr>
        <w:ind w:left="851"/>
        <w:rPr>
          <w:sz w:val="24"/>
          <w:szCs w:val="24"/>
        </w:rPr>
      </w:pPr>
      <w:r>
        <w:rPr>
          <w:sz w:val="24"/>
          <w:szCs w:val="24"/>
        </w:rPr>
        <w:t xml:space="preserve">Ved overdosering skal behandlingen rettes mod symptomerne ved µ-opioidagonisme. Ved mistanke om overdosering af tapentadol skal der først og fremmest genskabes frie luftveje og indledes assisteret eller kontrolleret ventilation. </w:t>
      </w:r>
    </w:p>
    <w:p w14:paraId="3FCBB260" w14:textId="77777777" w:rsidR="00540B03" w:rsidRDefault="00540B03" w:rsidP="00540B03">
      <w:pPr>
        <w:ind w:left="851"/>
        <w:rPr>
          <w:sz w:val="24"/>
          <w:szCs w:val="24"/>
        </w:rPr>
      </w:pPr>
      <w:r>
        <w:rPr>
          <w:sz w:val="24"/>
          <w:szCs w:val="24"/>
        </w:rPr>
        <w:t>Rene opioidreceptorantagonister såsom naloxon fungerer som specifikke antidoter mod respirations</w:t>
      </w:r>
      <w:r>
        <w:rPr>
          <w:sz w:val="24"/>
          <w:szCs w:val="24"/>
        </w:rPr>
        <w:softHyphen/>
        <w:t xml:space="preserve">depression, der skyldes overdosering med opioider. Respirationsdepression efter en overdosis kan vare længere end virkningen af opioidreceptorantagonisten. Administration af en opioidreceptorantagonist kan dog ikke fungere som substitut for kontinuerlig monitorering af luftveje, åndedræt og kredsløb efter overdosering med et opioid. I tilfælde af suboptimalt eller kortvarigt respons på opioidreceptor antagonister bør </w:t>
      </w:r>
      <w:r>
        <w:rPr>
          <w:sz w:val="24"/>
          <w:szCs w:val="24"/>
        </w:rPr>
        <w:lastRenderedPageBreak/>
        <w:t>der suppleres med endnu en dosis antagonist (f.eks. naloxon) som angivet i fremstillerens produktinformation.</w:t>
      </w:r>
    </w:p>
    <w:p w14:paraId="0486EC7D" w14:textId="77777777" w:rsidR="00540B03" w:rsidRDefault="00540B03" w:rsidP="00540B03">
      <w:pPr>
        <w:ind w:left="851"/>
        <w:rPr>
          <w:sz w:val="24"/>
          <w:szCs w:val="24"/>
        </w:rPr>
      </w:pPr>
      <w:r>
        <w:rPr>
          <w:sz w:val="24"/>
          <w:szCs w:val="24"/>
        </w:rPr>
        <w:t>Gastrointestinal dekontaminering kan overvejes for at eliminere aktivt stof, som ikke er absorberet. Der kan udføres gastrointestinal dekontaminering med aktivt kul eller tarmudskylning inden for 2 timer efter indtagelsen. Frie luftveje skal sikres før bestræbelser på gastrointestinal dekontaminering.</w:t>
      </w:r>
      <w:bookmarkEnd w:id="9"/>
    </w:p>
    <w:p w14:paraId="17D2F3DC" w14:textId="77777777" w:rsidR="009260DE" w:rsidRPr="00C84483" w:rsidRDefault="009260DE" w:rsidP="009260DE">
      <w:pPr>
        <w:tabs>
          <w:tab w:val="left" w:pos="851"/>
        </w:tabs>
        <w:ind w:left="851"/>
        <w:rPr>
          <w:sz w:val="24"/>
          <w:szCs w:val="24"/>
        </w:rPr>
      </w:pPr>
    </w:p>
    <w:p w14:paraId="12E1FD6A"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2C391B8" w14:textId="77777777" w:rsidR="009260DE" w:rsidRPr="00C84483" w:rsidRDefault="00E81C8E" w:rsidP="009260DE">
      <w:pPr>
        <w:tabs>
          <w:tab w:val="left" w:pos="851"/>
        </w:tabs>
        <w:ind w:left="851"/>
        <w:rPr>
          <w:sz w:val="24"/>
          <w:szCs w:val="24"/>
        </w:rPr>
      </w:pPr>
      <w:r>
        <w:rPr>
          <w:sz w:val="24"/>
          <w:szCs w:val="24"/>
        </w:rPr>
        <w:t>A§4 (kopieringspligtigt)</w:t>
      </w:r>
    </w:p>
    <w:p w14:paraId="23B9FAE4" w14:textId="77777777" w:rsidR="009260DE" w:rsidRPr="00C84483" w:rsidRDefault="009260DE" w:rsidP="009260DE">
      <w:pPr>
        <w:tabs>
          <w:tab w:val="left" w:pos="851"/>
        </w:tabs>
        <w:ind w:left="851"/>
        <w:rPr>
          <w:sz w:val="24"/>
          <w:szCs w:val="24"/>
        </w:rPr>
      </w:pPr>
    </w:p>
    <w:p w14:paraId="30DAB567" w14:textId="77777777" w:rsidR="009260DE" w:rsidRPr="00C84483" w:rsidRDefault="009260DE" w:rsidP="009260DE">
      <w:pPr>
        <w:tabs>
          <w:tab w:val="left" w:pos="851"/>
        </w:tabs>
        <w:ind w:left="851"/>
        <w:rPr>
          <w:sz w:val="24"/>
          <w:szCs w:val="24"/>
        </w:rPr>
      </w:pPr>
    </w:p>
    <w:p w14:paraId="516E003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40B28FB" w14:textId="77777777" w:rsidR="009260DE" w:rsidRPr="00C84483" w:rsidRDefault="009260DE" w:rsidP="009260DE">
      <w:pPr>
        <w:tabs>
          <w:tab w:val="left" w:pos="851"/>
        </w:tabs>
        <w:ind w:left="851"/>
        <w:rPr>
          <w:sz w:val="24"/>
          <w:szCs w:val="24"/>
        </w:rPr>
      </w:pPr>
    </w:p>
    <w:p w14:paraId="3B2FE75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1211437" w14:textId="77777777" w:rsidR="00540B03" w:rsidRDefault="00540B03" w:rsidP="00540B03">
      <w:pPr>
        <w:widowControl w:val="0"/>
        <w:ind w:left="851"/>
        <w:rPr>
          <w:bCs/>
          <w:sz w:val="24"/>
          <w:szCs w:val="24"/>
          <w:lang w:eastAsia="da-DK"/>
        </w:rPr>
      </w:pPr>
      <w:r>
        <w:rPr>
          <w:sz w:val="24"/>
          <w:szCs w:val="24"/>
        </w:rPr>
        <w:t>Farmakoterapeutisk</w:t>
      </w:r>
      <w:r>
        <w:rPr>
          <w:bCs/>
          <w:sz w:val="24"/>
          <w:szCs w:val="24"/>
        </w:rPr>
        <w:t xml:space="preserve"> klassifikation: Analgetika, opioider, andre opioider. ATC-kode: N02AX06.</w:t>
      </w:r>
    </w:p>
    <w:p w14:paraId="2D1155FA" w14:textId="77777777" w:rsidR="00540B03" w:rsidRDefault="00540B03" w:rsidP="00540B03">
      <w:pPr>
        <w:widowControl w:val="0"/>
        <w:ind w:left="851"/>
        <w:rPr>
          <w:sz w:val="24"/>
          <w:szCs w:val="24"/>
        </w:rPr>
      </w:pPr>
    </w:p>
    <w:p w14:paraId="0D1C230D" w14:textId="77777777" w:rsidR="00540B03" w:rsidRDefault="00540B03" w:rsidP="00540B03">
      <w:pPr>
        <w:widowControl w:val="0"/>
        <w:ind w:left="851"/>
        <w:rPr>
          <w:sz w:val="24"/>
          <w:szCs w:val="24"/>
        </w:rPr>
      </w:pPr>
      <w:bookmarkStart w:id="10" w:name="_Hlk168565545"/>
      <w:r>
        <w:rPr>
          <w:sz w:val="24"/>
          <w:szCs w:val="24"/>
        </w:rPr>
        <w:t>Tapentadol er et stærkt analgetikum med µ-agonistisk opioidegenskaber og hæmmer samtidig genoptagelsen af noradrenalin. Tapentadol har en direkte analgetisk virkning uden omdannelse til en farmakologisk aktiv metabolit.</w:t>
      </w:r>
    </w:p>
    <w:p w14:paraId="0B796B4A" w14:textId="77777777" w:rsidR="00540B03" w:rsidRDefault="00540B03" w:rsidP="00540B03">
      <w:pPr>
        <w:ind w:left="851"/>
        <w:rPr>
          <w:sz w:val="24"/>
          <w:szCs w:val="24"/>
        </w:rPr>
      </w:pPr>
    </w:p>
    <w:p w14:paraId="4C15A6E3" w14:textId="77777777" w:rsidR="00540B03" w:rsidRDefault="00540B03" w:rsidP="00540B03">
      <w:pPr>
        <w:ind w:left="851"/>
        <w:rPr>
          <w:sz w:val="24"/>
          <w:szCs w:val="24"/>
        </w:rPr>
      </w:pPr>
      <w:r>
        <w:rPr>
          <w:sz w:val="24"/>
          <w:szCs w:val="24"/>
        </w:rPr>
        <w:t>Tapentadol viste effekt i prækliniske modeller med nociceptive, neuropatiske, viscerale og inflammatoriske smerter; Effekten er verificeret i kliniske forsøg med tapentadol depottabletter anvendt ved ikke-maligne nociceptive og neuropatiske kroniske smertetilstande samt kroniske tumorrelaterede smerter. Studierne med smerter på grund af osteoarthritis og kroniske lændesmerter viste at analgesien af tapentadol svarede til den virkning, der sås ved sammenligning med et stærkt opioid. I studiet med smertefuld diabetisk perifer neuropati adskilte tapentadol sig fra placebo, som blev brugt som komparator.</w:t>
      </w:r>
    </w:p>
    <w:p w14:paraId="75B0245C" w14:textId="77777777" w:rsidR="00540B03" w:rsidRDefault="00540B03" w:rsidP="00540B03">
      <w:pPr>
        <w:ind w:left="851"/>
        <w:rPr>
          <w:sz w:val="24"/>
          <w:szCs w:val="24"/>
        </w:rPr>
      </w:pPr>
    </w:p>
    <w:p w14:paraId="016FCBB8" w14:textId="77777777" w:rsidR="00540B03" w:rsidRDefault="00540B03" w:rsidP="00540B03">
      <w:pPr>
        <w:widowControl w:val="0"/>
        <w:ind w:left="851"/>
        <w:rPr>
          <w:i/>
          <w:sz w:val="24"/>
          <w:szCs w:val="24"/>
        </w:rPr>
      </w:pPr>
      <w:r>
        <w:rPr>
          <w:i/>
          <w:sz w:val="24"/>
          <w:szCs w:val="24"/>
        </w:rPr>
        <w:t>Virkninger på det kardiovaskulære system</w:t>
      </w:r>
    </w:p>
    <w:p w14:paraId="38E713B5" w14:textId="77777777" w:rsidR="00540B03" w:rsidRDefault="00540B03" w:rsidP="00540B03">
      <w:pPr>
        <w:widowControl w:val="0"/>
        <w:ind w:left="851"/>
        <w:rPr>
          <w:sz w:val="24"/>
          <w:szCs w:val="24"/>
        </w:rPr>
      </w:pPr>
      <w:r>
        <w:rPr>
          <w:sz w:val="24"/>
          <w:szCs w:val="24"/>
        </w:rPr>
        <w:t>I en omfattende undersøgelse af QT-intervallet hos mennesker påvirkede gentagne terapeutiske og supraterapeutiske doser af tapentadol ikke QT-intervallet. Tilsvarende udviste tapentadol ingen relevant påvirkning af andre EKG-parametre (hjertefrekvens, PR-interval, QRS-varighed, T-taks- eller U-taksmorfologi).</w:t>
      </w:r>
    </w:p>
    <w:p w14:paraId="13EBD3A2" w14:textId="77777777" w:rsidR="00540B03" w:rsidRDefault="00540B03" w:rsidP="00540B03">
      <w:pPr>
        <w:widowControl w:val="0"/>
        <w:ind w:left="851"/>
        <w:rPr>
          <w:sz w:val="24"/>
          <w:szCs w:val="24"/>
        </w:rPr>
      </w:pPr>
    </w:p>
    <w:p w14:paraId="5922BABA" w14:textId="77777777" w:rsidR="00540B03" w:rsidRDefault="00540B03" w:rsidP="00540B03">
      <w:pPr>
        <w:ind w:left="851"/>
        <w:rPr>
          <w:i/>
          <w:sz w:val="24"/>
          <w:szCs w:val="24"/>
        </w:rPr>
      </w:pPr>
      <w:r>
        <w:rPr>
          <w:i/>
          <w:sz w:val="24"/>
          <w:szCs w:val="24"/>
        </w:rPr>
        <w:t>Post-marketing data</w:t>
      </w:r>
    </w:p>
    <w:p w14:paraId="24625959" w14:textId="77777777" w:rsidR="00540B03" w:rsidRDefault="00540B03" w:rsidP="00540B03">
      <w:pPr>
        <w:ind w:left="851"/>
        <w:rPr>
          <w:sz w:val="24"/>
          <w:szCs w:val="24"/>
        </w:rPr>
      </w:pPr>
      <w:r>
        <w:rPr>
          <w:sz w:val="24"/>
          <w:szCs w:val="24"/>
        </w:rPr>
        <w:t>Der er udført to post-marketing studier for at beskrive den praktiske brug af tapentadol.</w:t>
      </w:r>
    </w:p>
    <w:p w14:paraId="6C0A74C2" w14:textId="77777777" w:rsidR="00540B03" w:rsidRDefault="00540B03" w:rsidP="00540B03">
      <w:pPr>
        <w:ind w:left="851"/>
        <w:rPr>
          <w:sz w:val="24"/>
          <w:szCs w:val="24"/>
        </w:rPr>
      </w:pPr>
    </w:p>
    <w:p w14:paraId="682E36FA" w14:textId="77777777" w:rsidR="00540B03" w:rsidRDefault="00540B03" w:rsidP="00540B03">
      <w:pPr>
        <w:ind w:left="851"/>
        <w:rPr>
          <w:sz w:val="24"/>
          <w:szCs w:val="24"/>
        </w:rPr>
      </w:pPr>
      <w:r>
        <w:rPr>
          <w:sz w:val="24"/>
          <w:szCs w:val="24"/>
        </w:rPr>
        <w:t>Virkningen af tapentadol depotformulering er verificeret i et multicenter, randomiseret, dobbelt-blindt parallel-gruppestudie med patienter med lændesmerter med en neuropatisk komponent (KF5503/58). Reduktion af den gennemsnitlige smerteintensitet var den samme i gruppen behandlet med tapentadol og gruppen behandlet med komparator. Sidstnævnte fik en kombination af tapentadol depotformulering og pregabalin tabletter med øjeblikkelig frigivelse.</w:t>
      </w:r>
    </w:p>
    <w:p w14:paraId="50000271" w14:textId="77777777" w:rsidR="00540B03" w:rsidRDefault="00540B03" w:rsidP="00540B03">
      <w:pPr>
        <w:tabs>
          <w:tab w:val="left" w:pos="851"/>
        </w:tabs>
        <w:ind w:left="851"/>
        <w:rPr>
          <w:sz w:val="24"/>
          <w:szCs w:val="24"/>
        </w:rPr>
      </w:pPr>
    </w:p>
    <w:p w14:paraId="2B6A78ED" w14:textId="77777777" w:rsidR="00540B03" w:rsidRDefault="00540B03" w:rsidP="00540B03">
      <w:pPr>
        <w:tabs>
          <w:tab w:val="left" w:pos="851"/>
        </w:tabs>
        <w:ind w:left="851"/>
        <w:rPr>
          <w:sz w:val="24"/>
          <w:szCs w:val="24"/>
        </w:rPr>
      </w:pPr>
      <w:r>
        <w:rPr>
          <w:sz w:val="24"/>
          <w:szCs w:val="24"/>
        </w:rPr>
        <w:t xml:space="preserve">I et </w:t>
      </w:r>
      <w:r>
        <w:rPr>
          <w:i/>
          <w:sz w:val="24"/>
          <w:szCs w:val="24"/>
        </w:rPr>
        <w:t>open-label</w:t>
      </w:r>
      <w:r>
        <w:rPr>
          <w:sz w:val="24"/>
          <w:szCs w:val="24"/>
        </w:rPr>
        <w:t>, multicenter, randomiseret studie med patienter med svære, kroniske lændesmerter med en neuropatisk komponent (</w:t>
      </w:r>
      <w:r>
        <w:rPr>
          <w:sz w:val="24"/>
          <w:szCs w:val="24"/>
          <w:lang w:eastAsia="de-DE"/>
        </w:rPr>
        <w:t xml:space="preserve">KF5503/60), viste tapentadol </w:t>
      </w:r>
      <w:r>
        <w:rPr>
          <w:sz w:val="24"/>
          <w:szCs w:val="24"/>
        </w:rPr>
        <w:t>depotformulering en signifikant reduktion i den gennemsnitlige smerteintensitet.</w:t>
      </w:r>
    </w:p>
    <w:p w14:paraId="2EADE7B4" w14:textId="29E302C4" w:rsidR="00540B03" w:rsidRDefault="00540B03">
      <w:pPr>
        <w:rPr>
          <w:sz w:val="24"/>
          <w:szCs w:val="24"/>
        </w:rPr>
      </w:pPr>
      <w:r>
        <w:rPr>
          <w:sz w:val="24"/>
          <w:szCs w:val="24"/>
        </w:rPr>
        <w:br w:type="page"/>
      </w:r>
    </w:p>
    <w:p w14:paraId="04EDCF88" w14:textId="77777777" w:rsidR="00540B03" w:rsidRDefault="00540B03" w:rsidP="00540B03">
      <w:pPr>
        <w:tabs>
          <w:tab w:val="left" w:pos="851"/>
        </w:tabs>
        <w:ind w:left="851"/>
        <w:rPr>
          <w:sz w:val="24"/>
          <w:szCs w:val="24"/>
        </w:rPr>
      </w:pPr>
    </w:p>
    <w:p w14:paraId="609EA26E" w14:textId="77777777" w:rsidR="00540B03" w:rsidRDefault="00540B03" w:rsidP="00540B03">
      <w:pPr>
        <w:widowControl w:val="0"/>
        <w:ind w:left="851"/>
        <w:rPr>
          <w:i/>
          <w:sz w:val="24"/>
          <w:szCs w:val="24"/>
        </w:rPr>
      </w:pPr>
      <w:r>
        <w:rPr>
          <w:i/>
          <w:sz w:val="24"/>
          <w:szCs w:val="24"/>
        </w:rPr>
        <w:t>Pædiatrisk population</w:t>
      </w:r>
    </w:p>
    <w:p w14:paraId="40CA3F16" w14:textId="77777777" w:rsidR="00540B03" w:rsidRDefault="00540B03" w:rsidP="00540B03">
      <w:pPr>
        <w:widowControl w:val="0"/>
        <w:ind w:left="851"/>
        <w:rPr>
          <w:sz w:val="24"/>
          <w:szCs w:val="24"/>
        </w:rPr>
      </w:pPr>
      <w:r>
        <w:rPr>
          <w:sz w:val="24"/>
          <w:szCs w:val="24"/>
        </w:rPr>
        <w:t>Det Europæiske Lægemiddelagentur har udsat forpligtelsen til at fremlægge resultaterne af studier med referencelægemidlet, som indeholder tapentadol, i alle undergrupper af den pædiatriske population med svære, kroniske smerter (se pkt. 4.2 for oplysninger om pædiatrisk anvendelse).</w:t>
      </w:r>
      <w:bookmarkEnd w:id="10"/>
    </w:p>
    <w:p w14:paraId="025A8124" w14:textId="77777777" w:rsidR="009260DE" w:rsidRPr="00C84483" w:rsidRDefault="009260DE" w:rsidP="009260DE">
      <w:pPr>
        <w:tabs>
          <w:tab w:val="left" w:pos="851"/>
        </w:tabs>
        <w:ind w:left="851"/>
        <w:rPr>
          <w:sz w:val="24"/>
          <w:szCs w:val="24"/>
        </w:rPr>
      </w:pPr>
    </w:p>
    <w:p w14:paraId="6518E6A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9DAE21A" w14:textId="77777777" w:rsidR="00540B03" w:rsidRDefault="00540B03" w:rsidP="00540B03">
      <w:pPr>
        <w:widowControl w:val="0"/>
        <w:ind w:left="851"/>
        <w:rPr>
          <w:i/>
          <w:sz w:val="24"/>
          <w:szCs w:val="24"/>
        </w:rPr>
      </w:pPr>
    </w:p>
    <w:p w14:paraId="20D1F0BA" w14:textId="2FDC19EA" w:rsidR="00540B03" w:rsidRDefault="00540B03" w:rsidP="00540B03">
      <w:pPr>
        <w:widowControl w:val="0"/>
        <w:ind w:left="851"/>
        <w:rPr>
          <w:sz w:val="24"/>
          <w:szCs w:val="24"/>
          <w:lang w:eastAsia="da-DK"/>
        </w:rPr>
      </w:pPr>
      <w:r>
        <w:rPr>
          <w:i/>
          <w:sz w:val="24"/>
          <w:szCs w:val="24"/>
        </w:rPr>
        <w:t xml:space="preserve">Absorption </w:t>
      </w:r>
    </w:p>
    <w:p w14:paraId="310CE643" w14:textId="77777777" w:rsidR="00540B03" w:rsidRDefault="00540B03" w:rsidP="00540B03">
      <w:pPr>
        <w:widowControl w:val="0"/>
        <w:ind w:left="851"/>
        <w:rPr>
          <w:sz w:val="24"/>
          <w:szCs w:val="24"/>
        </w:rPr>
      </w:pPr>
      <w:r>
        <w:rPr>
          <w:sz w:val="24"/>
          <w:szCs w:val="24"/>
        </w:rPr>
        <w:t>Den gennemsnitlige absolutte biotilgængelighed for tapentadol depottabletter efter en enkeltdosis (fastende) er ca. 32 % på grund af omfattende førstepassage-metabolisme. Tapentadols maksimale serumkoncentration blev observeret 3-6 timer efter administration af depot</w:t>
      </w:r>
      <w:r>
        <w:rPr>
          <w:sz w:val="24"/>
          <w:szCs w:val="24"/>
        </w:rPr>
        <w:softHyphen/>
        <w:t>tabletterne.</w:t>
      </w:r>
    </w:p>
    <w:p w14:paraId="56EA783F" w14:textId="77777777" w:rsidR="00540B03" w:rsidRDefault="00540B03" w:rsidP="00540B03">
      <w:pPr>
        <w:widowControl w:val="0"/>
        <w:ind w:left="851"/>
        <w:rPr>
          <w:sz w:val="24"/>
          <w:szCs w:val="24"/>
        </w:rPr>
      </w:pPr>
      <w:r>
        <w:rPr>
          <w:sz w:val="24"/>
          <w:szCs w:val="24"/>
        </w:rPr>
        <w:t>Der blev observeret dosisproportionelle stigninger i AUC efter administration af depottabletterne i hele det terapeutiske dosisinterval.</w:t>
      </w:r>
    </w:p>
    <w:p w14:paraId="7C13F5E7" w14:textId="77777777" w:rsidR="00540B03" w:rsidRDefault="00540B03" w:rsidP="00540B03">
      <w:pPr>
        <w:widowControl w:val="0"/>
        <w:ind w:left="851"/>
        <w:rPr>
          <w:sz w:val="24"/>
          <w:szCs w:val="24"/>
        </w:rPr>
      </w:pPr>
      <w:r>
        <w:rPr>
          <w:sz w:val="24"/>
          <w:szCs w:val="24"/>
        </w:rPr>
        <w:t xml:space="preserve">Et studie med gentagne doser og dosering to gange dagligt med 86 mg og 172 mg tapentadol administreret som depottabletter, viste en akkumuleringsratio på ca. 1,5 for den aktive substans, hvilket primært bestemmes ud fra dosisintervallet og tapentadols tilsyneladende halveringstid. Tapentadols serumkoncentrationer når </w:t>
      </w:r>
      <w:r>
        <w:rPr>
          <w:i/>
          <w:sz w:val="24"/>
          <w:szCs w:val="24"/>
        </w:rPr>
        <w:t xml:space="preserve">steady state </w:t>
      </w:r>
      <w:r>
        <w:rPr>
          <w:sz w:val="24"/>
          <w:szCs w:val="24"/>
        </w:rPr>
        <w:t>på anden dag i behandlingen.</w:t>
      </w:r>
    </w:p>
    <w:p w14:paraId="24CDAA23" w14:textId="77777777" w:rsidR="00540B03" w:rsidRDefault="00540B03" w:rsidP="00540B03">
      <w:pPr>
        <w:widowControl w:val="0"/>
        <w:ind w:left="851" w:hanging="851"/>
        <w:rPr>
          <w:sz w:val="24"/>
          <w:szCs w:val="24"/>
        </w:rPr>
      </w:pPr>
    </w:p>
    <w:p w14:paraId="0104C714" w14:textId="77777777" w:rsidR="00540B03" w:rsidRDefault="00540B03" w:rsidP="00540B03">
      <w:pPr>
        <w:widowControl w:val="0"/>
        <w:ind w:left="851"/>
        <w:rPr>
          <w:i/>
          <w:sz w:val="24"/>
          <w:szCs w:val="24"/>
        </w:rPr>
      </w:pPr>
      <w:r>
        <w:rPr>
          <w:i/>
          <w:sz w:val="24"/>
          <w:szCs w:val="24"/>
        </w:rPr>
        <w:t>Fødepåvirkning</w:t>
      </w:r>
    </w:p>
    <w:p w14:paraId="2F55ECE2" w14:textId="77777777" w:rsidR="00540B03" w:rsidRDefault="00540B03" w:rsidP="00540B03">
      <w:pPr>
        <w:widowControl w:val="0"/>
        <w:ind w:left="851"/>
        <w:rPr>
          <w:sz w:val="24"/>
          <w:szCs w:val="24"/>
        </w:rPr>
      </w:pPr>
      <w:r>
        <w:rPr>
          <w:sz w:val="24"/>
          <w:szCs w:val="24"/>
        </w:rPr>
        <w:t>AUC og C</w:t>
      </w:r>
      <w:r>
        <w:rPr>
          <w:sz w:val="24"/>
          <w:szCs w:val="24"/>
          <w:vertAlign w:val="subscript"/>
        </w:rPr>
        <w:t>max</w:t>
      </w:r>
      <w:r>
        <w:rPr>
          <w:sz w:val="24"/>
          <w:szCs w:val="24"/>
        </w:rPr>
        <w:t xml:space="preserve"> blev forøget med henholdsvis 8 % og 18 % ved administration af depottabletter efter et højt fedt- og kalorieholdigt morgenmåltid. Dette skønnedes at være uden klinisk relevans, da det falder inden for normal inter-individuel variation for tapentadols farmakokinetiske parametre. Tapentadol "Zentiva" kan tages med eller uden mad.</w:t>
      </w:r>
    </w:p>
    <w:p w14:paraId="0E6D70CC" w14:textId="77777777" w:rsidR="00540B03" w:rsidRDefault="00540B03" w:rsidP="00540B03">
      <w:pPr>
        <w:widowControl w:val="0"/>
        <w:ind w:left="851" w:hanging="851"/>
        <w:rPr>
          <w:sz w:val="24"/>
          <w:szCs w:val="24"/>
        </w:rPr>
      </w:pPr>
    </w:p>
    <w:p w14:paraId="178D0729" w14:textId="77777777" w:rsidR="00540B03" w:rsidRDefault="00540B03" w:rsidP="00540B03">
      <w:pPr>
        <w:widowControl w:val="0"/>
        <w:ind w:left="851"/>
        <w:rPr>
          <w:i/>
          <w:sz w:val="24"/>
          <w:szCs w:val="24"/>
        </w:rPr>
      </w:pPr>
      <w:r>
        <w:rPr>
          <w:i/>
          <w:sz w:val="24"/>
          <w:szCs w:val="24"/>
        </w:rPr>
        <w:t>Fordeling</w:t>
      </w:r>
    </w:p>
    <w:p w14:paraId="18585ED7" w14:textId="77777777" w:rsidR="00540B03" w:rsidRDefault="00540B03" w:rsidP="00540B03">
      <w:pPr>
        <w:widowControl w:val="0"/>
        <w:ind w:left="851"/>
        <w:rPr>
          <w:sz w:val="24"/>
          <w:szCs w:val="24"/>
        </w:rPr>
      </w:pPr>
      <w:r>
        <w:rPr>
          <w:sz w:val="24"/>
          <w:szCs w:val="24"/>
        </w:rPr>
        <w:t>Der er omfattende fordeling af tapentadol i kroppen. Efter intravenøs administration er tapentadols fordelingsvolumen (Vz) 540 ± 98 l. Serumproteinbindingen er lav og udgør ca. 20 %.</w:t>
      </w:r>
    </w:p>
    <w:p w14:paraId="113B1D03" w14:textId="77777777" w:rsidR="00540B03" w:rsidRDefault="00540B03" w:rsidP="00540B03">
      <w:pPr>
        <w:ind w:left="851"/>
        <w:rPr>
          <w:i/>
          <w:sz w:val="24"/>
          <w:szCs w:val="24"/>
        </w:rPr>
      </w:pPr>
    </w:p>
    <w:p w14:paraId="23D4AF15" w14:textId="77777777" w:rsidR="00540B03" w:rsidRDefault="00540B03" w:rsidP="00540B03">
      <w:pPr>
        <w:ind w:left="851"/>
        <w:rPr>
          <w:i/>
          <w:sz w:val="24"/>
          <w:szCs w:val="24"/>
        </w:rPr>
      </w:pPr>
      <w:r>
        <w:rPr>
          <w:i/>
          <w:sz w:val="24"/>
          <w:szCs w:val="24"/>
        </w:rPr>
        <w:t>Biotransformation</w:t>
      </w:r>
    </w:p>
    <w:p w14:paraId="314D7031" w14:textId="77777777" w:rsidR="00540B03" w:rsidRDefault="00540B03" w:rsidP="00540B03">
      <w:pPr>
        <w:widowControl w:val="0"/>
        <w:ind w:left="851"/>
        <w:rPr>
          <w:sz w:val="24"/>
          <w:szCs w:val="24"/>
        </w:rPr>
      </w:pPr>
      <w:r>
        <w:rPr>
          <w:sz w:val="24"/>
          <w:szCs w:val="24"/>
        </w:rPr>
        <w:t>Metabolismen af tapentadol er omfattende hos mennesker. Ca. 97 % af moderstoffet metaboliseres. Tapentadol metaboliseres især ved konjugering med glucuronsyre, så der dannes glucuronider. Efter oral administration udskilles ca. 70 % af dosis i urinen som konjugater (55 % glucuronid og 15 % sulfat af tapentadol). UDP-glucuronyltransferase (UGT) er det primære enzym i glucuronideringen (især isoformerne UGT1A6, UGT1A9 og UGT2B7). I alt 3 % af det aktive stof udskilles uomdannet i urinen. Tapentadol metaboliseres desuden til N-desmethyltapentadol (13 %) af CYP2C9 og CYP2C19 og til hydroxytapentadol (2 %) af CYP2D6, og disse metabolitter metaboliseres yderligere ved konjugering. Metabolisme af det aktive stof ved hjælp af cytochrom P450-systemet er således mindre vigtigt end glucuronidering.</w:t>
      </w:r>
    </w:p>
    <w:p w14:paraId="02D5C270" w14:textId="77777777" w:rsidR="00540B03" w:rsidRDefault="00540B03" w:rsidP="00540B03">
      <w:pPr>
        <w:widowControl w:val="0"/>
        <w:ind w:left="851"/>
        <w:rPr>
          <w:sz w:val="24"/>
          <w:szCs w:val="24"/>
        </w:rPr>
      </w:pPr>
      <w:r>
        <w:rPr>
          <w:sz w:val="24"/>
          <w:szCs w:val="24"/>
        </w:rPr>
        <w:t>Ingen af metabolitterne bidrager til den analgetiske virkning.</w:t>
      </w:r>
    </w:p>
    <w:p w14:paraId="5D90E81D" w14:textId="77777777" w:rsidR="00540B03" w:rsidRDefault="00540B03" w:rsidP="00540B03">
      <w:pPr>
        <w:widowControl w:val="0"/>
        <w:ind w:left="851" w:hanging="851"/>
        <w:rPr>
          <w:sz w:val="24"/>
          <w:szCs w:val="24"/>
        </w:rPr>
      </w:pPr>
    </w:p>
    <w:p w14:paraId="1B25832F" w14:textId="77777777" w:rsidR="00540B03" w:rsidRDefault="00540B03" w:rsidP="00540B03">
      <w:pPr>
        <w:widowControl w:val="0"/>
        <w:ind w:left="851"/>
        <w:rPr>
          <w:i/>
          <w:sz w:val="24"/>
          <w:szCs w:val="24"/>
        </w:rPr>
      </w:pPr>
      <w:r>
        <w:rPr>
          <w:i/>
          <w:sz w:val="24"/>
          <w:szCs w:val="24"/>
        </w:rPr>
        <w:t>Elimination</w:t>
      </w:r>
    </w:p>
    <w:p w14:paraId="09265E52" w14:textId="77777777" w:rsidR="00540B03" w:rsidRDefault="00540B03" w:rsidP="00540B03">
      <w:pPr>
        <w:widowControl w:val="0"/>
        <w:ind w:left="851"/>
        <w:rPr>
          <w:sz w:val="24"/>
          <w:szCs w:val="24"/>
          <w:highlight w:val="yellow"/>
        </w:rPr>
      </w:pPr>
      <w:r>
        <w:rPr>
          <w:sz w:val="24"/>
          <w:szCs w:val="24"/>
        </w:rPr>
        <w:t xml:space="preserve">Tapentadol og dets metabolitter udskilles næsten fuldstændigt (99 %) gennem nyrerne. Den totale clearance efter intravenøs administration er 1.530 ± 177 ml/min. Terminal halveringstid er i gennemsnit 5-6 timer efter oral administration. </w:t>
      </w:r>
    </w:p>
    <w:p w14:paraId="1FFD24C4" w14:textId="77777777" w:rsidR="00540B03" w:rsidRDefault="00540B03" w:rsidP="00540B03">
      <w:pPr>
        <w:widowControl w:val="0"/>
        <w:rPr>
          <w:sz w:val="24"/>
          <w:szCs w:val="24"/>
        </w:rPr>
      </w:pPr>
    </w:p>
    <w:p w14:paraId="4D7836CA" w14:textId="77777777" w:rsidR="00540B03" w:rsidRDefault="00540B03" w:rsidP="00540B03">
      <w:pPr>
        <w:widowControl w:val="0"/>
        <w:ind w:left="851"/>
        <w:rPr>
          <w:i/>
          <w:sz w:val="24"/>
          <w:szCs w:val="24"/>
          <w:u w:val="single"/>
        </w:rPr>
      </w:pPr>
      <w:r>
        <w:rPr>
          <w:i/>
          <w:sz w:val="24"/>
          <w:szCs w:val="24"/>
          <w:u w:val="single"/>
        </w:rPr>
        <w:t xml:space="preserve">Særlige populationer </w:t>
      </w:r>
    </w:p>
    <w:p w14:paraId="17DAB715" w14:textId="77777777" w:rsidR="00540B03" w:rsidRDefault="00540B03" w:rsidP="00540B03">
      <w:pPr>
        <w:widowControl w:val="0"/>
        <w:ind w:left="851"/>
        <w:rPr>
          <w:sz w:val="24"/>
          <w:szCs w:val="24"/>
          <w:u w:val="single"/>
        </w:rPr>
      </w:pPr>
    </w:p>
    <w:p w14:paraId="3CAE4FFC" w14:textId="77777777" w:rsidR="00540B03" w:rsidRDefault="00540B03" w:rsidP="00540B03">
      <w:pPr>
        <w:widowControl w:val="0"/>
        <w:ind w:left="851"/>
        <w:rPr>
          <w:i/>
          <w:sz w:val="24"/>
          <w:szCs w:val="24"/>
        </w:rPr>
      </w:pPr>
      <w:r>
        <w:rPr>
          <w:i/>
          <w:sz w:val="24"/>
          <w:szCs w:val="24"/>
        </w:rPr>
        <w:t>Ældre patienter</w:t>
      </w:r>
    </w:p>
    <w:p w14:paraId="063F4899" w14:textId="77777777" w:rsidR="00540B03" w:rsidRDefault="00540B03" w:rsidP="00540B03">
      <w:pPr>
        <w:widowControl w:val="0"/>
        <w:ind w:left="851"/>
        <w:rPr>
          <w:sz w:val="24"/>
          <w:szCs w:val="24"/>
        </w:rPr>
      </w:pPr>
      <w:r>
        <w:rPr>
          <w:sz w:val="24"/>
          <w:szCs w:val="24"/>
        </w:rPr>
        <w:t>Der blev observeret samme gennemsnitlige eksponering (AUC) for tapentadol i et studie med ældre (65-78 år) sammenlignet med yngre voksne (19-43 år), hvor C</w:t>
      </w:r>
      <w:r>
        <w:rPr>
          <w:sz w:val="24"/>
          <w:szCs w:val="24"/>
          <w:vertAlign w:val="subscript"/>
        </w:rPr>
        <w:t>max</w:t>
      </w:r>
      <w:r>
        <w:rPr>
          <w:sz w:val="24"/>
          <w:szCs w:val="24"/>
        </w:rPr>
        <w:t xml:space="preserve"> i gennemsnit var 16 % lavere hos de ældre end hos de yngre forsøgspersoner.</w:t>
      </w:r>
    </w:p>
    <w:p w14:paraId="44D0C516" w14:textId="77777777" w:rsidR="00540B03" w:rsidRDefault="00540B03" w:rsidP="00540B03">
      <w:pPr>
        <w:widowControl w:val="0"/>
        <w:ind w:left="851" w:hanging="851"/>
        <w:rPr>
          <w:sz w:val="24"/>
          <w:szCs w:val="24"/>
        </w:rPr>
      </w:pPr>
    </w:p>
    <w:p w14:paraId="1825BCFA" w14:textId="77777777" w:rsidR="00540B03" w:rsidRDefault="00540B03" w:rsidP="00540B03">
      <w:pPr>
        <w:widowControl w:val="0"/>
        <w:ind w:left="851"/>
        <w:rPr>
          <w:i/>
          <w:sz w:val="24"/>
          <w:szCs w:val="24"/>
        </w:rPr>
      </w:pPr>
      <w:r>
        <w:rPr>
          <w:i/>
          <w:sz w:val="24"/>
          <w:szCs w:val="24"/>
        </w:rPr>
        <w:t>Nedsat nyrefunktion</w:t>
      </w:r>
    </w:p>
    <w:p w14:paraId="7ACF9071" w14:textId="77777777" w:rsidR="00540B03" w:rsidRDefault="00540B03" w:rsidP="00540B03">
      <w:pPr>
        <w:widowControl w:val="0"/>
        <w:ind w:left="851"/>
        <w:rPr>
          <w:strike/>
          <w:sz w:val="24"/>
          <w:szCs w:val="24"/>
        </w:rPr>
      </w:pPr>
      <w:r>
        <w:rPr>
          <w:sz w:val="24"/>
          <w:szCs w:val="24"/>
        </w:rPr>
        <w:t>Tapentadol udviste sammenlignelige værdier for AUC og C</w:t>
      </w:r>
      <w:r>
        <w:rPr>
          <w:sz w:val="24"/>
          <w:szCs w:val="24"/>
          <w:vertAlign w:val="subscript"/>
        </w:rPr>
        <w:t>max</w:t>
      </w:r>
      <w:r>
        <w:rPr>
          <w:sz w:val="24"/>
          <w:szCs w:val="24"/>
        </w:rPr>
        <w:t xml:space="preserve"> hos forsøgspersoner med nedsat nyrefunktion af forskellig grader (fra normal til svært nedsat funktion). I modsætning hertil blev der observeret tiltagende eksponering (AUC) for tapentadol-O-glucuronid med stigende grad af nedsat nyrefunktion. Hos forsøgspersoner med let, moderat og svært nedsat nyrefunktion er tapentadol-O-glucuronids AUC øget med henholdsvis faktor 1,5, 2,5 og 5,5 i forhold til normal nyrefunktion.</w:t>
      </w:r>
    </w:p>
    <w:p w14:paraId="07E54626" w14:textId="77777777" w:rsidR="00540B03" w:rsidRDefault="00540B03" w:rsidP="00540B03">
      <w:pPr>
        <w:widowControl w:val="0"/>
        <w:rPr>
          <w:strike/>
          <w:sz w:val="24"/>
          <w:szCs w:val="24"/>
        </w:rPr>
      </w:pPr>
    </w:p>
    <w:p w14:paraId="01C0E677" w14:textId="77777777" w:rsidR="00540B03" w:rsidRDefault="00540B03" w:rsidP="00540B03">
      <w:pPr>
        <w:widowControl w:val="0"/>
        <w:ind w:left="851"/>
        <w:rPr>
          <w:i/>
          <w:sz w:val="24"/>
          <w:szCs w:val="24"/>
        </w:rPr>
      </w:pPr>
      <w:r>
        <w:rPr>
          <w:i/>
          <w:sz w:val="24"/>
          <w:szCs w:val="24"/>
        </w:rPr>
        <w:t>Nedsat leverfunktion</w:t>
      </w:r>
    </w:p>
    <w:p w14:paraId="605621B8" w14:textId="77777777" w:rsidR="00540B03" w:rsidRDefault="00540B03" w:rsidP="00540B03">
      <w:pPr>
        <w:widowControl w:val="0"/>
        <w:ind w:left="851"/>
        <w:rPr>
          <w:sz w:val="24"/>
          <w:szCs w:val="24"/>
        </w:rPr>
      </w:pPr>
      <w:r>
        <w:rPr>
          <w:sz w:val="24"/>
          <w:szCs w:val="24"/>
        </w:rPr>
        <w:t>Administration af tapentadol medførte højere eksponering og serumværdier af tapentadol hos forsøgspersoner med nedsat leverfunktion sammenlignet med forsøgspersoner med normal leverfunktion. Forholdet mellem tapentadols farmakokinetiske parametre i grupperne med let og moderat nedsat leverfunktion sammenlignet med gruppen med normal leverfunktion var henholdsvis 1,7 og 4,2 for AUC, henholdsvis 1,4 og 2,5 for C</w:t>
      </w:r>
      <w:r>
        <w:rPr>
          <w:sz w:val="24"/>
          <w:szCs w:val="24"/>
          <w:vertAlign w:val="subscript"/>
        </w:rPr>
        <w:t>max</w:t>
      </w:r>
      <w:r>
        <w:rPr>
          <w:sz w:val="24"/>
          <w:szCs w:val="24"/>
        </w:rPr>
        <w:t xml:space="preserve"> og henholdsvis 1,2 og 1,4 for t</w:t>
      </w:r>
      <w:r>
        <w:rPr>
          <w:sz w:val="24"/>
          <w:szCs w:val="24"/>
          <w:vertAlign w:val="subscript"/>
        </w:rPr>
        <w:t>½</w:t>
      </w:r>
      <w:r>
        <w:rPr>
          <w:sz w:val="24"/>
          <w:szCs w:val="24"/>
        </w:rPr>
        <w:t>. Dannelse af tapentadol-O-glucuronid skete langsommere hos forsøgspersoner med nedsat leverfunktion.</w:t>
      </w:r>
    </w:p>
    <w:p w14:paraId="63587C6A" w14:textId="77777777" w:rsidR="00540B03" w:rsidRDefault="00540B03" w:rsidP="00540B03">
      <w:pPr>
        <w:widowControl w:val="0"/>
        <w:ind w:left="851" w:hanging="851"/>
        <w:rPr>
          <w:sz w:val="24"/>
          <w:szCs w:val="24"/>
        </w:rPr>
      </w:pPr>
    </w:p>
    <w:p w14:paraId="54A9E6EB" w14:textId="77777777" w:rsidR="00540B03" w:rsidRDefault="00540B03" w:rsidP="00540B03">
      <w:pPr>
        <w:ind w:left="851"/>
        <w:rPr>
          <w:i/>
          <w:sz w:val="24"/>
          <w:szCs w:val="24"/>
          <w:u w:val="single"/>
        </w:rPr>
      </w:pPr>
      <w:r>
        <w:rPr>
          <w:i/>
          <w:sz w:val="24"/>
          <w:szCs w:val="24"/>
          <w:u w:val="single"/>
        </w:rPr>
        <w:t>Farmakokinetisk interaktion</w:t>
      </w:r>
    </w:p>
    <w:p w14:paraId="150C9B3E" w14:textId="77777777" w:rsidR="00540B03" w:rsidRDefault="00540B03" w:rsidP="00540B03">
      <w:pPr>
        <w:ind w:left="851"/>
        <w:rPr>
          <w:rFonts w:eastAsia="Arial Unicode MS"/>
          <w:sz w:val="24"/>
          <w:szCs w:val="24"/>
        </w:rPr>
      </w:pPr>
      <w:r>
        <w:rPr>
          <w:sz w:val="24"/>
          <w:szCs w:val="24"/>
        </w:rPr>
        <w:t xml:space="preserve">Tapentadol metaboliseres primært ved glucuronidering, og kun en mindre del metaboliseres ved oxidation.  </w:t>
      </w:r>
    </w:p>
    <w:p w14:paraId="1FAC5325" w14:textId="77777777" w:rsidR="00540B03" w:rsidRDefault="00540B03" w:rsidP="00540B03">
      <w:pPr>
        <w:widowControl w:val="0"/>
        <w:autoSpaceDE w:val="0"/>
        <w:autoSpaceDN w:val="0"/>
        <w:adjustRightInd w:val="0"/>
        <w:ind w:left="851"/>
        <w:rPr>
          <w:sz w:val="24"/>
          <w:szCs w:val="24"/>
        </w:rPr>
      </w:pPr>
      <w:r>
        <w:rPr>
          <w:sz w:val="24"/>
          <w:szCs w:val="24"/>
        </w:rPr>
        <w:t>Eftersom glucuronidering er et system med stor kapacitet og lav affinitet, der ikke så let mættes selv ved sygdom, og eftersom terapeutiske koncentrationer af aktive stoffer generelt er langt under de koncentrationer, som kræves til potentiel hæmning af glucuronidering, vil der næppe forekomme klinisk relevante interaktioner på grund af glucuronidering. I en række lægemiddel</w:t>
      </w:r>
      <w:r>
        <w:rPr>
          <w:sz w:val="24"/>
          <w:szCs w:val="24"/>
        </w:rPr>
        <w:softHyphen/>
        <w:t>interaktions</w:t>
      </w:r>
      <w:r>
        <w:rPr>
          <w:sz w:val="24"/>
          <w:szCs w:val="24"/>
        </w:rPr>
        <w:softHyphen/>
        <w:t>undersøgelser med paracetamol, naproxen, acetylsalicylsyre og probenecid blev disse aktive stoffers potentielle påvirkning af tapentadols glucuronidering undersøgt. Studierne med undersøgelse af de aktive stoffer naproxen (500 mg 2 gange daglig i 2 dage) og probenecid (500 mg 2 gange daglig i 2 dage) viste, at tapentadols AUC steg med henholdsvis 17 % og 57 %. Generelt sås ingen klinisk relevante virkninger på tapentadols serumkoncentration i disse studier.</w:t>
      </w:r>
    </w:p>
    <w:p w14:paraId="30FE8012" w14:textId="77777777" w:rsidR="00540B03" w:rsidRDefault="00540B03" w:rsidP="00540B03">
      <w:pPr>
        <w:widowControl w:val="0"/>
        <w:ind w:left="851"/>
        <w:rPr>
          <w:sz w:val="24"/>
          <w:szCs w:val="24"/>
        </w:rPr>
      </w:pPr>
      <w:r>
        <w:rPr>
          <w:sz w:val="24"/>
          <w:szCs w:val="24"/>
        </w:rPr>
        <w:t>Der er desuden udført interaktionsundersøgelser af tapentadol med metoclopramid og omeprazol for at undersøge disse aktive stoffers potentielle påvirkning af tapentadols absorption. Studierne viste ingen klinisk relevante virkninger på tapentadols serumkoncentration.</w:t>
      </w:r>
    </w:p>
    <w:p w14:paraId="2E83ECE9" w14:textId="77777777" w:rsidR="00540B03" w:rsidRDefault="00540B03" w:rsidP="00540B03">
      <w:pPr>
        <w:widowControl w:val="0"/>
        <w:ind w:left="851"/>
        <w:rPr>
          <w:sz w:val="24"/>
          <w:szCs w:val="24"/>
          <w:highlight w:val="yellow"/>
        </w:rPr>
      </w:pPr>
    </w:p>
    <w:p w14:paraId="16246D3B" w14:textId="77777777" w:rsidR="00540B03" w:rsidRDefault="00540B03" w:rsidP="00540B03">
      <w:pPr>
        <w:widowControl w:val="0"/>
        <w:ind w:left="851"/>
        <w:rPr>
          <w:sz w:val="24"/>
          <w:szCs w:val="24"/>
        </w:rPr>
      </w:pPr>
      <w:r>
        <w:rPr>
          <w:sz w:val="24"/>
          <w:szCs w:val="24"/>
        </w:rPr>
        <w:t xml:space="preserve">I </w:t>
      </w:r>
      <w:r>
        <w:rPr>
          <w:i/>
          <w:sz w:val="24"/>
          <w:szCs w:val="24"/>
        </w:rPr>
        <w:t>in vitro</w:t>
      </w:r>
      <w:r>
        <w:rPr>
          <w:sz w:val="24"/>
          <w:szCs w:val="24"/>
        </w:rPr>
        <w:t xml:space="preserve">-studier udviste tapentadol ikke potentiale for hæmning eller induktion af cytochrom P450-enzymer. Det er derfor usandsynligt, at der vil forekomme klinisk relevante interaktioner medieret af cytochrom P450-systemet. </w:t>
      </w:r>
    </w:p>
    <w:p w14:paraId="0E7F27F5" w14:textId="77777777" w:rsidR="00540B03" w:rsidRDefault="00540B03" w:rsidP="00540B03">
      <w:pPr>
        <w:widowControl w:val="0"/>
        <w:ind w:left="851" w:hanging="851"/>
        <w:rPr>
          <w:sz w:val="24"/>
          <w:szCs w:val="24"/>
        </w:rPr>
      </w:pPr>
    </w:p>
    <w:p w14:paraId="3F2CAC55" w14:textId="77777777" w:rsidR="00540B03" w:rsidRDefault="00540B03" w:rsidP="00540B03">
      <w:pPr>
        <w:tabs>
          <w:tab w:val="left" w:pos="851"/>
        </w:tabs>
        <w:ind w:left="851"/>
        <w:rPr>
          <w:sz w:val="24"/>
          <w:szCs w:val="24"/>
        </w:rPr>
      </w:pPr>
      <w:r>
        <w:rPr>
          <w:sz w:val="24"/>
          <w:szCs w:val="24"/>
          <w:lang w:val="nb-NO"/>
        </w:rPr>
        <w:t xml:space="preserve">Tapentadols binding til plasmaproteiner er lav (ca. 20 %). </w:t>
      </w:r>
      <w:r>
        <w:rPr>
          <w:sz w:val="24"/>
          <w:szCs w:val="24"/>
        </w:rPr>
        <w:t>Sandsynligheden for farmakokinetiske interaktioner i form af fortrængning fra stoffets proteinbindingssted er derfor lav.</w:t>
      </w:r>
    </w:p>
    <w:p w14:paraId="65ECF620" w14:textId="77777777" w:rsidR="009260DE" w:rsidRPr="00C84483" w:rsidRDefault="009260DE" w:rsidP="009260DE">
      <w:pPr>
        <w:tabs>
          <w:tab w:val="left" w:pos="851"/>
        </w:tabs>
        <w:ind w:left="851"/>
        <w:rPr>
          <w:sz w:val="24"/>
          <w:szCs w:val="24"/>
        </w:rPr>
      </w:pPr>
    </w:p>
    <w:p w14:paraId="4EAB1752" w14:textId="77777777" w:rsidR="009260DE" w:rsidRPr="00C84483" w:rsidRDefault="009260DE" w:rsidP="009260DE">
      <w:pPr>
        <w:tabs>
          <w:tab w:val="left" w:pos="851"/>
        </w:tabs>
        <w:ind w:left="851" w:hanging="851"/>
        <w:rPr>
          <w:b/>
          <w:sz w:val="24"/>
          <w:szCs w:val="24"/>
        </w:rPr>
      </w:pPr>
      <w:r w:rsidRPr="00C84483">
        <w:rPr>
          <w:b/>
          <w:sz w:val="24"/>
          <w:szCs w:val="24"/>
        </w:rPr>
        <w:lastRenderedPageBreak/>
        <w:t>5.3</w:t>
      </w:r>
      <w:r w:rsidRPr="00C84483">
        <w:rPr>
          <w:b/>
          <w:sz w:val="24"/>
          <w:szCs w:val="24"/>
        </w:rPr>
        <w:tab/>
      </w:r>
      <w:r w:rsidR="00BD7931">
        <w:rPr>
          <w:b/>
          <w:sz w:val="24"/>
          <w:szCs w:val="24"/>
        </w:rPr>
        <w:t>Non-</w:t>
      </w:r>
      <w:r w:rsidRPr="00C84483">
        <w:rPr>
          <w:b/>
          <w:sz w:val="24"/>
          <w:szCs w:val="24"/>
        </w:rPr>
        <w:t>kliniske sikkerhedsdata</w:t>
      </w:r>
    </w:p>
    <w:p w14:paraId="209CEE8F" w14:textId="77777777" w:rsidR="00540B03" w:rsidRDefault="00540B03" w:rsidP="00540B03">
      <w:pPr>
        <w:tabs>
          <w:tab w:val="left" w:pos="851"/>
        </w:tabs>
        <w:ind w:left="851"/>
        <w:rPr>
          <w:sz w:val="24"/>
          <w:szCs w:val="24"/>
          <w:lang w:eastAsia="da-DK"/>
        </w:rPr>
      </w:pPr>
      <w:r>
        <w:rPr>
          <w:sz w:val="24"/>
          <w:szCs w:val="24"/>
        </w:rPr>
        <w:t xml:space="preserve">Tapentadol var ikke genotoksisk i bakterier i Ames’ test. I en </w:t>
      </w:r>
      <w:r>
        <w:rPr>
          <w:i/>
          <w:sz w:val="24"/>
          <w:szCs w:val="24"/>
        </w:rPr>
        <w:t>in vitro</w:t>
      </w:r>
      <w:r>
        <w:rPr>
          <w:sz w:val="24"/>
          <w:szCs w:val="24"/>
        </w:rPr>
        <w:t xml:space="preserve">-test for kromosomafvigelser var resultaterne tvetydige, men ved gentagelse af testen var de klart negative. Tapentadol var ikke genotoksisk </w:t>
      </w:r>
      <w:r>
        <w:rPr>
          <w:i/>
          <w:sz w:val="24"/>
          <w:szCs w:val="24"/>
        </w:rPr>
        <w:t>in vivo</w:t>
      </w:r>
      <w:r>
        <w:rPr>
          <w:sz w:val="24"/>
          <w:szCs w:val="24"/>
        </w:rPr>
        <w:t xml:space="preserve"> ved de to endepunkter kromosomafvigelse og ikke-planlagt DNA-syntese, når stoffet blev testet i op til den maksimale tolererede dosis. Langtidsdyreforsøg viste ikke potentielle karcinogene risici relevante for mennesker.</w:t>
      </w:r>
    </w:p>
    <w:p w14:paraId="3F78B62E" w14:textId="77777777" w:rsidR="00540B03" w:rsidRDefault="00540B03" w:rsidP="00540B03">
      <w:pPr>
        <w:tabs>
          <w:tab w:val="left" w:pos="851"/>
        </w:tabs>
        <w:ind w:left="851"/>
        <w:rPr>
          <w:sz w:val="24"/>
          <w:szCs w:val="24"/>
        </w:rPr>
      </w:pPr>
      <w:bookmarkStart w:id="11" w:name="OLE_LINK36"/>
      <w:bookmarkStart w:id="12" w:name="OLE_LINK35"/>
    </w:p>
    <w:p w14:paraId="14F1CF2E" w14:textId="77777777" w:rsidR="00540B03" w:rsidRDefault="00540B03" w:rsidP="00540B03">
      <w:pPr>
        <w:tabs>
          <w:tab w:val="left" w:pos="851"/>
        </w:tabs>
        <w:ind w:left="851"/>
        <w:rPr>
          <w:sz w:val="24"/>
          <w:szCs w:val="24"/>
        </w:rPr>
      </w:pPr>
      <w:r>
        <w:rPr>
          <w:sz w:val="24"/>
          <w:szCs w:val="24"/>
        </w:rPr>
        <w:t xml:space="preserve">Tapentadol påvirkede ikke fertiliteten hos han- eller hunrotter, men der var nedsat </w:t>
      </w:r>
      <w:r>
        <w:rPr>
          <w:i/>
          <w:sz w:val="24"/>
          <w:szCs w:val="24"/>
        </w:rPr>
        <w:t>in utero</w:t>
      </w:r>
      <w:r>
        <w:rPr>
          <w:sz w:val="24"/>
          <w:szCs w:val="24"/>
        </w:rPr>
        <w:t xml:space="preserve">-overlevelse ved høje doser. Det vides ikke, om dette var medieret via hannen eller hunnen. Tapentadol viste ingen teratogene virkninger hos rotter og kaniner efter intravenøs og subkutan eksponering. Der blev dog observeret forsinket udvikling og embryotoksicitet efter administration af doser, der førte til overdreven farmakologi (µ-opioid-relaterede CNS-effekter relateret til dosering over det terapeutiske interval). Efter intravenøs dosering i rotter sås nedsat </w:t>
      </w:r>
      <w:r>
        <w:rPr>
          <w:i/>
          <w:sz w:val="24"/>
          <w:szCs w:val="24"/>
        </w:rPr>
        <w:t>in utero</w:t>
      </w:r>
      <w:r>
        <w:rPr>
          <w:sz w:val="24"/>
          <w:szCs w:val="24"/>
        </w:rPr>
        <w:t>-overlevelse. Hos rotter forårsagede tapentadol øget mortalitet hos F</w:t>
      </w:r>
      <w:r>
        <w:rPr>
          <w:sz w:val="24"/>
          <w:szCs w:val="24"/>
          <w:vertAlign w:val="subscript"/>
        </w:rPr>
        <w:t>1</w:t>
      </w:r>
      <w:r>
        <w:rPr>
          <w:sz w:val="24"/>
          <w:szCs w:val="24"/>
        </w:rPr>
        <w:t xml:space="preserve">-ungerne, der blev direkte eksponeret via mælken mellem 1-4 dage efter fødslen allerede ved doser der ikke fremprovokerede maternal toksicitet. Der sås ingen virkninger på det neurologiske adfærdsmønster. </w:t>
      </w:r>
      <w:bookmarkEnd w:id="11"/>
      <w:bookmarkEnd w:id="12"/>
    </w:p>
    <w:p w14:paraId="1BA5C605" w14:textId="77777777" w:rsidR="00540B03" w:rsidRDefault="00540B03" w:rsidP="00540B03">
      <w:pPr>
        <w:tabs>
          <w:tab w:val="left" w:pos="851"/>
        </w:tabs>
        <w:ind w:left="851"/>
        <w:rPr>
          <w:sz w:val="24"/>
          <w:szCs w:val="24"/>
        </w:rPr>
      </w:pPr>
      <w:r>
        <w:rPr>
          <w:sz w:val="24"/>
          <w:szCs w:val="24"/>
        </w:rPr>
        <w:t>Udskillelse i brystmælk blev undersøgt hos rotteunger, der havde diet hos moderdyr efter administration af tapentadol. Ungerne blev dosisafhængigt eksponeret for tapentadol og tapentadol-O-glucuronid. Det blev konkluderet, at tapentadol udskilles i mælken.</w:t>
      </w:r>
    </w:p>
    <w:p w14:paraId="41AA6B08" w14:textId="77777777" w:rsidR="00540B03" w:rsidRDefault="00540B03" w:rsidP="00540B03">
      <w:pPr>
        <w:tabs>
          <w:tab w:val="left" w:pos="851"/>
        </w:tabs>
        <w:ind w:left="851"/>
        <w:rPr>
          <w:sz w:val="24"/>
          <w:szCs w:val="24"/>
        </w:rPr>
      </w:pPr>
    </w:p>
    <w:p w14:paraId="534D4AA8" w14:textId="77777777" w:rsidR="009260DE" w:rsidRPr="00C84483" w:rsidRDefault="009260DE" w:rsidP="009260DE">
      <w:pPr>
        <w:tabs>
          <w:tab w:val="left" w:pos="851"/>
        </w:tabs>
        <w:ind w:left="851"/>
        <w:rPr>
          <w:sz w:val="24"/>
          <w:szCs w:val="24"/>
        </w:rPr>
      </w:pPr>
    </w:p>
    <w:p w14:paraId="5735F4B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BF9B040" w14:textId="77777777" w:rsidR="009260DE" w:rsidRPr="00BA09F1" w:rsidRDefault="009260DE" w:rsidP="009260DE">
      <w:pPr>
        <w:tabs>
          <w:tab w:val="left" w:pos="851"/>
        </w:tabs>
        <w:ind w:left="851"/>
        <w:rPr>
          <w:sz w:val="24"/>
          <w:szCs w:val="24"/>
        </w:rPr>
      </w:pPr>
    </w:p>
    <w:p w14:paraId="44EB61B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F25F71E" w14:textId="77777777" w:rsidR="00540B03" w:rsidRDefault="00540B03" w:rsidP="00540B03">
      <w:pPr>
        <w:widowControl w:val="0"/>
        <w:ind w:left="851"/>
        <w:rPr>
          <w:sz w:val="24"/>
          <w:szCs w:val="24"/>
          <w:u w:val="single"/>
        </w:rPr>
      </w:pPr>
    </w:p>
    <w:p w14:paraId="135D4B4A" w14:textId="5A9DB497" w:rsidR="00540B03" w:rsidRDefault="00540B03" w:rsidP="00540B03">
      <w:pPr>
        <w:widowControl w:val="0"/>
        <w:ind w:left="851"/>
        <w:rPr>
          <w:sz w:val="24"/>
          <w:szCs w:val="24"/>
          <w:u w:val="single"/>
          <w:lang w:eastAsia="da-DK"/>
        </w:rPr>
      </w:pPr>
      <w:r>
        <w:rPr>
          <w:sz w:val="24"/>
          <w:szCs w:val="24"/>
          <w:u w:val="single"/>
        </w:rPr>
        <w:t>Tabletkerne</w:t>
      </w:r>
    </w:p>
    <w:p w14:paraId="7D1E0E73" w14:textId="77777777" w:rsidR="00540B03" w:rsidRDefault="00540B03" w:rsidP="00540B03">
      <w:pPr>
        <w:widowControl w:val="0"/>
        <w:ind w:left="851"/>
        <w:rPr>
          <w:sz w:val="24"/>
          <w:szCs w:val="24"/>
        </w:rPr>
      </w:pPr>
      <w:r>
        <w:rPr>
          <w:sz w:val="24"/>
          <w:szCs w:val="24"/>
        </w:rPr>
        <w:t>Cellulose, mikrokrystallinsk (E460)</w:t>
      </w:r>
    </w:p>
    <w:p w14:paraId="051D574E" w14:textId="77777777" w:rsidR="00540B03" w:rsidRDefault="00540B03" w:rsidP="00540B03">
      <w:pPr>
        <w:widowControl w:val="0"/>
        <w:ind w:left="851"/>
        <w:rPr>
          <w:sz w:val="24"/>
          <w:szCs w:val="24"/>
          <w:lang w:val="it-IT"/>
        </w:rPr>
      </w:pPr>
      <w:r>
        <w:rPr>
          <w:sz w:val="24"/>
          <w:szCs w:val="24"/>
          <w:lang w:val="it-IT"/>
        </w:rPr>
        <w:t>Hypromellose (E464)</w:t>
      </w:r>
    </w:p>
    <w:p w14:paraId="51AAF2D3" w14:textId="77777777" w:rsidR="00540B03" w:rsidRDefault="00540B03" w:rsidP="00540B03">
      <w:pPr>
        <w:widowControl w:val="0"/>
        <w:ind w:left="851"/>
        <w:rPr>
          <w:sz w:val="24"/>
          <w:szCs w:val="24"/>
          <w:lang w:val="it-IT"/>
        </w:rPr>
      </w:pPr>
      <w:r>
        <w:rPr>
          <w:sz w:val="24"/>
          <w:szCs w:val="24"/>
          <w:lang w:val="it-IT"/>
        </w:rPr>
        <w:t>Silica, kolloid vandfri (E551)</w:t>
      </w:r>
    </w:p>
    <w:p w14:paraId="263257EE" w14:textId="77777777" w:rsidR="00540B03" w:rsidRDefault="00540B03" w:rsidP="00540B03">
      <w:pPr>
        <w:widowControl w:val="0"/>
        <w:ind w:left="851"/>
        <w:rPr>
          <w:sz w:val="24"/>
          <w:szCs w:val="24"/>
          <w:lang w:val="nb-NO"/>
        </w:rPr>
      </w:pPr>
      <w:r>
        <w:rPr>
          <w:sz w:val="24"/>
          <w:szCs w:val="24"/>
          <w:lang w:val="nb-NO"/>
        </w:rPr>
        <w:t>Magnesiumstearat</w:t>
      </w:r>
    </w:p>
    <w:p w14:paraId="7463FFAD" w14:textId="77777777" w:rsidR="00540B03" w:rsidRDefault="00540B03" w:rsidP="00540B03">
      <w:pPr>
        <w:widowControl w:val="0"/>
        <w:ind w:left="851"/>
        <w:rPr>
          <w:sz w:val="24"/>
          <w:szCs w:val="24"/>
          <w:lang w:val="nb-NO"/>
        </w:rPr>
      </w:pPr>
    </w:p>
    <w:p w14:paraId="3B549538" w14:textId="77777777" w:rsidR="00540B03" w:rsidRDefault="00540B03" w:rsidP="00540B03">
      <w:pPr>
        <w:widowControl w:val="0"/>
        <w:ind w:left="851"/>
        <w:rPr>
          <w:sz w:val="24"/>
          <w:szCs w:val="24"/>
          <w:u w:val="single"/>
          <w:lang w:val="nb-NO"/>
        </w:rPr>
      </w:pPr>
      <w:r>
        <w:rPr>
          <w:sz w:val="24"/>
          <w:szCs w:val="24"/>
          <w:u w:val="single"/>
          <w:lang w:val="nb-NO"/>
        </w:rPr>
        <w:t>Tabletovertræk</w:t>
      </w:r>
    </w:p>
    <w:p w14:paraId="36ED6B79" w14:textId="77777777" w:rsidR="00540B03" w:rsidRDefault="00540B03" w:rsidP="00540B03">
      <w:pPr>
        <w:widowControl w:val="0"/>
        <w:ind w:left="851"/>
        <w:rPr>
          <w:sz w:val="24"/>
          <w:szCs w:val="24"/>
          <w:lang w:val="nb-NO"/>
        </w:rPr>
      </w:pPr>
      <w:r>
        <w:rPr>
          <w:sz w:val="24"/>
          <w:szCs w:val="24"/>
          <w:lang w:val="nb-NO"/>
        </w:rPr>
        <w:t>Hypromellose (E464)</w:t>
      </w:r>
    </w:p>
    <w:p w14:paraId="4D40CA89" w14:textId="77777777" w:rsidR="00540B03" w:rsidRDefault="00540B03" w:rsidP="00540B03">
      <w:pPr>
        <w:widowControl w:val="0"/>
        <w:ind w:left="851"/>
        <w:rPr>
          <w:sz w:val="24"/>
          <w:szCs w:val="24"/>
          <w:lang w:val="nb-NO"/>
        </w:rPr>
      </w:pPr>
      <w:r>
        <w:rPr>
          <w:sz w:val="24"/>
          <w:szCs w:val="24"/>
          <w:lang w:val="nb-NO"/>
        </w:rPr>
        <w:t>Glycerol (E422)</w:t>
      </w:r>
    </w:p>
    <w:p w14:paraId="49A6D1D8" w14:textId="77777777" w:rsidR="00540B03" w:rsidRDefault="00540B03" w:rsidP="00540B03">
      <w:pPr>
        <w:widowControl w:val="0"/>
        <w:ind w:left="851"/>
        <w:rPr>
          <w:sz w:val="24"/>
          <w:szCs w:val="24"/>
          <w:lang w:val="nb-NO"/>
        </w:rPr>
      </w:pPr>
      <w:r>
        <w:rPr>
          <w:sz w:val="24"/>
          <w:szCs w:val="24"/>
          <w:lang w:val="nb-NO"/>
        </w:rPr>
        <w:t>Talcum (E553b)</w:t>
      </w:r>
    </w:p>
    <w:p w14:paraId="1FCD30C6" w14:textId="77777777" w:rsidR="00540B03" w:rsidRDefault="00540B03" w:rsidP="00540B03">
      <w:pPr>
        <w:widowControl w:val="0"/>
        <w:ind w:left="851"/>
        <w:rPr>
          <w:sz w:val="24"/>
          <w:szCs w:val="24"/>
          <w:lang w:val="nb-NO"/>
        </w:rPr>
      </w:pPr>
      <w:r>
        <w:rPr>
          <w:sz w:val="24"/>
          <w:szCs w:val="24"/>
          <w:lang w:val="nb-NO"/>
        </w:rPr>
        <w:t>Cellulose, mikrokrystallinsk (E460)</w:t>
      </w:r>
    </w:p>
    <w:p w14:paraId="1DD4E596" w14:textId="77777777" w:rsidR="00540B03" w:rsidRDefault="00540B03" w:rsidP="00540B03">
      <w:pPr>
        <w:widowControl w:val="0"/>
        <w:ind w:left="851"/>
        <w:rPr>
          <w:sz w:val="24"/>
          <w:szCs w:val="24"/>
          <w:lang w:val="nb-NO"/>
        </w:rPr>
      </w:pPr>
      <w:r>
        <w:rPr>
          <w:sz w:val="24"/>
          <w:szCs w:val="24"/>
          <w:lang w:val="nb-NO"/>
        </w:rPr>
        <w:t>Titandioxid (E171)</w:t>
      </w:r>
    </w:p>
    <w:p w14:paraId="0B78742D" w14:textId="77777777" w:rsidR="00540B03" w:rsidRDefault="00540B03" w:rsidP="00540B03">
      <w:pPr>
        <w:widowControl w:val="0"/>
        <w:ind w:left="851"/>
        <w:rPr>
          <w:sz w:val="24"/>
          <w:szCs w:val="24"/>
          <w:lang w:val="nb-NO"/>
        </w:rPr>
      </w:pPr>
    </w:p>
    <w:p w14:paraId="270D9D2B" w14:textId="77777777" w:rsidR="00540B03" w:rsidRDefault="00540B03" w:rsidP="00540B03">
      <w:pPr>
        <w:widowControl w:val="0"/>
        <w:ind w:left="851"/>
        <w:rPr>
          <w:sz w:val="24"/>
          <w:szCs w:val="24"/>
          <w:lang w:val="nb-NO"/>
        </w:rPr>
      </w:pPr>
      <w:r>
        <w:rPr>
          <w:sz w:val="24"/>
          <w:szCs w:val="24"/>
          <w:lang w:val="nb-NO"/>
        </w:rPr>
        <w:t>Jernoxid, rød (E172) (kun styrkerne 25, 100, 150, 200 og 250 mg)</w:t>
      </w:r>
    </w:p>
    <w:p w14:paraId="505344A6" w14:textId="77777777" w:rsidR="00540B03" w:rsidRDefault="00540B03" w:rsidP="00540B03">
      <w:pPr>
        <w:widowControl w:val="0"/>
        <w:ind w:left="851"/>
        <w:rPr>
          <w:sz w:val="24"/>
          <w:szCs w:val="24"/>
          <w:lang w:val="nb-NO"/>
        </w:rPr>
      </w:pPr>
      <w:r>
        <w:rPr>
          <w:sz w:val="24"/>
          <w:szCs w:val="24"/>
          <w:lang w:val="nb-NO"/>
        </w:rPr>
        <w:t xml:space="preserve">Jernoxid, gul (E172) (kun styrkerne 25, 100 og 200 mg) </w:t>
      </w:r>
    </w:p>
    <w:p w14:paraId="257D7FD4" w14:textId="77777777" w:rsidR="00540B03" w:rsidRDefault="00540B03" w:rsidP="00540B03">
      <w:pPr>
        <w:widowControl w:val="0"/>
        <w:ind w:left="851"/>
        <w:rPr>
          <w:sz w:val="24"/>
          <w:szCs w:val="24"/>
          <w:lang w:val="nb-NO"/>
        </w:rPr>
      </w:pPr>
      <w:r>
        <w:rPr>
          <w:sz w:val="24"/>
          <w:szCs w:val="24"/>
          <w:lang w:val="nb-NO"/>
        </w:rPr>
        <w:t xml:space="preserve">Jernoxid, sort (E172) (kun styrkerne 25, 100, 150, 200 og 250 mg) </w:t>
      </w:r>
    </w:p>
    <w:p w14:paraId="0EAE1210" w14:textId="77777777" w:rsidR="009260DE" w:rsidRPr="00540B03" w:rsidRDefault="009260DE" w:rsidP="009260DE">
      <w:pPr>
        <w:tabs>
          <w:tab w:val="left" w:pos="851"/>
        </w:tabs>
        <w:ind w:left="851"/>
        <w:rPr>
          <w:sz w:val="24"/>
          <w:szCs w:val="24"/>
          <w:lang w:val="nb-NO"/>
        </w:rPr>
      </w:pPr>
    </w:p>
    <w:p w14:paraId="46F79AA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25D19FC" w14:textId="77777777" w:rsidR="00540B03" w:rsidRDefault="00540B03" w:rsidP="00540B03">
      <w:pPr>
        <w:tabs>
          <w:tab w:val="left" w:pos="851"/>
        </w:tabs>
        <w:ind w:left="851"/>
        <w:rPr>
          <w:sz w:val="24"/>
          <w:szCs w:val="24"/>
          <w:lang w:eastAsia="da-DK"/>
        </w:rPr>
      </w:pPr>
      <w:r>
        <w:rPr>
          <w:sz w:val="24"/>
          <w:szCs w:val="24"/>
        </w:rPr>
        <w:t>Ikke relevant.</w:t>
      </w:r>
    </w:p>
    <w:p w14:paraId="1E65D28D" w14:textId="77777777" w:rsidR="009260DE" w:rsidRPr="00C84483" w:rsidRDefault="009260DE" w:rsidP="009260DE">
      <w:pPr>
        <w:tabs>
          <w:tab w:val="left" w:pos="851"/>
        </w:tabs>
        <w:ind w:left="851"/>
        <w:rPr>
          <w:sz w:val="24"/>
          <w:szCs w:val="24"/>
        </w:rPr>
      </w:pPr>
    </w:p>
    <w:p w14:paraId="434B34B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A81186E" w14:textId="77777777" w:rsidR="00540B03" w:rsidRDefault="00540B03" w:rsidP="00540B03">
      <w:pPr>
        <w:keepNext/>
        <w:keepLines/>
        <w:widowControl w:val="0"/>
        <w:tabs>
          <w:tab w:val="left" w:pos="1304"/>
        </w:tabs>
        <w:ind w:left="851"/>
        <w:rPr>
          <w:sz w:val="24"/>
          <w:szCs w:val="24"/>
          <w:lang w:eastAsia="da-DK"/>
        </w:rPr>
      </w:pPr>
      <w:r>
        <w:rPr>
          <w:sz w:val="24"/>
          <w:szCs w:val="24"/>
        </w:rPr>
        <w:t>3 år.</w:t>
      </w:r>
    </w:p>
    <w:p w14:paraId="2CE46A46" w14:textId="6592E736" w:rsidR="00540B03" w:rsidRDefault="00540B03">
      <w:pPr>
        <w:rPr>
          <w:sz w:val="24"/>
          <w:szCs w:val="24"/>
        </w:rPr>
      </w:pPr>
      <w:r>
        <w:rPr>
          <w:sz w:val="24"/>
          <w:szCs w:val="24"/>
        </w:rPr>
        <w:br w:type="page"/>
      </w:r>
    </w:p>
    <w:p w14:paraId="4FBCE5BF" w14:textId="77777777" w:rsidR="009260DE" w:rsidRPr="00C84483" w:rsidRDefault="009260DE" w:rsidP="009260DE">
      <w:pPr>
        <w:tabs>
          <w:tab w:val="left" w:pos="851"/>
        </w:tabs>
        <w:ind w:left="851"/>
        <w:rPr>
          <w:sz w:val="24"/>
          <w:szCs w:val="24"/>
        </w:rPr>
      </w:pPr>
    </w:p>
    <w:p w14:paraId="51CDC8B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B39B2D3" w14:textId="77777777" w:rsidR="00540B03" w:rsidRDefault="00540B03" w:rsidP="00540B03">
      <w:pPr>
        <w:tabs>
          <w:tab w:val="left" w:pos="851"/>
        </w:tabs>
        <w:ind w:left="851"/>
        <w:rPr>
          <w:sz w:val="24"/>
          <w:szCs w:val="24"/>
          <w:lang w:eastAsia="da-DK"/>
        </w:rPr>
      </w:pPr>
      <w:r>
        <w:rPr>
          <w:sz w:val="24"/>
          <w:szCs w:val="24"/>
        </w:rPr>
        <w:t>Dette lægemiddel kræver ingen særlige forholdsregler vedrørende opbevaringen.</w:t>
      </w:r>
    </w:p>
    <w:p w14:paraId="4A8DAB36" w14:textId="77777777" w:rsidR="009260DE" w:rsidRPr="00C84483" w:rsidRDefault="009260DE" w:rsidP="009260DE">
      <w:pPr>
        <w:tabs>
          <w:tab w:val="left" w:pos="851"/>
        </w:tabs>
        <w:ind w:left="851"/>
        <w:rPr>
          <w:sz w:val="24"/>
          <w:szCs w:val="24"/>
        </w:rPr>
      </w:pPr>
    </w:p>
    <w:p w14:paraId="37EE252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EFCAB7D" w14:textId="77777777" w:rsidR="00540B03" w:rsidRDefault="00540B03" w:rsidP="00540B03">
      <w:pPr>
        <w:widowControl w:val="0"/>
        <w:ind w:left="1304" w:hanging="453"/>
        <w:rPr>
          <w:sz w:val="24"/>
          <w:szCs w:val="24"/>
          <w:lang w:eastAsia="da-DK"/>
        </w:rPr>
      </w:pPr>
      <w:r>
        <w:rPr>
          <w:sz w:val="24"/>
          <w:szCs w:val="24"/>
        </w:rPr>
        <w:t>Børnesikret aluminium PVC/PE/PVDC perforeret enkeltdosisblister.</w:t>
      </w:r>
    </w:p>
    <w:p w14:paraId="3E4BDAC3" w14:textId="77777777" w:rsidR="00540B03" w:rsidRDefault="00540B03" w:rsidP="00540B03">
      <w:pPr>
        <w:widowControl w:val="0"/>
        <w:ind w:left="1304" w:hanging="453"/>
        <w:rPr>
          <w:sz w:val="24"/>
          <w:szCs w:val="24"/>
        </w:rPr>
      </w:pPr>
    </w:p>
    <w:p w14:paraId="7F144A85" w14:textId="77777777" w:rsidR="00540B03" w:rsidRDefault="00540B03" w:rsidP="00540B03">
      <w:pPr>
        <w:widowControl w:val="0"/>
        <w:ind w:left="1304" w:hanging="453"/>
        <w:rPr>
          <w:sz w:val="24"/>
          <w:szCs w:val="24"/>
        </w:rPr>
      </w:pPr>
      <w:r>
        <w:rPr>
          <w:sz w:val="24"/>
          <w:szCs w:val="24"/>
          <w:u w:val="single"/>
        </w:rPr>
        <w:t xml:space="preserve">Tapentadol "Zentiva" 25 mg </w:t>
      </w:r>
    </w:p>
    <w:p w14:paraId="487BCECC" w14:textId="77777777" w:rsidR="00540B03" w:rsidRDefault="00540B03" w:rsidP="00540B03">
      <w:pPr>
        <w:widowControl w:val="0"/>
        <w:ind w:left="851"/>
        <w:rPr>
          <w:sz w:val="24"/>
          <w:szCs w:val="24"/>
        </w:rPr>
      </w:pPr>
      <w:r>
        <w:rPr>
          <w:sz w:val="24"/>
          <w:szCs w:val="24"/>
        </w:rPr>
        <w:t>20×1, 30×1, 40×1, 50×1, 54×1, 60×1 eller 100×1 depottabletter.</w:t>
      </w:r>
    </w:p>
    <w:p w14:paraId="50B932F6" w14:textId="77777777" w:rsidR="00540B03" w:rsidRDefault="00540B03" w:rsidP="00540B03">
      <w:pPr>
        <w:widowControl w:val="0"/>
        <w:ind w:left="851"/>
        <w:rPr>
          <w:sz w:val="24"/>
          <w:szCs w:val="24"/>
        </w:rPr>
      </w:pPr>
    </w:p>
    <w:p w14:paraId="6BE4F2D0" w14:textId="77777777" w:rsidR="00540B03" w:rsidRDefault="00540B03" w:rsidP="00540B03">
      <w:pPr>
        <w:widowControl w:val="0"/>
        <w:ind w:firstLine="851"/>
        <w:rPr>
          <w:sz w:val="24"/>
          <w:szCs w:val="24"/>
          <w:u w:val="single"/>
        </w:rPr>
      </w:pPr>
      <w:r>
        <w:rPr>
          <w:sz w:val="24"/>
          <w:szCs w:val="24"/>
          <w:u w:val="single"/>
        </w:rPr>
        <w:t xml:space="preserve">Tapentadol "Zentiva" 50, 100, 150, 200, 250 mg </w:t>
      </w:r>
    </w:p>
    <w:p w14:paraId="49440189" w14:textId="77777777" w:rsidR="00540B03" w:rsidRDefault="00540B03" w:rsidP="00540B03">
      <w:pPr>
        <w:widowControl w:val="0"/>
        <w:ind w:left="851"/>
        <w:rPr>
          <w:sz w:val="24"/>
          <w:szCs w:val="24"/>
        </w:rPr>
      </w:pPr>
      <w:r>
        <w:rPr>
          <w:sz w:val="24"/>
          <w:szCs w:val="24"/>
        </w:rPr>
        <w:t>20×1, 24×1, 30×1, 50×1, 54×1, 60×1 eller 100×1 depottabletter.</w:t>
      </w:r>
    </w:p>
    <w:p w14:paraId="50FBB4DE" w14:textId="77777777" w:rsidR="00540B03" w:rsidRDefault="00540B03" w:rsidP="00540B03">
      <w:pPr>
        <w:tabs>
          <w:tab w:val="left" w:pos="851"/>
        </w:tabs>
        <w:ind w:left="851"/>
        <w:rPr>
          <w:sz w:val="24"/>
          <w:szCs w:val="24"/>
        </w:rPr>
      </w:pPr>
    </w:p>
    <w:p w14:paraId="63568927" w14:textId="77777777" w:rsidR="00540B03" w:rsidRDefault="00540B03" w:rsidP="00540B03">
      <w:pPr>
        <w:tabs>
          <w:tab w:val="left" w:pos="851"/>
        </w:tabs>
        <w:ind w:left="851"/>
        <w:rPr>
          <w:sz w:val="24"/>
          <w:szCs w:val="24"/>
        </w:rPr>
      </w:pPr>
      <w:r>
        <w:rPr>
          <w:sz w:val="24"/>
          <w:szCs w:val="24"/>
        </w:rPr>
        <w:t>Ikke alle pakningsstørrelser er nødvendigvis markedsført.</w:t>
      </w:r>
    </w:p>
    <w:p w14:paraId="09D89B93" w14:textId="77777777" w:rsidR="00540B03" w:rsidRDefault="00540B03" w:rsidP="00540B03">
      <w:pPr>
        <w:tabs>
          <w:tab w:val="left" w:pos="851"/>
        </w:tabs>
        <w:ind w:left="851"/>
        <w:rPr>
          <w:sz w:val="24"/>
          <w:szCs w:val="24"/>
        </w:rPr>
      </w:pPr>
    </w:p>
    <w:p w14:paraId="05646DD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DB65A64" w14:textId="77777777" w:rsidR="007F75C8" w:rsidRDefault="007F75C8" w:rsidP="007F75C8">
      <w:pPr>
        <w:tabs>
          <w:tab w:val="left" w:pos="851"/>
        </w:tabs>
        <w:ind w:left="851"/>
        <w:rPr>
          <w:sz w:val="24"/>
          <w:szCs w:val="24"/>
          <w:lang w:eastAsia="da-DK"/>
        </w:rPr>
      </w:pPr>
      <w:r>
        <w:rPr>
          <w:sz w:val="24"/>
          <w:szCs w:val="24"/>
        </w:rPr>
        <w:t>Ikke anvendt lægemiddel samt affald heraf skal bortskaffes i henhold til lokale retningslinjer.</w:t>
      </w:r>
    </w:p>
    <w:p w14:paraId="6B9D3F7F" w14:textId="77777777" w:rsidR="009260DE" w:rsidRPr="00C84483" w:rsidRDefault="009260DE" w:rsidP="000730CA">
      <w:pPr>
        <w:tabs>
          <w:tab w:val="left" w:pos="851"/>
        </w:tabs>
        <w:ind w:left="851"/>
        <w:rPr>
          <w:sz w:val="24"/>
          <w:szCs w:val="24"/>
        </w:rPr>
      </w:pPr>
    </w:p>
    <w:p w14:paraId="0A99DE74"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D49D7B5" w14:textId="77777777" w:rsidR="007F75C8" w:rsidRDefault="007F75C8" w:rsidP="007F75C8">
      <w:pPr>
        <w:tabs>
          <w:tab w:val="left" w:pos="851"/>
        </w:tabs>
        <w:ind w:left="851"/>
        <w:rPr>
          <w:sz w:val="24"/>
          <w:szCs w:val="24"/>
        </w:rPr>
      </w:pPr>
      <w:r>
        <w:rPr>
          <w:sz w:val="24"/>
          <w:szCs w:val="24"/>
        </w:rPr>
        <w:t>Zentiva k.s.</w:t>
      </w:r>
    </w:p>
    <w:p w14:paraId="04E4F713" w14:textId="77777777" w:rsidR="007F75C8" w:rsidRDefault="007F75C8" w:rsidP="007F75C8">
      <w:pPr>
        <w:tabs>
          <w:tab w:val="left" w:pos="851"/>
        </w:tabs>
        <w:ind w:left="851"/>
        <w:rPr>
          <w:sz w:val="24"/>
          <w:szCs w:val="24"/>
        </w:rPr>
      </w:pPr>
      <w:r>
        <w:rPr>
          <w:sz w:val="24"/>
          <w:szCs w:val="24"/>
        </w:rPr>
        <w:t>U Kabelovny 130</w:t>
      </w:r>
    </w:p>
    <w:p w14:paraId="5EE74FD8" w14:textId="77777777" w:rsidR="007F75C8" w:rsidRDefault="007F75C8" w:rsidP="007F75C8">
      <w:pPr>
        <w:tabs>
          <w:tab w:val="left" w:pos="851"/>
        </w:tabs>
        <w:ind w:left="851"/>
        <w:rPr>
          <w:sz w:val="24"/>
          <w:szCs w:val="24"/>
        </w:rPr>
      </w:pPr>
      <w:r>
        <w:rPr>
          <w:sz w:val="24"/>
          <w:szCs w:val="24"/>
        </w:rPr>
        <w:t xml:space="preserve">102 37 Prag 10 </w:t>
      </w:r>
    </w:p>
    <w:p w14:paraId="6AEEF74B" w14:textId="77777777" w:rsidR="007F75C8" w:rsidRDefault="007F75C8" w:rsidP="007F75C8">
      <w:pPr>
        <w:tabs>
          <w:tab w:val="left" w:pos="851"/>
        </w:tabs>
        <w:ind w:left="851"/>
        <w:rPr>
          <w:sz w:val="24"/>
          <w:szCs w:val="24"/>
        </w:rPr>
      </w:pPr>
      <w:r>
        <w:rPr>
          <w:sz w:val="24"/>
          <w:szCs w:val="24"/>
        </w:rPr>
        <w:t>Tjekkiet</w:t>
      </w:r>
    </w:p>
    <w:p w14:paraId="6C91F2AD" w14:textId="77777777" w:rsidR="007F75C8" w:rsidRDefault="007F75C8" w:rsidP="007F75C8">
      <w:pPr>
        <w:tabs>
          <w:tab w:val="left" w:pos="851"/>
        </w:tabs>
        <w:ind w:left="851"/>
        <w:rPr>
          <w:sz w:val="24"/>
          <w:szCs w:val="24"/>
        </w:rPr>
      </w:pPr>
    </w:p>
    <w:p w14:paraId="3617CF8F" w14:textId="77777777" w:rsidR="007F75C8" w:rsidRPr="007F75C8" w:rsidRDefault="007F75C8" w:rsidP="007F75C8">
      <w:pPr>
        <w:tabs>
          <w:tab w:val="left" w:pos="851"/>
        </w:tabs>
        <w:ind w:left="851"/>
        <w:rPr>
          <w:b/>
          <w:sz w:val="24"/>
          <w:szCs w:val="24"/>
        </w:rPr>
      </w:pPr>
      <w:r w:rsidRPr="007F75C8">
        <w:rPr>
          <w:b/>
          <w:sz w:val="24"/>
          <w:szCs w:val="24"/>
        </w:rPr>
        <w:t>Repræsentant</w:t>
      </w:r>
    </w:p>
    <w:p w14:paraId="4A826C67" w14:textId="77777777" w:rsidR="007F75C8" w:rsidRDefault="007F75C8" w:rsidP="007F75C8">
      <w:pPr>
        <w:tabs>
          <w:tab w:val="left" w:pos="851"/>
        </w:tabs>
        <w:ind w:left="851"/>
        <w:rPr>
          <w:sz w:val="24"/>
          <w:szCs w:val="24"/>
        </w:rPr>
      </w:pPr>
      <w:r>
        <w:rPr>
          <w:sz w:val="24"/>
          <w:szCs w:val="24"/>
        </w:rPr>
        <w:t>Zentiva Denmark ApS</w:t>
      </w:r>
    </w:p>
    <w:p w14:paraId="088581E4" w14:textId="77777777" w:rsidR="007F75C8" w:rsidRDefault="007F75C8" w:rsidP="007F75C8">
      <w:pPr>
        <w:tabs>
          <w:tab w:val="left" w:pos="851"/>
        </w:tabs>
        <w:ind w:left="851"/>
        <w:rPr>
          <w:sz w:val="24"/>
          <w:szCs w:val="24"/>
        </w:rPr>
      </w:pPr>
      <w:r>
        <w:rPr>
          <w:sz w:val="24"/>
          <w:szCs w:val="24"/>
        </w:rPr>
        <w:t>Høffdingsvej 34</w:t>
      </w:r>
    </w:p>
    <w:p w14:paraId="04D4AC79" w14:textId="77777777" w:rsidR="007F75C8" w:rsidRDefault="007F75C8" w:rsidP="007F75C8">
      <w:pPr>
        <w:tabs>
          <w:tab w:val="left" w:pos="851"/>
        </w:tabs>
        <w:ind w:left="851"/>
        <w:rPr>
          <w:sz w:val="24"/>
          <w:szCs w:val="24"/>
        </w:rPr>
      </w:pPr>
      <w:r>
        <w:rPr>
          <w:sz w:val="24"/>
          <w:szCs w:val="24"/>
        </w:rPr>
        <w:t>2500 Valby</w:t>
      </w:r>
    </w:p>
    <w:p w14:paraId="24BF7BE2" w14:textId="77777777" w:rsidR="00641C65" w:rsidRPr="00641C65" w:rsidRDefault="00641C65" w:rsidP="009260DE">
      <w:pPr>
        <w:tabs>
          <w:tab w:val="left" w:pos="851"/>
        </w:tabs>
        <w:ind w:left="851"/>
        <w:rPr>
          <w:sz w:val="24"/>
          <w:szCs w:val="24"/>
        </w:rPr>
      </w:pPr>
    </w:p>
    <w:p w14:paraId="610045F9"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2894D21" w14:textId="76D059CF" w:rsidR="009260DE" w:rsidRDefault="007F75C8" w:rsidP="0009536E">
      <w:pPr>
        <w:tabs>
          <w:tab w:val="left" w:pos="851"/>
          <w:tab w:val="left" w:pos="1843"/>
        </w:tabs>
        <w:ind w:left="851"/>
        <w:rPr>
          <w:sz w:val="24"/>
          <w:szCs w:val="24"/>
        </w:rPr>
      </w:pPr>
      <w:r>
        <w:rPr>
          <w:sz w:val="24"/>
          <w:szCs w:val="24"/>
        </w:rPr>
        <w:t>25 mg</w:t>
      </w:r>
      <w:r w:rsidR="0009536E">
        <w:rPr>
          <w:sz w:val="24"/>
          <w:szCs w:val="24"/>
        </w:rPr>
        <w:t>:</w:t>
      </w:r>
      <w:r w:rsidR="0009536E">
        <w:rPr>
          <w:sz w:val="24"/>
          <w:szCs w:val="24"/>
        </w:rPr>
        <w:tab/>
        <w:t>70141</w:t>
      </w:r>
    </w:p>
    <w:p w14:paraId="7688E76A" w14:textId="6CA0FC40" w:rsidR="007F75C8" w:rsidRDefault="007F75C8" w:rsidP="0009536E">
      <w:pPr>
        <w:tabs>
          <w:tab w:val="left" w:pos="851"/>
          <w:tab w:val="left" w:pos="1843"/>
        </w:tabs>
        <w:ind w:left="851"/>
        <w:rPr>
          <w:sz w:val="24"/>
          <w:szCs w:val="24"/>
        </w:rPr>
      </w:pPr>
      <w:r>
        <w:rPr>
          <w:sz w:val="24"/>
          <w:szCs w:val="24"/>
        </w:rPr>
        <w:t>50 mg</w:t>
      </w:r>
      <w:r w:rsidR="0009536E">
        <w:rPr>
          <w:sz w:val="24"/>
          <w:szCs w:val="24"/>
        </w:rPr>
        <w:t>:</w:t>
      </w:r>
      <w:r w:rsidR="0009536E">
        <w:rPr>
          <w:sz w:val="24"/>
          <w:szCs w:val="24"/>
        </w:rPr>
        <w:tab/>
        <w:t>70143</w:t>
      </w:r>
    </w:p>
    <w:p w14:paraId="1E183D63" w14:textId="201157E3" w:rsidR="007F75C8" w:rsidRDefault="007F75C8" w:rsidP="0009536E">
      <w:pPr>
        <w:tabs>
          <w:tab w:val="left" w:pos="851"/>
          <w:tab w:val="left" w:pos="1843"/>
        </w:tabs>
        <w:ind w:left="851"/>
        <w:rPr>
          <w:sz w:val="24"/>
          <w:szCs w:val="24"/>
        </w:rPr>
      </w:pPr>
      <w:r>
        <w:rPr>
          <w:sz w:val="24"/>
          <w:szCs w:val="24"/>
        </w:rPr>
        <w:t>100 mg</w:t>
      </w:r>
      <w:r w:rsidR="0009536E">
        <w:rPr>
          <w:sz w:val="24"/>
          <w:szCs w:val="24"/>
        </w:rPr>
        <w:t>:</w:t>
      </w:r>
      <w:r w:rsidR="0009536E">
        <w:rPr>
          <w:sz w:val="24"/>
          <w:szCs w:val="24"/>
        </w:rPr>
        <w:tab/>
        <w:t>70144</w:t>
      </w:r>
    </w:p>
    <w:p w14:paraId="1BBE03FD" w14:textId="35AE2F27" w:rsidR="007F75C8" w:rsidRDefault="007F75C8" w:rsidP="0009536E">
      <w:pPr>
        <w:tabs>
          <w:tab w:val="left" w:pos="851"/>
          <w:tab w:val="left" w:pos="1843"/>
        </w:tabs>
        <w:ind w:left="851"/>
        <w:rPr>
          <w:sz w:val="24"/>
          <w:szCs w:val="24"/>
        </w:rPr>
      </w:pPr>
      <w:r>
        <w:rPr>
          <w:sz w:val="24"/>
          <w:szCs w:val="24"/>
        </w:rPr>
        <w:t>150 mg</w:t>
      </w:r>
      <w:r w:rsidR="0009536E">
        <w:rPr>
          <w:sz w:val="24"/>
          <w:szCs w:val="24"/>
        </w:rPr>
        <w:t>:</w:t>
      </w:r>
      <w:r w:rsidR="0009536E">
        <w:rPr>
          <w:sz w:val="24"/>
          <w:szCs w:val="24"/>
        </w:rPr>
        <w:tab/>
        <w:t>70145</w:t>
      </w:r>
    </w:p>
    <w:p w14:paraId="7B89C7C3" w14:textId="6666129B" w:rsidR="007F75C8" w:rsidRDefault="007F75C8" w:rsidP="0009536E">
      <w:pPr>
        <w:tabs>
          <w:tab w:val="left" w:pos="851"/>
          <w:tab w:val="left" w:pos="1843"/>
        </w:tabs>
        <w:ind w:left="851"/>
        <w:rPr>
          <w:sz w:val="24"/>
          <w:szCs w:val="24"/>
        </w:rPr>
      </w:pPr>
      <w:r>
        <w:rPr>
          <w:sz w:val="24"/>
          <w:szCs w:val="24"/>
        </w:rPr>
        <w:t>200 mg</w:t>
      </w:r>
      <w:r w:rsidR="0009536E">
        <w:rPr>
          <w:sz w:val="24"/>
          <w:szCs w:val="24"/>
        </w:rPr>
        <w:t>:</w:t>
      </w:r>
      <w:r w:rsidR="0009536E">
        <w:rPr>
          <w:sz w:val="24"/>
          <w:szCs w:val="24"/>
        </w:rPr>
        <w:tab/>
        <w:t>70146</w:t>
      </w:r>
    </w:p>
    <w:p w14:paraId="6D073A5C" w14:textId="240C02C7" w:rsidR="007F75C8" w:rsidRPr="00C84483" w:rsidRDefault="007F75C8" w:rsidP="0009536E">
      <w:pPr>
        <w:tabs>
          <w:tab w:val="left" w:pos="851"/>
          <w:tab w:val="left" w:pos="1843"/>
        </w:tabs>
        <w:ind w:left="851"/>
        <w:rPr>
          <w:sz w:val="24"/>
          <w:szCs w:val="24"/>
        </w:rPr>
      </w:pPr>
      <w:r>
        <w:rPr>
          <w:sz w:val="24"/>
          <w:szCs w:val="24"/>
        </w:rPr>
        <w:t>250 mg</w:t>
      </w:r>
      <w:r w:rsidR="0009536E">
        <w:rPr>
          <w:sz w:val="24"/>
          <w:szCs w:val="24"/>
        </w:rPr>
        <w:t>:</w:t>
      </w:r>
      <w:r w:rsidR="0009536E">
        <w:rPr>
          <w:sz w:val="24"/>
          <w:szCs w:val="24"/>
        </w:rPr>
        <w:tab/>
        <w:t>70147</w:t>
      </w:r>
    </w:p>
    <w:p w14:paraId="4860C580" w14:textId="77777777" w:rsidR="009260DE" w:rsidRPr="00C84483" w:rsidRDefault="009260DE" w:rsidP="009260DE">
      <w:pPr>
        <w:tabs>
          <w:tab w:val="left" w:pos="851"/>
        </w:tabs>
        <w:ind w:left="851"/>
        <w:jc w:val="both"/>
        <w:rPr>
          <w:sz w:val="24"/>
          <w:szCs w:val="24"/>
        </w:rPr>
      </w:pPr>
    </w:p>
    <w:p w14:paraId="4385A98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9C55457" w14:textId="3733B07A" w:rsidR="009260DE" w:rsidRPr="00C84483" w:rsidRDefault="005D1BEE" w:rsidP="009260DE">
      <w:pPr>
        <w:tabs>
          <w:tab w:val="left" w:pos="851"/>
        </w:tabs>
        <w:ind w:left="851"/>
        <w:rPr>
          <w:sz w:val="24"/>
          <w:szCs w:val="24"/>
        </w:rPr>
      </w:pPr>
      <w:r>
        <w:rPr>
          <w:sz w:val="24"/>
          <w:szCs w:val="24"/>
        </w:rPr>
        <w:t>3. september 2024</w:t>
      </w:r>
    </w:p>
    <w:p w14:paraId="22418591" w14:textId="77777777" w:rsidR="009260DE" w:rsidRPr="00C84483" w:rsidRDefault="009260DE" w:rsidP="009260DE">
      <w:pPr>
        <w:tabs>
          <w:tab w:val="left" w:pos="851"/>
        </w:tabs>
        <w:ind w:left="851"/>
        <w:rPr>
          <w:sz w:val="24"/>
          <w:szCs w:val="24"/>
        </w:rPr>
      </w:pPr>
    </w:p>
    <w:p w14:paraId="46ADDE2C"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731174D" w14:textId="6941BDEA" w:rsidR="009260DE" w:rsidRPr="00C84483" w:rsidRDefault="0009536E"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0B012" w14:textId="77777777" w:rsidR="00E81C8E" w:rsidRDefault="00E81C8E">
      <w:r>
        <w:separator/>
      </w:r>
    </w:p>
  </w:endnote>
  <w:endnote w:type="continuationSeparator" w:id="0">
    <w:p w14:paraId="5A841946" w14:textId="77777777" w:rsidR="00E81C8E" w:rsidRDefault="00E8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F0C0" w14:textId="77777777" w:rsidR="000259B9" w:rsidRDefault="000259B9">
    <w:pPr>
      <w:pStyle w:val="Sidefod"/>
      <w:pBdr>
        <w:bottom w:val="single" w:sz="6" w:space="1" w:color="auto"/>
      </w:pBdr>
    </w:pPr>
  </w:p>
  <w:p w14:paraId="09BFC81A" w14:textId="77777777" w:rsidR="000259B9" w:rsidRDefault="000259B9" w:rsidP="00C42586">
    <w:pPr>
      <w:pStyle w:val="Sidefod"/>
      <w:tabs>
        <w:tab w:val="clear" w:pos="4819"/>
        <w:tab w:val="left" w:pos="8505"/>
      </w:tabs>
      <w:rPr>
        <w:i/>
        <w:sz w:val="18"/>
        <w:szCs w:val="18"/>
      </w:rPr>
    </w:pPr>
  </w:p>
  <w:p w14:paraId="1D6C3276" w14:textId="1C278BF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F7489">
      <w:rPr>
        <w:i/>
        <w:noProof/>
        <w:sz w:val="18"/>
        <w:szCs w:val="18"/>
      </w:rPr>
      <w:t>Tapentadol Zentiva, depottabletter 25 mg, 50 mg, 100 mg, 150 mg, 200 mg og 250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E14D5" w14:textId="77777777" w:rsidR="00E81C8E" w:rsidRDefault="00E81C8E">
      <w:r>
        <w:separator/>
      </w:r>
    </w:p>
  </w:footnote>
  <w:footnote w:type="continuationSeparator" w:id="0">
    <w:p w14:paraId="1531F42E" w14:textId="77777777" w:rsidR="00E81C8E" w:rsidRDefault="00E81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E7A4D"/>
    <w:multiLevelType w:val="hybridMultilevel"/>
    <w:tmpl w:val="6C9AC86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1F16D9F"/>
    <w:multiLevelType w:val="hybridMultilevel"/>
    <w:tmpl w:val="88BAEC4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8E"/>
    <w:rsid w:val="000259B9"/>
    <w:rsid w:val="00041491"/>
    <w:rsid w:val="00050D16"/>
    <w:rsid w:val="000730CA"/>
    <w:rsid w:val="00074F2A"/>
    <w:rsid w:val="0009536E"/>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40B03"/>
    <w:rsid w:val="00565F0F"/>
    <w:rsid w:val="00594A86"/>
    <w:rsid w:val="00596D86"/>
    <w:rsid w:val="005D1BEE"/>
    <w:rsid w:val="00637F5A"/>
    <w:rsid w:val="00641C65"/>
    <w:rsid w:val="006560B1"/>
    <w:rsid w:val="006756DD"/>
    <w:rsid w:val="0071241E"/>
    <w:rsid w:val="00737275"/>
    <w:rsid w:val="00740EEC"/>
    <w:rsid w:val="0078011A"/>
    <w:rsid w:val="00782AF4"/>
    <w:rsid w:val="00790EE7"/>
    <w:rsid w:val="007B6649"/>
    <w:rsid w:val="007F75C8"/>
    <w:rsid w:val="0082576E"/>
    <w:rsid w:val="0089346F"/>
    <w:rsid w:val="00907F75"/>
    <w:rsid w:val="009260DE"/>
    <w:rsid w:val="0093258A"/>
    <w:rsid w:val="009C7BA3"/>
    <w:rsid w:val="009D1F5A"/>
    <w:rsid w:val="00A10294"/>
    <w:rsid w:val="00B003BF"/>
    <w:rsid w:val="00B373D7"/>
    <w:rsid w:val="00B55271"/>
    <w:rsid w:val="00BD7931"/>
    <w:rsid w:val="00BF6243"/>
    <w:rsid w:val="00BF7489"/>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1C8E"/>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979DF"/>
  <w15:chartTrackingRefBased/>
  <w15:docId w15:val="{23981C6A-EF5A-4F24-90FF-C09D8BE8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qFormat/>
    <w:rsid w:val="00540B03"/>
    <w:rPr>
      <w:rFonts w:ascii="Times New Roman" w:hAnsi="Times New Roman" w:cs="Times New Roman" w:hint="default"/>
      <w:i/>
      <w:iCs/>
    </w:rPr>
  </w:style>
  <w:style w:type="paragraph" w:styleId="Brdtekstindrykning">
    <w:name w:val="Body Text Indent"/>
    <w:basedOn w:val="Normal"/>
    <w:link w:val="BrdtekstindrykningTegn"/>
    <w:semiHidden/>
    <w:unhideWhenUsed/>
    <w:rsid w:val="00540B03"/>
    <w:pPr>
      <w:ind w:left="851"/>
    </w:pPr>
    <w:rPr>
      <w:b/>
      <w:spacing w:val="-3"/>
      <w:sz w:val="24"/>
      <w:lang w:eastAsia="da-DK"/>
    </w:rPr>
  </w:style>
  <w:style w:type="character" w:customStyle="1" w:styleId="BrdtekstindrykningTegn">
    <w:name w:val="Brødtekstindrykning Tegn"/>
    <w:basedOn w:val="Standardskrifttypeiafsnit"/>
    <w:link w:val="Brdtekstindrykning"/>
    <w:semiHidden/>
    <w:rsid w:val="00540B03"/>
    <w:rPr>
      <w:b/>
      <w:spacing w:val="-3"/>
      <w:sz w:val="24"/>
    </w:rPr>
  </w:style>
  <w:style w:type="character" w:customStyle="1" w:styleId="msoins0">
    <w:name w:val="msoins"/>
    <w:rsid w:val="00540B03"/>
    <w:rPr>
      <w:rFonts w:ascii="Times New Roman" w:hAnsi="Times New Roman" w:cs="Times New Roman" w:hint="default"/>
    </w:rPr>
  </w:style>
  <w:style w:type="character" w:styleId="Hyperlink">
    <w:name w:val="Hyperlink"/>
    <w:uiPriority w:val="99"/>
    <w:semiHidden/>
    <w:unhideWhenUsed/>
    <w:rsid w:val="00540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2687">
      <w:bodyDiv w:val="1"/>
      <w:marLeft w:val="0"/>
      <w:marRight w:val="0"/>
      <w:marTop w:val="0"/>
      <w:marBottom w:val="0"/>
      <w:divBdr>
        <w:top w:val="none" w:sz="0" w:space="0" w:color="auto"/>
        <w:left w:val="none" w:sz="0" w:space="0" w:color="auto"/>
        <w:bottom w:val="none" w:sz="0" w:space="0" w:color="auto"/>
        <w:right w:val="none" w:sz="0" w:space="0" w:color="auto"/>
      </w:divBdr>
    </w:div>
    <w:div w:id="1324092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8668811">
      <w:bodyDiv w:val="1"/>
      <w:marLeft w:val="0"/>
      <w:marRight w:val="0"/>
      <w:marTop w:val="0"/>
      <w:marBottom w:val="0"/>
      <w:divBdr>
        <w:top w:val="none" w:sz="0" w:space="0" w:color="auto"/>
        <w:left w:val="none" w:sz="0" w:space="0" w:color="auto"/>
        <w:bottom w:val="none" w:sz="0" w:space="0" w:color="auto"/>
        <w:right w:val="none" w:sz="0" w:space="0" w:color="auto"/>
      </w:divBdr>
    </w:div>
    <w:div w:id="259460211">
      <w:bodyDiv w:val="1"/>
      <w:marLeft w:val="0"/>
      <w:marRight w:val="0"/>
      <w:marTop w:val="0"/>
      <w:marBottom w:val="0"/>
      <w:divBdr>
        <w:top w:val="none" w:sz="0" w:space="0" w:color="auto"/>
        <w:left w:val="none" w:sz="0" w:space="0" w:color="auto"/>
        <w:bottom w:val="none" w:sz="0" w:space="0" w:color="auto"/>
        <w:right w:val="none" w:sz="0" w:space="0" w:color="auto"/>
      </w:divBdr>
    </w:div>
    <w:div w:id="332874715">
      <w:bodyDiv w:val="1"/>
      <w:marLeft w:val="0"/>
      <w:marRight w:val="0"/>
      <w:marTop w:val="0"/>
      <w:marBottom w:val="0"/>
      <w:divBdr>
        <w:top w:val="none" w:sz="0" w:space="0" w:color="auto"/>
        <w:left w:val="none" w:sz="0" w:space="0" w:color="auto"/>
        <w:bottom w:val="none" w:sz="0" w:space="0" w:color="auto"/>
        <w:right w:val="none" w:sz="0" w:space="0" w:color="auto"/>
      </w:divBdr>
    </w:div>
    <w:div w:id="471170592">
      <w:bodyDiv w:val="1"/>
      <w:marLeft w:val="0"/>
      <w:marRight w:val="0"/>
      <w:marTop w:val="0"/>
      <w:marBottom w:val="0"/>
      <w:divBdr>
        <w:top w:val="none" w:sz="0" w:space="0" w:color="auto"/>
        <w:left w:val="none" w:sz="0" w:space="0" w:color="auto"/>
        <w:bottom w:val="none" w:sz="0" w:space="0" w:color="auto"/>
        <w:right w:val="none" w:sz="0" w:space="0" w:color="auto"/>
      </w:divBdr>
    </w:div>
    <w:div w:id="644704911">
      <w:bodyDiv w:val="1"/>
      <w:marLeft w:val="0"/>
      <w:marRight w:val="0"/>
      <w:marTop w:val="0"/>
      <w:marBottom w:val="0"/>
      <w:divBdr>
        <w:top w:val="none" w:sz="0" w:space="0" w:color="auto"/>
        <w:left w:val="none" w:sz="0" w:space="0" w:color="auto"/>
        <w:bottom w:val="none" w:sz="0" w:space="0" w:color="auto"/>
        <w:right w:val="none" w:sz="0" w:space="0" w:color="auto"/>
      </w:divBdr>
    </w:div>
    <w:div w:id="769155393">
      <w:bodyDiv w:val="1"/>
      <w:marLeft w:val="0"/>
      <w:marRight w:val="0"/>
      <w:marTop w:val="0"/>
      <w:marBottom w:val="0"/>
      <w:divBdr>
        <w:top w:val="none" w:sz="0" w:space="0" w:color="auto"/>
        <w:left w:val="none" w:sz="0" w:space="0" w:color="auto"/>
        <w:bottom w:val="none" w:sz="0" w:space="0" w:color="auto"/>
        <w:right w:val="none" w:sz="0" w:space="0" w:color="auto"/>
      </w:divBdr>
    </w:div>
    <w:div w:id="801729259">
      <w:bodyDiv w:val="1"/>
      <w:marLeft w:val="0"/>
      <w:marRight w:val="0"/>
      <w:marTop w:val="0"/>
      <w:marBottom w:val="0"/>
      <w:divBdr>
        <w:top w:val="none" w:sz="0" w:space="0" w:color="auto"/>
        <w:left w:val="none" w:sz="0" w:space="0" w:color="auto"/>
        <w:bottom w:val="none" w:sz="0" w:space="0" w:color="auto"/>
        <w:right w:val="none" w:sz="0" w:space="0" w:color="auto"/>
      </w:divBdr>
    </w:div>
    <w:div w:id="839583979">
      <w:bodyDiv w:val="1"/>
      <w:marLeft w:val="0"/>
      <w:marRight w:val="0"/>
      <w:marTop w:val="0"/>
      <w:marBottom w:val="0"/>
      <w:divBdr>
        <w:top w:val="none" w:sz="0" w:space="0" w:color="auto"/>
        <w:left w:val="none" w:sz="0" w:space="0" w:color="auto"/>
        <w:bottom w:val="none" w:sz="0" w:space="0" w:color="auto"/>
        <w:right w:val="none" w:sz="0" w:space="0" w:color="auto"/>
      </w:divBdr>
    </w:div>
    <w:div w:id="981347648">
      <w:bodyDiv w:val="1"/>
      <w:marLeft w:val="0"/>
      <w:marRight w:val="0"/>
      <w:marTop w:val="0"/>
      <w:marBottom w:val="0"/>
      <w:divBdr>
        <w:top w:val="none" w:sz="0" w:space="0" w:color="auto"/>
        <w:left w:val="none" w:sz="0" w:space="0" w:color="auto"/>
        <w:bottom w:val="none" w:sz="0" w:space="0" w:color="auto"/>
        <w:right w:val="none" w:sz="0" w:space="0" w:color="auto"/>
      </w:divBdr>
    </w:div>
    <w:div w:id="1143232420">
      <w:bodyDiv w:val="1"/>
      <w:marLeft w:val="0"/>
      <w:marRight w:val="0"/>
      <w:marTop w:val="0"/>
      <w:marBottom w:val="0"/>
      <w:divBdr>
        <w:top w:val="none" w:sz="0" w:space="0" w:color="auto"/>
        <w:left w:val="none" w:sz="0" w:space="0" w:color="auto"/>
        <w:bottom w:val="none" w:sz="0" w:space="0" w:color="auto"/>
        <w:right w:val="none" w:sz="0" w:space="0" w:color="auto"/>
      </w:divBdr>
    </w:div>
    <w:div w:id="1368987545">
      <w:bodyDiv w:val="1"/>
      <w:marLeft w:val="0"/>
      <w:marRight w:val="0"/>
      <w:marTop w:val="0"/>
      <w:marBottom w:val="0"/>
      <w:divBdr>
        <w:top w:val="none" w:sz="0" w:space="0" w:color="auto"/>
        <w:left w:val="none" w:sz="0" w:space="0" w:color="auto"/>
        <w:bottom w:val="none" w:sz="0" w:space="0" w:color="auto"/>
        <w:right w:val="none" w:sz="0" w:space="0" w:color="auto"/>
      </w:divBdr>
    </w:div>
    <w:div w:id="1390495906">
      <w:bodyDiv w:val="1"/>
      <w:marLeft w:val="0"/>
      <w:marRight w:val="0"/>
      <w:marTop w:val="0"/>
      <w:marBottom w:val="0"/>
      <w:divBdr>
        <w:top w:val="none" w:sz="0" w:space="0" w:color="auto"/>
        <w:left w:val="none" w:sz="0" w:space="0" w:color="auto"/>
        <w:bottom w:val="none" w:sz="0" w:space="0" w:color="auto"/>
        <w:right w:val="none" w:sz="0" w:space="0" w:color="auto"/>
      </w:divBdr>
    </w:div>
    <w:div w:id="1519537679">
      <w:bodyDiv w:val="1"/>
      <w:marLeft w:val="0"/>
      <w:marRight w:val="0"/>
      <w:marTop w:val="0"/>
      <w:marBottom w:val="0"/>
      <w:divBdr>
        <w:top w:val="none" w:sz="0" w:space="0" w:color="auto"/>
        <w:left w:val="none" w:sz="0" w:space="0" w:color="auto"/>
        <w:bottom w:val="none" w:sz="0" w:space="0" w:color="auto"/>
        <w:right w:val="none" w:sz="0" w:space="0" w:color="auto"/>
      </w:divBdr>
    </w:div>
    <w:div w:id="1526482259">
      <w:bodyDiv w:val="1"/>
      <w:marLeft w:val="0"/>
      <w:marRight w:val="0"/>
      <w:marTop w:val="0"/>
      <w:marBottom w:val="0"/>
      <w:divBdr>
        <w:top w:val="none" w:sz="0" w:space="0" w:color="auto"/>
        <w:left w:val="none" w:sz="0" w:space="0" w:color="auto"/>
        <w:bottom w:val="none" w:sz="0" w:space="0" w:color="auto"/>
        <w:right w:val="none" w:sz="0" w:space="0" w:color="auto"/>
      </w:divBdr>
    </w:div>
    <w:div w:id="1582444268">
      <w:bodyDiv w:val="1"/>
      <w:marLeft w:val="0"/>
      <w:marRight w:val="0"/>
      <w:marTop w:val="0"/>
      <w:marBottom w:val="0"/>
      <w:divBdr>
        <w:top w:val="none" w:sz="0" w:space="0" w:color="auto"/>
        <w:left w:val="none" w:sz="0" w:space="0" w:color="auto"/>
        <w:bottom w:val="none" w:sz="0" w:space="0" w:color="auto"/>
        <w:right w:val="none" w:sz="0" w:space="0" w:color="auto"/>
      </w:divBdr>
    </w:div>
    <w:div w:id="1602563585">
      <w:bodyDiv w:val="1"/>
      <w:marLeft w:val="0"/>
      <w:marRight w:val="0"/>
      <w:marTop w:val="0"/>
      <w:marBottom w:val="0"/>
      <w:divBdr>
        <w:top w:val="none" w:sz="0" w:space="0" w:color="auto"/>
        <w:left w:val="none" w:sz="0" w:space="0" w:color="auto"/>
        <w:bottom w:val="none" w:sz="0" w:space="0" w:color="auto"/>
        <w:right w:val="none" w:sz="0" w:space="0" w:color="auto"/>
      </w:divBdr>
    </w:div>
    <w:div w:id="1669743979">
      <w:bodyDiv w:val="1"/>
      <w:marLeft w:val="0"/>
      <w:marRight w:val="0"/>
      <w:marTop w:val="0"/>
      <w:marBottom w:val="0"/>
      <w:divBdr>
        <w:top w:val="none" w:sz="0" w:space="0" w:color="auto"/>
        <w:left w:val="none" w:sz="0" w:space="0" w:color="auto"/>
        <w:bottom w:val="none" w:sz="0" w:space="0" w:color="auto"/>
        <w:right w:val="none" w:sz="0" w:space="0" w:color="auto"/>
      </w:divBdr>
    </w:div>
    <w:div w:id="1790926592">
      <w:bodyDiv w:val="1"/>
      <w:marLeft w:val="0"/>
      <w:marRight w:val="0"/>
      <w:marTop w:val="0"/>
      <w:marBottom w:val="0"/>
      <w:divBdr>
        <w:top w:val="none" w:sz="0" w:space="0" w:color="auto"/>
        <w:left w:val="none" w:sz="0" w:space="0" w:color="auto"/>
        <w:bottom w:val="none" w:sz="0" w:space="0" w:color="auto"/>
        <w:right w:val="none" w:sz="0" w:space="0" w:color="auto"/>
      </w:divBdr>
    </w:div>
    <w:div w:id="19134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12</TotalTime>
  <Pages>14</Pages>
  <Words>4430</Words>
  <Characters>30054</Characters>
  <Application>Microsoft Office Word</Application>
  <DocSecurity>0</DocSecurity>
  <Lines>250</Lines>
  <Paragraphs>68</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2023082839 mt</dc:description>
  <cp:lastModifiedBy>Hanne Thy Iversen</cp:lastModifiedBy>
  <cp:revision>5</cp:revision>
  <cp:lastPrinted>2012-08-22T08:53:00Z</cp:lastPrinted>
  <dcterms:created xsi:type="dcterms:W3CDTF">2024-08-29T14:01:00Z</dcterms:created>
  <dcterms:modified xsi:type="dcterms:W3CDTF">2024-09-03T09:02:00Z</dcterms:modified>
</cp:coreProperties>
</file>