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1F14F" w14:textId="77777777" w:rsidR="009260DE" w:rsidRPr="00325490" w:rsidRDefault="0021526C" w:rsidP="009260DE">
      <w:pPr>
        <w:rPr>
          <w:sz w:val="24"/>
          <w:szCs w:val="24"/>
        </w:rPr>
      </w:pPr>
      <w:r w:rsidRPr="00325490">
        <w:rPr>
          <w:noProof/>
          <w:sz w:val="24"/>
          <w:szCs w:val="24"/>
          <w:lang w:eastAsia="da-DK"/>
        </w:rPr>
        <w:drawing>
          <wp:anchor distT="0" distB="0" distL="114300" distR="114300" simplePos="0" relativeHeight="251658240" behindDoc="0" locked="0" layoutInCell="1" allowOverlap="1" wp14:anchorId="6B421C12" wp14:editId="623BBDFF">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325490">
        <w:rPr>
          <w:sz w:val="24"/>
          <w:szCs w:val="24"/>
        </w:rPr>
        <w:br w:type="textWrapping" w:clear="all"/>
      </w:r>
    </w:p>
    <w:p w14:paraId="5A1C0711" w14:textId="5BDA7270" w:rsidR="009260DE" w:rsidRPr="00325490" w:rsidRDefault="009260DE" w:rsidP="009260DE">
      <w:pPr>
        <w:pStyle w:val="Titel"/>
        <w:tabs>
          <w:tab w:val="right" w:pos="9356"/>
        </w:tabs>
        <w:jc w:val="left"/>
        <w:rPr>
          <w:b w:val="0"/>
          <w:szCs w:val="24"/>
          <w:lang w:eastAsia="en-US"/>
        </w:rPr>
      </w:pPr>
      <w:r w:rsidRPr="00325490">
        <w:rPr>
          <w:b w:val="0"/>
          <w:szCs w:val="24"/>
          <w:lang w:eastAsia="en-US"/>
        </w:rPr>
        <w:tab/>
      </w:r>
      <w:r w:rsidR="00434679">
        <w:rPr>
          <w:szCs w:val="24"/>
        </w:rPr>
        <w:t>1</w:t>
      </w:r>
      <w:r w:rsidR="00FE44AB">
        <w:rPr>
          <w:szCs w:val="24"/>
        </w:rPr>
        <w:t>2</w:t>
      </w:r>
      <w:r w:rsidR="00434679">
        <w:rPr>
          <w:szCs w:val="24"/>
        </w:rPr>
        <w:t>. august 2026</w:t>
      </w:r>
    </w:p>
    <w:p w14:paraId="0047F5D0" w14:textId="77777777" w:rsidR="009260DE" w:rsidRPr="00325490" w:rsidRDefault="009260DE" w:rsidP="009260DE">
      <w:pPr>
        <w:pStyle w:val="Titel"/>
        <w:tabs>
          <w:tab w:val="left" w:pos="8222"/>
        </w:tabs>
        <w:jc w:val="left"/>
        <w:rPr>
          <w:b w:val="0"/>
          <w:szCs w:val="24"/>
        </w:rPr>
      </w:pPr>
    </w:p>
    <w:p w14:paraId="22D73605" w14:textId="77777777" w:rsidR="009260DE" w:rsidRPr="00325490" w:rsidRDefault="009260DE" w:rsidP="009260DE">
      <w:pPr>
        <w:pStyle w:val="Titel"/>
        <w:jc w:val="left"/>
        <w:rPr>
          <w:b w:val="0"/>
          <w:szCs w:val="24"/>
        </w:rPr>
      </w:pPr>
    </w:p>
    <w:p w14:paraId="35402C0B" w14:textId="77777777" w:rsidR="009260DE" w:rsidRPr="00325490" w:rsidRDefault="009260DE" w:rsidP="009260DE">
      <w:pPr>
        <w:jc w:val="center"/>
        <w:rPr>
          <w:b/>
          <w:sz w:val="24"/>
          <w:szCs w:val="24"/>
        </w:rPr>
      </w:pPr>
      <w:r w:rsidRPr="00325490">
        <w:rPr>
          <w:b/>
          <w:sz w:val="24"/>
          <w:szCs w:val="24"/>
        </w:rPr>
        <w:t>PRODUKTRESUMÉ</w:t>
      </w:r>
    </w:p>
    <w:p w14:paraId="79E66DBF" w14:textId="77777777" w:rsidR="009260DE" w:rsidRPr="00325490" w:rsidRDefault="009260DE" w:rsidP="009260DE">
      <w:pPr>
        <w:jc w:val="center"/>
        <w:rPr>
          <w:b/>
          <w:sz w:val="24"/>
          <w:szCs w:val="24"/>
        </w:rPr>
      </w:pPr>
    </w:p>
    <w:p w14:paraId="180D2ABB" w14:textId="77777777" w:rsidR="009260DE" w:rsidRPr="00325490" w:rsidRDefault="009260DE" w:rsidP="009260DE">
      <w:pPr>
        <w:jc w:val="center"/>
        <w:rPr>
          <w:b/>
          <w:sz w:val="24"/>
          <w:szCs w:val="24"/>
        </w:rPr>
      </w:pPr>
      <w:r w:rsidRPr="00325490">
        <w:rPr>
          <w:b/>
          <w:sz w:val="24"/>
          <w:szCs w:val="24"/>
        </w:rPr>
        <w:t>for</w:t>
      </w:r>
    </w:p>
    <w:p w14:paraId="4C2D029A" w14:textId="77777777" w:rsidR="000B058C" w:rsidRPr="00325490" w:rsidRDefault="000B058C" w:rsidP="009260DE">
      <w:pPr>
        <w:jc w:val="center"/>
        <w:rPr>
          <w:b/>
          <w:sz w:val="24"/>
          <w:szCs w:val="24"/>
        </w:rPr>
      </w:pPr>
    </w:p>
    <w:p w14:paraId="75C9B066" w14:textId="411ABCE1" w:rsidR="009260DE" w:rsidRPr="00325490" w:rsidRDefault="00434679" w:rsidP="009260DE">
      <w:pPr>
        <w:jc w:val="center"/>
        <w:rPr>
          <w:b/>
          <w:sz w:val="24"/>
          <w:szCs w:val="24"/>
        </w:rPr>
      </w:pPr>
      <w:r>
        <w:rPr>
          <w:b/>
          <w:sz w:val="24"/>
          <w:szCs w:val="24"/>
        </w:rPr>
        <w:t>Teicoplanin ”2care4”</w:t>
      </w:r>
      <w:r w:rsidR="000B1347" w:rsidRPr="00325490">
        <w:rPr>
          <w:b/>
          <w:sz w:val="24"/>
          <w:szCs w:val="24"/>
        </w:rPr>
        <w:t>, pulver og solvens til injektions-/infusionsvæske, opløsning</w:t>
      </w:r>
      <w:r>
        <w:rPr>
          <w:b/>
          <w:sz w:val="24"/>
          <w:szCs w:val="24"/>
        </w:rPr>
        <w:t xml:space="preserve"> (2care4)</w:t>
      </w:r>
    </w:p>
    <w:p w14:paraId="55812CD1" w14:textId="77777777" w:rsidR="009260DE" w:rsidRPr="00325490" w:rsidRDefault="009260DE" w:rsidP="009260DE">
      <w:pPr>
        <w:jc w:val="both"/>
        <w:rPr>
          <w:sz w:val="24"/>
          <w:szCs w:val="24"/>
        </w:rPr>
      </w:pPr>
    </w:p>
    <w:p w14:paraId="57A14031" w14:textId="77777777" w:rsidR="009260DE" w:rsidRPr="00325490" w:rsidRDefault="009260DE" w:rsidP="009260DE">
      <w:pPr>
        <w:jc w:val="both"/>
        <w:rPr>
          <w:sz w:val="24"/>
          <w:szCs w:val="24"/>
        </w:rPr>
      </w:pPr>
    </w:p>
    <w:p w14:paraId="602871B7" w14:textId="77777777" w:rsidR="009260DE" w:rsidRPr="00325490" w:rsidRDefault="009260DE" w:rsidP="009260DE">
      <w:pPr>
        <w:tabs>
          <w:tab w:val="left" w:pos="851"/>
        </w:tabs>
        <w:ind w:left="851" w:hanging="851"/>
        <w:rPr>
          <w:b/>
          <w:sz w:val="24"/>
          <w:szCs w:val="24"/>
        </w:rPr>
      </w:pPr>
      <w:r w:rsidRPr="00325490">
        <w:rPr>
          <w:b/>
          <w:sz w:val="24"/>
          <w:szCs w:val="24"/>
        </w:rPr>
        <w:t>0.</w:t>
      </w:r>
      <w:r w:rsidRPr="00325490">
        <w:rPr>
          <w:b/>
          <w:sz w:val="24"/>
          <w:szCs w:val="24"/>
        </w:rPr>
        <w:tab/>
        <w:t>D.SP.NR.</w:t>
      </w:r>
    </w:p>
    <w:p w14:paraId="0A9F5220" w14:textId="62CD8960" w:rsidR="009260DE" w:rsidRPr="00325490" w:rsidRDefault="00F41DF7" w:rsidP="009260DE">
      <w:pPr>
        <w:tabs>
          <w:tab w:val="left" w:pos="851"/>
        </w:tabs>
        <w:ind w:left="851"/>
        <w:rPr>
          <w:sz w:val="24"/>
          <w:szCs w:val="24"/>
        </w:rPr>
      </w:pPr>
      <w:r w:rsidRPr="00325490">
        <w:rPr>
          <w:sz w:val="24"/>
          <w:szCs w:val="24"/>
        </w:rPr>
        <w:t>34374</w:t>
      </w:r>
    </w:p>
    <w:p w14:paraId="1D1E4488" w14:textId="77777777" w:rsidR="009260DE" w:rsidRPr="00325490" w:rsidRDefault="009260DE" w:rsidP="009260DE">
      <w:pPr>
        <w:tabs>
          <w:tab w:val="left" w:pos="851"/>
        </w:tabs>
        <w:ind w:left="851"/>
        <w:rPr>
          <w:sz w:val="24"/>
          <w:szCs w:val="24"/>
        </w:rPr>
      </w:pPr>
    </w:p>
    <w:p w14:paraId="2D37E402" w14:textId="77777777" w:rsidR="009260DE" w:rsidRPr="00325490" w:rsidRDefault="009260DE" w:rsidP="009260DE">
      <w:pPr>
        <w:tabs>
          <w:tab w:val="left" w:pos="851"/>
        </w:tabs>
        <w:ind w:left="851" w:hanging="851"/>
        <w:rPr>
          <w:b/>
          <w:sz w:val="24"/>
          <w:szCs w:val="24"/>
        </w:rPr>
      </w:pPr>
      <w:r w:rsidRPr="00325490">
        <w:rPr>
          <w:b/>
          <w:sz w:val="24"/>
          <w:szCs w:val="24"/>
        </w:rPr>
        <w:t>1.</w:t>
      </w:r>
      <w:r w:rsidRPr="00325490">
        <w:rPr>
          <w:b/>
          <w:sz w:val="24"/>
          <w:szCs w:val="24"/>
        </w:rPr>
        <w:tab/>
        <w:t>LÆGEMIDLETS NAVN</w:t>
      </w:r>
    </w:p>
    <w:p w14:paraId="5432E8F5" w14:textId="3D926131" w:rsidR="009260DE" w:rsidRPr="00325490" w:rsidRDefault="00434679" w:rsidP="009260DE">
      <w:pPr>
        <w:tabs>
          <w:tab w:val="left" w:pos="851"/>
        </w:tabs>
        <w:ind w:left="851"/>
        <w:rPr>
          <w:sz w:val="24"/>
          <w:szCs w:val="24"/>
        </w:rPr>
      </w:pPr>
      <w:r>
        <w:rPr>
          <w:sz w:val="24"/>
          <w:szCs w:val="24"/>
        </w:rPr>
        <w:t>Teicoplanin ”2care4”</w:t>
      </w:r>
    </w:p>
    <w:p w14:paraId="401FDCBD" w14:textId="77777777" w:rsidR="009260DE" w:rsidRPr="00325490" w:rsidRDefault="009260DE" w:rsidP="009260DE">
      <w:pPr>
        <w:tabs>
          <w:tab w:val="left" w:pos="851"/>
        </w:tabs>
        <w:ind w:left="851"/>
        <w:rPr>
          <w:sz w:val="24"/>
          <w:szCs w:val="24"/>
        </w:rPr>
      </w:pPr>
    </w:p>
    <w:p w14:paraId="2164216B" w14:textId="77777777" w:rsidR="009260DE" w:rsidRPr="00325490" w:rsidRDefault="009260DE" w:rsidP="009260DE">
      <w:pPr>
        <w:tabs>
          <w:tab w:val="left" w:pos="851"/>
        </w:tabs>
        <w:ind w:left="851" w:hanging="851"/>
        <w:rPr>
          <w:b/>
          <w:sz w:val="24"/>
          <w:szCs w:val="24"/>
        </w:rPr>
      </w:pPr>
      <w:r w:rsidRPr="00325490">
        <w:rPr>
          <w:b/>
          <w:sz w:val="24"/>
          <w:szCs w:val="24"/>
        </w:rPr>
        <w:t>2.</w:t>
      </w:r>
      <w:r w:rsidRPr="00325490">
        <w:rPr>
          <w:b/>
          <w:sz w:val="24"/>
          <w:szCs w:val="24"/>
        </w:rPr>
        <w:tab/>
        <w:t>KVALITATIV OG KVANTITATIV SAMMENSÆTNING</w:t>
      </w:r>
    </w:p>
    <w:p w14:paraId="3E820BB5" w14:textId="77777777" w:rsidR="006420CF" w:rsidRPr="00325490" w:rsidRDefault="006420CF" w:rsidP="006420CF">
      <w:pPr>
        <w:ind w:left="851"/>
        <w:rPr>
          <w:sz w:val="24"/>
          <w:szCs w:val="24"/>
        </w:rPr>
      </w:pPr>
      <w:r w:rsidRPr="00325490">
        <w:rPr>
          <w:sz w:val="24"/>
          <w:szCs w:val="24"/>
        </w:rPr>
        <w:t xml:space="preserve">Hvert hætteglas indeholder 400 mg teicoplanin svarende til mindst 400.000 IE. </w:t>
      </w:r>
    </w:p>
    <w:p w14:paraId="1E07F659" w14:textId="77777777" w:rsidR="006420CF" w:rsidRPr="00325490" w:rsidRDefault="006420CF" w:rsidP="006420CF">
      <w:pPr>
        <w:ind w:left="851"/>
        <w:rPr>
          <w:sz w:val="24"/>
          <w:szCs w:val="24"/>
        </w:rPr>
      </w:pPr>
      <w:r w:rsidRPr="00325490">
        <w:rPr>
          <w:sz w:val="24"/>
          <w:szCs w:val="24"/>
        </w:rPr>
        <w:t xml:space="preserve">Efter rekonstitution indeholder opløsningen 400 mg teicoplanin i 3 ml. </w:t>
      </w:r>
    </w:p>
    <w:p w14:paraId="328274C6" w14:textId="77777777" w:rsidR="006420CF" w:rsidRPr="00325490" w:rsidRDefault="006420CF" w:rsidP="006420CF">
      <w:pPr>
        <w:ind w:left="851"/>
        <w:rPr>
          <w:sz w:val="24"/>
          <w:szCs w:val="24"/>
        </w:rPr>
      </w:pPr>
    </w:p>
    <w:p w14:paraId="51C68B7F" w14:textId="77777777" w:rsidR="006420CF" w:rsidRPr="00325490" w:rsidRDefault="006420CF" w:rsidP="006420CF">
      <w:pPr>
        <w:ind w:left="851"/>
        <w:rPr>
          <w:sz w:val="24"/>
          <w:szCs w:val="24"/>
          <w:u w:val="single"/>
        </w:rPr>
      </w:pPr>
      <w:r w:rsidRPr="00325490">
        <w:rPr>
          <w:sz w:val="24"/>
          <w:szCs w:val="24"/>
          <w:u w:val="single"/>
        </w:rPr>
        <w:t>Hjælpestof(fer), som behandleren skal være opmærksom på</w:t>
      </w:r>
    </w:p>
    <w:p w14:paraId="48E2707C" w14:textId="77777777" w:rsidR="006420CF" w:rsidRPr="00325490" w:rsidRDefault="006420CF" w:rsidP="006420CF">
      <w:pPr>
        <w:ind w:left="851"/>
        <w:rPr>
          <w:sz w:val="24"/>
          <w:szCs w:val="24"/>
        </w:rPr>
      </w:pPr>
      <w:r w:rsidRPr="00325490">
        <w:rPr>
          <w:sz w:val="24"/>
          <w:szCs w:val="24"/>
        </w:rPr>
        <w:t>Alle hjælpestoffer er anført under pkt. 6.1.</w:t>
      </w:r>
    </w:p>
    <w:p w14:paraId="7DBD825C" w14:textId="77777777" w:rsidR="009260DE" w:rsidRPr="00325490" w:rsidRDefault="009260DE" w:rsidP="009260DE">
      <w:pPr>
        <w:tabs>
          <w:tab w:val="left" w:pos="851"/>
        </w:tabs>
        <w:ind w:left="851"/>
        <w:rPr>
          <w:sz w:val="24"/>
          <w:szCs w:val="24"/>
        </w:rPr>
      </w:pPr>
    </w:p>
    <w:p w14:paraId="6A3EFE3A" w14:textId="77777777" w:rsidR="009260DE" w:rsidRPr="00325490" w:rsidRDefault="009260DE" w:rsidP="009260DE">
      <w:pPr>
        <w:tabs>
          <w:tab w:val="left" w:pos="851"/>
        </w:tabs>
        <w:ind w:left="851" w:hanging="851"/>
        <w:rPr>
          <w:b/>
          <w:sz w:val="24"/>
          <w:szCs w:val="24"/>
        </w:rPr>
      </w:pPr>
      <w:r w:rsidRPr="00325490">
        <w:rPr>
          <w:b/>
          <w:sz w:val="24"/>
          <w:szCs w:val="24"/>
        </w:rPr>
        <w:t>3.</w:t>
      </w:r>
      <w:r w:rsidRPr="00325490">
        <w:rPr>
          <w:b/>
          <w:sz w:val="24"/>
          <w:szCs w:val="24"/>
        </w:rPr>
        <w:tab/>
        <w:t>LÆGEMIDDELFORM</w:t>
      </w:r>
    </w:p>
    <w:p w14:paraId="467EA656" w14:textId="05213484" w:rsidR="006420CF" w:rsidRPr="00325490" w:rsidRDefault="006420CF" w:rsidP="006420CF">
      <w:pPr>
        <w:ind w:left="851"/>
        <w:rPr>
          <w:sz w:val="24"/>
          <w:szCs w:val="24"/>
        </w:rPr>
      </w:pPr>
      <w:r w:rsidRPr="00325490">
        <w:rPr>
          <w:sz w:val="24"/>
          <w:szCs w:val="24"/>
        </w:rPr>
        <w:t>Pulver og solvens til injektions-/infusionsvæske, opløsning</w:t>
      </w:r>
      <w:r w:rsidR="00434679">
        <w:rPr>
          <w:sz w:val="24"/>
          <w:szCs w:val="24"/>
        </w:rPr>
        <w:t xml:space="preserve"> (2care4)</w:t>
      </w:r>
    </w:p>
    <w:p w14:paraId="17909D3F" w14:textId="77777777" w:rsidR="009260DE" w:rsidRPr="00325490" w:rsidRDefault="009260DE" w:rsidP="009260DE">
      <w:pPr>
        <w:tabs>
          <w:tab w:val="left" w:pos="851"/>
        </w:tabs>
        <w:ind w:left="851"/>
        <w:rPr>
          <w:sz w:val="24"/>
          <w:szCs w:val="24"/>
        </w:rPr>
      </w:pPr>
    </w:p>
    <w:p w14:paraId="21ED2905" w14:textId="77777777" w:rsidR="009260DE" w:rsidRPr="00325490" w:rsidRDefault="009260DE" w:rsidP="009260DE">
      <w:pPr>
        <w:tabs>
          <w:tab w:val="left" w:pos="851"/>
        </w:tabs>
        <w:ind w:left="851"/>
        <w:rPr>
          <w:sz w:val="24"/>
          <w:szCs w:val="24"/>
        </w:rPr>
      </w:pPr>
    </w:p>
    <w:p w14:paraId="224B61F6" w14:textId="77777777" w:rsidR="009260DE" w:rsidRPr="00325490" w:rsidRDefault="009260DE" w:rsidP="009260DE">
      <w:pPr>
        <w:tabs>
          <w:tab w:val="left" w:pos="851"/>
        </w:tabs>
        <w:ind w:left="851" w:hanging="851"/>
        <w:rPr>
          <w:b/>
          <w:sz w:val="24"/>
          <w:szCs w:val="24"/>
        </w:rPr>
      </w:pPr>
      <w:r w:rsidRPr="00325490">
        <w:rPr>
          <w:b/>
          <w:sz w:val="24"/>
          <w:szCs w:val="24"/>
        </w:rPr>
        <w:t>4.</w:t>
      </w:r>
      <w:r w:rsidRPr="00325490">
        <w:rPr>
          <w:b/>
          <w:sz w:val="24"/>
          <w:szCs w:val="24"/>
        </w:rPr>
        <w:tab/>
        <w:t>KLINISKE OPLYSNINGER</w:t>
      </w:r>
    </w:p>
    <w:p w14:paraId="40F9D63C" w14:textId="77777777" w:rsidR="009260DE" w:rsidRPr="00325490" w:rsidRDefault="009260DE" w:rsidP="009260DE">
      <w:pPr>
        <w:tabs>
          <w:tab w:val="left" w:pos="851"/>
        </w:tabs>
        <w:ind w:left="851"/>
        <w:rPr>
          <w:b/>
          <w:sz w:val="24"/>
          <w:szCs w:val="24"/>
        </w:rPr>
      </w:pPr>
    </w:p>
    <w:p w14:paraId="4B9C9AA8" w14:textId="77777777" w:rsidR="009260DE" w:rsidRPr="00325490" w:rsidRDefault="009260DE" w:rsidP="009260DE">
      <w:pPr>
        <w:tabs>
          <w:tab w:val="left" w:pos="851"/>
        </w:tabs>
        <w:ind w:left="851" w:hanging="851"/>
        <w:rPr>
          <w:b/>
          <w:sz w:val="24"/>
          <w:szCs w:val="24"/>
          <w:u w:val="single"/>
        </w:rPr>
      </w:pPr>
      <w:r w:rsidRPr="00325490">
        <w:rPr>
          <w:b/>
          <w:sz w:val="24"/>
          <w:szCs w:val="24"/>
        </w:rPr>
        <w:t>4.1</w:t>
      </w:r>
      <w:r w:rsidRPr="00325490">
        <w:rPr>
          <w:b/>
          <w:sz w:val="24"/>
          <w:szCs w:val="24"/>
        </w:rPr>
        <w:tab/>
        <w:t>Terapeutiske indikationer</w:t>
      </w:r>
    </w:p>
    <w:p w14:paraId="10698A81" w14:textId="37D0EC52" w:rsidR="006420CF" w:rsidRPr="00325490" w:rsidRDefault="00434679" w:rsidP="00CB3906">
      <w:pPr>
        <w:ind w:left="851"/>
        <w:rPr>
          <w:sz w:val="24"/>
          <w:szCs w:val="24"/>
        </w:rPr>
      </w:pPr>
      <w:r>
        <w:rPr>
          <w:sz w:val="24"/>
          <w:szCs w:val="24"/>
        </w:rPr>
        <w:t>Teicoplanin ”2care4”</w:t>
      </w:r>
      <w:r w:rsidR="006420CF" w:rsidRPr="00325490">
        <w:rPr>
          <w:sz w:val="24"/>
          <w:szCs w:val="24"/>
        </w:rPr>
        <w:t xml:space="preserve"> er indiceret til parenteral behandling af følgende infektioner hos voksne og børn fra fødslen (se pkt. 4.2, 4.4 og 5.1):</w:t>
      </w:r>
    </w:p>
    <w:p w14:paraId="3BF33D85" w14:textId="77777777" w:rsidR="006420CF" w:rsidRPr="00325490" w:rsidRDefault="006420CF" w:rsidP="00325490">
      <w:pPr>
        <w:pStyle w:val="Listeafsnit"/>
        <w:numPr>
          <w:ilvl w:val="0"/>
          <w:numId w:val="11"/>
        </w:numPr>
        <w:ind w:left="1276" w:hanging="425"/>
        <w:rPr>
          <w:sz w:val="24"/>
          <w:szCs w:val="24"/>
        </w:rPr>
      </w:pPr>
      <w:r w:rsidRPr="00325490">
        <w:rPr>
          <w:sz w:val="24"/>
          <w:szCs w:val="24"/>
        </w:rPr>
        <w:t>Kompliceret hud- og bløddelsinfektion.</w:t>
      </w:r>
    </w:p>
    <w:p w14:paraId="7D8BFC2B" w14:textId="77777777" w:rsidR="006420CF" w:rsidRPr="00325490" w:rsidRDefault="006420CF" w:rsidP="00325490">
      <w:pPr>
        <w:pStyle w:val="Listeafsnit"/>
        <w:numPr>
          <w:ilvl w:val="0"/>
          <w:numId w:val="11"/>
        </w:numPr>
        <w:ind w:left="1276" w:hanging="425"/>
        <w:rPr>
          <w:sz w:val="24"/>
          <w:szCs w:val="24"/>
        </w:rPr>
      </w:pPr>
      <w:r w:rsidRPr="00325490">
        <w:rPr>
          <w:sz w:val="24"/>
          <w:szCs w:val="24"/>
        </w:rPr>
        <w:t>Knogle- og ledinfektion.</w:t>
      </w:r>
    </w:p>
    <w:p w14:paraId="7E55EA30" w14:textId="77777777" w:rsidR="006420CF" w:rsidRPr="00325490" w:rsidRDefault="006420CF" w:rsidP="00325490">
      <w:pPr>
        <w:pStyle w:val="Listeafsnit"/>
        <w:numPr>
          <w:ilvl w:val="0"/>
          <w:numId w:val="11"/>
        </w:numPr>
        <w:ind w:left="1276" w:hanging="425"/>
        <w:rPr>
          <w:sz w:val="24"/>
          <w:szCs w:val="24"/>
        </w:rPr>
      </w:pPr>
      <w:r w:rsidRPr="00325490">
        <w:rPr>
          <w:sz w:val="24"/>
          <w:szCs w:val="24"/>
        </w:rPr>
        <w:t>Hospitalserhvervet pneumoni.</w:t>
      </w:r>
    </w:p>
    <w:p w14:paraId="41063B48" w14:textId="77777777" w:rsidR="006420CF" w:rsidRPr="00325490" w:rsidRDefault="006420CF" w:rsidP="00325490">
      <w:pPr>
        <w:pStyle w:val="Listeafsnit"/>
        <w:numPr>
          <w:ilvl w:val="0"/>
          <w:numId w:val="11"/>
        </w:numPr>
        <w:ind w:left="1276" w:hanging="425"/>
        <w:rPr>
          <w:sz w:val="24"/>
          <w:szCs w:val="24"/>
        </w:rPr>
      </w:pPr>
      <w:r w:rsidRPr="00325490">
        <w:rPr>
          <w:sz w:val="24"/>
          <w:szCs w:val="24"/>
        </w:rPr>
        <w:t>Samfundserhvervet pneumoni.</w:t>
      </w:r>
    </w:p>
    <w:p w14:paraId="271D1F23" w14:textId="77777777" w:rsidR="006420CF" w:rsidRPr="00325490" w:rsidRDefault="006420CF" w:rsidP="00325490">
      <w:pPr>
        <w:pStyle w:val="Listeafsnit"/>
        <w:numPr>
          <w:ilvl w:val="0"/>
          <w:numId w:val="11"/>
        </w:numPr>
        <w:ind w:left="1276" w:hanging="425"/>
        <w:rPr>
          <w:sz w:val="24"/>
          <w:szCs w:val="24"/>
        </w:rPr>
      </w:pPr>
      <w:r w:rsidRPr="00325490">
        <w:rPr>
          <w:sz w:val="24"/>
          <w:szCs w:val="24"/>
        </w:rPr>
        <w:t>Kompliceret urinvejsinfektion.</w:t>
      </w:r>
    </w:p>
    <w:p w14:paraId="23403D5C" w14:textId="77777777" w:rsidR="006420CF" w:rsidRPr="00325490" w:rsidRDefault="006420CF" w:rsidP="00325490">
      <w:pPr>
        <w:pStyle w:val="Listeafsnit"/>
        <w:numPr>
          <w:ilvl w:val="0"/>
          <w:numId w:val="11"/>
        </w:numPr>
        <w:ind w:left="1276" w:hanging="425"/>
        <w:rPr>
          <w:sz w:val="24"/>
          <w:szCs w:val="24"/>
        </w:rPr>
      </w:pPr>
      <w:r w:rsidRPr="00325490">
        <w:rPr>
          <w:sz w:val="24"/>
          <w:szCs w:val="24"/>
        </w:rPr>
        <w:t>Infektiøs endokarditis.</w:t>
      </w:r>
    </w:p>
    <w:p w14:paraId="0BCCF77E" w14:textId="77777777" w:rsidR="00701F28" w:rsidRPr="00701F28" w:rsidRDefault="006420CF" w:rsidP="00701F28">
      <w:pPr>
        <w:pStyle w:val="Listeafsnit"/>
        <w:numPr>
          <w:ilvl w:val="0"/>
          <w:numId w:val="11"/>
        </w:numPr>
        <w:ind w:left="1276" w:hanging="425"/>
        <w:rPr>
          <w:sz w:val="24"/>
          <w:szCs w:val="24"/>
        </w:rPr>
      </w:pPr>
      <w:r w:rsidRPr="00701F28">
        <w:rPr>
          <w:sz w:val="24"/>
          <w:szCs w:val="24"/>
        </w:rPr>
        <w:t>Peritonitis i forbindelse med kontinuerlig ambulant peritonealdialyse (CAPD).</w:t>
      </w:r>
    </w:p>
    <w:p w14:paraId="3ADDB3CF" w14:textId="3288EB99" w:rsidR="006420CF" w:rsidRPr="00701F28" w:rsidRDefault="00701F28" w:rsidP="00701F28">
      <w:pPr>
        <w:pStyle w:val="Listeafsnit"/>
        <w:numPr>
          <w:ilvl w:val="0"/>
          <w:numId w:val="11"/>
        </w:numPr>
        <w:ind w:left="1276" w:hanging="425"/>
        <w:rPr>
          <w:sz w:val="24"/>
          <w:szCs w:val="24"/>
        </w:rPr>
      </w:pPr>
      <w:r w:rsidRPr="00701F28">
        <w:rPr>
          <w:sz w:val="24"/>
          <w:szCs w:val="24"/>
        </w:rPr>
        <w:t>Bakteriæmi der forekommer i forbindelse med enhver af ovennævnte indikationer.</w:t>
      </w:r>
    </w:p>
    <w:p w14:paraId="085A91DF" w14:textId="77777777" w:rsidR="00701F28" w:rsidRPr="00701F28" w:rsidRDefault="00701F28" w:rsidP="00701F28">
      <w:pPr>
        <w:ind w:left="851"/>
        <w:rPr>
          <w:sz w:val="24"/>
          <w:szCs w:val="24"/>
        </w:rPr>
      </w:pPr>
    </w:p>
    <w:p w14:paraId="2B8BF028" w14:textId="54B52A0A" w:rsidR="00701F28" w:rsidRPr="00701F28" w:rsidRDefault="00434679" w:rsidP="00701F28">
      <w:pPr>
        <w:pStyle w:val="Bodytext20"/>
        <w:shd w:val="clear" w:color="auto" w:fill="auto"/>
        <w:spacing w:before="0" w:after="0" w:line="240" w:lineRule="auto"/>
        <w:ind w:left="851" w:firstLine="0"/>
        <w:rPr>
          <w:rFonts w:ascii="Times New Roman" w:hAnsi="Times New Roman"/>
          <w:sz w:val="24"/>
          <w:szCs w:val="24"/>
          <w:lang w:eastAsia="en-US"/>
        </w:rPr>
      </w:pPr>
      <w:r>
        <w:rPr>
          <w:rFonts w:ascii="Times New Roman" w:hAnsi="Times New Roman"/>
          <w:sz w:val="24"/>
          <w:szCs w:val="24"/>
        </w:rPr>
        <w:t>Teicoplanin ”2care4”</w:t>
      </w:r>
      <w:r w:rsidR="00701F28" w:rsidRPr="00701F28">
        <w:rPr>
          <w:rFonts w:ascii="Times New Roman" w:hAnsi="Times New Roman"/>
          <w:sz w:val="24"/>
          <w:szCs w:val="24"/>
        </w:rPr>
        <w:t xml:space="preserve"> er også indiceret som alternativ oral behandling af </w:t>
      </w:r>
      <w:r w:rsidR="00701F28" w:rsidRPr="00701F28">
        <w:rPr>
          <w:rStyle w:val="Bodytext2Italic"/>
          <w:rFonts w:ascii="Times New Roman" w:hAnsi="Times New Roman"/>
          <w:sz w:val="24"/>
          <w:szCs w:val="24"/>
        </w:rPr>
        <w:t>Clostridioides difficile</w:t>
      </w:r>
      <w:r w:rsidR="00701F28" w:rsidRPr="00701F28">
        <w:rPr>
          <w:rFonts w:ascii="Times New Roman" w:hAnsi="Times New Roman"/>
          <w:sz w:val="24"/>
          <w:szCs w:val="24"/>
        </w:rPr>
        <w:t>-infektion i forbindelse med diarré og colitis.</w:t>
      </w:r>
    </w:p>
    <w:p w14:paraId="6F4296F4" w14:textId="77777777" w:rsidR="006420CF" w:rsidRPr="00701F28" w:rsidRDefault="006420CF" w:rsidP="00701F28">
      <w:pPr>
        <w:ind w:left="851"/>
        <w:rPr>
          <w:sz w:val="24"/>
          <w:szCs w:val="24"/>
        </w:rPr>
      </w:pPr>
    </w:p>
    <w:p w14:paraId="68A5F391" w14:textId="77777777" w:rsidR="006420CF" w:rsidRPr="00325490" w:rsidRDefault="006420CF" w:rsidP="00CB3906">
      <w:pPr>
        <w:ind w:left="851"/>
        <w:rPr>
          <w:sz w:val="24"/>
          <w:szCs w:val="24"/>
        </w:rPr>
      </w:pPr>
      <w:r w:rsidRPr="00325490">
        <w:rPr>
          <w:sz w:val="24"/>
          <w:szCs w:val="24"/>
        </w:rPr>
        <w:lastRenderedPageBreak/>
        <w:t>Teicoplanin bør, hvor det er relevant, administreres i kombination med andre antibakterielle midler.</w:t>
      </w:r>
    </w:p>
    <w:p w14:paraId="417DF54A" w14:textId="77777777" w:rsidR="006420CF" w:rsidRPr="00325490" w:rsidRDefault="006420CF" w:rsidP="00CB3906">
      <w:pPr>
        <w:ind w:left="851"/>
        <w:rPr>
          <w:sz w:val="24"/>
          <w:szCs w:val="24"/>
        </w:rPr>
      </w:pPr>
    </w:p>
    <w:p w14:paraId="1837FC24" w14:textId="77777777" w:rsidR="006420CF" w:rsidRPr="00325490" w:rsidRDefault="006420CF" w:rsidP="00CB3906">
      <w:pPr>
        <w:ind w:left="851"/>
        <w:rPr>
          <w:sz w:val="24"/>
          <w:szCs w:val="24"/>
        </w:rPr>
      </w:pPr>
      <w:r w:rsidRPr="00325490">
        <w:rPr>
          <w:sz w:val="24"/>
          <w:szCs w:val="24"/>
        </w:rPr>
        <w:t>Behandlingen skal ske under hensyntagen til de officielle retningslinjer for hensigtsmæssig anvendelse af antibakterielle midler.</w:t>
      </w:r>
    </w:p>
    <w:p w14:paraId="7E4A1786" w14:textId="77777777" w:rsidR="009260DE" w:rsidRPr="00325490" w:rsidRDefault="009260DE" w:rsidP="009260DE">
      <w:pPr>
        <w:tabs>
          <w:tab w:val="left" w:pos="851"/>
        </w:tabs>
        <w:ind w:left="851"/>
        <w:rPr>
          <w:sz w:val="24"/>
          <w:szCs w:val="24"/>
        </w:rPr>
      </w:pPr>
    </w:p>
    <w:p w14:paraId="7B757D5E" w14:textId="77777777" w:rsidR="009260DE" w:rsidRPr="00325490" w:rsidRDefault="009260DE" w:rsidP="009260DE">
      <w:pPr>
        <w:tabs>
          <w:tab w:val="left" w:pos="851"/>
        </w:tabs>
        <w:ind w:left="851" w:hanging="851"/>
        <w:rPr>
          <w:b/>
          <w:sz w:val="24"/>
          <w:szCs w:val="24"/>
        </w:rPr>
      </w:pPr>
      <w:r w:rsidRPr="00325490">
        <w:rPr>
          <w:b/>
          <w:sz w:val="24"/>
          <w:szCs w:val="24"/>
        </w:rPr>
        <w:t>4.2</w:t>
      </w:r>
      <w:r w:rsidRPr="00325490">
        <w:rPr>
          <w:b/>
          <w:sz w:val="24"/>
          <w:szCs w:val="24"/>
        </w:rPr>
        <w:tab/>
        <w:t xml:space="preserve">Dosering og </w:t>
      </w:r>
      <w:r w:rsidR="002C1EC0" w:rsidRPr="00325490">
        <w:rPr>
          <w:b/>
          <w:sz w:val="24"/>
          <w:szCs w:val="24"/>
        </w:rPr>
        <w:t>administration</w:t>
      </w:r>
    </w:p>
    <w:p w14:paraId="01631AA9" w14:textId="77777777" w:rsidR="00325490" w:rsidRPr="00325490" w:rsidRDefault="00325490" w:rsidP="00CB3906">
      <w:pPr>
        <w:ind w:left="851"/>
        <w:rPr>
          <w:rStyle w:val="Heading3NotBold"/>
          <w:rFonts w:ascii="Times New Roman" w:hAnsi="Times New Roman" w:cs="Times New Roman"/>
          <w:b w:val="0"/>
          <w:sz w:val="24"/>
          <w:szCs w:val="24"/>
        </w:rPr>
      </w:pPr>
    </w:p>
    <w:p w14:paraId="14CDC4FA" w14:textId="1374C2D5" w:rsidR="006420CF" w:rsidRPr="00325490" w:rsidRDefault="006420CF" w:rsidP="00CB3906">
      <w:pPr>
        <w:ind w:left="851"/>
        <w:rPr>
          <w:b/>
          <w:sz w:val="24"/>
          <w:szCs w:val="24"/>
        </w:rPr>
      </w:pPr>
      <w:r w:rsidRPr="00325490">
        <w:rPr>
          <w:rStyle w:val="Heading3NotBold"/>
          <w:rFonts w:ascii="Times New Roman" w:hAnsi="Times New Roman" w:cs="Times New Roman"/>
          <w:b w:val="0"/>
          <w:sz w:val="24"/>
          <w:szCs w:val="24"/>
        </w:rPr>
        <w:t>Dosering</w:t>
      </w:r>
    </w:p>
    <w:p w14:paraId="350A62CB" w14:textId="77777777" w:rsidR="006420CF" w:rsidRPr="00325490" w:rsidRDefault="006420CF" w:rsidP="00CB3906">
      <w:pPr>
        <w:ind w:left="851"/>
        <w:rPr>
          <w:sz w:val="24"/>
          <w:szCs w:val="24"/>
        </w:rPr>
      </w:pPr>
      <w:r w:rsidRPr="00325490">
        <w:rPr>
          <w:sz w:val="24"/>
          <w:szCs w:val="24"/>
        </w:rPr>
        <w:t>Dosis og behandlingsvarighed skal justeres i overensstemmelse med infektionens type og sværhedsgrad, patientens kliniske respons samt patientfaktorer såsom alder og nyrefunktion.</w:t>
      </w:r>
    </w:p>
    <w:p w14:paraId="6A7CD385" w14:textId="77777777" w:rsidR="006420CF" w:rsidRPr="00325490" w:rsidRDefault="006420CF" w:rsidP="00CB3906">
      <w:pPr>
        <w:ind w:left="851"/>
        <w:rPr>
          <w:sz w:val="24"/>
          <w:szCs w:val="24"/>
        </w:rPr>
      </w:pPr>
    </w:p>
    <w:p w14:paraId="51CB83FC" w14:textId="77777777" w:rsidR="006420CF" w:rsidRPr="00325490" w:rsidRDefault="006420CF" w:rsidP="00CB3906">
      <w:pPr>
        <w:ind w:left="851"/>
        <w:rPr>
          <w:sz w:val="24"/>
          <w:szCs w:val="24"/>
          <w:u w:val="single"/>
        </w:rPr>
      </w:pPr>
      <w:r w:rsidRPr="00325490">
        <w:rPr>
          <w:sz w:val="24"/>
          <w:szCs w:val="24"/>
          <w:u w:val="single"/>
        </w:rPr>
        <w:t>Måling af serumkoncentration</w:t>
      </w:r>
    </w:p>
    <w:p w14:paraId="4DA3B8C6" w14:textId="77777777" w:rsidR="00701F28" w:rsidRPr="00701F28" w:rsidRDefault="00701F28" w:rsidP="00701F28">
      <w:pPr>
        <w:pStyle w:val="Bodytext20"/>
        <w:shd w:val="clear" w:color="auto" w:fill="auto"/>
        <w:spacing w:before="0" w:after="0" w:line="240" w:lineRule="auto"/>
        <w:ind w:left="851" w:firstLine="0"/>
        <w:rPr>
          <w:rFonts w:ascii="Times New Roman" w:hAnsi="Times New Roman" w:cs="Times New Roman"/>
          <w:sz w:val="24"/>
          <w:szCs w:val="24"/>
          <w:lang w:eastAsia="en-US"/>
        </w:rPr>
      </w:pPr>
      <w:r w:rsidRPr="00701F28">
        <w:rPr>
          <w:rFonts w:ascii="Times New Roman" w:hAnsi="Times New Roman"/>
          <w:sz w:val="24"/>
          <w:szCs w:val="24"/>
        </w:rPr>
        <w:t xml:space="preserve">Dalværdien for serum-teicoplanin skal monitoreres ved </w:t>
      </w:r>
      <w:r w:rsidRPr="00701F28">
        <w:rPr>
          <w:rFonts w:ascii="Times New Roman" w:hAnsi="Times New Roman"/>
          <w:i/>
          <w:iCs/>
          <w:sz w:val="24"/>
          <w:szCs w:val="24"/>
        </w:rPr>
        <w:t>steady state</w:t>
      </w:r>
      <w:r w:rsidRPr="00701F28">
        <w:rPr>
          <w:rFonts w:ascii="Times New Roman" w:hAnsi="Times New Roman"/>
          <w:sz w:val="24"/>
          <w:szCs w:val="24"/>
        </w:rPr>
        <w:t xml:space="preserve"> efter afslutning af støddosisregimet for at sikre, at den nødvendige minimumskoncentration er opnået.</w:t>
      </w:r>
    </w:p>
    <w:p w14:paraId="36EE58E3" w14:textId="594CB487" w:rsidR="006420CF" w:rsidRPr="00325490" w:rsidRDefault="006420CF" w:rsidP="00325490">
      <w:pPr>
        <w:pStyle w:val="Listeafsnit"/>
        <w:numPr>
          <w:ilvl w:val="0"/>
          <w:numId w:val="12"/>
        </w:numPr>
        <w:ind w:left="1276" w:hanging="425"/>
        <w:rPr>
          <w:sz w:val="24"/>
          <w:szCs w:val="24"/>
        </w:rPr>
      </w:pPr>
      <w:r w:rsidRPr="00325490">
        <w:rPr>
          <w:sz w:val="24"/>
          <w:szCs w:val="24"/>
        </w:rPr>
        <w:t xml:space="preserve">Ved de fleste grampositive infektioner </w:t>
      </w:r>
      <w:r w:rsidR="00D006FC">
        <w:rPr>
          <w:sz w:val="24"/>
          <w:szCs w:val="24"/>
        </w:rPr>
        <w:t>er</w:t>
      </w:r>
      <w:r w:rsidRPr="00325490">
        <w:rPr>
          <w:sz w:val="24"/>
          <w:szCs w:val="24"/>
        </w:rPr>
        <w:t xml:space="preserve"> dalkoncentrationen af teicoplanin mindst 10 mg/l, når den måles ved højtryksvæskekromatografi (HPLC), eller mindst 15 mg/l, når den måles ved fluorescenspolarisationsanalyse (FPIA).</w:t>
      </w:r>
    </w:p>
    <w:p w14:paraId="70D4BFBF" w14:textId="19C36ED8" w:rsidR="006420CF" w:rsidRPr="00325490" w:rsidRDefault="006420CF" w:rsidP="00325490">
      <w:pPr>
        <w:pStyle w:val="Listeafsnit"/>
        <w:numPr>
          <w:ilvl w:val="0"/>
          <w:numId w:val="12"/>
        </w:numPr>
        <w:ind w:left="1276" w:hanging="425"/>
        <w:rPr>
          <w:sz w:val="24"/>
          <w:szCs w:val="24"/>
        </w:rPr>
      </w:pPr>
      <w:r w:rsidRPr="00325490">
        <w:rPr>
          <w:sz w:val="24"/>
          <w:szCs w:val="24"/>
        </w:rPr>
        <w:t xml:space="preserve">Ved endokarditis og andre alvorlige infektioner </w:t>
      </w:r>
      <w:r w:rsidR="00D006FC">
        <w:rPr>
          <w:sz w:val="24"/>
          <w:szCs w:val="24"/>
        </w:rPr>
        <w:t>er</w:t>
      </w:r>
      <w:r w:rsidRPr="00325490">
        <w:rPr>
          <w:sz w:val="24"/>
          <w:szCs w:val="24"/>
        </w:rPr>
        <w:t xml:space="preserve"> dalkoncentrationen af teicoplanin 15</w:t>
      </w:r>
      <w:r w:rsidRPr="00325490">
        <w:rPr>
          <w:sz w:val="24"/>
          <w:szCs w:val="24"/>
        </w:rPr>
        <w:noBreakHyphen/>
        <w:t>30 mg/l, når den måles ved HPLC, eller 30</w:t>
      </w:r>
      <w:r w:rsidRPr="00325490">
        <w:rPr>
          <w:sz w:val="24"/>
          <w:szCs w:val="24"/>
        </w:rPr>
        <w:noBreakHyphen/>
        <w:t>40 mg/l, når den måles ved FPIA.</w:t>
      </w:r>
    </w:p>
    <w:p w14:paraId="2CCD06F0" w14:textId="77777777" w:rsidR="006420CF" w:rsidRPr="00325490" w:rsidRDefault="006420CF" w:rsidP="00CB3906">
      <w:pPr>
        <w:ind w:left="851"/>
        <w:rPr>
          <w:sz w:val="24"/>
          <w:szCs w:val="24"/>
        </w:rPr>
      </w:pPr>
    </w:p>
    <w:p w14:paraId="508FE51A" w14:textId="77777777" w:rsidR="006420CF" w:rsidRPr="00325490" w:rsidRDefault="006420CF" w:rsidP="00CB3906">
      <w:pPr>
        <w:ind w:left="851"/>
        <w:rPr>
          <w:sz w:val="24"/>
          <w:szCs w:val="24"/>
        </w:rPr>
      </w:pPr>
      <w:r w:rsidRPr="00325490">
        <w:rPr>
          <w:sz w:val="24"/>
          <w:szCs w:val="24"/>
        </w:rPr>
        <w:t>Under vedligeholdelsesbehandling bør teicoplanins dalkoncentration i serum måles mindst én gang ugentligt for at sikre, at koncentrationen er stabil.</w:t>
      </w:r>
    </w:p>
    <w:p w14:paraId="3B54EDF6" w14:textId="77777777" w:rsidR="006420CF" w:rsidRPr="00325490" w:rsidRDefault="006420CF" w:rsidP="00CB3906">
      <w:pPr>
        <w:ind w:left="851"/>
        <w:rPr>
          <w:sz w:val="24"/>
          <w:szCs w:val="24"/>
        </w:rPr>
      </w:pPr>
    </w:p>
    <w:p w14:paraId="4439D633" w14:textId="77777777" w:rsidR="006420CF" w:rsidRPr="00325490" w:rsidRDefault="006420CF" w:rsidP="00CB3906">
      <w:pPr>
        <w:ind w:left="851"/>
        <w:rPr>
          <w:sz w:val="24"/>
          <w:szCs w:val="24"/>
        </w:rPr>
      </w:pPr>
      <w:r w:rsidRPr="00325490">
        <w:rPr>
          <w:sz w:val="24"/>
          <w:szCs w:val="24"/>
        </w:rPr>
        <w:t>Voksne og ældre patienter med normal nyrefunktion</w:t>
      </w:r>
    </w:p>
    <w:p w14:paraId="79DB4894" w14:textId="77777777" w:rsidR="006420CF" w:rsidRPr="00325490" w:rsidRDefault="006420CF" w:rsidP="00CB3906">
      <w:pPr>
        <w:ind w:left="851"/>
        <w:rPr>
          <w:sz w:val="24"/>
          <w:szCs w:val="24"/>
        </w:rPr>
      </w:pPr>
    </w:p>
    <w:tbl>
      <w:tblPr>
        <w:tblStyle w:val="Tabel-Gitter"/>
        <w:tblW w:w="5000" w:type="pct"/>
        <w:jc w:val="center"/>
        <w:tblInd w:w="0" w:type="dxa"/>
        <w:tblLook w:val="04A0" w:firstRow="1" w:lastRow="0" w:firstColumn="1" w:lastColumn="0" w:noHBand="0" w:noVBand="1"/>
      </w:tblPr>
      <w:tblGrid>
        <w:gridCol w:w="1608"/>
        <w:gridCol w:w="1608"/>
        <w:gridCol w:w="1851"/>
        <w:gridCol w:w="2037"/>
        <w:gridCol w:w="2524"/>
      </w:tblGrid>
      <w:tr w:rsidR="006420CF" w:rsidRPr="00D006FC" w14:paraId="030CD46D" w14:textId="77777777" w:rsidTr="00D006FC">
        <w:trPr>
          <w:trHeight w:val="20"/>
          <w:jc w:val="center"/>
        </w:trPr>
        <w:tc>
          <w:tcPr>
            <w:tcW w:w="835" w:type="pct"/>
            <w:tcBorders>
              <w:top w:val="single" w:sz="4" w:space="0" w:color="auto"/>
              <w:left w:val="single" w:sz="4" w:space="0" w:color="auto"/>
              <w:bottom w:val="single" w:sz="4" w:space="0" w:color="auto"/>
              <w:right w:val="single" w:sz="4" w:space="0" w:color="auto"/>
            </w:tcBorders>
            <w:hideMark/>
          </w:tcPr>
          <w:p w14:paraId="6C7C3EBD"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Style w:val="Bodytext2Italic"/>
                <w:rFonts w:ascii="Times New Roman" w:hAnsi="Times New Roman" w:cs="Times New Roman"/>
                <w:sz w:val="22"/>
                <w:szCs w:val="22"/>
              </w:rPr>
              <w:t>Indikationer</w:t>
            </w:r>
          </w:p>
        </w:tc>
        <w:tc>
          <w:tcPr>
            <w:tcW w:w="1795" w:type="pct"/>
            <w:gridSpan w:val="2"/>
            <w:tcBorders>
              <w:top w:val="single" w:sz="4" w:space="0" w:color="auto"/>
              <w:left w:val="single" w:sz="4" w:space="0" w:color="auto"/>
              <w:bottom w:val="single" w:sz="4" w:space="0" w:color="auto"/>
              <w:right w:val="single" w:sz="4" w:space="0" w:color="auto"/>
            </w:tcBorders>
            <w:hideMark/>
          </w:tcPr>
          <w:p w14:paraId="757FC4EE" w14:textId="77777777" w:rsidR="006420CF" w:rsidRPr="00D006FC" w:rsidRDefault="006420CF">
            <w:pPr>
              <w:pStyle w:val="Bodytext20"/>
              <w:shd w:val="clear" w:color="auto" w:fill="auto"/>
              <w:spacing w:before="0" w:after="0" w:line="240" w:lineRule="auto"/>
              <w:ind w:firstLine="0"/>
              <w:jc w:val="center"/>
              <w:rPr>
                <w:rFonts w:ascii="Times New Roman" w:hAnsi="Times New Roman" w:cs="Times New Roman"/>
                <w:sz w:val="22"/>
                <w:szCs w:val="22"/>
              </w:rPr>
            </w:pPr>
            <w:r w:rsidRPr="00D006FC">
              <w:rPr>
                <w:rStyle w:val="Bodytext2Bold"/>
                <w:rFonts w:ascii="Times New Roman" w:hAnsi="Times New Roman" w:cs="Times New Roman"/>
                <w:sz w:val="22"/>
                <w:szCs w:val="22"/>
              </w:rPr>
              <w:t>Støddosis</w:t>
            </w:r>
          </w:p>
        </w:tc>
        <w:tc>
          <w:tcPr>
            <w:tcW w:w="2370" w:type="pct"/>
            <w:gridSpan w:val="2"/>
            <w:tcBorders>
              <w:top w:val="single" w:sz="4" w:space="0" w:color="auto"/>
              <w:left w:val="single" w:sz="4" w:space="0" w:color="auto"/>
              <w:bottom w:val="single" w:sz="4" w:space="0" w:color="auto"/>
              <w:right w:val="single" w:sz="4" w:space="0" w:color="auto"/>
            </w:tcBorders>
            <w:hideMark/>
          </w:tcPr>
          <w:p w14:paraId="41B2CA6F" w14:textId="77777777" w:rsidR="006420CF" w:rsidRPr="00D006FC" w:rsidRDefault="006420CF">
            <w:pPr>
              <w:pStyle w:val="Bodytext20"/>
              <w:shd w:val="clear" w:color="auto" w:fill="auto"/>
              <w:spacing w:before="0" w:after="0" w:line="240" w:lineRule="auto"/>
              <w:ind w:firstLine="0"/>
              <w:jc w:val="center"/>
              <w:rPr>
                <w:rFonts w:ascii="Times New Roman" w:hAnsi="Times New Roman" w:cs="Times New Roman"/>
                <w:sz w:val="22"/>
                <w:szCs w:val="22"/>
              </w:rPr>
            </w:pPr>
            <w:r w:rsidRPr="00D006FC">
              <w:rPr>
                <w:rStyle w:val="Bodytext2Bold"/>
                <w:rFonts w:ascii="Times New Roman" w:hAnsi="Times New Roman" w:cs="Times New Roman"/>
                <w:sz w:val="22"/>
                <w:szCs w:val="22"/>
              </w:rPr>
              <w:t>Vedligeholdelsesdosis</w:t>
            </w:r>
          </w:p>
        </w:tc>
      </w:tr>
      <w:tr w:rsidR="006420CF" w:rsidRPr="00D006FC" w14:paraId="44637484" w14:textId="77777777" w:rsidTr="00D006FC">
        <w:trPr>
          <w:trHeight w:val="20"/>
          <w:jc w:val="center"/>
        </w:trPr>
        <w:tc>
          <w:tcPr>
            <w:tcW w:w="835" w:type="pct"/>
            <w:tcBorders>
              <w:top w:val="single" w:sz="4" w:space="0" w:color="auto"/>
              <w:left w:val="single" w:sz="4" w:space="0" w:color="auto"/>
              <w:bottom w:val="single" w:sz="4" w:space="0" w:color="auto"/>
              <w:right w:val="single" w:sz="4" w:space="0" w:color="auto"/>
            </w:tcBorders>
          </w:tcPr>
          <w:p w14:paraId="1E3E13BF" w14:textId="77777777" w:rsidR="006420CF" w:rsidRPr="00D006FC" w:rsidRDefault="006420CF">
            <w:pPr>
              <w:rPr>
                <w:rFonts w:ascii="Times New Roman" w:hAnsi="Times New Roman" w:cs="Times New Roman"/>
                <w:sz w:val="22"/>
              </w:rPr>
            </w:pPr>
          </w:p>
        </w:tc>
        <w:tc>
          <w:tcPr>
            <w:tcW w:w="835" w:type="pct"/>
            <w:tcBorders>
              <w:top w:val="single" w:sz="4" w:space="0" w:color="auto"/>
              <w:left w:val="single" w:sz="4" w:space="0" w:color="auto"/>
              <w:bottom w:val="single" w:sz="4" w:space="0" w:color="auto"/>
              <w:right w:val="single" w:sz="4" w:space="0" w:color="auto"/>
            </w:tcBorders>
            <w:hideMark/>
          </w:tcPr>
          <w:p w14:paraId="4E883811"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Style w:val="Bodytext2Bold"/>
                <w:rFonts w:ascii="Times New Roman" w:hAnsi="Times New Roman" w:cs="Times New Roman"/>
                <w:sz w:val="22"/>
                <w:szCs w:val="22"/>
              </w:rPr>
              <w:t>Støddosisregime</w:t>
            </w:r>
          </w:p>
        </w:tc>
        <w:tc>
          <w:tcPr>
            <w:tcW w:w="961" w:type="pct"/>
            <w:tcBorders>
              <w:top w:val="single" w:sz="4" w:space="0" w:color="auto"/>
              <w:left w:val="single" w:sz="4" w:space="0" w:color="auto"/>
              <w:bottom w:val="single" w:sz="4" w:space="0" w:color="auto"/>
              <w:right w:val="single" w:sz="4" w:space="0" w:color="auto"/>
            </w:tcBorders>
            <w:hideMark/>
          </w:tcPr>
          <w:p w14:paraId="5ADBBF10" w14:textId="4EE124F0"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Style w:val="Bodytext2Bold"/>
                <w:rFonts w:ascii="Times New Roman" w:hAnsi="Times New Roman" w:cs="Times New Roman"/>
                <w:sz w:val="22"/>
                <w:szCs w:val="22"/>
              </w:rPr>
              <w:t>Mål for dalkoncentrationer på dag 3 til 5</w:t>
            </w:r>
          </w:p>
        </w:tc>
        <w:tc>
          <w:tcPr>
            <w:tcW w:w="1058" w:type="pct"/>
            <w:tcBorders>
              <w:top w:val="single" w:sz="4" w:space="0" w:color="auto"/>
              <w:left w:val="single" w:sz="4" w:space="0" w:color="auto"/>
              <w:bottom w:val="single" w:sz="4" w:space="0" w:color="auto"/>
              <w:right w:val="single" w:sz="4" w:space="0" w:color="auto"/>
            </w:tcBorders>
            <w:hideMark/>
          </w:tcPr>
          <w:p w14:paraId="3B3DAF51"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Style w:val="Bodytext2Bold"/>
                <w:rFonts w:ascii="Times New Roman" w:hAnsi="Times New Roman" w:cs="Times New Roman"/>
                <w:sz w:val="22"/>
                <w:szCs w:val="22"/>
              </w:rPr>
              <w:t>Vedligeholdelsesdosis</w:t>
            </w:r>
          </w:p>
        </w:tc>
        <w:tc>
          <w:tcPr>
            <w:tcW w:w="1311" w:type="pct"/>
            <w:tcBorders>
              <w:top w:val="single" w:sz="4" w:space="0" w:color="auto"/>
              <w:left w:val="single" w:sz="4" w:space="0" w:color="auto"/>
              <w:bottom w:val="single" w:sz="4" w:space="0" w:color="auto"/>
              <w:right w:val="single" w:sz="4" w:space="0" w:color="auto"/>
            </w:tcBorders>
            <w:hideMark/>
          </w:tcPr>
          <w:p w14:paraId="487B7C7C" w14:textId="78447C5E"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Style w:val="Bodytext2Bold"/>
                <w:rFonts w:ascii="Times New Roman" w:hAnsi="Times New Roman" w:cs="Times New Roman"/>
                <w:sz w:val="22"/>
                <w:szCs w:val="22"/>
              </w:rPr>
              <w:t>Mål</w:t>
            </w:r>
            <w:r w:rsidR="00D006FC" w:rsidRPr="00D006FC">
              <w:rPr>
                <w:rStyle w:val="Bodytext2Bold"/>
                <w:rFonts w:ascii="Times New Roman" w:hAnsi="Times New Roman" w:cs="Times New Roman"/>
                <w:sz w:val="22"/>
                <w:szCs w:val="22"/>
              </w:rPr>
              <w:t xml:space="preserve"> for </w:t>
            </w:r>
            <w:r w:rsidRPr="00D006FC">
              <w:rPr>
                <w:rStyle w:val="Bodytext2Bold"/>
                <w:rFonts w:ascii="Times New Roman" w:hAnsi="Times New Roman" w:cs="Times New Roman"/>
                <w:sz w:val="22"/>
                <w:szCs w:val="22"/>
              </w:rPr>
              <w:t>dalkoncentrationer under vedligeholdelsesbehandling</w:t>
            </w:r>
          </w:p>
        </w:tc>
      </w:tr>
      <w:tr w:rsidR="006420CF" w:rsidRPr="00D006FC" w14:paraId="09E65D94" w14:textId="77777777" w:rsidTr="00D006FC">
        <w:trPr>
          <w:trHeight w:val="20"/>
          <w:jc w:val="center"/>
        </w:trPr>
        <w:tc>
          <w:tcPr>
            <w:tcW w:w="835" w:type="pct"/>
            <w:tcBorders>
              <w:top w:val="single" w:sz="4" w:space="0" w:color="auto"/>
              <w:left w:val="single" w:sz="4" w:space="0" w:color="auto"/>
              <w:bottom w:val="single" w:sz="4" w:space="0" w:color="auto"/>
              <w:right w:val="single" w:sz="4" w:space="0" w:color="auto"/>
            </w:tcBorders>
          </w:tcPr>
          <w:p w14:paraId="3679D321" w14:textId="7AA36725" w:rsidR="006420CF" w:rsidRPr="00D006FC" w:rsidRDefault="006420CF" w:rsidP="006420CF">
            <w:pPr>
              <w:pStyle w:val="Bodytext20"/>
              <w:numPr>
                <w:ilvl w:val="0"/>
                <w:numId w:val="7"/>
              </w:numPr>
              <w:shd w:val="clear" w:color="auto" w:fill="auto"/>
              <w:tabs>
                <w:tab w:val="left" w:pos="125"/>
              </w:tabs>
              <w:spacing w:before="0" w:after="0" w:line="240" w:lineRule="auto"/>
              <w:rPr>
                <w:rFonts w:ascii="Times New Roman" w:hAnsi="Times New Roman" w:cs="Times New Roman"/>
                <w:sz w:val="22"/>
                <w:szCs w:val="22"/>
              </w:rPr>
            </w:pPr>
            <w:r w:rsidRPr="00D006FC">
              <w:rPr>
                <w:rFonts w:ascii="Times New Roman" w:hAnsi="Times New Roman" w:cs="Times New Roman"/>
                <w:sz w:val="22"/>
                <w:szCs w:val="22"/>
              </w:rPr>
              <w:t>Kompliceret hud- og bløddelsinfektion</w:t>
            </w:r>
            <w:r w:rsidR="00D006FC" w:rsidRPr="00D006FC">
              <w:rPr>
                <w:rFonts w:ascii="Times New Roman" w:hAnsi="Times New Roman" w:cs="Times New Roman"/>
                <w:sz w:val="22"/>
                <w:szCs w:val="22"/>
              </w:rPr>
              <w:t>er</w:t>
            </w:r>
          </w:p>
          <w:p w14:paraId="7AA57765" w14:textId="77777777" w:rsidR="006420CF" w:rsidRPr="00D006FC" w:rsidRDefault="006420CF">
            <w:pPr>
              <w:pStyle w:val="Bodytext20"/>
              <w:shd w:val="clear" w:color="auto" w:fill="auto"/>
              <w:tabs>
                <w:tab w:val="left" w:pos="125"/>
              </w:tabs>
              <w:spacing w:before="0" w:after="0" w:line="240" w:lineRule="auto"/>
              <w:ind w:firstLine="0"/>
              <w:rPr>
                <w:rFonts w:ascii="Times New Roman" w:hAnsi="Times New Roman" w:cs="Times New Roman"/>
                <w:sz w:val="22"/>
                <w:szCs w:val="22"/>
              </w:rPr>
            </w:pPr>
          </w:p>
          <w:p w14:paraId="38E258CD" w14:textId="77777777" w:rsidR="006420CF" w:rsidRPr="00D006FC" w:rsidRDefault="006420CF" w:rsidP="006420CF">
            <w:pPr>
              <w:pStyle w:val="Bodytext20"/>
              <w:numPr>
                <w:ilvl w:val="0"/>
                <w:numId w:val="7"/>
              </w:numPr>
              <w:shd w:val="clear" w:color="auto" w:fill="auto"/>
              <w:tabs>
                <w:tab w:val="left" w:pos="130"/>
              </w:tabs>
              <w:spacing w:before="0" w:after="0" w:line="240" w:lineRule="auto"/>
              <w:rPr>
                <w:rFonts w:ascii="Times New Roman" w:hAnsi="Times New Roman" w:cs="Times New Roman"/>
                <w:sz w:val="22"/>
                <w:szCs w:val="22"/>
              </w:rPr>
            </w:pPr>
            <w:r w:rsidRPr="00D006FC">
              <w:rPr>
                <w:rFonts w:ascii="Times New Roman" w:hAnsi="Times New Roman" w:cs="Times New Roman"/>
                <w:sz w:val="22"/>
                <w:szCs w:val="22"/>
              </w:rPr>
              <w:t>Pneumoni</w:t>
            </w:r>
          </w:p>
          <w:p w14:paraId="5E7574BB" w14:textId="77777777" w:rsidR="006420CF" w:rsidRPr="00D006FC" w:rsidRDefault="006420CF">
            <w:pPr>
              <w:pStyle w:val="Bodytext20"/>
              <w:shd w:val="clear" w:color="auto" w:fill="auto"/>
              <w:tabs>
                <w:tab w:val="left" w:pos="130"/>
              </w:tabs>
              <w:spacing w:before="0" w:after="0" w:line="240" w:lineRule="auto"/>
              <w:ind w:firstLine="0"/>
              <w:rPr>
                <w:rFonts w:ascii="Times New Roman" w:hAnsi="Times New Roman" w:cs="Times New Roman"/>
                <w:sz w:val="22"/>
                <w:szCs w:val="22"/>
              </w:rPr>
            </w:pPr>
          </w:p>
          <w:p w14:paraId="5B0C15FB" w14:textId="77777777" w:rsidR="006420CF" w:rsidRPr="00D006FC" w:rsidRDefault="006420CF" w:rsidP="006420CF">
            <w:pPr>
              <w:pStyle w:val="Bodytext20"/>
              <w:numPr>
                <w:ilvl w:val="0"/>
                <w:numId w:val="7"/>
              </w:numPr>
              <w:shd w:val="clear" w:color="auto" w:fill="auto"/>
              <w:tabs>
                <w:tab w:val="left" w:pos="125"/>
              </w:tabs>
              <w:spacing w:before="0" w:after="0" w:line="240" w:lineRule="auto"/>
              <w:rPr>
                <w:rFonts w:ascii="Times New Roman" w:hAnsi="Times New Roman" w:cs="Times New Roman"/>
                <w:sz w:val="22"/>
                <w:szCs w:val="22"/>
              </w:rPr>
            </w:pPr>
            <w:r w:rsidRPr="00D006FC">
              <w:rPr>
                <w:rFonts w:ascii="Times New Roman" w:hAnsi="Times New Roman" w:cs="Times New Roman"/>
                <w:sz w:val="22"/>
                <w:szCs w:val="22"/>
              </w:rPr>
              <w:t>Kompliceret urinvejsinfektion</w:t>
            </w:r>
          </w:p>
        </w:tc>
        <w:tc>
          <w:tcPr>
            <w:tcW w:w="835" w:type="pct"/>
            <w:tcBorders>
              <w:top w:val="single" w:sz="4" w:space="0" w:color="auto"/>
              <w:left w:val="single" w:sz="4" w:space="0" w:color="auto"/>
              <w:bottom w:val="single" w:sz="4" w:space="0" w:color="auto"/>
              <w:right w:val="single" w:sz="4" w:space="0" w:color="auto"/>
            </w:tcBorders>
            <w:hideMark/>
          </w:tcPr>
          <w:p w14:paraId="79B4152C"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6 mg/kg legemsvægt administreret intravenøst eller intramuskulært hver 12. time, 3 gange</w:t>
            </w:r>
          </w:p>
        </w:tc>
        <w:tc>
          <w:tcPr>
            <w:tcW w:w="961" w:type="pct"/>
            <w:tcBorders>
              <w:top w:val="single" w:sz="4" w:space="0" w:color="auto"/>
              <w:left w:val="single" w:sz="4" w:space="0" w:color="auto"/>
              <w:bottom w:val="single" w:sz="4" w:space="0" w:color="auto"/>
              <w:right w:val="single" w:sz="4" w:space="0" w:color="auto"/>
            </w:tcBorders>
            <w:hideMark/>
          </w:tcPr>
          <w:p w14:paraId="0C9D34C5"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&gt; 15 mg/l</w:t>
            </w:r>
            <w:r w:rsidRPr="00D006FC">
              <w:rPr>
                <w:rFonts w:ascii="Times New Roman" w:hAnsi="Times New Roman" w:cs="Times New Roman"/>
                <w:sz w:val="22"/>
                <w:szCs w:val="22"/>
                <w:vertAlign w:val="superscript"/>
              </w:rPr>
              <w:t>1</w:t>
            </w:r>
          </w:p>
        </w:tc>
        <w:tc>
          <w:tcPr>
            <w:tcW w:w="1058" w:type="pct"/>
            <w:tcBorders>
              <w:top w:val="single" w:sz="4" w:space="0" w:color="auto"/>
              <w:left w:val="single" w:sz="4" w:space="0" w:color="auto"/>
              <w:bottom w:val="single" w:sz="4" w:space="0" w:color="auto"/>
              <w:right w:val="single" w:sz="4" w:space="0" w:color="auto"/>
            </w:tcBorders>
            <w:hideMark/>
          </w:tcPr>
          <w:p w14:paraId="05FE1FBE"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6 mg/kg legemsvægt administreret intravenøst eller intramuskulært én gang dagligt</w:t>
            </w:r>
          </w:p>
        </w:tc>
        <w:tc>
          <w:tcPr>
            <w:tcW w:w="1311" w:type="pct"/>
            <w:tcBorders>
              <w:top w:val="single" w:sz="4" w:space="0" w:color="auto"/>
              <w:left w:val="single" w:sz="4" w:space="0" w:color="auto"/>
              <w:bottom w:val="single" w:sz="4" w:space="0" w:color="auto"/>
              <w:right w:val="single" w:sz="4" w:space="0" w:color="auto"/>
            </w:tcBorders>
            <w:hideMark/>
          </w:tcPr>
          <w:p w14:paraId="01147C04"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&gt; 15 mg/l</w:t>
            </w:r>
            <w:r w:rsidRPr="00D006FC">
              <w:rPr>
                <w:rFonts w:ascii="Times New Roman" w:hAnsi="Times New Roman" w:cs="Times New Roman"/>
                <w:sz w:val="22"/>
                <w:szCs w:val="22"/>
                <w:vertAlign w:val="superscript"/>
              </w:rPr>
              <w:t>1</w:t>
            </w:r>
            <w:r w:rsidRPr="00D006FC">
              <w:rPr>
                <w:rFonts w:ascii="Times New Roman" w:hAnsi="Times New Roman" w:cs="Times New Roman"/>
                <w:sz w:val="22"/>
                <w:szCs w:val="22"/>
              </w:rPr>
              <w:t xml:space="preserve"> én gang om ugen</w:t>
            </w:r>
          </w:p>
        </w:tc>
      </w:tr>
      <w:tr w:rsidR="006420CF" w:rsidRPr="00D006FC" w14:paraId="2A73B16E" w14:textId="77777777" w:rsidTr="00D006FC">
        <w:trPr>
          <w:trHeight w:val="20"/>
          <w:jc w:val="center"/>
        </w:trPr>
        <w:tc>
          <w:tcPr>
            <w:tcW w:w="835" w:type="pct"/>
            <w:tcBorders>
              <w:top w:val="single" w:sz="4" w:space="0" w:color="auto"/>
              <w:left w:val="single" w:sz="4" w:space="0" w:color="auto"/>
              <w:bottom w:val="single" w:sz="4" w:space="0" w:color="auto"/>
              <w:right w:val="single" w:sz="4" w:space="0" w:color="auto"/>
            </w:tcBorders>
            <w:hideMark/>
          </w:tcPr>
          <w:p w14:paraId="65A0AC1D" w14:textId="786AA338"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 Knogle- og ledinfektion</w:t>
            </w:r>
            <w:r w:rsidR="00D006FC" w:rsidRPr="00D006FC">
              <w:rPr>
                <w:rFonts w:ascii="Times New Roman" w:hAnsi="Times New Roman" w:cs="Times New Roman"/>
                <w:sz w:val="22"/>
                <w:szCs w:val="22"/>
              </w:rPr>
              <w:t>er</w:t>
            </w:r>
          </w:p>
        </w:tc>
        <w:tc>
          <w:tcPr>
            <w:tcW w:w="835" w:type="pct"/>
            <w:tcBorders>
              <w:top w:val="single" w:sz="4" w:space="0" w:color="auto"/>
              <w:left w:val="single" w:sz="4" w:space="0" w:color="auto"/>
              <w:bottom w:val="single" w:sz="4" w:space="0" w:color="auto"/>
              <w:right w:val="single" w:sz="4" w:space="0" w:color="auto"/>
            </w:tcBorders>
          </w:tcPr>
          <w:p w14:paraId="5FF7C676"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12 mg/kg legemsvægt administreret intravenøst hver 12. time, 3</w:t>
            </w:r>
            <w:r w:rsidRPr="00D006FC">
              <w:rPr>
                <w:rFonts w:ascii="Times New Roman" w:hAnsi="Times New Roman" w:cs="Times New Roman"/>
                <w:sz w:val="22"/>
                <w:szCs w:val="22"/>
              </w:rPr>
              <w:noBreakHyphen/>
              <w:t>5 gange</w:t>
            </w:r>
          </w:p>
          <w:p w14:paraId="3F859102"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p>
          <w:p w14:paraId="0218C209"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p>
          <w:p w14:paraId="0AD8919D"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p>
        </w:tc>
        <w:tc>
          <w:tcPr>
            <w:tcW w:w="961" w:type="pct"/>
            <w:tcBorders>
              <w:top w:val="single" w:sz="4" w:space="0" w:color="auto"/>
              <w:left w:val="single" w:sz="4" w:space="0" w:color="auto"/>
              <w:bottom w:val="single" w:sz="4" w:space="0" w:color="auto"/>
              <w:right w:val="single" w:sz="4" w:space="0" w:color="auto"/>
            </w:tcBorders>
            <w:hideMark/>
          </w:tcPr>
          <w:p w14:paraId="3156EC4F"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&gt; 20 mg/l</w:t>
            </w:r>
            <w:r w:rsidRPr="00D006FC">
              <w:rPr>
                <w:rFonts w:ascii="Times New Roman" w:hAnsi="Times New Roman" w:cs="Times New Roman"/>
                <w:sz w:val="22"/>
                <w:szCs w:val="22"/>
                <w:vertAlign w:val="superscript"/>
              </w:rPr>
              <w:t>1</w:t>
            </w:r>
          </w:p>
        </w:tc>
        <w:tc>
          <w:tcPr>
            <w:tcW w:w="1058" w:type="pct"/>
            <w:tcBorders>
              <w:top w:val="single" w:sz="4" w:space="0" w:color="auto"/>
              <w:left w:val="single" w:sz="4" w:space="0" w:color="auto"/>
              <w:bottom w:val="single" w:sz="4" w:space="0" w:color="auto"/>
              <w:right w:val="single" w:sz="4" w:space="0" w:color="auto"/>
            </w:tcBorders>
            <w:hideMark/>
          </w:tcPr>
          <w:p w14:paraId="6EB46CFA"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12 mg/kg legemsvægt administreret intravenøst eller intramuskulært én gang dagligt</w:t>
            </w:r>
          </w:p>
        </w:tc>
        <w:tc>
          <w:tcPr>
            <w:tcW w:w="1311" w:type="pct"/>
            <w:tcBorders>
              <w:top w:val="single" w:sz="4" w:space="0" w:color="auto"/>
              <w:left w:val="single" w:sz="4" w:space="0" w:color="auto"/>
              <w:bottom w:val="single" w:sz="4" w:space="0" w:color="auto"/>
              <w:right w:val="single" w:sz="4" w:space="0" w:color="auto"/>
            </w:tcBorders>
            <w:hideMark/>
          </w:tcPr>
          <w:p w14:paraId="1AC59F0F"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&gt; 20 mg/l</w:t>
            </w:r>
            <w:r w:rsidRPr="00D006FC">
              <w:rPr>
                <w:rFonts w:ascii="Times New Roman" w:hAnsi="Times New Roman" w:cs="Times New Roman"/>
                <w:sz w:val="22"/>
                <w:szCs w:val="22"/>
                <w:vertAlign w:val="superscript"/>
              </w:rPr>
              <w:t>1</w:t>
            </w:r>
          </w:p>
        </w:tc>
      </w:tr>
      <w:tr w:rsidR="006420CF" w:rsidRPr="00D006FC" w14:paraId="5C34531F" w14:textId="77777777" w:rsidTr="00D006FC">
        <w:trPr>
          <w:trHeight w:val="20"/>
          <w:jc w:val="center"/>
        </w:trPr>
        <w:tc>
          <w:tcPr>
            <w:tcW w:w="835" w:type="pct"/>
            <w:tcBorders>
              <w:top w:val="single" w:sz="4" w:space="0" w:color="auto"/>
              <w:left w:val="single" w:sz="4" w:space="0" w:color="auto"/>
              <w:bottom w:val="single" w:sz="4" w:space="0" w:color="auto"/>
              <w:right w:val="single" w:sz="4" w:space="0" w:color="auto"/>
            </w:tcBorders>
            <w:hideMark/>
          </w:tcPr>
          <w:p w14:paraId="336A9E88"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 Infektiøs endokarditis</w:t>
            </w:r>
          </w:p>
        </w:tc>
        <w:tc>
          <w:tcPr>
            <w:tcW w:w="835" w:type="pct"/>
            <w:tcBorders>
              <w:top w:val="single" w:sz="4" w:space="0" w:color="auto"/>
              <w:left w:val="single" w:sz="4" w:space="0" w:color="auto"/>
              <w:bottom w:val="single" w:sz="4" w:space="0" w:color="auto"/>
              <w:right w:val="single" w:sz="4" w:space="0" w:color="auto"/>
            </w:tcBorders>
            <w:hideMark/>
          </w:tcPr>
          <w:p w14:paraId="1C508B85"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 xml:space="preserve">12 mg/kg legemsvægt administreret intravenøst hver </w:t>
            </w:r>
            <w:r w:rsidRPr="00D006FC">
              <w:rPr>
                <w:rFonts w:ascii="Times New Roman" w:hAnsi="Times New Roman" w:cs="Times New Roman"/>
                <w:sz w:val="22"/>
                <w:szCs w:val="22"/>
              </w:rPr>
              <w:lastRenderedPageBreak/>
              <w:t>12. time, 3</w:t>
            </w:r>
            <w:r w:rsidRPr="00D006FC">
              <w:rPr>
                <w:rFonts w:ascii="Times New Roman" w:hAnsi="Times New Roman" w:cs="Times New Roman"/>
                <w:sz w:val="22"/>
                <w:szCs w:val="22"/>
              </w:rPr>
              <w:noBreakHyphen/>
              <w:t>5 gange</w:t>
            </w:r>
          </w:p>
        </w:tc>
        <w:tc>
          <w:tcPr>
            <w:tcW w:w="961" w:type="pct"/>
            <w:tcBorders>
              <w:top w:val="single" w:sz="4" w:space="0" w:color="auto"/>
              <w:left w:val="single" w:sz="4" w:space="0" w:color="auto"/>
              <w:bottom w:val="single" w:sz="4" w:space="0" w:color="auto"/>
              <w:right w:val="single" w:sz="4" w:space="0" w:color="auto"/>
            </w:tcBorders>
            <w:hideMark/>
          </w:tcPr>
          <w:p w14:paraId="59052510"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lastRenderedPageBreak/>
              <w:t>30</w:t>
            </w:r>
            <w:r w:rsidRPr="00D006FC">
              <w:rPr>
                <w:rFonts w:ascii="Times New Roman" w:hAnsi="Times New Roman" w:cs="Times New Roman"/>
                <w:sz w:val="22"/>
                <w:szCs w:val="22"/>
              </w:rPr>
              <w:noBreakHyphen/>
              <w:t>40 mg/l</w:t>
            </w:r>
            <w:r w:rsidRPr="00D006FC">
              <w:rPr>
                <w:rFonts w:ascii="Times New Roman" w:hAnsi="Times New Roman" w:cs="Times New Roman"/>
                <w:sz w:val="22"/>
                <w:szCs w:val="22"/>
                <w:vertAlign w:val="superscript"/>
              </w:rPr>
              <w:t>1</w:t>
            </w:r>
          </w:p>
        </w:tc>
        <w:tc>
          <w:tcPr>
            <w:tcW w:w="1058" w:type="pct"/>
            <w:tcBorders>
              <w:top w:val="single" w:sz="4" w:space="0" w:color="auto"/>
              <w:left w:val="single" w:sz="4" w:space="0" w:color="auto"/>
              <w:bottom w:val="single" w:sz="4" w:space="0" w:color="auto"/>
              <w:right w:val="single" w:sz="4" w:space="0" w:color="auto"/>
            </w:tcBorders>
            <w:hideMark/>
          </w:tcPr>
          <w:p w14:paraId="356BB60C"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t xml:space="preserve">12 mg/kg legemsvægt administreret intravenøst eller intramuskulært én </w:t>
            </w:r>
            <w:r w:rsidRPr="00D006FC">
              <w:rPr>
                <w:rFonts w:ascii="Times New Roman" w:hAnsi="Times New Roman" w:cs="Times New Roman"/>
                <w:sz w:val="22"/>
                <w:szCs w:val="22"/>
              </w:rPr>
              <w:lastRenderedPageBreak/>
              <w:t>gang dagligt</w:t>
            </w:r>
          </w:p>
        </w:tc>
        <w:tc>
          <w:tcPr>
            <w:tcW w:w="1311" w:type="pct"/>
            <w:tcBorders>
              <w:top w:val="single" w:sz="4" w:space="0" w:color="auto"/>
              <w:left w:val="single" w:sz="4" w:space="0" w:color="auto"/>
              <w:bottom w:val="single" w:sz="4" w:space="0" w:color="auto"/>
              <w:right w:val="single" w:sz="4" w:space="0" w:color="auto"/>
            </w:tcBorders>
            <w:hideMark/>
          </w:tcPr>
          <w:p w14:paraId="0033BF08" w14:textId="77777777" w:rsidR="006420CF" w:rsidRPr="00D006FC" w:rsidRDefault="006420CF">
            <w:pPr>
              <w:pStyle w:val="Bodytext20"/>
              <w:shd w:val="clear" w:color="auto" w:fill="auto"/>
              <w:spacing w:before="0" w:after="0" w:line="240" w:lineRule="auto"/>
              <w:ind w:firstLine="0"/>
              <w:rPr>
                <w:rFonts w:ascii="Times New Roman" w:hAnsi="Times New Roman" w:cs="Times New Roman"/>
                <w:sz w:val="22"/>
                <w:szCs w:val="22"/>
              </w:rPr>
            </w:pPr>
            <w:r w:rsidRPr="00D006FC">
              <w:rPr>
                <w:rFonts w:ascii="Times New Roman" w:hAnsi="Times New Roman" w:cs="Times New Roman"/>
                <w:sz w:val="22"/>
                <w:szCs w:val="22"/>
              </w:rPr>
              <w:lastRenderedPageBreak/>
              <w:t>&gt; 30 mg/l</w:t>
            </w:r>
            <w:r w:rsidRPr="00D006FC">
              <w:rPr>
                <w:rFonts w:ascii="Times New Roman" w:hAnsi="Times New Roman" w:cs="Times New Roman"/>
                <w:sz w:val="22"/>
                <w:szCs w:val="22"/>
                <w:vertAlign w:val="superscript"/>
              </w:rPr>
              <w:t>1</w:t>
            </w:r>
          </w:p>
        </w:tc>
      </w:tr>
    </w:tbl>
    <w:p w14:paraId="5E65B576" w14:textId="77777777" w:rsidR="006420CF" w:rsidRPr="00325490" w:rsidRDefault="006420CF" w:rsidP="006420CF">
      <w:pPr>
        <w:pStyle w:val="Tablecaption0"/>
        <w:shd w:val="clear" w:color="auto" w:fill="auto"/>
        <w:spacing w:line="240" w:lineRule="auto"/>
        <w:rPr>
          <w:rFonts w:ascii="Times New Roman" w:hAnsi="Times New Roman" w:cs="Times New Roman"/>
          <w:sz w:val="24"/>
          <w:szCs w:val="24"/>
          <w:lang w:eastAsia="en-US"/>
        </w:rPr>
      </w:pPr>
      <w:r w:rsidRPr="00325490">
        <w:rPr>
          <w:rFonts w:ascii="Times New Roman" w:hAnsi="Times New Roman" w:cs="Times New Roman"/>
          <w:sz w:val="24"/>
          <w:szCs w:val="24"/>
          <w:vertAlign w:val="superscript"/>
        </w:rPr>
        <w:t>1</w:t>
      </w:r>
      <w:r w:rsidRPr="00325490">
        <w:rPr>
          <w:rFonts w:ascii="Times New Roman" w:hAnsi="Times New Roman" w:cs="Times New Roman"/>
          <w:sz w:val="24"/>
          <w:szCs w:val="24"/>
        </w:rPr>
        <w:t xml:space="preserve"> Målt ved FPIA</w:t>
      </w:r>
    </w:p>
    <w:p w14:paraId="7EEF58FD" w14:textId="77777777" w:rsidR="006420CF" w:rsidRPr="00325490" w:rsidRDefault="006420CF" w:rsidP="00CB3906">
      <w:pPr>
        <w:ind w:left="851"/>
        <w:rPr>
          <w:sz w:val="24"/>
          <w:szCs w:val="24"/>
        </w:rPr>
      </w:pPr>
    </w:p>
    <w:p w14:paraId="3F35DC0B" w14:textId="77777777" w:rsidR="006420CF" w:rsidRPr="00325490" w:rsidRDefault="006420CF" w:rsidP="00CB3906">
      <w:pPr>
        <w:ind w:left="851"/>
        <w:rPr>
          <w:sz w:val="24"/>
          <w:szCs w:val="24"/>
        </w:rPr>
      </w:pPr>
      <w:r w:rsidRPr="00325490">
        <w:rPr>
          <w:sz w:val="24"/>
          <w:szCs w:val="24"/>
        </w:rPr>
        <w:t>Dosis skal justeres efter legemsvægten, uanset patientens vægt.</w:t>
      </w:r>
    </w:p>
    <w:p w14:paraId="10476ED6" w14:textId="77777777" w:rsidR="006420CF" w:rsidRPr="00325490" w:rsidRDefault="006420CF" w:rsidP="00CB3906">
      <w:pPr>
        <w:ind w:left="851"/>
        <w:rPr>
          <w:sz w:val="24"/>
          <w:szCs w:val="24"/>
        </w:rPr>
      </w:pPr>
    </w:p>
    <w:p w14:paraId="1F73BD3E" w14:textId="77777777" w:rsidR="006420CF" w:rsidRPr="00325490" w:rsidRDefault="006420CF" w:rsidP="00CB3906">
      <w:pPr>
        <w:ind w:left="851"/>
        <w:rPr>
          <w:sz w:val="24"/>
          <w:szCs w:val="24"/>
          <w:u w:val="single"/>
        </w:rPr>
      </w:pPr>
      <w:r w:rsidRPr="00325490">
        <w:rPr>
          <w:sz w:val="24"/>
          <w:szCs w:val="24"/>
          <w:u w:val="single"/>
        </w:rPr>
        <w:t>Behandlingsvarighed</w:t>
      </w:r>
    </w:p>
    <w:p w14:paraId="362FC186" w14:textId="77777777" w:rsidR="006420CF" w:rsidRPr="00325490" w:rsidRDefault="006420CF" w:rsidP="00CB3906">
      <w:pPr>
        <w:ind w:left="851"/>
        <w:rPr>
          <w:sz w:val="24"/>
          <w:szCs w:val="24"/>
        </w:rPr>
      </w:pPr>
      <w:r w:rsidRPr="00325490">
        <w:rPr>
          <w:sz w:val="24"/>
          <w:szCs w:val="24"/>
        </w:rPr>
        <w:t>Behandlingsvarigheden skal fastlægges på baggrund af det kliniske respons. Ved infektiøs endokarditis anses en minimumsvarighed på 21 dage normalt for passende. Den samlede behandlingsvarighed bør ikke overstige 4 måneder.</w:t>
      </w:r>
    </w:p>
    <w:p w14:paraId="61200EE4" w14:textId="77777777" w:rsidR="006420CF" w:rsidRPr="00325490" w:rsidRDefault="006420CF" w:rsidP="00CB3906">
      <w:pPr>
        <w:ind w:left="851"/>
        <w:rPr>
          <w:sz w:val="24"/>
          <w:szCs w:val="24"/>
        </w:rPr>
      </w:pPr>
    </w:p>
    <w:p w14:paraId="25E8192C" w14:textId="77777777" w:rsidR="006420CF" w:rsidRPr="00325490" w:rsidRDefault="006420CF" w:rsidP="00CB3906">
      <w:pPr>
        <w:ind w:left="851"/>
        <w:rPr>
          <w:sz w:val="24"/>
          <w:szCs w:val="24"/>
          <w:u w:val="single"/>
        </w:rPr>
      </w:pPr>
      <w:r w:rsidRPr="00325490">
        <w:rPr>
          <w:sz w:val="24"/>
          <w:szCs w:val="24"/>
          <w:u w:val="single"/>
        </w:rPr>
        <w:t>Kombinationsbehandling</w:t>
      </w:r>
    </w:p>
    <w:p w14:paraId="1F65BACA" w14:textId="77777777" w:rsidR="00D006FC" w:rsidRPr="00D006FC" w:rsidRDefault="00D006FC" w:rsidP="00D006FC">
      <w:pPr>
        <w:pStyle w:val="Bodytext20"/>
        <w:shd w:val="clear" w:color="auto" w:fill="auto"/>
        <w:spacing w:before="0" w:after="0" w:line="240" w:lineRule="auto"/>
        <w:ind w:left="851" w:firstLine="0"/>
        <w:rPr>
          <w:rFonts w:ascii="Times New Roman" w:hAnsi="Times New Roman" w:cs="Times New Roman"/>
          <w:sz w:val="24"/>
          <w:szCs w:val="24"/>
          <w:lang w:eastAsia="en-US"/>
        </w:rPr>
      </w:pPr>
      <w:r w:rsidRPr="00D006FC">
        <w:rPr>
          <w:rFonts w:ascii="Times New Roman" w:hAnsi="Times New Roman"/>
          <w:sz w:val="24"/>
          <w:szCs w:val="24"/>
        </w:rPr>
        <w:t>Teicoplanin har et begrænset spektrum for antibakteriel aktivitet (grampositiv). Teicoplanin er ikke egnet som monoterapi til behandling af visse infektioner, medmindre patogenet allerede er dokumenteret og kendt for at være følsomt, eller der foreligger en velbegrundet mistanke om, at det(de) mest sandsynlige patogen(er) ville være egnet til behandling med teicoplanin.</w:t>
      </w:r>
    </w:p>
    <w:p w14:paraId="13D67653" w14:textId="77777777" w:rsidR="006420CF" w:rsidRPr="00D006FC" w:rsidRDefault="006420CF" w:rsidP="00D006FC">
      <w:pPr>
        <w:ind w:left="851"/>
        <w:rPr>
          <w:rFonts w:eastAsia="Arial"/>
          <w:sz w:val="24"/>
          <w:szCs w:val="24"/>
        </w:rPr>
      </w:pPr>
    </w:p>
    <w:p w14:paraId="10D24E0C" w14:textId="77777777" w:rsidR="009E6F11" w:rsidRDefault="009E6F11" w:rsidP="00CB3906">
      <w:pPr>
        <w:ind w:left="851"/>
        <w:rPr>
          <w:rStyle w:val="Bodytext6"/>
          <w:rFonts w:ascii="Times New Roman" w:hAnsi="Times New Roman" w:cs="Times New Roman"/>
          <w:sz w:val="24"/>
          <w:szCs w:val="24"/>
        </w:rPr>
      </w:pPr>
      <w:r w:rsidRPr="009E6F11">
        <w:rPr>
          <w:rStyle w:val="Bodytext6"/>
          <w:rFonts w:ascii="Times New Roman" w:hAnsi="Times New Roman" w:cs="Times New Roman"/>
          <w:sz w:val="24"/>
          <w:szCs w:val="24"/>
        </w:rPr>
        <w:t>Diarré og kolitis forbundet med Clostridioides Clostridium difficile-infektion</w:t>
      </w:r>
    </w:p>
    <w:p w14:paraId="23DC0DED" w14:textId="6576922A" w:rsidR="006420CF" w:rsidRPr="00325490" w:rsidRDefault="006420CF" w:rsidP="00CB3906">
      <w:pPr>
        <w:ind w:left="851"/>
        <w:rPr>
          <w:rFonts w:eastAsiaTheme="minorHAnsi"/>
          <w:sz w:val="24"/>
          <w:szCs w:val="24"/>
        </w:rPr>
      </w:pPr>
      <w:r w:rsidRPr="00325490">
        <w:rPr>
          <w:sz w:val="24"/>
          <w:szCs w:val="24"/>
        </w:rPr>
        <w:t>Den anbefalede dosis er 100</w:t>
      </w:r>
      <w:r w:rsidRPr="00325490">
        <w:rPr>
          <w:sz w:val="24"/>
          <w:szCs w:val="24"/>
        </w:rPr>
        <w:noBreakHyphen/>
        <w:t>200 mg administreret oralt to gange dagligt i 7 til 14 dage.</w:t>
      </w:r>
    </w:p>
    <w:p w14:paraId="4C0EFF2F" w14:textId="77777777" w:rsidR="006420CF" w:rsidRPr="00325490" w:rsidRDefault="006420CF" w:rsidP="00CB3906">
      <w:pPr>
        <w:ind w:left="851"/>
        <w:rPr>
          <w:sz w:val="24"/>
          <w:szCs w:val="24"/>
        </w:rPr>
      </w:pPr>
    </w:p>
    <w:p w14:paraId="76608FDA" w14:textId="77777777" w:rsidR="006420CF" w:rsidRPr="00325490" w:rsidRDefault="006420CF" w:rsidP="00CB3906">
      <w:pPr>
        <w:ind w:left="851"/>
        <w:rPr>
          <w:sz w:val="24"/>
          <w:szCs w:val="24"/>
          <w:u w:val="single"/>
        </w:rPr>
      </w:pPr>
      <w:r w:rsidRPr="00325490">
        <w:rPr>
          <w:sz w:val="24"/>
          <w:szCs w:val="24"/>
          <w:u w:val="single"/>
        </w:rPr>
        <w:t>Ældre patienter</w:t>
      </w:r>
    </w:p>
    <w:p w14:paraId="717B9FF8" w14:textId="77777777" w:rsidR="006420CF" w:rsidRPr="00325490" w:rsidRDefault="006420CF" w:rsidP="00CB3906">
      <w:pPr>
        <w:ind w:left="851"/>
        <w:rPr>
          <w:sz w:val="24"/>
          <w:szCs w:val="24"/>
        </w:rPr>
      </w:pPr>
      <w:r w:rsidRPr="00325490">
        <w:rPr>
          <w:sz w:val="24"/>
          <w:szCs w:val="24"/>
        </w:rPr>
        <w:t>Dosisjustering er ikke nødvendig, medmindre patienten har nedsat nyrefunktion (se nedenfor).</w:t>
      </w:r>
    </w:p>
    <w:p w14:paraId="2EB4DE03" w14:textId="77777777" w:rsidR="006420CF" w:rsidRPr="00325490" w:rsidRDefault="006420CF" w:rsidP="00CB3906">
      <w:pPr>
        <w:ind w:left="851"/>
        <w:rPr>
          <w:sz w:val="24"/>
          <w:szCs w:val="24"/>
        </w:rPr>
      </w:pPr>
    </w:p>
    <w:p w14:paraId="6BB5E8BC" w14:textId="77777777" w:rsidR="006420CF" w:rsidRPr="00325490" w:rsidRDefault="006420CF" w:rsidP="00CB3906">
      <w:pPr>
        <w:ind w:left="851"/>
        <w:rPr>
          <w:sz w:val="24"/>
          <w:szCs w:val="24"/>
          <w:u w:val="single"/>
        </w:rPr>
      </w:pPr>
      <w:r w:rsidRPr="00325490">
        <w:rPr>
          <w:sz w:val="24"/>
          <w:szCs w:val="24"/>
          <w:u w:val="single"/>
        </w:rPr>
        <w:t>Voksne og ældre patienter med nedsat nyrefunktion</w:t>
      </w:r>
    </w:p>
    <w:p w14:paraId="11FF2288" w14:textId="77777777" w:rsidR="00D006FC" w:rsidRPr="00D006FC" w:rsidRDefault="00D006FC" w:rsidP="00B811B7">
      <w:pPr>
        <w:pStyle w:val="Bodytext20"/>
        <w:shd w:val="clear" w:color="auto" w:fill="auto"/>
        <w:spacing w:before="0" w:after="0" w:line="240" w:lineRule="auto"/>
        <w:ind w:left="851" w:right="180" w:firstLine="0"/>
        <w:jc w:val="both"/>
        <w:rPr>
          <w:rFonts w:ascii="Times New Roman" w:hAnsi="Times New Roman"/>
          <w:sz w:val="24"/>
          <w:szCs w:val="24"/>
          <w:lang w:eastAsia="en-US"/>
        </w:rPr>
      </w:pPr>
      <w:r w:rsidRPr="00D006FC">
        <w:rPr>
          <w:rFonts w:ascii="Times New Roman" w:hAnsi="Times New Roman"/>
          <w:sz w:val="24"/>
          <w:szCs w:val="24"/>
        </w:rPr>
        <w:t>Dosisjustering er ikke nødvendig før den fjerde behandlingsdag, på hvilket tidspunkt doseringen bør justeres for at opretholde en dalkoncentration i serum på mindst 10 mg/l målt ved HPLC eller mindst 15 mg/l målt ved FPIA.</w:t>
      </w:r>
    </w:p>
    <w:p w14:paraId="03DC86F1" w14:textId="77777777" w:rsidR="00D006FC" w:rsidRPr="00D006FC" w:rsidRDefault="00D006FC" w:rsidP="00B811B7">
      <w:pPr>
        <w:pStyle w:val="Bodytext20"/>
        <w:shd w:val="clear" w:color="auto" w:fill="auto"/>
        <w:spacing w:before="0" w:after="0" w:line="240" w:lineRule="auto"/>
        <w:ind w:left="851" w:right="180" w:firstLine="0"/>
        <w:jc w:val="both"/>
        <w:rPr>
          <w:rFonts w:ascii="Times New Roman" w:hAnsi="Times New Roman" w:cs="Times New Roman"/>
          <w:sz w:val="24"/>
          <w:szCs w:val="24"/>
        </w:rPr>
      </w:pPr>
    </w:p>
    <w:p w14:paraId="3E317343" w14:textId="77777777" w:rsidR="00D006FC" w:rsidRPr="00D006FC" w:rsidRDefault="00D006FC" w:rsidP="00B811B7">
      <w:pPr>
        <w:pStyle w:val="Bodytext20"/>
        <w:shd w:val="clear" w:color="auto" w:fill="auto"/>
        <w:spacing w:before="0" w:after="0" w:line="240" w:lineRule="auto"/>
        <w:ind w:left="851" w:firstLine="0"/>
        <w:rPr>
          <w:rFonts w:ascii="Times New Roman" w:hAnsi="Times New Roman" w:cs="Times New Roman"/>
          <w:sz w:val="24"/>
          <w:szCs w:val="24"/>
        </w:rPr>
      </w:pPr>
      <w:r w:rsidRPr="00D006FC">
        <w:rPr>
          <w:rFonts w:ascii="Times New Roman" w:hAnsi="Times New Roman"/>
          <w:sz w:val="24"/>
          <w:szCs w:val="24"/>
        </w:rPr>
        <w:t>Efter den fjerde behandlingsdag:</w:t>
      </w:r>
    </w:p>
    <w:p w14:paraId="0A1FB586" w14:textId="77777777" w:rsidR="00D006FC" w:rsidRPr="00D006FC" w:rsidRDefault="00D006FC" w:rsidP="00B811B7">
      <w:pPr>
        <w:pStyle w:val="Bodytext20"/>
        <w:numPr>
          <w:ilvl w:val="0"/>
          <w:numId w:val="18"/>
        </w:numPr>
        <w:shd w:val="clear" w:color="auto" w:fill="auto"/>
        <w:spacing w:before="0" w:after="0" w:line="240" w:lineRule="auto"/>
        <w:ind w:left="1276" w:hanging="425"/>
        <w:rPr>
          <w:rFonts w:ascii="Times New Roman" w:hAnsi="Times New Roman" w:cs="Times New Roman"/>
          <w:sz w:val="24"/>
          <w:szCs w:val="24"/>
        </w:rPr>
      </w:pPr>
      <w:r w:rsidRPr="00D006FC">
        <w:rPr>
          <w:rFonts w:ascii="Times New Roman" w:hAnsi="Times New Roman"/>
          <w:sz w:val="24"/>
          <w:szCs w:val="24"/>
        </w:rPr>
        <w:t>Ved let til moderat nedsat nyrefunktion (kreatininclearance 30</w:t>
      </w:r>
      <w:r w:rsidRPr="00D006FC">
        <w:rPr>
          <w:rFonts w:ascii="Times New Roman" w:hAnsi="Times New Roman"/>
          <w:sz w:val="24"/>
          <w:szCs w:val="24"/>
        </w:rPr>
        <w:noBreakHyphen/>
        <w:t>80 ml/min): vedligeholdelsesdosis bør halveres, enten ved at administrere dosis hver anden dag eller ved at administrere halv dosis én gang dagligt.</w:t>
      </w:r>
    </w:p>
    <w:p w14:paraId="7D838388" w14:textId="77777777" w:rsidR="00D006FC" w:rsidRPr="00D006FC" w:rsidRDefault="00D006FC" w:rsidP="00B811B7">
      <w:pPr>
        <w:pStyle w:val="Bodytext20"/>
        <w:numPr>
          <w:ilvl w:val="0"/>
          <w:numId w:val="18"/>
        </w:numPr>
        <w:shd w:val="clear" w:color="auto" w:fill="auto"/>
        <w:spacing w:before="0" w:after="0" w:line="240" w:lineRule="auto"/>
        <w:ind w:left="1276" w:hanging="425"/>
        <w:rPr>
          <w:rFonts w:ascii="Times New Roman" w:hAnsi="Times New Roman" w:cs="Times New Roman"/>
          <w:sz w:val="24"/>
          <w:szCs w:val="24"/>
        </w:rPr>
      </w:pPr>
      <w:r w:rsidRPr="00D006FC">
        <w:rPr>
          <w:rFonts w:ascii="Times New Roman" w:hAnsi="Times New Roman"/>
          <w:sz w:val="24"/>
          <w:szCs w:val="24"/>
        </w:rPr>
        <w:t>Ved svært nedsat nyrefunktion (kreatininclearance &lt; 30 ml/min) og til hæmodialysepatienter: dosis bør reduceres til en tredjedel af den sædvanlige dosis, enten ved at administrere initialdosis hver tredje dag eller ved at administrere en tredjedel af dosis én gang dagligt.</w:t>
      </w:r>
    </w:p>
    <w:p w14:paraId="0DDABB39" w14:textId="77777777" w:rsidR="006420CF" w:rsidRPr="00325490" w:rsidRDefault="006420CF" w:rsidP="00325490">
      <w:pPr>
        <w:ind w:left="851"/>
        <w:rPr>
          <w:sz w:val="24"/>
          <w:szCs w:val="24"/>
        </w:rPr>
      </w:pPr>
      <w:r w:rsidRPr="00325490">
        <w:rPr>
          <w:sz w:val="24"/>
          <w:szCs w:val="24"/>
        </w:rPr>
        <w:t>Teicoplanin fjernes ikke ved hæmodialyse.</w:t>
      </w:r>
    </w:p>
    <w:p w14:paraId="1B4D3534" w14:textId="77777777" w:rsidR="006420CF" w:rsidRPr="00325490" w:rsidRDefault="006420CF" w:rsidP="00CB3906">
      <w:pPr>
        <w:ind w:left="851"/>
        <w:rPr>
          <w:sz w:val="24"/>
          <w:szCs w:val="24"/>
        </w:rPr>
      </w:pPr>
    </w:p>
    <w:p w14:paraId="6F03A9F9" w14:textId="77777777" w:rsidR="00B811B7" w:rsidRPr="00B811B7" w:rsidRDefault="00B811B7" w:rsidP="00CB3906">
      <w:pPr>
        <w:ind w:left="851"/>
        <w:rPr>
          <w:sz w:val="24"/>
          <w:szCs w:val="24"/>
          <w:u w:val="single"/>
        </w:rPr>
      </w:pPr>
      <w:r w:rsidRPr="00B811B7">
        <w:rPr>
          <w:sz w:val="24"/>
          <w:szCs w:val="24"/>
          <w:u w:val="single"/>
        </w:rPr>
        <w:t>Patienter i kontinuerlig ambulant peritonealdialyse (CAPD)</w:t>
      </w:r>
    </w:p>
    <w:p w14:paraId="7847FC13" w14:textId="7DB04994" w:rsidR="006420CF" w:rsidRPr="00325490" w:rsidRDefault="006420CF" w:rsidP="00CB3906">
      <w:pPr>
        <w:ind w:left="851"/>
        <w:rPr>
          <w:sz w:val="24"/>
          <w:szCs w:val="24"/>
        </w:rPr>
      </w:pPr>
      <w:r w:rsidRPr="00325490">
        <w:rPr>
          <w:sz w:val="24"/>
          <w:szCs w:val="24"/>
        </w:rPr>
        <w:t>Efter en enkelt intravenøs støddosis på 6 mg/kg legemsvægt administreres 20 mg/l i posen med dialysevæske i den første uge, 20 mg/l i hver anden pose i den anden uge og 20 mg/l i natposen i den tredje uge.</w:t>
      </w:r>
    </w:p>
    <w:p w14:paraId="7C9E5B36" w14:textId="60EC6AA6" w:rsidR="00CC1F5E" w:rsidRDefault="00CC1F5E">
      <w:pPr>
        <w:rPr>
          <w:sz w:val="24"/>
          <w:szCs w:val="24"/>
        </w:rPr>
      </w:pPr>
      <w:r>
        <w:rPr>
          <w:sz w:val="24"/>
          <w:szCs w:val="24"/>
        </w:rPr>
        <w:br w:type="page"/>
      </w:r>
    </w:p>
    <w:p w14:paraId="68C44D00" w14:textId="77777777" w:rsidR="006420CF" w:rsidRPr="00325490" w:rsidRDefault="006420CF" w:rsidP="00CB3906">
      <w:pPr>
        <w:ind w:left="851"/>
        <w:rPr>
          <w:sz w:val="24"/>
          <w:szCs w:val="24"/>
        </w:rPr>
      </w:pPr>
    </w:p>
    <w:p w14:paraId="621E1FA0" w14:textId="77777777" w:rsidR="006420CF" w:rsidRPr="00325490" w:rsidRDefault="006420CF" w:rsidP="00CB3906">
      <w:pPr>
        <w:ind w:left="851"/>
        <w:rPr>
          <w:sz w:val="24"/>
          <w:szCs w:val="24"/>
          <w:u w:val="single"/>
        </w:rPr>
      </w:pPr>
      <w:r w:rsidRPr="00325490">
        <w:rPr>
          <w:sz w:val="24"/>
          <w:szCs w:val="24"/>
          <w:u w:val="single"/>
        </w:rPr>
        <w:t>Pædiatrisk population</w:t>
      </w:r>
    </w:p>
    <w:p w14:paraId="38B02474" w14:textId="77777777" w:rsidR="006420CF" w:rsidRPr="00325490" w:rsidRDefault="006420CF" w:rsidP="00CB3906">
      <w:pPr>
        <w:ind w:left="851"/>
        <w:rPr>
          <w:sz w:val="24"/>
          <w:szCs w:val="24"/>
        </w:rPr>
      </w:pPr>
      <w:r w:rsidRPr="00325490">
        <w:rPr>
          <w:sz w:val="24"/>
          <w:szCs w:val="24"/>
        </w:rPr>
        <w:t>Dosisanbefalingerne er de samme for voksne og for børn over 12 år.</w:t>
      </w:r>
    </w:p>
    <w:p w14:paraId="58733C1F" w14:textId="77777777" w:rsidR="006420CF" w:rsidRPr="00325490" w:rsidRDefault="006420CF" w:rsidP="00CB3906">
      <w:pPr>
        <w:ind w:left="851"/>
        <w:rPr>
          <w:sz w:val="24"/>
          <w:szCs w:val="24"/>
        </w:rPr>
      </w:pPr>
    </w:p>
    <w:p w14:paraId="57D66420" w14:textId="41969846" w:rsidR="006420CF" w:rsidRPr="00325490" w:rsidRDefault="006420CF" w:rsidP="00CB3906">
      <w:pPr>
        <w:ind w:left="851"/>
        <w:rPr>
          <w:sz w:val="24"/>
          <w:szCs w:val="24"/>
        </w:rPr>
      </w:pPr>
      <w:r w:rsidRPr="00325490">
        <w:rPr>
          <w:rStyle w:val="Bodytext6"/>
          <w:rFonts w:ascii="Times New Roman" w:hAnsi="Times New Roman" w:cs="Times New Roman"/>
          <w:sz w:val="24"/>
          <w:szCs w:val="24"/>
        </w:rPr>
        <w:t>Nyfødte og spædbørn op til</w:t>
      </w:r>
      <w:r w:rsidRPr="00325490">
        <w:rPr>
          <w:rStyle w:val="Bodytext6NotItalic"/>
          <w:rFonts w:ascii="Times New Roman" w:hAnsi="Times New Roman" w:cs="Times New Roman"/>
          <w:sz w:val="24"/>
          <w:szCs w:val="24"/>
        </w:rPr>
        <w:t xml:space="preserve"> 2 måneders </w:t>
      </w:r>
      <w:r w:rsidRPr="00325490">
        <w:rPr>
          <w:rStyle w:val="Bodytext6"/>
          <w:rFonts w:ascii="Times New Roman" w:hAnsi="Times New Roman" w:cs="Times New Roman"/>
          <w:sz w:val="24"/>
          <w:szCs w:val="24"/>
        </w:rPr>
        <w:t>alder</w:t>
      </w:r>
      <w:r w:rsidR="00B811B7">
        <w:rPr>
          <w:rStyle w:val="Bodytext6"/>
          <w:rFonts w:ascii="Times New Roman" w:hAnsi="Times New Roman" w:cs="Times New Roman"/>
          <w:sz w:val="24"/>
          <w:szCs w:val="24"/>
        </w:rPr>
        <w:t>en</w:t>
      </w:r>
      <w:r w:rsidRPr="00325490">
        <w:rPr>
          <w:sz w:val="24"/>
          <w:szCs w:val="24"/>
        </w:rPr>
        <w:t>:</w:t>
      </w:r>
    </w:p>
    <w:p w14:paraId="56CC0AEC" w14:textId="77777777" w:rsidR="006420CF" w:rsidRPr="00325490" w:rsidRDefault="006420CF" w:rsidP="00CB3906">
      <w:pPr>
        <w:ind w:left="851"/>
        <w:rPr>
          <w:sz w:val="24"/>
          <w:szCs w:val="24"/>
        </w:rPr>
      </w:pPr>
      <w:r w:rsidRPr="00325490">
        <w:rPr>
          <w:i/>
          <w:sz w:val="24"/>
          <w:szCs w:val="24"/>
        </w:rPr>
        <w:t>Støddosis</w:t>
      </w:r>
    </w:p>
    <w:p w14:paraId="6CCBDDC4" w14:textId="77777777" w:rsidR="006420CF" w:rsidRPr="00325490" w:rsidRDefault="006420CF" w:rsidP="00CB3906">
      <w:pPr>
        <w:ind w:left="851"/>
        <w:rPr>
          <w:sz w:val="24"/>
          <w:szCs w:val="24"/>
        </w:rPr>
      </w:pPr>
      <w:r w:rsidRPr="00325490">
        <w:rPr>
          <w:sz w:val="24"/>
          <w:szCs w:val="24"/>
        </w:rPr>
        <w:t>En enkeltdosis på 16 mg/kg legemsvægt administreret intravenøst ved infusion den første dag.</w:t>
      </w:r>
    </w:p>
    <w:p w14:paraId="6407A6D4" w14:textId="77777777" w:rsidR="006420CF" w:rsidRPr="00325490" w:rsidRDefault="006420CF" w:rsidP="00CB3906">
      <w:pPr>
        <w:ind w:left="851"/>
        <w:rPr>
          <w:i/>
          <w:sz w:val="24"/>
          <w:szCs w:val="24"/>
        </w:rPr>
      </w:pPr>
    </w:p>
    <w:p w14:paraId="14981252" w14:textId="77777777" w:rsidR="006420CF" w:rsidRPr="00325490" w:rsidRDefault="006420CF" w:rsidP="00CB3906">
      <w:pPr>
        <w:ind w:left="851"/>
        <w:rPr>
          <w:i/>
          <w:sz w:val="24"/>
          <w:szCs w:val="24"/>
        </w:rPr>
      </w:pPr>
      <w:r w:rsidRPr="00325490">
        <w:rPr>
          <w:i/>
          <w:sz w:val="24"/>
          <w:szCs w:val="24"/>
        </w:rPr>
        <w:t>Vedligeholdelsesdosis</w:t>
      </w:r>
    </w:p>
    <w:p w14:paraId="29039E92" w14:textId="77777777" w:rsidR="006420CF" w:rsidRPr="00325490" w:rsidRDefault="006420CF" w:rsidP="00CB3906">
      <w:pPr>
        <w:ind w:left="851"/>
        <w:rPr>
          <w:sz w:val="24"/>
          <w:szCs w:val="24"/>
        </w:rPr>
      </w:pPr>
      <w:r w:rsidRPr="00325490">
        <w:rPr>
          <w:sz w:val="24"/>
          <w:szCs w:val="24"/>
        </w:rPr>
        <w:t>En enkeltdosis på 8 mg/kg legemsvægt administreret intravenøst ved infusion én gang dagligt.</w:t>
      </w:r>
    </w:p>
    <w:p w14:paraId="0AE70528" w14:textId="77777777" w:rsidR="006420CF" w:rsidRPr="00325490" w:rsidRDefault="006420CF" w:rsidP="00CB3906">
      <w:pPr>
        <w:ind w:left="851"/>
        <w:rPr>
          <w:rStyle w:val="Bodytext6"/>
          <w:rFonts w:ascii="Times New Roman" w:hAnsi="Times New Roman" w:cs="Times New Roman"/>
          <w:i w:val="0"/>
          <w:iCs w:val="0"/>
          <w:sz w:val="24"/>
          <w:szCs w:val="24"/>
        </w:rPr>
      </w:pPr>
    </w:p>
    <w:p w14:paraId="5BBD9942" w14:textId="77777777" w:rsidR="006420CF" w:rsidRPr="00325490" w:rsidRDefault="006420CF" w:rsidP="00CB3906">
      <w:pPr>
        <w:ind w:left="851"/>
        <w:rPr>
          <w:rFonts w:eastAsiaTheme="minorHAnsi"/>
          <w:sz w:val="24"/>
          <w:szCs w:val="24"/>
        </w:rPr>
      </w:pPr>
      <w:r w:rsidRPr="00325490">
        <w:rPr>
          <w:rStyle w:val="Bodytext6"/>
          <w:rFonts w:ascii="Times New Roman" w:hAnsi="Times New Roman" w:cs="Times New Roman"/>
          <w:sz w:val="24"/>
          <w:szCs w:val="24"/>
        </w:rPr>
        <w:t>Børn (2 måneder til 12 år)</w:t>
      </w:r>
      <w:r w:rsidRPr="00325490">
        <w:rPr>
          <w:sz w:val="24"/>
          <w:szCs w:val="24"/>
        </w:rPr>
        <w:t>:</w:t>
      </w:r>
    </w:p>
    <w:p w14:paraId="13AD6EFE" w14:textId="77777777" w:rsidR="006420CF" w:rsidRPr="00325490" w:rsidRDefault="006420CF" w:rsidP="00CB3906">
      <w:pPr>
        <w:ind w:left="851"/>
        <w:rPr>
          <w:i/>
          <w:sz w:val="24"/>
          <w:szCs w:val="24"/>
        </w:rPr>
      </w:pPr>
      <w:r w:rsidRPr="00325490">
        <w:rPr>
          <w:i/>
          <w:sz w:val="24"/>
          <w:szCs w:val="24"/>
        </w:rPr>
        <w:t>Støddosis</w:t>
      </w:r>
    </w:p>
    <w:p w14:paraId="7F87BCF8" w14:textId="77777777" w:rsidR="006420CF" w:rsidRPr="00325490" w:rsidRDefault="006420CF" w:rsidP="00CB3906">
      <w:pPr>
        <w:ind w:left="851"/>
        <w:rPr>
          <w:sz w:val="24"/>
          <w:szCs w:val="24"/>
        </w:rPr>
      </w:pPr>
      <w:r w:rsidRPr="00325490">
        <w:rPr>
          <w:sz w:val="24"/>
          <w:szCs w:val="24"/>
        </w:rPr>
        <w:t>En enkeltdosis på 10 mg/kg legemsvægt administreret intravenøst hver 12. time, 3 gange.</w:t>
      </w:r>
    </w:p>
    <w:p w14:paraId="156966DD" w14:textId="77777777" w:rsidR="006420CF" w:rsidRPr="00325490" w:rsidRDefault="006420CF" w:rsidP="00CB3906">
      <w:pPr>
        <w:ind w:left="851"/>
        <w:rPr>
          <w:i/>
          <w:sz w:val="24"/>
          <w:szCs w:val="24"/>
        </w:rPr>
      </w:pPr>
    </w:p>
    <w:p w14:paraId="079BEE00" w14:textId="77777777" w:rsidR="006420CF" w:rsidRPr="00325490" w:rsidRDefault="006420CF" w:rsidP="00CB3906">
      <w:pPr>
        <w:ind w:left="851"/>
        <w:rPr>
          <w:i/>
          <w:sz w:val="24"/>
          <w:szCs w:val="24"/>
        </w:rPr>
      </w:pPr>
      <w:r w:rsidRPr="00325490">
        <w:rPr>
          <w:i/>
          <w:sz w:val="24"/>
          <w:szCs w:val="24"/>
        </w:rPr>
        <w:t>Vedligeholdelsesdosis</w:t>
      </w:r>
    </w:p>
    <w:p w14:paraId="040634F2" w14:textId="77777777" w:rsidR="006420CF" w:rsidRPr="00325490" w:rsidRDefault="006420CF" w:rsidP="00CB3906">
      <w:pPr>
        <w:ind w:left="851"/>
        <w:rPr>
          <w:sz w:val="24"/>
          <w:szCs w:val="24"/>
        </w:rPr>
      </w:pPr>
      <w:r w:rsidRPr="00325490">
        <w:rPr>
          <w:sz w:val="24"/>
          <w:szCs w:val="24"/>
        </w:rPr>
        <w:t>En enkeltdosis på 6</w:t>
      </w:r>
      <w:r w:rsidRPr="00325490">
        <w:rPr>
          <w:sz w:val="24"/>
          <w:szCs w:val="24"/>
        </w:rPr>
        <w:noBreakHyphen/>
        <w:t>10 mg/kg legemsvægt administreret intravenøst én gang dagligt.</w:t>
      </w:r>
    </w:p>
    <w:p w14:paraId="7D29CB34" w14:textId="77777777" w:rsidR="006420CF" w:rsidRPr="00325490" w:rsidRDefault="006420CF" w:rsidP="00CB3906">
      <w:pPr>
        <w:ind w:left="851"/>
        <w:rPr>
          <w:sz w:val="24"/>
          <w:szCs w:val="24"/>
        </w:rPr>
      </w:pPr>
    </w:p>
    <w:p w14:paraId="476578EF" w14:textId="77777777" w:rsidR="006420CF" w:rsidRPr="00325490" w:rsidRDefault="006420CF" w:rsidP="00CB3906">
      <w:pPr>
        <w:ind w:left="851"/>
        <w:rPr>
          <w:sz w:val="24"/>
          <w:szCs w:val="24"/>
          <w:u w:val="single"/>
        </w:rPr>
      </w:pPr>
      <w:r w:rsidRPr="00325490">
        <w:rPr>
          <w:sz w:val="24"/>
          <w:szCs w:val="24"/>
          <w:u w:val="single"/>
        </w:rPr>
        <w:t>Administration</w:t>
      </w:r>
    </w:p>
    <w:p w14:paraId="1ADD4A29" w14:textId="77777777" w:rsidR="006420CF" w:rsidRPr="00325490" w:rsidRDefault="006420CF" w:rsidP="00CB3906">
      <w:pPr>
        <w:ind w:left="851"/>
        <w:rPr>
          <w:sz w:val="24"/>
          <w:szCs w:val="24"/>
        </w:rPr>
      </w:pPr>
      <w:r w:rsidRPr="00325490">
        <w:rPr>
          <w:sz w:val="24"/>
          <w:szCs w:val="24"/>
        </w:rPr>
        <w:t>Teicoplanin skal administreres intravenøst eller intramuskulært. Den intravenøse injektion kan administreres enten som bolus over 3</w:t>
      </w:r>
      <w:r w:rsidRPr="00325490">
        <w:rPr>
          <w:sz w:val="24"/>
          <w:szCs w:val="24"/>
        </w:rPr>
        <w:noBreakHyphen/>
        <w:t>5 minutter eller som infusion over 30 minutter.</w:t>
      </w:r>
    </w:p>
    <w:p w14:paraId="3672B87F" w14:textId="77777777" w:rsidR="006420CF" w:rsidRPr="00325490" w:rsidRDefault="006420CF" w:rsidP="00CB3906">
      <w:pPr>
        <w:ind w:left="851"/>
        <w:rPr>
          <w:sz w:val="24"/>
          <w:szCs w:val="24"/>
        </w:rPr>
      </w:pPr>
    </w:p>
    <w:p w14:paraId="6A1CC36A" w14:textId="62682298" w:rsidR="006420CF" w:rsidRPr="00325490" w:rsidRDefault="006420CF" w:rsidP="00CB3906">
      <w:pPr>
        <w:ind w:left="851"/>
        <w:rPr>
          <w:sz w:val="24"/>
          <w:szCs w:val="24"/>
        </w:rPr>
      </w:pPr>
      <w:r w:rsidRPr="00325490">
        <w:rPr>
          <w:sz w:val="24"/>
          <w:szCs w:val="24"/>
        </w:rPr>
        <w:t xml:space="preserve">Må kun administreres som infusion </w:t>
      </w:r>
      <w:r w:rsidR="00B811B7">
        <w:rPr>
          <w:sz w:val="24"/>
          <w:szCs w:val="24"/>
        </w:rPr>
        <w:t>til</w:t>
      </w:r>
      <w:r w:rsidRPr="00325490">
        <w:rPr>
          <w:sz w:val="24"/>
          <w:szCs w:val="24"/>
        </w:rPr>
        <w:t xml:space="preserve"> nyfødte.</w:t>
      </w:r>
    </w:p>
    <w:p w14:paraId="6C81AD32" w14:textId="77777777" w:rsidR="006420CF" w:rsidRPr="00325490" w:rsidRDefault="006420CF" w:rsidP="00CB3906">
      <w:pPr>
        <w:ind w:left="851"/>
        <w:rPr>
          <w:sz w:val="24"/>
          <w:szCs w:val="24"/>
        </w:rPr>
      </w:pPr>
    </w:p>
    <w:p w14:paraId="263A64A5" w14:textId="77777777" w:rsidR="009E6F11" w:rsidRPr="009E6F11" w:rsidRDefault="009E6F11" w:rsidP="009E6F11">
      <w:pPr>
        <w:tabs>
          <w:tab w:val="left" w:pos="851"/>
        </w:tabs>
        <w:ind w:left="851"/>
        <w:rPr>
          <w:sz w:val="24"/>
          <w:szCs w:val="24"/>
        </w:rPr>
      </w:pPr>
      <w:r w:rsidRPr="009E6F11">
        <w:rPr>
          <w:sz w:val="24"/>
          <w:szCs w:val="24"/>
        </w:rPr>
        <w:t>Ved diarré og colitis forbundet med Clostridioides Clostridium difficile-infektion skal oral administration anvendes.</w:t>
      </w:r>
    </w:p>
    <w:p w14:paraId="65C69395" w14:textId="443EF8A2" w:rsidR="009260DE" w:rsidRDefault="009E6F11" w:rsidP="009E6F11">
      <w:pPr>
        <w:tabs>
          <w:tab w:val="left" w:pos="851"/>
        </w:tabs>
        <w:ind w:left="851"/>
        <w:rPr>
          <w:sz w:val="24"/>
          <w:szCs w:val="24"/>
        </w:rPr>
      </w:pPr>
      <w:r w:rsidRPr="009E6F11">
        <w:rPr>
          <w:sz w:val="24"/>
          <w:szCs w:val="24"/>
        </w:rPr>
        <w:t>For instruktioner om rekonstitution og fortynding af lægemidlet før administration, se pkt. 6.6.</w:t>
      </w:r>
    </w:p>
    <w:p w14:paraId="3ED544C1" w14:textId="77777777" w:rsidR="009E6F11" w:rsidRPr="00325490" w:rsidRDefault="009E6F11" w:rsidP="009E6F11">
      <w:pPr>
        <w:tabs>
          <w:tab w:val="left" w:pos="851"/>
        </w:tabs>
        <w:ind w:left="851"/>
        <w:rPr>
          <w:sz w:val="24"/>
          <w:szCs w:val="24"/>
        </w:rPr>
      </w:pPr>
    </w:p>
    <w:p w14:paraId="0E18A947" w14:textId="77777777" w:rsidR="009260DE" w:rsidRPr="00325490" w:rsidRDefault="009260DE" w:rsidP="009260DE">
      <w:pPr>
        <w:tabs>
          <w:tab w:val="left" w:pos="851"/>
        </w:tabs>
        <w:ind w:left="851" w:hanging="851"/>
        <w:rPr>
          <w:b/>
          <w:sz w:val="24"/>
          <w:szCs w:val="24"/>
        </w:rPr>
      </w:pPr>
      <w:r w:rsidRPr="00325490">
        <w:rPr>
          <w:b/>
          <w:sz w:val="24"/>
          <w:szCs w:val="24"/>
        </w:rPr>
        <w:t>4.3</w:t>
      </w:r>
      <w:r w:rsidRPr="00325490">
        <w:rPr>
          <w:b/>
          <w:sz w:val="24"/>
          <w:szCs w:val="24"/>
        </w:rPr>
        <w:tab/>
        <w:t>Kontraindikationer</w:t>
      </w:r>
    </w:p>
    <w:p w14:paraId="7085E1E2" w14:textId="77777777" w:rsidR="006420CF" w:rsidRPr="00325490" w:rsidRDefault="006420CF" w:rsidP="00CB3906">
      <w:pPr>
        <w:ind w:left="851"/>
        <w:rPr>
          <w:sz w:val="24"/>
          <w:szCs w:val="24"/>
        </w:rPr>
      </w:pPr>
      <w:r w:rsidRPr="00325490">
        <w:rPr>
          <w:sz w:val="24"/>
          <w:szCs w:val="24"/>
        </w:rPr>
        <w:t>Overfølsomhed over for det aktive stof eller over for et eller flere af hjælpestofferne anført i pkt. 6.1.</w:t>
      </w:r>
    </w:p>
    <w:p w14:paraId="46AEB3F6" w14:textId="77777777" w:rsidR="009260DE" w:rsidRPr="00325490" w:rsidRDefault="009260DE" w:rsidP="009260DE">
      <w:pPr>
        <w:tabs>
          <w:tab w:val="left" w:pos="851"/>
        </w:tabs>
        <w:ind w:left="851"/>
        <w:rPr>
          <w:sz w:val="24"/>
          <w:szCs w:val="24"/>
        </w:rPr>
      </w:pPr>
    </w:p>
    <w:p w14:paraId="373ACB65" w14:textId="77777777" w:rsidR="009260DE" w:rsidRPr="00325490" w:rsidRDefault="009260DE" w:rsidP="009260DE">
      <w:pPr>
        <w:tabs>
          <w:tab w:val="left" w:pos="851"/>
        </w:tabs>
        <w:ind w:left="851" w:hanging="851"/>
        <w:rPr>
          <w:b/>
          <w:sz w:val="24"/>
          <w:szCs w:val="24"/>
        </w:rPr>
      </w:pPr>
      <w:r w:rsidRPr="00325490">
        <w:rPr>
          <w:b/>
          <w:sz w:val="24"/>
          <w:szCs w:val="24"/>
        </w:rPr>
        <w:t>4.4</w:t>
      </w:r>
      <w:r w:rsidRPr="00325490">
        <w:rPr>
          <w:b/>
          <w:sz w:val="24"/>
          <w:szCs w:val="24"/>
        </w:rPr>
        <w:tab/>
        <w:t>Særlige advarsler og forsigtighedsregler vedrørende brugen</w:t>
      </w:r>
    </w:p>
    <w:p w14:paraId="65593959" w14:textId="77777777" w:rsidR="006420CF" w:rsidRPr="00325490" w:rsidRDefault="006420CF" w:rsidP="00CB3906">
      <w:pPr>
        <w:ind w:left="851"/>
        <w:rPr>
          <w:sz w:val="24"/>
          <w:szCs w:val="24"/>
        </w:rPr>
      </w:pPr>
      <w:r w:rsidRPr="00325490">
        <w:rPr>
          <w:sz w:val="24"/>
          <w:szCs w:val="24"/>
        </w:rPr>
        <w:t>Teicoplanin må ikke administreres intraventrikulært.</w:t>
      </w:r>
    </w:p>
    <w:p w14:paraId="2AFA01CC" w14:textId="77777777" w:rsidR="006420CF" w:rsidRPr="00325490" w:rsidRDefault="006420CF" w:rsidP="00CB3906">
      <w:pPr>
        <w:ind w:left="851"/>
        <w:rPr>
          <w:sz w:val="24"/>
          <w:szCs w:val="24"/>
        </w:rPr>
      </w:pPr>
    </w:p>
    <w:p w14:paraId="5423A941" w14:textId="77777777" w:rsidR="006420CF" w:rsidRPr="00325490" w:rsidRDefault="006420CF" w:rsidP="00CB3906">
      <w:pPr>
        <w:ind w:left="851"/>
        <w:rPr>
          <w:sz w:val="24"/>
          <w:szCs w:val="24"/>
          <w:u w:val="single"/>
        </w:rPr>
      </w:pPr>
      <w:r w:rsidRPr="00325490">
        <w:rPr>
          <w:sz w:val="24"/>
          <w:szCs w:val="24"/>
          <w:u w:val="single"/>
        </w:rPr>
        <w:t>Overfølsomhedsreaktioner</w:t>
      </w:r>
    </w:p>
    <w:p w14:paraId="7720FAA7" w14:textId="77777777" w:rsidR="006420CF" w:rsidRPr="00325490" w:rsidRDefault="006420CF" w:rsidP="00CB3906">
      <w:pPr>
        <w:ind w:left="851"/>
        <w:rPr>
          <w:sz w:val="24"/>
          <w:szCs w:val="24"/>
        </w:rPr>
      </w:pPr>
      <w:r w:rsidRPr="00325490">
        <w:rPr>
          <w:sz w:val="24"/>
          <w:szCs w:val="24"/>
        </w:rPr>
        <w:t>Alvorlige, livstruende overfølsomhedsreaktioner – herunder fatale tilfælde – er blevet rapporteret i forbindelse med behandling med teicoplanin (f.eks. anafylaktisk shock). Ved allergisk reaktion over for teicoplanin skal behandlingen straks seponeres, og passende akutte foranstaltninger iværksættes.</w:t>
      </w:r>
    </w:p>
    <w:p w14:paraId="473CC2EB" w14:textId="77777777" w:rsidR="006420CF" w:rsidRPr="00325490" w:rsidRDefault="006420CF" w:rsidP="00CB3906">
      <w:pPr>
        <w:ind w:left="851"/>
        <w:rPr>
          <w:sz w:val="24"/>
          <w:szCs w:val="24"/>
        </w:rPr>
      </w:pPr>
    </w:p>
    <w:p w14:paraId="010E7ABB" w14:textId="77777777" w:rsidR="006420CF" w:rsidRPr="00325490" w:rsidRDefault="006420CF" w:rsidP="00CB3906">
      <w:pPr>
        <w:ind w:left="851"/>
        <w:rPr>
          <w:sz w:val="24"/>
          <w:szCs w:val="24"/>
        </w:rPr>
      </w:pPr>
      <w:r w:rsidRPr="00325490">
        <w:rPr>
          <w:sz w:val="24"/>
          <w:szCs w:val="24"/>
        </w:rPr>
        <w:t>Teicoplanin skal anvendes med forsigtighed hos patienter med kendt overfølsomhed over for vancomycin, da krydsreaktioner, herunder fatalt anafylaktisk shock, kan forekomme.</w:t>
      </w:r>
    </w:p>
    <w:p w14:paraId="238704BE" w14:textId="77777777" w:rsidR="006420CF" w:rsidRPr="00325490" w:rsidRDefault="006420CF" w:rsidP="00CB3906">
      <w:pPr>
        <w:ind w:left="851"/>
        <w:rPr>
          <w:sz w:val="24"/>
          <w:szCs w:val="24"/>
        </w:rPr>
      </w:pPr>
    </w:p>
    <w:p w14:paraId="0DCDB855" w14:textId="77777777" w:rsidR="006420CF" w:rsidRPr="00325490" w:rsidRDefault="006420CF" w:rsidP="00CB3906">
      <w:pPr>
        <w:ind w:left="851"/>
        <w:rPr>
          <w:sz w:val="24"/>
          <w:szCs w:val="24"/>
        </w:rPr>
      </w:pPr>
      <w:r w:rsidRPr="00325490">
        <w:rPr>
          <w:sz w:val="24"/>
          <w:szCs w:val="24"/>
        </w:rPr>
        <w:t>En tidligere forekomst af ”red man-syndrom” med vancomycin er dog ikke en kontraindikation for anvendelse af teicoplanin.</w:t>
      </w:r>
    </w:p>
    <w:p w14:paraId="2825428D" w14:textId="4DCAEC04" w:rsidR="00CC1F5E" w:rsidRDefault="00CC1F5E">
      <w:pPr>
        <w:rPr>
          <w:sz w:val="24"/>
          <w:szCs w:val="24"/>
        </w:rPr>
      </w:pPr>
      <w:r>
        <w:rPr>
          <w:sz w:val="24"/>
          <w:szCs w:val="24"/>
        </w:rPr>
        <w:br w:type="page"/>
      </w:r>
    </w:p>
    <w:p w14:paraId="7CCD2852" w14:textId="77777777" w:rsidR="006420CF" w:rsidRPr="00325490" w:rsidRDefault="006420CF" w:rsidP="00CB3906">
      <w:pPr>
        <w:ind w:left="851"/>
        <w:rPr>
          <w:sz w:val="24"/>
          <w:szCs w:val="24"/>
        </w:rPr>
      </w:pPr>
    </w:p>
    <w:p w14:paraId="3876D6C1" w14:textId="77777777" w:rsidR="006420CF" w:rsidRPr="00325490" w:rsidRDefault="006420CF" w:rsidP="00CB3906">
      <w:pPr>
        <w:ind w:left="851"/>
        <w:rPr>
          <w:sz w:val="24"/>
          <w:szCs w:val="24"/>
          <w:u w:val="single"/>
        </w:rPr>
      </w:pPr>
      <w:r w:rsidRPr="00325490">
        <w:rPr>
          <w:sz w:val="24"/>
          <w:szCs w:val="24"/>
          <w:u w:val="single"/>
        </w:rPr>
        <w:t>Infusionsrelaterede reaktioner</w:t>
      </w:r>
    </w:p>
    <w:p w14:paraId="42197CCC" w14:textId="490847F9" w:rsidR="006420CF" w:rsidRPr="00B811B7" w:rsidRDefault="006420CF" w:rsidP="00CB3906">
      <w:pPr>
        <w:ind w:left="851"/>
        <w:rPr>
          <w:sz w:val="24"/>
          <w:szCs w:val="24"/>
        </w:rPr>
      </w:pPr>
      <w:r w:rsidRPr="00325490">
        <w:rPr>
          <w:sz w:val="24"/>
          <w:szCs w:val="24"/>
        </w:rPr>
        <w:t xml:space="preserve">I sjældne tilfælde (selv ved første dosis) er red man-syndrom – et kompleks af symptomer såsom kløe, urticaria, erytem, angioneurotisk ødem, takykardi, hypotension og dyspnø – </w:t>
      </w:r>
      <w:r w:rsidRPr="00B811B7">
        <w:rPr>
          <w:sz w:val="24"/>
          <w:szCs w:val="24"/>
        </w:rPr>
        <w:t xml:space="preserve">blevet observeret. Seponering eller nedsættelse af infusionshastigheden kan medføre, at disse reaktioner aftager. Risikoen for infusionsrelaterede reaktioner kan reduceres, hvis den daglige dosis ikke gives som bolusinjektion, men </w:t>
      </w:r>
      <w:r w:rsidR="00B811B7" w:rsidRPr="00B811B7">
        <w:rPr>
          <w:sz w:val="24"/>
          <w:szCs w:val="24"/>
        </w:rPr>
        <w:t xml:space="preserve">som infusion </w:t>
      </w:r>
      <w:r w:rsidRPr="00B811B7">
        <w:rPr>
          <w:sz w:val="24"/>
          <w:szCs w:val="24"/>
        </w:rPr>
        <w:t>over en periode på 30 minutter.</w:t>
      </w:r>
    </w:p>
    <w:p w14:paraId="66D575A0" w14:textId="77777777" w:rsidR="006420CF" w:rsidRPr="00325490" w:rsidRDefault="006420CF" w:rsidP="00CB3906">
      <w:pPr>
        <w:ind w:left="851"/>
        <w:rPr>
          <w:sz w:val="24"/>
          <w:szCs w:val="24"/>
        </w:rPr>
      </w:pPr>
    </w:p>
    <w:p w14:paraId="2E2641D7" w14:textId="77777777" w:rsidR="009E6F11" w:rsidRPr="009E6F11" w:rsidRDefault="009E6F11" w:rsidP="009E6F11">
      <w:pPr>
        <w:pStyle w:val="Bodytext20"/>
        <w:shd w:val="clear" w:color="auto" w:fill="auto"/>
        <w:spacing w:before="0" w:after="0" w:line="240" w:lineRule="auto"/>
        <w:ind w:firstLine="851"/>
        <w:rPr>
          <w:rFonts w:ascii="Times New Roman" w:hAnsi="Times New Roman"/>
          <w:sz w:val="24"/>
          <w:u w:val="single"/>
        </w:rPr>
      </w:pPr>
      <w:r w:rsidRPr="009E6F11">
        <w:rPr>
          <w:rFonts w:ascii="Times New Roman" w:hAnsi="Times New Roman"/>
          <w:sz w:val="24"/>
          <w:u w:val="single"/>
        </w:rPr>
        <w:t>Alvorlige kutane bivirkninger</w:t>
      </w:r>
    </w:p>
    <w:p w14:paraId="0CB8B000" w14:textId="77777777" w:rsidR="009E6F11" w:rsidRPr="009E6F11" w:rsidRDefault="009E6F11" w:rsidP="009E6F11">
      <w:pPr>
        <w:pStyle w:val="Bodytext20"/>
        <w:shd w:val="clear" w:color="auto" w:fill="auto"/>
        <w:spacing w:before="0" w:after="0" w:line="240" w:lineRule="auto"/>
        <w:ind w:left="851" w:firstLine="0"/>
        <w:rPr>
          <w:rFonts w:ascii="Times New Roman" w:hAnsi="Times New Roman" w:cs="Times New Roman"/>
          <w:sz w:val="24"/>
          <w:szCs w:val="22"/>
        </w:rPr>
      </w:pPr>
      <w:r w:rsidRPr="009E6F11">
        <w:rPr>
          <w:rFonts w:ascii="Times New Roman" w:hAnsi="Times New Roman" w:cs="Times New Roman"/>
          <w:sz w:val="24"/>
          <w:szCs w:val="22"/>
        </w:rPr>
        <w:t>Svære kutane bivirkninger (SCAR’er), inklusive Stevens-Johnsons syndrom (SJS), toksisk epidermal nekrolyse (TEN) og lægemiddelreaktion med eosinofili og systemiske symptomer (DRESS), som kan være livstruende eller dødelige, er blevet rapporteret i forbindelse med brugen af teicoplanin (se pkt. 4.8). Der er også rapporteret akut generaliseret eksantematøs pustulose (AGEP) i forbindelse med brugen af teicoplanin (se pkt. 4.8). Ved ordination skal patienterne underrettes om tegn og symptomer på alvorlige hudreaktioner (f.eks. progressive hududslæt ofte med blærer eller slimhindelæsioner eller pustuløst udslæt eller andre tegn på hudoverfølsomhed), og de skal monitoreres tæt. Hvis der opstår tegn og symptomer, som tyder på en alvorlig hudreaktion, skal behandlingen med teicoplanin seponeres, og en alternativ behandling skal overvejes.</w:t>
      </w:r>
    </w:p>
    <w:p w14:paraId="7919B50F" w14:textId="77777777" w:rsidR="006420CF" w:rsidRPr="00325490" w:rsidRDefault="006420CF" w:rsidP="00CB3906">
      <w:pPr>
        <w:ind w:left="851"/>
        <w:rPr>
          <w:sz w:val="24"/>
          <w:szCs w:val="24"/>
          <w:u w:val="single"/>
        </w:rPr>
      </w:pPr>
    </w:p>
    <w:p w14:paraId="6A43ECA5" w14:textId="77777777" w:rsidR="006420CF" w:rsidRPr="00325490" w:rsidRDefault="006420CF" w:rsidP="00CB3906">
      <w:pPr>
        <w:ind w:left="851"/>
        <w:rPr>
          <w:sz w:val="24"/>
          <w:szCs w:val="24"/>
          <w:u w:val="single"/>
        </w:rPr>
      </w:pPr>
      <w:r w:rsidRPr="00325490">
        <w:rPr>
          <w:sz w:val="24"/>
          <w:szCs w:val="24"/>
          <w:u w:val="single"/>
        </w:rPr>
        <w:t>Antibakterielt spektrum</w:t>
      </w:r>
    </w:p>
    <w:p w14:paraId="4ADA5ADF" w14:textId="0A0408E9" w:rsidR="006420CF" w:rsidRPr="00325490" w:rsidRDefault="006420CF" w:rsidP="00CB3906">
      <w:pPr>
        <w:ind w:left="851"/>
        <w:rPr>
          <w:sz w:val="24"/>
          <w:szCs w:val="24"/>
        </w:rPr>
      </w:pPr>
      <w:r w:rsidRPr="00325490">
        <w:rPr>
          <w:sz w:val="24"/>
          <w:szCs w:val="24"/>
        </w:rPr>
        <w:t>Teicoplanin har et begrænset antibakterielt spektrum (</w:t>
      </w:r>
      <w:r w:rsidRPr="00325490">
        <w:rPr>
          <w:i/>
          <w:iCs/>
          <w:sz w:val="24"/>
          <w:szCs w:val="24"/>
        </w:rPr>
        <w:t>Gram</w:t>
      </w:r>
      <w:r w:rsidRPr="00325490">
        <w:rPr>
          <w:i/>
          <w:iCs/>
          <w:sz w:val="24"/>
          <w:szCs w:val="24"/>
        </w:rPr>
        <w:noBreakHyphen/>
        <w:t>positive</w:t>
      </w:r>
      <w:r w:rsidRPr="00325490">
        <w:rPr>
          <w:sz w:val="24"/>
          <w:szCs w:val="24"/>
        </w:rPr>
        <w:t xml:space="preserve">). Teicoplanin er ikke egnet som monoterapi til behandling af visse infektioner, medmindre patogenet allerede er dokumenteret og kendt for at være følsomt, eller der foreligger en velbegrundet mistanke om, at det(de) mest sandsynlige patogen(er) er følsomme over for </w:t>
      </w:r>
      <w:r w:rsidR="00A84ABD">
        <w:rPr>
          <w:sz w:val="24"/>
          <w:szCs w:val="24"/>
        </w:rPr>
        <w:t xml:space="preserve">behandling med </w:t>
      </w:r>
      <w:r w:rsidRPr="00325490">
        <w:rPr>
          <w:sz w:val="24"/>
          <w:szCs w:val="24"/>
        </w:rPr>
        <w:t>teicoplanin.</w:t>
      </w:r>
    </w:p>
    <w:p w14:paraId="35DCEA30" w14:textId="77777777" w:rsidR="006420CF" w:rsidRPr="00A84ABD" w:rsidRDefault="006420CF" w:rsidP="00A84ABD">
      <w:pPr>
        <w:ind w:left="851"/>
        <w:rPr>
          <w:sz w:val="24"/>
          <w:szCs w:val="24"/>
        </w:rPr>
      </w:pPr>
    </w:p>
    <w:p w14:paraId="4840EE9F" w14:textId="77777777" w:rsidR="00A84ABD" w:rsidRPr="00A84ABD" w:rsidRDefault="00A84ABD" w:rsidP="00A84ABD">
      <w:pPr>
        <w:pStyle w:val="Bodytext20"/>
        <w:shd w:val="clear" w:color="auto" w:fill="auto"/>
        <w:spacing w:before="0" w:after="0" w:line="240" w:lineRule="auto"/>
        <w:ind w:left="851" w:firstLine="0"/>
        <w:rPr>
          <w:rFonts w:ascii="Times New Roman" w:hAnsi="Times New Roman" w:cs="Times New Roman"/>
          <w:sz w:val="24"/>
          <w:szCs w:val="24"/>
          <w:lang w:eastAsia="en-US"/>
        </w:rPr>
      </w:pPr>
      <w:r w:rsidRPr="00A84ABD">
        <w:rPr>
          <w:rFonts w:ascii="Times New Roman" w:hAnsi="Times New Roman"/>
          <w:sz w:val="24"/>
          <w:szCs w:val="24"/>
        </w:rPr>
        <w:t>Rationel anvendelse af teicoplanin bør tage hensyn til dets antibakterielle spektrum, sikkerhedsprofilen og egnetheden af antibakteriel standardterapi ved behandling af den enkelte patient. På dette grundlag forventes teicoplanin i de fleste tilfælde at blive anvendt til behandling af alvorlige infektioner hos patienter, hvor antibakteriel standardbehandling anses for at være uegnet.</w:t>
      </w:r>
    </w:p>
    <w:p w14:paraId="64BB6884" w14:textId="77777777" w:rsidR="006420CF" w:rsidRPr="00A84ABD" w:rsidRDefault="006420CF" w:rsidP="00A84ABD">
      <w:pPr>
        <w:ind w:left="851"/>
        <w:rPr>
          <w:sz w:val="24"/>
          <w:szCs w:val="24"/>
          <w:u w:val="single"/>
        </w:rPr>
      </w:pPr>
    </w:p>
    <w:p w14:paraId="04A56B98" w14:textId="77777777" w:rsidR="006420CF" w:rsidRPr="00325490" w:rsidRDefault="006420CF" w:rsidP="00CB3906">
      <w:pPr>
        <w:ind w:left="851"/>
        <w:rPr>
          <w:sz w:val="24"/>
          <w:szCs w:val="24"/>
          <w:u w:val="single"/>
        </w:rPr>
      </w:pPr>
      <w:r w:rsidRPr="00325490">
        <w:rPr>
          <w:sz w:val="24"/>
          <w:szCs w:val="24"/>
          <w:u w:val="single"/>
        </w:rPr>
        <w:t>Trombocytopeni</w:t>
      </w:r>
    </w:p>
    <w:p w14:paraId="591D5F50" w14:textId="77777777" w:rsidR="006420CF" w:rsidRPr="00325490" w:rsidRDefault="006420CF" w:rsidP="00CB3906">
      <w:pPr>
        <w:ind w:left="851"/>
        <w:rPr>
          <w:sz w:val="24"/>
          <w:szCs w:val="24"/>
        </w:rPr>
      </w:pPr>
      <w:r w:rsidRPr="00325490">
        <w:rPr>
          <w:sz w:val="24"/>
          <w:szCs w:val="24"/>
        </w:rPr>
        <w:t>Der er rapporteret tilfælde af trombocytopeni i forbindelse med teicoplanin (se pkt. 4.8). Periodisk hæmatologisk monitorering, herunder komplet blodtælling, anbefales under behandlingen.</w:t>
      </w:r>
    </w:p>
    <w:p w14:paraId="2D87696F" w14:textId="77777777" w:rsidR="006420CF" w:rsidRPr="00325490" w:rsidRDefault="006420CF" w:rsidP="00CB3906">
      <w:pPr>
        <w:ind w:left="851"/>
        <w:rPr>
          <w:sz w:val="24"/>
          <w:szCs w:val="24"/>
          <w:u w:val="single"/>
        </w:rPr>
      </w:pPr>
    </w:p>
    <w:p w14:paraId="3EE48B49" w14:textId="77777777" w:rsidR="006420CF" w:rsidRPr="00325490" w:rsidRDefault="006420CF" w:rsidP="00CB3906">
      <w:pPr>
        <w:ind w:left="851"/>
        <w:rPr>
          <w:sz w:val="24"/>
          <w:szCs w:val="24"/>
          <w:u w:val="single"/>
        </w:rPr>
      </w:pPr>
      <w:r w:rsidRPr="00325490">
        <w:rPr>
          <w:sz w:val="24"/>
          <w:szCs w:val="24"/>
          <w:u w:val="single"/>
        </w:rPr>
        <w:t>Nefrotoksicitet</w:t>
      </w:r>
    </w:p>
    <w:p w14:paraId="16F7A615" w14:textId="77777777" w:rsidR="00A84ABD" w:rsidRPr="00A84ABD" w:rsidRDefault="00A84ABD" w:rsidP="00A84ABD">
      <w:pPr>
        <w:pStyle w:val="Bodytext20"/>
        <w:shd w:val="clear" w:color="auto" w:fill="auto"/>
        <w:spacing w:before="0" w:after="0" w:line="240" w:lineRule="auto"/>
        <w:ind w:left="851" w:firstLine="0"/>
        <w:rPr>
          <w:rFonts w:ascii="Times New Roman" w:hAnsi="Times New Roman"/>
          <w:sz w:val="24"/>
          <w:szCs w:val="24"/>
          <w:lang w:eastAsia="en-US"/>
        </w:rPr>
      </w:pPr>
      <w:r w:rsidRPr="00A84ABD">
        <w:rPr>
          <w:rFonts w:ascii="Times New Roman" w:hAnsi="Times New Roman"/>
          <w:sz w:val="24"/>
          <w:szCs w:val="24"/>
        </w:rPr>
        <w:t>Der er rapporteret nefrotoksicitet og nyresvigt hos patienter behandlet med teicoplanin (se pkt. 4.8). Patienter med nedsat nyrefunktion, der får dosisregime med en høj støddosis af teicoplanin, samt patienter, der behandles med teicoplanin ved kombineret eller sekventiel anvendelse med andre lægemidler med kendt nefrotoksisk potentiale (f.eks. aminoglykosider, colistin, amphotericin B, ciclosporin og cisplatin), skal monitoreres nøje og have udført auditive test (se ”Ototoksicitet” nedenfor).</w:t>
      </w:r>
    </w:p>
    <w:p w14:paraId="4A5850C7" w14:textId="77777777" w:rsidR="006420CF" w:rsidRPr="00A84ABD" w:rsidRDefault="006420CF" w:rsidP="00A84ABD">
      <w:pPr>
        <w:ind w:left="851"/>
        <w:rPr>
          <w:sz w:val="24"/>
          <w:szCs w:val="24"/>
        </w:rPr>
      </w:pPr>
    </w:p>
    <w:p w14:paraId="391FB637" w14:textId="77777777" w:rsidR="006420CF" w:rsidRPr="00325490" w:rsidRDefault="006420CF" w:rsidP="00CB3906">
      <w:pPr>
        <w:ind w:left="851"/>
        <w:rPr>
          <w:sz w:val="24"/>
          <w:szCs w:val="24"/>
        </w:rPr>
      </w:pPr>
      <w:r w:rsidRPr="00325490">
        <w:rPr>
          <w:sz w:val="24"/>
          <w:szCs w:val="24"/>
        </w:rPr>
        <w:t>Da teicoplanin primært udskilles via nyrerne, skal dosen justeres hos patienter med nedsat nyrefunktion (se pkt. 4.2).</w:t>
      </w:r>
    </w:p>
    <w:p w14:paraId="109E203E" w14:textId="77777777" w:rsidR="006420CF" w:rsidRPr="00325490" w:rsidRDefault="006420CF" w:rsidP="00CB3906">
      <w:pPr>
        <w:ind w:left="851"/>
        <w:rPr>
          <w:sz w:val="24"/>
          <w:szCs w:val="24"/>
          <w:u w:val="single"/>
        </w:rPr>
      </w:pPr>
    </w:p>
    <w:p w14:paraId="1D47B036" w14:textId="77777777" w:rsidR="006420CF" w:rsidRPr="00325490" w:rsidRDefault="006420CF" w:rsidP="00CB3906">
      <w:pPr>
        <w:ind w:left="851"/>
        <w:rPr>
          <w:sz w:val="24"/>
          <w:szCs w:val="24"/>
          <w:u w:val="single"/>
        </w:rPr>
      </w:pPr>
      <w:r w:rsidRPr="00325490">
        <w:rPr>
          <w:sz w:val="24"/>
          <w:szCs w:val="24"/>
          <w:u w:val="single"/>
        </w:rPr>
        <w:t>Ototoksicitet</w:t>
      </w:r>
    </w:p>
    <w:p w14:paraId="071697BA" w14:textId="77777777" w:rsidR="00A84ABD" w:rsidRDefault="00A84ABD" w:rsidP="00A84ABD">
      <w:pPr>
        <w:pStyle w:val="Bodytext20"/>
        <w:shd w:val="clear" w:color="auto" w:fill="auto"/>
        <w:spacing w:before="0" w:after="0" w:line="240" w:lineRule="auto"/>
        <w:ind w:left="851" w:firstLine="0"/>
        <w:rPr>
          <w:rFonts w:ascii="Times New Roman" w:hAnsi="Times New Roman"/>
          <w:sz w:val="24"/>
          <w:szCs w:val="24"/>
        </w:rPr>
      </w:pPr>
      <w:r w:rsidRPr="00A84ABD">
        <w:rPr>
          <w:rFonts w:ascii="Times New Roman" w:hAnsi="Times New Roman"/>
          <w:sz w:val="24"/>
          <w:szCs w:val="24"/>
        </w:rPr>
        <w:lastRenderedPageBreak/>
        <w:t>Som med andre glykopeptider er ototoksicitet (døvhed og tinnitus) blevet rapporteret hos patienter behandlet med teicoplanin (se pkt. 4.8). Patienter, der udvikler tegn eller symptomer på hørenedsættelse eller lidelser i det indre øre under behandling med teicoplanin, bør evalueres omhyggeligt og monitoreres, især ved langvarig behandling eller samtidig nyreinsufficiens. Patienter, der får teicoplanin ved kombineret eller sekventiel anvendelse med andre lægemidler med kendt nefrotoksisk og/eller neuro- eller ototoksisk potentiale (f.eks. aminoglykosider, colistin, amphotericin B, ciclosporin, cisplatin, furosemid og ethacrynsyre), skal monitoreres nøje, og fordelen ved teicoplanin skal evalueres, hvis hørelsen forringes.</w:t>
      </w:r>
    </w:p>
    <w:p w14:paraId="377372E0" w14:textId="19986991" w:rsidR="006420CF" w:rsidRPr="00A84ABD" w:rsidRDefault="006420CF" w:rsidP="00A84ABD">
      <w:pPr>
        <w:pStyle w:val="Bodytext20"/>
        <w:shd w:val="clear" w:color="auto" w:fill="auto"/>
        <w:spacing w:before="0" w:after="0" w:line="240" w:lineRule="auto"/>
        <w:ind w:left="851" w:firstLine="0"/>
        <w:rPr>
          <w:rFonts w:ascii="Times New Roman" w:hAnsi="Times New Roman" w:cs="Times New Roman"/>
          <w:sz w:val="24"/>
          <w:szCs w:val="24"/>
        </w:rPr>
      </w:pPr>
      <w:r w:rsidRPr="00A84ABD">
        <w:rPr>
          <w:rFonts w:ascii="Times New Roman" w:hAnsi="Times New Roman" w:cs="Times New Roman"/>
          <w:sz w:val="24"/>
          <w:szCs w:val="24"/>
        </w:rPr>
        <w:t>Der skal udvises særlig forsigtighed ved administration af teicoplanin til patienter, der samtidig behandles med ototoksiske og/eller nefrotoksiske lægemidler. Ved samtidig behandling med sådanne lægemidler anbefales regelmæssig monitorering af hæmatologiske parametre samt lever- og nyrefunktion.</w:t>
      </w:r>
    </w:p>
    <w:p w14:paraId="630ABB5D" w14:textId="77777777" w:rsidR="006420CF" w:rsidRPr="00A84ABD" w:rsidRDefault="006420CF" w:rsidP="00CB3906">
      <w:pPr>
        <w:ind w:left="851"/>
        <w:rPr>
          <w:sz w:val="24"/>
          <w:szCs w:val="24"/>
          <w:u w:val="single"/>
        </w:rPr>
      </w:pPr>
    </w:p>
    <w:p w14:paraId="2DC2BD45" w14:textId="77777777" w:rsidR="006420CF" w:rsidRPr="00325490" w:rsidRDefault="006420CF" w:rsidP="00CB3906">
      <w:pPr>
        <w:ind w:left="851"/>
        <w:rPr>
          <w:sz w:val="24"/>
          <w:szCs w:val="24"/>
          <w:u w:val="single"/>
        </w:rPr>
      </w:pPr>
      <w:r w:rsidRPr="00325490">
        <w:rPr>
          <w:sz w:val="24"/>
          <w:szCs w:val="24"/>
          <w:u w:val="single"/>
        </w:rPr>
        <w:t>Superinfektion</w:t>
      </w:r>
    </w:p>
    <w:p w14:paraId="1AE4E2D5" w14:textId="77777777" w:rsidR="00A84ABD" w:rsidRPr="00A84ABD" w:rsidRDefault="006420CF" w:rsidP="00A84ABD">
      <w:pPr>
        <w:ind w:left="851"/>
        <w:rPr>
          <w:sz w:val="24"/>
          <w:szCs w:val="24"/>
        </w:rPr>
      </w:pPr>
      <w:r w:rsidRPr="00A84ABD">
        <w:rPr>
          <w:sz w:val="24"/>
          <w:szCs w:val="24"/>
        </w:rPr>
        <w:t xml:space="preserve">Som med andre antibiotika kan anvendelsen af teicoplanin – især ved langvarig behandling – medføre overvækst af ikke-følsomme organismer. </w:t>
      </w:r>
      <w:r w:rsidR="00A84ABD" w:rsidRPr="00A84ABD">
        <w:rPr>
          <w:sz w:val="24"/>
          <w:szCs w:val="24"/>
        </w:rPr>
        <w:t>Hvis der opstår superinfektion under behandlingen, bør der iværksættes passende foranstaltninger.</w:t>
      </w:r>
    </w:p>
    <w:p w14:paraId="1A7347B9" w14:textId="77777777" w:rsidR="006420CF" w:rsidRPr="00A84ABD" w:rsidRDefault="006420CF" w:rsidP="00A84ABD">
      <w:pPr>
        <w:ind w:left="851"/>
        <w:rPr>
          <w:sz w:val="24"/>
          <w:szCs w:val="24"/>
        </w:rPr>
      </w:pPr>
    </w:p>
    <w:p w14:paraId="5393434C" w14:textId="77777777" w:rsidR="006420CF" w:rsidRPr="00325490" w:rsidRDefault="006420CF" w:rsidP="00CB3906">
      <w:pPr>
        <w:ind w:left="851"/>
        <w:rPr>
          <w:sz w:val="24"/>
          <w:szCs w:val="24"/>
        </w:rPr>
      </w:pPr>
      <w:r w:rsidRPr="00325490">
        <w:rPr>
          <w:sz w:val="24"/>
          <w:szCs w:val="24"/>
        </w:rPr>
        <w:t>Dette lægemiddel indeholder mindre end 1 mmol natrium (23 mg) pr. dosis, dvs. det er i det væsentlige natriumfrit.</w:t>
      </w:r>
    </w:p>
    <w:p w14:paraId="5454D23E" w14:textId="77777777" w:rsidR="009260DE" w:rsidRPr="00325490" w:rsidRDefault="009260DE" w:rsidP="009260DE">
      <w:pPr>
        <w:tabs>
          <w:tab w:val="left" w:pos="851"/>
        </w:tabs>
        <w:ind w:left="851"/>
        <w:rPr>
          <w:sz w:val="24"/>
          <w:szCs w:val="24"/>
        </w:rPr>
      </w:pPr>
    </w:p>
    <w:p w14:paraId="55127E52" w14:textId="77777777" w:rsidR="009260DE" w:rsidRPr="00325490" w:rsidRDefault="009260DE" w:rsidP="009260DE">
      <w:pPr>
        <w:tabs>
          <w:tab w:val="left" w:pos="851"/>
        </w:tabs>
        <w:ind w:left="851" w:hanging="851"/>
        <w:rPr>
          <w:b/>
          <w:sz w:val="24"/>
          <w:szCs w:val="24"/>
        </w:rPr>
      </w:pPr>
      <w:r w:rsidRPr="00325490">
        <w:rPr>
          <w:b/>
          <w:sz w:val="24"/>
          <w:szCs w:val="24"/>
        </w:rPr>
        <w:t>4.5</w:t>
      </w:r>
      <w:r w:rsidRPr="00325490">
        <w:rPr>
          <w:b/>
          <w:sz w:val="24"/>
          <w:szCs w:val="24"/>
        </w:rPr>
        <w:tab/>
        <w:t>Interaktion med andre lægemidler og andre former for interaktion</w:t>
      </w:r>
    </w:p>
    <w:p w14:paraId="77D8D5A5" w14:textId="77777777" w:rsidR="009E6F11" w:rsidRDefault="009E6F11" w:rsidP="00CB3906">
      <w:pPr>
        <w:ind w:left="851"/>
        <w:rPr>
          <w:sz w:val="24"/>
          <w:szCs w:val="24"/>
        </w:rPr>
      </w:pPr>
    </w:p>
    <w:p w14:paraId="6AA6FB02" w14:textId="2444A0C8" w:rsidR="006420CF" w:rsidRPr="00325490" w:rsidRDefault="006420CF" w:rsidP="00CB3906">
      <w:pPr>
        <w:ind w:left="851"/>
        <w:rPr>
          <w:sz w:val="24"/>
          <w:szCs w:val="24"/>
        </w:rPr>
      </w:pPr>
      <w:r w:rsidRPr="00325490">
        <w:rPr>
          <w:sz w:val="24"/>
          <w:szCs w:val="24"/>
        </w:rPr>
        <w:t xml:space="preserve">Teicoplanin- og aminoglykosid-injektionsvæsker er ikke kompatible og må ikke blandes. De er dog kompatible i dialysevæsker og kan </w:t>
      </w:r>
      <w:r w:rsidR="00A84ABD">
        <w:rPr>
          <w:sz w:val="24"/>
          <w:szCs w:val="24"/>
        </w:rPr>
        <w:t xml:space="preserve">frit </w:t>
      </w:r>
      <w:r w:rsidRPr="00325490">
        <w:rPr>
          <w:sz w:val="24"/>
          <w:szCs w:val="24"/>
        </w:rPr>
        <w:t xml:space="preserve">anvendes </w:t>
      </w:r>
      <w:r w:rsidR="00A84ABD">
        <w:rPr>
          <w:sz w:val="24"/>
          <w:szCs w:val="24"/>
        </w:rPr>
        <w:t>i</w:t>
      </w:r>
      <w:r w:rsidRPr="00325490">
        <w:rPr>
          <w:sz w:val="24"/>
          <w:szCs w:val="24"/>
        </w:rPr>
        <w:t xml:space="preserve"> behandling af CAPD-relateret peritonitis. Teicoplanin skal anvendes med forsigtighed ved kombineret eller sekventiel anvendelse </w:t>
      </w:r>
      <w:r w:rsidR="00A84ABD">
        <w:rPr>
          <w:sz w:val="24"/>
          <w:szCs w:val="24"/>
        </w:rPr>
        <w:t>med</w:t>
      </w:r>
      <w:r w:rsidRPr="00325490">
        <w:rPr>
          <w:sz w:val="24"/>
          <w:szCs w:val="24"/>
        </w:rPr>
        <w:t xml:space="preserve"> andre lægemidler med kendt nefrotoksisk og/eller neurotoksisk/ototoksisk potentiale. Disse omfatter blandt andet. aminoglykosider, colistin, amphotericin B, ciclosporin, cisplatin, furosemid og ethacrynsyre (se pkt. 4.4 ”Nefrotoksicitet” og ”Ototoksicitet”). Der foreligger dog ingen tegn på synergistisk toksicitet ved samtidig anvendelse med teicoplanin.</w:t>
      </w:r>
    </w:p>
    <w:p w14:paraId="22F86E72" w14:textId="77777777" w:rsidR="006420CF" w:rsidRPr="00325490" w:rsidRDefault="006420CF" w:rsidP="00CB3906">
      <w:pPr>
        <w:ind w:left="851"/>
        <w:rPr>
          <w:sz w:val="24"/>
          <w:szCs w:val="24"/>
        </w:rPr>
      </w:pPr>
    </w:p>
    <w:p w14:paraId="2FB1C26A" w14:textId="5264CEC4" w:rsidR="006420CF" w:rsidRPr="00A84ABD" w:rsidRDefault="006420CF" w:rsidP="00CB3906">
      <w:pPr>
        <w:ind w:left="851"/>
        <w:rPr>
          <w:sz w:val="24"/>
          <w:szCs w:val="24"/>
        </w:rPr>
      </w:pPr>
      <w:r w:rsidRPr="00A84ABD">
        <w:rPr>
          <w:sz w:val="24"/>
          <w:szCs w:val="24"/>
        </w:rPr>
        <w:t xml:space="preserve">I kliniske studier er teicoplanin blevet administreret til mange patienter, der samtidig blev behandlet med andre lægemidler – herunder antibiotika, antihypertensiva, anæstetika, kardiologiske lægemidler og antidiabetika – uden tegn på </w:t>
      </w:r>
      <w:r w:rsidR="00A84ABD" w:rsidRPr="00A84ABD">
        <w:rPr>
          <w:sz w:val="24"/>
          <w:szCs w:val="24"/>
        </w:rPr>
        <w:t>uønsket interaktion.</w:t>
      </w:r>
    </w:p>
    <w:p w14:paraId="517C1C6C" w14:textId="77777777" w:rsidR="006420CF" w:rsidRPr="00A84ABD" w:rsidRDefault="006420CF" w:rsidP="00CB3906">
      <w:pPr>
        <w:ind w:left="851"/>
        <w:rPr>
          <w:sz w:val="24"/>
          <w:szCs w:val="24"/>
          <w:u w:val="single"/>
        </w:rPr>
      </w:pPr>
    </w:p>
    <w:p w14:paraId="215B32C1" w14:textId="77777777" w:rsidR="006420CF" w:rsidRPr="00325490" w:rsidRDefault="006420CF" w:rsidP="00CB3906">
      <w:pPr>
        <w:ind w:left="851"/>
        <w:rPr>
          <w:sz w:val="24"/>
          <w:szCs w:val="24"/>
          <w:u w:val="single"/>
        </w:rPr>
      </w:pPr>
      <w:r w:rsidRPr="00325490">
        <w:rPr>
          <w:sz w:val="24"/>
          <w:szCs w:val="24"/>
          <w:u w:val="single"/>
        </w:rPr>
        <w:t>Pædiatrisk population</w:t>
      </w:r>
    </w:p>
    <w:p w14:paraId="42B6CF95" w14:textId="77777777" w:rsidR="006420CF" w:rsidRPr="00325490" w:rsidRDefault="006420CF" w:rsidP="00CB3906">
      <w:pPr>
        <w:ind w:left="851"/>
        <w:rPr>
          <w:sz w:val="24"/>
          <w:szCs w:val="24"/>
          <w:u w:val="single"/>
        </w:rPr>
      </w:pPr>
      <w:r w:rsidRPr="00325490">
        <w:rPr>
          <w:sz w:val="24"/>
          <w:szCs w:val="24"/>
        </w:rPr>
        <w:t>Der er kun udført interaktionsstudier hos voksne.</w:t>
      </w:r>
    </w:p>
    <w:p w14:paraId="25C0F79B" w14:textId="77777777" w:rsidR="009260DE" w:rsidRPr="00325490" w:rsidRDefault="009260DE" w:rsidP="009260DE">
      <w:pPr>
        <w:tabs>
          <w:tab w:val="left" w:pos="851"/>
        </w:tabs>
        <w:ind w:left="851"/>
        <w:rPr>
          <w:sz w:val="24"/>
          <w:szCs w:val="24"/>
        </w:rPr>
      </w:pPr>
    </w:p>
    <w:p w14:paraId="76E7C69A" w14:textId="77777777" w:rsidR="009260DE" w:rsidRPr="00325490" w:rsidRDefault="009260DE" w:rsidP="009260DE">
      <w:pPr>
        <w:tabs>
          <w:tab w:val="left" w:pos="851"/>
        </w:tabs>
        <w:ind w:left="851" w:hanging="851"/>
        <w:rPr>
          <w:b/>
          <w:sz w:val="24"/>
          <w:szCs w:val="24"/>
        </w:rPr>
      </w:pPr>
      <w:r w:rsidRPr="00325490">
        <w:rPr>
          <w:b/>
          <w:sz w:val="24"/>
          <w:szCs w:val="24"/>
        </w:rPr>
        <w:t>4.6</w:t>
      </w:r>
      <w:r w:rsidRPr="00325490">
        <w:rPr>
          <w:b/>
          <w:sz w:val="24"/>
          <w:szCs w:val="24"/>
        </w:rPr>
        <w:tab/>
      </w:r>
      <w:r w:rsidR="0071241E" w:rsidRPr="00325490">
        <w:rPr>
          <w:b/>
          <w:sz w:val="24"/>
          <w:szCs w:val="24"/>
        </w:rPr>
        <w:t>Fertilitet, g</w:t>
      </w:r>
      <w:r w:rsidRPr="00325490">
        <w:rPr>
          <w:b/>
          <w:sz w:val="24"/>
          <w:szCs w:val="24"/>
        </w:rPr>
        <w:t>raviditet og amning</w:t>
      </w:r>
    </w:p>
    <w:p w14:paraId="0E1C072A" w14:textId="77777777" w:rsidR="00325490" w:rsidRDefault="00325490" w:rsidP="00CB3906">
      <w:pPr>
        <w:ind w:left="851"/>
        <w:rPr>
          <w:sz w:val="24"/>
          <w:szCs w:val="24"/>
        </w:rPr>
      </w:pPr>
    </w:p>
    <w:p w14:paraId="7A386CBD" w14:textId="6FEA6470" w:rsidR="006420CF" w:rsidRPr="0014656A" w:rsidRDefault="006420CF" w:rsidP="00CB3906">
      <w:pPr>
        <w:ind w:left="851"/>
        <w:rPr>
          <w:bCs/>
          <w:sz w:val="24"/>
          <w:szCs w:val="24"/>
          <w:u w:val="single"/>
        </w:rPr>
      </w:pPr>
      <w:r w:rsidRPr="0014656A">
        <w:rPr>
          <w:sz w:val="24"/>
          <w:szCs w:val="24"/>
          <w:u w:val="single"/>
        </w:rPr>
        <w:t>Graviditet</w:t>
      </w:r>
    </w:p>
    <w:p w14:paraId="61B0899E" w14:textId="50E0472A" w:rsidR="006420CF" w:rsidRPr="0014656A" w:rsidRDefault="006420CF" w:rsidP="00CB3906">
      <w:pPr>
        <w:ind w:left="851"/>
        <w:rPr>
          <w:sz w:val="24"/>
          <w:szCs w:val="24"/>
        </w:rPr>
      </w:pPr>
      <w:r w:rsidRPr="0014656A">
        <w:rPr>
          <w:sz w:val="24"/>
          <w:szCs w:val="24"/>
        </w:rPr>
        <w:t xml:space="preserve">Der er utilstrækkelige data fra anvendelse af teicoplanin til gravide kvinder. Dyreforsøg har påvist reproduktionstoksicitet ved høje doser (se pkt. 5.3). Hos rotter er der observeret en øget forekomst af dødfødsler og neonatal mortalitet. </w:t>
      </w:r>
      <w:r w:rsidR="0014656A" w:rsidRPr="0014656A">
        <w:rPr>
          <w:sz w:val="24"/>
          <w:szCs w:val="24"/>
        </w:rPr>
        <w:t xml:space="preserve">Den potentielle risiko </w:t>
      </w:r>
      <w:r w:rsidRPr="0014656A">
        <w:rPr>
          <w:sz w:val="24"/>
          <w:szCs w:val="24"/>
        </w:rPr>
        <w:t>for mennesker er ukendt.</w:t>
      </w:r>
    </w:p>
    <w:p w14:paraId="4C9C4F16" w14:textId="77777777" w:rsidR="006420CF" w:rsidRPr="0014656A" w:rsidRDefault="006420CF" w:rsidP="00CB3906">
      <w:pPr>
        <w:ind w:left="851"/>
        <w:rPr>
          <w:sz w:val="24"/>
          <w:szCs w:val="24"/>
        </w:rPr>
      </w:pPr>
    </w:p>
    <w:p w14:paraId="2392CCEB" w14:textId="77777777" w:rsidR="006420CF" w:rsidRPr="0014656A" w:rsidRDefault="006420CF" w:rsidP="00CB3906">
      <w:pPr>
        <w:ind w:left="851"/>
        <w:rPr>
          <w:sz w:val="24"/>
          <w:szCs w:val="24"/>
        </w:rPr>
      </w:pPr>
      <w:r w:rsidRPr="0014656A">
        <w:rPr>
          <w:sz w:val="24"/>
          <w:szCs w:val="24"/>
        </w:rPr>
        <w:t>Teicoplanin bør derfor ikke anvendes under graviditeten, medmindre det er strengt nødvendigt. En potentiel risiko for skade på fosterets indre øre og nyrer kan ikke udelukkes (se pkt. 4.4).</w:t>
      </w:r>
    </w:p>
    <w:p w14:paraId="51CC299D" w14:textId="77777777" w:rsidR="006420CF" w:rsidRPr="0014656A" w:rsidRDefault="006420CF" w:rsidP="00CB3906">
      <w:pPr>
        <w:ind w:left="851"/>
        <w:rPr>
          <w:sz w:val="24"/>
          <w:szCs w:val="24"/>
        </w:rPr>
      </w:pPr>
    </w:p>
    <w:p w14:paraId="20654880" w14:textId="77777777" w:rsidR="006420CF" w:rsidRPr="0014656A" w:rsidRDefault="006420CF" w:rsidP="00CB3906">
      <w:pPr>
        <w:ind w:left="851"/>
        <w:rPr>
          <w:sz w:val="24"/>
          <w:szCs w:val="24"/>
          <w:u w:val="single"/>
        </w:rPr>
      </w:pPr>
      <w:r w:rsidRPr="0014656A">
        <w:rPr>
          <w:sz w:val="24"/>
          <w:szCs w:val="24"/>
          <w:u w:val="single"/>
        </w:rPr>
        <w:t>Amning</w:t>
      </w:r>
    </w:p>
    <w:p w14:paraId="16B1397E" w14:textId="77777777" w:rsidR="0014656A" w:rsidRPr="0014656A" w:rsidRDefault="0014656A" w:rsidP="0014656A">
      <w:pPr>
        <w:pStyle w:val="Bodytext20"/>
        <w:shd w:val="clear" w:color="auto" w:fill="auto"/>
        <w:spacing w:before="0" w:after="0" w:line="240" w:lineRule="auto"/>
        <w:ind w:left="851" w:firstLine="0"/>
        <w:rPr>
          <w:rFonts w:ascii="Times New Roman" w:hAnsi="Times New Roman" w:cs="Times New Roman"/>
          <w:sz w:val="24"/>
          <w:szCs w:val="24"/>
          <w:lang w:eastAsia="en-US"/>
        </w:rPr>
      </w:pPr>
      <w:r w:rsidRPr="0014656A">
        <w:rPr>
          <w:rFonts w:ascii="Times New Roman" w:hAnsi="Times New Roman"/>
          <w:sz w:val="24"/>
          <w:szCs w:val="24"/>
        </w:rPr>
        <w:t>Det er ikke fastlagt, om teicoplanin udskilles i human mælk. Der foreligger ingen data for udskillelse af teicoplanin i mælk hos dyr. Det skal besluttes, om amning eller behandling med teicoplanin skal fortsættes/afbrydes, idet der tages højde for fordelene ved amning for barnet og fordelene ved teicoplanin-behandling for moderen.</w:t>
      </w:r>
    </w:p>
    <w:p w14:paraId="1FAF43ED" w14:textId="77777777" w:rsidR="006420CF" w:rsidRPr="0014656A" w:rsidRDefault="006420CF" w:rsidP="0014656A">
      <w:pPr>
        <w:ind w:left="851"/>
        <w:rPr>
          <w:sz w:val="24"/>
          <w:szCs w:val="24"/>
        </w:rPr>
      </w:pPr>
    </w:p>
    <w:p w14:paraId="21CD9013" w14:textId="77777777" w:rsidR="006420CF" w:rsidRPr="0014656A" w:rsidRDefault="006420CF" w:rsidP="00CB3906">
      <w:pPr>
        <w:ind w:left="851"/>
        <w:rPr>
          <w:sz w:val="24"/>
          <w:szCs w:val="24"/>
          <w:u w:val="single"/>
        </w:rPr>
      </w:pPr>
      <w:r w:rsidRPr="0014656A">
        <w:rPr>
          <w:sz w:val="24"/>
          <w:szCs w:val="24"/>
          <w:u w:val="single"/>
        </w:rPr>
        <w:t>Fertilitet</w:t>
      </w:r>
    </w:p>
    <w:p w14:paraId="661CEC7C" w14:textId="77777777" w:rsidR="006420CF" w:rsidRPr="0014656A" w:rsidRDefault="006420CF" w:rsidP="00CB3906">
      <w:pPr>
        <w:ind w:left="851"/>
        <w:rPr>
          <w:sz w:val="24"/>
          <w:szCs w:val="24"/>
        </w:rPr>
      </w:pPr>
      <w:r w:rsidRPr="0014656A">
        <w:rPr>
          <w:sz w:val="24"/>
          <w:szCs w:val="24"/>
        </w:rPr>
        <w:t>Reproduktionsstudier hos dyr har ikke vist tegn på nedsat fertilitet.</w:t>
      </w:r>
    </w:p>
    <w:p w14:paraId="05C4182E" w14:textId="77777777" w:rsidR="009260DE" w:rsidRPr="0014656A" w:rsidRDefault="009260DE" w:rsidP="009260DE">
      <w:pPr>
        <w:tabs>
          <w:tab w:val="left" w:pos="851"/>
        </w:tabs>
        <w:ind w:left="851"/>
        <w:rPr>
          <w:sz w:val="24"/>
          <w:szCs w:val="24"/>
        </w:rPr>
      </w:pPr>
    </w:p>
    <w:p w14:paraId="4EE0403A" w14:textId="77777777" w:rsidR="009260DE" w:rsidRPr="00325490" w:rsidRDefault="009260DE" w:rsidP="009260DE">
      <w:pPr>
        <w:tabs>
          <w:tab w:val="left" w:pos="851"/>
        </w:tabs>
        <w:ind w:left="851" w:hanging="851"/>
        <w:rPr>
          <w:b/>
          <w:sz w:val="24"/>
          <w:szCs w:val="24"/>
        </w:rPr>
      </w:pPr>
      <w:r w:rsidRPr="00325490">
        <w:rPr>
          <w:b/>
          <w:sz w:val="24"/>
          <w:szCs w:val="24"/>
        </w:rPr>
        <w:t>4.7</w:t>
      </w:r>
      <w:r w:rsidRPr="00325490">
        <w:rPr>
          <w:b/>
          <w:sz w:val="24"/>
          <w:szCs w:val="24"/>
        </w:rPr>
        <w:tab/>
        <w:t xml:space="preserve">Virkning på evnen til at føre motorkøretøj </w:t>
      </w:r>
      <w:r w:rsidR="0071241E" w:rsidRPr="00325490">
        <w:rPr>
          <w:b/>
          <w:sz w:val="24"/>
          <w:szCs w:val="24"/>
        </w:rPr>
        <w:t>og</w:t>
      </w:r>
      <w:r w:rsidRPr="00325490">
        <w:rPr>
          <w:b/>
          <w:sz w:val="24"/>
          <w:szCs w:val="24"/>
        </w:rPr>
        <w:t xml:space="preserve"> betjene maskiner</w:t>
      </w:r>
    </w:p>
    <w:p w14:paraId="2B88B4AC" w14:textId="3687EE98" w:rsidR="00325490" w:rsidRDefault="00325490" w:rsidP="00CB3906">
      <w:pPr>
        <w:ind w:left="851"/>
        <w:rPr>
          <w:sz w:val="24"/>
          <w:szCs w:val="24"/>
        </w:rPr>
      </w:pPr>
      <w:r>
        <w:rPr>
          <w:sz w:val="24"/>
          <w:szCs w:val="24"/>
        </w:rPr>
        <w:t>Ikke mærkning.</w:t>
      </w:r>
    </w:p>
    <w:p w14:paraId="65FA7937" w14:textId="275B532F" w:rsidR="006420CF" w:rsidRPr="00325490" w:rsidRDefault="00434679" w:rsidP="00CB3906">
      <w:pPr>
        <w:ind w:left="851"/>
        <w:rPr>
          <w:sz w:val="24"/>
          <w:szCs w:val="24"/>
        </w:rPr>
      </w:pPr>
      <w:r>
        <w:rPr>
          <w:sz w:val="24"/>
          <w:szCs w:val="24"/>
        </w:rPr>
        <w:t>Teicoplanin ”2care4”</w:t>
      </w:r>
      <w:r w:rsidR="006420CF" w:rsidRPr="00325490">
        <w:rPr>
          <w:sz w:val="24"/>
          <w:szCs w:val="24"/>
        </w:rPr>
        <w:t xml:space="preserve"> påvirker i mindre grad evnen til at føre motorkøretøj og betjene maskiner. Teicoplanin kan forårsage svimmelhed og hovedpine. Evnen til at føre motorkøretøj og betjene maskiner kan være påvirket. Patienter, der oplever disse bivirkninger, må ikke føre motorkøretøj eller betjene maskiner.</w:t>
      </w:r>
    </w:p>
    <w:p w14:paraId="6260D7D9" w14:textId="77777777" w:rsidR="009260DE" w:rsidRPr="00325490" w:rsidRDefault="009260DE" w:rsidP="009260DE">
      <w:pPr>
        <w:tabs>
          <w:tab w:val="left" w:pos="851"/>
        </w:tabs>
        <w:ind w:left="851"/>
        <w:rPr>
          <w:sz w:val="24"/>
          <w:szCs w:val="24"/>
        </w:rPr>
      </w:pPr>
    </w:p>
    <w:p w14:paraId="38459159" w14:textId="77777777" w:rsidR="009260DE" w:rsidRPr="00325490" w:rsidRDefault="009260DE" w:rsidP="009260DE">
      <w:pPr>
        <w:tabs>
          <w:tab w:val="left" w:pos="851"/>
        </w:tabs>
        <w:ind w:left="851" w:hanging="851"/>
        <w:rPr>
          <w:b/>
          <w:sz w:val="24"/>
          <w:szCs w:val="24"/>
        </w:rPr>
      </w:pPr>
      <w:r w:rsidRPr="00325490">
        <w:rPr>
          <w:b/>
          <w:sz w:val="24"/>
          <w:szCs w:val="24"/>
        </w:rPr>
        <w:t>4.8</w:t>
      </w:r>
      <w:r w:rsidRPr="00325490">
        <w:rPr>
          <w:b/>
          <w:sz w:val="24"/>
          <w:szCs w:val="24"/>
        </w:rPr>
        <w:tab/>
        <w:t>Bivirkninger</w:t>
      </w:r>
    </w:p>
    <w:p w14:paraId="7EFA44BF" w14:textId="77777777" w:rsidR="00325490" w:rsidRDefault="00325490" w:rsidP="00CB3906">
      <w:pPr>
        <w:ind w:left="851"/>
        <w:rPr>
          <w:sz w:val="24"/>
          <w:szCs w:val="24"/>
        </w:rPr>
      </w:pPr>
    </w:p>
    <w:p w14:paraId="7D6647B9" w14:textId="17D91B55" w:rsidR="006420CF" w:rsidRPr="00325490" w:rsidRDefault="006420CF" w:rsidP="00CB3906">
      <w:pPr>
        <w:ind w:left="851"/>
        <w:rPr>
          <w:b/>
          <w:bCs/>
          <w:sz w:val="24"/>
          <w:szCs w:val="24"/>
          <w:u w:val="single"/>
        </w:rPr>
      </w:pPr>
      <w:r w:rsidRPr="00325490">
        <w:rPr>
          <w:sz w:val="24"/>
          <w:szCs w:val="24"/>
          <w:u w:val="single"/>
        </w:rPr>
        <w:t>Bivirkninger opstillet i tabelform</w:t>
      </w:r>
    </w:p>
    <w:p w14:paraId="57DA7460" w14:textId="77777777" w:rsidR="006420CF" w:rsidRPr="00325490" w:rsidRDefault="006420CF" w:rsidP="00CB3906">
      <w:pPr>
        <w:ind w:left="851"/>
        <w:rPr>
          <w:sz w:val="24"/>
          <w:szCs w:val="24"/>
        </w:rPr>
      </w:pPr>
      <w:r w:rsidRPr="00325490">
        <w:rPr>
          <w:sz w:val="24"/>
          <w:szCs w:val="24"/>
        </w:rPr>
        <w:t>I tabellen nedenfor er alle bivirkninger, der forekom hyppigere end ved placebo og hos mere end én patient, anført i henhold til følgende konvention:</w:t>
      </w:r>
    </w:p>
    <w:p w14:paraId="72AF5D90" w14:textId="77777777" w:rsidR="006420CF" w:rsidRPr="00325490" w:rsidRDefault="006420CF" w:rsidP="00CB3906">
      <w:pPr>
        <w:ind w:left="851"/>
        <w:rPr>
          <w:sz w:val="24"/>
          <w:szCs w:val="24"/>
        </w:rPr>
      </w:pPr>
    </w:p>
    <w:p w14:paraId="4CA56395" w14:textId="77777777" w:rsidR="006420CF" w:rsidRPr="00325490" w:rsidRDefault="006420CF" w:rsidP="00CB3906">
      <w:pPr>
        <w:ind w:left="851"/>
        <w:rPr>
          <w:sz w:val="24"/>
          <w:szCs w:val="24"/>
        </w:rPr>
      </w:pPr>
      <w:r w:rsidRPr="00325490">
        <w:rPr>
          <w:sz w:val="24"/>
          <w:szCs w:val="24"/>
        </w:rPr>
        <w:t>Meget almindelig (≥ 1/10); almindelig (≥ 1/100 til &lt; 1/10); ikke almindelig (≥ 1/1.000 til &lt; 1/100); sjælden (≥ 1/10.000 til &lt; 1/1.000); meget sjælden (&lt; 1/10.000), ikke kendt (kan ikke estimeres ud fra forhåndenværende data).</w:t>
      </w:r>
    </w:p>
    <w:p w14:paraId="7FEA3825" w14:textId="77777777" w:rsidR="006420CF" w:rsidRPr="00325490" w:rsidRDefault="006420CF" w:rsidP="00CB3906">
      <w:pPr>
        <w:ind w:left="851"/>
        <w:rPr>
          <w:sz w:val="24"/>
          <w:szCs w:val="24"/>
        </w:rPr>
      </w:pPr>
    </w:p>
    <w:p w14:paraId="3AF695F6" w14:textId="77777777" w:rsidR="009E6F11" w:rsidRPr="00A61CAE" w:rsidRDefault="009E6F11" w:rsidP="009E6F11">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Inden for hver hyppighedskategori er bivirkningerne anført med faldende sværhedsgrad.</w:t>
      </w:r>
    </w:p>
    <w:p w14:paraId="20E3D00B" w14:textId="77777777" w:rsidR="009E6F11" w:rsidRDefault="009E6F11" w:rsidP="009E6F11">
      <w:pPr>
        <w:pStyle w:val="Bodytext20"/>
        <w:shd w:val="clear" w:color="auto" w:fill="auto"/>
        <w:spacing w:before="0" w:after="0" w:line="240" w:lineRule="auto"/>
        <w:ind w:firstLine="0"/>
        <w:rPr>
          <w:rFonts w:ascii="Times New Roman" w:hAnsi="Times New Roman" w:cs="Times New Roman"/>
          <w:sz w:val="22"/>
          <w:szCs w:val="22"/>
        </w:rPr>
      </w:pPr>
    </w:p>
    <w:tbl>
      <w:tblPr>
        <w:tblW w:w="8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1"/>
        <w:gridCol w:w="1227"/>
        <w:gridCol w:w="1832"/>
        <w:gridCol w:w="1121"/>
        <w:gridCol w:w="1126"/>
        <w:gridCol w:w="1920"/>
      </w:tblGrid>
      <w:tr w:rsidR="009E6F11" w:rsidRPr="00A61CAE" w14:paraId="0D610F30" w14:textId="77777777" w:rsidTr="00004487">
        <w:trPr>
          <w:trHeight w:hRule="exact" w:val="1214"/>
        </w:trPr>
        <w:tc>
          <w:tcPr>
            <w:tcW w:w="1501" w:type="dxa"/>
            <w:shd w:val="clear" w:color="auto" w:fill="FFFFFF"/>
          </w:tcPr>
          <w:p w14:paraId="5EB0E905" w14:textId="77777777" w:rsidR="009E6F11" w:rsidRPr="00E8351D" w:rsidRDefault="009E6F11" w:rsidP="00004487">
            <w:pPr>
              <w:pStyle w:val="Bodytext20"/>
              <w:shd w:val="clear" w:color="auto" w:fill="auto"/>
              <w:spacing w:before="0" w:after="0" w:line="240" w:lineRule="auto"/>
              <w:ind w:firstLine="0"/>
              <w:rPr>
                <w:rStyle w:val="Bodytext2Bold"/>
                <w:rFonts w:ascii="Times New Roman" w:hAnsi="Times New Roman" w:cs="Times New Roman"/>
                <w:sz w:val="22"/>
                <w:szCs w:val="22"/>
              </w:rPr>
            </w:pPr>
          </w:p>
          <w:p w14:paraId="43E85968"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Systemorganklasse</w:t>
            </w:r>
          </w:p>
        </w:tc>
        <w:tc>
          <w:tcPr>
            <w:tcW w:w="1227" w:type="dxa"/>
            <w:shd w:val="clear" w:color="auto" w:fill="FFFFFF"/>
            <w:vAlign w:val="center"/>
          </w:tcPr>
          <w:p w14:paraId="43BAB689"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Almindelig</w:t>
            </w:r>
          </w:p>
          <w:p w14:paraId="6CF971BF"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w:t>
            </w:r>
            <w:r>
              <w:rPr>
                <w:rFonts w:ascii="Times New Roman" w:hAnsi="Times New Roman"/>
                <w:b/>
                <w:sz w:val="22"/>
              </w:rPr>
              <w:t>≥</w:t>
            </w:r>
            <w:r>
              <w:rPr>
                <w:rStyle w:val="Bodytext2Bold"/>
                <w:rFonts w:ascii="Times New Roman" w:hAnsi="Times New Roman"/>
                <w:sz w:val="22"/>
              </w:rPr>
              <w:t> 1/100 to &lt; 1/10)</w:t>
            </w:r>
          </w:p>
        </w:tc>
        <w:tc>
          <w:tcPr>
            <w:tcW w:w="1832" w:type="dxa"/>
            <w:shd w:val="clear" w:color="auto" w:fill="FFFFFF"/>
            <w:vAlign w:val="center"/>
          </w:tcPr>
          <w:p w14:paraId="388D8D45"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Ikke almindelig</w:t>
            </w:r>
          </w:p>
          <w:p w14:paraId="297164AA"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w:t>
            </w:r>
            <w:r>
              <w:rPr>
                <w:rFonts w:ascii="Times New Roman" w:hAnsi="Times New Roman"/>
                <w:b/>
                <w:sz w:val="22"/>
              </w:rPr>
              <w:t>≥</w:t>
            </w:r>
            <w:r>
              <w:rPr>
                <w:rFonts w:ascii="Times New Roman" w:hAnsi="Times New Roman"/>
                <w:sz w:val="22"/>
              </w:rPr>
              <w:t> </w:t>
            </w:r>
            <w:r>
              <w:rPr>
                <w:rStyle w:val="Bodytext2Bold"/>
                <w:rFonts w:ascii="Times New Roman" w:hAnsi="Times New Roman"/>
                <w:sz w:val="22"/>
              </w:rPr>
              <w:t> 1/1.000 til &lt; 1/100)</w:t>
            </w:r>
          </w:p>
        </w:tc>
        <w:tc>
          <w:tcPr>
            <w:tcW w:w="1121" w:type="dxa"/>
            <w:shd w:val="clear" w:color="auto" w:fill="FFFFFF"/>
            <w:vAlign w:val="center"/>
          </w:tcPr>
          <w:p w14:paraId="7E2F8401"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Sjælden</w:t>
            </w:r>
          </w:p>
          <w:p w14:paraId="7FE807AE"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w:t>
            </w:r>
            <w:r>
              <w:rPr>
                <w:rFonts w:ascii="Times New Roman" w:hAnsi="Times New Roman"/>
                <w:b/>
                <w:sz w:val="22"/>
              </w:rPr>
              <w:t>≥</w:t>
            </w:r>
            <w:r>
              <w:rPr>
                <w:rFonts w:ascii="Times New Roman" w:hAnsi="Times New Roman"/>
                <w:sz w:val="22"/>
              </w:rPr>
              <w:t> </w:t>
            </w:r>
            <w:r>
              <w:rPr>
                <w:rStyle w:val="Bodytext2Bold"/>
                <w:rFonts w:ascii="Times New Roman" w:hAnsi="Times New Roman"/>
                <w:sz w:val="22"/>
              </w:rPr>
              <w:t>1/10.000 til &lt; 1/1.000)</w:t>
            </w:r>
          </w:p>
        </w:tc>
        <w:tc>
          <w:tcPr>
            <w:tcW w:w="1126" w:type="dxa"/>
            <w:shd w:val="clear" w:color="auto" w:fill="FFFFFF"/>
            <w:vAlign w:val="center"/>
          </w:tcPr>
          <w:p w14:paraId="037B9F04"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Meget sjælden</w:t>
            </w:r>
          </w:p>
          <w:p w14:paraId="38901939"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(&lt; 1 /10.000)</w:t>
            </w:r>
          </w:p>
        </w:tc>
        <w:tc>
          <w:tcPr>
            <w:tcW w:w="1920" w:type="dxa"/>
            <w:shd w:val="clear" w:color="auto" w:fill="FFFFFF"/>
            <w:vAlign w:val="center"/>
          </w:tcPr>
          <w:p w14:paraId="0B245F1A"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Style w:val="Bodytext2Bold"/>
                <w:rFonts w:ascii="Times New Roman" w:hAnsi="Times New Roman"/>
                <w:sz w:val="22"/>
              </w:rPr>
              <w:t>Ikke kendt( kan ikke estimeres ud fra forhåndenværende data)</w:t>
            </w:r>
          </w:p>
        </w:tc>
      </w:tr>
      <w:tr w:rsidR="009E6F11" w:rsidRPr="00A61CAE" w14:paraId="541C76D6" w14:textId="77777777" w:rsidTr="00004487">
        <w:trPr>
          <w:trHeight w:hRule="exact" w:val="1010"/>
        </w:trPr>
        <w:tc>
          <w:tcPr>
            <w:tcW w:w="1501" w:type="dxa"/>
            <w:shd w:val="clear" w:color="auto" w:fill="FFFFFF"/>
          </w:tcPr>
          <w:p w14:paraId="5F905464"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Infektioner og parasitære sygdomme</w:t>
            </w:r>
          </w:p>
        </w:tc>
        <w:tc>
          <w:tcPr>
            <w:tcW w:w="1227" w:type="dxa"/>
            <w:shd w:val="clear" w:color="auto" w:fill="FFFFFF"/>
          </w:tcPr>
          <w:p w14:paraId="3F0263C2" w14:textId="77777777" w:rsidR="009E6F11" w:rsidRPr="00A61CAE" w:rsidRDefault="009E6F11" w:rsidP="00004487"/>
        </w:tc>
        <w:tc>
          <w:tcPr>
            <w:tcW w:w="1832" w:type="dxa"/>
            <w:shd w:val="clear" w:color="auto" w:fill="FFFFFF"/>
          </w:tcPr>
          <w:p w14:paraId="59B9E4BD" w14:textId="77777777" w:rsidR="009E6F11" w:rsidRPr="00A61CAE" w:rsidRDefault="009E6F11" w:rsidP="00004487"/>
        </w:tc>
        <w:tc>
          <w:tcPr>
            <w:tcW w:w="1121" w:type="dxa"/>
            <w:shd w:val="clear" w:color="auto" w:fill="FFFFFF"/>
          </w:tcPr>
          <w:p w14:paraId="4B8909A4"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Absces</w:t>
            </w:r>
          </w:p>
        </w:tc>
        <w:tc>
          <w:tcPr>
            <w:tcW w:w="1126" w:type="dxa"/>
            <w:shd w:val="clear" w:color="auto" w:fill="FFFFFF"/>
          </w:tcPr>
          <w:p w14:paraId="6343B064" w14:textId="77777777" w:rsidR="009E6F11" w:rsidRPr="00A61CAE" w:rsidRDefault="009E6F11" w:rsidP="00004487"/>
        </w:tc>
        <w:tc>
          <w:tcPr>
            <w:tcW w:w="1920" w:type="dxa"/>
            <w:shd w:val="clear" w:color="auto" w:fill="FFFFFF"/>
            <w:vAlign w:val="center"/>
          </w:tcPr>
          <w:p w14:paraId="36D2E809"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Superinfektion (overvækst af ikke-følsomme organismer)</w:t>
            </w:r>
          </w:p>
        </w:tc>
      </w:tr>
      <w:tr w:rsidR="009E6F11" w:rsidRPr="00A61CAE" w14:paraId="475E8BF9" w14:textId="77777777" w:rsidTr="00004487">
        <w:trPr>
          <w:trHeight w:hRule="exact" w:val="955"/>
        </w:trPr>
        <w:tc>
          <w:tcPr>
            <w:tcW w:w="1501" w:type="dxa"/>
            <w:shd w:val="clear" w:color="auto" w:fill="FFFFFF"/>
            <w:vAlign w:val="center"/>
          </w:tcPr>
          <w:p w14:paraId="6307DA37"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Blod og lymfesystem</w:t>
            </w:r>
          </w:p>
        </w:tc>
        <w:tc>
          <w:tcPr>
            <w:tcW w:w="1227" w:type="dxa"/>
            <w:shd w:val="clear" w:color="auto" w:fill="FFFFFF"/>
          </w:tcPr>
          <w:p w14:paraId="3F4B4E17" w14:textId="77777777" w:rsidR="009E6F11" w:rsidRPr="00A61CAE" w:rsidRDefault="009E6F11" w:rsidP="00004487"/>
        </w:tc>
        <w:tc>
          <w:tcPr>
            <w:tcW w:w="1832" w:type="dxa"/>
            <w:shd w:val="clear" w:color="auto" w:fill="FFFFFF"/>
            <w:vAlign w:val="center"/>
          </w:tcPr>
          <w:p w14:paraId="46FFA797"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Leukopeni,</w:t>
            </w:r>
          </w:p>
          <w:p w14:paraId="58CD2086"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trombocytopeni,</w:t>
            </w:r>
          </w:p>
          <w:p w14:paraId="50659842"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eosinofili</w:t>
            </w:r>
          </w:p>
        </w:tc>
        <w:tc>
          <w:tcPr>
            <w:tcW w:w="1121" w:type="dxa"/>
            <w:shd w:val="clear" w:color="auto" w:fill="FFFFFF"/>
          </w:tcPr>
          <w:p w14:paraId="648F052D" w14:textId="77777777" w:rsidR="009E6F11" w:rsidRPr="00A61CAE" w:rsidRDefault="009E6F11" w:rsidP="00004487"/>
        </w:tc>
        <w:tc>
          <w:tcPr>
            <w:tcW w:w="1126" w:type="dxa"/>
            <w:shd w:val="clear" w:color="auto" w:fill="FFFFFF"/>
          </w:tcPr>
          <w:p w14:paraId="5DC66A16" w14:textId="77777777" w:rsidR="009E6F11" w:rsidRPr="00A61CAE" w:rsidRDefault="009E6F11" w:rsidP="00004487"/>
        </w:tc>
        <w:tc>
          <w:tcPr>
            <w:tcW w:w="1920" w:type="dxa"/>
            <w:shd w:val="clear" w:color="auto" w:fill="FFFFFF"/>
            <w:vAlign w:val="center"/>
          </w:tcPr>
          <w:p w14:paraId="1FE0A68F"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 xml:space="preserve">Agranulocytose, </w:t>
            </w:r>
          </w:p>
          <w:p w14:paraId="08628A41" w14:textId="77777777" w:rsidR="009E6F11" w:rsidRPr="004620E8"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neutropeni, pancytopeni</w:t>
            </w:r>
          </w:p>
        </w:tc>
      </w:tr>
      <w:tr w:rsidR="009E6F11" w:rsidRPr="00A61CAE" w14:paraId="47117BCD" w14:textId="77777777" w:rsidTr="00004487">
        <w:trPr>
          <w:trHeight w:hRule="exact" w:val="1511"/>
        </w:trPr>
        <w:tc>
          <w:tcPr>
            <w:tcW w:w="1501" w:type="dxa"/>
            <w:shd w:val="clear" w:color="auto" w:fill="FFFFFF"/>
          </w:tcPr>
          <w:p w14:paraId="112C9751"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Immunsystemet</w:t>
            </w:r>
          </w:p>
        </w:tc>
        <w:tc>
          <w:tcPr>
            <w:tcW w:w="1227" w:type="dxa"/>
            <w:shd w:val="clear" w:color="auto" w:fill="FFFFFF"/>
          </w:tcPr>
          <w:p w14:paraId="76B5B951" w14:textId="77777777" w:rsidR="009E6F11" w:rsidRPr="00A61CAE" w:rsidRDefault="009E6F11" w:rsidP="00004487"/>
        </w:tc>
        <w:tc>
          <w:tcPr>
            <w:tcW w:w="1832" w:type="dxa"/>
            <w:shd w:val="clear" w:color="auto" w:fill="FFFFFF"/>
          </w:tcPr>
          <w:p w14:paraId="34934FCA"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Anafylaktisk reaktion (anafylaksi) (se pkt. 4.4)</w:t>
            </w:r>
          </w:p>
        </w:tc>
        <w:tc>
          <w:tcPr>
            <w:tcW w:w="1121" w:type="dxa"/>
            <w:shd w:val="clear" w:color="auto" w:fill="FFFFFF"/>
          </w:tcPr>
          <w:p w14:paraId="1268B980" w14:textId="77777777" w:rsidR="009E6F11" w:rsidRPr="00A61CAE" w:rsidRDefault="009E6F11" w:rsidP="00004487"/>
        </w:tc>
        <w:tc>
          <w:tcPr>
            <w:tcW w:w="1126" w:type="dxa"/>
            <w:shd w:val="clear" w:color="auto" w:fill="FFFFFF"/>
          </w:tcPr>
          <w:p w14:paraId="56A1110E" w14:textId="77777777" w:rsidR="009E6F11" w:rsidRPr="00A61CAE" w:rsidRDefault="009E6F11" w:rsidP="00004487"/>
        </w:tc>
        <w:tc>
          <w:tcPr>
            <w:tcW w:w="1920" w:type="dxa"/>
            <w:shd w:val="clear" w:color="auto" w:fill="FFFFFF"/>
          </w:tcPr>
          <w:p w14:paraId="7C1830B5"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Lægemiddelreaktion med eosinofili og systemiske symptomer (DRESS), anafylaktisk shock (se pkt. 4.4)</w:t>
            </w:r>
          </w:p>
        </w:tc>
      </w:tr>
      <w:tr w:rsidR="009E6F11" w:rsidRPr="00A61CAE" w14:paraId="67FE637F" w14:textId="77777777" w:rsidTr="00004487">
        <w:trPr>
          <w:trHeight w:hRule="exact" w:val="619"/>
        </w:trPr>
        <w:tc>
          <w:tcPr>
            <w:tcW w:w="1501" w:type="dxa"/>
            <w:shd w:val="clear" w:color="auto" w:fill="FFFFFF"/>
            <w:vAlign w:val="center"/>
          </w:tcPr>
          <w:p w14:paraId="04C73E9E"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Nervesystemet</w:t>
            </w:r>
          </w:p>
        </w:tc>
        <w:tc>
          <w:tcPr>
            <w:tcW w:w="1227" w:type="dxa"/>
            <w:shd w:val="clear" w:color="auto" w:fill="FFFFFF"/>
          </w:tcPr>
          <w:p w14:paraId="6AB9F063" w14:textId="77777777" w:rsidR="009E6F11" w:rsidRPr="00A61CAE" w:rsidRDefault="009E6F11" w:rsidP="00004487"/>
        </w:tc>
        <w:tc>
          <w:tcPr>
            <w:tcW w:w="1832" w:type="dxa"/>
            <w:shd w:val="clear" w:color="auto" w:fill="FFFFFF"/>
            <w:vAlign w:val="center"/>
          </w:tcPr>
          <w:p w14:paraId="7A48009F"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Svimmelhed, hovedpine</w:t>
            </w:r>
          </w:p>
        </w:tc>
        <w:tc>
          <w:tcPr>
            <w:tcW w:w="1121" w:type="dxa"/>
            <w:shd w:val="clear" w:color="auto" w:fill="FFFFFF"/>
          </w:tcPr>
          <w:p w14:paraId="374CBADD" w14:textId="77777777" w:rsidR="009E6F11" w:rsidRPr="00A61CAE" w:rsidRDefault="009E6F11" w:rsidP="00004487"/>
        </w:tc>
        <w:tc>
          <w:tcPr>
            <w:tcW w:w="1126" w:type="dxa"/>
            <w:shd w:val="clear" w:color="auto" w:fill="FFFFFF"/>
          </w:tcPr>
          <w:p w14:paraId="15A987BB" w14:textId="77777777" w:rsidR="009E6F11" w:rsidRPr="00A61CAE" w:rsidRDefault="009E6F11" w:rsidP="00004487"/>
        </w:tc>
        <w:tc>
          <w:tcPr>
            <w:tcW w:w="1920" w:type="dxa"/>
            <w:shd w:val="clear" w:color="auto" w:fill="FFFFFF"/>
            <w:vAlign w:val="center"/>
          </w:tcPr>
          <w:p w14:paraId="23C8C370"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Kramper</w:t>
            </w:r>
          </w:p>
        </w:tc>
      </w:tr>
      <w:tr w:rsidR="009E6F11" w:rsidRPr="00A61CAE" w14:paraId="17D03717" w14:textId="77777777" w:rsidTr="00004487">
        <w:trPr>
          <w:trHeight w:hRule="exact" w:val="1132"/>
        </w:trPr>
        <w:tc>
          <w:tcPr>
            <w:tcW w:w="1501" w:type="dxa"/>
            <w:shd w:val="clear" w:color="auto" w:fill="FFFFFF"/>
          </w:tcPr>
          <w:p w14:paraId="253BE7BD"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lastRenderedPageBreak/>
              <w:t>Øre og labyrint</w:t>
            </w:r>
          </w:p>
        </w:tc>
        <w:tc>
          <w:tcPr>
            <w:tcW w:w="1227" w:type="dxa"/>
            <w:shd w:val="clear" w:color="auto" w:fill="FFFFFF"/>
          </w:tcPr>
          <w:p w14:paraId="06360705" w14:textId="77777777" w:rsidR="009E6F11" w:rsidRPr="00A61CAE" w:rsidRDefault="009E6F11" w:rsidP="00004487"/>
        </w:tc>
        <w:tc>
          <w:tcPr>
            <w:tcW w:w="1832" w:type="dxa"/>
            <w:shd w:val="clear" w:color="auto" w:fill="FFFFFF"/>
            <w:vAlign w:val="center"/>
          </w:tcPr>
          <w:p w14:paraId="61B7F79F"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Døvhed, høretab (se pkt. 4.4), tinnitus, vestibulær forstyrrelse</w:t>
            </w:r>
          </w:p>
        </w:tc>
        <w:tc>
          <w:tcPr>
            <w:tcW w:w="1121" w:type="dxa"/>
            <w:shd w:val="clear" w:color="auto" w:fill="FFFFFF"/>
          </w:tcPr>
          <w:p w14:paraId="69A3806D" w14:textId="77777777" w:rsidR="009E6F11" w:rsidRPr="00A61CAE" w:rsidRDefault="009E6F11" w:rsidP="00004487"/>
        </w:tc>
        <w:tc>
          <w:tcPr>
            <w:tcW w:w="1126" w:type="dxa"/>
            <w:shd w:val="clear" w:color="auto" w:fill="FFFFFF"/>
          </w:tcPr>
          <w:p w14:paraId="4082C47E" w14:textId="77777777" w:rsidR="009E6F11" w:rsidRPr="00A61CAE" w:rsidRDefault="009E6F11" w:rsidP="00004487"/>
        </w:tc>
        <w:tc>
          <w:tcPr>
            <w:tcW w:w="1920" w:type="dxa"/>
            <w:shd w:val="clear" w:color="auto" w:fill="FFFFFF"/>
          </w:tcPr>
          <w:p w14:paraId="73B8E904" w14:textId="77777777" w:rsidR="009E6F11" w:rsidRPr="00A61CAE" w:rsidRDefault="009E6F11" w:rsidP="00004487"/>
        </w:tc>
      </w:tr>
      <w:tr w:rsidR="009E6F11" w:rsidRPr="00A61CAE" w14:paraId="26557044" w14:textId="77777777" w:rsidTr="00004487">
        <w:trPr>
          <w:trHeight w:hRule="exact" w:val="567"/>
        </w:trPr>
        <w:tc>
          <w:tcPr>
            <w:tcW w:w="1501" w:type="dxa"/>
            <w:shd w:val="clear" w:color="auto" w:fill="FFFFFF"/>
            <w:vAlign w:val="center"/>
          </w:tcPr>
          <w:p w14:paraId="29DE31EB"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Vaskulære sygdomme</w:t>
            </w:r>
          </w:p>
        </w:tc>
        <w:tc>
          <w:tcPr>
            <w:tcW w:w="1227" w:type="dxa"/>
            <w:shd w:val="clear" w:color="auto" w:fill="FFFFFF"/>
          </w:tcPr>
          <w:p w14:paraId="4C2DBF90" w14:textId="77777777" w:rsidR="009E6F11" w:rsidRPr="00A61CAE" w:rsidRDefault="009E6F11" w:rsidP="00004487"/>
        </w:tc>
        <w:tc>
          <w:tcPr>
            <w:tcW w:w="1832" w:type="dxa"/>
            <w:shd w:val="clear" w:color="auto" w:fill="FFFFFF"/>
            <w:vAlign w:val="center"/>
          </w:tcPr>
          <w:p w14:paraId="121AE430"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Flebitis</w:t>
            </w:r>
          </w:p>
        </w:tc>
        <w:tc>
          <w:tcPr>
            <w:tcW w:w="1121" w:type="dxa"/>
            <w:shd w:val="clear" w:color="auto" w:fill="FFFFFF"/>
          </w:tcPr>
          <w:p w14:paraId="2CB0B5FE" w14:textId="77777777" w:rsidR="009E6F11" w:rsidRPr="00A61CAE" w:rsidRDefault="009E6F11" w:rsidP="00004487"/>
        </w:tc>
        <w:tc>
          <w:tcPr>
            <w:tcW w:w="1126" w:type="dxa"/>
            <w:shd w:val="clear" w:color="auto" w:fill="FFFFFF"/>
          </w:tcPr>
          <w:p w14:paraId="12429FBA" w14:textId="77777777" w:rsidR="009E6F11" w:rsidRPr="00A61CAE" w:rsidRDefault="009E6F11" w:rsidP="00004487"/>
        </w:tc>
        <w:tc>
          <w:tcPr>
            <w:tcW w:w="1920" w:type="dxa"/>
            <w:shd w:val="clear" w:color="auto" w:fill="FFFFFF"/>
            <w:vAlign w:val="center"/>
          </w:tcPr>
          <w:p w14:paraId="20F65CDE"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Tromboflebitis</w:t>
            </w:r>
          </w:p>
        </w:tc>
      </w:tr>
      <w:tr w:rsidR="009E6F11" w:rsidRPr="00A61CAE" w14:paraId="08C2B194" w14:textId="77777777" w:rsidTr="00004487">
        <w:trPr>
          <w:trHeight w:hRule="exact" w:val="1048"/>
        </w:trPr>
        <w:tc>
          <w:tcPr>
            <w:tcW w:w="1501" w:type="dxa"/>
            <w:shd w:val="clear" w:color="auto" w:fill="FFFFFF"/>
            <w:vAlign w:val="center"/>
          </w:tcPr>
          <w:p w14:paraId="36C09C59"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Luftveje, thorax og mediastinum</w:t>
            </w:r>
          </w:p>
        </w:tc>
        <w:tc>
          <w:tcPr>
            <w:tcW w:w="1227" w:type="dxa"/>
            <w:shd w:val="clear" w:color="auto" w:fill="FFFFFF"/>
          </w:tcPr>
          <w:p w14:paraId="163ACC4A" w14:textId="77777777" w:rsidR="009E6F11" w:rsidRPr="00A61CAE" w:rsidRDefault="009E6F11" w:rsidP="00004487"/>
        </w:tc>
        <w:tc>
          <w:tcPr>
            <w:tcW w:w="1832" w:type="dxa"/>
            <w:shd w:val="clear" w:color="auto" w:fill="FFFFFF"/>
          </w:tcPr>
          <w:p w14:paraId="68BBF112"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Bronkospasme</w:t>
            </w:r>
          </w:p>
        </w:tc>
        <w:tc>
          <w:tcPr>
            <w:tcW w:w="1121" w:type="dxa"/>
            <w:shd w:val="clear" w:color="auto" w:fill="FFFFFF"/>
          </w:tcPr>
          <w:p w14:paraId="0D1C369B" w14:textId="77777777" w:rsidR="009E6F11" w:rsidRPr="00A61CAE" w:rsidRDefault="009E6F11" w:rsidP="00004487"/>
        </w:tc>
        <w:tc>
          <w:tcPr>
            <w:tcW w:w="1126" w:type="dxa"/>
            <w:shd w:val="clear" w:color="auto" w:fill="FFFFFF"/>
          </w:tcPr>
          <w:p w14:paraId="0E677D7A" w14:textId="77777777" w:rsidR="009E6F11" w:rsidRPr="00A61CAE" w:rsidRDefault="009E6F11" w:rsidP="00004487"/>
        </w:tc>
        <w:tc>
          <w:tcPr>
            <w:tcW w:w="1920" w:type="dxa"/>
            <w:shd w:val="clear" w:color="auto" w:fill="FFFFFF"/>
          </w:tcPr>
          <w:p w14:paraId="33456865" w14:textId="77777777" w:rsidR="009E6F11" w:rsidRPr="00A61CAE" w:rsidRDefault="009E6F11" w:rsidP="00004487"/>
        </w:tc>
      </w:tr>
      <w:tr w:rsidR="009E6F11" w:rsidRPr="00A61CAE" w14:paraId="7DD4031A" w14:textId="77777777" w:rsidTr="00004487">
        <w:trPr>
          <w:trHeight w:hRule="exact" w:val="623"/>
        </w:trPr>
        <w:tc>
          <w:tcPr>
            <w:tcW w:w="1501" w:type="dxa"/>
            <w:shd w:val="clear" w:color="auto" w:fill="FFFFFF"/>
            <w:vAlign w:val="center"/>
          </w:tcPr>
          <w:p w14:paraId="302327CC"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Mave-tarm-kanalen</w:t>
            </w:r>
          </w:p>
          <w:p w14:paraId="4FBA9D51"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p>
        </w:tc>
        <w:tc>
          <w:tcPr>
            <w:tcW w:w="1227" w:type="dxa"/>
            <w:shd w:val="clear" w:color="auto" w:fill="FFFFFF"/>
          </w:tcPr>
          <w:p w14:paraId="45320EF5" w14:textId="77777777" w:rsidR="009E6F11" w:rsidRPr="00A61CAE" w:rsidRDefault="009E6F11" w:rsidP="00004487"/>
        </w:tc>
        <w:tc>
          <w:tcPr>
            <w:tcW w:w="1832" w:type="dxa"/>
            <w:shd w:val="clear" w:color="auto" w:fill="FFFFFF"/>
            <w:vAlign w:val="center"/>
          </w:tcPr>
          <w:p w14:paraId="2C74A160"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Diarré, opkastning, kvalme</w:t>
            </w:r>
          </w:p>
        </w:tc>
        <w:tc>
          <w:tcPr>
            <w:tcW w:w="1121" w:type="dxa"/>
            <w:shd w:val="clear" w:color="auto" w:fill="FFFFFF"/>
          </w:tcPr>
          <w:p w14:paraId="115FA796" w14:textId="77777777" w:rsidR="009E6F11" w:rsidRPr="00A61CAE" w:rsidRDefault="009E6F11" w:rsidP="00004487"/>
        </w:tc>
        <w:tc>
          <w:tcPr>
            <w:tcW w:w="1126" w:type="dxa"/>
            <w:shd w:val="clear" w:color="auto" w:fill="FFFFFF"/>
          </w:tcPr>
          <w:p w14:paraId="1DACD274" w14:textId="77777777" w:rsidR="009E6F11" w:rsidRPr="00A61CAE" w:rsidRDefault="009E6F11" w:rsidP="00004487"/>
        </w:tc>
        <w:tc>
          <w:tcPr>
            <w:tcW w:w="1920" w:type="dxa"/>
            <w:shd w:val="clear" w:color="auto" w:fill="FFFFFF"/>
          </w:tcPr>
          <w:p w14:paraId="0A125F05" w14:textId="77777777" w:rsidR="009E6F11" w:rsidRPr="00A61CAE" w:rsidRDefault="009E6F11" w:rsidP="00004487"/>
        </w:tc>
      </w:tr>
      <w:tr w:rsidR="009E6F11" w:rsidRPr="00A61CAE" w14:paraId="6E8D7EAB" w14:textId="77777777" w:rsidTr="00004487">
        <w:trPr>
          <w:trHeight w:hRule="exact" w:val="3394"/>
        </w:trPr>
        <w:tc>
          <w:tcPr>
            <w:tcW w:w="1501" w:type="dxa"/>
            <w:shd w:val="clear" w:color="auto" w:fill="FFFFFF"/>
          </w:tcPr>
          <w:p w14:paraId="4987F6CE"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Hud og subkutane væv</w:t>
            </w:r>
          </w:p>
        </w:tc>
        <w:tc>
          <w:tcPr>
            <w:tcW w:w="1227" w:type="dxa"/>
            <w:shd w:val="clear" w:color="auto" w:fill="FFFFFF"/>
          </w:tcPr>
          <w:p w14:paraId="00140825"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Udslæt,</w:t>
            </w:r>
          </w:p>
          <w:p w14:paraId="1B89159C"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erytem,</w:t>
            </w:r>
          </w:p>
          <w:p w14:paraId="750ED4EA"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pruritus</w:t>
            </w:r>
          </w:p>
        </w:tc>
        <w:tc>
          <w:tcPr>
            <w:tcW w:w="1832" w:type="dxa"/>
            <w:shd w:val="clear" w:color="auto" w:fill="FFFFFF"/>
          </w:tcPr>
          <w:p w14:paraId="550B1B47" w14:textId="77777777" w:rsidR="009E6F11" w:rsidRPr="00A61CAE" w:rsidRDefault="009E6F11" w:rsidP="00004487"/>
        </w:tc>
        <w:tc>
          <w:tcPr>
            <w:tcW w:w="1121" w:type="dxa"/>
            <w:shd w:val="clear" w:color="auto" w:fill="FFFFFF"/>
          </w:tcPr>
          <w:p w14:paraId="26225FD1" w14:textId="77777777"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Red man-syndrom (f.eks. rødme og udslæt på overkroppen) (se pkt. 4.4)</w:t>
            </w:r>
          </w:p>
        </w:tc>
        <w:tc>
          <w:tcPr>
            <w:tcW w:w="1126" w:type="dxa"/>
            <w:shd w:val="clear" w:color="auto" w:fill="FFFFFF"/>
          </w:tcPr>
          <w:p w14:paraId="0FC2936B" w14:textId="77777777" w:rsidR="009E6F11" w:rsidRPr="00A61CAE" w:rsidRDefault="009E6F11" w:rsidP="00004487"/>
        </w:tc>
        <w:tc>
          <w:tcPr>
            <w:tcW w:w="1920" w:type="dxa"/>
            <w:shd w:val="clear" w:color="auto" w:fill="FFFFFF"/>
          </w:tcPr>
          <w:p w14:paraId="369E3614" w14:textId="16247C1C" w:rsidR="009E6F11" w:rsidRPr="00A61CAE" w:rsidRDefault="009E6F11" w:rsidP="00004487">
            <w:pPr>
              <w:pStyle w:val="Bodytext20"/>
              <w:shd w:val="clear" w:color="auto" w:fill="auto"/>
              <w:spacing w:before="0" w:after="0" w:line="240" w:lineRule="auto"/>
              <w:ind w:firstLine="0"/>
              <w:rPr>
                <w:rFonts w:ascii="Times New Roman" w:hAnsi="Times New Roman" w:cs="Times New Roman"/>
                <w:sz w:val="22"/>
                <w:szCs w:val="22"/>
              </w:rPr>
            </w:pPr>
            <w:r w:rsidRPr="009E6F11">
              <w:rPr>
                <w:rFonts w:ascii="Times New Roman" w:hAnsi="Times New Roman"/>
                <w:sz w:val="22"/>
              </w:rPr>
              <w:t>Toksisk epidermal nekrolyse, Stevens‑Johnsons syndrom, Akut generaliseret eksantematøs pustulose, erythema multiforme, angioødem, eksfoliativ dermatitis, urticaria (se pkt. 4.4)</w:t>
            </w:r>
          </w:p>
        </w:tc>
      </w:tr>
      <w:tr w:rsidR="009E6F11" w:rsidRPr="00A61CAE" w14:paraId="5FFA643D" w14:textId="77777777" w:rsidTr="00004487">
        <w:trPr>
          <w:trHeight w:hRule="exact" w:val="1810"/>
        </w:trPr>
        <w:tc>
          <w:tcPr>
            <w:tcW w:w="1501" w:type="dxa"/>
            <w:tcBorders>
              <w:top w:val="single" w:sz="4" w:space="0" w:color="auto"/>
              <w:left w:val="single" w:sz="4" w:space="0" w:color="auto"/>
              <w:bottom w:val="single" w:sz="4" w:space="0" w:color="auto"/>
              <w:right w:val="single" w:sz="4" w:space="0" w:color="auto"/>
            </w:tcBorders>
            <w:shd w:val="clear" w:color="auto" w:fill="FFFFFF"/>
          </w:tcPr>
          <w:p w14:paraId="45416B6B" w14:textId="77777777" w:rsidR="009E6F11" w:rsidRPr="00A61CAE" w:rsidRDefault="009E6F11" w:rsidP="00004487">
            <w:r>
              <w:t>Nyrer og urinveje</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79C2C71A" w14:textId="77777777" w:rsidR="009E6F11" w:rsidRPr="00A61CAE" w:rsidRDefault="009E6F11" w:rsidP="00004487"/>
        </w:tc>
        <w:tc>
          <w:tcPr>
            <w:tcW w:w="1832" w:type="dxa"/>
            <w:tcBorders>
              <w:top w:val="single" w:sz="4" w:space="0" w:color="auto"/>
              <w:left w:val="single" w:sz="4" w:space="0" w:color="auto"/>
              <w:bottom w:val="single" w:sz="4" w:space="0" w:color="auto"/>
              <w:right w:val="single" w:sz="4" w:space="0" w:color="auto"/>
            </w:tcBorders>
            <w:shd w:val="clear" w:color="auto" w:fill="FFFFFF"/>
          </w:tcPr>
          <w:p w14:paraId="405D2B7A" w14:textId="77777777" w:rsidR="009E6F11" w:rsidRPr="00A61CAE" w:rsidRDefault="009E6F11" w:rsidP="00004487">
            <w:r>
              <w:t>Forhøjet kreatinin i blodet</w:t>
            </w:r>
          </w:p>
        </w:tc>
        <w:tc>
          <w:tcPr>
            <w:tcW w:w="1121" w:type="dxa"/>
            <w:tcBorders>
              <w:top w:val="single" w:sz="4" w:space="0" w:color="auto"/>
              <w:left w:val="single" w:sz="4" w:space="0" w:color="auto"/>
              <w:bottom w:val="single" w:sz="4" w:space="0" w:color="auto"/>
              <w:right w:val="single" w:sz="4" w:space="0" w:color="auto"/>
            </w:tcBorders>
            <w:shd w:val="clear" w:color="auto" w:fill="FFFFFF"/>
          </w:tcPr>
          <w:p w14:paraId="5159CB0D" w14:textId="77777777" w:rsidR="009E6F11" w:rsidRPr="00A61CAE" w:rsidRDefault="009E6F11" w:rsidP="00004487"/>
        </w:tc>
        <w:tc>
          <w:tcPr>
            <w:tcW w:w="1126" w:type="dxa"/>
            <w:tcBorders>
              <w:top w:val="single" w:sz="4" w:space="0" w:color="auto"/>
              <w:left w:val="single" w:sz="4" w:space="0" w:color="auto"/>
              <w:bottom w:val="single" w:sz="4" w:space="0" w:color="auto"/>
              <w:right w:val="single" w:sz="4" w:space="0" w:color="auto"/>
            </w:tcBorders>
            <w:shd w:val="clear" w:color="auto" w:fill="FFFFFF"/>
          </w:tcPr>
          <w:p w14:paraId="7CCF827E" w14:textId="77777777" w:rsidR="009E6F11" w:rsidRPr="00A61CAE" w:rsidRDefault="009E6F11" w:rsidP="00004487"/>
        </w:tc>
        <w:tc>
          <w:tcPr>
            <w:tcW w:w="1920" w:type="dxa"/>
            <w:tcBorders>
              <w:top w:val="single" w:sz="4" w:space="0" w:color="auto"/>
              <w:left w:val="single" w:sz="4" w:space="0" w:color="auto"/>
              <w:bottom w:val="single" w:sz="4" w:space="0" w:color="auto"/>
              <w:right w:val="single" w:sz="4" w:space="0" w:color="auto"/>
            </w:tcBorders>
            <w:shd w:val="clear" w:color="auto" w:fill="FFFFFF"/>
          </w:tcPr>
          <w:p w14:paraId="3FCE14A2" w14:textId="77777777" w:rsidR="009E6F11" w:rsidRPr="00A61CAE" w:rsidRDefault="009E6F11" w:rsidP="00004487">
            <w:r>
              <w:t>Nyresvigt (inkl. akut nyresvigt) (se Beskrivelse af udvalgte bivirkninger nedenfor)*</w:t>
            </w:r>
          </w:p>
        </w:tc>
      </w:tr>
      <w:tr w:rsidR="009E6F11" w:rsidRPr="00A61CAE" w14:paraId="6DAF0162" w14:textId="77777777" w:rsidTr="00004487">
        <w:trPr>
          <w:trHeight w:hRule="exact" w:val="1215"/>
        </w:trPr>
        <w:tc>
          <w:tcPr>
            <w:tcW w:w="1501" w:type="dxa"/>
            <w:tcBorders>
              <w:top w:val="single" w:sz="4" w:space="0" w:color="auto"/>
              <w:left w:val="single" w:sz="4" w:space="0" w:color="auto"/>
              <w:bottom w:val="single" w:sz="4" w:space="0" w:color="auto"/>
              <w:right w:val="single" w:sz="4" w:space="0" w:color="auto"/>
            </w:tcBorders>
            <w:shd w:val="clear" w:color="auto" w:fill="FFFFFF"/>
          </w:tcPr>
          <w:p w14:paraId="23E46CC0" w14:textId="77777777" w:rsidR="009E6F11" w:rsidRPr="00A61CAE" w:rsidRDefault="009E6F11" w:rsidP="00004487">
            <w:r>
              <w:t>Almene symptomer og reaktioner på administrationsstedet</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0D2CCD82" w14:textId="77777777" w:rsidR="009E6F11" w:rsidRPr="00A61CAE" w:rsidRDefault="009E6F11" w:rsidP="00004487">
            <w:r>
              <w:t>Smerte, pyreksi</w:t>
            </w:r>
          </w:p>
        </w:tc>
        <w:tc>
          <w:tcPr>
            <w:tcW w:w="1832" w:type="dxa"/>
            <w:tcBorders>
              <w:top w:val="single" w:sz="4" w:space="0" w:color="auto"/>
              <w:left w:val="single" w:sz="4" w:space="0" w:color="auto"/>
              <w:bottom w:val="single" w:sz="4" w:space="0" w:color="auto"/>
              <w:right w:val="single" w:sz="4" w:space="0" w:color="auto"/>
            </w:tcBorders>
            <w:shd w:val="clear" w:color="auto" w:fill="FFFFFF"/>
          </w:tcPr>
          <w:p w14:paraId="0AD499D8" w14:textId="77777777" w:rsidR="009E6F11" w:rsidRPr="00A61CAE" w:rsidRDefault="009E6F11" w:rsidP="00004487"/>
        </w:tc>
        <w:tc>
          <w:tcPr>
            <w:tcW w:w="1121" w:type="dxa"/>
            <w:tcBorders>
              <w:top w:val="single" w:sz="4" w:space="0" w:color="auto"/>
              <w:left w:val="single" w:sz="4" w:space="0" w:color="auto"/>
              <w:bottom w:val="single" w:sz="4" w:space="0" w:color="auto"/>
              <w:right w:val="single" w:sz="4" w:space="0" w:color="auto"/>
            </w:tcBorders>
            <w:shd w:val="clear" w:color="auto" w:fill="FFFFFF"/>
          </w:tcPr>
          <w:p w14:paraId="191EADFE" w14:textId="77777777" w:rsidR="009E6F11" w:rsidRPr="00A61CAE" w:rsidRDefault="009E6F11" w:rsidP="00004487"/>
        </w:tc>
        <w:tc>
          <w:tcPr>
            <w:tcW w:w="1126" w:type="dxa"/>
            <w:tcBorders>
              <w:top w:val="single" w:sz="4" w:space="0" w:color="auto"/>
              <w:left w:val="single" w:sz="4" w:space="0" w:color="auto"/>
              <w:bottom w:val="single" w:sz="4" w:space="0" w:color="auto"/>
              <w:right w:val="single" w:sz="4" w:space="0" w:color="auto"/>
            </w:tcBorders>
            <w:shd w:val="clear" w:color="auto" w:fill="FFFFFF"/>
          </w:tcPr>
          <w:p w14:paraId="4905976E" w14:textId="77777777" w:rsidR="009E6F11" w:rsidRPr="00A61CAE" w:rsidRDefault="009E6F11" w:rsidP="00004487"/>
        </w:tc>
        <w:tc>
          <w:tcPr>
            <w:tcW w:w="1920" w:type="dxa"/>
            <w:tcBorders>
              <w:top w:val="single" w:sz="4" w:space="0" w:color="auto"/>
              <w:left w:val="single" w:sz="4" w:space="0" w:color="auto"/>
              <w:bottom w:val="single" w:sz="4" w:space="0" w:color="auto"/>
              <w:right w:val="single" w:sz="4" w:space="0" w:color="auto"/>
            </w:tcBorders>
            <w:shd w:val="clear" w:color="auto" w:fill="FFFFFF"/>
          </w:tcPr>
          <w:p w14:paraId="768F2C9A" w14:textId="77777777" w:rsidR="009E6F11" w:rsidRPr="00A61CAE" w:rsidRDefault="009E6F11" w:rsidP="00004487">
            <w:r>
              <w:t>Absces på injektionsstedet, kulderystelser</w:t>
            </w:r>
          </w:p>
        </w:tc>
      </w:tr>
      <w:tr w:rsidR="009E6F11" w:rsidRPr="00A61CAE" w14:paraId="0A68C342" w14:textId="77777777" w:rsidTr="00004487">
        <w:trPr>
          <w:trHeight w:hRule="exact" w:val="3838"/>
        </w:trPr>
        <w:tc>
          <w:tcPr>
            <w:tcW w:w="1501" w:type="dxa"/>
            <w:tcBorders>
              <w:top w:val="single" w:sz="4" w:space="0" w:color="auto"/>
              <w:left w:val="single" w:sz="4" w:space="0" w:color="auto"/>
              <w:bottom w:val="single" w:sz="4" w:space="0" w:color="auto"/>
              <w:right w:val="single" w:sz="4" w:space="0" w:color="auto"/>
            </w:tcBorders>
            <w:shd w:val="clear" w:color="auto" w:fill="FFFFFF"/>
          </w:tcPr>
          <w:p w14:paraId="6DD50D1A" w14:textId="77777777" w:rsidR="009E6F11" w:rsidRPr="00A61CAE" w:rsidRDefault="009E6F11" w:rsidP="00004487">
            <w:r>
              <w:t>Undersøgelser</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21648C11" w14:textId="77777777" w:rsidR="009E6F11" w:rsidRPr="00A61CAE" w:rsidRDefault="009E6F11" w:rsidP="00004487"/>
        </w:tc>
        <w:tc>
          <w:tcPr>
            <w:tcW w:w="1832" w:type="dxa"/>
            <w:tcBorders>
              <w:top w:val="single" w:sz="4" w:space="0" w:color="auto"/>
              <w:left w:val="single" w:sz="4" w:space="0" w:color="auto"/>
              <w:bottom w:val="single" w:sz="4" w:space="0" w:color="auto"/>
              <w:right w:val="single" w:sz="4" w:space="0" w:color="auto"/>
            </w:tcBorders>
            <w:shd w:val="clear" w:color="auto" w:fill="FFFFFF"/>
          </w:tcPr>
          <w:p w14:paraId="295E3820" w14:textId="77777777" w:rsidR="009E6F11" w:rsidRPr="00A61CAE" w:rsidRDefault="009E6F11" w:rsidP="00004487">
            <w:r>
              <w:t>Forhøjede transaminaser (forbigående anomalitet), forhøjet basisk fosfatase i blodet (forbigående anomalitet)</w:t>
            </w:r>
          </w:p>
        </w:tc>
        <w:tc>
          <w:tcPr>
            <w:tcW w:w="1121" w:type="dxa"/>
            <w:tcBorders>
              <w:top w:val="single" w:sz="4" w:space="0" w:color="auto"/>
              <w:left w:val="single" w:sz="4" w:space="0" w:color="auto"/>
              <w:bottom w:val="single" w:sz="4" w:space="0" w:color="auto"/>
              <w:right w:val="single" w:sz="4" w:space="0" w:color="auto"/>
            </w:tcBorders>
            <w:shd w:val="clear" w:color="auto" w:fill="FFFFFF"/>
          </w:tcPr>
          <w:p w14:paraId="1E9BF633" w14:textId="77777777" w:rsidR="009E6F11" w:rsidRPr="00A61CAE" w:rsidRDefault="009E6F11" w:rsidP="00004487"/>
        </w:tc>
        <w:tc>
          <w:tcPr>
            <w:tcW w:w="1126" w:type="dxa"/>
            <w:tcBorders>
              <w:top w:val="single" w:sz="4" w:space="0" w:color="auto"/>
              <w:left w:val="single" w:sz="4" w:space="0" w:color="auto"/>
              <w:bottom w:val="single" w:sz="4" w:space="0" w:color="auto"/>
              <w:right w:val="single" w:sz="4" w:space="0" w:color="auto"/>
            </w:tcBorders>
            <w:shd w:val="clear" w:color="auto" w:fill="FFFFFF"/>
          </w:tcPr>
          <w:p w14:paraId="6040BC72" w14:textId="77777777" w:rsidR="009E6F11" w:rsidRPr="00A61CAE" w:rsidRDefault="009E6F11" w:rsidP="00004487"/>
        </w:tc>
        <w:tc>
          <w:tcPr>
            <w:tcW w:w="1920" w:type="dxa"/>
            <w:tcBorders>
              <w:top w:val="single" w:sz="4" w:space="0" w:color="auto"/>
              <w:left w:val="single" w:sz="4" w:space="0" w:color="auto"/>
              <w:bottom w:val="single" w:sz="4" w:space="0" w:color="auto"/>
              <w:right w:val="single" w:sz="4" w:space="0" w:color="auto"/>
            </w:tcBorders>
            <w:shd w:val="clear" w:color="auto" w:fill="FFFFFF"/>
          </w:tcPr>
          <w:p w14:paraId="2E8A4AEA" w14:textId="77777777" w:rsidR="009E6F11" w:rsidRPr="00A61CAE" w:rsidRDefault="009E6F11" w:rsidP="00004487"/>
        </w:tc>
      </w:tr>
    </w:tbl>
    <w:p w14:paraId="7017830E" w14:textId="77777777" w:rsidR="009E6F11" w:rsidRPr="00A61CAE" w:rsidRDefault="009E6F11" w:rsidP="009E6F11">
      <w:pPr>
        <w:rPr>
          <w:u w:val="single"/>
        </w:rPr>
      </w:pPr>
    </w:p>
    <w:p w14:paraId="6F70ABFD" w14:textId="77777777" w:rsidR="009E6F11" w:rsidRDefault="009E6F11" w:rsidP="009E6F11">
      <w:pPr>
        <w:pStyle w:val="Bodytext20"/>
        <w:shd w:val="clear" w:color="auto" w:fill="auto"/>
        <w:spacing w:before="0" w:after="0" w:line="240" w:lineRule="auto"/>
        <w:ind w:firstLine="0"/>
        <w:rPr>
          <w:rFonts w:ascii="Times New Roman" w:hAnsi="Times New Roman"/>
          <w:sz w:val="22"/>
          <w:u w:val="single"/>
        </w:rPr>
      </w:pPr>
    </w:p>
    <w:p w14:paraId="510BA63F" w14:textId="128ABC90" w:rsidR="009E6F11" w:rsidRDefault="009E6F11" w:rsidP="009E6F11">
      <w:pPr>
        <w:pStyle w:val="Bodytext20"/>
        <w:shd w:val="clear" w:color="auto" w:fill="auto"/>
        <w:spacing w:before="0" w:after="0" w:line="240" w:lineRule="auto"/>
        <w:ind w:firstLine="0"/>
        <w:rPr>
          <w:rFonts w:ascii="Times New Roman" w:hAnsi="Times New Roman" w:cs="Times New Roman"/>
          <w:sz w:val="22"/>
          <w:szCs w:val="22"/>
          <w:u w:val="single"/>
        </w:rPr>
      </w:pPr>
      <w:r>
        <w:rPr>
          <w:rFonts w:ascii="Times New Roman" w:hAnsi="Times New Roman"/>
          <w:sz w:val="22"/>
          <w:u w:val="single"/>
        </w:rPr>
        <w:lastRenderedPageBreak/>
        <w:t>Beskrivelse af udvalgte bivirkninger</w:t>
      </w:r>
    </w:p>
    <w:p w14:paraId="46F5A9F6" w14:textId="77777777" w:rsidR="009E6F11" w:rsidRDefault="009E6F11" w:rsidP="009E6F11">
      <w:pPr>
        <w:pStyle w:val="Bodytext20"/>
        <w:shd w:val="clear" w:color="auto" w:fill="auto"/>
        <w:spacing w:before="0" w:after="0" w:line="240" w:lineRule="auto"/>
        <w:ind w:firstLine="0"/>
        <w:rPr>
          <w:rFonts w:ascii="Times New Roman" w:hAnsi="Times New Roman"/>
          <w:sz w:val="22"/>
        </w:rPr>
      </w:pPr>
      <w:r>
        <w:rPr>
          <w:rFonts w:ascii="Times New Roman" w:hAnsi="Times New Roman"/>
          <w:sz w:val="22"/>
        </w:rPr>
        <w:t>Baseret på rapporter i litteraturen er den estimerede forekomst af nefrotoksicitet cirka 2 % hos patienter, der behandles med et doseringsregime med en lav støddosis på gennemsnitligt 6 mg/kg to gange dagligt efterfulgt af en vedligeholdelsesdosis på gennemsnitligt 6 mg/kg én gang dagligt.</w:t>
      </w:r>
    </w:p>
    <w:p w14:paraId="59860B7F" w14:textId="77777777" w:rsidR="009E6F11" w:rsidRPr="00CC000D" w:rsidRDefault="009E6F11" w:rsidP="009E6F11">
      <w:pPr>
        <w:pStyle w:val="Bodytext20"/>
        <w:shd w:val="clear" w:color="auto" w:fill="auto"/>
        <w:spacing w:before="0" w:after="0" w:line="240" w:lineRule="auto"/>
        <w:ind w:firstLine="0"/>
        <w:rPr>
          <w:rFonts w:ascii="Times New Roman" w:hAnsi="Times New Roman" w:cs="Times New Roman"/>
          <w:sz w:val="22"/>
          <w:szCs w:val="22"/>
        </w:rPr>
      </w:pPr>
    </w:p>
    <w:p w14:paraId="0673EBC5" w14:textId="77777777" w:rsidR="009E6F11" w:rsidRPr="00CC000D" w:rsidRDefault="009E6F11" w:rsidP="009E6F11">
      <w:pPr>
        <w:pStyle w:val="Bodytext20"/>
        <w:shd w:val="clear" w:color="auto" w:fill="auto"/>
        <w:spacing w:before="0" w:after="0" w:line="240" w:lineRule="auto"/>
        <w:ind w:firstLine="0"/>
        <w:rPr>
          <w:rFonts w:ascii="Times New Roman" w:hAnsi="Times New Roman" w:cs="Times New Roman"/>
          <w:sz w:val="22"/>
          <w:szCs w:val="22"/>
        </w:rPr>
      </w:pPr>
      <w:r>
        <w:rPr>
          <w:rFonts w:ascii="Times New Roman" w:hAnsi="Times New Roman"/>
          <w:sz w:val="22"/>
        </w:rPr>
        <w:t>I et observationsstudie af lægemidlets sikkerhed efter markedsføring, som omfattede 300 patienter med en gennemsnitsalder på 63 år (behandlet for knogle- og ledinfektioner, endokarditis eller andre alvorlige infektioner), og som blev behandlet med et højt støddosisregime på 12 mg/kg to gange dagligt (median: 5 støddoser), efterfulgt af en vedligeholdelsesdosis på 12 mg/kg én gang dagligt, var den observerede forekomst af bekræftet nefrotoksicitet 11,0 % (95 % CI = [7,4 %; 15,5 %]) over de første 10 dage. Den kumulative forekomst af nefrotoksicitet fra behandlingsstart og op til 60 dage efter sidste dosis var 20,6 % (95 % CI = [16,0 %; 25,8 %]). Hos patienter, der fik mere end 5 høje støddoser à 12 mg/kg to gange dagligt efterfulgt af en vedligeholdelsesdosis på 12 mg/kg én gang dagligt, var den observerede kumulative forekomst af nefrotoksicitet fra behandlingsstart og op til 60 dage efter sidste administration 27 % (95 % CI = [20,7 %; 35,3 %]) (se pkt. 4.4).</w:t>
      </w:r>
    </w:p>
    <w:p w14:paraId="282895DF" w14:textId="77777777" w:rsidR="009E6F11" w:rsidRDefault="009E6F11" w:rsidP="009E6F11">
      <w:pPr>
        <w:pStyle w:val="Bodytext20"/>
        <w:shd w:val="clear" w:color="auto" w:fill="auto"/>
        <w:spacing w:before="0" w:after="0" w:line="240" w:lineRule="auto"/>
        <w:ind w:firstLine="0"/>
        <w:rPr>
          <w:rFonts w:ascii="Times New Roman" w:hAnsi="Times New Roman" w:cs="Times New Roman"/>
          <w:sz w:val="22"/>
          <w:szCs w:val="22"/>
          <w:u w:val="single"/>
        </w:rPr>
      </w:pPr>
    </w:p>
    <w:p w14:paraId="380A536B" w14:textId="77777777" w:rsidR="009E6F11" w:rsidRPr="00A61CAE" w:rsidRDefault="009E6F11" w:rsidP="009E6F11">
      <w:pPr>
        <w:pStyle w:val="Bodytext20"/>
        <w:shd w:val="clear" w:color="auto" w:fill="auto"/>
        <w:spacing w:before="0" w:after="0" w:line="240" w:lineRule="auto"/>
        <w:ind w:firstLine="0"/>
        <w:rPr>
          <w:rFonts w:ascii="Times New Roman" w:hAnsi="Times New Roman" w:cs="Times New Roman"/>
          <w:sz w:val="22"/>
          <w:szCs w:val="22"/>
          <w:u w:val="single"/>
        </w:rPr>
      </w:pPr>
      <w:r>
        <w:rPr>
          <w:rFonts w:ascii="Times New Roman" w:hAnsi="Times New Roman"/>
          <w:sz w:val="22"/>
          <w:u w:val="single"/>
        </w:rPr>
        <w:t>Indberetning af formodede bivirkninger</w:t>
      </w:r>
    </w:p>
    <w:p w14:paraId="7F2F0DAE" w14:textId="77777777" w:rsidR="009E6F11" w:rsidRPr="000E39C1" w:rsidRDefault="009E6F11" w:rsidP="009E6F11">
      <w:pPr>
        <w:tabs>
          <w:tab w:val="left" w:pos="567"/>
        </w:tabs>
        <w:autoSpaceDE w:val="0"/>
        <w:autoSpaceDN w:val="0"/>
        <w:adjustRightInd w:val="0"/>
      </w:pPr>
      <w:r w:rsidRPr="000E39C1">
        <w:t xml:space="preserve">Når lægemidlet er godkendt, er indberetning af formodede bivirkninger vigtig. Det muliggør løbende overvågning af benefit/risk-forholdet for lægemidlet. Sundhedspersoner anmodes om at indberette alle formodede bivirkninger via </w:t>
      </w:r>
    </w:p>
    <w:p w14:paraId="4B2CB5EF" w14:textId="77777777" w:rsidR="009E6F11" w:rsidRPr="000E39C1" w:rsidRDefault="009E6F11" w:rsidP="009E6F11">
      <w:pPr>
        <w:tabs>
          <w:tab w:val="left" w:pos="567"/>
        </w:tabs>
        <w:autoSpaceDE w:val="0"/>
        <w:autoSpaceDN w:val="0"/>
        <w:adjustRightInd w:val="0"/>
      </w:pPr>
      <w:r w:rsidRPr="000E39C1">
        <w:t xml:space="preserve">Lægemiddelstyrelsen </w:t>
      </w:r>
    </w:p>
    <w:p w14:paraId="0D4C770E" w14:textId="77777777" w:rsidR="009E6F11" w:rsidRPr="000E39C1" w:rsidRDefault="009E6F11" w:rsidP="009E6F11">
      <w:pPr>
        <w:tabs>
          <w:tab w:val="left" w:pos="567"/>
        </w:tabs>
        <w:autoSpaceDE w:val="0"/>
        <w:autoSpaceDN w:val="0"/>
        <w:adjustRightInd w:val="0"/>
      </w:pPr>
      <w:r w:rsidRPr="000E39C1">
        <w:t xml:space="preserve">Axel Heides Gade 1 </w:t>
      </w:r>
    </w:p>
    <w:p w14:paraId="498016C6" w14:textId="77777777" w:rsidR="009E6F11" w:rsidRPr="000E39C1" w:rsidRDefault="009E6F11" w:rsidP="009E6F11">
      <w:pPr>
        <w:tabs>
          <w:tab w:val="left" w:pos="567"/>
        </w:tabs>
        <w:autoSpaceDE w:val="0"/>
        <w:autoSpaceDN w:val="0"/>
        <w:adjustRightInd w:val="0"/>
      </w:pPr>
      <w:r w:rsidRPr="000E39C1">
        <w:t xml:space="preserve">DK-2300 København S </w:t>
      </w:r>
    </w:p>
    <w:p w14:paraId="51F676BB" w14:textId="77777777" w:rsidR="009E6F11" w:rsidRDefault="009E6F11" w:rsidP="009E6F11">
      <w:pPr>
        <w:tabs>
          <w:tab w:val="left" w:pos="567"/>
        </w:tabs>
        <w:autoSpaceDE w:val="0"/>
        <w:autoSpaceDN w:val="0"/>
        <w:adjustRightInd w:val="0"/>
      </w:pPr>
      <w:r w:rsidRPr="000E39C1">
        <w:t>Websted:</w:t>
      </w:r>
      <w:r>
        <w:t xml:space="preserve"> </w:t>
      </w:r>
      <w:hyperlink r:id="rId9" w:history="1">
        <w:r w:rsidRPr="00D96A43">
          <w:rPr>
            <w:rStyle w:val="Hyperlink"/>
          </w:rPr>
          <w:t>www.meldenbivirkning.dk</w:t>
        </w:r>
      </w:hyperlink>
      <w:r>
        <w:t xml:space="preserve"> </w:t>
      </w:r>
    </w:p>
    <w:p w14:paraId="1173C660" w14:textId="77777777" w:rsidR="009260DE" w:rsidRPr="00325490" w:rsidRDefault="009260DE" w:rsidP="00A10294">
      <w:pPr>
        <w:tabs>
          <w:tab w:val="left" w:pos="851"/>
        </w:tabs>
        <w:ind w:left="851"/>
        <w:rPr>
          <w:sz w:val="24"/>
          <w:szCs w:val="24"/>
        </w:rPr>
      </w:pPr>
    </w:p>
    <w:p w14:paraId="218DFC09" w14:textId="27F1B071" w:rsidR="009260DE" w:rsidRPr="00325490" w:rsidRDefault="009260DE" w:rsidP="009260DE">
      <w:pPr>
        <w:tabs>
          <w:tab w:val="left" w:pos="851"/>
        </w:tabs>
        <w:ind w:left="851" w:hanging="851"/>
        <w:rPr>
          <w:b/>
          <w:sz w:val="24"/>
          <w:szCs w:val="24"/>
        </w:rPr>
      </w:pPr>
      <w:r w:rsidRPr="00325490">
        <w:rPr>
          <w:b/>
          <w:sz w:val="24"/>
          <w:szCs w:val="24"/>
        </w:rPr>
        <w:t>4.9</w:t>
      </w:r>
      <w:r w:rsidRPr="00325490">
        <w:rPr>
          <w:b/>
          <w:sz w:val="24"/>
          <w:szCs w:val="24"/>
        </w:rPr>
        <w:tab/>
        <w:t>Overdosering</w:t>
      </w:r>
    </w:p>
    <w:p w14:paraId="7446225F" w14:textId="77777777" w:rsidR="0090551D" w:rsidRDefault="0090551D" w:rsidP="00CB3906">
      <w:pPr>
        <w:ind w:left="851"/>
        <w:rPr>
          <w:sz w:val="24"/>
          <w:szCs w:val="24"/>
        </w:rPr>
      </w:pPr>
    </w:p>
    <w:p w14:paraId="26550BE4" w14:textId="78FF46A5" w:rsidR="006420CF" w:rsidRPr="0090551D" w:rsidRDefault="006420CF" w:rsidP="00CB3906">
      <w:pPr>
        <w:ind w:left="851"/>
        <w:rPr>
          <w:sz w:val="24"/>
          <w:szCs w:val="24"/>
          <w:u w:val="single"/>
        </w:rPr>
      </w:pPr>
      <w:r w:rsidRPr="0090551D">
        <w:rPr>
          <w:sz w:val="24"/>
          <w:szCs w:val="24"/>
          <w:u w:val="single"/>
        </w:rPr>
        <w:t>Symptomer</w:t>
      </w:r>
    </w:p>
    <w:p w14:paraId="031853AB" w14:textId="77777777" w:rsidR="0063384F" w:rsidRPr="0063384F" w:rsidRDefault="0063384F" w:rsidP="0063384F">
      <w:pPr>
        <w:pStyle w:val="Bodytext20"/>
        <w:shd w:val="clear" w:color="auto" w:fill="auto"/>
        <w:spacing w:before="0" w:after="0" w:line="240" w:lineRule="auto"/>
        <w:ind w:left="851" w:firstLine="0"/>
        <w:rPr>
          <w:rFonts w:ascii="Times New Roman" w:hAnsi="Times New Roman" w:cs="Times New Roman"/>
          <w:sz w:val="24"/>
          <w:szCs w:val="24"/>
          <w:lang w:eastAsia="en-US"/>
        </w:rPr>
      </w:pPr>
      <w:r w:rsidRPr="0063384F">
        <w:rPr>
          <w:rFonts w:ascii="Times New Roman" w:hAnsi="Times New Roman"/>
          <w:sz w:val="24"/>
          <w:szCs w:val="24"/>
        </w:rPr>
        <w:t>Der er rapporteret tilfælde af utilsigtet administration af høje doser til pædiatriske patienter. I et tilfælde forekom agitation hos en 29 dage gammel nyfødt efter intravenøs administration af 400 mg (95 mg/kg).</w:t>
      </w:r>
    </w:p>
    <w:p w14:paraId="0978CE2C" w14:textId="77777777" w:rsidR="006420CF" w:rsidRPr="0063384F" w:rsidRDefault="006420CF" w:rsidP="0063384F">
      <w:pPr>
        <w:ind w:left="851"/>
        <w:rPr>
          <w:sz w:val="24"/>
          <w:szCs w:val="24"/>
        </w:rPr>
      </w:pPr>
    </w:p>
    <w:p w14:paraId="7A8A22BB" w14:textId="77777777" w:rsidR="006420CF" w:rsidRPr="0090551D" w:rsidRDefault="006420CF" w:rsidP="00CB3906">
      <w:pPr>
        <w:ind w:left="851"/>
        <w:rPr>
          <w:sz w:val="24"/>
          <w:szCs w:val="24"/>
          <w:u w:val="single"/>
        </w:rPr>
      </w:pPr>
      <w:r w:rsidRPr="0090551D">
        <w:rPr>
          <w:sz w:val="24"/>
          <w:szCs w:val="24"/>
          <w:u w:val="single"/>
        </w:rPr>
        <w:t>Behandling</w:t>
      </w:r>
    </w:p>
    <w:p w14:paraId="20635B58" w14:textId="77777777" w:rsidR="006420CF" w:rsidRPr="00325490" w:rsidRDefault="006420CF" w:rsidP="00CB3906">
      <w:pPr>
        <w:ind w:left="851"/>
        <w:rPr>
          <w:sz w:val="24"/>
          <w:szCs w:val="24"/>
        </w:rPr>
      </w:pPr>
      <w:r w:rsidRPr="00325490">
        <w:rPr>
          <w:sz w:val="24"/>
          <w:szCs w:val="24"/>
        </w:rPr>
        <w:t>Overdosering med teicoplanin behandles symptomatisk.</w:t>
      </w:r>
    </w:p>
    <w:p w14:paraId="1EB3F8BE" w14:textId="77777777" w:rsidR="006420CF" w:rsidRPr="00325490" w:rsidRDefault="006420CF" w:rsidP="00CB3906">
      <w:pPr>
        <w:ind w:left="851"/>
        <w:rPr>
          <w:sz w:val="24"/>
          <w:szCs w:val="24"/>
        </w:rPr>
      </w:pPr>
    </w:p>
    <w:p w14:paraId="795A4638" w14:textId="77777777" w:rsidR="006420CF" w:rsidRPr="00325490" w:rsidRDefault="006420CF" w:rsidP="00CB3906">
      <w:pPr>
        <w:ind w:left="851"/>
        <w:rPr>
          <w:sz w:val="24"/>
          <w:szCs w:val="24"/>
        </w:rPr>
      </w:pPr>
      <w:r w:rsidRPr="00325490">
        <w:rPr>
          <w:sz w:val="24"/>
          <w:szCs w:val="24"/>
        </w:rPr>
        <w:t>Teicoplanin fjernes ikke ved hæmodialyse og kun langsomt ved peritonal dialyse.</w:t>
      </w:r>
    </w:p>
    <w:p w14:paraId="382A7FAD" w14:textId="77777777" w:rsidR="009260DE" w:rsidRPr="00325490" w:rsidRDefault="009260DE" w:rsidP="009260DE">
      <w:pPr>
        <w:tabs>
          <w:tab w:val="left" w:pos="851"/>
        </w:tabs>
        <w:ind w:left="851"/>
        <w:rPr>
          <w:sz w:val="24"/>
          <w:szCs w:val="24"/>
        </w:rPr>
      </w:pPr>
    </w:p>
    <w:p w14:paraId="5170DADA" w14:textId="77777777" w:rsidR="009260DE" w:rsidRPr="00325490" w:rsidRDefault="009260DE" w:rsidP="009260DE">
      <w:pPr>
        <w:tabs>
          <w:tab w:val="left" w:pos="851"/>
        </w:tabs>
        <w:ind w:left="851" w:hanging="851"/>
        <w:rPr>
          <w:b/>
          <w:sz w:val="24"/>
          <w:szCs w:val="24"/>
        </w:rPr>
      </w:pPr>
      <w:r w:rsidRPr="00325490">
        <w:rPr>
          <w:b/>
          <w:sz w:val="24"/>
          <w:szCs w:val="24"/>
        </w:rPr>
        <w:t>4.10</w:t>
      </w:r>
      <w:r w:rsidRPr="00325490">
        <w:rPr>
          <w:b/>
          <w:sz w:val="24"/>
          <w:szCs w:val="24"/>
        </w:rPr>
        <w:tab/>
        <w:t>Udlevering</w:t>
      </w:r>
    </w:p>
    <w:p w14:paraId="7188B037" w14:textId="09CD3460" w:rsidR="009260DE" w:rsidRPr="00325490" w:rsidRDefault="000B1347" w:rsidP="009260DE">
      <w:pPr>
        <w:tabs>
          <w:tab w:val="left" w:pos="851"/>
        </w:tabs>
        <w:ind w:left="851"/>
        <w:rPr>
          <w:sz w:val="24"/>
          <w:szCs w:val="24"/>
        </w:rPr>
      </w:pPr>
      <w:r w:rsidRPr="00325490">
        <w:rPr>
          <w:sz w:val="24"/>
          <w:szCs w:val="24"/>
        </w:rPr>
        <w:t>B</w:t>
      </w:r>
    </w:p>
    <w:p w14:paraId="23DD11B6" w14:textId="77777777" w:rsidR="009260DE" w:rsidRPr="00325490" w:rsidRDefault="009260DE" w:rsidP="009260DE">
      <w:pPr>
        <w:tabs>
          <w:tab w:val="left" w:pos="851"/>
        </w:tabs>
        <w:ind w:left="851"/>
        <w:rPr>
          <w:sz w:val="24"/>
          <w:szCs w:val="24"/>
        </w:rPr>
      </w:pPr>
    </w:p>
    <w:p w14:paraId="72FD43F6" w14:textId="77777777" w:rsidR="009260DE" w:rsidRPr="00325490" w:rsidRDefault="009260DE" w:rsidP="009260DE">
      <w:pPr>
        <w:tabs>
          <w:tab w:val="left" w:pos="851"/>
        </w:tabs>
        <w:ind w:left="851"/>
        <w:rPr>
          <w:sz w:val="24"/>
          <w:szCs w:val="24"/>
        </w:rPr>
      </w:pPr>
    </w:p>
    <w:p w14:paraId="79253431" w14:textId="77777777" w:rsidR="009260DE" w:rsidRPr="00325490" w:rsidRDefault="009260DE" w:rsidP="009260DE">
      <w:pPr>
        <w:tabs>
          <w:tab w:val="left" w:pos="851"/>
        </w:tabs>
        <w:ind w:left="851" w:hanging="851"/>
        <w:rPr>
          <w:b/>
          <w:sz w:val="24"/>
          <w:szCs w:val="24"/>
        </w:rPr>
      </w:pPr>
      <w:r w:rsidRPr="00325490">
        <w:rPr>
          <w:b/>
          <w:sz w:val="24"/>
          <w:szCs w:val="24"/>
        </w:rPr>
        <w:t>5.</w:t>
      </w:r>
      <w:r w:rsidRPr="00325490">
        <w:rPr>
          <w:b/>
          <w:sz w:val="24"/>
          <w:szCs w:val="24"/>
        </w:rPr>
        <w:tab/>
        <w:t>FARMAKOLOGISKE EGENSKABER</w:t>
      </w:r>
    </w:p>
    <w:p w14:paraId="23503782" w14:textId="77777777" w:rsidR="009260DE" w:rsidRPr="00325490" w:rsidRDefault="009260DE" w:rsidP="009260DE">
      <w:pPr>
        <w:tabs>
          <w:tab w:val="left" w:pos="851"/>
        </w:tabs>
        <w:ind w:left="851"/>
        <w:rPr>
          <w:sz w:val="24"/>
          <w:szCs w:val="24"/>
        </w:rPr>
      </w:pPr>
    </w:p>
    <w:p w14:paraId="576E4BDE" w14:textId="77777777" w:rsidR="009260DE" w:rsidRPr="00325490" w:rsidRDefault="009260DE" w:rsidP="009260DE">
      <w:pPr>
        <w:tabs>
          <w:tab w:val="num" w:pos="851"/>
        </w:tabs>
        <w:ind w:left="851" w:hanging="851"/>
        <w:rPr>
          <w:b/>
          <w:sz w:val="24"/>
          <w:szCs w:val="24"/>
        </w:rPr>
      </w:pPr>
      <w:r w:rsidRPr="00325490">
        <w:rPr>
          <w:b/>
          <w:sz w:val="24"/>
          <w:szCs w:val="24"/>
        </w:rPr>
        <w:t>5.1</w:t>
      </w:r>
      <w:r w:rsidRPr="00325490">
        <w:rPr>
          <w:b/>
          <w:sz w:val="24"/>
          <w:szCs w:val="24"/>
        </w:rPr>
        <w:tab/>
        <w:t>Farmakodynamiske egenskaber</w:t>
      </w:r>
    </w:p>
    <w:p w14:paraId="3957F327" w14:textId="77777777" w:rsidR="006420CF" w:rsidRPr="00325490" w:rsidRDefault="006420CF" w:rsidP="00CB3906">
      <w:pPr>
        <w:ind w:left="851"/>
        <w:rPr>
          <w:sz w:val="24"/>
          <w:szCs w:val="24"/>
        </w:rPr>
      </w:pPr>
      <w:r w:rsidRPr="00325490">
        <w:rPr>
          <w:sz w:val="24"/>
          <w:szCs w:val="24"/>
        </w:rPr>
        <w:t>Farmakoterapeutisk klassifikation: Andre antibakterika, glykopeptid antibakterika, ATC</w:t>
      </w:r>
      <w:r w:rsidRPr="00325490">
        <w:rPr>
          <w:sz w:val="24"/>
          <w:szCs w:val="24"/>
        </w:rPr>
        <w:noBreakHyphen/>
        <w:t xml:space="preserve">kode: J01XA02 </w:t>
      </w:r>
    </w:p>
    <w:p w14:paraId="7E17EC0A" w14:textId="77777777" w:rsidR="006420CF" w:rsidRPr="00325490" w:rsidRDefault="006420CF" w:rsidP="00CB3906">
      <w:pPr>
        <w:ind w:left="851"/>
        <w:rPr>
          <w:sz w:val="24"/>
          <w:szCs w:val="24"/>
        </w:rPr>
      </w:pPr>
    </w:p>
    <w:p w14:paraId="76C749C5" w14:textId="77777777" w:rsidR="006420CF" w:rsidRPr="00325490" w:rsidRDefault="006420CF" w:rsidP="00CB3906">
      <w:pPr>
        <w:ind w:left="851"/>
        <w:rPr>
          <w:sz w:val="24"/>
          <w:szCs w:val="24"/>
          <w:u w:val="single"/>
        </w:rPr>
      </w:pPr>
      <w:r w:rsidRPr="00325490">
        <w:rPr>
          <w:sz w:val="24"/>
          <w:szCs w:val="24"/>
          <w:u w:val="single"/>
        </w:rPr>
        <w:t>Virkningsmekanisme</w:t>
      </w:r>
    </w:p>
    <w:p w14:paraId="5665FA6F" w14:textId="77777777" w:rsidR="006420CF" w:rsidRPr="00325490" w:rsidRDefault="006420CF" w:rsidP="00CB3906">
      <w:pPr>
        <w:ind w:left="851"/>
        <w:rPr>
          <w:sz w:val="24"/>
          <w:szCs w:val="24"/>
        </w:rPr>
      </w:pPr>
      <w:r w:rsidRPr="00325490">
        <w:rPr>
          <w:sz w:val="24"/>
          <w:szCs w:val="24"/>
        </w:rPr>
        <w:t>Teicoplanin hæmmer væksten af følsomme organismer ved at interferere med biosyntesen i cellevæggen på et andet sted end det, der påvirkes af betalaktamer. Syntesen af peptidoglykan blokeres ved specifik binding til D</w:t>
      </w:r>
      <w:r w:rsidRPr="00325490">
        <w:rPr>
          <w:sz w:val="24"/>
          <w:szCs w:val="24"/>
        </w:rPr>
        <w:noBreakHyphen/>
        <w:t>alanyl</w:t>
      </w:r>
      <w:r w:rsidRPr="00325490">
        <w:rPr>
          <w:sz w:val="24"/>
          <w:szCs w:val="24"/>
        </w:rPr>
        <w:noBreakHyphen/>
        <w:t>D</w:t>
      </w:r>
      <w:r w:rsidRPr="00325490">
        <w:rPr>
          <w:sz w:val="24"/>
          <w:szCs w:val="24"/>
        </w:rPr>
        <w:noBreakHyphen/>
        <w:t>alanin.</w:t>
      </w:r>
    </w:p>
    <w:p w14:paraId="21455582" w14:textId="77777777" w:rsidR="006420CF" w:rsidRPr="00325490" w:rsidRDefault="006420CF" w:rsidP="00CB3906">
      <w:pPr>
        <w:ind w:left="851"/>
        <w:rPr>
          <w:sz w:val="24"/>
          <w:szCs w:val="24"/>
        </w:rPr>
      </w:pPr>
    </w:p>
    <w:p w14:paraId="4AE2533C" w14:textId="77777777" w:rsidR="009E6F11" w:rsidRDefault="009E6F11" w:rsidP="00CB3906">
      <w:pPr>
        <w:ind w:left="851"/>
        <w:rPr>
          <w:sz w:val="24"/>
          <w:szCs w:val="24"/>
          <w:u w:val="single"/>
        </w:rPr>
      </w:pPr>
    </w:p>
    <w:p w14:paraId="7BEE2641" w14:textId="5082F448" w:rsidR="006420CF" w:rsidRPr="00325490" w:rsidRDefault="006420CF" w:rsidP="00CB3906">
      <w:pPr>
        <w:ind w:left="851"/>
        <w:rPr>
          <w:sz w:val="24"/>
          <w:szCs w:val="24"/>
          <w:u w:val="single"/>
        </w:rPr>
      </w:pPr>
      <w:r w:rsidRPr="00325490">
        <w:rPr>
          <w:sz w:val="24"/>
          <w:szCs w:val="24"/>
          <w:u w:val="single"/>
        </w:rPr>
        <w:lastRenderedPageBreak/>
        <w:t>Resistensmekanisme</w:t>
      </w:r>
    </w:p>
    <w:p w14:paraId="7A3E7722" w14:textId="77777777" w:rsidR="006420CF" w:rsidRPr="00325490" w:rsidRDefault="006420CF" w:rsidP="00CB3906">
      <w:pPr>
        <w:ind w:left="851"/>
        <w:rPr>
          <w:sz w:val="24"/>
          <w:szCs w:val="24"/>
        </w:rPr>
      </w:pPr>
      <w:r w:rsidRPr="00325490">
        <w:rPr>
          <w:sz w:val="24"/>
          <w:szCs w:val="24"/>
        </w:rPr>
        <w:t>Resistens over for teicoplanin kan opstå gennem følgende mekanismer:</w:t>
      </w:r>
    </w:p>
    <w:p w14:paraId="496D465E" w14:textId="18E71B34" w:rsidR="006420CF" w:rsidRPr="0063384F" w:rsidRDefault="006420CF" w:rsidP="0090551D">
      <w:pPr>
        <w:pStyle w:val="Listeafsnit"/>
        <w:numPr>
          <w:ilvl w:val="0"/>
          <w:numId w:val="14"/>
        </w:numPr>
        <w:ind w:left="1276" w:hanging="425"/>
        <w:rPr>
          <w:sz w:val="24"/>
          <w:szCs w:val="24"/>
        </w:rPr>
      </w:pPr>
      <w:r w:rsidRPr="0063384F">
        <w:rPr>
          <w:sz w:val="24"/>
          <w:szCs w:val="24"/>
        </w:rPr>
        <w:t xml:space="preserve">Ændret targetstruktur: Denne form for resistens er især observeret hos </w:t>
      </w:r>
      <w:r w:rsidRPr="0063384F">
        <w:rPr>
          <w:rStyle w:val="Bodytext2Italic"/>
          <w:rFonts w:ascii="Times New Roman" w:hAnsi="Times New Roman" w:cs="Times New Roman"/>
          <w:sz w:val="24"/>
          <w:szCs w:val="24"/>
        </w:rPr>
        <w:t>Enterococcus faecium.</w:t>
      </w:r>
      <w:r w:rsidRPr="0063384F">
        <w:rPr>
          <w:sz w:val="24"/>
          <w:szCs w:val="24"/>
        </w:rPr>
        <w:t xml:space="preserve"> Mekanismen indebærer en udskiftning af aminosyrekædens terminale D</w:t>
      </w:r>
      <w:r w:rsidRPr="0063384F">
        <w:rPr>
          <w:sz w:val="24"/>
          <w:szCs w:val="24"/>
        </w:rPr>
        <w:noBreakHyphen/>
        <w:t>alanin</w:t>
      </w:r>
      <w:r w:rsidRPr="0063384F">
        <w:rPr>
          <w:sz w:val="24"/>
          <w:szCs w:val="24"/>
        </w:rPr>
        <w:noBreakHyphen/>
        <w:t>D</w:t>
      </w:r>
      <w:r w:rsidRPr="0063384F">
        <w:rPr>
          <w:sz w:val="24"/>
          <w:szCs w:val="24"/>
        </w:rPr>
        <w:noBreakHyphen/>
        <w:t>alanin-gruppe i mureinforstadiet med D</w:t>
      </w:r>
      <w:r w:rsidRPr="0063384F">
        <w:rPr>
          <w:sz w:val="24"/>
          <w:szCs w:val="24"/>
        </w:rPr>
        <w:noBreakHyphen/>
      </w:r>
      <w:r w:rsidR="0063384F" w:rsidRPr="0063384F">
        <w:rPr>
          <w:sz w:val="24"/>
          <w:szCs w:val="24"/>
        </w:rPr>
        <w:t>Ala</w:t>
      </w:r>
      <w:r w:rsidRPr="0063384F">
        <w:rPr>
          <w:sz w:val="24"/>
          <w:szCs w:val="24"/>
        </w:rPr>
        <w:noBreakHyphen/>
        <w:t>D</w:t>
      </w:r>
      <w:r w:rsidRPr="0063384F">
        <w:rPr>
          <w:sz w:val="24"/>
          <w:szCs w:val="24"/>
        </w:rPr>
        <w:noBreakHyphen/>
        <w:t>laktat, hvilket reducerer affiniteten til vancomycin. De ansvarlige enzymer er en nyligt syntetiseret D</w:t>
      </w:r>
      <w:r w:rsidRPr="0063384F">
        <w:rPr>
          <w:sz w:val="24"/>
          <w:szCs w:val="24"/>
        </w:rPr>
        <w:noBreakHyphen/>
        <w:t>laktatdehydrogenase eller -ligase.</w:t>
      </w:r>
    </w:p>
    <w:p w14:paraId="00315719" w14:textId="03686093" w:rsidR="006420CF" w:rsidRPr="0063384F" w:rsidRDefault="006420CF" w:rsidP="0090551D">
      <w:pPr>
        <w:pStyle w:val="Listeafsnit"/>
        <w:numPr>
          <w:ilvl w:val="0"/>
          <w:numId w:val="14"/>
        </w:numPr>
        <w:ind w:left="1276" w:hanging="425"/>
        <w:rPr>
          <w:sz w:val="24"/>
          <w:szCs w:val="24"/>
        </w:rPr>
      </w:pPr>
      <w:r w:rsidRPr="0063384F">
        <w:rPr>
          <w:sz w:val="24"/>
          <w:szCs w:val="24"/>
        </w:rPr>
        <w:t xml:space="preserve">Den nedsatte følsomhed eller resistens hos stafylokokker over for teicoplanin skyldes overproduktion af mureinforstadier, som teicoplanin </w:t>
      </w:r>
      <w:r w:rsidR="0063384F" w:rsidRPr="0063384F">
        <w:rPr>
          <w:sz w:val="24"/>
          <w:szCs w:val="24"/>
        </w:rPr>
        <w:t>er bundet til</w:t>
      </w:r>
      <w:r w:rsidRPr="0063384F">
        <w:rPr>
          <w:sz w:val="24"/>
          <w:szCs w:val="24"/>
        </w:rPr>
        <w:t>.</w:t>
      </w:r>
    </w:p>
    <w:p w14:paraId="7FE7107A" w14:textId="77777777" w:rsidR="006420CF" w:rsidRPr="002D79F0" w:rsidRDefault="006420CF" w:rsidP="002D79F0">
      <w:pPr>
        <w:ind w:left="851"/>
        <w:rPr>
          <w:sz w:val="24"/>
          <w:szCs w:val="24"/>
        </w:rPr>
      </w:pPr>
    </w:p>
    <w:p w14:paraId="7E41D1EA" w14:textId="77777777" w:rsidR="002D79F0" w:rsidRPr="002D79F0" w:rsidRDefault="002D79F0" w:rsidP="002D79F0">
      <w:pPr>
        <w:pStyle w:val="Bodytext20"/>
        <w:shd w:val="clear" w:color="auto" w:fill="auto"/>
        <w:spacing w:before="0" w:after="0" w:line="240" w:lineRule="auto"/>
        <w:ind w:left="851" w:firstLine="0"/>
        <w:rPr>
          <w:rFonts w:ascii="Times New Roman" w:hAnsi="Times New Roman" w:cs="Times New Roman"/>
          <w:sz w:val="24"/>
          <w:szCs w:val="24"/>
          <w:lang w:eastAsia="en-US"/>
        </w:rPr>
      </w:pPr>
      <w:r w:rsidRPr="002D79F0">
        <w:rPr>
          <w:rFonts w:ascii="Times New Roman" w:hAnsi="Times New Roman"/>
          <w:sz w:val="24"/>
          <w:szCs w:val="24"/>
        </w:rPr>
        <w:t>Der kan forekomme krydsresistens mellem teicoplanin og glykopeptidet vancomycin. Visse vancomycin-resistente enterokokker er følsomme over for teicoplanin (Van</w:t>
      </w:r>
      <w:r w:rsidRPr="002D79F0">
        <w:rPr>
          <w:rFonts w:ascii="Times New Roman" w:hAnsi="Times New Roman"/>
          <w:sz w:val="24"/>
          <w:szCs w:val="24"/>
        </w:rPr>
        <w:noBreakHyphen/>
        <w:t>B</w:t>
      </w:r>
      <w:r w:rsidRPr="002D79F0">
        <w:rPr>
          <w:rFonts w:ascii="Times New Roman" w:hAnsi="Times New Roman"/>
          <w:sz w:val="24"/>
          <w:szCs w:val="24"/>
        </w:rPr>
        <w:noBreakHyphen/>
        <w:t>fænotype).</w:t>
      </w:r>
    </w:p>
    <w:p w14:paraId="0CABF55A" w14:textId="77777777" w:rsidR="006420CF" w:rsidRPr="002D79F0" w:rsidRDefault="006420CF" w:rsidP="002D79F0">
      <w:pPr>
        <w:ind w:left="851"/>
        <w:rPr>
          <w:sz w:val="24"/>
          <w:szCs w:val="24"/>
        </w:rPr>
      </w:pPr>
    </w:p>
    <w:p w14:paraId="3BF03657" w14:textId="77777777" w:rsidR="006420CF" w:rsidRPr="00325490" w:rsidRDefault="006420CF" w:rsidP="00CB3906">
      <w:pPr>
        <w:ind w:left="851"/>
        <w:rPr>
          <w:sz w:val="24"/>
          <w:szCs w:val="24"/>
          <w:u w:val="single"/>
        </w:rPr>
      </w:pPr>
      <w:r w:rsidRPr="00325490">
        <w:rPr>
          <w:sz w:val="24"/>
          <w:szCs w:val="24"/>
          <w:u w:val="single"/>
        </w:rPr>
        <w:t>Tærskelværdier for følsomhedsbestemmelse</w:t>
      </w:r>
    </w:p>
    <w:p w14:paraId="09618DBD" w14:textId="77777777" w:rsidR="006420CF" w:rsidRPr="00325490" w:rsidRDefault="006420CF" w:rsidP="00CB3906">
      <w:pPr>
        <w:ind w:left="851"/>
        <w:rPr>
          <w:bCs/>
          <w:sz w:val="24"/>
          <w:szCs w:val="24"/>
        </w:rPr>
      </w:pPr>
      <w:r w:rsidRPr="00325490">
        <w:rPr>
          <w:color w:val="000000"/>
          <w:sz w:val="24"/>
          <w:szCs w:val="24"/>
        </w:rPr>
        <w:t xml:space="preserve">MIC (mindste hæmmende koncentration)-fortolkningskriterier for følsomhedsbestemmelse er blevet fastlagt af European Committee on Antimicrobial Susceptibility Testing (EUCAST) for teicoplanin og er tilgængelige her: </w:t>
      </w:r>
      <w:hyperlink r:id="rId10" w:history="1">
        <w:r w:rsidRPr="00325490">
          <w:rPr>
            <w:rStyle w:val="Hyperlink"/>
            <w:sz w:val="24"/>
            <w:szCs w:val="24"/>
          </w:rPr>
          <w:t>https://www.ema.europa.eu/documents/other/minimum-inhibitory-concentration-mic-breakpoints_en.xlsx</w:t>
        </w:r>
      </w:hyperlink>
    </w:p>
    <w:p w14:paraId="7E872EDF" w14:textId="77777777" w:rsidR="006420CF" w:rsidRPr="00325490" w:rsidRDefault="006420CF" w:rsidP="00CB3906">
      <w:pPr>
        <w:ind w:left="851"/>
        <w:rPr>
          <w:sz w:val="24"/>
          <w:szCs w:val="24"/>
        </w:rPr>
      </w:pPr>
    </w:p>
    <w:p w14:paraId="231E2F74" w14:textId="77777777" w:rsidR="006420CF" w:rsidRPr="00325490" w:rsidRDefault="006420CF" w:rsidP="00CB3906">
      <w:pPr>
        <w:ind w:left="851"/>
        <w:rPr>
          <w:sz w:val="24"/>
          <w:szCs w:val="24"/>
          <w:u w:val="single"/>
        </w:rPr>
      </w:pPr>
      <w:r w:rsidRPr="00325490">
        <w:rPr>
          <w:sz w:val="24"/>
          <w:szCs w:val="24"/>
          <w:u w:val="single"/>
        </w:rPr>
        <w:t>Farmakokinetiske/farmakodynamiske forhold</w:t>
      </w:r>
    </w:p>
    <w:p w14:paraId="580F3427" w14:textId="77777777" w:rsidR="006420CF" w:rsidRPr="00325490" w:rsidRDefault="006420CF" w:rsidP="00CB3906">
      <w:pPr>
        <w:ind w:left="851"/>
        <w:rPr>
          <w:sz w:val="24"/>
          <w:szCs w:val="24"/>
        </w:rPr>
      </w:pPr>
      <w:r w:rsidRPr="00325490">
        <w:rPr>
          <w:sz w:val="24"/>
          <w:szCs w:val="24"/>
        </w:rPr>
        <w:t>Teicoplanins antimikrobielle aktivitet afhænger i væsentlig grad af den tid, hvor lægemiddelkoncentrationen ligger over den mindste hæmmende koncentration (MIC) for patogenet.</w:t>
      </w:r>
    </w:p>
    <w:p w14:paraId="5A50B327" w14:textId="77777777" w:rsidR="006420CF" w:rsidRPr="00325490" w:rsidRDefault="006420CF" w:rsidP="00CB3906">
      <w:pPr>
        <w:ind w:left="851"/>
        <w:rPr>
          <w:sz w:val="24"/>
          <w:szCs w:val="24"/>
        </w:rPr>
      </w:pPr>
    </w:p>
    <w:p w14:paraId="64F5CA17" w14:textId="77777777" w:rsidR="006420CF" w:rsidRPr="00325490" w:rsidRDefault="006420CF" w:rsidP="00CB3906">
      <w:pPr>
        <w:ind w:left="851"/>
        <w:rPr>
          <w:sz w:val="24"/>
          <w:szCs w:val="24"/>
        </w:rPr>
      </w:pPr>
      <w:r w:rsidRPr="00325490">
        <w:rPr>
          <w:sz w:val="24"/>
          <w:szCs w:val="24"/>
        </w:rPr>
        <w:t>Følsomhed</w:t>
      </w:r>
    </w:p>
    <w:p w14:paraId="4456B5EA" w14:textId="12DFEC93" w:rsidR="006420CF" w:rsidRPr="00AF7A82" w:rsidRDefault="00AF7A82" w:rsidP="00CB3906">
      <w:pPr>
        <w:ind w:left="851"/>
        <w:rPr>
          <w:sz w:val="24"/>
          <w:szCs w:val="24"/>
        </w:rPr>
      </w:pPr>
      <w:r w:rsidRPr="00AF7A82">
        <w:rPr>
          <w:sz w:val="24"/>
          <w:szCs w:val="24"/>
        </w:rPr>
        <w:t>Forekomsten af resistens kan variere geografisk og over tid for visse arter, og lokal resistensinformation bør tages i betragtning, især ved behandling af alvorlige infektioner. Om nødvendigt bør der søges ekspertrådgivning, når den lokale forekomst af resistens er således, at midlets anvendelighed i det mindste ved visse typer infektioner kan betvivles.</w:t>
      </w:r>
    </w:p>
    <w:p w14:paraId="56B685DA" w14:textId="77777777" w:rsidR="00CB3906" w:rsidRPr="00AF7A82" w:rsidRDefault="00CB3906" w:rsidP="00CB3906">
      <w:pPr>
        <w:ind w:left="851"/>
        <w:rPr>
          <w:sz w:val="24"/>
          <w:szCs w:val="24"/>
        </w:rPr>
      </w:pPr>
    </w:p>
    <w:tbl>
      <w:tblPr>
        <w:tblStyle w:val="Tabel-Gitter"/>
        <w:tblW w:w="8647" w:type="dxa"/>
        <w:tblInd w:w="846" w:type="dxa"/>
        <w:tblBorders>
          <w:top w:val="single" w:sz="12" w:space="0" w:color="auto"/>
          <w:left w:val="none" w:sz="0" w:space="0" w:color="auto"/>
          <w:bottom w:val="single" w:sz="12" w:space="0" w:color="auto"/>
          <w:right w:val="none" w:sz="0" w:space="0" w:color="auto"/>
          <w:insideH w:val="single" w:sz="12" w:space="0" w:color="auto"/>
        </w:tblBorders>
        <w:tblLook w:val="04A0" w:firstRow="1" w:lastRow="0" w:firstColumn="1" w:lastColumn="0" w:noHBand="0" w:noVBand="1"/>
      </w:tblPr>
      <w:tblGrid>
        <w:gridCol w:w="8647"/>
      </w:tblGrid>
      <w:tr w:rsidR="00CB3906" w:rsidRPr="00FE44AB" w14:paraId="2C95670B" w14:textId="77777777" w:rsidTr="0090551D">
        <w:tc>
          <w:tcPr>
            <w:tcW w:w="8647" w:type="dxa"/>
          </w:tcPr>
          <w:p w14:paraId="12711B60" w14:textId="77777777" w:rsidR="00CB3906" w:rsidRPr="00AF7A82" w:rsidRDefault="00CB3906" w:rsidP="00AF7A82">
            <w:pPr>
              <w:rPr>
                <w:rFonts w:ascii="Times New Roman" w:hAnsi="Times New Roman" w:cs="Times New Roman"/>
                <w:b/>
                <w:sz w:val="24"/>
                <w:szCs w:val="24"/>
              </w:rPr>
            </w:pPr>
            <w:r w:rsidRPr="00AF7A82">
              <w:rPr>
                <w:rFonts w:ascii="Times New Roman" w:hAnsi="Times New Roman" w:cs="Times New Roman"/>
                <w:b/>
                <w:sz w:val="24"/>
                <w:szCs w:val="24"/>
              </w:rPr>
              <w:t>Normalt følsomme arter</w:t>
            </w:r>
          </w:p>
          <w:p w14:paraId="1833E641" w14:textId="77777777" w:rsidR="00CB3906" w:rsidRPr="00AF7A82" w:rsidRDefault="00CB3906" w:rsidP="00AF7A82">
            <w:pPr>
              <w:rPr>
                <w:rFonts w:ascii="Times New Roman" w:hAnsi="Times New Roman" w:cs="Times New Roman"/>
                <w:b/>
                <w:i/>
                <w:sz w:val="24"/>
                <w:szCs w:val="24"/>
              </w:rPr>
            </w:pPr>
            <w:r w:rsidRPr="00AF7A82">
              <w:rPr>
                <w:rFonts w:ascii="Times New Roman" w:hAnsi="Times New Roman" w:cs="Times New Roman"/>
                <w:b/>
                <w:i/>
                <w:sz w:val="24"/>
                <w:szCs w:val="24"/>
              </w:rPr>
              <w:t>Aerobe grampositive bakterier</w:t>
            </w:r>
          </w:p>
          <w:p w14:paraId="1A14FDD1" w14:textId="77777777" w:rsidR="00CB3906" w:rsidRPr="00AF7A82" w:rsidRDefault="00CB3906" w:rsidP="00AF7A82">
            <w:pPr>
              <w:rPr>
                <w:rFonts w:ascii="Times New Roman" w:hAnsi="Times New Roman" w:cs="Times New Roman"/>
                <w:i/>
                <w:sz w:val="24"/>
                <w:szCs w:val="24"/>
                <w:lang w:val="en-US"/>
              </w:rPr>
            </w:pPr>
            <w:r w:rsidRPr="00AF7A82">
              <w:rPr>
                <w:rFonts w:ascii="Times New Roman" w:hAnsi="Times New Roman" w:cs="Times New Roman"/>
                <w:i/>
                <w:sz w:val="24"/>
                <w:szCs w:val="24"/>
                <w:lang w:val="en-US"/>
              </w:rPr>
              <w:t>Corynebacterium jeikeium</w:t>
            </w:r>
            <w:r w:rsidRPr="00AF7A82">
              <w:rPr>
                <w:rFonts w:ascii="Times New Roman" w:hAnsi="Times New Roman" w:cs="Times New Roman"/>
                <w:i/>
                <w:sz w:val="24"/>
                <w:szCs w:val="24"/>
                <w:vertAlign w:val="superscript"/>
              </w:rPr>
              <w:t>α</w:t>
            </w:r>
          </w:p>
          <w:p w14:paraId="325A093A" w14:textId="77777777" w:rsidR="00CB3906" w:rsidRPr="00AF7A82" w:rsidRDefault="00CB3906" w:rsidP="00AF7A82">
            <w:pPr>
              <w:rPr>
                <w:rFonts w:ascii="Times New Roman" w:hAnsi="Times New Roman" w:cs="Times New Roman"/>
                <w:i/>
                <w:sz w:val="24"/>
                <w:szCs w:val="24"/>
                <w:vertAlign w:val="superscript"/>
                <w:lang w:val="en-US"/>
              </w:rPr>
            </w:pPr>
            <w:r w:rsidRPr="00AF7A82">
              <w:rPr>
                <w:rFonts w:ascii="Times New Roman" w:hAnsi="Times New Roman" w:cs="Times New Roman"/>
                <w:i/>
                <w:sz w:val="24"/>
                <w:szCs w:val="24"/>
                <w:lang w:val="en-US"/>
              </w:rPr>
              <w:t>Enterococcus faecalis</w:t>
            </w:r>
          </w:p>
          <w:p w14:paraId="4320C8CB" w14:textId="77777777" w:rsidR="00CB3906" w:rsidRPr="00AF7A82" w:rsidRDefault="00CB3906" w:rsidP="00AF7A82">
            <w:pPr>
              <w:rPr>
                <w:rFonts w:ascii="Times New Roman" w:hAnsi="Times New Roman" w:cs="Times New Roman"/>
                <w:i/>
                <w:sz w:val="24"/>
                <w:szCs w:val="24"/>
                <w:lang w:val="en-US"/>
              </w:rPr>
            </w:pPr>
            <w:r w:rsidRPr="00AF7A82">
              <w:rPr>
                <w:rFonts w:ascii="Times New Roman" w:hAnsi="Times New Roman" w:cs="Times New Roman"/>
                <w:i/>
                <w:sz w:val="24"/>
                <w:szCs w:val="24"/>
                <w:lang w:val="en-US"/>
              </w:rPr>
              <w:t>Staphylococcus aureus (</w:t>
            </w:r>
            <w:r w:rsidRPr="00AF7A82">
              <w:rPr>
                <w:rFonts w:ascii="Times New Roman" w:hAnsi="Times New Roman" w:cs="Times New Roman"/>
                <w:sz w:val="24"/>
                <w:szCs w:val="24"/>
                <w:lang w:val="en-US"/>
              </w:rPr>
              <w:t>inklusive methicillinresistente stammer</w:t>
            </w:r>
            <w:r w:rsidRPr="00AF7A82">
              <w:rPr>
                <w:rFonts w:ascii="Times New Roman" w:hAnsi="Times New Roman" w:cs="Times New Roman"/>
                <w:i/>
                <w:sz w:val="24"/>
                <w:szCs w:val="24"/>
                <w:lang w:val="en-US"/>
              </w:rPr>
              <w:t>)</w:t>
            </w:r>
          </w:p>
          <w:p w14:paraId="5BC3DB9A" w14:textId="77777777" w:rsidR="00CB3906" w:rsidRPr="00AF7A82" w:rsidRDefault="00CB3906" w:rsidP="00AF7A82">
            <w:pPr>
              <w:rPr>
                <w:rFonts w:ascii="Times New Roman" w:hAnsi="Times New Roman" w:cs="Times New Roman"/>
                <w:i/>
                <w:sz w:val="24"/>
                <w:szCs w:val="24"/>
                <w:lang w:val="en-US"/>
              </w:rPr>
            </w:pPr>
            <w:r w:rsidRPr="00AF7A82">
              <w:rPr>
                <w:rFonts w:ascii="Times New Roman" w:hAnsi="Times New Roman" w:cs="Times New Roman"/>
                <w:i/>
                <w:sz w:val="24"/>
                <w:szCs w:val="24"/>
                <w:lang w:val="en-US"/>
              </w:rPr>
              <w:t>Streptococcus agalactiae</w:t>
            </w:r>
          </w:p>
          <w:p w14:paraId="03CC8435" w14:textId="77777777" w:rsidR="00CB3906" w:rsidRPr="00AF7A82" w:rsidRDefault="00CB3906" w:rsidP="00AF7A82">
            <w:pPr>
              <w:rPr>
                <w:rFonts w:ascii="Times New Roman" w:hAnsi="Times New Roman" w:cs="Times New Roman"/>
                <w:i/>
                <w:sz w:val="24"/>
                <w:szCs w:val="24"/>
                <w:lang w:val="en-US"/>
              </w:rPr>
            </w:pPr>
            <w:r w:rsidRPr="00AF7A82">
              <w:rPr>
                <w:rFonts w:ascii="Times New Roman" w:hAnsi="Times New Roman" w:cs="Times New Roman"/>
                <w:i/>
                <w:sz w:val="24"/>
                <w:szCs w:val="24"/>
                <w:lang w:val="en-US"/>
              </w:rPr>
              <w:t>Streptococcus dysgalactiae subsp. equisimilis</w:t>
            </w:r>
            <w:r w:rsidRPr="00AF7A82">
              <w:rPr>
                <w:rFonts w:ascii="Times New Roman" w:hAnsi="Times New Roman" w:cs="Times New Roman"/>
                <w:i/>
                <w:sz w:val="24"/>
                <w:szCs w:val="24"/>
                <w:vertAlign w:val="superscript"/>
                <w:lang w:val="en-US"/>
              </w:rPr>
              <w:t>a</w:t>
            </w:r>
          </w:p>
          <w:p w14:paraId="57F88FE3" w14:textId="77777777" w:rsidR="00CB3906" w:rsidRPr="00AF7A82" w:rsidRDefault="00CB3906" w:rsidP="00AF7A82">
            <w:pPr>
              <w:rPr>
                <w:rFonts w:ascii="Times New Roman" w:hAnsi="Times New Roman" w:cs="Times New Roman"/>
                <w:sz w:val="24"/>
                <w:szCs w:val="24"/>
              </w:rPr>
            </w:pPr>
            <w:r w:rsidRPr="00AF7A82">
              <w:rPr>
                <w:rFonts w:ascii="Times New Roman" w:hAnsi="Times New Roman" w:cs="Times New Roman"/>
                <w:sz w:val="24"/>
                <w:szCs w:val="24"/>
              </w:rPr>
              <w:t>(gruppe C- og G</w:t>
            </w:r>
            <w:r w:rsidRPr="00AF7A82">
              <w:rPr>
                <w:rFonts w:ascii="Times New Roman" w:hAnsi="Times New Roman" w:cs="Times New Roman"/>
                <w:sz w:val="24"/>
                <w:szCs w:val="24"/>
              </w:rPr>
              <w:noBreakHyphen/>
              <w:t>streptokokker)</w:t>
            </w:r>
          </w:p>
          <w:p w14:paraId="75B4DEDD" w14:textId="77777777" w:rsidR="00CB3906" w:rsidRPr="00AF7A82" w:rsidRDefault="00CB3906" w:rsidP="00AF7A82">
            <w:pPr>
              <w:rPr>
                <w:rFonts w:ascii="Times New Roman" w:hAnsi="Times New Roman" w:cs="Times New Roman"/>
                <w:i/>
                <w:sz w:val="24"/>
                <w:szCs w:val="24"/>
              </w:rPr>
            </w:pPr>
            <w:r w:rsidRPr="00AF7A82">
              <w:rPr>
                <w:rFonts w:ascii="Times New Roman" w:hAnsi="Times New Roman" w:cs="Times New Roman"/>
                <w:i/>
                <w:sz w:val="24"/>
                <w:szCs w:val="24"/>
              </w:rPr>
              <w:t>Streptococcus pneumoniae</w:t>
            </w:r>
          </w:p>
          <w:p w14:paraId="36D6B79A" w14:textId="77777777" w:rsidR="00CB3906" w:rsidRPr="00AF7A82" w:rsidRDefault="00CB3906" w:rsidP="00AF7A82">
            <w:pPr>
              <w:rPr>
                <w:rFonts w:ascii="Times New Roman" w:hAnsi="Times New Roman" w:cs="Times New Roman"/>
                <w:i/>
                <w:sz w:val="24"/>
                <w:szCs w:val="24"/>
              </w:rPr>
            </w:pPr>
            <w:r w:rsidRPr="00AF7A82">
              <w:rPr>
                <w:rFonts w:ascii="Times New Roman" w:hAnsi="Times New Roman" w:cs="Times New Roman"/>
                <w:i/>
                <w:sz w:val="24"/>
                <w:szCs w:val="24"/>
              </w:rPr>
              <w:t>Streptococcus pyogenes</w:t>
            </w:r>
          </w:p>
          <w:p w14:paraId="0B4147B5" w14:textId="77777777" w:rsidR="00AF7A82" w:rsidRPr="00AF7A82" w:rsidRDefault="00AF7A82" w:rsidP="00AF7A82">
            <w:pPr>
              <w:pStyle w:val="Bodytext20"/>
              <w:spacing w:before="0" w:after="0" w:line="240" w:lineRule="auto"/>
              <w:ind w:firstLine="0"/>
              <w:rPr>
                <w:rFonts w:ascii="Times New Roman" w:hAnsi="Times New Roman"/>
                <w:i/>
                <w:sz w:val="24"/>
                <w:szCs w:val="24"/>
                <w:vertAlign w:val="superscript"/>
              </w:rPr>
            </w:pPr>
            <w:r w:rsidRPr="00AF7A82">
              <w:rPr>
                <w:rFonts w:ascii="Times New Roman" w:hAnsi="Times New Roman"/>
                <w:i/>
                <w:sz w:val="24"/>
                <w:szCs w:val="24"/>
              </w:rPr>
              <w:t>Streptokokker i viridansgruppe</w:t>
            </w:r>
            <w:r w:rsidRPr="00AF7A82">
              <w:rPr>
                <w:rFonts w:ascii="Times New Roman" w:hAnsi="Times New Roman"/>
                <w:i/>
                <w:sz w:val="24"/>
                <w:szCs w:val="24"/>
                <w:vertAlign w:val="superscript"/>
              </w:rPr>
              <w:t xml:space="preserve"> a</w:t>
            </w:r>
            <w:r w:rsidRPr="00AF7A82">
              <w:rPr>
                <w:rFonts w:ascii="Times New Roman" w:hAnsi="Times New Roman"/>
                <w:i/>
                <w:sz w:val="24"/>
                <w:szCs w:val="24"/>
              </w:rPr>
              <w:t xml:space="preserve"> </w:t>
            </w:r>
            <w:r w:rsidRPr="00AF7A82">
              <w:rPr>
                <w:rFonts w:ascii="Times New Roman" w:hAnsi="Times New Roman"/>
                <w:i/>
                <w:sz w:val="24"/>
                <w:szCs w:val="24"/>
                <w:vertAlign w:val="superscript"/>
              </w:rPr>
              <w:t>b</w:t>
            </w:r>
          </w:p>
          <w:p w14:paraId="667BD6B1" w14:textId="015093C3" w:rsidR="00CB3906" w:rsidRPr="009E6F11" w:rsidRDefault="00CB3906" w:rsidP="00AF7A82">
            <w:pPr>
              <w:pStyle w:val="Bodytext20"/>
              <w:spacing w:before="0" w:after="0" w:line="240" w:lineRule="auto"/>
              <w:ind w:firstLine="0"/>
              <w:rPr>
                <w:rFonts w:ascii="Times New Roman" w:hAnsi="Times New Roman" w:cs="Times New Roman"/>
                <w:i/>
                <w:sz w:val="24"/>
                <w:szCs w:val="24"/>
                <w:lang w:val="en-US" w:eastAsia="en-US"/>
              </w:rPr>
            </w:pPr>
            <w:r w:rsidRPr="009E6F11">
              <w:rPr>
                <w:rFonts w:ascii="Times New Roman" w:hAnsi="Times New Roman" w:cs="Times New Roman"/>
                <w:b/>
                <w:i/>
                <w:sz w:val="24"/>
                <w:szCs w:val="24"/>
                <w:lang w:val="en-US"/>
              </w:rPr>
              <w:t>Anaerobe grampositive bakterier</w:t>
            </w:r>
          </w:p>
          <w:p w14:paraId="0EDDAB05" w14:textId="77777777" w:rsidR="009E6F11" w:rsidRPr="009E6F11" w:rsidRDefault="009E6F11" w:rsidP="009E6F11">
            <w:pPr>
              <w:pStyle w:val="Bodytext20"/>
              <w:spacing w:before="0" w:after="0" w:line="240" w:lineRule="auto"/>
              <w:ind w:left="200"/>
              <w:rPr>
                <w:rFonts w:ascii="Times New Roman" w:hAnsi="Times New Roman" w:cs="Times New Roman"/>
                <w:i/>
                <w:sz w:val="24"/>
                <w:szCs w:val="22"/>
                <w:lang w:val="nb-NO"/>
              </w:rPr>
            </w:pPr>
            <w:r w:rsidRPr="009E6F11">
              <w:rPr>
                <w:rFonts w:ascii="Times New Roman" w:hAnsi="Times New Roman"/>
                <w:i/>
                <w:sz w:val="24"/>
                <w:lang w:val="nb-NO"/>
              </w:rPr>
              <w:t>Clostridioides difficile</w:t>
            </w:r>
            <w:r w:rsidRPr="009E6F11">
              <w:rPr>
                <w:rFonts w:ascii="Times New Roman" w:hAnsi="Times New Roman"/>
                <w:i/>
                <w:sz w:val="24"/>
                <w:vertAlign w:val="superscript"/>
              </w:rPr>
              <w:t>α</w:t>
            </w:r>
          </w:p>
          <w:p w14:paraId="6414A07B" w14:textId="77777777" w:rsidR="00CB3906" w:rsidRPr="009E6F11" w:rsidRDefault="00CB3906" w:rsidP="00AF7A82">
            <w:pPr>
              <w:rPr>
                <w:rFonts w:ascii="Times New Roman" w:hAnsi="Times New Roman" w:cs="Times New Roman"/>
                <w:i/>
                <w:sz w:val="24"/>
                <w:szCs w:val="24"/>
                <w:lang w:val="en-US"/>
              </w:rPr>
            </w:pPr>
            <w:r w:rsidRPr="009E6F11">
              <w:rPr>
                <w:rFonts w:ascii="Times New Roman" w:hAnsi="Times New Roman" w:cs="Times New Roman"/>
                <w:i/>
                <w:sz w:val="24"/>
                <w:szCs w:val="24"/>
                <w:lang w:val="en-US"/>
              </w:rPr>
              <w:t>Peptostreptococcus spp.</w:t>
            </w:r>
            <w:r w:rsidRPr="00AF7A82">
              <w:rPr>
                <w:rFonts w:ascii="Times New Roman" w:hAnsi="Times New Roman" w:cs="Times New Roman"/>
                <w:i/>
                <w:sz w:val="24"/>
                <w:szCs w:val="24"/>
                <w:vertAlign w:val="superscript"/>
              </w:rPr>
              <w:t>α</w:t>
            </w:r>
          </w:p>
          <w:p w14:paraId="00328142" w14:textId="77777777" w:rsidR="00CB3906" w:rsidRPr="009E6F11" w:rsidRDefault="00CB3906" w:rsidP="00CB3906">
            <w:pPr>
              <w:rPr>
                <w:rFonts w:ascii="Times New Roman" w:hAnsi="Times New Roman" w:cs="Times New Roman"/>
                <w:sz w:val="24"/>
                <w:szCs w:val="24"/>
                <w:shd w:val="clear" w:color="auto" w:fill="FFFFFF"/>
                <w:lang w:val="en-US"/>
              </w:rPr>
            </w:pPr>
          </w:p>
        </w:tc>
      </w:tr>
      <w:tr w:rsidR="00CB3906" w:rsidRPr="00325490" w14:paraId="3976A3E9" w14:textId="77777777" w:rsidTr="0090551D">
        <w:tc>
          <w:tcPr>
            <w:tcW w:w="8647" w:type="dxa"/>
          </w:tcPr>
          <w:p w14:paraId="201274A4" w14:textId="77777777" w:rsidR="00CB3906" w:rsidRPr="00325490" w:rsidRDefault="00CB3906" w:rsidP="00CB3906">
            <w:pPr>
              <w:rPr>
                <w:rFonts w:ascii="Times New Roman" w:hAnsi="Times New Roman" w:cs="Times New Roman"/>
                <w:b/>
                <w:sz w:val="24"/>
                <w:szCs w:val="24"/>
              </w:rPr>
            </w:pPr>
            <w:r w:rsidRPr="00325490">
              <w:rPr>
                <w:rFonts w:ascii="Times New Roman" w:hAnsi="Times New Roman" w:cs="Times New Roman"/>
                <w:b/>
                <w:sz w:val="24"/>
                <w:szCs w:val="24"/>
              </w:rPr>
              <w:t>Arter, for hvilke erhvervet resistens kan være et problem</w:t>
            </w:r>
          </w:p>
          <w:p w14:paraId="7F1189FF" w14:textId="77777777" w:rsidR="00CB3906" w:rsidRPr="00325490" w:rsidRDefault="00CB3906" w:rsidP="00CB3906">
            <w:pPr>
              <w:rPr>
                <w:rFonts w:ascii="Times New Roman" w:hAnsi="Times New Roman" w:cs="Times New Roman"/>
                <w:b/>
                <w:i/>
                <w:sz w:val="24"/>
                <w:szCs w:val="24"/>
                <w:lang w:val="en-US"/>
              </w:rPr>
            </w:pPr>
            <w:r w:rsidRPr="00325490">
              <w:rPr>
                <w:rFonts w:ascii="Times New Roman" w:hAnsi="Times New Roman" w:cs="Times New Roman"/>
                <w:b/>
                <w:i/>
                <w:sz w:val="24"/>
                <w:szCs w:val="24"/>
                <w:lang w:val="en-US"/>
              </w:rPr>
              <w:t>Aerobe grampositive bakterier</w:t>
            </w:r>
          </w:p>
          <w:p w14:paraId="5EE7F458" w14:textId="77777777" w:rsidR="00CB3906" w:rsidRPr="00325490" w:rsidRDefault="00CB3906" w:rsidP="00CB3906">
            <w:pPr>
              <w:rPr>
                <w:rFonts w:ascii="Times New Roman" w:hAnsi="Times New Roman" w:cs="Times New Roman"/>
                <w:i/>
                <w:sz w:val="24"/>
                <w:szCs w:val="24"/>
                <w:lang w:val="en-US"/>
              </w:rPr>
            </w:pPr>
            <w:r w:rsidRPr="00325490">
              <w:rPr>
                <w:rFonts w:ascii="Times New Roman" w:hAnsi="Times New Roman" w:cs="Times New Roman"/>
                <w:i/>
                <w:sz w:val="24"/>
                <w:szCs w:val="24"/>
                <w:lang w:val="en-US"/>
              </w:rPr>
              <w:t>Enterococcus faecium</w:t>
            </w:r>
          </w:p>
          <w:p w14:paraId="0395C5CA" w14:textId="77777777" w:rsidR="00CB3906" w:rsidRPr="00325490" w:rsidRDefault="00CB3906" w:rsidP="00CB3906">
            <w:pPr>
              <w:rPr>
                <w:rFonts w:ascii="Times New Roman" w:hAnsi="Times New Roman" w:cs="Times New Roman"/>
                <w:i/>
                <w:sz w:val="24"/>
                <w:szCs w:val="24"/>
                <w:lang w:val="en-US"/>
              </w:rPr>
            </w:pPr>
            <w:r w:rsidRPr="00325490">
              <w:rPr>
                <w:rFonts w:ascii="Times New Roman" w:hAnsi="Times New Roman" w:cs="Times New Roman"/>
                <w:i/>
                <w:sz w:val="24"/>
                <w:szCs w:val="24"/>
                <w:lang w:val="en-US"/>
              </w:rPr>
              <w:t>Staphylococcus epidermidis</w:t>
            </w:r>
          </w:p>
          <w:p w14:paraId="23D1867D" w14:textId="77777777" w:rsidR="00CB3906" w:rsidRPr="00325490" w:rsidRDefault="00CB3906" w:rsidP="00CB3906">
            <w:pPr>
              <w:rPr>
                <w:rFonts w:ascii="Times New Roman" w:hAnsi="Times New Roman" w:cs="Times New Roman"/>
                <w:i/>
                <w:sz w:val="24"/>
                <w:szCs w:val="24"/>
                <w:lang w:val="en-US"/>
              </w:rPr>
            </w:pPr>
            <w:r w:rsidRPr="00325490">
              <w:rPr>
                <w:rFonts w:ascii="Times New Roman" w:hAnsi="Times New Roman" w:cs="Times New Roman"/>
                <w:i/>
                <w:sz w:val="24"/>
                <w:szCs w:val="24"/>
                <w:lang w:val="en-US"/>
              </w:rPr>
              <w:t>Staphylococcus haemolyticus</w:t>
            </w:r>
          </w:p>
          <w:p w14:paraId="3821346A" w14:textId="77777777" w:rsidR="00CB3906" w:rsidRPr="00325490" w:rsidRDefault="00CB3906" w:rsidP="00CB3906">
            <w:pPr>
              <w:rPr>
                <w:rFonts w:ascii="Times New Roman" w:hAnsi="Times New Roman" w:cs="Times New Roman"/>
                <w:i/>
                <w:sz w:val="24"/>
                <w:szCs w:val="24"/>
              </w:rPr>
            </w:pPr>
            <w:r w:rsidRPr="00325490">
              <w:rPr>
                <w:rFonts w:ascii="Times New Roman" w:hAnsi="Times New Roman" w:cs="Times New Roman"/>
                <w:i/>
                <w:sz w:val="24"/>
                <w:szCs w:val="24"/>
              </w:rPr>
              <w:t>Staphylococcus hominis</w:t>
            </w:r>
          </w:p>
          <w:p w14:paraId="7A9ECEF6" w14:textId="77777777" w:rsidR="00CB3906" w:rsidRPr="00325490" w:rsidRDefault="00CB3906" w:rsidP="00CB3906">
            <w:pPr>
              <w:rPr>
                <w:rFonts w:ascii="Times New Roman" w:hAnsi="Times New Roman" w:cs="Times New Roman"/>
                <w:sz w:val="24"/>
                <w:szCs w:val="24"/>
                <w:shd w:val="clear" w:color="auto" w:fill="FFFFFF"/>
              </w:rPr>
            </w:pPr>
          </w:p>
        </w:tc>
      </w:tr>
      <w:tr w:rsidR="00CB3906" w:rsidRPr="00325490" w14:paraId="6311A119" w14:textId="77777777" w:rsidTr="0090551D">
        <w:tc>
          <w:tcPr>
            <w:tcW w:w="8647" w:type="dxa"/>
          </w:tcPr>
          <w:p w14:paraId="5D8096AF" w14:textId="77777777" w:rsidR="00CB3906" w:rsidRPr="00325490" w:rsidRDefault="00CB3906" w:rsidP="00CB3906">
            <w:pPr>
              <w:rPr>
                <w:rFonts w:ascii="Times New Roman" w:hAnsi="Times New Roman" w:cs="Times New Roman"/>
                <w:b/>
                <w:sz w:val="24"/>
                <w:szCs w:val="24"/>
                <w:lang w:val="sv-SE"/>
              </w:rPr>
            </w:pPr>
            <w:r w:rsidRPr="00325490">
              <w:rPr>
                <w:rFonts w:ascii="Times New Roman" w:hAnsi="Times New Roman" w:cs="Times New Roman"/>
                <w:b/>
                <w:sz w:val="24"/>
                <w:szCs w:val="24"/>
                <w:lang w:val="sv-SE"/>
              </w:rPr>
              <w:lastRenderedPageBreak/>
              <w:t>Naturligt resistente bakterier</w:t>
            </w:r>
          </w:p>
          <w:p w14:paraId="2921A4D2" w14:textId="77777777" w:rsidR="00CB3906" w:rsidRPr="00325490" w:rsidRDefault="00CB3906" w:rsidP="00CB3906">
            <w:pPr>
              <w:rPr>
                <w:rFonts w:ascii="Times New Roman" w:hAnsi="Times New Roman" w:cs="Times New Roman"/>
                <w:sz w:val="24"/>
                <w:szCs w:val="24"/>
                <w:lang w:val="sv-SE"/>
              </w:rPr>
            </w:pPr>
            <w:r w:rsidRPr="00325490">
              <w:rPr>
                <w:rFonts w:ascii="Times New Roman" w:hAnsi="Times New Roman" w:cs="Times New Roman"/>
                <w:sz w:val="24"/>
                <w:szCs w:val="24"/>
                <w:lang w:val="sv-SE"/>
              </w:rPr>
              <w:t>Alle gramnegative bakterier</w:t>
            </w:r>
          </w:p>
          <w:p w14:paraId="0ABCDFB0" w14:textId="77777777" w:rsidR="00CB3906" w:rsidRPr="00325490" w:rsidRDefault="00CB3906" w:rsidP="00CB3906">
            <w:pPr>
              <w:rPr>
                <w:rFonts w:ascii="Times New Roman" w:hAnsi="Times New Roman" w:cs="Times New Roman"/>
                <w:b/>
                <w:i/>
                <w:sz w:val="24"/>
                <w:szCs w:val="24"/>
                <w:lang w:val="sv-SE"/>
              </w:rPr>
            </w:pPr>
            <w:r w:rsidRPr="00325490">
              <w:rPr>
                <w:rFonts w:ascii="Times New Roman" w:hAnsi="Times New Roman" w:cs="Times New Roman"/>
                <w:b/>
                <w:i/>
                <w:sz w:val="24"/>
                <w:szCs w:val="24"/>
                <w:lang w:val="sv-SE"/>
              </w:rPr>
              <w:t>Andre bakterier</w:t>
            </w:r>
          </w:p>
          <w:p w14:paraId="0ADE1CC9" w14:textId="77777777" w:rsidR="00CB3906" w:rsidRPr="00325490" w:rsidRDefault="00CB3906" w:rsidP="00CB3906">
            <w:pPr>
              <w:rPr>
                <w:rFonts w:ascii="Times New Roman" w:hAnsi="Times New Roman" w:cs="Times New Roman"/>
                <w:i/>
                <w:sz w:val="24"/>
                <w:szCs w:val="24"/>
                <w:lang w:val="sv-SE"/>
              </w:rPr>
            </w:pPr>
            <w:r w:rsidRPr="00325490">
              <w:rPr>
                <w:rFonts w:ascii="Times New Roman" w:hAnsi="Times New Roman" w:cs="Times New Roman"/>
                <w:i/>
                <w:sz w:val="24"/>
                <w:szCs w:val="24"/>
                <w:lang w:val="sv-SE"/>
              </w:rPr>
              <w:t>Chlamydia spp.</w:t>
            </w:r>
          </w:p>
          <w:p w14:paraId="06030731" w14:textId="77777777" w:rsidR="00CB3906" w:rsidRPr="00325490" w:rsidRDefault="00CB3906" w:rsidP="00CB3906">
            <w:pPr>
              <w:rPr>
                <w:rFonts w:ascii="Times New Roman" w:hAnsi="Times New Roman" w:cs="Times New Roman"/>
                <w:i/>
                <w:sz w:val="24"/>
                <w:szCs w:val="24"/>
                <w:lang w:val="sv-SE"/>
              </w:rPr>
            </w:pPr>
            <w:r w:rsidRPr="00325490">
              <w:rPr>
                <w:rFonts w:ascii="Times New Roman" w:hAnsi="Times New Roman" w:cs="Times New Roman"/>
                <w:i/>
                <w:sz w:val="24"/>
                <w:szCs w:val="24"/>
                <w:lang w:val="sv-SE"/>
              </w:rPr>
              <w:t>Chlamydophila spp.</w:t>
            </w:r>
          </w:p>
          <w:p w14:paraId="3D3790CF" w14:textId="77777777" w:rsidR="00CB3906" w:rsidRPr="00325490" w:rsidRDefault="00CB3906" w:rsidP="00CB3906">
            <w:pPr>
              <w:rPr>
                <w:rFonts w:ascii="Times New Roman" w:hAnsi="Times New Roman" w:cs="Times New Roman"/>
                <w:i/>
                <w:sz w:val="24"/>
                <w:szCs w:val="24"/>
                <w:lang w:val="sv-SE"/>
              </w:rPr>
            </w:pPr>
            <w:r w:rsidRPr="00325490">
              <w:rPr>
                <w:rFonts w:ascii="Times New Roman" w:hAnsi="Times New Roman" w:cs="Times New Roman"/>
                <w:i/>
                <w:sz w:val="24"/>
                <w:szCs w:val="24"/>
                <w:lang w:val="sv-SE"/>
              </w:rPr>
              <w:t>Legionella pneumophila</w:t>
            </w:r>
          </w:p>
          <w:p w14:paraId="17BB1CE9" w14:textId="77777777" w:rsidR="00CB3906" w:rsidRPr="00325490" w:rsidRDefault="00CB3906" w:rsidP="00CB3906">
            <w:pPr>
              <w:rPr>
                <w:rFonts w:ascii="Times New Roman" w:hAnsi="Times New Roman" w:cs="Times New Roman"/>
                <w:i/>
                <w:sz w:val="24"/>
                <w:szCs w:val="24"/>
                <w:lang w:val="sv-SE"/>
              </w:rPr>
            </w:pPr>
            <w:r w:rsidRPr="00325490">
              <w:rPr>
                <w:rFonts w:ascii="Times New Roman" w:hAnsi="Times New Roman" w:cs="Times New Roman"/>
                <w:i/>
                <w:sz w:val="24"/>
                <w:szCs w:val="24"/>
                <w:lang w:val="sv-SE"/>
              </w:rPr>
              <w:t>Mycoplasma spp.</w:t>
            </w:r>
          </w:p>
          <w:p w14:paraId="177AF4E5" w14:textId="77777777" w:rsidR="00CB3906" w:rsidRPr="00325490" w:rsidRDefault="00CB3906" w:rsidP="00CB3906">
            <w:pPr>
              <w:rPr>
                <w:rFonts w:ascii="Times New Roman" w:hAnsi="Times New Roman" w:cs="Times New Roman"/>
                <w:sz w:val="24"/>
                <w:szCs w:val="24"/>
                <w:shd w:val="clear" w:color="auto" w:fill="FFFFFF"/>
              </w:rPr>
            </w:pPr>
          </w:p>
        </w:tc>
      </w:tr>
    </w:tbl>
    <w:p w14:paraId="28AF25BB" w14:textId="5933A602" w:rsidR="00CB3906" w:rsidRPr="00325490" w:rsidRDefault="00CB3906" w:rsidP="00CB3906">
      <w:pPr>
        <w:ind w:left="1134" w:hanging="283"/>
        <w:rPr>
          <w:sz w:val="24"/>
          <w:szCs w:val="24"/>
        </w:rPr>
      </w:pPr>
      <w:r w:rsidRPr="00325490">
        <w:rPr>
          <w:sz w:val="24"/>
          <w:szCs w:val="24"/>
          <w:vertAlign w:val="superscript"/>
        </w:rPr>
        <w:t>α</w:t>
      </w:r>
      <w:r w:rsidRPr="00325490">
        <w:rPr>
          <w:sz w:val="24"/>
          <w:szCs w:val="24"/>
        </w:rPr>
        <w:t xml:space="preserve"> </w:t>
      </w:r>
      <w:r w:rsidRPr="00325490">
        <w:rPr>
          <w:sz w:val="24"/>
          <w:szCs w:val="24"/>
        </w:rPr>
        <w:tab/>
      </w:r>
      <w:r w:rsidR="00AF7A82">
        <w:rPr>
          <w:sz w:val="24"/>
          <w:szCs w:val="24"/>
        </w:rPr>
        <w:t>I</w:t>
      </w:r>
      <w:r w:rsidRPr="00325490">
        <w:rPr>
          <w:sz w:val="24"/>
          <w:szCs w:val="24"/>
        </w:rPr>
        <w:t>ngen aktuelle data</w:t>
      </w:r>
      <w:r w:rsidR="00AF7A82">
        <w:rPr>
          <w:sz w:val="24"/>
          <w:szCs w:val="24"/>
        </w:rPr>
        <w:t xml:space="preserve"> var tilgængelige</w:t>
      </w:r>
      <w:r w:rsidRPr="00325490">
        <w:rPr>
          <w:sz w:val="24"/>
          <w:szCs w:val="24"/>
        </w:rPr>
        <w:t>, da tabellerne blev offentliggjort. Den primære litteratur, standardreferencer og behandlingsvejledninger antager følsomhed.</w:t>
      </w:r>
    </w:p>
    <w:p w14:paraId="5ED5CD58" w14:textId="55A7C0CE" w:rsidR="00EF6DF4" w:rsidRDefault="00CB3906" w:rsidP="009E6F11">
      <w:pPr>
        <w:ind w:left="1134" w:hanging="283"/>
        <w:rPr>
          <w:sz w:val="24"/>
          <w:szCs w:val="24"/>
        </w:rPr>
      </w:pPr>
      <w:r w:rsidRPr="00325490">
        <w:rPr>
          <w:sz w:val="24"/>
          <w:szCs w:val="24"/>
          <w:vertAlign w:val="superscript"/>
        </w:rPr>
        <w:t>b</w:t>
      </w:r>
      <w:r w:rsidRPr="00325490">
        <w:rPr>
          <w:sz w:val="24"/>
          <w:szCs w:val="24"/>
        </w:rPr>
        <w:t xml:space="preserve"> </w:t>
      </w:r>
      <w:r w:rsidRPr="00325490">
        <w:rPr>
          <w:sz w:val="24"/>
          <w:szCs w:val="24"/>
        </w:rPr>
        <w:tab/>
        <w:t xml:space="preserve">Fællesbetegnelse for en heterogen gruppe af </w:t>
      </w:r>
      <w:r w:rsidRPr="00325490">
        <w:rPr>
          <w:i/>
          <w:iCs/>
          <w:sz w:val="24"/>
          <w:szCs w:val="24"/>
        </w:rPr>
        <w:t>Streptococcus</w:t>
      </w:r>
      <w:r w:rsidRPr="00325490">
        <w:rPr>
          <w:sz w:val="24"/>
          <w:szCs w:val="24"/>
        </w:rPr>
        <w:t xml:space="preserve">-arter. Resistensraten kan variere afhængigt af den konkrete </w:t>
      </w:r>
      <w:r w:rsidRPr="00325490">
        <w:rPr>
          <w:i/>
          <w:iCs/>
          <w:sz w:val="24"/>
          <w:szCs w:val="24"/>
        </w:rPr>
        <w:t>Streptococcus</w:t>
      </w:r>
      <w:r w:rsidRPr="00325490">
        <w:rPr>
          <w:sz w:val="24"/>
          <w:szCs w:val="24"/>
        </w:rPr>
        <w:t>-art.</w:t>
      </w:r>
    </w:p>
    <w:p w14:paraId="01AF30DB" w14:textId="77777777" w:rsidR="009260DE" w:rsidRPr="00325490" w:rsidRDefault="009260DE" w:rsidP="00CB3906">
      <w:pPr>
        <w:rPr>
          <w:sz w:val="24"/>
          <w:szCs w:val="24"/>
        </w:rPr>
      </w:pPr>
    </w:p>
    <w:p w14:paraId="4B338894" w14:textId="77777777" w:rsidR="009260DE" w:rsidRPr="00325490" w:rsidRDefault="009260DE" w:rsidP="00487974">
      <w:pPr>
        <w:ind w:left="851" w:hanging="851"/>
        <w:rPr>
          <w:b/>
          <w:sz w:val="24"/>
          <w:szCs w:val="24"/>
        </w:rPr>
      </w:pPr>
      <w:r w:rsidRPr="00325490">
        <w:rPr>
          <w:b/>
          <w:sz w:val="24"/>
          <w:szCs w:val="24"/>
        </w:rPr>
        <w:t>5.2</w:t>
      </w:r>
      <w:r w:rsidRPr="00325490">
        <w:rPr>
          <w:b/>
          <w:sz w:val="24"/>
          <w:szCs w:val="24"/>
        </w:rPr>
        <w:tab/>
        <w:t>Farmakokinetiske egenskaber</w:t>
      </w:r>
    </w:p>
    <w:p w14:paraId="71D7D71C" w14:textId="77777777" w:rsidR="00610AE8" w:rsidRDefault="00610AE8" w:rsidP="00487974">
      <w:pPr>
        <w:ind w:left="851"/>
        <w:rPr>
          <w:sz w:val="24"/>
          <w:szCs w:val="24"/>
        </w:rPr>
      </w:pPr>
    </w:p>
    <w:p w14:paraId="467AADEF" w14:textId="28E4EFFF" w:rsidR="006420CF" w:rsidRPr="00610AE8" w:rsidRDefault="006420CF" w:rsidP="00487974">
      <w:pPr>
        <w:ind w:left="851"/>
        <w:rPr>
          <w:sz w:val="24"/>
          <w:szCs w:val="24"/>
          <w:u w:val="single"/>
        </w:rPr>
      </w:pPr>
      <w:r w:rsidRPr="00610AE8">
        <w:rPr>
          <w:sz w:val="24"/>
          <w:szCs w:val="24"/>
          <w:u w:val="single"/>
        </w:rPr>
        <w:t>Absorption</w:t>
      </w:r>
    </w:p>
    <w:p w14:paraId="6B6F915F" w14:textId="77777777" w:rsidR="006420CF" w:rsidRPr="00325490" w:rsidRDefault="006420CF" w:rsidP="00487974">
      <w:pPr>
        <w:ind w:left="851"/>
        <w:rPr>
          <w:sz w:val="24"/>
          <w:szCs w:val="24"/>
        </w:rPr>
      </w:pPr>
      <w:r w:rsidRPr="00325490">
        <w:rPr>
          <w:sz w:val="24"/>
          <w:szCs w:val="24"/>
        </w:rPr>
        <w:t>Teicoplanin administreres parenteralt (intravenøst eller intramuskulært). Efter intramuskulær administration er biotilgængeligheden af teicoplanin (sammenlignet med intravenøs administration) næsten fuldstændig (90 %). Efter seks daglige intramuskulære doser à 200 mg er den gennemsnitlige (SD) maksimale teicoplaninkoncentration (C</w:t>
      </w:r>
      <w:r w:rsidRPr="00325490">
        <w:rPr>
          <w:sz w:val="24"/>
          <w:szCs w:val="24"/>
          <w:vertAlign w:val="subscript"/>
        </w:rPr>
        <w:t>max</w:t>
      </w:r>
      <w:r w:rsidRPr="00325490">
        <w:rPr>
          <w:sz w:val="24"/>
          <w:szCs w:val="24"/>
        </w:rPr>
        <w:t>) 12,1 (0,9) mg/l og opnås 2 timer efter administration.</w:t>
      </w:r>
    </w:p>
    <w:p w14:paraId="3228EAC4" w14:textId="77777777" w:rsidR="006420CF" w:rsidRPr="0050056A" w:rsidRDefault="006420CF" w:rsidP="0050056A">
      <w:pPr>
        <w:ind w:left="851"/>
        <w:rPr>
          <w:sz w:val="24"/>
          <w:szCs w:val="24"/>
        </w:rPr>
      </w:pPr>
    </w:p>
    <w:p w14:paraId="13C5B353" w14:textId="77777777" w:rsidR="0050056A" w:rsidRPr="0050056A" w:rsidRDefault="0050056A" w:rsidP="0050056A">
      <w:pPr>
        <w:tabs>
          <w:tab w:val="left" w:pos="567"/>
        </w:tabs>
        <w:autoSpaceDE w:val="0"/>
        <w:autoSpaceDN w:val="0"/>
        <w:adjustRightInd w:val="0"/>
        <w:ind w:left="851"/>
        <w:rPr>
          <w:bCs/>
          <w:sz w:val="24"/>
          <w:szCs w:val="24"/>
        </w:rPr>
      </w:pPr>
      <w:r w:rsidRPr="0050056A">
        <w:rPr>
          <w:sz w:val="24"/>
          <w:szCs w:val="24"/>
        </w:rPr>
        <w:t>Efter en intravenøs støddosis på 6 mg/kg hver 12. time, givet 3 til 5 gange, ligger C</w:t>
      </w:r>
      <w:r w:rsidRPr="0050056A">
        <w:rPr>
          <w:sz w:val="24"/>
          <w:szCs w:val="24"/>
          <w:vertAlign w:val="subscript"/>
        </w:rPr>
        <w:t>max</w:t>
      </w:r>
      <w:r w:rsidRPr="0050056A">
        <w:rPr>
          <w:sz w:val="24"/>
          <w:szCs w:val="24"/>
        </w:rPr>
        <w:t>-værdierne mellem 60 til 70 mg/l, og C</w:t>
      </w:r>
      <w:r w:rsidRPr="0050056A">
        <w:rPr>
          <w:sz w:val="24"/>
          <w:szCs w:val="24"/>
          <w:vertAlign w:val="subscript"/>
        </w:rPr>
        <w:t>trough</w:t>
      </w:r>
      <w:r w:rsidRPr="0050056A">
        <w:rPr>
          <w:sz w:val="24"/>
          <w:szCs w:val="24"/>
        </w:rPr>
        <w:t xml:space="preserve"> er normalt over 10 mg/l. Efter en intravenøs støddosis på 12 mg/kg administreret hver 12. time, 3 gange, estimeres gennemsnitsværdierne for C</w:t>
      </w:r>
      <w:r w:rsidRPr="0050056A">
        <w:rPr>
          <w:sz w:val="24"/>
          <w:szCs w:val="24"/>
          <w:vertAlign w:val="subscript"/>
        </w:rPr>
        <w:t>max</w:t>
      </w:r>
      <w:r w:rsidRPr="0050056A">
        <w:rPr>
          <w:sz w:val="24"/>
          <w:szCs w:val="24"/>
        </w:rPr>
        <w:t xml:space="preserve"> og C</w:t>
      </w:r>
      <w:r w:rsidRPr="0050056A">
        <w:rPr>
          <w:sz w:val="24"/>
          <w:szCs w:val="24"/>
          <w:vertAlign w:val="subscript"/>
        </w:rPr>
        <w:t>trough</w:t>
      </w:r>
      <w:r w:rsidRPr="0050056A">
        <w:rPr>
          <w:sz w:val="24"/>
          <w:szCs w:val="24"/>
        </w:rPr>
        <w:t xml:space="preserve"> til at være henholdsvis omkring 100 mg/l og 20 mg/l.</w:t>
      </w:r>
    </w:p>
    <w:p w14:paraId="227D2DC7" w14:textId="77777777" w:rsidR="0050056A" w:rsidRPr="0050056A" w:rsidRDefault="0050056A" w:rsidP="0050056A">
      <w:pPr>
        <w:tabs>
          <w:tab w:val="left" w:pos="567"/>
        </w:tabs>
        <w:autoSpaceDE w:val="0"/>
        <w:autoSpaceDN w:val="0"/>
        <w:adjustRightInd w:val="0"/>
        <w:ind w:left="851"/>
        <w:rPr>
          <w:bCs/>
          <w:sz w:val="24"/>
          <w:szCs w:val="24"/>
        </w:rPr>
      </w:pPr>
    </w:p>
    <w:p w14:paraId="3751EEBB" w14:textId="77777777" w:rsidR="0050056A" w:rsidRPr="0050056A" w:rsidRDefault="0050056A" w:rsidP="0050056A">
      <w:pPr>
        <w:tabs>
          <w:tab w:val="left" w:pos="567"/>
        </w:tabs>
        <w:autoSpaceDE w:val="0"/>
        <w:autoSpaceDN w:val="0"/>
        <w:adjustRightInd w:val="0"/>
        <w:ind w:left="851"/>
        <w:rPr>
          <w:bCs/>
          <w:sz w:val="24"/>
          <w:szCs w:val="24"/>
        </w:rPr>
      </w:pPr>
      <w:r w:rsidRPr="0050056A">
        <w:rPr>
          <w:sz w:val="24"/>
          <w:szCs w:val="24"/>
        </w:rPr>
        <w:t>Efter en vedligeholdelsesdosis på 6 mg/kg administreret én gang dagligt er C</w:t>
      </w:r>
      <w:r w:rsidRPr="0050056A">
        <w:rPr>
          <w:sz w:val="24"/>
          <w:szCs w:val="24"/>
          <w:vertAlign w:val="subscript"/>
        </w:rPr>
        <w:t>max</w:t>
      </w:r>
      <w:r w:rsidRPr="0050056A">
        <w:rPr>
          <w:sz w:val="24"/>
          <w:szCs w:val="24"/>
        </w:rPr>
        <w:t>- og C</w:t>
      </w:r>
      <w:r w:rsidRPr="0050056A">
        <w:rPr>
          <w:sz w:val="24"/>
          <w:szCs w:val="24"/>
          <w:vertAlign w:val="subscript"/>
        </w:rPr>
        <w:t>trough</w:t>
      </w:r>
      <w:r w:rsidRPr="0050056A">
        <w:rPr>
          <w:sz w:val="24"/>
          <w:szCs w:val="24"/>
        </w:rPr>
        <w:t>-værdierne henholdsvis cirka 70 mg/l og 15 mg/l. Efter en vedligeholdelsesdosis på 12 mg/kg én gang dagligt ligger C</w:t>
      </w:r>
      <w:r w:rsidRPr="0050056A">
        <w:rPr>
          <w:sz w:val="24"/>
          <w:szCs w:val="24"/>
          <w:vertAlign w:val="subscript"/>
        </w:rPr>
        <w:t>trough</w:t>
      </w:r>
      <w:r w:rsidRPr="0050056A">
        <w:rPr>
          <w:sz w:val="24"/>
          <w:szCs w:val="24"/>
        </w:rPr>
        <w:t>-værdierne mellem 18 og 30 mg/l.</w:t>
      </w:r>
    </w:p>
    <w:p w14:paraId="5D4041B1" w14:textId="77777777" w:rsidR="0050056A" w:rsidRPr="0050056A" w:rsidRDefault="0050056A" w:rsidP="0050056A">
      <w:pPr>
        <w:tabs>
          <w:tab w:val="left" w:pos="567"/>
        </w:tabs>
        <w:autoSpaceDE w:val="0"/>
        <w:autoSpaceDN w:val="0"/>
        <w:adjustRightInd w:val="0"/>
        <w:ind w:left="851"/>
        <w:rPr>
          <w:bCs/>
          <w:sz w:val="24"/>
          <w:szCs w:val="24"/>
        </w:rPr>
      </w:pPr>
    </w:p>
    <w:p w14:paraId="05250144" w14:textId="77777777" w:rsidR="0050056A" w:rsidRPr="0050056A" w:rsidRDefault="0050056A" w:rsidP="0050056A">
      <w:pPr>
        <w:tabs>
          <w:tab w:val="left" w:pos="567"/>
        </w:tabs>
        <w:autoSpaceDE w:val="0"/>
        <w:autoSpaceDN w:val="0"/>
        <w:adjustRightInd w:val="0"/>
        <w:ind w:left="851"/>
        <w:rPr>
          <w:bCs/>
          <w:sz w:val="24"/>
          <w:szCs w:val="24"/>
        </w:rPr>
      </w:pPr>
      <w:r w:rsidRPr="0050056A">
        <w:rPr>
          <w:sz w:val="24"/>
          <w:szCs w:val="24"/>
        </w:rPr>
        <w:t xml:space="preserve">Ved oral administration absorberes teicoplanin ikke fra mave-tarm-kanalen. Ved oral administration af en enkeltdosis på 250 eller 500 mg til raske forsøgspersoner påvises teicoplanin ikke i serum eller urin, men genfindes kun uændret i fæces (ca. 45 % af den administrerede dosis). </w:t>
      </w:r>
    </w:p>
    <w:p w14:paraId="77AE38A2" w14:textId="77777777" w:rsidR="0050056A" w:rsidRPr="0050056A" w:rsidRDefault="0050056A" w:rsidP="0050056A">
      <w:pPr>
        <w:tabs>
          <w:tab w:val="left" w:pos="567"/>
        </w:tabs>
        <w:autoSpaceDE w:val="0"/>
        <w:autoSpaceDN w:val="0"/>
        <w:adjustRightInd w:val="0"/>
        <w:ind w:left="851"/>
        <w:rPr>
          <w:bCs/>
          <w:sz w:val="24"/>
          <w:szCs w:val="24"/>
        </w:rPr>
      </w:pPr>
    </w:p>
    <w:p w14:paraId="71BFA220" w14:textId="77777777" w:rsidR="0050056A" w:rsidRPr="0050056A" w:rsidRDefault="0050056A" w:rsidP="0050056A">
      <w:pPr>
        <w:tabs>
          <w:tab w:val="left" w:pos="567"/>
        </w:tabs>
        <w:autoSpaceDE w:val="0"/>
        <w:autoSpaceDN w:val="0"/>
        <w:adjustRightInd w:val="0"/>
        <w:ind w:left="851"/>
        <w:rPr>
          <w:bCs/>
          <w:sz w:val="24"/>
          <w:szCs w:val="24"/>
          <w:u w:val="single"/>
        </w:rPr>
      </w:pPr>
      <w:r w:rsidRPr="0050056A">
        <w:rPr>
          <w:sz w:val="24"/>
          <w:szCs w:val="24"/>
          <w:u w:val="single"/>
        </w:rPr>
        <w:t>Fordeling</w:t>
      </w:r>
    </w:p>
    <w:p w14:paraId="5FBB8874" w14:textId="38F1F7BC" w:rsidR="0050056A" w:rsidRPr="0050056A" w:rsidRDefault="0050056A" w:rsidP="0050056A">
      <w:pPr>
        <w:tabs>
          <w:tab w:val="left" w:pos="567"/>
        </w:tabs>
        <w:autoSpaceDE w:val="0"/>
        <w:autoSpaceDN w:val="0"/>
        <w:adjustRightInd w:val="0"/>
        <w:ind w:left="851"/>
        <w:rPr>
          <w:bCs/>
          <w:sz w:val="24"/>
          <w:szCs w:val="24"/>
        </w:rPr>
      </w:pPr>
      <w:r w:rsidRPr="0050056A">
        <w:rPr>
          <w:sz w:val="24"/>
          <w:szCs w:val="24"/>
        </w:rPr>
        <w:t>Bindingen til humane serumproteiner ligger mellem 87,6 % og 90,8 % og påvirkes ikke af teicoplanin-koncentrationen. Teicoplanin bindes primært til humant serumalbumin. Teicoplanin fordeles ikke i røde blodleg</w:t>
      </w:r>
      <w:r w:rsidR="00EF6DF4">
        <w:rPr>
          <w:sz w:val="24"/>
          <w:szCs w:val="24"/>
        </w:rPr>
        <w:t>e</w:t>
      </w:r>
      <w:r w:rsidRPr="0050056A">
        <w:rPr>
          <w:sz w:val="24"/>
          <w:szCs w:val="24"/>
        </w:rPr>
        <w:t>mer.</w:t>
      </w:r>
    </w:p>
    <w:p w14:paraId="185C2F7D" w14:textId="77777777" w:rsidR="006420CF" w:rsidRPr="0050056A" w:rsidRDefault="006420CF" w:rsidP="0050056A">
      <w:pPr>
        <w:ind w:left="851"/>
        <w:rPr>
          <w:sz w:val="24"/>
          <w:szCs w:val="24"/>
        </w:rPr>
      </w:pPr>
    </w:p>
    <w:p w14:paraId="23968675" w14:textId="77777777" w:rsidR="006420CF" w:rsidRPr="00325490" w:rsidRDefault="006420CF" w:rsidP="00487974">
      <w:pPr>
        <w:ind w:left="851"/>
        <w:rPr>
          <w:sz w:val="24"/>
          <w:szCs w:val="24"/>
        </w:rPr>
      </w:pPr>
      <w:r w:rsidRPr="00325490">
        <w:rPr>
          <w:sz w:val="24"/>
          <w:szCs w:val="24"/>
        </w:rPr>
        <w:t xml:space="preserve">Fordelingsvolumen ved </w:t>
      </w:r>
      <w:r w:rsidRPr="00325490">
        <w:rPr>
          <w:i/>
          <w:iCs/>
          <w:sz w:val="24"/>
          <w:szCs w:val="24"/>
        </w:rPr>
        <w:t>steady state</w:t>
      </w:r>
      <w:r w:rsidRPr="00325490">
        <w:rPr>
          <w:sz w:val="24"/>
          <w:szCs w:val="24"/>
        </w:rPr>
        <w:t xml:space="preserve"> (V</w:t>
      </w:r>
      <w:r w:rsidRPr="0050056A">
        <w:rPr>
          <w:sz w:val="24"/>
          <w:szCs w:val="24"/>
        </w:rPr>
        <w:t>ss</w:t>
      </w:r>
      <w:r w:rsidRPr="00325490">
        <w:rPr>
          <w:sz w:val="24"/>
          <w:szCs w:val="24"/>
        </w:rPr>
        <w:t>) varierer fra 0,7 til 1,4 l/kg. De højeste V</w:t>
      </w:r>
      <w:r w:rsidRPr="0050056A">
        <w:rPr>
          <w:sz w:val="24"/>
          <w:szCs w:val="24"/>
        </w:rPr>
        <w:t>ss</w:t>
      </w:r>
      <w:r w:rsidRPr="00325490">
        <w:rPr>
          <w:sz w:val="24"/>
          <w:szCs w:val="24"/>
        </w:rPr>
        <w:t>-værdier er observeret i nyere studier, hvor prøvetagningsperioden var længere end 8 dage.</w:t>
      </w:r>
    </w:p>
    <w:p w14:paraId="60B10B3F" w14:textId="77777777" w:rsidR="006420CF" w:rsidRPr="00325490" w:rsidRDefault="006420CF" w:rsidP="00487974">
      <w:pPr>
        <w:ind w:left="851"/>
        <w:rPr>
          <w:sz w:val="24"/>
          <w:szCs w:val="24"/>
        </w:rPr>
      </w:pPr>
    </w:p>
    <w:p w14:paraId="03095A70" w14:textId="77777777" w:rsidR="006420CF" w:rsidRPr="00325490" w:rsidRDefault="006420CF" w:rsidP="00487974">
      <w:pPr>
        <w:ind w:left="851"/>
        <w:rPr>
          <w:sz w:val="24"/>
          <w:szCs w:val="24"/>
        </w:rPr>
      </w:pPr>
      <w:r w:rsidRPr="00325490">
        <w:rPr>
          <w:sz w:val="24"/>
          <w:szCs w:val="24"/>
        </w:rPr>
        <w:t xml:space="preserve">Teicoplanin fordeles hovedsageligt til lunge-, myokardie- og knoglevæv med vævs/serum-forhold over 1. I blærevæske, synovialvæske og peritonealvæske ligger vævs/serum-forholdet mellem 0,5 og 1. </w:t>
      </w:r>
    </w:p>
    <w:p w14:paraId="18DF3968" w14:textId="77777777" w:rsidR="006420CF" w:rsidRPr="00325490" w:rsidRDefault="006420CF" w:rsidP="00487974">
      <w:pPr>
        <w:ind w:left="851"/>
        <w:rPr>
          <w:sz w:val="24"/>
          <w:szCs w:val="24"/>
        </w:rPr>
      </w:pPr>
    </w:p>
    <w:p w14:paraId="46A9FF88" w14:textId="77777777" w:rsidR="006420CF" w:rsidRPr="00325490" w:rsidRDefault="006420CF" w:rsidP="00487974">
      <w:pPr>
        <w:ind w:left="851"/>
        <w:rPr>
          <w:sz w:val="24"/>
          <w:szCs w:val="24"/>
        </w:rPr>
      </w:pPr>
      <w:r w:rsidRPr="00325490">
        <w:rPr>
          <w:sz w:val="24"/>
          <w:szCs w:val="24"/>
        </w:rPr>
        <w:lastRenderedPageBreak/>
        <w:t>Elimineringen af teicoplanin fra peritonealvæsken sker med samme hastighed som fra serum. I pleuravæske og subkutant fedtvæv ligger vævs/serum-forholdet mellem 0,2 og 0,5. Teicoplanin trænger ikke hurtigt ind i cerebrospinalvæsken (CSF).</w:t>
      </w:r>
    </w:p>
    <w:p w14:paraId="02BCF075" w14:textId="77777777" w:rsidR="006420CF" w:rsidRPr="00325490" w:rsidRDefault="006420CF" w:rsidP="00487974">
      <w:pPr>
        <w:ind w:left="851"/>
        <w:rPr>
          <w:sz w:val="24"/>
          <w:szCs w:val="24"/>
        </w:rPr>
      </w:pPr>
    </w:p>
    <w:p w14:paraId="25616922" w14:textId="77777777" w:rsidR="006420CF" w:rsidRPr="00610AE8" w:rsidRDefault="006420CF" w:rsidP="00487974">
      <w:pPr>
        <w:ind w:left="851"/>
        <w:rPr>
          <w:sz w:val="24"/>
          <w:szCs w:val="24"/>
          <w:u w:val="single"/>
        </w:rPr>
      </w:pPr>
      <w:r w:rsidRPr="00610AE8">
        <w:rPr>
          <w:sz w:val="24"/>
          <w:szCs w:val="24"/>
          <w:u w:val="single"/>
        </w:rPr>
        <w:t>Biotransformation</w:t>
      </w:r>
    </w:p>
    <w:p w14:paraId="250B12C6" w14:textId="77777777" w:rsidR="006420CF" w:rsidRPr="00325490" w:rsidRDefault="006420CF" w:rsidP="00487974">
      <w:pPr>
        <w:ind w:left="851"/>
        <w:rPr>
          <w:sz w:val="24"/>
          <w:szCs w:val="24"/>
        </w:rPr>
      </w:pPr>
      <w:r w:rsidRPr="00325490">
        <w:rPr>
          <w:sz w:val="24"/>
          <w:szCs w:val="24"/>
        </w:rPr>
        <w:t>Teicoplanin forekommer primært i uændret form i plasma og urin, hvilket indikerer, at stoffet kun i begrænset omfang metaboliseres. Der dannes to metabolitter, sandsynligvis ved hydroxylering, og de udgør 2</w:t>
      </w:r>
      <w:r w:rsidRPr="00325490">
        <w:rPr>
          <w:sz w:val="24"/>
          <w:szCs w:val="24"/>
        </w:rPr>
        <w:noBreakHyphen/>
        <w:t>3 % af den administrerede dosis.</w:t>
      </w:r>
    </w:p>
    <w:p w14:paraId="34DC031B" w14:textId="77777777" w:rsidR="006420CF" w:rsidRPr="00325490" w:rsidRDefault="006420CF" w:rsidP="00487974">
      <w:pPr>
        <w:ind w:left="851"/>
        <w:rPr>
          <w:sz w:val="24"/>
          <w:szCs w:val="24"/>
          <w:lang w:val="nl-NL"/>
        </w:rPr>
      </w:pPr>
    </w:p>
    <w:p w14:paraId="77700017" w14:textId="77777777" w:rsidR="006420CF" w:rsidRPr="00610AE8" w:rsidRDefault="006420CF" w:rsidP="00487974">
      <w:pPr>
        <w:ind w:left="851"/>
        <w:rPr>
          <w:sz w:val="24"/>
          <w:szCs w:val="24"/>
          <w:u w:val="single"/>
        </w:rPr>
      </w:pPr>
      <w:r w:rsidRPr="00610AE8">
        <w:rPr>
          <w:sz w:val="24"/>
          <w:szCs w:val="24"/>
          <w:u w:val="single"/>
        </w:rPr>
        <w:t>Elimination</w:t>
      </w:r>
    </w:p>
    <w:p w14:paraId="1EC07808" w14:textId="77777777" w:rsidR="006420CF" w:rsidRPr="00325490" w:rsidRDefault="006420CF" w:rsidP="00487974">
      <w:pPr>
        <w:ind w:left="851"/>
        <w:rPr>
          <w:sz w:val="24"/>
          <w:szCs w:val="24"/>
        </w:rPr>
      </w:pPr>
      <w:r w:rsidRPr="00325490">
        <w:rPr>
          <w:sz w:val="24"/>
          <w:szCs w:val="24"/>
        </w:rPr>
        <w:t>Uændret teicoplanin udskilles primært via urinvejene (80 % inden for 16 dage), mens 2,7 % af den administrerede dosis genfindes i fæces (via galdeudskillelse) inden for 8 dage efter administration.</w:t>
      </w:r>
    </w:p>
    <w:p w14:paraId="58C9802E" w14:textId="77777777" w:rsidR="006420CF" w:rsidRPr="00325490" w:rsidRDefault="006420CF" w:rsidP="00487974">
      <w:pPr>
        <w:ind w:left="851"/>
        <w:rPr>
          <w:sz w:val="24"/>
          <w:szCs w:val="24"/>
        </w:rPr>
      </w:pPr>
    </w:p>
    <w:p w14:paraId="4547442B" w14:textId="3AD4F597" w:rsidR="006420CF" w:rsidRPr="00325490" w:rsidRDefault="006420CF" w:rsidP="00487974">
      <w:pPr>
        <w:ind w:left="851"/>
        <w:rPr>
          <w:sz w:val="24"/>
          <w:szCs w:val="24"/>
        </w:rPr>
      </w:pPr>
      <w:r w:rsidRPr="00325490">
        <w:rPr>
          <w:sz w:val="24"/>
          <w:szCs w:val="24"/>
        </w:rPr>
        <w:t>Eliminationshalveringstiden for teicoplanin varierer fra 100</w:t>
      </w:r>
      <w:r w:rsidRPr="00325490">
        <w:rPr>
          <w:sz w:val="24"/>
          <w:szCs w:val="24"/>
        </w:rPr>
        <w:noBreakHyphen/>
        <w:t xml:space="preserve">170 timer i de nyeste studier, hvor </w:t>
      </w:r>
      <w:r w:rsidR="0050056A">
        <w:rPr>
          <w:sz w:val="24"/>
          <w:szCs w:val="24"/>
        </w:rPr>
        <w:t>blod</w:t>
      </w:r>
      <w:r w:rsidRPr="00325490">
        <w:rPr>
          <w:sz w:val="24"/>
          <w:szCs w:val="24"/>
        </w:rPr>
        <w:t>prøvetagningsperioden er cirka 8</w:t>
      </w:r>
      <w:r w:rsidRPr="00325490">
        <w:rPr>
          <w:sz w:val="24"/>
          <w:szCs w:val="24"/>
        </w:rPr>
        <w:noBreakHyphen/>
        <w:t>35 dage.</w:t>
      </w:r>
    </w:p>
    <w:p w14:paraId="5A0F0F32" w14:textId="77777777" w:rsidR="006420CF" w:rsidRPr="00325490" w:rsidRDefault="006420CF" w:rsidP="00487974">
      <w:pPr>
        <w:ind w:left="851"/>
        <w:rPr>
          <w:sz w:val="24"/>
          <w:szCs w:val="24"/>
        </w:rPr>
      </w:pPr>
    </w:p>
    <w:p w14:paraId="0EC6C862" w14:textId="77777777" w:rsidR="006420CF" w:rsidRPr="00325490" w:rsidRDefault="006420CF" w:rsidP="00487974">
      <w:pPr>
        <w:ind w:left="851"/>
        <w:rPr>
          <w:sz w:val="24"/>
          <w:szCs w:val="24"/>
        </w:rPr>
      </w:pPr>
      <w:r w:rsidRPr="00325490">
        <w:rPr>
          <w:sz w:val="24"/>
          <w:szCs w:val="24"/>
        </w:rPr>
        <w:t>Teicoplanin har en lav total clearance i området 10</w:t>
      </w:r>
      <w:r w:rsidRPr="00325490">
        <w:rPr>
          <w:sz w:val="24"/>
          <w:szCs w:val="24"/>
        </w:rPr>
        <w:noBreakHyphen/>
        <w:t>14 ml/time/kg og en renal clearance i området 8 til 12 ml/time/kg, hvilket indikerer, at teicoplanin primært udskilles via renale mekanismer.</w:t>
      </w:r>
    </w:p>
    <w:p w14:paraId="7B021B8F" w14:textId="77777777" w:rsidR="006420CF" w:rsidRPr="00325490" w:rsidRDefault="006420CF" w:rsidP="00487974">
      <w:pPr>
        <w:ind w:left="851"/>
        <w:rPr>
          <w:sz w:val="24"/>
          <w:szCs w:val="24"/>
        </w:rPr>
      </w:pPr>
    </w:p>
    <w:p w14:paraId="1AE8337D" w14:textId="77777777" w:rsidR="006420CF" w:rsidRPr="00610AE8" w:rsidRDefault="006420CF" w:rsidP="00487974">
      <w:pPr>
        <w:ind w:left="851"/>
        <w:rPr>
          <w:sz w:val="24"/>
          <w:szCs w:val="24"/>
          <w:u w:val="single"/>
        </w:rPr>
      </w:pPr>
      <w:r w:rsidRPr="00610AE8">
        <w:rPr>
          <w:sz w:val="24"/>
          <w:szCs w:val="24"/>
          <w:u w:val="single"/>
        </w:rPr>
        <w:t>Linearitet</w:t>
      </w:r>
    </w:p>
    <w:p w14:paraId="590C03AC" w14:textId="77777777" w:rsidR="006420CF" w:rsidRPr="00325490" w:rsidRDefault="006420CF" w:rsidP="00487974">
      <w:pPr>
        <w:ind w:left="851"/>
        <w:rPr>
          <w:sz w:val="24"/>
          <w:szCs w:val="24"/>
        </w:rPr>
      </w:pPr>
      <w:r w:rsidRPr="00325490">
        <w:rPr>
          <w:sz w:val="24"/>
          <w:szCs w:val="24"/>
        </w:rPr>
        <w:t>Teicoplanin udviser lineær farmakokinetik i dosisområdet 2</w:t>
      </w:r>
      <w:r w:rsidRPr="00325490">
        <w:rPr>
          <w:sz w:val="24"/>
          <w:szCs w:val="24"/>
        </w:rPr>
        <w:noBreakHyphen/>
        <w:t>25 mg/kg.</w:t>
      </w:r>
    </w:p>
    <w:p w14:paraId="3CF5BF57" w14:textId="77777777" w:rsidR="006420CF" w:rsidRPr="00325490" w:rsidRDefault="006420CF" w:rsidP="00487974">
      <w:pPr>
        <w:ind w:left="851"/>
        <w:rPr>
          <w:sz w:val="24"/>
          <w:szCs w:val="24"/>
        </w:rPr>
      </w:pPr>
    </w:p>
    <w:p w14:paraId="3ABA4EFD" w14:textId="77777777" w:rsidR="006420CF" w:rsidRPr="00610AE8" w:rsidRDefault="006420CF" w:rsidP="00487974">
      <w:pPr>
        <w:ind w:left="851"/>
        <w:rPr>
          <w:sz w:val="24"/>
          <w:szCs w:val="24"/>
          <w:u w:val="single"/>
        </w:rPr>
      </w:pPr>
      <w:r w:rsidRPr="00610AE8">
        <w:rPr>
          <w:sz w:val="24"/>
          <w:szCs w:val="24"/>
          <w:u w:val="single"/>
        </w:rPr>
        <w:t>Særlige populationer</w:t>
      </w:r>
    </w:p>
    <w:p w14:paraId="18750658" w14:textId="77777777" w:rsidR="006420CF" w:rsidRPr="00610AE8" w:rsidRDefault="006420CF" w:rsidP="00610AE8">
      <w:pPr>
        <w:pStyle w:val="Listeafsnit"/>
        <w:numPr>
          <w:ilvl w:val="0"/>
          <w:numId w:val="15"/>
        </w:numPr>
        <w:ind w:left="1276" w:hanging="425"/>
        <w:rPr>
          <w:i/>
          <w:sz w:val="24"/>
          <w:szCs w:val="24"/>
        </w:rPr>
      </w:pPr>
      <w:r w:rsidRPr="00610AE8">
        <w:rPr>
          <w:i/>
          <w:sz w:val="24"/>
          <w:szCs w:val="24"/>
        </w:rPr>
        <w:t>Nedsat nyrefunktion:</w:t>
      </w:r>
    </w:p>
    <w:p w14:paraId="5C812DEA" w14:textId="77777777" w:rsidR="006420CF" w:rsidRPr="00610AE8" w:rsidRDefault="006420CF" w:rsidP="00610AE8">
      <w:pPr>
        <w:pStyle w:val="Listeafsnit"/>
        <w:ind w:left="1276"/>
        <w:rPr>
          <w:sz w:val="24"/>
          <w:szCs w:val="24"/>
        </w:rPr>
      </w:pPr>
      <w:r w:rsidRPr="00610AE8">
        <w:rPr>
          <w:sz w:val="24"/>
          <w:szCs w:val="24"/>
        </w:rPr>
        <w:t>Da teicoplanin udskilles via nyrerne, aftager eliminationen af teicoplanin i takt med graden af nedsat nyrefunktion. Den totale og renale clearance af teicoplanin afhænger af kreatininclearance.</w:t>
      </w:r>
    </w:p>
    <w:p w14:paraId="62CB62F1" w14:textId="77777777" w:rsidR="006420CF" w:rsidRPr="00325490" w:rsidRDefault="006420CF" w:rsidP="00610AE8">
      <w:pPr>
        <w:ind w:left="1276" w:hanging="425"/>
        <w:rPr>
          <w:sz w:val="24"/>
          <w:szCs w:val="24"/>
        </w:rPr>
      </w:pPr>
    </w:p>
    <w:p w14:paraId="2F9F97D6" w14:textId="77777777" w:rsidR="006420CF" w:rsidRPr="00610AE8" w:rsidRDefault="006420CF" w:rsidP="00610AE8">
      <w:pPr>
        <w:pStyle w:val="Listeafsnit"/>
        <w:numPr>
          <w:ilvl w:val="0"/>
          <w:numId w:val="15"/>
        </w:numPr>
        <w:ind w:left="1276" w:hanging="425"/>
        <w:rPr>
          <w:i/>
          <w:sz w:val="24"/>
          <w:szCs w:val="24"/>
        </w:rPr>
      </w:pPr>
      <w:r w:rsidRPr="00610AE8">
        <w:rPr>
          <w:i/>
          <w:sz w:val="24"/>
          <w:szCs w:val="24"/>
        </w:rPr>
        <w:t>Ældre patienter:</w:t>
      </w:r>
    </w:p>
    <w:p w14:paraId="1890AFE1" w14:textId="77777777" w:rsidR="006420CF" w:rsidRPr="00610AE8" w:rsidRDefault="006420CF" w:rsidP="00610AE8">
      <w:pPr>
        <w:pStyle w:val="Listeafsnit"/>
        <w:ind w:left="1276"/>
        <w:rPr>
          <w:sz w:val="24"/>
          <w:szCs w:val="24"/>
        </w:rPr>
      </w:pPr>
      <w:r w:rsidRPr="00610AE8">
        <w:rPr>
          <w:sz w:val="24"/>
          <w:szCs w:val="24"/>
        </w:rPr>
        <w:t>Hos ældre patienter ændres teicoplanins farmakokinetik ikke, medmindre nyrefunktionen er nedsat.</w:t>
      </w:r>
    </w:p>
    <w:p w14:paraId="01B81AFE" w14:textId="77777777" w:rsidR="006420CF" w:rsidRPr="00325490" w:rsidRDefault="006420CF" w:rsidP="00610AE8">
      <w:pPr>
        <w:ind w:left="1276" w:hanging="425"/>
        <w:rPr>
          <w:sz w:val="24"/>
          <w:szCs w:val="24"/>
        </w:rPr>
      </w:pPr>
    </w:p>
    <w:p w14:paraId="0EF023FF" w14:textId="77777777" w:rsidR="006420CF" w:rsidRPr="00610AE8" w:rsidRDefault="006420CF" w:rsidP="00610AE8">
      <w:pPr>
        <w:pStyle w:val="Listeafsnit"/>
        <w:numPr>
          <w:ilvl w:val="0"/>
          <w:numId w:val="15"/>
        </w:numPr>
        <w:ind w:left="1276" w:hanging="425"/>
        <w:rPr>
          <w:i/>
          <w:sz w:val="24"/>
          <w:szCs w:val="24"/>
        </w:rPr>
      </w:pPr>
      <w:r w:rsidRPr="00610AE8">
        <w:rPr>
          <w:i/>
          <w:sz w:val="24"/>
          <w:szCs w:val="24"/>
        </w:rPr>
        <w:t>Pædiatrisk population:</w:t>
      </w:r>
    </w:p>
    <w:p w14:paraId="2DA19713" w14:textId="77777777" w:rsidR="006420CF" w:rsidRPr="00610AE8" w:rsidRDefault="006420CF" w:rsidP="00610AE8">
      <w:pPr>
        <w:pStyle w:val="Listeafsnit"/>
        <w:ind w:left="1276"/>
        <w:rPr>
          <w:sz w:val="24"/>
          <w:szCs w:val="24"/>
        </w:rPr>
      </w:pPr>
      <w:r w:rsidRPr="00610AE8">
        <w:rPr>
          <w:sz w:val="24"/>
          <w:szCs w:val="24"/>
        </w:rPr>
        <w:t>En højere total clearance (15,8 ml/time/kg for nyfødte, 14,8 ml/time/kg ved en gennemsnitsalder på 8 år) og en kortere eliminationshalveringstid (40 timer for nyfødte; 58 timer for 8</w:t>
      </w:r>
      <w:r w:rsidRPr="00610AE8">
        <w:rPr>
          <w:sz w:val="24"/>
          <w:szCs w:val="24"/>
        </w:rPr>
        <w:noBreakHyphen/>
        <w:t>årige) er observeret sammenlignet med voksne patienter.</w:t>
      </w:r>
    </w:p>
    <w:p w14:paraId="3777EDFC" w14:textId="77777777" w:rsidR="009260DE" w:rsidRPr="00325490" w:rsidRDefault="009260DE" w:rsidP="00CB3906">
      <w:pPr>
        <w:rPr>
          <w:sz w:val="24"/>
          <w:szCs w:val="24"/>
        </w:rPr>
      </w:pPr>
    </w:p>
    <w:p w14:paraId="0EF1A142" w14:textId="77777777" w:rsidR="009260DE" w:rsidRPr="00325490" w:rsidRDefault="009260DE" w:rsidP="009260DE">
      <w:pPr>
        <w:tabs>
          <w:tab w:val="left" w:pos="851"/>
        </w:tabs>
        <w:ind w:left="851" w:hanging="851"/>
        <w:rPr>
          <w:b/>
          <w:sz w:val="24"/>
          <w:szCs w:val="24"/>
        </w:rPr>
      </w:pPr>
      <w:r w:rsidRPr="00325490">
        <w:rPr>
          <w:b/>
          <w:sz w:val="24"/>
          <w:szCs w:val="24"/>
        </w:rPr>
        <w:t>5.3</w:t>
      </w:r>
      <w:r w:rsidRPr="00325490">
        <w:rPr>
          <w:b/>
          <w:sz w:val="24"/>
          <w:szCs w:val="24"/>
        </w:rPr>
        <w:tab/>
      </w:r>
      <w:r w:rsidR="00BD7931" w:rsidRPr="00325490">
        <w:rPr>
          <w:b/>
          <w:sz w:val="24"/>
          <w:szCs w:val="24"/>
        </w:rPr>
        <w:t>Non-</w:t>
      </w:r>
      <w:r w:rsidRPr="00325490">
        <w:rPr>
          <w:b/>
          <w:sz w:val="24"/>
          <w:szCs w:val="24"/>
        </w:rPr>
        <w:t>kliniske sikkerhedsdata</w:t>
      </w:r>
    </w:p>
    <w:p w14:paraId="68179AA8" w14:textId="77777777" w:rsidR="0050056A" w:rsidRPr="0050056A" w:rsidRDefault="0050056A" w:rsidP="0050056A">
      <w:pPr>
        <w:ind w:left="851"/>
        <w:rPr>
          <w:bCs/>
          <w:sz w:val="24"/>
          <w:szCs w:val="24"/>
        </w:rPr>
      </w:pPr>
      <w:r w:rsidRPr="0050056A">
        <w:rPr>
          <w:sz w:val="24"/>
          <w:szCs w:val="24"/>
        </w:rPr>
        <w:t>Gentagen parenteral administration til rotter og hunde medførte virkninger på nyrerne, som viste sig at være dosisafhængige og reversible. Studier, som undersøgte potentialet for ototoksicitet hos marsvin indikerer, at en let påvirkning af den kokleære og vestibulære funktion er mulig uden tilstedeværelse af morfologiske forandringer.</w:t>
      </w:r>
    </w:p>
    <w:p w14:paraId="6C9502C2" w14:textId="77777777" w:rsidR="0050056A" w:rsidRPr="0050056A" w:rsidRDefault="0050056A" w:rsidP="0050056A">
      <w:pPr>
        <w:ind w:left="851"/>
        <w:rPr>
          <w:bCs/>
          <w:sz w:val="24"/>
          <w:szCs w:val="24"/>
        </w:rPr>
      </w:pPr>
    </w:p>
    <w:p w14:paraId="2B97C39D" w14:textId="77777777" w:rsidR="0050056A" w:rsidRPr="0050056A" w:rsidRDefault="0050056A" w:rsidP="0050056A">
      <w:pPr>
        <w:ind w:left="851"/>
        <w:rPr>
          <w:bCs/>
          <w:sz w:val="24"/>
          <w:szCs w:val="24"/>
        </w:rPr>
      </w:pPr>
      <w:r w:rsidRPr="0050056A">
        <w:rPr>
          <w:sz w:val="24"/>
          <w:szCs w:val="24"/>
        </w:rPr>
        <w:t xml:space="preserve">Subkutan administration af teicoplanin på op til 40 mg/kg/dag havde ingen effekt på fertiliteten hos han- og hunrotter. I studier om embryoføtal udvikling blev der ikke observeret misdannelser efter subkutan administration af op til 200 mg/kg/dag hos rotter og intramuskulær administration på op til 15 mg/kg/dag hos kaniner. Hos rotter sås imidlertid en øget forekomst af dødfødsler ved doser på 100 mg/kg/dag og derover samt neonatal mortalitet ved 200 mg/kg/dag. Denne virkning blev ikke observeret ved 50 mg/kg/dag. Et peri- og </w:t>
      </w:r>
      <w:r w:rsidRPr="0050056A">
        <w:rPr>
          <w:sz w:val="24"/>
          <w:szCs w:val="24"/>
        </w:rPr>
        <w:lastRenderedPageBreak/>
        <w:t>postnatalt studie hos rotter viste ingen påvirkning af fertiliteten hos F1</w:t>
      </w:r>
      <w:r w:rsidRPr="0050056A">
        <w:rPr>
          <w:sz w:val="24"/>
          <w:szCs w:val="24"/>
        </w:rPr>
        <w:noBreakHyphen/>
        <w:t>generationen eller af overlevelsen og udviklingen hos F2</w:t>
      </w:r>
      <w:r w:rsidRPr="0050056A">
        <w:rPr>
          <w:sz w:val="24"/>
          <w:szCs w:val="24"/>
        </w:rPr>
        <w:noBreakHyphen/>
        <w:t>generationen efter subkutan administration af op til 40 mg/kg/dag.</w:t>
      </w:r>
    </w:p>
    <w:p w14:paraId="783830AE" w14:textId="77777777" w:rsidR="0050056A" w:rsidRPr="0050056A" w:rsidRDefault="0050056A" w:rsidP="0050056A">
      <w:pPr>
        <w:ind w:left="851"/>
        <w:rPr>
          <w:bCs/>
          <w:sz w:val="24"/>
          <w:szCs w:val="24"/>
          <w:lang w:val="nl-NL"/>
        </w:rPr>
      </w:pPr>
    </w:p>
    <w:p w14:paraId="56AC8725" w14:textId="53131E3F" w:rsidR="009E6F11" w:rsidRDefault="0050056A" w:rsidP="009E6F11">
      <w:pPr>
        <w:ind w:left="851"/>
        <w:rPr>
          <w:bCs/>
          <w:sz w:val="24"/>
          <w:szCs w:val="24"/>
        </w:rPr>
      </w:pPr>
      <w:r w:rsidRPr="0050056A">
        <w:rPr>
          <w:sz w:val="24"/>
          <w:szCs w:val="24"/>
        </w:rPr>
        <w:t>Teicoplanin udviste ikke potentiale for antigenicitet (hos mus, marsvin eller kaniner), genotoksicitet eller lokalirritation.</w:t>
      </w:r>
    </w:p>
    <w:p w14:paraId="1F7C4BED" w14:textId="77777777" w:rsidR="009E6F11" w:rsidRPr="009E6F11" w:rsidRDefault="009E6F11" w:rsidP="009E6F11">
      <w:pPr>
        <w:ind w:left="851"/>
        <w:rPr>
          <w:bCs/>
          <w:sz w:val="24"/>
          <w:szCs w:val="24"/>
        </w:rPr>
      </w:pPr>
    </w:p>
    <w:p w14:paraId="2E539102" w14:textId="77777777" w:rsidR="009260DE" w:rsidRPr="00325490" w:rsidRDefault="009260DE" w:rsidP="009260DE">
      <w:pPr>
        <w:tabs>
          <w:tab w:val="left" w:pos="851"/>
        </w:tabs>
        <w:ind w:left="851"/>
        <w:rPr>
          <w:sz w:val="24"/>
          <w:szCs w:val="24"/>
        </w:rPr>
      </w:pPr>
    </w:p>
    <w:p w14:paraId="0CBECC78" w14:textId="77777777" w:rsidR="009260DE" w:rsidRPr="00325490" w:rsidRDefault="009260DE" w:rsidP="009260DE">
      <w:pPr>
        <w:tabs>
          <w:tab w:val="left" w:pos="851"/>
        </w:tabs>
        <w:ind w:left="851" w:hanging="851"/>
        <w:rPr>
          <w:b/>
          <w:sz w:val="24"/>
          <w:szCs w:val="24"/>
        </w:rPr>
      </w:pPr>
      <w:r w:rsidRPr="00325490">
        <w:rPr>
          <w:b/>
          <w:sz w:val="24"/>
          <w:szCs w:val="24"/>
        </w:rPr>
        <w:t>6.</w:t>
      </w:r>
      <w:r w:rsidRPr="00325490">
        <w:rPr>
          <w:b/>
          <w:sz w:val="24"/>
          <w:szCs w:val="24"/>
        </w:rPr>
        <w:tab/>
        <w:t>FARMACEUTISKE OPLYSNINGER</w:t>
      </w:r>
    </w:p>
    <w:p w14:paraId="0EB6CF0B" w14:textId="77777777" w:rsidR="009260DE" w:rsidRPr="00325490" w:rsidRDefault="009260DE" w:rsidP="009260DE">
      <w:pPr>
        <w:tabs>
          <w:tab w:val="left" w:pos="851"/>
        </w:tabs>
        <w:ind w:left="851"/>
        <w:rPr>
          <w:sz w:val="24"/>
          <w:szCs w:val="24"/>
        </w:rPr>
      </w:pPr>
    </w:p>
    <w:p w14:paraId="16319C5C" w14:textId="77777777" w:rsidR="009260DE" w:rsidRPr="00325490" w:rsidRDefault="009260DE" w:rsidP="009260DE">
      <w:pPr>
        <w:tabs>
          <w:tab w:val="left" w:pos="851"/>
        </w:tabs>
        <w:ind w:left="851" w:hanging="851"/>
        <w:rPr>
          <w:b/>
          <w:sz w:val="24"/>
          <w:szCs w:val="24"/>
        </w:rPr>
      </w:pPr>
      <w:r w:rsidRPr="00325490">
        <w:rPr>
          <w:b/>
          <w:sz w:val="24"/>
          <w:szCs w:val="24"/>
        </w:rPr>
        <w:t>6.1</w:t>
      </w:r>
      <w:r w:rsidRPr="00325490">
        <w:rPr>
          <w:b/>
          <w:sz w:val="24"/>
          <w:szCs w:val="24"/>
        </w:rPr>
        <w:tab/>
        <w:t>Hjælpestoffer</w:t>
      </w:r>
    </w:p>
    <w:p w14:paraId="559A22F0" w14:textId="693B1816" w:rsidR="006420CF" w:rsidRPr="00325490" w:rsidRDefault="006420CF" w:rsidP="007E6BC1">
      <w:pPr>
        <w:ind w:left="851"/>
        <w:rPr>
          <w:sz w:val="24"/>
          <w:szCs w:val="24"/>
        </w:rPr>
      </w:pPr>
    </w:p>
    <w:p w14:paraId="153B2F27" w14:textId="32FF5E37" w:rsidR="006420CF" w:rsidRPr="00325490" w:rsidRDefault="006420CF" w:rsidP="007E6BC1">
      <w:pPr>
        <w:ind w:left="851"/>
        <w:rPr>
          <w:sz w:val="24"/>
          <w:szCs w:val="24"/>
        </w:rPr>
      </w:pPr>
      <w:r w:rsidRPr="00325490">
        <w:rPr>
          <w:sz w:val="24"/>
          <w:szCs w:val="24"/>
          <w:u w:val="single"/>
        </w:rPr>
        <w:t>Pulver til injektions-/infusionsvæske, opløsning:</w:t>
      </w:r>
    </w:p>
    <w:p w14:paraId="1A8C961B" w14:textId="77777777" w:rsidR="006420CF" w:rsidRPr="00325490" w:rsidRDefault="006420CF" w:rsidP="007E6BC1">
      <w:pPr>
        <w:ind w:left="851"/>
        <w:rPr>
          <w:sz w:val="24"/>
          <w:szCs w:val="24"/>
        </w:rPr>
      </w:pPr>
      <w:r w:rsidRPr="00325490">
        <w:rPr>
          <w:sz w:val="24"/>
          <w:szCs w:val="24"/>
        </w:rPr>
        <w:t>Natriumchlorid</w:t>
      </w:r>
    </w:p>
    <w:p w14:paraId="1E67405C" w14:textId="77777777" w:rsidR="006420CF" w:rsidRPr="00325490" w:rsidRDefault="006420CF" w:rsidP="007E6BC1">
      <w:pPr>
        <w:ind w:left="851"/>
        <w:rPr>
          <w:sz w:val="24"/>
          <w:szCs w:val="24"/>
        </w:rPr>
      </w:pPr>
      <w:r w:rsidRPr="00325490">
        <w:rPr>
          <w:sz w:val="24"/>
          <w:szCs w:val="24"/>
        </w:rPr>
        <w:t>Natriumhydroxid (til justering af pH)</w:t>
      </w:r>
    </w:p>
    <w:p w14:paraId="7A1CC5E3" w14:textId="77777777" w:rsidR="006420CF" w:rsidRPr="00325490" w:rsidRDefault="006420CF" w:rsidP="007E6BC1">
      <w:pPr>
        <w:ind w:left="851"/>
        <w:rPr>
          <w:sz w:val="24"/>
          <w:szCs w:val="24"/>
        </w:rPr>
      </w:pPr>
    </w:p>
    <w:p w14:paraId="3CE085B5" w14:textId="77777777" w:rsidR="006420CF" w:rsidRPr="00325490" w:rsidRDefault="006420CF" w:rsidP="007E6BC1">
      <w:pPr>
        <w:ind w:left="851"/>
        <w:rPr>
          <w:sz w:val="24"/>
          <w:szCs w:val="24"/>
          <w:u w:val="single"/>
        </w:rPr>
      </w:pPr>
      <w:r w:rsidRPr="00325490">
        <w:rPr>
          <w:sz w:val="24"/>
          <w:szCs w:val="24"/>
          <w:u w:val="single"/>
        </w:rPr>
        <w:t>Solvens:</w:t>
      </w:r>
    </w:p>
    <w:p w14:paraId="0C764E7E" w14:textId="77777777" w:rsidR="006420CF" w:rsidRPr="00325490" w:rsidRDefault="006420CF" w:rsidP="007E6BC1">
      <w:pPr>
        <w:ind w:left="851"/>
        <w:rPr>
          <w:sz w:val="24"/>
          <w:szCs w:val="24"/>
        </w:rPr>
      </w:pPr>
      <w:r w:rsidRPr="00325490">
        <w:rPr>
          <w:sz w:val="24"/>
          <w:szCs w:val="24"/>
        </w:rPr>
        <w:t>Vand til injektionsvæsker</w:t>
      </w:r>
    </w:p>
    <w:p w14:paraId="5507DDB3" w14:textId="77777777" w:rsidR="009260DE" w:rsidRPr="00325490" w:rsidRDefault="009260DE" w:rsidP="009260DE">
      <w:pPr>
        <w:tabs>
          <w:tab w:val="left" w:pos="851"/>
        </w:tabs>
        <w:ind w:left="851"/>
        <w:rPr>
          <w:sz w:val="24"/>
          <w:szCs w:val="24"/>
        </w:rPr>
      </w:pPr>
    </w:p>
    <w:p w14:paraId="29D0ECF4" w14:textId="77777777" w:rsidR="009260DE" w:rsidRPr="00325490" w:rsidRDefault="009260DE" w:rsidP="009260DE">
      <w:pPr>
        <w:tabs>
          <w:tab w:val="left" w:pos="851"/>
        </w:tabs>
        <w:ind w:left="851" w:hanging="851"/>
        <w:rPr>
          <w:b/>
          <w:sz w:val="24"/>
          <w:szCs w:val="24"/>
        </w:rPr>
      </w:pPr>
      <w:r w:rsidRPr="00325490">
        <w:rPr>
          <w:b/>
          <w:sz w:val="24"/>
          <w:szCs w:val="24"/>
        </w:rPr>
        <w:t>6.2</w:t>
      </w:r>
      <w:r w:rsidRPr="00325490">
        <w:rPr>
          <w:b/>
          <w:sz w:val="24"/>
          <w:szCs w:val="24"/>
        </w:rPr>
        <w:tab/>
        <w:t>Uforligeligheder</w:t>
      </w:r>
    </w:p>
    <w:p w14:paraId="74DE205A" w14:textId="77777777" w:rsidR="006420CF" w:rsidRPr="00325490" w:rsidRDefault="006420CF" w:rsidP="007E6BC1">
      <w:pPr>
        <w:ind w:left="851"/>
        <w:rPr>
          <w:bCs/>
          <w:sz w:val="24"/>
          <w:szCs w:val="24"/>
        </w:rPr>
      </w:pPr>
      <w:r w:rsidRPr="00325490">
        <w:rPr>
          <w:sz w:val="24"/>
          <w:szCs w:val="24"/>
        </w:rPr>
        <w:t xml:space="preserve">Teicoplanin og aminoglykosider er inkompatible ved direkte blanding og må ikke blandes før injektion. </w:t>
      </w:r>
    </w:p>
    <w:p w14:paraId="088C1E66" w14:textId="77777777" w:rsidR="006420CF" w:rsidRPr="00325490" w:rsidRDefault="006420CF" w:rsidP="007E6BC1">
      <w:pPr>
        <w:ind w:left="851"/>
        <w:rPr>
          <w:bCs/>
          <w:sz w:val="24"/>
          <w:szCs w:val="24"/>
        </w:rPr>
      </w:pPr>
      <w:r w:rsidRPr="00325490">
        <w:rPr>
          <w:sz w:val="24"/>
          <w:szCs w:val="24"/>
        </w:rPr>
        <w:t>Ved kombinationsterapi med andre antibiotika skal teicoplanin administreres separat.</w:t>
      </w:r>
    </w:p>
    <w:p w14:paraId="0276F2B8" w14:textId="77777777" w:rsidR="006420CF" w:rsidRPr="00325490" w:rsidRDefault="006420CF" w:rsidP="007E6BC1">
      <w:pPr>
        <w:ind w:left="851"/>
        <w:rPr>
          <w:bCs/>
          <w:sz w:val="24"/>
          <w:szCs w:val="24"/>
        </w:rPr>
      </w:pPr>
    </w:p>
    <w:p w14:paraId="284A3125" w14:textId="77777777" w:rsidR="006420CF" w:rsidRPr="00325490" w:rsidRDefault="006420CF" w:rsidP="007E6BC1">
      <w:pPr>
        <w:ind w:left="851"/>
        <w:rPr>
          <w:bCs/>
          <w:sz w:val="24"/>
          <w:szCs w:val="24"/>
        </w:rPr>
      </w:pPr>
      <w:r w:rsidRPr="00325490">
        <w:rPr>
          <w:sz w:val="24"/>
          <w:szCs w:val="24"/>
        </w:rPr>
        <w:t>Dette lægemiddel må ikke blandes med andre lægemidler end dem, der er anført under pkt. 6.6.</w:t>
      </w:r>
    </w:p>
    <w:p w14:paraId="74514530" w14:textId="77777777" w:rsidR="009260DE" w:rsidRPr="00325490" w:rsidRDefault="009260DE" w:rsidP="009260DE">
      <w:pPr>
        <w:tabs>
          <w:tab w:val="left" w:pos="851"/>
        </w:tabs>
        <w:ind w:left="851"/>
        <w:rPr>
          <w:sz w:val="24"/>
          <w:szCs w:val="24"/>
        </w:rPr>
      </w:pPr>
    </w:p>
    <w:p w14:paraId="6CD830CE" w14:textId="77777777" w:rsidR="009260DE" w:rsidRPr="00325490" w:rsidRDefault="009260DE" w:rsidP="009260DE">
      <w:pPr>
        <w:tabs>
          <w:tab w:val="left" w:pos="851"/>
        </w:tabs>
        <w:ind w:left="851" w:hanging="851"/>
        <w:rPr>
          <w:b/>
          <w:sz w:val="24"/>
          <w:szCs w:val="24"/>
        </w:rPr>
      </w:pPr>
      <w:r w:rsidRPr="00325490">
        <w:rPr>
          <w:b/>
          <w:sz w:val="24"/>
          <w:szCs w:val="24"/>
        </w:rPr>
        <w:t>6.3</w:t>
      </w:r>
      <w:r w:rsidRPr="00325490">
        <w:rPr>
          <w:b/>
          <w:sz w:val="24"/>
          <w:szCs w:val="24"/>
        </w:rPr>
        <w:tab/>
        <w:t>Opbevaringstid</w:t>
      </w:r>
    </w:p>
    <w:p w14:paraId="02299211" w14:textId="77777777" w:rsidR="00610AE8" w:rsidRDefault="00610AE8" w:rsidP="007E6BC1">
      <w:pPr>
        <w:ind w:left="851"/>
        <w:rPr>
          <w:sz w:val="24"/>
          <w:szCs w:val="24"/>
        </w:rPr>
      </w:pPr>
    </w:p>
    <w:p w14:paraId="52AD1559" w14:textId="28608FB9" w:rsidR="006420CF" w:rsidRPr="00610AE8" w:rsidRDefault="006420CF" w:rsidP="007E6BC1">
      <w:pPr>
        <w:ind w:left="851"/>
        <w:rPr>
          <w:bCs/>
          <w:sz w:val="24"/>
          <w:szCs w:val="24"/>
          <w:u w:val="single"/>
        </w:rPr>
      </w:pPr>
      <w:r w:rsidRPr="00610AE8">
        <w:rPr>
          <w:sz w:val="24"/>
          <w:szCs w:val="24"/>
          <w:u w:val="single"/>
        </w:rPr>
        <w:t>Holdbarhed for pulver og solvens til injektions-/infusionsvæske:</w:t>
      </w:r>
    </w:p>
    <w:p w14:paraId="5518C64E" w14:textId="3EEB63A6" w:rsidR="006420CF" w:rsidRPr="00325490" w:rsidRDefault="006420CF" w:rsidP="007E6BC1">
      <w:pPr>
        <w:ind w:left="851"/>
        <w:rPr>
          <w:bCs/>
          <w:sz w:val="24"/>
          <w:szCs w:val="24"/>
        </w:rPr>
      </w:pPr>
      <w:r w:rsidRPr="00325490">
        <w:rPr>
          <w:sz w:val="24"/>
          <w:szCs w:val="24"/>
        </w:rPr>
        <w:t>3 år</w:t>
      </w:r>
      <w:r w:rsidR="008471E9">
        <w:rPr>
          <w:sz w:val="24"/>
          <w:szCs w:val="24"/>
        </w:rPr>
        <w:t>.</w:t>
      </w:r>
    </w:p>
    <w:p w14:paraId="327C8969" w14:textId="77777777" w:rsidR="006420CF" w:rsidRPr="00325490" w:rsidRDefault="006420CF" w:rsidP="007E6BC1">
      <w:pPr>
        <w:ind w:left="851"/>
        <w:rPr>
          <w:bCs/>
          <w:sz w:val="24"/>
          <w:szCs w:val="24"/>
        </w:rPr>
      </w:pPr>
    </w:p>
    <w:p w14:paraId="6EB04A46" w14:textId="287E1C80" w:rsidR="006420CF" w:rsidRPr="005D033A" w:rsidRDefault="005D033A" w:rsidP="007E6BC1">
      <w:pPr>
        <w:ind w:left="851"/>
        <w:rPr>
          <w:bCs/>
          <w:iCs/>
          <w:sz w:val="24"/>
          <w:szCs w:val="24"/>
          <w:u w:val="single"/>
        </w:rPr>
      </w:pPr>
      <w:r w:rsidRPr="005D033A">
        <w:rPr>
          <w:sz w:val="24"/>
          <w:szCs w:val="24"/>
          <w:u w:val="single"/>
        </w:rPr>
        <w:t>Holdbarhed for den rekonstituerede opløsning:</w:t>
      </w:r>
    </w:p>
    <w:p w14:paraId="7C1E440E" w14:textId="77777777" w:rsidR="006420CF" w:rsidRPr="00325490" w:rsidRDefault="006420CF" w:rsidP="007E6BC1">
      <w:pPr>
        <w:ind w:left="851"/>
        <w:rPr>
          <w:bCs/>
          <w:iCs/>
          <w:sz w:val="24"/>
          <w:szCs w:val="24"/>
        </w:rPr>
      </w:pPr>
      <w:r w:rsidRPr="00325490">
        <w:rPr>
          <w:sz w:val="24"/>
          <w:szCs w:val="24"/>
        </w:rPr>
        <w:t>Den kemiske og fysiske stabilitet af den rekonstituerede opløsning, klargjort i overensstemmelse med anvisningerne, er dokumenteret i 24 timer ved 2 til 8 °C.</w:t>
      </w:r>
    </w:p>
    <w:p w14:paraId="3025CB31" w14:textId="77777777" w:rsidR="006420CF" w:rsidRPr="00325490" w:rsidRDefault="006420CF" w:rsidP="007E6BC1">
      <w:pPr>
        <w:ind w:left="851"/>
        <w:rPr>
          <w:bCs/>
          <w:iCs/>
          <w:sz w:val="24"/>
          <w:szCs w:val="24"/>
        </w:rPr>
      </w:pPr>
    </w:p>
    <w:p w14:paraId="34F0E540" w14:textId="77777777" w:rsidR="006420CF" w:rsidRPr="00610AE8" w:rsidRDefault="006420CF" w:rsidP="007E6BC1">
      <w:pPr>
        <w:ind w:left="851"/>
        <w:rPr>
          <w:bCs/>
          <w:iCs/>
          <w:sz w:val="24"/>
          <w:szCs w:val="24"/>
          <w:u w:val="single"/>
        </w:rPr>
      </w:pPr>
      <w:r w:rsidRPr="00610AE8">
        <w:rPr>
          <w:sz w:val="24"/>
          <w:szCs w:val="24"/>
          <w:u w:val="single"/>
        </w:rPr>
        <w:t xml:space="preserve">Holdbarhed for rekonstitueret og yderligere fortyndet opløsning: </w:t>
      </w:r>
    </w:p>
    <w:p w14:paraId="1897A8E9" w14:textId="77777777" w:rsidR="006420CF" w:rsidRPr="00325490" w:rsidRDefault="006420CF" w:rsidP="007E6BC1">
      <w:pPr>
        <w:ind w:left="851"/>
        <w:rPr>
          <w:bCs/>
          <w:iCs/>
          <w:sz w:val="24"/>
          <w:szCs w:val="24"/>
        </w:rPr>
      </w:pPr>
      <w:r w:rsidRPr="00325490">
        <w:rPr>
          <w:sz w:val="24"/>
          <w:szCs w:val="24"/>
        </w:rPr>
        <w:t>Den kemiske og fysiske stabilitet af den rekonstituerede opløsning, klargjort i overensstemmelse med anvisningerne, er dokumenteret i 24 timer ved 2 til 8 °C og i yderligere 24 timer ved 2 til 8 °C efter yderligere fortynding til en slutkoncentration mellem 4 mg/ml og 20 mg/ml.</w:t>
      </w:r>
    </w:p>
    <w:p w14:paraId="0D37B243" w14:textId="77777777" w:rsidR="006420CF" w:rsidRPr="00325490" w:rsidRDefault="006420CF" w:rsidP="007E6BC1">
      <w:pPr>
        <w:ind w:left="851"/>
        <w:rPr>
          <w:bCs/>
          <w:iCs/>
          <w:sz w:val="24"/>
          <w:szCs w:val="24"/>
        </w:rPr>
      </w:pPr>
    </w:p>
    <w:p w14:paraId="2CBE6FFC" w14:textId="77777777" w:rsidR="006420CF" w:rsidRPr="00325490" w:rsidRDefault="006420CF" w:rsidP="007E6BC1">
      <w:pPr>
        <w:ind w:left="851"/>
        <w:rPr>
          <w:bCs/>
          <w:iCs/>
          <w:sz w:val="24"/>
          <w:szCs w:val="24"/>
        </w:rPr>
      </w:pPr>
      <w:r w:rsidRPr="00325490">
        <w:rPr>
          <w:sz w:val="24"/>
          <w:szCs w:val="24"/>
        </w:rPr>
        <w:t xml:space="preserve">Ud fra et mikrobiologisk synspunkt skal præparatet anvendes med samme, medmindre metoden til åbning/rekonstitution/fortynding udelukker risikoen for mikrobiel kontaminering. </w:t>
      </w:r>
    </w:p>
    <w:p w14:paraId="3CD53E1B" w14:textId="0357EA47" w:rsidR="009260DE" w:rsidRPr="00325490" w:rsidRDefault="006420CF" w:rsidP="00610AE8">
      <w:pPr>
        <w:ind w:left="851"/>
        <w:rPr>
          <w:rFonts w:eastAsia="MS Mincho"/>
          <w:noProof/>
          <w:sz w:val="24"/>
          <w:szCs w:val="24"/>
          <w:lang w:val="nl-NL"/>
        </w:rPr>
      </w:pPr>
      <w:r w:rsidRPr="00325490">
        <w:rPr>
          <w:sz w:val="24"/>
          <w:szCs w:val="24"/>
        </w:rPr>
        <w:t>Hvis opløsningen ikke anvendes med det samme, er opbevaringstider og -betingelser brugerens eget ansvar.</w:t>
      </w:r>
    </w:p>
    <w:p w14:paraId="5BBC619B" w14:textId="77777777" w:rsidR="009260DE" w:rsidRPr="00325490" w:rsidRDefault="009260DE" w:rsidP="009260DE">
      <w:pPr>
        <w:tabs>
          <w:tab w:val="left" w:pos="851"/>
        </w:tabs>
        <w:ind w:left="851"/>
        <w:rPr>
          <w:sz w:val="24"/>
          <w:szCs w:val="24"/>
        </w:rPr>
      </w:pPr>
    </w:p>
    <w:p w14:paraId="64F9624E" w14:textId="77777777" w:rsidR="009260DE" w:rsidRPr="00325490" w:rsidRDefault="009260DE" w:rsidP="009260DE">
      <w:pPr>
        <w:tabs>
          <w:tab w:val="left" w:pos="851"/>
        </w:tabs>
        <w:ind w:left="851" w:hanging="851"/>
        <w:rPr>
          <w:b/>
          <w:sz w:val="24"/>
          <w:szCs w:val="24"/>
        </w:rPr>
      </w:pPr>
      <w:r w:rsidRPr="00325490">
        <w:rPr>
          <w:b/>
          <w:sz w:val="24"/>
          <w:szCs w:val="24"/>
        </w:rPr>
        <w:t>6.4</w:t>
      </w:r>
      <w:r w:rsidRPr="00325490">
        <w:rPr>
          <w:b/>
          <w:sz w:val="24"/>
          <w:szCs w:val="24"/>
        </w:rPr>
        <w:tab/>
        <w:t>Særlige opbevaringsforhold</w:t>
      </w:r>
    </w:p>
    <w:p w14:paraId="617C1044" w14:textId="77777777" w:rsidR="006420CF" w:rsidRPr="00325490" w:rsidRDefault="006420CF" w:rsidP="007E6BC1">
      <w:pPr>
        <w:ind w:left="851"/>
        <w:rPr>
          <w:bCs/>
          <w:sz w:val="24"/>
          <w:szCs w:val="24"/>
        </w:rPr>
      </w:pPr>
      <w:r w:rsidRPr="00325490">
        <w:rPr>
          <w:sz w:val="24"/>
          <w:szCs w:val="24"/>
        </w:rPr>
        <w:t>Pulver og solvens i salgspakning:</w:t>
      </w:r>
    </w:p>
    <w:p w14:paraId="6F88E674" w14:textId="77777777" w:rsidR="006420CF" w:rsidRPr="00325490" w:rsidRDefault="006420CF" w:rsidP="007E6BC1">
      <w:pPr>
        <w:ind w:left="851"/>
        <w:rPr>
          <w:bCs/>
          <w:sz w:val="24"/>
          <w:szCs w:val="24"/>
          <w:lang w:val="nl-NL"/>
        </w:rPr>
      </w:pPr>
    </w:p>
    <w:p w14:paraId="71FDE39A" w14:textId="77777777" w:rsidR="006420CF" w:rsidRPr="00325490" w:rsidRDefault="006420CF" w:rsidP="007E6BC1">
      <w:pPr>
        <w:ind w:left="851"/>
        <w:rPr>
          <w:bCs/>
          <w:iCs/>
          <w:sz w:val="24"/>
          <w:szCs w:val="24"/>
        </w:rPr>
      </w:pPr>
      <w:r w:rsidRPr="00325490">
        <w:rPr>
          <w:sz w:val="24"/>
          <w:szCs w:val="24"/>
        </w:rPr>
        <w:t>Dette lægemiddel kræver ingen særlige forholdsregler vedrørende opbevaringen.</w:t>
      </w:r>
    </w:p>
    <w:p w14:paraId="341187B4" w14:textId="5EC365EE" w:rsidR="006420CF" w:rsidRPr="00325490" w:rsidRDefault="006420CF" w:rsidP="007E6BC1">
      <w:pPr>
        <w:ind w:left="851"/>
        <w:rPr>
          <w:bCs/>
          <w:iCs/>
          <w:sz w:val="24"/>
          <w:szCs w:val="24"/>
        </w:rPr>
      </w:pPr>
    </w:p>
    <w:p w14:paraId="1CD50AAD" w14:textId="16A44F7F" w:rsidR="00EF6DF4" w:rsidRPr="009E6F11" w:rsidRDefault="006420CF" w:rsidP="009E6F11">
      <w:pPr>
        <w:ind w:left="851"/>
        <w:rPr>
          <w:bCs/>
          <w:iCs/>
          <w:sz w:val="24"/>
          <w:szCs w:val="24"/>
        </w:rPr>
      </w:pPr>
      <w:r w:rsidRPr="00325490">
        <w:rPr>
          <w:sz w:val="24"/>
          <w:szCs w:val="24"/>
        </w:rPr>
        <w:t>Opbevaringsforhold efter rekonstitution/fortynding af lægemidlet, se pkt. 6.3.</w:t>
      </w:r>
    </w:p>
    <w:p w14:paraId="22233FC4" w14:textId="77777777" w:rsidR="009260DE" w:rsidRPr="00325490" w:rsidRDefault="009260DE" w:rsidP="009260DE">
      <w:pPr>
        <w:tabs>
          <w:tab w:val="left" w:pos="851"/>
        </w:tabs>
        <w:ind w:left="851"/>
        <w:rPr>
          <w:sz w:val="24"/>
          <w:szCs w:val="24"/>
        </w:rPr>
      </w:pPr>
    </w:p>
    <w:p w14:paraId="34073FC7" w14:textId="77777777" w:rsidR="009260DE" w:rsidRPr="00325490" w:rsidRDefault="009260DE" w:rsidP="009260DE">
      <w:pPr>
        <w:tabs>
          <w:tab w:val="left" w:pos="851"/>
        </w:tabs>
        <w:ind w:left="851" w:hanging="851"/>
        <w:rPr>
          <w:b/>
          <w:sz w:val="24"/>
          <w:szCs w:val="24"/>
        </w:rPr>
      </w:pPr>
      <w:r w:rsidRPr="00325490">
        <w:rPr>
          <w:b/>
          <w:sz w:val="24"/>
          <w:szCs w:val="24"/>
        </w:rPr>
        <w:t>6.5</w:t>
      </w:r>
      <w:r w:rsidRPr="00325490">
        <w:rPr>
          <w:b/>
          <w:sz w:val="24"/>
          <w:szCs w:val="24"/>
        </w:rPr>
        <w:tab/>
        <w:t>Emballagetype og pakningsstørrelser</w:t>
      </w:r>
    </w:p>
    <w:p w14:paraId="2CD3F399" w14:textId="77777777" w:rsidR="00434679" w:rsidRPr="00434679" w:rsidRDefault="00434679" w:rsidP="00434679">
      <w:pPr>
        <w:tabs>
          <w:tab w:val="left" w:pos="851"/>
        </w:tabs>
        <w:ind w:left="851"/>
        <w:rPr>
          <w:sz w:val="24"/>
          <w:szCs w:val="24"/>
        </w:rPr>
      </w:pPr>
      <w:r w:rsidRPr="00434679">
        <w:rPr>
          <w:sz w:val="24"/>
          <w:szCs w:val="24"/>
        </w:rPr>
        <w:t>Hætteglas med aluminiumsforsegling</w:t>
      </w:r>
    </w:p>
    <w:p w14:paraId="5A350FFE" w14:textId="5BC12E0E" w:rsidR="00434679" w:rsidRPr="00434679" w:rsidRDefault="00434679" w:rsidP="00434679">
      <w:pPr>
        <w:tabs>
          <w:tab w:val="left" w:pos="851"/>
        </w:tabs>
        <w:rPr>
          <w:sz w:val="24"/>
          <w:szCs w:val="24"/>
        </w:rPr>
      </w:pPr>
      <w:r>
        <w:rPr>
          <w:sz w:val="24"/>
          <w:szCs w:val="24"/>
        </w:rPr>
        <w:tab/>
      </w:r>
      <w:r w:rsidRPr="00434679">
        <w:rPr>
          <w:sz w:val="24"/>
          <w:szCs w:val="24"/>
        </w:rPr>
        <w:t>Vand til injektionsvæsker (solvens) i ampul</w:t>
      </w:r>
    </w:p>
    <w:p w14:paraId="0111D6C3" w14:textId="77777777" w:rsidR="009260DE" w:rsidRPr="00325490" w:rsidRDefault="009260DE" w:rsidP="009260DE">
      <w:pPr>
        <w:tabs>
          <w:tab w:val="left" w:pos="851"/>
        </w:tabs>
        <w:ind w:left="851"/>
        <w:rPr>
          <w:sz w:val="24"/>
          <w:szCs w:val="24"/>
        </w:rPr>
      </w:pPr>
    </w:p>
    <w:p w14:paraId="2468B854" w14:textId="77777777" w:rsidR="009260DE" w:rsidRPr="00325490" w:rsidRDefault="009260DE" w:rsidP="009260DE">
      <w:pPr>
        <w:tabs>
          <w:tab w:val="left" w:pos="851"/>
        </w:tabs>
        <w:ind w:left="851" w:hanging="851"/>
        <w:rPr>
          <w:b/>
          <w:sz w:val="24"/>
          <w:szCs w:val="24"/>
        </w:rPr>
      </w:pPr>
      <w:r w:rsidRPr="00325490">
        <w:rPr>
          <w:b/>
          <w:sz w:val="24"/>
          <w:szCs w:val="24"/>
        </w:rPr>
        <w:t>6.6</w:t>
      </w:r>
      <w:r w:rsidRPr="00325490">
        <w:rPr>
          <w:b/>
          <w:sz w:val="24"/>
          <w:szCs w:val="24"/>
        </w:rPr>
        <w:tab/>
        <w:t xml:space="preserve">Regler for </w:t>
      </w:r>
      <w:r w:rsidR="00BD7931" w:rsidRPr="00325490">
        <w:rPr>
          <w:b/>
          <w:sz w:val="24"/>
          <w:szCs w:val="24"/>
        </w:rPr>
        <w:t>bortskaffelse</w:t>
      </w:r>
      <w:r w:rsidRPr="00325490">
        <w:rPr>
          <w:b/>
          <w:sz w:val="24"/>
          <w:szCs w:val="24"/>
        </w:rPr>
        <w:t xml:space="preserve"> og anden håndtering</w:t>
      </w:r>
    </w:p>
    <w:p w14:paraId="7B447C90" w14:textId="77777777" w:rsidR="006420CF" w:rsidRPr="00325490" w:rsidRDefault="006420CF" w:rsidP="007E6BC1">
      <w:pPr>
        <w:ind w:left="851"/>
        <w:rPr>
          <w:sz w:val="24"/>
          <w:szCs w:val="24"/>
        </w:rPr>
      </w:pPr>
      <w:r w:rsidRPr="00325490">
        <w:rPr>
          <w:sz w:val="24"/>
          <w:szCs w:val="24"/>
        </w:rPr>
        <w:t>Dette lægemiddel er kun til engangsbrug. Ikke anvendt opløsning skal bortskaffes.</w:t>
      </w:r>
    </w:p>
    <w:p w14:paraId="0D6B8EA6" w14:textId="77777777" w:rsidR="006420CF" w:rsidRPr="00325490" w:rsidRDefault="006420CF" w:rsidP="007E6BC1">
      <w:pPr>
        <w:ind w:left="851"/>
        <w:rPr>
          <w:sz w:val="24"/>
          <w:szCs w:val="24"/>
          <w:highlight w:val="yellow"/>
          <w:lang w:val="nl-NL"/>
        </w:rPr>
      </w:pPr>
    </w:p>
    <w:p w14:paraId="724C2894" w14:textId="77777777" w:rsidR="006420CF" w:rsidRPr="00325490" w:rsidRDefault="006420CF" w:rsidP="007E6BC1">
      <w:pPr>
        <w:ind w:left="851"/>
        <w:rPr>
          <w:sz w:val="24"/>
          <w:szCs w:val="24"/>
        </w:rPr>
      </w:pPr>
      <w:r w:rsidRPr="00325490">
        <w:rPr>
          <w:sz w:val="24"/>
          <w:szCs w:val="24"/>
        </w:rPr>
        <w:t>Rekonstitution/fortynding skal foretages under aseptiske forhold.</w:t>
      </w:r>
    </w:p>
    <w:p w14:paraId="6EBDB165" w14:textId="77777777" w:rsidR="006420CF" w:rsidRPr="00325490" w:rsidRDefault="006420CF" w:rsidP="007E6BC1">
      <w:pPr>
        <w:ind w:left="851"/>
        <w:rPr>
          <w:sz w:val="24"/>
          <w:szCs w:val="24"/>
        </w:rPr>
      </w:pPr>
    </w:p>
    <w:p w14:paraId="7E4B64CD" w14:textId="77777777" w:rsidR="006420CF" w:rsidRPr="00325490" w:rsidRDefault="006420CF" w:rsidP="007E6BC1">
      <w:pPr>
        <w:ind w:left="851"/>
        <w:rPr>
          <w:sz w:val="24"/>
          <w:szCs w:val="24"/>
        </w:rPr>
      </w:pPr>
      <w:r w:rsidRPr="00325490">
        <w:rPr>
          <w:sz w:val="24"/>
          <w:szCs w:val="24"/>
        </w:rPr>
        <w:t>Opløsningen skal inspiceres visuelt for partikler og misfarvning før administration. Opløsningen må kun anvendes, hvis den er klar og fri for partikler.</w:t>
      </w:r>
    </w:p>
    <w:p w14:paraId="2D670914" w14:textId="77777777" w:rsidR="006420CF" w:rsidRPr="00325490" w:rsidRDefault="006420CF" w:rsidP="007E6BC1">
      <w:pPr>
        <w:ind w:left="851"/>
        <w:rPr>
          <w:sz w:val="24"/>
          <w:szCs w:val="24"/>
          <w:highlight w:val="yellow"/>
        </w:rPr>
      </w:pPr>
    </w:p>
    <w:p w14:paraId="64D420CD" w14:textId="77777777" w:rsidR="006420CF" w:rsidRPr="00325490" w:rsidRDefault="006420CF" w:rsidP="007E6BC1">
      <w:pPr>
        <w:ind w:left="851"/>
        <w:rPr>
          <w:sz w:val="24"/>
          <w:szCs w:val="24"/>
          <w:u w:val="single"/>
        </w:rPr>
      </w:pPr>
      <w:r w:rsidRPr="00325490">
        <w:rPr>
          <w:sz w:val="24"/>
          <w:szCs w:val="24"/>
          <w:u w:val="single"/>
        </w:rPr>
        <w:t xml:space="preserve">Klargøring af rekonstitueret opløsning: </w:t>
      </w:r>
    </w:p>
    <w:p w14:paraId="38FB3ED3" w14:textId="77777777" w:rsidR="006420CF" w:rsidRPr="00325490" w:rsidRDefault="006420CF" w:rsidP="007E6BC1">
      <w:pPr>
        <w:ind w:left="851"/>
        <w:rPr>
          <w:sz w:val="24"/>
          <w:szCs w:val="24"/>
        </w:rPr>
      </w:pPr>
    </w:p>
    <w:p w14:paraId="19A60324" w14:textId="18F029F8" w:rsidR="006420CF" w:rsidRPr="00610AE8" w:rsidRDefault="006420CF" w:rsidP="00610AE8">
      <w:pPr>
        <w:pStyle w:val="Listeafsnit"/>
        <w:numPr>
          <w:ilvl w:val="0"/>
          <w:numId w:val="15"/>
        </w:numPr>
        <w:ind w:left="1276" w:hanging="425"/>
        <w:rPr>
          <w:sz w:val="24"/>
          <w:szCs w:val="24"/>
        </w:rPr>
      </w:pPr>
      <w:r w:rsidRPr="00610AE8">
        <w:rPr>
          <w:sz w:val="24"/>
          <w:szCs w:val="24"/>
        </w:rPr>
        <w:t>Injicer langsomt 3,0 ml af den medfølgende solvens</w:t>
      </w:r>
      <w:r w:rsidR="005D033A">
        <w:rPr>
          <w:sz w:val="24"/>
          <w:szCs w:val="24"/>
        </w:rPr>
        <w:t xml:space="preserve"> ind</w:t>
      </w:r>
      <w:r w:rsidRPr="00610AE8">
        <w:rPr>
          <w:sz w:val="24"/>
          <w:szCs w:val="24"/>
        </w:rPr>
        <w:t xml:space="preserve"> i hætteglasset med pulver. </w:t>
      </w:r>
    </w:p>
    <w:p w14:paraId="10D3316E" w14:textId="77777777" w:rsidR="006420CF" w:rsidRPr="00610AE8" w:rsidRDefault="006420CF" w:rsidP="00610AE8">
      <w:pPr>
        <w:pStyle w:val="Listeafsnit"/>
        <w:numPr>
          <w:ilvl w:val="0"/>
          <w:numId w:val="15"/>
        </w:numPr>
        <w:ind w:left="1276" w:hanging="425"/>
        <w:rPr>
          <w:sz w:val="24"/>
          <w:szCs w:val="24"/>
        </w:rPr>
      </w:pPr>
      <w:r w:rsidRPr="00610AE8">
        <w:rPr>
          <w:sz w:val="24"/>
          <w:szCs w:val="24"/>
        </w:rPr>
        <w:t>Rul forsigtigt hætteglasset mellem hænderne, indtil pulveret er helt opløst. Hvis der dannes skum i opløsningen, skal den stå i ca. 15 minutter. Kun klare og gullige opløsninger må anvendes.</w:t>
      </w:r>
    </w:p>
    <w:p w14:paraId="111C0907" w14:textId="77777777" w:rsidR="006420CF" w:rsidRPr="00325490" w:rsidRDefault="006420CF" w:rsidP="007E6BC1">
      <w:pPr>
        <w:ind w:left="851"/>
        <w:rPr>
          <w:sz w:val="24"/>
          <w:szCs w:val="24"/>
          <w:lang w:val="en-IE"/>
        </w:rPr>
      </w:pPr>
    </w:p>
    <w:tbl>
      <w:tblPr>
        <w:tblW w:w="3650" w:type="pct"/>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6"/>
        <w:gridCol w:w="2752"/>
      </w:tblGrid>
      <w:tr w:rsidR="00434679" w:rsidRPr="00325490" w14:paraId="7A4EABFE" w14:textId="77777777" w:rsidTr="00434679">
        <w:tc>
          <w:tcPr>
            <w:tcW w:w="3042" w:type="pct"/>
            <w:tcBorders>
              <w:top w:val="single" w:sz="4" w:space="0" w:color="auto"/>
              <w:left w:val="single" w:sz="4" w:space="0" w:color="auto"/>
              <w:bottom w:val="single" w:sz="4" w:space="0" w:color="auto"/>
              <w:right w:val="single" w:sz="4" w:space="0" w:color="auto"/>
            </w:tcBorders>
            <w:hideMark/>
          </w:tcPr>
          <w:p w14:paraId="7B9310A1" w14:textId="77777777" w:rsidR="00434679" w:rsidRPr="00325490" w:rsidRDefault="00434679">
            <w:pPr>
              <w:tabs>
                <w:tab w:val="left" w:pos="567"/>
              </w:tabs>
              <w:autoSpaceDE w:val="0"/>
              <w:autoSpaceDN w:val="0"/>
              <w:adjustRightInd w:val="0"/>
              <w:rPr>
                <w:bCs/>
                <w:sz w:val="24"/>
                <w:szCs w:val="24"/>
              </w:rPr>
            </w:pPr>
            <w:r w:rsidRPr="00325490">
              <w:rPr>
                <w:sz w:val="24"/>
                <w:szCs w:val="24"/>
              </w:rPr>
              <w:t>Nominelt indhold af teicoplanin i hætteglasset</w:t>
            </w:r>
          </w:p>
        </w:tc>
        <w:tc>
          <w:tcPr>
            <w:tcW w:w="1958" w:type="pct"/>
            <w:tcBorders>
              <w:top w:val="single" w:sz="4" w:space="0" w:color="auto"/>
              <w:left w:val="single" w:sz="4" w:space="0" w:color="auto"/>
              <w:bottom w:val="single" w:sz="4" w:space="0" w:color="auto"/>
              <w:right w:val="single" w:sz="4" w:space="0" w:color="auto"/>
            </w:tcBorders>
            <w:hideMark/>
          </w:tcPr>
          <w:p w14:paraId="03554BEE" w14:textId="77777777" w:rsidR="00434679" w:rsidRPr="00325490" w:rsidRDefault="00434679">
            <w:pPr>
              <w:tabs>
                <w:tab w:val="left" w:pos="567"/>
              </w:tabs>
              <w:autoSpaceDE w:val="0"/>
              <w:autoSpaceDN w:val="0"/>
              <w:adjustRightInd w:val="0"/>
              <w:rPr>
                <w:bCs/>
                <w:iCs/>
                <w:sz w:val="24"/>
                <w:szCs w:val="24"/>
              </w:rPr>
            </w:pPr>
            <w:r w:rsidRPr="00325490">
              <w:rPr>
                <w:sz w:val="24"/>
                <w:szCs w:val="24"/>
              </w:rPr>
              <w:t>400 mg</w:t>
            </w:r>
          </w:p>
        </w:tc>
      </w:tr>
      <w:tr w:rsidR="00434679" w:rsidRPr="00325490" w14:paraId="2461143D" w14:textId="77777777" w:rsidTr="00434679">
        <w:tc>
          <w:tcPr>
            <w:tcW w:w="3042" w:type="pct"/>
            <w:tcBorders>
              <w:top w:val="single" w:sz="4" w:space="0" w:color="auto"/>
              <w:left w:val="single" w:sz="4" w:space="0" w:color="auto"/>
              <w:bottom w:val="single" w:sz="4" w:space="0" w:color="auto"/>
              <w:right w:val="single" w:sz="4" w:space="0" w:color="auto"/>
            </w:tcBorders>
            <w:hideMark/>
          </w:tcPr>
          <w:p w14:paraId="37293ADE" w14:textId="77777777" w:rsidR="00434679" w:rsidRPr="00325490" w:rsidRDefault="00434679">
            <w:pPr>
              <w:tabs>
                <w:tab w:val="left" w:pos="567"/>
              </w:tabs>
              <w:autoSpaceDE w:val="0"/>
              <w:autoSpaceDN w:val="0"/>
              <w:adjustRightInd w:val="0"/>
              <w:rPr>
                <w:bCs/>
                <w:sz w:val="24"/>
                <w:szCs w:val="24"/>
              </w:rPr>
            </w:pPr>
            <w:r w:rsidRPr="00325490">
              <w:rPr>
                <w:sz w:val="24"/>
                <w:szCs w:val="24"/>
              </w:rPr>
              <w:t>Volumen af hætteglasset med pulver</w:t>
            </w:r>
          </w:p>
        </w:tc>
        <w:tc>
          <w:tcPr>
            <w:tcW w:w="1958" w:type="pct"/>
            <w:tcBorders>
              <w:top w:val="single" w:sz="4" w:space="0" w:color="auto"/>
              <w:left w:val="single" w:sz="4" w:space="0" w:color="auto"/>
              <w:bottom w:val="single" w:sz="4" w:space="0" w:color="auto"/>
              <w:right w:val="single" w:sz="4" w:space="0" w:color="auto"/>
            </w:tcBorders>
            <w:hideMark/>
          </w:tcPr>
          <w:p w14:paraId="587F3D57" w14:textId="77777777" w:rsidR="00434679" w:rsidRPr="00325490" w:rsidRDefault="00434679">
            <w:pPr>
              <w:tabs>
                <w:tab w:val="left" w:pos="567"/>
              </w:tabs>
              <w:autoSpaceDE w:val="0"/>
              <w:autoSpaceDN w:val="0"/>
              <w:adjustRightInd w:val="0"/>
              <w:rPr>
                <w:bCs/>
                <w:iCs/>
                <w:sz w:val="24"/>
                <w:szCs w:val="24"/>
              </w:rPr>
            </w:pPr>
            <w:r w:rsidRPr="00325490">
              <w:rPr>
                <w:sz w:val="24"/>
                <w:szCs w:val="24"/>
              </w:rPr>
              <w:t>22 ml</w:t>
            </w:r>
          </w:p>
        </w:tc>
      </w:tr>
      <w:tr w:rsidR="00434679" w:rsidRPr="00325490" w14:paraId="0828D426" w14:textId="77777777" w:rsidTr="00434679">
        <w:tc>
          <w:tcPr>
            <w:tcW w:w="3042" w:type="pct"/>
            <w:tcBorders>
              <w:top w:val="single" w:sz="4" w:space="0" w:color="auto"/>
              <w:left w:val="single" w:sz="4" w:space="0" w:color="auto"/>
              <w:bottom w:val="single" w:sz="4" w:space="0" w:color="auto"/>
              <w:right w:val="single" w:sz="4" w:space="0" w:color="auto"/>
            </w:tcBorders>
            <w:hideMark/>
          </w:tcPr>
          <w:p w14:paraId="3B5235A3" w14:textId="77777777" w:rsidR="00434679" w:rsidRPr="00325490" w:rsidRDefault="00434679">
            <w:pPr>
              <w:tabs>
                <w:tab w:val="left" w:pos="567"/>
              </w:tabs>
              <w:autoSpaceDE w:val="0"/>
              <w:autoSpaceDN w:val="0"/>
              <w:adjustRightInd w:val="0"/>
              <w:rPr>
                <w:bCs/>
                <w:sz w:val="24"/>
                <w:szCs w:val="24"/>
              </w:rPr>
            </w:pPr>
            <w:r w:rsidRPr="00325490">
              <w:rPr>
                <w:sz w:val="24"/>
                <w:szCs w:val="24"/>
              </w:rPr>
              <w:t>Volumen, der kan udtages fra solvensampullen til rekonstitution</w:t>
            </w:r>
          </w:p>
        </w:tc>
        <w:tc>
          <w:tcPr>
            <w:tcW w:w="1958" w:type="pct"/>
            <w:tcBorders>
              <w:top w:val="single" w:sz="4" w:space="0" w:color="auto"/>
              <w:left w:val="single" w:sz="4" w:space="0" w:color="auto"/>
              <w:bottom w:val="single" w:sz="4" w:space="0" w:color="auto"/>
              <w:right w:val="single" w:sz="4" w:space="0" w:color="auto"/>
            </w:tcBorders>
            <w:hideMark/>
          </w:tcPr>
          <w:p w14:paraId="4EC21EEA" w14:textId="77777777" w:rsidR="00434679" w:rsidRPr="00325490" w:rsidRDefault="00434679">
            <w:pPr>
              <w:tabs>
                <w:tab w:val="left" w:pos="567"/>
              </w:tabs>
              <w:autoSpaceDE w:val="0"/>
              <w:autoSpaceDN w:val="0"/>
              <w:adjustRightInd w:val="0"/>
              <w:rPr>
                <w:bCs/>
                <w:iCs/>
                <w:sz w:val="24"/>
                <w:szCs w:val="24"/>
              </w:rPr>
            </w:pPr>
            <w:r w:rsidRPr="00325490">
              <w:rPr>
                <w:sz w:val="24"/>
                <w:szCs w:val="24"/>
              </w:rPr>
              <w:t>3 ml</w:t>
            </w:r>
          </w:p>
        </w:tc>
      </w:tr>
      <w:tr w:rsidR="00434679" w:rsidRPr="00325490" w14:paraId="38F32318" w14:textId="77777777" w:rsidTr="00434679">
        <w:tc>
          <w:tcPr>
            <w:tcW w:w="3042" w:type="pct"/>
            <w:tcBorders>
              <w:top w:val="single" w:sz="4" w:space="0" w:color="auto"/>
              <w:left w:val="single" w:sz="4" w:space="0" w:color="auto"/>
              <w:bottom w:val="single" w:sz="4" w:space="0" w:color="auto"/>
              <w:right w:val="single" w:sz="4" w:space="0" w:color="auto"/>
            </w:tcBorders>
            <w:hideMark/>
          </w:tcPr>
          <w:p w14:paraId="215F60D1" w14:textId="77777777" w:rsidR="00434679" w:rsidRPr="00325490" w:rsidRDefault="00434679">
            <w:pPr>
              <w:tabs>
                <w:tab w:val="left" w:pos="567"/>
              </w:tabs>
              <w:autoSpaceDE w:val="0"/>
              <w:autoSpaceDN w:val="0"/>
              <w:adjustRightInd w:val="0"/>
              <w:rPr>
                <w:bCs/>
                <w:sz w:val="24"/>
                <w:szCs w:val="24"/>
              </w:rPr>
            </w:pPr>
            <w:r w:rsidRPr="00325490">
              <w:rPr>
                <w:sz w:val="24"/>
                <w:szCs w:val="24"/>
              </w:rPr>
              <w:t>Volumen indeholdende den nominelle teicoplanindosis (udtaget med 5 ml sprøjte og 23 G kanyle)</w:t>
            </w:r>
          </w:p>
        </w:tc>
        <w:tc>
          <w:tcPr>
            <w:tcW w:w="1958" w:type="pct"/>
            <w:tcBorders>
              <w:top w:val="single" w:sz="4" w:space="0" w:color="auto"/>
              <w:left w:val="single" w:sz="4" w:space="0" w:color="auto"/>
              <w:bottom w:val="single" w:sz="4" w:space="0" w:color="auto"/>
              <w:right w:val="single" w:sz="4" w:space="0" w:color="auto"/>
            </w:tcBorders>
            <w:hideMark/>
          </w:tcPr>
          <w:p w14:paraId="421BA0C3" w14:textId="77777777" w:rsidR="00434679" w:rsidRPr="00325490" w:rsidRDefault="00434679">
            <w:pPr>
              <w:tabs>
                <w:tab w:val="left" w:pos="567"/>
              </w:tabs>
              <w:autoSpaceDE w:val="0"/>
              <w:autoSpaceDN w:val="0"/>
              <w:adjustRightInd w:val="0"/>
              <w:rPr>
                <w:bCs/>
                <w:iCs/>
                <w:sz w:val="24"/>
                <w:szCs w:val="24"/>
              </w:rPr>
            </w:pPr>
            <w:r w:rsidRPr="00325490">
              <w:rPr>
                <w:sz w:val="24"/>
                <w:szCs w:val="24"/>
              </w:rPr>
              <w:t>3,0 ml</w:t>
            </w:r>
          </w:p>
        </w:tc>
      </w:tr>
    </w:tbl>
    <w:p w14:paraId="629629C8" w14:textId="77777777" w:rsidR="006420CF" w:rsidRPr="00325490" w:rsidRDefault="006420CF" w:rsidP="006420CF">
      <w:pPr>
        <w:tabs>
          <w:tab w:val="left" w:pos="567"/>
        </w:tabs>
        <w:autoSpaceDE w:val="0"/>
        <w:autoSpaceDN w:val="0"/>
        <w:adjustRightInd w:val="0"/>
        <w:rPr>
          <w:bCs/>
          <w:sz w:val="24"/>
          <w:szCs w:val="24"/>
          <w:lang w:val="en-IE"/>
        </w:rPr>
      </w:pPr>
    </w:p>
    <w:p w14:paraId="35CDC43C" w14:textId="77777777" w:rsidR="006420CF" w:rsidRPr="00325490" w:rsidRDefault="006420CF" w:rsidP="007E6BC1">
      <w:pPr>
        <w:ind w:left="851"/>
        <w:rPr>
          <w:bCs/>
          <w:sz w:val="24"/>
          <w:szCs w:val="24"/>
        </w:rPr>
      </w:pPr>
      <w:r w:rsidRPr="00325490">
        <w:rPr>
          <w:sz w:val="24"/>
          <w:szCs w:val="24"/>
        </w:rPr>
        <w:t>pH: 7,2</w:t>
      </w:r>
      <w:r w:rsidRPr="00325490">
        <w:rPr>
          <w:sz w:val="24"/>
          <w:szCs w:val="24"/>
        </w:rPr>
        <w:noBreakHyphen/>
        <w:t>7,8</w:t>
      </w:r>
    </w:p>
    <w:p w14:paraId="31EDFED3" w14:textId="74EB5650" w:rsidR="006420CF" w:rsidRPr="00325490" w:rsidRDefault="006420CF" w:rsidP="007E6BC1">
      <w:pPr>
        <w:ind w:left="851"/>
        <w:rPr>
          <w:bCs/>
          <w:sz w:val="24"/>
          <w:szCs w:val="24"/>
        </w:rPr>
      </w:pPr>
      <w:r w:rsidRPr="00325490">
        <w:rPr>
          <w:sz w:val="24"/>
          <w:szCs w:val="24"/>
        </w:rPr>
        <w:t>Osmolalitet: 285</w:t>
      </w:r>
      <w:r w:rsidRPr="00325490">
        <w:rPr>
          <w:sz w:val="24"/>
          <w:szCs w:val="24"/>
        </w:rPr>
        <w:noBreakHyphen/>
        <w:t>305 mOsm/kg</w:t>
      </w:r>
      <w:r w:rsidR="00434679">
        <w:rPr>
          <w:sz w:val="24"/>
          <w:szCs w:val="24"/>
        </w:rPr>
        <w:t>.</w:t>
      </w:r>
    </w:p>
    <w:p w14:paraId="1255B401" w14:textId="316BFE53" w:rsidR="006420CF" w:rsidRPr="00325490" w:rsidRDefault="005D033A" w:rsidP="007E6BC1">
      <w:pPr>
        <w:ind w:left="851"/>
        <w:rPr>
          <w:bCs/>
          <w:sz w:val="24"/>
          <w:szCs w:val="24"/>
        </w:rPr>
      </w:pPr>
      <w:r>
        <w:rPr>
          <w:sz w:val="24"/>
          <w:szCs w:val="24"/>
        </w:rPr>
        <w:t>De r</w:t>
      </w:r>
      <w:r w:rsidR="006420CF" w:rsidRPr="00325490">
        <w:rPr>
          <w:sz w:val="24"/>
          <w:szCs w:val="24"/>
        </w:rPr>
        <w:t>ekonstituerede opløsninger er derfor isotoniske og kræver ikke yderligere fortynding før administration.</w:t>
      </w:r>
    </w:p>
    <w:p w14:paraId="7CE74B8C" w14:textId="77777777" w:rsidR="006420CF" w:rsidRPr="00325490" w:rsidRDefault="006420CF" w:rsidP="007E6BC1">
      <w:pPr>
        <w:ind w:left="851"/>
        <w:rPr>
          <w:bCs/>
          <w:sz w:val="24"/>
          <w:szCs w:val="24"/>
        </w:rPr>
      </w:pPr>
    </w:p>
    <w:p w14:paraId="504A3B1C" w14:textId="4D209068" w:rsidR="006420CF" w:rsidRPr="00325490" w:rsidRDefault="006420CF" w:rsidP="007E6BC1">
      <w:pPr>
        <w:ind w:left="851"/>
        <w:rPr>
          <w:bCs/>
          <w:sz w:val="24"/>
          <w:szCs w:val="24"/>
        </w:rPr>
      </w:pPr>
      <w:r w:rsidRPr="00325490">
        <w:rPr>
          <w:sz w:val="24"/>
          <w:szCs w:val="24"/>
        </w:rPr>
        <w:t>Den rekonstituerede opløsning kan injiceres direkte</w:t>
      </w:r>
      <w:r w:rsidR="005D033A">
        <w:rPr>
          <w:sz w:val="24"/>
          <w:szCs w:val="24"/>
        </w:rPr>
        <w:t xml:space="preserve"> eller alternativt </w:t>
      </w:r>
      <w:r w:rsidRPr="00325490">
        <w:rPr>
          <w:sz w:val="24"/>
          <w:szCs w:val="24"/>
        </w:rPr>
        <w:t>fortyndes yderligere eller administreres oralt.</w:t>
      </w:r>
    </w:p>
    <w:p w14:paraId="4ACA87C0" w14:textId="77777777" w:rsidR="006420CF" w:rsidRPr="00325490" w:rsidRDefault="006420CF" w:rsidP="007E6BC1">
      <w:pPr>
        <w:ind w:left="851"/>
        <w:rPr>
          <w:bCs/>
          <w:sz w:val="24"/>
          <w:szCs w:val="24"/>
          <w:u w:val="single"/>
        </w:rPr>
      </w:pPr>
    </w:p>
    <w:p w14:paraId="56C69DC6" w14:textId="77777777" w:rsidR="006420CF" w:rsidRPr="00325490" w:rsidRDefault="006420CF" w:rsidP="007E6BC1">
      <w:pPr>
        <w:ind w:left="851"/>
        <w:rPr>
          <w:bCs/>
          <w:sz w:val="24"/>
          <w:szCs w:val="24"/>
          <w:u w:val="single"/>
        </w:rPr>
      </w:pPr>
      <w:r w:rsidRPr="00325490">
        <w:rPr>
          <w:sz w:val="24"/>
          <w:szCs w:val="24"/>
          <w:u w:val="single"/>
        </w:rPr>
        <w:t>Klargøring af den fortyndede opløsning før infusion</w:t>
      </w:r>
    </w:p>
    <w:p w14:paraId="1C9FAAA5" w14:textId="035B2B3C" w:rsidR="006420CF" w:rsidRPr="00325490" w:rsidRDefault="006420CF" w:rsidP="007E6BC1">
      <w:pPr>
        <w:ind w:left="851"/>
        <w:rPr>
          <w:bCs/>
          <w:sz w:val="24"/>
          <w:szCs w:val="24"/>
        </w:rPr>
      </w:pPr>
      <w:r w:rsidRPr="00325490">
        <w:rPr>
          <w:sz w:val="24"/>
          <w:szCs w:val="24"/>
        </w:rPr>
        <w:t>Teicoplanin 400 mg kan administreres i følgende infusionsvæsker ved en slutkoncentration mellem 4 mg/ml og 20 mg/ml:</w:t>
      </w:r>
    </w:p>
    <w:p w14:paraId="34623D21" w14:textId="77777777" w:rsidR="006420CF" w:rsidRPr="00610AE8" w:rsidRDefault="006420CF" w:rsidP="00610AE8">
      <w:pPr>
        <w:pStyle w:val="Listeafsnit"/>
        <w:numPr>
          <w:ilvl w:val="0"/>
          <w:numId w:val="16"/>
        </w:numPr>
        <w:ind w:left="1276" w:hanging="425"/>
        <w:rPr>
          <w:bCs/>
          <w:sz w:val="24"/>
          <w:szCs w:val="24"/>
        </w:rPr>
      </w:pPr>
      <w:r w:rsidRPr="00610AE8">
        <w:rPr>
          <w:sz w:val="24"/>
          <w:szCs w:val="24"/>
        </w:rPr>
        <w:t>Natriumchlorid 9 mg/ml (0,9 %) infusionsvæske.</w:t>
      </w:r>
    </w:p>
    <w:p w14:paraId="37CFF5E1" w14:textId="77777777" w:rsidR="006420CF" w:rsidRPr="00610AE8" w:rsidRDefault="006420CF" w:rsidP="00610AE8">
      <w:pPr>
        <w:pStyle w:val="Listeafsnit"/>
        <w:numPr>
          <w:ilvl w:val="0"/>
          <w:numId w:val="16"/>
        </w:numPr>
        <w:ind w:left="1276" w:hanging="425"/>
        <w:rPr>
          <w:bCs/>
          <w:sz w:val="24"/>
          <w:szCs w:val="24"/>
        </w:rPr>
      </w:pPr>
      <w:r w:rsidRPr="00610AE8">
        <w:rPr>
          <w:sz w:val="24"/>
          <w:szCs w:val="24"/>
        </w:rPr>
        <w:t>Glukose 50 mg/ml (5 %) infusionsvæske.</w:t>
      </w:r>
    </w:p>
    <w:p w14:paraId="401878E1" w14:textId="77777777" w:rsidR="006420CF" w:rsidRPr="00610AE8" w:rsidRDefault="006420CF" w:rsidP="00610AE8">
      <w:pPr>
        <w:pStyle w:val="Listeafsnit"/>
        <w:numPr>
          <w:ilvl w:val="0"/>
          <w:numId w:val="16"/>
        </w:numPr>
        <w:ind w:left="1276" w:hanging="425"/>
        <w:rPr>
          <w:bCs/>
          <w:sz w:val="24"/>
          <w:szCs w:val="24"/>
        </w:rPr>
      </w:pPr>
      <w:r w:rsidRPr="00610AE8">
        <w:rPr>
          <w:sz w:val="24"/>
          <w:szCs w:val="24"/>
        </w:rPr>
        <w:t>Ringer-laktatopløsning.</w:t>
      </w:r>
    </w:p>
    <w:p w14:paraId="05E215CD" w14:textId="77777777" w:rsidR="006420CF" w:rsidRPr="00610AE8" w:rsidRDefault="006420CF" w:rsidP="00610AE8">
      <w:pPr>
        <w:pStyle w:val="Listeafsnit"/>
        <w:numPr>
          <w:ilvl w:val="0"/>
          <w:numId w:val="16"/>
        </w:numPr>
        <w:ind w:left="1276" w:hanging="425"/>
        <w:rPr>
          <w:bCs/>
          <w:sz w:val="24"/>
          <w:szCs w:val="24"/>
        </w:rPr>
      </w:pPr>
      <w:r w:rsidRPr="00610AE8">
        <w:rPr>
          <w:sz w:val="24"/>
          <w:szCs w:val="24"/>
        </w:rPr>
        <w:t>Natriumchlorid 1,8 mg/ml (0,18 %) og glukose 40 mg/ml (4 %) infusionsvæske.</w:t>
      </w:r>
    </w:p>
    <w:p w14:paraId="4D6B0694" w14:textId="58EC8D85" w:rsidR="006420CF" w:rsidRPr="00610AE8" w:rsidRDefault="006420CF" w:rsidP="00610AE8">
      <w:pPr>
        <w:pStyle w:val="Listeafsnit"/>
        <w:numPr>
          <w:ilvl w:val="0"/>
          <w:numId w:val="16"/>
        </w:numPr>
        <w:ind w:left="1276" w:hanging="425"/>
        <w:rPr>
          <w:bCs/>
          <w:sz w:val="24"/>
          <w:szCs w:val="24"/>
        </w:rPr>
      </w:pPr>
      <w:r w:rsidRPr="00610AE8">
        <w:rPr>
          <w:sz w:val="24"/>
          <w:szCs w:val="24"/>
        </w:rPr>
        <w:t xml:space="preserve">Peritonealdialysevæske </w:t>
      </w:r>
      <w:r w:rsidR="005D033A">
        <w:rPr>
          <w:sz w:val="24"/>
          <w:szCs w:val="24"/>
        </w:rPr>
        <w:t>indeholdende</w:t>
      </w:r>
      <w:r w:rsidRPr="00610AE8">
        <w:rPr>
          <w:sz w:val="24"/>
          <w:szCs w:val="24"/>
        </w:rPr>
        <w:t xml:space="preserve"> glukose 13,6 mg/ml (1,36 %).</w:t>
      </w:r>
    </w:p>
    <w:p w14:paraId="1DE842F2" w14:textId="75097BA1" w:rsidR="006420CF" w:rsidRPr="00610AE8" w:rsidRDefault="006420CF" w:rsidP="00610AE8">
      <w:pPr>
        <w:pStyle w:val="Listeafsnit"/>
        <w:numPr>
          <w:ilvl w:val="0"/>
          <w:numId w:val="16"/>
        </w:numPr>
        <w:ind w:left="1276" w:hanging="425"/>
        <w:rPr>
          <w:bCs/>
          <w:sz w:val="24"/>
          <w:szCs w:val="24"/>
        </w:rPr>
      </w:pPr>
      <w:r w:rsidRPr="00610AE8">
        <w:rPr>
          <w:sz w:val="24"/>
          <w:szCs w:val="24"/>
        </w:rPr>
        <w:t xml:space="preserve">Peritonealdialysevæske </w:t>
      </w:r>
      <w:r w:rsidR="005D033A">
        <w:rPr>
          <w:sz w:val="24"/>
          <w:szCs w:val="24"/>
        </w:rPr>
        <w:t>indeholdende</w:t>
      </w:r>
      <w:r w:rsidRPr="00610AE8">
        <w:rPr>
          <w:sz w:val="24"/>
          <w:szCs w:val="24"/>
        </w:rPr>
        <w:t xml:space="preserve"> glukose 38,6 mg/ml (3,86 %).</w:t>
      </w:r>
    </w:p>
    <w:p w14:paraId="725CF5F5" w14:textId="77777777" w:rsidR="006420CF" w:rsidRPr="00610AE8" w:rsidRDefault="006420CF" w:rsidP="00610AE8">
      <w:pPr>
        <w:pStyle w:val="Listeafsnit"/>
        <w:numPr>
          <w:ilvl w:val="0"/>
          <w:numId w:val="16"/>
        </w:numPr>
        <w:ind w:left="1276" w:hanging="425"/>
        <w:rPr>
          <w:bCs/>
          <w:sz w:val="24"/>
          <w:szCs w:val="24"/>
        </w:rPr>
      </w:pPr>
      <w:r w:rsidRPr="00610AE8">
        <w:rPr>
          <w:sz w:val="24"/>
          <w:szCs w:val="24"/>
        </w:rPr>
        <w:t>Ringer-opløsning.</w:t>
      </w:r>
    </w:p>
    <w:p w14:paraId="7354B31C" w14:textId="77777777" w:rsidR="006420CF" w:rsidRPr="00610AE8" w:rsidRDefault="006420CF" w:rsidP="00610AE8">
      <w:pPr>
        <w:pStyle w:val="Listeafsnit"/>
        <w:numPr>
          <w:ilvl w:val="0"/>
          <w:numId w:val="16"/>
        </w:numPr>
        <w:ind w:left="1276" w:hanging="425"/>
        <w:rPr>
          <w:bCs/>
          <w:sz w:val="24"/>
          <w:szCs w:val="24"/>
        </w:rPr>
      </w:pPr>
      <w:r w:rsidRPr="00610AE8">
        <w:rPr>
          <w:sz w:val="24"/>
          <w:szCs w:val="24"/>
        </w:rPr>
        <w:t>Glukose 100 mg/ml (10 %) opløsning.</w:t>
      </w:r>
    </w:p>
    <w:p w14:paraId="136823CC" w14:textId="77777777" w:rsidR="006420CF" w:rsidRPr="00610AE8" w:rsidRDefault="006420CF" w:rsidP="00610AE8">
      <w:pPr>
        <w:pStyle w:val="Listeafsnit"/>
        <w:numPr>
          <w:ilvl w:val="0"/>
          <w:numId w:val="16"/>
        </w:numPr>
        <w:ind w:left="1276" w:hanging="425"/>
        <w:rPr>
          <w:bCs/>
          <w:sz w:val="24"/>
          <w:szCs w:val="24"/>
        </w:rPr>
      </w:pPr>
      <w:r w:rsidRPr="00610AE8">
        <w:rPr>
          <w:sz w:val="24"/>
          <w:szCs w:val="24"/>
        </w:rPr>
        <w:lastRenderedPageBreak/>
        <w:t>Natriumchlorid 4,5 mg/ml (0,45 %) og glukose 50 mg/ml (5 %) infusionsvæske.</w:t>
      </w:r>
    </w:p>
    <w:p w14:paraId="1D320EDF" w14:textId="77777777" w:rsidR="006420CF" w:rsidRPr="00325490" w:rsidRDefault="006420CF" w:rsidP="007E6BC1">
      <w:pPr>
        <w:ind w:left="851"/>
        <w:rPr>
          <w:bCs/>
          <w:sz w:val="24"/>
          <w:szCs w:val="24"/>
        </w:rPr>
      </w:pPr>
    </w:p>
    <w:p w14:paraId="2471389C" w14:textId="77777777" w:rsidR="006420CF" w:rsidRPr="00325490" w:rsidRDefault="006420CF" w:rsidP="007E6BC1">
      <w:pPr>
        <w:ind w:left="851"/>
        <w:rPr>
          <w:bCs/>
          <w:sz w:val="24"/>
          <w:szCs w:val="24"/>
        </w:rPr>
      </w:pPr>
      <w:r w:rsidRPr="00325490">
        <w:rPr>
          <w:sz w:val="24"/>
          <w:szCs w:val="24"/>
        </w:rPr>
        <w:t>Ikke anvendt lægemiddel samt affald heraf skal bortskaffes i henhold til lokale retningslinjer.</w:t>
      </w:r>
    </w:p>
    <w:p w14:paraId="669E7886" w14:textId="77777777" w:rsidR="009260DE" w:rsidRPr="00325490" w:rsidRDefault="009260DE" w:rsidP="000730CA">
      <w:pPr>
        <w:tabs>
          <w:tab w:val="left" w:pos="851"/>
        </w:tabs>
        <w:ind w:left="851"/>
        <w:rPr>
          <w:sz w:val="24"/>
          <w:szCs w:val="24"/>
        </w:rPr>
      </w:pPr>
    </w:p>
    <w:p w14:paraId="6882A935" w14:textId="77777777" w:rsidR="009260DE" w:rsidRPr="00325490" w:rsidRDefault="009260DE" w:rsidP="009260DE">
      <w:pPr>
        <w:tabs>
          <w:tab w:val="left" w:pos="851"/>
        </w:tabs>
        <w:ind w:left="851" w:hanging="851"/>
        <w:rPr>
          <w:b/>
          <w:sz w:val="24"/>
          <w:szCs w:val="24"/>
        </w:rPr>
      </w:pPr>
      <w:r w:rsidRPr="00325490">
        <w:rPr>
          <w:b/>
          <w:sz w:val="24"/>
          <w:szCs w:val="24"/>
        </w:rPr>
        <w:t>7.</w:t>
      </w:r>
      <w:r w:rsidRPr="00325490">
        <w:rPr>
          <w:b/>
          <w:sz w:val="24"/>
          <w:szCs w:val="24"/>
        </w:rPr>
        <w:tab/>
        <w:t>INDEHAVER AF MARKEDSFØRINGSTILLADELSEN</w:t>
      </w:r>
    </w:p>
    <w:p w14:paraId="36BE6845" w14:textId="77777777" w:rsidR="00434679" w:rsidRPr="009715A8" w:rsidRDefault="00434679" w:rsidP="00434679">
      <w:pPr>
        <w:ind w:left="851"/>
        <w:rPr>
          <w:sz w:val="24"/>
          <w:szCs w:val="24"/>
          <w:lang w:eastAsia="da-DK"/>
        </w:rPr>
      </w:pPr>
      <w:r w:rsidRPr="009715A8">
        <w:rPr>
          <w:sz w:val="24"/>
          <w:szCs w:val="24"/>
          <w:lang w:eastAsia="da-DK"/>
        </w:rPr>
        <w:t>2care4 ApS</w:t>
      </w:r>
    </w:p>
    <w:p w14:paraId="41B2ED24" w14:textId="77777777" w:rsidR="00434679" w:rsidRPr="009715A8" w:rsidRDefault="00434679" w:rsidP="00434679">
      <w:pPr>
        <w:ind w:left="851"/>
        <w:rPr>
          <w:sz w:val="24"/>
          <w:szCs w:val="24"/>
          <w:lang w:eastAsia="da-DK"/>
        </w:rPr>
      </w:pPr>
      <w:r w:rsidRPr="009715A8">
        <w:rPr>
          <w:sz w:val="24"/>
          <w:szCs w:val="24"/>
          <w:lang w:eastAsia="da-DK"/>
        </w:rPr>
        <w:t>Stenhuggervej 12</w:t>
      </w:r>
    </w:p>
    <w:p w14:paraId="08406243" w14:textId="77777777" w:rsidR="00434679" w:rsidRPr="009715A8" w:rsidRDefault="00434679" w:rsidP="00434679">
      <w:pPr>
        <w:ind w:left="851"/>
        <w:rPr>
          <w:sz w:val="24"/>
          <w:szCs w:val="24"/>
          <w:lang w:eastAsia="da-DK"/>
        </w:rPr>
      </w:pPr>
      <w:r w:rsidRPr="009715A8">
        <w:rPr>
          <w:sz w:val="24"/>
          <w:szCs w:val="24"/>
          <w:lang w:eastAsia="da-DK"/>
        </w:rPr>
        <w:t>6710 Esbjerg V</w:t>
      </w:r>
    </w:p>
    <w:p w14:paraId="29065233" w14:textId="77777777" w:rsidR="00434679" w:rsidRDefault="00434679"/>
    <w:p w14:paraId="1D552BF8" w14:textId="77777777" w:rsidR="00641C65" w:rsidRPr="00325490" w:rsidRDefault="00641C65" w:rsidP="009260DE">
      <w:pPr>
        <w:tabs>
          <w:tab w:val="left" w:pos="851"/>
        </w:tabs>
        <w:ind w:left="851"/>
        <w:rPr>
          <w:sz w:val="24"/>
          <w:szCs w:val="24"/>
        </w:rPr>
      </w:pPr>
    </w:p>
    <w:p w14:paraId="67848290" w14:textId="77777777" w:rsidR="009260DE" w:rsidRPr="00325490" w:rsidRDefault="009260DE" w:rsidP="009260DE">
      <w:pPr>
        <w:tabs>
          <w:tab w:val="left" w:pos="851"/>
        </w:tabs>
        <w:ind w:left="851" w:hanging="851"/>
        <w:rPr>
          <w:b/>
          <w:sz w:val="24"/>
          <w:szCs w:val="24"/>
        </w:rPr>
      </w:pPr>
      <w:r w:rsidRPr="00325490">
        <w:rPr>
          <w:b/>
          <w:sz w:val="24"/>
          <w:szCs w:val="24"/>
        </w:rPr>
        <w:t>8.</w:t>
      </w:r>
      <w:r w:rsidRPr="00325490">
        <w:rPr>
          <w:b/>
          <w:sz w:val="24"/>
          <w:szCs w:val="24"/>
        </w:rPr>
        <w:tab/>
        <w:t>MARKEDSFØRINGSTILLADELSESNUMMER (</w:t>
      </w:r>
      <w:r w:rsidR="00BF6243" w:rsidRPr="00325490">
        <w:rPr>
          <w:b/>
          <w:sz w:val="24"/>
          <w:szCs w:val="24"/>
        </w:rPr>
        <w:t>-</w:t>
      </w:r>
      <w:r w:rsidRPr="00325490">
        <w:rPr>
          <w:b/>
          <w:sz w:val="24"/>
          <w:szCs w:val="24"/>
        </w:rPr>
        <w:t>NUMRE)</w:t>
      </w:r>
    </w:p>
    <w:p w14:paraId="05EDA221" w14:textId="48B21355" w:rsidR="000B1347" w:rsidRPr="00325490" w:rsidRDefault="00434679" w:rsidP="000B1347">
      <w:pPr>
        <w:tabs>
          <w:tab w:val="left" w:pos="851"/>
        </w:tabs>
        <w:ind w:left="851"/>
        <w:jc w:val="both"/>
        <w:rPr>
          <w:sz w:val="24"/>
          <w:szCs w:val="24"/>
        </w:rPr>
      </w:pPr>
      <w:r>
        <w:rPr>
          <w:sz w:val="24"/>
          <w:szCs w:val="24"/>
        </w:rPr>
        <w:t>76372</w:t>
      </w:r>
    </w:p>
    <w:p w14:paraId="2DC13CC3" w14:textId="77777777" w:rsidR="009260DE" w:rsidRPr="00325490" w:rsidRDefault="009260DE" w:rsidP="009260DE">
      <w:pPr>
        <w:tabs>
          <w:tab w:val="left" w:pos="851"/>
        </w:tabs>
        <w:ind w:left="851"/>
        <w:jc w:val="both"/>
        <w:rPr>
          <w:sz w:val="24"/>
          <w:szCs w:val="24"/>
        </w:rPr>
      </w:pPr>
    </w:p>
    <w:p w14:paraId="6944CAAC" w14:textId="77777777" w:rsidR="009260DE" w:rsidRPr="00325490" w:rsidRDefault="009260DE" w:rsidP="009260DE">
      <w:pPr>
        <w:tabs>
          <w:tab w:val="left" w:pos="851"/>
        </w:tabs>
        <w:ind w:left="851" w:hanging="851"/>
        <w:rPr>
          <w:b/>
          <w:sz w:val="24"/>
          <w:szCs w:val="24"/>
        </w:rPr>
      </w:pPr>
      <w:r w:rsidRPr="00325490">
        <w:rPr>
          <w:b/>
          <w:sz w:val="24"/>
          <w:szCs w:val="24"/>
        </w:rPr>
        <w:t>9.</w:t>
      </w:r>
      <w:r w:rsidRPr="00325490">
        <w:rPr>
          <w:b/>
          <w:sz w:val="24"/>
          <w:szCs w:val="24"/>
        </w:rPr>
        <w:tab/>
        <w:t>DATO FOR FØRSTE MARKEDSFØRINGSTILLADELSE</w:t>
      </w:r>
    </w:p>
    <w:p w14:paraId="0F200D6B" w14:textId="26BAA338" w:rsidR="009260DE" w:rsidRPr="00325490" w:rsidRDefault="00434679" w:rsidP="009260DE">
      <w:pPr>
        <w:tabs>
          <w:tab w:val="left" w:pos="851"/>
        </w:tabs>
        <w:ind w:left="851"/>
        <w:rPr>
          <w:sz w:val="24"/>
          <w:szCs w:val="24"/>
        </w:rPr>
      </w:pPr>
      <w:r>
        <w:rPr>
          <w:sz w:val="24"/>
          <w:szCs w:val="24"/>
        </w:rPr>
        <w:t>1</w:t>
      </w:r>
      <w:r w:rsidR="00FE44AB">
        <w:rPr>
          <w:sz w:val="24"/>
          <w:szCs w:val="24"/>
        </w:rPr>
        <w:t>2</w:t>
      </w:r>
      <w:r>
        <w:rPr>
          <w:sz w:val="24"/>
          <w:szCs w:val="24"/>
        </w:rPr>
        <w:t>. august 2026</w:t>
      </w:r>
    </w:p>
    <w:p w14:paraId="5BAF68AF" w14:textId="77777777" w:rsidR="009260DE" w:rsidRPr="00325490" w:rsidRDefault="009260DE" w:rsidP="009260DE">
      <w:pPr>
        <w:tabs>
          <w:tab w:val="left" w:pos="851"/>
        </w:tabs>
        <w:ind w:left="851"/>
        <w:rPr>
          <w:sz w:val="24"/>
          <w:szCs w:val="24"/>
        </w:rPr>
      </w:pPr>
    </w:p>
    <w:p w14:paraId="734FDEDB" w14:textId="77777777" w:rsidR="009260DE" w:rsidRPr="00325490" w:rsidRDefault="009260DE" w:rsidP="009260DE">
      <w:pPr>
        <w:tabs>
          <w:tab w:val="left" w:pos="851"/>
        </w:tabs>
        <w:ind w:left="851" w:hanging="851"/>
        <w:rPr>
          <w:b/>
          <w:sz w:val="24"/>
          <w:szCs w:val="24"/>
        </w:rPr>
      </w:pPr>
      <w:r w:rsidRPr="00325490">
        <w:rPr>
          <w:b/>
          <w:sz w:val="24"/>
          <w:szCs w:val="24"/>
        </w:rPr>
        <w:t>10.</w:t>
      </w:r>
      <w:r w:rsidRPr="00325490">
        <w:rPr>
          <w:b/>
          <w:sz w:val="24"/>
          <w:szCs w:val="24"/>
        </w:rPr>
        <w:tab/>
        <w:t>DATO FOR ÆNDRING AF TEKSTEN</w:t>
      </w:r>
    </w:p>
    <w:p w14:paraId="5A257D3B" w14:textId="6410566B" w:rsidR="009260DE" w:rsidRPr="00325490" w:rsidRDefault="00434679" w:rsidP="009260DE">
      <w:pPr>
        <w:tabs>
          <w:tab w:val="left" w:pos="851"/>
        </w:tabs>
        <w:ind w:left="851"/>
        <w:rPr>
          <w:sz w:val="24"/>
          <w:szCs w:val="24"/>
        </w:rPr>
      </w:pPr>
      <w:r>
        <w:rPr>
          <w:sz w:val="24"/>
          <w:szCs w:val="24"/>
        </w:rPr>
        <w:t>-</w:t>
      </w:r>
    </w:p>
    <w:sectPr w:rsidR="009260DE" w:rsidRPr="00325490" w:rsidSect="000259B9">
      <w:footerReference w:type="default" r:id="rId1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73E9D" w14:textId="77777777" w:rsidR="0090551D" w:rsidRDefault="0090551D">
      <w:r>
        <w:separator/>
      </w:r>
    </w:p>
  </w:endnote>
  <w:endnote w:type="continuationSeparator" w:id="0">
    <w:p w14:paraId="3BB04F5E" w14:textId="77777777" w:rsidR="0090551D" w:rsidRDefault="00905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D09C" w14:textId="77777777" w:rsidR="0090551D" w:rsidRDefault="0090551D">
    <w:pPr>
      <w:pStyle w:val="Sidefod"/>
      <w:pBdr>
        <w:bottom w:val="single" w:sz="6" w:space="1" w:color="auto"/>
      </w:pBdr>
    </w:pPr>
  </w:p>
  <w:p w14:paraId="7D98DB71" w14:textId="77777777" w:rsidR="0090551D" w:rsidRDefault="0090551D" w:rsidP="00C42586">
    <w:pPr>
      <w:pStyle w:val="Sidefod"/>
      <w:tabs>
        <w:tab w:val="clear" w:pos="4819"/>
        <w:tab w:val="left" w:pos="8505"/>
      </w:tabs>
      <w:rPr>
        <w:i/>
        <w:sz w:val="18"/>
        <w:szCs w:val="18"/>
      </w:rPr>
    </w:pPr>
  </w:p>
  <w:p w14:paraId="6C277808" w14:textId="08884963" w:rsidR="0090551D" w:rsidRPr="00B373D7" w:rsidRDefault="0090551D"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DB25BD">
      <w:rPr>
        <w:i/>
        <w:noProof/>
        <w:sz w:val="18"/>
        <w:szCs w:val="18"/>
      </w:rPr>
      <w:t>Teicoplanin 2care4 (2care4), pulver og solvens til injektions--infusionsvæske, opløsning 400 mg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B3E30" w14:textId="77777777" w:rsidR="0090551D" w:rsidRDefault="0090551D">
      <w:r>
        <w:separator/>
      </w:r>
    </w:p>
  </w:footnote>
  <w:footnote w:type="continuationSeparator" w:id="0">
    <w:p w14:paraId="59C713EC" w14:textId="77777777" w:rsidR="0090551D" w:rsidRDefault="009055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1EA"/>
    <w:multiLevelType w:val="hybridMultilevel"/>
    <w:tmpl w:val="74101658"/>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 w15:restartNumberingAfterBreak="0">
    <w:nsid w:val="05537290"/>
    <w:multiLevelType w:val="multilevel"/>
    <w:tmpl w:val="7F3CB09E"/>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19"/>
        <w:szCs w:val="19"/>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1FA61A5"/>
    <w:multiLevelType w:val="multilevel"/>
    <w:tmpl w:val="897E17E0"/>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19"/>
        <w:szCs w:val="19"/>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272F7240"/>
    <w:multiLevelType w:val="hybridMultilevel"/>
    <w:tmpl w:val="9140AE64"/>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5"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5CC04FA"/>
    <w:multiLevelType w:val="hybridMultilevel"/>
    <w:tmpl w:val="BF5E0C1C"/>
    <w:lvl w:ilvl="0" w:tplc="04080001">
      <w:start w:val="1"/>
      <w:numFmt w:val="bullet"/>
      <w:lvlText w:val=""/>
      <w:lvlJc w:val="left"/>
      <w:pPr>
        <w:ind w:left="1146" w:hanging="360"/>
      </w:pPr>
      <w:rPr>
        <w:rFonts w:ascii="Symbol" w:hAnsi="Symbol" w:hint="default"/>
      </w:rPr>
    </w:lvl>
    <w:lvl w:ilvl="1" w:tplc="04080003">
      <w:start w:val="1"/>
      <w:numFmt w:val="bullet"/>
      <w:lvlText w:val="o"/>
      <w:lvlJc w:val="left"/>
      <w:pPr>
        <w:ind w:left="1866" w:hanging="360"/>
      </w:pPr>
      <w:rPr>
        <w:rFonts w:ascii="Courier New" w:hAnsi="Courier New" w:cs="Courier New" w:hint="default"/>
      </w:rPr>
    </w:lvl>
    <w:lvl w:ilvl="2" w:tplc="04080005">
      <w:start w:val="1"/>
      <w:numFmt w:val="bullet"/>
      <w:lvlText w:val=""/>
      <w:lvlJc w:val="left"/>
      <w:pPr>
        <w:ind w:left="2586" w:hanging="360"/>
      </w:pPr>
      <w:rPr>
        <w:rFonts w:ascii="Wingdings" w:hAnsi="Wingdings" w:hint="default"/>
      </w:rPr>
    </w:lvl>
    <w:lvl w:ilvl="3" w:tplc="04080001">
      <w:start w:val="1"/>
      <w:numFmt w:val="bullet"/>
      <w:lvlText w:val=""/>
      <w:lvlJc w:val="left"/>
      <w:pPr>
        <w:ind w:left="3306" w:hanging="360"/>
      </w:pPr>
      <w:rPr>
        <w:rFonts w:ascii="Symbol" w:hAnsi="Symbol" w:hint="default"/>
      </w:rPr>
    </w:lvl>
    <w:lvl w:ilvl="4" w:tplc="04080003">
      <w:start w:val="1"/>
      <w:numFmt w:val="bullet"/>
      <w:lvlText w:val="o"/>
      <w:lvlJc w:val="left"/>
      <w:pPr>
        <w:ind w:left="4026" w:hanging="360"/>
      </w:pPr>
      <w:rPr>
        <w:rFonts w:ascii="Courier New" w:hAnsi="Courier New" w:cs="Courier New" w:hint="default"/>
      </w:rPr>
    </w:lvl>
    <w:lvl w:ilvl="5" w:tplc="04080005">
      <w:start w:val="1"/>
      <w:numFmt w:val="bullet"/>
      <w:lvlText w:val=""/>
      <w:lvlJc w:val="left"/>
      <w:pPr>
        <w:ind w:left="4746" w:hanging="360"/>
      </w:pPr>
      <w:rPr>
        <w:rFonts w:ascii="Wingdings" w:hAnsi="Wingdings" w:hint="default"/>
      </w:rPr>
    </w:lvl>
    <w:lvl w:ilvl="6" w:tplc="04080001">
      <w:start w:val="1"/>
      <w:numFmt w:val="bullet"/>
      <w:lvlText w:val=""/>
      <w:lvlJc w:val="left"/>
      <w:pPr>
        <w:ind w:left="5466" w:hanging="360"/>
      </w:pPr>
      <w:rPr>
        <w:rFonts w:ascii="Symbol" w:hAnsi="Symbol" w:hint="default"/>
      </w:rPr>
    </w:lvl>
    <w:lvl w:ilvl="7" w:tplc="04080003">
      <w:start w:val="1"/>
      <w:numFmt w:val="bullet"/>
      <w:lvlText w:val="o"/>
      <w:lvlJc w:val="left"/>
      <w:pPr>
        <w:ind w:left="6186" w:hanging="360"/>
      </w:pPr>
      <w:rPr>
        <w:rFonts w:ascii="Courier New" w:hAnsi="Courier New" w:cs="Courier New" w:hint="default"/>
      </w:rPr>
    </w:lvl>
    <w:lvl w:ilvl="8" w:tplc="04080005">
      <w:start w:val="1"/>
      <w:numFmt w:val="bullet"/>
      <w:lvlText w:val=""/>
      <w:lvlJc w:val="left"/>
      <w:pPr>
        <w:ind w:left="6906" w:hanging="360"/>
      </w:pPr>
      <w:rPr>
        <w:rFonts w:ascii="Wingdings" w:hAnsi="Wingdings" w:hint="default"/>
      </w:rPr>
    </w:lvl>
  </w:abstractNum>
  <w:abstractNum w:abstractNumId="7"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8"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9" w15:restartNumberingAfterBreak="0">
    <w:nsid w:val="41A16DFF"/>
    <w:multiLevelType w:val="hybridMultilevel"/>
    <w:tmpl w:val="38069ABE"/>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0" w15:restartNumberingAfterBreak="0">
    <w:nsid w:val="5201426D"/>
    <w:multiLevelType w:val="hybridMultilevel"/>
    <w:tmpl w:val="2D428ED6"/>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1"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603939F4"/>
    <w:multiLevelType w:val="hybridMultilevel"/>
    <w:tmpl w:val="ABFC8106"/>
    <w:lvl w:ilvl="0" w:tplc="CAF011DC">
      <w:start w:val="1"/>
      <w:numFmt w:val="bullet"/>
      <w:lvlText w:val=""/>
      <w:lvlJc w:val="left"/>
      <w:pPr>
        <w:tabs>
          <w:tab w:val="num" w:pos="1620"/>
        </w:tabs>
        <w:ind w:left="1620" w:hanging="360"/>
      </w:pPr>
      <w:rPr>
        <w:rFonts w:ascii="Wingdings" w:hAnsi="Wingdings" w:hint="default"/>
        <w:sz w:val="18"/>
        <w:szCs w:val="18"/>
      </w:rPr>
    </w:lvl>
    <w:lvl w:ilvl="1" w:tplc="08090003">
      <w:start w:val="1"/>
      <w:numFmt w:val="bullet"/>
      <w:lvlText w:val="o"/>
      <w:lvlJc w:val="left"/>
      <w:pPr>
        <w:tabs>
          <w:tab w:val="num" w:pos="2340"/>
        </w:tabs>
        <w:ind w:left="2340" w:hanging="360"/>
      </w:pPr>
      <w:rPr>
        <w:rFonts w:ascii="Courier New" w:hAnsi="Courier New" w:cs="Courier New" w:hint="default"/>
      </w:rPr>
    </w:lvl>
    <w:lvl w:ilvl="2" w:tplc="08090005">
      <w:start w:val="1"/>
      <w:numFmt w:val="bullet"/>
      <w:lvlText w:val=""/>
      <w:lvlJc w:val="left"/>
      <w:pPr>
        <w:tabs>
          <w:tab w:val="num" w:pos="3060"/>
        </w:tabs>
        <w:ind w:left="3060" w:hanging="360"/>
      </w:pPr>
      <w:rPr>
        <w:rFonts w:ascii="Wingdings" w:hAnsi="Wingdings" w:hint="default"/>
      </w:rPr>
    </w:lvl>
    <w:lvl w:ilvl="3" w:tplc="08090001">
      <w:start w:val="1"/>
      <w:numFmt w:val="bullet"/>
      <w:lvlText w:val=""/>
      <w:lvlJc w:val="left"/>
      <w:pPr>
        <w:tabs>
          <w:tab w:val="num" w:pos="3780"/>
        </w:tabs>
        <w:ind w:left="3780" w:hanging="360"/>
      </w:pPr>
      <w:rPr>
        <w:rFonts w:ascii="Symbol" w:hAnsi="Symbol" w:hint="default"/>
      </w:rPr>
    </w:lvl>
    <w:lvl w:ilvl="4" w:tplc="08090003">
      <w:start w:val="1"/>
      <w:numFmt w:val="bullet"/>
      <w:lvlText w:val="o"/>
      <w:lvlJc w:val="left"/>
      <w:pPr>
        <w:tabs>
          <w:tab w:val="num" w:pos="4500"/>
        </w:tabs>
        <w:ind w:left="4500" w:hanging="360"/>
      </w:pPr>
      <w:rPr>
        <w:rFonts w:ascii="Courier New" w:hAnsi="Courier New" w:cs="Courier New" w:hint="default"/>
      </w:rPr>
    </w:lvl>
    <w:lvl w:ilvl="5" w:tplc="08090005">
      <w:start w:val="1"/>
      <w:numFmt w:val="bullet"/>
      <w:lvlText w:val=""/>
      <w:lvlJc w:val="left"/>
      <w:pPr>
        <w:tabs>
          <w:tab w:val="num" w:pos="5220"/>
        </w:tabs>
        <w:ind w:left="5220" w:hanging="360"/>
      </w:pPr>
      <w:rPr>
        <w:rFonts w:ascii="Wingdings" w:hAnsi="Wingdings" w:hint="default"/>
      </w:rPr>
    </w:lvl>
    <w:lvl w:ilvl="6" w:tplc="08090001">
      <w:start w:val="1"/>
      <w:numFmt w:val="bullet"/>
      <w:lvlText w:val=""/>
      <w:lvlJc w:val="left"/>
      <w:pPr>
        <w:tabs>
          <w:tab w:val="num" w:pos="5940"/>
        </w:tabs>
        <w:ind w:left="5940" w:hanging="360"/>
      </w:pPr>
      <w:rPr>
        <w:rFonts w:ascii="Symbol" w:hAnsi="Symbol" w:hint="default"/>
      </w:rPr>
    </w:lvl>
    <w:lvl w:ilvl="7" w:tplc="08090003">
      <w:start w:val="1"/>
      <w:numFmt w:val="bullet"/>
      <w:lvlText w:val="o"/>
      <w:lvlJc w:val="left"/>
      <w:pPr>
        <w:tabs>
          <w:tab w:val="num" w:pos="6660"/>
        </w:tabs>
        <w:ind w:left="6660" w:hanging="360"/>
      </w:pPr>
      <w:rPr>
        <w:rFonts w:ascii="Courier New" w:hAnsi="Courier New" w:cs="Courier New" w:hint="default"/>
      </w:rPr>
    </w:lvl>
    <w:lvl w:ilvl="8" w:tplc="08090005">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6DF23117"/>
    <w:multiLevelType w:val="hybridMultilevel"/>
    <w:tmpl w:val="1C28AA22"/>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4" w15:restartNumberingAfterBreak="0">
    <w:nsid w:val="75285B20"/>
    <w:multiLevelType w:val="multilevel"/>
    <w:tmpl w:val="55F4D558"/>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19"/>
        <w:szCs w:val="19"/>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765D2029"/>
    <w:multiLevelType w:val="hybridMultilevel"/>
    <w:tmpl w:val="E7B23316"/>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6" w15:restartNumberingAfterBreak="0">
    <w:nsid w:val="7FE63B58"/>
    <w:multiLevelType w:val="hybridMultilevel"/>
    <w:tmpl w:val="8E6A7F68"/>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137273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02949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6011575">
    <w:abstractNumId w:val="1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0740550">
    <w:abstractNumId w:val="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897734">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0086044">
    <w:abstractNumId w:val="14"/>
  </w:num>
  <w:num w:numId="7" w16cid:durableId="1527013847">
    <w:abstractNumId w:val="1"/>
  </w:num>
  <w:num w:numId="8" w16cid:durableId="1027874414">
    <w:abstractNumId w:val="6"/>
  </w:num>
  <w:num w:numId="9" w16cid:durableId="552734965">
    <w:abstractNumId w:val="16"/>
    <w:lvlOverride w:ilvl="0">
      <w:startOverride w:val="1"/>
    </w:lvlOverride>
    <w:lvlOverride w:ilvl="1"/>
    <w:lvlOverride w:ilvl="2"/>
    <w:lvlOverride w:ilvl="3"/>
    <w:lvlOverride w:ilvl="4"/>
    <w:lvlOverride w:ilvl="5"/>
    <w:lvlOverride w:ilvl="6"/>
    <w:lvlOverride w:ilvl="7"/>
    <w:lvlOverride w:ilvl="8"/>
  </w:num>
  <w:num w:numId="10" w16cid:durableId="1349452050">
    <w:abstractNumId w:val="12"/>
  </w:num>
  <w:num w:numId="11" w16cid:durableId="288978057">
    <w:abstractNumId w:val="4"/>
  </w:num>
  <w:num w:numId="12" w16cid:durableId="183787521">
    <w:abstractNumId w:val="10"/>
  </w:num>
  <w:num w:numId="13" w16cid:durableId="2056349437">
    <w:abstractNumId w:val="13"/>
  </w:num>
  <w:num w:numId="14" w16cid:durableId="1892382595">
    <w:abstractNumId w:val="9"/>
  </w:num>
  <w:num w:numId="15" w16cid:durableId="753169634">
    <w:abstractNumId w:val="0"/>
  </w:num>
  <w:num w:numId="16" w16cid:durableId="945234646">
    <w:abstractNumId w:val="15"/>
  </w:num>
  <w:num w:numId="17" w16cid:durableId="1850631285">
    <w:abstractNumId w:val="14"/>
  </w:num>
  <w:num w:numId="18" w16cid:durableId="1189179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D9E"/>
    <w:rsid w:val="000259B9"/>
    <w:rsid w:val="00041491"/>
    <w:rsid w:val="00050D16"/>
    <w:rsid w:val="000730CA"/>
    <w:rsid w:val="00074F2A"/>
    <w:rsid w:val="000A1CA8"/>
    <w:rsid w:val="000A466B"/>
    <w:rsid w:val="000B058C"/>
    <w:rsid w:val="000B1347"/>
    <w:rsid w:val="000D68B0"/>
    <w:rsid w:val="000E4EE6"/>
    <w:rsid w:val="00116B01"/>
    <w:rsid w:val="001454E2"/>
    <w:rsid w:val="0014656A"/>
    <w:rsid w:val="00206CE8"/>
    <w:rsid w:val="0021526C"/>
    <w:rsid w:val="002513A1"/>
    <w:rsid w:val="00283A2B"/>
    <w:rsid w:val="002B30AD"/>
    <w:rsid w:val="002C1EC0"/>
    <w:rsid w:val="002C2C01"/>
    <w:rsid w:val="002D79F0"/>
    <w:rsid w:val="00325490"/>
    <w:rsid w:val="0035385D"/>
    <w:rsid w:val="003A29AE"/>
    <w:rsid w:val="003A32D7"/>
    <w:rsid w:val="003B4074"/>
    <w:rsid w:val="003C769A"/>
    <w:rsid w:val="003D3A90"/>
    <w:rsid w:val="003F1838"/>
    <w:rsid w:val="004251C1"/>
    <w:rsid w:val="00434679"/>
    <w:rsid w:val="0045746C"/>
    <w:rsid w:val="00487974"/>
    <w:rsid w:val="0049104B"/>
    <w:rsid w:val="004E3B12"/>
    <w:rsid w:val="0050056A"/>
    <w:rsid w:val="00532310"/>
    <w:rsid w:val="00565F0F"/>
    <w:rsid w:val="00594A86"/>
    <w:rsid w:val="00596D86"/>
    <w:rsid w:val="005D033A"/>
    <w:rsid w:val="005F229F"/>
    <w:rsid w:val="00610AE8"/>
    <w:rsid w:val="0063384F"/>
    <w:rsid w:val="00637F5A"/>
    <w:rsid w:val="00641C65"/>
    <w:rsid w:val="006420CF"/>
    <w:rsid w:val="006560B1"/>
    <w:rsid w:val="006756DD"/>
    <w:rsid w:val="00701F28"/>
    <w:rsid w:val="0071241E"/>
    <w:rsid w:val="00737275"/>
    <w:rsid w:val="00740EEC"/>
    <w:rsid w:val="0078011A"/>
    <w:rsid w:val="00782AF4"/>
    <w:rsid w:val="00790EE7"/>
    <w:rsid w:val="007B6649"/>
    <w:rsid w:val="007E6BC1"/>
    <w:rsid w:val="0082576E"/>
    <w:rsid w:val="008471E9"/>
    <w:rsid w:val="0089346F"/>
    <w:rsid w:val="0090551D"/>
    <w:rsid w:val="00907F75"/>
    <w:rsid w:val="009260DE"/>
    <w:rsid w:val="0093258A"/>
    <w:rsid w:val="009C7BA3"/>
    <w:rsid w:val="009D1F5A"/>
    <w:rsid w:val="009E6F11"/>
    <w:rsid w:val="00A10294"/>
    <w:rsid w:val="00A573FA"/>
    <w:rsid w:val="00A75D9E"/>
    <w:rsid w:val="00A84ABD"/>
    <w:rsid w:val="00AF7A82"/>
    <w:rsid w:val="00B003BF"/>
    <w:rsid w:val="00B373D7"/>
    <w:rsid w:val="00B55271"/>
    <w:rsid w:val="00B811B7"/>
    <w:rsid w:val="00BD7931"/>
    <w:rsid w:val="00BF6243"/>
    <w:rsid w:val="00C36276"/>
    <w:rsid w:val="00C42586"/>
    <w:rsid w:val="00C45F6B"/>
    <w:rsid w:val="00C60CCD"/>
    <w:rsid w:val="00C84483"/>
    <w:rsid w:val="00C95551"/>
    <w:rsid w:val="00CB20D7"/>
    <w:rsid w:val="00CB3906"/>
    <w:rsid w:val="00CB6066"/>
    <w:rsid w:val="00CC1F5E"/>
    <w:rsid w:val="00D006FC"/>
    <w:rsid w:val="00D020B0"/>
    <w:rsid w:val="00D11748"/>
    <w:rsid w:val="00D237F6"/>
    <w:rsid w:val="00D34D98"/>
    <w:rsid w:val="00D366CF"/>
    <w:rsid w:val="00D456AA"/>
    <w:rsid w:val="00D84276"/>
    <w:rsid w:val="00D93992"/>
    <w:rsid w:val="00DA21EF"/>
    <w:rsid w:val="00DB25BD"/>
    <w:rsid w:val="00E108AA"/>
    <w:rsid w:val="00E3749A"/>
    <w:rsid w:val="00E7437F"/>
    <w:rsid w:val="00E865B8"/>
    <w:rsid w:val="00EC0B9B"/>
    <w:rsid w:val="00ED5E9F"/>
    <w:rsid w:val="00EF6DF4"/>
    <w:rsid w:val="00F41DF7"/>
    <w:rsid w:val="00F66D4F"/>
    <w:rsid w:val="00FB6D01"/>
    <w:rsid w:val="00FB7C8C"/>
    <w:rsid w:val="00FE44A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F1F08"/>
  <w15:chartTrackingRefBased/>
  <w15:docId w15:val="{6FE32351-528D-43DC-BB05-9E77C72A4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Bodytext2">
    <w:name w:val="Body text (2)_"/>
    <w:basedOn w:val="Standardskrifttypeiafsnit"/>
    <w:link w:val="Bodytext20"/>
    <w:locked/>
    <w:rsid w:val="006420CF"/>
    <w:rPr>
      <w:rFonts w:ascii="Arial" w:eastAsia="Arial" w:hAnsi="Arial" w:cs="Arial"/>
      <w:sz w:val="19"/>
      <w:szCs w:val="19"/>
      <w:shd w:val="clear" w:color="auto" w:fill="FFFFFF"/>
    </w:rPr>
  </w:style>
  <w:style w:type="paragraph" w:customStyle="1" w:styleId="Bodytext20">
    <w:name w:val="Body text (2)"/>
    <w:basedOn w:val="Normal"/>
    <w:link w:val="Bodytext2"/>
    <w:rsid w:val="006420CF"/>
    <w:pPr>
      <w:widowControl w:val="0"/>
      <w:shd w:val="clear" w:color="auto" w:fill="FFFFFF"/>
      <w:spacing w:before="200" w:after="300" w:line="212" w:lineRule="exact"/>
      <w:ind w:hanging="260"/>
    </w:pPr>
    <w:rPr>
      <w:rFonts w:ascii="Arial" w:eastAsia="Arial" w:hAnsi="Arial" w:cs="Arial"/>
      <w:sz w:val="19"/>
      <w:szCs w:val="19"/>
      <w:lang w:eastAsia="da-DK"/>
    </w:rPr>
  </w:style>
  <w:style w:type="character" w:customStyle="1" w:styleId="Bodytext2Italic">
    <w:name w:val="Body text (2) + Italic"/>
    <w:basedOn w:val="Bodytext2"/>
    <w:rsid w:val="006420CF"/>
    <w:rPr>
      <w:rFonts w:ascii="Arial" w:eastAsia="Arial" w:hAnsi="Arial" w:cs="Arial"/>
      <w:b w:val="0"/>
      <w:bCs w:val="0"/>
      <w:i/>
      <w:iCs/>
      <w:smallCaps w:val="0"/>
      <w:strike w:val="0"/>
      <w:dstrike w:val="0"/>
      <w:color w:val="000000"/>
      <w:spacing w:val="0"/>
      <w:w w:val="100"/>
      <w:position w:val="0"/>
      <w:sz w:val="19"/>
      <w:szCs w:val="19"/>
      <w:u w:val="none"/>
      <w:effect w:val="none"/>
      <w:shd w:val="clear" w:color="auto" w:fill="FFFFFF"/>
      <w:lang w:val="da-DK" w:eastAsia="en-US" w:bidi="en-US"/>
    </w:rPr>
  </w:style>
  <w:style w:type="character" w:customStyle="1" w:styleId="Tablecaption">
    <w:name w:val="Table caption_"/>
    <w:basedOn w:val="Standardskrifttypeiafsnit"/>
    <w:link w:val="Tablecaption0"/>
    <w:locked/>
    <w:rsid w:val="006420CF"/>
    <w:rPr>
      <w:rFonts w:ascii="Arial" w:eastAsia="Arial" w:hAnsi="Arial" w:cs="Arial"/>
      <w:sz w:val="19"/>
      <w:szCs w:val="19"/>
      <w:shd w:val="clear" w:color="auto" w:fill="FFFFFF"/>
    </w:rPr>
  </w:style>
  <w:style w:type="paragraph" w:customStyle="1" w:styleId="Tablecaption0">
    <w:name w:val="Table caption"/>
    <w:basedOn w:val="Normal"/>
    <w:link w:val="Tablecaption"/>
    <w:rsid w:val="006420CF"/>
    <w:pPr>
      <w:widowControl w:val="0"/>
      <w:shd w:val="clear" w:color="auto" w:fill="FFFFFF"/>
      <w:spacing w:line="212" w:lineRule="exact"/>
    </w:pPr>
    <w:rPr>
      <w:rFonts w:ascii="Arial" w:eastAsia="Arial" w:hAnsi="Arial" w:cs="Arial"/>
      <w:sz w:val="19"/>
      <w:szCs w:val="19"/>
      <w:lang w:eastAsia="da-DK"/>
    </w:rPr>
  </w:style>
  <w:style w:type="character" w:customStyle="1" w:styleId="Heading3NotBold">
    <w:name w:val="Heading #3 + Not Bold"/>
    <w:basedOn w:val="Standardskrifttypeiafsnit"/>
    <w:rsid w:val="006420CF"/>
    <w:rPr>
      <w:rFonts w:ascii="Arial" w:eastAsia="Arial" w:hAnsi="Arial" w:cs="Arial" w:hint="default"/>
      <w:b/>
      <w:bCs/>
      <w:color w:val="000000"/>
      <w:spacing w:val="0"/>
      <w:w w:val="100"/>
      <w:position w:val="0"/>
      <w:sz w:val="19"/>
      <w:szCs w:val="19"/>
      <w:u w:val="single"/>
      <w:shd w:val="clear" w:color="auto" w:fill="FFFFFF"/>
      <w:lang w:val="da-DK" w:eastAsia="en-US" w:bidi="en-US"/>
    </w:rPr>
  </w:style>
  <w:style w:type="character" w:customStyle="1" w:styleId="Bodytext2Bold">
    <w:name w:val="Body text (2) + Bold"/>
    <w:basedOn w:val="Bodytext2"/>
    <w:rsid w:val="006420CF"/>
    <w:rPr>
      <w:rFonts w:ascii="Arial" w:eastAsia="Arial" w:hAnsi="Arial" w:cs="Arial"/>
      <w:b/>
      <w:bCs/>
      <w:i w:val="0"/>
      <w:iCs w:val="0"/>
      <w:smallCaps w:val="0"/>
      <w:strike w:val="0"/>
      <w:dstrike w:val="0"/>
      <w:color w:val="000000"/>
      <w:spacing w:val="0"/>
      <w:w w:val="100"/>
      <w:position w:val="0"/>
      <w:sz w:val="19"/>
      <w:szCs w:val="19"/>
      <w:u w:val="none"/>
      <w:effect w:val="none"/>
      <w:shd w:val="clear" w:color="auto" w:fill="FFFFFF"/>
      <w:lang w:val="da-DK" w:eastAsia="en-US" w:bidi="en-US"/>
    </w:rPr>
  </w:style>
  <w:style w:type="character" w:customStyle="1" w:styleId="Bodytext6">
    <w:name w:val="Body text (6)"/>
    <w:basedOn w:val="Standardskrifttypeiafsnit"/>
    <w:rsid w:val="006420CF"/>
    <w:rPr>
      <w:rFonts w:ascii="Arial" w:eastAsia="Arial" w:hAnsi="Arial" w:cs="Arial" w:hint="default"/>
      <w:b w:val="0"/>
      <w:bCs w:val="0"/>
      <w:i/>
      <w:iCs/>
      <w:smallCaps w:val="0"/>
      <w:color w:val="000000"/>
      <w:spacing w:val="0"/>
      <w:w w:val="100"/>
      <w:position w:val="0"/>
      <w:sz w:val="19"/>
      <w:szCs w:val="19"/>
      <w:u w:val="single"/>
      <w:lang w:val="da-DK" w:eastAsia="en-US" w:bidi="en-US"/>
    </w:rPr>
  </w:style>
  <w:style w:type="character" w:customStyle="1" w:styleId="Bodytext6NotItalic">
    <w:name w:val="Body text (6) + Not Italic"/>
    <w:basedOn w:val="Standardskrifttypeiafsnit"/>
    <w:rsid w:val="006420CF"/>
    <w:rPr>
      <w:rFonts w:ascii="Arial" w:eastAsia="Arial" w:hAnsi="Arial" w:cs="Arial" w:hint="default"/>
      <w:b w:val="0"/>
      <w:bCs w:val="0"/>
      <w:i/>
      <w:iCs/>
      <w:smallCaps w:val="0"/>
      <w:color w:val="000000"/>
      <w:spacing w:val="0"/>
      <w:w w:val="100"/>
      <w:position w:val="0"/>
      <w:sz w:val="19"/>
      <w:szCs w:val="19"/>
      <w:u w:val="single"/>
      <w:lang w:val="da-DK" w:eastAsia="en-US" w:bidi="en-US"/>
    </w:rPr>
  </w:style>
  <w:style w:type="table" w:styleId="Tabel-Gitter">
    <w:name w:val="Table Grid"/>
    <w:basedOn w:val="Tabel-Normal"/>
    <w:uiPriority w:val="59"/>
    <w:rsid w:val="006420CF"/>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6420CF"/>
    <w:rPr>
      <w:color w:val="0563C1" w:themeColor="hyperlink"/>
      <w:u w:val="single"/>
    </w:rPr>
  </w:style>
  <w:style w:type="paragraph" w:styleId="Listeafsnit">
    <w:name w:val="List Paragraph"/>
    <w:basedOn w:val="Normal"/>
    <w:uiPriority w:val="34"/>
    <w:qFormat/>
    <w:rsid w:val="00325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5940">
      <w:bodyDiv w:val="1"/>
      <w:marLeft w:val="0"/>
      <w:marRight w:val="0"/>
      <w:marTop w:val="0"/>
      <w:marBottom w:val="0"/>
      <w:divBdr>
        <w:top w:val="none" w:sz="0" w:space="0" w:color="auto"/>
        <w:left w:val="none" w:sz="0" w:space="0" w:color="auto"/>
        <w:bottom w:val="none" w:sz="0" w:space="0" w:color="auto"/>
        <w:right w:val="none" w:sz="0" w:space="0" w:color="auto"/>
      </w:divBdr>
    </w:div>
    <w:div w:id="31809306">
      <w:bodyDiv w:val="1"/>
      <w:marLeft w:val="0"/>
      <w:marRight w:val="0"/>
      <w:marTop w:val="0"/>
      <w:marBottom w:val="0"/>
      <w:divBdr>
        <w:top w:val="none" w:sz="0" w:space="0" w:color="auto"/>
        <w:left w:val="none" w:sz="0" w:space="0" w:color="auto"/>
        <w:bottom w:val="none" w:sz="0" w:space="0" w:color="auto"/>
        <w:right w:val="none" w:sz="0" w:space="0" w:color="auto"/>
      </w:divBdr>
    </w:div>
    <w:div w:id="32852317">
      <w:bodyDiv w:val="1"/>
      <w:marLeft w:val="0"/>
      <w:marRight w:val="0"/>
      <w:marTop w:val="0"/>
      <w:marBottom w:val="0"/>
      <w:divBdr>
        <w:top w:val="none" w:sz="0" w:space="0" w:color="auto"/>
        <w:left w:val="none" w:sz="0" w:space="0" w:color="auto"/>
        <w:bottom w:val="none" w:sz="0" w:space="0" w:color="auto"/>
        <w:right w:val="none" w:sz="0" w:space="0" w:color="auto"/>
      </w:divBdr>
    </w:div>
    <w:div w:id="97649269">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37057912">
      <w:bodyDiv w:val="1"/>
      <w:marLeft w:val="0"/>
      <w:marRight w:val="0"/>
      <w:marTop w:val="0"/>
      <w:marBottom w:val="0"/>
      <w:divBdr>
        <w:top w:val="none" w:sz="0" w:space="0" w:color="auto"/>
        <w:left w:val="none" w:sz="0" w:space="0" w:color="auto"/>
        <w:bottom w:val="none" w:sz="0" w:space="0" w:color="auto"/>
        <w:right w:val="none" w:sz="0" w:space="0" w:color="auto"/>
      </w:divBdr>
    </w:div>
    <w:div w:id="309797424">
      <w:bodyDiv w:val="1"/>
      <w:marLeft w:val="0"/>
      <w:marRight w:val="0"/>
      <w:marTop w:val="0"/>
      <w:marBottom w:val="0"/>
      <w:divBdr>
        <w:top w:val="none" w:sz="0" w:space="0" w:color="auto"/>
        <w:left w:val="none" w:sz="0" w:space="0" w:color="auto"/>
        <w:bottom w:val="none" w:sz="0" w:space="0" w:color="auto"/>
        <w:right w:val="none" w:sz="0" w:space="0" w:color="auto"/>
      </w:divBdr>
    </w:div>
    <w:div w:id="399181659">
      <w:bodyDiv w:val="1"/>
      <w:marLeft w:val="0"/>
      <w:marRight w:val="0"/>
      <w:marTop w:val="0"/>
      <w:marBottom w:val="0"/>
      <w:divBdr>
        <w:top w:val="none" w:sz="0" w:space="0" w:color="auto"/>
        <w:left w:val="none" w:sz="0" w:space="0" w:color="auto"/>
        <w:bottom w:val="none" w:sz="0" w:space="0" w:color="auto"/>
        <w:right w:val="none" w:sz="0" w:space="0" w:color="auto"/>
      </w:divBdr>
    </w:div>
    <w:div w:id="415982975">
      <w:bodyDiv w:val="1"/>
      <w:marLeft w:val="0"/>
      <w:marRight w:val="0"/>
      <w:marTop w:val="0"/>
      <w:marBottom w:val="0"/>
      <w:divBdr>
        <w:top w:val="none" w:sz="0" w:space="0" w:color="auto"/>
        <w:left w:val="none" w:sz="0" w:space="0" w:color="auto"/>
        <w:bottom w:val="none" w:sz="0" w:space="0" w:color="auto"/>
        <w:right w:val="none" w:sz="0" w:space="0" w:color="auto"/>
      </w:divBdr>
    </w:div>
    <w:div w:id="439301028">
      <w:bodyDiv w:val="1"/>
      <w:marLeft w:val="0"/>
      <w:marRight w:val="0"/>
      <w:marTop w:val="0"/>
      <w:marBottom w:val="0"/>
      <w:divBdr>
        <w:top w:val="none" w:sz="0" w:space="0" w:color="auto"/>
        <w:left w:val="none" w:sz="0" w:space="0" w:color="auto"/>
        <w:bottom w:val="none" w:sz="0" w:space="0" w:color="auto"/>
        <w:right w:val="none" w:sz="0" w:space="0" w:color="auto"/>
      </w:divBdr>
    </w:div>
    <w:div w:id="479544764">
      <w:bodyDiv w:val="1"/>
      <w:marLeft w:val="0"/>
      <w:marRight w:val="0"/>
      <w:marTop w:val="0"/>
      <w:marBottom w:val="0"/>
      <w:divBdr>
        <w:top w:val="none" w:sz="0" w:space="0" w:color="auto"/>
        <w:left w:val="none" w:sz="0" w:space="0" w:color="auto"/>
        <w:bottom w:val="none" w:sz="0" w:space="0" w:color="auto"/>
        <w:right w:val="none" w:sz="0" w:space="0" w:color="auto"/>
      </w:divBdr>
    </w:div>
    <w:div w:id="630329274">
      <w:bodyDiv w:val="1"/>
      <w:marLeft w:val="0"/>
      <w:marRight w:val="0"/>
      <w:marTop w:val="0"/>
      <w:marBottom w:val="0"/>
      <w:divBdr>
        <w:top w:val="none" w:sz="0" w:space="0" w:color="auto"/>
        <w:left w:val="none" w:sz="0" w:space="0" w:color="auto"/>
        <w:bottom w:val="none" w:sz="0" w:space="0" w:color="auto"/>
        <w:right w:val="none" w:sz="0" w:space="0" w:color="auto"/>
      </w:divBdr>
    </w:div>
    <w:div w:id="671907229">
      <w:bodyDiv w:val="1"/>
      <w:marLeft w:val="0"/>
      <w:marRight w:val="0"/>
      <w:marTop w:val="0"/>
      <w:marBottom w:val="0"/>
      <w:divBdr>
        <w:top w:val="none" w:sz="0" w:space="0" w:color="auto"/>
        <w:left w:val="none" w:sz="0" w:space="0" w:color="auto"/>
        <w:bottom w:val="none" w:sz="0" w:space="0" w:color="auto"/>
        <w:right w:val="none" w:sz="0" w:space="0" w:color="auto"/>
      </w:divBdr>
    </w:div>
    <w:div w:id="731467663">
      <w:bodyDiv w:val="1"/>
      <w:marLeft w:val="0"/>
      <w:marRight w:val="0"/>
      <w:marTop w:val="0"/>
      <w:marBottom w:val="0"/>
      <w:divBdr>
        <w:top w:val="none" w:sz="0" w:space="0" w:color="auto"/>
        <w:left w:val="none" w:sz="0" w:space="0" w:color="auto"/>
        <w:bottom w:val="none" w:sz="0" w:space="0" w:color="auto"/>
        <w:right w:val="none" w:sz="0" w:space="0" w:color="auto"/>
      </w:divBdr>
    </w:div>
    <w:div w:id="748189307">
      <w:bodyDiv w:val="1"/>
      <w:marLeft w:val="0"/>
      <w:marRight w:val="0"/>
      <w:marTop w:val="0"/>
      <w:marBottom w:val="0"/>
      <w:divBdr>
        <w:top w:val="none" w:sz="0" w:space="0" w:color="auto"/>
        <w:left w:val="none" w:sz="0" w:space="0" w:color="auto"/>
        <w:bottom w:val="none" w:sz="0" w:space="0" w:color="auto"/>
        <w:right w:val="none" w:sz="0" w:space="0" w:color="auto"/>
      </w:divBdr>
    </w:div>
    <w:div w:id="753627960">
      <w:bodyDiv w:val="1"/>
      <w:marLeft w:val="0"/>
      <w:marRight w:val="0"/>
      <w:marTop w:val="0"/>
      <w:marBottom w:val="0"/>
      <w:divBdr>
        <w:top w:val="none" w:sz="0" w:space="0" w:color="auto"/>
        <w:left w:val="none" w:sz="0" w:space="0" w:color="auto"/>
        <w:bottom w:val="none" w:sz="0" w:space="0" w:color="auto"/>
        <w:right w:val="none" w:sz="0" w:space="0" w:color="auto"/>
      </w:divBdr>
    </w:div>
    <w:div w:id="793795800">
      <w:bodyDiv w:val="1"/>
      <w:marLeft w:val="0"/>
      <w:marRight w:val="0"/>
      <w:marTop w:val="0"/>
      <w:marBottom w:val="0"/>
      <w:divBdr>
        <w:top w:val="none" w:sz="0" w:space="0" w:color="auto"/>
        <w:left w:val="none" w:sz="0" w:space="0" w:color="auto"/>
        <w:bottom w:val="none" w:sz="0" w:space="0" w:color="auto"/>
        <w:right w:val="none" w:sz="0" w:space="0" w:color="auto"/>
      </w:divBdr>
    </w:div>
    <w:div w:id="836648962">
      <w:bodyDiv w:val="1"/>
      <w:marLeft w:val="0"/>
      <w:marRight w:val="0"/>
      <w:marTop w:val="0"/>
      <w:marBottom w:val="0"/>
      <w:divBdr>
        <w:top w:val="none" w:sz="0" w:space="0" w:color="auto"/>
        <w:left w:val="none" w:sz="0" w:space="0" w:color="auto"/>
        <w:bottom w:val="none" w:sz="0" w:space="0" w:color="auto"/>
        <w:right w:val="none" w:sz="0" w:space="0" w:color="auto"/>
      </w:divBdr>
    </w:div>
    <w:div w:id="850073687">
      <w:bodyDiv w:val="1"/>
      <w:marLeft w:val="0"/>
      <w:marRight w:val="0"/>
      <w:marTop w:val="0"/>
      <w:marBottom w:val="0"/>
      <w:divBdr>
        <w:top w:val="none" w:sz="0" w:space="0" w:color="auto"/>
        <w:left w:val="none" w:sz="0" w:space="0" w:color="auto"/>
        <w:bottom w:val="none" w:sz="0" w:space="0" w:color="auto"/>
        <w:right w:val="none" w:sz="0" w:space="0" w:color="auto"/>
      </w:divBdr>
    </w:div>
    <w:div w:id="857039818">
      <w:bodyDiv w:val="1"/>
      <w:marLeft w:val="0"/>
      <w:marRight w:val="0"/>
      <w:marTop w:val="0"/>
      <w:marBottom w:val="0"/>
      <w:divBdr>
        <w:top w:val="none" w:sz="0" w:space="0" w:color="auto"/>
        <w:left w:val="none" w:sz="0" w:space="0" w:color="auto"/>
        <w:bottom w:val="none" w:sz="0" w:space="0" w:color="auto"/>
        <w:right w:val="none" w:sz="0" w:space="0" w:color="auto"/>
      </w:divBdr>
    </w:div>
    <w:div w:id="881482577">
      <w:bodyDiv w:val="1"/>
      <w:marLeft w:val="0"/>
      <w:marRight w:val="0"/>
      <w:marTop w:val="0"/>
      <w:marBottom w:val="0"/>
      <w:divBdr>
        <w:top w:val="none" w:sz="0" w:space="0" w:color="auto"/>
        <w:left w:val="none" w:sz="0" w:space="0" w:color="auto"/>
        <w:bottom w:val="none" w:sz="0" w:space="0" w:color="auto"/>
        <w:right w:val="none" w:sz="0" w:space="0" w:color="auto"/>
      </w:divBdr>
    </w:div>
    <w:div w:id="920720843">
      <w:bodyDiv w:val="1"/>
      <w:marLeft w:val="0"/>
      <w:marRight w:val="0"/>
      <w:marTop w:val="0"/>
      <w:marBottom w:val="0"/>
      <w:divBdr>
        <w:top w:val="none" w:sz="0" w:space="0" w:color="auto"/>
        <w:left w:val="none" w:sz="0" w:space="0" w:color="auto"/>
        <w:bottom w:val="none" w:sz="0" w:space="0" w:color="auto"/>
        <w:right w:val="none" w:sz="0" w:space="0" w:color="auto"/>
      </w:divBdr>
    </w:div>
    <w:div w:id="991370530">
      <w:bodyDiv w:val="1"/>
      <w:marLeft w:val="0"/>
      <w:marRight w:val="0"/>
      <w:marTop w:val="0"/>
      <w:marBottom w:val="0"/>
      <w:divBdr>
        <w:top w:val="none" w:sz="0" w:space="0" w:color="auto"/>
        <w:left w:val="none" w:sz="0" w:space="0" w:color="auto"/>
        <w:bottom w:val="none" w:sz="0" w:space="0" w:color="auto"/>
        <w:right w:val="none" w:sz="0" w:space="0" w:color="auto"/>
      </w:divBdr>
    </w:div>
    <w:div w:id="1128544183">
      <w:bodyDiv w:val="1"/>
      <w:marLeft w:val="0"/>
      <w:marRight w:val="0"/>
      <w:marTop w:val="0"/>
      <w:marBottom w:val="0"/>
      <w:divBdr>
        <w:top w:val="none" w:sz="0" w:space="0" w:color="auto"/>
        <w:left w:val="none" w:sz="0" w:space="0" w:color="auto"/>
        <w:bottom w:val="none" w:sz="0" w:space="0" w:color="auto"/>
        <w:right w:val="none" w:sz="0" w:space="0" w:color="auto"/>
      </w:divBdr>
    </w:div>
    <w:div w:id="1151556121">
      <w:bodyDiv w:val="1"/>
      <w:marLeft w:val="0"/>
      <w:marRight w:val="0"/>
      <w:marTop w:val="0"/>
      <w:marBottom w:val="0"/>
      <w:divBdr>
        <w:top w:val="none" w:sz="0" w:space="0" w:color="auto"/>
        <w:left w:val="none" w:sz="0" w:space="0" w:color="auto"/>
        <w:bottom w:val="none" w:sz="0" w:space="0" w:color="auto"/>
        <w:right w:val="none" w:sz="0" w:space="0" w:color="auto"/>
      </w:divBdr>
    </w:div>
    <w:div w:id="1223712812">
      <w:bodyDiv w:val="1"/>
      <w:marLeft w:val="0"/>
      <w:marRight w:val="0"/>
      <w:marTop w:val="0"/>
      <w:marBottom w:val="0"/>
      <w:divBdr>
        <w:top w:val="none" w:sz="0" w:space="0" w:color="auto"/>
        <w:left w:val="none" w:sz="0" w:space="0" w:color="auto"/>
        <w:bottom w:val="none" w:sz="0" w:space="0" w:color="auto"/>
        <w:right w:val="none" w:sz="0" w:space="0" w:color="auto"/>
      </w:divBdr>
    </w:div>
    <w:div w:id="1235237141">
      <w:bodyDiv w:val="1"/>
      <w:marLeft w:val="0"/>
      <w:marRight w:val="0"/>
      <w:marTop w:val="0"/>
      <w:marBottom w:val="0"/>
      <w:divBdr>
        <w:top w:val="none" w:sz="0" w:space="0" w:color="auto"/>
        <w:left w:val="none" w:sz="0" w:space="0" w:color="auto"/>
        <w:bottom w:val="none" w:sz="0" w:space="0" w:color="auto"/>
        <w:right w:val="none" w:sz="0" w:space="0" w:color="auto"/>
      </w:divBdr>
    </w:div>
    <w:div w:id="1307471810">
      <w:bodyDiv w:val="1"/>
      <w:marLeft w:val="0"/>
      <w:marRight w:val="0"/>
      <w:marTop w:val="0"/>
      <w:marBottom w:val="0"/>
      <w:divBdr>
        <w:top w:val="none" w:sz="0" w:space="0" w:color="auto"/>
        <w:left w:val="none" w:sz="0" w:space="0" w:color="auto"/>
        <w:bottom w:val="none" w:sz="0" w:space="0" w:color="auto"/>
        <w:right w:val="none" w:sz="0" w:space="0" w:color="auto"/>
      </w:divBdr>
    </w:div>
    <w:div w:id="1311131540">
      <w:bodyDiv w:val="1"/>
      <w:marLeft w:val="0"/>
      <w:marRight w:val="0"/>
      <w:marTop w:val="0"/>
      <w:marBottom w:val="0"/>
      <w:divBdr>
        <w:top w:val="none" w:sz="0" w:space="0" w:color="auto"/>
        <w:left w:val="none" w:sz="0" w:space="0" w:color="auto"/>
        <w:bottom w:val="none" w:sz="0" w:space="0" w:color="auto"/>
        <w:right w:val="none" w:sz="0" w:space="0" w:color="auto"/>
      </w:divBdr>
    </w:div>
    <w:div w:id="1336768359">
      <w:bodyDiv w:val="1"/>
      <w:marLeft w:val="0"/>
      <w:marRight w:val="0"/>
      <w:marTop w:val="0"/>
      <w:marBottom w:val="0"/>
      <w:divBdr>
        <w:top w:val="none" w:sz="0" w:space="0" w:color="auto"/>
        <w:left w:val="none" w:sz="0" w:space="0" w:color="auto"/>
        <w:bottom w:val="none" w:sz="0" w:space="0" w:color="auto"/>
        <w:right w:val="none" w:sz="0" w:space="0" w:color="auto"/>
      </w:divBdr>
    </w:div>
    <w:div w:id="1441988677">
      <w:bodyDiv w:val="1"/>
      <w:marLeft w:val="0"/>
      <w:marRight w:val="0"/>
      <w:marTop w:val="0"/>
      <w:marBottom w:val="0"/>
      <w:divBdr>
        <w:top w:val="none" w:sz="0" w:space="0" w:color="auto"/>
        <w:left w:val="none" w:sz="0" w:space="0" w:color="auto"/>
        <w:bottom w:val="none" w:sz="0" w:space="0" w:color="auto"/>
        <w:right w:val="none" w:sz="0" w:space="0" w:color="auto"/>
      </w:divBdr>
    </w:div>
    <w:div w:id="1783839962">
      <w:bodyDiv w:val="1"/>
      <w:marLeft w:val="0"/>
      <w:marRight w:val="0"/>
      <w:marTop w:val="0"/>
      <w:marBottom w:val="0"/>
      <w:divBdr>
        <w:top w:val="none" w:sz="0" w:space="0" w:color="auto"/>
        <w:left w:val="none" w:sz="0" w:space="0" w:color="auto"/>
        <w:bottom w:val="none" w:sz="0" w:space="0" w:color="auto"/>
        <w:right w:val="none" w:sz="0" w:space="0" w:color="auto"/>
      </w:divBdr>
    </w:div>
    <w:div w:id="1854613026">
      <w:bodyDiv w:val="1"/>
      <w:marLeft w:val="0"/>
      <w:marRight w:val="0"/>
      <w:marTop w:val="0"/>
      <w:marBottom w:val="0"/>
      <w:divBdr>
        <w:top w:val="none" w:sz="0" w:space="0" w:color="auto"/>
        <w:left w:val="none" w:sz="0" w:space="0" w:color="auto"/>
        <w:bottom w:val="none" w:sz="0" w:space="0" w:color="auto"/>
        <w:right w:val="none" w:sz="0" w:space="0" w:color="auto"/>
      </w:divBdr>
    </w:div>
    <w:div w:id="1855604762">
      <w:bodyDiv w:val="1"/>
      <w:marLeft w:val="0"/>
      <w:marRight w:val="0"/>
      <w:marTop w:val="0"/>
      <w:marBottom w:val="0"/>
      <w:divBdr>
        <w:top w:val="none" w:sz="0" w:space="0" w:color="auto"/>
        <w:left w:val="none" w:sz="0" w:space="0" w:color="auto"/>
        <w:bottom w:val="none" w:sz="0" w:space="0" w:color="auto"/>
        <w:right w:val="none" w:sz="0" w:space="0" w:color="auto"/>
      </w:divBdr>
    </w:div>
    <w:div w:id="1864244856">
      <w:bodyDiv w:val="1"/>
      <w:marLeft w:val="0"/>
      <w:marRight w:val="0"/>
      <w:marTop w:val="0"/>
      <w:marBottom w:val="0"/>
      <w:divBdr>
        <w:top w:val="none" w:sz="0" w:space="0" w:color="auto"/>
        <w:left w:val="none" w:sz="0" w:space="0" w:color="auto"/>
        <w:bottom w:val="none" w:sz="0" w:space="0" w:color="auto"/>
        <w:right w:val="none" w:sz="0" w:space="0" w:color="auto"/>
      </w:divBdr>
    </w:div>
    <w:div w:id="1970553914">
      <w:bodyDiv w:val="1"/>
      <w:marLeft w:val="0"/>
      <w:marRight w:val="0"/>
      <w:marTop w:val="0"/>
      <w:marBottom w:val="0"/>
      <w:divBdr>
        <w:top w:val="none" w:sz="0" w:space="0" w:color="auto"/>
        <w:left w:val="none" w:sz="0" w:space="0" w:color="auto"/>
        <w:bottom w:val="none" w:sz="0" w:space="0" w:color="auto"/>
        <w:right w:val="none" w:sz="0" w:space="0" w:color="auto"/>
      </w:divBdr>
    </w:div>
    <w:div w:id="1977490899">
      <w:bodyDiv w:val="1"/>
      <w:marLeft w:val="0"/>
      <w:marRight w:val="0"/>
      <w:marTop w:val="0"/>
      <w:marBottom w:val="0"/>
      <w:divBdr>
        <w:top w:val="none" w:sz="0" w:space="0" w:color="auto"/>
        <w:left w:val="none" w:sz="0" w:space="0" w:color="auto"/>
        <w:bottom w:val="none" w:sz="0" w:space="0" w:color="auto"/>
        <w:right w:val="none" w:sz="0" w:space="0" w:color="auto"/>
      </w:divBdr>
    </w:div>
    <w:div w:id="209440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ma.europa.eu/documents/other/minimum-inhibitory-concentration-mic-breakpoints_en.xlsx" TargetMode="Externa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D8D66-DCDF-49D7-989E-6BD3C0B8E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LGO-RKE-REG 008-01-SKB SPC Hum skabelon</Template>
  <TotalTime>36</TotalTime>
  <Pages>15</Pages>
  <Words>3911</Words>
  <Characters>26603</Characters>
  <Application>Microsoft Office Word</Application>
  <DocSecurity>0</DocSecurity>
  <Lines>221</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Sværke Hansen</dc:creator>
  <cp:keywords/>
  <dc:description>2026054725 - Nyt PI SPC</dc:description>
  <cp:lastModifiedBy>Camilla Sværke Hansen</cp:lastModifiedBy>
  <cp:revision>8</cp:revision>
  <cp:lastPrinted>2026-08-12T13:04:00Z</cp:lastPrinted>
  <dcterms:created xsi:type="dcterms:W3CDTF">2026-03-11T11:48:00Z</dcterms:created>
  <dcterms:modified xsi:type="dcterms:W3CDTF">2026-08-12T13:10:00Z</dcterms:modified>
</cp:coreProperties>
</file>