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F14F" w14:textId="77777777" w:rsidR="009260DE" w:rsidRPr="00325490" w:rsidRDefault="0021526C" w:rsidP="009260DE">
      <w:pPr>
        <w:rPr>
          <w:sz w:val="24"/>
          <w:szCs w:val="24"/>
        </w:rPr>
      </w:pPr>
      <w:r w:rsidRPr="00325490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6B421C12" wp14:editId="623BBDFF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325490">
        <w:rPr>
          <w:sz w:val="24"/>
          <w:szCs w:val="24"/>
        </w:rPr>
        <w:br w:type="textWrapping" w:clear="all"/>
      </w:r>
    </w:p>
    <w:p w14:paraId="5A1C0711" w14:textId="3B020B90" w:rsidR="009260DE" w:rsidRPr="00325490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325490">
        <w:rPr>
          <w:b w:val="0"/>
          <w:szCs w:val="24"/>
          <w:lang w:eastAsia="en-US"/>
        </w:rPr>
        <w:tab/>
      </w:r>
      <w:r w:rsidR="005D033A">
        <w:rPr>
          <w:szCs w:val="24"/>
        </w:rPr>
        <w:t>11. december 2025</w:t>
      </w:r>
    </w:p>
    <w:p w14:paraId="0047F5D0" w14:textId="77777777" w:rsidR="009260DE" w:rsidRPr="00325490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63ADEFD9" w14:textId="77777777" w:rsidR="009260DE" w:rsidRPr="00325490" w:rsidRDefault="009260DE" w:rsidP="009260DE">
      <w:pPr>
        <w:pStyle w:val="Titel"/>
        <w:jc w:val="left"/>
        <w:rPr>
          <w:b w:val="0"/>
          <w:szCs w:val="24"/>
        </w:rPr>
      </w:pPr>
    </w:p>
    <w:p w14:paraId="22D73605" w14:textId="77777777" w:rsidR="009260DE" w:rsidRPr="00325490" w:rsidRDefault="009260DE" w:rsidP="009260DE">
      <w:pPr>
        <w:pStyle w:val="Titel"/>
        <w:jc w:val="left"/>
        <w:rPr>
          <w:b w:val="0"/>
          <w:szCs w:val="24"/>
        </w:rPr>
      </w:pPr>
    </w:p>
    <w:p w14:paraId="35402C0B" w14:textId="77777777" w:rsidR="009260DE" w:rsidRPr="00325490" w:rsidRDefault="009260DE" w:rsidP="009260DE">
      <w:pPr>
        <w:jc w:val="center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PRODUKTRESUMÉ</w:t>
      </w:r>
    </w:p>
    <w:p w14:paraId="79E66DBF" w14:textId="77777777" w:rsidR="009260DE" w:rsidRPr="00325490" w:rsidRDefault="009260DE" w:rsidP="009260DE">
      <w:pPr>
        <w:jc w:val="center"/>
        <w:rPr>
          <w:b/>
          <w:sz w:val="24"/>
          <w:szCs w:val="24"/>
        </w:rPr>
      </w:pPr>
    </w:p>
    <w:p w14:paraId="180D2ABB" w14:textId="77777777" w:rsidR="009260DE" w:rsidRPr="00325490" w:rsidRDefault="009260DE" w:rsidP="009260DE">
      <w:pPr>
        <w:jc w:val="center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for</w:t>
      </w:r>
    </w:p>
    <w:p w14:paraId="4C2D029A" w14:textId="77777777" w:rsidR="000B058C" w:rsidRPr="00325490" w:rsidRDefault="000B058C" w:rsidP="009260DE">
      <w:pPr>
        <w:jc w:val="center"/>
        <w:rPr>
          <w:b/>
          <w:sz w:val="24"/>
          <w:szCs w:val="24"/>
        </w:rPr>
      </w:pPr>
    </w:p>
    <w:p w14:paraId="75C9B066" w14:textId="2DDF3C53" w:rsidR="009260DE" w:rsidRPr="00325490" w:rsidRDefault="00F41DF7" w:rsidP="009260DE">
      <w:pPr>
        <w:jc w:val="center"/>
        <w:rPr>
          <w:b/>
          <w:sz w:val="24"/>
          <w:szCs w:val="24"/>
        </w:rPr>
      </w:pPr>
      <w:proofErr w:type="spellStart"/>
      <w:r w:rsidRPr="00325490">
        <w:rPr>
          <w:b/>
          <w:sz w:val="24"/>
          <w:szCs w:val="24"/>
        </w:rPr>
        <w:t>Teicoplanin</w:t>
      </w:r>
      <w:proofErr w:type="spellEnd"/>
      <w:r w:rsidRPr="00325490">
        <w:rPr>
          <w:b/>
          <w:sz w:val="24"/>
          <w:szCs w:val="24"/>
        </w:rPr>
        <w:t xml:space="preserve"> "Demo S.A."</w:t>
      </w:r>
      <w:r w:rsidR="000B1347" w:rsidRPr="00325490">
        <w:rPr>
          <w:b/>
          <w:sz w:val="24"/>
          <w:szCs w:val="24"/>
        </w:rPr>
        <w:t>, pulver og solvens til injektions-/infusionsvæske, opløsning</w:t>
      </w:r>
    </w:p>
    <w:p w14:paraId="55812CD1" w14:textId="77777777" w:rsidR="009260DE" w:rsidRPr="00325490" w:rsidRDefault="009260DE" w:rsidP="009260DE">
      <w:pPr>
        <w:jc w:val="both"/>
        <w:rPr>
          <w:sz w:val="24"/>
          <w:szCs w:val="24"/>
        </w:rPr>
      </w:pPr>
    </w:p>
    <w:p w14:paraId="57A14031" w14:textId="77777777" w:rsidR="009260DE" w:rsidRPr="00325490" w:rsidRDefault="009260DE" w:rsidP="009260DE">
      <w:pPr>
        <w:jc w:val="both"/>
        <w:rPr>
          <w:sz w:val="24"/>
          <w:szCs w:val="24"/>
        </w:rPr>
      </w:pPr>
    </w:p>
    <w:p w14:paraId="602871B7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0.</w:t>
      </w:r>
      <w:r w:rsidRPr="00325490">
        <w:rPr>
          <w:b/>
          <w:sz w:val="24"/>
          <w:szCs w:val="24"/>
        </w:rPr>
        <w:tab/>
        <w:t>D.SP.NR.</w:t>
      </w:r>
    </w:p>
    <w:p w14:paraId="0A9F5220" w14:textId="62CD8960" w:rsidR="009260DE" w:rsidRPr="00325490" w:rsidRDefault="00F41DF7" w:rsidP="009260DE">
      <w:pPr>
        <w:tabs>
          <w:tab w:val="left" w:pos="851"/>
        </w:tabs>
        <w:ind w:left="851"/>
        <w:rPr>
          <w:sz w:val="24"/>
          <w:szCs w:val="24"/>
        </w:rPr>
      </w:pPr>
      <w:r w:rsidRPr="00325490">
        <w:rPr>
          <w:sz w:val="24"/>
          <w:szCs w:val="24"/>
        </w:rPr>
        <w:t>34374</w:t>
      </w:r>
    </w:p>
    <w:p w14:paraId="1D1E4488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D37E402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1.</w:t>
      </w:r>
      <w:r w:rsidRPr="00325490">
        <w:rPr>
          <w:b/>
          <w:sz w:val="24"/>
          <w:szCs w:val="24"/>
        </w:rPr>
        <w:tab/>
        <w:t>LÆGEMIDLETS NAVN</w:t>
      </w:r>
    </w:p>
    <w:p w14:paraId="5432E8F5" w14:textId="57143A01" w:rsidR="009260DE" w:rsidRPr="00325490" w:rsidRDefault="00F41DF7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"Demo S.A."</w:t>
      </w:r>
    </w:p>
    <w:p w14:paraId="401FDCBD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164216B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2.</w:t>
      </w:r>
      <w:r w:rsidRPr="00325490">
        <w:rPr>
          <w:b/>
          <w:sz w:val="24"/>
          <w:szCs w:val="24"/>
        </w:rPr>
        <w:tab/>
        <w:t>KVALITATIV OG KVANTITATIV SAMMENSÆTNING</w:t>
      </w:r>
    </w:p>
    <w:p w14:paraId="3F129D5A" w14:textId="77777777" w:rsidR="006420CF" w:rsidRPr="00325490" w:rsidRDefault="006420CF" w:rsidP="006420CF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Hvert hætteglas indeholder 200 mg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svarende til mindst 200.000 IE. </w:t>
      </w:r>
    </w:p>
    <w:p w14:paraId="482B6168" w14:textId="77777777" w:rsidR="006420CF" w:rsidRPr="00325490" w:rsidRDefault="006420CF" w:rsidP="006420CF">
      <w:pPr>
        <w:ind w:left="851"/>
        <w:rPr>
          <w:strike/>
          <w:sz w:val="24"/>
          <w:szCs w:val="24"/>
        </w:rPr>
      </w:pPr>
      <w:r w:rsidRPr="00325490">
        <w:rPr>
          <w:sz w:val="24"/>
          <w:szCs w:val="24"/>
        </w:rPr>
        <w:t xml:space="preserve">Efter </w:t>
      </w:r>
      <w:proofErr w:type="spellStart"/>
      <w:r w:rsidRPr="00325490">
        <w:rPr>
          <w:sz w:val="24"/>
          <w:szCs w:val="24"/>
        </w:rPr>
        <w:t>rekonstitution</w:t>
      </w:r>
      <w:proofErr w:type="spellEnd"/>
      <w:r w:rsidRPr="00325490">
        <w:rPr>
          <w:sz w:val="24"/>
          <w:szCs w:val="24"/>
        </w:rPr>
        <w:t xml:space="preserve"> indeholder opløsningen 200 mg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i 3 ml.</w:t>
      </w:r>
    </w:p>
    <w:p w14:paraId="4344B935" w14:textId="77777777" w:rsidR="006420CF" w:rsidRPr="00325490" w:rsidRDefault="006420CF" w:rsidP="006420CF">
      <w:pPr>
        <w:ind w:left="851"/>
        <w:rPr>
          <w:sz w:val="24"/>
          <w:szCs w:val="24"/>
        </w:rPr>
      </w:pPr>
    </w:p>
    <w:p w14:paraId="3E820BB5" w14:textId="77777777" w:rsidR="006420CF" w:rsidRPr="00325490" w:rsidRDefault="006420CF" w:rsidP="006420CF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Hvert hætteglas indeholder 400 mg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svarende til mindst 400.000 IE. </w:t>
      </w:r>
    </w:p>
    <w:p w14:paraId="1E07F659" w14:textId="77777777" w:rsidR="006420CF" w:rsidRPr="00325490" w:rsidRDefault="006420CF" w:rsidP="006420CF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Efter </w:t>
      </w:r>
      <w:proofErr w:type="spellStart"/>
      <w:r w:rsidRPr="00325490">
        <w:rPr>
          <w:sz w:val="24"/>
          <w:szCs w:val="24"/>
        </w:rPr>
        <w:t>rekonstitution</w:t>
      </w:r>
      <w:proofErr w:type="spellEnd"/>
      <w:r w:rsidRPr="00325490">
        <w:rPr>
          <w:sz w:val="24"/>
          <w:szCs w:val="24"/>
        </w:rPr>
        <w:t xml:space="preserve"> indeholder opløsningen 400 mg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i 3 ml. </w:t>
      </w:r>
    </w:p>
    <w:p w14:paraId="328274C6" w14:textId="77777777" w:rsidR="006420CF" w:rsidRPr="00325490" w:rsidRDefault="006420CF" w:rsidP="006420CF">
      <w:pPr>
        <w:ind w:left="851"/>
        <w:rPr>
          <w:sz w:val="24"/>
          <w:szCs w:val="24"/>
        </w:rPr>
      </w:pPr>
    </w:p>
    <w:p w14:paraId="51C68B7F" w14:textId="77777777" w:rsidR="006420CF" w:rsidRPr="00325490" w:rsidRDefault="006420CF" w:rsidP="006420CF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Hjælpestof(fer), som behandleren skal være opmærksom på</w:t>
      </w:r>
    </w:p>
    <w:p w14:paraId="48E2707C" w14:textId="77777777" w:rsidR="006420CF" w:rsidRPr="00325490" w:rsidRDefault="006420CF" w:rsidP="006420CF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Alle hjælpestoffer er anført under pkt. 6.1.</w:t>
      </w:r>
    </w:p>
    <w:p w14:paraId="7DBD825C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A3EFE3A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3.</w:t>
      </w:r>
      <w:r w:rsidRPr="00325490">
        <w:rPr>
          <w:b/>
          <w:sz w:val="24"/>
          <w:szCs w:val="24"/>
        </w:rPr>
        <w:tab/>
        <w:t>LÆGEMIDDELFORM</w:t>
      </w:r>
    </w:p>
    <w:p w14:paraId="467EA656" w14:textId="052F9E8D" w:rsidR="006420CF" w:rsidRPr="00325490" w:rsidRDefault="006420CF" w:rsidP="006420CF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Pulver og solvens til injektions-/infusionsvæske, opløsning</w:t>
      </w:r>
    </w:p>
    <w:p w14:paraId="03C01BB8" w14:textId="77777777" w:rsidR="006420CF" w:rsidRPr="00325490" w:rsidRDefault="006420CF" w:rsidP="006420CF">
      <w:pPr>
        <w:ind w:left="851"/>
        <w:rPr>
          <w:sz w:val="24"/>
          <w:szCs w:val="24"/>
        </w:rPr>
      </w:pPr>
    </w:p>
    <w:p w14:paraId="7BF41996" w14:textId="77777777" w:rsidR="006420CF" w:rsidRPr="00325490" w:rsidRDefault="006420CF" w:rsidP="006420CF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Pulver: hvidt til råhvidt frysetørret pulver.</w:t>
      </w:r>
    </w:p>
    <w:p w14:paraId="5E869516" w14:textId="77777777" w:rsidR="006420CF" w:rsidRPr="00325490" w:rsidRDefault="006420CF" w:rsidP="006420CF">
      <w:pPr>
        <w:ind w:left="851"/>
        <w:rPr>
          <w:sz w:val="24"/>
          <w:szCs w:val="24"/>
        </w:rPr>
      </w:pPr>
    </w:p>
    <w:p w14:paraId="6C126819" w14:textId="77777777" w:rsidR="006420CF" w:rsidRPr="00325490" w:rsidRDefault="006420CF" w:rsidP="006420CF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Solvens: klar, farveløs opløsning.</w:t>
      </w:r>
    </w:p>
    <w:p w14:paraId="17909D3F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1ED2905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24B61F6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</w:t>
      </w:r>
      <w:r w:rsidRPr="00325490">
        <w:rPr>
          <w:b/>
          <w:sz w:val="24"/>
          <w:szCs w:val="24"/>
        </w:rPr>
        <w:tab/>
        <w:t>KLINISKE OPLYSNINGER</w:t>
      </w:r>
    </w:p>
    <w:p w14:paraId="40F9D63C" w14:textId="77777777" w:rsidR="009260DE" w:rsidRPr="00325490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4B9C9AA8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325490">
        <w:rPr>
          <w:b/>
          <w:sz w:val="24"/>
          <w:szCs w:val="24"/>
        </w:rPr>
        <w:t>4.1</w:t>
      </w:r>
      <w:r w:rsidRPr="00325490">
        <w:rPr>
          <w:b/>
          <w:sz w:val="24"/>
          <w:szCs w:val="24"/>
        </w:rPr>
        <w:tab/>
        <w:t>Terapeutiske indikationer</w:t>
      </w:r>
    </w:p>
    <w:p w14:paraId="10698A81" w14:textId="32B5FC54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</w:t>
      </w:r>
      <w:r w:rsidR="00CC1F5E">
        <w:rPr>
          <w:sz w:val="24"/>
          <w:szCs w:val="24"/>
        </w:rPr>
        <w:t>"Demo S.A."</w:t>
      </w:r>
      <w:r w:rsidRPr="00325490">
        <w:rPr>
          <w:sz w:val="24"/>
          <w:szCs w:val="24"/>
        </w:rPr>
        <w:t xml:space="preserve"> er indiceret til parenteral behandling af følgende infektioner hos voksne og børn fra fødslen (se pkt. 4.2, 4.4 og 5.1):</w:t>
      </w:r>
    </w:p>
    <w:p w14:paraId="3BF33D85" w14:textId="77777777" w:rsidR="006420CF" w:rsidRPr="00325490" w:rsidRDefault="006420CF" w:rsidP="00325490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r w:rsidRPr="00325490">
        <w:rPr>
          <w:sz w:val="24"/>
          <w:szCs w:val="24"/>
        </w:rPr>
        <w:t>Kompliceret hud- og bløddelsinfektion.</w:t>
      </w:r>
    </w:p>
    <w:p w14:paraId="7D8BFC2B" w14:textId="77777777" w:rsidR="006420CF" w:rsidRPr="00325490" w:rsidRDefault="006420CF" w:rsidP="00325490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r w:rsidRPr="00325490">
        <w:rPr>
          <w:sz w:val="24"/>
          <w:szCs w:val="24"/>
        </w:rPr>
        <w:t xml:space="preserve">Knogle- og </w:t>
      </w:r>
      <w:proofErr w:type="spellStart"/>
      <w:r w:rsidRPr="00325490">
        <w:rPr>
          <w:sz w:val="24"/>
          <w:szCs w:val="24"/>
        </w:rPr>
        <w:t>ledinfektion</w:t>
      </w:r>
      <w:proofErr w:type="spellEnd"/>
      <w:r w:rsidRPr="00325490">
        <w:rPr>
          <w:sz w:val="24"/>
          <w:szCs w:val="24"/>
        </w:rPr>
        <w:t>.</w:t>
      </w:r>
    </w:p>
    <w:p w14:paraId="7E55EA30" w14:textId="77777777" w:rsidR="006420CF" w:rsidRPr="00325490" w:rsidRDefault="006420CF" w:rsidP="00325490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r w:rsidRPr="00325490">
        <w:rPr>
          <w:sz w:val="24"/>
          <w:szCs w:val="24"/>
        </w:rPr>
        <w:t>Hospitalserhvervet pneumoni.</w:t>
      </w:r>
    </w:p>
    <w:p w14:paraId="41063B48" w14:textId="77777777" w:rsidR="006420CF" w:rsidRPr="00325490" w:rsidRDefault="006420CF" w:rsidP="00325490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r w:rsidRPr="00325490">
        <w:rPr>
          <w:sz w:val="24"/>
          <w:szCs w:val="24"/>
        </w:rPr>
        <w:t>Samfundserhvervet pneumoni.</w:t>
      </w:r>
    </w:p>
    <w:p w14:paraId="271D1F23" w14:textId="77777777" w:rsidR="006420CF" w:rsidRPr="00325490" w:rsidRDefault="006420CF" w:rsidP="00325490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r w:rsidRPr="00325490">
        <w:rPr>
          <w:sz w:val="24"/>
          <w:szCs w:val="24"/>
        </w:rPr>
        <w:t>Kompliceret urinvejsinfektion.</w:t>
      </w:r>
    </w:p>
    <w:p w14:paraId="23403D5C" w14:textId="77777777" w:rsidR="006420CF" w:rsidRPr="00325490" w:rsidRDefault="006420CF" w:rsidP="00325490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r w:rsidRPr="00325490">
        <w:rPr>
          <w:sz w:val="24"/>
          <w:szCs w:val="24"/>
        </w:rPr>
        <w:t xml:space="preserve">Infektiøs </w:t>
      </w:r>
      <w:proofErr w:type="spellStart"/>
      <w:r w:rsidRPr="00325490">
        <w:rPr>
          <w:sz w:val="24"/>
          <w:szCs w:val="24"/>
        </w:rPr>
        <w:t>endokarditis</w:t>
      </w:r>
      <w:proofErr w:type="spellEnd"/>
      <w:r w:rsidRPr="00325490">
        <w:rPr>
          <w:sz w:val="24"/>
          <w:szCs w:val="24"/>
        </w:rPr>
        <w:t>.</w:t>
      </w:r>
    </w:p>
    <w:p w14:paraId="0BCCF77E" w14:textId="77777777" w:rsidR="00701F28" w:rsidRPr="00701F28" w:rsidRDefault="006420CF" w:rsidP="00701F28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proofErr w:type="spellStart"/>
      <w:r w:rsidRPr="00701F28">
        <w:rPr>
          <w:sz w:val="24"/>
          <w:szCs w:val="24"/>
        </w:rPr>
        <w:lastRenderedPageBreak/>
        <w:t>Peritonitis</w:t>
      </w:r>
      <w:proofErr w:type="spellEnd"/>
      <w:r w:rsidRPr="00701F28">
        <w:rPr>
          <w:sz w:val="24"/>
          <w:szCs w:val="24"/>
        </w:rPr>
        <w:t xml:space="preserve"> i forbindelse med kontinuerlig ambulant </w:t>
      </w:r>
      <w:proofErr w:type="spellStart"/>
      <w:r w:rsidRPr="00701F28">
        <w:rPr>
          <w:sz w:val="24"/>
          <w:szCs w:val="24"/>
        </w:rPr>
        <w:t>peritonealdialyse</w:t>
      </w:r>
      <w:proofErr w:type="spellEnd"/>
      <w:r w:rsidRPr="00701F28">
        <w:rPr>
          <w:sz w:val="24"/>
          <w:szCs w:val="24"/>
        </w:rPr>
        <w:t xml:space="preserve"> (CAPD).</w:t>
      </w:r>
    </w:p>
    <w:p w14:paraId="3ADDB3CF" w14:textId="3288EB99" w:rsidR="006420CF" w:rsidRPr="00701F28" w:rsidRDefault="00701F28" w:rsidP="00701F28">
      <w:pPr>
        <w:pStyle w:val="Listeafsnit"/>
        <w:numPr>
          <w:ilvl w:val="0"/>
          <w:numId w:val="11"/>
        </w:numPr>
        <w:ind w:left="1276" w:hanging="425"/>
        <w:rPr>
          <w:sz w:val="24"/>
          <w:szCs w:val="24"/>
        </w:rPr>
      </w:pPr>
      <w:proofErr w:type="spellStart"/>
      <w:r w:rsidRPr="00701F28">
        <w:rPr>
          <w:sz w:val="24"/>
          <w:szCs w:val="24"/>
        </w:rPr>
        <w:t>Bakteriæmi</w:t>
      </w:r>
      <w:proofErr w:type="spellEnd"/>
      <w:r w:rsidRPr="00701F28">
        <w:rPr>
          <w:sz w:val="24"/>
          <w:szCs w:val="24"/>
        </w:rPr>
        <w:t xml:space="preserve"> der forekommer i forbindelse med enhver af ovennævnte indikationer.</w:t>
      </w:r>
    </w:p>
    <w:p w14:paraId="085A91DF" w14:textId="77777777" w:rsidR="00701F28" w:rsidRPr="00701F28" w:rsidRDefault="00701F28" w:rsidP="00701F28">
      <w:pPr>
        <w:ind w:left="851"/>
        <w:rPr>
          <w:sz w:val="24"/>
          <w:szCs w:val="24"/>
        </w:rPr>
      </w:pPr>
    </w:p>
    <w:p w14:paraId="2B8BF028" w14:textId="6654E9DB" w:rsidR="00701F28" w:rsidRPr="00701F28" w:rsidRDefault="00701F28" w:rsidP="00701F28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701F28">
        <w:rPr>
          <w:rFonts w:ascii="Times New Roman" w:hAnsi="Times New Roman"/>
          <w:sz w:val="24"/>
          <w:szCs w:val="24"/>
        </w:rPr>
        <w:t>Teicoplanin</w:t>
      </w:r>
      <w:proofErr w:type="spellEnd"/>
      <w:r w:rsidRPr="00701F28">
        <w:rPr>
          <w:rFonts w:ascii="Times New Roman" w:hAnsi="Times New Roman"/>
          <w:sz w:val="24"/>
          <w:szCs w:val="24"/>
        </w:rPr>
        <w:t xml:space="preserve"> </w:t>
      </w:r>
      <w:r w:rsidR="00CC1F5E">
        <w:rPr>
          <w:rFonts w:ascii="Times New Roman" w:hAnsi="Times New Roman"/>
          <w:sz w:val="24"/>
          <w:szCs w:val="24"/>
        </w:rPr>
        <w:t>"Demo S.A."</w:t>
      </w:r>
      <w:r w:rsidRPr="00701F28">
        <w:rPr>
          <w:rFonts w:ascii="Times New Roman" w:hAnsi="Times New Roman"/>
          <w:sz w:val="24"/>
          <w:szCs w:val="24"/>
        </w:rPr>
        <w:t xml:space="preserve"> er også indiceret som alternativ oral behandling af </w:t>
      </w:r>
      <w:r w:rsidRPr="00701F28">
        <w:rPr>
          <w:rStyle w:val="Bodytext2Italic"/>
          <w:rFonts w:ascii="Times New Roman" w:hAnsi="Times New Roman"/>
          <w:sz w:val="24"/>
          <w:szCs w:val="24"/>
        </w:rPr>
        <w:t>Clostridioides difficile</w:t>
      </w:r>
      <w:r w:rsidRPr="00701F28">
        <w:rPr>
          <w:rFonts w:ascii="Times New Roman" w:hAnsi="Times New Roman"/>
          <w:sz w:val="24"/>
          <w:szCs w:val="24"/>
        </w:rPr>
        <w:t>-infektion i forbindelse med diarré og colitis.</w:t>
      </w:r>
    </w:p>
    <w:p w14:paraId="6F4296F4" w14:textId="77777777" w:rsidR="006420CF" w:rsidRPr="00701F28" w:rsidRDefault="006420CF" w:rsidP="00701F28">
      <w:pPr>
        <w:ind w:left="851"/>
        <w:rPr>
          <w:sz w:val="24"/>
          <w:szCs w:val="24"/>
        </w:rPr>
      </w:pPr>
    </w:p>
    <w:p w14:paraId="68A5F391" w14:textId="77777777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bør, hvor det er relevant, administreres i kombination med andre antibakterielle midler.</w:t>
      </w:r>
    </w:p>
    <w:p w14:paraId="417DF54A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1837FC24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Behandlingen skal ske under hensyntagen til de officielle retningslinjer for hensigtsmæssig anvendelse af antibakterielle midler.</w:t>
      </w:r>
    </w:p>
    <w:p w14:paraId="7E4A1786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B757D5E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4.2</w:t>
      </w:r>
      <w:r w:rsidRPr="00325490">
        <w:rPr>
          <w:b/>
          <w:sz w:val="24"/>
          <w:szCs w:val="24"/>
        </w:rPr>
        <w:tab/>
        <w:t xml:space="preserve">Dosering og </w:t>
      </w:r>
      <w:r w:rsidR="002C1EC0" w:rsidRPr="00325490">
        <w:rPr>
          <w:b/>
          <w:sz w:val="24"/>
          <w:szCs w:val="24"/>
        </w:rPr>
        <w:t>administration</w:t>
      </w:r>
    </w:p>
    <w:p w14:paraId="01631AA9" w14:textId="77777777" w:rsidR="00325490" w:rsidRPr="00325490" w:rsidRDefault="00325490" w:rsidP="00CB3906">
      <w:pPr>
        <w:ind w:left="851"/>
        <w:rPr>
          <w:rStyle w:val="Heading3NotBold"/>
          <w:rFonts w:ascii="Times New Roman" w:hAnsi="Times New Roman" w:cs="Times New Roman"/>
          <w:b w:val="0"/>
          <w:sz w:val="24"/>
          <w:szCs w:val="24"/>
        </w:rPr>
      </w:pPr>
    </w:p>
    <w:p w14:paraId="14CDC4FA" w14:textId="1374C2D5" w:rsidR="006420CF" w:rsidRPr="00325490" w:rsidRDefault="006420CF" w:rsidP="00CB3906">
      <w:pPr>
        <w:ind w:left="851"/>
        <w:rPr>
          <w:b/>
          <w:sz w:val="24"/>
          <w:szCs w:val="24"/>
        </w:rPr>
      </w:pPr>
      <w:r w:rsidRPr="00325490">
        <w:rPr>
          <w:rStyle w:val="Heading3NotBold"/>
          <w:rFonts w:ascii="Times New Roman" w:hAnsi="Times New Roman" w:cs="Times New Roman"/>
          <w:b w:val="0"/>
          <w:sz w:val="24"/>
          <w:szCs w:val="24"/>
        </w:rPr>
        <w:t>Dosering</w:t>
      </w:r>
    </w:p>
    <w:p w14:paraId="350A62CB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Dosis og behandlingsvarighed skal justeres i overensstemmelse med infektionens type og sværhedsgrad, patientens kliniske respons samt patientfaktorer såsom alder og nyrefunktion.</w:t>
      </w:r>
    </w:p>
    <w:p w14:paraId="6A7CD385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51CB83FC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Måling af serumkoncentration</w:t>
      </w:r>
    </w:p>
    <w:p w14:paraId="4DA3B8C6" w14:textId="77777777" w:rsidR="00701F28" w:rsidRPr="00701F28" w:rsidRDefault="00701F28" w:rsidP="00701F28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701F28">
        <w:rPr>
          <w:rFonts w:ascii="Times New Roman" w:hAnsi="Times New Roman"/>
          <w:sz w:val="24"/>
          <w:szCs w:val="24"/>
        </w:rPr>
        <w:t>Dalværdien for serum-</w:t>
      </w:r>
      <w:proofErr w:type="spellStart"/>
      <w:r w:rsidRPr="00701F28">
        <w:rPr>
          <w:rFonts w:ascii="Times New Roman" w:hAnsi="Times New Roman"/>
          <w:sz w:val="24"/>
          <w:szCs w:val="24"/>
        </w:rPr>
        <w:t>teicoplanin</w:t>
      </w:r>
      <w:proofErr w:type="spellEnd"/>
      <w:r w:rsidRPr="00701F28">
        <w:rPr>
          <w:rFonts w:ascii="Times New Roman" w:hAnsi="Times New Roman"/>
          <w:sz w:val="24"/>
          <w:szCs w:val="24"/>
        </w:rPr>
        <w:t xml:space="preserve"> skal monitoreres ved </w:t>
      </w:r>
      <w:proofErr w:type="spellStart"/>
      <w:r w:rsidRPr="00701F28">
        <w:rPr>
          <w:rFonts w:ascii="Times New Roman" w:hAnsi="Times New Roman"/>
          <w:i/>
          <w:iCs/>
          <w:sz w:val="24"/>
          <w:szCs w:val="24"/>
        </w:rPr>
        <w:t>steady</w:t>
      </w:r>
      <w:proofErr w:type="spellEnd"/>
      <w:r w:rsidRPr="00701F2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01F28">
        <w:rPr>
          <w:rFonts w:ascii="Times New Roman" w:hAnsi="Times New Roman"/>
          <w:i/>
          <w:iCs/>
          <w:sz w:val="24"/>
          <w:szCs w:val="24"/>
        </w:rPr>
        <w:t>state</w:t>
      </w:r>
      <w:proofErr w:type="spellEnd"/>
      <w:r w:rsidRPr="00701F28">
        <w:rPr>
          <w:rFonts w:ascii="Times New Roman" w:hAnsi="Times New Roman"/>
          <w:sz w:val="24"/>
          <w:szCs w:val="24"/>
        </w:rPr>
        <w:t xml:space="preserve"> efter afslutning af støddosisregimet for at sikre, at den nødvendige minimumskoncentration er opnået.</w:t>
      </w:r>
    </w:p>
    <w:p w14:paraId="36EE58E3" w14:textId="594CB487" w:rsidR="006420CF" w:rsidRPr="00325490" w:rsidRDefault="006420CF" w:rsidP="00325490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r w:rsidRPr="00325490">
        <w:rPr>
          <w:sz w:val="24"/>
          <w:szCs w:val="24"/>
        </w:rPr>
        <w:t xml:space="preserve">Ved de fleste grampositive infektioner </w:t>
      </w:r>
      <w:r w:rsidR="00D006FC">
        <w:rPr>
          <w:sz w:val="24"/>
          <w:szCs w:val="24"/>
        </w:rPr>
        <w:t>er</w:t>
      </w:r>
      <w:r w:rsidRPr="00325490">
        <w:rPr>
          <w:sz w:val="24"/>
          <w:szCs w:val="24"/>
        </w:rPr>
        <w:t xml:space="preserve"> dalkoncentrationen af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mindst 10 mg/l, når den måles ved højtryksvæskekromatografi (HPLC), eller mindst 15 mg/l, når den måles ved fluorescenspolarisationsanalyse (FPIA).</w:t>
      </w:r>
    </w:p>
    <w:p w14:paraId="70D4BFBF" w14:textId="19C36ED8" w:rsidR="006420CF" w:rsidRPr="00325490" w:rsidRDefault="006420CF" w:rsidP="00325490">
      <w:pPr>
        <w:pStyle w:val="Listeafsnit"/>
        <w:numPr>
          <w:ilvl w:val="0"/>
          <w:numId w:val="12"/>
        </w:numPr>
        <w:ind w:left="1276" w:hanging="425"/>
        <w:rPr>
          <w:sz w:val="24"/>
          <w:szCs w:val="24"/>
        </w:rPr>
      </w:pPr>
      <w:r w:rsidRPr="00325490">
        <w:rPr>
          <w:sz w:val="24"/>
          <w:szCs w:val="24"/>
        </w:rPr>
        <w:t xml:space="preserve">Ved </w:t>
      </w:r>
      <w:proofErr w:type="spellStart"/>
      <w:r w:rsidRPr="00325490">
        <w:rPr>
          <w:sz w:val="24"/>
          <w:szCs w:val="24"/>
        </w:rPr>
        <w:t>endokarditis</w:t>
      </w:r>
      <w:proofErr w:type="spellEnd"/>
      <w:r w:rsidRPr="00325490">
        <w:rPr>
          <w:sz w:val="24"/>
          <w:szCs w:val="24"/>
        </w:rPr>
        <w:t xml:space="preserve"> og andre alvorlige infektioner </w:t>
      </w:r>
      <w:r w:rsidR="00D006FC">
        <w:rPr>
          <w:sz w:val="24"/>
          <w:szCs w:val="24"/>
        </w:rPr>
        <w:t>er</w:t>
      </w:r>
      <w:r w:rsidRPr="00325490">
        <w:rPr>
          <w:sz w:val="24"/>
          <w:szCs w:val="24"/>
        </w:rPr>
        <w:t xml:space="preserve"> dalkoncentrationen af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15</w:t>
      </w:r>
      <w:r w:rsidRPr="00325490">
        <w:rPr>
          <w:sz w:val="24"/>
          <w:szCs w:val="24"/>
        </w:rPr>
        <w:noBreakHyphen/>
        <w:t>30 mg/l, når den måles ved HPLC, eller 30</w:t>
      </w:r>
      <w:r w:rsidRPr="00325490">
        <w:rPr>
          <w:sz w:val="24"/>
          <w:szCs w:val="24"/>
        </w:rPr>
        <w:noBreakHyphen/>
        <w:t>40 mg/l, når den måles ved FPIA.</w:t>
      </w:r>
    </w:p>
    <w:p w14:paraId="2CCD06F0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508FE51A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Under vedligeholdelsesbehandling bør </w:t>
      </w:r>
      <w:proofErr w:type="spellStart"/>
      <w:r w:rsidRPr="00325490">
        <w:rPr>
          <w:sz w:val="24"/>
          <w:szCs w:val="24"/>
        </w:rPr>
        <w:t>teicoplanins</w:t>
      </w:r>
      <w:proofErr w:type="spellEnd"/>
      <w:r w:rsidRPr="00325490">
        <w:rPr>
          <w:sz w:val="24"/>
          <w:szCs w:val="24"/>
        </w:rPr>
        <w:t xml:space="preserve"> dalkoncentration i serum måles mindst én gang ugentligt for at sikre, at koncentrationen er stabil.</w:t>
      </w:r>
    </w:p>
    <w:p w14:paraId="3B54EDF6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4439D633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Voksne og ældre patienter med normal nyrefunktion</w:t>
      </w:r>
    </w:p>
    <w:p w14:paraId="79DB4894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tbl>
      <w:tblPr>
        <w:tblStyle w:val="Tabel-Gitter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608"/>
        <w:gridCol w:w="1608"/>
        <w:gridCol w:w="1851"/>
        <w:gridCol w:w="2037"/>
        <w:gridCol w:w="2524"/>
      </w:tblGrid>
      <w:tr w:rsidR="006420CF" w:rsidRPr="00D006FC" w14:paraId="030CD46D" w14:textId="77777777" w:rsidTr="00D006FC">
        <w:trPr>
          <w:trHeight w:val="20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3EBD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Style w:val="Bodytext2Italic"/>
                <w:rFonts w:ascii="Times New Roman" w:hAnsi="Times New Roman" w:cs="Times New Roman"/>
                <w:sz w:val="22"/>
                <w:szCs w:val="22"/>
              </w:rPr>
              <w:t>Indikationer</w:t>
            </w:r>
          </w:p>
        </w:tc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C4EE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Støddosis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CA6F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Vedligeholdelsesdosis</w:t>
            </w:r>
          </w:p>
        </w:tc>
      </w:tr>
      <w:tr w:rsidR="006420CF" w:rsidRPr="00D006FC" w14:paraId="44637484" w14:textId="77777777" w:rsidTr="00D006FC">
        <w:trPr>
          <w:trHeight w:val="20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3BF" w14:textId="77777777" w:rsidR="006420CF" w:rsidRPr="00D006FC" w:rsidRDefault="006420C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3811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Støddosisregime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BF10" w14:textId="4EE124F0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Mål for dalkoncentrationer på dag 3 til 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AF51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Vedligeholdelsesdosis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7C7C" w14:textId="78447C5E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Mål</w:t>
            </w:r>
            <w:r w:rsidR="00D006FC" w:rsidRPr="00D006FC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 xml:space="preserve"> for </w:t>
            </w:r>
            <w:r w:rsidRPr="00D006FC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dalkoncentrationer under vedligeholdelsesbehandling</w:t>
            </w:r>
          </w:p>
        </w:tc>
      </w:tr>
      <w:tr w:rsidR="006420CF" w:rsidRPr="00D006FC" w14:paraId="09E65D94" w14:textId="77777777" w:rsidTr="00D006FC">
        <w:trPr>
          <w:trHeight w:val="20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321" w14:textId="7AA36725" w:rsidR="006420CF" w:rsidRPr="00D006FC" w:rsidRDefault="006420CF" w:rsidP="006420CF">
            <w:pPr>
              <w:pStyle w:val="Bodytext20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Kompliceret hud- og bløddelsinfektion</w:t>
            </w:r>
            <w:r w:rsidR="00D006FC" w:rsidRPr="00D006FC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</w:p>
          <w:p w14:paraId="7AA57765" w14:textId="77777777" w:rsidR="006420CF" w:rsidRPr="00D006FC" w:rsidRDefault="006420CF">
            <w:pPr>
              <w:pStyle w:val="Bodytext20"/>
              <w:shd w:val="clear" w:color="auto" w:fill="auto"/>
              <w:tabs>
                <w:tab w:val="left" w:pos="12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258CD" w14:textId="77777777" w:rsidR="006420CF" w:rsidRPr="00D006FC" w:rsidRDefault="006420CF" w:rsidP="006420CF">
            <w:pPr>
              <w:pStyle w:val="Bodytext20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Pneumoni</w:t>
            </w:r>
          </w:p>
          <w:p w14:paraId="5E7574BB" w14:textId="77777777" w:rsidR="006420CF" w:rsidRPr="00D006FC" w:rsidRDefault="006420CF">
            <w:pPr>
              <w:pStyle w:val="Bodytext20"/>
              <w:shd w:val="clear" w:color="auto" w:fill="auto"/>
              <w:tabs>
                <w:tab w:val="left" w:pos="130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C15FB" w14:textId="77777777" w:rsidR="006420CF" w:rsidRPr="00D006FC" w:rsidRDefault="006420CF" w:rsidP="006420CF">
            <w:pPr>
              <w:pStyle w:val="Bodytext20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Kompliceret urinvejsinfektion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152C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6 mg/kg legemsvægt administreret intravenøst eller intramuskulært hver 12. time, 3 gange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34C5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&gt; 15 mg/l</w:t>
            </w:r>
            <w:r w:rsidRPr="00D006F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1FBE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6 mg/kg legemsvægt administreret intravenøst eller intramuskulært én gang dagligt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7C04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&gt; 15 mg/l</w:t>
            </w:r>
            <w:r w:rsidRPr="00D006F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 xml:space="preserve"> én gang om ugen</w:t>
            </w:r>
          </w:p>
        </w:tc>
      </w:tr>
      <w:tr w:rsidR="006420CF" w:rsidRPr="00D006FC" w14:paraId="2A73B16E" w14:textId="77777777" w:rsidTr="00D006FC">
        <w:trPr>
          <w:trHeight w:val="20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AC1D" w14:textId="786AA338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 xml:space="preserve">- Knogle- og </w:t>
            </w:r>
            <w:proofErr w:type="spellStart"/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ledinfektion</w:t>
            </w:r>
            <w:r w:rsidR="00D006FC" w:rsidRPr="00D006FC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C676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12 mg/kg legemsvægt administreret intravenøst hver 12. time, 3</w:t>
            </w:r>
            <w:r w:rsidRPr="00D006FC">
              <w:rPr>
                <w:rFonts w:ascii="Times New Roman" w:hAnsi="Times New Roman" w:cs="Times New Roman"/>
                <w:sz w:val="22"/>
                <w:szCs w:val="22"/>
              </w:rPr>
              <w:noBreakHyphen/>
              <w:t>5 gange</w:t>
            </w:r>
          </w:p>
          <w:p w14:paraId="3F859102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8C209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8919D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EC4F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&gt; 20 mg/l</w:t>
            </w:r>
            <w:r w:rsidRPr="00D006F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6CFA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12 mg/kg legemsvægt administreret intravenøst eller intramuskulært én gang dagligt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9F0F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&gt; 20 mg/l</w:t>
            </w:r>
            <w:r w:rsidRPr="00D006F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6420CF" w:rsidRPr="00D006FC" w14:paraId="5C34531F" w14:textId="77777777" w:rsidTr="00D006FC">
        <w:trPr>
          <w:trHeight w:val="20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9E88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 xml:space="preserve">- Infektiøs </w:t>
            </w:r>
            <w:proofErr w:type="spellStart"/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endokarditis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8B85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12 mg/kg legemsvægt administreret intravenøst hver 12. time, 3</w:t>
            </w:r>
            <w:r w:rsidRPr="00D006FC">
              <w:rPr>
                <w:rFonts w:ascii="Times New Roman" w:hAnsi="Times New Roman" w:cs="Times New Roman"/>
                <w:sz w:val="22"/>
                <w:szCs w:val="22"/>
              </w:rPr>
              <w:noBreakHyphen/>
              <w:t>5 gange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2510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D006FC">
              <w:rPr>
                <w:rFonts w:ascii="Times New Roman" w:hAnsi="Times New Roman" w:cs="Times New Roman"/>
                <w:sz w:val="22"/>
                <w:szCs w:val="22"/>
              </w:rPr>
              <w:noBreakHyphen/>
              <w:t>40 mg/l</w:t>
            </w:r>
            <w:r w:rsidRPr="00D006F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B60C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12 mg/kg legemsvægt administreret intravenøst eller intramuskulært én gang dagligt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BF08" w14:textId="77777777" w:rsidR="006420CF" w:rsidRPr="00D006FC" w:rsidRDefault="006420CF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6FC">
              <w:rPr>
                <w:rFonts w:ascii="Times New Roman" w:hAnsi="Times New Roman" w:cs="Times New Roman"/>
                <w:sz w:val="22"/>
                <w:szCs w:val="22"/>
              </w:rPr>
              <w:t>&gt; 30 mg/l</w:t>
            </w:r>
            <w:r w:rsidRPr="00D006F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</w:tbl>
    <w:p w14:paraId="5E65B576" w14:textId="77777777" w:rsidR="006420CF" w:rsidRPr="00325490" w:rsidRDefault="006420CF" w:rsidP="006420CF">
      <w:pPr>
        <w:pStyle w:val="Tablecaption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254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25490">
        <w:rPr>
          <w:rFonts w:ascii="Times New Roman" w:hAnsi="Times New Roman" w:cs="Times New Roman"/>
          <w:sz w:val="24"/>
          <w:szCs w:val="24"/>
        </w:rPr>
        <w:t xml:space="preserve"> Målt ved FPIA</w:t>
      </w:r>
    </w:p>
    <w:p w14:paraId="7EEF58FD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3F35DC0B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Dosis skal justeres efter legemsvægten, uanset patientens vægt.</w:t>
      </w:r>
    </w:p>
    <w:p w14:paraId="10476ED6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1F73BD3E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Behandlingsvarighed</w:t>
      </w:r>
    </w:p>
    <w:p w14:paraId="362FC186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Behandlingsvarigheden skal fastlægges på baggrund af det kliniske respons. Ved infektiøs </w:t>
      </w:r>
      <w:proofErr w:type="spellStart"/>
      <w:r w:rsidRPr="00325490">
        <w:rPr>
          <w:sz w:val="24"/>
          <w:szCs w:val="24"/>
        </w:rPr>
        <w:t>endokarditis</w:t>
      </w:r>
      <w:proofErr w:type="spellEnd"/>
      <w:r w:rsidRPr="00325490">
        <w:rPr>
          <w:sz w:val="24"/>
          <w:szCs w:val="24"/>
        </w:rPr>
        <w:t xml:space="preserve"> anses en minimumsvarighed på 21 dage normalt for passende. Den samlede behandlingsvarighed bør ikke overstige 4 måneder.</w:t>
      </w:r>
    </w:p>
    <w:p w14:paraId="61200EE4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25E8192C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Kombinationsbehandling</w:t>
      </w:r>
    </w:p>
    <w:p w14:paraId="1F65BACA" w14:textId="77777777" w:rsidR="00D006FC" w:rsidRPr="00D006FC" w:rsidRDefault="00D006FC" w:rsidP="00D006FC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D006FC">
        <w:rPr>
          <w:rFonts w:ascii="Times New Roman" w:hAnsi="Times New Roman"/>
          <w:sz w:val="24"/>
          <w:szCs w:val="24"/>
        </w:rPr>
        <w:t>Teicoplanin</w:t>
      </w:r>
      <w:proofErr w:type="spellEnd"/>
      <w:r w:rsidRPr="00D006FC">
        <w:rPr>
          <w:rFonts w:ascii="Times New Roman" w:hAnsi="Times New Roman"/>
          <w:sz w:val="24"/>
          <w:szCs w:val="24"/>
        </w:rPr>
        <w:t xml:space="preserve"> har et begrænset spektrum for antibakteriel aktivitet (grampositiv). </w:t>
      </w:r>
      <w:proofErr w:type="spellStart"/>
      <w:r w:rsidRPr="00D006FC">
        <w:rPr>
          <w:rFonts w:ascii="Times New Roman" w:hAnsi="Times New Roman"/>
          <w:sz w:val="24"/>
          <w:szCs w:val="24"/>
        </w:rPr>
        <w:t>Teicoplanin</w:t>
      </w:r>
      <w:proofErr w:type="spellEnd"/>
      <w:r w:rsidRPr="00D006FC">
        <w:rPr>
          <w:rFonts w:ascii="Times New Roman" w:hAnsi="Times New Roman"/>
          <w:sz w:val="24"/>
          <w:szCs w:val="24"/>
        </w:rPr>
        <w:t xml:space="preserve"> er ikke egnet som monoterapi til behandling af visse infektioner, medmindre </w:t>
      </w:r>
      <w:proofErr w:type="spellStart"/>
      <w:r w:rsidRPr="00D006FC">
        <w:rPr>
          <w:rFonts w:ascii="Times New Roman" w:hAnsi="Times New Roman"/>
          <w:sz w:val="24"/>
          <w:szCs w:val="24"/>
        </w:rPr>
        <w:t>patogenet</w:t>
      </w:r>
      <w:proofErr w:type="spellEnd"/>
      <w:r w:rsidRPr="00D006FC">
        <w:rPr>
          <w:rFonts w:ascii="Times New Roman" w:hAnsi="Times New Roman"/>
          <w:sz w:val="24"/>
          <w:szCs w:val="24"/>
        </w:rPr>
        <w:t xml:space="preserve"> allerede er dokumenteret og kendt for at være følsomt, eller der foreligger en velbegrundet mistanke om, at det(de) mest sandsynlige patogen(er) ville være egnet til behandling med </w:t>
      </w:r>
      <w:proofErr w:type="spellStart"/>
      <w:r w:rsidRPr="00D006FC">
        <w:rPr>
          <w:rFonts w:ascii="Times New Roman" w:hAnsi="Times New Roman"/>
          <w:sz w:val="24"/>
          <w:szCs w:val="24"/>
        </w:rPr>
        <w:t>teicoplanin</w:t>
      </w:r>
      <w:proofErr w:type="spellEnd"/>
      <w:r w:rsidRPr="00D006FC">
        <w:rPr>
          <w:rFonts w:ascii="Times New Roman" w:hAnsi="Times New Roman"/>
          <w:sz w:val="24"/>
          <w:szCs w:val="24"/>
        </w:rPr>
        <w:t>.</w:t>
      </w:r>
    </w:p>
    <w:p w14:paraId="13D67653" w14:textId="77777777" w:rsidR="006420CF" w:rsidRPr="00D006FC" w:rsidRDefault="006420CF" w:rsidP="00D006FC">
      <w:pPr>
        <w:ind w:left="851"/>
        <w:rPr>
          <w:rFonts w:eastAsia="Arial"/>
          <w:sz w:val="24"/>
          <w:szCs w:val="24"/>
        </w:rPr>
      </w:pPr>
    </w:p>
    <w:p w14:paraId="258614E3" w14:textId="77777777" w:rsidR="006420CF" w:rsidRPr="00325490" w:rsidRDefault="006420CF" w:rsidP="00CB3906">
      <w:pPr>
        <w:ind w:left="851"/>
        <w:rPr>
          <w:rStyle w:val="Bodytext6"/>
          <w:rFonts w:ascii="Times New Roman" w:hAnsi="Times New Roman" w:cs="Times New Roman"/>
          <w:iCs w:val="0"/>
          <w:sz w:val="24"/>
          <w:szCs w:val="24"/>
        </w:rPr>
      </w:pPr>
      <w:r w:rsidRPr="00325490">
        <w:rPr>
          <w:rStyle w:val="Bodytext6"/>
          <w:rFonts w:ascii="Times New Roman" w:hAnsi="Times New Roman" w:cs="Times New Roman"/>
          <w:sz w:val="24"/>
          <w:szCs w:val="24"/>
        </w:rPr>
        <w:t xml:space="preserve">Diarré og </w:t>
      </w:r>
      <w:proofErr w:type="spellStart"/>
      <w:r w:rsidRPr="00325490">
        <w:rPr>
          <w:rStyle w:val="Bodytext6"/>
          <w:rFonts w:ascii="Times New Roman" w:hAnsi="Times New Roman" w:cs="Times New Roman"/>
          <w:sz w:val="24"/>
          <w:szCs w:val="24"/>
        </w:rPr>
        <w:t>kolitis</w:t>
      </w:r>
      <w:proofErr w:type="spellEnd"/>
      <w:r w:rsidRPr="00325490">
        <w:rPr>
          <w:rStyle w:val="Bodytext6"/>
          <w:rFonts w:ascii="Times New Roman" w:hAnsi="Times New Roman" w:cs="Times New Roman"/>
          <w:sz w:val="24"/>
          <w:szCs w:val="24"/>
        </w:rPr>
        <w:t xml:space="preserve"> forbundet med </w:t>
      </w:r>
      <w:proofErr w:type="spellStart"/>
      <w:r w:rsidRPr="00325490">
        <w:rPr>
          <w:rStyle w:val="Bodytext6"/>
          <w:rFonts w:ascii="Times New Roman" w:hAnsi="Times New Roman" w:cs="Times New Roman"/>
          <w:sz w:val="24"/>
          <w:szCs w:val="24"/>
        </w:rPr>
        <w:t>Clostridium</w:t>
      </w:r>
      <w:proofErr w:type="spellEnd"/>
      <w:r w:rsidRPr="00325490">
        <w:rPr>
          <w:rStyle w:val="Bodytext6"/>
          <w:rFonts w:ascii="Times New Roman" w:hAnsi="Times New Roman" w:cs="Times New Roman"/>
          <w:sz w:val="24"/>
          <w:szCs w:val="24"/>
        </w:rPr>
        <w:t xml:space="preserve"> difficile-infektion</w:t>
      </w:r>
    </w:p>
    <w:p w14:paraId="23DC0DED" w14:textId="77777777" w:rsidR="006420CF" w:rsidRPr="00325490" w:rsidRDefault="006420CF" w:rsidP="00CB3906">
      <w:pPr>
        <w:ind w:left="851"/>
        <w:rPr>
          <w:rFonts w:eastAsiaTheme="minorHAnsi"/>
          <w:sz w:val="24"/>
          <w:szCs w:val="24"/>
        </w:rPr>
      </w:pPr>
      <w:r w:rsidRPr="00325490">
        <w:rPr>
          <w:sz w:val="24"/>
          <w:szCs w:val="24"/>
        </w:rPr>
        <w:t>Den anbefalede dosis er 100</w:t>
      </w:r>
      <w:r w:rsidRPr="00325490">
        <w:rPr>
          <w:sz w:val="24"/>
          <w:szCs w:val="24"/>
        </w:rPr>
        <w:noBreakHyphen/>
        <w:t>200 mg administreret oralt to gange dagligt i 7 til 14 dage.</w:t>
      </w:r>
    </w:p>
    <w:p w14:paraId="4C0EFF2F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76608FDA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Ældre patienter</w:t>
      </w:r>
    </w:p>
    <w:p w14:paraId="717B9FF8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Dosisjustering er ikke nødvendig, medmindre patienten har nedsat nyrefunktion (se nedenfor).</w:t>
      </w:r>
    </w:p>
    <w:p w14:paraId="2EB4DE03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6BB5E8BC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Voksne og ældre patienter med nedsat nyrefunktion</w:t>
      </w:r>
    </w:p>
    <w:p w14:paraId="11FF2288" w14:textId="77777777" w:rsidR="00D006FC" w:rsidRPr="00D006FC" w:rsidRDefault="00D006FC" w:rsidP="00B811B7">
      <w:pPr>
        <w:pStyle w:val="Bodytext20"/>
        <w:shd w:val="clear" w:color="auto" w:fill="auto"/>
        <w:spacing w:before="0" w:after="0" w:line="240" w:lineRule="auto"/>
        <w:ind w:left="851" w:right="18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06FC">
        <w:rPr>
          <w:rFonts w:ascii="Times New Roman" w:hAnsi="Times New Roman"/>
          <w:sz w:val="24"/>
          <w:szCs w:val="24"/>
        </w:rPr>
        <w:t>Dosisjustering er ikke nødvendig før den fjerde behandlingsdag, på hvilket tidspunkt doseringen bør justeres for at opretholde en dalkoncentration i serum på mindst 10 mg/l målt ved HPLC eller mindst 15 mg/l målt ved FPIA.</w:t>
      </w:r>
    </w:p>
    <w:p w14:paraId="03DC86F1" w14:textId="77777777" w:rsidR="00D006FC" w:rsidRPr="00D006FC" w:rsidRDefault="00D006FC" w:rsidP="00B811B7">
      <w:pPr>
        <w:pStyle w:val="Bodytext20"/>
        <w:shd w:val="clear" w:color="auto" w:fill="auto"/>
        <w:spacing w:before="0" w:after="0" w:line="240" w:lineRule="auto"/>
        <w:ind w:left="851" w:right="1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E317343" w14:textId="77777777" w:rsidR="00D006FC" w:rsidRPr="00D006FC" w:rsidRDefault="00D006FC" w:rsidP="00B811B7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D006FC">
        <w:rPr>
          <w:rFonts w:ascii="Times New Roman" w:hAnsi="Times New Roman"/>
          <w:sz w:val="24"/>
          <w:szCs w:val="24"/>
        </w:rPr>
        <w:t>Efter den fjerde behandlingsdag:</w:t>
      </w:r>
    </w:p>
    <w:p w14:paraId="0A1FB586" w14:textId="77777777" w:rsidR="00D006FC" w:rsidRPr="00D006FC" w:rsidRDefault="00D006FC" w:rsidP="00B811B7">
      <w:pPr>
        <w:pStyle w:val="Bodytext20"/>
        <w:numPr>
          <w:ilvl w:val="0"/>
          <w:numId w:val="18"/>
        </w:numPr>
        <w:shd w:val="clear" w:color="auto" w:fill="auto"/>
        <w:spacing w:before="0"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D006FC">
        <w:rPr>
          <w:rFonts w:ascii="Times New Roman" w:hAnsi="Times New Roman"/>
          <w:sz w:val="24"/>
          <w:szCs w:val="24"/>
        </w:rPr>
        <w:t>Ved let til moderat nedsat nyrefunktion (</w:t>
      </w:r>
      <w:proofErr w:type="spellStart"/>
      <w:r w:rsidRPr="00D006FC">
        <w:rPr>
          <w:rFonts w:ascii="Times New Roman" w:hAnsi="Times New Roman"/>
          <w:sz w:val="24"/>
          <w:szCs w:val="24"/>
        </w:rPr>
        <w:t>kreatininclearance</w:t>
      </w:r>
      <w:proofErr w:type="spellEnd"/>
      <w:r w:rsidRPr="00D006FC">
        <w:rPr>
          <w:rFonts w:ascii="Times New Roman" w:hAnsi="Times New Roman"/>
          <w:sz w:val="24"/>
          <w:szCs w:val="24"/>
        </w:rPr>
        <w:t xml:space="preserve"> 30</w:t>
      </w:r>
      <w:r w:rsidRPr="00D006FC">
        <w:rPr>
          <w:rFonts w:ascii="Times New Roman" w:hAnsi="Times New Roman"/>
          <w:sz w:val="24"/>
          <w:szCs w:val="24"/>
        </w:rPr>
        <w:noBreakHyphen/>
        <w:t>80 ml/min): vedligeholdelsesdosis bør halveres, enten ved at administrere dosis hver anden dag eller ved at administrere halv dosis én gang dagligt.</w:t>
      </w:r>
    </w:p>
    <w:p w14:paraId="7D838388" w14:textId="77777777" w:rsidR="00D006FC" w:rsidRPr="00D006FC" w:rsidRDefault="00D006FC" w:rsidP="00B811B7">
      <w:pPr>
        <w:pStyle w:val="Bodytext20"/>
        <w:numPr>
          <w:ilvl w:val="0"/>
          <w:numId w:val="18"/>
        </w:numPr>
        <w:shd w:val="clear" w:color="auto" w:fill="auto"/>
        <w:spacing w:before="0" w:after="0" w:line="24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D006FC">
        <w:rPr>
          <w:rFonts w:ascii="Times New Roman" w:hAnsi="Times New Roman"/>
          <w:sz w:val="24"/>
          <w:szCs w:val="24"/>
        </w:rPr>
        <w:t>Ved svært nedsat nyrefunktion (</w:t>
      </w:r>
      <w:proofErr w:type="spellStart"/>
      <w:r w:rsidRPr="00D006FC">
        <w:rPr>
          <w:rFonts w:ascii="Times New Roman" w:hAnsi="Times New Roman"/>
          <w:sz w:val="24"/>
          <w:szCs w:val="24"/>
        </w:rPr>
        <w:t>kreatininclearance</w:t>
      </w:r>
      <w:proofErr w:type="spellEnd"/>
      <w:r w:rsidRPr="00D006FC">
        <w:rPr>
          <w:rFonts w:ascii="Times New Roman" w:hAnsi="Times New Roman"/>
          <w:sz w:val="24"/>
          <w:szCs w:val="24"/>
        </w:rPr>
        <w:t xml:space="preserve"> &lt; 30 ml/min) og til hæmodialysepatienter: dosis bør reduceres til en tredjedel af den sædvanlige dosis, enten ved at administrere initialdosis hver tredje dag eller ved at administrere en tredjedel af dosis én gang dagligt.</w:t>
      </w:r>
    </w:p>
    <w:p w14:paraId="0DDABB39" w14:textId="77777777" w:rsidR="006420CF" w:rsidRPr="00325490" w:rsidRDefault="006420CF" w:rsidP="00325490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fjernes ikke ved hæmodialyse.</w:t>
      </w:r>
    </w:p>
    <w:p w14:paraId="1B4D3534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6F03A9F9" w14:textId="77777777" w:rsidR="00B811B7" w:rsidRPr="00B811B7" w:rsidRDefault="00B811B7" w:rsidP="00CB3906">
      <w:pPr>
        <w:ind w:left="851"/>
        <w:rPr>
          <w:sz w:val="24"/>
          <w:szCs w:val="24"/>
          <w:u w:val="single"/>
        </w:rPr>
      </w:pPr>
      <w:r w:rsidRPr="00B811B7">
        <w:rPr>
          <w:sz w:val="24"/>
          <w:szCs w:val="24"/>
          <w:u w:val="single"/>
        </w:rPr>
        <w:t xml:space="preserve">Patienter i kontinuerlig ambulant </w:t>
      </w:r>
      <w:proofErr w:type="spellStart"/>
      <w:r w:rsidRPr="00B811B7">
        <w:rPr>
          <w:sz w:val="24"/>
          <w:szCs w:val="24"/>
          <w:u w:val="single"/>
        </w:rPr>
        <w:t>peritonealdialyse</w:t>
      </w:r>
      <w:proofErr w:type="spellEnd"/>
      <w:r w:rsidRPr="00B811B7">
        <w:rPr>
          <w:sz w:val="24"/>
          <w:szCs w:val="24"/>
          <w:u w:val="single"/>
        </w:rPr>
        <w:t xml:space="preserve"> (CAPD)</w:t>
      </w:r>
    </w:p>
    <w:p w14:paraId="7847FC13" w14:textId="7DB04994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Efter en enkelt intravenøs støddosis på 6 mg/kg legemsvægt administreres 20 mg/l i posen med dialysevæske i den første uge, 20 mg/l i hver anden pose i den anden uge og 20 mg/l i natposen i den tredje uge.</w:t>
      </w:r>
    </w:p>
    <w:p w14:paraId="7C9E5B36" w14:textId="60EC6AA6" w:rsidR="00CC1F5E" w:rsidRDefault="00CC1F5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C44D00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621E1FA0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Pædiatrisk population</w:t>
      </w:r>
    </w:p>
    <w:p w14:paraId="38B02474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Dosisanbefalingerne er de samme for voksne og for børn over 12 år.</w:t>
      </w:r>
    </w:p>
    <w:p w14:paraId="58733C1F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57D66420" w14:textId="41969846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rStyle w:val="Bodytext6"/>
          <w:rFonts w:ascii="Times New Roman" w:hAnsi="Times New Roman" w:cs="Times New Roman"/>
          <w:sz w:val="24"/>
          <w:szCs w:val="24"/>
        </w:rPr>
        <w:t>Nyfødte og spædbørn op til</w:t>
      </w:r>
      <w:r w:rsidRPr="00325490">
        <w:rPr>
          <w:rStyle w:val="Bodytext6NotItalic"/>
          <w:rFonts w:ascii="Times New Roman" w:hAnsi="Times New Roman" w:cs="Times New Roman"/>
          <w:sz w:val="24"/>
          <w:szCs w:val="24"/>
        </w:rPr>
        <w:t xml:space="preserve"> 2 måneders </w:t>
      </w:r>
      <w:r w:rsidRPr="00325490">
        <w:rPr>
          <w:rStyle w:val="Bodytext6"/>
          <w:rFonts w:ascii="Times New Roman" w:hAnsi="Times New Roman" w:cs="Times New Roman"/>
          <w:sz w:val="24"/>
          <w:szCs w:val="24"/>
        </w:rPr>
        <w:t>alder</w:t>
      </w:r>
      <w:r w:rsidR="00B811B7">
        <w:rPr>
          <w:rStyle w:val="Bodytext6"/>
          <w:rFonts w:ascii="Times New Roman" w:hAnsi="Times New Roman" w:cs="Times New Roman"/>
          <w:sz w:val="24"/>
          <w:szCs w:val="24"/>
        </w:rPr>
        <w:t>en</w:t>
      </w:r>
      <w:r w:rsidRPr="00325490">
        <w:rPr>
          <w:sz w:val="24"/>
          <w:szCs w:val="24"/>
        </w:rPr>
        <w:t>:</w:t>
      </w:r>
    </w:p>
    <w:p w14:paraId="56CC0AEC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i/>
          <w:sz w:val="24"/>
          <w:szCs w:val="24"/>
        </w:rPr>
        <w:t>Støddosis</w:t>
      </w:r>
    </w:p>
    <w:p w14:paraId="6CCBDDC4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En enkeltdosis på 16 mg/kg legemsvægt administreret intravenøst ved infusion den første dag.</w:t>
      </w:r>
    </w:p>
    <w:p w14:paraId="6407A6D4" w14:textId="77777777" w:rsidR="006420CF" w:rsidRPr="00325490" w:rsidRDefault="006420CF" w:rsidP="00CB3906">
      <w:pPr>
        <w:ind w:left="851"/>
        <w:rPr>
          <w:i/>
          <w:sz w:val="24"/>
          <w:szCs w:val="24"/>
        </w:rPr>
      </w:pPr>
    </w:p>
    <w:p w14:paraId="14981252" w14:textId="77777777" w:rsidR="006420CF" w:rsidRPr="00325490" w:rsidRDefault="006420CF" w:rsidP="00CB3906">
      <w:pPr>
        <w:ind w:left="851"/>
        <w:rPr>
          <w:i/>
          <w:sz w:val="24"/>
          <w:szCs w:val="24"/>
        </w:rPr>
      </w:pPr>
      <w:r w:rsidRPr="00325490">
        <w:rPr>
          <w:i/>
          <w:sz w:val="24"/>
          <w:szCs w:val="24"/>
        </w:rPr>
        <w:t>Vedligeholdelsesdosis</w:t>
      </w:r>
    </w:p>
    <w:p w14:paraId="29039E92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En enkeltdosis på 8 mg/kg legemsvægt administreret intravenøst ved infusion én gang dagligt.</w:t>
      </w:r>
    </w:p>
    <w:p w14:paraId="0AE70528" w14:textId="77777777" w:rsidR="006420CF" w:rsidRPr="00325490" w:rsidRDefault="006420CF" w:rsidP="00CB3906">
      <w:pPr>
        <w:ind w:left="851"/>
        <w:rPr>
          <w:rStyle w:val="Bodytext6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BD9942" w14:textId="77777777" w:rsidR="006420CF" w:rsidRPr="00325490" w:rsidRDefault="006420CF" w:rsidP="00CB3906">
      <w:pPr>
        <w:ind w:left="851"/>
        <w:rPr>
          <w:rFonts w:eastAsiaTheme="minorHAnsi"/>
          <w:sz w:val="24"/>
          <w:szCs w:val="24"/>
        </w:rPr>
      </w:pPr>
      <w:r w:rsidRPr="00325490">
        <w:rPr>
          <w:rStyle w:val="Bodytext6"/>
          <w:rFonts w:ascii="Times New Roman" w:hAnsi="Times New Roman" w:cs="Times New Roman"/>
          <w:sz w:val="24"/>
          <w:szCs w:val="24"/>
        </w:rPr>
        <w:t>Børn (2 måneder til 12 år)</w:t>
      </w:r>
      <w:r w:rsidRPr="00325490">
        <w:rPr>
          <w:sz w:val="24"/>
          <w:szCs w:val="24"/>
        </w:rPr>
        <w:t>:</w:t>
      </w:r>
    </w:p>
    <w:p w14:paraId="13AD6EFE" w14:textId="77777777" w:rsidR="006420CF" w:rsidRPr="00325490" w:rsidRDefault="006420CF" w:rsidP="00CB3906">
      <w:pPr>
        <w:ind w:left="851"/>
        <w:rPr>
          <w:i/>
          <w:sz w:val="24"/>
          <w:szCs w:val="24"/>
        </w:rPr>
      </w:pPr>
      <w:r w:rsidRPr="00325490">
        <w:rPr>
          <w:i/>
          <w:sz w:val="24"/>
          <w:szCs w:val="24"/>
        </w:rPr>
        <w:t>Støddosis</w:t>
      </w:r>
    </w:p>
    <w:p w14:paraId="7F87BCF8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En enkeltdosis på 10 mg/kg legemsvægt administreret intravenøst hver 12. time, 3 gange.</w:t>
      </w:r>
    </w:p>
    <w:p w14:paraId="156966DD" w14:textId="77777777" w:rsidR="006420CF" w:rsidRPr="00325490" w:rsidRDefault="006420CF" w:rsidP="00CB3906">
      <w:pPr>
        <w:ind w:left="851"/>
        <w:rPr>
          <w:i/>
          <w:sz w:val="24"/>
          <w:szCs w:val="24"/>
        </w:rPr>
      </w:pPr>
    </w:p>
    <w:p w14:paraId="079BEE00" w14:textId="77777777" w:rsidR="006420CF" w:rsidRPr="00325490" w:rsidRDefault="006420CF" w:rsidP="00CB3906">
      <w:pPr>
        <w:ind w:left="851"/>
        <w:rPr>
          <w:i/>
          <w:sz w:val="24"/>
          <w:szCs w:val="24"/>
        </w:rPr>
      </w:pPr>
      <w:r w:rsidRPr="00325490">
        <w:rPr>
          <w:i/>
          <w:sz w:val="24"/>
          <w:szCs w:val="24"/>
        </w:rPr>
        <w:t>Vedligeholdelsesdosis</w:t>
      </w:r>
    </w:p>
    <w:p w14:paraId="040634F2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En enkeltdosis på 6</w:t>
      </w:r>
      <w:r w:rsidRPr="00325490">
        <w:rPr>
          <w:sz w:val="24"/>
          <w:szCs w:val="24"/>
        </w:rPr>
        <w:noBreakHyphen/>
        <w:t>10 mg/kg legemsvægt administreret intravenøst én gang dagligt.</w:t>
      </w:r>
    </w:p>
    <w:p w14:paraId="7D29CB34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476578EF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Administration</w:t>
      </w:r>
    </w:p>
    <w:p w14:paraId="1ADD4A29" w14:textId="77777777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skal administreres intravenøst eller intramuskulært. Den intravenøse injektion kan administreres enten som </w:t>
      </w:r>
      <w:proofErr w:type="spellStart"/>
      <w:r w:rsidRPr="00325490">
        <w:rPr>
          <w:sz w:val="24"/>
          <w:szCs w:val="24"/>
        </w:rPr>
        <w:t>bolus</w:t>
      </w:r>
      <w:proofErr w:type="spellEnd"/>
      <w:r w:rsidRPr="00325490">
        <w:rPr>
          <w:sz w:val="24"/>
          <w:szCs w:val="24"/>
        </w:rPr>
        <w:t xml:space="preserve"> over 3</w:t>
      </w:r>
      <w:r w:rsidRPr="00325490">
        <w:rPr>
          <w:sz w:val="24"/>
          <w:szCs w:val="24"/>
        </w:rPr>
        <w:noBreakHyphen/>
        <w:t>5 minutter eller som infusion over 30 minutter.</w:t>
      </w:r>
    </w:p>
    <w:p w14:paraId="3672B87F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6A1CC36A" w14:textId="62682298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Må kun administreres som infusion </w:t>
      </w:r>
      <w:r w:rsidR="00B811B7">
        <w:rPr>
          <w:sz w:val="24"/>
          <w:szCs w:val="24"/>
        </w:rPr>
        <w:t>til</w:t>
      </w:r>
      <w:r w:rsidRPr="00325490">
        <w:rPr>
          <w:sz w:val="24"/>
          <w:szCs w:val="24"/>
        </w:rPr>
        <w:t xml:space="preserve"> nyfødte.</w:t>
      </w:r>
    </w:p>
    <w:p w14:paraId="6C81AD32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45DE4263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Ved diarré og colitis forbundet med </w:t>
      </w:r>
      <w:proofErr w:type="spellStart"/>
      <w:r w:rsidRPr="00325490">
        <w:rPr>
          <w:rStyle w:val="Bodytext2Italic"/>
          <w:rFonts w:ascii="Times New Roman" w:hAnsi="Times New Roman" w:cs="Times New Roman"/>
          <w:sz w:val="24"/>
          <w:szCs w:val="24"/>
        </w:rPr>
        <w:t>Clostridium</w:t>
      </w:r>
      <w:proofErr w:type="spellEnd"/>
      <w:r w:rsidRPr="00325490">
        <w:rPr>
          <w:rStyle w:val="Bodytext2Italic"/>
          <w:rFonts w:ascii="Times New Roman" w:hAnsi="Times New Roman" w:cs="Times New Roman"/>
          <w:sz w:val="24"/>
          <w:szCs w:val="24"/>
        </w:rPr>
        <w:t xml:space="preserve"> difficile</w:t>
      </w:r>
      <w:r w:rsidRPr="00325490">
        <w:rPr>
          <w:sz w:val="24"/>
          <w:szCs w:val="24"/>
        </w:rPr>
        <w:t>-infektion skal oral administration anvendes.</w:t>
      </w:r>
    </w:p>
    <w:p w14:paraId="7AA5A71A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For instruktioner om </w:t>
      </w:r>
      <w:proofErr w:type="spellStart"/>
      <w:r w:rsidRPr="00325490">
        <w:rPr>
          <w:sz w:val="24"/>
          <w:szCs w:val="24"/>
        </w:rPr>
        <w:t>rekonstitution</w:t>
      </w:r>
      <w:proofErr w:type="spellEnd"/>
      <w:r w:rsidRPr="00325490">
        <w:rPr>
          <w:sz w:val="24"/>
          <w:szCs w:val="24"/>
        </w:rPr>
        <w:t xml:space="preserve"> og fortynding af lægemidlet før administration, se pkt. 6.6.</w:t>
      </w:r>
    </w:p>
    <w:p w14:paraId="65C69395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E18A947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4.3</w:t>
      </w:r>
      <w:r w:rsidRPr="00325490">
        <w:rPr>
          <w:b/>
          <w:sz w:val="24"/>
          <w:szCs w:val="24"/>
        </w:rPr>
        <w:tab/>
        <w:t>Kontraindikationer</w:t>
      </w:r>
    </w:p>
    <w:p w14:paraId="7085E1E2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Overfølsomhed over for det aktive stof eller over for et eller flere af hjælpestofferne anført i pkt. 6.1.</w:t>
      </w:r>
    </w:p>
    <w:p w14:paraId="46AEB3F6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73ACB65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4.4</w:t>
      </w:r>
      <w:r w:rsidRPr="00325490">
        <w:rPr>
          <w:b/>
          <w:sz w:val="24"/>
          <w:szCs w:val="24"/>
        </w:rPr>
        <w:tab/>
        <w:t>Særlige advarsler og forsigtighedsregler vedrørende brugen</w:t>
      </w:r>
    </w:p>
    <w:p w14:paraId="65593959" w14:textId="77777777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må ikke administreres </w:t>
      </w:r>
      <w:proofErr w:type="spellStart"/>
      <w:r w:rsidRPr="00325490">
        <w:rPr>
          <w:sz w:val="24"/>
          <w:szCs w:val="24"/>
        </w:rPr>
        <w:t>intraventrikulært</w:t>
      </w:r>
      <w:proofErr w:type="spellEnd"/>
      <w:r w:rsidRPr="00325490">
        <w:rPr>
          <w:sz w:val="24"/>
          <w:szCs w:val="24"/>
        </w:rPr>
        <w:t>.</w:t>
      </w:r>
    </w:p>
    <w:p w14:paraId="2AFA01CC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5423A941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Overfølsomhedsreaktioner</w:t>
      </w:r>
    </w:p>
    <w:p w14:paraId="7720FAA7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Alvorlige, livstruende overfølsomhedsreaktioner – herunder fatale tilfælde – er blevet rapporteret i forbindelse med behandling med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(f.eks. </w:t>
      </w:r>
      <w:proofErr w:type="spellStart"/>
      <w:r w:rsidRPr="00325490">
        <w:rPr>
          <w:sz w:val="24"/>
          <w:szCs w:val="24"/>
        </w:rPr>
        <w:t>anafylaktisk</w:t>
      </w:r>
      <w:proofErr w:type="spellEnd"/>
      <w:r w:rsidRPr="00325490">
        <w:rPr>
          <w:sz w:val="24"/>
          <w:szCs w:val="24"/>
        </w:rPr>
        <w:t xml:space="preserve"> </w:t>
      </w:r>
      <w:proofErr w:type="spellStart"/>
      <w:r w:rsidRPr="00325490">
        <w:rPr>
          <w:sz w:val="24"/>
          <w:szCs w:val="24"/>
        </w:rPr>
        <w:t>shock</w:t>
      </w:r>
      <w:proofErr w:type="spellEnd"/>
      <w:r w:rsidRPr="00325490">
        <w:rPr>
          <w:sz w:val="24"/>
          <w:szCs w:val="24"/>
        </w:rPr>
        <w:t xml:space="preserve">). Ved allergisk reaktion over for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skal behandlingen straks seponeres, og passende akutte foranstaltninger iværksættes.</w:t>
      </w:r>
    </w:p>
    <w:p w14:paraId="473CC2EB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010E7ABB" w14:textId="77777777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skal anvendes med forsigtighed hos patienter med kendt overfølsomhed over for </w:t>
      </w:r>
      <w:proofErr w:type="spellStart"/>
      <w:r w:rsidRPr="00325490">
        <w:rPr>
          <w:sz w:val="24"/>
          <w:szCs w:val="24"/>
        </w:rPr>
        <w:t>vancomycin</w:t>
      </w:r>
      <w:proofErr w:type="spellEnd"/>
      <w:r w:rsidRPr="00325490">
        <w:rPr>
          <w:sz w:val="24"/>
          <w:szCs w:val="24"/>
        </w:rPr>
        <w:t xml:space="preserve">, da krydsreaktioner, herunder fatalt </w:t>
      </w:r>
      <w:proofErr w:type="spellStart"/>
      <w:r w:rsidRPr="00325490">
        <w:rPr>
          <w:sz w:val="24"/>
          <w:szCs w:val="24"/>
        </w:rPr>
        <w:t>anafylaktisk</w:t>
      </w:r>
      <w:proofErr w:type="spellEnd"/>
      <w:r w:rsidRPr="00325490">
        <w:rPr>
          <w:sz w:val="24"/>
          <w:szCs w:val="24"/>
        </w:rPr>
        <w:t xml:space="preserve"> </w:t>
      </w:r>
      <w:proofErr w:type="spellStart"/>
      <w:r w:rsidRPr="00325490">
        <w:rPr>
          <w:sz w:val="24"/>
          <w:szCs w:val="24"/>
        </w:rPr>
        <w:t>shock</w:t>
      </w:r>
      <w:proofErr w:type="spellEnd"/>
      <w:r w:rsidRPr="00325490">
        <w:rPr>
          <w:sz w:val="24"/>
          <w:szCs w:val="24"/>
        </w:rPr>
        <w:t>, kan forekomme.</w:t>
      </w:r>
    </w:p>
    <w:p w14:paraId="238704BE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0DCDB855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En tidligere forekomst af ”red man-syndrom” med </w:t>
      </w:r>
      <w:proofErr w:type="spellStart"/>
      <w:r w:rsidRPr="00325490">
        <w:rPr>
          <w:sz w:val="24"/>
          <w:szCs w:val="24"/>
        </w:rPr>
        <w:t>vancomycin</w:t>
      </w:r>
      <w:proofErr w:type="spellEnd"/>
      <w:r w:rsidRPr="00325490">
        <w:rPr>
          <w:sz w:val="24"/>
          <w:szCs w:val="24"/>
        </w:rPr>
        <w:t xml:space="preserve"> er dog ikke en kontraindikation for anvendelse af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>.</w:t>
      </w:r>
    </w:p>
    <w:p w14:paraId="2825428D" w14:textId="4DCAEC04" w:rsidR="00CC1F5E" w:rsidRDefault="00CC1F5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CD2852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3876D6C1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Infusionsrelaterede reaktioner</w:t>
      </w:r>
    </w:p>
    <w:p w14:paraId="42197CCC" w14:textId="490847F9" w:rsidR="006420CF" w:rsidRPr="00B811B7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I sjældne tilfælde (selv ved første dosis) er red man-syndrom – et kompleks af symptomer såsom kløe, </w:t>
      </w:r>
      <w:proofErr w:type="spellStart"/>
      <w:r w:rsidRPr="00325490">
        <w:rPr>
          <w:sz w:val="24"/>
          <w:szCs w:val="24"/>
        </w:rPr>
        <w:t>urticaria</w:t>
      </w:r>
      <w:proofErr w:type="spellEnd"/>
      <w:r w:rsidRPr="00325490">
        <w:rPr>
          <w:sz w:val="24"/>
          <w:szCs w:val="24"/>
        </w:rPr>
        <w:t xml:space="preserve">, </w:t>
      </w:r>
      <w:proofErr w:type="spellStart"/>
      <w:r w:rsidRPr="00325490">
        <w:rPr>
          <w:sz w:val="24"/>
          <w:szCs w:val="24"/>
        </w:rPr>
        <w:t>erytem</w:t>
      </w:r>
      <w:proofErr w:type="spellEnd"/>
      <w:r w:rsidRPr="00325490">
        <w:rPr>
          <w:sz w:val="24"/>
          <w:szCs w:val="24"/>
        </w:rPr>
        <w:t xml:space="preserve">, </w:t>
      </w:r>
      <w:proofErr w:type="spellStart"/>
      <w:r w:rsidRPr="00325490">
        <w:rPr>
          <w:sz w:val="24"/>
          <w:szCs w:val="24"/>
        </w:rPr>
        <w:t>angioneurotisk</w:t>
      </w:r>
      <w:proofErr w:type="spellEnd"/>
      <w:r w:rsidRPr="00325490">
        <w:rPr>
          <w:sz w:val="24"/>
          <w:szCs w:val="24"/>
        </w:rPr>
        <w:t xml:space="preserve"> ødem, </w:t>
      </w:r>
      <w:proofErr w:type="spellStart"/>
      <w:r w:rsidRPr="00325490">
        <w:rPr>
          <w:sz w:val="24"/>
          <w:szCs w:val="24"/>
        </w:rPr>
        <w:t>takykardi</w:t>
      </w:r>
      <w:proofErr w:type="spellEnd"/>
      <w:r w:rsidRPr="00325490">
        <w:rPr>
          <w:sz w:val="24"/>
          <w:szCs w:val="24"/>
        </w:rPr>
        <w:t xml:space="preserve">, hypotension og dyspnø – </w:t>
      </w:r>
      <w:r w:rsidRPr="00B811B7">
        <w:rPr>
          <w:sz w:val="24"/>
          <w:szCs w:val="24"/>
        </w:rPr>
        <w:t xml:space="preserve">blevet observeret. </w:t>
      </w:r>
      <w:proofErr w:type="spellStart"/>
      <w:r w:rsidRPr="00B811B7">
        <w:rPr>
          <w:sz w:val="24"/>
          <w:szCs w:val="24"/>
        </w:rPr>
        <w:t>Seponering</w:t>
      </w:r>
      <w:proofErr w:type="spellEnd"/>
      <w:r w:rsidRPr="00B811B7">
        <w:rPr>
          <w:sz w:val="24"/>
          <w:szCs w:val="24"/>
        </w:rPr>
        <w:t xml:space="preserve"> eller nedsættelse af infusionshastigheden kan medføre, at disse reaktioner aftager. Risikoen for infusionsrelaterede reaktioner kan reduceres, hvis den daglige dosis ikke gives som </w:t>
      </w:r>
      <w:proofErr w:type="spellStart"/>
      <w:r w:rsidRPr="00B811B7">
        <w:rPr>
          <w:sz w:val="24"/>
          <w:szCs w:val="24"/>
        </w:rPr>
        <w:t>bolusinjektion</w:t>
      </w:r>
      <w:proofErr w:type="spellEnd"/>
      <w:r w:rsidRPr="00B811B7">
        <w:rPr>
          <w:sz w:val="24"/>
          <w:szCs w:val="24"/>
        </w:rPr>
        <w:t xml:space="preserve">, men </w:t>
      </w:r>
      <w:r w:rsidR="00B811B7" w:rsidRPr="00B811B7">
        <w:rPr>
          <w:sz w:val="24"/>
          <w:szCs w:val="24"/>
        </w:rPr>
        <w:t xml:space="preserve">som infusion </w:t>
      </w:r>
      <w:r w:rsidRPr="00B811B7">
        <w:rPr>
          <w:sz w:val="24"/>
          <w:szCs w:val="24"/>
        </w:rPr>
        <w:t>over en periode på 30 minutter.</w:t>
      </w:r>
    </w:p>
    <w:p w14:paraId="66D575A0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260E5AF6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 xml:space="preserve">Alvorlige </w:t>
      </w:r>
      <w:proofErr w:type="spellStart"/>
      <w:r w:rsidRPr="00325490">
        <w:rPr>
          <w:sz w:val="24"/>
          <w:szCs w:val="24"/>
          <w:u w:val="single"/>
        </w:rPr>
        <w:t>bulløse</w:t>
      </w:r>
      <w:proofErr w:type="spellEnd"/>
      <w:r w:rsidRPr="00325490">
        <w:rPr>
          <w:sz w:val="24"/>
          <w:szCs w:val="24"/>
          <w:u w:val="single"/>
        </w:rPr>
        <w:t xml:space="preserve"> reaktioner</w:t>
      </w:r>
    </w:p>
    <w:p w14:paraId="0FC44F0F" w14:textId="0C0A4F5A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Livstruende eller endda fatale </w:t>
      </w:r>
      <w:proofErr w:type="spellStart"/>
      <w:r w:rsidRPr="00325490">
        <w:rPr>
          <w:sz w:val="24"/>
          <w:szCs w:val="24"/>
        </w:rPr>
        <w:t>kutane</w:t>
      </w:r>
      <w:proofErr w:type="spellEnd"/>
      <w:r w:rsidRPr="00325490">
        <w:rPr>
          <w:sz w:val="24"/>
          <w:szCs w:val="24"/>
        </w:rPr>
        <w:t xml:space="preserve"> reaktioner, såsom Stevens</w:t>
      </w:r>
      <w:r w:rsidRPr="00325490">
        <w:rPr>
          <w:sz w:val="24"/>
          <w:szCs w:val="24"/>
        </w:rPr>
        <w:noBreakHyphen/>
        <w:t xml:space="preserve">Johnsons syndrom (SJS) og toksisk </w:t>
      </w:r>
      <w:proofErr w:type="spellStart"/>
      <w:r w:rsidRPr="00325490">
        <w:rPr>
          <w:sz w:val="24"/>
          <w:szCs w:val="24"/>
        </w:rPr>
        <w:t>epidermal</w:t>
      </w:r>
      <w:proofErr w:type="spellEnd"/>
      <w:r w:rsidRPr="00325490">
        <w:rPr>
          <w:sz w:val="24"/>
          <w:szCs w:val="24"/>
        </w:rPr>
        <w:t xml:space="preserve"> </w:t>
      </w:r>
      <w:proofErr w:type="spellStart"/>
      <w:r w:rsidRPr="00325490">
        <w:rPr>
          <w:sz w:val="24"/>
          <w:szCs w:val="24"/>
        </w:rPr>
        <w:t>nekrolyse</w:t>
      </w:r>
      <w:proofErr w:type="spellEnd"/>
      <w:r w:rsidRPr="00325490">
        <w:rPr>
          <w:sz w:val="24"/>
          <w:szCs w:val="24"/>
        </w:rPr>
        <w:t xml:space="preserve"> (TEN) er blevet rapporteret i forbindelse med anvendelse af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>. Ved symptomer eller tegn på SJS eller TEN (f.eks. progre</w:t>
      </w:r>
      <w:r w:rsidR="00A84ABD">
        <w:rPr>
          <w:sz w:val="24"/>
          <w:szCs w:val="24"/>
        </w:rPr>
        <w:t>ssive</w:t>
      </w:r>
      <w:r w:rsidRPr="00325490">
        <w:rPr>
          <w:sz w:val="24"/>
          <w:szCs w:val="24"/>
        </w:rPr>
        <w:t xml:space="preserve"> hududslæt, ofte med blærer eller </w:t>
      </w:r>
      <w:proofErr w:type="spellStart"/>
      <w:r w:rsidRPr="00325490">
        <w:rPr>
          <w:sz w:val="24"/>
          <w:szCs w:val="24"/>
        </w:rPr>
        <w:t>mukosale</w:t>
      </w:r>
      <w:proofErr w:type="spellEnd"/>
      <w:r w:rsidRPr="00325490">
        <w:rPr>
          <w:sz w:val="24"/>
          <w:szCs w:val="24"/>
        </w:rPr>
        <w:t xml:space="preserve"> læsioner), skal behandlingen med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straks seponeres.</w:t>
      </w:r>
    </w:p>
    <w:p w14:paraId="7919B50F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</w:p>
    <w:p w14:paraId="6A43ECA5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Antibakterielt spektrum</w:t>
      </w:r>
    </w:p>
    <w:p w14:paraId="4ADA5ADF" w14:textId="0A0408E9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har et begrænset antibakterielt spektrum (</w:t>
      </w:r>
      <w:proofErr w:type="spellStart"/>
      <w:r w:rsidRPr="00325490">
        <w:rPr>
          <w:i/>
          <w:iCs/>
          <w:sz w:val="24"/>
          <w:szCs w:val="24"/>
        </w:rPr>
        <w:t>Gram</w:t>
      </w:r>
      <w:r w:rsidRPr="00325490">
        <w:rPr>
          <w:i/>
          <w:iCs/>
          <w:sz w:val="24"/>
          <w:szCs w:val="24"/>
        </w:rPr>
        <w:noBreakHyphen/>
        <w:t>positive</w:t>
      </w:r>
      <w:proofErr w:type="spellEnd"/>
      <w:r w:rsidRPr="00325490">
        <w:rPr>
          <w:sz w:val="24"/>
          <w:szCs w:val="24"/>
        </w:rPr>
        <w:t xml:space="preserve">).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er ikke egnet som monoterapi til behandling af visse infektioner, medmindre </w:t>
      </w:r>
      <w:proofErr w:type="spellStart"/>
      <w:r w:rsidRPr="00325490">
        <w:rPr>
          <w:sz w:val="24"/>
          <w:szCs w:val="24"/>
        </w:rPr>
        <w:t>patogenet</w:t>
      </w:r>
      <w:proofErr w:type="spellEnd"/>
      <w:r w:rsidRPr="00325490">
        <w:rPr>
          <w:sz w:val="24"/>
          <w:szCs w:val="24"/>
        </w:rPr>
        <w:t xml:space="preserve"> allerede er dokumenteret og kendt for at være følsomt, eller der foreligger en velbegrundet mistanke om, at det(de) mest sandsynlige patogen(er) er følsomme over for </w:t>
      </w:r>
      <w:r w:rsidR="00A84ABD">
        <w:rPr>
          <w:sz w:val="24"/>
          <w:szCs w:val="24"/>
        </w:rPr>
        <w:t xml:space="preserve">behandling med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>.</w:t>
      </w:r>
    </w:p>
    <w:p w14:paraId="35DCEA30" w14:textId="77777777" w:rsidR="006420CF" w:rsidRPr="00A84ABD" w:rsidRDefault="006420CF" w:rsidP="00A84ABD">
      <w:pPr>
        <w:ind w:left="851"/>
        <w:rPr>
          <w:sz w:val="24"/>
          <w:szCs w:val="24"/>
        </w:rPr>
      </w:pPr>
    </w:p>
    <w:p w14:paraId="4840EE9F" w14:textId="77777777" w:rsidR="00A84ABD" w:rsidRPr="00A84ABD" w:rsidRDefault="00A84ABD" w:rsidP="00A84ABD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A84ABD">
        <w:rPr>
          <w:rFonts w:ascii="Times New Roman" w:hAnsi="Times New Roman"/>
          <w:sz w:val="24"/>
          <w:szCs w:val="24"/>
        </w:rPr>
        <w:t xml:space="preserve">Rationel anvendelse af </w:t>
      </w:r>
      <w:proofErr w:type="spellStart"/>
      <w:r w:rsidRPr="00A84ABD">
        <w:rPr>
          <w:rFonts w:ascii="Times New Roman" w:hAnsi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bør tage hensyn til dets antibakterielle spektrum, sikkerhedsprofilen og egnetheden af antibakteriel standardterapi ved behandling af den enkelte patient. På dette grundlag forventes </w:t>
      </w:r>
      <w:proofErr w:type="spellStart"/>
      <w:r w:rsidRPr="00A84ABD">
        <w:rPr>
          <w:rFonts w:ascii="Times New Roman" w:hAnsi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i de fleste tilfælde at blive anvendt til behandling af alvorlige infektioner hos patienter, hvor antibakteriel standardbehandling anses for at være uegnet.</w:t>
      </w:r>
    </w:p>
    <w:p w14:paraId="64BB6884" w14:textId="77777777" w:rsidR="006420CF" w:rsidRPr="00A84ABD" w:rsidRDefault="006420CF" w:rsidP="00A84ABD">
      <w:pPr>
        <w:ind w:left="851"/>
        <w:rPr>
          <w:sz w:val="24"/>
          <w:szCs w:val="24"/>
          <w:u w:val="single"/>
        </w:rPr>
      </w:pPr>
    </w:p>
    <w:p w14:paraId="04A56B98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proofErr w:type="spellStart"/>
      <w:r w:rsidRPr="00325490">
        <w:rPr>
          <w:sz w:val="24"/>
          <w:szCs w:val="24"/>
          <w:u w:val="single"/>
        </w:rPr>
        <w:t>Trombocytopeni</w:t>
      </w:r>
      <w:proofErr w:type="spellEnd"/>
    </w:p>
    <w:p w14:paraId="591D5F50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Der er rapporteret tilfælde af </w:t>
      </w:r>
      <w:proofErr w:type="spellStart"/>
      <w:r w:rsidRPr="00325490">
        <w:rPr>
          <w:sz w:val="24"/>
          <w:szCs w:val="24"/>
        </w:rPr>
        <w:t>trombocytopeni</w:t>
      </w:r>
      <w:proofErr w:type="spellEnd"/>
      <w:r w:rsidRPr="00325490">
        <w:rPr>
          <w:sz w:val="24"/>
          <w:szCs w:val="24"/>
        </w:rPr>
        <w:t xml:space="preserve"> i forbindelse med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(se pkt. 4.8). Periodisk hæmatologisk monitorering, herunder komplet blodtælling, anbefales under behandlingen.</w:t>
      </w:r>
    </w:p>
    <w:p w14:paraId="2D87696F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</w:p>
    <w:p w14:paraId="3EE48B49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proofErr w:type="spellStart"/>
      <w:r w:rsidRPr="00325490">
        <w:rPr>
          <w:sz w:val="24"/>
          <w:szCs w:val="24"/>
          <w:u w:val="single"/>
        </w:rPr>
        <w:t>Nefrotoksicitet</w:t>
      </w:r>
      <w:proofErr w:type="spellEnd"/>
    </w:p>
    <w:p w14:paraId="16F7A615" w14:textId="77777777" w:rsidR="00A84ABD" w:rsidRPr="00A84ABD" w:rsidRDefault="00A84ABD" w:rsidP="00A84ABD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/>
          <w:sz w:val="24"/>
          <w:szCs w:val="24"/>
          <w:lang w:eastAsia="en-US"/>
        </w:rPr>
      </w:pPr>
      <w:r w:rsidRPr="00A84ABD">
        <w:rPr>
          <w:rFonts w:ascii="Times New Roman" w:hAnsi="Times New Roman"/>
          <w:sz w:val="24"/>
          <w:szCs w:val="24"/>
        </w:rPr>
        <w:t xml:space="preserve">Der er rapporteret </w:t>
      </w:r>
      <w:proofErr w:type="spellStart"/>
      <w:r w:rsidRPr="00A84ABD">
        <w:rPr>
          <w:rFonts w:ascii="Times New Roman" w:hAnsi="Times New Roman"/>
          <w:sz w:val="24"/>
          <w:szCs w:val="24"/>
        </w:rPr>
        <w:t>nefrotoksicitet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og nyresvigt hos patienter behandlet med </w:t>
      </w:r>
      <w:proofErr w:type="spellStart"/>
      <w:r w:rsidRPr="00A84ABD">
        <w:rPr>
          <w:rFonts w:ascii="Times New Roman" w:hAnsi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(se pkt. 4.8). Patienter med nedsat nyrefunktion, der får dosisregime med en høj støddosis af </w:t>
      </w:r>
      <w:proofErr w:type="spellStart"/>
      <w:r w:rsidRPr="00A84ABD">
        <w:rPr>
          <w:rFonts w:ascii="Times New Roman" w:hAnsi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, samt patienter, der behandles med </w:t>
      </w:r>
      <w:proofErr w:type="spellStart"/>
      <w:r w:rsidRPr="00A84ABD">
        <w:rPr>
          <w:rFonts w:ascii="Times New Roman" w:hAnsi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ved kombineret eller sekventiel anvendelse med andre lægemidler med kendt </w:t>
      </w:r>
      <w:proofErr w:type="spellStart"/>
      <w:r w:rsidRPr="00A84ABD">
        <w:rPr>
          <w:rFonts w:ascii="Times New Roman" w:hAnsi="Times New Roman"/>
          <w:sz w:val="24"/>
          <w:szCs w:val="24"/>
        </w:rPr>
        <w:t>nefrotoksisk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potentiale (f.eks. aminoglykosider, </w:t>
      </w:r>
      <w:proofErr w:type="spellStart"/>
      <w:r w:rsidRPr="00A84ABD">
        <w:rPr>
          <w:rFonts w:ascii="Times New Roman" w:hAnsi="Times New Roman"/>
          <w:sz w:val="24"/>
          <w:szCs w:val="24"/>
        </w:rPr>
        <w:t>colistin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4ABD">
        <w:rPr>
          <w:rFonts w:ascii="Times New Roman" w:hAnsi="Times New Roman"/>
          <w:sz w:val="24"/>
          <w:szCs w:val="24"/>
        </w:rPr>
        <w:t>amphotericin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 B, </w:t>
      </w:r>
      <w:proofErr w:type="spellStart"/>
      <w:r w:rsidRPr="00A84ABD">
        <w:rPr>
          <w:rFonts w:ascii="Times New Roman" w:hAnsi="Times New Roman"/>
          <w:sz w:val="24"/>
          <w:szCs w:val="24"/>
        </w:rPr>
        <w:t>ciclosporin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A84ABD">
        <w:rPr>
          <w:rFonts w:ascii="Times New Roman" w:hAnsi="Times New Roman"/>
          <w:sz w:val="24"/>
          <w:szCs w:val="24"/>
        </w:rPr>
        <w:t>cisplatin</w:t>
      </w:r>
      <w:proofErr w:type="spellEnd"/>
      <w:r w:rsidRPr="00A84ABD">
        <w:rPr>
          <w:rFonts w:ascii="Times New Roman" w:hAnsi="Times New Roman"/>
          <w:sz w:val="24"/>
          <w:szCs w:val="24"/>
        </w:rPr>
        <w:t>), skal monitoreres nøje og have udført auditive test (se ”</w:t>
      </w:r>
      <w:proofErr w:type="spellStart"/>
      <w:r w:rsidRPr="00A84ABD">
        <w:rPr>
          <w:rFonts w:ascii="Times New Roman" w:hAnsi="Times New Roman"/>
          <w:sz w:val="24"/>
          <w:szCs w:val="24"/>
        </w:rPr>
        <w:t>Ototoksicitet</w:t>
      </w:r>
      <w:proofErr w:type="spellEnd"/>
      <w:r w:rsidRPr="00A84ABD">
        <w:rPr>
          <w:rFonts w:ascii="Times New Roman" w:hAnsi="Times New Roman"/>
          <w:sz w:val="24"/>
          <w:szCs w:val="24"/>
        </w:rPr>
        <w:t>” nedenfor).</w:t>
      </w:r>
    </w:p>
    <w:p w14:paraId="4A5850C7" w14:textId="77777777" w:rsidR="006420CF" w:rsidRPr="00A84ABD" w:rsidRDefault="006420CF" w:rsidP="00A84ABD">
      <w:pPr>
        <w:ind w:left="851"/>
        <w:rPr>
          <w:sz w:val="24"/>
          <w:szCs w:val="24"/>
        </w:rPr>
      </w:pPr>
    </w:p>
    <w:p w14:paraId="391FB637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Da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primært udskilles via nyrerne, skal dosen justeres hos patienter med nedsat nyrefunktion (se pkt. 4.2).</w:t>
      </w:r>
    </w:p>
    <w:p w14:paraId="109E203E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</w:p>
    <w:p w14:paraId="1D47B036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proofErr w:type="spellStart"/>
      <w:r w:rsidRPr="00325490">
        <w:rPr>
          <w:sz w:val="24"/>
          <w:szCs w:val="24"/>
          <w:u w:val="single"/>
        </w:rPr>
        <w:t>Ototoksicitet</w:t>
      </w:r>
      <w:proofErr w:type="spellEnd"/>
    </w:p>
    <w:p w14:paraId="071697BA" w14:textId="77777777" w:rsidR="00A84ABD" w:rsidRDefault="00A84ABD" w:rsidP="00A84ABD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A84ABD">
        <w:rPr>
          <w:rFonts w:ascii="Times New Roman" w:hAnsi="Times New Roman"/>
          <w:sz w:val="24"/>
          <w:szCs w:val="24"/>
        </w:rPr>
        <w:t xml:space="preserve">Som med andre </w:t>
      </w:r>
      <w:proofErr w:type="spellStart"/>
      <w:r w:rsidRPr="00A84ABD">
        <w:rPr>
          <w:rFonts w:ascii="Times New Roman" w:hAnsi="Times New Roman"/>
          <w:sz w:val="24"/>
          <w:szCs w:val="24"/>
        </w:rPr>
        <w:t>glykopeptider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er </w:t>
      </w:r>
      <w:proofErr w:type="spellStart"/>
      <w:r w:rsidRPr="00A84ABD">
        <w:rPr>
          <w:rFonts w:ascii="Times New Roman" w:hAnsi="Times New Roman"/>
          <w:sz w:val="24"/>
          <w:szCs w:val="24"/>
        </w:rPr>
        <w:t>ototoksicitet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(døvhed og tinnitus) blevet rapporteret hos patienter behandlet med </w:t>
      </w:r>
      <w:proofErr w:type="spellStart"/>
      <w:r w:rsidRPr="00A84ABD">
        <w:rPr>
          <w:rFonts w:ascii="Times New Roman" w:hAnsi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(se pkt. 4.8). Patienter, der udvikler tegn eller symptomer på hørenedsættelse eller lidelser i det indre øre under behandling med </w:t>
      </w:r>
      <w:proofErr w:type="spellStart"/>
      <w:r w:rsidRPr="00A84ABD">
        <w:rPr>
          <w:rFonts w:ascii="Times New Roman" w:hAnsi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, bør evalueres omhyggeligt og monitoreres, især ved langvarig behandling eller samtidig nyreinsufficiens. Patienter, der får </w:t>
      </w:r>
      <w:proofErr w:type="spellStart"/>
      <w:r w:rsidRPr="00A84ABD">
        <w:rPr>
          <w:rFonts w:ascii="Times New Roman" w:hAnsi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ved kombineret eller sekventiel anvendelse med </w:t>
      </w:r>
      <w:r w:rsidRPr="00A84ABD">
        <w:rPr>
          <w:rFonts w:ascii="Times New Roman" w:hAnsi="Times New Roman"/>
          <w:sz w:val="24"/>
          <w:szCs w:val="24"/>
        </w:rPr>
        <w:lastRenderedPageBreak/>
        <w:t xml:space="preserve">andre lægemidler med kendt </w:t>
      </w:r>
      <w:proofErr w:type="spellStart"/>
      <w:r w:rsidRPr="00A84ABD">
        <w:rPr>
          <w:rFonts w:ascii="Times New Roman" w:hAnsi="Times New Roman"/>
          <w:sz w:val="24"/>
          <w:szCs w:val="24"/>
        </w:rPr>
        <w:t>nefrotoksisk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og/eller </w:t>
      </w:r>
      <w:proofErr w:type="spellStart"/>
      <w:r w:rsidRPr="00A84ABD">
        <w:rPr>
          <w:rFonts w:ascii="Times New Roman" w:hAnsi="Times New Roman"/>
          <w:sz w:val="24"/>
          <w:szCs w:val="24"/>
        </w:rPr>
        <w:t>neuro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- eller </w:t>
      </w:r>
      <w:proofErr w:type="spellStart"/>
      <w:r w:rsidRPr="00A84ABD">
        <w:rPr>
          <w:rFonts w:ascii="Times New Roman" w:hAnsi="Times New Roman"/>
          <w:sz w:val="24"/>
          <w:szCs w:val="24"/>
        </w:rPr>
        <w:t>ototoksisk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potentiale (f.eks. aminoglykosider, </w:t>
      </w:r>
      <w:proofErr w:type="spellStart"/>
      <w:r w:rsidRPr="00A84ABD">
        <w:rPr>
          <w:rFonts w:ascii="Times New Roman" w:hAnsi="Times New Roman"/>
          <w:sz w:val="24"/>
          <w:szCs w:val="24"/>
        </w:rPr>
        <w:t>colistin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4ABD">
        <w:rPr>
          <w:rFonts w:ascii="Times New Roman" w:hAnsi="Times New Roman"/>
          <w:sz w:val="24"/>
          <w:szCs w:val="24"/>
        </w:rPr>
        <w:t>amphotericin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 B, </w:t>
      </w:r>
      <w:proofErr w:type="spellStart"/>
      <w:r w:rsidRPr="00A84ABD">
        <w:rPr>
          <w:rFonts w:ascii="Times New Roman" w:hAnsi="Times New Roman"/>
          <w:sz w:val="24"/>
          <w:szCs w:val="24"/>
        </w:rPr>
        <w:t>ciclosporin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4ABD">
        <w:rPr>
          <w:rFonts w:ascii="Times New Roman" w:hAnsi="Times New Roman"/>
          <w:sz w:val="24"/>
          <w:szCs w:val="24"/>
        </w:rPr>
        <w:t>cisplatin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4ABD">
        <w:rPr>
          <w:rFonts w:ascii="Times New Roman" w:hAnsi="Times New Roman"/>
          <w:sz w:val="24"/>
          <w:szCs w:val="24"/>
        </w:rPr>
        <w:t>furosemid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A84ABD">
        <w:rPr>
          <w:rFonts w:ascii="Times New Roman" w:hAnsi="Times New Roman"/>
          <w:sz w:val="24"/>
          <w:szCs w:val="24"/>
        </w:rPr>
        <w:t>ethacrynsyre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), skal monitoreres nøje, og fordelen ved </w:t>
      </w:r>
      <w:proofErr w:type="spellStart"/>
      <w:r w:rsidRPr="00A84ABD">
        <w:rPr>
          <w:rFonts w:ascii="Times New Roman" w:hAnsi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/>
          <w:sz w:val="24"/>
          <w:szCs w:val="24"/>
        </w:rPr>
        <w:t xml:space="preserve"> skal evalueres, hvis hørelsen forringes.</w:t>
      </w:r>
    </w:p>
    <w:p w14:paraId="377372E0" w14:textId="19986991" w:rsidR="006420CF" w:rsidRPr="00A84ABD" w:rsidRDefault="006420CF" w:rsidP="00A84ABD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 w:rsidRPr="00A84ABD">
        <w:rPr>
          <w:rFonts w:ascii="Times New Roman" w:hAnsi="Times New Roman" w:cs="Times New Roman"/>
          <w:sz w:val="24"/>
          <w:szCs w:val="24"/>
        </w:rPr>
        <w:t xml:space="preserve">Der skal udvises særlig forsigtighed ved administration af </w:t>
      </w:r>
      <w:proofErr w:type="spellStart"/>
      <w:r w:rsidRPr="00A84ABD">
        <w:rPr>
          <w:rFonts w:ascii="Times New Roman" w:hAnsi="Times New Roman" w:cs="Times New Roman"/>
          <w:sz w:val="24"/>
          <w:szCs w:val="24"/>
        </w:rPr>
        <w:t>teicoplanin</w:t>
      </w:r>
      <w:proofErr w:type="spellEnd"/>
      <w:r w:rsidRPr="00A84ABD">
        <w:rPr>
          <w:rFonts w:ascii="Times New Roman" w:hAnsi="Times New Roman" w:cs="Times New Roman"/>
          <w:sz w:val="24"/>
          <w:szCs w:val="24"/>
        </w:rPr>
        <w:t xml:space="preserve"> til patienter, der samtidig behandles med </w:t>
      </w:r>
      <w:proofErr w:type="spellStart"/>
      <w:r w:rsidRPr="00A84ABD">
        <w:rPr>
          <w:rFonts w:ascii="Times New Roman" w:hAnsi="Times New Roman" w:cs="Times New Roman"/>
          <w:sz w:val="24"/>
          <w:szCs w:val="24"/>
        </w:rPr>
        <w:t>ototoksiske</w:t>
      </w:r>
      <w:proofErr w:type="spellEnd"/>
      <w:r w:rsidRPr="00A84ABD">
        <w:rPr>
          <w:rFonts w:ascii="Times New Roman" w:hAnsi="Times New Roman" w:cs="Times New Roman"/>
          <w:sz w:val="24"/>
          <w:szCs w:val="24"/>
        </w:rPr>
        <w:t xml:space="preserve"> og/eller </w:t>
      </w:r>
      <w:proofErr w:type="spellStart"/>
      <w:r w:rsidRPr="00A84ABD">
        <w:rPr>
          <w:rFonts w:ascii="Times New Roman" w:hAnsi="Times New Roman" w:cs="Times New Roman"/>
          <w:sz w:val="24"/>
          <w:szCs w:val="24"/>
        </w:rPr>
        <w:t>nefrotoksiske</w:t>
      </w:r>
      <w:proofErr w:type="spellEnd"/>
      <w:r w:rsidRPr="00A84ABD">
        <w:rPr>
          <w:rFonts w:ascii="Times New Roman" w:hAnsi="Times New Roman" w:cs="Times New Roman"/>
          <w:sz w:val="24"/>
          <w:szCs w:val="24"/>
        </w:rPr>
        <w:t xml:space="preserve"> lægemidler. Ved samtidig behandling med sådanne lægemidler anbefales regelmæssig monitorering af hæmatologiske parametre samt lever- og nyrefunktion.</w:t>
      </w:r>
    </w:p>
    <w:p w14:paraId="630ABB5D" w14:textId="77777777" w:rsidR="006420CF" w:rsidRPr="00A84ABD" w:rsidRDefault="006420CF" w:rsidP="00CB3906">
      <w:pPr>
        <w:ind w:left="851"/>
        <w:rPr>
          <w:sz w:val="24"/>
          <w:szCs w:val="24"/>
          <w:u w:val="single"/>
        </w:rPr>
      </w:pPr>
    </w:p>
    <w:p w14:paraId="2DC2BD45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Superinfektion</w:t>
      </w:r>
    </w:p>
    <w:p w14:paraId="1AE4E2D5" w14:textId="77777777" w:rsidR="00A84ABD" w:rsidRPr="00A84ABD" w:rsidRDefault="006420CF" w:rsidP="00A84ABD">
      <w:pPr>
        <w:ind w:left="851"/>
        <w:rPr>
          <w:sz w:val="24"/>
          <w:szCs w:val="24"/>
        </w:rPr>
      </w:pPr>
      <w:r w:rsidRPr="00A84ABD">
        <w:rPr>
          <w:sz w:val="24"/>
          <w:szCs w:val="24"/>
        </w:rPr>
        <w:t xml:space="preserve">Som med andre antibiotika kan anvendelsen af </w:t>
      </w:r>
      <w:proofErr w:type="spellStart"/>
      <w:r w:rsidRPr="00A84ABD">
        <w:rPr>
          <w:sz w:val="24"/>
          <w:szCs w:val="24"/>
        </w:rPr>
        <w:t>teicoplanin</w:t>
      </w:r>
      <w:proofErr w:type="spellEnd"/>
      <w:r w:rsidRPr="00A84ABD">
        <w:rPr>
          <w:sz w:val="24"/>
          <w:szCs w:val="24"/>
        </w:rPr>
        <w:t xml:space="preserve"> – især ved langvarig behandling – medføre overvækst af ikke-følsomme organismer. </w:t>
      </w:r>
      <w:r w:rsidR="00A84ABD" w:rsidRPr="00A84ABD">
        <w:rPr>
          <w:sz w:val="24"/>
          <w:szCs w:val="24"/>
        </w:rPr>
        <w:t>Hvis der opstår superinfektion under behandlingen, bør der iværksættes passende foranstaltninger.</w:t>
      </w:r>
    </w:p>
    <w:p w14:paraId="1A7347B9" w14:textId="77777777" w:rsidR="006420CF" w:rsidRPr="00A84ABD" w:rsidRDefault="006420CF" w:rsidP="00A84ABD">
      <w:pPr>
        <w:ind w:left="851"/>
        <w:rPr>
          <w:sz w:val="24"/>
          <w:szCs w:val="24"/>
        </w:rPr>
      </w:pPr>
    </w:p>
    <w:p w14:paraId="5393434C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Dette lægemiddel indeholder mindre end 1 mmol natrium (23 mg) pr. dosis, dvs. det er i det væsentlige natriumfrit.</w:t>
      </w:r>
    </w:p>
    <w:p w14:paraId="5454D23E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5127E52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4.5</w:t>
      </w:r>
      <w:r w:rsidRPr="00325490">
        <w:rPr>
          <w:b/>
          <w:sz w:val="24"/>
          <w:szCs w:val="24"/>
        </w:rPr>
        <w:tab/>
        <w:t>Interaktion med andre lægemidler og andre former for interaktion</w:t>
      </w:r>
    </w:p>
    <w:p w14:paraId="682EE8D4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Der er ikke udført interaktionsstudier.</w:t>
      </w:r>
    </w:p>
    <w:p w14:paraId="6AA6FB02" w14:textId="0AFF4940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- og aminoglykosid-injektionsvæsker er ikke kompatible og må ikke blandes. De er dog kompatible i dialysevæsker og kan </w:t>
      </w:r>
      <w:r w:rsidR="00A84ABD">
        <w:rPr>
          <w:sz w:val="24"/>
          <w:szCs w:val="24"/>
        </w:rPr>
        <w:t xml:space="preserve">frit </w:t>
      </w:r>
      <w:r w:rsidRPr="00325490">
        <w:rPr>
          <w:sz w:val="24"/>
          <w:szCs w:val="24"/>
        </w:rPr>
        <w:t xml:space="preserve">anvendes </w:t>
      </w:r>
      <w:r w:rsidR="00A84ABD">
        <w:rPr>
          <w:sz w:val="24"/>
          <w:szCs w:val="24"/>
        </w:rPr>
        <w:t>i</w:t>
      </w:r>
      <w:r w:rsidRPr="00325490">
        <w:rPr>
          <w:sz w:val="24"/>
          <w:szCs w:val="24"/>
        </w:rPr>
        <w:t xml:space="preserve"> behandling af CAPD-relateret </w:t>
      </w:r>
      <w:proofErr w:type="spellStart"/>
      <w:r w:rsidRPr="00325490">
        <w:rPr>
          <w:sz w:val="24"/>
          <w:szCs w:val="24"/>
        </w:rPr>
        <w:t>peritonitis</w:t>
      </w:r>
      <w:proofErr w:type="spellEnd"/>
      <w:r w:rsidRPr="00325490">
        <w:rPr>
          <w:sz w:val="24"/>
          <w:szCs w:val="24"/>
        </w:rPr>
        <w:t xml:space="preserve">.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skal anvendes med forsigtighed ved kombineret eller sekventiel anvendelse </w:t>
      </w:r>
      <w:r w:rsidR="00A84ABD">
        <w:rPr>
          <w:sz w:val="24"/>
          <w:szCs w:val="24"/>
        </w:rPr>
        <w:t>med</w:t>
      </w:r>
      <w:r w:rsidRPr="00325490">
        <w:rPr>
          <w:sz w:val="24"/>
          <w:szCs w:val="24"/>
        </w:rPr>
        <w:t xml:space="preserve"> andre lægemidler med kendt </w:t>
      </w:r>
      <w:proofErr w:type="spellStart"/>
      <w:r w:rsidRPr="00325490">
        <w:rPr>
          <w:sz w:val="24"/>
          <w:szCs w:val="24"/>
        </w:rPr>
        <w:t>nefrotoksisk</w:t>
      </w:r>
      <w:proofErr w:type="spellEnd"/>
      <w:r w:rsidRPr="00325490">
        <w:rPr>
          <w:sz w:val="24"/>
          <w:szCs w:val="24"/>
        </w:rPr>
        <w:t xml:space="preserve"> og/eller </w:t>
      </w:r>
      <w:proofErr w:type="spellStart"/>
      <w:r w:rsidRPr="00325490">
        <w:rPr>
          <w:sz w:val="24"/>
          <w:szCs w:val="24"/>
        </w:rPr>
        <w:t>neurotoksisk</w:t>
      </w:r>
      <w:proofErr w:type="spellEnd"/>
      <w:r w:rsidRPr="00325490">
        <w:rPr>
          <w:sz w:val="24"/>
          <w:szCs w:val="24"/>
        </w:rPr>
        <w:t>/</w:t>
      </w:r>
      <w:proofErr w:type="spellStart"/>
      <w:r w:rsidRPr="00325490">
        <w:rPr>
          <w:sz w:val="24"/>
          <w:szCs w:val="24"/>
        </w:rPr>
        <w:t>ototoksisk</w:t>
      </w:r>
      <w:proofErr w:type="spellEnd"/>
      <w:r w:rsidRPr="00325490">
        <w:rPr>
          <w:sz w:val="24"/>
          <w:szCs w:val="24"/>
        </w:rPr>
        <w:t xml:space="preserve"> potentiale. Disse omfatter blandt andet. aminoglykosider, </w:t>
      </w:r>
      <w:proofErr w:type="spellStart"/>
      <w:r w:rsidRPr="00325490">
        <w:rPr>
          <w:sz w:val="24"/>
          <w:szCs w:val="24"/>
        </w:rPr>
        <w:t>colistin</w:t>
      </w:r>
      <w:proofErr w:type="spellEnd"/>
      <w:r w:rsidRPr="00325490">
        <w:rPr>
          <w:sz w:val="24"/>
          <w:szCs w:val="24"/>
        </w:rPr>
        <w:t xml:space="preserve">, </w:t>
      </w:r>
      <w:proofErr w:type="spellStart"/>
      <w:r w:rsidRPr="00325490">
        <w:rPr>
          <w:sz w:val="24"/>
          <w:szCs w:val="24"/>
        </w:rPr>
        <w:t>amphotericin</w:t>
      </w:r>
      <w:proofErr w:type="spellEnd"/>
      <w:r w:rsidRPr="00325490">
        <w:rPr>
          <w:sz w:val="24"/>
          <w:szCs w:val="24"/>
        </w:rPr>
        <w:t xml:space="preserve"> B, </w:t>
      </w:r>
      <w:proofErr w:type="spellStart"/>
      <w:r w:rsidRPr="00325490">
        <w:rPr>
          <w:sz w:val="24"/>
          <w:szCs w:val="24"/>
        </w:rPr>
        <w:t>ciclosporin</w:t>
      </w:r>
      <w:proofErr w:type="spellEnd"/>
      <w:r w:rsidRPr="00325490">
        <w:rPr>
          <w:sz w:val="24"/>
          <w:szCs w:val="24"/>
        </w:rPr>
        <w:t xml:space="preserve">, </w:t>
      </w:r>
      <w:proofErr w:type="spellStart"/>
      <w:r w:rsidRPr="00325490">
        <w:rPr>
          <w:sz w:val="24"/>
          <w:szCs w:val="24"/>
        </w:rPr>
        <w:t>cisplatin</w:t>
      </w:r>
      <w:proofErr w:type="spellEnd"/>
      <w:r w:rsidRPr="00325490">
        <w:rPr>
          <w:sz w:val="24"/>
          <w:szCs w:val="24"/>
        </w:rPr>
        <w:t xml:space="preserve">, </w:t>
      </w:r>
      <w:proofErr w:type="spellStart"/>
      <w:r w:rsidRPr="00325490">
        <w:rPr>
          <w:sz w:val="24"/>
          <w:szCs w:val="24"/>
        </w:rPr>
        <w:t>furosemid</w:t>
      </w:r>
      <w:proofErr w:type="spellEnd"/>
      <w:r w:rsidRPr="00325490">
        <w:rPr>
          <w:sz w:val="24"/>
          <w:szCs w:val="24"/>
        </w:rPr>
        <w:t xml:space="preserve"> og </w:t>
      </w:r>
      <w:proofErr w:type="spellStart"/>
      <w:r w:rsidRPr="00325490">
        <w:rPr>
          <w:sz w:val="24"/>
          <w:szCs w:val="24"/>
        </w:rPr>
        <w:t>ethacrynsyre</w:t>
      </w:r>
      <w:proofErr w:type="spellEnd"/>
      <w:r w:rsidRPr="00325490">
        <w:rPr>
          <w:sz w:val="24"/>
          <w:szCs w:val="24"/>
        </w:rPr>
        <w:t xml:space="preserve"> (se pkt. 4.4 ”</w:t>
      </w:r>
      <w:proofErr w:type="spellStart"/>
      <w:r w:rsidRPr="00325490">
        <w:rPr>
          <w:sz w:val="24"/>
          <w:szCs w:val="24"/>
        </w:rPr>
        <w:t>Nefrotoksicitet</w:t>
      </w:r>
      <w:proofErr w:type="spellEnd"/>
      <w:r w:rsidRPr="00325490">
        <w:rPr>
          <w:sz w:val="24"/>
          <w:szCs w:val="24"/>
        </w:rPr>
        <w:t>” og ”</w:t>
      </w:r>
      <w:proofErr w:type="spellStart"/>
      <w:r w:rsidRPr="00325490">
        <w:rPr>
          <w:sz w:val="24"/>
          <w:szCs w:val="24"/>
        </w:rPr>
        <w:t>Ototoksicitet</w:t>
      </w:r>
      <w:proofErr w:type="spellEnd"/>
      <w:r w:rsidRPr="00325490">
        <w:rPr>
          <w:sz w:val="24"/>
          <w:szCs w:val="24"/>
        </w:rPr>
        <w:t xml:space="preserve">”). Der foreligger dog ingen tegn på </w:t>
      </w:r>
      <w:proofErr w:type="spellStart"/>
      <w:r w:rsidRPr="00325490">
        <w:rPr>
          <w:sz w:val="24"/>
          <w:szCs w:val="24"/>
        </w:rPr>
        <w:t>synergistisk</w:t>
      </w:r>
      <w:proofErr w:type="spellEnd"/>
      <w:r w:rsidRPr="00325490">
        <w:rPr>
          <w:sz w:val="24"/>
          <w:szCs w:val="24"/>
        </w:rPr>
        <w:t xml:space="preserve"> toksicitet ved samtidig anvendelse med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>.</w:t>
      </w:r>
    </w:p>
    <w:p w14:paraId="22F86E72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2FB1C26A" w14:textId="5264CEC4" w:rsidR="006420CF" w:rsidRPr="00A84ABD" w:rsidRDefault="006420CF" w:rsidP="00CB3906">
      <w:pPr>
        <w:ind w:left="851"/>
        <w:rPr>
          <w:sz w:val="24"/>
          <w:szCs w:val="24"/>
        </w:rPr>
      </w:pPr>
      <w:r w:rsidRPr="00A84ABD">
        <w:rPr>
          <w:sz w:val="24"/>
          <w:szCs w:val="24"/>
        </w:rPr>
        <w:t xml:space="preserve">I kliniske studier er </w:t>
      </w:r>
      <w:proofErr w:type="spellStart"/>
      <w:r w:rsidRPr="00A84ABD">
        <w:rPr>
          <w:sz w:val="24"/>
          <w:szCs w:val="24"/>
        </w:rPr>
        <w:t>teicoplanin</w:t>
      </w:r>
      <w:proofErr w:type="spellEnd"/>
      <w:r w:rsidRPr="00A84ABD">
        <w:rPr>
          <w:sz w:val="24"/>
          <w:szCs w:val="24"/>
        </w:rPr>
        <w:t xml:space="preserve"> blevet administreret til mange patienter, der samtidig blev behandlet med andre lægemidler – herunder antibiotika, </w:t>
      </w:r>
      <w:proofErr w:type="spellStart"/>
      <w:r w:rsidRPr="00A84ABD">
        <w:rPr>
          <w:sz w:val="24"/>
          <w:szCs w:val="24"/>
        </w:rPr>
        <w:t>antihypertensiva</w:t>
      </w:r>
      <w:proofErr w:type="spellEnd"/>
      <w:r w:rsidRPr="00A84ABD">
        <w:rPr>
          <w:sz w:val="24"/>
          <w:szCs w:val="24"/>
        </w:rPr>
        <w:t xml:space="preserve">, </w:t>
      </w:r>
      <w:proofErr w:type="spellStart"/>
      <w:r w:rsidRPr="00A84ABD">
        <w:rPr>
          <w:sz w:val="24"/>
          <w:szCs w:val="24"/>
        </w:rPr>
        <w:t>anæstetika</w:t>
      </w:r>
      <w:proofErr w:type="spellEnd"/>
      <w:r w:rsidRPr="00A84ABD">
        <w:rPr>
          <w:sz w:val="24"/>
          <w:szCs w:val="24"/>
        </w:rPr>
        <w:t xml:space="preserve">, kardiologiske lægemidler og </w:t>
      </w:r>
      <w:proofErr w:type="spellStart"/>
      <w:r w:rsidRPr="00A84ABD">
        <w:rPr>
          <w:sz w:val="24"/>
          <w:szCs w:val="24"/>
        </w:rPr>
        <w:t>antidiabetika</w:t>
      </w:r>
      <w:proofErr w:type="spellEnd"/>
      <w:r w:rsidRPr="00A84ABD">
        <w:rPr>
          <w:sz w:val="24"/>
          <w:szCs w:val="24"/>
        </w:rPr>
        <w:t xml:space="preserve"> – uden tegn på </w:t>
      </w:r>
      <w:r w:rsidR="00A84ABD" w:rsidRPr="00A84ABD">
        <w:rPr>
          <w:sz w:val="24"/>
          <w:szCs w:val="24"/>
        </w:rPr>
        <w:t>uønsket interaktion.</w:t>
      </w:r>
    </w:p>
    <w:p w14:paraId="517C1C6C" w14:textId="77777777" w:rsidR="006420CF" w:rsidRPr="00A84ABD" w:rsidRDefault="006420CF" w:rsidP="00CB3906">
      <w:pPr>
        <w:ind w:left="851"/>
        <w:rPr>
          <w:sz w:val="24"/>
          <w:szCs w:val="24"/>
          <w:u w:val="single"/>
        </w:rPr>
      </w:pPr>
    </w:p>
    <w:p w14:paraId="215B32C1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Pædiatrisk population</w:t>
      </w:r>
    </w:p>
    <w:p w14:paraId="42B6CF95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</w:rPr>
        <w:t>Der er kun udført interaktionsstudier hos voksne.</w:t>
      </w:r>
    </w:p>
    <w:p w14:paraId="25C0F79B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6E7C69A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4.6</w:t>
      </w:r>
      <w:r w:rsidRPr="00325490">
        <w:rPr>
          <w:b/>
          <w:sz w:val="24"/>
          <w:szCs w:val="24"/>
        </w:rPr>
        <w:tab/>
      </w:r>
      <w:r w:rsidR="0071241E" w:rsidRPr="00325490">
        <w:rPr>
          <w:b/>
          <w:sz w:val="24"/>
          <w:szCs w:val="24"/>
        </w:rPr>
        <w:t>Fertilitet, g</w:t>
      </w:r>
      <w:r w:rsidRPr="00325490">
        <w:rPr>
          <w:b/>
          <w:sz w:val="24"/>
          <w:szCs w:val="24"/>
        </w:rPr>
        <w:t>raviditet og amning</w:t>
      </w:r>
    </w:p>
    <w:p w14:paraId="0E1C072A" w14:textId="77777777" w:rsidR="00325490" w:rsidRDefault="00325490" w:rsidP="00CB3906">
      <w:pPr>
        <w:ind w:left="851"/>
        <w:rPr>
          <w:sz w:val="24"/>
          <w:szCs w:val="24"/>
        </w:rPr>
      </w:pPr>
    </w:p>
    <w:p w14:paraId="7A386CBD" w14:textId="6FEA6470" w:rsidR="006420CF" w:rsidRPr="0014656A" w:rsidRDefault="006420CF" w:rsidP="00CB3906">
      <w:pPr>
        <w:ind w:left="851"/>
        <w:rPr>
          <w:bCs/>
          <w:sz w:val="24"/>
          <w:szCs w:val="24"/>
          <w:u w:val="single"/>
        </w:rPr>
      </w:pPr>
      <w:r w:rsidRPr="0014656A">
        <w:rPr>
          <w:sz w:val="24"/>
          <w:szCs w:val="24"/>
          <w:u w:val="single"/>
        </w:rPr>
        <w:t>Graviditet</w:t>
      </w:r>
    </w:p>
    <w:p w14:paraId="61B0899E" w14:textId="50E0472A" w:rsidR="006420CF" w:rsidRPr="0014656A" w:rsidRDefault="006420CF" w:rsidP="00CB3906">
      <w:pPr>
        <w:ind w:left="851"/>
        <w:rPr>
          <w:sz w:val="24"/>
          <w:szCs w:val="24"/>
        </w:rPr>
      </w:pPr>
      <w:r w:rsidRPr="0014656A">
        <w:rPr>
          <w:sz w:val="24"/>
          <w:szCs w:val="24"/>
        </w:rPr>
        <w:t xml:space="preserve">Der er utilstrækkelige data fra anvendelse af </w:t>
      </w:r>
      <w:proofErr w:type="spellStart"/>
      <w:r w:rsidRPr="0014656A">
        <w:rPr>
          <w:sz w:val="24"/>
          <w:szCs w:val="24"/>
        </w:rPr>
        <w:t>teicoplanin</w:t>
      </w:r>
      <w:proofErr w:type="spellEnd"/>
      <w:r w:rsidRPr="0014656A">
        <w:rPr>
          <w:sz w:val="24"/>
          <w:szCs w:val="24"/>
        </w:rPr>
        <w:t xml:space="preserve"> til gravide kvinder. Dyreforsøg har påvist reproduktionstoksicitet ved høje doser (se pkt. 5.3). Hos rotter er der observeret en øget forekomst af dødfødsler og neonatal mortalitet. </w:t>
      </w:r>
      <w:r w:rsidR="0014656A" w:rsidRPr="0014656A">
        <w:rPr>
          <w:sz w:val="24"/>
          <w:szCs w:val="24"/>
        </w:rPr>
        <w:t xml:space="preserve">Den potentielle risiko </w:t>
      </w:r>
      <w:r w:rsidRPr="0014656A">
        <w:rPr>
          <w:sz w:val="24"/>
          <w:szCs w:val="24"/>
        </w:rPr>
        <w:t>for mennesker er ukendt.</w:t>
      </w:r>
    </w:p>
    <w:p w14:paraId="4C9C4F16" w14:textId="77777777" w:rsidR="006420CF" w:rsidRPr="0014656A" w:rsidRDefault="006420CF" w:rsidP="00CB3906">
      <w:pPr>
        <w:ind w:left="851"/>
        <w:rPr>
          <w:sz w:val="24"/>
          <w:szCs w:val="24"/>
        </w:rPr>
      </w:pPr>
    </w:p>
    <w:p w14:paraId="2392CCEB" w14:textId="77777777" w:rsidR="006420CF" w:rsidRPr="0014656A" w:rsidRDefault="006420CF" w:rsidP="00CB3906">
      <w:pPr>
        <w:ind w:left="851"/>
        <w:rPr>
          <w:sz w:val="24"/>
          <w:szCs w:val="24"/>
        </w:rPr>
      </w:pPr>
      <w:proofErr w:type="spellStart"/>
      <w:r w:rsidRPr="0014656A">
        <w:rPr>
          <w:sz w:val="24"/>
          <w:szCs w:val="24"/>
        </w:rPr>
        <w:t>Teicoplanin</w:t>
      </w:r>
      <w:proofErr w:type="spellEnd"/>
      <w:r w:rsidRPr="0014656A">
        <w:rPr>
          <w:sz w:val="24"/>
          <w:szCs w:val="24"/>
        </w:rPr>
        <w:t xml:space="preserve"> bør derfor ikke anvendes under graviditeten, medmindre det er strengt nødvendigt. En potentiel risiko for skade på fosterets indre øre og nyrer kan ikke udelukkes (se pkt. 4.4).</w:t>
      </w:r>
    </w:p>
    <w:p w14:paraId="51CC299D" w14:textId="77777777" w:rsidR="006420CF" w:rsidRPr="0014656A" w:rsidRDefault="006420CF" w:rsidP="00CB3906">
      <w:pPr>
        <w:ind w:left="851"/>
        <w:rPr>
          <w:sz w:val="24"/>
          <w:szCs w:val="24"/>
        </w:rPr>
      </w:pPr>
    </w:p>
    <w:p w14:paraId="20654880" w14:textId="77777777" w:rsidR="006420CF" w:rsidRPr="0014656A" w:rsidRDefault="006420CF" w:rsidP="00CB3906">
      <w:pPr>
        <w:ind w:left="851"/>
        <w:rPr>
          <w:sz w:val="24"/>
          <w:szCs w:val="24"/>
          <w:u w:val="single"/>
        </w:rPr>
      </w:pPr>
      <w:r w:rsidRPr="0014656A">
        <w:rPr>
          <w:sz w:val="24"/>
          <w:szCs w:val="24"/>
          <w:u w:val="single"/>
        </w:rPr>
        <w:t>Amning</w:t>
      </w:r>
    </w:p>
    <w:p w14:paraId="16B1397E" w14:textId="77777777" w:rsidR="0014656A" w:rsidRPr="0014656A" w:rsidRDefault="0014656A" w:rsidP="0014656A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14656A">
        <w:rPr>
          <w:rFonts w:ascii="Times New Roman" w:hAnsi="Times New Roman"/>
          <w:sz w:val="24"/>
          <w:szCs w:val="24"/>
        </w:rPr>
        <w:t xml:space="preserve">Det er ikke fastlagt, om </w:t>
      </w:r>
      <w:proofErr w:type="spellStart"/>
      <w:r w:rsidRPr="0014656A">
        <w:rPr>
          <w:rFonts w:ascii="Times New Roman" w:hAnsi="Times New Roman"/>
          <w:sz w:val="24"/>
          <w:szCs w:val="24"/>
        </w:rPr>
        <w:t>teicoplanin</w:t>
      </w:r>
      <w:proofErr w:type="spellEnd"/>
      <w:r w:rsidRPr="0014656A">
        <w:rPr>
          <w:rFonts w:ascii="Times New Roman" w:hAnsi="Times New Roman"/>
          <w:sz w:val="24"/>
          <w:szCs w:val="24"/>
        </w:rPr>
        <w:t xml:space="preserve"> udskilles i human mælk. Der foreligger ingen data for udskillelse af </w:t>
      </w:r>
      <w:proofErr w:type="spellStart"/>
      <w:r w:rsidRPr="0014656A">
        <w:rPr>
          <w:rFonts w:ascii="Times New Roman" w:hAnsi="Times New Roman"/>
          <w:sz w:val="24"/>
          <w:szCs w:val="24"/>
        </w:rPr>
        <w:t>teicoplanin</w:t>
      </w:r>
      <w:proofErr w:type="spellEnd"/>
      <w:r w:rsidRPr="0014656A">
        <w:rPr>
          <w:rFonts w:ascii="Times New Roman" w:hAnsi="Times New Roman"/>
          <w:sz w:val="24"/>
          <w:szCs w:val="24"/>
        </w:rPr>
        <w:t xml:space="preserve"> i mælk hos dyr. Det skal besluttes, om amning eller behandling med </w:t>
      </w:r>
      <w:proofErr w:type="spellStart"/>
      <w:r w:rsidRPr="0014656A">
        <w:rPr>
          <w:rFonts w:ascii="Times New Roman" w:hAnsi="Times New Roman"/>
          <w:sz w:val="24"/>
          <w:szCs w:val="24"/>
        </w:rPr>
        <w:t>teicoplanin</w:t>
      </w:r>
      <w:proofErr w:type="spellEnd"/>
      <w:r w:rsidRPr="0014656A">
        <w:rPr>
          <w:rFonts w:ascii="Times New Roman" w:hAnsi="Times New Roman"/>
          <w:sz w:val="24"/>
          <w:szCs w:val="24"/>
        </w:rPr>
        <w:t xml:space="preserve"> skal fortsættes/afbrydes, idet der tages højde for fordelene ved amning for </w:t>
      </w:r>
      <w:r w:rsidRPr="0014656A">
        <w:rPr>
          <w:rFonts w:ascii="Times New Roman" w:hAnsi="Times New Roman"/>
          <w:sz w:val="24"/>
          <w:szCs w:val="24"/>
        </w:rPr>
        <w:lastRenderedPageBreak/>
        <w:t xml:space="preserve">barnet og fordelene ved </w:t>
      </w:r>
      <w:proofErr w:type="spellStart"/>
      <w:r w:rsidRPr="0014656A">
        <w:rPr>
          <w:rFonts w:ascii="Times New Roman" w:hAnsi="Times New Roman"/>
          <w:sz w:val="24"/>
          <w:szCs w:val="24"/>
        </w:rPr>
        <w:t>teicoplanin</w:t>
      </w:r>
      <w:proofErr w:type="spellEnd"/>
      <w:r w:rsidRPr="0014656A">
        <w:rPr>
          <w:rFonts w:ascii="Times New Roman" w:hAnsi="Times New Roman"/>
          <w:sz w:val="24"/>
          <w:szCs w:val="24"/>
        </w:rPr>
        <w:t>-behandling for moderen.</w:t>
      </w:r>
    </w:p>
    <w:p w14:paraId="1FAF43ED" w14:textId="77777777" w:rsidR="006420CF" w:rsidRPr="0014656A" w:rsidRDefault="006420CF" w:rsidP="0014656A">
      <w:pPr>
        <w:ind w:left="851"/>
        <w:rPr>
          <w:sz w:val="24"/>
          <w:szCs w:val="24"/>
        </w:rPr>
      </w:pPr>
    </w:p>
    <w:p w14:paraId="21CD9013" w14:textId="77777777" w:rsidR="006420CF" w:rsidRPr="0014656A" w:rsidRDefault="006420CF" w:rsidP="00CB3906">
      <w:pPr>
        <w:ind w:left="851"/>
        <w:rPr>
          <w:sz w:val="24"/>
          <w:szCs w:val="24"/>
          <w:u w:val="single"/>
        </w:rPr>
      </w:pPr>
      <w:r w:rsidRPr="0014656A">
        <w:rPr>
          <w:sz w:val="24"/>
          <w:szCs w:val="24"/>
          <w:u w:val="single"/>
        </w:rPr>
        <w:t>Fertilitet</w:t>
      </w:r>
    </w:p>
    <w:p w14:paraId="661CEC7C" w14:textId="77777777" w:rsidR="006420CF" w:rsidRPr="0014656A" w:rsidRDefault="006420CF" w:rsidP="00CB3906">
      <w:pPr>
        <w:ind w:left="851"/>
        <w:rPr>
          <w:sz w:val="24"/>
          <w:szCs w:val="24"/>
        </w:rPr>
      </w:pPr>
      <w:r w:rsidRPr="0014656A">
        <w:rPr>
          <w:sz w:val="24"/>
          <w:szCs w:val="24"/>
        </w:rPr>
        <w:t>Reproduktionsstudier hos dyr har ikke vist tegn på nedsat fertilitet.</w:t>
      </w:r>
    </w:p>
    <w:p w14:paraId="05C4182E" w14:textId="77777777" w:rsidR="009260DE" w:rsidRPr="0014656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EE0403A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4.7</w:t>
      </w:r>
      <w:r w:rsidRPr="00325490">
        <w:rPr>
          <w:b/>
          <w:sz w:val="24"/>
          <w:szCs w:val="24"/>
        </w:rPr>
        <w:tab/>
        <w:t xml:space="preserve">Virkning på evnen til at føre motorkøretøj </w:t>
      </w:r>
      <w:r w:rsidR="0071241E" w:rsidRPr="00325490">
        <w:rPr>
          <w:b/>
          <w:sz w:val="24"/>
          <w:szCs w:val="24"/>
        </w:rPr>
        <w:t>og</w:t>
      </w:r>
      <w:r w:rsidRPr="00325490">
        <w:rPr>
          <w:b/>
          <w:sz w:val="24"/>
          <w:szCs w:val="24"/>
        </w:rPr>
        <w:t xml:space="preserve"> betjene maskiner</w:t>
      </w:r>
    </w:p>
    <w:p w14:paraId="2B88B4AC" w14:textId="3687EE98" w:rsidR="00325490" w:rsidRDefault="00325490" w:rsidP="00CB3906">
      <w:pPr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14:paraId="65FA7937" w14:textId="03578BB2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</w:t>
      </w:r>
      <w:r w:rsidR="00CC1F5E">
        <w:rPr>
          <w:sz w:val="24"/>
          <w:szCs w:val="24"/>
        </w:rPr>
        <w:t>"Demo S.A."</w:t>
      </w:r>
      <w:r w:rsidRPr="00325490">
        <w:rPr>
          <w:sz w:val="24"/>
          <w:szCs w:val="24"/>
        </w:rPr>
        <w:t xml:space="preserve"> påvirker i mindre grad evnen til at føre motorkøretøj og betjene maskiner.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kan forårsage svimmelhed og hovedpine. Evnen til at føre motorkøretøj og betjene maskiner kan være påvirket. Patienter, der oplever disse bivirkninger, må ikke føre motorkøretøj eller betjene maskiner.</w:t>
      </w:r>
    </w:p>
    <w:p w14:paraId="6260D7D9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459159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4.8</w:t>
      </w:r>
      <w:r w:rsidRPr="00325490">
        <w:rPr>
          <w:b/>
          <w:sz w:val="24"/>
          <w:szCs w:val="24"/>
        </w:rPr>
        <w:tab/>
        <w:t>Bivirkninger</w:t>
      </w:r>
    </w:p>
    <w:p w14:paraId="7EFA44BF" w14:textId="77777777" w:rsidR="00325490" w:rsidRDefault="00325490" w:rsidP="00CB3906">
      <w:pPr>
        <w:ind w:left="851"/>
        <w:rPr>
          <w:sz w:val="24"/>
          <w:szCs w:val="24"/>
        </w:rPr>
      </w:pPr>
    </w:p>
    <w:p w14:paraId="7D6647B9" w14:textId="17D91B55" w:rsidR="006420CF" w:rsidRPr="00325490" w:rsidRDefault="006420CF" w:rsidP="00CB3906">
      <w:pPr>
        <w:ind w:left="851"/>
        <w:rPr>
          <w:b/>
          <w:bCs/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Bivirkninger opstillet i tabelform</w:t>
      </w:r>
    </w:p>
    <w:p w14:paraId="57DA7460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I tabellen nedenfor er alle bivirkninger, der forekom hyppigere end ved placebo og hos mere end én patient, anført i henhold til følgende konvention:</w:t>
      </w:r>
    </w:p>
    <w:p w14:paraId="72AF5D90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4CA56395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Meget almindelig (≥ 1/10); almindelig (≥ 1/100 til &lt; 1/10); ikke almindelig (≥ 1/1.000 til &lt; 1/100); sjælden (≥ 1/10.000 til &lt; 1/1.000); meget sjælden (&lt; 1/10.000), ikke kendt (kan ikke estimeres ud fra forhåndenværende data).</w:t>
      </w:r>
    </w:p>
    <w:p w14:paraId="7FEA3825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5778EEA8" w14:textId="1FB8C2A5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Inden for hver hyppighedskategori er bivirkningerne anført med faldende </w:t>
      </w:r>
      <w:r w:rsidR="0035385D">
        <w:rPr>
          <w:sz w:val="24"/>
          <w:szCs w:val="24"/>
        </w:rPr>
        <w:t>alvorlighed</w:t>
      </w:r>
      <w:r w:rsidRPr="00325490">
        <w:rPr>
          <w:sz w:val="24"/>
          <w:szCs w:val="24"/>
        </w:rPr>
        <w:t>.</w:t>
      </w:r>
    </w:p>
    <w:p w14:paraId="55688FC0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5"/>
        <w:gridCol w:w="1304"/>
        <w:gridCol w:w="1972"/>
        <w:gridCol w:w="1273"/>
        <w:gridCol w:w="1406"/>
        <w:gridCol w:w="2068"/>
      </w:tblGrid>
      <w:tr w:rsidR="006420CF" w:rsidRPr="0035385D" w14:paraId="4ACCF523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FA818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</w:pPr>
          </w:p>
          <w:p w14:paraId="1BC0776A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Systemorganklasse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1D70E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Almindelig</w:t>
            </w:r>
          </w:p>
          <w:p w14:paraId="5E93FABE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(</w:t>
            </w:r>
            <w:r w:rsidRPr="0035385D">
              <w:rPr>
                <w:rFonts w:ascii="Times New Roman" w:hAnsi="Times New Roman" w:cs="Times New Roman"/>
                <w:b/>
                <w:sz w:val="22"/>
                <w:szCs w:val="22"/>
              </w:rPr>
              <w:t>≥</w:t>
            </w: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 1/100 to &lt; 1/10)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72FE0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Ikke almindelig</w:t>
            </w:r>
          </w:p>
          <w:p w14:paraId="24C490F3" w14:textId="537E15AC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(</w:t>
            </w:r>
            <w:r w:rsidRPr="0035385D">
              <w:rPr>
                <w:rFonts w:ascii="Times New Roman" w:hAnsi="Times New Roman" w:cs="Times New Roman"/>
                <w:b/>
                <w:sz w:val="22"/>
                <w:szCs w:val="22"/>
              </w:rPr>
              <w:t>≥</w:t>
            </w: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1/1.000 til &lt; 1/100)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97566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Sjælden</w:t>
            </w:r>
          </w:p>
          <w:p w14:paraId="34198998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(</w:t>
            </w:r>
            <w:r w:rsidRPr="0035385D">
              <w:rPr>
                <w:rFonts w:ascii="Times New Roman" w:hAnsi="Times New Roman" w:cs="Times New Roman"/>
                <w:b/>
                <w:sz w:val="22"/>
                <w:szCs w:val="22"/>
              </w:rPr>
              <w:t>≥</w:t>
            </w: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1/10.000 til &lt; 1/1.000)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06741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Meget sjælden</w:t>
            </w:r>
          </w:p>
          <w:p w14:paraId="3A461D0D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(&lt; 1 /10.000)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55FE7" w14:textId="038331C4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Ikke kendt</w:t>
            </w:r>
            <w:r w:rsidR="00CB3906"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385D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(kan ikke estimeres ud fra forhåndenværende data)</w:t>
            </w:r>
          </w:p>
        </w:tc>
      </w:tr>
      <w:tr w:rsidR="006420CF" w:rsidRPr="0035385D" w14:paraId="36D7444A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51FD9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Infektioner og parasitære sygdomme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3A364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322F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1FC7C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Absces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FD87F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1437F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Superinfektion (overvækst af ikke-følsomme organismer)</w:t>
            </w:r>
          </w:p>
        </w:tc>
      </w:tr>
      <w:tr w:rsidR="006420CF" w:rsidRPr="0035385D" w14:paraId="56594EAC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3ACF6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Blod og lymfesystem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F50A7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5F71A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Leukopeni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3157184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trombocytopeni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B0C353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eosinofili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100F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DF2D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47F03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Agranulocytose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413982BC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neutropeni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pancytopeni</w:t>
            </w:r>
            <w:proofErr w:type="spellEnd"/>
          </w:p>
        </w:tc>
      </w:tr>
      <w:tr w:rsidR="006420CF" w:rsidRPr="0035385D" w14:paraId="086E485D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BF74C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Immunsystemet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AFE25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B49B9F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Anafylaktisk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reaktion (anafylaksi) (se pkt. 4.4)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2F5DB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EBD42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F59A1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Lægemiddelreaktion med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eosinofili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og systemiske symptomer (DRESS),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anafylaktisk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shock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(se pkt. 4.4)</w:t>
            </w:r>
          </w:p>
        </w:tc>
      </w:tr>
      <w:tr w:rsidR="006420CF" w:rsidRPr="0035385D" w14:paraId="6EC8A951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AC738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Nervesystemet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961FF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14562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Svimmelhed, hovedpine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A0F5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EC779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7392A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Kramper</w:t>
            </w:r>
          </w:p>
        </w:tc>
      </w:tr>
      <w:tr w:rsidR="006420CF" w:rsidRPr="0035385D" w14:paraId="4F07B850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476F2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Øre og labyrint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3F8C1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AF1F5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Døvhed, høretab (se pkt. 4.4), tinnitus,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vestibulær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forstyrrelse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128C9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66655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0B75F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</w:tr>
      <w:tr w:rsidR="006420CF" w:rsidRPr="0035385D" w14:paraId="1F274259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6B831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Vaskulære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sygdomme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5158E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58B5D6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Flebitis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4B6FE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D2FFA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64D7C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Tromboflebitis</w:t>
            </w:r>
            <w:proofErr w:type="spellEnd"/>
          </w:p>
        </w:tc>
      </w:tr>
      <w:tr w:rsidR="006420CF" w:rsidRPr="0035385D" w14:paraId="780D558D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921EE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Luftveje, thorax og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mediastinum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779E3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BA574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Bronkospasme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6F828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E608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79008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</w:tr>
      <w:tr w:rsidR="006420CF" w:rsidRPr="0035385D" w14:paraId="676D9443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4AC7D" w14:textId="5E470E2D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Mave-tarm-</w:t>
            </w:r>
            <w:r w:rsidRPr="003538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kanalen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9EF9B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9EFFD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Diarré, opkastning, </w:t>
            </w:r>
            <w:r w:rsidRPr="003538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kvalme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89F37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E6D0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36745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</w:tr>
      <w:tr w:rsidR="006420CF" w:rsidRPr="0035385D" w14:paraId="3DAE7C9F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DB224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Hud og subkutane væv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080D2E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Udslæt,</w:t>
            </w:r>
          </w:p>
          <w:p w14:paraId="0CEE9287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erytem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777FF57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pruritus</w:t>
            </w:r>
            <w:proofErr w:type="spell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B6C39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3825A" w14:textId="7ED1D865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Red man-syndrom (f.eks. rødme </w:t>
            </w:r>
            <w:r w:rsidR="0035385D" w:rsidRPr="0035385D">
              <w:rPr>
                <w:rFonts w:ascii="Times New Roman" w:hAnsi="Times New Roman" w:cs="Times New Roman"/>
                <w:sz w:val="22"/>
                <w:szCs w:val="22"/>
              </w:rPr>
              <w:t>af</w:t>
            </w: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overkroppen) (se pkt. 4.4)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C80A6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044DC" w14:textId="77777777" w:rsidR="006420CF" w:rsidRPr="0035385D" w:rsidRDefault="006420CF" w:rsidP="00CB3906">
            <w:pPr>
              <w:pStyle w:val="Bodytext20"/>
              <w:shd w:val="clear" w:color="auto" w:fill="auto"/>
              <w:spacing w:before="0" w:after="0" w:line="240" w:lineRule="auto"/>
              <w:ind w:left="122" w:right="10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Toksisk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epidermal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nekrolyse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, Stevens</w:t>
            </w:r>
            <w:r w:rsidRPr="0035385D">
              <w:rPr>
                <w:rFonts w:ascii="Times New Roman" w:hAnsi="Times New Roman" w:cs="Times New Roman"/>
                <w:sz w:val="22"/>
                <w:szCs w:val="22"/>
              </w:rPr>
              <w:noBreakHyphen/>
              <w:t xml:space="preserve">Johnsons syndrom,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erythema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multiforme,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angioødem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eksfoliativ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dermatitis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>urticaria</w:t>
            </w:r>
            <w:proofErr w:type="spellEnd"/>
            <w:r w:rsidRPr="0035385D">
              <w:rPr>
                <w:rFonts w:ascii="Times New Roman" w:hAnsi="Times New Roman" w:cs="Times New Roman"/>
                <w:sz w:val="22"/>
                <w:szCs w:val="22"/>
              </w:rPr>
              <w:t xml:space="preserve"> (se pkt. 4.4)</w:t>
            </w:r>
          </w:p>
        </w:tc>
      </w:tr>
      <w:tr w:rsidR="006420CF" w:rsidRPr="0035385D" w14:paraId="1B8FEAC9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FAB4A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  <w:r w:rsidRPr="0035385D">
              <w:rPr>
                <w:sz w:val="22"/>
                <w:szCs w:val="22"/>
              </w:rPr>
              <w:t>Nyrer og urinveje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1352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0F7AC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  <w:r w:rsidRPr="0035385D">
              <w:rPr>
                <w:sz w:val="22"/>
                <w:szCs w:val="22"/>
              </w:rPr>
              <w:t xml:space="preserve">Forhøjet </w:t>
            </w:r>
            <w:proofErr w:type="spellStart"/>
            <w:r w:rsidRPr="0035385D">
              <w:rPr>
                <w:sz w:val="22"/>
                <w:szCs w:val="22"/>
              </w:rPr>
              <w:t>kreatinin</w:t>
            </w:r>
            <w:proofErr w:type="spellEnd"/>
            <w:r w:rsidRPr="0035385D">
              <w:rPr>
                <w:sz w:val="22"/>
                <w:szCs w:val="22"/>
              </w:rPr>
              <w:t xml:space="preserve"> i blodet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A54E1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71BF3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7F572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  <w:r w:rsidRPr="0035385D">
              <w:rPr>
                <w:sz w:val="22"/>
                <w:szCs w:val="22"/>
              </w:rPr>
              <w:t xml:space="preserve">Nyresvigt (inkl. akut nyresvigt) (se Beskrivelse af udvalgte bivirkninger </w:t>
            </w:r>
            <w:proofErr w:type="gramStart"/>
            <w:r w:rsidRPr="0035385D">
              <w:rPr>
                <w:sz w:val="22"/>
                <w:szCs w:val="22"/>
              </w:rPr>
              <w:t>nedenfor)*</w:t>
            </w:r>
            <w:proofErr w:type="gramEnd"/>
          </w:p>
        </w:tc>
      </w:tr>
      <w:tr w:rsidR="006420CF" w:rsidRPr="0035385D" w14:paraId="06777623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EE8B9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  <w:r w:rsidRPr="0035385D">
              <w:rPr>
                <w:sz w:val="22"/>
                <w:szCs w:val="22"/>
              </w:rPr>
              <w:t>Almene symptomer og reaktioner på administrationsstedet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2FAE4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  <w:r w:rsidRPr="0035385D">
              <w:rPr>
                <w:sz w:val="22"/>
                <w:szCs w:val="22"/>
              </w:rPr>
              <w:t xml:space="preserve">Smerte, </w:t>
            </w:r>
            <w:proofErr w:type="spellStart"/>
            <w:r w:rsidRPr="0035385D">
              <w:rPr>
                <w:sz w:val="22"/>
                <w:szCs w:val="22"/>
              </w:rPr>
              <w:t>pyreksi</w:t>
            </w:r>
            <w:proofErr w:type="spell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D611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430D3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0929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F6430F" w14:textId="04F908C2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  <w:r w:rsidRPr="0035385D">
              <w:rPr>
                <w:sz w:val="22"/>
                <w:szCs w:val="22"/>
              </w:rPr>
              <w:t>Absces på injektionsstedet, kulderystelser</w:t>
            </w:r>
            <w:r w:rsidR="0035385D" w:rsidRPr="0035385D">
              <w:rPr>
                <w:sz w:val="22"/>
                <w:szCs w:val="22"/>
              </w:rPr>
              <w:t xml:space="preserve"> (</w:t>
            </w:r>
            <w:proofErr w:type="spellStart"/>
            <w:r w:rsidR="0035385D" w:rsidRPr="0035385D">
              <w:rPr>
                <w:sz w:val="22"/>
                <w:szCs w:val="22"/>
              </w:rPr>
              <w:t>rigor</w:t>
            </w:r>
            <w:proofErr w:type="spellEnd"/>
            <w:r w:rsidR="0035385D" w:rsidRPr="0035385D">
              <w:rPr>
                <w:sz w:val="22"/>
                <w:szCs w:val="22"/>
              </w:rPr>
              <w:t>)</w:t>
            </w:r>
          </w:p>
        </w:tc>
      </w:tr>
      <w:tr w:rsidR="006420CF" w:rsidRPr="0035385D" w14:paraId="1B29E97B" w14:textId="77777777" w:rsidTr="00CB3906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BCE78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  <w:r w:rsidRPr="0035385D">
              <w:rPr>
                <w:sz w:val="22"/>
                <w:szCs w:val="22"/>
              </w:rPr>
              <w:t>Undersøgelser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C9C72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7AACDC" w14:textId="1357EB13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  <w:r w:rsidRPr="0035385D">
              <w:rPr>
                <w:sz w:val="22"/>
                <w:szCs w:val="22"/>
              </w:rPr>
              <w:t xml:space="preserve">Forhøjede </w:t>
            </w:r>
            <w:proofErr w:type="spellStart"/>
            <w:r w:rsidRPr="0035385D">
              <w:rPr>
                <w:sz w:val="22"/>
                <w:szCs w:val="22"/>
              </w:rPr>
              <w:t>transaminaser</w:t>
            </w:r>
            <w:proofErr w:type="spellEnd"/>
            <w:r w:rsidRPr="0035385D">
              <w:rPr>
                <w:sz w:val="22"/>
                <w:szCs w:val="22"/>
              </w:rPr>
              <w:t xml:space="preserve"> (</w:t>
            </w:r>
            <w:r w:rsidR="0035385D" w:rsidRPr="0035385D">
              <w:rPr>
                <w:sz w:val="22"/>
                <w:szCs w:val="22"/>
              </w:rPr>
              <w:t xml:space="preserve">forbigående </w:t>
            </w:r>
            <w:proofErr w:type="spellStart"/>
            <w:r w:rsidR="0035385D" w:rsidRPr="0035385D">
              <w:rPr>
                <w:sz w:val="22"/>
                <w:szCs w:val="22"/>
              </w:rPr>
              <w:t>anomalitet</w:t>
            </w:r>
            <w:proofErr w:type="spellEnd"/>
            <w:r w:rsidR="0035385D" w:rsidRPr="0035385D">
              <w:rPr>
                <w:sz w:val="22"/>
                <w:szCs w:val="22"/>
              </w:rPr>
              <w:t xml:space="preserve"> i </w:t>
            </w:r>
            <w:proofErr w:type="spellStart"/>
            <w:r w:rsidR="0035385D" w:rsidRPr="0035385D">
              <w:rPr>
                <w:sz w:val="22"/>
                <w:szCs w:val="22"/>
              </w:rPr>
              <w:t>transaminaser</w:t>
            </w:r>
            <w:proofErr w:type="spellEnd"/>
            <w:r w:rsidR="0035385D" w:rsidRPr="0035385D">
              <w:rPr>
                <w:sz w:val="22"/>
                <w:szCs w:val="22"/>
              </w:rPr>
              <w:t xml:space="preserve">), forhøjet basisk fosfatase i blodet (forbigående </w:t>
            </w:r>
            <w:proofErr w:type="spellStart"/>
            <w:r w:rsidR="0035385D" w:rsidRPr="0035385D">
              <w:rPr>
                <w:sz w:val="22"/>
                <w:szCs w:val="22"/>
              </w:rPr>
              <w:t>anomalitet</w:t>
            </w:r>
            <w:proofErr w:type="spellEnd"/>
            <w:r w:rsidR="0035385D" w:rsidRPr="0035385D">
              <w:rPr>
                <w:sz w:val="22"/>
                <w:szCs w:val="22"/>
              </w:rPr>
              <w:t xml:space="preserve"> af alkalisk fosfatase)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65FE5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9A437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DAB86" w14:textId="77777777" w:rsidR="006420CF" w:rsidRPr="0035385D" w:rsidRDefault="006420CF" w:rsidP="00CB3906">
            <w:pPr>
              <w:ind w:left="122" w:right="105"/>
              <w:rPr>
                <w:sz w:val="22"/>
                <w:szCs w:val="22"/>
              </w:rPr>
            </w:pPr>
          </w:p>
        </w:tc>
      </w:tr>
    </w:tbl>
    <w:p w14:paraId="31EED732" w14:textId="77777777" w:rsidR="006420CF" w:rsidRPr="00325490" w:rsidRDefault="006420CF" w:rsidP="006420CF">
      <w:pPr>
        <w:rPr>
          <w:sz w:val="24"/>
          <w:szCs w:val="24"/>
          <w:u w:val="single"/>
        </w:rPr>
      </w:pPr>
    </w:p>
    <w:p w14:paraId="32C265E4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Beskrivelse af udvalgte bivirkninger</w:t>
      </w:r>
    </w:p>
    <w:p w14:paraId="66CBB5AA" w14:textId="5F85D099" w:rsidR="006420CF" w:rsidRPr="00325490" w:rsidRDefault="0063384F" w:rsidP="00CB3906">
      <w:pPr>
        <w:ind w:left="851"/>
        <w:rPr>
          <w:sz w:val="24"/>
          <w:szCs w:val="24"/>
        </w:rPr>
      </w:pPr>
      <w:r>
        <w:rPr>
          <w:sz w:val="24"/>
          <w:szCs w:val="24"/>
        </w:rPr>
        <w:t>*</w:t>
      </w:r>
      <w:r w:rsidR="006420CF" w:rsidRPr="00325490">
        <w:rPr>
          <w:sz w:val="24"/>
          <w:szCs w:val="24"/>
        </w:rPr>
        <w:t xml:space="preserve">Baseret på rapporter i litteraturen er den estimerede forekomst af </w:t>
      </w:r>
      <w:proofErr w:type="spellStart"/>
      <w:r w:rsidR="006420CF" w:rsidRPr="00325490">
        <w:rPr>
          <w:sz w:val="24"/>
          <w:szCs w:val="24"/>
        </w:rPr>
        <w:t>nefrotoksicitet</w:t>
      </w:r>
      <w:proofErr w:type="spellEnd"/>
      <w:r w:rsidR="006420CF" w:rsidRPr="00325490">
        <w:rPr>
          <w:sz w:val="24"/>
          <w:szCs w:val="24"/>
        </w:rPr>
        <w:t xml:space="preserve"> cirka 2 % hos patienter, der behandles med et doseringsregime med en lav støddosis på gennemsnitligt 6 mg/kg to gange dagligt efterfulgt af en vedligeholdelsesdosis på gennemsnitligt 6 mg/kg én gang dagligt.</w:t>
      </w:r>
    </w:p>
    <w:p w14:paraId="300532CB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527A6F22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I et observationsstudie af lægemidlets sikkerhed efter markedsføring, som omfattede 300 patienter med en gennemsnitsalder på 63 år (behandlet for knogle- og </w:t>
      </w:r>
      <w:proofErr w:type="spellStart"/>
      <w:r w:rsidRPr="00325490">
        <w:rPr>
          <w:sz w:val="24"/>
          <w:szCs w:val="24"/>
        </w:rPr>
        <w:t>ledinfektioner</w:t>
      </w:r>
      <w:proofErr w:type="spellEnd"/>
      <w:r w:rsidRPr="00325490">
        <w:rPr>
          <w:sz w:val="24"/>
          <w:szCs w:val="24"/>
        </w:rPr>
        <w:t xml:space="preserve">, </w:t>
      </w:r>
      <w:proofErr w:type="spellStart"/>
      <w:r w:rsidRPr="00325490">
        <w:rPr>
          <w:sz w:val="24"/>
          <w:szCs w:val="24"/>
        </w:rPr>
        <w:t>endokarditis</w:t>
      </w:r>
      <w:proofErr w:type="spellEnd"/>
      <w:r w:rsidRPr="00325490">
        <w:rPr>
          <w:sz w:val="24"/>
          <w:szCs w:val="24"/>
        </w:rPr>
        <w:t xml:space="preserve"> eller andre alvorlige infektioner), og som blev behandlet med et højt støddosisregime på 12 mg/kg to gange dagligt (median: 5 støddoser), efterfulgt af en vedligeholdelsesdosis på 12 mg/kg én gang dagligt, var den observerede forekomst af bekræftet </w:t>
      </w:r>
      <w:proofErr w:type="spellStart"/>
      <w:r w:rsidRPr="00325490">
        <w:rPr>
          <w:sz w:val="24"/>
          <w:szCs w:val="24"/>
        </w:rPr>
        <w:t>nefrotoksicitet</w:t>
      </w:r>
      <w:proofErr w:type="spellEnd"/>
      <w:r w:rsidRPr="00325490">
        <w:rPr>
          <w:sz w:val="24"/>
          <w:szCs w:val="24"/>
        </w:rPr>
        <w:t xml:space="preserve"> 11,0 % (95 % CI = [7,4 %; 15,5 %]) over de første 10 dage. Den kumulative forekomst af </w:t>
      </w:r>
      <w:proofErr w:type="spellStart"/>
      <w:r w:rsidRPr="00325490">
        <w:rPr>
          <w:sz w:val="24"/>
          <w:szCs w:val="24"/>
        </w:rPr>
        <w:t>nefrotoksicitet</w:t>
      </w:r>
      <w:proofErr w:type="spellEnd"/>
      <w:r w:rsidRPr="00325490">
        <w:rPr>
          <w:sz w:val="24"/>
          <w:szCs w:val="24"/>
        </w:rPr>
        <w:t xml:space="preserve"> fra behandlingsstart og op til 60 dage efter sidste dosis var 20,6 % (95 % CI = [16,0 %; 25,8 %]). Hos patienter, der fik mere end 5 høje støddoser à 12 mg/kg to gange dagligt efterfulgt af en vedligeholdelsesdosis på 12 mg/kg én gang dagligt, var den observerede kumulative forekomst af </w:t>
      </w:r>
      <w:proofErr w:type="spellStart"/>
      <w:r w:rsidRPr="00325490">
        <w:rPr>
          <w:sz w:val="24"/>
          <w:szCs w:val="24"/>
        </w:rPr>
        <w:t>nefrotoksicitet</w:t>
      </w:r>
      <w:proofErr w:type="spellEnd"/>
      <w:r w:rsidRPr="00325490">
        <w:rPr>
          <w:sz w:val="24"/>
          <w:szCs w:val="24"/>
        </w:rPr>
        <w:t xml:space="preserve"> fra behandlingsstart og op til 60 dage efter sidste administration 27 % (95 % CI = [20,7 %; 35,3 %]) (se pkt. 4.4).</w:t>
      </w:r>
    </w:p>
    <w:p w14:paraId="3E065FF1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159B6C4E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Indberetning af formodede bivirkninger</w:t>
      </w:r>
    </w:p>
    <w:p w14:paraId="0696B851" w14:textId="6BB99D25" w:rsidR="006420CF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325490">
        <w:rPr>
          <w:sz w:val="24"/>
          <w:szCs w:val="24"/>
        </w:rPr>
        <w:t>risk</w:t>
      </w:r>
      <w:proofErr w:type="spellEnd"/>
      <w:r w:rsidRPr="00325490">
        <w:rPr>
          <w:sz w:val="24"/>
          <w:szCs w:val="24"/>
        </w:rPr>
        <w:t xml:space="preserve">-forholdet for lægemidlet. Sundhedspersoner anmodes om at indberette alle formodede bivirkninger via </w:t>
      </w:r>
    </w:p>
    <w:p w14:paraId="4ACE868F" w14:textId="5096E895" w:rsidR="00EF6DF4" w:rsidRDefault="00EF6D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656974" w14:textId="77777777" w:rsidR="00325490" w:rsidRPr="00325490" w:rsidRDefault="00325490" w:rsidP="00CB3906">
      <w:pPr>
        <w:ind w:left="851"/>
        <w:rPr>
          <w:sz w:val="24"/>
          <w:szCs w:val="24"/>
        </w:rPr>
      </w:pPr>
    </w:p>
    <w:p w14:paraId="5F29B5F1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Lægemiddelstyrelsen </w:t>
      </w:r>
    </w:p>
    <w:p w14:paraId="5E35D96F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Axel Heides Gade 1 </w:t>
      </w:r>
    </w:p>
    <w:p w14:paraId="52E34CF7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DK-2300 København S </w:t>
      </w:r>
    </w:p>
    <w:p w14:paraId="750C912B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Websted: </w:t>
      </w:r>
      <w:hyperlink r:id="rId8" w:history="1">
        <w:r w:rsidRPr="00325490">
          <w:rPr>
            <w:rStyle w:val="Hyperlink"/>
            <w:sz w:val="24"/>
            <w:szCs w:val="24"/>
          </w:rPr>
          <w:t>www.meldenbivirkning.dk</w:t>
        </w:r>
      </w:hyperlink>
      <w:r w:rsidRPr="00325490">
        <w:rPr>
          <w:sz w:val="24"/>
          <w:szCs w:val="24"/>
        </w:rPr>
        <w:t xml:space="preserve"> </w:t>
      </w:r>
    </w:p>
    <w:p w14:paraId="1173C660" w14:textId="77777777" w:rsidR="009260DE" w:rsidRPr="00325490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218DFC09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4.9</w:t>
      </w:r>
      <w:r w:rsidRPr="00325490">
        <w:rPr>
          <w:b/>
          <w:sz w:val="24"/>
          <w:szCs w:val="24"/>
        </w:rPr>
        <w:tab/>
        <w:t>Overdosering</w:t>
      </w:r>
    </w:p>
    <w:p w14:paraId="7446225F" w14:textId="77777777" w:rsidR="0090551D" w:rsidRDefault="0090551D" w:rsidP="00CB3906">
      <w:pPr>
        <w:ind w:left="851"/>
        <w:rPr>
          <w:sz w:val="24"/>
          <w:szCs w:val="24"/>
        </w:rPr>
      </w:pPr>
    </w:p>
    <w:p w14:paraId="26550BE4" w14:textId="78FF46A5" w:rsidR="006420CF" w:rsidRPr="0090551D" w:rsidRDefault="006420CF" w:rsidP="00CB3906">
      <w:pPr>
        <w:ind w:left="851"/>
        <w:rPr>
          <w:sz w:val="24"/>
          <w:szCs w:val="24"/>
          <w:u w:val="single"/>
        </w:rPr>
      </w:pPr>
      <w:r w:rsidRPr="0090551D">
        <w:rPr>
          <w:sz w:val="24"/>
          <w:szCs w:val="24"/>
          <w:u w:val="single"/>
        </w:rPr>
        <w:t>Symptomer</w:t>
      </w:r>
    </w:p>
    <w:p w14:paraId="031853AB" w14:textId="77777777" w:rsidR="0063384F" w:rsidRPr="0063384F" w:rsidRDefault="0063384F" w:rsidP="0063384F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63384F">
        <w:rPr>
          <w:rFonts w:ascii="Times New Roman" w:hAnsi="Times New Roman"/>
          <w:sz w:val="24"/>
          <w:szCs w:val="24"/>
        </w:rPr>
        <w:t>Der er rapporteret tilfælde af utilsigtet administration af høje doser til pædiatriske patienter. I et tilfælde forekom agitation hos en 29 dage gammel nyfødt efter intravenøs administration af 400 mg (95 mg/kg).</w:t>
      </w:r>
    </w:p>
    <w:p w14:paraId="0978CE2C" w14:textId="77777777" w:rsidR="006420CF" w:rsidRPr="0063384F" w:rsidRDefault="006420CF" w:rsidP="0063384F">
      <w:pPr>
        <w:ind w:left="851"/>
        <w:rPr>
          <w:sz w:val="24"/>
          <w:szCs w:val="24"/>
        </w:rPr>
      </w:pPr>
    </w:p>
    <w:p w14:paraId="7A8A22BB" w14:textId="77777777" w:rsidR="006420CF" w:rsidRPr="0090551D" w:rsidRDefault="006420CF" w:rsidP="00CB3906">
      <w:pPr>
        <w:ind w:left="851"/>
        <w:rPr>
          <w:sz w:val="24"/>
          <w:szCs w:val="24"/>
          <w:u w:val="single"/>
        </w:rPr>
      </w:pPr>
      <w:r w:rsidRPr="0090551D">
        <w:rPr>
          <w:sz w:val="24"/>
          <w:szCs w:val="24"/>
          <w:u w:val="single"/>
        </w:rPr>
        <w:t>Behandling</w:t>
      </w:r>
    </w:p>
    <w:p w14:paraId="20635B58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Overdosering med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behandles symptomatisk.</w:t>
      </w:r>
    </w:p>
    <w:p w14:paraId="1EB3F8BE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795A4638" w14:textId="77777777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fjernes ikke ved hæmodialyse og kun langsomt ved peritonal dialyse.</w:t>
      </w:r>
    </w:p>
    <w:p w14:paraId="382A7FAD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170DADA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4.10</w:t>
      </w:r>
      <w:r w:rsidRPr="00325490">
        <w:rPr>
          <w:b/>
          <w:sz w:val="24"/>
          <w:szCs w:val="24"/>
        </w:rPr>
        <w:tab/>
        <w:t>Udlevering</w:t>
      </w:r>
    </w:p>
    <w:p w14:paraId="7188B037" w14:textId="09CD3460" w:rsidR="009260DE" w:rsidRPr="00325490" w:rsidRDefault="000B1347" w:rsidP="009260DE">
      <w:pPr>
        <w:tabs>
          <w:tab w:val="left" w:pos="851"/>
        </w:tabs>
        <w:ind w:left="851"/>
        <w:rPr>
          <w:sz w:val="24"/>
          <w:szCs w:val="24"/>
        </w:rPr>
      </w:pPr>
      <w:r w:rsidRPr="00325490">
        <w:rPr>
          <w:sz w:val="24"/>
          <w:szCs w:val="24"/>
        </w:rPr>
        <w:t>B</w:t>
      </w:r>
    </w:p>
    <w:p w14:paraId="23DD11B6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  <w:bookmarkStart w:id="0" w:name="_GoBack"/>
      <w:bookmarkEnd w:id="0"/>
    </w:p>
    <w:p w14:paraId="72FD43F6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9253431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5.</w:t>
      </w:r>
      <w:r w:rsidRPr="00325490">
        <w:rPr>
          <w:b/>
          <w:sz w:val="24"/>
          <w:szCs w:val="24"/>
        </w:rPr>
        <w:tab/>
        <w:t>FARMAKOLOGISKE EGENSKABER</w:t>
      </w:r>
    </w:p>
    <w:p w14:paraId="23503782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76E4BDE" w14:textId="77777777" w:rsidR="009260DE" w:rsidRPr="00325490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5.1</w:t>
      </w:r>
      <w:r w:rsidRPr="00325490">
        <w:rPr>
          <w:b/>
          <w:sz w:val="24"/>
          <w:szCs w:val="24"/>
        </w:rPr>
        <w:tab/>
      </w:r>
      <w:proofErr w:type="spellStart"/>
      <w:r w:rsidRPr="00325490">
        <w:rPr>
          <w:b/>
          <w:sz w:val="24"/>
          <w:szCs w:val="24"/>
        </w:rPr>
        <w:t>Farmakodynamiske</w:t>
      </w:r>
      <w:proofErr w:type="spellEnd"/>
      <w:r w:rsidRPr="00325490">
        <w:rPr>
          <w:b/>
          <w:sz w:val="24"/>
          <w:szCs w:val="24"/>
        </w:rPr>
        <w:t xml:space="preserve"> egenskaber</w:t>
      </w:r>
    </w:p>
    <w:p w14:paraId="3957F327" w14:textId="77777777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Farmakoterapeutisk</w:t>
      </w:r>
      <w:proofErr w:type="spellEnd"/>
      <w:r w:rsidRPr="00325490">
        <w:rPr>
          <w:sz w:val="24"/>
          <w:szCs w:val="24"/>
        </w:rPr>
        <w:t xml:space="preserve"> klassifikation: Andre </w:t>
      </w:r>
      <w:proofErr w:type="spellStart"/>
      <w:r w:rsidRPr="00325490">
        <w:rPr>
          <w:sz w:val="24"/>
          <w:szCs w:val="24"/>
        </w:rPr>
        <w:t>antibakterika</w:t>
      </w:r>
      <w:proofErr w:type="spellEnd"/>
      <w:r w:rsidRPr="00325490">
        <w:rPr>
          <w:sz w:val="24"/>
          <w:szCs w:val="24"/>
        </w:rPr>
        <w:t xml:space="preserve">, </w:t>
      </w:r>
      <w:proofErr w:type="spellStart"/>
      <w:r w:rsidRPr="00325490">
        <w:rPr>
          <w:sz w:val="24"/>
          <w:szCs w:val="24"/>
        </w:rPr>
        <w:t>glykopeptid</w:t>
      </w:r>
      <w:proofErr w:type="spellEnd"/>
      <w:r w:rsidRPr="00325490">
        <w:rPr>
          <w:sz w:val="24"/>
          <w:szCs w:val="24"/>
        </w:rPr>
        <w:t xml:space="preserve"> </w:t>
      </w:r>
      <w:proofErr w:type="spellStart"/>
      <w:r w:rsidRPr="00325490">
        <w:rPr>
          <w:sz w:val="24"/>
          <w:szCs w:val="24"/>
        </w:rPr>
        <w:t>antibakterika</w:t>
      </w:r>
      <w:proofErr w:type="spellEnd"/>
      <w:r w:rsidRPr="00325490">
        <w:rPr>
          <w:sz w:val="24"/>
          <w:szCs w:val="24"/>
        </w:rPr>
        <w:t>, ATC</w:t>
      </w:r>
      <w:r w:rsidRPr="00325490">
        <w:rPr>
          <w:sz w:val="24"/>
          <w:szCs w:val="24"/>
        </w:rPr>
        <w:noBreakHyphen/>
        <w:t xml:space="preserve">kode: J01XA02 </w:t>
      </w:r>
    </w:p>
    <w:p w14:paraId="7E17EC0A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76C749C5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Virkningsmekanisme</w:t>
      </w:r>
    </w:p>
    <w:p w14:paraId="5665FA6F" w14:textId="77777777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hæmmer væksten af følsomme organismer ved at interferere med biosyntesen i cellevæggen på et andet sted end det, der påvirkes af </w:t>
      </w:r>
      <w:proofErr w:type="spellStart"/>
      <w:r w:rsidRPr="00325490">
        <w:rPr>
          <w:sz w:val="24"/>
          <w:szCs w:val="24"/>
        </w:rPr>
        <w:t>betalaktamer</w:t>
      </w:r>
      <w:proofErr w:type="spellEnd"/>
      <w:r w:rsidRPr="00325490">
        <w:rPr>
          <w:sz w:val="24"/>
          <w:szCs w:val="24"/>
        </w:rPr>
        <w:t xml:space="preserve">. Syntesen af </w:t>
      </w:r>
      <w:proofErr w:type="spellStart"/>
      <w:r w:rsidRPr="00325490">
        <w:rPr>
          <w:sz w:val="24"/>
          <w:szCs w:val="24"/>
        </w:rPr>
        <w:t>peptidoglykan</w:t>
      </w:r>
      <w:proofErr w:type="spellEnd"/>
      <w:r w:rsidRPr="00325490">
        <w:rPr>
          <w:sz w:val="24"/>
          <w:szCs w:val="24"/>
        </w:rPr>
        <w:t xml:space="preserve"> blokeres ved specifik binding til D</w:t>
      </w:r>
      <w:r w:rsidRPr="00325490">
        <w:rPr>
          <w:sz w:val="24"/>
          <w:szCs w:val="24"/>
        </w:rPr>
        <w:noBreakHyphen/>
      </w:r>
      <w:proofErr w:type="spellStart"/>
      <w:r w:rsidRPr="00325490">
        <w:rPr>
          <w:sz w:val="24"/>
          <w:szCs w:val="24"/>
        </w:rPr>
        <w:t>alanyl</w:t>
      </w:r>
      <w:proofErr w:type="spellEnd"/>
      <w:r w:rsidRPr="00325490">
        <w:rPr>
          <w:sz w:val="24"/>
          <w:szCs w:val="24"/>
        </w:rPr>
        <w:noBreakHyphen/>
        <w:t>D</w:t>
      </w:r>
      <w:r w:rsidRPr="00325490">
        <w:rPr>
          <w:sz w:val="24"/>
          <w:szCs w:val="24"/>
        </w:rPr>
        <w:noBreakHyphen/>
      </w:r>
      <w:proofErr w:type="spellStart"/>
      <w:r w:rsidRPr="00325490">
        <w:rPr>
          <w:sz w:val="24"/>
          <w:szCs w:val="24"/>
        </w:rPr>
        <w:t>alanin</w:t>
      </w:r>
      <w:proofErr w:type="spellEnd"/>
      <w:r w:rsidRPr="00325490">
        <w:rPr>
          <w:sz w:val="24"/>
          <w:szCs w:val="24"/>
        </w:rPr>
        <w:t>.</w:t>
      </w:r>
    </w:p>
    <w:p w14:paraId="21455582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7BEE2641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Resistensmekanisme</w:t>
      </w:r>
    </w:p>
    <w:p w14:paraId="7A3E7722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Resistens over for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kan opstå gennem følgende mekanismer:</w:t>
      </w:r>
    </w:p>
    <w:p w14:paraId="496D465E" w14:textId="18E71B34" w:rsidR="006420CF" w:rsidRPr="0063384F" w:rsidRDefault="006420CF" w:rsidP="0090551D">
      <w:pPr>
        <w:pStyle w:val="Listeafsnit"/>
        <w:numPr>
          <w:ilvl w:val="0"/>
          <w:numId w:val="14"/>
        </w:numPr>
        <w:ind w:left="1276" w:hanging="425"/>
        <w:rPr>
          <w:sz w:val="24"/>
          <w:szCs w:val="24"/>
        </w:rPr>
      </w:pPr>
      <w:r w:rsidRPr="0063384F">
        <w:rPr>
          <w:sz w:val="24"/>
          <w:szCs w:val="24"/>
        </w:rPr>
        <w:t xml:space="preserve">Ændret </w:t>
      </w:r>
      <w:proofErr w:type="spellStart"/>
      <w:r w:rsidRPr="0063384F">
        <w:rPr>
          <w:sz w:val="24"/>
          <w:szCs w:val="24"/>
        </w:rPr>
        <w:t>targetstruktur</w:t>
      </w:r>
      <w:proofErr w:type="spellEnd"/>
      <w:r w:rsidRPr="0063384F">
        <w:rPr>
          <w:sz w:val="24"/>
          <w:szCs w:val="24"/>
        </w:rPr>
        <w:t xml:space="preserve">: Denne form for resistens er især observeret hos </w:t>
      </w:r>
      <w:proofErr w:type="spellStart"/>
      <w:r w:rsidRPr="0063384F">
        <w:rPr>
          <w:rStyle w:val="Bodytext2Italic"/>
          <w:rFonts w:ascii="Times New Roman" w:hAnsi="Times New Roman" w:cs="Times New Roman"/>
          <w:sz w:val="24"/>
          <w:szCs w:val="24"/>
        </w:rPr>
        <w:t>Enterococcus</w:t>
      </w:r>
      <w:proofErr w:type="spellEnd"/>
      <w:r w:rsidRPr="0063384F">
        <w:rPr>
          <w:rStyle w:val="Bodytext2Itali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84F">
        <w:rPr>
          <w:rStyle w:val="Bodytext2Italic"/>
          <w:rFonts w:ascii="Times New Roman" w:hAnsi="Times New Roman" w:cs="Times New Roman"/>
          <w:sz w:val="24"/>
          <w:szCs w:val="24"/>
        </w:rPr>
        <w:t>faecium</w:t>
      </w:r>
      <w:proofErr w:type="spellEnd"/>
      <w:r w:rsidRPr="0063384F">
        <w:rPr>
          <w:rStyle w:val="Bodytext2Italic"/>
          <w:rFonts w:ascii="Times New Roman" w:hAnsi="Times New Roman" w:cs="Times New Roman"/>
          <w:sz w:val="24"/>
          <w:szCs w:val="24"/>
        </w:rPr>
        <w:t>.</w:t>
      </w:r>
      <w:r w:rsidRPr="0063384F">
        <w:rPr>
          <w:sz w:val="24"/>
          <w:szCs w:val="24"/>
        </w:rPr>
        <w:t xml:space="preserve"> Mekanismen indebærer en udskiftning af aminosyrekædens terminale D</w:t>
      </w:r>
      <w:r w:rsidRPr="0063384F">
        <w:rPr>
          <w:sz w:val="24"/>
          <w:szCs w:val="24"/>
        </w:rPr>
        <w:noBreakHyphen/>
      </w:r>
      <w:proofErr w:type="spellStart"/>
      <w:r w:rsidRPr="0063384F">
        <w:rPr>
          <w:sz w:val="24"/>
          <w:szCs w:val="24"/>
        </w:rPr>
        <w:t>alanin</w:t>
      </w:r>
      <w:proofErr w:type="spellEnd"/>
      <w:r w:rsidRPr="0063384F">
        <w:rPr>
          <w:sz w:val="24"/>
          <w:szCs w:val="24"/>
        </w:rPr>
        <w:noBreakHyphen/>
        <w:t>D</w:t>
      </w:r>
      <w:r w:rsidRPr="0063384F">
        <w:rPr>
          <w:sz w:val="24"/>
          <w:szCs w:val="24"/>
        </w:rPr>
        <w:noBreakHyphen/>
      </w:r>
      <w:proofErr w:type="spellStart"/>
      <w:r w:rsidRPr="0063384F">
        <w:rPr>
          <w:sz w:val="24"/>
          <w:szCs w:val="24"/>
        </w:rPr>
        <w:t>alanin</w:t>
      </w:r>
      <w:proofErr w:type="spellEnd"/>
      <w:r w:rsidRPr="0063384F">
        <w:rPr>
          <w:sz w:val="24"/>
          <w:szCs w:val="24"/>
        </w:rPr>
        <w:t xml:space="preserve">-gruppe i </w:t>
      </w:r>
      <w:proofErr w:type="spellStart"/>
      <w:r w:rsidRPr="0063384F">
        <w:rPr>
          <w:sz w:val="24"/>
          <w:szCs w:val="24"/>
        </w:rPr>
        <w:t>mureinforstadiet</w:t>
      </w:r>
      <w:proofErr w:type="spellEnd"/>
      <w:r w:rsidRPr="0063384F">
        <w:rPr>
          <w:sz w:val="24"/>
          <w:szCs w:val="24"/>
        </w:rPr>
        <w:t xml:space="preserve"> med D</w:t>
      </w:r>
      <w:r w:rsidRPr="0063384F">
        <w:rPr>
          <w:sz w:val="24"/>
          <w:szCs w:val="24"/>
        </w:rPr>
        <w:noBreakHyphen/>
      </w:r>
      <w:r w:rsidR="0063384F" w:rsidRPr="0063384F">
        <w:rPr>
          <w:sz w:val="24"/>
          <w:szCs w:val="24"/>
        </w:rPr>
        <w:t>Ala</w:t>
      </w:r>
      <w:r w:rsidRPr="0063384F">
        <w:rPr>
          <w:sz w:val="24"/>
          <w:szCs w:val="24"/>
        </w:rPr>
        <w:noBreakHyphen/>
        <w:t>D</w:t>
      </w:r>
      <w:r w:rsidRPr="0063384F">
        <w:rPr>
          <w:sz w:val="24"/>
          <w:szCs w:val="24"/>
        </w:rPr>
        <w:noBreakHyphen/>
        <w:t xml:space="preserve">laktat, hvilket reducerer affiniteten til </w:t>
      </w:r>
      <w:proofErr w:type="spellStart"/>
      <w:r w:rsidRPr="0063384F">
        <w:rPr>
          <w:sz w:val="24"/>
          <w:szCs w:val="24"/>
        </w:rPr>
        <w:t>vancomycin</w:t>
      </w:r>
      <w:proofErr w:type="spellEnd"/>
      <w:r w:rsidRPr="0063384F">
        <w:rPr>
          <w:sz w:val="24"/>
          <w:szCs w:val="24"/>
        </w:rPr>
        <w:t>. De ansvarlige enzymer er en nyligt syntetiseret D</w:t>
      </w:r>
      <w:r w:rsidRPr="0063384F">
        <w:rPr>
          <w:sz w:val="24"/>
          <w:szCs w:val="24"/>
        </w:rPr>
        <w:noBreakHyphen/>
      </w:r>
      <w:proofErr w:type="spellStart"/>
      <w:r w:rsidRPr="0063384F">
        <w:rPr>
          <w:sz w:val="24"/>
          <w:szCs w:val="24"/>
        </w:rPr>
        <w:t>laktatdehydrogenase</w:t>
      </w:r>
      <w:proofErr w:type="spellEnd"/>
      <w:r w:rsidRPr="0063384F">
        <w:rPr>
          <w:sz w:val="24"/>
          <w:szCs w:val="24"/>
        </w:rPr>
        <w:t xml:space="preserve"> eller -</w:t>
      </w:r>
      <w:proofErr w:type="spellStart"/>
      <w:r w:rsidRPr="0063384F">
        <w:rPr>
          <w:sz w:val="24"/>
          <w:szCs w:val="24"/>
        </w:rPr>
        <w:t>ligase</w:t>
      </w:r>
      <w:proofErr w:type="spellEnd"/>
      <w:r w:rsidRPr="0063384F">
        <w:rPr>
          <w:sz w:val="24"/>
          <w:szCs w:val="24"/>
        </w:rPr>
        <w:t>.</w:t>
      </w:r>
    </w:p>
    <w:p w14:paraId="00315719" w14:textId="03686093" w:rsidR="006420CF" w:rsidRPr="0063384F" w:rsidRDefault="006420CF" w:rsidP="0090551D">
      <w:pPr>
        <w:pStyle w:val="Listeafsnit"/>
        <w:numPr>
          <w:ilvl w:val="0"/>
          <w:numId w:val="14"/>
        </w:numPr>
        <w:ind w:left="1276" w:hanging="425"/>
        <w:rPr>
          <w:sz w:val="24"/>
          <w:szCs w:val="24"/>
        </w:rPr>
      </w:pPr>
      <w:r w:rsidRPr="0063384F">
        <w:rPr>
          <w:sz w:val="24"/>
          <w:szCs w:val="24"/>
        </w:rPr>
        <w:t xml:space="preserve">Den nedsatte følsomhed eller resistens hos stafylokokker over for </w:t>
      </w:r>
      <w:proofErr w:type="spellStart"/>
      <w:r w:rsidRPr="0063384F">
        <w:rPr>
          <w:sz w:val="24"/>
          <w:szCs w:val="24"/>
        </w:rPr>
        <w:t>teicoplanin</w:t>
      </w:r>
      <w:proofErr w:type="spellEnd"/>
      <w:r w:rsidRPr="0063384F">
        <w:rPr>
          <w:sz w:val="24"/>
          <w:szCs w:val="24"/>
        </w:rPr>
        <w:t xml:space="preserve"> skyldes overproduktion af </w:t>
      </w:r>
      <w:proofErr w:type="spellStart"/>
      <w:r w:rsidRPr="0063384F">
        <w:rPr>
          <w:sz w:val="24"/>
          <w:szCs w:val="24"/>
        </w:rPr>
        <w:t>mureinforstadier</w:t>
      </w:r>
      <w:proofErr w:type="spellEnd"/>
      <w:r w:rsidRPr="0063384F">
        <w:rPr>
          <w:sz w:val="24"/>
          <w:szCs w:val="24"/>
        </w:rPr>
        <w:t xml:space="preserve">, som </w:t>
      </w:r>
      <w:proofErr w:type="spellStart"/>
      <w:r w:rsidRPr="0063384F">
        <w:rPr>
          <w:sz w:val="24"/>
          <w:szCs w:val="24"/>
        </w:rPr>
        <w:t>teicoplanin</w:t>
      </w:r>
      <w:proofErr w:type="spellEnd"/>
      <w:r w:rsidRPr="0063384F">
        <w:rPr>
          <w:sz w:val="24"/>
          <w:szCs w:val="24"/>
        </w:rPr>
        <w:t xml:space="preserve"> </w:t>
      </w:r>
      <w:r w:rsidR="0063384F" w:rsidRPr="0063384F">
        <w:rPr>
          <w:sz w:val="24"/>
          <w:szCs w:val="24"/>
        </w:rPr>
        <w:t>er bundet til</w:t>
      </w:r>
      <w:r w:rsidRPr="0063384F">
        <w:rPr>
          <w:sz w:val="24"/>
          <w:szCs w:val="24"/>
        </w:rPr>
        <w:t>.</w:t>
      </w:r>
    </w:p>
    <w:p w14:paraId="7FE7107A" w14:textId="77777777" w:rsidR="006420CF" w:rsidRPr="002D79F0" w:rsidRDefault="006420CF" w:rsidP="002D79F0">
      <w:pPr>
        <w:ind w:left="851"/>
        <w:rPr>
          <w:sz w:val="24"/>
          <w:szCs w:val="24"/>
        </w:rPr>
      </w:pPr>
    </w:p>
    <w:p w14:paraId="7E41D1EA" w14:textId="77777777" w:rsidR="002D79F0" w:rsidRPr="002D79F0" w:rsidRDefault="002D79F0" w:rsidP="002D79F0">
      <w:pPr>
        <w:pStyle w:val="Bodytext20"/>
        <w:shd w:val="clear" w:color="auto" w:fill="auto"/>
        <w:spacing w:before="0" w:after="0" w:line="240" w:lineRule="auto"/>
        <w:ind w:left="851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2D79F0">
        <w:rPr>
          <w:rFonts w:ascii="Times New Roman" w:hAnsi="Times New Roman"/>
          <w:sz w:val="24"/>
          <w:szCs w:val="24"/>
        </w:rPr>
        <w:t xml:space="preserve">Der kan forekomme krydsresistens mellem </w:t>
      </w:r>
      <w:proofErr w:type="spellStart"/>
      <w:r w:rsidRPr="002D79F0">
        <w:rPr>
          <w:rFonts w:ascii="Times New Roman" w:hAnsi="Times New Roman"/>
          <w:sz w:val="24"/>
          <w:szCs w:val="24"/>
        </w:rPr>
        <w:t>teicoplanin</w:t>
      </w:r>
      <w:proofErr w:type="spellEnd"/>
      <w:r w:rsidRPr="002D79F0">
        <w:rPr>
          <w:rFonts w:ascii="Times New Roman" w:hAnsi="Times New Roman"/>
          <w:sz w:val="24"/>
          <w:szCs w:val="24"/>
        </w:rPr>
        <w:t xml:space="preserve"> og </w:t>
      </w:r>
      <w:proofErr w:type="spellStart"/>
      <w:r w:rsidRPr="002D79F0">
        <w:rPr>
          <w:rFonts w:ascii="Times New Roman" w:hAnsi="Times New Roman"/>
          <w:sz w:val="24"/>
          <w:szCs w:val="24"/>
        </w:rPr>
        <w:t>glykopeptidet</w:t>
      </w:r>
      <w:proofErr w:type="spellEnd"/>
      <w:r w:rsidRPr="002D79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79F0">
        <w:rPr>
          <w:rFonts w:ascii="Times New Roman" w:hAnsi="Times New Roman"/>
          <w:sz w:val="24"/>
          <w:szCs w:val="24"/>
        </w:rPr>
        <w:t>vancomycin</w:t>
      </w:r>
      <w:proofErr w:type="spellEnd"/>
      <w:r w:rsidRPr="002D79F0">
        <w:rPr>
          <w:rFonts w:ascii="Times New Roman" w:hAnsi="Times New Roman"/>
          <w:sz w:val="24"/>
          <w:szCs w:val="24"/>
        </w:rPr>
        <w:t xml:space="preserve">. Visse </w:t>
      </w:r>
      <w:proofErr w:type="spellStart"/>
      <w:r w:rsidRPr="002D79F0">
        <w:rPr>
          <w:rFonts w:ascii="Times New Roman" w:hAnsi="Times New Roman"/>
          <w:sz w:val="24"/>
          <w:szCs w:val="24"/>
        </w:rPr>
        <w:t>vancomycin</w:t>
      </w:r>
      <w:proofErr w:type="spellEnd"/>
      <w:r w:rsidRPr="002D79F0">
        <w:rPr>
          <w:rFonts w:ascii="Times New Roman" w:hAnsi="Times New Roman"/>
          <w:sz w:val="24"/>
          <w:szCs w:val="24"/>
        </w:rPr>
        <w:t xml:space="preserve">-resistente </w:t>
      </w:r>
      <w:proofErr w:type="spellStart"/>
      <w:r w:rsidRPr="002D79F0">
        <w:rPr>
          <w:rFonts w:ascii="Times New Roman" w:hAnsi="Times New Roman"/>
          <w:sz w:val="24"/>
          <w:szCs w:val="24"/>
        </w:rPr>
        <w:t>enterokokker</w:t>
      </w:r>
      <w:proofErr w:type="spellEnd"/>
      <w:r w:rsidRPr="002D79F0">
        <w:rPr>
          <w:rFonts w:ascii="Times New Roman" w:hAnsi="Times New Roman"/>
          <w:sz w:val="24"/>
          <w:szCs w:val="24"/>
        </w:rPr>
        <w:t xml:space="preserve"> er følsomme over for </w:t>
      </w:r>
      <w:proofErr w:type="spellStart"/>
      <w:r w:rsidRPr="002D79F0">
        <w:rPr>
          <w:rFonts w:ascii="Times New Roman" w:hAnsi="Times New Roman"/>
          <w:sz w:val="24"/>
          <w:szCs w:val="24"/>
        </w:rPr>
        <w:t>teicoplanin</w:t>
      </w:r>
      <w:proofErr w:type="spellEnd"/>
      <w:r w:rsidRPr="002D79F0">
        <w:rPr>
          <w:rFonts w:ascii="Times New Roman" w:hAnsi="Times New Roman"/>
          <w:sz w:val="24"/>
          <w:szCs w:val="24"/>
        </w:rPr>
        <w:t xml:space="preserve"> (Van</w:t>
      </w:r>
      <w:r w:rsidRPr="002D79F0">
        <w:rPr>
          <w:rFonts w:ascii="Times New Roman" w:hAnsi="Times New Roman"/>
          <w:sz w:val="24"/>
          <w:szCs w:val="24"/>
        </w:rPr>
        <w:noBreakHyphen/>
        <w:t>B</w:t>
      </w:r>
      <w:r w:rsidRPr="002D79F0">
        <w:rPr>
          <w:rFonts w:ascii="Times New Roman" w:hAnsi="Times New Roman"/>
          <w:sz w:val="24"/>
          <w:szCs w:val="24"/>
        </w:rPr>
        <w:noBreakHyphen/>
        <w:t>fænotype).</w:t>
      </w:r>
    </w:p>
    <w:p w14:paraId="0CABF55A" w14:textId="77777777" w:rsidR="006420CF" w:rsidRPr="002D79F0" w:rsidRDefault="006420CF" w:rsidP="002D79F0">
      <w:pPr>
        <w:ind w:left="851"/>
        <w:rPr>
          <w:sz w:val="24"/>
          <w:szCs w:val="24"/>
        </w:rPr>
      </w:pPr>
    </w:p>
    <w:p w14:paraId="3BF03657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Tærskelværdier for følsomhedsbestemmelse</w:t>
      </w:r>
    </w:p>
    <w:p w14:paraId="09618DBD" w14:textId="77777777" w:rsidR="006420CF" w:rsidRPr="00325490" w:rsidRDefault="006420CF" w:rsidP="00CB3906">
      <w:pPr>
        <w:ind w:left="851"/>
        <w:rPr>
          <w:bCs/>
          <w:sz w:val="24"/>
          <w:szCs w:val="24"/>
        </w:rPr>
      </w:pPr>
      <w:r w:rsidRPr="00325490">
        <w:rPr>
          <w:color w:val="000000"/>
          <w:sz w:val="24"/>
          <w:szCs w:val="24"/>
        </w:rPr>
        <w:t xml:space="preserve">MIC (mindste hæmmende koncentration)-fortolkningskriterier for følsomhedsbestemmelse er blevet fastlagt af European </w:t>
      </w:r>
      <w:proofErr w:type="spellStart"/>
      <w:r w:rsidRPr="00325490">
        <w:rPr>
          <w:color w:val="000000"/>
          <w:sz w:val="24"/>
          <w:szCs w:val="24"/>
        </w:rPr>
        <w:t>Committee</w:t>
      </w:r>
      <w:proofErr w:type="spellEnd"/>
      <w:r w:rsidRPr="00325490">
        <w:rPr>
          <w:color w:val="000000"/>
          <w:sz w:val="24"/>
          <w:szCs w:val="24"/>
        </w:rPr>
        <w:t xml:space="preserve"> on </w:t>
      </w:r>
      <w:proofErr w:type="spellStart"/>
      <w:r w:rsidRPr="00325490">
        <w:rPr>
          <w:color w:val="000000"/>
          <w:sz w:val="24"/>
          <w:szCs w:val="24"/>
        </w:rPr>
        <w:t>Antimicrobial</w:t>
      </w:r>
      <w:proofErr w:type="spellEnd"/>
      <w:r w:rsidRPr="00325490">
        <w:rPr>
          <w:color w:val="000000"/>
          <w:sz w:val="24"/>
          <w:szCs w:val="24"/>
        </w:rPr>
        <w:t xml:space="preserve"> </w:t>
      </w:r>
      <w:proofErr w:type="spellStart"/>
      <w:r w:rsidRPr="00325490">
        <w:rPr>
          <w:color w:val="000000"/>
          <w:sz w:val="24"/>
          <w:szCs w:val="24"/>
        </w:rPr>
        <w:t>Susceptibility</w:t>
      </w:r>
      <w:proofErr w:type="spellEnd"/>
      <w:r w:rsidRPr="00325490">
        <w:rPr>
          <w:color w:val="000000"/>
          <w:sz w:val="24"/>
          <w:szCs w:val="24"/>
        </w:rPr>
        <w:t xml:space="preserve"> </w:t>
      </w:r>
      <w:proofErr w:type="spellStart"/>
      <w:r w:rsidRPr="00325490">
        <w:rPr>
          <w:color w:val="000000"/>
          <w:sz w:val="24"/>
          <w:szCs w:val="24"/>
        </w:rPr>
        <w:t>Testing</w:t>
      </w:r>
      <w:proofErr w:type="spellEnd"/>
      <w:r w:rsidRPr="00325490">
        <w:rPr>
          <w:color w:val="000000"/>
          <w:sz w:val="24"/>
          <w:szCs w:val="24"/>
        </w:rPr>
        <w:t xml:space="preserve"> </w:t>
      </w:r>
      <w:r w:rsidRPr="00325490">
        <w:rPr>
          <w:color w:val="000000"/>
          <w:sz w:val="24"/>
          <w:szCs w:val="24"/>
        </w:rPr>
        <w:lastRenderedPageBreak/>
        <w:t xml:space="preserve">(EUCAST) for </w:t>
      </w:r>
      <w:proofErr w:type="spellStart"/>
      <w:r w:rsidRPr="00325490">
        <w:rPr>
          <w:color w:val="000000"/>
          <w:sz w:val="24"/>
          <w:szCs w:val="24"/>
        </w:rPr>
        <w:t>teicoplanin</w:t>
      </w:r>
      <w:proofErr w:type="spellEnd"/>
      <w:r w:rsidRPr="00325490">
        <w:rPr>
          <w:color w:val="000000"/>
          <w:sz w:val="24"/>
          <w:szCs w:val="24"/>
        </w:rPr>
        <w:t xml:space="preserve"> og er tilgængelige her: </w:t>
      </w:r>
      <w:hyperlink r:id="rId9" w:history="1">
        <w:r w:rsidRPr="00325490">
          <w:rPr>
            <w:rStyle w:val="Hyperlink"/>
            <w:sz w:val="24"/>
            <w:szCs w:val="24"/>
          </w:rPr>
          <w:t>https://www.ema.europa.eu/documents/other/minimum-inhibitory-concentration-mic-breakpoints_en.xlsx</w:t>
        </w:r>
      </w:hyperlink>
    </w:p>
    <w:p w14:paraId="7E872EDF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231E2F74" w14:textId="77777777" w:rsidR="006420CF" w:rsidRPr="00325490" w:rsidRDefault="006420CF" w:rsidP="00CB3906">
      <w:pPr>
        <w:ind w:left="851"/>
        <w:rPr>
          <w:sz w:val="24"/>
          <w:szCs w:val="24"/>
          <w:u w:val="single"/>
        </w:rPr>
      </w:pPr>
      <w:proofErr w:type="spellStart"/>
      <w:r w:rsidRPr="00325490">
        <w:rPr>
          <w:sz w:val="24"/>
          <w:szCs w:val="24"/>
          <w:u w:val="single"/>
        </w:rPr>
        <w:t>Farmakokinetiske</w:t>
      </w:r>
      <w:proofErr w:type="spellEnd"/>
      <w:r w:rsidRPr="00325490">
        <w:rPr>
          <w:sz w:val="24"/>
          <w:szCs w:val="24"/>
          <w:u w:val="single"/>
        </w:rPr>
        <w:t>/</w:t>
      </w:r>
      <w:proofErr w:type="spellStart"/>
      <w:r w:rsidRPr="00325490">
        <w:rPr>
          <w:sz w:val="24"/>
          <w:szCs w:val="24"/>
          <w:u w:val="single"/>
        </w:rPr>
        <w:t>farmakodynamiske</w:t>
      </w:r>
      <w:proofErr w:type="spellEnd"/>
      <w:r w:rsidRPr="00325490">
        <w:rPr>
          <w:sz w:val="24"/>
          <w:szCs w:val="24"/>
          <w:u w:val="single"/>
        </w:rPr>
        <w:t xml:space="preserve"> forhold</w:t>
      </w:r>
    </w:p>
    <w:p w14:paraId="580F3427" w14:textId="77777777" w:rsidR="006420CF" w:rsidRPr="00325490" w:rsidRDefault="006420CF" w:rsidP="00CB3906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Teicoplanins</w:t>
      </w:r>
      <w:proofErr w:type="spellEnd"/>
      <w:r w:rsidRPr="00325490">
        <w:rPr>
          <w:sz w:val="24"/>
          <w:szCs w:val="24"/>
        </w:rPr>
        <w:t xml:space="preserve"> antimikrobielle aktivitet afhænger i væsentlig grad af den tid, hvor lægemiddelkoncentrationen ligger over den mindste hæmmende koncentration (MIC) for </w:t>
      </w:r>
      <w:proofErr w:type="spellStart"/>
      <w:r w:rsidRPr="00325490">
        <w:rPr>
          <w:sz w:val="24"/>
          <w:szCs w:val="24"/>
        </w:rPr>
        <w:t>patogenet</w:t>
      </w:r>
      <w:proofErr w:type="spellEnd"/>
      <w:r w:rsidRPr="00325490">
        <w:rPr>
          <w:sz w:val="24"/>
          <w:szCs w:val="24"/>
        </w:rPr>
        <w:t>.</w:t>
      </w:r>
    </w:p>
    <w:p w14:paraId="5A50B327" w14:textId="77777777" w:rsidR="006420CF" w:rsidRPr="00325490" w:rsidRDefault="006420CF" w:rsidP="00CB3906">
      <w:pPr>
        <w:ind w:left="851"/>
        <w:rPr>
          <w:sz w:val="24"/>
          <w:szCs w:val="24"/>
        </w:rPr>
      </w:pPr>
    </w:p>
    <w:p w14:paraId="64F5CA17" w14:textId="77777777" w:rsidR="006420CF" w:rsidRPr="00325490" w:rsidRDefault="006420CF" w:rsidP="00CB3906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Følsomhed</w:t>
      </w:r>
    </w:p>
    <w:p w14:paraId="4456B5EA" w14:textId="12DFEC93" w:rsidR="006420CF" w:rsidRPr="00AF7A82" w:rsidRDefault="00AF7A82" w:rsidP="00CB3906">
      <w:pPr>
        <w:ind w:left="851"/>
        <w:rPr>
          <w:sz w:val="24"/>
          <w:szCs w:val="24"/>
        </w:rPr>
      </w:pPr>
      <w:r w:rsidRPr="00AF7A82">
        <w:rPr>
          <w:sz w:val="24"/>
          <w:szCs w:val="24"/>
        </w:rPr>
        <w:t>Forekomsten af resistens kan variere geografisk og over tid for visse arter, og lokal resistensinformation bør tages i betragtning, især ved behandling af alvorlige infektioner. Om nødvendigt bør der søges ekspertrådgivning, når den lokale forekomst af resistens er således, at midlets anvendelighed i det mindste ved visse typer infektioner kan betvivles.</w:t>
      </w:r>
    </w:p>
    <w:p w14:paraId="56B685DA" w14:textId="77777777" w:rsidR="00CB3906" w:rsidRPr="00AF7A82" w:rsidRDefault="00CB3906" w:rsidP="00CB3906">
      <w:pPr>
        <w:ind w:left="851"/>
        <w:rPr>
          <w:sz w:val="24"/>
          <w:szCs w:val="24"/>
        </w:rPr>
      </w:pPr>
    </w:p>
    <w:tbl>
      <w:tblPr>
        <w:tblStyle w:val="Tabel-Gitter"/>
        <w:tblW w:w="8647" w:type="dxa"/>
        <w:tblInd w:w="84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CB3906" w:rsidRPr="00325490" w14:paraId="2C95670B" w14:textId="77777777" w:rsidTr="0090551D">
        <w:tc>
          <w:tcPr>
            <w:tcW w:w="8647" w:type="dxa"/>
          </w:tcPr>
          <w:p w14:paraId="12711B60" w14:textId="77777777" w:rsidR="00CB3906" w:rsidRPr="00AF7A82" w:rsidRDefault="00CB3906" w:rsidP="00AF7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A82">
              <w:rPr>
                <w:rFonts w:ascii="Times New Roman" w:hAnsi="Times New Roman" w:cs="Times New Roman"/>
                <w:b/>
                <w:sz w:val="24"/>
                <w:szCs w:val="24"/>
              </w:rPr>
              <w:t>Normalt følsomme arter</w:t>
            </w:r>
          </w:p>
          <w:p w14:paraId="1833E641" w14:textId="77777777" w:rsidR="00CB3906" w:rsidRPr="00AF7A82" w:rsidRDefault="00CB3906" w:rsidP="00AF7A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7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Aerobe grampositive bakterier</w:t>
            </w:r>
          </w:p>
          <w:p w14:paraId="1A14FDD1" w14:textId="77777777" w:rsidR="00CB3906" w:rsidRPr="00AF7A82" w:rsidRDefault="00CB3906" w:rsidP="00AF7A8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Corynebacterium </w:t>
            </w:r>
            <w:proofErr w:type="spell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jeikeium</w:t>
            </w:r>
            <w:proofErr w:type="spellEnd"/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α</w:t>
            </w:r>
          </w:p>
          <w:p w14:paraId="325A093A" w14:textId="77777777" w:rsidR="00CB3906" w:rsidRPr="00AF7A82" w:rsidRDefault="00CB3906" w:rsidP="00AF7A82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</w:pPr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Enterococcus faecalis</w:t>
            </w:r>
          </w:p>
          <w:p w14:paraId="4320C8CB" w14:textId="77777777" w:rsidR="00CB3906" w:rsidRPr="00AF7A82" w:rsidRDefault="00CB3906" w:rsidP="00AF7A8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Staphylococcus aureus (</w:t>
            </w:r>
            <w:proofErr w:type="spellStart"/>
            <w:r w:rsidRPr="00AF7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inklusive</w:t>
            </w:r>
            <w:proofErr w:type="spellEnd"/>
            <w:r w:rsidRPr="00AF7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7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methicillinresistente</w:t>
            </w:r>
            <w:proofErr w:type="spellEnd"/>
            <w:r w:rsidRPr="00AF7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stammer</w:t>
            </w:r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14:paraId="5BC3DB9A" w14:textId="77777777" w:rsidR="00CB3906" w:rsidRPr="00AF7A82" w:rsidRDefault="00CB3906" w:rsidP="00AF7A8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Streptococcus agalactiae</w:t>
            </w:r>
          </w:p>
          <w:p w14:paraId="03CC8435" w14:textId="77777777" w:rsidR="00CB3906" w:rsidRPr="00AF7A82" w:rsidRDefault="00CB3906" w:rsidP="00AF7A8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Streptococcus </w:t>
            </w:r>
            <w:proofErr w:type="spell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dysgalactiae</w:t>
            </w:r>
            <w:proofErr w:type="spellEnd"/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subsp. </w:t>
            </w:r>
            <w:proofErr w:type="spell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equisimilis</w:t>
            </w:r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  <w:p w14:paraId="57F88FE3" w14:textId="77777777" w:rsidR="00CB3906" w:rsidRPr="00AF7A82" w:rsidRDefault="00CB3906" w:rsidP="00AF7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A82">
              <w:rPr>
                <w:rFonts w:ascii="Times New Roman" w:hAnsi="Times New Roman" w:cs="Times New Roman"/>
                <w:sz w:val="24"/>
                <w:szCs w:val="24"/>
              </w:rPr>
              <w:t>(gruppe C- og G</w:t>
            </w:r>
            <w:r w:rsidRPr="00AF7A82">
              <w:rPr>
                <w:rFonts w:ascii="Times New Roman" w:hAnsi="Times New Roman" w:cs="Times New Roman"/>
                <w:sz w:val="24"/>
                <w:szCs w:val="24"/>
              </w:rPr>
              <w:noBreakHyphen/>
              <w:t>streptokokker)</w:t>
            </w:r>
          </w:p>
          <w:p w14:paraId="75B4DEDD" w14:textId="77777777" w:rsidR="00CB3906" w:rsidRPr="00AF7A82" w:rsidRDefault="00CB3906" w:rsidP="00AF7A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>Streptococcus</w:t>
            </w:r>
            <w:proofErr w:type="spellEnd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>pneumoniae</w:t>
            </w:r>
            <w:proofErr w:type="spellEnd"/>
          </w:p>
          <w:p w14:paraId="36D6B79A" w14:textId="77777777" w:rsidR="00CB3906" w:rsidRPr="00AF7A82" w:rsidRDefault="00CB3906" w:rsidP="00AF7A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>Streptococcus</w:t>
            </w:r>
            <w:proofErr w:type="spellEnd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>pyogenes</w:t>
            </w:r>
            <w:proofErr w:type="spellEnd"/>
          </w:p>
          <w:p w14:paraId="0B4147B5" w14:textId="77777777" w:rsidR="00AF7A82" w:rsidRPr="00AF7A82" w:rsidRDefault="00AF7A82" w:rsidP="00AF7A82">
            <w:pPr>
              <w:pStyle w:val="Bodytext20"/>
              <w:spacing w:before="0" w:after="0" w:line="240" w:lineRule="auto"/>
              <w:ind w:firstLine="0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AF7A82">
              <w:rPr>
                <w:rFonts w:ascii="Times New Roman" w:hAnsi="Times New Roman"/>
                <w:i/>
                <w:sz w:val="24"/>
                <w:szCs w:val="24"/>
              </w:rPr>
              <w:t xml:space="preserve">Streptokokker i </w:t>
            </w:r>
            <w:proofErr w:type="spellStart"/>
            <w:r w:rsidRPr="00AF7A82">
              <w:rPr>
                <w:rFonts w:ascii="Times New Roman" w:hAnsi="Times New Roman"/>
                <w:i/>
                <w:sz w:val="24"/>
                <w:szCs w:val="24"/>
              </w:rPr>
              <w:t>viridansgruppe</w:t>
            </w:r>
            <w:proofErr w:type="spellEnd"/>
            <w:r w:rsidRPr="00AF7A8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a</w:t>
            </w:r>
            <w:r w:rsidRPr="00AF7A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F7A8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b</w:t>
            </w:r>
          </w:p>
          <w:p w14:paraId="667BD6B1" w14:textId="015093C3" w:rsidR="00CB3906" w:rsidRPr="00AF7A82" w:rsidRDefault="00CB3906" w:rsidP="00AF7A82">
            <w:pPr>
              <w:pStyle w:val="Bodytext20"/>
              <w:spacing w:before="0"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F7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Anaerobe grampositive bakterier</w:t>
            </w:r>
          </w:p>
          <w:p w14:paraId="37E8410F" w14:textId="77777777" w:rsidR="00CB3906" w:rsidRPr="00AF7A82" w:rsidRDefault="00CB3906" w:rsidP="00AF7A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>Clostridium</w:t>
            </w:r>
            <w:proofErr w:type="spellEnd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difficile</w:t>
            </w:r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α</w:t>
            </w:r>
          </w:p>
          <w:p w14:paraId="6414A07B" w14:textId="77777777" w:rsidR="00CB3906" w:rsidRPr="00AF7A82" w:rsidRDefault="00CB3906" w:rsidP="00AF7A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>Peptostreptococcus</w:t>
            </w:r>
            <w:proofErr w:type="spellEnd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>spp</w:t>
            </w:r>
            <w:proofErr w:type="spellEnd"/>
            <w:r w:rsidRPr="00AF7A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F7A8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α</w:t>
            </w:r>
            <w:proofErr w:type="gramEnd"/>
          </w:p>
          <w:p w14:paraId="00328142" w14:textId="77777777" w:rsidR="00CB3906" w:rsidRPr="00325490" w:rsidRDefault="00CB3906" w:rsidP="00CB39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B3906" w:rsidRPr="00325490" w14:paraId="3976A3E9" w14:textId="77777777" w:rsidTr="0090551D">
        <w:tc>
          <w:tcPr>
            <w:tcW w:w="8647" w:type="dxa"/>
          </w:tcPr>
          <w:p w14:paraId="201274A4" w14:textId="77777777" w:rsidR="00CB3906" w:rsidRPr="00325490" w:rsidRDefault="00CB3906" w:rsidP="00CB3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90">
              <w:rPr>
                <w:rFonts w:ascii="Times New Roman" w:hAnsi="Times New Roman" w:cs="Times New Roman"/>
                <w:b/>
                <w:sz w:val="24"/>
                <w:szCs w:val="24"/>
              </w:rPr>
              <w:t>Arter, for hvilke erhvervet resistens kan være et problem</w:t>
            </w:r>
          </w:p>
          <w:p w14:paraId="7F1189FF" w14:textId="77777777" w:rsidR="00CB3906" w:rsidRPr="00325490" w:rsidRDefault="00CB3906" w:rsidP="00CB39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549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Aerobe </w:t>
            </w:r>
            <w:proofErr w:type="spellStart"/>
            <w:r w:rsidRPr="0032549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grampositive</w:t>
            </w:r>
            <w:proofErr w:type="spellEnd"/>
            <w:r w:rsidRPr="0032549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49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bakterier</w:t>
            </w:r>
            <w:proofErr w:type="spellEnd"/>
          </w:p>
          <w:p w14:paraId="5EE7F458" w14:textId="77777777" w:rsidR="00CB3906" w:rsidRPr="00325490" w:rsidRDefault="00CB3906" w:rsidP="00CB390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Enterococcus faecium</w:t>
            </w:r>
          </w:p>
          <w:p w14:paraId="0395C5CA" w14:textId="77777777" w:rsidR="00CB3906" w:rsidRPr="00325490" w:rsidRDefault="00CB3906" w:rsidP="00CB390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Staphylococcus epidermidis</w:t>
            </w:r>
          </w:p>
          <w:p w14:paraId="23D1867D" w14:textId="77777777" w:rsidR="00CB3906" w:rsidRPr="00325490" w:rsidRDefault="00CB3906" w:rsidP="00CB390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Staphylococcus </w:t>
            </w: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haemolyticus</w:t>
            </w:r>
            <w:proofErr w:type="spellEnd"/>
          </w:p>
          <w:p w14:paraId="3821346A" w14:textId="77777777" w:rsidR="00CB3906" w:rsidRPr="00325490" w:rsidRDefault="00CB3906" w:rsidP="00CB39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  <w:proofErr w:type="spellEnd"/>
            <w:r w:rsidRPr="00325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</w:rPr>
              <w:t>hominis</w:t>
            </w:r>
            <w:proofErr w:type="spellEnd"/>
          </w:p>
          <w:p w14:paraId="7A9ECEF6" w14:textId="77777777" w:rsidR="00CB3906" w:rsidRPr="00325490" w:rsidRDefault="00CB3906" w:rsidP="00CB39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B3906" w:rsidRPr="00325490" w14:paraId="6311A119" w14:textId="77777777" w:rsidTr="0090551D">
        <w:tc>
          <w:tcPr>
            <w:tcW w:w="8647" w:type="dxa"/>
          </w:tcPr>
          <w:p w14:paraId="5D8096AF" w14:textId="77777777" w:rsidR="00CB3906" w:rsidRPr="00325490" w:rsidRDefault="00CB3906" w:rsidP="00CB3906">
            <w:pP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325490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Naturligt resistente bakterier</w:t>
            </w:r>
          </w:p>
          <w:p w14:paraId="2921A4D2" w14:textId="77777777" w:rsidR="00CB3906" w:rsidRPr="00325490" w:rsidRDefault="00CB3906" w:rsidP="00CB3906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2549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Alle </w:t>
            </w:r>
            <w:proofErr w:type="spellStart"/>
            <w:r w:rsidRPr="0032549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gramnegative</w:t>
            </w:r>
            <w:proofErr w:type="spellEnd"/>
            <w:r w:rsidRPr="0032549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bakterier</w:t>
            </w:r>
          </w:p>
          <w:p w14:paraId="0ABCDFB0" w14:textId="77777777" w:rsidR="00CB3906" w:rsidRPr="00325490" w:rsidRDefault="00CB3906" w:rsidP="00CB39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v-SE"/>
              </w:rPr>
            </w:pPr>
            <w:r w:rsidRPr="00325490">
              <w:rPr>
                <w:rFonts w:ascii="Times New Roman" w:hAnsi="Times New Roman" w:cs="Times New Roman"/>
                <w:b/>
                <w:i/>
                <w:sz w:val="24"/>
                <w:szCs w:val="24"/>
                <w:lang w:val="sv-SE"/>
              </w:rPr>
              <w:t>Andre bakterier</w:t>
            </w:r>
          </w:p>
          <w:p w14:paraId="0ADE1CC9" w14:textId="77777777" w:rsidR="00CB3906" w:rsidRPr="00325490" w:rsidRDefault="00CB3906" w:rsidP="00CB3906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Chlamydia</w:t>
            </w:r>
            <w:proofErr w:type="spellEnd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spp</w:t>
            </w:r>
            <w:proofErr w:type="spellEnd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.</w:t>
            </w:r>
          </w:p>
          <w:p w14:paraId="06030731" w14:textId="77777777" w:rsidR="00CB3906" w:rsidRPr="00325490" w:rsidRDefault="00CB3906" w:rsidP="00CB3906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Chlamydophila</w:t>
            </w:r>
            <w:proofErr w:type="spellEnd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spp</w:t>
            </w:r>
            <w:proofErr w:type="spellEnd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.</w:t>
            </w:r>
          </w:p>
          <w:p w14:paraId="3D3790CF" w14:textId="77777777" w:rsidR="00CB3906" w:rsidRPr="00325490" w:rsidRDefault="00CB3906" w:rsidP="00CB3906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Legionella</w:t>
            </w:r>
            <w:proofErr w:type="spellEnd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pneumophila</w:t>
            </w:r>
            <w:proofErr w:type="spellEnd"/>
          </w:p>
          <w:p w14:paraId="17BB1CE9" w14:textId="77777777" w:rsidR="00CB3906" w:rsidRPr="00325490" w:rsidRDefault="00CB3906" w:rsidP="00CB3906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Mycoplasma </w:t>
            </w:r>
            <w:proofErr w:type="spellStart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spp</w:t>
            </w:r>
            <w:proofErr w:type="spellEnd"/>
            <w:r w:rsidRPr="00325490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.</w:t>
            </w:r>
          </w:p>
          <w:p w14:paraId="177AF4E5" w14:textId="77777777" w:rsidR="00CB3906" w:rsidRPr="00325490" w:rsidRDefault="00CB3906" w:rsidP="00CB39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8AF25BB" w14:textId="5933A602" w:rsidR="00CB3906" w:rsidRPr="00325490" w:rsidRDefault="00CB3906" w:rsidP="00CB3906">
      <w:pPr>
        <w:ind w:left="1134" w:hanging="283"/>
        <w:rPr>
          <w:sz w:val="24"/>
          <w:szCs w:val="24"/>
        </w:rPr>
      </w:pPr>
      <w:r w:rsidRPr="00325490">
        <w:rPr>
          <w:sz w:val="24"/>
          <w:szCs w:val="24"/>
          <w:vertAlign w:val="superscript"/>
        </w:rPr>
        <w:t>α</w:t>
      </w:r>
      <w:r w:rsidRPr="00325490">
        <w:rPr>
          <w:sz w:val="24"/>
          <w:szCs w:val="24"/>
        </w:rPr>
        <w:t xml:space="preserve"> </w:t>
      </w:r>
      <w:r w:rsidRPr="00325490">
        <w:rPr>
          <w:sz w:val="24"/>
          <w:szCs w:val="24"/>
        </w:rPr>
        <w:tab/>
      </w:r>
      <w:r w:rsidR="00AF7A82">
        <w:rPr>
          <w:sz w:val="24"/>
          <w:szCs w:val="24"/>
        </w:rPr>
        <w:t>I</w:t>
      </w:r>
      <w:r w:rsidRPr="00325490">
        <w:rPr>
          <w:sz w:val="24"/>
          <w:szCs w:val="24"/>
        </w:rPr>
        <w:t>ngen aktuelle data</w:t>
      </w:r>
      <w:r w:rsidR="00AF7A82">
        <w:rPr>
          <w:sz w:val="24"/>
          <w:szCs w:val="24"/>
        </w:rPr>
        <w:t xml:space="preserve"> var tilgængelige</w:t>
      </w:r>
      <w:r w:rsidRPr="00325490">
        <w:rPr>
          <w:sz w:val="24"/>
          <w:szCs w:val="24"/>
        </w:rPr>
        <w:t>, da tabellerne blev offentliggjort. Den primære litteratur, standardreferencer og behandlingsvejledninger antager følsomhed.</w:t>
      </w:r>
    </w:p>
    <w:p w14:paraId="624732F3" w14:textId="23F8C1BC" w:rsidR="00CB3906" w:rsidRPr="00325490" w:rsidRDefault="00CB3906" w:rsidP="00CB3906">
      <w:pPr>
        <w:ind w:left="1134" w:hanging="283"/>
        <w:rPr>
          <w:sz w:val="24"/>
          <w:szCs w:val="24"/>
        </w:rPr>
      </w:pPr>
      <w:r w:rsidRPr="00325490">
        <w:rPr>
          <w:sz w:val="24"/>
          <w:szCs w:val="24"/>
          <w:vertAlign w:val="superscript"/>
        </w:rPr>
        <w:t>b</w:t>
      </w:r>
      <w:r w:rsidRPr="00325490">
        <w:rPr>
          <w:sz w:val="24"/>
          <w:szCs w:val="24"/>
        </w:rPr>
        <w:t xml:space="preserve"> </w:t>
      </w:r>
      <w:r w:rsidRPr="00325490">
        <w:rPr>
          <w:sz w:val="24"/>
          <w:szCs w:val="24"/>
        </w:rPr>
        <w:tab/>
        <w:t xml:space="preserve">Fællesbetegnelse for en heterogen gruppe af </w:t>
      </w:r>
      <w:proofErr w:type="spellStart"/>
      <w:r w:rsidRPr="00325490">
        <w:rPr>
          <w:i/>
          <w:iCs/>
          <w:sz w:val="24"/>
          <w:szCs w:val="24"/>
        </w:rPr>
        <w:t>Streptococcus</w:t>
      </w:r>
      <w:proofErr w:type="spellEnd"/>
      <w:r w:rsidRPr="00325490">
        <w:rPr>
          <w:sz w:val="24"/>
          <w:szCs w:val="24"/>
        </w:rPr>
        <w:t xml:space="preserve">-arter. Resistensraten kan variere afhængigt af den konkrete </w:t>
      </w:r>
      <w:proofErr w:type="spellStart"/>
      <w:r w:rsidRPr="00325490">
        <w:rPr>
          <w:i/>
          <w:iCs/>
          <w:sz w:val="24"/>
          <w:szCs w:val="24"/>
        </w:rPr>
        <w:t>Streptococcus</w:t>
      </w:r>
      <w:proofErr w:type="spellEnd"/>
      <w:r w:rsidRPr="00325490">
        <w:rPr>
          <w:sz w:val="24"/>
          <w:szCs w:val="24"/>
        </w:rPr>
        <w:t>-art.</w:t>
      </w:r>
    </w:p>
    <w:p w14:paraId="5ED5CD58" w14:textId="758B725C" w:rsidR="00EF6DF4" w:rsidRDefault="00EF6D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AF30DB" w14:textId="77777777" w:rsidR="009260DE" w:rsidRPr="00325490" w:rsidRDefault="009260DE" w:rsidP="00CB3906">
      <w:pPr>
        <w:rPr>
          <w:sz w:val="24"/>
          <w:szCs w:val="24"/>
        </w:rPr>
      </w:pPr>
    </w:p>
    <w:p w14:paraId="4B338894" w14:textId="77777777" w:rsidR="009260DE" w:rsidRPr="00325490" w:rsidRDefault="009260DE" w:rsidP="00487974">
      <w:pPr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5.2</w:t>
      </w:r>
      <w:r w:rsidRPr="00325490">
        <w:rPr>
          <w:b/>
          <w:sz w:val="24"/>
          <w:szCs w:val="24"/>
        </w:rPr>
        <w:tab/>
      </w:r>
      <w:proofErr w:type="spellStart"/>
      <w:r w:rsidRPr="00325490">
        <w:rPr>
          <w:b/>
          <w:sz w:val="24"/>
          <w:szCs w:val="24"/>
        </w:rPr>
        <w:t>Farmakokinetiske</w:t>
      </w:r>
      <w:proofErr w:type="spellEnd"/>
      <w:r w:rsidRPr="00325490">
        <w:rPr>
          <w:b/>
          <w:sz w:val="24"/>
          <w:szCs w:val="24"/>
        </w:rPr>
        <w:t xml:space="preserve"> egenskaber</w:t>
      </w:r>
    </w:p>
    <w:p w14:paraId="71D7D71C" w14:textId="77777777" w:rsidR="00610AE8" w:rsidRDefault="00610AE8" w:rsidP="00487974">
      <w:pPr>
        <w:ind w:left="851"/>
        <w:rPr>
          <w:sz w:val="24"/>
          <w:szCs w:val="24"/>
        </w:rPr>
      </w:pPr>
    </w:p>
    <w:p w14:paraId="467AADEF" w14:textId="28E4EFFF" w:rsidR="006420CF" w:rsidRPr="00610AE8" w:rsidRDefault="006420CF" w:rsidP="00487974">
      <w:pPr>
        <w:ind w:left="851"/>
        <w:rPr>
          <w:sz w:val="24"/>
          <w:szCs w:val="24"/>
          <w:u w:val="single"/>
        </w:rPr>
      </w:pPr>
      <w:r w:rsidRPr="00610AE8">
        <w:rPr>
          <w:sz w:val="24"/>
          <w:szCs w:val="24"/>
          <w:u w:val="single"/>
        </w:rPr>
        <w:t>Absorption</w:t>
      </w:r>
    </w:p>
    <w:p w14:paraId="6B6F915F" w14:textId="77777777" w:rsidR="006420CF" w:rsidRPr="00325490" w:rsidRDefault="006420CF" w:rsidP="00487974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administreres parenteralt (intravenøst eller intramuskulært). Efter intramuskulær administration er biotilgængeligheden af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(sammenlignet med intravenøs administration) næsten fuldstændig (90 %). Efter seks daglige intramuskulære doser à 200 mg er den gennemsnitlige (SD) maksimale </w:t>
      </w:r>
      <w:proofErr w:type="spellStart"/>
      <w:r w:rsidRPr="00325490">
        <w:rPr>
          <w:sz w:val="24"/>
          <w:szCs w:val="24"/>
        </w:rPr>
        <w:t>teicoplaninkoncentration</w:t>
      </w:r>
      <w:proofErr w:type="spellEnd"/>
      <w:r w:rsidRPr="00325490">
        <w:rPr>
          <w:sz w:val="24"/>
          <w:szCs w:val="24"/>
        </w:rPr>
        <w:t xml:space="preserve"> (</w:t>
      </w:r>
      <w:proofErr w:type="spellStart"/>
      <w:r w:rsidRPr="00325490">
        <w:rPr>
          <w:sz w:val="24"/>
          <w:szCs w:val="24"/>
        </w:rPr>
        <w:t>C</w:t>
      </w:r>
      <w:r w:rsidRPr="00325490">
        <w:rPr>
          <w:sz w:val="24"/>
          <w:szCs w:val="24"/>
          <w:vertAlign w:val="subscript"/>
        </w:rPr>
        <w:t>max</w:t>
      </w:r>
      <w:proofErr w:type="spellEnd"/>
      <w:r w:rsidRPr="00325490">
        <w:rPr>
          <w:sz w:val="24"/>
          <w:szCs w:val="24"/>
        </w:rPr>
        <w:t>) 12,1 (0,9) mg/l og opnås 2 timer efter administration.</w:t>
      </w:r>
    </w:p>
    <w:p w14:paraId="3228EAC4" w14:textId="77777777" w:rsidR="006420CF" w:rsidRPr="0050056A" w:rsidRDefault="006420CF" w:rsidP="0050056A">
      <w:pPr>
        <w:ind w:left="851"/>
        <w:rPr>
          <w:sz w:val="24"/>
          <w:szCs w:val="24"/>
        </w:rPr>
      </w:pPr>
    </w:p>
    <w:p w14:paraId="13C5B353" w14:textId="77777777" w:rsidR="0050056A" w:rsidRPr="0050056A" w:rsidRDefault="0050056A" w:rsidP="0050056A">
      <w:pPr>
        <w:tabs>
          <w:tab w:val="left" w:pos="567"/>
        </w:tabs>
        <w:autoSpaceDE w:val="0"/>
        <w:autoSpaceDN w:val="0"/>
        <w:adjustRightInd w:val="0"/>
        <w:ind w:left="851"/>
        <w:rPr>
          <w:bCs/>
          <w:sz w:val="24"/>
          <w:szCs w:val="24"/>
        </w:rPr>
      </w:pPr>
      <w:r w:rsidRPr="0050056A">
        <w:rPr>
          <w:sz w:val="24"/>
          <w:szCs w:val="24"/>
        </w:rPr>
        <w:t xml:space="preserve">Efter en intravenøs støddosis på 6 mg/kg hver 12. time, givet 3 til 5 gange, ligger </w:t>
      </w:r>
      <w:proofErr w:type="spellStart"/>
      <w:r w:rsidRPr="0050056A">
        <w:rPr>
          <w:sz w:val="24"/>
          <w:szCs w:val="24"/>
        </w:rPr>
        <w:t>C</w:t>
      </w:r>
      <w:r w:rsidRPr="0050056A">
        <w:rPr>
          <w:sz w:val="24"/>
          <w:szCs w:val="24"/>
          <w:vertAlign w:val="subscript"/>
        </w:rPr>
        <w:t>max</w:t>
      </w:r>
      <w:proofErr w:type="spellEnd"/>
      <w:r w:rsidRPr="0050056A">
        <w:rPr>
          <w:sz w:val="24"/>
          <w:szCs w:val="24"/>
        </w:rPr>
        <w:t xml:space="preserve">-værdierne mellem 60 til 70 mg/l, og </w:t>
      </w:r>
      <w:proofErr w:type="spellStart"/>
      <w:r w:rsidRPr="0050056A">
        <w:rPr>
          <w:sz w:val="24"/>
          <w:szCs w:val="24"/>
        </w:rPr>
        <w:t>C</w:t>
      </w:r>
      <w:r w:rsidRPr="0050056A">
        <w:rPr>
          <w:sz w:val="24"/>
          <w:szCs w:val="24"/>
          <w:vertAlign w:val="subscript"/>
        </w:rPr>
        <w:t>trough</w:t>
      </w:r>
      <w:proofErr w:type="spellEnd"/>
      <w:r w:rsidRPr="0050056A">
        <w:rPr>
          <w:sz w:val="24"/>
          <w:szCs w:val="24"/>
        </w:rPr>
        <w:t xml:space="preserve"> er normalt over 10 mg/l. Efter en intravenøs støddosis på 12 mg/kg administreret hver 12. time, 3 gange, estimeres gennemsnitsværdierne for </w:t>
      </w:r>
      <w:proofErr w:type="spellStart"/>
      <w:r w:rsidRPr="0050056A">
        <w:rPr>
          <w:sz w:val="24"/>
          <w:szCs w:val="24"/>
        </w:rPr>
        <w:t>C</w:t>
      </w:r>
      <w:r w:rsidRPr="0050056A">
        <w:rPr>
          <w:sz w:val="24"/>
          <w:szCs w:val="24"/>
          <w:vertAlign w:val="subscript"/>
        </w:rPr>
        <w:t>max</w:t>
      </w:r>
      <w:proofErr w:type="spellEnd"/>
      <w:r w:rsidRPr="0050056A">
        <w:rPr>
          <w:sz w:val="24"/>
          <w:szCs w:val="24"/>
        </w:rPr>
        <w:t xml:space="preserve"> og </w:t>
      </w:r>
      <w:proofErr w:type="spellStart"/>
      <w:r w:rsidRPr="0050056A">
        <w:rPr>
          <w:sz w:val="24"/>
          <w:szCs w:val="24"/>
        </w:rPr>
        <w:t>C</w:t>
      </w:r>
      <w:r w:rsidRPr="0050056A">
        <w:rPr>
          <w:sz w:val="24"/>
          <w:szCs w:val="24"/>
          <w:vertAlign w:val="subscript"/>
        </w:rPr>
        <w:t>trough</w:t>
      </w:r>
      <w:proofErr w:type="spellEnd"/>
      <w:r w:rsidRPr="0050056A">
        <w:rPr>
          <w:sz w:val="24"/>
          <w:szCs w:val="24"/>
        </w:rPr>
        <w:t xml:space="preserve"> til at være henholdsvis omkring 100 mg/l og 20 mg/l.</w:t>
      </w:r>
    </w:p>
    <w:p w14:paraId="227D2DC7" w14:textId="77777777" w:rsidR="0050056A" w:rsidRPr="0050056A" w:rsidRDefault="0050056A" w:rsidP="0050056A">
      <w:pPr>
        <w:tabs>
          <w:tab w:val="left" w:pos="567"/>
        </w:tabs>
        <w:autoSpaceDE w:val="0"/>
        <w:autoSpaceDN w:val="0"/>
        <w:adjustRightInd w:val="0"/>
        <w:ind w:left="851"/>
        <w:rPr>
          <w:bCs/>
          <w:sz w:val="24"/>
          <w:szCs w:val="24"/>
        </w:rPr>
      </w:pPr>
    </w:p>
    <w:p w14:paraId="3751EEBB" w14:textId="77777777" w:rsidR="0050056A" w:rsidRPr="0050056A" w:rsidRDefault="0050056A" w:rsidP="0050056A">
      <w:pPr>
        <w:tabs>
          <w:tab w:val="left" w:pos="567"/>
        </w:tabs>
        <w:autoSpaceDE w:val="0"/>
        <w:autoSpaceDN w:val="0"/>
        <w:adjustRightInd w:val="0"/>
        <w:ind w:left="851"/>
        <w:rPr>
          <w:bCs/>
          <w:sz w:val="24"/>
          <w:szCs w:val="24"/>
        </w:rPr>
      </w:pPr>
      <w:r w:rsidRPr="0050056A">
        <w:rPr>
          <w:sz w:val="24"/>
          <w:szCs w:val="24"/>
        </w:rPr>
        <w:t xml:space="preserve">Efter en vedligeholdelsesdosis på 6 mg/kg administreret én gang dagligt er </w:t>
      </w:r>
      <w:proofErr w:type="spellStart"/>
      <w:r w:rsidRPr="0050056A">
        <w:rPr>
          <w:sz w:val="24"/>
          <w:szCs w:val="24"/>
        </w:rPr>
        <w:t>C</w:t>
      </w:r>
      <w:r w:rsidRPr="0050056A">
        <w:rPr>
          <w:sz w:val="24"/>
          <w:szCs w:val="24"/>
          <w:vertAlign w:val="subscript"/>
        </w:rPr>
        <w:t>max</w:t>
      </w:r>
      <w:proofErr w:type="spellEnd"/>
      <w:r w:rsidRPr="0050056A">
        <w:rPr>
          <w:sz w:val="24"/>
          <w:szCs w:val="24"/>
        </w:rPr>
        <w:t xml:space="preserve">- og </w:t>
      </w:r>
      <w:proofErr w:type="spellStart"/>
      <w:r w:rsidRPr="0050056A">
        <w:rPr>
          <w:sz w:val="24"/>
          <w:szCs w:val="24"/>
        </w:rPr>
        <w:t>C</w:t>
      </w:r>
      <w:r w:rsidRPr="0050056A">
        <w:rPr>
          <w:sz w:val="24"/>
          <w:szCs w:val="24"/>
          <w:vertAlign w:val="subscript"/>
        </w:rPr>
        <w:t>trough</w:t>
      </w:r>
      <w:proofErr w:type="spellEnd"/>
      <w:r w:rsidRPr="0050056A">
        <w:rPr>
          <w:sz w:val="24"/>
          <w:szCs w:val="24"/>
        </w:rPr>
        <w:t xml:space="preserve">-værdierne henholdsvis cirka 70 mg/l og 15 mg/l. Efter en vedligeholdelsesdosis på 12 mg/kg én gang dagligt ligger </w:t>
      </w:r>
      <w:proofErr w:type="spellStart"/>
      <w:r w:rsidRPr="0050056A">
        <w:rPr>
          <w:sz w:val="24"/>
          <w:szCs w:val="24"/>
        </w:rPr>
        <w:t>C</w:t>
      </w:r>
      <w:r w:rsidRPr="0050056A">
        <w:rPr>
          <w:sz w:val="24"/>
          <w:szCs w:val="24"/>
          <w:vertAlign w:val="subscript"/>
        </w:rPr>
        <w:t>trough</w:t>
      </w:r>
      <w:proofErr w:type="spellEnd"/>
      <w:r w:rsidRPr="0050056A">
        <w:rPr>
          <w:sz w:val="24"/>
          <w:szCs w:val="24"/>
        </w:rPr>
        <w:t>-værdierne mellem 18 og 30 mg/l.</w:t>
      </w:r>
    </w:p>
    <w:p w14:paraId="5D4041B1" w14:textId="77777777" w:rsidR="0050056A" w:rsidRPr="0050056A" w:rsidRDefault="0050056A" w:rsidP="0050056A">
      <w:pPr>
        <w:tabs>
          <w:tab w:val="left" w:pos="567"/>
        </w:tabs>
        <w:autoSpaceDE w:val="0"/>
        <w:autoSpaceDN w:val="0"/>
        <w:adjustRightInd w:val="0"/>
        <w:ind w:left="851"/>
        <w:rPr>
          <w:bCs/>
          <w:sz w:val="24"/>
          <w:szCs w:val="24"/>
        </w:rPr>
      </w:pPr>
    </w:p>
    <w:p w14:paraId="05250144" w14:textId="77777777" w:rsidR="0050056A" w:rsidRPr="0050056A" w:rsidRDefault="0050056A" w:rsidP="0050056A">
      <w:pPr>
        <w:tabs>
          <w:tab w:val="left" w:pos="567"/>
        </w:tabs>
        <w:autoSpaceDE w:val="0"/>
        <w:autoSpaceDN w:val="0"/>
        <w:adjustRightInd w:val="0"/>
        <w:ind w:left="851"/>
        <w:rPr>
          <w:bCs/>
          <w:sz w:val="24"/>
          <w:szCs w:val="24"/>
        </w:rPr>
      </w:pPr>
      <w:r w:rsidRPr="0050056A">
        <w:rPr>
          <w:sz w:val="24"/>
          <w:szCs w:val="24"/>
        </w:rPr>
        <w:t xml:space="preserve">Ved oral administration absorberes </w:t>
      </w:r>
      <w:proofErr w:type="spellStart"/>
      <w:r w:rsidRPr="0050056A">
        <w:rPr>
          <w:sz w:val="24"/>
          <w:szCs w:val="24"/>
        </w:rPr>
        <w:t>teicoplanin</w:t>
      </w:r>
      <w:proofErr w:type="spellEnd"/>
      <w:r w:rsidRPr="0050056A">
        <w:rPr>
          <w:sz w:val="24"/>
          <w:szCs w:val="24"/>
        </w:rPr>
        <w:t xml:space="preserve"> ikke fra mave-tarm-kanalen. Ved oral administration af en enkeltdosis på 250 eller 500 mg til raske forsøgspersoner påvises </w:t>
      </w:r>
      <w:proofErr w:type="spellStart"/>
      <w:r w:rsidRPr="0050056A">
        <w:rPr>
          <w:sz w:val="24"/>
          <w:szCs w:val="24"/>
        </w:rPr>
        <w:t>teicoplanin</w:t>
      </w:r>
      <w:proofErr w:type="spellEnd"/>
      <w:r w:rsidRPr="0050056A">
        <w:rPr>
          <w:sz w:val="24"/>
          <w:szCs w:val="24"/>
        </w:rPr>
        <w:t xml:space="preserve"> ikke i serum eller urin, men genfindes kun uændret i fæces (ca. 45 % af den administrerede dosis). </w:t>
      </w:r>
    </w:p>
    <w:p w14:paraId="77AE38A2" w14:textId="77777777" w:rsidR="0050056A" w:rsidRPr="0050056A" w:rsidRDefault="0050056A" w:rsidP="0050056A">
      <w:pPr>
        <w:tabs>
          <w:tab w:val="left" w:pos="567"/>
        </w:tabs>
        <w:autoSpaceDE w:val="0"/>
        <w:autoSpaceDN w:val="0"/>
        <w:adjustRightInd w:val="0"/>
        <w:ind w:left="851"/>
        <w:rPr>
          <w:bCs/>
          <w:sz w:val="24"/>
          <w:szCs w:val="24"/>
        </w:rPr>
      </w:pPr>
    </w:p>
    <w:p w14:paraId="71BFA220" w14:textId="77777777" w:rsidR="0050056A" w:rsidRPr="0050056A" w:rsidRDefault="0050056A" w:rsidP="0050056A">
      <w:pPr>
        <w:tabs>
          <w:tab w:val="left" w:pos="567"/>
        </w:tabs>
        <w:autoSpaceDE w:val="0"/>
        <w:autoSpaceDN w:val="0"/>
        <w:adjustRightInd w:val="0"/>
        <w:ind w:left="851"/>
        <w:rPr>
          <w:bCs/>
          <w:sz w:val="24"/>
          <w:szCs w:val="24"/>
          <w:u w:val="single"/>
        </w:rPr>
      </w:pPr>
      <w:r w:rsidRPr="0050056A">
        <w:rPr>
          <w:sz w:val="24"/>
          <w:szCs w:val="24"/>
          <w:u w:val="single"/>
        </w:rPr>
        <w:t>Fordeling</w:t>
      </w:r>
    </w:p>
    <w:p w14:paraId="5FBB8874" w14:textId="38F1F7BC" w:rsidR="0050056A" w:rsidRPr="0050056A" w:rsidRDefault="0050056A" w:rsidP="0050056A">
      <w:pPr>
        <w:tabs>
          <w:tab w:val="left" w:pos="567"/>
        </w:tabs>
        <w:autoSpaceDE w:val="0"/>
        <w:autoSpaceDN w:val="0"/>
        <w:adjustRightInd w:val="0"/>
        <w:ind w:left="851"/>
        <w:rPr>
          <w:bCs/>
          <w:sz w:val="24"/>
          <w:szCs w:val="24"/>
        </w:rPr>
      </w:pPr>
      <w:r w:rsidRPr="0050056A">
        <w:rPr>
          <w:sz w:val="24"/>
          <w:szCs w:val="24"/>
        </w:rPr>
        <w:t xml:space="preserve">Bindingen til humane serumproteiner ligger mellem 87,6 % og 90,8 % og påvirkes ikke af </w:t>
      </w:r>
      <w:proofErr w:type="spellStart"/>
      <w:r w:rsidRPr="0050056A">
        <w:rPr>
          <w:sz w:val="24"/>
          <w:szCs w:val="24"/>
        </w:rPr>
        <w:t>teicoplanin</w:t>
      </w:r>
      <w:proofErr w:type="spellEnd"/>
      <w:r w:rsidRPr="0050056A">
        <w:rPr>
          <w:sz w:val="24"/>
          <w:szCs w:val="24"/>
        </w:rPr>
        <w:t xml:space="preserve">-koncentrationen. </w:t>
      </w:r>
      <w:proofErr w:type="spellStart"/>
      <w:r w:rsidRPr="0050056A">
        <w:rPr>
          <w:sz w:val="24"/>
          <w:szCs w:val="24"/>
        </w:rPr>
        <w:t>Teicoplanin</w:t>
      </w:r>
      <w:proofErr w:type="spellEnd"/>
      <w:r w:rsidRPr="0050056A">
        <w:rPr>
          <w:sz w:val="24"/>
          <w:szCs w:val="24"/>
        </w:rPr>
        <w:t xml:space="preserve"> bindes primært til humant serumalbumin. </w:t>
      </w:r>
      <w:proofErr w:type="spellStart"/>
      <w:r w:rsidRPr="0050056A">
        <w:rPr>
          <w:sz w:val="24"/>
          <w:szCs w:val="24"/>
        </w:rPr>
        <w:t>Teicoplanin</w:t>
      </w:r>
      <w:proofErr w:type="spellEnd"/>
      <w:r w:rsidRPr="0050056A">
        <w:rPr>
          <w:sz w:val="24"/>
          <w:szCs w:val="24"/>
        </w:rPr>
        <w:t xml:space="preserve"> fordeles ikke i røde blodleg</w:t>
      </w:r>
      <w:r w:rsidR="00EF6DF4">
        <w:rPr>
          <w:sz w:val="24"/>
          <w:szCs w:val="24"/>
        </w:rPr>
        <w:t>e</w:t>
      </w:r>
      <w:r w:rsidRPr="0050056A">
        <w:rPr>
          <w:sz w:val="24"/>
          <w:szCs w:val="24"/>
        </w:rPr>
        <w:t>mer.</w:t>
      </w:r>
    </w:p>
    <w:p w14:paraId="185C2F7D" w14:textId="77777777" w:rsidR="006420CF" w:rsidRPr="0050056A" w:rsidRDefault="006420CF" w:rsidP="0050056A">
      <w:pPr>
        <w:ind w:left="851"/>
        <w:rPr>
          <w:sz w:val="24"/>
          <w:szCs w:val="24"/>
        </w:rPr>
      </w:pPr>
    </w:p>
    <w:p w14:paraId="23968675" w14:textId="77777777" w:rsidR="006420CF" w:rsidRPr="00325490" w:rsidRDefault="006420CF" w:rsidP="00487974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Fordelingsvolumen ved </w:t>
      </w:r>
      <w:proofErr w:type="spellStart"/>
      <w:r w:rsidRPr="00325490">
        <w:rPr>
          <w:i/>
          <w:iCs/>
          <w:sz w:val="24"/>
          <w:szCs w:val="24"/>
        </w:rPr>
        <w:t>steady</w:t>
      </w:r>
      <w:proofErr w:type="spellEnd"/>
      <w:r w:rsidRPr="00325490">
        <w:rPr>
          <w:i/>
          <w:iCs/>
          <w:sz w:val="24"/>
          <w:szCs w:val="24"/>
        </w:rPr>
        <w:t xml:space="preserve"> </w:t>
      </w:r>
      <w:proofErr w:type="spellStart"/>
      <w:r w:rsidRPr="00325490">
        <w:rPr>
          <w:i/>
          <w:iCs/>
          <w:sz w:val="24"/>
          <w:szCs w:val="24"/>
        </w:rPr>
        <w:t>state</w:t>
      </w:r>
      <w:proofErr w:type="spellEnd"/>
      <w:r w:rsidRPr="00325490">
        <w:rPr>
          <w:sz w:val="24"/>
          <w:szCs w:val="24"/>
        </w:rPr>
        <w:t xml:space="preserve"> (</w:t>
      </w:r>
      <w:proofErr w:type="spellStart"/>
      <w:r w:rsidRPr="00325490">
        <w:rPr>
          <w:sz w:val="24"/>
          <w:szCs w:val="24"/>
        </w:rPr>
        <w:t>V</w:t>
      </w:r>
      <w:r w:rsidRPr="0050056A">
        <w:rPr>
          <w:sz w:val="24"/>
          <w:szCs w:val="24"/>
        </w:rPr>
        <w:t>ss</w:t>
      </w:r>
      <w:proofErr w:type="spellEnd"/>
      <w:r w:rsidRPr="00325490">
        <w:rPr>
          <w:sz w:val="24"/>
          <w:szCs w:val="24"/>
        </w:rPr>
        <w:t xml:space="preserve">) varierer fra 0,7 til 1,4 l/kg. De højeste </w:t>
      </w:r>
      <w:proofErr w:type="spellStart"/>
      <w:r w:rsidRPr="00325490">
        <w:rPr>
          <w:sz w:val="24"/>
          <w:szCs w:val="24"/>
        </w:rPr>
        <w:t>V</w:t>
      </w:r>
      <w:r w:rsidRPr="0050056A">
        <w:rPr>
          <w:sz w:val="24"/>
          <w:szCs w:val="24"/>
        </w:rPr>
        <w:t>ss</w:t>
      </w:r>
      <w:proofErr w:type="spellEnd"/>
      <w:r w:rsidRPr="00325490">
        <w:rPr>
          <w:sz w:val="24"/>
          <w:szCs w:val="24"/>
        </w:rPr>
        <w:t>-værdier er observeret i nyere studier, hvor prøvetagningsperioden var længere end 8 dage.</w:t>
      </w:r>
    </w:p>
    <w:p w14:paraId="60B10B3F" w14:textId="77777777" w:rsidR="006420CF" w:rsidRPr="00325490" w:rsidRDefault="006420CF" w:rsidP="00487974">
      <w:pPr>
        <w:ind w:left="851"/>
        <w:rPr>
          <w:sz w:val="24"/>
          <w:szCs w:val="24"/>
        </w:rPr>
      </w:pPr>
    </w:p>
    <w:p w14:paraId="03095A70" w14:textId="77777777" w:rsidR="006420CF" w:rsidRPr="00325490" w:rsidRDefault="006420CF" w:rsidP="00487974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fordeles hovedsageligt til lunge-, </w:t>
      </w:r>
      <w:proofErr w:type="spellStart"/>
      <w:r w:rsidRPr="00325490">
        <w:rPr>
          <w:sz w:val="24"/>
          <w:szCs w:val="24"/>
        </w:rPr>
        <w:t>myokardie</w:t>
      </w:r>
      <w:proofErr w:type="spellEnd"/>
      <w:r w:rsidRPr="00325490">
        <w:rPr>
          <w:sz w:val="24"/>
          <w:szCs w:val="24"/>
        </w:rPr>
        <w:t xml:space="preserve">- og knoglevæv med vævs/serum-forhold over 1. I blærevæske, </w:t>
      </w:r>
      <w:proofErr w:type="spellStart"/>
      <w:r w:rsidRPr="00325490">
        <w:rPr>
          <w:sz w:val="24"/>
          <w:szCs w:val="24"/>
        </w:rPr>
        <w:t>synovialvæske</w:t>
      </w:r>
      <w:proofErr w:type="spellEnd"/>
      <w:r w:rsidRPr="00325490">
        <w:rPr>
          <w:sz w:val="24"/>
          <w:szCs w:val="24"/>
        </w:rPr>
        <w:t xml:space="preserve"> og </w:t>
      </w:r>
      <w:proofErr w:type="spellStart"/>
      <w:r w:rsidRPr="00325490">
        <w:rPr>
          <w:sz w:val="24"/>
          <w:szCs w:val="24"/>
        </w:rPr>
        <w:t>peritonealvæske</w:t>
      </w:r>
      <w:proofErr w:type="spellEnd"/>
      <w:r w:rsidRPr="00325490">
        <w:rPr>
          <w:sz w:val="24"/>
          <w:szCs w:val="24"/>
        </w:rPr>
        <w:t xml:space="preserve"> ligger vævs/serum-forholdet mellem 0,5 og 1. </w:t>
      </w:r>
    </w:p>
    <w:p w14:paraId="18DF3968" w14:textId="77777777" w:rsidR="006420CF" w:rsidRPr="00325490" w:rsidRDefault="006420CF" w:rsidP="00487974">
      <w:pPr>
        <w:ind w:left="851"/>
        <w:rPr>
          <w:sz w:val="24"/>
          <w:szCs w:val="24"/>
        </w:rPr>
      </w:pPr>
    </w:p>
    <w:p w14:paraId="46A9FF88" w14:textId="77777777" w:rsidR="006420CF" w:rsidRPr="00325490" w:rsidRDefault="006420CF" w:rsidP="00487974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Elimineringen af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fra </w:t>
      </w:r>
      <w:proofErr w:type="spellStart"/>
      <w:r w:rsidRPr="00325490">
        <w:rPr>
          <w:sz w:val="24"/>
          <w:szCs w:val="24"/>
        </w:rPr>
        <w:t>peritonealvæsken</w:t>
      </w:r>
      <w:proofErr w:type="spellEnd"/>
      <w:r w:rsidRPr="00325490">
        <w:rPr>
          <w:sz w:val="24"/>
          <w:szCs w:val="24"/>
        </w:rPr>
        <w:t xml:space="preserve"> sker med samme hastighed som fra serum. I pleuravæske og subkutant fedtvæv ligger vævs/serum-forholdet mellem 0,2 og 0,5.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trænger ikke hurtigt ind i cerebrospinalvæsken (CSF).</w:t>
      </w:r>
    </w:p>
    <w:p w14:paraId="02BCF075" w14:textId="77777777" w:rsidR="006420CF" w:rsidRPr="00325490" w:rsidRDefault="006420CF" w:rsidP="00487974">
      <w:pPr>
        <w:ind w:left="851"/>
        <w:rPr>
          <w:sz w:val="24"/>
          <w:szCs w:val="24"/>
        </w:rPr>
      </w:pPr>
    </w:p>
    <w:p w14:paraId="25616922" w14:textId="77777777" w:rsidR="006420CF" w:rsidRPr="00610AE8" w:rsidRDefault="006420CF" w:rsidP="00487974">
      <w:pPr>
        <w:ind w:left="851"/>
        <w:rPr>
          <w:sz w:val="24"/>
          <w:szCs w:val="24"/>
          <w:u w:val="single"/>
        </w:rPr>
      </w:pPr>
      <w:r w:rsidRPr="00610AE8">
        <w:rPr>
          <w:sz w:val="24"/>
          <w:szCs w:val="24"/>
          <w:u w:val="single"/>
        </w:rPr>
        <w:t>Biotransformation</w:t>
      </w:r>
    </w:p>
    <w:p w14:paraId="250B12C6" w14:textId="77777777" w:rsidR="006420CF" w:rsidRPr="00325490" w:rsidRDefault="006420CF" w:rsidP="00487974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forekommer primært i uændret form i plasma og urin, hvilket indikerer, at stoffet kun i begrænset omfang </w:t>
      </w:r>
      <w:proofErr w:type="spellStart"/>
      <w:r w:rsidRPr="00325490">
        <w:rPr>
          <w:sz w:val="24"/>
          <w:szCs w:val="24"/>
        </w:rPr>
        <w:t>metaboliseres</w:t>
      </w:r>
      <w:proofErr w:type="spellEnd"/>
      <w:r w:rsidRPr="00325490">
        <w:rPr>
          <w:sz w:val="24"/>
          <w:szCs w:val="24"/>
        </w:rPr>
        <w:t xml:space="preserve">. Der dannes to metabolitter, sandsynligvis ved </w:t>
      </w:r>
      <w:proofErr w:type="spellStart"/>
      <w:r w:rsidRPr="00325490">
        <w:rPr>
          <w:sz w:val="24"/>
          <w:szCs w:val="24"/>
        </w:rPr>
        <w:t>hydroxylering</w:t>
      </w:r>
      <w:proofErr w:type="spellEnd"/>
      <w:r w:rsidRPr="00325490">
        <w:rPr>
          <w:sz w:val="24"/>
          <w:szCs w:val="24"/>
        </w:rPr>
        <w:t>, og de udgør 2</w:t>
      </w:r>
      <w:r w:rsidRPr="00325490">
        <w:rPr>
          <w:sz w:val="24"/>
          <w:szCs w:val="24"/>
        </w:rPr>
        <w:noBreakHyphen/>
        <w:t>3 % af den administrerede dosis.</w:t>
      </w:r>
    </w:p>
    <w:p w14:paraId="34DC031B" w14:textId="77777777" w:rsidR="006420CF" w:rsidRPr="00325490" w:rsidRDefault="006420CF" w:rsidP="00487974">
      <w:pPr>
        <w:ind w:left="851"/>
        <w:rPr>
          <w:sz w:val="24"/>
          <w:szCs w:val="24"/>
          <w:lang w:val="nl-NL"/>
        </w:rPr>
      </w:pPr>
    </w:p>
    <w:p w14:paraId="77700017" w14:textId="77777777" w:rsidR="006420CF" w:rsidRPr="00610AE8" w:rsidRDefault="006420CF" w:rsidP="00487974">
      <w:pPr>
        <w:ind w:left="851"/>
        <w:rPr>
          <w:sz w:val="24"/>
          <w:szCs w:val="24"/>
          <w:u w:val="single"/>
        </w:rPr>
      </w:pPr>
      <w:r w:rsidRPr="00610AE8">
        <w:rPr>
          <w:sz w:val="24"/>
          <w:szCs w:val="24"/>
          <w:u w:val="single"/>
        </w:rPr>
        <w:t>Elimination</w:t>
      </w:r>
    </w:p>
    <w:p w14:paraId="1EC07808" w14:textId="77777777" w:rsidR="006420CF" w:rsidRPr="00325490" w:rsidRDefault="006420CF" w:rsidP="00487974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 xml:space="preserve">Uændret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udskilles primært via urinvejene (80 % inden for 16 dage), mens 2,7 % af den administrerede dosis genfindes i fæces (via galdeudskillelse) inden for 8 dage efter administration.</w:t>
      </w:r>
    </w:p>
    <w:p w14:paraId="58C9802E" w14:textId="77777777" w:rsidR="006420CF" w:rsidRPr="00325490" w:rsidRDefault="006420CF" w:rsidP="00487974">
      <w:pPr>
        <w:ind w:left="851"/>
        <w:rPr>
          <w:sz w:val="24"/>
          <w:szCs w:val="24"/>
        </w:rPr>
      </w:pPr>
    </w:p>
    <w:p w14:paraId="4547442B" w14:textId="3AD4F597" w:rsidR="006420CF" w:rsidRPr="00325490" w:rsidRDefault="006420CF" w:rsidP="00487974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lastRenderedPageBreak/>
        <w:t xml:space="preserve">Eliminationshalveringstiden for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varierer fra 100</w:t>
      </w:r>
      <w:r w:rsidRPr="00325490">
        <w:rPr>
          <w:sz w:val="24"/>
          <w:szCs w:val="24"/>
        </w:rPr>
        <w:noBreakHyphen/>
        <w:t xml:space="preserve">170 timer i de nyeste studier, hvor </w:t>
      </w:r>
      <w:r w:rsidR="0050056A">
        <w:rPr>
          <w:sz w:val="24"/>
          <w:szCs w:val="24"/>
        </w:rPr>
        <w:t>blod</w:t>
      </w:r>
      <w:r w:rsidRPr="00325490">
        <w:rPr>
          <w:sz w:val="24"/>
          <w:szCs w:val="24"/>
        </w:rPr>
        <w:t>prøvetagningsperioden er cirka 8</w:t>
      </w:r>
      <w:r w:rsidRPr="00325490">
        <w:rPr>
          <w:sz w:val="24"/>
          <w:szCs w:val="24"/>
        </w:rPr>
        <w:noBreakHyphen/>
        <w:t>35 dage.</w:t>
      </w:r>
    </w:p>
    <w:p w14:paraId="5A0F0F32" w14:textId="77777777" w:rsidR="006420CF" w:rsidRPr="00325490" w:rsidRDefault="006420CF" w:rsidP="00487974">
      <w:pPr>
        <w:ind w:left="851"/>
        <w:rPr>
          <w:sz w:val="24"/>
          <w:szCs w:val="24"/>
        </w:rPr>
      </w:pPr>
    </w:p>
    <w:p w14:paraId="0EC6C862" w14:textId="77777777" w:rsidR="006420CF" w:rsidRPr="00325490" w:rsidRDefault="006420CF" w:rsidP="00487974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har en lav total </w:t>
      </w:r>
      <w:proofErr w:type="spellStart"/>
      <w:r w:rsidRPr="00325490">
        <w:rPr>
          <w:sz w:val="24"/>
          <w:szCs w:val="24"/>
        </w:rPr>
        <w:t>clearance</w:t>
      </w:r>
      <w:proofErr w:type="spellEnd"/>
      <w:r w:rsidRPr="00325490">
        <w:rPr>
          <w:sz w:val="24"/>
          <w:szCs w:val="24"/>
        </w:rPr>
        <w:t xml:space="preserve"> i området 10</w:t>
      </w:r>
      <w:r w:rsidRPr="00325490">
        <w:rPr>
          <w:sz w:val="24"/>
          <w:szCs w:val="24"/>
        </w:rPr>
        <w:noBreakHyphen/>
        <w:t xml:space="preserve">14 ml/time/kg og en </w:t>
      </w:r>
      <w:proofErr w:type="spellStart"/>
      <w:r w:rsidRPr="00325490">
        <w:rPr>
          <w:sz w:val="24"/>
          <w:szCs w:val="24"/>
        </w:rPr>
        <w:t>renal</w:t>
      </w:r>
      <w:proofErr w:type="spellEnd"/>
      <w:r w:rsidRPr="00325490">
        <w:rPr>
          <w:sz w:val="24"/>
          <w:szCs w:val="24"/>
        </w:rPr>
        <w:t xml:space="preserve"> </w:t>
      </w:r>
      <w:proofErr w:type="spellStart"/>
      <w:r w:rsidRPr="00325490">
        <w:rPr>
          <w:sz w:val="24"/>
          <w:szCs w:val="24"/>
        </w:rPr>
        <w:t>clearance</w:t>
      </w:r>
      <w:proofErr w:type="spellEnd"/>
      <w:r w:rsidRPr="00325490">
        <w:rPr>
          <w:sz w:val="24"/>
          <w:szCs w:val="24"/>
        </w:rPr>
        <w:t xml:space="preserve"> i området 8 til 12 ml/time/kg, hvilket indikerer, at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primært udskilles via </w:t>
      </w:r>
      <w:proofErr w:type="spellStart"/>
      <w:r w:rsidRPr="00325490">
        <w:rPr>
          <w:sz w:val="24"/>
          <w:szCs w:val="24"/>
        </w:rPr>
        <w:t>renale</w:t>
      </w:r>
      <w:proofErr w:type="spellEnd"/>
      <w:r w:rsidRPr="00325490">
        <w:rPr>
          <w:sz w:val="24"/>
          <w:szCs w:val="24"/>
        </w:rPr>
        <w:t xml:space="preserve"> mekanismer.</w:t>
      </w:r>
    </w:p>
    <w:p w14:paraId="7B021B8F" w14:textId="77777777" w:rsidR="006420CF" w:rsidRPr="00325490" w:rsidRDefault="006420CF" w:rsidP="00487974">
      <w:pPr>
        <w:ind w:left="851"/>
        <w:rPr>
          <w:sz w:val="24"/>
          <w:szCs w:val="24"/>
        </w:rPr>
      </w:pPr>
    </w:p>
    <w:p w14:paraId="1AE8337D" w14:textId="77777777" w:rsidR="006420CF" w:rsidRPr="00610AE8" w:rsidRDefault="006420CF" w:rsidP="00487974">
      <w:pPr>
        <w:ind w:left="851"/>
        <w:rPr>
          <w:sz w:val="24"/>
          <w:szCs w:val="24"/>
          <w:u w:val="single"/>
        </w:rPr>
      </w:pPr>
      <w:r w:rsidRPr="00610AE8">
        <w:rPr>
          <w:sz w:val="24"/>
          <w:szCs w:val="24"/>
          <w:u w:val="single"/>
        </w:rPr>
        <w:t>Linearitet</w:t>
      </w:r>
    </w:p>
    <w:p w14:paraId="590C03AC" w14:textId="77777777" w:rsidR="006420CF" w:rsidRPr="00325490" w:rsidRDefault="006420CF" w:rsidP="00487974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udviser lineær farmakokinetik i dosisområdet 2</w:t>
      </w:r>
      <w:r w:rsidRPr="00325490">
        <w:rPr>
          <w:sz w:val="24"/>
          <w:szCs w:val="24"/>
        </w:rPr>
        <w:noBreakHyphen/>
        <w:t>25 mg/kg.</w:t>
      </w:r>
    </w:p>
    <w:p w14:paraId="3CF5BF57" w14:textId="77777777" w:rsidR="006420CF" w:rsidRPr="00325490" w:rsidRDefault="006420CF" w:rsidP="00487974">
      <w:pPr>
        <w:ind w:left="851"/>
        <w:rPr>
          <w:sz w:val="24"/>
          <w:szCs w:val="24"/>
        </w:rPr>
      </w:pPr>
    </w:p>
    <w:p w14:paraId="3ABA4EFD" w14:textId="77777777" w:rsidR="006420CF" w:rsidRPr="00610AE8" w:rsidRDefault="006420CF" w:rsidP="00487974">
      <w:pPr>
        <w:ind w:left="851"/>
        <w:rPr>
          <w:sz w:val="24"/>
          <w:szCs w:val="24"/>
          <w:u w:val="single"/>
        </w:rPr>
      </w:pPr>
      <w:r w:rsidRPr="00610AE8">
        <w:rPr>
          <w:sz w:val="24"/>
          <w:szCs w:val="24"/>
          <w:u w:val="single"/>
        </w:rPr>
        <w:t>Særlige populationer</w:t>
      </w:r>
    </w:p>
    <w:p w14:paraId="18750658" w14:textId="77777777" w:rsidR="006420CF" w:rsidRPr="00610AE8" w:rsidRDefault="006420CF" w:rsidP="00610AE8">
      <w:pPr>
        <w:pStyle w:val="Listeafsnit"/>
        <w:numPr>
          <w:ilvl w:val="0"/>
          <w:numId w:val="15"/>
        </w:numPr>
        <w:ind w:left="1276" w:hanging="425"/>
        <w:rPr>
          <w:i/>
          <w:sz w:val="24"/>
          <w:szCs w:val="24"/>
        </w:rPr>
      </w:pPr>
      <w:r w:rsidRPr="00610AE8">
        <w:rPr>
          <w:i/>
          <w:sz w:val="24"/>
          <w:szCs w:val="24"/>
        </w:rPr>
        <w:t>Nedsat nyrefunktion:</w:t>
      </w:r>
    </w:p>
    <w:p w14:paraId="5C812DEA" w14:textId="77777777" w:rsidR="006420CF" w:rsidRPr="00610AE8" w:rsidRDefault="006420CF" w:rsidP="00610AE8">
      <w:pPr>
        <w:pStyle w:val="Listeafsnit"/>
        <w:ind w:left="1276"/>
        <w:rPr>
          <w:sz w:val="24"/>
          <w:szCs w:val="24"/>
        </w:rPr>
      </w:pPr>
      <w:r w:rsidRPr="00610AE8">
        <w:rPr>
          <w:sz w:val="24"/>
          <w:szCs w:val="24"/>
        </w:rPr>
        <w:t xml:space="preserve">Da </w:t>
      </w:r>
      <w:proofErr w:type="spellStart"/>
      <w:r w:rsidRPr="00610AE8">
        <w:rPr>
          <w:sz w:val="24"/>
          <w:szCs w:val="24"/>
        </w:rPr>
        <w:t>teicoplanin</w:t>
      </w:r>
      <w:proofErr w:type="spellEnd"/>
      <w:r w:rsidRPr="00610AE8">
        <w:rPr>
          <w:sz w:val="24"/>
          <w:szCs w:val="24"/>
        </w:rPr>
        <w:t xml:space="preserve"> udskilles via nyrerne, aftager eliminationen af </w:t>
      </w:r>
      <w:proofErr w:type="spellStart"/>
      <w:r w:rsidRPr="00610AE8">
        <w:rPr>
          <w:sz w:val="24"/>
          <w:szCs w:val="24"/>
        </w:rPr>
        <w:t>teicoplanin</w:t>
      </w:r>
      <w:proofErr w:type="spellEnd"/>
      <w:r w:rsidRPr="00610AE8">
        <w:rPr>
          <w:sz w:val="24"/>
          <w:szCs w:val="24"/>
        </w:rPr>
        <w:t xml:space="preserve"> i takt med graden af nedsat nyrefunktion. Den totale og </w:t>
      </w:r>
      <w:proofErr w:type="spellStart"/>
      <w:r w:rsidRPr="00610AE8">
        <w:rPr>
          <w:sz w:val="24"/>
          <w:szCs w:val="24"/>
        </w:rPr>
        <w:t>renale</w:t>
      </w:r>
      <w:proofErr w:type="spellEnd"/>
      <w:r w:rsidRPr="00610AE8">
        <w:rPr>
          <w:sz w:val="24"/>
          <w:szCs w:val="24"/>
        </w:rPr>
        <w:t xml:space="preserve"> </w:t>
      </w:r>
      <w:proofErr w:type="spellStart"/>
      <w:r w:rsidRPr="00610AE8">
        <w:rPr>
          <w:sz w:val="24"/>
          <w:szCs w:val="24"/>
        </w:rPr>
        <w:t>clearance</w:t>
      </w:r>
      <w:proofErr w:type="spellEnd"/>
      <w:r w:rsidRPr="00610AE8">
        <w:rPr>
          <w:sz w:val="24"/>
          <w:szCs w:val="24"/>
        </w:rPr>
        <w:t xml:space="preserve"> af </w:t>
      </w:r>
      <w:proofErr w:type="spellStart"/>
      <w:r w:rsidRPr="00610AE8">
        <w:rPr>
          <w:sz w:val="24"/>
          <w:szCs w:val="24"/>
        </w:rPr>
        <w:t>teicoplanin</w:t>
      </w:r>
      <w:proofErr w:type="spellEnd"/>
      <w:r w:rsidRPr="00610AE8">
        <w:rPr>
          <w:sz w:val="24"/>
          <w:szCs w:val="24"/>
        </w:rPr>
        <w:t xml:space="preserve"> afhænger af </w:t>
      </w:r>
      <w:proofErr w:type="spellStart"/>
      <w:r w:rsidRPr="00610AE8">
        <w:rPr>
          <w:sz w:val="24"/>
          <w:szCs w:val="24"/>
        </w:rPr>
        <w:t>kreatininclearance</w:t>
      </w:r>
      <w:proofErr w:type="spellEnd"/>
      <w:r w:rsidRPr="00610AE8">
        <w:rPr>
          <w:sz w:val="24"/>
          <w:szCs w:val="24"/>
        </w:rPr>
        <w:t>.</w:t>
      </w:r>
    </w:p>
    <w:p w14:paraId="62CB62F1" w14:textId="77777777" w:rsidR="006420CF" w:rsidRPr="00325490" w:rsidRDefault="006420CF" w:rsidP="00610AE8">
      <w:pPr>
        <w:ind w:left="1276" w:hanging="425"/>
        <w:rPr>
          <w:sz w:val="24"/>
          <w:szCs w:val="24"/>
        </w:rPr>
      </w:pPr>
    </w:p>
    <w:p w14:paraId="2F9F97D6" w14:textId="77777777" w:rsidR="006420CF" w:rsidRPr="00610AE8" w:rsidRDefault="006420CF" w:rsidP="00610AE8">
      <w:pPr>
        <w:pStyle w:val="Listeafsnit"/>
        <w:numPr>
          <w:ilvl w:val="0"/>
          <w:numId w:val="15"/>
        </w:numPr>
        <w:ind w:left="1276" w:hanging="425"/>
        <w:rPr>
          <w:i/>
          <w:sz w:val="24"/>
          <w:szCs w:val="24"/>
        </w:rPr>
      </w:pPr>
      <w:r w:rsidRPr="00610AE8">
        <w:rPr>
          <w:i/>
          <w:sz w:val="24"/>
          <w:szCs w:val="24"/>
        </w:rPr>
        <w:t>Ældre patienter:</w:t>
      </w:r>
    </w:p>
    <w:p w14:paraId="1890AFE1" w14:textId="77777777" w:rsidR="006420CF" w:rsidRPr="00610AE8" w:rsidRDefault="006420CF" w:rsidP="00610AE8">
      <w:pPr>
        <w:pStyle w:val="Listeafsnit"/>
        <w:ind w:left="1276"/>
        <w:rPr>
          <w:sz w:val="24"/>
          <w:szCs w:val="24"/>
        </w:rPr>
      </w:pPr>
      <w:r w:rsidRPr="00610AE8">
        <w:rPr>
          <w:sz w:val="24"/>
          <w:szCs w:val="24"/>
        </w:rPr>
        <w:t xml:space="preserve">Hos ældre patienter ændres </w:t>
      </w:r>
      <w:proofErr w:type="spellStart"/>
      <w:r w:rsidRPr="00610AE8">
        <w:rPr>
          <w:sz w:val="24"/>
          <w:szCs w:val="24"/>
        </w:rPr>
        <w:t>teicoplanins</w:t>
      </w:r>
      <w:proofErr w:type="spellEnd"/>
      <w:r w:rsidRPr="00610AE8">
        <w:rPr>
          <w:sz w:val="24"/>
          <w:szCs w:val="24"/>
        </w:rPr>
        <w:t xml:space="preserve"> farmakokinetik ikke, medmindre nyrefunktionen er nedsat.</w:t>
      </w:r>
    </w:p>
    <w:p w14:paraId="01B81AFE" w14:textId="77777777" w:rsidR="006420CF" w:rsidRPr="00325490" w:rsidRDefault="006420CF" w:rsidP="00610AE8">
      <w:pPr>
        <w:ind w:left="1276" w:hanging="425"/>
        <w:rPr>
          <w:sz w:val="24"/>
          <w:szCs w:val="24"/>
        </w:rPr>
      </w:pPr>
    </w:p>
    <w:p w14:paraId="0EF023FF" w14:textId="77777777" w:rsidR="006420CF" w:rsidRPr="00610AE8" w:rsidRDefault="006420CF" w:rsidP="00610AE8">
      <w:pPr>
        <w:pStyle w:val="Listeafsnit"/>
        <w:numPr>
          <w:ilvl w:val="0"/>
          <w:numId w:val="15"/>
        </w:numPr>
        <w:ind w:left="1276" w:hanging="425"/>
        <w:rPr>
          <w:i/>
          <w:sz w:val="24"/>
          <w:szCs w:val="24"/>
        </w:rPr>
      </w:pPr>
      <w:r w:rsidRPr="00610AE8">
        <w:rPr>
          <w:i/>
          <w:sz w:val="24"/>
          <w:szCs w:val="24"/>
        </w:rPr>
        <w:t>Pædiatrisk population:</w:t>
      </w:r>
    </w:p>
    <w:p w14:paraId="2DA19713" w14:textId="77777777" w:rsidR="006420CF" w:rsidRPr="00610AE8" w:rsidRDefault="006420CF" w:rsidP="00610AE8">
      <w:pPr>
        <w:pStyle w:val="Listeafsnit"/>
        <w:ind w:left="1276"/>
        <w:rPr>
          <w:sz w:val="24"/>
          <w:szCs w:val="24"/>
        </w:rPr>
      </w:pPr>
      <w:r w:rsidRPr="00610AE8">
        <w:rPr>
          <w:sz w:val="24"/>
          <w:szCs w:val="24"/>
        </w:rPr>
        <w:t xml:space="preserve">En højere total </w:t>
      </w:r>
      <w:proofErr w:type="spellStart"/>
      <w:r w:rsidRPr="00610AE8">
        <w:rPr>
          <w:sz w:val="24"/>
          <w:szCs w:val="24"/>
        </w:rPr>
        <w:t>clearance</w:t>
      </w:r>
      <w:proofErr w:type="spellEnd"/>
      <w:r w:rsidRPr="00610AE8">
        <w:rPr>
          <w:sz w:val="24"/>
          <w:szCs w:val="24"/>
        </w:rPr>
        <w:t xml:space="preserve"> (15,8 ml/time/kg for nyfødte, 14,8 ml/time/kg ved en gennemsnitsalder på 8 år) og en kortere eliminationshalveringstid (40 timer for nyfødte; 58 timer for 8</w:t>
      </w:r>
      <w:r w:rsidRPr="00610AE8">
        <w:rPr>
          <w:sz w:val="24"/>
          <w:szCs w:val="24"/>
        </w:rPr>
        <w:noBreakHyphen/>
        <w:t>årige) er observeret sammenlignet med voksne patienter.</w:t>
      </w:r>
    </w:p>
    <w:p w14:paraId="3777EDFC" w14:textId="77777777" w:rsidR="009260DE" w:rsidRPr="00325490" w:rsidRDefault="009260DE" w:rsidP="00CB3906">
      <w:pPr>
        <w:rPr>
          <w:sz w:val="24"/>
          <w:szCs w:val="24"/>
        </w:rPr>
      </w:pPr>
    </w:p>
    <w:p w14:paraId="0EF1A142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5.3</w:t>
      </w:r>
      <w:r w:rsidRPr="00325490">
        <w:rPr>
          <w:b/>
          <w:sz w:val="24"/>
          <w:szCs w:val="24"/>
        </w:rPr>
        <w:tab/>
      </w:r>
      <w:r w:rsidR="00BD7931" w:rsidRPr="00325490">
        <w:rPr>
          <w:b/>
          <w:sz w:val="24"/>
          <w:szCs w:val="24"/>
        </w:rPr>
        <w:t>Non-</w:t>
      </w:r>
      <w:r w:rsidRPr="00325490">
        <w:rPr>
          <w:b/>
          <w:sz w:val="24"/>
          <w:szCs w:val="24"/>
        </w:rPr>
        <w:t>kliniske sikkerhedsdata</w:t>
      </w:r>
    </w:p>
    <w:p w14:paraId="68179AA8" w14:textId="77777777" w:rsidR="0050056A" w:rsidRPr="0050056A" w:rsidRDefault="0050056A" w:rsidP="0050056A">
      <w:pPr>
        <w:ind w:left="851"/>
        <w:rPr>
          <w:bCs/>
          <w:sz w:val="24"/>
          <w:szCs w:val="24"/>
        </w:rPr>
      </w:pPr>
      <w:r w:rsidRPr="0050056A">
        <w:rPr>
          <w:sz w:val="24"/>
          <w:szCs w:val="24"/>
        </w:rPr>
        <w:t xml:space="preserve">Gentagen parenteral administration til rotter og hunde medførte virkninger på nyrerne, som viste sig at være dosisafhængige og reversible. Studier, som undersøgte potentialet for </w:t>
      </w:r>
      <w:proofErr w:type="spellStart"/>
      <w:r w:rsidRPr="0050056A">
        <w:rPr>
          <w:sz w:val="24"/>
          <w:szCs w:val="24"/>
        </w:rPr>
        <w:t>ototoksicitet</w:t>
      </w:r>
      <w:proofErr w:type="spellEnd"/>
      <w:r w:rsidRPr="0050056A">
        <w:rPr>
          <w:sz w:val="24"/>
          <w:szCs w:val="24"/>
        </w:rPr>
        <w:t xml:space="preserve"> hos marsvin indikerer, at en let påvirkning af den </w:t>
      </w:r>
      <w:proofErr w:type="spellStart"/>
      <w:r w:rsidRPr="0050056A">
        <w:rPr>
          <w:sz w:val="24"/>
          <w:szCs w:val="24"/>
        </w:rPr>
        <w:t>kokleære</w:t>
      </w:r>
      <w:proofErr w:type="spellEnd"/>
      <w:r w:rsidRPr="0050056A">
        <w:rPr>
          <w:sz w:val="24"/>
          <w:szCs w:val="24"/>
        </w:rPr>
        <w:t xml:space="preserve"> og </w:t>
      </w:r>
      <w:proofErr w:type="spellStart"/>
      <w:r w:rsidRPr="0050056A">
        <w:rPr>
          <w:sz w:val="24"/>
          <w:szCs w:val="24"/>
        </w:rPr>
        <w:t>vestibulære</w:t>
      </w:r>
      <w:proofErr w:type="spellEnd"/>
      <w:r w:rsidRPr="0050056A">
        <w:rPr>
          <w:sz w:val="24"/>
          <w:szCs w:val="24"/>
        </w:rPr>
        <w:t xml:space="preserve"> funktion er mulig uden tilstedeværelse af morfologiske forandringer.</w:t>
      </w:r>
    </w:p>
    <w:p w14:paraId="6C9502C2" w14:textId="77777777" w:rsidR="0050056A" w:rsidRPr="0050056A" w:rsidRDefault="0050056A" w:rsidP="0050056A">
      <w:pPr>
        <w:ind w:left="851"/>
        <w:rPr>
          <w:bCs/>
          <w:sz w:val="24"/>
          <w:szCs w:val="24"/>
        </w:rPr>
      </w:pPr>
    </w:p>
    <w:p w14:paraId="2B97C39D" w14:textId="77777777" w:rsidR="0050056A" w:rsidRPr="0050056A" w:rsidRDefault="0050056A" w:rsidP="0050056A">
      <w:pPr>
        <w:ind w:left="851"/>
        <w:rPr>
          <w:bCs/>
          <w:sz w:val="24"/>
          <w:szCs w:val="24"/>
        </w:rPr>
      </w:pPr>
      <w:r w:rsidRPr="0050056A">
        <w:rPr>
          <w:sz w:val="24"/>
          <w:szCs w:val="24"/>
        </w:rPr>
        <w:t xml:space="preserve">Subkutan administration af </w:t>
      </w:r>
      <w:proofErr w:type="spellStart"/>
      <w:r w:rsidRPr="0050056A">
        <w:rPr>
          <w:sz w:val="24"/>
          <w:szCs w:val="24"/>
        </w:rPr>
        <w:t>teicoplanin</w:t>
      </w:r>
      <w:proofErr w:type="spellEnd"/>
      <w:r w:rsidRPr="0050056A">
        <w:rPr>
          <w:sz w:val="24"/>
          <w:szCs w:val="24"/>
        </w:rPr>
        <w:t xml:space="preserve"> på op til 40 mg/kg/dag havde ingen effekt på fertiliteten hos han- og hunrotter. I studier om </w:t>
      </w:r>
      <w:proofErr w:type="spellStart"/>
      <w:r w:rsidRPr="0050056A">
        <w:rPr>
          <w:sz w:val="24"/>
          <w:szCs w:val="24"/>
        </w:rPr>
        <w:t>embryoføtal</w:t>
      </w:r>
      <w:proofErr w:type="spellEnd"/>
      <w:r w:rsidRPr="0050056A">
        <w:rPr>
          <w:sz w:val="24"/>
          <w:szCs w:val="24"/>
        </w:rPr>
        <w:t xml:space="preserve"> udvikling blev der ikke observeret misdannelser efter subkutan administration af op til 200 mg/kg/dag hos rotter og intramuskulær administration på op til 15 mg/kg/dag hos kaniner. Hos rotter sås imidlertid en øget forekomst af dødfødsler ved doser på 100 mg/kg/dag og derover samt neonatal mortalitet ved 200 mg/kg/dag. Denne virkning blev ikke observeret ved 50 mg/kg/dag. Et peri- og </w:t>
      </w:r>
      <w:proofErr w:type="spellStart"/>
      <w:r w:rsidRPr="0050056A">
        <w:rPr>
          <w:sz w:val="24"/>
          <w:szCs w:val="24"/>
        </w:rPr>
        <w:t>postnatalt</w:t>
      </w:r>
      <w:proofErr w:type="spellEnd"/>
      <w:r w:rsidRPr="0050056A">
        <w:rPr>
          <w:sz w:val="24"/>
          <w:szCs w:val="24"/>
        </w:rPr>
        <w:t xml:space="preserve"> studie hos rotter viste ingen påvirkning af fertiliteten hos F1</w:t>
      </w:r>
      <w:r w:rsidRPr="0050056A">
        <w:rPr>
          <w:sz w:val="24"/>
          <w:szCs w:val="24"/>
        </w:rPr>
        <w:noBreakHyphen/>
        <w:t>generationen eller af overlevelsen og udviklingen hos F2</w:t>
      </w:r>
      <w:r w:rsidRPr="0050056A">
        <w:rPr>
          <w:sz w:val="24"/>
          <w:szCs w:val="24"/>
        </w:rPr>
        <w:noBreakHyphen/>
        <w:t>generationen efter subkutan administration af op til 40 mg/kg/dag.</w:t>
      </w:r>
    </w:p>
    <w:p w14:paraId="783830AE" w14:textId="77777777" w:rsidR="0050056A" w:rsidRPr="0050056A" w:rsidRDefault="0050056A" w:rsidP="0050056A">
      <w:pPr>
        <w:ind w:left="851"/>
        <w:rPr>
          <w:bCs/>
          <w:sz w:val="24"/>
          <w:szCs w:val="24"/>
          <w:lang w:val="nl-NL"/>
        </w:rPr>
      </w:pPr>
    </w:p>
    <w:p w14:paraId="03056917" w14:textId="1EB06A77" w:rsidR="006420CF" w:rsidRPr="0050056A" w:rsidRDefault="0050056A" w:rsidP="0050056A">
      <w:pPr>
        <w:ind w:left="851"/>
        <w:rPr>
          <w:bCs/>
          <w:sz w:val="24"/>
          <w:szCs w:val="24"/>
        </w:rPr>
      </w:pPr>
      <w:proofErr w:type="spellStart"/>
      <w:r w:rsidRPr="0050056A">
        <w:rPr>
          <w:sz w:val="24"/>
          <w:szCs w:val="24"/>
        </w:rPr>
        <w:t>Teicoplanin</w:t>
      </w:r>
      <w:proofErr w:type="spellEnd"/>
      <w:r w:rsidRPr="0050056A">
        <w:rPr>
          <w:sz w:val="24"/>
          <w:szCs w:val="24"/>
        </w:rPr>
        <w:t xml:space="preserve"> udviste ikke potentiale for </w:t>
      </w:r>
      <w:proofErr w:type="spellStart"/>
      <w:r w:rsidRPr="0050056A">
        <w:rPr>
          <w:sz w:val="24"/>
          <w:szCs w:val="24"/>
        </w:rPr>
        <w:t>antigenicitet</w:t>
      </w:r>
      <w:proofErr w:type="spellEnd"/>
      <w:r w:rsidRPr="0050056A">
        <w:rPr>
          <w:sz w:val="24"/>
          <w:szCs w:val="24"/>
        </w:rPr>
        <w:t xml:space="preserve"> (hos mus, marsvin eller kaniner), genotoksicitet eller lokalirritation.</w:t>
      </w:r>
    </w:p>
    <w:p w14:paraId="0E903271" w14:textId="77777777" w:rsidR="009260DE" w:rsidRPr="00325490" w:rsidRDefault="009260DE" w:rsidP="00487974">
      <w:pPr>
        <w:ind w:left="851"/>
        <w:rPr>
          <w:sz w:val="24"/>
          <w:szCs w:val="24"/>
        </w:rPr>
      </w:pPr>
    </w:p>
    <w:p w14:paraId="4CEBCA5A" w14:textId="35B9A74A" w:rsidR="00EF6DF4" w:rsidRDefault="00EF6D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539102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CBECC78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6.</w:t>
      </w:r>
      <w:r w:rsidRPr="00325490">
        <w:rPr>
          <w:b/>
          <w:sz w:val="24"/>
          <w:szCs w:val="24"/>
        </w:rPr>
        <w:tab/>
        <w:t>FARMACEUTISKE OPLYSNINGER</w:t>
      </w:r>
    </w:p>
    <w:p w14:paraId="0EB6CF0B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6319C5C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6.1</w:t>
      </w:r>
      <w:r w:rsidRPr="00325490">
        <w:rPr>
          <w:b/>
          <w:sz w:val="24"/>
          <w:szCs w:val="24"/>
        </w:rPr>
        <w:tab/>
        <w:t>Hjælpestoffer</w:t>
      </w:r>
    </w:p>
    <w:p w14:paraId="559A22F0" w14:textId="693B1816" w:rsidR="006420CF" w:rsidRPr="00325490" w:rsidRDefault="006420CF" w:rsidP="007E6BC1">
      <w:pPr>
        <w:ind w:left="851"/>
        <w:rPr>
          <w:sz w:val="24"/>
          <w:szCs w:val="24"/>
        </w:rPr>
      </w:pPr>
    </w:p>
    <w:p w14:paraId="153B2F27" w14:textId="32FF5E37" w:rsidR="006420CF" w:rsidRPr="00325490" w:rsidRDefault="006420CF" w:rsidP="007E6BC1">
      <w:pPr>
        <w:ind w:left="851"/>
        <w:rPr>
          <w:sz w:val="24"/>
          <w:szCs w:val="24"/>
        </w:rPr>
      </w:pPr>
      <w:r w:rsidRPr="00325490">
        <w:rPr>
          <w:sz w:val="24"/>
          <w:szCs w:val="24"/>
          <w:u w:val="single"/>
        </w:rPr>
        <w:t>Pulver til injektions-/infusionsvæske, opløsning:</w:t>
      </w:r>
    </w:p>
    <w:p w14:paraId="1A8C961B" w14:textId="77777777" w:rsidR="006420CF" w:rsidRPr="00325490" w:rsidRDefault="006420CF" w:rsidP="007E6BC1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Natriumchlorid</w:t>
      </w:r>
      <w:proofErr w:type="spellEnd"/>
    </w:p>
    <w:p w14:paraId="1E67405C" w14:textId="77777777" w:rsidR="006420CF" w:rsidRPr="00325490" w:rsidRDefault="006420CF" w:rsidP="007E6BC1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Natriumhydroxid (til justering af pH)</w:t>
      </w:r>
    </w:p>
    <w:p w14:paraId="7A1CC5E3" w14:textId="77777777" w:rsidR="006420CF" w:rsidRPr="00325490" w:rsidRDefault="006420CF" w:rsidP="007E6BC1">
      <w:pPr>
        <w:ind w:left="851"/>
        <w:rPr>
          <w:sz w:val="24"/>
          <w:szCs w:val="24"/>
        </w:rPr>
      </w:pPr>
    </w:p>
    <w:p w14:paraId="3CE085B5" w14:textId="77777777" w:rsidR="006420CF" w:rsidRPr="00325490" w:rsidRDefault="006420CF" w:rsidP="007E6BC1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Solvens:</w:t>
      </w:r>
    </w:p>
    <w:p w14:paraId="0C764E7E" w14:textId="77777777" w:rsidR="006420CF" w:rsidRPr="00325490" w:rsidRDefault="006420CF" w:rsidP="007E6BC1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Vand til injektionsvæsker</w:t>
      </w:r>
    </w:p>
    <w:p w14:paraId="5507DDB3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9D0ECF4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6.2</w:t>
      </w:r>
      <w:r w:rsidRPr="00325490">
        <w:rPr>
          <w:b/>
          <w:sz w:val="24"/>
          <w:szCs w:val="24"/>
        </w:rPr>
        <w:tab/>
        <w:t>Uforligeligheder</w:t>
      </w:r>
    </w:p>
    <w:p w14:paraId="74DE205A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og aminoglykosider er inkompatible ved direkte blanding og må ikke blandes før injektion. </w:t>
      </w:r>
    </w:p>
    <w:p w14:paraId="088C1E66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  <w:r w:rsidRPr="00325490">
        <w:rPr>
          <w:sz w:val="24"/>
          <w:szCs w:val="24"/>
        </w:rPr>
        <w:t xml:space="preserve">Ved kombinationsterapi med andre antibiotika skal </w:t>
      </w: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administreres separat.</w:t>
      </w:r>
    </w:p>
    <w:p w14:paraId="0276F2B8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</w:p>
    <w:p w14:paraId="284A3125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  <w:r w:rsidRPr="00325490">
        <w:rPr>
          <w:sz w:val="24"/>
          <w:szCs w:val="24"/>
        </w:rPr>
        <w:t>Dette lægemiddel må ikke blandes med andre lægemidler end dem, der er anført under pkt. 6.6.</w:t>
      </w:r>
    </w:p>
    <w:p w14:paraId="74514530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CD830CE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6.3</w:t>
      </w:r>
      <w:r w:rsidRPr="00325490">
        <w:rPr>
          <w:b/>
          <w:sz w:val="24"/>
          <w:szCs w:val="24"/>
        </w:rPr>
        <w:tab/>
        <w:t>Opbevaringstid</w:t>
      </w:r>
    </w:p>
    <w:p w14:paraId="02299211" w14:textId="77777777" w:rsidR="00610AE8" w:rsidRDefault="00610AE8" w:rsidP="007E6BC1">
      <w:pPr>
        <w:ind w:left="851"/>
        <w:rPr>
          <w:sz w:val="24"/>
          <w:szCs w:val="24"/>
        </w:rPr>
      </w:pPr>
    </w:p>
    <w:p w14:paraId="52AD1559" w14:textId="28608FB9" w:rsidR="006420CF" w:rsidRPr="00610AE8" w:rsidRDefault="006420CF" w:rsidP="007E6BC1">
      <w:pPr>
        <w:ind w:left="851"/>
        <w:rPr>
          <w:bCs/>
          <w:sz w:val="24"/>
          <w:szCs w:val="24"/>
          <w:u w:val="single"/>
        </w:rPr>
      </w:pPr>
      <w:r w:rsidRPr="00610AE8">
        <w:rPr>
          <w:sz w:val="24"/>
          <w:szCs w:val="24"/>
          <w:u w:val="single"/>
        </w:rPr>
        <w:t>Holdbarhed for pulver og solvens til injektions-/infusionsvæske:</w:t>
      </w:r>
    </w:p>
    <w:p w14:paraId="5518C64E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  <w:r w:rsidRPr="00325490">
        <w:rPr>
          <w:sz w:val="24"/>
          <w:szCs w:val="24"/>
        </w:rPr>
        <w:t>3 år</w:t>
      </w:r>
    </w:p>
    <w:p w14:paraId="327C8969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</w:p>
    <w:p w14:paraId="6EB04A46" w14:textId="287E1C80" w:rsidR="006420CF" w:rsidRPr="005D033A" w:rsidRDefault="005D033A" w:rsidP="007E6BC1">
      <w:pPr>
        <w:ind w:left="851"/>
        <w:rPr>
          <w:bCs/>
          <w:iCs/>
          <w:sz w:val="24"/>
          <w:szCs w:val="24"/>
          <w:u w:val="single"/>
        </w:rPr>
      </w:pPr>
      <w:r w:rsidRPr="005D033A">
        <w:rPr>
          <w:sz w:val="24"/>
          <w:szCs w:val="24"/>
          <w:u w:val="single"/>
        </w:rPr>
        <w:t xml:space="preserve">Holdbarhed for den </w:t>
      </w:r>
      <w:proofErr w:type="spellStart"/>
      <w:r w:rsidRPr="005D033A">
        <w:rPr>
          <w:sz w:val="24"/>
          <w:szCs w:val="24"/>
          <w:u w:val="single"/>
        </w:rPr>
        <w:t>rekonstituerede</w:t>
      </w:r>
      <w:proofErr w:type="spellEnd"/>
      <w:r w:rsidRPr="005D033A">
        <w:rPr>
          <w:sz w:val="24"/>
          <w:szCs w:val="24"/>
          <w:u w:val="single"/>
        </w:rPr>
        <w:t xml:space="preserve"> opløsning:</w:t>
      </w:r>
    </w:p>
    <w:p w14:paraId="7C1E440E" w14:textId="77777777" w:rsidR="006420CF" w:rsidRPr="00325490" w:rsidRDefault="006420CF" w:rsidP="007E6BC1">
      <w:pPr>
        <w:ind w:left="851"/>
        <w:rPr>
          <w:bCs/>
          <w:iCs/>
          <w:sz w:val="24"/>
          <w:szCs w:val="24"/>
        </w:rPr>
      </w:pPr>
      <w:r w:rsidRPr="00325490">
        <w:rPr>
          <w:sz w:val="24"/>
          <w:szCs w:val="24"/>
        </w:rPr>
        <w:t xml:space="preserve">Den kemiske og fysiske stabilitet af den </w:t>
      </w:r>
      <w:proofErr w:type="spellStart"/>
      <w:r w:rsidRPr="00325490">
        <w:rPr>
          <w:sz w:val="24"/>
          <w:szCs w:val="24"/>
        </w:rPr>
        <w:t>rekonstituerede</w:t>
      </w:r>
      <w:proofErr w:type="spellEnd"/>
      <w:r w:rsidRPr="00325490">
        <w:rPr>
          <w:sz w:val="24"/>
          <w:szCs w:val="24"/>
        </w:rPr>
        <w:t xml:space="preserve"> opløsning, klargjort i overensstemmelse med anvisningerne, er dokumenteret i 24 timer ved 2 til 8 °C.</w:t>
      </w:r>
    </w:p>
    <w:p w14:paraId="3025CB31" w14:textId="77777777" w:rsidR="006420CF" w:rsidRPr="00325490" w:rsidRDefault="006420CF" w:rsidP="007E6BC1">
      <w:pPr>
        <w:ind w:left="851"/>
        <w:rPr>
          <w:bCs/>
          <w:iCs/>
          <w:sz w:val="24"/>
          <w:szCs w:val="24"/>
        </w:rPr>
      </w:pPr>
    </w:p>
    <w:p w14:paraId="34F0E540" w14:textId="77777777" w:rsidR="006420CF" w:rsidRPr="00610AE8" w:rsidRDefault="006420CF" w:rsidP="007E6BC1">
      <w:pPr>
        <w:ind w:left="851"/>
        <w:rPr>
          <w:bCs/>
          <w:iCs/>
          <w:sz w:val="24"/>
          <w:szCs w:val="24"/>
          <w:u w:val="single"/>
        </w:rPr>
      </w:pPr>
      <w:r w:rsidRPr="00610AE8">
        <w:rPr>
          <w:sz w:val="24"/>
          <w:szCs w:val="24"/>
          <w:u w:val="single"/>
        </w:rPr>
        <w:t xml:space="preserve">Holdbarhed for </w:t>
      </w:r>
      <w:proofErr w:type="spellStart"/>
      <w:r w:rsidRPr="00610AE8">
        <w:rPr>
          <w:sz w:val="24"/>
          <w:szCs w:val="24"/>
          <w:u w:val="single"/>
        </w:rPr>
        <w:t>rekonstitueret</w:t>
      </w:r>
      <w:proofErr w:type="spellEnd"/>
      <w:r w:rsidRPr="00610AE8">
        <w:rPr>
          <w:sz w:val="24"/>
          <w:szCs w:val="24"/>
          <w:u w:val="single"/>
        </w:rPr>
        <w:t xml:space="preserve"> og yderligere fortyndet opløsning: </w:t>
      </w:r>
    </w:p>
    <w:p w14:paraId="1897A8E9" w14:textId="77777777" w:rsidR="006420CF" w:rsidRPr="00325490" w:rsidRDefault="006420CF" w:rsidP="007E6BC1">
      <w:pPr>
        <w:ind w:left="851"/>
        <w:rPr>
          <w:bCs/>
          <w:iCs/>
          <w:sz w:val="24"/>
          <w:szCs w:val="24"/>
        </w:rPr>
      </w:pPr>
      <w:r w:rsidRPr="00325490">
        <w:rPr>
          <w:sz w:val="24"/>
          <w:szCs w:val="24"/>
        </w:rPr>
        <w:t xml:space="preserve">Den kemiske og fysiske stabilitet af den </w:t>
      </w:r>
      <w:proofErr w:type="spellStart"/>
      <w:r w:rsidRPr="00325490">
        <w:rPr>
          <w:sz w:val="24"/>
          <w:szCs w:val="24"/>
        </w:rPr>
        <w:t>rekonstituerede</w:t>
      </w:r>
      <w:proofErr w:type="spellEnd"/>
      <w:r w:rsidRPr="00325490">
        <w:rPr>
          <w:sz w:val="24"/>
          <w:szCs w:val="24"/>
        </w:rPr>
        <w:t xml:space="preserve"> opløsning, klargjort i overensstemmelse med anvisningerne, er dokumenteret i 24 timer ved 2 til 8 °C og i yderligere 24 timer ved 2 til 8 °C efter yderligere fortynding til en slutkoncentration mellem 4 mg/ml og 20 mg/ml.</w:t>
      </w:r>
    </w:p>
    <w:p w14:paraId="0D37B243" w14:textId="77777777" w:rsidR="006420CF" w:rsidRPr="00325490" w:rsidRDefault="006420CF" w:rsidP="007E6BC1">
      <w:pPr>
        <w:ind w:left="851"/>
        <w:rPr>
          <w:bCs/>
          <w:iCs/>
          <w:sz w:val="24"/>
          <w:szCs w:val="24"/>
        </w:rPr>
      </w:pPr>
    </w:p>
    <w:p w14:paraId="2CBE6FFC" w14:textId="77777777" w:rsidR="006420CF" w:rsidRPr="00325490" w:rsidRDefault="006420CF" w:rsidP="007E6BC1">
      <w:pPr>
        <w:ind w:left="851"/>
        <w:rPr>
          <w:bCs/>
          <w:iCs/>
          <w:sz w:val="24"/>
          <w:szCs w:val="24"/>
        </w:rPr>
      </w:pPr>
      <w:r w:rsidRPr="00325490">
        <w:rPr>
          <w:sz w:val="24"/>
          <w:szCs w:val="24"/>
        </w:rPr>
        <w:t>Ud fra et mikrobiologisk synspunkt skal præparatet anvendes med samme, medmindre metoden til åbning/</w:t>
      </w:r>
      <w:proofErr w:type="spellStart"/>
      <w:r w:rsidRPr="00325490">
        <w:rPr>
          <w:sz w:val="24"/>
          <w:szCs w:val="24"/>
        </w:rPr>
        <w:t>rekonstitution</w:t>
      </w:r>
      <w:proofErr w:type="spellEnd"/>
      <w:r w:rsidRPr="00325490">
        <w:rPr>
          <w:sz w:val="24"/>
          <w:szCs w:val="24"/>
        </w:rPr>
        <w:t xml:space="preserve">/fortynding udelukker risikoen for mikrobiel kontaminering. </w:t>
      </w:r>
    </w:p>
    <w:p w14:paraId="3CD53E1B" w14:textId="0357EA47" w:rsidR="009260DE" w:rsidRPr="00325490" w:rsidRDefault="006420CF" w:rsidP="00610AE8">
      <w:pPr>
        <w:ind w:left="851"/>
        <w:rPr>
          <w:rFonts w:eastAsia="MS Mincho"/>
          <w:noProof/>
          <w:sz w:val="24"/>
          <w:szCs w:val="24"/>
          <w:lang w:val="nl-NL"/>
        </w:rPr>
      </w:pPr>
      <w:r w:rsidRPr="00325490">
        <w:rPr>
          <w:sz w:val="24"/>
          <w:szCs w:val="24"/>
        </w:rPr>
        <w:t>Hvis opløsningen ikke anvendes med det samme, er opbevaringstider og -betingelser brugerens eget ansvar.</w:t>
      </w:r>
    </w:p>
    <w:p w14:paraId="5BBC619B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4F9624E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6.4</w:t>
      </w:r>
      <w:r w:rsidRPr="00325490">
        <w:rPr>
          <w:b/>
          <w:sz w:val="24"/>
          <w:szCs w:val="24"/>
        </w:rPr>
        <w:tab/>
        <w:t>Særlige opbevaringsforhold</w:t>
      </w:r>
    </w:p>
    <w:p w14:paraId="617C1044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  <w:r w:rsidRPr="00325490">
        <w:rPr>
          <w:sz w:val="24"/>
          <w:szCs w:val="24"/>
        </w:rPr>
        <w:t>Pulver og solvens i salgspakning:</w:t>
      </w:r>
    </w:p>
    <w:p w14:paraId="6F88E674" w14:textId="77777777" w:rsidR="006420CF" w:rsidRPr="00325490" w:rsidRDefault="006420CF" w:rsidP="007E6BC1">
      <w:pPr>
        <w:ind w:left="851"/>
        <w:rPr>
          <w:bCs/>
          <w:sz w:val="24"/>
          <w:szCs w:val="24"/>
          <w:lang w:val="nl-NL"/>
        </w:rPr>
      </w:pPr>
    </w:p>
    <w:p w14:paraId="71FDE39A" w14:textId="77777777" w:rsidR="006420CF" w:rsidRPr="00325490" w:rsidRDefault="006420CF" w:rsidP="007E6BC1">
      <w:pPr>
        <w:ind w:left="851"/>
        <w:rPr>
          <w:bCs/>
          <w:iCs/>
          <w:sz w:val="24"/>
          <w:szCs w:val="24"/>
        </w:rPr>
      </w:pPr>
      <w:r w:rsidRPr="00325490">
        <w:rPr>
          <w:sz w:val="24"/>
          <w:szCs w:val="24"/>
        </w:rPr>
        <w:t>Dette lægemiddel kræver ingen særlige forholdsregler vedrørende opbevaringen.</w:t>
      </w:r>
    </w:p>
    <w:p w14:paraId="341187B4" w14:textId="5EC365EE" w:rsidR="006420CF" w:rsidRPr="00325490" w:rsidRDefault="006420CF" w:rsidP="007E6BC1">
      <w:pPr>
        <w:ind w:left="851"/>
        <w:rPr>
          <w:bCs/>
          <w:iCs/>
          <w:sz w:val="24"/>
          <w:szCs w:val="24"/>
        </w:rPr>
      </w:pPr>
    </w:p>
    <w:p w14:paraId="1F8FC881" w14:textId="77777777" w:rsidR="006420CF" w:rsidRPr="00325490" w:rsidRDefault="006420CF" w:rsidP="007E6BC1">
      <w:pPr>
        <w:ind w:left="851"/>
        <w:rPr>
          <w:bCs/>
          <w:iCs/>
          <w:sz w:val="24"/>
          <w:szCs w:val="24"/>
        </w:rPr>
      </w:pPr>
      <w:r w:rsidRPr="00325490">
        <w:rPr>
          <w:sz w:val="24"/>
          <w:szCs w:val="24"/>
        </w:rPr>
        <w:t xml:space="preserve">Opbevaringsforhold efter </w:t>
      </w:r>
      <w:proofErr w:type="spellStart"/>
      <w:r w:rsidRPr="00325490">
        <w:rPr>
          <w:sz w:val="24"/>
          <w:szCs w:val="24"/>
        </w:rPr>
        <w:t>rekonstitution</w:t>
      </w:r>
      <w:proofErr w:type="spellEnd"/>
      <w:r w:rsidRPr="00325490">
        <w:rPr>
          <w:sz w:val="24"/>
          <w:szCs w:val="24"/>
        </w:rPr>
        <w:t>/fortynding af lægemidlet, se pkt. 6.3.</w:t>
      </w:r>
    </w:p>
    <w:p w14:paraId="1CD50AAD" w14:textId="56EECC5F" w:rsidR="00EF6DF4" w:rsidRDefault="00EF6D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233FC4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4073FC7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6.5</w:t>
      </w:r>
      <w:r w:rsidRPr="00325490">
        <w:rPr>
          <w:b/>
          <w:sz w:val="24"/>
          <w:szCs w:val="24"/>
        </w:rPr>
        <w:tab/>
        <w:t>Emballagetype og pakningsstørrelser</w:t>
      </w:r>
    </w:p>
    <w:p w14:paraId="210287D2" w14:textId="77777777" w:rsidR="006420CF" w:rsidRPr="00325490" w:rsidRDefault="006420CF" w:rsidP="007E6BC1">
      <w:pPr>
        <w:ind w:left="851"/>
        <w:rPr>
          <w:sz w:val="24"/>
          <w:szCs w:val="24"/>
          <w:lang w:val="pt-BR"/>
        </w:rPr>
      </w:pPr>
    </w:p>
    <w:p w14:paraId="7921461F" w14:textId="77777777" w:rsidR="006420CF" w:rsidRPr="00610AE8" w:rsidRDefault="006420CF" w:rsidP="007E6BC1">
      <w:pPr>
        <w:ind w:left="851"/>
        <w:rPr>
          <w:sz w:val="24"/>
          <w:szCs w:val="24"/>
          <w:u w:val="single"/>
        </w:rPr>
      </w:pPr>
      <w:r w:rsidRPr="00610AE8">
        <w:rPr>
          <w:sz w:val="24"/>
          <w:szCs w:val="24"/>
          <w:u w:val="single"/>
        </w:rPr>
        <w:t>Primær emballage:</w:t>
      </w:r>
    </w:p>
    <w:p w14:paraId="1896AA4B" w14:textId="77777777" w:rsidR="005D033A" w:rsidRPr="005D033A" w:rsidRDefault="005D033A" w:rsidP="005D033A">
      <w:pPr>
        <w:ind w:left="851"/>
        <w:rPr>
          <w:bCs/>
          <w:sz w:val="24"/>
          <w:szCs w:val="24"/>
        </w:rPr>
      </w:pPr>
      <w:proofErr w:type="spellStart"/>
      <w:r w:rsidRPr="005D033A">
        <w:rPr>
          <w:sz w:val="24"/>
          <w:szCs w:val="24"/>
        </w:rPr>
        <w:t>Teicoplanin</w:t>
      </w:r>
      <w:proofErr w:type="spellEnd"/>
      <w:r w:rsidRPr="005D033A">
        <w:rPr>
          <w:sz w:val="24"/>
          <w:szCs w:val="24"/>
        </w:rPr>
        <w:t xml:space="preserve"> 200 mg er pakket i type I-hætteglas med et nyttevolumen på 10 ml, lukket med en </w:t>
      </w:r>
      <w:proofErr w:type="spellStart"/>
      <w:r w:rsidRPr="005D033A">
        <w:rPr>
          <w:sz w:val="24"/>
          <w:szCs w:val="24"/>
        </w:rPr>
        <w:t>bromobutylgummiprop</w:t>
      </w:r>
      <w:proofErr w:type="spellEnd"/>
      <w:r w:rsidRPr="005D033A">
        <w:rPr>
          <w:sz w:val="24"/>
          <w:szCs w:val="24"/>
        </w:rPr>
        <w:t xml:space="preserve"> (type I) og forseglet med en aluminiumsforsegling med </w:t>
      </w:r>
      <w:r w:rsidRPr="005D033A">
        <w:rPr>
          <w:i/>
          <w:iCs/>
          <w:sz w:val="24"/>
          <w:szCs w:val="24"/>
        </w:rPr>
        <w:t>flip</w:t>
      </w:r>
      <w:r w:rsidRPr="005D033A">
        <w:rPr>
          <w:i/>
          <w:iCs/>
          <w:sz w:val="24"/>
          <w:szCs w:val="24"/>
        </w:rPr>
        <w:noBreakHyphen/>
      </w:r>
      <w:proofErr w:type="spellStart"/>
      <w:r w:rsidRPr="005D033A">
        <w:rPr>
          <w:i/>
          <w:iCs/>
          <w:sz w:val="24"/>
          <w:szCs w:val="24"/>
        </w:rPr>
        <w:t>off</w:t>
      </w:r>
      <w:proofErr w:type="spellEnd"/>
      <w:r w:rsidRPr="005D033A">
        <w:rPr>
          <w:sz w:val="24"/>
          <w:szCs w:val="24"/>
        </w:rPr>
        <w:t>-plasthætte.</w:t>
      </w:r>
    </w:p>
    <w:p w14:paraId="670FCBAC" w14:textId="77777777" w:rsidR="005D033A" w:rsidRPr="005D033A" w:rsidRDefault="005D033A" w:rsidP="005D033A">
      <w:pPr>
        <w:ind w:left="851"/>
        <w:rPr>
          <w:bCs/>
          <w:sz w:val="24"/>
          <w:szCs w:val="24"/>
        </w:rPr>
      </w:pPr>
      <w:proofErr w:type="spellStart"/>
      <w:r w:rsidRPr="005D033A">
        <w:rPr>
          <w:sz w:val="24"/>
          <w:szCs w:val="24"/>
        </w:rPr>
        <w:t>Teicoplanin</w:t>
      </w:r>
      <w:proofErr w:type="spellEnd"/>
      <w:r w:rsidRPr="005D033A">
        <w:rPr>
          <w:sz w:val="24"/>
          <w:szCs w:val="24"/>
        </w:rPr>
        <w:t xml:space="preserve"> 400 mg er pakket i type I-hætteglas med et nyttevolumen på 22 ml, lukket med en </w:t>
      </w:r>
      <w:proofErr w:type="spellStart"/>
      <w:r w:rsidRPr="005D033A">
        <w:rPr>
          <w:sz w:val="24"/>
          <w:szCs w:val="24"/>
        </w:rPr>
        <w:t>bromobutylgummiprop</w:t>
      </w:r>
      <w:proofErr w:type="spellEnd"/>
      <w:r w:rsidRPr="005D033A">
        <w:rPr>
          <w:sz w:val="24"/>
          <w:szCs w:val="24"/>
        </w:rPr>
        <w:t xml:space="preserve"> (type I) og forseglet med en aluminiumsforsegling med </w:t>
      </w:r>
      <w:r w:rsidRPr="005D033A">
        <w:rPr>
          <w:i/>
          <w:iCs/>
          <w:sz w:val="24"/>
          <w:szCs w:val="24"/>
        </w:rPr>
        <w:t>flip</w:t>
      </w:r>
      <w:r w:rsidRPr="005D033A">
        <w:rPr>
          <w:i/>
          <w:iCs/>
          <w:sz w:val="24"/>
          <w:szCs w:val="24"/>
        </w:rPr>
        <w:noBreakHyphen/>
      </w:r>
      <w:proofErr w:type="spellStart"/>
      <w:r w:rsidRPr="005D033A">
        <w:rPr>
          <w:i/>
          <w:iCs/>
          <w:sz w:val="24"/>
          <w:szCs w:val="24"/>
        </w:rPr>
        <w:t>off</w:t>
      </w:r>
      <w:proofErr w:type="spellEnd"/>
      <w:r w:rsidRPr="005D033A">
        <w:rPr>
          <w:sz w:val="24"/>
          <w:szCs w:val="24"/>
        </w:rPr>
        <w:t>-plasthætte.</w:t>
      </w:r>
    </w:p>
    <w:p w14:paraId="640569D0" w14:textId="77777777" w:rsidR="005D033A" w:rsidRPr="005D033A" w:rsidRDefault="005D033A" w:rsidP="005D033A">
      <w:pPr>
        <w:ind w:left="851"/>
        <w:rPr>
          <w:bCs/>
          <w:sz w:val="24"/>
          <w:szCs w:val="24"/>
        </w:rPr>
      </w:pPr>
    </w:p>
    <w:p w14:paraId="3EB932B8" w14:textId="77777777" w:rsidR="005D033A" w:rsidRPr="005D033A" w:rsidRDefault="005D033A" w:rsidP="005D033A">
      <w:pPr>
        <w:ind w:left="851"/>
        <w:rPr>
          <w:bCs/>
          <w:sz w:val="24"/>
          <w:szCs w:val="24"/>
        </w:rPr>
      </w:pPr>
      <w:r w:rsidRPr="005D033A">
        <w:rPr>
          <w:sz w:val="24"/>
          <w:szCs w:val="24"/>
        </w:rPr>
        <w:t>Vand til injektionsvæsker (solvens) er pakket i klare ampuller af type I</w:t>
      </w:r>
      <w:r w:rsidRPr="005D033A">
        <w:rPr>
          <w:sz w:val="24"/>
          <w:szCs w:val="24"/>
        </w:rPr>
        <w:noBreakHyphen/>
        <w:t xml:space="preserve">glas med et nominelt volumen &gt; 5 ml eller i ampuller af polypropylen med en </w:t>
      </w:r>
      <w:r w:rsidRPr="005D033A">
        <w:rPr>
          <w:i/>
          <w:iCs/>
          <w:sz w:val="24"/>
          <w:szCs w:val="24"/>
        </w:rPr>
        <w:t>twist</w:t>
      </w:r>
      <w:r w:rsidRPr="005D033A">
        <w:rPr>
          <w:i/>
          <w:iCs/>
          <w:sz w:val="24"/>
          <w:szCs w:val="24"/>
        </w:rPr>
        <w:noBreakHyphen/>
      </w:r>
      <w:proofErr w:type="spellStart"/>
      <w:r w:rsidRPr="005D033A">
        <w:rPr>
          <w:i/>
          <w:iCs/>
          <w:sz w:val="24"/>
          <w:szCs w:val="24"/>
        </w:rPr>
        <w:t>off</w:t>
      </w:r>
      <w:proofErr w:type="spellEnd"/>
      <w:r w:rsidRPr="005D033A">
        <w:rPr>
          <w:sz w:val="24"/>
          <w:szCs w:val="24"/>
        </w:rPr>
        <w:t>-hætte og et nominelt volumen ≥ 3 ml.</w:t>
      </w:r>
    </w:p>
    <w:p w14:paraId="61DB94BC" w14:textId="77777777" w:rsidR="005D033A" w:rsidRPr="005D033A" w:rsidRDefault="005D033A" w:rsidP="005D033A">
      <w:pPr>
        <w:ind w:left="851"/>
        <w:rPr>
          <w:bCs/>
          <w:sz w:val="24"/>
          <w:szCs w:val="24"/>
          <w:lang w:val="nl-NL"/>
        </w:rPr>
      </w:pPr>
    </w:p>
    <w:p w14:paraId="3FE5CC9C" w14:textId="77777777" w:rsidR="005D033A" w:rsidRPr="005D033A" w:rsidRDefault="005D033A" w:rsidP="005D033A">
      <w:pPr>
        <w:ind w:left="851"/>
        <w:rPr>
          <w:bCs/>
          <w:sz w:val="24"/>
          <w:szCs w:val="24"/>
          <w:u w:val="single"/>
          <w:lang w:val="sv-SE"/>
        </w:rPr>
      </w:pPr>
      <w:proofErr w:type="spellStart"/>
      <w:r w:rsidRPr="005D033A">
        <w:rPr>
          <w:sz w:val="24"/>
          <w:szCs w:val="24"/>
          <w:u w:val="single"/>
          <w:lang w:val="sv-SE"/>
        </w:rPr>
        <w:t>Pakningsstørrelser</w:t>
      </w:r>
      <w:proofErr w:type="spellEnd"/>
      <w:r w:rsidRPr="005D033A">
        <w:rPr>
          <w:sz w:val="24"/>
          <w:szCs w:val="24"/>
          <w:u w:val="single"/>
          <w:lang w:val="sv-SE"/>
        </w:rPr>
        <w:t xml:space="preserve">: </w:t>
      </w:r>
    </w:p>
    <w:p w14:paraId="6DE74E1E" w14:textId="150B5D3F" w:rsidR="005D033A" w:rsidRPr="005D033A" w:rsidRDefault="005D033A" w:rsidP="005D033A">
      <w:pPr>
        <w:ind w:left="851"/>
        <w:rPr>
          <w:bCs/>
          <w:sz w:val="24"/>
          <w:szCs w:val="24"/>
          <w:lang w:val="sv-SE"/>
        </w:rPr>
      </w:pPr>
      <w:proofErr w:type="spellStart"/>
      <w:r w:rsidRPr="005D033A">
        <w:rPr>
          <w:sz w:val="24"/>
          <w:szCs w:val="24"/>
          <w:lang w:val="sv-SE"/>
        </w:rPr>
        <w:t>Karton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1 </w:t>
      </w:r>
      <w:proofErr w:type="spellStart"/>
      <w:r w:rsidRPr="005D033A">
        <w:rPr>
          <w:sz w:val="24"/>
          <w:szCs w:val="24"/>
          <w:lang w:val="sv-SE"/>
        </w:rPr>
        <w:t>hætteglas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200 mg + 1 </w:t>
      </w:r>
      <w:proofErr w:type="spellStart"/>
      <w:r w:rsidRPr="005D033A">
        <w:rPr>
          <w:sz w:val="24"/>
          <w:szCs w:val="24"/>
          <w:lang w:val="sv-SE"/>
        </w:rPr>
        <w:t>ampul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3 ml solvens.</w:t>
      </w:r>
    </w:p>
    <w:p w14:paraId="5DACBFBF" w14:textId="4E64C118" w:rsidR="005D033A" w:rsidRPr="005D033A" w:rsidRDefault="005D033A" w:rsidP="005D033A">
      <w:pPr>
        <w:ind w:left="851"/>
        <w:rPr>
          <w:bCs/>
          <w:sz w:val="24"/>
          <w:szCs w:val="24"/>
          <w:lang w:val="sv-SE"/>
        </w:rPr>
      </w:pPr>
      <w:proofErr w:type="spellStart"/>
      <w:r w:rsidRPr="005D033A">
        <w:rPr>
          <w:sz w:val="24"/>
          <w:szCs w:val="24"/>
          <w:lang w:val="sv-SE"/>
        </w:rPr>
        <w:t>Karton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10 </w:t>
      </w:r>
      <w:proofErr w:type="spellStart"/>
      <w:r w:rsidRPr="005D033A">
        <w:rPr>
          <w:sz w:val="24"/>
          <w:szCs w:val="24"/>
          <w:lang w:val="sv-SE"/>
        </w:rPr>
        <w:t>hætteglas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200 mg + 10 ampuller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3 ml solvens.</w:t>
      </w:r>
    </w:p>
    <w:p w14:paraId="4744DD20" w14:textId="77777777" w:rsidR="005D033A" w:rsidRPr="005D033A" w:rsidRDefault="005D033A" w:rsidP="005D033A">
      <w:pPr>
        <w:ind w:left="851"/>
        <w:rPr>
          <w:bCs/>
          <w:sz w:val="24"/>
          <w:szCs w:val="24"/>
          <w:lang w:val="sv-SE"/>
        </w:rPr>
      </w:pPr>
    </w:p>
    <w:p w14:paraId="37E3ED31" w14:textId="0D7D82B6" w:rsidR="005D033A" w:rsidRPr="005D033A" w:rsidRDefault="005D033A" w:rsidP="005D033A">
      <w:pPr>
        <w:ind w:left="851"/>
        <w:rPr>
          <w:bCs/>
          <w:sz w:val="24"/>
          <w:szCs w:val="24"/>
          <w:lang w:val="sv-SE"/>
        </w:rPr>
      </w:pPr>
      <w:proofErr w:type="spellStart"/>
      <w:r w:rsidRPr="005D033A">
        <w:rPr>
          <w:sz w:val="24"/>
          <w:szCs w:val="24"/>
          <w:lang w:val="sv-SE"/>
        </w:rPr>
        <w:t>Karton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1 </w:t>
      </w:r>
      <w:proofErr w:type="spellStart"/>
      <w:r w:rsidRPr="005D033A">
        <w:rPr>
          <w:sz w:val="24"/>
          <w:szCs w:val="24"/>
          <w:lang w:val="sv-SE"/>
        </w:rPr>
        <w:t>hætteglas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400 mg + 1 </w:t>
      </w:r>
      <w:proofErr w:type="spellStart"/>
      <w:r w:rsidRPr="005D033A">
        <w:rPr>
          <w:sz w:val="24"/>
          <w:szCs w:val="24"/>
          <w:lang w:val="sv-SE"/>
        </w:rPr>
        <w:t>ampul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3 ml solvens.</w:t>
      </w:r>
    </w:p>
    <w:p w14:paraId="3E0F3F1A" w14:textId="73873127" w:rsidR="005D033A" w:rsidRPr="005D033A" w:rsidRDefault="005D033A" w:rsidP="005D033A">
      <w:pPr>
        <w:ind w:left="851"/>
        <w:rPr>
          <w:bCs/>
          <w:sz w:val="24"/>
          <w:szCs w:val="24"/>
          <w:lang w:val="sv-SE"/>
        </w:rPr>
      </w:pPr>
      <w:proofErr w:type="spellStart"/>
      <w:r w:rsidRPr="005D033A">
        <w:rPr>
          <w:sz w:val="24"/>
          <w:szCs w:val="24"/>
          <w:lang w:val="sv-SE"/>
        </w:rPr>
        <w:t>Karton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10 </w:t>
      </w:r>
      <w:proofErr w:type="spellStart"/>
      <w:r w:rsidRPr="005D033A">
        <w:rPr>
          <w:sz w:val="24"/>
          <w:szCs w:val="24"/>
          <w:lang w:val="sv-SE"/>
        </w:rPr>
        <w:t>hætteglas</w:t>
      </w:r>
      <w:proofErr w:type="spellEnd"/>
      <w:r w:rsidRPr="005D033A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400 mg + 10 ampuller </w:t>
      </w:r>
      <w:r>
        <w:rPr>
          <w:sz w:val="24"/>
          <w:szCs w:val="24"/>
          <w:lang w:val="sv-SE"/>
        </w:rPr>
        <w:t>×</w:t>
      </w:r>
      <w:r w:rsidRPr="005D033A">
        <w:rPr>
          <w:sz w:val="24"/>
          <w:szCs w:val="24"/>
          <w:lang w:val="sv-SE"/>
        </w:rPr>
        <w:t xml:space="preserve"> 3 ml solvens.</w:t>
      </w:r>
    </w:p>
    <w:p w14:paraId="758ED0BD" w14:textId="77777777" w:rsidR="006420CF" w:rsidRPr="005D033A" w:rsidRDefault="006420CF" w:rsidP="005D033A">
      <w:pPr>
        <w:ind w:left="851"/>
        <w:rPr>
          <w:sz w:val="24"/>
          <w:szCs w:val="24"/>
          <w:lang w:val="sv-SE"/>
        </w:rPr>
      </w:pPr>
    </w:p>
    <w:p w14:paraId="02EACFC3" w14:textId="77777777" w:rsidR="006420CF" w:rsidRPr="00325490" w:rsidRDefault="006420CF" w:rsidP="007E6BC1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Ikke alle pakningsstørrelser er nødvendigvis markedsført.</w:t>
      </w:r>
    </w:p>
    <w:p w14:paraId="0111D6C3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468B854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6.6</w:t>
      </w:r>
      <w:r w:rsidRPr="00325490">
        <w:rPr>
          <w:b/>
          <w:sz w:val="24"/>
          <w:szCs w:val="24"/>
        </w:rPr>
        <w:tab/>
        <w:t xml:space="preserve">Regler for </w:t>
      </w:r>
      <w:r w:rsidR="00BD7931" w:rsidRPr="00325490">
        <w:rPr>
          <w:b/>
          <w:sz w:val="24"/>
          <w:szCs w:val="24"/>
        </w:rPr>
        <w:t>bortskaffelse</w:t>
      </w:r>
      <w:r w:rsidRPr="00325490">
        <w:rPr>
          <w:b/>
          <w:sz w:val="24"/>
          <w:szCs w:val="24"/>
        </w:rPr>
        <w:t xml:space="preserve"> og anden håndtering</w:t>
      </w:r>
    </w:p>
    <w:p w14:paraId="7B447C90" w14:textId="77777777" w:rsidR="006420CF" w:rsidRPr="00325490" w:rsidRDefault="006420CF" w:rsidP="007E6BC1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Dette lægemiddel er kun til engangsbrug. Ikke anvendt opløsning skal bortskaffes.</w:t>
      </w:r>
    </w:p>
    <w:p w14:paraId="0D6B8EA6" w14:textId="77777777" w:rsidR="006420CF" w:rsidRPr="00325490" w:rsidRDefault="006420CF" w:rsidP="007E6BC1">
      <w:pPr>
        <w:ind w:left="851"/>
        <w:rPr>
          <w:sz w:val="24"/>
          <w:szCs w:val="24"/>
          <w:highlight w:val="yellow"/>
          <w:lang w:val="nl-NL"/>
        </w:rPr>
      </w:pPr>
    </w:p>
    <w:p w14:paraId="724C2894" w14:textId="77777777" w:rsidR="006420CF" w:rsidRPr="00325490" w:rsidRDefault="006420CF" w:rsidP="007E6BC1">
      <w:pPr>
        <w:ind w:left="851"/>
        <w:rPr>
          <w:sz w:val="24"/>
          <w:szCs w:val="24"/>
        </w:rPr>
      </w:pPr>
      <w:proofErr w:type="spellStart"/>
      <w:r w:rsidRPr="00325490">
        <w:rPr>
          <w:sz w:val="24"/>
          <w:szCs w:val="24"/>
        </w:rPr>
        <w:t>Rekonstitution</w:t>
      </w:r>
      <w:proofErr w:type="spellEnd"/>
      <w:r w:rsidRPr="00325490">
        <w:rPr>
          <w:sz w:val="24"/>
          <w:szCs w:val="24"/>
        </w:rPr>
        <w:t>/fortynding skal foretages under aseptiske forhold.</w:t>
      </w:r>
    </w:p>
    <w:p w14:paraId="6EBDB165" w14:textId="77777777" w:rsidR="006420CF" w:rsidRPr="00325490" w:rsidRDefault="006420CF" w:rsidP="007E6BC1">
      <w:pPr>
        <w:ind w:left="851"/>
        <w:rPr>
          <w:sz w:val="24"/>
          <w:szCs w:val="24"/>
        </w:rPr>
      </w:pPr>
    </w:p>
    <w:p w14:paraId="7E4B64CD" w14:textId="77777777" w:rsidR="006420CF" w:rsidRPr="00325490" w:rsidRDefault="006420CF" w:rsidP="007E6BC1">
      <w:pPr>
        <w:ind w:left="851"/>
        <w:rPr>
          <w:sz w:val="24"/>
          <w:szCs w:val="24"/>
        </w:rPr>
      </w:pPr>
      <w:r w:rsidRPr="00325490">
        <w:rPr>
          <w:sz w:val="24"/>
          <w:szCs w:val="24"/>
        </w:rPr>
        <w:t>Opløsningen skal inspiceres visuelt for partikler og misfarvning før administration. Opløsningen må kun anvendes, hvis den er klar og fri for partikler.</w:t>
      </w:r>
    </w:p>
    <w:p w14:paraId="2D670914" w14:textId="77777777" w:rsidR="006420CF" w:rsidRPr="00325490" w:rsidRDefault="006420CF" w:rsidP="007E6BC1">
      <w:pPr>
        <w:ind w:left="851"/>
        <w:rPr>
          <w:sz w:val="24"/>
          <w:szCs w:val="24"/>
          <w:highlight w:val="yellow"/>
        </w:rPr>
      </w:pPr>
    </w:p>
    <w:p w14:paraId="64D420CD" w14:textId="77777777" w:rsidR="006420CF" w:rsidRPr="00325490" w:rsidRDefault="006420CF" w:rsidP="007E6BC1">
      <w:pPr>
        <w:ind w:left="851"/>
        <w:rPr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 xml:space="preserve">Klargøring af </w:t>
      </w:r>
      <w:proofErr w:type="spellStart"/>
      <w:r w:rsidRPr="00325490">
        <w:rPr>
          <w:sz w:val="24"/>
          <w:szCs w:val="24"/>
          <w:u w:val="single"/>
        </w:rPr>
        <w:t>rekonstitueret</w:t>
      </w:r>
      <w:proofErr w:type="spellEnd"/>
      <w:r w:rsidRPr="00325490">
        <w:rPr>
          <w:sz w:val="24"/>
          <w:szCs w:val="24"/>
          <w:u w:val="single"/>
        </w:rPr>
        <w:t xml:space="preserve"> opløsning: </w:t>
      </w:r>
    </w:p>
    <w:p w14:paraId="38FB3ED3" w14:textId="77777777" w:rsidR="006420CF" w:rsidRPr="00325490" w:rsidRDefault="006420CF" w:rsidP="007E6BC1">
      <w:pPr>
        <w:ind w:left="851"/>
        <w:rPr>
          <w:sz w:val="24"/>
          <w:szCs w:val="24"/>
        </w:rPr>
      </w:pPr>
    </w:p>
    <w:p w14:paraId="19A60324" w14:textId="18F029F8" w:rsidR="006420CF" w:rsidRPr="00610AE8" w:rsidRDefault="006420CF" w:rsidP="00610AE8">
      <w:pPr>
        <w:pStyle w:val="Listeafsnit"/>
        <w:numPr>
          <w:ilvl w:val="0"/>
          <w:numId w:val="15"/>
        </w:numPr>
        <w:ind w:left="1276" w:hanging="425"/>
        <w:rPr>
          <w:sz w:val="24"/>
          <w:szCs w:val="24"/>
        </w:rPr>
      </w:pPr>
      <w:r w:rsidRPr="00610AE8">
        <w:rPr>
          <w:sz w:val="24"/>
          <w:szCs w:val="24"/>
        </w:rPr>
        <w:t>Injicer langsomt 3,0 ml af den medfølgende solvens</w:t>
      </w:r>
      <w:r w:rsidR="005D033A">
        <w:rPr>
          <w:sz w:val="24"/>
          <w:szCs w:val="24"/>
        </w:rPr>
        <w:t xml:space="preserve"> ind</w:t>
      </w:r>
      <w:r w:rsidRPr="00610AE8">
        <w:rPr>
          <w:sz w:val="24"/>
          <w:szCs w:val="24"/>
        </w:rPr>
        <w:t xml:space="preserve"> i hætteglasset med pulver. </w:t>
      </w:r>
    </w:p>
    <w:p w14:paraId="10D3316E" w14:textId="77777777" w:rsidR="006420CF" w:rsidRPr="00610AE8" w:rsidRDefault="006420CF" w:rsidP="00610AE8">
      <w:pPr>
        <w:pStyle w:val="Listeafsnit"/>
        <w:numPr>
          <w:ilvl w:val="0"/>
          <w:numId w:val="15"/>
        </w:numPr>
        <w:ind w:left="1276" w:hanging="425"/>
        <w:rPr>
          <w:sz w:val="24"/>
          <w:szCs w:val="24"/>
        </w:rPr>
      </w:pPr>
      <w:r w:rsidRPr="00610AE8">
        <w:rPr>
          <w:sz w:val="24"/>
          <w:szCs w:val="24"/>
        </w:rPr>
        <w:t>Rul forsigtigt hætteglasset mellem hænderne, indtil pulveret er helt opløst. Hvis der dannes skum i opløsningen, skal den stå i ca. 15 minutter. Kun klare og gullige opløsninger må anvendes.</w:t>
      </w:r>
    </w:p>
    <w:p w14:paraId="111C0907" w14:textId="77777777" w:rsidR="006420CF" w:rsidRPr="00325490" w:rsidRDefault="006420CF" w:rsidP="007E6BC1">
      <w:pPr>
        <w:ind w:left="851"/>
        <w:rPr>
          <w:sz w:val="24"/>
          <w:szCs w:val="24"/>
          <w:lang w:val="en-I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2600"/>
        <w:gridCol w:w="2752"/>
      </w:tblGrid>
      <w:tr w:rsidR="006420CF" w:rsidRPr="00325490" w14:paraId="7A4EABFE" w14:textId="77777777" w:rsidTr="007E6BC1"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10A1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 xml:space="preserve">Nominelt indhold af </w:t>
            </w:r>
            <w:proofErr w:type="spellStart"/>
            <w:r w:rsidRPr="00325490">
              <w:rPr>
                <w:sz w:val="24"/>
                <w:szCs w:val="24"/>
              </w:rPr>
              <w:t>teicoplanin</w:t>
            </w:r>
            <w:proofErr w:type="spellEnd"/>
            <w:r w:rsidRPr="00325490">
              <w:rPr>
                <w:sz w:val="24"/>
                <w:szCs w:val="24"/>
              </w:rPr>
              <w:t xml:space="preserve"> i hætteglasset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EE71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>200 mg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4BEE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>400 mg</w:t>
            </w:r>
          </w:p>
        </w:tc>
      </w:tr>
      <w:tr w:rsidR="006420CF" w:rsidRPr="00325490" w14:paraId="2461143D" w14:textId="77777777" w:rsidTr="007E6BC1"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3ADE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>Volumen af hætteglasset med pulver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3056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>10 ml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3D57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>22 ml</w:t>
            </w:r>
          </w:p>
        </w:tc>
      </w:tr>
      <w:tr w:rsidR="006420CF" w:rsidRPr="00325490" w14:paraId="0828D426" w14:textId="77777777" w:rsidTr="007E6BC1"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35A3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 xml:space="preserve">Volumen, der kan udtages fra solvensampullen til </w:t>
            </w:r>
            <w:proofErr w:type="spellStart"/>
            <w:r w:rsidRPr="00325490">
              <w:rPr>
                <w:sz w:val="24"/>
                <w:szCs w:val="24"/>
              </w:rPr>
              <w:t>rekonstitution</w:t>
            </w:r>
            <w:proofErr w:type="spellEnd"/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8102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>3 ml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1EEA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>3 ml</w:t>
            </w:r>
          </w:p>
        </w:tc>
      </w:tr>
      <w:tr w:rsidR="006420CF" w:rsidRPr="00325490" w14:paraId="38F32318" w14:textId="77777777" w:rsidTr="007E6BC1"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60D1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 xml:space="preserve">Volumen indeholdende den nominelle </w:t>
            </w:r>
            <w:proofErr w:type="spellStart"/>
            <w:r w:rsidRPr="00325490">
              <w:rPr>
                <w:sz w:val="24"/>
                <w:szCs w:val="24"/>
              </w:rPr>
              <w:t>teicoplanindosis</w:t>
            </w:r>
            <w:proofErr w:type="spellEnd"/>
            <w:r w:rsidRPr="00325490">
              <w:rPr>
                <w:sz w:val="24"/>
                <w:szCs w:val="24"/>
              </w:rPr>
              <w:t xml:space="preserve"> (udtaget med 5 ml sprøjte og 23 G kanyle)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EF71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 xml:space="preserve">3,0 ml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A0C3" w14:textId="77777777" w:rsidR="006420CF" w:rsidRPr="00325490" w:rsidRDefault="006420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25490">
              <w:rPr>
                <w:sz w:val="24"/>
                <w:szCs w:val="24"/>
              </w:rPr>
              <w:t>3,0 ml</w:t>
            </w:r>
          </w:p>
        </w:tc>
      </w:tr>
    </w:tbl>
    <w:p w14:paraId="629629C8" w14:textId="77777777" w:rsidR="006420CF" w:rsidRPr="00325490" w:rsidRDefault="006420CF" w:rsidP="006420CF">
      <w:pPr>
        <w:tabs>
          <w:tab w:val="left" w:pos="567"/>
        </w:tabs>
        <w:autoSpaceDE w:val="0"/>
        <w:autoSpaceDN w:val="0"/>
        <w:adjustRightInd w:val="0"/>
        <w:rPr>
          <w:bCs/>
          <w:sz w:val="24"/>
          <w:szCs w:val="24"/>
          <w:lang w:val="en-IE"/>
        </w:rPr>
      </w:pPr>
    </w:p>
    <w:p w14:paraId="35CDC43C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  <w:r w:rsidRPr="00325490">
        <w:rPr>
          <w:sz w:val="24"/>
          <w:szCs w:val="24"/>
        </w:rPr>
        <w:t>pH: 7,2</w:t>
      </w:r>
      <w:r w:rsidRPr="00325490">
        <w:rPr>
          <w:sz w:val="24"/>
          <w:szCs w:val="24"/>
        </w:rPr>
        <w:noBreakHyphen/>
        <w:t>7,8</w:t>
      </w:r>
    </w:p>
    <w:p w14:paraId="31EDFED3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  <w:proofErr w:type="spellStart"/>
      <w:r w:rsidRPr="00325490">
        <w:rPr>
          <w:sz w:val="24"/>
          <w:szCs w:val="24"/>
        </w:rPr>
        <w:t>Osmolalitet</w:t>
      </w:r>
      <w:proofErr w:type="spellEnd"/>
      <w:r w:rsidRPr="00325490">
        <w:rPr>
          <w:sz w:val="24"/>
          <w:szCs w:val="24"/>
        </w:rPr>
        <w:t>: 264</w:t>
      </w:r>
      <w:r w:rsidRPr="00325490">
        <w:rPr>
          <w:sz w:val="24"/>
          <w:szCs w:val="24"/>
        </w:rPr>
        <w:noBreakHyphen/>
        <w:t>275 </w:t>
      </w:r>
      <w:proofErr w:type="spellStart"/>
      <w:r w:rsidRPr="00325490">
        <w:rPr>
          <w:sz w:val="24"/>
          <w:szCs w:val="24"/>
        </w:rPr>
        <w:t>mOsm</w:t>
      </w:r>
      <w:proofErr w:type="spellEnd"/>
      <w:r w:rsidRPr="00325490">
        <w:rPr>
          <w:sz w:val="24"/>
          <w:szCs w:val="24"/>
        </w:rPr>
        <w:t>/kg (for 200 mg) og 285</w:t>
      </w:r>
      <w:r w:rsidRPr="00325490">
        <w:rPr>
          <w:sz w:val="24"/>
          <w:szCs w:val="24"/>
        </w:rPr>
        <w:noBreakHyphen/>
        <w:t>305 </w:t>
      </w:r>
      <w:proofErr w:type="spellStart"/>
      <w:r w:rsidRPr="00325490">
        <w:rPr>
          <w:sz w:val="24"/>
          <w:szCs w:val="24"/>
        </w:rPr>
        <w:t>mOsm</w:t>
      </w:r>
      <w:proofErr w:type="spellEnd"/>
      <w:r w:rsidRPr="00325490">
        <w:rPr>
          <w:sz w:val="24"/>
          <w:szCs w:val="24"/>
        </w:rPr>
        <w:t>/kg (for 400 mg).</w:t>
      </w:r>
    </w:p>
    <w:p w14:paraId="1255B401" w14:textId="316BFE53" w:rsidR="006420CF" w:rsidRPr="00325490" w:rsidRDefault="005D033A" w:rsidP="007E6BC1">
      <w:pPr>
        <w:ind w:left="851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De </w:t>
      </w:r>
      <w:proofErr w:type="spellStart"/>
      <w:r>
        <w:rPr>
          <w:sz w:val="24"/>
          <w:szCs w:val="24"/>
        </w:rPr>
        <w:t>r</w:t>
      </w:r>
      <w:r w:rsidR="006420CF" w:rsidRPr="00325490">
        <w:rPr>
          <w:sz w:val="24"/>
          <w:szCs w:val="24"/>
        </w:rPr>
        <w:t>ekonstituerede</w:t>
      </w:r>
      <w:proofErr w:type="spellEnd"/>
      <w:r w:rsidR="006420CF" w:rsidRPr="00325490">
        <w:rPr>
          <w:sz w:val="24"/>
          <w:szCs w:val="24"/>
        </w:rPr>
        <w:t xml:space="preserve"> opløsninger er derfor isotoniske og kræver ikke yderligere fortynding før administration.</w:t>
      </w:r>
    </w:p>
    <w:p w14:paraId="7CE74B8C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</w:p>
    <w:p w14:paraId="504A3B1C" w14:textId="4D209068" w:rsidR="006420CF" w:rsidRPr="00325490" w:rsidRDefault="006420CF" w:rsidP="007E6BC1">
      <w:pPr>
        <w:ind w:left="851"/>
        <w:rPr>
          <w:bCs/>
          <w:sz w:val="24"/>
          <w:szCs w:val="24"/>
        </w:rPr>
      </w:pPr>
      <w:r w:rsidRPr="00325490">
        <w:rPr>
          <w:sz w:val="24"/>
          <w:szCs w:val="24"/>
        </w:rPr>
        <w:t xml:space="preserve">Den </w:t>
      </w:r>
      <w:proofErr w:type="spellStart"/>
      <w:r w:rsidRPr="00325490">
        <w:rPr>
          <w:sz w:val="24"/>
          <w:szCs w:val="24"/>
        </w:rPr>
        <w:t>rekonstituerede</w:t>
      </w:r>
      <w:proofErr w:type="spellEnd"/>
      <w:r w:rsidRPr="00325490">
        <w:rPr>
          <w:sz w:val="24"/>
          <w:szCs w:val="24"/>
        </w:rPr>
        <w:t xml:space="preserve"> opløsning kan injiceres direkte</w:t>
      </w:r>
      <w:r w:rsidR="005D033A">
        <w:rPr>
          <w:sz w:val="24"/>
          <w:szCs w:val="24"/>
        </w:rPr>
        <w:t xml:space="preserve"> eller alternativt </w:t>
      </w:r>
      <w:r w:rsidRPr="00325490">
        <w:rPr>
          <w:sz w:val="24"/>
          <w:szCs w:val="24"/>
        </w:rPr>
        <w:t>fortyndes yderligere eller administreres oralt.</w:t>
      </w:r>
    </w:p>
    <w:p w14:paraId="4ACA87C0" w14:textId="77777777" w:rsidR="006420CF" w:rsidRPr="00325490" w:rsidRDefault="006420CF" w:rsidP="007E6BC1">
      <w:pPr>
        <w:ind w:left="851"/>
        <w:rPr>
          <w:bCs/>
          <w:sz w:val="24"/>
          <w:szCs w:val="24"/>
          <w:u w:val="single"/>
        </w:rPr>
      </w:pPr>
    </w:p>
    <w:p w14:paraId="56C69DC6" w14:textId="77777777" w:rsidR="006420CF" w:rsidRPr="00325490" w:rsidRDefault="006420CF" w:rsidP="007E6BC1">
      <w:pPr>
        <w:ind w:left="851"/>
        <w:rPr>
          <w:bCs/>
          <w:sz w:val="24"/>
          <w:szCs w:val="24"/>
          <w:u w:val="single"/>
        </w:rPr>
      </w:pPr>
      <w:r w:rsidRPr="00325490">
        <w:rPr>
          <w:sz w:val="24"/>
          <w:szCs w:val="24"/>
          <w:u w:val="single"/>
        </w:rPr>
        <w:t>Klargøring af den fortyndede opløsning før infusion</w:t>
      </w:r>
    </w:p>
    <w:p w14:paraId="1C9FAAA5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  <w:proofErr w:type="spellStart"/>
      <w:r w:rsidRPr="00325490">
        <w:rPr>
          <w:sz w:val="24"/>
          <w:szCs w:val="24"/>
        </w:rPr>
        <w:t>Teicoplanin</w:t>
      </w:r>
      <w:proofErr w:type="spellEnd"/>
      <w:r w:rsidRPr="00325490">
        <w:rPr>
          <w:sz w:val="24"/>
          <w:szCs w:val="24"/>
        </w:rPr>
        <w:t xml:space="preserve"> 200 mg og 400 mg kan administreres i følgende infusionsvæsker ved en slutkoncentration mellem 4 mg/ml og 20 mg/ml:</w:t>
      </w:r>
    </w:p>
    <w:p w14:paraId="34623D21" w14:textId="77777777" w:rsidR="006420CF" w:rsidRPr="00610AE8" w:rsidRDefault="006420CF" w:rsidP="00610AE8">
      <w:pPr>
        <w:pStyle w:val="Listeafsnit"/>
        <w:numPr>
          <w:ilvl w:val="0"/>
          <w:numId w:val="16"/>
        </w:numPr>
        <w:ind w:left="1276" w:hanging="425"/>
        <w:rPr>
          <w:bCs/>
          <w:sz w:val="24"/>
          <w:szCs w:val="24"/>
        </w:rPr>
      </w:pPr>
      <w:proofErr w:type="spellStart"/>
      <w:r w:rsidRPr="00610AE8">
        <w:rPr>
          <w:sz w:val="24"/>
          <w:szCs w:val="24"/>
        </w:rPr>
        <w:t>Natriumchlorid</w:t>
      </w:r>
      <w:proofErr w:type="spellEnd"/>
      <w:r w:rsidRPr="00610AE8">
        <w:rPr>
          <w:sz w:val="24"/>
          <w:szCs w:val="24"/>
        </w:rPr>
        <w:t xml:space="preserve"> 9 mg/ml (0,9 %) infusionsvæske.</w:t>
      </w:r>
    </w:p>
    <w:p w14:paraId="37CFF5E1" w14:textId="77777777" w:rsidR="006420CF" w:rsidRPr="00610AE8" w:rsidRDefault="006420CF" w:rsidP="00610AE8">
      <w:pPr>
        <w:pStyle w:val="Listeafsnit"/>
        <w:numPr>
          <w:ilvl w:val="0"/>
          <w:numId w:val="16"/>
        </w:numPr>
        <w:ind w:left="1276" w:hanging="425"/>
        <w:rPr>
          <w:bCs/>
          <w:sz w:val="24"/>
          <w:szCs w:val="24"/>
        </w:rPr>
      </w:pPr>
      <w:r w:rsidRPr="00610AE8">
        <w:rPr>
          <w:sz w:val="24"/>
          <w:szCs w:val="24"/>
        </w:rPr>
        <w:t>Glukose 50 mg/ml (5 %) infusionsvæske.</w:t>
      </w:r>
    </w:p>
    <w:p w14:paraId="401878E1" w14:textId="77777777" w:rsidR="006420CF" w:rsidRPr="00610AE8" w:rsidRDefault="006420CF" w:rsidP="00610AE8">
      <w:pPr>
        <w:pStyle w:val="Listeafsnit"/>
        <w:numPr>
          <w:ilvl w:val="0"/>
          <w:numId w:val="16"/>
        </w:numPr>
        <w:ind w:left="1276" w:hanging="425"/>
        <w:rPr>
          <w:bCs/>
          <w:sz w:val="24"/>
          <w:szCs w:val="24"/>
        </w:rPr>
      </w:pPr>
      <w:r w:rsidRPr="00610AE8">
        <w:rPr>
          <w:sz w:val="24"/>
          <w:szCs w:val="24"/>
        </w:rPr>
        <w:t>Ringer-laktatopløsning.</w:t>
      </w:r>
    </w:p>
    <w:p w14:paraId="05E215CD" w14:textId="77777777" w:rsidR="006420CF" w:rsidRPr="00610AE8" w:rsidRDefault="006420CF" w:rsidP="00610AE8">
      <w:pPr>
        <w:pStyle w:val="Listeafsnit"/>
        <w:numPr>
          <w:ilvl w:val="0"/>
          <w:numId w:val="16"/>
        </w:numPr>
        <w:ind w:left="1276" w:hanging="425"/>
        <w:rPr>
          <w:bCs/>
          <w:sz w:val="24"/>
          <w:szCs w:val="24"/>
        </w:rPr>
      </w:pPr>
      <w:proofErr w:type="spellStart"/>
      <w:r w:rsidRPr="00610AE8">
        <w:rPr>
          <w:sz w:val="24"/>
          <w:szCs w:val="24"/>
        </w:rPr>
        <w:t>Natriumchlorid</w:t>
      </w:r>
      <w:proofErr w:type="spellEnd"/>
      <w:r w:rsidRPr="00610AE8">
        <w:rPr>
          <w:sz w:val="24"/>
          <w:szCs w:val="24"/>
        </w:rPr>
        <w:t xml:space="preserve"> 1,8 mg/ml (0,18 %) og glukose 40 mg/ml (4 %) infusionsvæske.</w:t>
      </w:r>
    </w:p>
    <w:p w14:paraId="4D6B0694" w14:textId="58EC8D85" w:rsidR="006420CF" w:rsidRPr="00610AE8" w:rsidRDefault="006420CF" w:rsidP="00610AE8">
      <w:pPr>
        <w:pStyle w:val="Listeafsnit"/>
        <w:numPr>
          <w:ilvl w:val="0"/>
          <w:numId w:val="16"/>
        </w:numPr>
        <w:ind w:left="1276" w:hanging="425"/>
        <w:rPr>
          <w:bCs/>
          <w:sz w:val="24"/>
          <w:szCs w:val="24"/>
        </w:rPr>
      </w:pPr>
      <w:proofErr w:type="spellStart"/>
      <w:r w:rsidRPr="00610AE8">
        <w:rPr>
          <w:sz w:val="24"/>
          <w:szCs w:val="24"/>
        </w:rPr>
        <w:t>Peritonealdialysevæske</w:t>
      </w:r>
      <w:proofErr w:type="spellEnd"/>
      <w:r w:rsidRPr="00610AE8">
        <w:rPr>
          <w:sz w:val="24"/>
          <w:szCs w:val="24"/>
        </w:rPr>
        <w:t xml:space="preserve"> </w:t>
      </w:r>
      <w:r w:rsidR="005D033A">
        <w:rPr>
          <w:sz w:val="24"/>
          <w:szCs w:val="24"/>
        </w:rPr>
        <w:t>indeholdende</w:t>
      </w:r>
      <w:r w:rsidRPr="00610AE8">
        <w:rPr>
          <w:sz w:val="24"/>
          <w:szCs w:val="24"/>
        </w:rPr>
        <w:t xml:space="preserve"> glukose 13,6 mg/ml (1,36 %).</w:t>
      </w:r>
    </w:p>
    <w:p w14:paraId="1DE842F2" w14:textId="75097BA1" w:rsidR="006420CF" w:rsidRPr="00610AE8" w:rsidRDefault="006420CF" w:rsidP="00610AE8">
      <w:pPr>
        <w:pStyle w:val="Listeafsnit"/>
        <w:numPr>
          <w:ilvl w:val="0"/>
          <w:numId w:val="16"/>
        </w:numPr>
        <w:ind w:left="1276" w:hanging="425"/>
        <w:rPr>
          <w:bCs/>
          <w:sz w:val="24"/>
          <w:szCs w:val="24"/>
        </w:rPr>
      </w:pPr>
      <w:proofErr w:type="spellStart"/>
      <w:r w:rsidRPr="00610AE8">
        <w:rPr>
          <w:sz w:val="24"/>
          <w:szCs w:val="24"/>
        </w:rPr>
        <w:t>Peritonealdialysevæske</w:t>
      </w:r>
      <w:proofErr w:type="spellEnd"/>
      <w:r w:rsidRPr="00610AE8">
        <w:rPr>
          <w:sz w:val="24"/>
          <w:szCs w:val="24"/>
        </w:rPr>
        <w:t xml:space="preserve"> </w:t>
      </w:r>
      <w:r w:rsidR="005D033A">
        <w:rPr>
          <w:sz w:val="24"/>
          <w:szCs w:val="24"/>
        </w:rPr>
        <w:t>indeholdende</w:t>
      </w:r>
      <w:r w:rsidRPr="00610AE8">
        <w:rPr>
          <w:sz w:val="24"/>
          <w:szCs w:val="24"/>
        </w:rPr>
        <w:t xml:space="preserve"> glukose 38,6 mg/ml (3,86 %).</w:t>
      </w:r>
    </w:p>
    <w:p w14:paraId="725CF5F5" w14:textId="77777777" w:rsidR="006420CF" w:rsidRPr="00610AE8" w:rsidRDefault="006420CF" w:rsidP="00610AE8">
      <w:pPr>
        <w:pStyle w:val="Listeafsnit"/>
        <w:numPr>
          <w:ilvl w:val="0"/>
          <w:numId w:val="16"/>
        </w:numPr>
        <w:ind w:left="1276" w:hanging="425"/>
        <w:rPr>
          <w:bCs/>
          <w:sz w:val="24"/>
          <w:szCs w:val="24"/>
        </w:rPr>
      </w:pPr>
      <w:r w:rsidRPr="00610AE8">
        <w:rPr>
          <w:sz w:val="24"/>
          <w:szCs w:val="24"/>
        </w:rPr>
        <w:t>Ringer-opløsning.</w:t>
      </w:r>
    </w:p>
    <w:p w14:paraId="7354B31C" w14:textId="77777777" w:rsidR="006420CF" w:rsidRPr="00610AE8" w:rsidRDefault="006420CF" w:rsidP="00610AE8">
      <w:pPr>
        <w:pStyle w:val="Listeafsnit"/>
        <w:numPr>
          <w:ilvl w:val="0"/>
          <w:numId w:val="16"/>
        </w:numPr>
        <w:ind w:left="1276" w:hanging="425"/>
        <w:rPr>
          <w:bCs/>
          <w:sz w:val="24"/>
          <w:szCs w:val="24"/>
        </w:rPr>
      </w:pPr>
      <w:r w:rsidRPr="00610AE8">
        <w:rPr>
          <w:sz w:val="24"/>
          <w:szCs w:val="24"/>
        </w:rPr>
        <w:t>Glukose 100 mg/ml (10 %) opløsning.</w:t>
      </w:r>
    </w:p>
    <w:p w14:paraId="136823CC" w14:textId="77777777" w:rsidR="006420CF" w:rsidRPr="00610AE8" w:rsidRDefault="006420CF" w:rsidP="00610AE8">
      <w:pPr>
        <w:pStyle w:val="Listeafsnit"/>
        <w:numPr>
          <w:ilvl w:val="0"/>
          <w:numId w:val="16"/>
        </w:numPr>
        <w:ind w:left="1276" w:hanging="425"/>
        <w:rPr>
          <w:bCs/>
          <w:sz w:val="24"/>
          <w:szCs w:val="24"/>
        </w:rPr>
      </w:pPr>
      <w:proofErr w:type="spellStart"/>
      <w:r w:rsidRPr="00610AE8">
        <w:rPr>
          <w:sz w:val="24"/>
          <w:szCs w:val="24"/>
        </w:rPr>
        <w:t>Natriumchlorid</w:t>
      </w:r>
      <w:proofErr w:type="spellEnd"/>
      <w:r w:rsidRPr="00610AE8">
        <w:rPr>
          <w:sz w:val="24"/>
          <w:szCs w:val="24"/>
        </w:rPr>
        <w:t xml:space="preserve"> 4,5 mg/ml (0,45 %) og glukose 50 mg/ml (5 %) infusionsvæske.</w:t>
      </w:r>
    </w:p>
    <w:p w14:paraId="1D320EDF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</w:p>
    <w:p w14:paraId="2471389C" w14:textId="77777777" w:rsidR="006420CF" w:rsidRPr="00325490" w:rsidRDefault="006420CF" w:rsidP="007E6BC1">
      <w:pPr>
        <w:ind w:left="851"/>
        <w:rPr>
          <w:bCs/>
          <w:sz w:val="24"/>
          <w:szCs w:val="24"/>
        </w:rPr>
      </w:pPr>
      <w:r w:rsidRPr="00325490">
        <w:rPr>
          <w:sz w:val="24"/>
          <w:szCs w:val="24"/>
        </w:rPr>
        <w:t>Ikke anvendt lægemiddel samt affald heraf skal bortskaffes i henhold til lokale retningslinjer.</w:t>
      </w:r>
    </w:p>
    <w:p w14:paraId="669E7886" w14:textId="77777777" w:rsidR="009260DE" w:rsidRPr="00325490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6882A935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7.</w:t>
      </w:r>
      <w:r w:rsidRPr="00325490">
        <w:rPr>
          <w:b/>
          <w:sz w:val="24"/>
          <w:szCs w:val="24"/>
        </w:rPr>
        <w:tab/>
        <w:t>INDEHAVER AF MARKEDSFØRINGSTILLADELSEN</w:t>
      </w:r>
    </w:p>
    <w:p w14:paraId="7B0F27C3" w14:textId="77777777" w:rsidR="000B1347" w:rsidRPr="00325490" w:rsidRDefault="000B1347" w:rsidP="000B1347">
      <w:pPr>
        <w:tabs>
          <w:tab w:val="left" w:pos="851"/>
        </w:tabs>
        <w:ind w:left="851"/>
        <w:jc w:val="both"/>
        <w:rPr>
          <w:sz w:val="24"/>
          <w:szCs w:val="24"/>
          <w:lang w:eastAsia="da-DK"/>
        </w:rPr>
      </w:pPr>
      <w:r w:rsidRPr="00325490">
        <w:rPr>
          <w:sz w:val="24"/>
          <w:szCs w:val="24"/>
        </w:rPr>
        <w:t xml:space="preserve">Demo S.A. </w:t>
      </w:r>
      <w:proofErr w:type="spellStart"/>
      <w:r w:rsidRPr="00325490">
        <w:rPr>
          <w:sz w:val="24"/>
          <w:szCs w:val="24"/>
        </w:rPr>
        <w:t>Pharmaceutical</w:t>
      </w:r>
      <w:proofErr w:type="spellEnd"/>
      <w:r w:rsidRPr="00325490">
        <w:rPr>
          <w:sz w:val="24"/>
          <w:szCs w:val="24"/>
        </w:rPr>
        <w:t xml:space="preserve"> Industry</w:t>
      </w:r>
    </w:p>
    <w:p w14:paraId="0F756CBD" w14:textId="77777777" w:rsidR="000B1347" w:rsidRPr="00325490" w:rsidRDefault="000B1347" w:rsidP="000B1347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  <w:r w:rsidRPr="00325490">
        <w:rPr>
          <w:sz w:val="24"/>
          <w:szCs w:val="24"/>
          <w:lang w:val="en-GB"/>
        </w:rPr>
        <w:t xml:space="preserve">National Road Athens </w:t>
      </w:r>
      <w:proofErr w:type="spellStart"/>
      <w:r w:rsidRPr="00325490">
        <w:rPr>
          <w:sz w:val="24"/>
          <w:szCs w:val="24"/>
          <w:lang w:val="en-GB"/>
        </w:rPr>
        <w:t>Lamia</w:t>
      </w:r>
      <w:proofErr w:type="spellEnd"/>
      <w:r w:rsidRPr="00325490">
        <w:rPr>
          <w:sz w:val="24"/>
          <w:szCs w:val="24"/>
          <w:lang w:val="en-GB"/>
        </w:rPr>
        <w:t xml:space="preserve"> 21 Km</w:t>
      </w:r>
    </w:p>
    <w:p w14:paraId="26D93CBE" w14:textId="77777777" w:rsidR="000B1347" w:rsidRPr="00325490" w:rsidRDefault="000B1347" w:rsidP="000B1347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  <w:r w:rsidRPr="00325490">
        <w:rPr>
          <w:sz w:val="24"/>
          <w:szCs w:val="24"/>
          <w:lang w:val="en-GB"/>
        </w:rPr>
        <w:t xml:space="preserve">145 68 </w:t>
      </w:r>
      <w:proofErr w:type="spellStart"/>
      <w:r w:rsidRPr="00325490">
        <w:rPr>
          <w:sz w:val="24"/>
          <w:szCs w:val="24"/>
          <w:lang w:val="en-GB"/>
        </w:rPr>
        <w:t>Kryoneri</w:t>
      </w:r>
      <w:proofErr w:type="spellEnd"/>
      <w:r w:rsidRPr="00325490">
        <w:rPr>
          <w:sz w:val="24"/>
          <w:szCs w:val="24"/>
          <w:lang w:val="en-GB"/>
        </w:rPr>
        <w:t>, Attica</w:t>
      </w:r>
    </w:p>
    <w:p w14:paraId="76FC13B2" w14:textId="2C08D3DE" w:rsidR="000B1347" w:rsidRPr="005F229F" w:rsidRDefault="005D033A" w:rsidP="000B1347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5F229F">
        <w:rPr>
          <w:sz w:val="24"/>
          <w:szCs w:val="24"/>
        </w:rPr>
        <w:t>Grækenland</w:t>
      </w:r>
    </w:p>
    <w:p w14:paraId="1D552BF8" w14:textId="77777777" w:rsidR="00641C65" w:rsidRPr="00325490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7848290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8.</w:t>
      </w:r>
      <w:r w:rsidRPr="00325490">
        <w:rPr>
          <w:b/>
          <w:sz w:val="24"/>
          <w:szCs w:val="24"/>
        </w:rPr>
        <w:tab/>
        <w:t>MARKEDSFØRINGSTILLADELSESNUMMER (</w:t>
      </w:r>
      <w:r w:rsidR="00BF6243" w:rsidRPr="00325490">
        <w:rPr>
          <w:b/>
          <w:sz w:val="24"/>
          <w:szCs w:val="24"/>
        </w:rPr>
        <w:t>-</w:t>
      </w:r>
      <w:r w:rsidRPr="00325490">
        <w:rPr>
          <w:b/>
          <w:sz w:val="24"/>
          <w:szCs w:val="24"/>
        </w:rPr>
        <w:t>NUMRE)</w:t>
      </w:r>
    </w:p>
    <w:p w14:paraId="595DFE32" w14:textId="77777777" w:rsidR="000B1347" w:rsidRPr="00325490" w:rsidRDefault="000B1347" w:rsidP="000B1347">
      <w:pPr>
        <w:tabs>
          <w:tab w:val="left" w:pos="851"/>
        </w:tabs>
        <w:ind w:left="851"/>
        <w:jc w:val="both"/>
        <w:rPr>
          <w:sz w:val="24"/>
          <w:szCs w:val="24"/>
          <w:lang w:eastAsia="da-DK"/>
        </w:rPr>
      </w:pPr>
      <w:r w:rsidRPr="00325490">
        <w:rPr>
          <w:sz w:val="24"/>
          <w:szCs w:val="24"/>
        </w:rPr>
        <w:t>200 mg: 73076</w:t>
      </w:r>
    </w:p>
    <w:p w14:paraId="05EDA221" w14:textId="77777777" w:rsidR="000B1347" w:rsidRPr="00325490" w:rsidRDefault="000B1347" w:rsidP="000B1347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325490">
        <w:rPr>
          <w:sz w:val="24"/>
          <w:szCs w:val="24"/>
        </w:rPr>
        <w:t>400 mg: 73079</w:t>
      </w:r>
    </w:p>
    <w:p w14:paraId="2DC13CC3" w14:textId="77777777" w:rsidR="009260DE" w:rsidRPr="00325490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6944CAAC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9.</w:t>
      </w:r>
      <w:r w:rsidRPr="00325490">
        <w:rPr>
          <w:b/>
          <w:sz w:val="24"/>
          <w:szCs w:val="24"/>
        </w:rPr>
        <w:tab/>
        <w:t>DATO FOR FØRSTE MARKEDSFØRINGSTILLADELSE</w:t>
      </w:r>
    </w:p>
    <w:p w14:paraId="0F200D6B" w14:textId="6A462BE4" w:rsidR="009260DE" w:rsidRPr="00325490" w:rsidRDefault="000B1347" w:rsidP="009260DE">
      <w:pPr>
        <w:tabs>
          <w:tab w:val="left" w:pos="851"/>
        </w:tabs>
        <w:ind w:left="851"/>
        <w:rPr>
          <w:sz w:val="24"/>
          <w:szCs w:val="24"/>
        </w:rPr>
      </w:pPr>
      <w:r w:rsidRPr="00325490">
        <w:rPr>
          <w:sz w:val="24"/>
          <w:szCs w:val="24"/>
        </w:rPr>
        <w:t>19. juni 2025</w:t>
      </w:r>
    </w:p>
    <w:p w14:paraId="5BAF68AF" w14:textId="77777777" w:rsidR="009260DE" w:rsidRPr="0032549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34FDEDB" w14:textId="77777777" w:rsidR="009260DE" w:rsidRPr="0032549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325490">
        <w:rPr>
          <w:b/>
          <w:sz w:val="24"/>
          <w:szCs w:val="24"/>
        </w:rPr>
        <w:t>10.</w:t>
      </w:r>
      <w:r w:rsidRPr="00325490">
        <w:rPr>
          <w:b/>
          <w:sz w:val="24"/>
          <w:szCs w:val="24"/>
        </w:rPr>
        <w:tab/>
        <w:t>DATO FOR ÆNDRING AF TEKSTEN</w:t>
      </w:r>
    </w:p>
    <w:p w14:paraId="5A257D3B" w14:textId="55C13207" w:rsidR="009260DE" w:rsidRPr="00325490" w:rsidRDefault="005D033A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11. december 2025</w:t>
      </w:r>
    </w:p>
    <w:sectPr w:rsidR="009260DE" w:rsidRPr="00325490" w:rsidSect="000259B9">
      <w:footerReference w:type="default" r:id="rId10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73E9D" w14:textId="77777777" w:rsidR="0090551D" w:rsidRDefault="0090551D">
      <w:r>
        <w:separator/>
      </w:r>
    </w:p>
  </w:endnote>
  <w:endnote w:type="continuationSeparator" w:id="0">
    <w:p w14:paraId="3BB04F5E" w14:textId="77777777" w:rsidR="0090551D" w:rsidRDefault="0090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DD09C" w14:textId="77777777" w:rsidR="0090551D" w:rsidRDefault="0090551D">
    <w:pPr>
      <w:pStyle w:val="Sidefod"/>
      <w:pBdr>
        <w:bottom w:val="single" w:sz="6" w:space="1" w:color="auto"/>
      </w:pBdr>
    </w:pPr>
  </w:p>
  <w:p w14:paraId="7D98DB71" w14:textId="77777777" w:rsidR="0090551D" w:rsidRDefault="0090551D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6C277808" w14:textId="08E80CD7" w:rsidR="0090551D" w:rsidRPr="00B373D7" w:rsidRDefault="0090551D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EF6DF4">
      <w:rPr>
        <w:i/>
        <w:noProof/>
        <w:sz w:val="18"/>
        <w:szCs w:val="18"/>
      </w:rPr>
      <w:t>Teicoplanin Demo S.A., pulver og solvens til injektions--infusionsvæske, opløsning 200 mg og 400 mg.docx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B3E30" w14:textId="77777777" w:rsidR="0090551D" w:rsidRDefault="0090551D">
      <w:r>
        <w:separator/>
      </w:r>
    </w:p>
  </w:footnote>
  <w:footnote w:type="continuationSeparator" w:id="0">
    <w:p w14:paraId="59C713EC" w14:textId="77777777" w:rsidR="0090551D" w:rsidRDefault="0090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1EA"/>
    <w:multiLevelType w:val="hybridMultilevel"/>
    <w:tmpl w:val="74101658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537290"/>
    <w:multiLevelType w:val="multilevel"/>
    <w:tmpl w:val="7F3CB09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1FA61A5"/>
    <w:multiLevelType w:val="multilevel"/>
    <w:tmpl w:val="897E17E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72F7240"/>
    <w:multiLevelType w:val="hybridMultilevel"/>
    <w:tmpl w:val="9140AE64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5CC04FA"/>
    <w:multiLevelType w:val="hybridMultilevel"/>
    <w:tmpl w:val="BF5E0C1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8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1A16DFF"/>
    <w:multiLevelType w:val="hybridMultilevel"/>
    <w:tmpl w:val="38069ABE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201426D"/>
    <w:multiLevelType w:val="hybridMultilevel"/>
    <w:tmpl w:val="2D428ED6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603939F4"/>
    <w:multiLevelType w:val="hybridMultilevel"/>
    <w:tmpl w:val="ABFC8106"/>
    <w:lvl w:ilvl="0" w:tplc="CAF011D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6DF23117"/>
    <w:multiLevelType w:val="hybridMultilevel"/>
    <w:tmpl w:val="1C28AA22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5285B20"/>
    <w:multiLevelType w:val="multilevel"/>
    <w:tmpl w:val="55F4D55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65D2029"/>
    <w:multiLevelType w:val="hybridMultilevel"/>
    <w:tmpl w:val="E7B23316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FE63B58"/>
    <w:multiLevelType w:val="hybridMultilevel"/>
    <w:tmpl w:val="8E6A7F6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6"/>
  </w:num>
  <w:num w:numId="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4"/>
  </w:num>
  <w:num w:numId="12">
    <w:abstractNumId w:val="10"/>
  </w:num>
  <w:num w:numId="13">
    <w:abstractNumId w:val="13"/>
  </w:num>
  <w:num w:numId="14">
    <w:abstractNumId w:val="9"/>
  </w:num>
  <w:num w:numId="15">
    <w:abstractNumId w:val="0"/>
  </w:num>
  <w:num w:numId="16">
    <w:abstractNumId w:val="15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9E"/>
    <w:rsid w:val="000259B9"/>
    <w:rsid w:val="00041491"/>
    <w:rsid w:val="00050D16"/>
    <w:rsid w:val="000730CA"/>
    <w:rsid w:val="00074F2A"/>
    <w:rsid w:val="000A1CA8"/>
    <w:rsid w:val="000A466B"/>
    <w:rsid w:val="000B058C"/>
    <w:rsid w:val="000B1347"/>
    <w:rsid w:val="000D68B0"/>
    <w:rsid w:val="000E4EE6"/>
    <w:rsid w:val="00116B01"/>
    <w:rsid w:val="001454E2"/>
    <w:rsid w:val="0014656A"/>
    <w:rsid w:val="00206CE8"/>
    <w:rsid w:val="0021526C"/>
    <w:rsid w:val="00283A2B"/>
    <w:rsid w:val="002B30AD"/>
    <w:rsid w:val="002C1EC0"/>
    <w:rsid w:val="002C2C01"/>
    <w:rsid w:val="002D79F0"/>
    <w:rsid w:val="00325490"/>
    <w:rsid w:val="0035385D"/>
    <w:rsid w:val="003A29AE"/>
    <w:rsid w:val="003A32D7"/>
    <w:rsid w:val="003B4074"/>
    <w:rsid w:val="003C769A"/>
    <w:rsid w:val="003D3A90"/>
    <w:rsid w:val="003F1838"/>
    <w:rsid w:val="004251C1"/>
    <w:rsid w:val="0045746C"/>
    <w:rsid w:val="00487974"/>
    <w:rsid w:val="0049104B"/>
    <w:rsid w:val="004E3B12"/>
    <w:rsid w:val="0050056A"/>
    <w:rsid w:val="00532310"/>
    <w:rsid w:val="00565F0F"/>
    <w:rsid w:val="00594A86"/>
    <w:rsid w:val="00596D86"/>
    <w:rsid w:val="005D033A"/>
    <w:rsid w:val="005F229F"/>
    <w:rsid w:val="00610AE8"/>
    <w:rsid w:val="0063384F"/>
    <w:rsid w:val="00637F5A"/>
    <w:rsid w:val="00641C65"/>
    <w:rsid w:val="006420CF"/>
    <w:rsid w:val="006560B1"/>
    <w:rsid w:val="006756DD"/>
    <w:rsid w:val="00701F28"/>
    <w:rsid w:val="0071241E"/>
    <w:rsid w:val="00737275"/>
    <w:rsid w:val="00740EEC"/>
    <w:rsid w:val="0078011A"/>
    <w:rsid w:val="00782AF4"/>
    <w:rsid w:val="00790EE7"/>
    <w:rsid w:val="007B6649"/>
    <w:rsid w:val="007E6BC1"/>
    <w:rsid w:val="0082576E"/>
    <w:rsid w:val="0089346F"/>
    <w:rsid w:val="0090551D"/>
    <w:rsid w:val="00907F75"/>
    <w:rsid w:val="009260DE"/>
    <w:rsid w:val="0093258A"/>
    <w:rsid w:val="009C7BA3"/>
    <w:rsid w:val="009D1F5A"/>
    <w:rsid w:val="00A10294"/>
    <w:rsid w:val="00A75D9E"/>
    <w:rsid w:val="00A84ABD"/>
    <w:rsid w:val="00AF7A82"/>
    <w:rsid w:val="00B003BF"/>
    <w:rsid w:val="00B373D7"/>
    <w:rsid w:val="00B55271"/>
    <w:rsid w:val="00B811B7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CB3906"/>
    <w:rsid w:val="00CC1F5E"/>
    <w:rsid w:val="00D006FC"/>
    <w:rsid w:val="00D020B0"/>
    <w:rsid w:val="00D11748"/>
    <w:rsid w:val="00D237F6"/>
    <w:rsid w:val="00D34D98"/>
    <w:rsid w:val="00D366CF"/>
    <w:rsid w:val="00D93992"/>
    <w:rsid w:val="00E108AA"/>
    <w:rsid w:val="00E3749A"/>
    <w:rsid w:val="00E7437F"/>
    <w:rsid w:val="00E865B8"/>
    <w:rsid w:val="00EC0B9B"/>
    <w:rsid w:val="00ED5E9F"/>
    <w:rsid w:val="00EF6DF4"/>
    <w:rsid w:val="00F41DF7"/>
    <w:rsid w:val="00F66D4F"/>
    <w:rsid w:val="00FB6D01"/>
    <w:rsid w:val="00F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F1F08"/>
  <w15:chartTrackingRefBased/>
  <w15:docId w15:val="{6FE32351-528D-43DC-BB05-9E77C72A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character" w:customStyle="1" w:styleId="Bodytext2">
    <w:name w:val="Body text (2)_"/>
    <w:basedOn w:val="Standardskrifttypeiafsnit"/>
    <w:link w:val="Bodytext20"/>
    <w:locked/>
    <w:rsid w:val="006420C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20CF"/>
    <w:pPr>
      <w:widowControl w:val="0"/>
      <w:shd w:val="clear" w:color="auto" w:fill="FFFFFF"/>
      <w:spacing w:before="200" w:after="300" w:line="212" w:lineRule="exact"/>
      <w:ind w:hanging="260"/>
    </w:pPr>
    <w:rPr>
      <w:rFonts w:ascii="Arial" w:eastAsia="Arial" w:hAnsi="Arial" w:cs="Arial"/>
      <w:sz w:val="19"/>
      <w:szCs w:val="19"/>
      <w:lang w:eastAsia="da-DK"/>
    </w:rPr>
  </w:style>
  <w:style w:type="character" w:customStyle="1" w:styleId="Bodytext2Italic">
    <w:name w:val="Body text (2) + Italic"/>
    <w:basedOn w:val="Bodytext2"/>
    <w:rsid w:val="006420CF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da-DK" w:eastAsia="en-US" w:bidi="en-US"/>
    </w:rPr>
  </w:style>
  <w:style w:type="character" w:customStyle="1" w:styleId="Tablecaption">
    <w:name w:val="Table caption_"/>
    <w:basedOn w:val="Standardskrifttypeiafsnit"/>
    <w:link w:val="Tablecaption0"/>
    <w:locked/>
    <w:rsid w:val="006420C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420CF"/>
    <w:pPr>
      <w:widowControl w:val="0"/>
      <w:shd w:val="clear" w:color="auto" w:fill="FFFFFF"/>
      <w:spacing w:line="212" w:lineRule="exact"/>
    </w:pPr>
    <w:rPr>
      <w:rFonts w:ascii="Arial" w:eastAsia="Arial" w:hAnsi="Arial" w:cs="Arial"/>
      <w:sz w:val="19"/>
      <w:szCs w:val="19"/>
      <w:lang w:eastAsia="da-DK"/>
    </w:rPr>
  </w:style>
  <w:style w:type="character" w:customStyle="1" w:styleId="Heading3NotBold">
    <w:name w:val="Heading #3 + Not Bold"/>
    <w:basedOn w:val="Standardskrifttypeiafsnit"/>
    <w:rsid w:val="006420CF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da-DK" w:eastAsia="en-US" w:bidi="en-US"/>
    </w:rPr>
  </w:style>
  <w:style w:type="character" w:customStyle="1" w:styleId="Bodytext2Bold">
    <w:name w:val="Body text (2) + Bold"/>
    <w:basedOn w:val="Bodytext2"/>
    <w:rsid w:val="006420CF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da-DK" w:eastAsia="en-US" w:bidi="en-US"/>
    </w:rPr>
  </w:style>
  <w:style w:type="character" w:customStyle="1" w:styleId="Bodytext6">
    <w:name w:val="Body text (6)"/>
    <w:basedOn w:val="Standardskrifttypeiafsnit"/>
    <w:rsid w:val="006420CF"/>
    <w:rPr>
      <w:rFonts w:ascii="Arial" w:eastAsia="Arial" w:hAnsi="Arial" w:cs="Arial" w:hint="default"/>
      <w:b w:val="0"/>
      <w:bCs w:val="0"/>
      <w:i/>
      <w:iCs/>
      <w:smallCaps w:val="0"/>
      <w:color w:val="000000"/>
      <w:spacing w:val="0"/>
      <w:w w:val="100"/>
      <w:position w:val="0"/>
      <w:sz w:val="19"/>
      <w:szCs w:val="19"/>
      <w:u w:val="single"/>
      <w:lang w:val="da-DK" w:eastAsia="en-US" w:bidi="en-US"/>
    </w:rPr>
  </w:style>
  <w:style w:type="character" w:customStyle="1" w:styleId="Bodytext6NotItalic">
    <w:name w:val="Body text (6) + Not Italic"/>
    <w:basedOn w:val="Standardskrifttypeiafsnit"/>
    <w:rsid w:val="006420CF"/>
    <w:rPr>
      <w:rFonts w:ascii="Arial" w:eastAsia="Arial" w:hAnsi="Arial" w:cs="Arial" w:hint="default"/>
      <w:b w:val="0"/>
      <w:bCs w:val="0"/>
      <w:i/>
      <w:iCs/>
      <w:smallCaps w:val="0"/>
      <w:color w:val="000000"/>
      <w:spacing w:val="0"/>
      <w:w w:val="100"/>
      <w:position w:val="0"/>
      <w:sz w:val="19"/>
      <w:szCs w:val="19"/>
      <w:u w:val="single"/>
      <w:lang w:val="da-DK" w:eastAsia="en-US" w:bidi="en-US"/>
    </w:rPr>
  </w:style>
  <w:style w:type="table" w:styleId="Tabel-Gitter">
    <w:name w:val="Table Grid"/>
    <w:basedOn w:val="Tabel-Normal"/>
    <w:uiPriority w:val="59"/>
    <w:rsid w:val="006420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6420CF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32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documents/other/minimum-inhibitory-concentration-mic-breakpoints_en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72</TotalTime>
  <Pages>15</Pages>
  <Words>4059</Words>
  <Characters>27209</Characters>
  <Application>Microsoft Office Word</Application>
  <DocSecurity>0</DocSecurity>
  <Lines>226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2025070381, danske tekster, 2025091742, ændring af lægemiddelform fra pulver til injektions-infusionsvæske, opløsning eller oral opløsning</dc:description>
  <cp:lastModifiedBy>Gitte Jørgensen</cp:lastModifiedBy>
  <cp:revision>19</cp:revision>
  <cp:lastPrinted>2012-08-22T08:53:00Z</cp:lastPrinted>
  <dcterms:created xsi:type="dcterms:W3CDTF">2025-12-10T14:10:00Z</dcterms:created>
  <dcterms:modified xsi:type="dcterms:W3CDTF">2025-12-11T12:37:00Z</dcterms:modified>
</cp:coreProperties>
</file>