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B6E30" w14:textId="77777777" w:rsidR="008F3CD4" w:rsidRPr="006E31EE" w:rsidRDefault="008F3CD4" w:rsidP="008F3CD4">
      <w:pPr>
        <w:rPr>
          <w:sz w:val="24"/>
          <w:szCs w:val="24"/>
        </w:rPr>
      </w:pPr>
      <w:r w:rsidRPr="006E31EE">
        <w:rPr>
          <w:noProof/>
          <w:sz w:val="24"/>
          <w:szCs w:val="24"/>
          <w:lang w:eastAsia="da-DK"/>
        </w:rPr>
        <w:drawing>
          <wp:anchor distT="0" distB="0" distL="114300" distR="114300" simplePos="0" relativeHeight="251659264" behindDoc="0" locked="0" layoutInCell="1" allowOverlap="1" wp14:anchorId="2699A559" wp14:editId="6F69201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6E31EE">
        <w:rPr>
          <w:sz w:val="24"/>
          <w:szCs w:val="24"/>
        </w:rPr>
        <w:br w:type="textWrapping" w:clear="all"/>
      </w:r>
    </w:p>
    <w:p w14:paraId="190F094C" w14:textId="087EF80E" w:rsidR="008F3CD4" w:rsidRPr="006E31EE" w:rsidRDefault="008F3CD4" w:rsidP="008F3CD4">
      <w:pPr>
        <w:pStyle w:val="Titel"/>
        <w:tabs>
          <w:tab w:val="right" w:pos="9356"/>
        </w:tabs>
        <w:jc w:val="left"/>
        <w:rPr>
          <w:b w:val="0"/>
          <w:szCs w:val="24"/>
          <w:lang w:eastAsia="en-US"/>
        </w:rPr>
      </w:pPr>
      <w:r w:rsidRPr="006E31EE">
        <w:rPr>
          <w:b w:val="0"/>
          <w:szCs w:val="24"/>
          <w:lang w:eastAsia="en-US"/>
        </w:rPr>
        <w:tab/>
      </w:r>
      <w:r w:rsidR="00CA3916">
        <w:rPr>
          <w:szCs w:val="24"/>
        </w:rPr>
        <w:t>1</w:t>
      </w:r>
      <w:r w:rsidR="00E70F73">
        <w:rPr>
          <w:szCs w:val="24"/>
        </w:rPr>
        <w:t>8</w:t>
      </w:r>
      <w:r w:rsidR="00CA3916">
        <w:rPr>
          <w:szCs w:val="24"/>
        </w:rPr>
        <w:t>. december 2024</w:t>
      </w:r>
    </w:p>
    <w:p w14:paraId="70E464C6" w14:textId="2C3643AA" w:rsidR="008F3CD4" w:rsidRPr="006E31EE" w:rsidRDefault="008F3CD4" w:rsidP="008F3CD4">
      <w:pPr>
        <w:pStyle w:val="Titel"/>
        <w:tabs>
          <w:tab w:val="left" w:pos="8222"/>
        </w:tabs>
        <w:jc w:val="left"/>
        <w:rPr>
          <w:b w:val="0"/>
          <w:szCs w:val="24"/>
        </w:rPr>
      </w:pPr>
    </w:p>
    <w:p w14:paraId="04FAFAAB" w14:textId="5B702EB4" w:rsidR="008F3CD4" w:rsidRPr="006E31EE" w:rsidRDefault="008F3CD4" w:rsidP="008F3CD4">
      <w:pPr>
        <w:pStyle w:val="Titel"/>
        <w:jc w:val="left"/>
        <w:rPr>
          <w:b w:val="0"/>
          <w:szCs w:val="24"/>
        </w:rPr>
      </w:pPr>
    </w:p>
    <w:p w14:paraId="2B6F139E" w14:textId="77777777" w:rsidR="008F3CD4" w:rsidRPr="006E31EE" w:rsidRDefault="008F3CD4" w:rsidP="008F3CD4">
      <w:pPr>
        <w:pStyle w:val="Titel"/>
        <w:jc w:val="left"/>
        <w:rPr>
          <w:b w:val="0"/>
          <w:szCs w:val="24"/>
        </w:rPr>
      </w:pPr>
    </w:p>
    <w:p w14:paraId="5F504F4A" w14:textId="77777777" w:rsidR="008F3CD4" w:rsidRPr="006E31EE" w:rsidRDefault="008C3A77" w:rsidP="008C3A77">
      <w:pPr>
        <w:tabs>
          <w:tab w:val="center" w:pos="4819"/>
        </w:tabs>
        <w:rPr>
          <w:b/>
          <w:sz w:val="24"/>
          <w:szCs w:val="24"/>
        </w:rPr>
      </w:pPr>
      <w:r w:rsidRPr="006E31EE">
        <w:rPr>
          <w:b/>
          <w:sz w:val="24"/>
          <w:szCs w:val="24"/>
        </w:rPr>
        <w:tab/>
      </w:r>
      <w:r w:rsidR="008F3CD4" w:rsidRPr="006E31EE">
        <w:rPr>
          <w:b/>
          <w:sz w:val="24"/>
          <w:szCs w:val="24"/>
        </w:rPr>
        <w:t>PRODUKTRESUMÉ</w:t>
      </w:r>
    </w:p>
    <w:p w14:paraId="26FEC13F" w14:textId="1B7448B0" w:rsidR="008F3CD4" w:rsidRPr="006E31EE" w:rsidRDefault="008F3CD4" w:rsidP="000D4702">
      <w:pPr>
        <w:rPr>
          <w:b/>
          <w:sz w:val="24"/>
          <w:szCs w:val="24"/>
        </w:rPr>
      </w:pPr>
    </w:p>
    <w:p w14:paraId="16484EED" w14:textId="77777777" w:rsidR="008F3CD4" w:rsidRPr="006E31EE" w:rsidRDefault="008F3CD4" w:rsidP="008F3CD4">
      <w:pPr>
        <w:tabs>
          <w:tab w:val="left" w:pos="510"/>
          <w:tab w:val="center" w:pos="4819"/>
        </w:tabs>
        <w:rPr>
          <w:b/>
          <w:sz w:val="24"/>
          <w:szCs w:val="24"/>
        </w:rPr>
      </w:pPr>
      <w:r w:rsidRPr="006E31EE">
        <w:rPr>
          <w:b/>
          <w:sz w:val="24"/>
          <w:szCs w:val="24"/>
        </w:rPr>
        <w:tab/>
      </w:r>
      <w:r w:rsidRPr="006E31EE">
        <w:rPr>
          <w:b/>
          <w:sz w:val="24"/>
          <w:szCs w:val="24"/>
        </w:rPr>
        <w:tab/>
        <w:t>for</w:t>
      </w:r>
    </w:p>
    <w:p w14:paraId="6F08A70C" w14:textId="77777777" w:rsidR="008F3CD4" w:rsidRPr="006E31EE" w:rsidRDefault="008F3CD4" w:rsidP="008F3CD4">
      <w:pPr>
        <w:jc w:val="center"/>
        <w:rPr>
          <w:b/>
          <w:sz w:val="24"/>
          <w:szCs w:val="24"/>
        </w:rPr>
      </w:pPr>
    </w:p>
    <w:p w14:paraId="39FD661B" w14:textId="77777777" w:rsidR="008F3CD4" w:rsidRPr="006E31EE" w:rsidRDefault="008F3CD4" w:rsidP="008F3CD4">
      <w:pPr>
        <w:jc w:val="center"/>
        <w:rPr>
          <w:b/>
          <w:sz w:val="24"/>
          <w:szCs w:val="24"/>
        </w:rPr>
      </w:pPr>
      <w:r w:rsidRPr="006E31EE">
        <w:rPr>
          <w:b/>
          <w:sz w:val="24"/>
          <w:szCs w:val="24"/>
        </w:rPr>
        <w:t>Tenofovir disoproxil "Sandoz", filmovertrukne tabletter</w:t>
      </w:r>
    </w:p>
    <w:p w14:paraId="4942DF44" w14:textId="77777777" w:rsidR="008F3CD4" w:rsidRPr="006E31EE" w:rsidRDefault="008F3CD4" w:rsidP="008F3CD4">
      <w:pPr>
        <w:jc w:val="both"/>
        <w:rPr>
          <w:sz w:val="24"/>
          <w:szCs w:val="24"/>
        </w:rPr>
      </w:pPr>
    </w:p>
    <w:p w14:paraId="257C1C28" w14:textId="77777777" w:rsidR="008F3CD4" w:rsidRPr="006E31EE" w:rsidRDefault="008F3CD4" w:rsidP="008F3CD4">
      <w:pPr>
        <w:ind w:left="851" w:hanging="851"/>
        <w:jc w:val="both"/>
        <w:rPr>
          <w:sz w:val="24"/>
          <w:szCs w:val="24"/>
        </w:rPr>
      </w:pPr>
    </w:p>
    <w:p w14:paraId="2550E5F4" w14:textId="77777777" w:rsidR="008F3CD4" w:rsidRPr="006E31EE" w:rsidRDefault="008F3CD4" w:rsidP="008F3CD4">
      <w:pPr>
        <w:ind w:left="851" w:hanging="851"/>
        <w:rPr>
          <w:b/>
          <w:sz w:val="24"/>
          <w:szCs w:val="24"/>
        </w:rPr>
      </w:pPr>
      <w:r w:rsidRPr="006E31EE">
        <w:rPr>
          <w:b/>
          <w:sz w:val="24"/>
          <w:szCs w:val="24"/>
        </w:rPr>
        <w:t>0.</w:t>
      </w:r>
      <w:r w:rsidRPr="006E31EE">
        <w:rPr>
          <w:b/>
          <w:sz w:val="24"/>
          <w:szCs w:val="24"/>
        </w:rPr>
        <w:tab/>
        <w:t>D.SP.NR.</w:t>
      </w:r>
    </w:p>
    <w:p w14:paraId="2B9276B1" w14:textId="77777777" w:rsidR="008F3CD4" w:rsidRPr="006E31EE" w:rsidRDefault="008F3CD4" w:rsidP="008F3CD4">
      <w:pPr>
        <w:ind w:left="851" w:hanging="851"/>
        <w:rPr>
          <w:sz w:val="24"/>
          <w:szCs w:val="24"/>
        </w:rPr>
      </w:pPr>
      <w:r w:rsidRPr="006E31EE">
        <w:rPr>
          <w:sz w:val="24"/>
          <w:szCs w:val="24"/>
        </w:rPr>
        <w:tab/>
        <w:t>30001</w:t>
      </w:r>
    </w:p>
    <w:p w14:paraId="2CE02EDB" w14:textId="77777777" w:rsidR="008F3CD4" w:rsidRPr="006E31EE" w:rsidRDefault="008F3CD4" w:rsidP="008F3CD4">
      <w:pPr>
        <w:ind w:left="851" w:hanging="851"/>
        <w:rPr>
          <w:sz w:val="24"/>
          <w:szCs w:val="24"/>
        </w:rPr>
      </w:pPr>
    </w:p>
    <w:p w14:paraId="2F725722" w14:textId="77777777" w:rsidR="008F3CD4" w:rsidRPr="006E31EE" w:rsidRDefault="008F3CD4" w:rsidP="008F3CD4">
      <w:pPr>
        <w:ind w:left="851" w:hanging="851"/>
        <w:rPr>
          <w:b/>
          <w:sz w:val="24"/>
          <w:szCs w:val="24"/>
        </w:rPr>
      </w:pPr>
      <w:r w:rsidRPr="006E31EE">
        <w:rPr>
          <w:b/>
          <w:sz w:val="24"/>
          <w:szCs w:val="24"/>
        </w:rPr>
        <w:t>1.</w:t>
      </w:r>
      <w:r w:rsidRPr="006E31EE">
        <w:rPr>
          <w:b/>
          <w:sz w:val="24"/>
          <w:szCs w:val="24"/>
        </w:rPr>
        <w:tab/>
        <w:t>LÆGEMIDLETS NAVN</w:t>
      </w:r>
    </w:p>
    <w:p w14:paraId="50858972" w14:textId="77777777" w:rsidR="008F3CD4" w:rsidRPr="006E31EE" w:rsidRDefault="008F3CD4" w:rsidP="008F3CD4">
      <w:pPr>
        <w:ind w:left="851" w:hanging="851"/>
        <w:rPr>
          <w:sz w:val="24"/>
          <w:szCs w:val="24"/>
        </w:rPr>
      </w:pPr>
      <w:r w:rsidRPr="006E31EE">
        <w:rPr>
          <w:sz w:val="24"/>
          <w:szCs w:val="24"/>
        </w:rPr>
        <w:tab/>
        <w:t>Tenofovir disoproxil "Sandoz"</w:t>
      </w:r>
    </w:p>
    <w:p w14:paraId="2DF6A8F1" w14:textId="77777777" w:rsidR="008F3CD4" w:rsidRPr="006E31EE" w:rsidRDefault="008F3CD4" w:rsidP="008F3CD4">
      <w:pPr>
        <w:ind w:left="851" w:hanging="851"/>
        <w:rPr>
          <w:sz w:val="24"/>
          <w:szCs w:val="24"/>
        </w:rPr>
      </w:pPr>
    </w:p>
    <w:p w14:paraId="6ABBE6D0" w14:textId="77777777" w:rsidR="008F3CD4" w:rsidRPr="006E31EE" w:rsidRDefault="008F3CD4" w:rsidP="008F3CD4">
      <w:pPr>
        <w:ind w:left="851" w:hanging="851"/>
        <w:rPr>
          <w:b/>
          <w:sz w:val="24"/>
          <w:szCs w:val="24"/>
        </w:rPr>
      </w:pPr>
      <w:r w:rsidRPr="006E31EE">
        <w:rPr>
          <w:b/>
          <w:sz w:val="24"/>
          <w:szCs w:val="24"/>
        </w:rPr>
        <w:t>2.</w:t>
      </w:r>
      <w:r w:rsidRPr="006E31EE">
        <w:rPr>
          <w:b/>
          <w:sz w:val="24"/>
          <w:szCs w:val="24"/>
        </w:rPr>
        <w:tab/>
        <w:t>KVALITATIV OG KVANTITATIV SAMMENSÆTNING</w:t>
      </w:r>
    </w:p>
    <w:p w14:paraId="45929B6B" w14:textId="77777777" w:rsidR="008F3CD4" w:rsidRPr="006E31EE" w:rsidRDefault="008F3CD4" w:rsidP="008F3CD4">
      <w:pPr>
        <w:suppressAutoHyphens/>
        <w:ind w:left="851"/>
        <w:rPr>
          <w:sz w:val="24"/>
          <w:szCs w:val="24"/>
        </w:rPr>
      </w:pPr>
      <w:r w:rsidRPr="006E31EE">
        <w:rPr>
          <w:sz w:val="24"/>
          <w:szCs w:val="24"/>
        </w:rPr>
        <w:t>Hver filmovertrukket tablet indeholder 245 mg tenofovirdisoproxil.</w:t>
      </w:r>
    </w:p>
    <w:p w14:paraId="24613A41" w14:textId="77777777" w:rsidR="008F3CD4" w:rsidRPr="006E31EE" w:rsidRDefault="008F3CD4" w:rsidP="008F3CD4">
      <w:pPr>
        <w:suppressAutoHyphens/>
        <w:ind w:left="851" w:hanging="851"/>
        <w:rPr>
          <w:sz w:val="24"/>
          <w:szCs w:val="24"/>
        </w:rPr>
      </w:pPr>
    </w:p>
    <w:p w14:paraId="4104960C" w14:textId="77777777" w:rsidR="008F3CD4" w:rsidRPr="006E31EE" w:rsidRDefault="008F3CD4" w:rsidP="008F3CD4">
      <w:pPr>
        <w:suppressAutoHyphens/>
        <w:ind w:left="851"/>
        <w:rPr>
          <w:sz w:val="24"/>
          <w:szCs w:val="24"/>
          <w:u w:val="single"/>
        </w:rPr>
      </w:pPr>
      <w:r w:rsidRPr="006E31EE">
        <w:rPr>
          <w:sz w:val="24"/>
          <w:szCs w:val="24"/>
          <w:u w:val="single"/>
        </w:rPr>
        <w:t xml:space="preserve">Hjælpestof, som behandleren skal være opmærksom på: </w:t>
      </w:r>
    </w:p>
    <w:p w14:paraId="67FD1A4E" w14:textId="77777777" w:rsidR="008F3CD4" w:rsidRPr="006E31EE" w:rsidRDefault="008F3CD4" w:rsidP="008F3CD4">
      <w:pPr>
        <w:suppressAutoHyphens/>
        <w:ind w:left="851"/>
        <w:rPr>
          <w:sz w:val="24"/>
          <w:szCs w:val="24"/>
        </w:rPr>
      </w:pPr>
      <w:r w:rsidRPr="006E31EE">
        <w:rPr>
          <w:sz w:val="24"/>
          <w:szCs w:val="24"/>
        </w:rPr>
        <w:t>Hver tablet indeholder 220 mg lactose (som monohydrat).</w:t>
      </w:r>
    </w:p>
    <w:p w14:paraId="73E71B44" w14:textId="77777777" w:rsidR="008F3CD4" w:rsidRPr="006E31EE" w:rsidRDefault="008F3CD4" w:rsidP="008F3CD4">
      <w:pPr>
        <w:spacing w:line="260" w:lineRule="exact"/>
        <w:ind w:left="851" w:hanging="851"/>
        <w:rPr>
          <w:sz w:val="24"/>
          <w:szCs w:val="24"/>
        </w:rPr>
      </w:pPr>
    </w:p>
    <w:p w14:paraId="040E065A" w14:textId="77777777" w:rsidR="008F3CD4" w:rsidRPr="006E31EE" w:rsidRDefault="008F3CD4" w:rsidP="008F3CD4">
      <w:pPr>
        <w:spacing w:line="260" w:lineRule="exact"/>
        <w:ind w:left="851" w:hanging="851"/>
        <w:rPr>
          <w:sz w:val="24"/>
          <w:szCs w:val="24"/>
        </w:rPr>
      </w:pPr>
      <w:r w:rsidRPr="006E31EE">
        <w:rPr>
          <w:sz w:val="24"/>
          <w:szCs w:val="24"/>
        </w:rPr>
        <w:tab/>
        <w:t>Alle hjælpestoffer er anført under pkt. 6.1.</w:t>
      </w:r>
    </w:p>
    <w:p w14:paraId="29166DE8" w14:textId="77777777" w:rsidR="008F3CD4" w:rsidRPr="006E31EE" w:rsidRDefault="008F3CD4" w:rsidP="008F3CD4">
      <w:pPr>
        <w:ind w:left="851" w:hanging="851"/>
        <w:rPr>
          <w:sz w:val="24"/>
          <w:szCs w:val="24"/>
        </w:rPr>
      </w:pPr>
    </w:p>
    <w:p w14:paraId="5C83347F" w14:textId="77777777" w:rsidR="008F3CD4" w:rsidRPr="006E31EE" w:rsidRDefault="008F3CD4" w:rsidP="008F3CD4">
      <w:pPr>
        <w:ind w:left="851" w:hanging="851"/>
        <w:rPr>
          <w:b/>
          <w:sz w:val="24"/>
          <w:szCs w:val="24"/>
        </w:rPr>
      </w:pPr>
      <w:r w:rsidRPr="006E31EE">
        <w:rPr>
          <w:b/>
          <w:sz w:val="24"/>
          <w:szCs w:val="24"/>
        </w:rPr>
        <w:t>3.</w:t>
      </w:r>
      <w:r w:rsidRPr="006E31EE">
        <w:rPr>
          <w:b/>
          <w:sz w:val="24"/>
          <w:szCs w:val="24"/>
        </w:rPr>
        <w:tab/>
        <w:t>LÆGEMIDDELFORM</w:t>
      </w:r>
    </w:p>
    <w:p w14:paraId="3081D676" w14:textId="77777777" w:rsidR="00F32EA9" w:rsidRPr="006E31EE" w:rsidRDefault="00F32EA9" w:rsidP="00F32EA9">
      <w:pPr>
        <w:suppressAutoHyphens/>
        <w:ind w:left="851"/>
        <w:rPr>
          <w:spacing w:val="-3"/>
          <w:sz w:val="24"/>
          <w:szCs w:val="24"/>
        </w:rPr>
      </w:pPr>
      <w:r w:rsidRPr="006E31EE">
        <w:rPr>
          <w:spacing w:val="-3"/>
          <w:sz w:val="24"/>
          <w:szCs w:val="24"/>
        </w:rPr>
        <w:t>Filmovertrukne tabletter</w:t>
      </w:r>
    </w:p>
    <w:p w14:paraId="000D3D0B" w14:textId="77777777" w:rsidR="00F32EA9" w:rsidRPr="006E31EE" w:rsidRDefault="00F32EA9" w:rsidP="00F32EA9">
      <w:pPr>
        <w:suppressAutoHyphens/>
        <w:ind w:left="851" w:hanging="851"/>
        <w:rPr>
          <w:spacing w:val="-3"/>
          <w:sz w:val="24"/>
          <w:szCs w:val="24"/>
        </w:rPr>
      </w:pPr>
    </w:p>
    <w:p w14:paraId="16EB901D" w14:textId="77777777" w:rsidR="00F32EA9" w:rsidRPr="006E31EE" w:rsidRDefault="00F32EA9" w:rsidP="00F32EA9">
      <w:pPr>
        <w:numPr>
          <w:ilvl w:val="12"/>
          <w:numId w:val="0"/>
        </w:numPr>
        <w:ind w:left="851" w:right="-2"/>
        <w:rPr>
          <w:bCs/>
          <w:sz w:val="24"/>
          <w:szCs w:val="24"/>
        </w:rPr>
      </w:pPr>
      <w:r w:rsidRPr="006E31EE">
        <w:rPr>
          <w:bCs/>
          <w:sz w:val="24"/>
          <w:szCs w:val="24"/>
        </w:rPr>
        <w:t xml:space="preserve">Hvide, mandelformede, bikonvekse filmovertrukne tabletter, der måler 16 mm x 10 mm, præget med ”H” på den ene side og ”T11” på den anden side. </w:t>
      </w:r>
    </w:p>
    <w:p w14:paraId="66045617" w14:textId="77777777" w:rsidR="008F3CD4" w:rsidRPr="006E31EE" w:rsidRDefault="008F3CD4" w:rsidP="008F3CD4">
      <w:pPr>
        <w:ind w:left="851" w:hanging="851"/>
        <w:rPr>
          <w:sz w:val="24"/>
          <w:szCs w:val="24"/>
        </w:rPr>
      </w:pPr>
    </w:p>
    <w:p w14:paraId="4F67A8A2" w14:textId="77777777" w:rsidR="008F3CD4" w:rsidRPr="006E31EE" w:rsidRDefault="008F3CD4" w:rsidP="008F3CD4">
      <w:pPr>
        <w:ind w:left="851" w:hanging="851"/>
        <w:rPr>
          <w:sz w:val="24"/>
          <w:szCs w:val="24"/>
        </w:rPr>
      </w:pPr>
    </w:p>
    <w:p w14:paraId="56BD3547" w14:textId="77777777" w:rsidR="008F3CD4" w:rsidRPr="006E31EE" w:rsidRDefault="008F3CD4" w:rsidP="008F3CD4">
      <w:pPr>
        <w:ind w:left="851" w:hanging="851"/>
        <w:rPr>
          <w:b/>
          <w:sz w:val="24"/>
          <w:szCs w:val="24"/>
        </w:rPr>
      </w:pPr>
      <w:r w:rsidRPr="006E31EE">
        <w:rPr>
          <w:b/>
          <w:sz w:val="24"/>
          <w:szCs w:val="24"/>
        </w:rPr>
        <w:t>4.</w:t>
      </w:r>
      <w:r w:rsidRPr="006E31EE">
        <w:rPr>
          <w:b/>
          <w:sz w:val="24"/>
          <w:szCs w:val="24"/>
        </w:rPr>
        <w:tab/>
        <w:t>KLINISKE OPLYSNINGER</w:t>
      </w:r>
    </w:p>
    <w:p w14:paraId="33B1CA3F" w14:textId="77777777" w:rsidR="008F3CD4" w:rsidRPr="006E31EE" w:rsidRDefault="008F3CD4" w:rsidP="008F3CD4">
      <w:pPr>
        <w:ind w:left="851" w:hanging="851"/>
        <w:rPr>
          <w:b/>
          <w:sz w:val="24"/>
          <w:szCs w:val="24"/>
        </w:rPr>
      </w:pPr>
    </w:p>
    <w:p w14:paraId="4FA0F11F" w14:textId="345AAAFB" w:rsidR="008F3CD4" w:rsidRPr="006E31EE" w:rsidRDefault="008F3CD4" w:rsidP="00285E88">
      <w:pPr>
        <w:ind w:left="851" w:hanging="851"/>
        <w:rPr>
          <w:b/>
          <w:sz w:val="24"/>
          <w:szCs w:val="24"/>
          <w:u w:val="single"/>
        </w:rPr>
      </w:pPr>
      <w:r w:rsidRPr="006E31EE">
        <w:rPr>
          <w:b/>
          <w:sz w:val="24"/>
          <w:szCs w:val="24"/>
        </w:rPr>
        <w:t>4.1</w:t>
      </w:r>
      <w:r w:rsidRPr="006E31EE">
        <w:rPr>
          <w:b/>
          <w:sz w:val="24"/>
          <w:szCs w:val="24"/>
        </w:rPr>
        <w:tab/>
        <w:t>Terapeutiske indikationer</w:t>
      </w:r>
    </w:p>
    <w:p w14:paraId="03891B9B" w14:textId="77777777" w:rsidR="00682EDD" w:rsidRPr="006E31EE" w:rsidRDefault="00682EDD" w:rsidP="00682EDD">
      <w:pPr>
        <w:ind w:left="851"/>
        <w:rPr>
          <w:i/>
          <w:sz w:val="24"/>
          <w:szCs w:val="24"/>
        </w:rPr>
      </w:pPr>
      <w:r w:rsidRPr="006E31EE">
        <w:rPr>
          <w:i/>
          <w:sz w:val="24"/>
          <w:szCs w:val="24"/>
        </w:rPr>
        <w:t xml:space="preserve">Hiv 1-infektion </w:t>
      </w:r>
    </w:p>
    <w:p w14:paraId="3DF4B1B2" w14:textId="77777777" w:rsidR="00682EDD" w:rsidRPr="006E31EE" w:rsidRDefault="00682EDD" w:rsidP="00682EDD">
      <w:pPr>
        <w:ind w:left="851"/>
        <w:rPr>
          <w:sz w:val="24"/>
          <w:szCs w:val="24"/>
        </w:rPr>
      </w:pPr>
      <w:r w:rsidRPr="006E31EE">
        <w:rPr>
          <w:sz w:val="24"/>
          <w:szCs w:val="24"/>
        </w:rPr>
        <w:t xml:space="preserve">Tenofovir disoproxil "Sandoz" er indiceret i kombination med andre antiretrovirale lægemidler til behandling af hiv 1-inficerede voksne. </w:t>
      </w:r>
    </w:p>
    <w:p w14:paraId="6F51CFD4" w14:textId="77777777" w:rsidR="00682EDD" w:rsidRPr="006E31EE" w:rsidRDefault="00682EDD" w:rsidP="00682EDD">
      <w:pPr>
        <w:ind w:left="851" w:hanging="851"/>
        <w:rPr>
          <w:sz w:val="24"/>
          <w:szCs w:val="24"/>
        </w:rPr>
      </w:pPr>
    </w:p>
    <w:p w14:paraId="309EF3E0" w14:textId="77777777" w:rsidR="00682EDD" w:rsidRPr="006E31EE" w:rsidRDefault="00682EDD" w:rsidP="00682EDD">
      <w:pPr>
        <w:ind w:left="851"/>
        <w:rPr>
          <w:sz w:val="24"/>
          <w:szCs w:val="24"/>
        </w:rPr>
      </w:pPr>
      <w:r w:rsidRPr="006E31EE">
        <w:rPr>
          <w:sz w:val="24"/>
          <w:szCs w:val="24"/>
        </w:rPr>
        <w:t>Hos voksne er påvisningen af tenofovirdisoproxils gavnlige effekt på hiv 1-infektion baseret på resultaterne fra ét studie med behandlingsnaive patienter, herunder patienter med en høj virusmængde (&gt; 100.000 kopier/ml) og studier, hvor tenofovirdisoproxil blev føjet til stabil baggrundsterapi (hovedsagelig trestofsbehandling) hos antiretroviralt forbehandlede patienter, som tidligt ikke havde haft virologisk effekt (&lt; 10.000 kopier/ml; hos størstedelen af patienterne &lt; 5.000 kopier/ml).</w:t>
      </w:r>
    </w:p>
    <w:p w14:paraId="5CFE9597" w14:textId="77777777" w:rsidR="00682EDD" w:rsidRPr="006E31EE" w:rsidRDefault="00682EDD" w:rsidP="00682EDD">
      <w:pPr>
        <w:ind w:left="851" w:hanging="851"/>
        <w:rPr>
          <w:sz w:val="24"/>
          <w:szCs w:val="24"/>
        </w:rPr>
      </w:pPr>
    </w:p>
    <w:p w14:paraId="2DBDAB0E" w14:textId="77777777" w:rsidR="00682EDD" w:rsidRPr="006E31EE" w:rsidRDefault="00682EDD" w:rsidP="00682EDD">
      <w:pPr>
        <w:ind w:left="851"/>
        <w:rPr>
          <w:sz w:val="24"/>
          <w:szCs w:val="24"/>
        </w:rPr>
      </w:pPr>
      <w:r w:rsidRPr="006E31EE">
        <w:rPr>
          <w:sz w:val="24"/>
          <w:szCs w:val="24"/>
        </w:rPr>
        <w:lastRenderedPageBreak/>
        <w:t xml:space="preserve">Tenofovir disoproxil "Sandoz" er også indiceret til behandling af hiv 1-inficerede unge med NRTI-resistens eller toksiciteter, der udelukker brugen af førstevalgsbehandling, i alderen 12 til &lt;18 år. </w:t>
      </w:r>
    </w:p>
    <w:p w14:paraId="605812D3" w14:textId="77777777" w:rsidR="00682EDD" w:rsidRPr="006E31EE" w:rsidRDefault="00682EDD" w:rsidP="00682EDD">
      <w:pPr>
        <w:ind w:left="851" w:hanging="851"/>
        <w:rPr>
          <w:sz w:val="24"/>
          <w:szCs w:val="24"/>
        </w:rPr>
      </w:pPr>
    </w:p>
    <w:p w14:paraId="2DD70138" w14:textId="77777777" w:rsidR="00682EDD" w:rsidRPr="006E31EE" w:rsidRDefault="00682EDD" w:rsidP="00682EDD">
      <w:pPr>
        <w:ind w:left="851"/>
        <w:rPr>
          <w:sz w:val="24"/>
          <w:szCs w:val="24"/>
        </w:rPr>
      </w:pPr>
      <w:r w:rsidRPr="006E31EE">
        <w:rPr>
          <w:sz w:val="24"/>
          <w:szCs w:val="24"/>
        </w:rPr>
        <w:t>Valget af Tenofovir disoproxil "Sandoz" som behandlingsform til tidligere antiretroviral-behandlede patienter med hiv 1-infektion skal baseres på individuel testning af patienternes virusresistens og/eller deres behandlingsanamnese.</w:t>
      </w:r>
    </w:p>
    <w:p w14:paraId="2C568FA5" w14:textId="77777777" w:rsidR="00682EDD" w:rsidRPr="006E31EE" w:rsidRDefault="00682EDD" w:rsidP="00682EDD">
      <w:pPr>
        <w:ind w:left="851" w:hanging="851"/>
        <w:rPr>
          <w:sz w:val="24"/>
          <w:szCs w:val="24"/>
          <w:u w:val="single"/>
        </w:rPr>
      </w:pPr>
    </w:p>
    <w:p w14:paraId="0FD17FAA" w14:textId="77777777" w:rsidR="00682EDD" w:rsidRPr="006E31EE" w:rsidRDefault="00682EDD" w:rsidP="00682EDD">
      <w:pPr>
        <w:ind w:left="851"/>
        <w:rPr>
          <w:i/>
          <w:sz w:val="24"/>
          <w:szCs w:val="24"/>
        </w:rPr>
      </w:pPr>
      <w:r w:rsidRPr="006E31EE">
        <w:rPr>
          <w:i/>
          <w:sz w:val="24"/>
          <w:szCs w:val="24"/>
        </w:rPr>
        <w:t xml:space="preserve">Hepatitis B-infektion </w:t>
      </w:r>
    </w:p>
    <w:p w14:paraId="731B649C" w14:textId="77777777" w:rsidR="00682EDD" w:rsidRPr="006E31EE" w:rsidRDefault="00682EDD" w:rsidP="00682EDD">
      <w:pPr>
        <w:ind w:left="851"/>
        <w:rPr>
          <w:sz w:val="24"/>
          <w:szCs w:val="24"/>
        </w:rPr>
      </w:pPr>
      <w:r w:rsidRPr="006E31EE">
        <w:rPr>
          <w:sz w:val="24"/>
          <w:szCs w:val="24"/>
        </w:rPr>
        <w:t>Tenofovir disoproxil "Sandoz" er indiceret til behandling af kronisk hepatitis B (se pkt. 5.1) hos voksne, der har</w:t>
      </w:r>
    </w:p>
    <w:p w14:paraId="7CEFBC4A" w14:textId="77777777" w:rsidR="00682EDD" w:rsidRPr="006E31EE" w:rsidRDefault="00682EDD" w:rsidP="00682EDD">
      <w:pPr>
        <w:pStyle w:val="Listeafsnit"/>
        <w:numPr>
          <w:ilvl w:val="0"/>
          <w:numId w:val="9"/>
        </w:numPr>
        <w:ind w:left="1276" w:hanging="425"/>
        <w:rPr>
          <w:sz w:val="24"/>
          <w:szCs w:val="24"/>
        </w:rPr>
      </w:pPr>
      <w:r w:rsidRPr="006E31EE">
        <w:rPr>
          <w:sz w:val="24"/>
          <w:szCs w:val="24"/>
        </w:rPr>
        <w:t xml:space="preserve">kompenseret leversygdom med tegn på aktiv viral replikation, konstant forhøjede serum-alanin-aminotransferase (ALAT)-niveauer og histologisk tegn på aktiv betændelse og/eller fibrose (se pkt. 5.1). </w:t>
      </w:r>
    </w:p>
    <w:p w14:paraId="14175A65" w14:textId="77777777" w:rsidR="00682EDD" w:rsidRPr="006E31EE" w:rsidRDefault="00682EDD" w:rsidP="00682EDD">
      <w:pPr>
        <w:pStyle w:val="Listeafsnit"/>
        <w:numPr>
          <w:ilvl w:val="0"/>
          <w:numId w:val="9"/>
        </w:numPr>
        <w:ind w:left="1276" w:hanging="425"/>
        <w:rPr>
          <w:sz w:val="24"/>
          <w:szCs w:val="24"/>
        </w:rPr>
      </w:pPr>
      <w:r w:rsidRPr="006E31EE">
        <w:rPr>
          <w:sz w:val="24"/>
          <w:szCs w:val="24"/>
        </w:rPr>
        <w:t xml:space="preserve">tegn på lamivudin-resistent hepatitis B-virus (se pkt. 4.8 og 5.1). </w:t>
      </w:r>
    </w:p>
    <w:p w14:paraId="5EF3A3BD" w14:textId="77777777" w:rsidR="00682EDD" w:rsidRPr="006E31EE" w:rsidRDefault="00682EDD" w:rsidP="00682EDD">
      <w:pPr>
        <w:pStyle w:val="Listeafsnit"/>
        <w:numPr>
          <w:ilvl w:val="0"/>
          <w:numId w:val="9"/>
        </w:numPr>
        <w:ind w:left="1276" w:hanging="425"/>
        <w:rPr>
          <w:sz w:val="24"/>
          <w:szCs w:val="24"/>
        </w:rPr>
      </w:pPr>
      <w:r w:rsidRPr="006E31EE">
        <w:rPr>
          <w:sz w:val="24"/>
          <w:szCs w:val="24"/>
        </w:rPr>
        <w:t xml:space="preserve">dekompenseret leversygdom (se pkt. 4.4, 4.8 og 5.1). </w:t>
      </w:r>
    </w:p>
    <w:p w14:paraId="43DD7BB3" w14:textId="77777777" w:rsidR="00682EDD" w:rsidRPr="006E31EE" w:rsidRDefault="00682EDD" w:rsidP="00682EDD">
      <w:pPr>
        <w:ind w:left="851" w:hanging="851"/>
        <w:rPr>
          <w:sz w:val="24"/>
          <w:szCs w:val="24"/>
        </w:rPr>
      </w:pPr>
    </w:p>
    <w:p w14:paraId="5C448409" w14:textId="77777777" w:rsidR="00A97556" w:rsidRPr="006E31EE" w:rsidRDefault="00A97556" w:rsidP="00A97556">
      <w:pPr>
        <w:ind w:left="851"/>
        <w:rPr>
          <w:sz w:val="24"/>
          <w:szCs w:val="24"/>
        </w:rPr>
      </w:pPr>
      <w:r w:rsidRPr="006E31EE">
        <w:rPr>
          <w:sz w:val="24"/>
          <w:szCs w:val="24"/>
        </w:rPr>
        <w:t>Tenofovir disoproxil "Sandoz" er indiceret til behandling af kronisk hepatitis B hos unge i alderen 12 til &lt;18 år, der har</w:t>
      </w:r>
    </w:p>
    <w:p w14:paraId="4B8A2D8D" w14:textId="77777777" w:rsidR="00A97556" w:rsidRPr="006E31EE" w:rsidRDefault="00A97556" w:rsidP="00A97556">
      <w:pPr>
        <w:pStyle w:val="Listeafsnit"/>
        <w:numPr>
          <w:ilvl w:val="0"/>
          <w:numId w:val="9"/>
        </w:numPr>
        <w:ind w:left="1276" w:hanging="425"/>
        <w:rPr>
          <w:sz w:val="24"/>
          <w:szCs w:val="24"/>
        </w:rPr>
      </w:pPr>
      <w:r w:rsidRPr="006E31EE">
        <w:rPr>
          <w:sz w:val="24"/>
          <w:szCs w:val="24"/>
        </w:rPr>
        <w:t>kompenseret leversygdom og tegn på immunaktiv sygdom, dvs. aktiv viral replikation og vedvarende forhøjede serum-ALAT-niveauer eller histologisk tegn på moderat til svær betændelse og/eller fibrose. Se pkt. 4.2, 4.4, 4.8 og 5.1 med hensyn til beslutningstagen om iværksættelse af behandling hos pædiatriske patienter.</w:t>
      </w:r>
    </w:p>
    <w:p w14:paraId="3A725BA6" w14:textId="77777777" w:rsidR="008F3CD4" w:rsidRPr="006E31EE" w:rsidRDefault="008F3CD4" w:rsidP="008F3CD4">
      <w:pPr>
        <w:ind w:left="851" w:hanging="851"/>
        <w:rPr>
          <w:sz w:val="24"/>
          <w:szCs w:val="24"/>
        </w:rPr>
      </w:pPr>
    </w:p>
    <w:p w14:paraId="5032CC4A" w14:textId="328A92E3" w:rsidR="008F3CD4" w:rsidRPr="006E31EE" w:rsidRDefault="008F3CD4" w:rsidP="008F3CD4">
      <w:pPr>
        <w:ind w:left="851" w:hanging="851"/>
        <w:rPr>
          <w:b/>
          <w:sz w:val="24"/>
          <w:szCs w:val="24"/>
        </w:rPr>
      </w:pPr>
      <w:r w:rsidRPr="006E31EE">
        <w:rPr>
          <w:b/>
          <w:sz w:val="24"/>
          <w:szCs w:val="24"/>
        </w:rPr>
        <w:t>4.2</w:t>
      </w:r>
      <w:r w:rsidRPr="006E31EE">
        <w:rPr>
          <w:b/>
          <w:sz w:val="24"/>
          <w:szCs w:val="24"/>
        </w:rPr>
        <w:tab/>
        <w:t xml:space="preserve">Dosering og </w:t>
      </w:r>
      <w:r w:rsidR="003228A3">
        <w:rPr>
          <w:b/>
          <w:sz w:val="24"/>
          <w:szCs w:val="24"/>
        </w:rPr>
        <w:t>administration</w:t>
      </w:r>
    </w:p>
    <w:p w14:paraId="050FE6EC" w14:textId="77777777" w:rsidR="00A97556" w:rsidRPr="006E31EE" w:rsidRDefault="00A97556" w:rsidP="00A97556">
      <w:pPr>
        <w:ind w:left="851"/>
        <w:rPr>
          <w:sz w:val="24"/>
          <w:szCs w:val="24"/>
        </w:rPr>
      </w:pPr>
      <w:r w:rsidRPr="006E31EE">
        <w:rPr>
          <w:sz w:val="24"/>
          <w:szCs w:val="24"/>
        </w:rPr>
        <w:t xml:space="preserve">Behandlingen skal initieres af en læge med erfaring i behandling af hiv-infektion og/eller behandling af kronisk hepatitis B. </w:t>
      </w:r>
    </w:p>
    <w:p w14:paraId="4E1A95FE" w14:textId="77777777" w:rsidR="00A97556" w:rsidRPr="006E31EE" w:rsidRDefault="00A97556" w:rsidP="00A97556">
      <w:pPr>
        <w:ind w:left="851" w:hanging="851"/>
        <w:rPr>
          <w:sz w:val="24"/>
          <w:szCs w:val="24"/>
          <w:u w:val="single"/>
        </w:rPr>
      </w:pPr>
    </w:p>
    <w:p w14:paraId="6CF91C32" w14:textId="77777777" w:rsidR="00A97556" w:rsidRPr="006E31EE" w:rsidRDefault="00A97556" w:rsidP="00A97556">
      <w:pPr>
        <w:ind w:left="851"/>
        <w:rPr>
          <w:sz w:val="24"/>
          <w:szCs w:val="24"/>
          <w:u w:val="single"/>
        </w:rPr>
      </w:pPr>
      <w:r w:rsidRPr="006E31EE">
        <w:rPr>
          <w:sz w:val="24"/>
          <w:szCs w:val="24"/>
          <w:u w:val="single"/>
        </w:rPr>
        <w:t>Dosering</w:t>
      </w:r>
    </w:p>
    <w:p w14:paraId="2BBB8BB9" w14:textId="77777777" w:rsidR="00A97556" w:rsidRPr="006E31EE" w:rsidRDefault="00A97556" w:rsidP="00A97556">
      <w:pPr>
        <w:ind w:left="851"/>
        <w:rPr>
          <w:i/>
          <w:sz w:val="24"/>
          <w:szCs w:val="24"/>
        </w:rPr>
      </w:pPr>
      <w:r w:rsidRPr="006E31EE">
        <w:rPr>
          <w:i/>
          <w:sz w:val="24"/>
          <w:szCs w:val="24"/>
        </w:rPr>
        <w:t>Hiv 1 og kronisk hepatitis B</w:t>
      </w:r>
    </w:p>
    <w:p w14:paraId="54EBFEDD" w14:textId="77777777" w:rsidR="00A97556" w:rsidRPr="006E31EE" w:rsidRDefault="00A97556" w:rsidP="00A97556">
      <w:pPr>
        <w:ind w:left="851"/>
        <w:rPr>
          <w:i/>
          <w:sz w:val="24"/>
          <w:szCs w:val="24"/>
        </w:rPr>
      </w:pPr>
    </w:p>
    <w:p w14:paraId="7C9D4923" w14:textId="77777777" w:rsidR="00A97556" w:rsidRPr="006E31EE" w:rsidRDefault="00A97556" w:rsidP="00A97556">
      <w:pPr>
        <w:ind w:left="851"/>
        <w:rPr>
          <w:i/>
          <w:sz w:val="24"/>
          <w:szCs w:val="24"/>
        </w:rPr>
      </w:pPr>
      <w:r w:rsidRPr="006E31EE">
        <w:rPr>
          <w:i/>
          <w:sz w:val="24"/>
          <w:szCs w:val="24"/>
        </w:rPr>
        <w:t>Voksne og unge i alderen 12 til &lt; 18 år og med en legemsvægt ≥ 35 kg:</w:t>
      </w:r>
    </w:p>
    <w:p w14:paraId="390BB049" w14:textId="77777777" w:rsidR="00A97556" w:rsidRPr="006E31EE" w:rsidRDefault="00A97556" w:rsidP="00A97556">
      <w:pPr>
        <w:ind w:left="851"/>
        <w:rPr>
          <w:sz w:val="24"/>
          <w:szCs w:val="24"/>
        </w:rPr>
      </w:pPr>
      <w:r w:rsidRPr="006E31EE">
        <w:rPr>
          <w:sz w:val="24"/>
          <w:szCs w:val="24"/>
        </w:rPr>
        <w:t xml:space="preserve">Den anbefalede dosis af Tenofovir disoproxil "Sandoz" til behandling af hiv eller til behandling af kronisk hepatitis B er 245 mg (en tablet) en gang daglig taget oralt sammen med mad. </w:t>
      </w:r>
    </w:p>
    <w:p w14:paraId="1076C201" w14:textId="77777777" w:rsidR="00A97556" w:rsidRPr="006E31EE" w:rsidRDefault="00A97556" w:rsidP="00A97556">
      <w:pPr>
        <w:ind w:left="851" w:hanging="851"/>
        <w:rPr>
          <w:sz w:val="24"/>
          <w:szCs w:val="24"/>
        </w:rPr>
      </w:pPr>
    </w:p>
    <w:p w14:paraId="36FD5FE7" w14:textId="77777777" w:rsidR="00A97556" w:rsidRPr="006E31EE" w:rsidRDefault="00A97556" w:rsidP="00A97556">
      <w:pPr>
        <w:ind w:left="851"/>
        <w:rPr>
          <w:sz w:val="24"/>
          <w:szCs w:val="24"/>
        </w:rPr>
      </w:pPr>
      <w:r w:rsidRPr="006E31EE">
        <w:rPr>
          <w:sz w:val="24"/>
          <w:szCs w:val="24"/>
        </w:rPr>
        <w:t>Beslutningstagen vedrørende behandling af pædiatriske patienter (unge) bør baseres på en nøje vurdering af den enkelte patients behov og under hensyntagen til aktuelle retningslinjer for pædiatrisk behandling, herunder værdien af histologiske oplysninger ved baseline. Fordelene ved langvarig virologisk suppression med fortsat behandling skal afvejes mod risikoen ved længerevarende behandling, herunder udvikling af resistent hepatitis B-virus og usikkerheden omkring den langsigtede indvirkning af knogle- og nyretoksicitet (se pkt. 4.4).</w:t>
      </w:r>
    </w:p>
    <w:p w14:paraId="3154FBF5" w14:textId="77777777" w:rsidR="00A97556" w:rsidRPr="006E31EE" w:rsidRDefault="00A97556" w:rsidP="00A97556">
      <w:pPr>
        <w:ind w:left="851"/>
        <w:rPr>
          <w:sz w:val="24"/>
          <w:szCs w:val="24"/>
        </w:rPr>
      </w:pPr>
    </w:p>
    <w:p w14:paraId="2452B415" w14:textId="77777777" w:rsidR="00A97556" w:rsidRPr="006E31EE" w:rsidRDefault="00A97556" w:rsidP="00A97556">
      <w:pPr>
        <w:ind w:left="851"/>
        <w:rPr>
          <w:sz w:val="24"/>
          <w:szCs w:val="24"/>
        </w:rPr>
      </w:pPr>
      <w:r w:rsidRPr="006E31EE">
        <w:rPr>
          <w:sz w:val="24"/>
          <w:szCs w:val="24"/>
        </w:rPr>
        <w:t>Serum-ALAT skal være vedvarende forhøjet i mindst 6 måneder inden behandling af pædiatriske patienter med kompenseret leversygdom på grund af HBeAg-positiv kronisk hepatitis B og i mindst 12 måneder hos patienter med HBeAg-negativ sygdom.</w:t>
      </w:r>
    </w:p>
    <w:p w14:paraId="13D34773" w14:textId="77777777" w:rsidR="00A97556" w:rsidRPr="006E31EE" w:rsidRDefault="00A97556" w:rsidP="00A97556">
      <w:pPr>
        <w:ind w:left="851"/>
        <w:rPr>
          <w:sz w:val="24"/>
          <w:szCs w:val="24"/>
        </w:rPr>
      </w:pPr>
    </w:p>
    <w:p w14:paraId="2B68B4A3" w14:textId="77777777" w:rsidR="00A97556" w:rsidRPr="006E31EE" w:rsidRDefault="00A97556" w:rsidP="00A97556">
      <w:pPr>
        <w:ind w:left="851"/>
        <w:rPr>
          <w:sz w:val="24"/>
          <w:szCs w:val="24"/>
        </w:rPr>
      </w:pPr>
      <w:r w:rsidRPr="006E31EE">
        <w:rPr>
          <w:sz w:val="24"/>
          <w:szCs w:val="24"/>
          <w:u w:val="single"/>
        </w:rPr>
        <w:t>Behandlingsvarighed hos voksne og unge patienter med kronisk hepatitis B</w:t>
      </w:r>
    </w:p>
    <w:p w14:paraId="6AE68AFB" w14:textId="77777777" w:rsidR="00A97556" w:rsidRPr="006E31EE" w:rsidRDefault="00A97556" w:rsidP="00A97556">
      <w:pPr>
        <w:ind w:left="851"/>
        <w:rPr>
          <w:sz w:val="24"/>
          <w:szCs w:val="24"/>
        </w:rPr>
      </w:pPr>
      <w:r w:rsidRPr="006E31EE">
        <w:rPr>
          <w:sz w:val="24"/>
          <w:szCs w:val="24"/>
        </w:rPr>
        <w:t>Behandlingens optimale varighed er ukendt. Seponering af behandlingen kan overvejes i henhold til følgende</w:t>
      </w:r>
    </w:p>
    <w:p w14:paraId="296EC11C" w14:textId="77777777" w:rsidR="00A97556" w:rsidRPr="006E31EE" w:rsidRDefault="00A97556" w:rsidP="00A97556">
      <w:pPr>
        <w:pStyle w:val="Listeafsnit"/>
        <w:numPr>
          <w:ilvl w:val="0"/>
          <w:numId w:val="9"/>
        </w:numPr>
        <w:ind w:left="1276" w:hanging="425"/>
        <w:rPr>
          <w:sz w:val="24"/>
          <w:szCs w:val="24"/>
        </w:rPr>
      </w:pPr>
      <w:r w:rsidRPr="006E31EE">
        <w:rPr>
          <w:sz w:val="24"/>
          <w:szCs w:val="24"/>
        </w:rPr>
        <w:lastRenderedPageBreak/>
        <w:t xml:space="preserve">Hos HBeAg-positive patienter uden levercirrose bør behandlingen administreres i mindst 12 måneder efter, der er bekræftet HBe-serokonversion (tab af HBeAg og tab af HBV-dna med anti-HBe-påvisning i to på hinanden følgende serumprøver med mindst 3-6 måneders mellemrum), eller indtil der forekommer HBs-serokonversion eller manglende virkning (se pkt. 4.4). Serum-ALAT- og HBV-dna-niveauer bør følges regelmæssigt efter seponering af behandlingen for at kunne påvise et eventuelt sent virologisk tilbagefald. </w:t>
      </w:r>
    </w:p>
    <w:p w14:paraId="18F327D1" w14:textId="77777777" w:rsidR="00A97556" w:rsidRPr="006E31EE" w:rsidRDefault="00A97556" w:rsidP="00A97556">
      <w:pPr>
        <w:pStyle w:val="Listeafsnit"/>
        <w:numPr>
          <w:ilvl w:val="0"/>
          <w:numId w:val="9"/>
        </w:numPr>
        <w:ind w:left="1276" w:hanging="425"/>
        <w:rPr>
          <w:sz w:val="24"/>
          <w:szCs w:val="24"/>
        </w:rPr>
      </w:pPr>
      <w:r w:rsidRPr="006E31EE">
        <w:rPr>
          <w:sz w:val="24"/>
          <w:szCs w:val="24"/>
        </w:rPr>
        <w:t xml:space="preserve">Hos HBeAg-negative patienter uden levercirrose bør behandlingen administreres mindst indtil HBs-serokonversion, eller indtil der er tegn på manglende virkning. Det kan også overvejes at seponere behandlingen efter opnåelse af stabil virologisk suppression (dvs. i mindst 3 år), forudsat at serum-ALAT og HBV-dna-niveauet følges regelmæssigt efter seponering af behandlingen med henblik på detektion af </w:t>
      </w:r>
      <w:proofErr w:type="gramStart"/>
      <w:r w:rsidRPr="006E31EE">
        <w:rPr>
          <w:sz w:val="24"/>
          <w:szCs w:val="24"/>
        </w:rPr>
        <w:t>eventuel virologisk senrecidiv</w:t>
      </w:r>
      <w:proofErr w:type="gramEnd"/>
      <w:r w:rsidRPr="006E31EE">
        <w:rPr>
          <w:sz w:val="24"/>
          <w:szCs w:val="24"/>
        </w:rPr>
        <w:t>. Ved langvarig behandling på mere end 2 år tilrådes regelmæssig revurdering for at bekræfte, at det fortsat er hensigtsmæssigt for patienten at fortsætte den valgte behandling.</w:t>
      </w:r>
    </w:p>
    <w:p w14:paraId="434B2BD5" w14:textId="77777777" w:rsidR="00A97556" w:rsidRPr="006E31EE" w:rsidRDefault="00A97556" w:rsidP="00A97556">
      <w:pPr>
        <w:ind w:left="1276" w:hanging="425"/>
        <w:rPr>
          <w:color w:val="000000" w:themeColor="text1"/>
          <w:sz w:val="24"/>
          <w:szCs w:val="24"/>
        </w:rPr>
      </w:pPr>
    </w:p>
    <w:p w14:paraId="35DD58FB" w14:textId="77777777" w:rsidR="00A97556" w:rsidRPr="006E31EE" w:rsidRDefault="00A97556" w:rsidP="00A97556">
      <w:pPr>
        <w:ind w:left="851"/>
        <w:rPr>
          <w:color w:val="000000" w:themeColor="text1"/>
          <w:sz w:val="24"/>
          <w:szCs w:val="24"/>
        </w:rPr>
      </w:pPr>
      <w:r w:rsidRPr="006E31EE">
        <w:rPr>
          <w:color w:val="000000" w:themeColor="text1"/>
          <w:sz w:val="24"/>
          <w:szCs w:val="24"/>
        </w:rPr>
        <w:t xml:space="preserve">Hos voksne patienter med dekompenseret leversygdom eller cirrose frarådes behandlingsophør. </w:t>
      </w:r>
    </w:p>
    <w:p w14:paraId="07AB5D6B" w14:textId="77777777" w:rsidR="00A97556" w:rsidRPr="006E31EE" w:rsidRDefault="00A97556" w:rsidP="00A97556">
      <w:pPr>
        <w:ind w:left="851"/>
        <w:rPr>
          <w:color w:val="000000" w:themeColor="text1"/>
          <w:sz w:val="24"/>
          <w:szCs w:val="24"/>
        </w:rPr>
      </w:pPr>
    </w:p>
    <w:p w14:paraId="542B893E" w14:textId="77777777" w:rsidR="00A97556" w:rsidRPr="006E31EE" w:rsidRDefault="00A97556" w:rsidP="00A97556">
      <w:pPr>
        <w:ind w:left="851"/>
        <w:rPr>
          <w:i/>
          <w:iCs/>
          <w:color w:val="000000" w:themeColor="text1"/>
          <w:sz w:val="24"/>
          <w:szCs w:val="24"/>
        </w:rPr>
      </w:pPr>
      <w:r w:rsidRPr="006E31EE">
        <w:rPr>
          <w:i/>
          <w:iCs/>
          <w:color w:val="000000" w:themeColor="text1"/>
          <w:sz w:val="24"/>
          <w:szCs w:val="24"/>
        </w:rPr>
        <w:t>Pædiatrisk population</w:t>
      </w:r>
    </w:p>
    <w:p w14:paraId="253CF248" w14:textId="77777777" w:rsidR="00A97556" w:rsidRPr="006E31EE" w:rsidRDefault="00A97556" w:rsidP="00A97556">
      <w:pPr>
        <w:ind w:left="851"/>
        <w:rPr>
          <w:color w:val="000000" w:themeColor="text1"/>
          <w:sz w:val="24"/>
          <w:szCs w:val="24"/>
        </w:rPr>
      </w:pPr>
      <w:r w:rsidRPr="006E31EE">
        <w:rPr>
          <w:color w:val="000000" w:themeColor="text1"/>
          <w:sz w:val="24"/>
          <w:szCs w:val="24"/>
        </w:rPr>
        <w:t xml:space="preserve">Tenofovirdisoproxil kan også være tilgængeligt som andre formuleringer til behandling af hiv 1-infektion og kronisk hepatitis B hos pædiatriske patienter i alderen 2 til </w:t>
      </w:r>
      <w:r w:rsidRPr="006E31EE">
        <w:rPr>
          <w:sz w:val="24"/>
          <w:szCs w:val="24"/>
        </w:rPr>
        <w:t>&lt; 12 år og som tabletter med lavere styrke til behandling af hiv 1-infektion og kronisk hepatitis B hos pædiatriske patienter i alderen 6 til &lt; 12 år (se pkt. 5.1)</w:t>
      </w:r>
      <w:r w:rsidRPr="006E31EE">
        <w:rPr>
          <w:color w:val="000000" w:themeColor="text1"/>
          <w:sz w:val="24"/>
          <w:szCs w:val="24"/>
        </w:rPr>
        <w:t>. Der henvises til det medfølgende produktresumé af passende formuleringer.</w:t>
      </w:r>
    </w:p>
    <w:p w14:paraId="2E277712" w14:textId="77777777" w:rsidR="00A97556" w:rsidRPr="006E31EE" w:rsidRDefault="00A97556" w:rsidP="00A97556">
      <w:pPr>
        <w:ind w:left="851" w:hanging="851"/>
        <w:rPr>
          <w:color w:val="000000" w:themeColor="text1"/>
          <w:sz w:val="24"/>
          <w:szCs w:val="24"/>
        </w:rPr>
      </w:pPr>
    </w:p>
    <w:p w14:paraId="3B0FA8E2" w14:textId="77777777" w:rsidR="00A97556" w:rsidRPr="006E31EE" w:rsidRDefault="00A97556" w:rsidP="00A97556">
      <w:pPr>
        <w:ind w:left="851"/>
        <w:rPr>
          <w:color w:val="000000" w:themeColor="text1"/>
          <w:sz w:val="24"/>
          <w:szCs w:val="24"/>
        </w:rPr>
      </w:pPr>
      <w:r w:rsidRPr="006E31EE">
        <w:rPr>
          <w:color w:val="000000" w:themeColor="text1"/>
          <w:sz w:val="24"/>
          <w:szCs w:val="24"/>
        </w:rPr>
        <w:t xml:space="preserve">Sikkerhed og virkning ved tenofovirdisoproxil hos hiv 1-inficerede børn eller børn med kronisk hepatitis B under 2 år er ikke klarlagt. Der foreligger ingen data. </w:t>
      </w:r>
    </w:p>
    <w:p w14:paraId="62CEBA8B" w14:textId="77777777" w:rsidR="00A97556" w:rsidRPr="006E31EE" w:rsidRDefault="00A97556" w:rsidP="00A97556">
      <w:pPr>
        <w:ind w:left="851" w:hanging="851"/>
        <w:rPr>
          <w:color w:val="000000" w:themeColor="text1"/>
          <w:sz w:val="24"/>
          <w:szCs w:val="24"/>
          <w:u w:val="single"/>
        </w:rPr>
      </w:pPr>
    </w:p>
    <w:p w14:paraId="2FD75B89" w14:textId="77777777" w:rsidR="00A97556" w:rsidRPr="006E31EE" w:rsidRDefault="00A97556" w:rsidP="00A97556">
      <w:pPr>
        <w:ind w:left="851"/>
        <w:rPr>
          <w:i/>
          <w:color w:val="000000" w:themeColor="text1"/>
          <w:sz w:val="24"/>
          <w:szCs w:val="24"/>
        </w:rPr>
      </w:pPr>
      <w:r w:rsidRPr="006E31EE">
        <w:rPr>
          <w:i/>
          <w:color w:val="000000" w:themeColor="text1"/>
          <w:sz w:val="24"/>
          <w:szCs w:val="24"/>
        </w:rPr>
        <w:t xml:space="preserve">Manglende dosis </w:t>
      </w:r>
    </w:p>
    <w:p w14:paraId="73DF65F7" w14:textId="77777777" w:rsidR="00A97556" w:rsidRPr="006E31EE" w:rsidRDefault="00A97556" w:rsidP="00A97556">
      <w:pPr>
        <w:ind w:left="851"/>
        <w:rPr>
          <w:color w:val="000000" w:themeColor="text1"/>
          <w:sz w:val="24"/>
          <w:szCs w:val="24"/>
        </w:rPr>
      </w:pPr>
      <w:r w:rsidRPr="006E31EE">
        <w:rPr>
          <w:color w:val="000000" w:themeColor="text1"/>
          <w:sz w:val="24"/>
          <w:szCs w:val="24"/>
        </w:rPr>
        <w:t xml:space="preserve">Hvis en patient glemmer at tage en dosis Tenofovir disoproxil "Sandoz" i mindre end 12 timer efter tidspunktet, hvor patienten normalt tager dosen, skal patienten tage Tenofovir disoproxil "Sandoz" sammen med mad så snart som muligt og derefter fortsætte med den normale doseringsplan. Hvis en patient glemmer at tage en dosis Tenofovir disoproxil "Sandoz" i mere end 12 timer, og det næsten er tid til næste dosis, skal patienten ikke tage den manglende dosis, men blot fortsætte med den normale doseringsplan. </w:t>
      </w:r>
    </w:p>
    <w:p w14:paraId="5C57B4B5" w14:textId="77777777" w:rsidR="00A97556" w:rsidRPr="006E31EE" w:rsidRDefault="00A97556" w:rsidP="00A97556">
      <w:pPr>
        <w:ind w:left="851" w:hanging="851"/>
        <w:rPr>
          <w:color w:val="000000" w:themeColor="text1"/>
          <w:sz w:val="24"/>
          <w:szCs w:val="24"/>
        </w:rPr>
      </w:pPr>
    </w:p>
    <w:p w14:paraId="2BBC66E3" w14:textId="77777777" w:rsidR="00A97556" w:rsidRPr="006E31EE" w:rsidRDefault="00A97556" w:rsidP="00A97556">
      <w:pPr>
        <w:ind w:left="851"/>
        <w:rPr>
          <w:sz w:val="24"/>
          <w:szCs w:val="24"/>
        </w:rPr>
      </w:pPr>
      <w:r w:rsidRPr="006E31EE">
        <w:rPr>
          <w:color w:val="000000" w:themeColor="text1"/>
          <w:sz w:val="24"/>
          <w:szCs w:val="24"/>
        </w:rPr>
        <w:t xml:space="preserve">Hvis patienten kaster op inden for 1 time efter at have taget Tenofovir disoproxil "Sandoz", skal der </w:t>
      </w:r>
      <w:r w:rsidRPr="006E31EE">
        <w:rPr>
          <w:sz w:val="24"/>
          <w:szCs w:val="24"/>
        </w:rPr>
        <w:t xml:space="preserve">tages en ny tablet. Hvis patienten kaster op mere end 1 time efter at have taget Tenofovir disoproxil "Sandoz", skal patienten ikke tage en ny dosis. </w:t>
      </w:r>
    </w:p>
    <w:p w14:paraId="75C3D1DA" w14:textId="77777777" w:rsidR="00A97556" w:rsidRPr="006E31EE" w:rsidRDefault="00A97556" w:rsidP="00A97556">
      <w:pPr>
        <w:ind w:left="851" w:hanging="851"/>
        <w:rPr>
          <w:sz w:val="24"/>
          <w:szCs w:val="24"/>
        </w:rPr>
      </w:pPr>
    </w:p>
    <w:p w14:paraId="74568BA8" w14:textId="77777777" w:rsidR="00A97556" w:rsidRPr="006E31EE" w:rsidRDefault="00A97556" w:rsidP="00A97556">
      <w:pPr>
        <w:ind w:left="851"/>
        <w:rPr>
          <w:i/>
          <w:sz w:val="24"/>
          <w:szCs w:val="24"/>
          <w:u w:val="single"/>
        </w:rPr>
      </w:pPr>
      <w:r w:rsidRPr="006E31EE">
        <w:rPr>
          <w:i/>
          <w:sz w:val="24"/>
          <w:szCs w:val="24"/>
          <w:u w:val="single"/>
        </w:rPr>
        <w:t xml:space="preserve">Særlige populationer </w:t>
      </w:r>
    </w:p>
    <w:p w14:paraId="3738A8CA" w14:textId="77777777" w:rsidR="00A97556" w:rsidRPr="006E31EE" w:rsidRDefault="00A97556" w:rsidP="00A97556">
      <w:pPr>
        <w:ind w:left="851"/>
        <w:rPr>
          <w:i/>
          <w:sz w:val="24"/>
          <w:szCs w:val="24"/>
        </w:rPr>
      </w:pPr>
      <w:r w:rsidRPr="006E31EE">
        <w:rPr>
          <w:i/>
          <w:sz w:val="24"/>
          <w:szCs w:val="24"/>
        </w:rPr>
        <w:t>Ældre</w:t>
      </w:r>
    </w:p>
    <w:p w14:paraId="13B0117F" w14:textId="77777777" w:rsidR="00A97556" w:rsidRPr="006E31EE" w:rsidRDefault="00A97556" w:rsidP="00A97556">
      <w:pPr>
        <w:ind w:left="851"/>
        <w:rPr>
          <w:sz w:val="24"/>
          <w:szCs w:val="24"/>
        </w:rPr>
      </w:pPr>
      <w:r w:rsidRPr="006E31EE">
        <w:rPr>
          <w:sz w:val="24"/>
          <w:szCs w:val="24"/>
        </w:rPr>
        <w:t>Der foreligger ingen data, hvorpå der kan laves en dosisanbefaling til patienter over 65 år (se pkt. 4.4).</w:t>
      </w:r>
    </w:p>
    <w:p w14:paraId="649BECE2" w14:textId="77777777" w:rsidR="00A97556" w:rsidRPr="006E31EE" w:rsidRDefault="00A97556" w:rsidP="00A97556">
      <w:pPr>
        <w:ind w:left="851" w:hanging="851"/>
        <w:rPr>
          <w:sz w:val="24"/>
          <w:szCs w:val="24"/>
        </w:rPr>
      </w:pPr>
    </w:p>
    <w:p w14:paraId="4CDB7956" w14:textId="77777777" w:rsidR="00A97556" w:rsidRPr="006E31EE" w:rsidRDefault="00A97556" w:rsidP="00A97556">
      <w:pPr>
        <w:ind w:left="851"/>
        <w:rPr>
          <w:i/>
          <w:sz w:val="24"/>
          <w:szCs w:val="24"/>
        </w:rPr>
      </w:pPr>
      <w:r w:rsidRPr="006E31EE">
        <w:rPr>
          <w:i/>
          <w:sz w:val="24"/>
          <w:szCs w:val="24"/>
        </w:rPr>
        <w:t>Nedsat nyrefunktion</w:t>
      </w:r>
    </w:p>
    <w:p w14:paraId="1ACAACEA" w14:textId="77777777" w:rsidR="00A97556" w:rsidRPr="006E31EE" w:rsidRDefault="00A97556" w:rsidP="00A97556">
      <w:pPr>
        <w:ind w:left="851"/>
        <w:rPr>
          <w:sz w:val="24"/>
          <w:szCs w:val="24"/>
        </w:rPr>
      </w:pPr>
      <w:r w:rsidRPr="006E31EE">
        <w:rPr>
          <w:sz w:val="24"/>
          <w:szCs w:val="24"/>
        </w:rPr>
        <w:t xml:space="preserve">Tenofovir udskilles via nyrerne og eksponeringen for tenofovir øges hos patienter med nyredysfunktion. </w:t>
      </w:r>
    </w:p>
    <w:p w14:paraId="6C584A39" w14:textId="77777777" w:rsidR="00A97556" w:rsidRPr="006E31EE" w:rsidRDefault="00A97556" w:rsidP="00A97556">
      <w:pPr>
        <w:ind w:left="851" w:hanging="851"/>
        <w:rPr>
          <w:sz w:val="24"/>
          <w:szCs w:val="24"/>
        </w:rPr>
      </w:pPr>
    </w:p>
    <w:p w14:paraId="122455E9" w14:textId="77777777" w:rsidR="00A97556" w:rsidRPr="006E31EE" w:rsidRDefault="00A97556" w:rsidP="00285E88">
      <w:pPr>
        <w:keepNext/>
        <w:ind w:left="851"/>
        <w:rPr>
          <w:sz w:val="24"/>
          <w:szCs w:val="24"/>
          <w:u w:val="single"/>
        </w:rPr>
      </w:pPr>
      <w:r w:rsidRPr="006E31EE">
        <w:rPr>
          <w:sz w:val="24"/>
          <w:szCs w:val="24"/>
          <w:u w:val="single"/>
        </w:rPr>
        <w:lastRenderedPageBreak/>
        <w:t xml:space="preserve">Voksne </w:t>
      </w:r>
    </w:p>
    <w:p w14:paraId="17008006" w14:textId="77777777" w:rsidR="00A97556" w:rsidRPr="006E31EE" w:rsidRDefault="00A97556" w:rsidP="00A97556">
      <w:pPr>
        <w:ind w:left="851"/>
        <w:rPr>
          <w:color w:val="000000" w:themeColor="text1"/>
          <w:sz w:val="24"/>
          <w:szCs w:val="24"/>
        </w:rPr>
      </w:pPr>
      <w:r w:rsidRPr="006E31EE">
        <w:rPr>
          <w:sz w:val="24"/>
          <w:szCs w:val="24"/>
        </w:rPr>
        <w:t xml:space="preserve">Der er begrænsede data om sikkerhed og virkning af tenofovirdisoproxil hos voksne patienter med moderat eller svært nedsat nyrefunktion (kreatininclearance &lt; 50 ml/min), og langtidssikkerhedsdata er ikke blevet evalueret for let nedsat nyrefunktion (kreatininclearance 50-80 ml/min). Tenofovirdisoproxil bør derfor kun bruges til voksne patienter med nedsat nyrefunktion, hvis de potentielle fordele ved behandlingen anses for at veje tungere end de potentielle risici. Administration af </w:t>
      </w:r>
      <w:r w:rsidRPr="006E31EE">
        <w:rPr>
          <w:color w:val="000000" w:themeColor="text1"/>
          <w:sz w:val="24"/>
          <w:szCs w:val="24"/>
        </w:rPr>
        <w:t xml:space="preserve">andre tenofovirdisoproxil- formuleringer </w:t>
      </w:r>
      <w:r w:rsidRPr="006E31EE">
        <w:rPr>
          <w:sz w:val="24"/>
          <w:szCs w:val="24"/>
        </w:rPr>
        <w:t xml:space="preserve">med henblik på at give en reduceret daglig dosis tenofovirdisoproxil anbefales til voksne patienter med kreatininclearance &lt; 50 ml/min, herunder hos hæmodialyse-patienter. </w:t>
      </w:r>
      <w:r w:rsidRPr="006E31EE">
        <w:rPr>
          <w:color w:val="000000" w:themeColor="text1"/>
          <w:sz w:val="24"/>
          <w:szCs w:val="24"/>
        </w:rPr>
        <w:t>Der henvises til det medfølgende produktresumé af passende formuleringer.</w:t>
      </w:r>
    </w:p>
    <w:p w14:paraId="093C1863" w14:textId="77777777" w:rsidR="00A97556" w:rsidRPr="006E31EE" w:rsidRDefault="00A97556" w:rsidP="00A97556">
      <w:pPr>
        <w:ind w:left="851" w:hanging="851"/>
        <w:rPr>
          <w:sz w:val="24"/>
          <w:szCs w:val="24"/>
        </w:rPr>
      </w:pPr>
    </w:p>
    <w:p w14:paraId="618035E6" w14:textId="77777777" w:rsidR="00A97556" w:rsidRPr="006E31EE" w:rsidRDefault="00A97556" w:rsidP="00A97556">
      <w:pPr>
        <w:ind w:left="851"/>
        <w:rPr>
          <w:i/>
          <w:sz w:val="24"/>
          <w:szCs w:val="24"/>
        </w:rPr>
      </w:pPr>
      <w:r w:rsidRPr="006E31EE">
        <w:rPr>
          <w:i/>
          <w:sz w:val="24"/>
          <w:szCs w:val="24"/>
        </w:rPr>
        <w:t>Let nedsat nyrefunktion (kreatininclearance 50-80 ml/min)</w:t>
      </w:r>
    </w:p>
    <w:p w14:paraId="0EA0B1A4" w14:textId="77777777" w:rsidR="00A97556" w:rsidRPr="006E31EE" w:rsidRDefault="00A97556" w:rsidP="00A97556">
      <w:pPr>
        <w:ind w:left="851"/>
        <w:rPr>
          <w:sz w:val="24"/>
          <w:szCs w:val="24"/>
        </w:rPr>
      </w:pPr>
      <w:r w:rsidRPr="006E31EE">
        <w:rPr>
          <w:sz w:val="24"/>
          <w:szCs w:val="24"/>
        </w:rPr>
        <w:t xml:space="preserve">Begrænsede data fra kliniske studier understøtter én daglig dosis med 245 mg tenofovirdisoproxil hos patienter med let nedsat nyrefunktion. </w:t>
      </w:r>
    </w:p>
    <w:p w14:paraId="45CBA86F" w14:textId="77777777" w:rsidR="00A97556" w:rsidRPr="006E31EE" w:rsidRDefault="00A97556" w:rsidP="00A97556">
      <w:pPr>
        <w:ind w:left="851" w:hanging="851"/>
        <w:rPr>
          <w:sz w:val="24"/>
          <w:szCs w:val="24"/>
        </w:rPr>
      </w:pPr>
    </w:p>
    <w:p w14:paraId="31098B95" w14:textId="77777777" w:rsidR="00A97556" w:rsidRPr="006E31EE" w:rsidRDefault="00A97556" w:rsidP="00A97556">
      <w:pPr>
        <w:ind w:left="851"/>
        <w:rPr>
          <w:i/>
          <w:sz w:val="24"/>
          <w:szCs w:val="24"/>
        </w:rPr>
      </w:pPr>
      <w:r w:rsidRPr="006E31EE">
        <w:rPr>
          <w:i/>
          <w:sz w:val="24"/>
          <w:szCs w:val="24"/>
        </w:rPr>
        <w:t>Moderat nedsat nyrefunktion (kreatininclearance 30-49 ml/min)</w:t>
      </w:r>
    </w:p>
    <w:p w14:paraId="563CA420" w14:textId="77777777" w:rsidR="00A97556" w:rsidRPr="006E31EE" w:rsidRDefault="00A97556" w:rsidP="00A97556">
      <w:pPr>
        <w:ind w:left="851"/>
        <w:rPr>
          <w:sz w:val="24"/>
          <w:szCs w:val="24"/>
        </w:rPr>
      </w:pPr>
      <w:r w:rsidRPr="006E31EE">
        <w:rPr>
          <w:sz w:val="24"/>
          <w:szCs w:val="24"/>
        </w:rPr>
        <w:t>Til patienter, der ikke kan tage andre tenofovirdisoproxil-formuleringer som granulat, kan 245 mg filmovertrukne tabletter anvendes med forlængede doseringsintervaller. Administration af 245 mg tenofovirdisoproxil hver 48. time kan anvendes. Dette er baseret på modellering af farmakokinetiske data for enkeltdosis hos hiv-negative patienter eller patienter uden HBV-infektion men med forskellige grader af nedsat nyrefunktion, herunder nyresygdom i slutstadiet, hvor det er nødvendigt med dialyse, og er ikke blevet bekræftet i kliniske studier. Derfor bør klinisk respons på behandling og nyrefunktion monitoreres tæt hos disse patienter (se pkt. 4.4 og 5.2).</w:t>
      </w:r>
    </w:p>
    <w:p w14:paraId="6F714706" w14:textId="77777777" w:rsidR="00A97556" w:rsidRPr="006E31EE" w:rsidRDefault="00A97556" w:rsidP="00A97556">
      <w:pPr>
        <w:ind w:left="851" w:hanging="851"/>
        <w:rPr>
          <w:i/>
          <w:sz w:val="24"/>
          <w:szCs w:val="24"/>
        </w:rPr>
      </w:pPr>
    </w:p>
    <w:p w14:paraId="67BEA47E" w14:textId="77777777" w:rsidR="00A97556" w:rsidRPr="006E31EE" w:rsidRDefault="00A97556" w:rsidP="00A97556">
      <w:pPr>
        <w:ind w:left="851"/>
        <w:rPr>
          <w:i/>
          <w:sz w:val="24"/>
          <w:szCs w:val="24"/>
        </w:rPr>
      </w:pPr>
      <w:r w:rsidRPr="006E31EE">
        <w:rPr>
          <w:i/>
          <w:sz w:val="24"/>
          <w:szCs w:val="24"/>
        </w:rPr>
        <w:t>Svært nedsat nyrefunktion (kreatininclearance &lt;30 ml/min) og hæmodialyse-patienter</w:t>
      </w:r>
    </w:p>
    <w:p w14:paraId="17B96498" w14:textId="77777777" w:rsidR="00A97556" w:rsidRPr="006E31EE" w:rsidRDefault="00A97556" w:rsidP="00A97556">
      <w:pPr>
        <w:ind w:left="851"/>
        <w:rPr>
          <w:sz w:val="24"/>
          <w:szCs w:val="24"/>
        </w:rPr>
      </w:pPr>
      <w:r w:rsidRPr="006E31EE">
        <w:rPr>
          <w:sz w:val="24"/>
          <w:szCs w:val="24"/>
        </w:rPr>
        <w:t>Til patienter, der ikke kan tage andre tenofovirdisoproxil-formuleringer som granulat, og til hvem der ikke er alternativ behandling tilgængelig, kan 245 mg filmovertrukne tabletter anvendes med følgende forlængede doseringsintervaller:</w:t>
      </w:r>
    </w:p>
    <w:p w14:paraId="3E54E77F" w14:textId="77777777" w:rsidR="00A97556" w:rsidRPr="006E31EE" w:rsidRDefault="00A97556" w:rsidP="00A97556">
      <w:pPr>
        <w:ind w:left="851" w:hanging="851"/>
        <w:rPr>
          <w:sz w:val="24"/>
          <w:szCs w:val="24"/>
        </w:rPr>
      </w:pPr>
    </w:p>
    <w:p w14:paraId="5A41C987" w14:textId="77777777" w:rsidR="00A97556" w:rsidRPr="006E31EE" w:rsidRDefault="00A97556" w:rsidP="00A97556">
      <w:pPr>
        <w:ind w:left="851"/>
        <w:rPr>
          <w:i/>
          <w:sz w:val="24"/>
          <w:szCs w:val="24"/>
          <w:u w:val="single"/>
        </w:rPr>
      </w:pPr>
      <w:r w:rsidRPr="006E31EE">
        <w:rPr>
          <w:sz w:val="24"/>
          <w:szCs w:val="24"/>
        </w:rPr>
        <w:t>Svært nedsat nyrefunktion:</w:t>
      </w:r>
      <w:r w:rsidRPr="006E31EE">
        <w:rPr>
          <w:i/>
          <w:sz w:val="24"/>
          <w:szCs w:val="24"/>
        </w:rPr>
        <w:t xml:space="preserve"> </w:t>
      </w:r>
      <w:r w:rsidRPr="006E31EE">
        <w:rPr>
          <w:sz w:val="24"/>
          <w:szCs w:val="24"/>
        </w:rPr>
        <w:t xml:space="preserve">245 mg tenofovirdisoproxil kan administreres hver 72.-96. time (dosering to gange ugentlig). </w:t>
      </w:r>
    </w:p>
    <w:p w14:paraId="28DD2A71" w14:textId="77777777" w:rsidR="00A97556" w:rsidRPr="006E31EE" w:rsidRDefault="00A97556" w:rsidP="00A97556">
      <w:pPr>
        <w:ind w:left="851" w:hanging="851"/>
        <w:rPr>
          <w:sz w:val="24"/>
          <w:szCs w:val="24"/>
        </w:rPr>
      </w:pPr>
    </w:p>
    <w:p w14:paraId="47B20831" w14:textId="77777777" w:rsidR="00A97556" w:rsidRPr="006E31EE" w:rsidRDefault="00A97556" w:rsidP="00A97556">
      <w:pPr>
        <w:ind w:left="851"/>
        <w:rPr>
          <w:sz w:val="24"/>
          <w:szCs w:val="24"/>
        </w:rPr>
      </w:pPr>
      <w:r w:rsidRPr="006E31EE">
        <w:rPr>
          <w:sz w:val="24"/>
          <w:szCs w:val="24"/>
        </w:rPr>
        <w:t xml:space="preserve">Hæmodialyse-patienter: 245 mg tenofovirdisoproxil kan administreres hver 7. dag efter afslutning af en hæmodialyse-session*. </w:t>
      </w:r>
    </w:p>
    <w:p w14:paraId="13F12329" w14:textId="77777777" w:rsidR="00A97556" w:rsidRPr="006E31EE" w:rsidRDefault="00A97556" w:rsidP="00A97556">
      <w:pPr>
        <w:ind w:left="851" w:hanging="851"/>
        <w:rPr>
          <w:sz w:val="24"/>
          <w:szCs w:val="24"/>
        </w:rPr>
      </w:pPr>
    </w:p>
    <w:p w14:paraId="24DE89D4" w14:textId="77777777" w:rsidR="00A97556" w:rsidRPr="006E31EE" w:rsidRDefault="00A97556" w:rsidP="00A97556">
      <w:pPr>
        <w:ind w:left="851"/>
        <w:rPr>
          <w:sz w:val="24"/>
          <w:szCs w:val="24"/>
        </w:rPr>
      </w:pPr>
      <w:r w:rsidRPr="006E31EE">
        <w:rPr>
          <w:sz w:val="24"/>
          <w:szCs w:val="24"/>
        </w:rPr>
        <w:t>Disse justeringer af doseringsintervallet er ikke blevet bekræftet i kliniske studier. Simuleringer antyder, at Tenofovir disoproxil "Sandoz" 245 mg filmovertrukne tabletter med forlænget doseringsinterval ikke er optimalt, og at det kan resultere i øget toksicitet og muligt inadækvat respons. Derfor bør klinisk respons på behandling og nyrefunktion monitoreres tæt hos disse patienter (se pkt. 4.4 og 5.2).</w:t>
      </w:r>
    </w:p>
    <w:p w14:paraId="085A4AC2" w14:textId="77777777" w:rsidR="00A97556" w:rsidRPr="006E31EE" w:rsidRDefault="00A97556" w:rsidP="00A97556">
      <w:pPr>
        <w:ind w:left="851" w:hanging="851"/>
        <w:rPr>
          <w:sz w:val="24"/>
          <w:szCs w:val="24"/>
        </w:rPr>
      </w:pPr>
    </w:p>
    <w:p w14:paraId="0AF2A58F" w14:textId="77777777" w:rsidR="00A97556" w:rsidRPr="006E31EE" w:rsidRDefault="00A97556" w:rsidP="00A97556">
      <w:pPr>
        <w:ind w:left="851"/>
        <w:rPr>
          <w:sz w:val="24"/>
          <w:szCs w:val="24"/>
        </w:rPr>
      </w:pPr>
      <w:r w:rsidRPr="006E31EE">
        <w:rPr>
          <w:sz w:val="24"/>
          <w:szCs w:val="24"/>
        </w:rPr>
        <w:t xml:space="preserve">* Generelt forudsætter én ugentlig dosis tre hæmodialysesessioner om ugen, hver af ca. 4 timers varighed eller efter 12 timers kumulativ hæmodialyse. </w:t>
      </w:r>
    </w:p>
    <w:p w14:paraId="19C61174" w14:textId="77777777" w:rsidR="00A97556" w:rsidRPr="006E31EE" w:rsidRDefault="00A97556" w:rsidP="00A97556">
      <w:pPr>
        <w:ind w:left="851" w:hanging="851"/>
        <w:rPr>
          <w:sz w:val="24"/>
          <w:szCs w:val="24"/>
        </w:rPr>
      </w:pPr>
    </w:p>
    <w:p w14:paraId="5E9852F3" w14:textId="77777777" w:rsidR="00A97556" w:rsidRPr="006E31EE" w:rsidRDefault="00A97556" w:rsidP="00A97556">
      <w:pPr>
        <w:ind w:left="851"/>
        <w:rPr>
          <w:sz w:val="24"/>
          <w:szCs w:val="24"/>
        </w:rPr>
      </w:pPr>
      <w:r w:rsidRPr="006E31EE">
        <w:rPr>
          <w:sz w:val="24"/>
          <w:szCs w:val="24"/>
        </w:rPr>
        <w:t xml:space="preserve">Der kan ikke gives nogle dosisanbefalinger til ikke-hæmodialyse-patienter med kreatininclearance &lt;10 ml/min. </w:t>
      </w:r>
    </w:p>
    <w:p w14:paraId="14B31CE1" w14:textId="77777777" w:rsidR="00A97556" w:rsidRPr="006E31EE" w:rsidRDefault="00A97556" w:rsidP="00A97556">
      <w:pPr>
        <w:ind w:left="851" w:hanging="851"/>
        <w:rPr>
          <w:sz w:val="24"/>
          <w:szCs w:val="24"/>
        </w:rPr>
      </w:pPr>
    </w:p>
    <w:p w14:paraId="3667AD18" w14:textId="77777777" w:rsidR="00A97556" w:rsidRPr="006E31EE" w:rsidRDefault="00A97556" w:rsidP="00285E88">
      <w:pPr>
        <w:keepNext/>
        <w:ind w:left="851"/>
        <w:rPr>
          <w:sz w:val="24"/>
          <w:szCs w:val="24"/>
          <w:u w:val="single"/>
        </w:rPr>
      </w:pPr>
      <w:r w:rsidRPr="006E31EE">
        <w:rPr>
          <w:sz w:val="24"/>
          <w:szCs w:val="24"/>
          <w:u w:val="single"/>
        </w:rPr>
        <w:lastRenderedPageBreak/>
        <w:t>Pædiatrisk population</w:t>
      </w:r>
    </w:p>
    <w:p w14:paraId="426844E4" w14:textId="77777777" w:rsidR="00A97556" w:rsidRPr="006E31EE" w:rsidRDefault="00A97556" w:rsidP="00A97556">
      <w:pPr>
        <w:ind w:left="851"/>
        <w:rPr>
          <w:sz w:val="24"/>
          <w:szCs w:val="24"/>
        </w:rPr>
      </w:pPr>
      <w:r w:rsidRPr="006E31EE">
        <w:rPr>
          <w:sz w:val="24"/>
          <w:szCs w:val="24"/>
        </w:rPr>
        <w:t xml:space="preserve">Anvendelsen af tenofovirdisoproxil anbefales ikke til pædiatriske patienter med nedsat nyrefunktion (se pkt. 4.4). </w:t>
      </w:r>
    </w:p>
    <w:p w14:paraId="3527AA22" w14:textId="77777777" w:rsidR="00A97556" w:rsidRPr="006E31EE" w:rsidRDefault="00A97556" w:rsidP="00A97556">
      <w:pPr>
        <w:ind w:left="851" w:hanging="851"/>
        <w:rPr>
          <w:sz w:val="24"/>
          <w:szCs w:val="24"/>
        </w:rPr>
      </w:pPr>
    </w:p>
    <w:p w14:paraId="4DB6A2E2" w14:textId="77777777" w:rsidR="00A97556" w:rsidRPr="006E31EE" w:rsidRDefault="00A97556" w:rsidP="00A97556">
      <w:pPr>
        <w:ind w:left="851"/>
        <w:rPr>
          <w:i/>
          <w:sz w:val="24"/>
          <w:szCs w:val="24"/>
        </w:rPr>
      </w:pPr>
      <w:r w:rsidRPr="006E31EE">
        <w:rPr>
          <w:i/>
          <w:sz w:val="24"/>
          <w:szCs w:val="24"/>
        </w:rPr>
        <w:t>Nedsat leverfunktion</w:t>
      </w:r>
    </w:p>
    <w:p w14:paraId="72938B58" w14:textId="77777777" w:rsidR="00A97556" w:rsidRPr="006E31EE" w:rsidRDefault="00A97556" w:rsidP="00A97556">
      <w:pPr>
        <w:ind w:left="851"/>
        <w:rPr>
          <w:sz w:val="24"/>
          <w:szCs w:val="24"/>
        </w:rPr>
      </w:pPr>
      <w:r w:rsidRPr="006E31EE">
        <w:rPr>
          <w:sz w:val="24"/>
          <w:szCs w:val="24"/>
        </w:rPr>
        <w:t xml:space="preserve">Justering af dosis er ikke nødvendig hos patienter med nedsat leverfunktion (se pkt. 4.4 og 5.2). </w:t>
      </w:r>
    </w:p>
    <w:p w14:paraId="2155A79B" w14:textId="77777777" w:rsidR="00A97556" w:rsidRPr="006E31EE" w:rsidRDefault="00A97556" w:rsidP="00A97556">
      <w:pPr>
        <w:ind w:left="851" w:hanging="851"/>
        <w:rPr>
          <w:sz w:val="24"/>
          <w:szCs w:val="24"/>
        </w:rPr>
      </w:pPr>
    </w:p>
    <w:p w14:paraId="6E0BA9DE" w14:textId="77777777" w:rsidR="00A97556" w:rsidRPr="006E31EE" w:rsidRDefault="00A97556" w:rsidP="00A97556">
      <w:pPr>
        <w:ind w:left="851"/>
        <w:rPr>
          <w:sz w:val="24"/>
          <w:szCs w:val="24"/>
        </w:rPr>
      </w:pPr>
      <w:r w:rsidRPr="006E31EE">
        <w:rPr>
          <w:sz w:val="24"/>
          <w:szCs w:val="24"/>
        </w:rPr>
        <w:t xml:space="preserve">Hvis Tenofovir disoproxil "Sandoz" seponeres hos patienter med kronisk hepatitis B med eller uden samtidig hiv-infektion, skal disse patienter monitoreres tæt for tegn på eksacerbation af hepatitis (se pkt. 4.4). </w:t>
      </w:r>
    </w:p>
    <w:p w14:paraId="50808B34" w14:textId="77777777" w:rsidR="00A97556" w:rsidRPr="006E31EE" w:rsidRDefault="00A97556" w:rsidP="00A97556">
      <w:pPr>
        <w:ind w:left="851" w:hanging="851"/>
        <w:rPr>
          <w:sz w:val="24"/>
          <w:szCs w:val="24"/>
        </w:rPr>
      </w:pPr>
    </w:p>
    <w:p w14:paraId="6E6936E9" w14:textId="77777777" w:rsidR="00A97556" w:rsidRPr="006E31EE" w:rsidRDefault="00A97556" w:rsidP="00A97556">
      <w:pPr>
        <w:ind w:left="851"/>
        <w:rPr>
          <w:sz w:val="24"/>
          <w:szCs w:val="24"/>
          <w:u w:val="single"/>
        </w:rPr>
      </w:pPr>
      <w:r w:rsidRPr="006E31EE">
        <w:rPr>
          <w:sz w:val="24"/>
          <w:szCs w:val="24"/>
          <w:u w:val="single"/>
        </w:rPr>
        <w:t xml:space="preserve">Administration </w:t>
      </w:r>
    </w:p>
    <w:p w14:paraId="556C6D7F" w14:textId="77777777" w:rsidR="00A97556" w:rsidRPr="006E31EE" w:rsidRDefault="00A97556" w:rsidP="00A97556">
      <w:pPr>
        <w:ind w:left="851"/>
        <w:rPr>
          <w:sz w:val="24"/>
          <w:szCs w:val="24"/>
        </w:rPr>
      </w:pPr>
      <w:r w:rsidRPr="006E31EE">
        <w:rPr>
          <w:sz w:val="24"/>
          <w:szCs w:val="24"/>
        </w:rPr>
        <w:t xml:space="preserve">Tenofovir disoproxil "Sandoz"-tabletter skal tages oralt en gang daglig sammen med mad. </w:t>
      </w:r>
    </w:p>
    <w:p w14:paraId="3BB18DDC" w14:textId="77777777" w:rsidR="00A97556" w:rsidRPr="006E31EE" w:rsidRDefault="00A97556" w:rsidP="00A97556">
      <w:pPr>
        <w:ind w:left="851" w:hanging="851"/>
        <w:rPr>
          <w:sz w:val="24"/>
          <w:szCs w:val="24"/>
        </w:rPr>
      </w:pPr>
    </w:p>
    <w:p w14:paraId="259BF9E7" w14:textId="77777777" w:rsidR="00A97556" w:rsidRPr="006E31EE" w:rsidRDefault="00A97556" w:rsidP="00A97556">
      <w:pPr>
        <w:ind w:left="851"/>
        <w:rPr>
          <w:color w:val="000000" w:themeColor="text1"/>
          <w:sz w:val="24"/>
          <w:szCs w:val="24"/>
        </w:rPr>
      </w:pPr>
      <w:r w:rsidRPr="006E31EE">
        <w:rPr>
          <w:sz w:val="24"/>
          <w:szCs w:val="24"/>
        </w:rPr>
        <w:t xml:space="preserve">En formulering af tenofovirdisoproxil som granulat </w:t>
      </w:r>
      <w:r w:rsidRPr="006E31EE">
        <w:rPr>
          <w:color w:val="000000" w:themeColor="text1"/>
          <w:sz w:val="24"/>
          <w:szCs w:val="24"/>
        </w:rPr>
        <w:t xml:space="preserve">kan være til rådighed </w:t>
      </w:r>
      <w:r w:rsidRPr="006E31EE">
        <w:rPr>
          <w:sz w:val="24"/>
          <w:szCs w:val="24"/>
        </w:rPr>
        <w:t xml:space="preserve">til patienter, der har problemer med at synke filmovertrukne tabletter. </w:t>
      </w:r>
      <w:r w:rsidRPr="006E31EE">
        <w:rPr>
          <w:color w:val="000000" w:themeColor="text1"/>
          <w:sz w:val="24"/>
          <w:szCs w:val="24"/>
        </w:rPr>
        <w:t>Der henvises til det medfølgende produktresumé af passende formuleringer.</w:t>
      </w:r>
    </w:p>
    <w:p w14:paraId="6BCEE99C" w14:textId="77777777" w:rsidR="00A97556" w:rsidRPr="006E31EE" w:rsidRDefault="00A97556" w:rsidP="00A97556">
      <w:pPr>
        <w:ind w:left="851"/>
        <w:rPr>
          <w:sz w:val="24"/>
          <w:szCs w:val="24"/>
        </w:rPr>
      </w:pPr>
      <w:r w:rsidRPr="006E31EE">
        <w:rPr>
          <w:sz w:val="24"/>
          <w:szCs w:val="24"/>
        </w:rPr>
        <w:t xml:space="preserve">I særlige tilfælde kan Tenofovir disoproxil "Sandoz" 245 mg filmovertrukne tabletter indgives, efter tabletten er blevet knust og opløst i mindst 100 ml vand, appelsinjuice eller druesaft. </w:t>
      </w:r>
    </w:p>
    <w:p w14:paraId="04590B48" w14:textId="77777777" w:rsidR="008F3CD4" w:rsidRPr="006E31EE" w:rsidRDefault="008F3CD4" w:rsidP="008F3CD4">
      <w:pPr>
        <w:ind w:left="851" w:hanging="851"/>
        <w:rPr>
          <w:sz w:val="24"/>
          <w:szCs w:val="24"/>
        </w:rPr>
      </w:pPr>
    </w:p>
    <w:p w14:paraId="67128925" w14:textId="77777777" w:rsidR="008F3CD4" w:rsidRPr="006E31EE" w:rsidRDefault="008F3CD4" w:rsidP="008F3CD4">
      <w:pPr>
        <w:ind w:left="851" w:hanging="851"/>
        <w:rPr>
          <w:b/>
          <w:sz w:val="24"/>
          <w:szCs w:val="24"/>
        </w:rPr>
      </w:pPr>
      <w:r w:rsidRPr="006E31EE">
        <w:rPr>
          <w:b/>
          <w:sz w:val="24"/>
          <w:szCs w:val="24"/>
        </w:rPr>
        <w:t>4.3</w:t>
      </w:r>
      <w:r w:rsidRPr="006E31EE">
        <w:rPr>
          <w:b/>
          <w:sz w:val="24"/>
          <w:szCs w:val="24"/>
        </w:rPr>
        <w:tab/>
        <w:t>Kontraindikationer</w:t>
      </w:r>
    </w:p>
    <w:p w14:paraId="4D242EED" w14:textId="77777777" w:rsidR="00F32EA9" w:rsidRPr="006E31EE" w:rsidRDefault="00F32EA9" w:rsidP="00F32EA9">
      <w:pPr>
        <w:ind w:left="851"/>
        <w:rPr>
          <w:sz w:val="24"/>
          <w:szCs w:val="24"/>
        </w:rPr>
      </w:pPr>
      <w:r w:rsidRPr="006E31EE">
        <w:rPr>
          <w:sz w:val="24"/>
          <w:szCs w:val="24"/>
        </w:rPr>
        <w:t xml:space="preserve">Overfølsomhed over for det aktive stof eller over for et eller flere af hjælpestofferne anført i pkt. 6.1. </w:t>
      </w:r>
    </w:p>
    <w:p w14:paraId="002915D0" w14:textId="77777777" w:rsidR="008F3CD4" w:rsidRPr="006E31EE" w:rsidRDefault="008F3CD4" w:rsidP="008F3CD4">
      <w:pPr>
        <w:ind w:left="851" w:hanging="851"/>
        <w:rPr>
          <w:sz w:val="24"/>
          <w:szCs w:val="24"/>
        </w:rPr>
      </w:pPr>
    </w:p>
    <w:p w14:paraId="1EBDBB95" w14:textId="5B380DA3" w:rsidR="008F3CD4" w:rsidRPr="006E31EE" w:rsidRDefault="008F3CD4" w:rsidP="00285E88">
      <w:pPr>
        <w:ind w:left="851" w:hanging="851"/>
        <w:rPr>
          <w:b/>
          <w:sz w:val="24"/>
          <w:szCs w:val="24"/>
        </w:rPr>
      </w:pPr>
      <w:r w:rsidRPr="006E31EE">
        <w:rPr>
          <w:b/>
          <w:sz w:val="24"/>
          <w:szCs w:val="24"/>
        </w:rPr>
        <w:t>4.4</w:t>
      </w:r>
      <w:r w:rsidRPr="006E31EE">
        <w:rPr>
          <w:b/>
          <w:sz w:val="24"/>
          <w:szCs w:val="24"/>
        </w:rPr>
        <w:tab/>
        <w:t>Særlige advarsler og forsigtighedsregler vedrørende brugen</w:t>
      </w:r>
    </w:p>
    <w:p w14:paraId="15816626" w14:textId="77777777" w:rsidR="00A97556" w:rsidRPr="006E31EE" w:rsidRDefault="00A97556" w:rsidP="00A97556">
      <w:pPr>
        <w:autoSpaceDE w:val="0"/>
        <w:autoSpaceDN w:val="0"/>
        <w:adjustRightInd w:val="0"/>
        <w:ind w:left="851"/>
        <w:rPr>
          <w:sz w:val="24"/>
          <w:szCs w:val="24"/>
          <w:u w:val="single"/>
        </w:rPr>
      </w:pPr>
      <w:r w:rsidRPr="006E31EE">
        <w:rPr>
          <w:sz w:val="24"/>
          <w:szCs w:val="24"/>
          <w:u w:val="single"/>
        </w:rPr>
        <w:t xml:space="preserve">Generelt </w:t>
      </w:r>
    </w:p>
    <w:p w14:paraId="20388BEF" w14:textId="77777777" w:rsidR="00A97556" w:rsidRPr="006E31EE" w:rsidRDefault="00A97556" w:rsidP="00A97556">
      <w:pPr>
        <w:autoSpaceDE w:val="0"/>
        <w:autoSpaceDN w:val="0"/>
        <w:adjustRightInd w:val="0"/>
        <w:ind w:left="851"/>
        <w:rPr>
          <w:sz w:val="24"/>
          <w:szCs w:val="24"/>
        </w:rPr>
      </w:pPr>
      <w:r w:rsidRPr="006E31EE">
        <w:rPr>
          <w:sz w:val="24"/>
          <w:szCs w:val="24"/>
        </w:rPr>
        <w:t xml:space="preserve">Alle HBV-inficerede patienter bør tilbydes hiv-antistoftest før start af behandlingen med tenofovirdisoproxil (se afsnittet "Samtidig infektion med hiv 1 og hepatitis B" nedenfor). </w:t>
      </w:r>
    </w:p>
    <w:p w14:paraId="345D1848" w14:textId="77777777" w:rsidR="00A97556" w:rsidRPr="006E31EE" w:rsidRDefault="00A97556" w:rsidP="00A97556">
      <w:pPr>
        <w:autoSpaceDE w:val="0"/>
        <w:autoSpaceDN w:val="0"/>
        <w:adjustRightInd w:val="0"/>
        <w:ind w:left="851" w:hanging="851"/>
        <w:rPr>
          <w:sz w:val="24"/>
          <w:szCs w:val="24"/>
        </w:rPr>
      </w:pPr>
    </w:p>
    <w:p w14:paraId="54A66AC0" w14:textId="77777777" w:rsidR="00A97556" w:rsidRPr="006E31EE" w:rsidRDefault="00A97556" w:rsidP="00A97556">
      <w:pPr>
        <w:autoSpaceDE w:val="0"/>
        <w:autoSpaceDN w:val="0"/>
        <w:adjustRightInd w:val="0"/>
        <w:ind w:left="851"/>
        <w:rPr>
          <w:i/>
          <w:sz w:val="24"/>
          <w:szCs w:val="24"/>
        </w:rPr>
      </w:pPr>
      <w:r w:rsidRPr="006E31EE">
        <w:rPr>
          <w:i/>
          <w:sz w:val="24"/>
          <w:szCs w:val="24"/>
        </w:rPr>
        <w:t xml:space="preserve">Hepatitis B </w:t>
      </w:r>
    </w:p>
    <w:p w14:paraId="0F5A26FD" w14:textId="77777777" w:rsidR="00A97556" w:rsidRPr="006E31EE" w:rsidRDefault="00A97556" w:rsidP="00A97556">
      <w:pPr>
        <w:autoSpaceDE w:val="0"/>
        <w:autoSpaceDN w:val="0"/>
        <w:adjustRightInd w:val="0"/>
        <w:ind w:left="851"/>
        <w:rPr>
          <w:sz w:val="24"/>
          <w:szCs w:val="24"/>
        </w:rPr>
      </w:pPr>
      <w:r w:rsidRPr="006E31EE">
        <w:rPr>
          <w:sz w:val="24"/>
          <w:szCs w:val="24"/>
        </w:rPr>
        <w:t xml:space="preserve">Patienterne skal underrettes om, at det ikke er påvist, at tenofovirdisoproxil forebygger risikoen for overførsel af HBV til andre ved seksuel kontakt eller kontaminering af blod. Der skal fortsat anvendes hensigtsmæssige forsigtighedsregler. </w:t>
      </w:r>
    </w:p>
    <w:p w14:paraId="10966638" w14:textId="77777777" w:rsidR="00A97556" w:rsidRPr="006E31EE" w:rsidRDefault="00A97556" w:rsidP="00A97556">
      <w:pPr>
        <w:autoSpaceDE w:val="0"/>
        <w:autoSpaceDN w:val="0"/>
        <w:adjustRightInd w:val="0"/>
        <w:ind w:left="851" w:hanging="851"/>
        <w:rPr>
          <w:sz w:val="24"/>
          <w:szCs w:val="24"/>
        </w:rPr>
      </w:pPr>
    </w:p>
    <w:p w14:paraId="74DC2F8F" w14:textId="77777777" w:rsidR="00A97556" w:rsidRPr="006E31EE" w:rsidRDefault="00A97556" w:rsidP="00A97556">
      <w:pPr>
        <w:autoSpaceDE w:val="0"/>
        <w:autoSpaceDN w:val="0"/>
        <w:adjustRightInd w:val="0"/>
        <w:ind w:left="851"/>
        <w:rPr>
          <w:sz w:val="24"/>
          <w:szCs w:val="24"/>
          <w:u w:val="single"/>
        </w:rPr>
      </w:pPr>
      <w:r w:rsidRPr="006E31EE">
        <w:rPr>
          <w:sz w:val="24"/>
          <w:szCs w:val="24"/>
          <w:u w:val="single"/>
        </w:rPr>
        <w:t xml:space="preserve">Samtidig indgivelse af andre lægemidler </w:t>
      </w:r>
    </w:p>
    <w:p w14:paraId="3E196A26" w14:textId="77777777" w:rsidR="00A97556" w:rsidRPr="006E31EE" w:rsidRDefault="00A97556" w:rsidP="00A97556">
      <w:pPr>
        <w:pStyle w:val="Listeafsnit"/>
        <w:numPr>
          <w:ilvl w:val="0"/>
          <w:numId w:val="10"/>
        </w:numPr>
        <w:autoSpaceDE w:val="0"/>
        <w:autoSpaceDN w:val="0"/>
        <w:adjustRightInd w:val="0"/>
        <w:ind w:left="1276" w:hanging="425"/>
        <w:rPr>
          <w:sz w:val="24"/>
          <w:szCs w:val="24"/>
        </w:rPr>
      </w:pPr>
      <w:r w:rsidRPr="006E31EE">
        <w:rPr>
          <w:sz w:val="24"/>
          <w:szCs w:val="24"/>
        </w:rPr>
        <w:t xml:space="preserve">Tenofovir disoproxil "Sandoz" bør ikke tages samtidigt med andre lægemidler, der indeholder tenofovirdisoproxil eller tenofoviralafenamid. </w:t>
      </w:r>
    </w:p>
    <w:p w14:paraId="700A0E8A" w14:textId="77777777" w:rsidR="00A97556" w:rsidRPr="006E31EE" w:rsidRDefault="00A97556" w:rsidP="00A97556">
      <w:pPr>
        <w:pStyle w:val="Listeafsnit"/>
        <w:numPr>
          <w:ilvl w:val="0"/>
          <w:numId w:val="10"/>
        </w:numPr>
        <w:autoSpaceDE w:val="0"/>
        <w:autoSpaceDN w:val="0"/>
        <w:adjustRightInd w:val="0"/>
        <w:ind w:left="1276" w:hanging="425"/>
        <w:rPr>
          <w:sz w:val="24"/>
          <w:szCs w:val="24"/>
        </w:rPr>
      </w:pPr>
      <w:r w:rsidRPr="006E31EE">
        <w:rPr>
          <w:sz w:val="24"/>
          <w:szCs w:val="24"/>
        </w:rPr>
        <w:t>Tenofovir disoproxil "Sandoz" bør ikke tages samtidigt med adefovirdipivoxil.</w:t>
      </w:r>
    </w:p>
    <w:p w14:paraId="4CDCC310" w14:textId="77777777" w:rsidR="00A97556" w:rsidRPr="006E31EE" w:rsidRDefault="00A97556" w:rsidP="00A97556">
      <w:pPr>
        <w:pStyle w:val="Listeafsnit"/>
        <w:numPr>
          <w:ilvl w:val="0"/>
          <w:numId w:val="10"/>
        </w:numPr>
        <w:autoSpaceDE w:val="0"/>
        <w:autoSpaceDN w:val="0"/>
        <w:adjustRightInd w:val="0"/>
        <w:ind w:left="1276" w:hanging="425"/>
        <w:rPr>
          <w:sz w:val="24"/>
          <w:szCs w:val="24"/>
        </w:rPr>
      </w:pPr>
      <w:r w:rsidRPr="006E31EE">
        <w:rPr>
          <w:sz w:val="24"/>
          <w:szCs w:val="24"/>
        </w:rPr>
        <w:t>Samtidig indgivelse af tenofovirdisoproxil og didanosin anbefales ikke (se pkt. 4.5).</w:t>
      </w:r>
    </w:p>
    <w:p w14:paraId="4C340B43" w14:textId="77777777" w:rsidR="00A97556" w:rsidRPr="006E31EE" w:rsidRDefault="00A97556" w:rsidP="00A97556">
      <w:pPr>
        <w:autoSpaceDE w:val="0"/>
        <w:autoSpaceDN w:val="0"/>
        <w:adjustRightInd w:val="0"/>
        <w:ind w:left="851" w:hanging="851"/>
        <w:rPr>
          <w:sz w:val="24"/>
          <w:szCs w:val="24"/>
          <w:u w:val="single"/>
        </w:rPr>
      </w:pPr>
    </w:p>
    <w:p w14:paraId="03A0EA00" w14:textId="77777777" w:rsidR="00A97556" w:rsidRPr="006E31EE" w:rsidRDefault="00A97556" w:rsidP="00A97556">
      <w:pPr>
        <w:autoSpaceDE w:val="0"/>
        <w:autoSpaceDN w:val="0"/>
        <w:adjustRightInd w:val="0"/>
        <w:ind w:left="851"/>
        <w:rPr>
          <w:sz w:val="24"/>
          <w:szCs w:val="24"/>
          <w:u w:val="single"/>
        </w:rPr>
      </w:pPr>
      <w:r w:rsidRPr="006E31EE">
        <w:rPr>
          <w:sz w:val="24"/>
          <w:szCs w:val="24"/>
          <w:u w:val="single"/>
        </w:rPr>
        <w:t xml:space="preserve">Trestofsbehandling med nukleosider/nukleotider </w:t>
      </w:r>
    </w:p>
    <w:p w14:paraId="4F3DC19D" w14:textId="77777777" w:rsidR="00A97556" w:rsidRPr="006E31EE" w:rsidRDefault="00A97556" w:rsidP="00A97556">
      <w:pPr>
        <w:autoSpaceDE w:val="0"/>
        <w:autoSpaceDN w:val="0"/>
        <w:adjustRightInd w:val="0"/>
        <w:ind w:left="851"/>
        <w:rPr>
          <w:sz w:val="24"/>
          <w:szCs w:val="24"/>
        </w:rPr>
      </w:pPr>
      <w:r w:rsidRPr="006E31EE">
        <w:rPr>
          <w:sz w:val="24"/>
          <w:szCs w:val="24"/>
        </w:rPr>
        <w:t xml:space="preserve">Hos hiv-patienter er der rapporteret om høj forekomst af manglende virologisk effekt og om resistensudvikling, begge på et tidligt tidspunkt, når tenofovirdisoproxil blev kombineret med lamivudin og abacavir eller med lamivudin og didanosin, der blev indgivet en gang dagligt. </w:t>
      </w:r>
    </w:p>
    <w:p w14:paraId="0F39860B" w14:textId="77777777" w:rsidR="00A97556" w:rsidRPr="006E31EE" w:rsidRDefault="00A97556" w:rsidP="00A97556">
      <w:pPr>
        <w:autoSpaceDE w:val="0"/>
        <w:autoSpaceDN w:val="0"/>
        <w:adjustRightInd w:val="0"/>
        <w:ind w:left="851" w:hanging="851"/>
        <w:rPr>
          <w:sz w:val="24"/>
          <w:szCs w:val="24"/>
        </w:rPr>
      </w:pPr>
    </w:p>
    <w:p w14:paraId="2CD81DF4" w14:textId="77777777" w:rsidR="00A97556" w:rsidRPr="006E31EE" w:rsidRDefault="00A97556" w:rsidP="00A25ECF">
      <w:pPr>
        <w:keepNext/>
        <w:autoSpaceDE w:val="0"/>
        <w:autoSpaceDN w:val="0"/>
        <w:adjustRightInd w:val="0"/>
        <w:ind w:left="851"/>
        <w:rPr>
          <w:sz w:val="24"/>
          <w:szCs w:val="24"/>
          <w:u w:val="single"/>
        </w:rPr>
      </w:pPr>
      <w:r w:rsidRPr="006E31EE">
        <w:rPr>
          <w:sz w:val="24"/>
          <w:szCs w:val="24"/>
          <w:u w:val="single"/>
        </w:rPr>
        <w:lastRenderedPageBreak/>
        <w:t xml:space="preserve">Nyre- og knogleeffekter hos den voksne population </w:t>
      </w:r>
    </w:p>
    <w:p w14:paraId="7A01D7D4" w14:textId="77777777" w:rsidR="00A97556" w:rsidRPr="006E31EE" w:rsidRDefault="00A97556" w:rsidP="00A25ECF">
      <w:pPr>
        <w:keepNext/>
        <w:autoSpaceDE w:val="0"/>
        <w:autoSpaceDN w:val="0"/>
        <w:adjustRightInd w:val="0"/>
        <w:ind w:left="851"/>
        <w:rPr>
          <w:i/>
          <w:sz w:val="24"/>
          <w:szCs w:val="24"/>
        </w:rPr>
      </w:pPr>
      <w:r w:rsidRPr="006E31EE">
        <w:rPr>
          <w:i/>
          <w:sz w:val="24"/>
          <w:szCs w:val="24"/>
        </w:rPr>
        <w:t xml:space="preserve">Nyreeffekter </w:t>
      </w:r>
    </w:p>
    <w:p w14:paraId="33C1D714" w14:textId="77777777" w:rsidR="00A97556" w:rsidRPr="006E31EE" w:rsidRDefault="00A97556" w:rsidP="00A97556">
      <w:pPr>
        <w:autoSpaceDE w:val="0"/>
        <w:autoSpaceDN w:val="0"/>
        <w:adjustRightInd w:val="0"/>
        <w:ind w:left="851"/>
        <w:rPr>
          <w:sz w:val="24"/>
          <w:szCs w:val="24"/>
        </w:rPr>
      </w:pPr>
      <w:r w:rsidRPr="006E31EE">
        <w:rPr>
          <w:sz w:val="24"/>
          <w:szCs w:val="24"/>
        </w:rPr>
        <w:t xml:space="preserve">Tenofovir elimineres primært via nyrerne. Der er rapporteret nyresvigt, nedsat nyrefunktion, forhøjet kreatinin, hypofosfatæmi og proksimal tubulopati (herunder Fanconis syndrom) ved brug af tenofovirdisoproxil i klinisk praksis (se pkt. 4.8). </w:t>
      </w:r>
    </w:p>
    <w:p w14:paraId="2E64E5DF" w14:textId="77777777" w:rsidR="00A97556" w:rsidRPr="006E31EE" w:rsidRDefault="00A97556" w:rsidP="00A97556">
      <w:pPr>
        <w:autoSpaceDE w:val="0"/>
        <w:autoSpaceDN w:val="0"/>
        <w:adjustRightInd w:val="0"/>
        <w:ind w:left="851" w:hanging="851"/>
        <w:rPr>
          <w:sz w:val="24"/>
          <w:szCs w:val="24"/>
        </w:rPr>
      </w:pPr>
    </w:p>
    <w:p w14:paraId="6FD35A0D" w14:textId="77777777" w:rsidR="00A97556" w:rsidRPr="006E31EE" w:rsidRDefault="00A97556" w:rsidP="00A97556">
      <w:pPr>
        <w:autoSpaceDE w:val="0"/>
        <w:autoSpaceDN w:val="0"/>
        <w:adjustRightInd w:val="0"/>
        <w:ind w:left="851"/>
        <w:rPr>
          <w:i/>
          <w:sz w:val="24"/>
          <w:szCs w:val="24"/>
        </w:rPr>
      </w:pPr>
      <w:r w:rsidRPr="006E31EE">
        <w:rPr>
          <w:i/>
          <w:sz w:val="24"/>
          <w:szCs w:val="24"/>
        </w:rPr>
        <w:t xml:space="preserve">Nyremonitorering </w:t>
      </w:r>
    </w:p>
    <w:p w14:paraId="1A328DDA" w14:textId="77777777" w:rsidR="00A97556" w:rsidRPr="006E31EE" w:rsidRDefault="00A97556" w:rsidP="00A97556">
      <w:pPr>
        <w:autoSpaceDE w:val="0"/>
        <w:autoSpaceDN w:val="0"/>
        <w:adjustRightInd w:val="0"/>
        <w:ind w:left="851"/>
        <w:rPr>
          <w:sz w:val="24"/>
          <w:szCs w:val="24"/>
        </w:rPr>
      </w:pPr>
      <w:r w:rsidRPr="006E31EE">
        <w:rPr>
          <w:sz w:val="24"/>
          <w:szCs w:val="24"/>
        </w:rPr>
        <w:t xml:space="preserve">Det anbefales, at man beregner kreatininclearance hos alle patienter forud for initiering af behandlingen med tenofovirdisoproxil. Desuden skal nyrefunktionen (kreatininclearance og serumphosphat) monitoreres efter to til fire ugers behandling, efter tre måneders behandling og derefter hver tredje til sjette måned hos patienter uden renale risikofaktorer. Hos patienter med risiko for nedsat nyrefunktion er hyppigere monitorering af nyrefunktionen nødvendig. </w:t>
      </w:r>
    </w:p>
    <w:p w14:paraId="207891AE" w14:textId="77777777" w:rsidR="00A97556" w:rsidRPr="006E31EE" w:rsidRDefault="00A97556" w:rsidP="00A97556">
      <w:pPr>
        <w:autoSpaceDE w:val="0"/>
        <w:autoSpaceDN w:val="0"/>
        <w:adjustRightInd w:val="0"/>
        <w:ind w:left="851" w:hanging="851"/>
        <w:rPr>
          <w:sz w:val="24"/>
          <w:szCs w:val="24"/>
        </w:rPr>
      </w:pPr>
    </w:p>
    <w:p w14:paraId="4C797D80" w14:textId="77777777" w:rsidR="00A97556" w:rsidRPr="006E31EE" w:rsidRDefault="00A97556" w:rsidP="00A97556">
      <w:pPr>
        <w:autoSpaceDE w:val="0"/>
        <w:autoSpaceDN w:val="0"/>
        <w:adjustRightInd w:val="0"/>
        <w:ind w:left="851"/>
        <w:rPr>
          <w:i/>
          <w:sz w:val="24"/>
          <w:szCs w:val="24"/>
        </w:rPr>
      </w:pPr>
      <w:r w:rsidRPr="006E31EE">
        <w:rPr>
          <w:i/>
          <w:sz w:val="24"/>
          <w:szCs w:val="24"/>
        </w:rPr>
        <w:t xml:space="preserve">Nyrebehandling </w:t>
      </w:r>
    </w:p>
    <w:p w14:paraId="6BD087AA" w14:textId="77777777" w:rsidR="00A97556" w:rsidRPr="006E31EE" w:rsidRDefault="00A97556" w:rsidP="00A97556">
      <w:pPr>
        <w:autoSpaceDE w:val="0"/>
        <w:autoSpaceDN w:val="0"/>
        <w:adjustRightInd w:val="0"/>
        <w:ind w:left="851"/>
        <w:rPr>
          <w:sz w:val="24"/>
          <w:szCs w:val="24"/>
        </w:rPr>
      </w:pPr>
      <w:r w:rsidRPr="006E31EE">
        <w:rPr>
          <w:sz w:val="24"/>
          <w:szCs w:val="24"/>
        </w:rPr>
        <w:t>Hvis serumphosphat er &lt;1,5 mg/dl (0,48 mmol/l), eller kreatininclearance er faldende til &lt;50 ml/min hos voksne patienter, der får tenofovirdisoproxil, skal vurderingen af nyrefunktionen gentages inden for en uge, herunder måling af glucose- og kalium</w:t>
      </w:r>
      <w:r w:rsidRPr="006E31EE">
        <w:rPr>
          <w:sz w:val="24"/>
          <w:szCs w:val="24"/>
        </w:rPr>
        <w:softHyphen/>
        <w:t xml:space="preserve">koncentration i blodet samt uringlucose (se pkt. 4.8, proksimal tubulopati). Det bør også overvejes at afbryde behandlingen med tenofovirdisoproxil hos voksne patienter med kreatininclearance på &lt;50 ml/min eller fald i serumphosphat til &lt;1,0 mg/dl (0,32 mmol/l). Det bør også overvejes at afbryde behandlingen med tenofovirdisoproxil i tilfælde af progressiv forværring af nyrefunktionen, når der ikke er identificeret andre årsager. </w:t>
      </w:r>
    </w:p>
    <w:p w14:paraId="39F181BD" w14:textId="77777777" w:rsidR="00A97556" w:rsidRPr="006E31EE" w:rsidRDefault="00A97556" w:rsidP="00A97556">
      <w:pPr>
        <w:autoSpaceDE w:val="0"/>
        <w:autoSpaceDN w:val="0"/>
        <w:adjustRightInd w:val="0"/>
        <w:ind w:left="851" w:hanging="851"/>
        <w:rPr>
          <w:sz w:val="24"/>
          <w:szCs w:val="24"/>
        </w:rPr>
      </w:pPr>
    </w:p>
    <w:p w14:paraId="010B089B" w14:textId="77777777" w:rsidR="00A97556" w:rsidRPr="006E31EE" w:rsidRDefault="00A97556" w:rsidP="00A97556">
      <w:pPr>
        <w:autoSpaceDE w:val="0"/>
        <w:autoSpaceDN w:val="0"/>
        <w:adjustRightInd w:val="0"/>
        <w:ind w:left="851"/>
        <w:rPr>
          <w:i/>
          <w:sz w:val="24"/>
          <w:szCs w:val="24"/>
        </w:rPr>
      </w:pPr>
      <w:r w:rsidRPr="006E31EE">
        <w:rPr>
          <w:i/>
          <w:sz w:val="24"/>
          <w:szCs w:val="24"/>
        </w:rPr>
        <w:t xml:space="preserve">Samtidig indgivelse og risiko for nyretoksicitet </w:t>
      </w:r>
    </w:p>
    <w:p w14:paraId="1F55C6BA" w14:textId="77777777" w:rsidR="00A97556" w:rsidRPr="006E31EE" w:rsidRDefault="00A97556" w:rsidP="00A97556">
      <w:pPr>
        <w:autoSpaceDE w:val="0"/>
        <w:autoSpaceDN w:val="0"/>
        <w:adjustRightInd w:val="0"/>
        <w:ind w:left="851"/>
        <w:rPr>
          <w:sz w:val="24"/>
          <w:szCs w:val="24"/>
        </w:rPr>
      </w:pPr>
      <w:r w:rsidRPr="006E31EE">
        <w:rPr>
          <w:sz w:val="24"/>
          <w:szCs w:val="24"/>
        </w:rPr>
        <w:t xml:space="preserve">Brug af tenofovirdisoproxil bør undgås med samtidig eller nylig brug af et nefrotoksisk lægemiddel (f.eks. aminoglykosider, amphotericin B, foscarnet, ganciclovir, pentamidin, vancomycin, cidofovir eller interleukin-2). Hvis samtidig brug af tenofovirdisoproxil og nefrotoksiske lægemidler er uundgåelig, skal nyrefunktionen monitoreres ugentligt. </w:t>
      </w:r>
    </w:p>
    <w:p w14:paraId="38B58BB0" w14:textId="77777777" w:rsidR="00A97556" w:rsidRPr="006E31EE" w:rsidRDefault="00A97556" w:rsidP="00A97556">
      <w:pPr>
        <w:autoSpaceDE w:val="0"/>
        <w:autoSpaceDN w:val="0"/>
        <w:adjustRightInd w:val="0"/>
        <w:ind w:left="851" w:hanging="851"/>
        <w:rPr>
          <w:sz w:val="24"/>
          <w:szCs w:val="24"/>
        </w:rPr>
      </w:pPr>
    </w:p>
    <w:p w14:paraId="27BCB42C" w14:textId="77777777" w:rsidR="00A97556" w:rsidRPr="006E31EE" w:rsidRDefault="00A97556" w:rsidP="00A97556">
      <w:pPr>
        <w:autoSpaceDE w:val="0"/>
        <w:autoSpaceDN w:val="0"/>
        <w:adjustRightInd w:val="0"/>
        <w:ind w:left="851"/>
        <w:rPr>
          <w:sz w:val="24"/>
          <w:szCs w:val="24"/>
        </w:rPr>
      </w:pPr>
      <w:r w:rsidRPr="006E31EE">
        <w:rPr>
          <w:sz w:val="24"/>
          <w:szCs w:val="24"/>
        </w:rPr>
        <w:t xml:space="preserve">Hos patienter i behandling med tenofovirdisoproxil med risikofaktorer for renal dysfunktion er der blevet rapporteret tilfælde af akut nyresvigt efter påbegyndelse af højdosisbehandling med nonsteroide antiinflammatoriske midler (NSAID’er) og behandling med flere NSAID’er. Hvis tenofovirdisoproxil administreres sammen med et NSAID, skal nyrefunktionen monitoreres på tilstrækkelig vis. </w:t>
      </w:r>
    </w:p>
    <w:p w14:paraId="0D58B3E2" w14:textId="77777777" w:rsidR="00A97556" w:rsidRPr="006E31EE" w:rsidRDefault="00A97556" w:rsidP="00A97556">
      <w:pPr>
        <w:autoSpaceDE w:val="0"/>
        <w:autoSpaceDN w:val="0"/>
        <w:adjustRightInd w:val="0"/>
        <w:ind w:left="851" w:hanging="851"/>
        <w:rPr>
          <w:sz w:val="24"/>
          <w:szCs w:val="24"/>
        </w:rPr>
      </w:pPr>
    </w:p>
    <w:p w14:paraId="1EF9ABE9" w14:textId="77777777" w:rsidR="00A97556" w:rsidRPr="006E31EE" w:rsidRDefault="00A97556" w:rsidP="00A97556">
      <w:pPr>
        <w:autoSpaceDE w:val="0"/>
        <w:autoSpaceDN w:val="0"/>
        <w:adjustRightInd w:val="0"/>
        <w:ind w:left="851"/>
        <w:rPr>
          <w:sz w:val="24"/>
          <w:szCs w:val="24"/>
        </w:rPr>
      </w:pPr>
      <w:r w:rsidRPr="006E31EE">
        <w:rPr>
          <w:sz w:val="24"/>
          <w:szCs w:val="24"/>
        </w:rPr>
        <w:t>En større risiko for nedsat nyrefunktion er blevet rapporteret hos patienter, der fik tenofovirdisoproxil i kombination med en ritonavir- eller cobicistat-boostet protease</w:t>
      </w:r>
      <w:r w:rsidRPr="006E31EE">
        <w:rPr>
          <w:sz w:val="24"/>
          <w:szCs w:val="24"/>
        </w:rPr>
        <w:softHyphen/>
        <w:t xml:space="preserve">hæmmer. Nøje monitorering af nyrefunktionen er påkrævet hos disse patienter (se pkt. 4.5). Hos patienter med renale risikofaktorer skal administration af tenofovirdisoproxil sammen med en boostet proteasehæmmer evalueres nøje. </w:t>
      </w:r>
    </w:p>
    <w:p w14:paraId="6B44D612" w14:textId="77777777" w:rsidR="00A97556" w:rsidRPr="006E31EE" w:rsidRDefault="00A97556" w:rsidP="00A97556">
      <w:pPr>
        <w:autoSpaceDE w:val="0"/>
        <w:autoSpaceDN w:val="0"/>
        <w:adjustRightInd w:val="0"/>
        <w:ind w:left="851" w:hanging="851"/>
        <w:rPr>
          <w:sz w:val="24"/>
          <w:szCs w:val="24"/>
        </w:rPr>
      </w:pPr>
    </w:p>
    <w:p w14:paraId="4AD554DE" w14:textId="77777777" w:rsidR="00A97556" w:rsidRPr="006E31EE" w:rsidRDefault="00A97556" w:rsidP="00A97556">
      <w:pPr>
        <w:autoSpaceDE w:val="0"/>
        <w:autoSpaceDN w:val="0"/>
        <w:adjustRightInd w:val="0"/>
        <w:ind w:left="851"/>
        <w:rPr>
          <w:sz w:val="24"/>
          <w:szCs w:val="24"/>
        </w:rPr>
      </w:pPr>
      <w:r w:rsidRPr="006E31EE">
        <w:rPr>
          <w:sz w:val="24"/>
          <w:szCs w:val="24"/>
        </w:rPr>
        <w:t>Tenofovirdisoproxil er ikke klinisk vurderet hos patienter, der får lægemidler, som udskilles via det samme renale system, herunder transportproteinerne human organic anion transporter (hOAT) 1 og 3 eller MRP 4 (f.eks. cidofovir, et lægemiddel, der er kendt for at virke nefrotoksisk). Disse renale transportproteiner kan være ansvarlige for tubulær sekretion og til dels for renal elimination af tenofovir og cidofovir. Farmakokinetikken af disse lægemidler, som udskilles via det samme renale system, herunder transport</w:t>
      </w:r>
      <w:r w:rsidRPr="006E31EE">
        <w:rPr>
          <w:sz w:val="24"/>
          <w:szCs w:val="24"/>
        </w:rPr>
        <w:softHyphen/>
        <w:t xml:space="preserve">proteinerne hOAT 1 og 3 eller MRP 4, kan derfor forandre sig, hvis de indgives samtidig. Medmindre det er klart nødvendigt, anbefales samtidig brug af disse lægemidler, som </w:t>
      </w:r>
      <w:r w:rsidRPr="006E31EE">
        <w:rPr>
          <w:sz w:val="24"/>
          <w:szCs w:val="24"/>
        </w:rPr>
        <w:lastRenderedPageBreak/>
        <w:t xml:space="preserve">udskilles via samme renale system, ikke, men hvis samtidig brug er uundgåelig, bør nyrefunktionen monitoreres en gang om ugen (se pkt. 4.5). </w:t>
      </w:r>
    </w:p>
    <w:p w14:paraId="7525AAE0" w14:textId="77777777" w:rsidR="00A97556" w:rsidRPr="006E31EE" w:rsidRDefault="00A97556" w:rsidP="00A97556">
      <w:pPr>
        <w:autoSpaceDE w:val="0"/>
        <w:autoSpaceDN w:val="0"/>
        <w:adjustRightInd w:val="0"/>
        <w:ind w:left="851" w:hanging="851"/>
        <w:rPr>
          <w:sz w:val="24"/>
          <w:szCs w:val="24"/>
        </w:rPr>
      </w:pPr>
    </w:p>
    <w:p w14:paraId="41195899" w14:textId="77777777" w:rsidR="00A97556" w:rsidRPr="006E31EE" w:rsidRDefault="00A97556" w:rsidP="00A97556">
      <w:pPr>
        <w:autoSpaceDE w:val="0"/>
        <w:autoSpaceDN w:val="0"/>
        <w:adjustRightInd w:val="0"/>
        <w:ind w:left="851"/>
        <w:rPr>
          <w:i/>
          <w:sz w:val="24"/>
          <w:szCs w:val="24"/>
        </w:rPr>
      </w:pPr>
      <w:r w:rsidRPr="006E31EE">
        <w:rPr>
          <w:i/>
          <w:sz w:val="24"/>
          <w:szCs w:val="24"/>
        </w:rPr>
        <w:t xml:space="preserve">Nedsat nyrefunktion </w:t>
      </w:r>
    </w:p>
    <w:p w14:paraId="0468BDED" w14:textId="77777777" w:rsidR="00A97556" w:rsidRPr="006E31EE" w:rsidRDefault="00A97556" w:rsidP="00A97556">
      <w:pPr>
        <w:autoSpaceDE w:val="0"/>
        <w:autoSpaceDN w:val="0"/>
        <w:adjustRightInd w:val="0"/>
        <w:ind w:left="851"/>
        <w:rPr>
          <w:sz w:val="24"/>
          <w:szCs w:val="24"/>
        </w:rPr>
      </w:pPr>
      <w:r w:rsidRPr="006E31EE">
        <w:rPr>
          <w:sz w:val="24"/>
          <w:szCs w:val="24"/>
        </w:rPr>
        <w:t xml:space="preserve">Tenofovirdisoproxils renale sikkerhed er kun blevet undersøgt i et meget begrænset omfang hos voksne patienter med nedsat nyrefunktion (kreatininclearance &lt; 80 ml/min). </w:t>
      </w:r>
    </w:p>
    <w:p w14:paraId="414AE67E" w14:textId="77777777" w:rsidR="00A97556" w:rsidRPr="006E31EE" w:rsidRDefault="00A97556" w:rsidP="00A97556">
      <w:pPr>
        <w:autoSpaceDE w:val="0"/>
        <w:autoSpaceDN w:val="0"/>
        <w:adjustRightInd w:val="0"/>
        <w:ind w:left="851" w:hanging="851"/>
        <w:rPr>
          <w:sz w:val="24"/>
          <w:szCs w:val="24"/>
        </w:rPr>
      </w:pPr>
    </w:p>
    <w:p w14:paraId="71794EDB" w14:textId="77777777" w:rsidR="00A97556" w:rsidRPr="006E31EE" w:rsidRDefault="00A97556" w:rsidP="00A97556">
      <w:pPr>
        <w:autoSpaceDE w:val="0"/>
        <w:autoSpaceDN w:val="0"/>
        <w:adjustRightInd w:val="0"/>
        <w:ind w:left="851"/>
        <w:rPr>
          <w:sz w:val="24"/>
          <w:szCs w:val="24"/>
        </w:rPr>
      </w:pPr>
      <w:r w:rsidRPr="006E31EE">
        <w:rPr>
          <w:sz w:val="24"/>
          <w:szCs w:val="24"/>
        </w:rPr>
        <w:t xml:space="preserve">Voksne patienter med en kreatininclearance &lt;50 ml/min, herunder hæmodialysepatienter: </w:t>
      </w:r>
    </w:p>
    <w:p w14:paraId="55D314A7" w14:textId="77777777" w:rsidR="00A97556" w:rsidRPr="006E31EE" w:rsidRDefault="00A97556" w:rsidP="00A97556">
      <w:pPr>
        <w:autoSpaceDE w:val="0"/>
        <w:autoSpaceDN w:val="0"/>
        <w:adjustRightInd w:val="0"/>
        <w:ind w:left="851"/>
        <w:rPr>
          <w:sz w:val="24"/>
          <w:szCs w:val="24"/>
        </w:rPr>
      </w:pPr>
      <w:r w:rsidRPr="006E31EE">
        <w:rPr>
          <w:sz w:val="24"/>
          <w:szCs w:val="24"/>
        </w:rPr>
        <w:t xml:space="preserve">Der er begrænsede data om sikkerhed og virkning af tenofovirdisoproxil hos patienter med nedsat nyrefunktion. Derfor bør tenofovirdisoproxil kun bruges, hvis de potentielle fordele ved behandlingen anses for at veje tungere end de potentielle risici. Det frarådes at bruge tenofovirdisoproxil hos patienter med svært nedsat nyrefunktion (kreatininclearance &lt;30 ml/min) og hos patienter med behov for hæmodialyse. Hvis der ikke findes nogen alternativ behandling, skal doseringsintervallet justeres og nyrefunktionen monitoreres tæt (se pkt. 4.2 og 5.2). </w:t>
      </w:r>
    </w:p>
    <w:p w14:paraId="1DCC367E" w14:textId="77777777" w:rsidR="00A97556" w:rsidRPr="006E31EE" w:rsidRDefault="00A97556" w:rsidP="00A97556">
      <w:pPr>
        <w:autoSpaceDE w:val="0"/>
        <w:autoSpaceDN w:val="0"/>
        <w:adjustRightInd w:val="0"/>
        <w:ind w:left="851" w:hanging="851"/>
        <w:rPr>
          <w:i/>
          <w:sz w:val="24"/>
          <w:szCs w:val="24"/>
        </w:rPr>
      </w:pPr>
    </w:p>
    <w:p w14:paraId="22DD1A38" w14:textId="77777777" w:rsidR="006E31EE" w:rsidRDefault="006E31EE" w:rsidP="006E31EE">
      <w:pPr>
        <w:autoSpaceDE w:val="0"/>
        <w:autoSpaceDN w:val="0"/>
        <w:adjustRightInd w:val="0"/>
        <w:ind w:left="851"/>
        <w:rPr>
          <w:noProof/>
          <w:sz w:val="24"/>
          <w:szCs w:val="24"/>
        </w:rPr>
      </w:pPr>
      <w:r>
        <w:rPr>
          <w:i/>
          <w:noProof/>
          <w:sz w:val="24"/>
          <w:szCs w:val="24"/>
        </w:rPr>
        <w:t>Knogleeffekter</w:t>
      </w:r>
    </w:p>
    <w:p w14:paraId="17438C38" w14:textId="05706F3C" w:rsidR="006E31EE" w:rsidRDefault="006E31EE" w:rsidP="006E31EE">
      <w:pPr>
        <w:autoSpaceDE w:val="0"/>
        <w:autoSpaceDN w:val="0"/>
        <w:adjustRightInd w:val="0"/>
        <w:ind w:left="851"/>
        <w:rPr>
          <w:sz w:val="24"/>
          <w:szCs w:val="24"/>
        </w:rPr>
      </w:pPr>
      <w:r>
        <w:rPr>
          <w:sz w:val="24"/>
          <w:szCs w:val="24"/>
        </w:rPr>
        <w:t>Knogleabnormiteter såsom osteomalaci, der kan manifestere sig som vedvarende eller forværrede knoglesmerter, og som i sjældne tilfælde kan medvirke til frakturer, kan forekomme i forbindelse med proksimal renal tubulopati induceret af tenofovirdisoproxil (se pkt. 4.8).</w:t>
      </w:r>
    </w:p>
    <w:p w14:paraId="45680386" w14:textId="77777777" w:rsidR="00CA3916" w:rsidRDefault="00CA3916" w:rsidP="006E31EE">
      <w:pPr>
        <w:autoSpaceDE w:val="0"/>
        <w:autoSpaceDN w:val="0"/>
        <w:adjustRightInd w:val="0"/>
        <w:ind w:left="851"/>
        <w:rPr>
          <w:sz w:val="24"/>
          <w:szCs w:val="24"/>
        </w:rPr>
      </w:pPr>
    </w:p>
    <w:p w14:paraId="425C0465" w14:textId="77777777" w:rsidR="00CA3916" w:rsidRDefault="00CA3916" w:rsidP="00CA3916">
      <w:pPr>
        <w:autoSpaceDE w:val="0"/>
        <w:autoSpaceDN w:val="0"/>
        <w:adjustRightInd w:val="0"/>
        <w:ind w:left="851"/>
        <w:rPr>
          <w:sz w:val="24"/>
          <w:szCs w:val="24"/>
        </w:rPr>
      </w:pPr>
      <w:r w:rsidRPr="0064619D">
        <w:rPr>
          <w:sz w:val="24"/>
          <w:szCs w:val="24"/>
        </w:rPr>
        <w:t>Fald i knoglemineraltætheden (BMD) er blevet observeret med tenofovirdisoproxil i</w:t>
      </w:r>
      <w:r>
        <w:rPr>
          <w:sz w:val="24"/>
          <w:szCs w:val="24"/>
        </w:rPr>
        <w:t xml:space="preserve"> </w:t>
      </w:r>
      <w:r w:rsidRPr="0064619D">
        <w:rPr>
          <w:sz w:val="24"/>
          <w:szCs w:val="24"/>
        </w:rPr>
        <w:t xml:space="preserve">randomiserede kontrollerede, kliniske forsøg med en varighed op til 144 uger hos </w:t>
      </w:r>
      <w:r>
        <w:rPr>
          <w:sz w:val="24"/>
          <w:szCs w:val="24"/>
        </w:rPr>
        <w:t>hiv</w:t>
      </w:r>
      <w:r w:rsidRPr="0064619D">
        <w:rPr>
          <w:sz w:val="24"/>
          <w:szCs w:val="24"/>
        </w:rPr>
        <w:t>- eller HBV-inficerede patienter (se pkt. 4.8 og 5.1). Disse fald i BMD blev generelt forbedret efter behandlingsophør.</w:t>
      </w:r>
    </w:p>
    <w:p w14:paraId="5F2172ED" w14:textId="77777777" w:rsidR="00CA3916" w:rsidRDefault="00CA3916" w:rsidP="00CA3916">
      <w:pPr>
        <w:autoSpaceDE w:val="0"/>
        <w:autoSpaceDN w:val="0"/>
        <w:adjustRightInd w:val="0"/>
        <w:ind w:left="851" w:hanging="851"/>
        <w:rPr>
          <w:noProof/>
          <w:color w:val="000000" w:themeColor="text1"/>
          <w:sz w:val="24"/>
          <w:szCs w:val="24"/>
        </w:rPr>
      </w:pPr>
    </w:p>
    <w:p w14:paraId="2142DEF1" w14:textId="77777777" w:rsidR="00CA3916" w:rsidRPr="005E3C92" w:rsidRDefault="00CA3916" w:rsidP="00CA3916">
      <w:pPr>
        <w:ind w:left="851"/>
        <w:rPr>
          <w:sz w:val="24"/>
          <w:szCs w:val="24"/>
        </w:rPr>
      </w:pPr>
      <w:r>
        <w:rPr>
          <w:color w:val="000000" w:themeColor="text1"/>
          <w:sz w:val="24"/>
          <w:szCs w:val="24"/>
        </w:rPr>
        <w:t xml:space="preserve">I andre undersøgelser (potentielle og tværsnitsundersøgelser) blev de mest udtalte fald i BMD set hos patienter behandlet med tenofovirdisoproxil som del af et behandlingsregime, der indeholder en boostet proteasehæmmer. </w:t>
      </w:r>
      <w:r>
        <w:rPr>
          <w:sz w:val="24"/>
          <w:szCs w:val="24"/>
        </w:rPr>
        <w:t xml:space="preserve">I betragtning af knogleabnormiteter forbundet med tenofovirdisoproxil og begrænsningerne af langtidsdata vedrørende tenofovirdisoproxils virkning på knoglesundhed og frakturrisiko, bør alternative behandlingsregimer generelt overvejes til patienter med osteoporose </w:t>
      </w:r>
      <w:r w:rsidRPr="0064619D">
        <w:rPr>
          <w:sz w:val="24"/>
          <w:szCs w:val="24"/>
        </w:rPr>
        <w:t xml:space="preserve">eller med tidligere knoglefrakturer. </w:t>
      </w:r>
    </w:p>
    <w:p w14:paraId="72463CF3" w14:textId="77777777" w:rsidR="006E31EE" w:rsidRDefault="006E31EE" w:rsidP="006E31EE">
      <w:pPr>
        <w:autoSpaceDE w:val="0"/>
        <w:autoSpaceDN w:val="0"/>
        <w:adjustRightInd w:val="0"/>
        <w:ind w:left="851" w:hanging="851"/>
        <w:rPr>
          <w:noProof/>
          <w:sz w:val="24"/>
          <w:szCs w:val="24"/>
        </w:rPr>
      </w:pPr>
    </w:p>
    <w:p w14:paraId="0B9D216E" w14:textId="77777777" w:rsidR="006E31EE" w:rsidRDefault="006E31EE" w:rsidP="006E31EE">
      <w:pPr>
        <w:autoSpaceDE w:val="0"/>
        <w:autoSpaceDN w:val="0"/>
        <w:adjustRightInd w:val="0"/>
        <w:ind w:left="851"/>
        <w:rPr>
          <w:noProof/>
          <w:sz w:val="24"/>
          <w:szCs w:val="24"/>
        </w:rPr>
      </w:pPr>
      <w:r>
        <w:rPr>
          <w:noProof/>
          <w:sz w:val="24"/>
          <w:szCs w:val="24"/>
        </w:rPr>
        <w:t>Hvis der er mistanke om knogleabnormiteter, eller disse påvises, skal relevant konsultation foretages.</w:t>
      </w:r>
    </w:p>
    <w:p w14:paraId="739F0A40" w14:textId="77777777" w:rsidR="00A97556" w:rsidRPr="006E31EE" w:rsidRDefault="00A97556" w:rsidP="00A97556">
      <w:pPr>
        <w:autoSpaceDE w:val="0"/>
        <w:autoSpaceDN w:val="0"/>
        <w:adjustRightInd w:val="0"/>
        <w:ind w:left="851" w:hanging="851"/>
        <w:rPr>
          <w:sz w:val="24"/>
          <w:szCs w:val="24"/>
        </w:rPr>
      </w:pPr>
    </w:p>
    <w:p w14:paraId="37591BA2" w14:textId="77777777" w:rsidR="00A97556" w:rsidRPr="006E31EE" w:rsidRDefault="00A97556" w:rsidP="00A97556">
      <w:pPr>
        <w:autoSpaceDE w:val="0"/>
        <w:autoSpaceDN w:val="0"/>
        <w:adjustRightInd w:val="0"/>
        <w:ind w:left="851"/>
        <w:rPr>
          <w:sz w:val="24"/>
          <w:szCs w:val="24"/>
          <w:u w:val="single"/>
        </w:rPr>
      </w:pPr>
      <w:r w:rsidRPr="006E31EE">
        <w:rPr>
          <w:sz w:val="24"/>
          <w:szCs w:val="24"/>
          <w:u w:val="single"/>
        </w:rPr>
        <w:t xml:space="preserve">Nyre- og knogleeffekter hos den pædiatriske population </w:t>
      </w:r>
    </w:p>
    <w:p w14:paraId="7085DC5B" w14:textId="77777777" w:rsidR="00A97556" w:rsidRPr="006E31EE" w:rsidRDefault="00A97556" w:rsidP="00A97556">
      <w:pPr>
        <w:autoSpaceDE w:val="0"/>
        <w:autoSpaceDN w:val="0"/>
        <w:adjustRightInd w:val="0"/>
        <w:ind w:left="851"/>
        <w:rPr>
          <w:sz w:val="24"/>
          <w:szCs w:val="24"/>
        </w:rPr>
      </w:pPr>
      <w:r w:rsidRPr="006E31EE">
        <w:rPr>
          <w:sz w:val="24"/>
          <w:szCs w:val="24"/>
        </w:rPr>
        <w:t xml:space="preserve">Der er usikkerheder i forbindelse med virkningen af langvarig behandling på knogle- og nyretoksicitet. Desuden kan reversibiliteten af nyretoksicitet ikke helt sikres. Derfor anbefales en multidisciplinær fremgangsmåde for på tilstrækkelig vis at afveje balancen mellem risici og fordele ved behandlingen for hver enkelt patient, bestemme hensigtsmæssig monitorering i løbet af behandlingen (herunder en beslutning om at seponere behandlingen) og overveje behovet for tilskud. </w:t>
      </w:r>
    </w:p>
    <w:p w14:paraId="5A638C56" w14:textId="77777777" w:rsidR="00A97556" w:rsidRPr="006E31EE" w:rsidRDefault="00A97556" w:rsidP="00A97556">
      <w:pPr>
        <w:autoSpaceDE w:val="0"/>
        <w:autoSpaceDN w:val="0"/>
        <w:adjustRightInd w:val="0"/>
        <w:ind w:left="851" w:hanging="851"/>
        <w:rPr>
          <w:sz w:val="24"/>
          <w:szCs w:val="24"/>
        </w:rPr>
      </w:pPr>
    </w:p>
    <w:p w14:paraId="380BB40E" w14:textId="77777777" w:rsidR="00A97556" w:rsidRPr="006E31EE" w:rsidRDefault="00A97556" w:rsidP="00A97556">
      <w:pPr>
        <w:autoSpaceDE w:val="0"/>
        <w:autoSpaceDN w:val="0"/>
        <w:adjustRightInd w:val="0"/>
        <w:ind w:left="851"/>
        <w:rPr>
          <w:i/>
          <w:sz w:val="24"/>
          <w:szCs w:val="24"/>
        </w:rPr>
      </w:pPr>
      <w:r w:rsidRPr="006E31EE">
        <w:rPr>
          <w:i/>
          <w:sz w:val="24"/>
          <w:szCs w:val="24"/>
        </w:rPr>
        <w:t xml:space="preserve">Nyreeffekter </w:t>
      </w:r>
    </w:p>
    <w:p w14:paraId="34075DBF" w14:textId="77777777" w:rsidR="00A97556" w:rsidRPr="006E31EE" w:rsidRDefault="00A97556" w:rsidP="00A97556">
      <w:pPr>
        <w:autoSpaceDE w:val="0"/>
        <w:autoSpaceDN w:val="0"/>
        <w:adjustRightInd w:val="0"/>
        <w:ind w:left="851"/>
        <w:rPr>
          <w:sz w:val="24"/>
          <w:szCs w:val="24"/>
        </w:rPr>
      </w:pPr>
      <w:r w:rsidRPr="006E31EE">
        <w:rPr>
          <w:sz w:val="24"/>
          <w:szCs w:val="24"/>
        </w:rPr>
        <w:t xml:space="preserve">Nyrebivirkninger i overensstemmelse med proximal renal tubulopati er blevet rapporteret hos hiv 1-inficerede, pædiatriske patienter i alderen 2 til &lt;12 år i det kliniske studie GS-US-104-0352 (se pkt. 4.8 og 5.1). </w:t>
      </w:r>
    </w:p>
    <w:p w14:paraId="19A42801" w14:textId="77777777" w:rsidR="00A97556" w:rsidRPr="006E31EE" w:rsidRDefault="00A97556" w:rsidP="00A97556">
      <w:pPr>
        <w:autoSpaceDE w:val="0"/>
        <w:autoSpaceDN w:val="0"/>
        <w:adjustRightInd w:val="0"/>
        <w:ind w:left="851" w:hanging="851"/>
        <w:rPr>
          <w:sz w:val="24"/>
          <w:szCs w:val="24"/>
        </w:rPr>
      </w:pPr>
    </w:p>
    <w:p w14:paraId="499F6A02" w14:textId="77777777" w:rsidR="00A97556" w:rsidRPr="006E31EE" w:rsidRDefault="00A97556" w:rsidP="00A97556">
      <w:pPr>
        <w:autoSpaceDE w:val="0"/>
        <w:autoSpaceDN w:val="0"/>
        <w:adjustRightInd w:val="0"/>
        <w:ind w:left="851"/>
        <w:rPr>
          <w:i/>
          <w:sz w:val="24"/>
          <w:szCs w:val="24"/>
        </w:rPr>
      </w:pPr>
      <w:r w:rsidRPr="006E31EE">
        <w:rPr>
          <w:i/>
          <w:sz w:val="24"/>
          <w:szCs w:val="24"/>
        </w:rPr>
        <w:lastRenderedPageBreak/>
        <w:t xml:space="preserve">Nyremonitorering </w:t>
      </w:r>
    </w:p>
    <w:p w14:paraId="03B298AF" w14:textId="77777777" w:rsidR="00A97556" w:rsidRPr="006E31EE" w:rsidRDefault="00A97556" w:rsidP="00A97556">
      <w:pPr>
        <w:autoSpaceDE w:val="0"/>
        <w:autoSpaceDN w:val="0"/>
        <w:adjustRightInd w:val="0"/>
        <w:ind w:left="851"/>
        <w:rPr>
          <w:sz w:val="24"/>
          <w:szCs w:val="24"/>
        </w:rPr>
      </w:pPr>
      <w:r w:rsidRPr="006E31EE">
        <w:rPr>
          <w:sz w:val="24"/>
          <w:szCs w:val="24"/>
        </w:rPr>
        <w:t xml:space="preserve">Nyrefunktion (kreatininclearance og serumphosphat) bør evalueres før behandling og monitoreres under behandlingen som for voksne (se ovenfor). </w:t>
      </w:r>
    </w:p>
    <w:p w14:paraId="75982FC3" w14:textId="77777777" w:rsidR="00A97556" w:rsidRPr="006E31EE" w:rsidRDefault="00A97556" w:rsidP="00A97556">
      <w:pPr>
        <w:autoSpaceDE w:val="0"/>
        <w:autoSpaceDN w:val="0"/>
        <w:adjustRightInd w:val="0"/>
        <w:ind w:left="851" w:hanging="851"/>
        <w:rPr>
          <w:i/>
          <w:sz w:val="24"/>
          <w:szCs w:val="24"/>
        </w:rPr>
      </w:pPr>
    </w:p>
    <w:p w14:paraId="6A6D42E6" w14:textId="77777777" w:rsidR="00A97556" w:rsidRPr="006E31EE" w:rsidRDefault="00A97556" w:rsidP="00A97556">
      <w:pPr>
        <w:autoSpaceDE w:val="0"/>
        <w:autoSpaceDN w:val="0"/>
        <w:adjustRightInd w:val="0"/>
        <w:ind w:left="851"/>
        <w:rPr>
          <w:i/>
          <w:sz w:val="24"/>
          <w:szCs w:val="24"/>
        </w:rPr>
      </w:pPr>
      <w:r w:rsidRPr="006E31EE">
        <w:rPr>
          <w:i/>
          <w:sz w:val="24"/>
          <w:szCs w:val="24"/>
        </w:rPr>
        <w:t xml:space="preserve">Nyrebehandling </w:t>
      </w:r>
    </w:p>
    <w:p w14:paraId="7CAC6384" w14:textId="77777777" w:rsidR="00A97556" w:rsidRPr="006E31EE" w:rsidRDefault="00A97556" w:rsidP="00A97556">
      <w:pPr>
        <w:autoSpaceDE w:val="0"/>
        <w:autoSpaceDN w:val="0"/>
        <w:adjustRightInd w:val="0"/>
        <w:ind w:left="851"/>
        <w:rPr>
          <w:sz w:val="24"/>
          <w:szCs w:val="24"/>
        </w:rPr>
      </w:pPr>
      <w:r w:rsidRPr="006E31EE">
        <w:rPr>
          <w:sz w:val="24"/>
          <w:szCs w:val="24"/>
        </w:rPr>
        <w:t xml:space="preserve">Hvis serumphosphat bekræftes til at være &lt;3,0 mg/dl (0,96 mmol/l) hos pædiatriske patienter, der får tenofovirdisoproxil, skal vurderingen af nyrefunktionen gentages inden for en uge, herunder måling af glucose- og kaliumkoncentration i blodet samt uringlucose-koncentration (se pkt. 4.8, proksimal tubulopati). Hvis der er mistanke om nyreabnormiteter, eller disse påvises, skal konsultation med en nefrolog foretages for at overveje at afbryde behandlingen med tenofovirdisoproxil. </w:t>
      </w:r>
    </w:p>
    <w:p w14:paraId="7C72C9B8" w14:textId="77777777" w:rsidR="00A97556" w:rsidRPr="006E31EE" w:rsidRDefault="00A97556" w:rsidP="00A97556">
      <w:pPr>
        <w:autoSpaceDE w:val="0"/>
        <w:autoSpaceDN w:val="0"/>
        <w:adjustRightInd w:val="0"/>
        <w:ind w:left="851" w:hanging="851"/>
        <w:rPr>
          <w:sz w:val="24"/>
          <w:szCs w:val="24"/>
        </w:rPr>
      </w:pPr>
    </w:p>
    <w:p w14:paraId="5AB180F8" w14:textId="77777777" w:rsidR="00A97556" w:rsidRPr="006E31EE" w:rsidRDefault="00A97556" w:rsidP="00A97556">
      <w:pPr>
        <w:autoSpaceDE w:val="0"/>
        <w:autoSpaceDN w:val="0"/>
        <w:adjustRightInd w:val="0"/>
        <w:ind w:left="851"/>
        <w:rPr>
          <w:sz w:val="24"/>
          <w:szCs w:val="24"/>
        </w:rPr>
      </w:pPr>
      <w:r w:rsidRPr="006E31EE">
        <w:rPr>
          <w:sz w:val="24"/>
          <w:szCs w:val="24"/>
        </w:rPr>
        <w:t xml:space="preserve">Det bør også overvejes at afbryde behandlingen med tenofovirdisoproxil i tilfælde af progressiv forværring af nyrefunktionen, når der ikke er identificeret andre årsager. </w:t>
      </w:r>
    </w:p>
    <w:p w14:paraId="66AD7DF0" w14:textId="77777777" w:rsidR="00A97556" w:rsidRPr="006E31EE" w:rsidRDefault="00A97556" w:rsidP="00A97556">
      <w:pPr>
        <w:autoSpaceDE w:val="0"/>
        <w:autoSpaceDN w:val="0"/>
        <w:adjustRightInd w:val="0"/>
        <w:ind w:left="851" w:hanging="851"/>
        <w:rPr>
          <w:sz w:val="24"/>
          <w:szCs w:val="24"/>
        </w:rPr>
      </w:pPr>
    </w:p>
    <w:p w14:paraId="28C543D8" w14:textId="77777777" w:rsidR="00A97556" w:rsidRPr="006E31EE" w:rsidRDefault="00A97556" w:rsidP="00A97556">
      <w:pPr>
        <w:autoSpaceDE w:val="0"/>
        <w:autoSpaceDN w:val="0"/>
        <w:adjustRightInd w:val="0"/>
        <w:ind w:left="851"/>
        <w:rPr>
          <w:i/>
          <w:sz w:val="24"/>
          <w:szCs w:val="24"/>
        </w:rPr>
      </w:pPr>
      <w:r w:rsidRPr="006E31EE">
        <w:rPr>
          <w:i/>
          <w:sz w:val="24"/>
          <w:szCs w:val="24"/>
        </w:rPr>
        <w:t xml:space="preserve">Samtidig indgivelse og risiko for nyretoksicitet </w:t>
      </w:r>
    </w:p>
    <w:p w14:paraId="32C87F46" w14:textId="77777777" w:rsidR="00A97556" w:rsidRPr="006E31EE" w:rsidRDefault="00A97556" w:rsidP="00A97556">
      <w:pPr>
        <w:autoSpaceDE w:val="0"/>
        <w:autoSpaceDN w:val="0"/>
        <w:adjustRightInd w:val="0"/>
        <w:ind w:left="851"/>
        <w:rPr>
          <w:sz w:val="24"/>
          <w:szCs w:val="24"/>
        </w:rPr>
      </w:pPr>
      <w:r w:rsidRPr="006E31EE">
        <w:rPr>
          <w:sz w:val="24"/>
          <w:szCs w:val="24"/>
        </w:rPr>
        <w:t>De samme anbefalinger gælder som for voksne (se ovenfor).</w:t>
      </w:r>
    </w:p>
    <w:p w14:paraId="50C7770C" w14:textId="77777777" w:rsidR="00A97556" w:rsidRPr="006E31EE" w:rsidRDefault="00A97556" w:rsidP="00A97556">
      <w:pPr>
        <w:autoSpaceDE w:val="0"/>
        <w:autoSpaceDN w:val="0"/>
        <w:adjustRightInd w:val="0"/>
        <w:ind w:left="851" w:hanging="851"/>
        <w:rPr>
          <w:sz w:val="24"/>
          <w:szCs w:val="24"/>
        </w:rPr>
      </w:pPr>
    </w:p>
    <w:p w14:paraId="0F2EE04D" w14:textId="77777777" w:rsidR="00A97556" w:rsidRPr="006E31EE" w:rsidRDefault="00A97556" w:rsidP="00A97556">
      <w:pPr>
        <w:autoSpaceDE w:val="0"/>
        <w:autoSpaceDN w:val="0"/>
        <w:adjustRightInd w:val="0"/>
        <w:ind w:left="851"/>
        <w:rPr>
          <w:i/>
          <w:sz w:val="24"/>
          <w:szCs w:val="24"/>
        </w:rPr>
      </w:pPr>
      <w:r w:rsidRPr="006E31EE">
        <w:rPr>
          <w:i/>
          <w:sz w:val="24"/>
          <w:szCs w:val="24"/>
        </w:rPr>
        <w:t xml:space="preserve">Nedsat nyrefunktion </w:t>
      </w:r>
    </w:p>
    <w:p w14:paraId="145FB4C1" w14:textId="77777777" w:rsidR="00A97556" w:rsidRPr="006E31EE" w:rsidRDefault="00A97556" w:rsidP="00A97556">
      <w:pPr>
        <w:autoSpaceDE w:val="0"/>
        <w:autoSpaceDN w:val="0"/>
        <w:adjustRightInd w:val="0"/>
        <w:ind w:left="851"/>
        <w:rPr>
          <w:sz w:val="24"/>
          <w:szCs w:val="24"/>
        </w:rPr>
      </w:pPr>
      <w:r w:rsidRPr="006E31EE">
        <w:rPr>
          <w:sz w:val="24"/>
          <w:szCs w:val="24"/>
        </w:rPr>
        <w:t xml:space="preserve">Anvendelsen af tenofovirdisoproxil anbefales ikke til pædiatriske patienter med nedsat nyrefunktion (se pkt. 4.2). Tenofovirdisoproxil bør ikke initieres til pædiatriske patienter med nedsat nyrefunktion og bør seponeres hos pædiatriske patienter, som udvikler nedsat nyrefunktion i løbet af behandlingen med tenofovirdisoproxil. </w:t>
      </w:r>
    </w:p>
    <w:p w14:paraId="36A60E3B" w14:textId="77777777" w:rsidR="00A97556" w:rsidRPr="006E31EE" w:rsidRDefault="00A97556" w:rsidP="00A97556">
      <w:pPr>
        <w:autoSpaceDE w:val="0"/>
        <w:autoSpaceDN w:val="0"/>
        <w:adjustRightInd w:val="0"/>
        <w:ind w:left="851" w:hanging="851"/>
        <w:rPr>
          <w:sz w:val="24"/>
          <w:szCs w:val="24"/>
        </w:rPr>
      </w:pPr>
    </w:p>
    <w:p w14:paraId="1B7CB72A" w14:textId="77777777" w:rsidR="00A97556" w:rsidRPr="006E31EE" w:rsidRDefault="00A97556" w:rsidP="00A97556">
      <w:pPr>
        <w:autoSpaceDE w:val="0"/>
        <w:autoSpaceDN w:val="0"/>
        <w:adjustRightInd w:val="0"/>
        <w:ind w:left="851"/>
        <w:rPr>
          <w:i/>
          <w:sz w:val="24"/>
          <w:szCs w:val="24"/>
        </w:rPr>
      </w:pPr>
      <w:r w:rsidRPr="006E31EE">
        <w:rPr>
          <w:i/>
          <w:sz w:val="24"/>
          <w:szCs w:val="24"/>
        </w:rPr>
        <w:t xml:space="preserve">Knogleeffekter </w:t>
      </w:r>
    </w:p>
    <w:p w14:paraId="1A8B95E9" w14:textId="541A4B69" w:rsidR="00A97556" w:rsidRPr="006E31EE" w:rsidRDefault="00A97556" w:rsidP="00A97556">
      <w:pPr>
        <w:autoSpaceDE w:val="0"/>
        <w:autoSpaceDN w:val="0"/>
        <w:adjustRightInd w:val="0"/>
        <w:ind w:left="851"/>
        <w:rPr>
          <w:sz w:val="24"/>
          <w:szCs w:val="24"/>
        </w:rPr>
      </w:pPr>
      <w:r w:rsidRPr="006E31EE">
        <w:rPr>
          <w:sz w:val="24"/>
          <w:szCs w:val="24"/>
        </w:rPr>
        <w:t>Tenofovir disoproxil "Sandoz" kan forårsage en reduktion i BMD. Virkningerne af ændringer i BMD associeret med tenofovirdisoproxil på knoglesundheden på længere sigt og fremtidig frakturrisiko</w:t>
      </w:r>
      <w:r w:rsidR="006E31EE">
        <w:rPr>
          <w:noProof/>
          <w:sz w:val="24"/>
          <w:szCs w:val="24"/>
        </w:rPr>
        <w:t xml:space="preserve"> er uvis (se pkt. 5.1).</w:t>
      </w:r>
      <w:r w:rsidRPr="006E31EE">
        <w:rPr>
          <w:sz w:val="24"/>
          <w:szCs w:val="24"/>
        </w:rPr>
        <w:t xml:space="preserve"> </w:t>
      </w:r>
    </w:p>
    <w:p w14:paraId="7802C257" w14:textId="77777777" w:rsidR="00A97556" w:rsidRPr="006E31EE" w:rsidRDefault="00A97556" w:rsidP="00A97556">
      <w:pPr>
        <w:autoSpaceDE w:val="0"/>
        <w:autoSpaceDN w:val="0"/>
        <w:adjustRightInd w:val="0"/>
        <w:ind w:left="851" w:hanging="851"/>
        <w:rPr>
          <w:sz w:val="24"/>
          <w:szCs w:val="24"/>
        </w:rPr>
      </w:pPr>
    </w:p>
    <w:p w14:paraId="1CE67460" w14:textId="77777777" w:rsidR="00A97556" w:rsidRPr="006E31EE" w:rsidRDefault="00A97556" w:rsidP="00A97556">
      <w:pPr>
        <w:autoSpaceDE w:val="0"/>
        <w:autoSpaceDN w:val="0"/>
        <w:adjustRightInd w:val="0"/>
        <w:ind w:left="851"/>
        <w:rPr>
          <w:sz w:val="24"/>
          <w:szCs w:val="24"/>
        </w:rPr>
      </w:pPr>
      <w:r w:rsidRPr="006E31EE">
        <w:rPr>
          <w:sz w:val="24"/>
          <w:szCs w:val="24"/>
        </w:rPr>
        <w:t xml:space="preserve">Hvis knogleabnormiteter påvises eller mistænkes hos pædiatriske patienter, skal konsultation med en endokrinolog og/eller en nefrolog foretages. </w:t>
      </w:r>
    </w:p>
    <w:p w14:paraId="500B4896" w14:textId="77777777" w:rsidR="00A97556" w:rsidRPr="006E31EE" w:rsidRDefault="00A97556" w:rsidP="00A97556">
      <w:pPr>
        <w:autoSpaceDE w:val="0"/>
        <w:autoSpaceDN w:val="0"/>
        <w:adjustRightInd w:val="0"/>
        <w:ind w:left="851" w:hanging="851"/>
        <w:rPr>
          <w:sz w:val="24"/>
          <w:szCs w:val="24"/>
        </w:rPr>
      </w:pPr>
    </w:p>
    <w:p w14:paraId="5BEC87CB" w14:textId="77777777" w:rsidR="00A97556" w:rsidRPr="006E31EE" w:rsidRDefault="00A97556" w:rsidP="00A97556">
      <w:pPr>
        <w:autoSpaceDE w:val="0"/>
        <w:autoSpaceDN w:val="0"/>
        <w:adjustRightInd w:val="0"/>
        <w:ind w:left="851"/>
        <w:rPr>
          <w:sz w:val="24"/>
          <w:szCs w:val="24"/>
          <w:u w:val="single"/>
        </w:rPr>
      </w:pPr>
      <w:r w:rsidRPr="006E31EE">
        <w:rPr>
          <w:sz w:val="24"/>
          <w:szCs w:val="24"/>
          <w:u w:val="single"/>
        </w:rPr>
        <w:t xml:space="preserve">Leversygdom </w:t>
      </w:r>
    </w:p>
    <w:p w14:paraId="1C2266C4" w14:textId="77777777" w:rsidR="00A97556" w:rsidRPr="006E31EE" w:rsidRDefault="00A97556" w:rsidP="00A97556">
      <w:pPr>
        <w:autoSpaceDE w:val="0"/>
        <w:autoSpaceDN w:val="0"/>
        <w:adjustRightInd w:val="0"/>
        <w:ind w:left="851"/>
        <w:rPr>
          <w:sz w:val="24"/>
          <w:szCs w:val="24"/>
        </w:rPr>
      </w:pPr>
      <w:r w:rsidRPr="006E31EE">
        <w:rPr>
          <w:sz w:val="24"/>
          <w:szCs w:val="24"/>
        </w:rPr>
        <w:t xml:space="preserve">Data om sikkerhed og virkning hos levertransplanterede patienter er meget begrænsede. </w:t>
      </w:r>
    </w:p>
    <w:p w14:paraId="6ECD35E2" w14:textId="77777777" w:rsidR="00A97556" w:rsidRPr="006E31EE" w:rsidRDefault="00A97556" w:rsidP="00A97556">
      <w:pPr>
        <w:autoSpaceDE w:val="0"/>
        <w:autoSpaceDN w:val="0"/>
        <w:adjustRightInd w:val="0"/>
        <w:ind w:left="851" w:hanging="851"/>
        <w:rPr>
          <w:sz w:val="24"/>
          <w:szCs w:val="24"/>
        </w:rPr>
      </w:pPr>
    </w:p>
    <w:p w14:paraId="51990048" w14:textId="77777777" w:rsidR="00A97556" w:rsidRPr="006E31EE" w:rsidRDefault="00A97556" w:rsidP="00A97556">
      <w:pPr>
        <w:autoSpaceDE w:val="0"/>
        <w:autoSpaceDN w:val="0"/>
        <w:adjustRightInd w:val="0"/>
        <w:ind w:left="851"/>
        <w:rPr>
          <w:sz w:val="24"/>
          <w:szCs w:val="24"/>
        </w:rPr>
      </w:pPr>
      <w:r w:rsidRPr="006E31EE">
        <w:rPr>
          <w:sz w:val="24"/>
          <w:szCs w:val="24"/>
        </w:rPr>
        <w:t xml:space="preserve">Der er begrænsede data om sikkerhed og virkning hos HBV-inficerede patienter med dekompenseret leversygdom, som har Child-Pugh-Turcotte (CPT) score &gt;9. Disse patienter kan have højere risiko for at få alvorlige hepatiske eller renale bivirkninger. Derfor bør hepatobiliære og renale parametre monitoreres tæt hos denne patientpopulation. </w:t>
      </w:r>
    </w:p>
    <w:p w14:paraId="75ACBA9F" w14:textId="77777777" w:rsidR="00A97556" w:rsidRPr="006E31EE" w:rsidRDefault="00A97556" w:rsidP="00A97556">
      <w:pPr>
        <w:rPr>
          <w:sz w:val="24"/>
          <w:szCs w:val="24"/>
        </w:rPr>
      </w:pPr>
    </w:p>
    <w:p w14:paraId="7E805840" w14:textId="77777777" w:rsidR="00A97556" w:rsidRPr="006E31EE" w:rsidRDefault="00A97556" w:rsidP="00A97556">
      <w:pPr>
        <w:autoSpaceDE w:val="0"/>
        <w:autoSpaceDN w:val="0"/>
        <w:adjustRightInd w:val="0"/>
        <w:ind w:left="851"/>
        <w:rPr>
          <w:i/>
          <w:sz w:val="24"/>
          <w:szCs w:val="24"/>
        </w:rPr>
      </w:pPr>
      <w:r w:rsidRPr="006E31EE">
        <w:rPr>
          <w:i/>
          <w:sz w:val="24"/>
          <w:szCs w:val="24"/>
        </w:rPr>
        <w:t xml:space="preserve">Hepatitis-eksacerbationer </w:t>
      </w:r>
    </w:p>
    <w:p w14:paraId="1CC67E12" w14:textId="77777777" w:rsidR="00A97556" w:rsidRPr="006E31EE" w:rsidRDefault="00A97556" w:rsidP="00A97556">
      <w:pPr>
        <w:autoSpaceDE w:val="0"/>
        <w:autoSpaceDN w:val="0"/>
        <w:adjustRightInd w:val="0"/>
        <w:ind w:left="851"/>
        <w:rPr>
          <w:sz w:val="24"/>
          <w:szCs w:val="24"/>
        </w:rPr>
      </w:pPr>
      <w:r w:rsidRPr="006E31EE">
        <w:rPr>
          <w:i/>
          <w:sz w:val="24"/>
          <w:szCs w:val="24"/>
        </w:rPr>
        <w:t>Opblussen under behandlingen</w:t>
      </w:r>
      <w:r w:rsidRPr="006E31EE">
        <w:rPr>
          <w:sz w:val="24"/>
          <w:szCs w:val="24"/>
        </w:rPr>
        <w:t>: Spontan eksacerbation af kronisk hepatitis B er relativt almindeligt og karakteriseret af forbigående stigninger i serum-ALAT. Efter opstart af antiviral behandling kan serum-ALAT stige hos nogle patienter (se pkt. 4.8). Hos patienter med kompenseret leversygdom er disse stigninger i serum-ALAT generelt hverken ledsaget af en stigning i serum-bilirubin-koncentrationen eller af hepatisk dekompensation. Patienter med levercirrose kan have større risiko for hepatisk dekompensation efter hepatitis-eksacerbation og skal derfor monitoreres tæt under behandlingen.</w:t>
      </w:r>
    </w:p>
    <w:p w14:paraId="05DF44E5" w14:textId="77777777" w:rsidR="00A97556" w:rsidRPr="006E31EE" w:rsidRDefault="00A97556" w:rsidP="00A97556">
      <w:pPr>
        <w:autoSpaceDE w:val="0"/>
        <w:autoSpaceDN w:val="0"/>
        <w:adjustRightInd w:val="0"/>
        <w:ind w:left="851" w:hanging="851"/>
        <w:rPr>
          <w:i/>
          <w:sz w:val="24"/>
          <w:szCs w:val="24"/>
        </w:rPr>
      </w:pPr>
    </w:p>
    <w:p w14:paraId="6162BC30" w14:textId="77777777" w:rsidR="00A97556" w:rsidRPr="006E31EE" w:rsidRDefault="00A97556" w:rsidP="00A97556">
      <w:pPr>
        <w:autoSpaceDE w:val="0"/>
        <w:autoSpaceDN w:val="0"/>
        <w:adjustRightInd w:val="0"/>
        <w:ind w:left="851"/>
        <w:rPr>
          <w:sz w:val="24"/>
          <w:szCs w:val="24"/>
        </w:rPr>
      </w:pPr>
      <w:r w:rsidRPr="006E31EE">
        <w:rPr>
          <w:i/>
          <w:sz w:val="24"/>
          <w:szCs w:val="24"/>
        </w:rPr>
        <w:t>Opblussen efter seponering af behandlingen</w:t>
      </w:r>
      <w:r w:rsidRPr="006E31EE">
        <w:rPr>
          <w:sz w:val="24"/>
          <w:szCs w:val="24"/>
        </w:rPr>
        <w:t xml:space="preserve">: Akut hepatitis-eksacerbationer er også blevet rapporteret hos patienter efter seponering af hepatitis B-behandlingen. En eksacerbation </w:t>
      </w:r>
      <w:r w:rsidRPr="006E31EE">
        <w:rPr>
          <w:sz w:val="24"/>
          <w:szCs w:val="24"/>
        </w:rPr>
        <w:lastRenderedPageBreak/>
        <w:t xml:space="preserve">efter behandlingen er normalt forbundet med stigning i HBV-dna, og størstedelen af tilfældene forekommer at være selvbegrænsende. Der er imidlertid blevet rapporteret om alvorlige eksacerbationer, herunder dødsfald. Leverfunktionen bør monitoreres i regelmæssige intervaller, både med klinisk kontrol og laboratoriekontroller, i mindst 6 måneder efter seponering af hepatitis B-behandlingen. Genoptagelse af hepatitis B-behandlingen kan være nødvendig. Behandlingen bør ikke seponeres hos patienter med fremskreden leversygdom eller levercirrose, da eksacerbationer efter behandlingen kan føre til hepatisk dekompensation. </w:t>
      </w:r>
    </w:p>
    <w:p w14:paraId="23DA63B7" w14:textId="77777777" w:rsidR="00A97556" w:rsidRPr="006E31EE" w:rsidRDefault="00A97556" w:rsidP="00A97556">
      <w:pPr>
        <w:autoSpaceDE w:val="0"/>
        <w:autoSpaceDN w:val="0"/>
        <w:adjustRightInd w:val="0"/>
        <w:ind w:left="851" w:hanging="851"/>
        <w:rPr>
          <w:sz w:val="24"/>
          <w:szCs w:val="24"/>
        </w:rPr>
      </w:pPr>
    </w:p>
    <w:p w14:paraId="0C303B00" w14:textId="77777777" w:rsidR="00A97556" w:rsidRPr="006E31EE" w:rsidRDefault="00A97556" w:rsidP="00A97556">
      <w:pPr>
        <w:autoSpaceDE w:val="0"/>
        <w:autoSpaceDN w:val="0"/>
        <w:adjustRightInd w:val="0"/>
        <w:ind w:left="851"/>
        <w:rPr>
          <w:sz w:val="24"/>
          <w:szCs w:val="24"/>
        </w:rPr>
      </w:pPr>
      <w:r w:rsidRPr="006E31EE">
        <w:rPr>
          <w:sz w:val="24"/>
          <w:szCs w:val="24"/>
        </w:rPr>
        <w:t xml:space="preserve">En opblussen af leversygdommen er særdeles alvorlig og nogle gange letal hos patienter med dekompenseret leversygdom. </w:t>
      </w:r>
    </w:p>
    <w:p w14:paraId="31542879" w14:textId="77777777" w:rsidR="00A97556" w:rsidRPr="006E31EE" w:rsidRDefault="00A97556" w:rsidP="00A97556">
      <w:pPr>
        <w:autoSpaceDE w:val="0"/>
        <w:autoSpaceDN w:val="0"/>
        <w:adjustRightInd w:val="0"/>
        <w:ind w:left="851" w:hanging="851"/>
        <w:rPr>
          <w:sz w:val="24"/>
          <w:szCs w:val="24"/>
        </w:rPr>
      </w:pPr>
    </w:p>
    <w:p w14:paraId="04A169A6" w14:textId="77777777" w:rsidR="00A97556" w:rsidRPr="006E31EE" w:rsidRDefault="00A97556" w:rsidP="00A97556">
      <w:pPr>
        <w:autoSpaceDE w:val="0"/>
        <w:autoSpaceDN w:val="0"/>
        <w:adjustRightInd w:val="0"/>
        <w:ind w:left="851"/>
        <w:rPr>
          <w:sz w:val="24"/>
          <w:szCs w:val="24"/>
        </w:rPr>
      </w:pPr>
      <w:r w:rsidRPr="006E31EE">
        <w:rPr>
          <w:i/>
          <w:sz w:val="24"/>
          <w:szCs w:val="24"/>
        </w:rPr>
        <w:t>Samtidig infektion med hepatitis C eller D</w:t>
      </w:r>
      <w:r w:rsidRPr="006E31EE">
        <w:rPr>
          <w:sz w:val="24"/>
          <w:szCs w:val="24"/>
        </w:rPr>
        <w:t xml:space="preserve">: Der findes ingen data om virkningen af tenofovir hos patienter med samtidig infektion med hepatitis C- eller D-virus. </w:t>
      </w:r>
    </w:p>
    <w:p w14:paraId="3F5EC7EB" w14:textId="77777777" w:rsidR="00A97556" w:rsidRPr="006E31EE" w:rsidRDefault="00A97556" w:rsidP="00A97556">
      <w:pPr>
        <w:autoSpaceDE w:val="0"/>
        <w:autoSpaceDN w:val="0"/>
        <w:adjustRightInd w:val="0"/>
        <w:ind w:left="851" w:hanging="851"/>
        <w:rPr>
          <w:sz w:val="24"/>
          <w:szCs w:val="24"/>
        </w:rPr>
      </w:pPr>
    </w:p>
    <w:p w14:paraId="32284835" w14:textId="77777777" w:rsidR="00A97556" w:rsidRPr="006E31EE" w:rsidRDefault="00A97556" w:rsidP="00A97556">
      <w:pPr>
        <w:autoSpaceDE w:val="0"/>
        <w:autoSpaceDN w:val="0"/>
        <w:adjustRightInd w:val="0"/>
        <w:ind w:left="851"/>
        <w:rPr>
          <w:sz w:val="24"/>
          <w:szCs w:val="24"/>
        </w:rPr>
      </w:pPr>
      <w:r w:rsidRPr="006E31EE">
        <w:rPr>
          <w:i/>
          <w:sz w:val="24"/>
          <w:szCs w:val="24"/>
        </w:rPr>
        <w:t>Samtidig infektion med hiv 1 og hepatitis B</w:t>
      </w:r>
      <w:r w:rsidRPr="006E31EE">
        <w:rPr>
          <w:sz w:val="24"/>
          <w:szCs w:val="24"/>
        </w:rPr>
        <w:t>: På grund af risikoen for udvikling af hiv-resistens skal tenofovirdisoproxil kun anvendes som en del af en passende, antiretroviral kombinationsbehandling hos patienter med samtidig hiv/HBV-infektion. Hos patienter med tidligere tilfælde af leverdysfunktion, herunder kronisk aktiv hepatitis, er der en forhøjet forekomst af unormal leverfunktion under antiretroviral kombinationsbehandling (CART) og disse patienter bør monitoreres i henhold til standardprocedurer. Hvis der er tegn på, at leversygdommen forværres hos sådanne patienter, skal man overveje at afbryde eller foretage et ophold i behandlingen. Det skal imidlertid bemærkes, at stigninger i ALAT kan være en del af HBV-clearance under behandling med tenofovir, se afsnittet "Hepatitis-eksacerbationer" ovenfor.</w:t>
      </w:r>
    </w:p>
    <w:p w14:paraId="4E66D7D2" w14:textId="77777777" w:rsidR="00A97556" w:rsidRPr="006E31EE" w:rsidRDefault="00A97556" w:rsidP="00A97556">
      <w:pPr>
        <w:ind w:left="851" w:hanging="851"/>
        <w:rPr>
          <w:color w:val="000000" w:themeColor="text1"/>
          <w:sz w:val="24"/>
          <w:szCs w:val="24"/>
        </w:rPr>
      </w:pPr>
    </w:p>
    <w:p w14:paraId="5A726077" w14:textId="77777777" w:rsidR="00A97556" w:rsidRPr="006E31EE" w:rsidRDefault="00A97556" w:rsidP="00A97556">
      <w:pPr>
        <w:autoSpaceDE w:val="0"/>
        <w:autoSpaceDN w:val="0"/>
        <w:adjustRightInd w:val="0"/>
        <w:ind w:left="851"/>
        <w:rPr>
          <w:color w:val="000000" w:themeColor="text1"/>
          <w:sz w:val="24"/>
          <w:szCs w:val="24"/>
          <w:u w:val="single"/>
        </w:rPr>
      </w:pPr>
      <w:r w:rsidRPr="006E31EE">
        <w:rPr>
          <w:color w:val="000000" w:themeColor="text1"/>
          <w:sz w:val="24"/>
          <w:szCs w:val="24"/>
          <w:u w:val="single"/>
        </w:rPr>
        <w:t>Anvendelse med visse antivirale hepatitis C-virus midler</w:t>
      </w:r>
    </w:p>
    <w:p w14:paraId="70EB9283" w14:textId="77777777" w:rsidR="00A97556" w:rsidRPr="006E31EE" w:rsidRDefault="00A97556" w:rsidP="00A97556">
      <w:pPr>
        <w:autoSpaceDE w:val="0"/>
        <w:autoSpaceDN w:val="0"/>
        <w:adjustRightInd w:val="0"/>
        <w:ind w:left="851"/>
        <w:rPr>
          <w:color w:val="000000" w:themeColor="text1"/>
          <w:sz w:val="24"/>
          <w:szCs w:val="24"/>
          <w:u w:val="single"/>
        </w:rPr>
      </w:pPr>
      <w:r w:rsidRPr="006E31EE">
        <w:rPr>
          <w:color w:val="000000" w:themeColor="text1"/>
          <w:sz w:val="24"/>
          <w:szCs w:val="24"/>
        </w:rPr>
        <w:t xml:space="preserve">Samtidig indgivelse af tenofovirdisoproxil og ledipasvir/sofosbuvir, sofosbuvir/velpatasvir eller sofosbuvir/velpatasvir/voxilaprevir har vist sig at øge plasmakoncentrationen af tenofovir, især når de anvendes sammen med et hiv-regime, der indeholder tenofovirdisoproxil og en farmakokinetisk forstærker (ritonavir eller cobicistat). Sikkerheden af tenofovirdisoproxil ved samtidig brug af ledipasvir/sofosbuvir, sofosbuvir/velpatasvir eller sofosbuvir/velpatasvir/voxilaprevir og en farmakokinetisk enhancer er ikke fastslået. De potentielle risici og fordele forbundet med samtidig administration af ledipasvir/sofosbuvir, sofosbuvir/velpatasvir eller sofosbuvir/velpatasvir/voxilaprevir og tenofovirdisoproxil givet sammen med en boostet hiv-proteasehæmmer (f.eks atazanavir eller darunavir) bør overvejes, specielt hos patienter med øget risiko for nyresvigt. Patienter, der får ledipasvir/sofosbuvir, sofosbuvir/velpatasvir eller sofosbuvir/velpatasvir/voxilaprevir samtidig med tenofovirdisoproxil og en boostet hiv-proteasehæmmer, bør overvåges for bivirkninger relateret til tenofovirdisoproxil. </w:t>
      </w:r>
    </w:p>
    <w:p w14:paraId="1860B144" w14:textId="77777777" w:rsidR="00A97556" w:rsidRPr="006E31EE" w:rsidRDefault="00A97556" w:rsidP="00A97556">
      <w:pPr>
        <w:ind w:left="851" w:hanging="851"/>
        <w:rPr>
          <w:color w:val="000000" w:themeColor="text1"/>
          <w:sz w:val="24"/>
          <w:szCs w:val="24"/>
          <w:u w:val="single"/>
        </w:rPr>
      </w:pPr>
    </w:p>
    <w:p w14:paraId="507D32FA" w14:textId="77777777" w:rsidR="00A97556" w:rsidRPr="006E31EE" w:rsidRDefault="00A97556" w:rsidP="009A1589">
      <w:pPr>
        <w:keepNext/>
        <w:autoSpaceDE w:val="0"/>
        <w:autoSpaceDN w:val="0"/>
        <w:adjustRightInd w:val="0"/>
        <w:ind w:left="851"/>
        <w:rPr>
          <w:color w:val="000000" w:themeColor="text1"/>
          <w:sz w:val="24"/>
          <w:szCs w:val="24"/>
          <w:u w:val="single"/>
        </w:rPr>
      </w:pPr>
      <w:r w:rsidRPr="006E31EE">
        <w:rPr>
          <w:color w:val="000000" w:themeColor="text1"/>
          <w:sz w:val="24"/>
          <w:szCs w:val="24"/>
          <w:u w:val="single"/>
        </w:rPr>
        <w:t>Vægt og metaboliske parametre</w:t>
      </w:r>
    </w:p>
    <w:p w14:paraId="6E198047" w14:textId="77777777" w:rsidR="00A97556" w:rsidRPr="006E31EE" w:rsidRDefault="00A97556" w:rsidP="00A97556">
      <w:pPr>
        <w:autoSpaceDE w:val="0"/>
        <w:autoSpaceDN w:val="0"/>
        <w:adjustRightInd w:val="0"/>
        <w:ind w:left="851"/>
        <w:rPr>
          <w:color w:val="000000" w:themeColor="text1"/>
          <w:sz w:val="24"/>
          <w:szCs w:val="24"/>
        </w:rPr>
      </w:pPr>
      <w:r w:rsidRPr="006E31EE">
        <w:rPr>
          <w:color w:val="000000" w:themeColor="text1"/>
          <w:sz w:val="24"/>
          <w:szCs w:val="24"/>
        </w:rPr>
        <w:t>En stigning i vægt og i niveauet af blodlipider og glucose kan forekomme under antiretroviral behandling. Sådanne ændringer kan delvist være knyttet til sygdomsbekæmpelse og livsstil. For lipider, er der i visse tilfælde evidens for en behandlingseffekt, mens der for vægtøgning ikke er nogen stærke beviser der relaterer dette til nogen særlig behandling. Til overvågning af blodlipider og glukose henvises til etablerede hiv-behandlingsretningslinjer. Lipidforstyrrelser bør behandles som klinisk relevante.</w:t>
      </w:r>
    </w:p>
    <w:p w14:paraId="635B0D5D" w14:textId="77777777" w:rsidR="00A97556" w:rsidRPr="006E31EE" w:rsidRDefault="00A97556" w:rsidP="00A97556">
      <w:pPr>
        <w:autoSpaceDE w:val="0"/>
        <w:autoSpaceDN w:val="0"/>
        <w:adjustRightInd w:val="0"/>
        <w:ind w:left="851" w:hanging="851"/>
        <w:rPr>
          <w:color w:val="000000" w:themeColor="text1"/>
          <w:sz w:val="24"/>
          <w:szCs w:val="24"/>
        </w:rPr>
      </w:pPr>
    </w:p>
    <w:p w14:paraId="371CA671" w14:textId="77777777" w:rsidR="00A97556" w:rsidRPr="006E31EE" w:rsidRDefault="00A97556" w:rsidP="00A97556">
      <w:pPr>
        <w:pStyle w:val="Default"/>
        <w:ind w:left="851"/>
        <w:rPr>
          <w:u w:val="single"/>
        </w:rPr>
      </w:pPr>
      <w:r w:rsidRPr="006E31EE">
        <w:rPr>
          <w:u w:val="single"/>
        </w:rPr>
        <w:lastRenderedPageBreak/>
        <w:t xml:space="preserve">Mitokondriel dysfunktion efter eksponering </w:t>
      </w:r>
      <w:r w:rsidRPr="006E31EE">
        <w:rPr>
          <w:i/>
          <w:iCs/>
          <w:u w:val="single"/>
        </w:rPr>
        <w:t xml:space="preserve">in utero </w:t>
      </w:r>
    </w:p>
    <w:p w14:paraId="612A07FA" w14:textId="77777777" w:rsidR="00A97556" w:rsidRPr="006E31EE" w:rsidRDefault="00A97556" w:rsidP="00A97556">
      <w:pPr>
        <w:autoSpaceDE w:val="0"/>
        <w:autoSpaceDN w:val="0"/>
        <w:adjustRightInd w:val="0"/>
        <w:ind w:left="851"/>
        <w:rPr>
          <w:sz w:val="24"/>
          <w:szCs w:val="24"/>
        </w:rPr>
      </w:pPr>
      <w:r w:rsidRPr="006E31EE">
        <w:rPr>
          <w:sz w:val="24"/>
          <w:szCs w:val="24"/>
        </w:rPr>
        <w:t xml:space="preserve">Nukleosid-/nukleotid-analoger kan påvirke mitokondriefunktionen i varierende grad, hvilket er mest udtalt for stavudin, didanosin og zidovudin. Der er rapporteret om mitokondriel dysfunktion hos hiv-negative spædbørn, som har været eksponeret for nukleosidanaloger </w:t>
      </w:r>
      <w:r w:rsidRPr="006E31EE">
        <w:rPr>
          <w:i/>
          <w:iCs/>
          <w:sz w:val="24"/>
          <w:szCs w:val="24"/>
        </w:rPr>
        <w:t xml:space="preserve">in utero </w:t>
      </w:r>
      <w:r w:rsidRPr="006E31EE">
        <w:rPr>
          <w:sz w:val="24"/>
          <w:szCs w:val="24"/>
        </w:rPr>
        <w:t xml:space="preserve">og/eller postnatalt. Det har hovedsageligt drejet sig om behandling med regimer indeholdende zidovudin. De hyppigst rapporterede bivirkninger er hæmatologiske forstyrrelser (anæmi, neutropeni) og metaboliske forstyrrelser (hyperlaktatæmi, hyperlipasæmi). Bivirkningerne har ofte været forbigående. Sent forekommende neurologiske forstyrrelser er i sjældne tilfælde blevet rapporteret (hypertoni, kramper, unormal adfærd). I hvilken udstrækning sådanne neurologiske forstyrrelser er forbigående eller permanente er p.t. ikke kendt. Mitokondriel dysfunktion bør overvejes hos alle børn med svære kliniske symptomer af ukendt ætiologi, især neurologiske symptomer, der har været eksponeret for nukleosid-/nukleotid-analoger </w:t>
      </w:r>
      <w:r w:rsidRPr="006E31EE">
        <w:rPr>
          <w:i/>
          <w:iCs/>
          <w:sz w:val="24"/>
          <w:szCs w:val="24"/>
        </w:rPr>
        <w:t>in utero</w:t>
      </w:r>
      <w:r w:rsidRPr="006E31EE">
        <w:rPr>
          <w:sz w:val="24"/>
          <w:szCs w:val="24"/>
        </w:rPr>
        <w:t>. Disse fund påvirker ikke de aktuelle nationale anbefalinger vedrørende brug af antiretroviral behandling hos gravide med henblik på at undgå vertikal hiv-overførsel.</w:t>
      </w:r>
    </w:p>
    <w:p w14:paraId="2480F43D" w14:textId="77777777" w:rsidR="00A97556" w:rsidRPr="006E31EE" w:rsidRDefault="00A97556" w:rsidP="00A97556">
      <w:pPr>
        <w:autoSpaceDE w:val="0"/>
        <w:autoSpaceDN w:val="0"/>
        <w:adjustRightInd w:val="0"/>
        <w:ind w:left="851" w:hanging="851"/>
        <w:rPr>
          <w:sz w:val="24"/>
          <w:szCs w:val="24"/>
        </w:rPr>
      </w:pPr>
    </w:p>
    <w:p w14:paraId="022689A7" w14:textId="77777777" w:rsidR="00A97556" w:rsidRPr="006E31EE" w:rsidRDefault="00A97556" w:rsidP="00A97556">
      <w:pPr>
        <w:autoSpaceDE w:val="0"/>
        <w:autoSpaceDN w:val="0"/>
        <w:adjustRightInd w:val="0"/>
        <w:ind w:left="851"/>
        <w:rPr>
          <w:sz w:val="24"/>
          <w:szCs w:val="24"/>
          <w:u w:val="single"/>
        </w:rPr>
      </w:pPr>
      <w:r w:rsidRPr="006E31EE">
        <w:rPr>
          <w:sz w:val="24"/>
          <w:szCs w:val="24"/>
          <w:u w:val="single"/>
        </w:rPr>
        <w:t xml:space="preserve">Immunreaktiveringssyndrom </w:t>
      </w:r>
    </w:p>
    <w:p w14:paraId="1B7B75B5" w14:textId="47128533" w:rsidR="00A97556" w:rsidRPr="006E31EE" w:rsidRDefault="00A97556" w:rsidP="00A97556">
      <w:pPr>
        <w:autoSpaceDE w:val="0"/>
        <w:autoSpaceDN w:val="0"/>
        <w:adjustRightInd w:val="0"/>
        <w:ind w:left="851"/>
        <w:rPr>
          <w:sz w:val="24"/>
          <w:szCs w:val="24"/>
        </w:rPr>
      </w:pPr>
      <w:r w:rsidRPr="006E31EE">
        <w:rPr>
          <w:sz w:val="24"/>
          <w:szCs w:val="24"/>
        </w:rPr>
        <w:t>Hos hiv-inficerede patienter med svær immuninsufficiens kan der ved påbegyndelse af</w:t>
      </w:r>
      <w:r w:rsidR="0037478E">
        <w:rPr>
          <w:sz w:val="24"/>
          <w:szCs w:val="24"/>
        </w:rPr>
        <w:t xml:space="preserve"> </w:t>
      </w:r>
      <w:r w:rsidRPr="006E31EE">
        <w:rPr>
          <w:sz w:val="24"/>
          <w:szCs w:val="24"/>
        </w:rPr>
        <w:t xml:space="preserve">CART opstå en inflammatorisk reaktion på asymptomatiske eller residuale opportunistiske patogener, som kan forårsage alvorlige kliniske tilstande eller forværring af symptomer. Typisk er sådanne reaktioner observeret inden for de første få uger eller måneder efter påbegyndelsen af CART. Relevante eksempler er cytomegalovirus retinitis, generaliserede og/eller fokale mycobakterielle infektioner og </w:t>
      </w:r>
      <w:r w:rsidRPr="006E31EE">
        <w:rPr>
          <w:i/>
          <w:sz w:val="24"/>
          <w:szCs w:val="24"/>
        </w:rPr>
        <w:t>pneumocystis jirovecii</w:t>
      </w:r>
      <w:r w:rsidRPr="006E31EE">
        <w:rPr>
          <w:sz w:val="24"/>
          <w:szCs w:val="24"/>
        </w:rPr>
        <w:t xml:space="preserve"> pneumoni. Alle inflammatoriske symptomer bør vurderes og behandling påbegyndes efter behov. </w:t>
      </w:r>
    </w:p>
    <w:p w14:paraId="6A5F5069" w14:textId="77777777" w:rsidR="00A97556" w:rsidRPr="006E31EE" w:rsidRDefault="00A97556" w:rsidP="00A97556">
      <w:pPr>
        <w:autoSpaceDE w:val="0"/>
        <w:autoSpaceDN w:val="0"/>
        <w:adjustRightInd w:val="0"/>
        <w:ind w:left="851" w:hanging="851"/>
        <w:rPr>
          <w:sz w:val="24"/>
          <w:szCs w:val="24"/>
        </w:rPr>
      </w:pPr>
    </w:p>
    <w:p w14:paraId="659CAAB4" w14:textId="77777777" w:rsidR="00A97556" w:rsidRPr="006E31EE" w:rsidRDefault="00A97556" w:rsidP="00A97556">
      <w:pPr>
        <w:autoSpaceDE w:val="0"/>
        <w:autoSpaceDN w:val="0"/>
        <w:adjustRightInd w:val="0"/>
        <w:ind w:left="851"/>
        <w:rPr>
          <w:sz w:val="24"/>
          <w:szCs w:val="24"/>
        </w:rPr>
      </w:pPr>
      <w:r w:rsidRPr="006E31EE">
        <w:rPr>
          <w:sz w:val="24"/>
          <w:szCs w:val="24"/>
        </w:rPr>
        <w:t xml:space="preserve">Autoimmune lidelser (såsom Graves sygdom og autoimmun hepatitis) er også rapporteret at forekomme i forbindelse med immunreaktivering. Tiden til udbrud er mere variabel og kan være mange måneder efter initiering af behandling. </w:t>
      </w:r>
    </w:p>
    <w:p w14:paraId="464D9E12" w14:textId="77777777" w:rsidR="00A97556" w:rsidRPr="006E31EE" w:rsidRDefault="00A97556" w:rsidP="00A97556">
      <w:pPr>
        <w:autoSpaceDE w:val="0"/>
        <w:autoSpaceDN w:val="0"/>
        <w:adjustRightInd w:val="0"/>
        <w:ind w:left="851" w:hanging="851"/>
        <w:rPr>
          <w:sz w:val="24"/>
          <w:szCs w:val="24"/>
          <w:u w:val="single"/>
        </w:rPr>
      </w:pPr>
    </w:p>
    <w:p w14:paraId="2AB5FAD9" w14:textId="77777777" w:rsidR="00A97556" w:rsidRPr="006E31EE" w:rsidRDefault="00A97556" w:rsidP="00A97556">
      <w:pPr>
        <w:autoSpaceDE w:val="0"/>
        <w:autoSpaceDN w:val="0"/>
        <w:adjustRightInd w:val="0"/>
        <w:ind w:left="851"/>
        <w:rPr>
          <w:sz w:val="24"/>
          <w:szCs w:val="24"/>
          <w:u w:val="single"/>
        </w:rPr>
      </w:pPr>
      <w:r w:rsidRPr="006E31EE">
        <w:rPr>
          <w:sz w:val="24"/>
          <w:szCs w:val="24"/>
          <w:u w:val="single"/>
        </w:rPr>
        <w:t xml:space="preserve">Osteonekrose </w:t>
      </w:r>
    </w:p>
    <w:p w14:paraId="2265164C" w14:textId="77777777" w:rsidR="00A97556" w:rsidRPr="006E31EE" w:rsidRDefault="00A97556" w:rsidP="00A97556">
      <w:pPr>
        <w:autoSpaceDE w:val="0"/>
        <w:autoSpaceDN w:val="0"/>
        <w:adjustRightInd w:val="0"/>
        <w:ind w:left="851"/>
        <w:rPr>
          <w:sz w:val="24"/>
          <w:szCs w:val="24"/>
        </w:rPr>
      </w:pPr>
      <w:r w:rsidRPr="006E31EE">
        <w:rPr>
          <w:sz w:val="24"/>
          <w:szCs w:val="24"/>
        </w:rPr>
        <w:t xml:space="preserve">Der er rapporteret om tilfælde af osteonekrose hos patienter, der har fremskreden hiv-sygdom og/eller hos patienter som befinder sig i langvarig CART. Ætiologien anses dog for at være multifaktoriel (omfattende anvendelse af kortikosteroider, alkoholforbrug, svær immunosuppression, højere Body Mass Index (BMI)). Patienter, der oplever ømme og smertende led, ledstivhed eller bevægelsesbesvær bør rådes til at søge læge. </w:t>
      </w:r>
    </w:p>
    <w:p w14:paraId="1B1535AE" w14:textId="77777777" w:rsidR="00A97556" w:rsidRPr="006E31EE" w:rsidRDefault="00A97556" w:rsidP="00A97556">
      <w:pPr>
        <w:autoSpaceDE w:val="0"/>
        <w:autoSpaceDN w:val="0"/>
        <w:adjustRightInd w:val="0"/>
        <w:ind w:left="851" w:hanging="851"/>
        <w:rPr>
          <w:sz w:val="24"/>
          <w:szCs w:val="24"/>
        </w:rPr>
      </w:pPr>
    </w:p>
    <w:p w14:paraId="17B92669" w14:textId="77777777" w:rsidR="00A97556" w:rsidRPr="006E31EE" w:rsidRDefault="00A97556" w:rsidP="00A97556">
      <w:pPr>
        <w:keepNext/>
        <w:autoSpaceDE w:val="0"/>
        <w:autoSpaceDN w:val="0"/>
        <w:adjustRightInd w:val="0"/>
        <w:ind w:left="851"/>
        <w:rPr>
          <w:sz w:val="24"/>
          <w:szCs w:val="24"/>
          <w:u w:val="single"/>
        </w:rPr>
      </w:pPr>
      <w:r w:rsidRPr="006E31EE">
        <w:rPr>
          <w:sz w:val="24"/>
          <w:szCs w:val="24"/>
          <w:u w:val="single"/>
        </w:rPr>
        <w:t xml:space="preserve">Ældre </w:t>
      </w:r>
    </w:p>
    <w:p w14:paraId="35034796" w14:textId="77777777" w:rsidR="00A97556" w:rsidRPr="006E31EE" w:rsidRDefault="00A97556" w:rsidP="00A97556">
      <w:pPr>
        <w:autoSpaceDE w:val="0"/>
        <w:autoSpaceDN w:val="0"/>
        <w:adjustRightInd w:val="0"/>
        <w:ind w:left="851"/>
        <w:rPr>
          <w:sz w:val="24"/>
          <w:szCs w:val="24"/>
        </w:rPr>
      </w:pPr>
      <w:r w:rsidRPr="006E31EE">
        <w:rPr>
          <w:sz w:val="24"/>
          <w:szCs w:val="24"/>
        </w:rPr>
        <w:t xml:space="preserve">Tenofovirdisoproxil er ikke blevet undersøgt hos patienter over 65 år. Da det er mere sandsynligt, at ældre patienter har nedsat nyrefunktion, skal der udvises forsigtighed ved behandling af ældre patienter med tenofovirdisoproxil. </w:t>
      </w:r>
    </w:p>
    <w:p w14:paraId="59DE1D3B" w14:textId="77777777" w:rsidR="00A97556" w:rsidRPr="006E31EE" w:rsidRDefault="00A97556" w:rsidP="00A97556">
      <w:pPr>
        <w:autoSpaceDE w:val="0"/>
        <w:autoSpaceDN w:val="0"/>
        <w:adjustRightInd w:val="0"/>
        <w:ind w:left="851" w:hanging="851"/>
        <w:rPr>
          <w:sz w:val="24"/>
          <w:szCs w:val="24"/>
        </w:rPr>
      </w:pPr>
    </w:p>
    <w:p w14:paraId="3914552C" w14:textId="77777777" w:rsidR="00A97556" w:rsidRPr="006E31EE" w:rsidRDefault="00A97556" w:rsidP="00A97556">
      <w:pPr>
        <w:autoSpaceDE w:val="0"/>
        <w:autoSpaceDN w:val="0"/>
        <w:adjustRightInd w:val="0"/>
        <w:ind w:left="851"/>
        <w:rPr>
          <w:sz w:val="24"/>
          <w:szCs w:val="24"/>
        </w:rPr>
      </w:pPr>
      <w:r w:rsidRPr="006E31EE">
        <w:rPr>
          <w:sz w:val="24"/>
          <w:szCs w:val="24"/>
        </w:rPr>
        <w:t>Tenofovir disoproxil "Sandoz" 245 mg filmovertrukne tabletter indeholder lactosemonohydrat. Bør ikke anvendes til patienter med hereditær galactoseintolerans, total lactasemangel eller glucose/galactosemalabsorption.</w:t>
      </w:r>
    </w:p>
    <w:p w14:paraId="073D3B07" w14:textId="77777777" w:rsidR="008F3CD4" w:rsidRPr="006E31EE" w:rsidRDefault="008F3CD4" w:rsidP="008F3CD4">
      <w:pPr>
        <w:ind w:left="851" w:hanging="851"/>
        <w:rPr>
          <w:sz w:val="24"/>
          <w:szCs w:val="24"/>
        </w:rPr>
      </w:pPr>
    </w:p>
    <w:p w14:paraId="530E2248" w14:textId="77777777" w:rsidR="008F3CD4" w:rsidRPr="006E31EE" w:rsidRDefault="008F3CD4" w:rsidP="00A25ECF">
      <w:pPr>
        <w:keepNext/>
        <w:ind w:left="851" w:hanging="851"/>
        <w:rPr>
          <w:b/>
          <w:sz w:val="24"/>
          <w:szCs w:val="24"/>
        </w:rPr>
      </w:pPr>
      <w:r w:rsidRPr="006E31EE">
        <w:rPr>
          <w:b/>
          <w:sz w:val="24"/>
          <w:szCs w:val="24"/>
        </w:rPr>
        <w:t>4.5</w:t>
      </w:r>
      <w:r w:rsidRPr="006E31EE">
        <w:rPr>
          <w:b/>
          <w:sz w:val="24"/>
          <w:szCs w:val="24"/>
        </w:rPr>
        <w:tab/>
        <w:t>Interaktion med andre lægemidler og andre former for interaktion</w:t>
      </w:r>
    </w:p>
    <w:p w14:paraId="2C0DE6B4" w14:textId="77777777" w:rsidR="00A97556" w:rsidRPr="006E31EE" w:rsidRDefault="00A97556" w:rsidP="00A97556">
      <w:pPr>
        <w:ind w:left="851"/>
        <w:rPr>
          <w:sz w:val="24"/>
          <w:szCs w:val="24"/>
        </w:rPr>
      </w:pPr>
      <w:r w:rsidRPr="006E31EE">
        <w:rPr>
          <w:sz w:val="24"/>
          <w:szCs w:val="24"/>
        </w:rPr>
        <w:t xml:space="preserve">Interaktionsstudier er kun udført hos voksne. </w:t>
      </w:r>
    </w:p>
    <w:p w14:paraId="2C58614E" w14:textId="77777777" w:rsidR="00A97556" w:rsidRPr="006E31EE" w:rsidRDefault="00A97556" w:rsidP="00A97556">
      <w:pPr>
        <w:ind w:left="851" w:hanging="851"/>
        <w:rPr>
          <w:sz w:val="24"/>
          <w:szCs w:val="24"/>
        </w:rPr>
      </w:pPr>
    </w:p>
    <w:p w14:paraId="5599C5FA" w14:textId="77777777" w:rsidR="00A97556" w:rsidRPr="006E31EE" w:rsidRDefault="00A97556" w:rsidP="00A97556">
      <w:pPr>
        <w:ind w:left="851"/>
        <w:rPr>
          <w:sz w:val="24"/>
          <w:szCs w:val="24"/>
        </w:rPr>
      </w:pPr>
      <w:r w:rsidRPr="006E31EE">
        <w:rPr>
          <w:sz w:val="24"/>
          <w:szCs w:val="24"/>
        </w:rPr>
        <w:t xml:space="preserve">På basis af resultaterne af </w:t>
      </w:r>
      <w:r w:rsidRPr="006E31EE">
        <w:rPr>
          <w:i/>
          <w:sz w:val="24"/>
          <w:szCs w:val="24"/>
        </w:rPr>
        <w:t>in vitro</w:t>
      </w:r>
      <w:r w:rsidRPr="006E31EE">
        <w:rPr>
          <w:sz w:val="24"/>
          <w:szCs w:val="24"/>
        </w:rPr>
        <w:t xml:space="preserve">-studier og tenofovirs kendte eliminationsvej er potentialet for CYP450-medierede interaktioner, hvor tenofovir er involveret sammen med andre lægemidler, lav. </w:t>
      </w:r>
    </w:p>
    <w:p w14:paraId="074CDD18" w14:textId="77777777" w:rsidR="00A97556" w:rsidRPr="006E31EE" w:rsidRDefault="00A97556" w:rsidP="00A97556">
      <w:pPr>
        <w:ind w:left="851" w:hanging="851"/>
        <w:rPr>
          <w:sz w:val="24"/>
          <w:szCs w:val="24"/>
        </w:rPr>
      </w:pPr>
    </w:p>
    <w:p w14:paraId="2ACA89F5" w14:textId="77777777" w:rsidR="00A97556" w:rsidRPr="006E31EE" w:rsidRDefault="00A97556" w:rsidP="00A97556">
      <w:pPr>
        <w:ind w:left="851"/>
        <w:rPr>
          <w:sz w:val="24"/>
          <w:szCs w:val="24"/>
          <w:u w:val="single"/>
        </w:rPr>
      </w:pPr>
      <w:r w:rsidRPr="006E31EE">
        <w:rPr>
          <w:sz w:val="24"/>
          <w:szCs w:val="24"/>
          <w:u w:val="single"/>
        </w:rPr>
        <w:t xml:space="preserve">Samtidig brug anbefales ikke </w:t>
      </w:r>
    </w:p>
    <w:p w14:paraId="371B443C" w14:textId="77777777" w:rsidR="00A97556" w:rsidRPr="006E31EE" w:rsidRDefault="00A97556" w:rsidP="00A97556">
      <w:pPr>
        <w:ind w:left="851"/>
        <w:rPr>
          <w:sz w:val="24"/>
          <w:szCs w:val="24"/>
        </w:rPr>
      </w:pPr>
      <w:r w:rsidRPr="006E31EE">
        <w:rPr>
          <w:sz w:val="24"/>
          <w:szCs w:val="24"/>
        </w:rPr>
        <w:t xml:space="preserve">Tenofovir disoproxil "Sandoz" bør ikke tages samtidigt med andre lægemidler, der indeholder tenofovirdisoproxil eller tenofoviralafenamid. </w:t>
      </w:r>
    </w:p>
    <w:p w14:paraId="2C158F89" w14:textId="77777777" w:rsidR="00A97556" w:rsidRPr="006E31EE" w:rsidRDefault="00A97556" w:rsidP="00A97556">
      <w:pPr>
        <w:ind w:left="851" w:hanging="851"/>
        <w:rPr>
          <w:sz w:val="24"/>
          <w:szCs w:val="24"/>
        </w:rPr>
      </w:pPr>
    </w:p>
    <w:p w14:paraId="52303729" w14:textId="77777777" w:rsidR="00A97556" w:rsidRPr="006E31EE" w:rsidRDefault="00A97556" w:rsidP="00A97556">
      <w:pPr>
        <w:ind w:left="851"/>
        <w:rPr>
          <w:sz w:val="24"/>
          <w:szCs w:val="24"/>
        </w:rPr>
      </w:pPr>
      <w:r w:rsidRPr="006E31EE">
        <w:rPr>
          <w:sz w:val="24"/>
          <w:szCs w:val="24"/>
        </w:rPr>
        <w:t xml:space="preserve">Tenofovir disoproxil "Sandoz" bør ikke tages samtidigt med adefovirdipivoxil. </w:t>
      </w:r>
    </w:p>
    <w:p w14:paraId="1EC1092C" w14:textId="77777777" w:rsidR="00A97556" w:rsidRPr="006E31EE" w:rsidRDefault="00A97556" w:rsidP="00A97556">
      <w:pPr>
        <w:ind w:left="851" w:hanging="851"/>
        <w:rPr>
          <w:sz w:val="24"/>
          <w:szCs w:val="24"/>
        </w:rPr>
      </w:pPr>
    </w:p>
    <w:p w14:paraId="6E899853" w14:textId="77777777" w:rsidR="00A97556" w:rsidRPr="006E31EE" w:rsidRDefault="00A97556" w:rsidP="00A97556">
      <w:pPr>
        <w:ind w:left="851"/>
        <w:rPr>
          <w:i/>
          <w:sz w:val="24"/>
          <w:szCs w:val="24"/>
        </w:rPr>
      </w:pPr>
      <w:r w:rsidRPr="006E31EE">
        <w:rPr>
          <w:i/>
          <w:sz w:val="24"/>
          <w:szCs w:val="24"/>
        </w:rPr>
        <w:t>Didanosin</w:t>
      </w:r>
    </w:p>
    <w:p w14:paraId="2FA5A2F6" w14:textId="77777777" w:rsidR="00A97556" w:rsidRPr="006E31EE" w:rsidRDefault="00A97556" w:rsidP="00A97556">
      <w:pPr>
        <w:ind w:left="851"/>
        <w:rPr>
          <w:sz w:val="24"/>
          <w:szCs w:val="24"/>
        </w:rPr>
      </w:pPr>
      <w:r w:rsidRPr="006E31EE">
        <w:rPr>
          <w:sz w:val="24"/>
          <w:szCs w:val="24"/>
        </w:rPr>
        <w:t xml:space="preserve">Samtidig indgivelse af tenofovirdisoproxil og didanosin anbefales ikke (se pkt. 4.4 og tabel 1). </w:t>
      </w:r>
    </w:p>
    <w:p w14:paraId="0069861F" w14:textId="77777777" w:rsidR="00A97556" w:rsidRPr="006E31EE" w:rsidRDefault="00A97556" w:rsidP="00A97556">
      <w:pPr>
        <w:ind w:left="851" w:hanging="851"/>
        <w:rPr>
          <w:sz w:val="24"/>
          <w:szCs w:val="24"/>
        </w:rPr>
      </w:pPr>
    </w:p>
    <w:p w14:paraId="6B4B0310" w14:textId="77777777" w:rsidR="00A97556" w:rsidRPr="006E31EE" w:rsidRDefault="00A97556" w:rsidP="00A97556">
      <w:pPr>
        <w:ind w:left="851"/>
        <w:rPr>
          <w:i/>
          <w:sz w:val="24"/>
          <w:szCs w:val="24"/>
        </w:rPr>
      </w:pPr>
      <w:r w:rsidRPr="006E31EE">
        <w:rPr>
          <w:i/>
          <w:sz w:val="24"/>
          <w:szCs w:val="24"/>
        </w:rPr>
        <w:t xml:space="preserve">Lægemidler, som udskilles gennem nyrerne </w:t>
      </w:r>
    </w:p>
    <w:p w14:paraId="37C178AC" w14:textId="77777777" w:rsidR="00A97556" w:rsidRPr="006E31EE" w:rsidRDefault="00A97556" w:rsidP="00A97556">
      <w:pPr>
        <w:ind w:left="851"/>
        <w:rPr>
          <w:sz w:val="24"/>
          <w:szCs w:val="24"/>
        </w:rPr>
      </w:pPr>
      <w:r w:rsidRPr="006E31EE">
        <w:rPr>
          <w:sz w:val="24"/>
          <w:szCs w:val="24"/>
        </w:rPr>
        <w:t xml:space="preserve">Da tenofovir primært udskilles gennem nyrerne, kan administration af tenofovirdisoproxil samtidig med lægemidler, der reducerer nyrefunktionen eller konkurrerer om aktiv tubulær secernering via transportproteinerne hOAT 1, hOAT 3 eller MRP 4 (f.eks. cidofovir), øge serumkoncentrationerne af tenofovir og/eller de samtidigt administrerede lægemidler. </w:t>
      </w:r>
    </w:p>
    <w:p w14:paraId="143F2A17" w14:textId="77777777" w:rsidR="00A97556" w:rsidRPr="006E31EE" w:rsidRDefault="00A97556" w:rsidP="00A97556">
      <w:pPr>
        <w:ind w:left="851" w:hanging="851"/>
        <w:rPr>
          <w:sz w:val="24"/>
          <w:szCs w:val="24"/>
        </w:rPr>
      </w:pPr>
    </w:p>
    <w:p w14:paraId="563E7265" w14:textId="77777777" w:rsidR="00A97556" w:rsidRPr="006E31EE" w:rsidRDefault="00A97556" w:rsidP="00A97556">
      <w:pPr>
        <w:ind w:left="851"/>
        <w:rPr>
          <w:sz w:val="24"/>
          <w:szCs w:val="24"/>
        </w:rPr>
      </w:pPr>
      <w:r w:rsidRPr="006E31EE">
        <w:rPr>
          <w:sz w:val="24"/>
          <w:szCs w:val="24"/>
        </w:rPr>
        <w:t xml:space="preserve">Brug af tenofovirdisoproxil bør undgås ved samtidig eller nylig brug af et nefrotoksisk lægemiddel. Eksempler herpå omfatter, men er ikke begrænsede til, aminoglykosider, amphotericin B, foscarnet, ganciclovir, pentamidin, vancomycin, cidofovir eller interleukin-2 (se pkt. 4.4). </w:t>
      </w:r>
    </w:p>
    <w:p w14:paraId="34B775D1" w14:textId="77777777" w:rsidR="00A97556" w:rsidRPr="006E31EE" w:rsidRDefault="00A97556" w:rsidP="00A97556">
      <w:pPr>
        <w:ind w:left="851" w:hanging="851"/>
        <w:rPr>
          <w:sz w:val="24"/>
          <w:szCs w:val="24"/>
        </w:rPr>
      </w:pPr>
    </w:p>
    <w:p w14:paraId="7D2FA6B1" w14:textId="77777777" w:rsidR="00A97556" w:rsidRPr="006E31EE" w:rsidRDefault="00A97556" w:rsidP="00A97556">
      <w:pPr>
        <w:ind w:left="851"/>
        <w:rPr>
          <w:sz w:val="24"/>
          <w:szCs w:val="24"/>
        </w:rPr>
      </w:pPr>
      <w:r w:rsidRPr="006E31EE">
        <w:rPr>
          <w:sz w:val="24"/>
          <w:szCs w:val="24"/>
        </w:rPr>
        <w:t xml:space="preserve">Da tacrolimus kan påvirke nyrefunktionen, anbefales tæt monitorering, når det administreres samtidigt med tenofovirdisoproxil. </w:t>
      </w:r>
    </w:p>
    <w:p w14:paraId="281AD75A" w14:textId="77777777" w:rsidR="00A97556" w:rsidRPr="006E31EE" w:rsidRDefault="00A97556" w:rsidP="00A97556">
      <w:pPr>
        <w:ind w:left="851" w:hanging="851"/>
        <w:rPr>
          <w:sz w:val="24"/>
          <w:szCs w:val="24"/>
        </w:rPr>
      </w:pPr>
    </w:p>
    <w:p w14:paraId="28C465B3" w14:textId="77777777" w:rsidR="00A97556" w:rsidRPr="006E31EE" w:rsidRDefault="00A97556" w:rsidP="00A97556">
      <w:pPr>
        <w:ind w:left="851"/>
        <w:rPr>
          <w:sz w:val="24"/>
          <w:szCs w:val="24"/>
          <w:u w:val="single"/>
        </w:rPr>
      </w:pPr>
      <w:r w:rsidRPr="006E31EE">
        <w:rPr>
          <w:sz w:val="24"/>
          <w:szCs w:val="24"/>
          <w:u w:val="single"/>
        </w:rPr>
        <w:t xml:space="preserve">Andre interaktioner </w:t>
      </w:r>
    </w:p>
    <w:p w14:paraId="32A57BB7" w14:textId="36B5C89E" w:rsidR="00A97556" w:rsidRPr="006E31EE" w:rsidRDefault="00A97556" w:rsidP="00285E88">
      <w:pPr>
        <w:ind w:left="851"/>
        <w:rPr>
          <w:sz w:val="24"/>
          <w:szCs w:val="24"/>
        </w:rPr>
      </w:pPr>
      <w:r w:rsidRPr="006E31EE">
        <w:rPr>
          <w:sz w:val="24"/>
          <w:szCs w:val="24"/>
        </w:rPr>
        <w:t>Interaktioner mellem tenofovirdisoproxil og proteasehæmmere samt andre antiretrovirale lægemidler end proteasehæmmere ses i tabel 1 nedenfor (stigning er angivet som "↑", fald som "↓", ingen ændring som "↔", to gange dagligt som "b.i.d.", en gang dagligt som "q.d.").</w:t>
      </w:r>
    </w:p>
    <w:p w14:paraId="1187FB3E" w14:textId="77777777" w:rsidR="00A97556" w:rsidRPr="006E31EE" w:rsidRDefault="00A97556" w:rsidP="00A97556">
      <w:pPr>
        <w:ind w:left="851" w:hanging="851"/>
        <w:rPr>
          <w:b/>
          <w:sz w:val="24"/>
          <w:szCs w:val="24"/>
          <w:lang w:eastAsia="da-DK"/>
        </w:rPr>
      </w:pPr>
    </w:p>
    <w:p w14:paraId="28BE323F" w14:textId="77777777" w:rsidR="00A97556" w:rsidRPr="006E31EE" w:rsidRDefault="00A97556" w:rsidP="00A97556">
      <w:pPr>
        <w:ind w:left="851" w:hanging="851"/>
        <w:rPr>
          <w:b/>
          <w:sz w:val="24"/>
          <w:szCs w:val="24"/>
          <w:lang w:eastAsia="da-DK"/>
        </w:rPr>
      </w:pPr>
      <w:r w:rsidRPr="006E31EE">
        <w:rPr>
          <w:b/>
          <w:sz w:val="24"/>
          <w:szCs w:val="24"/>
          <w:lang w:eastAsia="da-DK"/>
        </w:rPr>
        <w:t>Tabel 1: Interaktioner mellem tenofovirdisoproxil og andre lægemidler</w:t>
      </w:r>
    </w:p>
    <w:p w14:paraId="239A619F" w14:textId="77777777" w:rsidR="00A97556" w:rsidRPr="006E31EE" w:rsidRDefault="00A97556" w:rsidP="00A97556">
      <w:pPr>
        <w:ind w:left="851" w:hanging="851"/>
        <w:rPr>
          <w:b/>
          <w:sz w:val="24"/>
          <w:szCs w:val="24"/>
          <w:lang w:eastAsia="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041"/>
        <w:gridCol w:w="17"/>
        <w:gridCol w:w="3361"/>
      </w:tblGrid>
      <w:tr w:rsidR="00CA3916" w:rsidRPr="006E31EE" w14:paraId="197F0DC4" w14:textId="77777777" w:rsidTr="005E3C92">
        <w:tc>
          <w:tcPr>
            <w:tcW w:w="1667" w:type="pct"/>
            <w:hideMark/>
          </w:tcPr>
          <w:p w14:paraId="5FBFAA46" w14:textId="77777777" w:rsidR="00CA3916" w:rsidRPr="006E31EE" w:rsidRDefault="00CA3916" w:rsidP="005E3C92">
            <w:pPr>
              <w:rPr>
                <w:b/>
                <w:sz w:val="22"/>
                <w:szCs w:val="22"/>
                <w:lang w:eastAsia="da-DK"/>
              </w:rPr>
            </w:pPr>
            <w:r w:rsidRPr="006E31EE">
              <w:rPr>
                <w:b/>
                <w:sz w:val="22"/>
                <w:szCs w:val="22"/>
                <w:lang w:eastAsia="da-DK"/>
              </w:rPr>
              <w:t>Lægemiddel iht. terapeutisk område (dosis i mg)</w:t>
            </w:r>
          </w:p>
        </w:tc>
        <w:tc>
          <w:tcPr>
            <w:tcW w:w="1579" w:type="pct"/>
            <w:hideMark/>
          </w:tcPr>
          <w:p w14:paraId="56F42F5F" w14:textId="77777777" w:rsidR="00CA3916" w:rsidRPr="006E31EE" w:rsidRDefault="00CA3916" w:rsidP="005E3C92">
            <w:pPr>
              <w:rPr>
                <w:b/>
                <w:sz w:val="22"/>
                <w:szCs w:val="22"/>
                <w:lang w:eastAsia="da-DK"/>
              </w:rPr>
            </w:pPr>
            <w:r w:rsidRPr="006E31EE">
              <w:rPr>
                <w:b/>
                <w:sz w:val="22"/>
                <w:szCs w:val="22"/>
                <w:lang w:eastAsia="da-DK"/>
              </w:rPr>
              <w:t>Virkning på medicinindhold</w:t>
            </w:r>
          </w:p>
          <w:p w14:paraId="70CA3796" w14:textId="77777777" w:rsidR="00CA3916" w:rsidRPr="006E31EE" w:rsidRDefault="00CA3916" w:rsidP="005E3C92">
            <w:pPr>
              <w:rPr>
                <w:b/>
                <w:sz w:val="22"/>
                <w:szCs w:val="22"/>
                <w:lang w:eastAsia="da-DK"/>
              </w:rPr>
            </w:pPr>
            <w:r w:rsidRPr="006E31EE">
              <w:rPr>
                <w:b/>
                <w:sz w:val="22"/>
                <w:szCs w:val="22"/>
                <w:lang w:eastAsia="da-DK"/>
              </w:rPr>
              <w:t>Gennemsnitlig ændring (%) i AUC, C</w:t>
            </w:r>
            <w:r w:rsidRPr="006E31EE">
              <w:rPr>
                <w:b/>
                <w:sz w:val="22"/>
                <w:szCs w:val="22"/>
                <w:vertAlign w:val="subscript"/>
                <w:lang w:eastAsia="da-DK"/>
              </w:rPr>
              <w:t>max</w:t>
            </w:r>
            <w:r w:rsidRPr="006E31EE">
              <w:rPr>
                <w:b/>
                <w:sz w:val="22"/>
                <w:szCs w:val="22"/>
                <w:lang w:eastAsia="da-DK"/>
              </w:rPr>
              <w:t>, C</w:t>
            </w:r>
            <w:r w:rsidRPr="006E31EE">
              <w:rPr>
                <w:b/>
                <w:sz w:val="22"/>
                <w:szCs w:val="22"/>
                <w:vertAlign w:val="subscript"/>
                <w:lang w:eastAsia="da-DK"/>
              </w:rPr>
              <w:t>min</w:t>
            </w:r>
          </w:p>
        </w:tc>
        <w:tc>
          <w:tcPr>
            <w:tcW w:w="1754" w:type="pct"/>
            <w:gridSpan w:val="2"/>
            <w:hideMark/>
          </w:tcPr>
          <w:p w14:paraId="18C35ACC" w14:textId="77777777" w:rsidR="00CA3916" w:rsidRPr="006E31EE" w:rsidRDefault="00CA3916" w:rsidP="005E3C92">
            <w:pPr>
              <w:rPr>
                <w:b/>
                <w:sz w:val="22"/>
                <w:szCs w:val="22"/>
                <w:lang w:eastAsia="da-DK"/>
              </w:rPr>
            </w:pPr>
            <w:r w:rsidRPr="006E31EE">
              <w:rPr>
                <w:b/>
                <w:sz w:val="22"/>
                <w:szCs w:val="22"/>
                <w:lang w:eastAsia="da-DK"/>
              </w:rPr>
              <w:t>Anbefaling vedr. samtidig administration af 245 mg tenofovirdisoproxil</w:t>
            </w:r>
          </w:p>
        </w:tc>
      </w:tr>
      <w:tr w:rsidR="00CA3916" w:rsidRPr="006E31EE" w14:paraId="3FA31F49" w14:textId="77777777" w:rsidTr="005E3C92">
        <w:tc>
          <w:tcPr>
            <w:tcW w:w="5000" w:type="pct"/>
            <w:gridSpan w:val="4"/>
          </w:tcPr>
          <w:p w14:paraId="3A3FE0E2" w14:textId="77777777" w:rsidR="00CA3916" w:rsidRPr="006E31EE" w:rsidRDefault="00CA3916" w:rsidP="005E3C92">
            <w:pPr>
              <w:rPr>
                <w:b/>
                <w:sz w:val="22"/>
                <w:szCs w:val="22"/>
                <w:u w:val="single"/>
              </w:rPr>
            </w:pPr>
            <w:r w:rsidRPr="006E31EE">
              <w:rPr>
                <w:b/>
                <w:sz w:val="22"/>
                <w:szCs w:val="22"/>
                <w:lang w:eastAsia="da-DK"/>
              </w:rPr>
              <w:t>ANTIINFEKTIVA</w:t>
            </w:r>
          </w:p>
        </w:tc>
      </w:tr>
      <w:tr w:rsidR="00CA3916" w:rsidRPr="006E31EE" w14:paraId="7E52CF61" w14:textId="77777777" w:rsidTr="005E3C92">
        <w:tc>
          <w:tcPr>
            <w:tcW w:w="5000" w:type="pct"/>
            <w:gridSpan w:val="4"/>
          </w:tcPr>
          <w:p w14:paraId="6FF3FD8C" w14:textId="77777777" w:rsidR="00CA3916" w:rsidRPr="006E31EE" w:rsidRDefault="00CA3916" w:rsidP="005E3C92">
            <w:pPr>
              <w:rPr>
                <w:b/>
                <w:sz w:val="22"/>
                <w:szCs w:val="22"/>
                <w:u w:val="single"/>
              </w:rPr>
            </w:pPr>
            <w:r w:rsidRPr="006E31EE">
              <w:rPr>
                <w:b/>
                <w:sz w:val="22"/>
                <w:szCs w:val="22"/>
                <w:lang w:eastAsia="da-DK"/>
              </w:rPr>
              <w:t>Antiretrovirale lægemidler</w:t>
            </w:r>
          </w:p>
        </w:tc>
      </w:tr>
      <w:tr w:rsidR="00CA3916" w:rsidRPr="006E31EE" w14:paraId="4B52238F" w14:textId="77777777" w:rsidTr="005E3C92">
        <w:tc>
          <w:tcPr>
            <w:tcW w:w="5000" w:type="pct"/>
            <w:gridSpan w:val="4"/>
          </w:tcPr>
          <w:p w14:paraId="49EAAF41" w14:textId="77777777" w:rsidR="00CA3916" w:rsidRPr="006E31EE" w:rsidRDefault="00CA3916" w:rsidP="005E3C92">
            <w:pPr>
              <w:rPr>
                <w:b/>
                <w:sz w:val="22"/>
                <w:szCs w:val="22"/>
                <w:u w:val="single"/>
              </w:rPr>
            </w:pPr>
            <w:r w:rsidRPr="006E31EE">
              <w:rPr>
                <w:b/>
                <w:sz w:val="22"/>
                <w:szCs w:val="22"/>
                <w:lang w:eastAsia="da-DK"/>
              </w:rPr>
              <w:t>Proteasehæmmere</w:t>
            </w:r>
          </w:p>
        </w:tc>
      </w:tr>
      <w:tr w:rsidR="00CA3916" w:rsidRPr="006E31EE" w14:paraId="04663C13" w14:textId="77777777" w:rsidTr="005E3C92">
        <w:tc>
          <w:tcPr>
            <w:tcW w:w="1667" w:type="pct"/>
          </w:tcPr>
          <w:p w14:paraId="292B01B6" w14:textId="77777777" w:rsidR="00CA3916" w:rsidRPr="00C521AB" w:rsidRDefault="00CA3916" w:rsidP="005E3C92">
            <w:pPr>
              <w:rPr>
                <w:sz w:val="22"/>
                <w:szCs w:val="22"/>
                <w:lang w:val="en-US" w:eastAsia="da-DK"/>
              </w:rPr>
            </w:pPr>
            <w:r w:rsidRPr="00C521AB">
              <w:rPr>
                <w:sz w:val="22"/>
                <w:szCs w:val="22"/>
                <w:lang w:val="en-US" w:eastAsia="da-DK"/>
              </w:rPr>
              <w:t>Atazanavir/ritonavir</w:t>
            </w:r>
          </w:p>
          <w:p w14:paraId="71ED7802" w14:textId="77777777" w:rsidR="00CA3916" w:rsidRPr="00C521AB" w:rsidRDefault="00CA3916" w:rsidP="005E3C92">
            <w:pPr>
              <w:rPr>
                <w:sz w:val="22"/>
                <w:szCs w:val="22"/>
                <w:lang w:val="en-US" w:eastAsia="da-DK"/>
              </w:rPr>
            </w:pPr>
            <w:r w:rsidRPr="00C521AB">
              <w:rPr>
                <w:sz w:val="22"/>
                <w:szCs w:val="22"/>
                <w:lang w:val="en-US" w:eastAsia="da-DK"/>
              </w:rPr>
              <w:t xml:space="preserve">(300 q.d./100 q.d.) </w:t>
            </w:r>
          </w:p>
          <w:p w14:paraId="3E21DD36" w14:textId="77777777" w:rsidR="00CA3916" w:rsidRPr="00C521AB" w:rsidRDefault="00CA3916" w:rsidP="005E3C92">
            <w:pPr>
              <w:rPr>
                <w:sz w:val="22"/>
                <w:szCs w:val="22"/>
                <w:lang w:val="en-US" w:eastAsia="da-DK"/>
              </w:rPr>
            </w:pPr>
          </w:p>
        </w:tc>
        <w:tc>
          <w:tcPr>
            <w:tcW w:w="1579" w:type="pct"/>
          </w:tcPr>
          <w:p w14:paraId="34303D74" w14:textId="77777777" w:rsidR="00CA3916" w:rsidRPr="00C521AB" w:rsidRDefault="00CA3916" w:rsidP="005E3C92">
            <w:pPr>
              <w:rPr>
                <w:sz w:val="22"/>
                <w:szCs w:val="22"/>
                <w:lang w:val="en-US" w:eastAsia="da-DK"/>
              </w:rPr>
            </w:pPr>
            <w:r w:rsidRPr="00C521AB">
              <w:rPr>
                <w:sz w:val="22"/>
                <w:szCs w:val="22"/>
                <w:lang w:val="en-US" w:eastAsia="da-DK"/>
              </w:rPr>
              <w:t xml:space="preserve">Atazanavir: </w:t>
            </w:r>
          </w:p>
          <w:p w14:paraId="39B26701" w14:textId="77777777" w:rsidR="00CA3916" w:rsidRPr="00C521AB" w:rsidRDefault="00CA3916" w:rsidP="005E3C92">
            <w:pPr>
              <w:rPr>
                <w:sz w:val="22"/>
                <w:szCs w:val="22"/>
                <w:lang w:val="en-US" w:eastAsia="da-DK"/>
              </w:rPr>
            </w:pPr>
            <w:r w:rsidRPr="00C521AB">
              <w:rPr>
                <w:sz w:val="22"/>
                <w:szCs w:val="22"/>
                <w:lang w:val="en-US" w:eastAsia="da-DK"/>
              </w:rPr>
              <w:t xml:space="preserve">AUC: ↓ 25 % </w:t>
            </w:r>
          </w:p>
          <w:p w14:paraId="0C265F5E" w14:textId="77777777" w:rsidR="00CA3916" w:rsidRPr="00C521AB" w:rsidRDefault="00CA3916" w:rsidP="005E3C92">
            <w:pPr>
              <w:rPr>
                <w:sz w:val="22"/>
                <w:szCs w:val="22"/>
                <w:lang w:val="en-US" w:eastAsia="da-DK"/>
              </w:rPr>
            </w:pPr>
            <w:r w:rsidRPr="00C521AB">
              <w:rPr>
                <w:sz w:val="22"/>
                <w:szCs w:val="22"/>
                <w:lang w:val="en-US" w:eastAsia="da-DK"/>
              </w:rPr>
              <w:t>C</w:t>
            </w:r>
            <w:r w:rsidRPr="00C521AB">
              <w:rPr>
                <w:sz w:val="22"/>
                <w:szCs w:val="22"/>
                <w:vertAlign w:val="subscript"/>
                <w:lang w:val="en-US" w:eastAsia="da-DK"/>
              </w:rPr>
              <w:t>max</w:t>
            </w:r>
            <w:r w:rsidRPr="00C521AB">
              <w:rPr>
                <w:sz w:val="22"/>
                <w:szCs w:val="22"/>
                <w:lang w:val="en-US" w:eastAsia="da-DK"/>
              </w:rPr>
              <w:t xml:space="preserve">: ↓ 28 % </w:t>
            </w:r>
          </w:p>
          <w:p w14:paraId="37254FFF" w14:textId="77777777" w:rsidR="00CA3916" w:rsidRPr="00C521AB" w:rsidRDefault="00CA3916" w:rsidP="005E3C92">
            <w:pPr>
              <w:rPr>
                <w:sz w:val="22"/>
                <w:szCs w:val="22"/>
                <w:lang w:val="en-US" w:eastAsia="da-DK"/>
              </w:rPr>
            </w:pPr>
            <w:r w:rsidRPr="00C521AB">
              <w:rPr>
                <w:sz w:val="22"/>
                <w:szCs w:val="22"/>
                <w:lang w:val="en-US" w:eastAsia="da-DK"/>
              </w:rPr>
              <w:t>C</w:t>
            </w:r>
            <w:r w:rsidRPr="00C521AB">
              <w:rPr>
                <w:sz w:val="22"/>
                <w:szCs w:val="22"/>
                <w:vertAlign w:val="subscript"/>
                <w:lang w:val="en-US" w:eastAsia="da-DK"/>
              </w:rPr>
              <w:t>min</w:t>
            </w:r>
            <w:r w:rsidRPr="00C521AB">
              <w:rPr>
                <w:sz w:val="22"/>
                <w:szCs w:val="22"/>
                <w:lang w:val="en-US" w:eastAsia="da-DK"/>
              </w:rPr>
              <w:t xml:space="preserve">: ↓ 26 % </w:t>
            </w:r>
          </w:p>
          <w:p w14:paraId="2D7AC1FB" w14:textId="77777777" w:rsidR="00CA3916" w:rsidRPr="00C521AB" w:rsidRDefault="00CA3916" w:rsidP="005E3C92">
            <w:pPr>
              <w:rPr>
                <w:sz w:val="22"/>
                <w:szCs w:val="22"/>
                <w:lang w:val="en-US" w:eastAsia="da-DK"/>
              </w:rPr>
            </w:pPr>
          </w:p>
          <w:p w14:paraId="59707394" w14:textId="77777777" w:rsidR="00CA3916" w:rsidRPr="00C521AB" w:rsidRDefault="00CA3916" w:rsidP="005E3C92">
            <w:pPr>
              <w:rPr>
                <w:sz w:val="22"/>
                <w:szCs w:val="22"/>
                <w:lang w:val="en-US" w:eastAsia="da-DK"/>
              </w:rPr>
            </w:pPr>
            <w:r w:rsidRPr="00C521AB">
              <w:rPr>
                <w:sz w:val="22"/>
                <w:szCs w:val="22"/>
                <w:lang w:val="en-US" w:eastAsia="da-DK"/>
              </w:rPr>
              <w:t xml:space="preserve">Tenofovir: </w:t>
            </w:r>
          </w:p>
          <w:p w14:paraId="4A0ED3D9" w14:textId="77777777" w:rsidR="00CA3916" w:rsidRPr="006E31EE" w:rsidRDefault="00CA3916" w:rsidP="005E3C92">
            <w:pPr>
              <w:rPr>
                <w:sz w:val="22"/>
                <w:szCs w:val="22"/>
                <w:lang w:eastAsia="da-DK"/>
              </w:rPr>
            </w:pPr>
            <w:r w:rsidRPr="006E31EE">
              <w:rPr>
                <w:sz w:val="22"/>
                <w:szCs w:val="22"/>
                <w:lang w:eastAsia="da-DK"/>
              </w:rPr>
              <w:t xml:space="preserve">AUC: ↑ 37 % </w:t>
            </w:r>
          </w:p>
          <w:p w14:paraId="35E218EE" w14:textId="77777777" w:rsidR="00CA3916" w:rsidRPr="006E31EE" w:rsidRDefault="00CA3916" w:rsidP="005E3C92">
            <w:pPr>
              <w:rPr>
                <w:sz w:val="22"/>
                <w:szCs w:val="22"/>
                <w:lang w:eastAsia="da-DK"/>
              </w:rPr>
            </w:pPr>
            <w:r w:rsidRPr="006E31EE">
              <w:rPr>
                <w:sz w:val="22"/>
                <w:szCs w:val="22"/>
                <w:lang w:eastAsia="da-DK"/>
              </w:rPr>
              <w:t>C</w:t>
            </w:r>
            <w:r w:rsidRPr="006E31EE">
              <w:rPr>
                <w:sz w:val="22"/>
                <w:szCs w:val="22"/>
                <w:vertAlign w:val="subscript"/>
                <w:lang w:eastAsia="da-DK"/>
              </w:rPr>
              <w:t>max</w:t>
            </w:r>
            <w:r w:rsidRPr="006E31EE">
              <w:rPr>
                <w:sz w:val="22"/>
                <w:szCs w:val="22"/>
                <w:lang w:eastAsia="da-DK"/>
              </w:rPr>
              <w:t xml:space="preserve">: ↑ 34 % </w:t>
            </w:r>
          </w:p>
          <w:p w14:paraId="3DE327EB" w14:textId="77777777" w:rsidR="00CA3916" w:rsidRPr="006E31EE" w:rsidRDefault="00CA3916" w:rsidP="005E3C92">
            <w:pPr>
              <w:rPr>
                <w:sz w:val="22"/>
                <w:szCs w:val="22"/>
                <w:lang w:eastAsia="da-DK"/>
              </w:rPr>
            </w:pPr>
            <w:r w:rsidRPr="006E31EE">
              <w:rPr>
                <w:sz w:val="22"/>
                <w:szCs w:val="22"/>
                <w:lang w:eastAsia="da-DK"/>
              </w:rPr>
              <w:t>C</w:t>
            </w:r>
            <w:r w:rsidRPr="006E31EE">
              <w:rPr>
                <w:sz w:val="22"/>
                <w:szCs w:val="22"/>
                <w:vertAlign w:val="subscript"/>
                <w:lang w:eastAsia="da-DK"/>
              </w:rPr>
              <w:t>min</w:t>
            </w:r>
            <w:r w:rsidRPr="006E31EE">
              <w:rPr>
                <w:sz w:val="22"/>
                <w:szCs w:val="22"/>
                <w:lang w:eastAsia="da-DK"/>
              </w:rPr>
              <w:t xml:space="preserve">: ↑ 29 % </w:t>
            </w:r>
          </w:p>
        </w:tc>
        <w:tc>
          <w:tcPr>
            <w:tcW w:w="1754" w:type="pct"/>
            <w:gridSpan w:val="2"/>
          </w:tcPr>
          <w:p w14:paraId="4E7F4AD2" w14:textId="77777777" w:rsidR="00CA3916" w:rsidRPr="006E31EE" w:rsidRDefault="00CA3916" w:rsidP="005E3C92">
            <w:pPr>
              <w:rPr>
                <w:sz w:val="22"/>
                <w:szCs w:val="22"/>
                <w:lang w:eastAsia="da-DK"/>
              </w:rPr>
            </w:pPr>
            <w:r w:rsidRPr="006E31EE">
              <w:rPr>
                <w:sz w:val="22"/>
                <w:szCs w:val="22"/>
                <w:lang w:eastAsia="da-DK"/>
              </w:rPr>
              <w:t xml:space="preserve">Der er ingen anbefalet dosisjustering. Den forøgede tenofovir-eksponering kan forstærke effekten af bivirkninger ved tenofovir, herunder nyresygdomme. Nyrefunktionen skal monitoreres tæt (se pkt. 4.4). </w:t>
            </w:r>
          </w:p>
        </w:tc>
      </w:tr>
      <w:tr w:rsidR="00CA3916" w:rsidRPr="006E31EE" w14:paraId="42D073A1" w14:textId="77777777" w:rsidTr="005E3C92">
        <w:trPr>
          <w:trHeight w:val="2339"/>
        </w:trPr>
        <w:tc>
          <w:tcPr>
            <w:tcW w:w="1667" w:type="pct"/>
          </w:tcPr>
          <w:p w14:paraId="611B59F3" w14:textId="77777777" w:rsidR="00CA3916" w:rsidRPr="00C521AB" w:rsidRDefault="00CA3916" w:rsidP="005E3C92">
            <w:pPr>
              <w:rPr>
                <w:sz w:val="22"/>
                <w:szCs w:val="22"/>
                <w:lang w:val="en-US" w:eastAsia="da-DK"/>
              </w:rPr>
            </w:pPr>
            <w:r w:rsidRPr="00C521AB">
              <w:rPr>
                <w:sz w:val="22"/>
                <w:szCs w:val="22"/>
                <w:lang w:val="en-US" w:eastAsia="da-DK"/>
              </w:rPr>
              <w:lastRenderedPageBreak/>
              <w:t xml:space="preserve">Lopinavir/ritonavir </w:t>
            </w:r>
          </w:p>
          <w:p w14:paraId="7156B031" w14:textId="77777777" w:rsidR="00CA3916" w:rsidRPr="00C521AB" w:rsidRDefault="00CA3916" w:rsidP="005E3C92">
            <w:pPr>
              <w:rPr>
                <w:sz w:val="22"/>
                <w:szCs w:val="22"/>
                <w:lang w:val="en-US" w:eastAsia="da-DK"/>
              </w:rPr>
            </w:pPr>
            <w:r w:rsidRPr="00C521AB">
              <w:rPr>
                <w:sz w:val="22"/>
                <w:szCs w:val="22"/>
                <w:lang w:val="en-US" w:eastAsia="da-DK"/>
              </w:rPr>
              <w:t xml:space="preserve">(400 b.i.d./100 b.i.d.) </w:t>
            </w:r>
          </w:p>
        </w:tc>
        <w:tc>
          <w:tcPr>
            <w:tcW w:w="1579" w:type="pct"/>
          </w:tcPr>
          <w:p w14:paraId="25B23DBD" w14:textId="77777777" w:rsidR="00CA3916" w:rsidRPr="006E31EE" w:rsidRDefault="00CA3916" w:rsidP="005E3C92">
            <w:pPr>
              <w:rPr>
                <w:sz w:val="22"/>
                <w:szCs w:val="22"/>
                <w:lang w:eastAsia="da-DK"/>
              </w:rPr>
            </w:pPr>
            <w:r w:rsidRPr="006E31EE">
              <w:rPr>
                <w:sz w:val="22"/>
                <w:szCs w:val="22"/>
                <w:lang w:eastAsia="da-DK"/>
              </w:rPr>
              <w:t xml:space="preserve">Lopinavir/ritonavir: </w:t>
            </w:r>
          </w:p>
          <w:p w14:paraId="41F751E7" w14:textId="77777777" w:rsidR="00CA3916" w:rsidRPr="006E31EE" w:rsidRDefault="00CA3916" w:rsidP="005E3C92">
            <w:pPr>
              <w:rPr>
                <w:sz w:val="22"/>
                <w:szCs w:val="22"/>
                <w:lang w:eastAsia="da-DK"/>
              </w:rPr>
            </w:pPr>
            <w:r w:rsidRPr="006E31EE">
              <w:rPr>
                <w:sz w:val="22"/>
                <w:szCs w:val="22"/>
                <w:lang w:eastAsia="da-DK"/>
              </w:rPr>
              <w:t xml:space="preserve">Ingen signifikant virkning på de farmakokinetiske parametre for lopinavir/ritonavir. </w:t>
            </w:r>
          </w:p>
          <w:p w14:paraId="480DE761" w14:textId="77777777" w:rsidR="00CA3916" w:rsidRPr="006E31EE" w:rsidRDefault="00CA3916" w:rsidP="005E3C92">
            <w:pPr>
              <w:rPr>
                <w:sz w:val="22"/>
                <w:szCs w:val="22"/>
                <w:lang w:eastAsia="da-DK"/>
              </w:rPr>
            </w:pPr>
          </w:p>
          <w:p w14:paraId="5872539F" w14:textId="77777777" w:rsidR="00CA3916" w:rsidRPr="006E31EE" w:rsidRDefault="00CA3916" w:rsidP="005E3C92">
            <w:pPr>
              <w:rPr>
                <w:sz w:val="22"/>
                <w:szCs w:val="22"/>
                <w:lang w:eastAsia="da-DK"/>
              </w:rPr>
            </w:pPr>
            <w:r w:rsidRPr="006E31EE">
              <w:rPr>
                <w:sz w:val="22"/>
                <w:szCs w:val="22"/>
                <w:lang w:eastAsia="da-DK"/>
              </w:rPr>
              <w:t xml:space="preserve">Tenofovir: </w:t>
            </w:r>
          </w:p>
          <w:p w14:paraId="34FEDD5E" w14:textId="77777777" w:rsidR="00CA3916" w:rsidRPr="006E31EE" w:rsidRDefault="00CA3916" w:rsidP="005E3C92">
            <w:pPr>
              <w:rPr>
                <w:sz w:val="22"/>
                <w:szCs w:val="22"/>
                <w:lang w:eastAsia="da-DK"/>
              </w:rPr>
            </w:pPr>
            <w:r w:rsidRPr="006E31EE">
              <w:rPr>
                <w:sz w:val="22"/>
                <w:szCs w:val="22"/>
                <w:lang w:eastAsia="da-DK"/>
              </w:rPr>
              <w:t xml:space="preserve">AUC: ↑ 32 % </w:t>
            </w:r>
          </w:p>
          <w:p w14:paraId="307F3A7D" w14:textId="77777777" w:rsidR="00CA3916" w:rsidRPr="006E31EE" w:rsidRDefault="00CA3916" w:rsidP="005E3C92">
            <w:pPr>
              <w:rPr>
                <w:sz w:val="22"/>
                <w:szCs w:val="22"/>
                <w:lang w:eastAsia="da-DK"/>
              </w:rPr>
            </w:pPr>
            <w:r w:rsidRPr="006E31EE">
              <w:rPr>
                <w:sz w:val="22"/>
                <w:szCs w:val="22"/>
                <w:lang w:eastAsia="da-DK"/>
              </w:rPr>
              <w:t>C</w:t>
            </w:r>
            <w:r w:rsidRPr="006E31EE">
              <w:rPr>
                <w:sz w:val="22"/>
                <w:szCs w:val="22"/>
                <w:vertAlign w:val="subscript"/>
                <w:lang w:eastAsia="da-DK"/>
              </w:rPr>
              <w:t>max</w:t>
            </w:r>
            <w:r w:rsidRPr="006E31EE">
              <w:rPr>
                <w:sz w:val="22"/>
                <w:szCs w:val="22"/>
                <w:lang w:eastAsia="da-DK"/>
              </w:rPr>
              <w:t xml:space="preserve">: ↔ </w:t>
            </w:r>
          </w:p>
          <w:p w14:paraId="1BF390FF" w14:textId="77777777" w:rsidR="00CA3916" w:rsidRPr="006E31EE" w:rsidRDefault="00CA3916" w:rsidP="005E3C92">
            <w:pPr>
              <w:rPr>
                <w:sz w:val="22"/>
                <w:szCs w:val="22"/>
                <w:lang w:eastAsia="da-DK"/>
              </w:rPr>
            </w:pPr>
            <w:r w:rsidRPr="006E31EE">
              <w:rPr>
                <w:sz w:val="22"/>
                <w:szCs w:val="22"/>
                <w:lang w:eastAsia="da-DK"/>
              </w:rPr>
              <w:t>C</w:t>
            </w:r>
            <w:r w:rsidRPr="006E31EE">
              <w:rPr>
                <w:sz w:val="22"/>
                <w:szCs w:val="22"/>
                <w:vertAlign w:val="subscript"/>
                <w:lang w:eastAsia="da-DK"/>
              </w:rPr>
              <w:t>min</w:t>
            </w:r>
            <w:r w:rsidRPr="006E31EE">
              <w:rPr>
                <w:sz w:val="22"/>
                <w:szCs w:val="22"/>
                <w:lang w:eastAsia="da-DK"/>
              </w:rPr>
              <w:t xml:space="preserve">: ↑ 51 % </w:t>
            </w:r>
          </w:p>
        </w:tc>
        <w:tc>
          <w:tcPr>
            <w:tcW w:w="1754" w:type="pct"/>
            <w:gridSpan w:val="2"/>
          </w:tcPr>
          <w:p w14:paraId="6A0E5A54" w14:textId="77777777" w:rsidR="00CA3916" w:rsidRPr="006E31EE" w:rsidRDefault="00CA3916" w:rsidP="005E3C92">
            <w:pPr>
              <w:rPr>
                <w:sz w:val="22"/>
                <w:szCs w:val="22"/>
                <w:lang w:eastAsia="da-DK"/>
              </w:rPr>
            </w:pPr>
            <w:r w:rsidRPr="006E31EE">
              <w:rPr>
                <w:sz w:val="22"/>
                <w:szCs w:val="22"/>
                <w:lang w:eastAsia="da-DK"/>
              </w:rPr>
              <w:t xml:space="preserve">Der er ingen anbefalet dosisjustering. Den forøgede tenofovir-eksponering kan forstærke effekten af bivirkninger ved tenofovir, herunder nyresygdomme. Nyrefunktionen skal monitoreres tæt (se pkt. 4.4). </w:t>
            </w:r>
          </w:p>
          <w:p w14:paraId="43AC4499" w14:textId="77777777" w:rsidR="00CA3916" w:rsidRPr="006E31EE" w:rsidRDefault="00CA3916" w:rsidP="005E3C92">
            <w:pPr>
              <w:rPr>
                <w:sz w:val="22"/>
                <w:szCs w:val="22"/>
                <w:lang w:eastAsia="da-DK"/>
              </w:rPr>
            </w:pPr>
          </w:p>
        </w:tc>
      </w:tr>
      <w:tr w:rsidR="00CA3916" w:rsidRPr="006E31EE" w14:paraId="00F7887B" w14:textId="77777777" w:rsidTr="005E3C92">
        <w:tc>
          <w:tcPr>
            <w:tcW w:w="1667" w:type="pct"/>
          </w:tcPr>
          <w:p w14:paraId="51F0BD5B" w14:textId="77777777" w:rsidR="00CA3916" w:rsidRPr="00E70F73" w:rsidRDefault="00CA3916" w:rsidP="005E3C92">
            <w:pPr>
              <w:rPr>
                <w:sz w:val="22"/>
                <w:szCs w:val="22"/>
                <w:lang w:val="sv-SE" w:eastAsia="da-DK"/>
              </w:rPr>
            </w:pPr>
            <w:r w:rsidRPr="00E70F73">
              <w:rPr>
                <w:sz w:val="22"/>
                <w:szCs w:val="22"/>
                <w:lang w:val="sv-SE" w:eastAsia="da-DK"/>
              </w:rPr>
              <w:t xml:space="preserve">Darunavir/ritonavir </w:t>
            </w:r>
          </w:p>
          <w:p w14:paraId="1B9D2C0B" w14:textId="77777777" w:rsidR="00CA3916" w:rsidRPr="00E70F73" w:rsidRDefault="00CA3916" w:rsidP="005E3C92">
            <w:pPr>
              <w:rPr>
                <w:sz w:val="22"/>
                <w:szCs w:val="22"/>
                <w:lang w:val="sv-SE" w:eastAsia="da-DK"/>
              </w:rPr>
            </w:pPr>
            <w:r w:rsidRPr="00E70F73">
              <w:rPr>
                <w:sz w:val="22"/>
                <w:szCs w:val="22"/>
                <w:lang w:val="sv-SE" w:eastAsia="da-DK"/>
              </w:rPr>
              <w:t xml:space="preserve">(300/100 b.i.d.) </w:t>
            </w:r>
          </w:p>
        </w:tc>
        <w:tc>
          <w:tcPr>
            <w:tcW w:w="1579" w:type="pct"/>
          </w:tcPr>
          <w:p w14:paraId="77AF6F9E" w14:textId="77777777" w:rsidR="00CA3916" w:rsidRPr="006E31EE" w:rsidRDefault="00CA3916" w:rsidP="005E3C92">
            <w:pPr>
              <w:rPr>
                <w:sz w:val="22"/>
                <w:szCs w:val="22"/>
                <w:lang w:eastAsia="da-DK"/>
              </w:rPr>
            </w:pPr>
            <w:r w:rsidRPr="006E31EE">
              <w:rPr>
                <w:sz w:val="22"/>
                <w:szCs w:val="22"/>
                <w:lang w:eastAsia="da-DK"/>
              </w:rPr>
              <w:t xml:space="preserve">Darunavir: </w:t>
            </w:r>
          </w:p>
          <w:p w14:paraId="205A077F" w14:textId="77777777" w:rsidR="00CA3916" w:rsidRPr="006E31EE" w:rsidRDefault="00CA3916" w:rsidP="005E3C92">
            <w:pPr>
              <w:rPr>
                <w:sz w:val="22"/>
                <w:szCs w:val="22"/>
                <w:lang w:eastAsia="da-DK"/>
              </w:rPr>
            </w:pPr>
            <w:r w:rsidRPr="006E31EE">
              <w:rPr>
                <w:sz w:val="22"/>
                <w:szCs w:val="22"/>
                <w:lang w:eastAsia="da-DK"/>
              </w:rPr>
              <w:t xml:space="preserve">Ingen signifikant virkning på de farmakokinetiske parametre for darunavir/ritonavir. </w:t>
            </w:r>
          </w:p>
          <w:p w14:paraId="38DE59CB" w14:textId="77777777" w:rsidR="00CA3916" w:rsidRPr="006E31EE" w:rsidRDefault="00CA3916" w:rsidP="005E3C92">
            <w:pPr>
              <w:rPr>
                <w:sz w:val="22"/>
                <w:szCs w:val="22"/>
                <w:lang w:eastAsia="da-DK"/>
              </w:rPr>
            </w:pPr>
          </w:p>
          <w:p w14:paraId="4527A599" w14:textId="77777777" w:rsidR="00CA3916" w:rsidRPr="006E31EE" w:rsidRDefault="00CA3916" w:rsidP="005E3C92">
            <w:pPr>
              <w:rPr>
                <w:sz w:val="22"/>
                <w:szCs w:val="22"/>
                <w:lang w:eastAsia="da-DK"/>
              </w:rPr>
            </w:pPr>
            <w:r w:rsidRPr="006E31EE">
              <w:rPr>
                <w:sz w:val="22"/>
                <w:szCs w:val="22"/>
                <w:lang w:eastAsia="da-DK"/>
              </w:rPr>
              <w:t xml:space="preserve">Tenofovir: </w:t>
            </w:r>
          </w:p>
          <w:p w14:paraId="1D08CB28" w14:textId="77777777" w:rsidR="00CA3916" w:rsidRPr="006E31EE" w:rsidRDefault="00CA3916" w:rsidP="005E3C92">
            <w:pPr>
              <w:rPr>
                <w:sz w:val="22"/>
                <w:szCs w:val="22"/>
                <w:lang w:eastAsia="da-DK"/>
              </w:rPr>
            </w:pPr>
            <w:r w:rsidRPr="006E31EE">
              <w:rPr>
                <w:sz w:val="22"/>
                <w:szCs w:val="22"/>
                <w:lang w:eastAsia="da-DK"/>
              </w:rPr>
              <w:t xml:space="preserve">AUC: ↑ 22 % </w:t>
            </w:r>
          </w:p>
          <w:p w14:paraId="75667892" w14:textId="77777777" w:rsidR="00CA3916" w:rsidRPr="006E31EE" w:rsidRDefault="00CA3916" w:rsidP="005E3C92">
            <w:pPr>
              <w:rPr>
                <w:sz w:val="22"/>
                <w:szCs w:val="22"/>
                <w:lang w:eastAsia="da-DK"/>
              </w:rPr>
            </w:pPr>
            <w:r w:rsidRPr="006E31EE">
              <w:rPr>
                <w:sz w:val="22"/>
                <w:szCs w:val="22"/>
                <w:lang w:eastAsia="da-DK"/>
              </w:rPr>
              <w:t>C</w:t>
            </w:r>
            <w:r w:rsidRPr="006E31EE">
              <w:rPr>
                <w:sz w:val="22"/>
                <w:szCs w:val="22"/>
                <w:vertAlign w:val="subscript"/>
                <w:lang w:eastAsia="da-DK"/>
              </w:rPr>
              <w:t>min</w:t>
            </w:r>
            <w:r w:rsidRPr="006E31EE">
              <w:rPr>
                <w:sz w:val="22"/>
                <w:szCs w:val="22"/>
                <w:lang w:eastAsia="da-DK"/>
              </w:rPr>
              <w:t xml:space="preserve">: ↑ 37 % </w:t>
            </w:r>
          </w:p>
        </w:tc>
        <w:tc>
          <w:tcPr>
            <w:tcW w:w="1754" w:type="pct"/>
            <w:gridSpan w:val="2"/>
          </w:tcPr>
          <w:p w14:paraId="772C7E55" w14:textId="77777777" w:rsidR="00CA3916" w:rsidRPr="006E31EE" w:rsidRDefault="00CA3916" w:rsidP="005E3C92">
            <w:pPr>
              <w:rPr>
                <w:sz w:val="22"/>
                <w:szCs w:val="22"/>
                <w:lang w:eastAsia="da-DK"/>
              </w:rPr>
            </w:pPr>
            <w:r w:rsidRPr="006E31EE">
              <w:rPr>
                <w:sz w:val="22"/>
                <w:szCs w:val="22"/>
                <w:lang w:eastAsia="da-DK"/>
              </w:rPr>
              <w:t>Der er ingen anbefalet dosisjustering. Den forøgede tenofovir-eksponering kan forstærke effekten af bivirkninger ved tenofovir, herunder nyresygdomme. Nyrefunktionen skal monitoreres tæt (se pkt. 4.4).</w:t>
            </w:r>
          </w:p>
        </w:tc>
      </w:tr>
      <w:tr w:rsidR="00CA3916" w:rsidRPr="006E31EE" w14:paraId="0D6CA15D" w14:textId="77777777" w:rsidTr="005E3C92">
        <w:tc>
          <w:tcPr>
            <w:tcW w:w="5000" w:type="pct"/>
            <w:gridSpan w:val="4"/>
          </w:tcPr>
          <w:p w14:paraId="333B8511" w14:textId="77777777" w:rsidR="00CA3916" w:rsidRPr="006E31EE" w:rsidRDefault="00CA3916" w:rsidP="005E3C92">
            <w:pPr>
              <w:rPr>
                <w:b/>
                <w:sz w:val="22"/>
                <w:szCs w:val="22"/>
                <w:u w:val="single"/>
              </w:rPr>
            </w:pPr>
            <w:r w:rsidRPr="006E31EE">
              <w:rPr>
                <w:b/>
                <w:sz w:val="22"/>
                <w:szCs w:val="22"/>
                <w:lang w:eastAsia="da-DK"/>
              </w:rPr>
              <w:t>NRTI’er</w:t>
            </w:r>
          </w:p>
        </w:tc>
      </w:tr>
      <w:tr w:rsidR="00CA3916" w:rsidRPr="006E31EE" w14:paraId="43454DD3" w14:textId="77777777" w:rsidTr="005E3C92">
        <w:tc>
          <w:tcPr>
            <w:tcW w:w="1667" w:type="pct"/>
          </w:tcPr>
          <w:p w14:paraId="1B773701" w14:textId="77777777" w:rsidR="00CA3916" w:rsidRPr="006E31EE" w:rsidRDefault="00CA3916" w:rsidP="005E3C92">
            <w:pPr>
              <w:rPr>
                <w:sz w:val="22"/>
                <w:szCs w:val="22"/>
                <w:lang w:eastAsia="da-DK"/>
              </w:rPr>
            </w:pPr>
            <w:r w:rsidRPr="006E31EE">
              <w:rPr>
                <w:sz w:val="22"/>
                <w:szCs w:val="22"/>
                <w:lang w:eastAsia="da-DK"/>
              </w:rPr>
              <w:t>Didanosin</w:t>
            </w:r>
          </w:p>
        </w:tc>
        <w:tc>
          <w:tcPr>
            <w:tcW w:w="1579" w:type="pct"/>
          </w:tcPr>
          <w:p w14:paraId="4785E4C3" w14:textId="77777777" w:rsidR="00CA3916" w:rsidRPr="006E31EE" w:rsidRDefault="00CA3916" w:rsidP="005E3C92">
            <w:pPr>
              <w:rPr>
                <w:sz w:val="22"/>
                <w:szCs w:val="22"/>
                <w:lang w:eastAsia="da-DK"/>
              </w:rPr>
            </w:pPr>
            <w:r w:rsidRPr="006E31EE">
              <w:rPr>
                <w:sz w:val="22"/>
                <w:szCs w:val="22"/>
                <w:lang w:eastAsia="da-DK"/>
              </w:rPr>
              <w:t>Samtidig indgivelse af tenofovirdisoproxil og didanosin resulterer i en 40-60 % stigning i systemisk eksponering for didanosin.</w:t>
            </w:r>
          </w:p>
        </w:tc>
        <w:tc>
          <w:tcPr>
            <w:tcW w:w="1754" w:type="pct"/>
            <w:gridSpan w:val="2"/>
          </w:tcPr>
          <w:p w14:paraId="76A5E24B" w14:textId="77777777" w:rsidR="00CA3916" w:rsidRPr="006E31EE" w:rsidRDefault="00CA3916" w:rsidP="005E3C92">
            <w:pPr>
              <w:rPr>
                <w:sz w:val="22"/>
                <w:szCs w:val="22"/>
                <w:lang w:eastAsia="da-DK"/>
              </w:rPr>
            </w:pPr>
            <w:r w:rsidRPr="006E31EE">
              <w:rPr>
                <w:sz w:val="22"/>
                <w:szCs w:val="22"/>
                <w:lang w:eastAsia="da-DK"/>
              </w:rPr>
              <w:t xml:space="preserve">Samtidig indgivelse af tenofovirdisoproxil og didanosin kan ikke anbefales (se pkt. 4.4). </w:t>
            </w:r>
          </w:p>
          <w:p w14:paraId="54E74A7C" w14:textId="77777777" w:rsidR="00CA3916" w:rsidRPr="006E31EE" w:rsidRDefault="00CA3916" w:rsidP="005E3C92">
            <w:pPr>
              <w:rPr>
                <w:sz w:val="22"/>
                <w:szCs w:val="22"/>
                <w:lang w:eastAsia="da-DK"/>
              </w:rPr>
            </w:pPr>
            <w:r w:rsidRPr="006E31EE">
              <w:rPr>
                <w:sz w:val="24"/>
                <w:szCs w:val="24"/>
              </w:rPr>
              <w:t>Øget systemisk eksponering for didanosin kan øge risikoen for didanosinrelaterede bivirkninger. Der er rapporteret sjældne tilfælde af pancreatitis og laktatacidose, og nogle af disse tilfælde var letale. Samtidig administration af tenofovirdisoproxil og didanosin ved en dosis på 400 mg dagligt er blevet sat i forbindelse med en signifikant reduktion af CD4-celletallet, muligvis på grund af en intracellulær interaktion, der forhøjer niveauet af phosphoryleret (dvs. aktiv) didanosin. En reduceret dosis på 250 mg didanosin administreret samtidig med tenofovirdisoproxil er blevet sat i forbindelse med rapporter om en høj forekomst af manglende virologisk virkning af flere testede kombinationer til behandling af hiv 1-infektion.</w:t>
            </w:r>
          </w:p>
          <w:p w14:paraId="48215EF9" w14:textId="77777777" w:rsidR="00CA3916" w:rsidRPr="006E31EE" w:rsidRDefault="00CA3916" w:rsidP="005E3C92">
            <w:pPr>
              <w:rPr>
                <w:sz w:val="22"/>
                <w:szCs w:val="22"/>
                <w:lang w:eastAsia="da-DK"/>
              </w:rPr>
            </w:pPr>
          </w:p>
        </w:tc>
      </w:tr>
      <w:tr w:rsidR="00CA3916" w:rsidRPr="006E31EE" w14:paraId="7A5E16C1" w14:textId="77777777" w:rsidTr="005E3C92">
        <w:tc>
          <w:tcPr>
            <w:tcW w:w="1667" w:type="pct"/>
          </w:tcPr>
          <w:p w14:paraId="54C7698C" w14:textId="77777777" w:rsidR="00CA3916" w:rsidRPr="006E31EE" w:rsidRDefault="00CA3916" w:rsidP="005E3C92">
            <w:pPr>
              <w:rPr>
                <w:sz w:val="22"/>
                <w:szCs w:val="22"/>
                <w:lang w:eastAsia="da-DK"/>
              </w:rPr>
            </w:pPr>
            <w:r w:rsidRPr="006E31EE">
              <w:rPr>
                <w:sz w:val="22"/>
                <w:szCs w:val="22"/>
                <w:lang w:eastAsia="da-DK"/>
              </w:rPr>
              <w:t xml:space="preserve">Adefovirdipivoxil </w:t>
            </w:r>
          </w:p>
          <w:p w14:paraId="01290E28" w14:textId="77777777" w:rsidR="00CA3916" w:rsidRPr="006E31EE" w:rsidRDefault="00CA3916" w:rsidP="005E3C92">
            <w:pPr>
              <w:rPr>
                <w:sz w:val="22"/>
                <w:szCs w:val="22"/>
                <w:lang w:eastAsia="da-DK"/>
              </w:rPr>
            </w:pPr>
          </w:p>
        </w:tc>
        <w:tc>
          <w:tcPr>
            <w:tcW w:w="1579" w:type="pct"/>
          </w:tcPr>
          <w:p w14:paraId="1F10D665" w14:textId="77777777" w:rsidR="00CA3916" w:rsidRPr="006E31EE" w:rsidRDefault="00CA3916" w:rsidP="005E3C92">
            <w:pPr>
              <w:rPr>
                <w:sz w:val="22"/>
                <w:szCs w:val="22"/>
                <w:lang w:eastAsia="da-DK"/>
              </w:rPr>
            </w:pPr>
            <w:r w:rsidRPr="006E31EE">
              <w:rPr>
                <w:sz w:val="22"/>
                <w:szCs w:val="22"/>
                <w:lang w:eastAsia="da-DK"/>
              </w:rPr>
              <w:t xml:space="preserve">AUC: ↔ </w:t>
            </w:r>
          </w:p>
          <w:p w14:paraId="63FDAD91" w14:textId="77777777" w:rsidR="00CA3916" w:rsidRPr="006E31EE" w:rsidRDefault="00CA3916" w:rsidP="005E3C92">
            <w:pPr>
              <w:rPr>
                <w:sz w:val="22"/>
                <w:szCs w:val="22"/>
                <w:lang w:eastAsia="da-DK"/>
              </w:rPr>
            </w:pPr>
            <w:r w:rsidRPr="006E31EE">
              <w:rPr>
                <w:sz w:val="22"/>
                <w:szCs w:val="22"/>
                <w:lang w:eastAsia="da-DK"/>
              </w:rPr>
              <w:t>C</w:t>
            </w:r>
            <w:r w:rsidRPr="006E31EE">
              <w:rPr>
                <w:sz w:val="22"/>
                <w:szCs w:val="22"/>
                <w:vertAlign w:val="subscript"/>
                <w:lang w:eastAsia="da-DK"/>
              </w:rPr>
              <w:t>max</w:t>
            </w:r>
            <w:r w:rsidRPr="006E31EE">
              <w:rPr>
                <w:sz w:val="22"/>
                <w:szCs w:val="22"/>
                <w:lang w:eastAsia="da-DK"/>
              </w:rPr>
              <w:t xml:space="preserve">: ↔ </w:t>
            </w:r>
          </w:p>
        </w:tc>
        <w:tc>
          <w:tcPr>
            <w:tcW w:w="1754" w:type="pct"/>
            <w:gridSpan w:val="2"/>
          </w:tcPr>
          <w:p w14:paraId="15F886F5" w14:textId="77777777" w:rsidR="00CA3916" w:rsidRPr="006E31EE" w:rsidRDefault="00CA3916" w:rsidP="005E3C92">
            <w:pPr>
              <w:rPr>
                <w:sz w:val="22"/>
                <w:szCs w:val="22"/>
                <w:lang w:eastAsia="da-DK"/>
              </w:rPr>
            </w:pPr>
            <w:r w:rsidRPr="006E31EE">
              <w:rPr>
                <w:sz w:val="22"/>
                <w:szCs w:val="22"/>
                <w:lang w:eastAsia="da-DK"/>
              </w:rPr>
              <w:t xml:space="preserve">Tenofovirdisoproxil bør ikke administreres samtidig med adefovirdipivoxil (se pkt. 4.4). </w:t>
            </w:r>
          </w:p>
        </w:tc>
      </w:tr>
      <w:tr w:rsidR="00CA3916" w:rsidRPr="006E31EE" w14:paraId="4691F013" w14:textId="77777777" w:rsidTr="005E3C92">
        <w:trPr>
          <w:trHeight w:val="536"/>
        </w:trPr>
        <w:tc>
          <w:tcPr>
            <w:tcW w:w="1667" w:type="pct"/>
          </w:tcPr>
          <w:p w14:paraId="069BDB55" w14:textId="77777777" w:rsidR="00CA3916" w:rsidRPr="006E31EE" w:rsidRDefault="00CA3916" w:rsidP="005E3C92">
            <w:pPr>
              <w:rPr>
                <w:color w:val="000000" w:themeColor="text1"/>
                <w:sz w:val="22"/>
                <w:szCs w:val="22"/>
                <w:lang w:eastAsia="da-DK"/>
              </w:rPr>
            </w:pPr>
            <w:r w:rsidRPr="006E31EE">
              <w:rPr>
                <w:color w:val="000000" w:themeColor="text1"/>
                <w:sz w:val="22"/>
                <w:szCs w:val="22"/>
                <w:lang w:eastAsia="da-DK"/>
              </w:rPr>
              <w:t>Entecavir</w:t>
            </w:r>
          </w:p>
        </w:tc>
        <w:tc>
          <w:tcPr>
            <w:tcW w:w="1579" w:type="pct"/>
          </w:tcPr>
          <w:p w14:paraId="243A110A" w14:textId="77777777" w:rsidR="00CA3916" w:rsidRPr="006E31EE" w:rsidRDefault="00CA3916" w:rsidP="005E3C92">
            <w:pPr>
              <w:rPr>
                <w:color w:val="000000" w:themeColor="text1"/>
                <w:sz w:val="22"/>
                <w:szCs w:val="22"/>
                <w:lang w:eastAsia="da-DK"/>
              </w:rPr>
            </w:pPr>
            <w:r w:rsidRPr="006E31EE">
              <w:rPr>
                <w:color w:val="000000" w:themeColor="text1"/>
                <w:sz w:val="22"/>
                <w:szCs w:val="22"/>
                <w:lang w:eastAsia="da-DK"/>
              </w:rPr>
              <w:t xml:space="preserve">AUC: ↔ </w:t>
            </w:r>
          </w:p>
          <w:p w14:paraId="62AC7935" w14:textId="77777777" w:rsidR="00CA3916" w:rsidRPr="006E31EE" w:rsidRDefault="00CA3916" w:rsidP="005E3C92">
            <w:pPr>
              <w:rPr>
                <w:color w:val="000000" w:themeColor="text1"/>
                <w:sz w:val="22"/>
                <w:szCs w:val="22"/>
                <w:lang w:eastAsia="da-DK"/>
              </w:rPr>
            </w:pPr>
            <w:r w:rsidRPr="006E31EE">
              <w:rPr>
                <w:color w:val="000000" w:themeColor="text1"/>
                <w:sz w:val="22"/>
                <w:szCs w:val="22"/>
                <w:lang w:eastAsia="da-DK"/>
              </w:rPr>
              <w:t>C</w:t>
            </w:r>
            <w:r w:rsidRPr="006E31EE">
              <w:rPr>
                <w:color w:val="000000" w:themeColor="text1"/>
                <w:sz w:val="22"/>
                <w:szCs w:val="22"/>
                <w:vertAlign w:val="subscript"/>
                <w:lang w:eastAsia="da-DK"/>
              </w:rPr>
              <w:t>max</w:t>
            </w:r>
            <w:r w:rsidRPr="006E31EE">
              <w:rPr>
                <w:color w:val="000000" w:themeColor="text1"/>
                <w:sz w:val="22"/>
                <w:szCs w:val="22"/>
                <w:lang w:eastAsia="da-DK"/>
              </w:rPr>
              <w:t>: ↔</w:t>
            </w:r>
          </w:p>
          <w:p w14:paraId="0DB2D886" w14:textId="77777777" w:rsidR="00CA3916" w:rsidRPr="006E31EE" w:rsidRDefault="00CA3916" w:rsidP="005E3C92">
            <w:pPr>
              <w:rPr>
                <w:color w:val="000000" w:themeColor="text1"/>
                <w:sz w:val="22"/>
                <w:szCs w:val="22"/>
                <w:lang w:eastAsia="da-DK"/>
              </w:rPr>
            </w:pPr>
          </w:p>
        </w:tc>
        <w:tc>
          <w:tcPr>
            <w:tcW w:w="1754" w:type="pct"/>
            <w:gridSpan w:val="2"/>
          </w:tcPr>
          <w:p w14:paraId="2129403C" w14:textId="77777777" w:rsidR="00CA3916" w:rsidRPr="006E31EE" w:rsidRDefault="00CA3916" w:rsidP="005E3C92">
            <w:pPr>
              <w:rPr>
                <w:color w:val="000000" w:themeColor="text1"/>
                <w:sz w:val="22"/>
                <w:szCs w:val="22"/>
                <w:lang w:eastAsia="da-DK"/>
              </w:rPr>
            </w:pPr>
            <w:r w:rsidRPr="006E31EE">
              <w:rPr>
                <w:color w:val="000000" w:themeColor="text1"/>
                <w:sz w:val="22"/>
                <w:szCs w:val="22"/>
                <w:lang w:eastAsia="da-DK"/>
              </w:rPr>
              <w:t xml:space="preserve">Der sås ingen klinisk signifikante farmakokinetiske interaktioner, når tenofovirdisoproxil blev </w:t>
            </w:r>
            <w:r w:rsidRPr="006E31EE">
              <w:rPr>
                <w:color w:val="000000" w:themeColor="text1"/>
                <w:sz w:val="22"/>
                <w:szCs w:val="22"/>
                <w:lang w:eastAsia="da-DK"/>
              </w:rPr>
              <w:lastRenderedPageBreak/>
              <w:t>administreret samtidig med entecavir.</w:t>
            </w:r>
          </w:p>
        </w:tc>
      </w:tr>
      <w:tr w:rsidR="00CA3916" w:rsidRPr="006E31EE" w14:paraId="7A5F0C95" w14:textId="77777777" w:rsidTr="005E3C92">
        <w:tc>
          <w:tcPr>
            <w:tcW w:w="5000" w:type="pct"/>
            <w:gridSpan w:val="4"/>
          </w:tcPr>
          <w:p w14:paraId="67B3DE2B" w14:textId="77777777" w:rsidR="00CA3916" w:rsidRPr="006E31EE" w:rsidRDefault="00CA3916" w:rsidP="005E3C92">
            <w:pPr>
              <w:rPr>
                <w:b/>
                <w:color w:val="000000" w:themeColor="text1"/>
                <w:sz w:val="22"/>
                <w:szCs w:val="22"/>
                <w:lang w:eastAsia="da-DK"/>
              </w:rPr>
            </w:pPr>
            <w:r w:rsidRPr="006E31EE">
              <w:rPr>
                <w:b/>
                <w:color w:val="000000" w:themeColor="text1"/>
                <w:sz w:val="22"/>
                <w:szCs w:val="22"/>
              </w:rPr>
              <w:lastRenderedPageBreak/>
              <w:t>Hepatitis C virus antivirale midler</w:t>
            </w:r>
          </w:p>
        </w:tc>
      </w:tr>
      <w:tr w:rsidR="00CA3916" w:rsidRPr="006E31EE" w14:paraId="7EB98B64" w14:textId="77777777" w:rsidTr="005E3C92">
        <w:trPr>
          <w:trHeight w:val="7601"/>
        </w:trPr>
        <w:tc>
          <w:tcPr>
            <w:tcW w:w="1667" w:type="pct"/>
            <w:hideMark/>
          </w:tcPr>
          <w:p w14:paraId="2B729EBA" w14:textId="77777777" w:rsidR="00CA3916" w:rsidRPr="006E31EE" w:rsidRDefault="00CA3916" w:rsidP="005E3C92">
            <w:pPr>
              <w:rPr>
                <w:color w:val="000000" w:themeColor="text1"/>
                <w:sz w:val="22"/>
                <w:szCs w:val="22"/>
              </w:rPr>
            </w:pPr>
            <w:r w:rsidRPr="006E31EE">
              <w:rPr>
                <w:color w:val="000000" w:themeColor="text1"/>
                <w:sz w:val="22"/>
                <w:szCs w:val="22"/>
              </w:rPr>
              <w:t xml:space="preserve">Ledipasvir/sofosbuvir </w:t>
            </w:r>
          </w:p>
          <w:p w14:paraId="673FFCF1" w14:textId="77777777" w:rsidR="00CA3916" w:rsidRPr="00E70F73" w:rsidRDefault="00CA3916" w:rsidP="005E3C92">
            <w:pPr>
              <w:rPr>
                <w:color w:val="000000" w:themeColor="text1"/>
                <w:sz w:val="22"/>
                <w:szCs w:val="22"/>
              </w:rPr>
            </w:pPr>
            <w:r w:rsidRPr="006E31EE">
              <w:rPr>
                <w:color w:val="000000" w:themeColor="text1"/>
                <w:sz w:val="22"/>
                <w:szCs w:val="22"/>
              </w:rPr>
              <w:t xml:space="preserve">(90 mg/400 mg q.d.) </w:t>
            </w:r>
            <w:r w:rsidRPr="00E70F73">
              <w:rPr>
                <w:color w:val="000000" w:themeColor="text1"/>
                <w:sz w:val="22"/>
                <w:szCs w:val="22"/>
              </w:rPr>
              <w:t xml:space="preserve">+ </w:t>
            </w:r>
          </w:p>
          <w:p w14:paraId="1CD78C4F" w14:textId="77777777" w:rsidR="00CA3916" w:rsidRPr="00E70F73" w:rsidRDefault="00CA3916" w:rsidP="005E3C92">
            <w:pPr>
              <w:rPr>
                <w:color w:val="000000" w:themeColor="text1"/>
                <w:sz w:val="22"/>
                <w:szCs w:val="22"/>
              </w:rPr>
            </w:pPr>
            <w:r w:rsidRPr="00E70F73">
              <w:rPr>
                <w:color w:val="000000" w:themeColor="text1"/>
                <w:sz w:val="22"/>
                <w:szCs w:val="22"/>
              </w:rPr>
              <w:t xml:space="preserve">Atazanavir/ritonavir </w:t>
            </w:r>
          </w:p>
          <w:p w14:paraId="142E759D" w14:textId="77777777" w:rsidR="00CA3916" w:rsidRPr="00E70F73" w:rsidRDefault="00CA3916" w:rsidP="005E3C92">
            <w:pPr>
              <w:rPr>
                <w:color w:val="FF0000"/>
                <w:sz w:val="22"/>
                <w:szCs w:val="22"/>
              </w:rPr>
            </w:pPr>
            <w:r w:rsidRPr="00E70F73">
              <w:rPr>
                <w:color w:val="000000" w:themeColor="text1"/>
                <w:sz w:val="22"/>
                <w:szCs w:val="22"/>
              </w:rPr>
              <w:t>(300 mg q.d./100 mg q.d.) + Emtricitabin/</w:t>
            </w:r>
            <w:r w:rsidRPr="00E70F73">
              <w:rPr>
                <w:color w:val="000000" w:themeColor="text1"/>
                <w:sz w:val="22"/>
                <w:szCs w:val="22"/>
              </w:rPr>
              <w:br/>
              <w:t>tenofovirdisoproxil (200 mg/245 mg q.d.)</w:t>
            </w:r>
            <w:r w:rsidRPr="00E70F73">
              <w:rPr>
                <w:color w:val="000000" w:themeColor="text1"/>
                <w:sz w:val="22"/>
                <w:szCs w:val="22"/>
                <w:vertAlign w:val="superscript"/>
              </w:rPr>
              <w:t xml:space="preserve">1 </w:t>
            </w:r>
          </w:p>
        </w:tc>
        <w:tc>
          <w:tcPr>
            <w:tcW w:w="1588" w:type="pct"/>
            <w:gridSpan w:val="2"/>
            <w:hideMark/>
          </w:tcPr>
          <w:p w14:paraId="5562C361" w14:textId="77777777" w:rsidR="00CA3916" w:rsidRPr="00E70F73" w:rsidRDefault="00CA3916" w:rsidP="005E3C92">
            <w:pPr>
              <w:rPr>
                <w:color w:val="000000" w:themeColor="text1"/>
                <w:sz w:val="22"/>
                <w:szCs w:val="22"/>
              </w:rPr>
            </w:pPr>
            <w:r w:rsidRPr="00E70F73">
              <w:rPr>
                <w:color w:val="000000" w:themeColor="text1"/>
                <w:sz w:val="22"/>
                <w:szCs w:val="22"/>
              </w:rPr>
              <w:t xml:space="preserve">Ledipasvir: </w:t>
            </w:r>
          </w:p>
          <w:p w14:paraId="48EE34AF" w14:textId="77777777" w:rsidR="00CA3916" w:rsidRPr="00E70F73" w:rsidRDefault="00CA3916" w:rsidP="005E3C92">
            <w:pPr>
              <w:rPr>
                <w:color w:val="000000" w:themeColor="text1"/>
                <w:sz w:val="22"/>
                <w:szCs w:val="22"/>
              </w:rPr>
            </w:pPr>
            <w:r w:rsidRPr="00E70F73">
              <w:rPr>
                <w:color w:val="000000" w:themeColor="text1"/>
                <w:sz w:val="22"/>
                <w:szCs w:val="22"/>
              </w:rPr>
              <w:t xml:space="preserve">AUC: ↑ 96% </w:t>
            </w:r>
          </w:p>
          <w:p w14:paraId="7567EC3F" w14:textId="77777777" w:rsidR="00CA3916" w:rsidRPr="00E70F73" w:rsidRDefault="00CA3916" w:rsidP="005E3C92">
            <w:pPr>
              <w:rPr>
                <w:color w:val="000000" w:themeColor="text1"/>
                <w:sz w:val="22"/>
                <w:szCs w:val="22"/>
              </w:rPr>
            </w:pPr>
            <w:r w:rsidRPr="00E70F73">
              <w:rPr>
                <w:color w:val="000000" w:themeColor="text1"/>
                <w:sz w:val="22"/>
                <w:szCs w:val="22"/>
              </w:rPr>
              <w:t>C</w:t>
            </w:r>
            <w:r w:rsidRPr="00E70F73">
              <w:rPr>
                <w:color w:val="000000" w:themeColor="text1"/>
                <w:sz w:val="22"/>
                <w:szCs w:val="22"/>
                <w:vertAlign w:val="subscript"/>
              </w:rPr>
              <w:t>max</w:t>
            </w:r>
            <w:r w:rsidRPr="00E70F73">
              <w:rPr>
                <w:color w:val="000000" w:themeColor="text1"/>
                <w:sz w:val="22"/>
                <w:szCs w:val="22"/>
              </w:rPr>
              <w:t xml:space="preserve">: ↑ 68% </w:t>
            </w:r>
          </w:p>
          <w:p w14:paraId="2EDF2273" w14:textId="77777777" w:rsidR="00CA3916" w:rsidRPr="00E70F73" w:rsidRDefault="00CA3916" w:rsidP="005E3C92">
            <w:pPr>
              <w:rPr>
                <w:color w:val="000000" w:themeColor="text1"/>
                <w:sz w:val="22"/>
                <w:szCs w:val="22"/>
              </w:rPr>
            </w:pPr>
            <w:r w:rsidRPr="00E70F73">
              <w:rPr>
                <w:color w:val="000000" w:themeColor="text1"/>
                <w:sz w:val="22"/>
                <w:szCs w:val="22"/>
              </w:rPr>
              <w:t>C</w:t>
            </w:r>
            <w:r w:rsidRPr="00E70F73">
              <w:rPr>
                <w:color w:val="000000" w:themeColor="text1"/>
                <w:sz w:val="22"/>
                <w:szCs w:val="22"/>
                <w:vertAlign w:val="subscript"/>
              </w:rPr>
              <w:t>min</w:t>
            </w:r>
            <w:r w:rsidRPr="00E70F73">
              <w:rPr>
                <w:color w:val="000000" w:themeColor="text1"/>
                <w:sz w:val="22"/>
                <w:szCs w:val="22"/>
              </w:rPr>
              <w:t xml:space="preserve">: ↑ 118% </w:t>
            </w:r>
          </w:p>
          <w:p w14:paraId="41396F77" w14:textId="77777777" w:rsidR="00CA3916" w:rsidRPr="00E70F73" w:rsidRDefault="00CA3916" w:rsidP="005E3C92">
            <w:pPr>
              <w:rPr>
                <w:color w:val="000000" w:themeColor="text1"/>
                <w:sz w:val="22"/>
                <w:szCs w:val="22"/>
              </w:rPr>
            </w:pPr>
            <w:r w:rsidRPr="00E70F73">
              <w:rPr>
                <w:color w:val="000000" w:themeColor="text1"/>
                <w:sz w:val="22"/>
                <w:szCs w:val="22"/>
              </w:rPr>
              <w:t xml:space="preserve"> </w:t>
            </w:r>
          </w:p>
          <w:p w14:paraId="53761254" w14:textId="77777777" w:rsidR="00CA3916" w:rsidRPr="00E70F73" w:rsidRDefault="00CA3916" w:rsidP="005E3C92">
            <w:pPr>
              <w:rPr>
                <w:color w:val="000000" w:themeColor="text1"/>
                <w:sz w:val="22"/>
                <w:szCs w:val="22"/>
              </w:rPr>
            </w:pPr>
            <w:r w:rsidRPr="00E70F73">
              <w:rPr>
                <w:color w:val="000000" w:themeColor="text1"/>
                <w:sz w:val="22"/>
                <w:szCs w:val="22"/>
              </w:rPr>
              <w:t xml:space="preserve">Sofosbuvir: </w:t>
            </w:r>
          </w:p>
          <w:p w14:paraId="73AA0225" w14:textId="77777777" w:rsidR="00CA3916" w:rsidRPr="00E70F73" w:rsidRDefault="00CA3916" w:rsidP="005E3C92">
            <w:pPr>
              <w:rPr>
                <w:color w:val="000000" w:themeColor="text1"/>
                <w:sz w:val="22"/>
                <w:szCs w:val="22"/>
              </w:rPr>
            </w:pPr>
            <w:r w:rsidRPr="00E70F73">
              <w:rPr>
                <w:color w:val="000000" w:themeColor="text1"/>
                <w:sz w:val="22"/>
                <w:szCs w:val="22"/>
              </w:rPr>
              <w:t xml:space="preserve">AUC: ↔ </w:t>
            </w:r>
          </w:p>
          <w:p w14:paraId="5C213947" w14:textId="77777777" w:rsidR="00CA3916" w:rsidRPr="00E70F73" w:rsidRDefault="00CA3916" w:rsidP="005E3C92">
            <w:pPr>
              <w:rPr>
                <w:color w:val="000000" w:themeColor="text1"/>
                <w:sz w:val="22"/>
                <w:szCs w:val="22"/>
              </w:rPr>
            </w:pPr>
            <w:r w:rsidRPr="00E70F73">
              <w:rPr>
                <w:color w:val="000000" w:themeColor="text1"/>
                <w:sz w:val="22"/>
                <w:szCs w:val="22"/>
              </w:rPr>
              <w:t xml:space="preserve">Cmax: ↔ </w:t>
            </w:r>
          </w:p>
          <w:p w14:paraId="019F521B" w14:textId="77777777" w:rsidR="00CA3916" w:rsidRPr="00E70F73" w:rsidRDefault="00CA3916" w:rsidP="005E3C92">
            <w:pPr>
              <w:rPr>
                <w:color w:val="000000" w:themeColor="text1"/>
                <w:sz w:val="22"/>
                <w:szCs w:val="22"/>
              </w:rPr>
            </w:pPr>
            <w:r w:rsidRPr="00E70F73">
              <w:rPr>
                <w:color w:val="000000" w:themeColor="text1"/>
                <w:sz w:val="22"/>
                <w:szCs w:val="22"/>
              </w:rPr>
              <w:t xml:space="preserve"> </w:t>
            </w:r>
          </w:p>
          <w:p w14:paraId="581D8C35" w14:textId="77777777" w:rsidR="00CA3916" w:rsidRPr="00E70F73" w:rsidRDefault="00CA3916" w:rsidP="005E3C92">
            <w:pPr>
              <w:rPr>
                <w:color w:val="000000" w:themeColor="text1"/>
                <w:sz w:val="22"/>
                <w:szCs w:val="22"/>
              </w:rPr>
            </w:pPr>
            <w:r w:rsidRPr="00E70F73">
              <w:rPr>
                <w:color w:val="000000" w:themeColor="text1"/>
                <w:sz w:val="22"/>
                <w:szCs w:val="22"/>
              </w:rPr>
              <w:t>GS-331007</w:t>
            </w:r>
            <w:r w:rsidRPr="00E70F73">
              <w:rPr>
                <w:color w:val="000000" w:themeColor="text1"/>
                <w:sz w:val="22"/>
                <w:szCs w:val="22"/>
                <w:vertAlign w:val="superscript"/>
              </w:rPr>
              <w:t>2</w:t>
            </w:r>
            <w:r w:rsidRPr="00E70F73">
              <w:rPr>
                <w:color w:val="000000" w:themeColor="text1"/>
                <w:sz w:val="22"/>
                <w:szCs w:val="22"/>
              </w:rPr>
              <w:t xml:space="preserve">: </w:t>
            </w:r>
          </w:p>
          <w:p w14:paraId="0098A227" w14:textId="77777777" w:rsidR="00CA3916" w:rsidRPr="00E70F73" w:rsidRDefault="00CA3916" w:rsidP="005E3C92">
            <w:pPr>
              <w:rPr>
                <w:color w:val="000000" w:themeColor="text1"/>
                <w:sz w:val="22"/>
                <w:szCs w:val="22"/>
              </w:rPr>
            </w:pPr>
            <w:r w:rsidRPr="00E70F73">
              <w:rPr>
                <w:color w:val="000000" w:themeColor="text1"/>
                <w:sz w:val="22"/>
                <w:szCs w:val="22"/>
              </w:rPr>
              <w:t xml:space="preserve">AUC: ↔ </w:t>
            </w:r>
          </w:p>
          <w:p w14:paraId="7A916963" w14:textId="77777777" w:rsidR="00CA3916" w:rsidRPr="00E70F73" w:rsidRDefault="00CA3916" w:rsidP="005E3C92">
            <w:pPr>
              <w:rPr>
                <w:color w:val="000000" w:themeColor="text1"/>
                <w:sz w:val="22"/>
                <w:szCs w:val="22"/>
              </w:rPr>
            </w:pPr>
            <w:r w:rsidRPr="00E70F73">
              <w:rPr>
                <w:color w:val="000000" w:themeColor="text1"/>
                <w:sz w:val="22"/>
                <w:szCs w:val="22"/>
              </w:rPr>
              <w:t>C</w:t>
            </w:r>
            <w:r w:rsidRPr="00E70F73">
              <w:rPr>
                <w:color w:val="000000" w:themeColor="text1"/>
                <w:sz w:val="22"/>
                <w:szCs w:val="22"/>
                <w:vertAlign w:val="subscript"/>
              </w:rPr>
              <w:t>max</w:t>
            </w:r>
            <w:r w:rsidRPr="00E70F73">
              <w:rPr>
                <w:color w:val="000000" w:themeColor="text1"/>
                <w:sz w:val="22"/>
                <w:szCs w:val="22"/>
              </w:rPr>
              <w:t xml:space="preserve">: ↔ </w:t>
            </w:r>
          </w:p>
          <w:p w14:paraId="3784F626" w14:textId="77777777" w:rsidR="00CA3916" w:rsidRPr="00E70F73" w:rsidRDefault="00CA3916" w:rsidP="005E3C92">
            <w:pPr>
              <w:rPr>
                <w:color w:val="000000" w:themeColor="text1"/>
                <w:sz w:val="22"/>
                <w:szCs w:val="22"/>
              </w:rPr>
            </w:pPr>
            <w:r w:rsidRPr="00E70F73">
              <w:rPr>
                <w:color w:val="000000" w:themeColor="text1"/>
                <w:sz w:val="22"/>
                <w:szCs w:val="22"/>
              </w:rPr>
              <w:t>C</w:t>
            </w:r>
            <w:r w:rsidRPr="00E70F73">
              <w:rPr>
                <w:color w:val="000000" w:themeColor="text1"/>
                <w:sz w:val="22"/>
                <w:szCs w:val="22"/>
                <w:vertAlign w:val="subscript"/>
              </w:rPr>
              <w:t>min</w:t>
            </w:r>
            <w:r w:rsidRPr="00E70F73">
              <w:rPr>
                <w:color w:val="000000" w:themeColor="text1"/>
                <w:sz w:val="22"/>
                <w:szCs w:val="22"/>
              </w:rPr>
              <w:t xml:space="preserve">: ↑ 42% </w:t>
            </w:r>
          </w:p>
          <w:p w14:paraId="02E3E680" w14:textId="77777777" w:rsidR="00CA3916" w:rsidRPr="00E70F73" w:rsidRDefault="00CA3916" w:rsidP="005E3C92">
            <w:pPr>
              <w:rPr>
                <w:color w:val="000000" w:themeColor="text1"/>
                <w:sz w:val="22"/>
                <w:szCs w:val="22"/>
              </w:rPr>
            </w:pPr>
            <w:r w:rsidRPr="00E70F73">
              <w:rPr>
                <w:color w:val="000000" w:themeColor="text1"/>
                <w:sz w:val="22"/>
                <w:szCs w:val="22"/>
              </w:rPr>
              <w:t xml:space="preserve"> </w:t>
            </w:r>
          </w:p>
          <w:p w14:paraId="7C0E760B" w14:textId="77777777" w:rsidR="00CA3916" w:rsidRPr="00E70F73" w:rsidRDefault="00CA3916" w:rsidP="005E3C92">
            <w:pPr>
              <w:rPr>
                <w:color w:val="000000" w:themeColor="text1"/>
                <w:sz w:val="22"/>
                <w:szCs w:val="22"/>
              </w:rPr>
            </w:pPr>
            <w:r w:rsidRPr="00E70F73">
              <w:rPr>
                <w:color w:val="000000" w:themeColor="text1"/>
                <w:sz w:val="22"/>
                <w:szCs w:val="22"/>
              </w:rPr>
              <w:t xml:space="preserve">Atazanavir: </w:t>
            </w:r>
          </w:p>
          <w:p w14:paraId="51D37105" w14:textId="77777777" w:rsidR="00CA3916" w:rsidRPr="00E70F73" w:rsidRDefault="00CA3916" w:rsidP="005E3C92">
            <w:pPr>
              <w:rPr>
                <w:color w:val="000000" w:themeColor="text1"/>
                <w:sz w:val="22"/>
                <w:szCs w:val="22"/>
              </w:rPr>
            </w:pPr>
            <w:r w:rsidRPr="00E70F73">
              <w:rPr>
                <w:color w:val="000000" w:themeColor="text1"/>
                <w:sz w:val="22"/>
                <w:szCs w:val="22"/>
              </w:rPr>
              <w:t xml:space="preserve">AUC: ↔ </w:t>
            </w:r>
          </w:p>
          <w:p w14:paraId="37A3A24F" w14:textId="77777777" w:rsidR="00CA3916" w:rsidRPr="00E70F73" w:rsidRDefault="00CA3916" w:rsidP="005E3C92">
            <w:pPr>
              <w:rPr>
                <w:color w:val="000000" w:themeColor="text1"/>
                <w:sz w:val="22"/>
                <w:szCs w:val="22"/>
              </w:rPr>
            </w:pPr>
            <w:r w:rsidRPr="00E70F73">
              <w:rPr>
                <w:color w:val="000000" w:themeColor="text1"/>
                <w:sz w:val="22"/>
                <w:szCs w:val="22"/>
              </w:rPr>
              <w:t>C</w:t>
            </w:r>
            <w:r w:rsidRPr="00E70F73">
              <w:rPr>
                <w:color w:val="000000" w:themeColor="text1"/>
                <w:sz w:val="22"/>
                <w:szCs w:val="22"/>
                <w:vertAlign w:val="subscript"/>
              </w:rPr>
              <w:t>max</w:t>
            </w:r>
            <w:r w:rsidRPr="00E70F73">
              <w:rPr>
                <w:color w:val="000000" w:themeColor="text1"/>
                <w:sz w:val="22"/>
                <w:szCs w:val="22"/>
              </w:rPr>
              <w:t xml:space="preserve">: ↔ </w:t>
            </w:r>
          </w:p>
          <w:p w14:paraId="1B969435" w14:textId="77777777" w:rsidR="00CA3916" w:rsidRPr="00E70F73" w:rsidRDefault="00CA3916" w:rsidP="005E3C92">
            <w:pPr>
              <w:rPr>
                <w:color w:val="000000" w:themeColor="text1"/>
                <w:sz w:val="22"/>
                <w:szCs w:val="22"/>
              </w:rPr>
            </w:pPr>
            <w:r w:rsidRPr="00E70F73">
              <w:rPr>
                <w:color w:val="000000" w:themeColor="text1"/>
                <w:sz w:val="22"/>
                <w:szCs w:val="22"/>
              </w:rPr>
              <w:t>C</w:t>
            </w:r>
            <w:r w:rsidRPr="00E70F73">
              <w:rPr>
                <w:color w:val="000000" w:themeColor="text1"/>
                <w:sz w:val="22"/>
                <w:szCs w:val="22"/>
                <w:vertAlign w:val="subscript"/>
              </w:rPr>
              <w:t>min</w:t>
            </w:r>
            <w:r w:rsidRPr="00E70F73">
              <w:rPr>
                <w:color w:val="000000" w:themeColor="text1"/>
                <w:sz w:val="22"/>
                <w:szCs w:val="22"/>
              </w:rPr>
              <w:t xml:space="preserve">: ↑ 63% </w:t>
            </w:r>
          </w:p>
          <w:p w14:paraId="7AC0711E" w14:textId="77777777" w:rsidR="00CA3916" w:rsidRPr="00E70F73" w:rsidRDefault="00CA3916" w:rsidP="005E3C92">
            <w:pPr>
              <w:rPr>
                <w:color w:val="000000" w:themeColor="text1"/>
                <w:sz w:val="22"/>
                <w:szCs w:val="22"/>
              </w:rPr>
            </w:pPr>
            <w:r w:rsidRPr="00E70F73">
              <w:rPr>
                <w:color w:val="000000" w:themeColor="text1"/>
                <w:sz w:val="22"/>
                <w:szCs w:val="22"/>
              </w:rPr>
              <w:t xml:space="preserve"> </w:t>
            </w:r>
          </w:p>
          <w:p w14:paraId="43C0911F" w14:textId="77777777" w:rsidR="00CA3916" w:rsidRPr="00E70F73" w:rsidRDefault="00CA3916" w:rsidP="005E3C92">
            <w:pPr>
              <w:rPr>
                <w:color w:val="000000" w:themeColor="text1"/>
                <w:sz w:val="22"/>
                <w:szCs w:val="22"/>
              </w:rPr>
            </w:pPr>
            <w:r w:rsidRPr="00E70F73">
              <w:rPr>
                <w:color w:val="000000" w:themeColor="text1"/>
                <w:sz w:val="22"/>
                <w:szCs w:val="22"/>
              </w:rPr>
              <w:t xml:space="preserve">Ritonavir: </w:t>
            </w:r>
          </w:p>
          <w:p w14:paraId="4D8C2A9A" w14:textId="77777777" w:rsidR="00CA3916" w:rsidRPr="00E70F73" w:rsidRDefault="00CA3916" w:rsidP="005E3C92">
            <w:pPr>
              <w:rPr>
                <w:color w:val="000000" w:themeColor="text1"/>
                <w:sz w:val="22"/>
                <w:szCs w:val="22"/>
              </w:rPr>
            </w:pPr>
            <w:r w:rsidRPr="00E70F73">
              <w:rPr>
                <w:color w:val="000000" w:themeColor="text1"/>
                <w:sz w:val="22"/>
                <w:szCs w:val="22"/>
              </w:rPr>
              <w:t xml:space="preserve">AUC: ↔ </w:t>
            </w:r>
          </w:p>
          <w:p w14:paraId="154B35B5" w14:textId="77777777" w:rsidR="00CA3916" w:rsidRPr="00E70F73" w:rsidRDefault="00CA3916" w:rsidP="005E3C92">
            <w:pPr>
              <w:rPr>
                <w:color w:val="000000" w:themeColor="text1"/>
                <w:sz w:val="22"/>
                <w:szCs w:val="22"/>
              </w:rPr>
            </w:pPr>
            <w:r w:rsidRPr="00E70F73">
              <w:rPr>
                <w:color w:val="000000" w:themeColor="text1"/>
                <w:sz w:val="22"/>
                <w:szCs w:val="22"/>
              </w:rPr>
              <w:t>C</w:t>
            </w:r>
            <w:r w:rsidRPr="00E70F73">
              <w:rPr>
                <w:color w:val="000000" w:themeColor="text1"/>
                <w:sz w:val="22"/>
                <w:szCs w:val="22"/>
                <w:vertAlign w:val="subscript"/>
              </w:rPr>
              <w:t>max</w:t>
            </w:r>
            <w:r w:rsidRPr="00E70F73">
              <w:rPr>
                <w:color w:val="000000" w:themeColor="text1"/>
                <w:sz w:val="22"/>
                <w:szCs w:val="22"/>
              </w:rPr>
              <w:t xml:space="preserve">: ↔ </w:t>
            </w:r>
          </w:p>
          <w:p w14:paraId="0158197B" w14:textId="77777777" w:rsidR="00CA3916" w:rsidRPr="00E70F73" w:rsidRDefault="00CA3916" w:rsidP="005E3C92">
            <w:pPr>
              <w:rPr>
                <w:color w:val="000000" w:themeColor="text1"/>
                <w:sz w:val="22"/>
                <w:szCs w:val="22"/>
              </w:rPr>
            </w:pPr>
            <w:r w:rsidRPr="00E70F73">
              <w:rPr>
                <w:color w:val="000000" w:themeColor="text1"/>
                <w:sz w:val="22"/>
                <w:szCs w:val="22"/>
              </w:rPr>
              <w:t>C</w:t>
            </w:r>
            <w:r w:rsidRPr="00E70F73">
              <w:rPr>
                <w:color w:val="000000" w:themeColor="text1"/>
                <w:sz w:val="22"/>
                <w:szCs w:val="22"/>
                <w:vertAlign w:val="subscript"/>
              </w:rPr>
              <w:t>min</w:t>
            </w:r>
            <w:r w:rsidRPr="00E70F73">
              <w:rPr>
                <w:color w:val="000000" w:themeColor="text1"/>
                <w:sz w:val="22"/>
                <w:szCs w:val="22"/>
              </w:rPr>
              <w:t xml:space="preserve">: ↑ 45% </w:t>
            </w:r>
          </w:p>
          <w:p w14:paraId="2BD6240E" w14:textId="77777777" w:rsidR="00CA3916" w:rsidRPr="00E70F73" w:rsidRDefault="00CA3916" w:rsidP="005E3C92">
            <w:pPr>
              <w:rPr>
                <w:color w:val="000000" w:themeColor="text1"/>
                <w:sz w:val="22"/>
                <w:szCs w:val="22"/>
              </w:rPr>
            </w:pPr>
            <w:r w:rsidRPr="00E70F73">
              <w:rPr>
                <w:color w:val="000000" w:themeColor="text1"/>
                <w:sz w:val="22"/>
                <w:szCs w:val="22"/>
              </w:rPr>
              <w:t xml:space="preserve"> </w:t>
            </w:r>
          </w:p>
          <w:p w14:paraId="5131F28B" w14:textId="77777777" w:rsidR="00CA3916" w:rsidRPr="00E70F73" w:rsidRDefault="00CA3916" w:rsidP="005E3C92">
            <w:pPr>
              <w:rPr>
                <w:color w:val="000000" w:themeColor="text1"/>
                <w:sz w:val="22"/>
                <w:szCs w:val="22"/>
              </w:rPr>
            </w:pPr>
            <w:r w:rsidRPr="00E70F73">
              <w:rPr>
                <w:color w:val="000000" w:themeColor="text1"/>
                <w:sz w:val="22"/>
                <w:szCs w:val="22"/>
              </w:rPr>
              <w:t xml:space="preserve">Emtricitabin: </w:t>
            </w:r>
          </w:p>
          <w:p w14:paraId="0432B274" w14:textId="77777777" w:rsidR="00CA3916" w:rsidRPr="00E70F73" w:rsidRDefault="00CA3916" w:rsidP="005E3C92">
            <w:pPr>
              <w:rPr>
                <w:color w:val="000000" w:themeColor="text1"/>
                <w:sz w:val="22"/>
                <w:szCs w:val="22"/>
              </w:rPr>
            </w:pPr>
            <w:r w:rsidRPr="00E70F73">
              <w:rPr>
                <w:color w:val="000000" w:themeColor="text1"/>
                <w:sz w:val="22"/>
                <w:szCs w:val="22"/>
              </w:rPr>
              <w:t xml:space="preserve">AUC: ↔ </w:t>
            </w:r>
          </w:p>
          <w:p w14:paraId="27F4AFCF" w14:textId="77777777" w:rsidR="00CA3916" w:rsidRPr="00E70F73" w:rsidRDefault="00CA3916" w:rsidP="005E3C92">
            <w:pPr>
              <w:rPr>
                <w:color w:val="000000" w:themeColor="text1"/>
                <w:sz w:val="22"/>
                <w:szCs w:val="22"/>
              </w:rPr>
            </w:pPr>
            <w:r w:rsidRPr="00E70F73">
              <w:rPr>
                <w:color w:val="000000" w:themeColor="text1"/>
                <w:sz w:val="22"/>
                <w:szCs w:val="22"/>
              </w:rPr>
              <w:t>C</w:t>
            </w:r>
            <w:r w:rsidRPr="00E70F73">
              <w:rPr>
                <w:color w:val="000000" w:themeColor="text1"/>
                <w:sz w:val="22"/>
                <w:szCs w:val="22"/>
                <w:vertAlign w:val="subscript"/>
              </w:rPr>
              <w:t>max</w:t>
            </w:r>
            <w:r w:rsidRPr="00E70F73">
              <w:rPr>
                <w:color w:val="000000" w:themeColor="text1"/>
                <w:sz w:val="22"/>
                <w:szCs w:val="22"/>
              </w:rPr>
              <w:t xml:space="preserve">: ↔ </w:t>
            </w:r>
          </w:p>
          <w:p w14:paraId="71095D5B" w14:textId="77777777" w:rsidR="00CA3916" w:rsidRPr="00E70F73" w:rsidRDefault="00CA3916" w:rsidP="005E3C92">
            <w:pPr>
              <w:rPr>
                <w:color w:val="000000" w:themeColor="text1"/>
                <w:sz w:val="22"/>
                <w:szCs w:val="22"/>
              </w:rPr>
            </w:pPr>
            <w:r w:rsidRPr="00E70F73">
              <w:rPr>
                <w:color w:val="000000" w:themeColor="text1"/>
                <w:sz w:val="22"/>
                <w:szCs w:val="22"/>
              </w:rPr>
              <w:t>C</w:t>
            </w:r>
            <w:r w:rsidRPr="00E70F73">
              <w:rPr>
                <w:color w:val="000000" w:themeColor="text1"/>
                <w:sz w:val="22"/>
                <w:szCs w:val="22"/>
                <w:vertAlign w:val="subscript"/>
              </w:rPr>
              <w:t>min</w:t>
            </w:r>
            <w:r w:rsidRPr="00E70F73">
              <w:rPr>
                <w:color w:val="000000" w:themeColor="text1"/>
                <w:sz w:val="22"/>
                <w:szCs w:val="22"/>
              </w:rPr>
              <w:t xml:space="preserve">: ↔ </w:t>
            </w:r>
          </w:p>
          <w:p w14:paraId="0F4F5F00" w14:textId="77777777" w:rsidR="00CA3916" w:rsidRPr="00E70F73" w:rsidRDefault="00CA3916" w:rsidP="005E3C92">
            <w:pPr>
              <w:rPr>
                <w:color w:val="000000" w:themeColor="text1"/>
                <w:sz w:val="22"/>
                <w:szCs w:val="22"/>
              </w:rPr>
            </w:pPr>
            <w:r w:rsidRPr="00E70F73">
              <w:rPr>
                <w:color w:val="000000" w:themeColor="text1"/>
                <w:sz w:val="22"/>
                <w:szCs w:val="22"/>
              </w:rPr>
              <w:t xml:space="preserve"> </w:t>
            </w:r>
          </w:p>
          <w:p w14:paraId="72FC4F0D" w14:textId="77777777" w:rsidR="00CA3916" w:rsidRPr="00E70F73" w:rsidRDefault="00CA3916" w:rsidP="005E3C92">
            <w:pPr>
              <w:rPr>
                <w:color w:val="000000" w:themeColor="text1"/>
                <w:sz w:val="22"/>
                <w:szCs w:val="22"/>
              </w:rPr>
            </w:pPr>
            <w:r w:rsidRPr="00E70F73">
              <w:rPr>
                <w:color w:val="000000" w:themeColor="text1"/>
                <w:sz w:val="22"/>
                <w:szCs w:val="22"/>
              </w:rPr>
              <w:t xml:space="preserve">Tenofovir: </w:t>
            </w:r>
          </w:p>
          <w:p w14:paraId="54718D93" w14:textId="77777777" w:rsidR="00CA3916" w:rsidRPr="00E70F73" w:rsidRDefault="00CA3916" w:rsidP="005E3C92">
            <w:pPr>
              <w:rPr>
                <w:color w:val="000000" w:themeColor="text1"/>
                <w:sz w:val="22"/>
                <w:szCs w:val="22"/>
              </w:rPr>
            </w:pPr>
            <w:r w:rsidRPr="00E70F73">
              <w:rPr>
                <w:color w:val="000000" w:themeColor="text1"/>
                <w:sz w:val="22"/>
                <w:szCs w:val="22"/>
              </w:rPr>
              <w:t xml:space="preserve">AUC: ↔ </w:t>
            </w:r>
          </w:p>
          <w:p w14:paraId="235110F4" w14:textId="77777777" w:rsidR="00CA3916" w:rsidRPr="006E31EE" w:rsidRDefault="00CA3916" w:rsidP="005E3C92">
            <w:pPr>
              <w:rPr>
                <w:color w:val="000000" w:themeColor="text1"/>
                <w:sz w:val="22"/>
                <w:szCs w:val="22"/>
              </w:rPr>
            </w:pPr>
            <w:r w:rsidRPr="006E31EE">
              <w:rPr>
                <w:color w:val="000000" w:themeColor="text1"/>
                <w:sz w:val="22"/>
                <w:szCs w:val="22"/>
              </w:rPr>
              <w:t>C</w:t>
            </w:r>
            <w:r w:rsidRPr="006E31EE">
              <w:rPr>
                <w:color w:val="000000" w:themeColor="text1"/>
                <w:sz w:val="22"/>
                <w:szCs w:val="22"/>
                <w:vertAlign w:val="subscript"/>
              </w:rPr>
              <w:t>max</w:t>
            </w:r>
            <w:r w:rsidRPr="006E31EE">
              <w:rPr>
                <w:color w:val="000000" w:themeColor="text1"/>
                <w:sz w:val="22"/>
                <w:szCs w:val="22"/>
              </w:rPr>
              <w:t xml:space="preserve">: ↑ 47% </w:t>
            </w:r>
          </w:p>
          <w:p w14:paraId="78041E3B" w14:textId="77777777" w:rsidR="00CA3916" w:rsidRPr="006E31EE" w:rsidRDefault="00CA3916" w:rsidP="005E3C92">
            <w:pPr>
              <w:rPr>
                <w:color w:val="000000" w:themeColor="text1"/>
                <w:sz w:val="22"/>
                <w:szCs w:val="22"/>
              </w:rPr>
            </w:pPr>
            <w:r w:rsidRPr="006E31EE">
              <w:rPr>
                <w:color w:val="000000" w:themeColor="text1"/>
                <w:sz w:val="22"/>
                <w:szCs w:val="22"/>
              </w:rPr>
              <w:t>C</w:t>
            </w:r>
            <w:r w:rsidRPr="006E31EE">
              <w:rPr>
                <w:color w:val="000000" w:themeColor="text1"/>
                <w:sz w:val="22"/>
                <w:szCs w:val="22"/>
                <w:vertAlign w:val="subscript"/>
              </w:rPr>
              <w:t>min</w:t>
            </w:r>
            <w:r w:rsidRPr="006E31EE">
              <w:rPr>
                <w:color w:val="000000" w:themeColor="text1"/>
                <w:sz w:val="22"/>
                <w:szCs w:val="22"/>
              </w:rPr>
              <w:t xml:space="preserve">: ↑ 47% </w:t>
            </w:r>
          </w:p>
        </w:tc>
        <w:tc>
          <w:tcPr>
            <w:tcW w:w="1745" w:type="pct"/>
            <w:hideMark/>
          </w:tcPr>
          <w:p w14:paraId="5108A31C" w14:textId="77777777" w:rsidR="00CA3916" w:rsidRPr="006E31EE" w:rsidRDefault="00CA3916" w:rsidP="005E3C92">
            <w:pPr>
              <w:rPr>
                <w:sz w:val="22"/>
                <w:szCs w:val="22"/>
              </w:rPr>
            </w:pPr>
            <w:r w:rsidRPr="006E31EE">
              <w:rPr>
                <w:sz w:val="22"/>
                <w:szCs w:val="22"/>
              </w:rPr>
              <w:t>Øgede plasmakoncentrationer af tenofovir som følge af samtidig administration af tenofovirdisoproxil,</w:t>
            </w:r>
          </w:p>
          <w:p w14:paraId="536655BE" w14:textId="77777777" w:rsidR="00CA3916" w:rsidRPr="006E31EE" w:rsidRDefault="00CA3916" w:rsidP="005E3C92">
            <w:pPr>
              <w:rPr>
                <w:sz w:val="22"/>
                <w:szCs w:val="22"/>
              </w:rPr>
            </w:pPr>
            <w:r w:rsidRPr="006E31EE">
              <w:rPr>
                <w:sz w:val="22"/>
                <w:szCs w:val="22"/>
              </w:rPr>
              <w:t>ledipasvir/sofosbuvir og atazanavir/ritonavir kan øge bivirkninger relateret til tenofovirdisoproxil, herunder nyrelidelser. Sikkerheden af tenofovirdisoproxil når det bruges med</w:t>
            </w:r>
          </w:p>
          <w:p w14:paraId="17F43B6F" w14:textId="77777777" w:rsidR="00CA3916" w:rsidRPr="006E31EE" w:rsidRDefault="00CA3916" w:rsidP="005E3C92">
            <w:pPr>
              <w:rPr>
                <w:sz w:val="22"/>
                <w:szCs w:val="22"/>
              </w:rPr>
            </w:pPr>
            <w:r w:rsidRPr="006E31EE">
              <w:rPr>
                <w:sz w:val="22"/>
                <w:szCs w:val="22"/>
              </w:rPr>
              <w:t>ledipasvir/sofosbuvir og en farmakokinetisk forstærker (f.eks. ritonavir eller cobicistat) er ikke fastslået.</w:t>
            </w:r>
          </w:p>
          <w:p w14:paraId="0F98C9E6" w14:textId="77777777" w:rsidR="00CA3916" w:rsidRPr="006E31EE" w:rsidRDefault="00CA3916" w:rsidP="005E3C92">
            <w:pPr>
              <w:rPr>
                <w:sz w:val="22"/>
                <w:szCs w:val="22"/>
              </w:rPr>
            </w:pPr>
            <w:r w:rsidRPr="006E31EE">
              <w:rPr>
                <w:sz w:val="22"/>
                <w:szCs w:val="22"/>
              </w:rPr>
              <w:t> </w:t>
            </w:r>
          </w:p>
          <w:p w14:paraId="73863559" w14:textId="77777777" w:rsidR="00CA3916" w:rsidRPr="006E31EE" w:rsidRDefault="00CA3916" w:rsidP="005E3C92">
            <w:pPr>
              <w:rPr>
                <w:sz w:val="22"/>
                <w:szCs w:val="22"/>
              </w:rPr>
            </w:pPr>
            <w:r w:rsidRPr="006E31EE">
              <w:rPr>
                <w:sz w:val="22"/>
                <w:szCs w:val="22"/>
              </w:rPr>
              <w:t>Kombinationen bør anvendes med forsigtighed med hyppig overvågning af nyrerne, hvis der ikke foreligger andre alternativer (se pkt. 4.4).</w:t>
            </w:r>
          </w:p>
        </w:tc>
      </w:tr>
      <w:tr w:rsidR="00CA3916" w:rsidRPr="006E31EE" w14:paraId="7B7569C1" w14:textId="77777777" w:rsidTr="005E3C92">
        <w:trPr>
          <w:trHeight w:val="9203"/>
        </w:trPr>
        <w:tc>
          <w:tcPr>
            <w:tcW w:w="1667" w:type="pct"/>
            <w:hideMark/>
          </w:tcPr>
          <w:p w14:paraId="2F258978" w14:textId="77777777" w:rsidR="00CA3916" w:rsidRPr="006E31EE" w:rsidRDefault="00CA3916" w:rsidP="005E3C92">
            <w:pPr>
              <w:rPr>
                <w:color w:val="000000" w:themeColor="text1"/>
                <w:sz w:val="22"/>
                <w:szCs w:val="22"/>
              </w:rPr>
            </w:pPr>
            <w:r w:rsidRPr="006E31EE">
              <w:rPr>
                <w:color w:val="000000" w:themeColor="text1"/>
                <w:sz w:val="22"/>
                <w:szCs w:val="22"/>
              </w:rPr>
              <w:lastRenderedPageBreak/>
              <w:t xml:space="preserve">Ledipasvir/sofosbuvir </w:t>
            </w:r>
          </w:p>
          <w:p w14:paraId="4E178A19" w14:textId="77777777" w:rsidR="00CA3916" w:rsidRPr="00C521AB" w:rsidRDefault="00CA3916" w:rsidP="005E3C92">
            <w:pPr>
              <w:rPr>
                <w:color w:val="000000" w:themeColor="text1"/>
                <w:sz w:val="22"/>
                <w:szCs w:val="22"/>
                <w:lang w:val="en-US"/>
              </w:rPr>
            </w:pPr>
            <w:r w:rsidRPr="006E31EE">
              <w:rPr>
                <w:color w:val="000000" w:themeColor="text1"/>
                <w:sz w:val="22"/>
                <w:szCs w:val="22"/>
              </w:rPr>
              <w:t xml:space="preserve">(90 mg/400 mg q.d.) </w:t>
            </w:r>
            <w:r w:rsidRPr="00C521AB">
              <w:rPr>
                <w:color w:val="000000" w:themeColor="text1"/>
                <w:sz w:val="22"/>
                <w:szCs w:val="22"/>
                <w:lang w:val="en-US"/>
              </w:rPr>
              <w:t xml:space="preserve">+ </w:t>
            </w:r>
          </w:p>
          <w:p w14:paraId="7819C230" w14:textId="77777777" w:rsidR="00CA3916" w:rsidRPr="00C521AB" w:rsidRDefault="00CA3916" w:rsidP="005E3C92">
            <w:pPr>
              <w:rPr>
                <w:color w:val="000000" w:themeColor="text1"/>
                <w:sz w:val="22"/>
                <w:szCs w:val="22"/>
                <w:lang w:val="en-US"/>
              </w:rPr>
            </w:pPr>
            <w:r w:rsidRPr="00C521AB">
              <w:rPr>
                <w:color w:val="000000" w:themeColor="text1"/>
                <w:sz w:val="22"/>
                <w:szCs w:val="22"/>
                <w:lang w:val="en-US"/>
              </w:rPr>
              <w:t xml:space="preserve">Darunavir/ritonavir </w:t>
            </w:r>
          </w:p>
          <w:p w14:paraId="0F3B94DD" w14:textId="77777777" w:rsidR="00CA3916" w:rsidRPr="005E3C92" w:rsidRDefault="00CA3916" w:rsidP="005E3C92">
            <w:pPr>
              <w:rPr>
                <w:color w:val="000000" w:themeColor="text1"/>
                <w:sz w:val="22"/>
                <w:szCs w:val="22"/>
                <w:lang w:val="en-US"/>
              </w:rPr>
            </w:pPr>
            <w:r w:rsidRPr="00C521AB">
              <w:rPr>
                <w:color w:val="000000" w:themeColor="text1"/>
                <w:sz w:val="22"/>
                <w:szCs w:val="22"/>
                <w:lang w:val="en-US"/>
              </w:rPr>
              <w:t xml:space="preserve">(800 mg q.d./100 mg q.d.) </w:t>
            </w:r>
            <w:r w:rsidRPr="005E3C92">
              <w:rPr>
                <w:color w:val="000000" w:themeColor="text1"/>
                <w:sz w:val="22"/>
                <w:szCs w:val="22"/>
                <w:lang w:val="en-US"/>
              </w:rPr>
              <w:t>+ Emtricitabin/</w:t>
            </w:r>
          </w:p>
          <w:p w14:paraId="7BCAABA3" w14:textId="77777777" w:rsidR="00CA3916" w:rsidRPr="005E3C92" w:rsidRDefault="00CA3916" w:rsidP="005E3C92">
            <w:pPr>
              <w:rPr>
                <w:color w:val="000000" w:themeColor="text1"/>
                <w:sz w:val="22"/>
                <w:szCs w:val="22"/>
                <w:lang w:val="en-US"/>
              </w:rPr>
            </w:pPr>
            <w:r w:rsidRPr="005E3C92">
              <w:rPr>
                <w:color w:val="000000" w:themeColor="text1"/>
                <w:sz w:val="22"/>
                <w:szCs w:val="22"/>
                <w:lang w:val="en-US"/>
              </w:rPr>
              <w:t>tenofovirdisoproxil</w:t>
            </w:r>
          </w:p>
          <w:p w14:paraId="292785C0" w14:textId="77777777" w:rsidR="00CA3916" w:rsidRPr="005E3C92" w:rsidRDefault="00CA3916" w:rsidP="005E3C92">
            <w:pPr>
              <w:rPr>
                <w:color w:val="FF0000"/>
                <w:sz w:val="22"/>
                <w:szCs w:val="22"/>
                <w:lang w:val="en-US"/>
              </w:rPr>
            </w:pPr>
            <w:r w:rsidRPr="005E3C92">
              <w:rPr>
                <w:color w:val="000000" w:themeColor="text1"/>
                <w:sz w:val="22"/>
                <w:szCs w:val="22"/>
                <w:lang w:val="en-US"/>
              </w:rPr>
              <w:t>(200 mg/245 mg q.d.)</w:t>
            </w:r>
            <w:r w:rsidRPr="005E3C92">
              <w:rPr>
                <w:color w:val="000000" w:themeColor="text1"/>
                <w:sz w:val="22"/>
                <w:szCs w:val="22"/>
                <w:vertAlign w:val="superscript"/>
                <w:lang w:val="en-US"/>
              </w:rPr>
              <w:t xml:space="preserve">1 </w:t>
            </w:r>
          </w:p>
        </w:tc>
        <w:tc>
          <w:tcPr>
            <w:tcW w:w="1588" w:type="pct"/>
            <w:gridSpan w:val="2"/>
          </w:tcPr>
          <w:p w14:paraId="6C42E233" w14:textId="77777777" w:rsidR="00CA3916" w:rsidRPr="005E3C92" w:rsidRDefault="00CA3916" w:rsidP="005E3C92">
            <w:pPr>
              <w:rPr>
                <w:color w:val="000000" w:themeColor="text1"/>
                <w:sz w:val="22"/>
                <w:szCs w:val="22"/>
                <w:lang w:val="en-US"/>
              </w:rPr>
            </w:pPr>
            <w:r w:rsidRPr="005E3C92">
              <w:rPr>
                <w:color w:val="000000" w:themeColor="text1"/>
                <w:sz w:val="22"/>
                <w:szCs w:val="22"/>
                <w:lang w:val="en-US"/>
              </w:rPr>
              <w:t xml:space="preserve">Ledipasvir: </w:t>
            </w:r>
          </w:p>
          <w:p w14:paraId="5CECBB5B" w14:textId="77777777" w:rsidR="00CA3916" w:rsidRPr="005E3C92" w:rsidRDefault="00CA3916" w:rsidP="005E3C92">
            <w:pPr>
              <w:rPr>
                <w:color w:val="000000" w:themeColor="text1"/>
                <w:sz w:val="22"/>
                <w:szCs w:val="22"/>
                <w:lang w:val="en-US"/>
              </w:rPr>
            </w:pPr>
            <w:r w:rsidRPr="005E3C92">
              <w:rPr>
                <w:color w:val="000000" w:themeColor="text1"/>
                <w:sz w:val="22"/>
                <w:szCs w:val="22"/>
                <w:lang w:val="en-US"/>
              </w:rPr>
              <w:t xml:space="preserve">AUC: ↔ </w:t>
            </w:r>
          </w:p>
          <w:p w14:paraId="00DC8394" w14:textId="77777777" w:rsidR="00CA3916" w:rsidRPr="005E3C92" w:rsidRDefault="00CA3916" w:rsidP="005E3C92">
            <w:pPr>
              <w:rPr>
                <w:color w:val="000000" w:themeColor="text1"/>
                <w:sz w:val="22"/>
                <w:szCs w:val="22"/>
                <w:lang w:val="en-US"/>
              </w:rPr>
            </w:pPr>
            <w:r w:rsidRPr="005E3C92">
              <w:rPr>
                <w:color w:val="000000" w:themeColor="text1"/>
                <w:sz w:val="22"/>
                <w:szCs w:val="22"/>
                <w:lang w:val="en-US"/>
              </w:rPr>
              <w:t>C</w:t>
            </w:r>
            <w:r w:rsidRPr="005E3C92">
              <w:rPr>
                <w:color w:val="000000" w:themeColor="text1"/>
                <w:sz w:val="22"/>
                <w:szCs w:val="22"/>
                <w:vertAlign w:val="subscript"/>
                <w:lang w:val="en-US"/>
              </w:rPr>
              <w:t>max</w:t>
            </w:r>
            <w:r w:rsidRPr="005E3C92">
              <w:rPr>
                <w:color w:val="000000" w:themeColor="text1"/>
                <w:sz w:val="22"/>
                <w:szCs w:val="22"/>
                <w:lang w:val="en-US"/>
              </w:rPr>
              <w:t xml:space="preserve">: ↔ </w:t>
            </w:r>
          </w:p>
          <w:p w14:paraId="26B07F5D" w14:textId="77777777" w:rsidR="00CA3916" w:rsidRPr="005E3C92" w:rsidRDefault="00CA3916" w:rsidP="005E3C92">
            <w:pPr>
              <w:rPr>
                <w:color w:val="000000" w:themeColor="text1"/>
                <w:sz w:val="22"/>
                <w:szCs w:val="22"/>
                <w:lang w:val="en-US"/>
              </w:rPr>
            </w:pPr>
            <w:r w:rsidRPr="005E3C92">
              <w:rPr>
                <w:color w:val="000000" w:themeColor="text1"/>
                <w:sz w:val="22"/>
                <w:szCs w:val="22"/>
                <w:lang w:val="en-US"/>
              </w:rPr>
              <w:t>C</w:t>
            </w:r>
            <w:r w:rsidRPr="005E3C92">
              <w:rPr>
                <w:color w:val="000000" w:themeColor="text1"/>
                <w:sz w:val="22"/>
                <w:szCs w:val="22"/>
                <w:vertAlign w:val="subscript"/>
                <w:lang w:val="en-US"/>
              </w:rPr>
              <w:t>min</w:t>
            </w:r>
            <w:r w:rsidRPr="005E3C92">
              <w:rPr>
                <w:color w:val="000000" w:themeColor="text1"/>
                <w:sz w:val="22"/>
                <w:szCs w:val="22"/>
                <w:lang w:val="en-US"/>
              </w:rPr>
              <w:t xml:space="preserve">: ↔ </w:t>
            </w:r>
          </w:p>
          <w:p w14:paraId="5C12C7E9" w14:textId="77777777" w:rsidR="00CA3916" w:rsidRPr="005E3C92" w:rsidRDefault="00CA3916" w:rsidP="005E3C92">
            <w:pPr>
              <w:rPr>
                <w:color w:val="000000" w:themeColor="text1"/>
                <w:sz w:val="22"/>
                <w:szCs w:val="22"/>
                <w:lang w:val="en-US"/>
              </w:rPr>
            </w:pPr>
            <w:r w:rsidRPr="005E3C92">
              <w:rPr>
                <w:color w:val="000000" w:themeColor="text1"/>
                <w:sz w:val="22"/>
                <w:szCs w:val="22"/>
                <w:lang w:val="en-US"/>
              </w:rPr>
              <w:t xml:space="preserve"> </w:t>
            </w:r>
          </w:p>
          <w:p w14:paraId="578C12AB" w14:textId="77777777" w:rsidR="00CA3916" w:rsidRPr="005E3C92" w:rsidRDefault="00CA3916" w:rsidP="005E3C92">
            <w:pPr>
              <w:rPr>
                <w:color w:val="000000" w:themeColor="text1"/>
                <w:sz w:val="22"/>
                <w:szCs w:val="22"/>
                <w:lang w:val="en-US"/>
              </w:rPr>
            </w:pPr>
            <w:r w:rsidRPr="005E3C92">
              <w:rPr>
                <w:color w:val="000000" w:themeColor="text1"/>
                <w:sz w:val="22"/>
                <w:szCs w:val="22"/>
                <w:lang w:val="en-US"/>
              </w:rPr>
              <w:t xml:space="preserve">Sofosbuvir: </w:t>
            </w:r>
          </w:p>
          <w:p w14:paraId="33B50430" w14:textId="77777777" w:rsidR="00CA3916" w:rsidRPr="005E3C92" w:rsidRDefault="00CA3916" w:rsidP="005E3C92">
            <w:pPr>
              <w:rPr>
                <w:color w:val="000000" w:themeColor="text1"/>
                <w:sz w:val="22"/>
                <w:szCs w:val="22"/>
                <w:lang w:val="en-US"/>
              </w:rPr>
            </w:pPr>
            <w:r w:rsidRPr="005E3C92">
              <w:rPr>
                <w:color w:val="000000" w:themeColor="text1"/>
                <w:sz w:val="22"/>
                <w:szCs w:val="22"/>
                <w:lang w:val="en-US"/>
              </w:rPr>
              <w:t xml:space="preserve">AUC: ↓ 27% </w:t>
            </w:r>
          </w:p>
          <w:p w14:paraId="426E65A7" w14:textId="77777777" w:rsidR="00CA3916" w:rsidRPr="005E3C92" w:rsidRDefault="00CA3916" w:rsidP="005E3C92">
            <w:pPr>
              <w:rPr>
                <w:color w:val="000000" w:themeColor="text1"/>
                <w:sz w:val="22"/>
                <w:szCs w:val="22"/>
                <w:lang w:val="en-US"/>
              </w:rPr>
            </w:pPr>
            <w:r w:rsidRPr="005E3C92">
              <w:rPr>
                <w:color w:val="000000" w:themeColor="text1"/>
                <w:sz w:val="22"/>
                <w:szCs w:val="22"/>
                <w:lang w:val="en-US"/>
              </w:rPr>
              <w:t>C</w:t>
            </w:r>
            <w:r w:rsidRPr="005E3C92">
              <w:rPr>
                <w:color w:val="000000" w:themeColor="text1"/>
                <w:sz w:val="22"/>
                <w:szCs w:val="22"/>
                <w:vertAlign w:val="subscript"/>
                <w:lang w:val="en-US"/>
              </w:rPr>
              <w:t>max</w:t>
            </w:r>
            <w:r w:rsidRPr="005E3C92">
              <w:rPr>
                <w:color w:val="000000" w:themeColor="text1"/>
                <w:sz w:val="22"/>
                <w:szCs w:val="22"/>
                <w:lang w:val="en-US"/>
              </w:rPr>
              <w:t xml:space="preserve">: ↓ 37% </w:t>
            </w:r>
          </w:p>
          <w:p w14:paraId="203E84B2" w14:textId="77777777" w:rsidR="00CA3916" w:rsidRPr="005E3C92" w:rsidRDefault="00CA3916" w:rsidP="005E3C92">
            <w:pPr>
              <w:rPr>
                <w:color w:val="000000" w:themeColor="text1"/>
                <w:sz w:val="22"/>
                <w:szCs w:val="22"/>
                <w:lang w:val="en-US"/>
              </w:rPr>
            </w:pPr>
            <w:r w:rsidRPr="005E3C92">
              <w:rPr>
                <w:color w:val="000000" w:themeColor="text1"/>
                <w:sz w:val="22"/>
                <w:szCs w:val="22"/>
                <w:lang w:val="en-US"/>
              </w:rPr>
              <w:t xml:space="preserve"> </w:t>
            </w:r>
          </w:p>
          <w:p w14:paraId="19757004" w14:textId="77777777" w:rsidR="00CA3916" w:rsidRPr="005E3C92" w:rsidRDefault="00CA3916" w:rsidP="005E3C92">
            <w:pPr>
              <w:rPr>
                <w:color w:val="000000" w:themeColor="text1"/>
                <w:sz w:val="22"/>
                <w:szCs w:val="22"/>
                <w:lang w:val="en-US"/>
              </w:rPr>
            </w:pPr>
            <w:r w:rsidRPr="005E3C92">
              <w:rPr>
                <w:color w:val="000000" w:themeColor="text1"/>
                <w:sz w:val="22"/>
                <w:szCs w:val="22"/>
                <w:lang w:val="en-US"/>
              </w:rPr>
              <w:t>GS-331007</w:t>
            </w:r>
            <w:r w:rsidRPr="005E3C92">
              <w:rPr>
                <w:color w:val="000000" w:themeColor="text1"/>
                <w:sz w:val="22"/>
                <w:szCs w:val="22"/>
                <w:vertAlign w:val="superscript"/>
                <w:lang w:val="en-US"/>
              </w:rPr>
              <w:t>2</w:t>
            </w:r>
            <w:r w:rsidRPr="005E3C92">
              <w:rPr>
                <w:color w:val="000000" w:themeColor="text1"/>
                <w:sz w:val="22"/>
                <w:szCs w:val="22"/>
                <w:lang w:val="en-US"/>
              </w:rPr>
              <w:t xml:space="preserve">: AUC: ↔ </w:t>
            </w:r>
          </w:p>
          <w:p w14:paraId="49570AA4" w14:textId="77777777" w:rsidR="00CA3916" w:rsidRPr="005E3C92" w:rsidRDefault="00CA3916" w:rsidP="005E3C92">
            <w:pPr>
              <w:rPr>
                <w:color w:val="000000" w:themeColor="text1"/>
                <w:sz w:val="22"/>
                <w:szCs w:val="22"/>
                <w:lang w:val="en-US"/>
              </w:rPr>
            </w:pPr>
            <w:r w:rsidRPr="005E3C92">
              <w:rPr>
                <w:color w:val="000000" w:themeColor="text1"/>
                <w:sz w:val="22"/>
                <w:szCs w:val="22"/>
                <w:lang w:val="en-US"/>
              </w:rPr>
              <w:t>C</w:t>
            </w:r>
            <w:r w:rsidRPr="005E3C92">
              <w:rPr>
                <w:color w:val="000000" w:themeColor="text1"/>
                <w:sz w:val="22"/>
                <w:szCs w:val="22"/>
                <w:vertAlign w:val="subscript"/>
                <w:lang w:val="en-US"/>
              </w:rPr>
              <w:t>max</w:t>
            </w:r>
            <w:r w:rsidRPr="005E3C92">
              <w:rPr>
                <w:color w:val="000000" w:themeColor="text1"/>
                <w:sz w:val="22"/>
                <w:szCs w:val="22"/>
                <w:lang w:val="en-US"/>
              </w:rPr>
              <w:t xml:space="preserve">: ↔ </w:t>
            </w:r>
          </w:p>
          <w:p w14:paraId="2B401078" w14:textId="77777777" w:rsidR="00CA3916" w:rsidRPr="005E3C92" w:rsidRDefault="00CA3916" w:rsidP="005E3C92">
            <w:pPr>
              <w:rPr>
                <w:color w:val="000000" w:themeColor="text1"/>
                <w:sz w:val="22"/>
                <w:szCs w:val="22"/>
                <w:lang w:val="en-US"/>
              </w:rPr>
            </w:pPr>
            <w:r w:rsidRPr="005E3C92">
              <w:rPr>
                <w:color w:val="000000" w:themeColor="text1"/>
                <w:sz w:val="22"/>
                <w:szCs w:val="22"/>
                <w:lang w:val="en-US"/>
              </w:rPr>
              <w:t>C</w:t>
            </w:r>
            <w:r w:rsidRPr="005E3C92">
              <w:rPr>
                <w:color w:val="000000" w:themeColor="text1"/>
                <w:sz w:val="22"/>
                <w:szCs w:val="22"/>
                <w:vertAlign w:val="subscript"/>
                <w:lang w:val="en-US"/>
              </w:rPr>
              <w:t>min</w:t>
            </w:r>
            <w:r w:rsidRPr="005E3C92">
              <w:rPr>
                <w:color w:val="000000" w:themeColor="text1"/>
                <w:sz w:val="22"/>
                <w:szCs w:val="22"/>
                <w:lang w:val="en-US"/>
              </w:rPr>
              <w:t xml:space="preserve">: ↔ </w:t>
            </w:r>
          </w:p>
          <w:p w14:paraId="53C48BBB" w14:textId="77777777" w:rsidR="00CA3916" w:rsidRPr="005E3C92" w:rsidRDefault="00CA3916" w:rsidP="005E3C92">
            <w:pPr>
              <w:rPr>
                <w:color w:val="000000" w:themeColor="text1"/>
                <w:sz w:val="22"/>
                <w:szCs w:val="22"/>
                <w:lang w:val="en-US"/>
              </w:rPr>
            </w:pPr>
            <w:r w:rsidRPr="005E3C92">
              <w:rPr>
                <w:color w:val="000000" w:themeColor="text1"/>
                <w:sz w:val="22"/>
                <w:szCs w:val="22"/>
                <w:lang w:val="en-US"/>
              </w:rPr>
              <w:t xml:space="preserve"> </w:t>
            </w:r>
          </w:p>
          <w:p w14:paraId="3631715B" w14:textId="77777777" w:rsidR="00CA3916" w:rsidRPr="005E3C92" w:rsidRDefault="00CA3916" w:rsidP="005E3C92">
            <w:pPr>
              <w:rPr>
                <w:color w:val="000000" w:themeColor="text1"/>
                <w:sz w:val="22"/>
                <w:szCs w:val="22"/>
                <w:lang w:val="en-US"/>
              </w:rPr>
            </w:pPr>
            <w:r w:rsidRPr="005E3C92">
              <w:rPr>
                <w:color w:val="000000" w:themeColor="text1"/>
                <w:sz w:val="22"/>
                <w:szCs w:val="22"/>
                <w:lang w:val="en-US"/>
              </w:rPr>
              <w:t xml:space="preserve">Darunavir: </w:t>
            </w:r>
          </w:p>
          <w:p w14:paraId="21D68388" w14:textId="77777777" w:rsidR="00CA3916" w:rsidRPr="005E3C92" w:rsidRDefault="00CA3916" w:rsidP="005E3C92">
            <w:pPr>
              <w:rPr>
                <w:color w:val="000000" w:themeColor="text1"/>
                <w:sz w:val="22"/>
                <w:szCs w:val="22"/>
                <w:lang w:val="en-US"/>
              </w:rPr>
            </w:pPr>
            <w:r w:rsidRPr="005E3C92">
              <w:rPr>
                <w:color w:val="000000" w:themeColor="text1"/>
                <w:sz w:val="22"/>
                <w:szCs w:val="22"/>
                <w:lang w:val="en-US"/>
              </w:rPr>
              <w:t xml:space="preserve">AUC: ↔ </w:t>
            </w:r>
          </w:p>
          <w:p w14:paraId="3D80B938" w14:textId="77777777" w:rsidR="00CA3916" w:rsidRPr="005E3C92" w:rsidRDefault="00CA3916" w:rsidP="005E3C92">
            <w:pPr>
              <w:rPr>
                <w:color w:val="000000" w:themeColor="text1"/>
                <w:sz w:val="22"/>
                <w:szCs w:val="22"/>
                <w:lang w:val="en-US"/>
              </w:rPr>
            </w:pPr>
            <w:r w:rsidRPr="005E3C92">
              <w:rPr>
                <w:color w:val="000000" w:themeColor="text1"/>
                <w:sz w:val="22"/>
                <w:szCs w:val="22"/>
                <w:lang w:val="en-US"/>
              </w:rPr>
              <w:t>C</w:t>
            </w:r>
            <w:r w:rsidRPr="005E3C92">
              <w:rPr>
                <w:color w:val="000000" w:themeColor="text1"/>
                <w:sz w:val="22"/>
                <w:szCs w:val="22"/>
                <w:vertAlign w:val="subscript"/>
                <w:lang w:val="en-US"/>
              </w:rPr>
              <w:t>max</w:t>
            </w:r>
            <w:r w:rsidRPr="005E3C92">
              <w:rPr>
                <w:color w:val="000000" w:themeColor="text1"/>
                <w:sz w:val="22"/>
                <w:szCs w:val="22"/>
                <w:lang w:val="en-US"/>
              </w:rPr>
              <w:t xml:space="preserve">: ↔ </w:t>
            </w:r>
          </w:p>
          <w:p w14:paraId="0E4E77C2" w14:textId="77777777" w:rsidR="00CA3916" w:rsidRPr="005E3C92" w:rsidRDefault="00CA3916" w:rsidP="005E3C92">
            <w:pPr>
              <w:rPr>
                <w:color w:val="000000" w:themeColor="text1"/>
                <w:sz w:val="22"/>
                <w:szCs w:val="22"/>
                <w:lang w:val="en-US"/>
              </w:rPr>
            </w:pPr>
            <w:r w:rsidRPr="005E3C92">
              <w:rPr>
                <w:color w:val="000000" w:themeColor="text1"/>
                <w:sz w:val="22"/>
                <w:szCs w:val="22"/>
                <w:lang w:val="en-US"/>
              </w:rPr>
              <w:t>C</w:t>
            </w:r>
            <w:r w:rsidRPr="005E3C92">
              <w:rPr>
                <w:color w:val="000000" w:themeColor="text1"/>
                <w:sz w:val="22"/>
                <w:szCs w:val="22"/>
                <w:vertAlign w:val="subscript"/>
                <w:lang w:val="en-US"/>
              </w:rPr>
              <w:t>min</w:t>
            </w:r>
            <w:r w:rsidRPr="005E3C92">
              <w:rPr>
                <w:color w:val="000000" w:themeColor="text1"/>
                <w:sz w:val="22"/>
                <w:szCs w:val="22"/>
                <w:lang w:val="en-US"/>
              </w:rPr>
              <w:t xml:space="preserve">: ↔ </w:t>
            </w:r>
          </w:p>
          <w:p w14:paraId="7354FBDB" w14:textId="77777777" w:rsidR="00CA3916" w:rsidRPr="005E3C92" w:rsidRDefault="00CA3916" w:rsidP="005E3C92">
            <w:pPr>
              <w:rPr>
                <w:color w:val="000000" w:themeColor="text1"/>
                <w:sz w:val="22"/>
                <w:szCs w:val="22"/>
                <w:lang w:val="en-US"/>
              </w:rPr>
            </w:pPr>
            <w:r w:rsidRPr="005E3C92">
              <w:rPr>
                <w:color w:val="000000" w:themeColor="text1"/>
                <w:sz w:val="22"/>
                <w:szCs w:val="22"/>
                <w:lang w:val="en-US"/>
              </w:rPr>
              <w:t xml:space="preserve"> </w:t>
            </w:r>
          </w:p>
          <w:p w14:paraId="1E4EEB1C" w14:textId="77777777" w:rsidR="00CA3916" w:rsidRPr="005E3C92" w:rsidRDefault="00CA3916" w:rsidP="005E3C92">
            <w:pPr>
              <w:rPr>
                <w:color w:val="000000" w:themeColor="text1"/>
                <w:sz w:val="22"/>
                <w:szCs w:val="22"/>
                <w:lang w:val="en-US"/>
              </w:rPr>
            </w:pPr>
            <w:r w:rsidRPr="005E3C92">
              <w:rPr>
                <w:color w:val="000000" w:themeColor="text1"/>
                <w:sz w:val="22"/>
                <w:szCs w:val="22"/>
                <w:lang w:val="en-US"/>
              </w:rPr>
              <w:t xml:space="preserve">Ritonavir: </w:t>
            </w:r>
          </w:p>
          <w:p w14:paraId="549E5009" w14:textId="77777777" w:rsidR="00CA3916" w:rsidRPr="005E3C92" w:rsidRDefault="00CA3916" w:rsidP="005E3C92">
            <w:pPr>
              <w:rPr>
                <w:color w:val="000000" w:themeColor="text1"/>
                <w:sz w:val="22"/>
                <w:szCs w:val="22"/>
                <w:lang w:val="en-US"/>
              </w:rPr>
            </w:pPr>
            <w:r w:rsidRPr="005E3C92">
              <w:rPr>
                <w:color w:val="000000" w:themeColor="text1"/>
                <w:sz w:val="22"/>
                <w:szCs w:val="22"/>
                <w:lang w:val="en-US"/>
              </w:rPr>
              <w:t xml:space="preserve">AUC: ↔ </w:t>
            </w:r>
          </w:p>
          <w:p w14:paraId="58715251" w14:textId="77777777" w:rsidR="00CA3916" w:rsidRPr="005E3C92" w:rsidRDefault="00CA3916" w:rsidP="005E3C92">
            <w:pPr>
              <w:rPr>
                <w:color w:val="000000" w:themeColor="text1"/>
                <w:sz w:val="22"/>
                <w:szCs w:val="22"/>
                <w:lang w:val="en-US"/>
              </w:rPr>
            </w:pPr>
            <w:r w:rsidRPr="005E3C92">
              <w:rPr>
                <w:color w:val="000000" w:themeColor="text1"/>
                <w:sz w:val="22"/>
                <w:szCs w:val="22"/>
                <w:lang w:val="en-US"/>
              </w:rPr>
              <w:t>C</w:t>
            </w:r>
            <w:r w:rsidRPr="005E3C92">
              <w:rPr>
                <w:color w:val="000000" w:themeColor="text1"/>
                <w:sz w:val="22"/>
                <w:szCs w:val="22"/>
                <w:vertAlign w:val="subscript"/>
                <w:lang w:val="en-US"/>
              </w:rPr>
              <w:t>max</w:t>
            </w:r>
            <w:r w:rsidRPr="005E3C92">
              <w:rPr>
                <w:color w:val="000000" w:themeColor="text1"/>
                <w:sz w:val="22"/>
                <w:szCs w:val="22"/>
                <w:lang w:val="en-US"/>
              </w:rPr>
              <w:t xml:space="preserve">: ↔ </w:t>
            </w:r>
          </w:p>
          <w:p w14:paraId="0E6FE098" w14:textId="77777777" w:rsidR="00CA3916" w:rsidRPr="005E3C92" w:rsidRDefault="00CA3916" w:rsidP="005E3C92">
            <w:pPr>
              <w:rPr>
                <w:color w:val="000000" w:themeColor="text1"/>
                <w:sz w:val="22"/>
                <w:szCs w:val="22"/>
                <w:lang w:val="en-US"/>
              </w:rPr>
            </w:pPr>
            <w:r w:rsidRPr="005E3C92">
              <w:rPr>
                <w:color w:val="000000" w:themeColor="text1"/>
                <w:sz w:val="22"/>
                <w:szCs w:val="22"/>
                <w:lang w:val="en-US"/>
              </w:rPr>
              <w:t>C</w:t>
            </w:r>
            <w:r w:rsidRPr="005E3C92">
              <w:rPr>
                <w:color w:val="000000" w:themeColor="text1"/>
                <w:sz w:val="22"/>
                <w:szCs w:val="22"/>
                <w:vertAlign w:val="subscript"/>
                <w:lang w:val="en-US"/>
              </w:rPr>
              <w:t>min</w:t>
            </w:r>
            <w:r w:rsidRPr="005E3C92">
              <w:rPr>
                <w:color w:val="000000" w:themeColor="text1"/>
                <w:sz w:val="22"/>
                <w:szCs w:val="22"/>
                <w:lang w:val="en-US"/>
              </w:rPr>
              <w:t xml:space="preserve">: ↑ 48% </w:t>
            </w:r>
          </w:p>
          <w:p w14:paraId="7507E1A9" w14:textId="77777777" w:rsidR="00CA3916" w:rsidRPr="005E3C92" w:rsidRDefault="00CA3916" w:rsidP="005E3C92">
            <w:pPr>
              <w:rPr>
                <w:color w:val="000000" w:themeColor="text1"/>
                <w:sz w:val="22"/>
                <w:szCs w:val="22"/>
                <w:lang w:val="en-US"/>
              </w:rPr>
            </w:pPr>
          </w:p>
          <w:p w14:paraId="4A69044F" w14:textId="77777777" w:rsidR="00CA3916" w:rsidRPr="005E3C92" w:rsidRDefault="00CA3916" w:rsidP="005E3C92">
            <w:pPr>
              <w:rPr>
                <w:color w:val="000000" w:themeColor="text1"/>
                <w:sz w:val="22"/>
                <w:szCs w:val="22"/>
                <w:lang w:val="en-US"/>
              </w:rPr>
            </w:pPr>
            <w:r w:rsidRPr="005E3C92">
              <w:rPr>
                <w:color w:val="000000" w:themeColor="text1"/>
                <w:sz w:val="22"/>
                <w:szCs w:val="22"/>
                <w:lang w:val="en-US"/>
              </w:rPr>
              <w:t xml:space="preserve">Emtricitabin: </w:t>
            </w:r>
          </w:p>
          <w:p w14:paraId="39D7248A" w14:textId="77777777" w:rsidR="00CA3916" w:rsidRPr="005E3C92" w:rsidRDefault="00CA3916" w:rsidP="005E3C92">
            <w:pPr>
              <w:rPr>
                <w:color w:val="000000" w:themeColor="text1"/>
                <w:sz w:val="22"/>
                <w:szCs w:val="22"/>
                <w:lang w:val="en-US"/>
              </w:rPr>
            </w:pPr>
            <w:r w:rsidRPr="005E3C92">
              <w:rPr>
                <w:color w:val="000000" w:themeColor="text1"/>
                <w:sz w:val="22"/>
                <w:szCs w:val="22"/>
                <w:lang w:val="en-US"/>
              </w:rPr>
              <w:t xml:space="preserve">AUC: ↔ </w:t>
            </w:r>
          </w:p>
          <w:p w14:paraId="0DA193CF" w14:textId="77777777" w:rsidR="00CA3916" w:rsidRPr="005E3C92" w:rsidRDefault="00CA3916" w:rsidP="005E3C92">
            <w:pPr>
              <w:rPr>
                <w:color w:val="000000" w:themeColor="text1"/>
                <w:sz w:val="22"/>
                <w:szCs w:val="22"/>
                <w:lang w:val="en-US"/>
              </w:rPr>
            </w:pPr>
            <w:r w:rsidRPr="005E3C92">
              <w:rPr>
                <w:color w:val="000000" w:themeColor="text1"/>
                <w:sz w:val="22"/>
                <w:szCs w:val="22"/>
                <w:lang w:val="en-US"/>
              </w:rPr>
              <w:t>C</w:t>
            </w:r>
            <w:r w:rsidRPr="005E3C92">
              <w:rPr>
                <w:color w:val="000000" w:themeColor="text1"/>
                <w:sz w:val="22"/>
                <w:szCs w:val="22"/>
                <w:vertAlign w:val="subscript"/>
                <w:lang w:val="en-US"/>
              </w:rPr>
              <w:t>max</w:t>
            </w:r>
            <w:r w:rsidRPr="005E3C92">
              <w:rPr>
                <w:color w:val="000000" w:themeColor="text1"/>
                <w:sz w:val="22"/>
                <w:szCs w:val="22"/>
                <w:lang w:val="en-US"/>
              </w:rPr>
              <w:t xml:space="preserve">: ↔ </w:t>
            </w:r>
          </w:p>
          <w:p w14:paraId="0AB01F3B" w14:textId="77777777" w:rsidR="00CA3916" w:rsidRPr="005E3C92" w:rsidRDefault="00CA3916" w:rsidP="005E3C92">
            <w:pPr>
              <w:rPr>
                <w:color w:val="000000" w:themeColor="text1"/>
                <w:sz w:val="22"/>
                <w:szCs w:val="22"/>
                <w:lang w:val="en-US"/>
              </w:rPr>
            </w:pPr>
            <w:r w:rsidRPr="005E3C92">
              <w:rPr>
                <w:color w:val="000000" w:themeColor="text1"/>
                <w:sz w:val="22"/>
                <w:szCs w:val="22"/>
                <w:lang w:val="en-US"/>
              </w:rPr>
              <w:t>C</w:t>
            </w:r>
            <w:r w:rsidRPr="005E3C92">
              <w:rPr>
                <w:color w:val="000000" w:themeColor="text1"/>
                <w:sz w:val="22"/>
                <w:szCs w:val="22"/>
                <w:vertAlign w:val="subscript"/>
                <w:lang w:val="en-US"/>
              </w:rPr>
              <w:t>min</w:t>
            </w:r>
            <w:r w:rsidRPr="005E3C92">
              <w:rPr>
                <w:color w:val="000000" w:themeColor="text1"/>
                <w:sz w:val="22"/>
                <w:szCs w:val="22"/>
                <w:lang w:val="en-US"/>
              </w:rPr>
              <w:t xml:space="preserve">: ↔ </w:t>
            </w:r>
          </w:p>
          <w:p w14:paraId="21AAC24C" w14:textId="77777777" w:rsidR="00CA3916" w:rsidRPr="005E3C92" w:rsidRDefault="00CA3916" w:rsidP="005E3C92">
            <w:pPr>
              <w:rPr>
                <w:color w:val="000000" w:themeColor="text1"/>
                <w:sz w:val="22"/>
                <w:szCs w:val="22"/>
                <w:lang w:val="en-US"/>
              </w:rPr>
            </w:pPr>
            <w:r w:rsidRPr="005E3C92">
              <w:rPr>
                <w:color w:val="000000" w:themeColor="text1"/>
                <w:sz w:val="22"/>
                <w:szCs w:val="22"/>
                <w:lang w:val="en-US"/>
              </w:rPr>
              <w:t xml:space="preserve"> </w:t>
            </w:r>
          </w:p>
          <w:p w14:paraId="2EECA95D" w14:textId="77777777" w:rsidR="00CA3916" w:rsidRPr="005E3C92" w:rsidRDefault="00CA3916" w:rsidP="005E3C92">
            <w:pPr>
              <w:rPr>
                <w:color w:val="000000" w:themeColor="text1"/>
                <w:sz w:val="22"/>
                <w:szCs w:val="22"/>
                <w:lang w:val="en-US"/>
              </w:rPr>
            </w:pPr>
            <w:r w:rsidRPr="005E3C92">
              <w:rPr>
                <w:color w:val="000000" w:themeColor="text1"/>
                <w:sz w:val="22"/>
                <w:szCs w:val="22"/>
                <w:lang w:val="en-US"/>
              </w:rPr>
              <w:t xml:space="preserve">Tenofovir: </w:t>
            </w:r>
          </w:p>
          <w:p w14:paraId="482A20C3" w14:textId="77777777" w:rsidR="00CA3916" w:rsidRPr="005E3C92" w:rsidRDefault="00CA3916" w:rsidP="005E3C92">
            <w:pPr>
              <w:rPr>
                <w:color w:val="000000" w:themeColor="text1"/>
                <w:sz w:val="22"/>
                <w:szCs w:val="22"/>
                <w:lang w:val="en-US"/>
              </w:rPr>
            </w:pPr>
            <w:r w:rsidRPr="005E3C92">
              <w:rPr>
                <w:color w:val="000000" w:themeColor="text1"/>
                <w:sz w:val="22"/>
                <w:szCs w:val="22"/>
                <w:lang w:val="en-US"/>
              </w:rPr>
              <w:t xml:space="preserve">AUC: ↑ 50% </w:t>
            </w:r>
          </w:p>
          <w:p w14:paraId="1337B9BA" w14:textId="77777777" w:rsidR="00CA3916" w:rsidRPr="006E31EE" w:rsidRDefault="00CA3916" w:rsidP="005E3C92">
            <w:pPr>
              <w:rPr>
                <w:color w:val="000000" w:themeColor="text1"/>
                <w:sz w:val="22"/>
                <w:szCs w:val="22"/>
              </w:rPr>
            </w:pPr>
            <w:r w:rsidRPr="006E31EE">
              <w:rPr>
                <w:color w:val="000000" w:themeColor="text1"/>
                <w:sz w:val="22"/>
                <w:szCs w:val="22"/>
              </w:rPr>
              <w:t>C</w:t>
            </w:r>
            <w:r w:rsidRPr="006E31EE">
              <w:rPr>
                <w:color w:val="000000" w:themeColor="text1"/>
                <w:sz w:val="22"/>
                <w:szCs w:val="22"/>
                <w:vertAlign w:val="subscript"/>
              </w:rPr>
              <w:t>max</w:t>
            </w:r>
            <w:r w:rsidRPr="006E31EE">
              <w:rPr>
                <w:color w:val="000000" w:themeColor="text1"/>
                <w:sz w:val="22"/>
                <w:szCs w:val="22"/>
              </w:rPr>
              <w:t xml:space="preserve">: ↑ 64% </w:t>
            </w:r>
          </w:p>
          <w:p w14:paraId="5BDCC2BA" w14:textId="77777777" w:rsidR="00CA3916" w:rsidRPr="006E31EE" w:rsidRDefault="00CA3916" w:rsidP="005E3C92">
            <w:pPr>
              <w:rPr>
                <w:color w:val="000000" w:themeColor="text1"/>
                <w:sz w:val="22"/>
                <w:szCs w:val="22"/>
              </w:rPr>
            </w:pPr>
            <w:r w:rsidRPr="006E31EE">
              <w:rPr>
                <w:color w:val="000000" w:themeColor="text1"/>
                <w:sz w:val="22"/>
                <w:szCs w:val="22"/>
              </w:rPr>
              <w:t>C</w:t>
            </w:r>
            <w:r w:rsidRPr="006E31EE">
              <w:rPr>
                <w:color w:val="000000" w:themeColor="text1"/>
                <w:sz w:val="22"/>
                <w:szCs w:val="22"/>
                <w:vertAlign w:val="subscript"/>
              </w:rPr>
              <w:t>min</w:t>
            </w:r>
            <w:r w:rsidRPr="006E31EE">
              <w:rPr>
                <w:color w:val="000000" w:themeColor="text1"/>
                <w:sz w:val="22"/>
                <w:szCs w:val="22"/>
              </w:rPr>
              <w:t xml:space="preserve">: ↑ 59% </w:t>
            </w:r>
          </w:p>
        </w:tc>
        <w:tc>
          <w:tcPr>
            <w:tcW w:w="1745" w:type="pct"/>
            <w:hideMark/>
          </w:tcPr>
          <w:p w14:paraId="3F272F37" w14:textId="77777777" w:rsidR="00CA3916" w:rsidRPr="006E31EE" w:rsidRDefault="00CA3916" w:rsidP="005E3C92">
            <w:pPr>
              <w:rPr>
                <w:sz w:val="22"/>
                <w:szCs w:val="22"/>
              </w:rPr>
            </w:pPr>
            <w:r w:rsidRPr="006E31EE">
              <w:rPr>
                <w:sz w:val="22"/>
                <w:szCs w:val="22"/>
              </w:rPr>
              <w:t>Øgede plasmakoncentrationer af tenofovir som følge af samtidig administration af tenofovirdisoproxil,</w:t>
            </w:r>
          </w:p>
          <w:p w14:paraId="5D4B1C0F" w14:textId="77777777" w:rsidR="00CA3916" w:rsidRPr="006E31EE" w:rsidRDefault="00CA3916" w:rsidP="005E3C92">
            <w:pPr>
              <w:rPr>
                <w:sz w:val="22"/>
                <w:szCs w:val="22"/>
              </w:rPr>
            </w:pPr>
            <w:r w:rsidRPr="006E31EE">
              <w:rPr>
                <w:sz w:val="22"/>
                <w:szCs w:val="22"/>
              </w:rPr>
              <w:t>ledipasvir/sofosbuvir og atazanavir/ritonavir kan øge bivirkninger relateret til tenofovirdisoproxil, herunder nyrelidelser. Sikkerheden af tenofovirdisoproxil når det bruges med ledipasvir/sofosbuvir og en farmakokinetisk forstærker (f.eks. ritonavir eller cobicistat) er ikke fastslået.</w:t>
            </w:r>
          </w:p>
          <w:p w14:paraId="25804571" w14:textId="77777777" w:rsidR="00CA3916" w:rsidRPr="006E31EE" w:rsidRDefault="00CA3916" w:rsidP="005E3C92">
            <w:pPr>
              <w:rPr>
                <w:sz w:val="22"/>
                <w:szCs w:val="22"/>
              </w:rPr>
            </w:pPr>
            <w:r w:rsidRPr="006E31EE">
              <w:rPr>
                <w:sz w:val="22"/>
                <w:szCs w:val="22"/>
              </w:rPr>
              <w:t> </w:t>
            </w:r>
          </w:p>
          <w:p w14:paraId="44F4B94C" w14:textId="77777777" w:rsidR="00CA3916" w:rsidRPr="006E31EE" w:rsidRDefault="00CA3916" w:rsidP="005E3C92">
            <w:pPr>
              <w:rPr>
                <w:sz w:val="22"/>
                <w:szCs w:val="22"/>
              </w:rPr>
            </w:pPr>
            <w:r w:rsidRPr="006E31EE">
              <w:rPr>
                <w:sz w:val="22"/>
                <w:szCs w:val="22"/>
              </w:rPr>
              <w:t>Kombinationen bør anvendes med forsigtighed med hyppig overvågning af nyrerne, hvis der ikke foreligger andre alternativer (se pkt. 4.4).</w:t>
            </w:r>
          </w:p>
        </w:tc>
      </w:tr>
      <w:tr w:rsidR="00CA3916" w:rsidRPr="006E31EE" w14:paraId="2C25F317" w14:textId="77777777" w:rsidTr="005E3C92">
        <w:trPr>
          <w:trHeight w:val="6449"/>
        </w:trPr>
        <w:tc>
          <w:tcPr>
            <w:tcW w:w="1667" w:type="pct"/>
            <w:hideMark/>
          </w:tcPr>
          <w:p w14:paraId="62670673" w14:textId="77777777" w:rsidR="00CA3916" w:rsidRPr="006E31EE" w:rsidRDefault="00CA3916" w:rsidP="005E3C92">
            <w:pPr>
              <w:rPr>
                <w:color w:val="000000" w:themeColor="text1"/>
                <w:sz w:val="22"/>
                <w:szCs w:val="22"/>
              </w:rPr>
            </w:pPr>
            <w:r w:rsidRPr="006E31EE">
              <w:rPr>
                <w:color w:val="000000" w:themeColor="text1"/>
                <w:sz w:val="22"/>
                <w:szCs w:val="22"/>
              </w:rPr>
              <w:lastRenderedPageBreak/>
              <w:t xml:space="preserve">Ledipasvir/sofosbuvir </w:t>
            </w:r>
          </w:p>
          <w:p w14:paraId="256F5500" w14:textId="77777777" w:rsidR="00CA3916" w:rsidRPr="006E31EE" w:rsidRDefault="00CA3916" w:rsidP="005E3C92">
            <w:pPr>
              <w:rPr>
                <w:color w:val="000000" w:themeColor="text1"/>
                <w:sz w:val="22"/>
                <w:szCs w:val="22"/>
              </w:rPr>
            </w:pPr>
            <w:r w:rsidRPr="006E31EE">
              <w:rPr>
                <w:color w:val="000000" w:themeColor="text1"/>
                <w:sz w:val="22"/>
                <w:szCs w:val="22"/>
              </w:rPr>
              <w:t xml:space="preserve">(90 mg/400 mg q.d.) + </w:t>
            </w:r>
          </w:p>
          <w:p w14:paraId="3B1CB811" w14:textId="77777777" w:rsidR="00CA3916" w:rsidRPr="006E31EE" w:rsidRDefault="00CA3916" w:rsidP="005E3C92">
            <w:pPr>
              <w:rPr>
                <w:color w:val="000000" w:themeColor="text1"/>
                <w:sz w:val="22"/>
                <w:szCs w:val="22"/>
              </w:rPr>
            </w:pPr>
            <w:r w:rsidRPr="006E31EE">
              <w:rPr>
                <w:color w:val="000000" w:themeColor="text1"/>
                <w:sz w:val="22"/>
                <w:szCs w:val="22"/>
              </w:rPr>
              <w:t>Efavirenz/emtricitabin/</w:t>
            </w:r>
          </w:p>
          <w:p w14:paraId="57CE4090" w14:textId="77777777" w:rsidR="00CA3916" w:rsidRPr="006E31EE" w:rsidRDefault="00CA3916" w:rsidP="005E3C92">
            <w:pPr>
              <w:rPr>
                <w:color w:val="000000" w:themeColor="text1"/>
                <w:sz w:val="22"/>
                <w:szCs w:val="22"/>
              </w:rPr>
            </w:pPr>
            <w:r w:rsidRPr="006E31EE">
              <w:rPr>
                <w:color w:val="000000" w:themeColor="text1"/>
                <w:sz w:val="22"/>
                <w:szCs w:val="22"/>
              </w:rPr>
              <w:t>tenofovirdisoproxil</w:t>
            </w:r>
          </w:p>
          <w:p w14:paraId="1E8FACBB" w14:textId="77777777" w:rsidR="00CA3916" w:rsidRPr="006E31EE" w:rsidRDefault="00CA3916" w:rsidP="005E3C92">
            <w:pPr>
              <w:rPr>
                <w:color w:val="FF0000"/>
                <w:sz w:val="22"/>
                <w:szCs w:val="22"/>
              </w:rPr>
            </w:pPr>
            <w:r w:rsidRPr="006E31EE">
              <w:rPr>
                <w:color w:val="000000" w:themeColor="text1"/>
                <w:sz w:val="22"/>
                <w:szCs w:val="22"/>
              </w:rPr>
              <w:t xml:space="preserve">(600 mg/200 mg/245 mg q.d.) </w:t>
            </w:r>
          </w:p>
        </w:tc>
        <w:tc>
          <w:tcPr>
            <w:tcW w:w="1588" w:type="pct"/>
            <w:gridSpan w:val="2"/>
            <w:hideMark/>
          </w:tcPr>
          <w:p w14:paraId="08E2424D" w14:textId="77777777" w:rsidR="00CA3916" w:rsidRPr="006E31EE" w:rsidRDefault="00CA3916" w:rsidP="005E3C92">
            <w:pPr>
              <w:rPr>
                <w:color w:val="000000" w:themeColor="text1"/>
                <w:sz w:val="22"/>
                <w:szCs w:val="22"/>
              </w:rPr>
            </w:pPr>
            <w:r w:rsidRPr="006E31EE">
              <w:rPr>
                <w:color w:val="000000" w:themeColor="text1"/>
                <w:sz w:val="22"/>
                <w:szCs w:val="22"/>
              </w:rPr>
              <w:t xml:space="preserve">Ledipasvir: </w:t>
            </w:r>
          </w:p>
          <w:p w14:paraId="6B163892" w14:textId="77777777" w:rsidR="00CA3916" w:rsidRPr="006E31EE" w:rsidRDefault="00CA3916" w:rsidP="005E3C92">
            <w:pPr>
              <w:rPr>
                <w:color w:val="000000" w:themeColor="text1"/>
                <w:sz w:val="22"/>
                <w:szCs w:val="22"/>
              </w:rPr>
            </w:pPr>
            <w:r w:rsidRPr="006E31EE">
              <w:rPr>
                <w:color w:val="000000" w:themeColor="text1"/>
                <w:sz w:val="22"/>
                <w:szCs w:val="22"/>
              </w:rPr>
              <w:t xml:space="preserve">AUC: ↓ 34% </w:t>
            </w:r>
          </w:p>
          <w:p w14:paraId="4E852682" w14:textId="77777777" w:rsidR="00CA3916" w:rsidRPr="006E31EE" w:rsidRDefault="00CA3916" w:rsidP="005E3C92">
            <w:pPr>
              <w:rPr>
                <w:color w:val="000000" w:themeColor="text1"/>
                <w:sz w:val="22"/>
                <w:szCs w:val="22"/>
              </w:rPr>
            </w:pPr>
            <w:r w:rsidRPr="006E31EE">
              <w:rPr>
                <w:color w:val="000000" w:themeColor="text1"/>
                <w:sz w:val="22"/>
                <w:szCs w:val="22"/>
              </w:rPr>
              <w:t>C</w:t>
            </w:r>
            <w:r w:rsidRPr="006E31EE">
              <w:rPr>
                <w:color w:val="000000" w:themeColor="text1"/>
                <w:sz w:val="22"/>
                <w:szCs w:val="22"/>
                <w:vertAlign w:val="subscript"/>
              </w:rPr>
              <w:t>max</w:t>
            </w:r>
            <w:r w:rsidRPr="006E31EE">
              <w:rPr>
                <w:color w:val="000000" w:themeColor="text1"/>
                <w:sz w:val="22"/>
                <w:szCs w:val="22"/>
              </w:rPr>
              <w:t xml:space="preserve">: ↓ 34% </w:t>
            </w:r>
          </w:p>
          <w:p w14:paraId="6523319A" w14:textId="77777777" w:rsidR="00CA3916" w:rsidRPr="006E31EE" w:rsidRDefault="00CA3916" w:rsidP="005E3C92">
            <w:pPr>
              <w:rPr>
                <w:color w:val="000000" w:themeColor="text1"/>
                <w:sz w:val="22"/>
                <w:szCs w:val="22"/>
              </w:rPr>
            </w:pPr>
            <w:r w:rsidRPr="006E31EE">
              <w:rPr>
                <w:color w:val="000000" w:themeColor="text1"/>
                <w:sz w:val="22"/>
                <w:szCs w:val="22"/>
              </w:rPr>
              <w:t>C</w:t>
            </w:r>
            <w:r w:rsidRPr="006E31EE">
              <w:rPr>
                <w:color w:val="000000" w:themeColor="text1"/>
                <w:sz w:val="22"/>
                <w:szCs w:val="22"/>
                <w:vertAlign w:val="subscript"/>
              </w:rPr>
              <w:t>min</w:t>
            </w:r>
            <w:r w:rsidRPr="006E31EE">
              <w:rPr>
                <w:color w:val="000000" w:themeColor="text1"/>
                <w:sz w:val="22"/>
                <w:szCs w:val="22"/>
              </w:rPr>
              <w:t xml:space="preserve">: ↓ 34% </w:t>
            </w:r>
          </w:p>
          <w:p w14:paraId="1232BBC3" w14:textId="77777777" w:rsidR="00CA3916" w:rsidRPr="006E31EE" w:rsidRDefault="00CA3916" w:rsidP="005E3C92">
            <w:pPr>
              <w:rPr>
                <w:color w:val="000000" w:themeColor="text1"/>
                <w:sz w:val="22"/>
                <w:szCs w:val="22"/>
              </w:rPr>
            </w:pPr>
            <w:r w:rsidRPr="006E31EE">
              <w:rPr>
                <w:color w:val="000000" w:themeColor="text1"/>
                <w:sz w:val="22"/>
                <w:szCs w:val="22"/>
              </w:rPr>
              <w:t xml:space="preserve"> </w:t>
            </w:r>
          </w:p>
          <w:p w14:paraId="3F59E103" w14:textId="77777777" w:rsidR="00CA3916" w:rsidRPr="006E31EE" w:rsidRDefault="00CA3916" w:rsidP="005E3C92">
            <w:pPr>
              <w:rPr>
                <w:color w:val="000000" w:themeColor="text1"/>
                <w:sz w:val="22"/>
                <w:szCs w:val="22"/>
              </w:rPr>
            </w:pPr>
            <w:r w:rsidRPr="006E31EE">
              <w:rPr>
                <w:color w:val="000000" w:themeColor="text1"/>
                <w:sz w:val="22"/>
                <w:szCs w:val="22"/>
              </w:rPr>
              <w:t xml:space="preserve">Sofosbuvir: </w:t>
            </w:r>
          </w:p>
          <w:p w14:paraId="7619FA44" w14:textId="77777777" w:rsidR="00CA3916" w:rsidRPr="006E31EE" w:rsidRDefault="00CA3916" w:rsidP="005E3C92">
            <w:pPr>
              <w:rPr>
                <w:color w:val="000000" w:themeColor="text1"/>
                <w:sz w:val="22"/>
                <w:szCs w:val="22"/>
              </w:rPr>
            </w:pPr>
            <w:r w:rsidRPr="006E31EE">
              <w:rPr>
                <w:color w:val="000000" w:themeColor="text1"/>
                <w:sz w:val="22"/>
                <w:szCs w:val="22"/>
              </w:rPr>
              <w:t xml:space="preserve">AUC: ↔ </w:t>
            </w:r>
          </w:p>
          <w:p w14:paraId="5DA2FC29" w14:textId="77777777" w:rsidR="00CA3916" w:rsidRPr="006E31EE" w:rsidRDefault="00CA3916" w:rsidP="005E3C92">
            <w:pPr>
              <w:rPr>
                <w:color w:val="000000" w:themeColor="text1"/>
                <w:sz w:val="22"/>
                <w:szCs w:val="22"/>
              </w:rPr>
            </w:pPr>
            <w:r w:rsidRPr="006E31EE">
              <w:rPr>
                <w:color w:val="000000" w:themeColor="text1"/>
                <w:sz w:val="22"/>
                <w:szCs w:val="22"/>
              </w:rPr>
              <w:t>C</w:t>
            </w:r>
            <w:r w:rsidRPr="006E31EE">
              <w:rPr>
                <w:color w:val="000000" w:themeColor="text1"/>
                <w:sz w:val="22"/>
                <w:szCs w:val="22"/>
                <w:vertAlign w:val="subscript"/>
              </w:rPr>
              <w:t>max</w:t>
            </w:r>
            <w:r w:rsidRPr="006E31EE">
              <w:rPr>
                <w:color w:val="000000" w:themeColor="text1"/>
                <w:sz w:val="22"/>
                <w:szCs w:val="22"/>
              </w:rPr>
              <w:t xml:space="preserve">: ↔ </w:t>
            </w:r>
          </w:p>
          <w:p w14:paraId="50B09BAB" w14:textId="77777777" w:rsidR="00CA3916" w:rsidRPr="006E31EE" w:rsidRDefault="00CA3916" w:rsidP="005E3C92">
            <w:pPr>
              <w:rPr>
                <w:color w:val="000000" w:themeColor="text1"/>
                <w:sz w:val="22"/>
                <w:szCs w:val="22"/>
              </w:rPr>
            </w:pPr>
            <w:r w:rsidRPr="006E31EE">
              <w:rPr>
                <w:color w:val="000000" w:themeColor="text1"/>
                <w:sz w:val="22"/>
                <w:szCs w:val="22"/>
              </w:rPr>
              <w:t xml:space="preserve"> </w:t>
            </w:r>
          </w:p>
          <w:p w14:paraId="2250C2BE" w14:textId="77777777" w:rsidR="00CA3916" w:rsidRPr="006E31EE" w:rsidRDefault="00CA3916" w:rsidP="005E3C92">
            <w:pPr>
              <w:rPr>
                <w:color w:val="000000" w:themeColor="text1"/>
                <w:sz w:val="22"/>
                <w:szCs w:val="22"/>
              </w:rPr>
            </w:pPr>
            <w:r w:rsidRPr="006E31EE">
              <w:rPr>
                <w:color w:val="000000" w:themeColor="text1"/>
                <w:sz w:val="22"/>
                <w:szCs w:val="22"/>
              </w:rPr>
              <w:t>GS-331007</w:t>
            </w:r>
            <w:r w:rsidRPr="006E31EE">
              <w:rPr>
                <w:color w:val="000000" w:themeColor="text1"/>
                <w:sz w:val="22"/>
                <w:szCs w:val="22"/>
                <w:vertAlign w:val="superscript"/>
              </w:rPr>
              <w:t>2</w:t>
            </w:r>
            <w:r w:rsidRPr="006E31EE">
              <w:rPr>
                <w:color w:val="000000" w:themeColor="text1"/>
                <w:sz w:val="22"/>
                <w:szCs w:val="22"/>
              </w:rPr>
              <w:t xml:space="preserve">: </w:t>
            </w:r>
          </w:p>
          <w:p w14:paraId="0F4BC1C7" w14:textId="77777777" w:rsidR="00CA3916" w:rsidRPr="006E31EE" w:rsidRDefault="00CA3916" w:rsidP="005E3C92">
            <w:pPr>
              <w:rPr>
                <w:color w:val="000000" w:themeColor="text1"/>
                <w:sz w:val="22"/>
                <w:szCs w:val="22"/>
              </w:rPr>
            </w:pPr>
            <w:r w:rsidRPr="006E31EE">
              <w:rPr>
                <w:color w:val="000000" w:themeColor="text1"/>
                <w:sz w:val="22"/>
                <w:szCs w:val="22"/>
              </w:rPr>
              <w:t xml:space="preserve">AUC: ↔ </w:t>
            </w:r>
          </w:p>
          <w:p w14:paraId="68559F18" w14:textId="77777777" w:rsidR="00CA3916" w:rsidRPr="006E31EE" w:rsidRDefault="00CA3916" w:rsidP="005E3C92">
            <w:pPr>
              <w:rPr>
                <w:color w:val="000000" w:themeColor="text1"/>
                <w:sz w:val="22"/>
                <w:szCs w:val="22"/>
              </w:rPr>
            </w:pPr>
            <w:r w:rsidRPr="006E31EE">
              <w:rPr>
                <w:color w:val="000000" w:themeColor="text1"/>
                <w:sz w:val="22"/>
                <w:szCs w:val="22"/>
              </w:rPr>
              <w:t>C</w:t>
            </w:r>
            <w:r w:rsidRPr="006E31EE">
              <w:rPr>
                <w:color w:val="000000" w:themeColor="text1"/>
                <w:sz w:val="22"/>
                <w:szCs w:val="22"/>
                <w:vertAlign w:val="subscript"/>
              </w:rPr>
              <w:t>max</w:t>
            </w:r>
            <w:r w:rsidRPr="006E31EE">
              <w:rPr>
                <w:color w:val="000000" w:themeColor="text1"/>
                <w:sz w:val="22"/>
                <w:szCs w:val="22"/>
              </w:rPr>
              <w:t xml:space="preserve">: ↔ </w:t>
            </w:r>
          </w:p>
          <w:p w14:paraId="37C55793" w14:textId="77777777" w:rsidR="00CA3916" w:rsidRPr="006E31EE" w:rsidRDefault="00CA3916" w:rsidP="005E3C92">
            <w:pPr>
              <w:rPr>
                <w:color w:val="000000" w:themeColor="text1"/>
                <w:sz w:val="22"/>
                <w:szCs w:val="22"/>
              </w:rPr>
            </w:pPr>
            <w:r w:rsidRPr="006E31EE">
              <w:rPr>
                <w:color w:val="000000" w:themeColor="text1"/>
                <w:sz w:val="22"/>
                <w:szCs w:val="22"/>
              </w:rPr>
              <w:t>C</w:t>
            </w:r>
            <w:r w:rsidRPr="006E31EE">
              <w:rPr>
                <w:color w:val="000000" w:themeColor="text1"/>
                <w:sz w:val="22"/>
                <w:szCs w:val="22"/>
                <w:vertAlign w:val="subscript"/>
              </w:rPr>
              <w:t>min</w:t>
            </w:r>
            <w:r w:rsidRPr="006E31EE">
              <w:rPr>
                <w:color w:val="000000" w:themeColor="text1"/>
                <w:sz w:val="22"/>
                <w:szCs w:val="22"/>
              </w:rPr>
              <w:t xml:space="preserve">: ↔ </w:t>
            </w:r>
          </w:p>
          <w:p w14:paraId="28BD85E9" w14:textId="77777777" w:rsidR="00CA3916" w:rsidRPr="006E31EE" w:rsidRDefault="00CA3916" w:rsidP="005E3C92">
            <w:pPr>
              <w:rPr>
                <w:color w:val="000000" w:themeColor="text1"/>
                <w:sz w:val="22"/>
                <w:szCs w:val="22"/>
              </w:rPr>
            </w:pPr>
            <w:r w:rsidRPr="006E31EE">
              <w:rPr>
                <w:color w:val="000000" w:themeColor="text1"/>
                <w:sz w:val="22"/>
                <w:szCs w:val="22"/>
              </w:rPr>
              <w:t xml:space="preserve"> </w:t>
            </w:r>
          </w:p>
          <w:p w14:paraId="09C6F784" w14:textId="77777777" w:rsidR="00CA3916" w:rsidRPr="006E31EE" w:rsidRDefault="00CA3916" w:rsidP="005E3C92">
            <w:pPr>
              <w:rPr>
                <w:color w:val="000000" w:themeColor="text1"/>
                <w:sz w:val="22"/>
                <w:szCs w:val="22"/>
              </w:rPr>
            </w:pPr>
            <w:r w:rsidRPr="006E31EE">
              <w:rPr>
                <w:color w:val="000000" w:themeColor="text1"/>
                <w:sz w:val="22"/>
                <w:szCs w:val="22"/>
              </w:rPr>
              <w:t xml:space="preserve">Efavirenz: </w:t>
            </w:r>
          </w:p>
          <w:p w14:paraId="31123B73" w14:textId="77777777" w:rsidR="00CA3916" w:rsidRPr="006E31EE" w:rsidRDefault="00CA3916" w:rsidP="005E3C92">
            <w:pPr>
              <w:rPr>
                <w:color w:val="000000" w:themeColor="text1"/>
                <w:sz w:val="22"/>
                <w:szCs w:val="22"/>
              </w:rPr>
            </w:pPr>
            <w:r w:rsidRPr="006E31EE">
              <w:rPr>
                <w:color w:val="000000" w:themeColor="text1"/>
                <w:sz w:val="22"/>
                <w:szCs w:val="22"/>
              </w:rPr>
              <w:t xml:space="preserve">AUC: ↔ </w:t>
            </w:r>
          </w:p>
          <w:p w14:paraId="237F82F8" w14:textId="77777777" w:rsidR="00CA3916" w:rsidRPr="006E31EE" w:rsidRDefault="00CA3916" w:rsidP="005E3C92">
            <w:pPr>
              <w:rPr>
                <w:color w:val="000000" w:themeColor="text1"/>
                <w:sz w:val="22"/>
                <w:szCs w:val="22"/>
              </w:rPr>
            </w:pPr>
            <w:r w:rsidRPr="006E31EE">
              <w:rPr>
                <w:color w:val="000000" w:themeColor="text1"/>
                <w:sz w:val="22"/>
                <w:szCs w:val="22"/>
              </w:rPr>
              <w:t>C</w:t>
            </w:r>
            <w:r w:rsidRPr="006E31EE">
              <w:rPr>
                <w:color w:val="000000" w:themeColor="text1"/>
                <w:sz w:val="22"/>
                <w:szCs w:val="22"/>
                <w:vertAlign w:val="subscript"/>
              </w:rPr>
              <w:t>max</w:t>
            </w:r>
            <w:r w:rsidRPr="006E31EE">
              <w:rPr>
                <w:color w:val="000000" w:themeColor="text1"/>
                <w:sz w:val="22"/>
                <w:szCs w:val="22"/>
              </w:rPr>
              <w:t xml:space="preserve">: ↔ </w:t>
            </w:r>
          </w:p>
          <w:p w14:paraId="6DD035EA" w14:textId="77777777" w:rsidR="00CA3916" w:rsidRPr="006E31EE" w:rsidRDefault="00CA3916" w:rsidP="005E3C92">
            <w:pPr>
              <w:rPr>
                <w:color w:val="000000" w:themeColor="text1"/>
                <w:sz w:val="22"/>
                <w:szCs w:val="22"/>
              </w:rPr>
            </w:pPr>
            <w:r w:rsidRPr="006E31EE">
              <w:rPr>
                <w:color w:val="000000" w:themeColor="text1"/>
                <w:sz w:val="22"/>
                <w:szCs w:val="22"/>
              </w:rPr>
              <w:t>C</w:t>
            </w:r>
            <w:r w:rsidRPr="006E31EE">
              <w:rPr>
                <w:color w:val="000000" w:themeColor="text1"/>
                <w:sz w:val="22"/>
                <w:szCs w:val="22"/>
                <w:vertAlign w:val="subscript"/>
              </w:rPr>
              <w:t>min</w:t>
            </w:r>
            <w:r w:rsidRPr="006E31EE">
              <w:rPr>
                <w:color w:val="000000" w:themeColor="text1"/>
                <w:sz w:val="22"/>
                <w:szCs w:val="22"/>
              </w:rPr>
              <w:t xml:space="preserve">: ↔ </w:t>
            </w:r>
          </w:p>
          <w:p w14:paraId="67B13955" w14:textId="77777777" w:rsidR="00CA3916" w:rsidRPr="006E31EE" w:rsidRDefault="00CA3916" w:rsidP="005E3C92">
            <w:pPr>
              <w:rPr>
                <w:color w:val="000000" w:themeColor="text1"/>
                <w:sz w:val="22"/>
                <w:szCs w:val="22"/>
              </w:rPr>
            </w:pPr>
            <w:r w:rsidRPr="006E31EE">
              <w:rPr>
                <w:color w:val="000000" w:themeColor="text1"/>
                <w:sz w:val="22"/>
                <w:szCs w:val="22"/>
              </w:rPr>
              <w:t xml:space="preserve"> </w:t>
            </w:r>
          </w:p>
          <w:p w14:paraId="14F15E4E" w14:textId="77777777" w:rsidR="00CA3916" w:rsidRPr="006E31EE" w:rsidRDefault="00CA3916" w:rsidP="005E3C92">
            <w:pPr>
              <w:rPr>
                <w:color w:val="000000" w:themeColor="text1"/>
                <w:sz w:val="22"/>
                <w:szCs w:val="22"/>
              </w:rPr>
            </w:pPr>
            <w:r w:rsidRPr="006E31EE">
              <w:rPr>
                <w:color w:val="000000" w:themeColor="text1"/>
                <w:sz w:val="22"/>
                <w:szCs w:val="22"/>
              </w:rPr>
              <w:t xml:space="preserve">Emtricitabin: </w:t>
            </w:r>
          </w:p>
          <w:p w14:paraId="0ABB8372" w14:textId="77777777" w:rsidR="00CA3916" w:rsidRPr="006E31EE" w:rsidRDefault="00CA3916" w:rsidP="005E3C92">
            <w:pPr>
              <w:rPr>
                <w:color w:val="000000" w:themeColor="text1"/>
                <w:sz w:val="22"/>
                <w:szCs w:val="22"/>
              </w:rPr>
            </w:pPr>
            <w:r w:rsidRPr="006E31EE">
              <w:rPr>
                <w:color w:val="000000" w:themeColor="text1"/>
                <w:sz w:val="22"/>
                <w:szCs w:val="22"/>
              </w:rPr>
              <w:t xml:space="preserve">AUC: ↔ </w:t>
            </w:r>
          </w:p>
          <w:p w14:paraId="56AE6D3A" w14:textId="77777777" w:rsidR="00CA3916" w:rsidRPr="006E31EE" w:rsidRDefault="00CA3916" w:rsidP="005E3C92">
            <w:pPr>
              <w:rPr>
                <w:color w:val="000000" w:themeColor="text1"/>
                <w:sz w:val="22"/>
                <w:szCs w:val="22"/>
              </w:rPr>
            </w:pPr>
            <w:r w:rsidRPr="006E31EE">
              <w:rPr>
                <w:color w:val="000000" w:themeColor="text1"/>
                <w:sz w:val="22"/>
                <w:szCs w:val="22"/>
              </w:rPr>
              <w:t>C</w:t>
            </w:r>
            <w:r w:rsidRPr="006E31EE">
              <w:rPr>
                <w:color w:val="000000" w:themeColor="text1"/>
                <w:sz w:val="22"/>
                <w:szCs w:val="22"/>
                <w:vertAlign w:val="subscript"/>
              </w:rPr>
              <w:t>max</w:t>
            </w:r>
            <w:r w:rsidRPr="006E31EE">
              <w:rPr>
                <w:color w:val="000000" w:themeColor="text1"/>
                <w:sz w:val="22"/>
                <w:szCs w:val="22"/>
              </w:rPr>
              <w:t xml:space="preserve">: ↔ </w:t>
            </w:r>
          </w:p>
          <w:p w14:paraId="7CA1287A" w14:textId="77777777" w:rsidR="00CA3916" w:rsidRPr="006E31EE" w:rsidRDefault="00CA3916" w:rsidP="005E3C92">
            <w:pPr>
              <w:rPr>
                <w:color w:val="000000" w:themeColor="text1"/>
                <w:sz w:val="22"/>
                <w:szCs w:val="22"/>
              </w:rPr>
            </w:pPr>
            <w:r w:rsidRPr="006E31EE">
              <w:rPr>
                <w:color w:val="000000" w:themeColor="text1"/>
                <w:sz w:val="22"/>
                <w:szCs w:val="22"/>
              </w:rPr>
              <w:t>C</w:t>
            </w:r>
            <w:r w:rsidRPr="006E31EE">
              <w:rPr>
                <w:color w:val="000000" w:themeColor="text1"/>
                <w:sz w:val="22"/>
                <w:szCs w:val="22"/>
                <w:vertAlign w:val="subscript"/>
              </w:rPr>
              <w:t>min</w:t>
            </w:r>
            <w:r w:rsidRPr="006E31EE">
              <w:rPr>
                <w:color w:val="000000" w:themeColor="text1"/>
                <w:sz w:val="22"/>
                <w:szCs w:val="22"/>
              </w:rPr>
              <w:t xml:space="preserve">: ↔ </w:t>
            </w:r>
          </w:p>
          <w:p w14:paraId="4D9ACB6D" w14:textId="77777777" w:rsidR="00CA3916" w:rsidRPr="006E31EE" w:rsidRDefault="00CA3916" w:rsidP="005E3C92">
            <w:pPr>
              <w:rPr>
                <w:color w:val="000000" w:themeColor="text1"/>
                <w:sz w:val="22"/>
                <w:szCs w:val="22"/>
              </w:rPr>
            </w:pPr>
            <w:r w:rsidRPr="006E31EE">
              <w:rPr>
                <w:color w:val="000000" w:themeColor="text1"/>
                <w:sz w:val="22"/>
                <w:szCs w:val="22"/>
              </w:rPr>
              <w:t xml:space="preserve"> </w:t>
            </w:r>
          </w:p>
          <w:p w14:paraId="467AFF38" w14:textId="77777777" w:rsidR="00CA3916" w:rsidRPr="006E31EE" w:rsidRDefault="00CA3916" w:rsidP="005E3C92">
            <w:pPr>
              <w:rPr>
                <w:color w:val="000000" w:themeColor="text1"/>
                <w:sz w:val="22"/>
                <w:szCs w:val="22"/>
              </w:rPr>
            </w:pPr>
            <w:r w:rsidRPr="006E31EE">
              <w:rPr>
                <w:color w:val="000000" w:themeColor="text1"/>
                <w:sz w:val="22"/>
                <w:szCs w:val="22"/>
              </w:rPr>
              <w:t xml:space="preserve">Tenofovir: </w:t>
            </w:r>
          </w:p>
          <w:p w14:paraId="779DF363" w14:textId="77777777" w:rsidR="00CA3916" w:rsidRPr="006E31EE" w:rsidRDefault="00CA3916" w:rsidP="005E3C92">
            <w:pPr>
              <w:rPr>
                <w:color w:val="000000" w:themeColor="text1"/>
                <w:sz w:val="22"/>
                <w:szCs w:val="22"/>
              </w:rPr>
            </w:pPr>
            <w:r w:rsidRPr="006E31EE">
              <w:rPr>
                <w:color w:val="000000" w:themeColor="text1"/>
                <w:sz w:val="22"/>
                <w:szCs w:val="22"/>
              </w:rPr>
              <w:t xml:space="preserve">AUC: ↑ 98% </w:t>
            </w:r>
          </w:p>
          <w:p w14:paraId="018F1A53" w14:textId="77777777" w:rsidR="00CA3916" w:rsidRPr="006E31EE" w:rsidRDefault="00CA3916" w:rsidP="005E3C92">
            <w:pPr>
              <w:rPr>
                <w:color w:val="000000" w:themeColor="text1"/>
                <w:sz w:val="22"/>
                <w:szCs w:val="22"/>
              </w:rPr>
            </w:pPr>
            <w:r w:rsidRPr="006E31EE">
              <w:rPr>
                <w:color w:val="000000" w:themeColor="text1"/>
                <w:sz w:val="22"/>
                <w:szCs w:val="22"/>
              </w:rPr>
              <w:t>C</w:t>
            </w:r>
            <w:r w:rsidRPr="006E31EE">
              <w:rPr>
                <w:color w:val="000000" w:themeColor="text1"/>
                <w:sz w:val="22"/>
                <w:szCs w:val="22"/>
                <w:vertAlign w:val="subscript"/>
              </w:rPr>
              <w:t>max</w:t>
            </w:r>
            <w:r w:rsidRPr="006E31EE">
              <w:rPr>
                <w:color w:val="000000" w:themeColor="text1"/>
                <w:sz w:val="22"/>
                <w:szCs w:val="22"/>
              </w:rPr>
              <w:t xml:space="preserve">: ↑ 79% </w:t>
            </w:r>
          </w:p>
          <w:p w14:paraId="69F19148" w14:textId="77777777" w:rsidR="00CA3916" w:rsidRPr="006E31EE" w:rsidRDefault="00CA3916" w:rsidP="005E3C92">
            <w:pPr>
              <w:rPr>
                <w:color w:val="000000" w:themeColor="text1"/>
                <w:sz w:val="22"/>
                <w:szCs w:val="22"/>
              </w:rPr>
            </w:pPr>
            <w:r w:rsidRPr="006E31EE">
              <w:rPr>
                <w:color w:val="000000" w:themeColor="text1"/>
                <w:sz w:val="22"/>
                <w:szCs w:val="22"/>
              </w:rPr>
              <w:t>C</w:t>
            </w:r>
            <w:r w:rsidRPr="006E31EE">
              <w:rPr>
                <w:color w:val="000000" w:themeColor="text1"/>
                <w:sz w:val="22"/>
                <w:szCs w:val="22"/>
                <w:vertAlign w:val="subscript"/>
              </w:rPr>
              <w:t>min</w:t>
            </w:r>
            <w:r w:rsidRPr="006E31EE">
              <w:rPr>
                <w:color w:val="000000" w:themeColor="text1"/>
                <w:sz w:val="22"/>
                <w:szCs w:val="22"/>
              </w:rPr>
              <w:t xml:space="preserve">: ↑ 163% </w:t>
            </w:r>
          </w:p>
        </w:tc>
        <w:tc>
          <w:tcPr>
            <w:tcW w:w="1745" w:type="pct"/>
            <w:hideMark/>
          </w:tcPr>
          <w:p w14:paraId="735F5AA9" w14:textId="77777777" w:rsidR="00CA3916" w:rsidRPr="006E31EE" w:rsidRDefault="00CA3916" w:rsidP="005E3C92">
            <w:pPr>
              <w:rPr>
                <w:sz w:val="22"/>
                <w:szCs w:val="22"/>
              </w:rPr>
            </w:pPr>
            <w:r w:rsidRPr="006E31EE">
              <w:rPr>
                <w:sz w:val="22"/>
                <w:szCs w:val="22"/>
              </w:rPr>
              <w:t>Der anbefales ingen dosisjustering. Den øgede eksponering af tenofovir kan forstærke bivirkninger forbundet med tenofovirdisoproxil, herunder nyrelidelser. Nyrefunktionen skal overvåges nøje (se pkt. 4.4).</w:t>
            </w:r>
          </w:p>
        </w:tc>
      </w:tr>
      <w:tr w:rsidR="00CA3916" w:rsidRPr="006E31EE" w14:paraId="3A479355" w14:textId="77777777" w:rsidTr="005E3C92">
        <w:trPr>
          <w:trHeight w:val="8070"/>
        </w:trPr>
        <w:tc>
          <w:tcPr>
            <w:tcW w:w="1667" w:type="pct"/>
            <w:hideMark/>
          </w:tcPr>
          <w:p w14:paraId="46EB9032" w14:textId="77777777" w:rsidR="00CA3916" w:rsidRPr="006E31EE" w:rsidRDefault="00CA3916" w:rsidP="005E3C92">
            <w:pPr>
              <w:rPr>
                <w:color w:val="000000" w:themeColor="text1"/>
                <w:sz w:val="22"/>
                <w:szCs w:val="22"/>
              </w:rPr>
            </w:pPr>
            <w:r w:rsidRPr="006E31EE">
              <w:rPr>
                <w:color w:val="000000" w:themeColor="text1"/>
                <w:sz w:val="22"/>
                <w:szCs w:val="22"/>
              </w:rPr>
              <w:lastRenderedPageBreak/>
              <w:t xml:space="preserve">Ledipasvir/sofosbuvir </w:t>
            </w:r>
          </w:p>
          <w:p w14:paraId="5607BC02" w14:textId="77777777" w:rsidR="00CA3916" w:rsidRPr="006E31EE" w:rsidRDefault="00CA3916" w:rsidP="005E3C92">
            <w:pPr>
              <w:rPr>
                <w:color w:val="000000" w:themeColor="text1"/>
                <w:sz w:val="22"/>
                <w:szCs w:val="22"/>
              </w:rPr>
            </w:pPr>
            <w:r w:rsidRPr="006E31EE">
              <w:rPr>
                <w:color w:val="000000" w:themeColor="text1"/>
                <w:sz w:val="22"/>
                <w:szCs w:val="22"/>
              </w:rPr>
              <w:t xml:space="preserve">(90 mg/400 mg q.d.) + </w:t>
            </w:r>
          </w:p>
          <w:p w14:paraId="01C47D82" w14:textId="77777777" w:rsidR="00CA3916" w:rsidRPr="006E31EE" w:rsidRDefault="00CA3916" w:rsidP="005E3C92">
            <w:pPr>
              <w:rPr>
                <w:color w:val="000000" w:themeColor="text1"/>
                <w:sz w:val="22"/>
                <w:szCs w:val="22"/>
              </w:rPr>
            </w:pPr>
            <w:r w:rsidRPr="006E31EE">
              <w:rPr>
                <w:color w:val="000000" w:themeColor="text1"/>
                <w:sz w:val="22"/>
                <w:szCs w:val="22"/>
              </w:rPr>
              <w:t>Emtricitabin/rilpivirin/</w:t>
            </w:r>
          </w:p>
          <w:p w14:paraId="6A0FA377" w14:textId="77777777" w:rsidR="00CA3916" w:rsidRPr="006E31EE" w:rsidRDefault="00CA3916" w:rsidP="005E3C92">
            <w:pPr>
              <w:rPr>
                <w:color w:val="FF0000"/>
                <w:sz w:val="22"/>
                <w:szCs w:val="22"/>
              </w:rPr>
            </w:pPr>
            <w:r w:rsidRPr="006E31EE">
              <w:rPr>
                <w:color w:val="000000" w:themeColor="text1"/>
                <w:sz w:val="22"/>
                <w:szCs w:val="22"/>
              </w:rPr>
              <w:t xml:space="preserve">tenofovirdisoproxil </w:t>
            </w:r>
            <w:r w:rsidRPr="006E31EE">
              <w:rPr>
                <w:color w:val="000000" w:themeColor="text1"/>
                <w:sz w:val="22"/>
                <w:szCs w:val="22"/>
              </w:rPr>
              <w:br/>
              <w:t xml:space="preserve">(200 mg/25 mg/245 mg q.d.) </w:t>
            </w:r>
          </w:p>
        </w:tc>
        <w:tc>
          <w:tcPr>
            <w:tcW w:w="1588" w:type="pct"/>
            <w:gridSpan w:val="2"/>
            <w:hideMark/>
          </w:tcPr>
          <w:p w14:paraId="74FEF1C2" w14:textId="77777777" w:rsidR="00CA3916" w:rsidRPr="006E31EE" w:rsidRDefault="00CA3916" w:rsidP="005E3C92">
            <w:pPr>
              <w:rPr>
                <w:color w:val="000000" w:themeColor="text1"/>
                <w:sz w:val="22"/>
                <w:szCs w:val="22"/>
              </w:rPr>
            </w:pPr>
            <w:r w:rsidRPr="006E31EE">
              <w:rPr>
                <w:color w:val="000000" w:themeColor="text1"/>
                <w:sz w:val="22"/>
                <w:szCs w:val="22"/>
              </w:rPr>
              <w:t xml:space="preserve">Ledipasvir: </w:t>
            </w:r>
          </w:p>
          <w:p w14:paraId="738D9509" w14:textId="77777777" w:rsidR="00CA3916" w:rsidRPr="006E31EE" w:rsidRDefault="00CA3916" w:rsidP="005E3C92">
            <w:pPr>
              <w:rPr>
                <w:color w:val="000000" w:themeColor="text1"/>
                <w:sz w:val="22"/>
                <w:szCs w:val="22"/>
              </w:rPr>
            </w:pPr>
            <w:r w:rsidRPr="006E31EE">
              <w:rPr>
                <w:color w:val="000000" w:themeColor="text1"/>
                <w:sz w:val="22"/>
                <w:szCs w:val="22"/>
              </w:rPr>
              <w:t xml:space="preserve">AUC: ↔ </w:t>
            </w:r>
          </w:p>
          <w:p w14:paraId="199B7A53" w14:textId="77777777" w:rsidR="00CA3916" w:rsidRPr="006E31EE" w:rsidRDefault="00CA3916" w:rsidP="005E3C92">
            <w:pPr>
              <w:rPr>
                <w:color w:val="000000" w:themeColor="text1"/>
                <w:sz w:val="22"/>
                <w:szCs w:val="22"/>
              </w:rPr>
            </w:pPr>
            <w:r w:rsidRPr="006E31EE">
              <w:rPr>
                <w:color w:val="000000" w:themeColor="text1"/>
                <w:sz w:val="22"/>
                <w:szCs w:val="22"/>
              </w:rPr>
              <w:t>C</w:t>
            </w:r>
            <w:r w:rsidRPr="006E31EE">
              <w:rPr>
                <w:color w:val="000000" w:themeColor="text1"/>
                <w:sz w:val="22"/>
                <w:szCs w:val="22"/>
                <w:vertAlign w:val="subscript"/>
              </w:rPr>
              <w:t>max</w:t>
            </w:r>
            <w:r w:rsidRPr="006E31EE">
              <w:rPr>
                <w:color w:val="000000" w:themeColor="text1"/>
                <w:sz w:val="22"/>
                <w:szCs w:val="22"/>
              </w:rPr>
              <w:t xml:space="preserve">: ↔ </w:t>
            </w:r>
          </w:p>
          <w:p w14:paraId="7CB085F6" w14:textId="77777777" w:rsidR="00CA3916" w:rsidRPr="006E31EE" w:rsidRDefault="00CA3916" w:rsidP="005E3C92">
            <w:pPr>
              <w:rPr>
                <w:color w:val="000000" w:themeColor="text1"/>
                <w:sz w:val="22"/>
                <w:szCs w:val="22"/>
              </w:rPr>
            </w:pPr>
            <w:r w:rsidRPr="006E31EE">
              <w:rPr>
                <w:color w:val="000000" w:themeColor="text1"/>
                <w:sz w:val="22"/>
                <w:szCs w:val="22"/>
              </w:rPr>
              <w:t>C</w:t>
            </w:r>
            <w:r w:rsidRPr="006E31EE">
              <w:rPr>
                <w:color w:val="000000" w:themeColor="text1"/>
                <w:sz w:val="22"/>
                <w:szCs w:val="22"/>
                <w:vertAlign w:val="subscript"/>
              </w:rPr>
              <w:t>min</w:t>
            </w:r>
            <w:r w:rsidRPr="006E31EE">
              <w:rPr>
                <w:color w:val="000000" w:themeColor="text1"/>
                <w:sz w:val="22"/>
                <w:szCs w:val="22"/>
              </w:rPr>
              <w:t xml:space="preserve">: ↔ </w:t>
            </w:r>
          </w:p>
          <w:p w14:paraId="1B1016F8" w14:textId="77777777" w:rsidR="00CA3916" w:rsidRPr="006E31EE" w:rsidRDefault="00CA3916" w:rsidP="005E3C92">
            <w:pPr>
              <w:rPr>
                <w:color w:val="000000" w:themeColor="text1"/>
                <w:sz w:val="22"/>
                <w:szCs w:val="22"/>
              </w:rPr>
            </w:pPr>
            <w:r w:rsidRPr="006E31EE">
              <w:rPr>
                <w:color w:val="000000" w:themeColor="text1"/>
                <w:sz w:val="22"/>
                <w:szCs w:val="22"/>
              </w:rPr>
              <w:t xml:space="preserve"> </w:t>
            </w:r>
          </w:p>
          <w:p w14:paraId="534DF173" w14:textId="77777777" w:rsidR="00CA3916" w:rsidRPr="006E31EE" w:rsidRDefault="00CA3916" w:rsidP="005E3C92">
            <w:pPr>
              <w:rPr>
                <w:color w:val="000000" w:themeColor="text1"/>
                <w:sz w:val="22"/>
                <w:szCs w:val="22"/>
              </w:rPr>
            </w:pPr>
            <w:r w:rsidRPr="006E31EE">
              <w:rPr>
                <w:color w:val="000000" w:themeColor="text1"/>
                <w:sz w:val="22"/>
                <w:szCs w:val="22"/>
              </w:rPr>
              <w:t xml:space="preserve">Sofosbuvir: </w:t>
            </w:r>
          </w:p>
          <w:p w14:paraId="70349BF2" w14:textId="77777777" w:rsidR="00CA3916" w:rsidRPr="006E31EE" w:rsidRDefault="00CA3916" w:rsidP="005E3C92">
            <w:pPr>
              <w:rPr>
                <w:color w:val="000000" w:themeColor="text1"/>
                <w:sz w:val="22"/>
                <w:szCs w:val="22"/>
              </w:rPr>
            </w:pPr>
            <w:r w:rsidRPr="006E31EE">
              <w:rPr>
                <w:color w:val="000000" w:themeColor="text1"/>
                <w:sz w:val="22"/>
                <w:szCs w:val="22"/>
              </w:rPr>
              <w:t xml:space="preserve">AUC: ↔ </w:t>
            </w:r>
          </w:p>
          <w:p w14:paraId="2D4F8495" w14:textId="77777777" w:rsidR="00CA3916" w:rsidRPr="006E31EE" w:rsidRDefault="00CA3916" w:rsidP="005E3C92">
            <w:pPr>
              <w:rPr>
                <w:color w:val="000000" w:themeColor="text1"/>
                <w:sz w:val="22"/>
                <w:szCs w:val="22"/>
              </w:rPr>
            </w:pPr>
            <w:r w:rsidRPr="006E31EE">
              <w:rPr>
                <w:color w:val="000000" w:themeColor="text1"/>
                <w:sz w:val="22"/>
                <w:szCs w:val="22"/>
              </w:rPr>
              <w:t>C</w:t>
            </w:r>
            <w:r w:rsidRPr="006E31EE">
              <w:rPr>
                <w:color w:val="000000" w:themeColor="text1"/>
                <w:sz w:val="22"/>
                <w:szCs w:val="22"/>
                <w:vertAlign w:val="subscript"/>
              </w:rPr>
              <w:t>max</w:t>
            </w:r>
            <w:r w:rsidRPr="006E31EE">
              <w:rPr>
                <w:color w:val="000000" w:themeColor="text1"/>
                <w:sz w:val="22"/>
                <w:szCs w:val="22"/>
              </w:rPr>
              <w:t xml:space="preserve">: ↔ </w:t>
            </w:r>
          </w:p>
          <w:p w14:paraId="5E9E10BC" w14:textId="77777777" w:rsidR="00CA3916" w:rsidRPr="006E31EE" w:rsidRDefault="00CA3916" w:rsidP="005E3C92">
            <w:pPr>
              <w:rPr>
                <w:color w:val="000000" w:themeColor="text1"/>
                <w:sz w:val="22"/>
                <w:szCs w:val="22"/>
              </w:rPr>
            </w:pPr>
            <w:r w:rsidRPr="006E31EE">
              <w:rPr>
                <w:color w:val="000000" w:themeColor="text1"/>
                <w:sz w:val="22"/>
                <w:szCs w:val="22"/>
              </w:rPr>
              <w:t xml:space="preserve"> </w:t>
            </w:r>
          </w:p>
          <w:p w14:paraId="70F4D682" w14:textId="77777777" w:rsidR="00CA3916" w:rsidRPr="006E31EE" w:rsidRDefault="00CA3916" w:rsidP="005E3C92">
            <w:pPr>
              <w:rPr>
                <w:color w:val="000000" w:themeColor="text1"/>
                <w:sz w:val="22"/>
                <w:szCs w:val="22"/>
              </w:rPr>
            </w:pPr>
            <w:r w:rsidRPr="006E31EE">
              <w:rPr>
                <w:color w:val="000000" w:themeColor="text1"/>
                <w:sz w:val="22"/>
                <w:szCs w:val="22"/>
              </w:rPr>
              <w:t>GS-331007</w:t>
            </w:r>
            <w:r w:rsidRPr="006E31EE">
              <w:rPr>
                <w:color w:val="000000" w:themeColor="text1"/>
                <w:sz w:val="22"/>
                <w:szCs w:val="22"/>
                <w:vertAlign w:val="superscript"/>
              </w:rPr>
              <w:t>2</w:t>
            </w:r>
            <w:r w:rsidRPr="006E31EE">
              <w:rPr>
                <w:color w:val="000000" w:themeColor="text1"/>
                <w:sz w:val="22"/>
                <w:szCs w:val="22"/>
              </w:rPr>
              <w:t xml:space="preserve">: </w:t>
            </w:r>
          </w:p>
          <w:p w14:paraId="7BD62DBD" w14:textId="77777777" w:rsidR="00CA3916" w:rsidRPr="006E31EE" w:rsidRDefault="00CA3916" w:rsidP="005E3C92">
            <w:pPr>
              <w:rPr>
                <w:color w:val="000000" w:themeColor="text1"/>
                <w:sz w:val="22"/>
                <w:szCs w:val="22"/>
              </w:rPr>
            </w:pPr>
            <w:r w:rsidRPr="006E31EE">
              <w:rPr>
                <w:color w:val="000000" w:themeColor="text1"/>
                <w:sz w:val="22"/>
                <w:szCs w:val="22"/>
              </w:rPr>
              <w:t xml:space="preserve">AUC: ↔ </w:t>
            </w:r>
          </w:p>
          <w:p w14:paraId="62A596E1" w14:textId="77777777" w:rsidR="00CA3916" w:rsidRPr="006E31EE" w:rsidRDefault="00CA3916" w:rsidP="005E3C92">
            <w:pPr>
              <w:rPr>
                <w:color w:val="000000" w:themeColor="text1"/>
                <w:sz w:val="22"/>
                <w:szCs w:val="22"/>
              </w:rPr>
            </w:pPr>
            <w:r w:rsidRPr="006E31EE">
              <w:rPr>
                <w:color w:val="000000" w:themeColor="text1"/>
                <w:sz w:val="22"/>
                <w:szCs w:val="22"/>
              </w:rPr>
              <w:t>C</w:t>
            </w:r>
            <w:r w:rsidRPr="006E31EE">
              <w:rPr>
                <w:color w:val="000000" w:themeColor="text1"/>
                <w:sz w:val="22"/>
                <w:szCs w:val="22"/>
                <w:vertAlign w:val="subscript"/>
              </w:rPr>
              <w:t>max</w:t>
            </w:r>
            <w:r w:rsidRPr="006E31EE">
              <w:rPr>
                <w:color w:val="000000" w:themeColor="text1"/>
                <w:sz w:val="22"/>
                <w:szCs w:val="22"/>
              </w:rPr>
              <w:t xml:space="preserve">: ↔ </w:t>
            </w:r>
          </w:p>
          <w:p w14:paraId="059A333F" w14:textId="77777777" w:rsidR="00CA3916" w:rsidRPr="006E31EE" w:rsidRDefault="00CA3916" w:rsidP="005E3C92">
            <w:pPr>
              <w:rPr>
                <w:color w:val="000000" w:themeColor="text1"/>
                <w:sz w:val="22"/>
                <w:szCs w:val="22"/>
              </w:rPr>
            </w:pPr>
            <w:r w:rsidRPr="006E31EE">
              <w:rPr>
                <w:color w:val="000000" w:themeColor="text1"/>
                <w:sz w:val="22"/>
                <w:szCs w:val="22"/>
              </w:rPr>
              <w:t>C</w:t>
            </w:r>
            <w:r w:rsidRPr="006E31EE">
              <w:rPr>
                <w:color w:val="000000" w:themeColor="text1"/>
                <w:sz w:val="22"/>
                <w:szCs w:val="22"/>
                <w:vertAlign w:val="subscript"/>
              </w:rPr>
              <w:t>min</w:t>
            </w:r>
            <w:r w:rsidRPr="006E31EE">
              <w:rPr>
                <w:color w:val="000000" w:themeColor="text1"/>
                <w:sz w:val="22"/>
                <w:szCs w:val="22"/>
              </w:rPr>
              <w:t xml:space="preserve">: ↔ </w:t>
            </w:r>
          </w:p>
          <w:p w14:paraId="07ACB4E2" w14:textId="77777777" w:rsidR="00CA3916" w:rsidRPr="006E31EE" w:rsidRDefault="00CA3916" w:rsidP="005E3C92">
            <w:pPr>
              <w:rPr>
                <w:color w:val="000000" w:themeColor="text1"/>
                <w:sz w:val="22"/>
                <w:szCs w:val="22"/>
              </w:rPr>
            </w:pPr>
            <w:r w:rsidRPr="006E31EE">
              <w:rPr>
                <w:color w:val="000000" w:themeColor="text1"/>
                <w:sz w:val="22"/>
                <w:szCs w:val="22"/>
              </w:rPr>
              <w:t xml:space="preserve"> </w:t>
            </w:r>
          </w:p>
          <w:p w14:paraId="07A3F009" w14:textId="77777777" w:rsidR="00CA3916" w:rsidRPr="006E31EE" w:rsidRDefault="00CA3916" w:rsidP="005E3C92">
            <w:pPr>
              <w:rPr>
                <w:color w:val="000000" w:themeColor="text1"/>
                <w:sz w:val="22"/>
                <w:szCs w:val="22"/>
              </w:rPr>
            </w:pPr>
            <w:r w:rsidRPr="006E31EE">
              <w:rPr>
                <w:color w:val="000000" w:themeColor="text1"/>
                <w:sz w:val="22"/>
                <w:szCs w:val="22"/>
              </w:rPr>
              <w:t xml:space="preserve">Emtricitabin: </w:t>
            </w:r>
          </w:p>
          <w:p w14:paraId="373C4A02" w14:textId="77777777" w:rsidR="00CA3916" w:rsidRPr="006E31EE" w:rsidRDefault="00CA3916" w:rsidP="005E3C92">
            <w:pPr>
              <w:rPr>
                <w:color w:val="000000" w:themeColor="text1"/>
                <w:sz w:val="22"/>
                <w:szCs w:val="22"/>
              </w:rPr>
            </w:pPr>
            <w:r w:rsidRPr="006E31EE">
              <w:rPr>
                <w:color w:val="000000" w:themeColor="text1"/>
                <w:sz w:val="22"/>
                <w:szCs w:val="22"/>
              </w:rPr>
              <w:t xml:space="preserve">AUC: ↔ </w:t>
            </w:r>
          </w:p>
          <w:p w14:paraId="1EF0062C" w14:textId="77777777" w:rsidR="00CA3916" w:rsidRPr="006E31EE" w:rsidRDefault="00CA3916" w:rsidP="005E3C92">
            <w:pPr>
              <w:rPr>
                <w:color w:val="000000" w:themeColor="text1"/>
                <w:sz w:val="22"/>
                <w:szCs w:val="22"/>
              </w:rPr>
            </w:pPr>
            <w:r w:rsidRPr="006E31EE">
              <w:rPr>
                <w:color w:val="000000" w:themeColor="text1"/>
                <w:sz w:val="22"/>
                <w:szCs w:val="22"/>
              </w:rPr>
              <w:t>C</w:t>
            </w:r>
            <w:r w:rsidRPr="006E31EE">
              <w:rPr>
                <w:color w:val="000000" w:themeColor="text1"/>
                <w:sz w:val="22"/>
                <w:szCs w:val="22"/>
                <w:vertAlign w:val="subscript"/>
              </w:rPr>
              <w:t>max</w:t>
            </w:r>
            <w:r w:rsidRPr="006E31EE">
              <w:rPr>
                <w:color w:val="000000" w:themeColor="text1"/>
                <w:sz w:val="22"/>
                <w:szCs w:val="22"/>
              </w:rPr>
              <w:t xml:space="preserve">: ↔ </w:t>
            </w:r>
          </w:p>
          <w:p w14:paraId="7929787C" w14:textId="77777777" w:rsidR="00CA3916" w:rsidRPr="006E31EE" w:rsidRDefault="00CA3916" w:rsidP="005E3C92">
            <w:pPr>
              <w:rPr>
                <w:color w:val="000000" w:themeColor="text1"/>
                <w:sz w:val="22"/>
                <w:szCs w:val="22"/>
              </w:rPr>
            </w:pPr>
            <w:r w:rsidRPr="006E31EE">
              <w:rPr>
                <w:color w:val="000000" w:themeColor="text1"/>
                <w:sz w:val="22"/>
                <w:szCs w:val="22"/>
              </w:rPr>
              <w:t>C</w:t>
            </w:r>
            <w:r w:rsidRPr="006E31EE">
              <w:rPr>
                <w:color w:val="000000" w:themeColor="text1"/>
                <w:sz w:val="22"/>
                <w:szCs w:val="22"/>
                <w:vertAlign w:val="subscript"/>
              </w:rPr>
              <w:t>min</w:t>
            </w:r>
            <w:r w:rsidRPr="006E31EE">
              <w:rPr>
                <w:color w:val="000000" w:themeColor="text1"/>
                <w:sz w:val="22"/>
                <w:szCs w:val="22"/>
              </w:rPr>
              <w:t xml:space="preserve">: ↔ </w:t>
            </w:r>
          </w:p>
          <w:p w14:paraId="47001738" w14:textId="77777777" w:rsidR="00CA3916" w:rsidRPr="006E31EE" w:rsidRDefault="00CA3916" w:rsidP="005E3C92">
            <w:pPr>
              <w:rPr>
                <w:color w:val="000000" w:themeColor="text1"/>
                <w:sz w:val="22"/>
                <w:szCs w:val="22"/>
              </w:rPr>
            </w:pPr>
            <w:r w:rsidRPr="006E31EE">
              <w:rPr>
                <w:color w:val="000000" w:themeColor="text1"/>
                <w:sz w:val="22"/>
                <w:szCs w:val="22"/>
              </w:rPr>
              <w:t xml:space="preserve"> </w:t>
            </w:r>
          </w:p>
          <w:p w14:paraId="6987A804" w14:textId="77777777" w:rsidR="00CA3916" w:rsidRPr="006E31EE" w:rsidRDefault="00CA3916" w:rsidP="005E3C92">
            <w:pPr>
              <w:rPr>
                <w:color w:val="000000" w:themeColor="text1"/>
                <w:sz w:val="22"/>
                <w:szCs w:val="22"/>
              </w:rPr>
            </w:pPr>
            <w:r w:rsidRPr="006E31EE">
              <w:rPr>
                <w:color w:val="000000" w:themeColor="text1"/>
                <w:sz w:val="22"/>
                <w:szCs w:val="22"/>
              </w:rPr>
              <w:t xml:space="preserve">Rilpivirin: </w:t>
            </w:r>
          </w:p>
          <w:p w14:paraId="14459824" w14:textId="77777777" w:rsidR="00CA3916" w:rsidRPr="006E31EE" w:rsidRDefault="00CA3916" w:rsidP="005E3C92">
            <w:pPr>
              <w:rPr>
                <w:color w:val="000000" w:themeColor="text1"/>
                <w:sz w:val="22"/>
                <w:szCs w:val="22"/>
              </w:rPr>
            </w:pPr>
            <w:r w:rsidRPr="006E31EE">
              <w:rPr>
                <w:color w:val="000000" w:themeColor="text1"/>
                <w:sz w:val="22"/>
                <w:szCs w:val="22"/>
              </w:rPr>
              <w:t xml:space="preserve">AUC: ↔ </w:t>
            </w:r>
          </w:p>
          <w:p w14:paraId="4CEA6C21" w14:textId="77777777" w:rsidR="00CA3916" w:rsidRPr="006E31EE" w:rsidRDefault="00CA3916" w:rsidP="005E3C92">
            <w:pPr>
              <w:rPr>
                <w:color w:val="000000" w:themeColor="text1"/>
                <w:sz w:val="22"/>
                <w:szCs w:val="22"/>
              </w:rPr>
            </w:pPr>
            <w:r w:rsidRPr="006E31EE">
              <w:rPr>
                <w:color w:val="000000" w:themeColor="text1"/>
                <w:sz w:val="22"/>
                <w:szCs w:val="22"/>
              </w:rPr>
              <w:t>C</w:t>
            </w:r>
            <w:r w:rsidRPr="006E31EE">
              <w:rPr>
                <w:color w:val="000000" w:themeColor="text1"/>
                <w:sz w:val="22"/>
                <w:szCs w:val="22"/>
                <w:vertAlign w:val="subscript"/>
              </w:rPr>
              <w:t>max</w:t>
            </w:r>
            <w:r w:rsidRPr="006E31EE">
              <w:rPr>
                <w:color w:val="000000" w:themeColor="text1"/>
                <w:sz w:val="22"/>
                <w:szCs w:val="22"/>
              </w:rPr>
              <w:t xml:space="preserve">: ↔ </w:t>
            </w:r>
          </w:p>
          <w:p w14:paraId="5842F9AA" w14:textId="77777777" w:rsidR="00CA3916" w:rsidRPr="006E31EE" w:rsidRDefault="00CA3916" w:rsidP="005E3C92">
            <w:pPr>
              <w:rPr>
                <w:color w:val="000000" w:themeColor="text1"/>
                <w:sz w:val="22"/>
                <w:szCs w:val="22"/>
              </w:rPr>
            </w:pPr>
            <w:r w:rsidRPr="006E31EE">
              <w:rPr>
                <w:color w:val="000000" w:themeColor="text1"/>
                <w:sz w:val="22"/>
                <w:szCs w:val="22"/>
              </w:rPr>
              <w:t>C</w:t>
            </w:r>
            <w:r w:rsidRPr="006E31EE">
              <w:rPr>
                <w:color w:val="000000" w:themeColor="text1"/>
                <w:sz w:val="22"/>
                <w:szCs w:val="22"/>
                <w:vertAlign w:val="subscript"/>
              </w:rPr>
              <w:t>min</w:t>
            </w:r>
            <w:r w:rsidRPr="006E31EE">
              <w:rPr>
                <w:color w:val="000000" w:themeColor="text1"/>
                <w:sz w:val="22"/>
                <w:szCs w:val="22"/>
              </w:rPr>
              <w:t xml:space="preserve">: ↔ </w:t>
            </w:r>
          </w:p>
          <w:p w14:paraId="1C70DA22" w14:textId="77777777" w:rsidR="00CA3916" w:rsidRPr="006E31EE" w:rsidRDefault="00CA3916" w:rsidP="005E3C92">
            <w:pPr>
              <w:rPr>
                <w:color w:val="000000" w:themeColor="text1"/>
                <w:sz w:val="22"/>
                <w:szCs w:val="22"/>
              </w:rPr>
            </w:pPr>
            <w:r w:rsidRPr="006E31EE">
              <w:rPr>
                <w:color w:val="000000" w:themeColor="text1"/>
                <w:sz w:val="22"/>
                <w:szCs w:val="22"/>
              </w:rPr>
              <w:t xml:space="preserve"> </w:t>
            </w:r>
          </w:p>
          <w:p w14:paraId="306D08FE" w14:textId="77777777" w:rsidR="00CA3916" w:rsidRPr="006E31EE" w:rsidRDefault="00CA3916" w:rsidP="005E3C92">
            <w:pPr>
              <w:rPr>
                <w:color w:val="000000" w:themeColor="text1"/>
                <w:sz w:val="22"/>
                <w:szCs w:val="22"/>
              </w:rPr>
            </w:pPr>
            <w:r w:rsidRPr="006E31EE">
              <w:rPr>
                <w:color w:val="000000" w:themeColor="text1"/>
                <w:sz w:val="22"/>
                <w:szCs w:val="22"/>
              </w:rPr>
              <w:t xml:space="preserve">Tenofovir: </w:t>
            </w:r>
          </w:p>
          <w:p w14:paraId="61FECC6B" w14:textId="77777777" w:rsidR="00CA3916" w:rsidRPr="006E31EE" w:rsidRDefault="00CA3916" w:rsidP="005E3C92">
            <w:pPr>
              <w:rPr>
                <w:color w:val="000000" w:themeColor="text1"/>
                <w:sz w:val="22"/>
                <w:szCs w:val="22"/>
              </w:rPr>
            </w:pPr>
            <w:r w:rsidRPr="006E31EE">
              <w:rPr>
                <w:color w:val="000000" w:themeColor="text1"/>
                <w:sz w:val="22"/>
                <w:szCs w:val="22"/>
              </w:rPr>
              <w:t xml:space="preserve">AUC: ↑ 40% </w:t>
            </w:r>
          </w:p>
          <w:p w14:paraId="06F4FE0A" w14:textId="77777777" w:rsidR="00CA3916" w:rsidRPr="006E31EE" w:rsidRDefault="00CA3916" w:rsidP="005E3C92">
            <w:pPr>
              <w:rPr>
                <w:color w:val="000000" w:themeColor="text1"/>
                <w:sz w:val="22"/>
                <w:szCs w:val="22"/>
              </w:rPr>
            </w:pPr>
            <w:r w:rsidRPr="006E31EE">
              <w:rPr>
                <w:color w:val="000000" w:themeColor="text1"/>
                <w:sz w:val="22"/>
                <w:szCs w:val="22"/>
              </w:rPr>
              <w:t xml:space="preserve">Cmax: ↔ </w:t>
            </w:r>
          </w:p>
          <w:p w14:paraId="7FC27EF3" w14:textId="77777777" w:rsidR="00CA3916" w:rsidRPr="006E31EE" w:rsidRDefault="00CA3916" w:rsidP="005E3C92">
            <w:pPr>
              <w:rPr>
                <w:color w:val="000000" w:themeColor="text1"/>
                <w:sz w:val="22"/>
                <w:szCs w:val="22"/>
              </w:rPr>
            </w:pPr>
            <w:r w:rsidRPr="006E31EE">
              <w:rPr>
                <w:color w:val="000000" w:themeColor="text1"/>
                <w:sz w:val="22"/>
                <w:szCs w:val="22"/>
              </w:rPr>
              <w:t>C</w:t>
            </w:r>
            <w:r w:rsidRPr="006E31EE">
              <w:rPr>
                <w:color w:val="000000" w:themeColor="text1"/>
                <w:sz w:val="22"/>
                <w:szCs w:val="22"/>
                <w:vertAlign w:val="subscript"/>
              </w:rPr>
              <w:t>min</w:t>
            </w:r>
            <w:r w:rsidRPr="006E31EE">
              <w:rPr>
                <w:color w:val="000000" w:themeColor="text1"/>
                <w:sz w:val="22"/>
                <w:szCs w:val="22"/>
              </w:rPr>
              <w:t xml:space="preserve">: ↑ 91% </w:t>
            </w:r>
          </w:p>
        </w:tc>
        <w:tc>
          <w:tcPr>
            <w:tcW w:w="1745" w:type="pct"/>
            <w:hideMark/>
          </w:tcPr>
          <w:p w14:paraId="638D2EC1" w14:textId="77777777" w:rsidR="00CA3916" w:rsidRPr="006E31EE" w:rsidRDefault="00CA3916" w:rsidP="005E3C92">
            <w:pPr>
              <w:rPr>
                <w:sz w:val="22"/>
                <w:szCs w:val="22"/>
              </w:rPr>
            </w:pPr>
            <w:r w:rsidRPr="006E31EE">
              <w:rPr>
                <w:sz w:val="22"/>
                <w:szCs w:val="22"/>
              </w:rPr>
              <w:t>Der anbefales ingen dosisjustering. Den øgede eksponering af tenofovir kan forstærke bivirkninger forbundet med tenofovirdisoproxil, herunder nyrelidelser. Nyrefunktionen skal overvåges nøje (se pkt. 4.4).</w:t>
            </w:r>
          </w:p>
        </w:tc>
      </w:tr>
      <w:tr w:rsidR="00CA3916" w:rsidRPr="006E31EE" w14:paraId="514DFBD1" w14:textId="77777777" w:rsidTr="005E3C92">
        <w:trPr>
          <w:trHeight w:val="8070"/>
        </w:trPr>
        <w:tc>
          <w:tcPr>
            <w:tcW w:w="1667" w:type="pct"/>
          </w:tcPr>
          <w:p w14:paraId="66EBE8F6" w14:textId="77777777" w:rsidR="00CA3916" w:rsidRPr="006E31EE" w:rsidRDefault="00CA3916" w:rsidP="005E3C92">
            <w:pPr>
              <w:rPr>
                <w:color w:val="000000" w:themeColor="text1"/>
                <w:sz w:val="22"/>
                <w:szCs w:val="22"/>
              </w:rPr>
            </w:pPr>
            <w:r w:rsidRPr="006E31EE">
              <w:rPr>
                <w:sz w:val="22"/>
                <w:szCs w:val="22"/>
              </w:rPr>
              <w:lastRenderedPageBreak/>
              <w:t>Ledipasvir/sofosbuvir (90 mg/400 mg q.d.) + dolutegravir (50 mg q.d.) + emtricitabin/tenofovirdisoproxil (200 mg/245 mg q.d.)</w:t>
            </w:r>
          </w:p>
        </w:tc>
        <w:tc>
          <w:tcPr>
            <w:tcW w:w="1588" w:type="pct"/>
            <w:gridSpan w:val="2"/>
          </w:tcPr>
          <w:p w14:paraId="03551158" w14:textId="77777777" w:rsidR="00CA3916" w:rsidRPr="006E31EE" w:rsidRDefault="00CA3916" w:rsidP="005E3C92">
            <w:pPr>
              <w:spacing w:line="259" w:lineRule="auto"/>
              <w:ind w:right="128"/>
              <w:rPr>
                <w:sz w:val="22"/>
                <w:szCs w:val="22"/>
              </w:rPr>
            </w:pPr>
            <w:r w:rsidRPr="006E31EE">
              <w:rPr>
                <w:sz w:val="22"/>
                <w:szCs w:val="22"/>
              </w:rPr>
              <w:t>Sofosbuvir:</w:t>
            </w:r>
          </w:p>
          <w:p w14:paraId="718706A0" w14:textId="77777777" w:rsidR="00CA3916" w:rsidRPr="006E31EE" w:rsidRDefault="00CA3916" w:rsidP="005E3C92">
            <w:pPr>
              <w:spacing w:line="259" w:lineRule="auto"/>
              <w:ind w:right="128"/>
              <w:rPr>
                <w:sz w:val="22"/>
                <w:szCs w:val="22"/>
              </w:rPr>
            </w:pPr>
            <w:r w:rsidRPr="006E31EE">
              <w:rPr>
                <w:sz w:val="22"/>
                <w:szCs w:val="22"/>
              </w:rPr>
              <w:t>AUC: ↔</w:t>
            </w:r>
          </w:p>
          <w:p w14:paraId="64162807" w14:textId="77777777" w:rsidR="00CA3916" w:rsidRPr="006E31EE" w:rsidRDefault="00CA3916" w:rsidP="005E3C92">
            <w:pPr>
              <w:spacing w:line="259" w:lineRule="auto"/>
              <w:ind w:right="128"/>
              <w:rPr>
                <w:sz w:val="22"/>
                <w:szCs w:val="22"/>
              </w:rPr>
            </w:pPr>
            <w:r w:rsidRPr="006E31EE">
              <w:rPr>
                <w:sz w:val="22"/>
                <w:szCs w:val="22"/>
              </w:rPr>
              <w:t>Cmax: ↔</w:t>
            </w:r>
          </w:p>
          <w:p w14:paraId="410A87B5" w14:textId="77777777" w:rsidR="00CA3916" w:rsidRPr="006E31EE" w:rsidRDefault="00CA3916" w:rsidP="005E3C92">
            <w:pPr>
              <w:spacing w:line="259" w:lineRule="auto"/>
              <w:ind w:right="128"/>
              <w:rPr>
                <w:sz w:val="22"/>
                <w:szCs w:val="22"/>
              </w:rPr>
            </w:pPr>
          </w:p>
          <w:p w14:paraId="4C050B90" w14:textId="77777777" w:rsidR="00CA3916" w:rsidRPr="006E31EE" w:rsidRDefault="00CA3916" w:rsidP="005E3C92">
            <w:pPr>
              <w:spacing w:line="259" w:lineRule="auto"/>
              <w:ind w:right="128"/>
              <w:rPr>
                <w:sz w:val="22"/>
                <w:szCs w:val="22"/>
              </w:rPr>
            </w:pPr>
            <w:r w:rsidRPr="006E31EE">
              <w:rPr>
                <w:sz w:val="22"/>
                <w:szCs w:val="22"/>
              </w:rPr>
              <w:t>GS-331007</w:t>
            </w:r>
            <w:r w:rsidRPr="006E31EE">
              <w:rPr>
                <w:sz w:val="22"/>
                <w:szCs w:val="22"/>
                <w:vertAlign w:val="superscript"/>
              </w:rPr>
              <w:t>2</w:t>
            </w:r>
          </w:p>
          <w:p w14:paraId="789960DC" w14:textId="77777777" w:rsidR="00CA3916" w:rsidRPr="006E31EE" w:rsidRDefault="00CA3916" w:rsidP="005E3C92">
            <w:pPr>
              <w:spacing w:line="259" w:lineRule="auto"/>
              <w:ind w:right="128"/>
              <w:rPr>
                <w:sz w:val="22"/>
                <w:szCs w:val="22"/>
              </w:rPr>
            </w:pPr>
            <w:r w:rsidRPr="006E31EE">
              <w:rPr>
                <w:sz w:val="22"/>
                <w:szCs w:val="22"/>
              </w:rPr>
              <w:t>AUC: ↔</w:t>
            </w:r>
          </w:p>
          <w:p w14:paraId="2F25D80D" w14:textId="77777777" w:rsidR="00CA3916" w:rsidRPr="006E31EE" w:rsidRDefault="00CA3916" w:rsidP="005E3C92">
            <w:pPr>
              <w:spacing w:line="259" w:lineRule="auto"/>
              <w:ind w:right="128"/>
              <w:rPr>
                <w:sz w:val="22"/>
                <w:szCs w:val="22"/>
              </w:rPr>
            </w:pPr>
            <w:r w:rsidRPr="006E31EE">
              <w:rPr>
                <w:sz w:val="22"/>
                <w:szCs w:val="22"/>
              </w:rPr>
              <w:t>Cmax: ↔</w:t>
            </w:r>
          </w:p>
          <w:p w14:paraId="59DE3593" w14:textId="77777777" w:rsidR="00CA3916" w:rsidRPr="006E31EE" w:rsidRDefault="00CA3916" w:rsidP="005E3C92">
            <w:pPr>
              <w:spacing w:line="259" w:lineRule="auto"/>
              <w:ind w:right="128"/>
              <w:rPr>
                <w:sz w:val="22"/>
                <w:szCs w:val="22"/>
              </w:rPr>
            </w:pPr>
            <w:r w:rsidRPr="006E31EE">
              <w:rPr>
                <w:sz w:val="22"/>
                <w:szCs w:val="22"/>
              </w:rPr>
              <w:t>Cmin: ↔</w:t>
            </w:r>
          </w:p>
          <w:p w14:paraId="3CBA33DA" w14:textId="77777777" w:rsidR="00CA3916" w:rsidRPr="006E31EE" w:rsidRDefault="00CA3916" w:rsidP="005E3C92">
            <w:pPr>
              <w:spacing w:line="259" w:lineRule="auto"/>
              <w:ind w:right="128"/>
              <w:rPr>
                <w:sz w:val="22"/>
                <w:szCs w:val="22"/>
              </w:rPr>
            </w:pPr>
          </w:p>
          <w:p w14:paraId="4E63F7CE" w14:textId="77777777" w:rsidR="00CA3916" w:rsidRPr="006E31EE" w:rsidRDefault="00CA3916" w:rsidP="005E3C92">
            <w:pPr>
              <w:spacing w:line="259" w:lineRule="auto"/>
              <w:ind w:right="128"/>
              <w:rPr>
                <w:sz w:val="22"/>
                <w:szCs w:val="22"/>
              </w:rPr>
            </w:pPr>
            <w:r w:rsidRPr="006E31EE">
              <w:rPr>
                <w:sz w:val="22"/>
                <w:szCs w:val="22"/>
              </w:rPr>
              <w:t>Ledipasvir:</w:t>
            </w:r>
          </w:p>
          <w:p w14:paraId="6C2669DB" w14:textId="77777777" w:rsidR="00CA3916" w:rsidRPr="006E31EE" w:rsidRDefault="00CA3916" w:rsidP="005E3C92">
            <w:pPr>
              <w:spacing w:line="259" w:lineRule="auto"/>
              <w:ind w:right="128"/>
              <w:rPr>
                <w:sz w:val="22"/>
                <w:szCs w:val="22"/>
              </w:rPr>
            </w:pPr>
            <w:r w:rsidRPr="006E31EE">
              <w:rPr>
                <w:sz w:val="22"/>
                <w:szCs w:val="22"/>
              </w:rPr>
              <w:t>AUC: ↔</w:t>
            </w:r>
          </w:p>
          <w:p w14:paraId="18B7F677" w14:textId="77777777" w:rsidR="00CA3916" w:rsidRPr="006E31EE" w:rsidRDefault="00CA3916" w:rsidP="005E3C92">
            <w:pPr>
              <w:spacing w:line="259" w:lineRule="auto"/>
              <w:ind w:right="128"/>
              <w:rPr>
                <w:sz w:val="22"/>
                <w:szCs w:val="22"/>
              </w:rPr>
            </w:pPr>
            <w:r w:rsidRPr="006E31EE">
              <w:rPr>
                <w:sz w:val="22"/>
                <w:szCs w:val="22"/>
              </w:rPr>
              <w:t>Cmax: ↔</w:t>
            </w:r>
          </w:p>
          <w:p w14:paraId="6476E91A" w14:textId="77777777" w:rsidR="00CA3916" w:rsidRPr="006E31EE" w:rsidRDefault="00CA3916" w:rsidP="005E3C92">
            <w:pPr>
              <w:spacing w:line="259" w:lineRule="auto"/>
              <w:ind w:right="128"/>
              <w:rPr>
                <w:sz w:val="22"/>
                <w:szCs w:val="22"/>
              </w:rPr>
            </w:pPr>
            <w:r w:rsidRPr="006E31EE">
              <w:rPr>
                <w:sz w:val="22"/>
                <w:szCs w:val="22"/>
              </w:rPr>
              <w:t>Cmin: ↔</w:t>
            </w:r>
          </w:p>
          <w:p w14:paraId="40D97B4A" w14:textId="77777777" w:rsidR="00CA3916" w:rsidRPr="006E31EE" w:rsidRDefault="00CA3916" w:rsidP="005E3C92">
            <w:pPr>
              <w:spacing w:line="259" w:lineRule="auto"/>
              <w:ind w:right="128"/>
              <w:rPr>
                <w:sz w:val="22"/>
                <w:szCs w:val="22"/>
              </w:rPr>
            </w:pPr>
          </w:p>
          <w:p w14:paraId="725B8E7C" w14:textId="77777777" w:rsidR="00CA3916" w:rsidRPr="006E31EE" w:rsidRDefault="00CA3916" w:rsidP="005E3C92">
            <w:pPr>
              <w:spacing w:line="259" w:lineRule="auto"/>
              <w:ind w:right="128"/>
              <w:rPr>
                <w:sz w:val="22"/>
                <w:szCs w:val="22"/>
              </w:rPr>
            </w:pPr>
            <w:r w:rsidRPr="006E31EE">
              <w:rPr>
                <w:sz w:val="22"/>
                <w:szCs w:val="22"/>
              </w:rPr>
              <w:t>Dolutegravir</w:t>
            </w:r>
          </w:p>
          <w:p w14:paraId="3D762BA0" w14:textId="77777777" w:rsidR="00CA3916" w:rsidRPr="006E31EE" w:rsidRDefault="00CA3916" w:rsidP="005E3C92">
            <w:pPr>
              <w:spacing w:line="259" w:lineRule="auto"/>
              <w:ind w:right="128"/>
              <w:rPr>
                <w:sz w:val="22"/>
                <w:szCs w:val="22"/>
              </w:rPr>
            </w:pPr>
            <w:r w:rsidRPr="006E31EE">
              <w:rPr>
                <w:sz w:val="22"/>
                <w:szCs w:val="22"/>
              </w:rPr>
              <w:t>AUC: ↔</w:t>
            </w:r>
          </w:p>
          <w:p w14:paraId="79746746" w14:textId="77777777" w:rsidR="00CA3916" w:rsidRPr="006E31EE" w:rsidRDefault="00CA3916" w:rsidP="005E3C92">
            <w:pPr>
              <w:spacing w:line="259" w:lineRule="auto"/>
              <w:ind w:right="128"/>
              <w:rPr>
                <w:sz w:val="22"/>
                <w:szCs w:val="22"/>
              </w:rPr>
            </w:pPr>
            <w:r w:rsidRPr="006E31EE">
              <w:rPr>
                <w:sz w:val="22"/>
                <w:szCs w:val="22"/>
              </w:rPr>
              <w:t>Cmax: ↔</w:t>
            </w:r>
          </w:p>
          <w:p w14:paraId="01AAD395" w14:textId="77777777" w:rsidR="00CA3916" w:rsidRPr="006E31EE" w:rsidRDefault="00CA3916" w:rsidP="005E3C92">
            <w:pPr>
              <w:spacing w:line="259" w:lineRule="auto"/>
              <w:ind w:right="128"/>
              <w:rPr>
                <w:sz w:val="22"/>
                <w:szCs w:val="22"/>
              </w:rPr>
            </w:pPr>
            <w:r w:rsidRPr="006E31EE">
              <w:rPr>
                <w:sz w:val="22"/>
                <w:szCs w:val="22"/>
              </w:rPr>
              <w:t>Cmin: ↔</w:t>
            </w:r>
          </w:p>
          <w:p w14:paraId="1183A504" w14:textId="77777777" w:rsidR="00CA3916" w:rsidRPr="006E31EE" w:rsidRDefault="00CA3916" w:rsidP="005E3C92">
            <w:pPr>
              <w:spacing w:line="259" w:lineRule="auto"/>
              <w:ind w:right="128"/>
              <w:rPr>
                <w:sz w:val="22"/>
                <w:szCs w:val="22"/>
              </w:rPr>
            </w:pPr>
          </w:p>
          <w:p w14:paraId="025E528A" w14:textId="77777777" w:rsidR="00CA3916" w:rsidRPr="006E31EE" w:rsidRDefault="00CA3916" w:rsidP="005E3C92">
            <w:pPr>
              <w:spacing w:line="259" w:lineRule="auto"/>
              <w:ind w:right="128"/>
              <w:rPr>
                <w:sz w:val="22"/>
                <w:szCs w:val="22"/>
              </w:rPr>
            </w:pPr>
            <w:r w:rsidRPr="006E31EE">
              <w:rPr>
                <w:sz w:val="22"/>
                <w:szCs w:val="22"/>
              </w:rPr>
              <w:t>Emtricitabin:</w:t>
            </w:r>
          </w:p>
          <w:p w14:paraId="77913891" w14:textId="77777777" w:rsidR="00CA3916" w:rsidRPr="006E31EE" w:rsidRDefault="00CA3916" w:rsidP="005E3C92">
            <w:pPr>
              <w:spacing w:line="259" w:lineRule="auto"/>
              <w:ind w:right="128"/>
              <w:rPr>
                <w:sz w:val="22"/>
                <w:szCs w:val="22"/>
              </w:rPr>
            </w:pPr>
            <w:r w:rsidRPr="006E31EE">
              <w:rPr>
                <w:sz w:val="22"/>
                <w:szCs w:val="22"/>
              </w:rPr>
              <w:t>AUC: ↔</w:t>
            </w:r>
          </w:p>
          <w:p w14:paraId="19341AFA" w14:textId="77777777" w:rsidR="00CA3916" w:rsidRPr="006E31EE" w:rsidRDefault="00CA3916" w:rsidP="005E3C92">
            <w:pPr>
              <w:spacing w:line="259" w:lineRule="auto"/>
              <w:ind w:right="128"/>
              <w:rPr>
                <w:sz w:val="22"/>
                <w:szCs w:val="22"/>
              </w:rPr>
            </w:pPr>
            <w:r w:rsidRPr="006E31EE">
              <w:rPr>
                <w:sz w:val="22"/>
                <w:szCs w:val="22"/>
              </w:rPr>
              <w:t>Cmax: ↔</w:t>
            </w:r>
          </w:p>
          <w:p w14:paraId="7EFB9C71" w14:textId="77777777" w:rsidR="00CA3916" w:rsidRPr="006E31EE" w:rsidRDefault="00CA3916" w:rsidP="005E3C92">
            <w:pPr>
              <w:spacing w:line="259" w:lineRule="auto"/>
              <w:ind w:right="128"/>
              <w:rPr>
                <w:sz w:val="22"/>
                <w:szCs w:val="22"/>
              </w:rPr>
            </w:pPr>
            <w:r w:rsidRPr="006E31EE">
              <w:rPr>
                <w:sz w:val="22"/>
                <w:szCs w:val="22"/>
              </w:rPr>
              <w:t>Cmin: ↔</w:t>
            </w:r>
          </w:p>
          <w:p w14:paraId="15ADA107" w14:textId="77777777" w:rsidR="00CA3916" w:rsidRPr="006E31EE" w:rsidRDefault="00CA3916" w:rsidP="005E3C92">
            <w:pPr>
              <w:spacing w:line="259" w:lineRule="auto"/>
              <w:ind w:right="128"/>
              <w:rPr>
                <w:sz w:val="22"/>
                <w:szCs w:val="22"/>
              </w:rPr>
            </w:pPr>
          </w:p>
          <w:p w14:paraId="41073454" w14:textId="77777777" w:rsidR="00CA3916" w:rsidRPr="006E31EE" w:rsidRDefault="00CA3916" w:rsidP="005E3C92">
            <w:pPr>
              <w:spacing w:line="259" w:lineRule="auto"/>
              <w:ind w:right="128"/>
              <w:rPr>
                <w:sz w:val="22"/>
                <w:szCs w:val="22"/>
              </w:rPr>
            </w:pPr>
            <w:r w:rsidRPr="006E31EE">
              <w:rPr>
                <w:sz w:val="22"/>
                <w:szCs w:val="22"/>
              </w:rPr>
              <w:t>Tenofovir:</w:t>
            </w:r>
          </w:p>
          <w:p w14:paraId="4C6F497D" w14:textId="77777777" w:rsidR="00CA3916" w:rsidRPr="006E31EE" w:rsidRDefault="00CA3916" w:rsidP="005E3C92">
            <w:pPr>
              <w:spacing w:line="259" w:lineRule="auto"/>
              <w:ind w:right="128"/>
              <w:rPr>
                <w:sz w:val="22"/>
                <w:szCs w:val="22"/>
              </w:rPr>
            </w:pPr>
            <w:r w:rsidRPr="006E31EE">
              <w:rPr>
                <w:sz w:val="22"/>
                <w:szCs w:val="22"/>
              </w:rPr>
              <w:t>AUC: ↑ 65 %</w:t>
            </w:r>
          </w:p>
          <w:p w14:paraId="64632B7B" w14:textId="77777777" w:rsidR="00CA3916" w:rsidRPr="006E31EE" w:rsidRDefault="00CA3916" w:rsidP="005E3C92">
            <w:pPr>
              <w:spacing w:line="259" w:lineRule="auto"/>
              <w:ind w:right="128"/>
              <w:rPr>
                <w:sz w:val="22"/>
                <w:szCs w:val="22"/>
              </w:rPr>
            </w:pPr>
            <w:r w:rsidRPr="006E31EE">
              <w:rPr>
                <w:sz w:val="22"/>
                <w:szCs w:val="22"/>
              </w:rPr>
              <w:t>Cmax: ↑ 61 %</w:t>
            </w:r>
          </w:p>
          <w:p w14:paraId="4B87FD2D" w14:textId="77777777" w:rsidR="00CA3916" w:rsidRPr="006E31EE" w:rsidRDefault="00CA3916" w:rsidP="005E3C92">
            <w:pPr>
              <w:rPr>
                <w:color w:val="000000" w:themeColor="text1"/>
                <w:sz w:val="22"/>
                <w:szCs w:val="22"/>
              </w:rPr>
            </w:pPr>
            <w:r w:rsidRPr="006E31EE">
              <w:rPr>
                <w:sz w:val="22"/>
                <w:szCs w:val="22"/>
              </w:rPr>
              <w:t>Cmin: ↑ 115 %</w:t>
            </w:r>
          </w:p>
        </w:tc>
        <w:tc>
          <w:tcPr>
            <w:tcW w:w="1745" w:type="pct"/>
          </w:tcPr>
          <w:p w14:paraId="3B088BFA" w14:textId="77777777" w:rsidR="00CA3916" w:rsidRPr="006E31EE" w:rsidRDefault="00CA3916" w:rsidP="005E3C92">
            <w:pPr>
              <w:spacing w:line="259" w:lineRule="auto"/>
              <w:ind w:right="51"/>
              <w:rPr>
                <w:sz w:val="22"/>
                <w:szCs w:val="22"/>
              </w:rPr>
            </w:pPr>
            <w:r w:rsidRPr="006E31EE">
              <w:rPr>
                <w:sz w:val="22"/>
                <w:szCs w:val="22"/>
              </w:rPr>
              <w:t xml:space="preserve">Der anbefales ingen dosisjustering. </w:t>
            </w:r>
          </w:p>
          <w:p w14:paraId="51EECD7C" w14:textId="77777777" w:rsidR="00CA3916" w:rsidRPr="006E31EE" w:rsidRDefault="00CA3916" w:rsidP="005E3C92">
            <w:pPr>
              <w:rPr>
                <w:sz w:val="22"/>
                <w:szCs w:val="22"/>
              </w:rPr>
            </w:pPr>
            <w:r w:rsidRPr="006E31EE">
              <w:rPr>
                <w:sz w:val="22"/>
                <w:szCs w:val="22"/>
              </w:rPr>
              <w:t>Den øgede eksponering af tenofovir kan forstærke bivirkninger forbundet med tenofovirdisoproxil, herunder nyrelidelser. Nyrefunktionen skal overvåges nøje (se pkt. 4.4).</w:t>
            </w:r>
          </w:p>
        </w:tc>
      </w:tr>
      <w:tr w:rsidR="00CA3916" w:rsidRPr="006E31EE" w14:paraId="22174C7B" w14:textId="77777777" w:rsidTr="005E3C92">
        <w:trPr>
          <w:trHeight w:val="8070"/>
        </w:trPr>
        <w:tc>
          <w:tcPr>
            <w:tcW w:w="1667" w:type="pct"/>
          </w:tcPr>
          <w:p w14:paraId="37C25EBD" w14:textId="77777777" w:rsidR="00CA3916" w:rsidRPr="006E31EE" w:rsidRDefault="00CA3916" w:rsidP="005E3C92">
            <w:pPr>
              <w:rPr>
                <w:color w:val="000000" w:themeColor="text1"/>
                <w:sz w:val="22"/>
                <w:szCs w:val="22"/>
              </w:rPr>
            </w:pPr>
            <w:r w:rsidRPr="006E31EE">
              <w:rPr>
                <w:sz w:val="22"/>
                <w:szCs w:val="22"/>
              </w:rPr>
              <w:lastRenderedPageBreak/>
              <w:t xml:space="preserve">Sofosbuvir/velpatasvir (400 mg/100 mg q.d.) </w:t>
            </w:r>
            <w:r w:rsidRPr="00E70F73">
              <w:rPr>
                <w:sz w:val="22"/>
                <w:szCs w:val="22"/>
              </w:rPr>
              <w:t xml:space="preserve">+ atazanavir/ritonavir (300 mg q.d./100 mg q.d.) </w:t>
            </w:r>
            <w:r w:rsidRPr="006E31EE">
              <w:rPr>
                <w:sz w:val="22"/>
                <w:szCs w:val="22"/>
              </w:rPr>
              <w:t>+ emtricitabin/tenofovirdisoproxil (200 mg/ 245 mg q.d.)</w:t>
            </w:r>
          </w:p>
        </w:tc>
        <w:tc>
          <w:tcPr>
            <w:tcW w:w="1588" w:type="pct"/>
            <w:gridSpan w:val="2"/>
          </w:tcPr>
          <w:p w14:paraId="36B93C06" w14:textId="77777777" w:rsidR="00CA3916" w:rsidRPr="006E31EE" w:rsidRDefault="00CA3916" w:rsidP="005E3C92">
            <w:pPr>
              <w:spacing w:line="259" w:lineRule="auto"/>
              <w:ind w:right="128"/>
              <w:rPr>
                <w:sz w:val="22"/>
                <w:szCs w:val="22"/>
              </w:rPr>
            </w:pPr>
            <w:r w:rsidRPr="006E31EE">
              <w:rPr>
                <w:sz w:val="22"/>
                <w:szCs w:val="22"/>
              </w:rPr>
              <w:t>Sofosbuvir:</w:t>
            </w:r>
          </w:p>
          <w:p w14:paraId="7B4070F7" w14:textId="77777777" w:rsidR="00CA3916" w:rsidRPr="006E31EE" w:rsidRDefault="00CA3916" w:rsidP="005E3C92">
            <w:pPr>
              <w:spacing w:line="259" w:lineRule="auto"/>
              <w:ind w:right="128"/>
              <w:rPr>
                <w:sz w:val="22"/>
                <w:szCs w:val="22"/>
              </w:rPr>
            </w:pPr>
            <w:r w:rsidRPr="006E31EE">
              <w:rPr>
                <w:sz w:val="22"/>
                <w:szCs w:val="22"/>
              </w:rPr>
              <w:t>AUC: ↔</w:t>
            </w:r>
          </w:p>
          <w:p w14:paraId="723ABC2C" w14:textId="77777777" w:rsidR="00CA3916" w:rsidRPr="006E31EE" w:rsidRDefault="00CA3916" w:rsidP="005E3C92">
            <w:pPr>
              <w:spacing w:line="259" w:lineRule="auto"/>
              <w:ind w:right="128"/>
              <w:rPr>
                <w:sz w:val="22"/>
                <w:szCs w:val="22"/>
              </w:rPr>
            </w:pPr>
            <w:r w:rsidRPr="006E31EE">
              <w:rPr>
                <w:sz w:val="22"/>
                <w:szCs w:val="22"/>
              </w:rPr>
              <w:t>Cmax: ↔</w:t>
            </w:r>
          </w:p>
          <w:p w14:paraId="5251DB58" w14:textId="77777777" w:rsidR="00CA3916" w:rsidRPr="006E31EE" w:rsidRDefault="00CA3916" w:rsidP="005E3C92">
            <w:pPr>
              <w:spacing w:line="259" w:lineRule="auto"/>
              <w:ind w:right="128"/>
              <w:rPr>
                <w:sz w:val="22"/>
                <w:szCs w:val="22"/>
              </w:rPr>
            </w:pPr>
          </w:p>
          <w:p w14:paraId="2958A672" w14:textId="77777777" w:rsidR="00CA3916" w:rsidRPr="006E31EE" w:rsidRDefault="00CA3916" w:rsidP="005E3C92">
            <w:pPr>
              <w:spacing w:line="259" w:lineRule="auto"/>
              <w:ind w:right="128"/>
              <w:rPr>
                <w:sz w:val="22"/>
                <w:szCs w:val="22"/>
              </w:rPr>
            </w:pPr>
            <w:r w:rsidRPr="006E31EE">
              <w:rPr>
                <w:sz w:val="22"/>
                <w:szCs w:val="22"/>
              </w:rPr>
              <w:t>GS-331007</w:t>
            </w:r>
            <w:r w:rsidRPr="006E31EE">
              <w:rPr>
                <w:sz w:val="22"/>
                <w:szCs w:val="22"/>
                <w:vertAlign w:val="superscript"/>
              </w:rPr>
              <w:t>2</w:t>
            </w:r>
            <w:r w:rsidRPr="006E31EE">
              <w:rPr>
                <w:sz w:val="22"/>
                <w:szCs w:val="22"/>
              </w:rPr>
              <w:t>:</w:t>
            </w:r>
          </w:p>
          <w:p w14:paraId="48F63755" w14:textId="77777777" w:rsidR="00CA3916" w:rsidRPr="006E31EE" w:rsidRDefault="00CA3916" w:rsidP="005E3C92">
            <w:pPr>
              <w:spacing w:line="259" w:lineRule="auto"/>
              <w:ind w:right="128"/>
              <w:rPr>
                <w:sz w:val="22"/>
                <w:szCs w:val="22"/>
              </w:rPr>
            </w:pPr>
            <w:r w:rsidRPr="006E31EE">
              <w:rPr>
                <w:sz w:val="22"/>
                <w:szCs w:val="22"/>
              </w:rPr>
              <w:t>AUC: ↔</w:t>
            </w:r>
          </w:p>
          <w:p w14:paraId="28B5A281" w14:textId="77777777" w:rsidR="00CA3916" w:rsidRPr="006E31EE" w:rsidRDefault="00CA3916" w:rsidP="005E3C92">
            <w:pPr>
              <w:spacing w:line="259" w:lineRule="auto"/>
              <w:ind w:right="128"/>
              <w:rPr>
                <w:sz w:val="22"/>
                <w:szCs w:val="22"/>
              </w:rPr>
            </w:pPr>
            <w:r w:rsidRPr="006E31EE">
              <w:rPr>
                <w:sz w:val="22"/>
                <w:szCs w:val="22"/>
              </w:rPr>
              <w:t>Cmax: ↔</w:t>
            </w:r>
          </w:p>
          <w:p w14:paraId="5B27F48C" w14:textId="77777777" w:rsidR="00CA3916" w:rsidRPr="006E31EE" w:rsidRDefault="00CA3916" w:rsidP="005E3C92">
            <w:pPr>
              <w:spacing w:line="259" w:lineRule="auto"/>
              <w:ind w:right="128"/>
              <w:rPr>
                <w:sz w:val="22"/>
                <w:szCs w:val="22"/>
              </w:rPr>
            </w:pPr>
            <w:r w:rsidRPr="006E31EE">
              <w:rPr>
                <w:sz w:val="22"/>
                <w:szCs w:val="22"/>
              </w:rPr>
              <w:t>Cmin: ↑ 42 %</w:t>
            </w:r>
          </w:p>
          <w:p w14:paraId="26DD75DA" w14:textId="77777777" w:rsidR="00CA3916" w:rsidRPr="006E31EE" w:rsidRDefault="00CA3916" w:rsidP="005E3C92">
            <w:pPr>
              <w:spacing w:line="259" w:lineRule="auto"/>
              <w:ind w:right="128"/>
              <w:rPr>
                <w:sz w:val="22"/>
                <w:szCs w:val="22"/>
              </w:rPr>
            </w:pPr>
          </w:p>
          <w:p w14:paraId="18FF019E" w14:textId="77777777" w:rsidR="00CA3916" w:rsidRPr="006E31EE" w:rsidRDefault="00CA3916" w:rsidP="005E3C92">
            <w:pPr>
              <w:spacing w:line="259" w:lineRule="auto"/>
              <w:ind w:right="128"/>
              <w:rPr>
                <w:sz w:val="22"/>
                <w:szCs w:val="22"/>
              </w:rPr>
            </w:pPr>
            <w:r w:rsidRPr="006E31EE">
              <w:rPr>
                <w:sz w:val="22"/>
                <w:szCs w:val="22"/>
              </w:rPr>
              <w:t>Velpatasvir:</w:t>
            </w:r>
          </w:p>
          <w:p w14:paraId="09EDC093" w14:textId="77777777" w:rsidR="00CA3916" w:rsidRPr="006E31EE" w:rsidRDefault="00CA3916" w:rsidP="005E3C92">
            <w:pPr>
              <w:spacing w:line="259" w:lineRule="auto"/>
              <w:ind w:right="128"/>
              <w:rPr>
                <w:sz w:val="22"/>
                <w:szCs w:val="22"/>
              </w:rPr>
            </w:pPr>
            <w:r w:rsidRPr="006E31EE">
              <w:rPr>
                <w:sz w:val="22"/>
                <w:szCs w:val="22"/>
              </w:rPr>
              <w:t>AUC: ↑ 142 %</w:t>
            </w:r>
          </w:p>
          <w:p w14:paraId="01018765" w14:textId="77777777" w:rsidR="00CA3916" w:rsidRPr="006E31EE" w:rsidRDefault="00CA3916" w:rsidP="005E3C92">
            <w:pPr>
              <w:spacing w:line="259" w:lineRule="auto"/>
              <w:ind w:right="128"/>
              <w:rPr>
                <w:sz w:val="22"/>
                <w:szCs w:val="22"/>
              </w:rPr>
            </w:pPr>
            <w:r w:rsidRPr="006E31EE">
              <w:rPr>
                <w:sz w:val="22"/>
                <w:szCs w:val="22"/>
              </w:rPr>
              <w:t>Cmax: ↑ 55 %</w:t>
            </w:r>
          </w:p>
          <w:p w14:paraId="32B3E5D0" w14:textId="77777777" w:rsidR="00CA3916" w:rsidRPr="006E31EE" w:rsidRDefault="00CA3916" w:rsidP="005E3C92">
            <w:pPr>
              <w:spacing w:line="259" w:lineRule="auto"/>
              <w:ind w:right="128"/>
              <w:rPr>
                <w:sz w:val="22"/>
                <w:szCs w:val="22"/>
              </w:rPr>
            </w:pPr>
            <w:r w:rsidRPr="006E31EE">
              <w:rPr>
                <w:sz w:val="22"/>
                <w:szCs w:val="22"/>
              </w:rPr>
              <w:t>Cmin: ↑ 301 %</w:t>
            </w:r>
          </w:p>
          <w:p w14:paraId="3A843847" w14:textId="77777777" w:rsidR="00CA3916" w:rsidRPr="006E31EE" w:rsidRDefault="00CA3916" w:rsidP="005E3C92">
            <w:pPr>
              <w:spacing w:line="259" w:lineRule="auto"/>
              <w:ind w:right="128"/>
              <w:rPr>
                <w:sz w:val="22"/>
                <w:szCs w:val="22"/>
              </w:rPr>
            </w:pPr>
          </w:p>
          <w:p w14:paraId="7D6FC75B" w14:textId="77777777" w:rsidR="00CA3916" w:rsidRPr="006E31EE" w:rsidRDefault="00CA3916" w:rsidP="005E3C92">
            <w:pPr>
              <w:spacing w:line="259" w:lineRule="auto"/>
              <w:ind w:right="128"/>
              <w:rPr>
                <w:sz w:val="22"/>
                <w:szCs w:val="22"/>
              </w:rPr>
            </w:pPr>
            <w:r w:rsidRPr="006E31EE">
              <w:rPr>
                <w:sz w:val="22"/>
                <w:szCs w:val="22"/>
              </w:rPr>
              <w:t>Atazanavir:</w:t>
            </w:r>
          </w:p>
          <w:p w14:paraId="443FE233" w14:textId="77777777" w:rsidR="00CA3916" w:rsidRPr="006E31EE" w:rsidRDefault="00CA3916" w:rsidP="005E3C92">
            <w:pPr>
              <w:spacing w:line="259" w:lineRule="auto"/>
              <w:ind w:right="128"/>
              <w:rPr>
                <w:sz w:val="22"/>
                <w:szCs w:val="22"/>
              </w:rPr>
            </w:pPr>
            <w:r w:rsidRPr="006E31EE">
              <w:rPr>
                <w:sz w:val="22"/>
                <w:szCs w:val="22"/>
              </w:rPr>
              <w:t>AUC: ↔</w:t>
            </w:r>
          </w:p>
          <w:p w14:paraId="61D586FB" w14:textId="77777777" w:rsidR="00CA3916" w:rsidRPr="006E31EE" w:rsidRDefault="00CA3916" w:rsidP="005E3C92">
            <w:pPr>
              <w:spacing w:line="259" w:lineRule="auto"/>
              <w:ind w:right="128"/>
              <w:rPr>
                <w:sz w:val="22"/>
                <w:szCs w:val="22"/>
              </w:rPr>
            </w:pPr>
            <w:r w:rsidRPr="006E31EE">
              <w:rPr>
                <w:sz w:val="22"/>
                <w:szCs w:val="22"/>
              </w:rPr>
              <w:t>Cmax: ↔</w:t>
            </w:r>
          </w:p>
          <w:p w14:paraId="57A83DD3" w14:textId="77777777" w:rsidR="00CA3916" w:rsidRPr="006E31EE" w:rsidRDefault="00CA3916" w:rsidP="005E3C92">
            <w:pPr>
              <w:spacing w:line="259" w:lineRule="auto"/>
              <w:ind w:right="128"/>
              <w:rPr>
                <w:sz w:val="22"/>
                <w:szCs w:val="22"/>
              </w:rPr>
            </w:pPr>
            <w:r w:rsidRPr="006E31EE">
              <w:rPr>
                <w:sz w:val="22"/>
                <w:szCs w:val="22"/>
              </w:rPr>
              <w:t>Cmin: ↑ 39 %</w:t>
            </w:r>
          </w:p>
          <w:p w14:paraId="6C589E0B" w14:textId="77777777" w:rsidR="00CA3916" w:rsidRPr="006E31EE" w:rsidRDefault="00CA3916" w:rsidP="005E3C92">
            <w:pPr>
              <w:spacing w:line="259" w:lineRule="auto"/>
              <w:ind w:right="128"/>
              <w:rPr>
                <w:sz w:val="22"/>
                <w:szCs w:val="22"/>
              </w:rPr>
            </w:pPr>
          </w:p>
          <w:p w14:paraId="1EB3F666" w14:textId="77777777" w:rsidR="00CA3916" w:rsidRPr="00E70F73" w:rsidRDefault="00CA3916" w:rsidP="005E3C92">
            <w:pPr>
              <w:spacing w:line="259" w:lineRule="auto"/>
              <w:ind w:right="128"/>
              <w:rPr>
                <w:sz w:val="22"/>
                <w:szCs w:val="22"/>
              </w:rPr>
            </w:pPr>
            <w:r w:rsidRPr="00E70F73">
              <w:rPr>
                <w:sz w:val="22"/>
                <w:szCs w:val="22"/>
              </w:rPr>
              <w:t>Ritonavir:</w:t>
            </w:r>
          </w:p>
          <w:p w14:paraId="790057D4" w14:textId="77777777" w:rsidR="00CA3916" w:rsidRPr="00E70F73" w:rsidRDefault="00CA3916" w:rsidP="005E3C92">
            <w:pPr>
              <w:autoSpaceDE w:val="0"/>
              <w:autoSpaceDN w:val="0"/>
              <w:adjustRightInd w:val="0"/>
              <w:rPr>
                <w:sz w:val="22"/>
                <w:szCs w:val="22"/>
              </w:rPr>
            </w:pPr>
            <w:r w:rsidRPr="00E70F73">
              <w:rPr>
                <w:sz w:val="22"/>
                <w:szCs w:val="22"/>
              </w:rPr>
              <w:t>AUC: ↔</w:t>
            </w:r>
          </w:p>
          <w:p w14:paraId="1D3669BC" w14:textId="77777777" w:rsidR="00CA3916" w:rsidRPr="00E70F73" w:rsidRDefault="00CA3916" w:rsidP="005E3C92">
            <w:pPr>
              <w:autoSpaceDE w:val="0"/>
              <w:autoSpaceDN w:val="0"/>
              <w:adjustRightInd w:val="0"/>
              <w:rPr>
                <w:sz w:val="22"/>
                <w:szCs w:val="22"/>
              </w:rPr>
            </w:pPr>
            <w:r w:rsidRPr="00E70F73">
              <w:rPr>
                <w:sz w:val="22"/>
                <w:szCs w:val="22"/>
              </w:rPr>
              <w:t>Cmax: ↔</w:t>
            </w:r>
          </w:p>
          <w:p w14:paraId="4B8325BE" w14:textId="77777777" w:rsidR="00CA3916" w:rsidRPr="00E70F73" w:rsidRDefault="00CA3916" w:rsidP="005E3C92">
            <w:pPr>
              <w:autoSpaceDE w:val="0"/>
              <w:autoSpaceDN w:val="0"/>
              <w:adjustRightInd w:val="0"/>
              <w:rPr>
                <w:sz w:val="22"/>
                <w:szCs w:val="22"/>
              </w:rPr>
            </w:pPr>
            <w:r w:rsidRPr="00E70F73">
              <w:rPr>
                <w:sz w:val="22"/>
                <w:szCs w:val="22"/>
              </w:rPr>
              <w:t>Cmin: ↑ 29 %</w:t>
            </w:r>
          </w:p>
          <w:p w14:paraId="014BB8B4" w14:textId="77777777" w:rsidR="00CA3916" w:rsidRPr="00E70F73" w:rsidRDefault="00CA3916" w:rsidP="005E3C92">
            <w:pPr>
              <w:autoSpaceDE w:val="0"/>
              <w:autoSpaceDN w:val="0"/>
              <w:adjustRightInd w:val="0"/>
              <w:rPr>
                <w:sz w:val="22"/>
                <w:szCs w:val="22"/>
              </w:rPr>
            </w:pPr>
          </w:p>
          <w:p w14:paraId="50F97A3A" w14:textId="77777777" w:rsidR="00CA3916" w:rsidRPr="00E70F73" w:rsidRDefault="00CA3916" w:rsidP="005E3C92">
            <w:pPr>
              <w:autoSpaceDE w:val="0"/>
              <w:autoSpaceDN w:val="0"/>
              <w:adjustRightInd w:val="0"/>
              <w:rPr>
                <w:sz w:val="22"/>
                <w:szCs w:val="22"/>
              </w:rPr>
            </w:pPr>
            <w:r w:rsidRPr="00E70F73">
              <w:rPr>
                <w:sz w:val="22"/>
                <w:szCs w:val="22"/>
              </w:rPr>
              <w:t>Emtricitabin:</w:t>
            </w:r>
          </w:p>
          <w:p w14:paraId="0DD2DCB0" w14:textId="77777777" w:rsidR="00CA3916" w:rsidRPr="00E70F73" w:rsidRDefault="00CA3916" w:rsidP="005E3C92">
            <w:pPr>
              <w:autoSpaceDE w:val="0"/>
              <w:autoSpaceDN w:val="0"/>
              <w:adjustRightInd w:val="0"/>
              <w:rPr>
                <w:sz w:val="22"/>
                <w:szCs w:val="22"/>
              </w:rPr>
            </w:pPr>
            <w:r w:rsidRPr="00E70F73">
              <w:rPr>
                <w:sz w:val="22"/>
                <w:szCs w:val="22"/>
              </w:rPr>
              <w:t>AUC: ↔</w:t>
            </w:r>
          </w:p>
          <w:p w14:paraId="6D69142A" w14:textId="77777777" w:rsidR="00CA3916" w:rsidRPr="00E70F73" w:rsidRDefault="00CA3916" w:rsidP="005E3C92">
            <w:pPr>
              <w:autoSpaceDE w:val="0"/>
              <w:autoSpaceDN w:val="0"/>
              <w:adjustRightInd w:val="0"/>
              <w:rPr>
                <w:sz w:val="22"/>
                <w:szCs w:val="22"/>
              </w:rPr>
            </w:pPr>
            <w:r w:rsidRPr="00E70F73">
              <w:rPr>
                <w:sz w:val="22"/>
                <w:szCs w:val="22"/>
              </w:rPr>
              <w:t>Cmax: ↔</w:t>
            </w:r>
          </w:p>
          <w:p w14:paraId="7337935B" w14:textId="77777777" w:rsidR="00CA3916" w:rsidRPr="00E70F73" w:rsidRDefault="00CA3916" w:rsidP="005E3C92">
            <w:pPr>
              <w:autoSpaceDE w:val="0"/>
              <w:autoSpaceDN w:val="0"/>
              <w:adjustRightInd w:val="0"/>
              <w:rPr>
                <w:sz w:val="22"/>
                <w:szCs w:val="22"/>
              </w:rPr>
            </w:pPr>
            <w:r w:rsidRPr="00E70F73">
              <w:rPr>
                <w:sz w:val="22"/>
                <w:szCs w:val="22"/>
              </w:rPr>
              <w:t>Cmin: ↔</w:t>
            </w:r>
          </w:p>
          <w:p w14:paraId="361CECE4" w14:textId="77777777" w:rsidR="00CA3916" w:rsidRPr="00E70F73" w:rsidRDefault="00CA3916" w:rsidP="005E3C92">
            <w:pPr>
              <w:autoSpaceDE w:val="0"/>
              <w:autoSpaceDN w:val="0"/>
              <w:adjustRightInd w:val="0"/>
              <w:rPr>
                <w:sz w:val="22"/>
                <w:szCs w:val="22"/>
              </w:rPr>
            </w:pPr>
          </w:p>
          <w:p w14:paraId="0EB8B0C9" w14:textId="77777777" w:rsidR="00CA3916" w:rsidRPr="00E70F73" w:rsidRDefault="00CA3916" w:rsidP="005E3C92">
            <w:pPr>
              <w:autoSpaceDE w:val="0"/>
              <w:autoSpaceDN w:val="0"/>
              <w:adjustRightInd w:val="0"/>
              <w:rPr>
                <w:sz w:val="22"/>
                <w:szCs w:val="22"/>
              </w:rPr>
            </w:pPr>
            <w:r w:rsidRPr="00E70F73">
              <w:rPr>
                <w:sz w:val="22"/>
                <w:szCs w:val="22"/>
              </w:rPr>
              <w:t>Tenofovir:</w:t>
            </w:r>
          </w:p>
          <w:p w14:paraId="5E62CD35" w14:textId="77777777" w:rsidR="00CA3916" w:rsidRPr="00E70F73" w:rsidRDefault="00CA3916" w:rsidP="005E3C92">
            <w:pPr>
              <w:autoSpaceDE w:val="0"/>
              <w:autoSpaceDN w:val="0"/>
              <w:adjustRightInd w:val="0"/>
              <w:rPr>
                <w:sz w:val="22"/>
                <w:szCs w:val="22"/>
              </w:rPr>
            </w:pPr>
            <w:r w:rsidRPr="00E70F73">
              <w:rPr>
                <w:sz w:val="22"/>
                <w:szCs w:val="22"/>
              </w:rPr>
              <w:t>AUC: ↔</w:t>
            </w:r>
          </w:p>
          <w:p w14:paraId="0F676151" w14:textId="77777777" w:rsidR="00CA3916" w:rsidRPr="006E31EE" w:rsidRDefault="00CA3916" w:rsidP="005E3C92">
            <w:pPr>
              <w:autoSpaceDE w:val="0"/>
              <w:autoSpaceDN w:val="0"/>
              <w:adjustRightInd w:val="0"/>
              <w:rPr>
                <w:sz w:val="22"/>
                <w:szCs w:val="22"/>
              </w:rPr>
            </w:pPr>
            <w:r w:rsidRPr="006E31EE">
              <w:rPr>
                <w:sz w:val="22"/>
                <w:szCs w:val="22"/>
              </w:rPr>
              <w:t>Cmax: ↑ 55 %</w:t>
            </w:r>
          </w:p>
          <w:p w14:paraId="0C0D2BF5" w14:textId="77777777" w:rsidR="00CA3916" w:rsidRPr="006E31EE" w:rsidRDefault="00CA3916" w:rsidP="005E3C92">
            <w:pPr>
              <w:rPr>
                <w:color w:val="000000" w:themeColor="text1"/>
                <w:sz w:val="22"/>
                <w:szCs w:val="22"/>
              </w:rPr>
            </w:pPr>
            <w:r w:rsidRPr="006E31EE">
              <w:rPr>
                <w:sz w:val="22"/>
                <w:szCs w:val="22"/>
              </w:rPr>
              <w:t>Cmin: ↑ 39 %</w:t>
            </w:r>
          </w:p>
        </w:tc>
        <w:tc>
          <w:tcPr>
            <w:tcW w:w="1745" w:type="pct"/>
          </w:tcPr>
          <w:p w14:paraId="705C0D13" w14:textId="77777777" w:rsidR="00CA3916" w:rsidRPr="006E31EE" w:rsidRDefault="00CA3916" w:rsidP="005E3C92">
            <w:pPr>
              <w:spacing w:line="259" w:lineRule="auto"/>
              <w:ind w:right="128"/>
              <w:rPr>
                <w:sz w:val="22"/>
                <w:szCs w:val="22"/>
              </w:rPr>
            </w:pPr>
            <w:r w:rsidRPr="006E31EE">
              <w:rPr>
                <w:sz w:val="22"/>
                <w:szCs w:val="22"/>
              </w:rPr>
              <w:t>Øgede plasmakoncentrationer af tenofovir som følge af samtidig administration af tenofovirdisoproxil, sofosbuvir/velpatasvir og atazanavir/ritonavir kan øge bivirkninger relateret til tenofovirdisoproxil, herunder nyrelidelser. Sikkerheden af tenofovirdisoproxil, når det bruges med sofosbuvir/velpatasvir og en farmakokinetisk forstærker (f.eks. ritonavir eller cobicistat), er ikke fastslået.</w:t>
            </w:r>
          </w:p>
          <w:p w14:paraId="166E7F27" w14:textId="77777777" w:rsidR="00CA3916" w:rsidRPr="006E31EE" w:rsidRDefault="00CA3916" w:rsidP="005E3C92">
            <w:pPr>
              <w:spacing w:line="259" w:lineRule="auto"/>
              <w:ind w:right="128"/>
              <w:rPr>
                <w:sz w:val="22"/>
                <w:szCs w:val="22"/>
              </w:rPr>
            </w:pPr>
          </w:p>
          <w:p w14:paraId="2810A85A" w14:textId="77777777" w:rsidR="00CA3916" w:rsidRPr="006E31EE" w:rsidRDefault="00CA3916" w:rsidP="005E3C92">
            <w:pPr>
              <w:rPr>
                <w:sz w:val="22"/>
                <w:szCs w:val="22"/>
              </w:rPr>
            </w:pPr>
            <w:r w:rsidRPr="006E31EE">
              <w:rPr>
                <w:sz w:val="22"/>
                <w:szCs w:val="22"/>
              </w:rPr>
              <w:t>Kombinationen bør anvendes med forsigtighed med hyppig overvågning af nyrerne (se pkt. 4.4).</w:t>
            </w:r>
          </w:p>
        </w:tc>
      </w:tr>
      <w:tr w:rsidR="00CA3916" w:rsidRPr="006E31EE" w14:paraId="2D98D2B6" w14:textId="77777777" w:rsidTr="005E3C92">
        <w:trPr>
          <w:trHeight w:val="8070"/>
        </w:trPr>
        <w:tc>
          <w:tcPr>
            <w:tcW w:w="1667" w:type="pct"/>
          </w:tcPr>
          <w:p w14:paraId="72DDBE9B" w14:textId="77777777" w:rsidR="00CA3916" w:rsidRPr="006E31EE" w:rsidRDefault="00CA3916" w:rsidP="005E3C92">
            <w:pPr>
              <w:rPr>
                <w:color w:val="000000" w:themeColor="text1"/>
                <w:sz w:val="22"/>
                <w:szCs w:val="22"/>
              </w:rPr>
            </w:pPr>
            <w:r w:rsidRPr="006E31EE">
              <w:rPr>
                <w:sz w:val="22"/>
                <w:szCs w:val="22"/>
              </w:rPr>
              <w:lastRenderedPageBreak/>
              <w:t xml:space="preserve">Sofosbuvir/velpatasvir (400 mg/100 mg q.d.) </w:t>
            </w:r>
            <w:r w:rsidRPr="00E70F73">
              <w:rPr>
                <w:sz w:val="22"/>
                <w:szCs w:val="22"/>
              </w:rPr>
              <w:t xml:space="preserve">+ darunavir/ritonavir (800 mg q.d./100 mg q.d.) </w:t>
            </w:r>
            <w:r w:rsidRPr="006E31EE">
              <w:rPr>
                <w:sz w:val="22"/>
                <w:szCs w:val="22"/>
              </w:rPr>
              <w:t>+ emtricitabin/tenofovirdisoproxil (200 mg/245 mg q.d.)</w:t>
            </w:r>
          </w:p>
        </w:tc>
        <w:tc>
          <w:tcPr>
            <w:tcW w:w="1588" w:type="pct"/>
            <w:gridSpan w:val="2"/>
          </w:tcPr>
          <w:p w14:paraId="3FE63BCA" w14:textId="77777777" w:rsidR="00CA3916" w:rsidRPr="006E31EE" w:rsidRDefault="00CA3916" w:rsidP="005E3C92">
            <w:pPr>
              <w:autoSpaceDE w:val="0"/>
              <w:autoSpaceDN w:val="0"/>
              <w:adjustRightInd w:val="0"/>
              <w:rPr>
                <w:sz w:val="22"/>
                <w:szCs w:val="22"/>
              </w:rPr>
            </w:pPr>
            <w:r w:rsidRPr="006E31EE">
              <w:rPr>
                <w:sz w:val="22"/>
                <w:szCs w:val="22"/>
              </w:rPr>
              <w:t>Sofosbuvir:</w:t>
            </w:r>
          </w:p>
          <w:p w14:paraId="7E909B68" w14:textId="77777777" w:rsidR="00CA3916" w:rsidRPr="006E31EE" w:rsidRDefault="00CA3916" w:rsidP="005E3C92">
            <w:pPr>
              <w:autoSpaceDE w:val="0"/>
              <w:autoSpaceDN w:val="0"/>
              <w:adjustRightInd w:val="0"/>
              <w:rPr>
                <w:sz w:val="22"/>
                <w:szCs w:val="22"/>
              </w:rPr>
            </w:pPr>
            <w:r w:rsidRPr="006E31EE">
              <w:rPr>
                <w:sz w:val="22"/>
                <w:szCs w:val="22"/>
              </w:rPr>
              <w:t>AUC: ↓28 %</w:t>
            </w:r>
          </w:p>
          <w:p w14:paraId="0CA6DB9F" w14:textId="77777777" w:rsidR="00CA3916" w:rsidRPr="006E31EE" w:rsidRDefault="00CA3916" w:rsidP="005E3C92">
            <w:pPr>
              <w:autoSpaceDE w:val="0"/>
              <w:autoSpaceDN w:val="0"/>
              <w:adjustRightInd w:val="0"/>
              <w:rPr>
                <w:sz w:val="22"/>
                <w:szCs w:val="22"/>
              </w:rPr>
            </w:pPr>
            <w:r w:rsidRPr="006E31EE">
              <w:rPr>
                <w:sz w:val="22"/>
                <w:szCs w:val="22"/>
              </w:rPr>
              <w:t>Cmax: ↓ 38 %</w:t>
            </w:r>
          </w:p>
          <w:p w14:paraId="78441988" w14:textId="77777777" w:rsidR="00CA3916" w:rsidRPr="006E31EE" w:rsidRDefault="00CA3916" w:rsidP="005E3C92">
            <w:pPr>
              <w:autoSpaceDE w:val="0"/>
              <w:autoSpaceDN w:val="0"/>
              <w:adjustRightInd w:val="0"/>
              <w:rPr>
                <w:sz w:val="22"/>
                <w:szCs w:val="22"/>
              </w:rPr>
            </w:pPr>
          </w:p>
          <w:p w14:paraId="67946E24" w14:textId="77777777" w:rsidR="00CA3916" w:rsidRPr="006E31EE" w:rsidRDefault="00CA3916" w:rsidP="005E3C92">
            <w:pPr>
              <w:autoSpaceDE w:val="0"/>
              <w:autoSpaceDN w:val="0"/>
              <w:adjustRightInd w:val="0"/>
              <w:rPr>
                <w:sz w:val="22"/>
                <w:szCs w:val="22"/>
              </w:rPr>
            </w:pPr>
            <w:r w:rsidRPr="006E31EE">
              <w:rPr>
                <w:sz w:val="22"/>
                <w:szCs w:val="22"/>
              </w:rPr>
              <w:t>GS-331007</w:t>
            </w:r>
            <w:r w:rsidRPr="006E31EE">
              <w:rPr>
                <w:sz w:val="22"/>
                <w:szCs w:val="22"/>
                <w:vertAlign w:val="superscript"/>
              </w:rPr>
              <w:t>2</w:t>
            </w:r>
            <w:r w:rsidRPr="006E31EE">
              <w:rPr>
                <w:sz w:val="22"/>
                <w:szCs w:val="22"/>
              </w:rPr>
              <w:t>:</w:t>
            </w:r>
          </w:p>
          <w:p w14:paraId="44523F1C" w14:textId="77777777" w:rsidR="00CA3916" w:rsidRPr="006E31EE" w:rsidRDefault="00CA3916" w:rsidP="005E3C92">
            <w:pPr>
              <w:autoSpaceDE w:val="0"/>
              <w:autoSpaceDN w:val="0"/>
              <w:adjustRightInd w:val="0"/>
              <w:rPr>
                <w:sz w:val="22"/>
                <w:szCs w:val="22"/>
              </w:rPr>
            </w:pPr>
            <w:r w:rsidRPr="006E31EE">
              <w:rPr>
                <w:sz w:val="22"/>
                <w:szCs w:val="22"/>
              </w:rPr>
              <w:t>AUC: ↔</w:t>
            </w:r>
          </w:p>
          <w:p w14:paraId="224BDB75" w14:textId="77777777" w:rsidR="00CA3916" w:rsidRPr="006E31EE" w:rsidRDefault="00CA3916" w:rsidP="005E3C92">
            <w:pPr>
              <w:autoSpaceDE w:val="0"/>
              <w:autoSpaceDN w:val="0"/>
              <w:adjustRightInd w:val="0"/>
              <w:rPr>
                <w:sz w:val="22"/>
                <w:szCs w:val="22"/>
              </w:rPr>
            </w:pPr>
            <w:r w:rsidRPr="006E31EE">
              <w:rPr>
                <w:sz w:val="22"/>
                <w:szCs w:val="22"/>
              </w:rPr>
              <w:t>Cmax: ↔</w:t>
            </w:r>
          </w:p>
          <w:p w14:paraId="532ED984" w14:textId="77777777" w:rsidR="00CA3916" w:rsidRPr="006E31EE" w:rsidRDefault="00CA3916" w:rsidP="005E3C92">
            <w:pPr>
              <w:autoSpaceDE w:val="0"/>
              <w:autoSpaceDN w:val="0"/>
              <w:adjustRightInd w:val="0"/>
              <w:rPr>
                <w:sz w:val="22"/>
                <w:szCs w:val="22"/>
              </w:rPr>
            </w:pPr>
            <w:r w:rsidRPr="006E31EE">
              <w:rPr>
                <w:sz w:val="22"/>
                <w:szCs w:val="22"/>
              </w:rPr>
              <w:t>Cmin: ↔</w:t>
            </w:r>
          </w:p>
          <w:p w14:paraId="475B77C4" w14:textId="77777777" w:rsidR="00CA3916" w:rsidRPr="006E31EE" w:rsidRDefault="00CA3916" w:rsidP="005E3C92">
            <w:pPr>
              <w:autoSpaceDE w:val="0"/>
              <w:autoSpaceDN w:val="0"/>
              <w:adjustRightInd w:val="0"/>
              <w:rPr>
                <w:sz w:val="22"/>
                <w:szCs w:val="22"/>
              </w:rPr>
            </w:pPr>
          </w:p>
          <w:p w14:paraId="1B0E79BD" w14:textId="77777777" w:rsidR="00CA3916" w:rsidRPr="006E31EE" w:rsidRDefault="00CA3916" w:rsidP="005E3C92">
            <w:pPr>
              <w:autoSpaceDE w:val="0"/>
              <w:autoSpaceDN w:val="0"/>
              <w:adjustRightInd w:val="0"/>
              <w:rPr>
                <w:sz w:val="22"/>
                <w:szCs w:val="22"/>
              </w:rPr>
            </w:pPr>
            <w:r w:rsidRPr="006E31EE">
              <w:rPr>
                <w:sz w:val="22"/>
                <w:szCs w:val="22"/>
              </w:rPr>
              <w:t>Velpatasvir:</w:t>
            </w:r>
          </w:p>
          <w:p w14:paraId="156111D8" w14:textId="77777777" w:rsidR="00CA3916" w:rsidRPr="006E31EE" w:rsidRDefault="00CA3916" w:rsidP="005E3C92">
            <w:pPr>
              <w:autoSpaceDE w:val="0"/>
              <w:autoSpaceDN w:val="0"/>
              <w:adjustRightInd w:val="0"/>
              <w:rPr>
                <w:sz w:val="22"/>
                <w:szCs w:val="22"/>
              </w:rPr>
            </w:pPr>
            <w:r w:rsidRPr="006E31EE">
              <w:rPr>
                <w:sz w:val="22"/>
                <w:szCs w:val="22"/>
              </w:rPr>
              <w:t>AUC: ↔</w:t>
            </w:r>
          </w:p>
          <w:p w14:paraId="47F63833" w14:textId="77777777" w:rsidR="00CA3916" w:rsidRPr="006E31EE" w:rsidRDefault="00CA3916" w:rsidP="005E3C92">
            <w:pPr>
              <w:autoSpaceDE w:val="0"/>
              <w:autoSpaceDN w:val="0"/>
              <w:adjustRightInd w:val="0"/>
              <w:rPr>
                <w:sz w:val="22"/>
                <w:szCs w:val="22"/>
              </w:rPr>
            </w:pPr>
            <w:r w:rsidRPr="006E31EE">
              <w:rPr>
                <w:sz w:val="22"/>
                <w:szCs w:val="22"/>
              </w:rPr>
              <w:t>Cmax: ↓ 24 %</w:t>
            </w:r>
          </w:p>
          <w:p w14:paraId="4BD6E73A" w14:textId="77777777" w:rsidR="00CA3916" w:rsidRPr="006E31EE" w:rsidRDefault="00CA3916" w:rsidP="005E3C92">
            <w:pPr>
              <w:autoSpaceDE w:val="0"/>
              <w:autoSpaceDN w:val="0"/>
              <w:adjustRightInd w:val="0"/>
              <w:rPr>
                <w:sz w:val="22"/>
                <w:szCs w:val="22"/>
              </w:rPr>
            </w:pPr>
            <w:r w:rsidRPr="006E31EE">
              <w:rPr>
                <w:sz w:val="22"/>
                <w:szCs w:val="22"/>
              </w:rPr>
              <w:t>Cmin: ↔</w:t>
            </w:r>
          </w:p>
          <w:p w14:paraId="0E7168BA" w14:textId="77777777" w:rsidR="00CA3916" w:rsidRPr="006E31EE" w:rsidRDefault="00CA3916" w:rsidP="005E3C92">
            <w:pPr>
              <w:autoSpaceDE w:val="0"/>
              <w:autoSpaceDN w:val="0"/>
              <w:adjustRightInd w:val="0"/>
              <w:rPr>
                <w:sz w:val="22"/>
                <w:szCs w:val="22"/>
              </w:rPr>
            </w:pPr>
          </w:p>
          <w:p w14:paraId="2FCB5414" w14:textId="77777777" w:rsidR="00CA3916" w:rsidRPr="006E31EE" w:rsidRDefault="00CA3916" w:rsidP="005E3C92">
            <w:pPr>
              <w:autoSpaceDE w:val="0"/>
              <w:autoSpaceDN w:val="0"/>
              <w:adjustRightInd w:val="0"/>
              <w:rPr>
                <w:sz w:val="22"/>
                <w:szCs w:val="22"/>
              </w:rPr>
            </w:pPr>
            <w:r w:rsidRPr="006E31EE">
              <w:rPr>
                <w:sz w:val="22"/>
                <w:szCs w:val="22"/>
              </w:rPr>
              <w:t>Darunavir:</w:t>
            </w:r>
          </w:p>
          <w:p w14:paraId="2665590F" w14:textId="77777777" w:rsidR="00CA3916" w:rsidRPr="006E31EE" w:rsidRDefault="00CA3916" w:rsidP="005E3C92">
            <w:pPr>
              <w:autoSpaceDE w:val="0"/>
              <w:autoSpaceDN w:val="0"/>
              <w:adjustRightInd w:val="0"/>
              <w:rPr>
                <w:sz w:val="22"/>
                <w:szCs w:val="22"/>
              </w:rPr>
            </w:pPr>
            <w:r w:rsidRPr="006E31EE">
              <w:rPr>
                <w:sz w:val="22"/>
                <w:szCs w:val="22"/>
              </w:rPr>
              <w:t>AUC: ↔</w:t>
            </w:r>
          </w:p>
          <w:p w14:paraId="19166D77" w14:textId="77777777" w:rsidR="00CA3916" w:rsidRPr="006E31EE" w:rsidRDefault="00CA3916" w:rsidP="005E3C92">
            <w:pPr>
              <w:autoSpaceDE w:val="0"/>
              <w:autoSpaceDN w:val="0"/>
              <w:adjustRightInd w:val="0"/>
              <w:rPr>
                <w:sz w:val="22"/>
                <w:szCs w:val="22"/>
              </w:rPr>
            </w:pPr>
            <w:r w:rsidRPr="006E31EE">
              <w:rPr>
                <w:sz w:val="22"/>
                <w:szCs w:val="22"/>
              </w:rPr>
              <w:t>Cmax: ↔</w:t>
            </w:r>
          </w:p>
          <w:p w14:paraId="0C723FFB" w14:textId="77777777" w:rsidR="00CA3916" w:rsidRPr="006E31EE" w:rsidRDefault="00CA3916" w:rsidP="005E3C92">
            <w:pPr>
              <w:autoSpaceDE w:val="0"/>
              <w:autoSpaceDN w:val="0"/>
              <w:adjustRightInd w:val="0"/>
              <w:rPr>
                <w:sz w:val="22"/>
                <w:szCs w:val="22"/>
              </w:rPr>
            </w:pPr>
            <w:r w:rsidRPr="006E31EE">
              <w:rPr>
                <w:sz w:val="22"/>
                <w:szCs w:val="22"/>
              </w:rPr>
              <w:t>Cmin: ↔</w:t>
            </w:r>
          </w:p>
          <w:p w14:paraId="160D3A2E" w14:textId="77777777" w:rsidR="00CA3916" w:rsidRPr="006E31EE" w:rsidRDefault="00CA3916" w:rsidP="005E3C92">
            <w:pPr>
              <w:autoSpaceDE w:val="0"/>
              <w:autoSpaceDN w:val="0"/>
              <w:adjustRightInd w:val="0"/>
              <w:rPr>
                <w:sz w:val="22"/>
                <w:szCs w:val="22"/>
              </w:rPr>
            </w:pPr>
          </w:p>
          <w:p w14:paraId="147DC0D1" w14:textId="77777777" w:rsidR="00CA3916" w:rsidRPr="00E70F73" w:rsidRDefault="00CA3916" w:rsidP="005E3C92">
            <w:pPr>
              <w:autoSpaceDE w:val="0"/>
              <w:autoSpaceDN w:val="0"/>
              <w:adjustRightInd w:val="0"/>
              <w:rPr>
                <w:sz w:val="22"/>
                <w:szCs w:val="22"/>
              </w:rPr>
            </w:pPr>
            <w:r w:rsidRPr="00E70F73">
              <w:rPr>
                <w:sz w:val="22"/>
                <w:szCs w:val="22"/>
              </w:rPr>
              <w:t>Ritonavir:</w:t>
            </w:r>
          </w:p>
          <w:p w14:paraId="375ADE0E" w14:textId="77777777" w:rsidR="00CA3916" w:rsidRPr="00E70F73" w:rsidRDefault="00CA3916" w:rsidP="005E3C92">
            <w:pPr>
              <w:autoSpaceDE w:val="0"/>
              <w:autoSpaceDN w:val="0"/>
              <w:adjustRightInd w:val="0"/>
              <w:rPr>
                <w:sz w:val="22"/>
                <w:szCs w:val="22"/>
              </w:rPr>
            </w:pPr>
            <w:r w:rsidRPr="00E70F73">
              <w:rPr>
                <w:sz w:val="22"/>
                <w:szCs w:val="22"/>
              </w:rPr>
              <w:t>AUC: ↔</w:t>
            </w:r>
          </w:p>
          <w:p w14:paraId="3405878B" w14:textId="77777777" w:rsidR="00CA3916" w:rsidRPr="00E70F73" w:rsidRDefault="00CA3916" w:rsidP="005E3C92">
            <w:pPr>
              <w:autoSpaceDE w:val="0"/>
              <w:autoSpaceDN w:val="0"/>
              <w:adjustRightInd w:val="0"/>
              <w:rPr>
                <w:sz w:val="22"/>
                <w:szCs w:val="22"/>
              </w:rPr>
            </w:pPr>
            <w:r w:rsidRPr="00E70F73">
              <w:rPr>
                <w:sz w:val="22"/>
                <w:szCs w:val="22"/>
              </w:rPr>
              <w:t>Cmax: ↔</w:t>
            </w:r>
          </w:p>
          <w:p w14:paraId="532DABC6" w14:textId="77777777" w:rsidR="00CA3916" w:rsidRPr="00E70F73" w:rsidRDefault="00CA3916" w:rsidP="005E3C92">
            <w:pPr>
              <w:autoSpaceDE w:val="0"/>
              <w:autoSpaceDN w:val="0"/>
              <w:adjustRightInd w:val="0"/>
              <w:rPr>
                <w:sz w:val="22"/>
                <w:szCs w:val="22"/>
              </w:rPr>
            </w:pPr>
            <w:r w:rsidRPr="00E70F73">
              <w:rPr>
                <w:sz w:val="22"/>
                <w:szCs w:val="22"/>
              </w:rPr>
              <w:t>Cmin: ↔</w:t>
            </w:r>
          </w:p>
          <w:p w14:paraId="1A23A153" w14:textId="77777777" w:rsidR="00CA3916" w:rsidRPr="00E70F73" w:rsidRDefault="00CA3916" w:rsidP="005E3C92">
            <w:pPr>
              <w:autoSpaceDE w:val="0"/>
              <w:autoSpaceDN w:val="0"/>
              <w:adjustRightInd w:val="0"/>
              <w:rPr>
                <w:sz w:val="22"/>
                <w:szCs w:val="22"/>
              </w:rPr>
            </w:pPr>
          </w:p>
          <w:p w14:paraId="63F0B12F" w14:textId="77777777" w:rsidR="00CA3916" w:rsidRPr="00E70F73" w:rsidRDefault="00CA3916" w:rsidP="005E3C92">
            <w:pPr>
              <w:autoSpaceDE w:val="0"/>
              <w:autoSpaceDN w:val="0"/>
              <w:adjustRightInd w:val="0"/>
              <w:rPr>
                <w:sz w:val="22"/>
                <w:szCs w:val="22"/>
              </w:rPr>
            </w:pPr>
            <w:r w:rsidRPr="00E70F73">
              <w:rPr>
                <w:sz w:val="22"/>
                <w:szCs w:val="22"/>
              </w:rPr>
              <w:t>Emtricitabin:</w:t>
            </w:r>
          </w:p>
          <w:p w14:paraId="23CA5595" w14:textId="77777777" w:rsidR="00CA3916" w:rsidRPr="00E70F73" w:rsidRDefault="00CA3916" w:rsidP="005E3C92">
            <w:pPr>
              <w:autoSpaceDE w:val="0"/>
              <w:autoSpaceDN w:val="0"/>
              <w:adjustRightInd w:val="0"/>
              <w:rPr>
                <w:sz w:val="22"/>
                <w:szCs w:val="22"/>
              </w:rPr>
            </w:pPr>
            <w:r w:rsidRPr="00E70F73">
              <w:rPr>
                <w:sz w:val="22"/>
                <w:szCs w:val="22"/>
              </w:rPr>
              <w:t>AUC: ↔</w:t>
            </w:r>
          </w:p>
          <w:p w14:paraId="2441F21F" w14:textId="77777777" w:rsidR="00CA3916" w:rsidRPr="00E70F73" w:rsidRDefault="00CA3916" w:rsidP="005E3C92">
            <w:pPr>
              <w:autoSpaceDE w:val="0"/>
              <w:autoSpaceDN w:val="0"/>
              <w:adjustRightInd w:val="0"/>
              <w:rPr>
                <w:sz w:val="22"/>
                <w:szCs w:val="22"/>
              </w:rPr>
            </w:pPr>
            <w:r w:rsidRPr="00E70F73">
              <w:rPr>
                <w:sz w:val="22"/>
                <w:szCs w:val="22"/>
              </w:rPr>
              <w:t>Cmax: ↔</w:t>
            </w:r>
          </w:p>
          <w:p w14:paraId="10F2638F" w14:textId="77777777" w:rsidR="00CA3916" w:rsidRPr="00E70F73" w:rsidRDefault="00CA3916" w:rsidP="005E3C92">
            <w:pPr>
              <w:autoSpaceDE w:val="0"/>
              <w:autoSpaceDN w:val="0"/>
              <w:adjustRightInd w:val="0"/>
              <w:rPr>
                <w:sz w:val="22"/>
                <w:szCs w:val="22"/>
              </w:rPr>
            </w:pPr>
            <w:r w:rsidRPr="00E70F73">
              <w:rPr>
                <w:sz w:val="22"/>
                <w:szCs w:val="22"/>
              </w:rPr>
              <w:t>Cmin: ↔</w:t>
            </w:r>
          </w:p>
          <w:p w14:paraId="3DE225B0" w14:textId="77777777" w:rsidR="00CA3916" w:rsidRPr="00E70F73" w:rsidRDefault="00CA3916" w:rsidP="005E3C92">
            <w:pPr>
              <w:autoSpaceDE w:val="0"/>
              <w:autoSpaceDN w:val="0"/>
              <w:adjustRightInd w:val="0"/>
              <w:rPr>
                <w:sz w:val="22"/>
                <w:szCs w:val="22"/>
              </w:rPr>
            </w:pPr>
          </w:p>
          <w:p w14:paraId="27CCA861" w14:textId="77777777" w:rsidR="00CA3916" w:rsidRPr="00E70F73" w:rsidRDefault="00CA3916" w:rsidP="005E3C92">
            <w:pPr>
              <w:autoSpaceDE w:val="0"/>
              <w:autoSpaceDN w:val="0"/>
              <w:adjustRightInd w:val="0"/>
              <w:rPr>
                <w:sz w:val="22"/>
                <w:szCs w:val="22"/>
              </w:rPr>
            </w:pPr>
            <w:r w:rsidRPr="00E70F73">
              <w:rPr>
                <w:sz w:val="22"/>
                <w:szCs w:val="22"/>
              </w:rPr>
              <w:t>Tenofovir:</w:t>
            </w:r>
          </w:p>
          <w:p w14:paraId="71646A1A" w14:textId="77777777" w:rsidR="00CA3916" w:rsidRPr="00E70F73" w:rsidRDefault="00CA3916" w:rsidP="005E3C92">
            <w:pPr>
              <w:autoSpaceDE w:val="0"/>
              <w:autoSpaceDN w:val="0"/>
              <w:adjustRightInd w:val="0"/>
              <w:rPr>
                <w:sz w:val="22"/>
                <w:szCs w:val="22"/>
              </w:rPr>
            </w:pPr>
            <w:r w:rsidRPr="00E70F73">
              <w:rPr>
                <w:sz w:val="22"/>
                <w:szCs w:val="22"/>
              </w:rPr>
              <w:t>AUC: ↑ 39 %</w:t>
            </w:r>
          </w:p>
          <w:p w14:paraId="3447519F" w14:textId="77777777" w:rsidR="00CA3916" w:rsidRPr="006E31EE" w:rsidRDefault="00CA3916" w:rsidP="005E3C92">
            <w:pPr>
              <w:autoSpaceDE w:val="0"/>
              <w:autoSpaceDN w:val="0"/>
              <w:adjustRightInd w:val="0"/>
              <w:rPr>
                <w:sz w:val="22"/>
                <w:szCs w:val="22"/>
              </w:rPr>
            </w:pPr>
            <w:r w:rsidRPr="006E31EE">
              <w:rPr>
                <w:sz w:val="22"/>
                <w:szCs w:val="22"/>
              </w:rPr>
              <w:t>Cmax: ↑ 55 %</w:t>
            </w:r>
          </w:p>
          <w:p w14:paraId="2F130313" w14:textId="77777777" w:rsidR="00CA3916" w:rsidRPr="006E31EE" w:rsidRDefault="00CA3916" w:rsidP="005E3C92">
            <w:pPr>
              <w:rPr>
                <w:color w:val="000000" w:themeColor="text1"/>
                <w:sz w:val="22"/>
                <w:szCs w:val="22"/>
              </w:rPr>
            </w:pPr>
            <w:r w:rsidRPr="006E31EE">
              <w:rPr>
                <w:sz w:val="22"/>
                <w:szCs w:val="22"/>
              </w:rPr>
              <w:t>Cmin: ↑ 52 %</w:t>
            </w:r>
          </w:p>
        </w:tc>
        <w:tc>
          <w:tcPr>
            <w:tcW w:w="1745" w:type="pct"/>
          </w:tcPr>
          <w:p w14:paraId="0769C03B" w14:textId="77777777" w:rsidR="00CA3916" w:rsidRPr="006E31EE" w:rsidRDefault="00CA3916" w:rsidP="005E3C92">
            <w:pPr>
              <w:autoSpaceDE w:val="0"/>
              <w:autoSpaceDN w:val="0"/>
              <w:adjustRightInd w:val="0"/>
              <w:rPr>
                <w:sz w:val="22"/>
                <w:szCs w:val="22"/>
              </w:rPr>
            </w:pPr>
            <w:r w:rsidRPr="006E31EE">
              <w:rPr>
                <w:sz w:val="22"/>
                <w:szCs w:val="22"/>
              </w:rPr>
              <w:t>Øgede plasmakoncentrationer af tenofovir som følge af samtidig administration af tenofovirdisoproxil, sofosbuvir/ velpatasvir og darunavir/ritonavir kan øge bivirkninger relateret til tenofovirdisoproxil, herunder nyrelidelser. Sikkerheden af tenofovirdisoproxil, når det bruges med sofosbuvir/velpatasvir og en farmakokinetisk forstærker (f.eks. ritonavir eller cobicistat), er ikke fastslået.</w:t>
            </w:r>
          </w:p>
          <w:p w14:paraId="7F00401E" w14:textId="77777777" w:rsidR="00CA3916" w:rsidRPr="006E31EE" w:rsidRDefault="00CA3916" w:rsidP="005E3C92">
            <w:pPr>
              <w:autoSpaceDE w:val="0"/>
              <w:autoSpaceDN w:val="0"/>
              <w:adjustRightInd w:val="0"/>
              <w:rPr>
                <w:sz w:val="22"/>
                <w:szCs w:val="22"/>
              </w:rPr>
            </w:pPr>
          </w:p>
          <w:p w14:paraId="47A8B0F0" w14:textId="77777777" w:rsidR="00CA3916" w:rsidRPr="006E31EE" w:rsidRDefault="00CA3916" w:rsidP="005E3C92">
            <w:pPr>
              <w:rPr>
                <w:sz w:val="22"/>
                <w:szCs w:val="22"/>
              </w:rPr>
            </w:pPr>
            <w:r w:rsidRPr="006E31EE">
              <w:rPr>
                <w:sz w:val="22"/>
                <w:szCs w:val="22"/>
              </w:rPr>
              <w:t>Kombinationen bør anvendes med forsigtighed med hyppig overvågning af nyrerne (se pkt. 4.4).</w:t>
            </w:r>
          </w:p>
        </w:tc>
      </w:tr>
      <w:tr w:rsidR="00CA3916" w:rsidRPr="006E31EE" w14:paraId="15A4F5E8" w14:textId="77777777" w:rsidTr="005E3C92">
        <w:trPr>
          <w:trHeight w:val="2684"/>
        </w:trPr>
        <w:tc>
          <w:tcPr>
            <w:tcW w:w="1667" w:type="pct"/>
          </w:tcPr>
          <w:p w14:paraId="5AD85CB1" w14:textId="77777777" w:rsidR="00CA3916" w:rsidRPr="00E70F73" w:rsidRDefault="00CA3916" w:rsidP="005E3C92">
            <w:pPr>
              <w:autoSpaceDE w:val="0"/>
              <w:autoSpaceDN w:val="0"/>
              <w:adjustRightInd w:val="0"/>
              <w:rPr>
                <w:sz w:val="22"/>
                <w:szCs w:val="22"/>
              </w:rPr>
            </w:pPr>
            <w:r w:rsidRPr="006E31EE">
              <w:rPr>
                <w:sz w:val="22"/>
                <w:szCs w:val="22"/>
              </w:rPr>
              <w:t xml:space="preserve">Sofosbuvir/velpatasvir (400 mg/100 mg q.d.) </w:t>
            </w:r>
            <w:r w:rsidRPr="00E70F73">
              <w:rPr>
                <w:sz w:val="22"/>
                <w:szCs w:val="22"/>
              </w:rPr>
              <w:t>+ lopinavir/ritonavir</w:t>
            </w:r>
          </w:p>
          <w:p w14:paraId="3968E491" w14:textId="77777777" w:rsidR="00CA3916" w:rsidRPr="00E70F73" w:rsidRDefault="00CA3916" w:rsidP="005E3C92">
            <w:pPr>
              <w:rPr>
                <w:color w:val="000000" w:themeColor="text1"/>
                <w:sz w:val="22"/>
                <w:szCs w:val="22"/>
              </w:rPr>
            </w:pPr>
            <w:r w:rsidRPr="00E70F73">
              <w:rPr>
                <w:sz w:val="22"/>
                <w:szCs w:val="22"/>
              </w:rPr>
              <w:t>(800 mg/200 mg q.d.) + emtricitabin/tenofovirdisoproxil (200 mg/245 mg q.d.)</w:t>
            </w:r>
          </w:p>
        </w:tc>
        <w:tc>
          <w:tcPr>
            <w:tcW w:w="1588" w:type="pct"/>
            <w:gridSpan w:val="2"/>
          </w:tcPr>
          <w:p w14:paraId="08156898" w14:textId="77777777" w:rsidR="00CA3916" w:rsidRPr="00E70F73" w:rsidRDefault="00CA3916" w:rsidP="005E3C92">
            <w:pPr>
              <w:autoSpaceDE w:val="0"/>
              <w:autoSpaceDN w:val="0"/>
              <w:adjustRightInd w:val="0"/>
              <w:rPr>
                <w:sz w:val="22"/>
                <w:szCs w:val="22"/>
              </w:rPr>
            </w:pPr>
            <w:r w:rsidRPr="00E70F73">
              <w:rPr>
                <w:sz w:val="22"/>
                <w:szCs w:val="22"/>
              </w:rPr>
              <w:t>Sofosbuvir:</w:t>
            </w:r>
          </w:p>
          <w:p w14:paraId="385A417F" w14:textId="77777777" w:rsidR="00CA3916" w:rsidRPr="00E70F73" w:rsidRDefault="00CA3916" w:rsidP="005E3C92">
            <w:pPr>
              <w:autoSpaceDE w:val="0"/>
              <w:autoSpaceDN w:val="0"/>
              <w:adjustRightInd w:val="0"/>
              <w:rPr>
                <w:sz w:val="22"/>
                <w:szCs w:val="22"/>
              </w:rPr>
            </w:pPr>
            <w:r w:rsidRPr="00E70F73">
              <w:rPr>
                <w:sz w:val="22"/>
                <w:szCs w:val="22"/>
              </w:rPr>
              <w:t>AUC: ↓ 29 %</w:t>
            </w:r>
          </w:p>
          <w:p w14:paraId="798F7A67" w14:textId="77777777" w:rsidR="00CA3916" w:rsidRPr="00E70F73" w:rsidRDefault="00CA3916" w:rsidP="005E3C92">
            <w:pPr>
              <w:autoSpaceDE w:val="0"/>
              <w:autoSpaceDN w:val="0"/>
              <w:adjustRightInd w:val="0"/>
              <w:rPr>
                <w:sz w:val="22"/>
                <w:szCs w:val="22"/>
              </w:rPr>
            </w:pPr>
            <w:r w:rsidRPr="00E70F73">
              <w:rPr>
                <w:sz w:val="22"/>
                <w:szCs w:val="22"/>
              </w:rPr>
              <w:t>Cmax: ↓ 41 %</w:t>
            </w:r>
          </w:p>
          <w:p w14:paraId="1057B662" w14:textId="77777777" w:rsidR="00CA3916" w:rsidRPr="00E70F73" w:rsidRDefault="00CA3916" w:rsidP="005E3C92">
            <w:pPr>
              <w:autoSpaceDE w:val="0"/>
              <w:autoSpaceDN w:val="0"/>
              <w:adjustRightInd w:val="0"/>
              <w:rPr>
                <w:sz w:val="22"/>
                <w:szCs w:val="22"/>
              </w:rPr>
            </w:pPr>
          </w:p>
          <w:p w14:paraId="0FFC95E9" w14:textId="77777777" w:rsidR="00CA3916" w:rsidRPr="00E70F73" w:rsidRDefault="00CA3916" w:rsidP="005E3C92">
            <w:pPr>
              <w:autoSpaceDE w:val="0"/>
              <w:autoSpaceDN w:val="0"/>
              <w:adjustRightInd w:val="0"/>
              <w:rPr>
                <w:sz w:val="22"/>
                <w:szCs w:val="22"/>
              </w:rPr>
            </w:pPr>
            <w:r w:rsidRPr="00E70F73">
              <w:rPr>
                <w:sz w:val="22"/>
                <w:szCs w:val="22"/>
              </w:rPr>
              <w:t>GS-331007</w:t>
            </w:r>
            <w:r w:rsidRPr="00E70F73">
              <w:rPr>
                <w:sz w:val="22"/>
                <w:szCs w:val="22"/>
                <w:vertAlign w:val="superscript"/>
              </w:rPr>
              <w:t>2</w:t>
            </w:r>
            <w:r w:rsidRPr="00E70F73">
              <w:rPr>
                <w:sz w:val="22"/>
                <w:szCs w:val="22"/>
              </w:rPr>
              <w:t>:</w:t>
            </w:r>
          </w:p>
          <w:p w14:paraId="680FC9FC" w14:textId="77777777" w:rsidR="00CA3916" w:rsidRPr="00E70F73" w:rsidRDefault="00CA3916" w:rsidP="005E3C92">
            <w:pPr>
              <w:autoSpaceDE w:val="0"/>
              <w:autoSpaceDN w:val="0"/>
              <w:adjustRightInd w:val="0"/>
              <w:rPr>
                <w:sz w:val="22"/>
                <w:szCs w:val="22"/>
              </w:rPr>
            </w:pPr>
            <w:r w:rsidRPr="00E70F73">
              <w:rPr>
                <w:sz w:val="22"/>
                <w:szCs w:val="22"/>
              </w:rPr>
              <w:t>AUC: ↔</w:t>
            </w:r>
          </w:p>
          <w:p w14:paraId="40C4A72E" w14:textId="77777777" w:rsidR="00CA3916" w:rsidRPr="00E70F73" w:rsidRDefault="00CA3916" w:rsidP="005E3C92">
            <w:pPr>
              <w:autoSpaceDE w:val="0"/>
              <w:autoSpaceDN w:val="0"/>
              <w:adjustRightInd w:val="0"/>
              <w:rPr>
                <w:sz w:val="22"/>
                <w:szCs w:val="22"/>
              </w:rPr>
            </w:pPr>
            <w:r w:rsidRPr="00E70F73">
              <w:rPr>
                <w:sz w:val="22"/>
                <w:szCs w:val="22"/>
              </w:rPr>
              <w:t>Cmax: ↔</w:t>
            </w:r>
          </w:p>
          <w:p w14:paraId="534E795C" w14:textId="77777777" w:rsidR="00CA3916" w:rsidRPr="00E70F73" w:rsidRDefault="00CA3916" w:rsidP="005E3C92">
            <w:pPr>
              <w:autoSpaceDE w:val="0"/>
              <w:autoSpaceDN w:val="0"/>
              <w:adjustRightInd w:val="0"/>
              <w:rPr>
                <w:sz w:val="22"/>
                <w:szCs w:val="22"/>
              </w:rPr>
            </w:pPr>
            <w:r w:rsidRPr="00E70F73">
              <w:rPr>
                <w:sz w:val="22"/>
                <w:szCs w:val="22"/>
              </w:rPr>
              <w:t>Cmin: ↔</w:t>
            </w:r>
          </w:p>
          <w:p w14:paraId="04929C9C" w14:textId="77777777" w:rsidR="00CA3916" w:rsidRPr="00E70F73" w:rsidRDefault="00CA3916" w:rsidP="005E3C92">
            <w:pPr>
              <w:autoSpaceDE w:val="0"/>
              <w:autoSpaceDN w:val="0"/>
              <w:adjustRightInd w:val="0"/>
              <w:rPr>
                <w:sz w:val="22"/>
                <w:szCs w:val="22"/>
              </w:rPr>
            </w:pPr>
          </w:p>
          <w:p w14:paraId="078ECC84" w14:textId="77777777" w:rsidR="00CA3916" w:rsidRPr="00E70F73" w:rsidRDefault="00CA3916" w:rsidP="005E3C92">
            <w:pPr>
              <w:autoSpaceDE w:val="0"/>
              <w:autoSpaceDN w:val="0"/>
              <w:adjustRightInd w:val="0"/>
              <w:rPr>
                <w:sz w:val="22"/>
                <w:szCs w:val="22"/>
              </w:rPr>
            </w:pPr>
            <w:r w:rsidRPr="00E70F73">
              <w:rPr>
                <w:sz w:val="22"/>
                <w:szCs w:val="22"/>
              </w:rPr>
              <w:t>Velpatasvir:</w:t>
            </w:r>
          </w:p>
          <w:p w14:paraId="0C488E24" w14:textId="77777777" w:rsidR="00CA3916" w:rsidRPr="00E70F73" w:rsidRDefault="00CA3916" w:rsidP="005E3C92">
            <w:pPr>
              <w:autoSpaceDE w:val="0"/>
              <w:autoSpaceDN w:val="0"/>
              <w:adjustRightInd w:val="0"/>
              <w:rPr>
                <w:sz w:val="22"/>
                <w:szCs w:val="22"/>
              </w:rPr>
            </w:pPr>
            <w:r w:rsidRPr="00E70F73">
              <w:rPr>
                <w:sz w:val="22"/>
                <w:szCs w:val="22"/>
              </w:rPr>
              <w:t>AUC: ↔</w:t>
            </w:r>
          </w:p>
          <w:p w14:paraId="5681B8AB" w14:textId="77777777" w:rsidR="00CA3916" w:rsidRPr="00E70F73" w:rsidRDefault="00CA3916" w:rsidP="005E3C92">
            <w:pPr>
              <w:autoSpaceDE w:val="0"/>
              <w:autoSpaceDN w:val="0"/>
              <w:adjustRightInd w:val="0"/>
              <w:rPr>
                <w:sz w:val="22"/>
                <w:szCs w:val="22"/>
              </w:rPr>
            </w:pPr>
            <w:r w:rsidRPr="00E70F73">
              <w:rPr>
                <w:sz w:val="22"/>
                <w:szCs w:val="22"/>
              </w:rPr>
              <w:t>Cmax: ↓ 30 %</w:t>
            </w:r>
          </w:p>
          <w:p w14:paraId="49965DCC" w14:textId="77777777" w:rsidR="00CA3916" w:rsidRPr="00E70F73" w:rsidRDefault="00CA3916" w:rsidP="005E3C92">
            <w:pPr>
              <w:autoSpaceDE w:val="0"/>
              <w:autoSpaceDN w:val="0"/>
              <w:adjustRightInd w:val="0"/>
              <w:rPr>
                <w:sz w:val="22"/>
                <w:szCs w:val="22"/>
              </w:rPr>
            </w:pPr>
            <w:r w:rsidRPr="00E70F73">
              <w:rPr>
                <w:sz w:val="22"/>
                <w:szCs w:val="22"/>
              </w:rPr>
              <w:t>Cmin: ↑ 63 %</w:t>
            </w:r>
          </w:p>
          <w:p w14:paraId="2899479B" w14:textId="77777777" w:rsidR="00CA3916" w:rsidRPr="00E70F73" w:rsidRDefault="00CA3916" w:rsidP="005E3C92">
            <w:pPr>
              <w:autoSpaceDE w:val="0"/>
              <w:autoSpaceDN w:val="0"/>
              <w:adjustRightInd w:val="0"/>
              <w:rPr>
                <w:sz w:val="22"/>
                <w:szCs w:val="22"/>
              </w:rPr>
            </w:pPr>
          </w:p>
          <w:p w14:paraId="1B5CDFC0" w14:textId="77777777" w:rsidR="00CA3916" w:rsidRPr="00E70F73" w:rsidRDefault="00CA3916" w:rsidP="005E3C92">
            <w:pPr>
              <w:autoSpaceDE w:val="0"/>
              <w:autoSpaceDN w:val="0"/>
              <w:adjustRightInd w:val="0"/>
              <w:rPr>
                <w:sz w:val="22"/>
                <w:szCs w:val="22"/>
              </w:rPr>
            </w:pPr>
            <w:r w:rsidRPr="00E70F73">
              <w:rPr>
                <w:sz w:val="22"/>
                <w:szCs w:val="22"/>
              </w:rPr>
              <w:t>Lopinavir:</w:t>
            </w:r>
          </w:p>
          <w:p w14:paraId="55008571" w14:textId="77777777" w:rsidR="00CA3916" w:rsidRPr="00E70F73" w:rsidRDefault="00CA3916" w:rsidP="005E3C92">
            <w:pPr>
              <w:autoSpaceDE w:val="0"/>
              <w:autoSpaceDN w:val="0"/>
              <w:adjustRightInd w:val="0"/>
              <w:rPr>
                <w:sz w:val="22"/>
                <w:szCs w:val="22"/>
              </w:rPr>
            </w:pPr>
            <w:r w:rsidRPr="00E70F73">
              <w:rPr>
                <w:sz w:val="22"/>
                <w:szCs w:val="22"/>
              </w:rPr>
              <w:t>AUC: ↔</w:t>
            </w:r>
          </w:p>
          <w:p w14:paraId="100C1ED7" w14:textId="77777777" w:rsidR="00CA3916" w:rsidRPr="00E70F73" w:rsidRDefault="00CA3916" w:rsidP="005E3C92">
            <w:pPr>
              <w:autoSpaceDE w:val="0"/>
              <w:autoSpaceDN w:val="0"/>
              <w:adjustRightInd w:val="0"/>
              <w:rPr>
                <w:sz w:val="22"/>
                <w:szCs w:val="22"/>
              </w:rPr>
            </w:pPr>
            <w:r w:rsidRPr="00E70F73">
              <w:rPr>
                <w:sz w:val="22"/>
                <w:szCs w:val="22"/>
              </w:rPr>
              <w:t>Cmax: ↔</w:t>
            </w:r>
          </w:p>
          <w:p w14:paraId="3C07C8F7" w14:textId="77777777" w:rsidR="00CA3916" w:rsidRPr="00E70F73" w:rsidRDefault="00CA3916" w:rsidP="005E3C92">
            <w:pPr>
              <w:autoSpaceDE w:val="0"/>
              <w:autoSpaceDN w:val="0"/>
              <w:adjustRightInd w:val="0"/>
              <w:rPr>
                <w:sz w:val="22"/>
                <w:szCs w:val="22"/>
              </w:rPr>
            </w:pPr>
            <w:r w:rsidRPr="00E70F73">
              <w:rPr>
                <w:sz w:val="22"/>
                <w:szCs w:val="22"/>
              </w:rPr>
              <w:t>Cmin: ↔</w:t>
            </w:r>
          </w:p>
          <w:p w14:paraId="11B581AD" w14:textId="77777777" w:rsidR="00CA3916" w:rsidRPr="00E70F73" w:rsidRDefault="00CA3916" w:rsidP="005E3C92">
            <w:pPr>
              <w:autoSpaceDE w:val="0"/>
              <w:autoSpaceDN w:val="0"/>
              <w:adjustRightInd w:val="0"/>
              <w:rPr>
                <w:sz w:val="22"/>
                <w:szCs w:val="22"/>
              </w:rPr>
            </w:pPr>
          </w:p>
          <w:p w14:paraId="7B3C8A6F" w14:textId="77777777" w:rsidR="00CA3916" w:rsidRPr="00E70F73" w:rsidRDefault="00CA3916" w:rsidP="005E3C92">
            <w:pPr>
              <w:autoSpaceDE w:val="0"/>
              <w:autoSpaceDN w:val="0"/>
              <w:adjustRightInd w:val="0"/>
              <w:rPr>
                <w:sz w:val="22"/>
                <w:szCs w:val="22"/>
              </w:rPr>
            </w:pPr>
            <w:r w:rsidRPr="00E70F73">
              <w:rPr>
                <w:sz w:val="22"/>
                <w:szCs w:val="22"/>
              </w:rPr>
              <w:t>Ritonavir:</w:t>
            </w:r>
          </w:p>
          <w:p w14:paraId="5C97B431" w14:textId="77777777" w:rsidR="00CA3916" w:rsidRPr="00E70F73" w:rsidRDefault="00CA3916" w:rsidP="005E3C92">
            <w:pPr>
              <w:autoSpaceDE w:val="0"/>
              <w:autoSpaceDN w:val="0"/>
              <w:adjustRightInd w:val="0"/>
              <w:rPr>
                <w:sz w:val="22"/>
                <w:szCs w:val="22"/>
              </w:rPr>
            </w:pPr>
            <w:r w:rsidRPr="00E70F73">
              <w:rPr>
                <w:sz w:val="22"/>
                <w:szCs w:val="22"/>
              </w:rPr>
              <w:t>AUC: ↔</w:t>
            </w:r>
          </w:p>
          <w:p w14:paraId="42E89CFC" w14:textId="77777777" w:rsidR="00CA3916" w:rsidRPr="00E70F73" w:rsidRDefault="00CA3916" w:rsidP="005E3C92">
            <w:pPr>
              <w:autoSpaceDE w:val="0"/>
              <w:autoSpaceDN w:val="0"/>
              <w:adjustRightInd w:val="0"/>
              <w:rPr>
                <w:sz w:val="22"/>
                <w:szCs w:val="22"/>
              </w:rPr>
            </w:pPr>
            <w:r w:rsidRPr="00E70F73">
              <w:rPr>
                <w:sz w:val="22"/>
                <w:szCs w:val="22"/>
              </w:rPr>
              <w:t>Cmax: ↔</w:t>
            </w:r>
          </w:p>
          <w:p w14:paraId="70DB3993" w14:textId="77777777" w:rsidR="00CA3916" w:rsidRPr="00E70F73" w:rsidRDefault="00CA3916" w:rsidP="005E3C92">
            <w:pPr>
              <w:autoSpaceDE w:val="0"/>
              <w:autoSpaceDN w:val="0"/>
              <w:adjustRightInd w:val="0"/>
              <w:rPr>
                <w:sz w:val="22"/>
                <w:szCs w:val="22"/>
              </w:rPr>
            </w:pPr>
            <w:r w:rsidRPr="00E70F73">
              <w:rPr>
                <w:sz w:val="22"/>
                <w:szCs w:val="22"/>
              </w:rPr>
              <w:t>Cmin: ↔</w:t>
            </w:r>
          </w:p>
          <w:p w14:paraId="253CA7ED" w14:textId="77777777" w:rsidR="00CA3916" w:rsidRPr="00E70F73" w:rsidRDefault="00CA3916" w:rsidP="005E3C92">
            <w:pPr>
              <w:autoSpaceDE w:val="0"/>
              <w:autoSpaceDN w:val="0"/>
              <w:adjustRightInd w:val="0"/>
              <w:rPr>
                <w:sz w:val="22"/>
                <w:szCs w:val="22"/>
              </w:rPr>
            </w:pPr>
          </w:p>
          <w:p w14:paraId="2302FBC0" w14:textId="77777777" w:rsidR="00CA3916" w:rsidRPr="00E70F73" w:rsidRDefault="00CA3916" w:rsidP="005E3C92">
            <w:pPr>
              <w:autoSpaceDE w:val="0"/>
              <w:autoSpaceDN w:val="0"/>
              <w:adjustRightInd w:val="0"/>
              <w:rPr>
                <w:sz w:val="22"/>
                <w:szCs w:val="22"/>
              </w:rPr>
            </w:pPr>
            <w:r w:rsidRPr="00E70F73">
              <w:rPr>
                <w:sz w:val="22"/>
                <w:szCs w:val="22"/>
              </w:rPr>
              <w:t>Emtricitabin:</w:t>
            </w:r>
          </w:p>
          <w:p w14:paraId="4480C79F" w14:textId="77777777" w:rsidR="00CA3916" w:rsidRPr="00E70F73" w:rsidRDefault="00CA3916" w:rsidP="005E3C92">
            <w:pPr>
              <w:autoSpaceDE w:val="0"/>
              <w:autoSpaceDN w:val="0"/>
              <w:adjustRightInd w:val="0"/>
              <w:rPr>
                <w:sz w:val="22"/>
                <w:szCs w:val="22"/>
              </w:rPr>
            </w:pPr>
            <w:r w:rsidRPr="00E70F73">
              <w:rPr>
                <w:sz w:val="22"/>
                <w:szCs w:val="22"/>
              </w:rPr>
              <w:t>AUC: ↔</w:t>
            </w:r>
          </w:p>
          <w:p w14:paraId="1B76F48F" w14:textId="77777777" w:rsidR="00CA3916" w:rsidRPr="00E70F73" w:rsidRDefault="00CA3916" w:rsidP="005E3C92">
            <w:pPr>
              <w:autoSpaceDE w:val="0"/>
              <w:autoSpaceDN w:val="0"/>
              <w:adjustRightInd w:val="0"/>
              <w:rPr>
                <w:sz w:val="22"/>
                <w:szCs w:val="22"/>
              </w:rPr>
            </w:pPr>
            <w:r w:rsidRPr="00E70F73">
              <w:rPr>
                <w:sz w:val="22"/>
                <w:szCs w:val="22"/>
              </w:rPr>
              <w:t>Cmax: ↔</w:t>
            </w:r>
          </w:p>
          <w:p w14:paraId="3D90C49A" w14:textId="77777777" w:rsidR="00CA3916" w:rsidRPr="00E70F73" w:rsidRDefault="00CA3916" w:rsidP="005E3C92">
            <w:pPr>
              <w:autoSpaceDE w:val="0"/>
              <w:autoSpaceDN w:val="0"/>
              <w:adjustRightInd w:val="0"/>
              <w:rPr>
                <w:sz w:val="22"/>
                <w:szCs w:val="22"/>
              </w:rPr>
            </w:pPr>
            <w:r w:rsidRPr="00E70F73">
              <w:rPr>
                <w:sz w:val="22"/>
                <w:szCs w:val="22"/>
              </w:rPr>
              <w:t>Cmin: ↔</w:t>
            </w:r>
          </w:p>
          <w:p w14:paraId="75D319B0" w14:textId="77777777" w:rsidR="00CA3916" w:rsidRPr="00E70F73" w:rsidRDefault="00CA3916" w:rsidP="005E3C92">
            <w:pPr>
              <w:autoSpaceDE w:val="0"/>
              <w:autoSpaceDN w:val="0"/>
              <w:adjustRightInd w:val="0"/>
              <w:rPr>
                <w:sz w:val="22"/>
                <w:szCs w:val="22"/>
              </w:rPr>
            </w:pPr>
          </w:p>
          <w:p w14:paraId="3E8D7BA9" w14:textId="77777777" w:rsidR="00CA3916" w:rsidRPr="00E70F73" w:rsidRDefault="00CA3916" w:rsidP="005E3C92">
            <w:pPr>
              <w:autoSpaceDE w:val="0"/>
              <w:autoSpaceDN w:val="0"/>
              <w:adjustRightInd w:val="0"/>
              <w:rPr>
                <w:sz w:val="22"/>
                <w:szCs w:val="22"/>
              </w:rPr>
            </w:pPr>
            <w:r w:rsidRPr="00E70F73">
              <w:rPr>
                <w:sz w:val="22"/>
                <w:szCs w:val="22"/>
              </w:rPr>
              <w:t>Tenofovir:</w:t>
            </w:r>
          </w:p>
          <w:p w14:paraId="54CDCCA6" w14:textId="77777777" w:rsidR="00CA3916" w:rsidRPr="00E70F73" w:rsidRDefault="00CA3916" w:rsidP="005E3C92">
            <w:pPr>
              <w:autoSpaceDE w:val="0"/>
              <w:autoSpaceDN w:val="0"/>
              <w:adjustRightInd w:val="0"/>
              <w:rPr>
                <w:sz w:val="22"/>
                <w:szCs w:val="22"/>
              </w:rPr>
            </w:pPr>
            <w:r w:rsidRPr="00E70F73">
              <w:rPr>
                <w:sz w:val="22"/>
                <w:szCs w:val="22"/>
              </w:rPr>
              <w:t>AUC: ↔</w:t>
            </w:r>
          </w:p>
          <w:p w14:paraId="7630D65E" w14:textId="77777777" w:rsidR="00CA3916" w:rsidRPr="006E31EE" w:rsidRDefault="00CA3916" w:rsidP="005E3C92">
            <w:pPr>
              <w:autoSpaceDE w:val="0"/>
              <w:autoSpaceDN w:val="0"/>
              <w:adjustRightInd w:val="0"/>
              <w:rPr>
                <w:sz w:val="22"/>
                <w:szCs w:val="22"/>
              </w:rPr>
            </w:pPr>
            <w:r w:rsidRPr="006E31EE">
              <w:rPr>
                <w:sz w:val="22"/>
                <w:szCs w:val="22"/>
              </w:rPr>
              <w:t>Cmax: ↑ 42 %</w:t>
            </w:r>
          </w:p>
          <w:p w14:paraId="4A9CBABA" w14:textId="77777777" w:rsidR="00CA3916" w:rsidRPr="006E31EE" w:rsidRDefault="00CA3916" w:rsidP="005E3C92">
            <w:pPr>
              <w:rPr>
                <w:color w:val="000000" w:themeColor="text1"/>
                <w:sz w:val="22"/>
                <w:szCs w:val="22"/>
              </w:rPr>
            </w:pPr>
            <w:r w:rsidRPr="006E31EE">
              <w:rPr>
                <w:sz w:val="22"/>
                <w:szCs w:val="22"/>
              </w:rPr>
              <w:t>Cmin: ↔</w:t>
            </w:r>
          </w:p>
        </w:tc>
        <w:tc>
          <w:tcPr>
            <w:tcW w:w="1745" w:type="pct"/>
          </w:tcPr>
          <w:p w14:paraId="79B43EAB" w14:textId="77777777" w:rsidR="00CA3916" w:rsidRPr="006E31EE" w:rsidRDefault="00CA3916" w:rsidP="005E3C92">
            <w:pPr>
              <w:autoSpaceDE w:val="0"/>
              <w:autoSpaceDN w:val="0"/>
              <w:adjustRightInd w:val="0"/>
              <w:rPr>
                <w:sz w:val="22"/>
                <w:szCs w:val="22"/>
              </w:rPr>
            </w:pPr>
            <w:r w:rsidRPr="006E31EE">
              <w:rPr>
                <w:sz w:val="22"/>
                <w:szCs w:val="22"/>
              </w:rPr>
              <w:lastRenderedPageBreak/>
              <w:t xml:space="preserve">Øgede plasmakoncentrationer af tenofovir som følge af samtidig administration af tenofovirdisoproxil, sofosbuvir/velpatasvir og lopinavir/ritonavir kan øge bivirkninger relateret til tenofovirdisoproxil, herunder nyrelidelser. Sikkerheden af tenofovirdisoproxil, når det bruges med sofosbuvir/velpatasvir og en farmakokinetisk forstærker (f.eks. ritonavir eller cobicistat), er ikke fastslået. </w:t>
            </w:r>
          </w:p>
          <w:p w14:paraId="12D522CE" w14:textId="77777777" w:rsidR="00CA3916" w:rsidRPr="006E31EE" w:rsidRDefault="00CA3916" w:rsidP="005E3C92">
            <w:pPr>
              <w:rPr>
                <w:sz w:val="22"/>
                <w:szCs w:val="22"/>
              </w:rPr>
            </w:pPr>
            <w:r w:rsidRPr="006E31EE">
              <w:rPr>
                <w:sz w:val="22"/>
                <w:szCs w:val="22"/>
              </w:rPr>
              <w:t>Kombinationen bør anvendes med forsigtighed med hyppig overvågning af nyrerne (se pkt. 4.4).</w:t>
            </w:r>
          </w:p>
        </w:tc>
      </w:tr>
      <w:tr w:rsidR="00CA3916" w:rsidRPr="006E31EE" w14:paraId="719F3FDB" w14:textId="77777777" w:rsidTr="005E3C92">
        <w:trPr>
          <w:trHeight w:val="273"/>
        </w:trPr>
        <w:tc>
          <w:tcPr>
            <w:tcW w:w="1667" w:type="pct"/>
          </w:tcPr>
          <w:p w14:paraId="747A7A2E" w14:textId="77777777" w:rsidR="00CA3916" w:rsidRPr="006E31EE" w:rsidRDefault="00CA3916" w:rsidP="005E3C92">
            <w:pPr>
              <w:autoSpaceDE w:val="0"/>
              <w:autoSpaceDN w:val="0"/>
              <w:adjustRightInd w:val="0"/>
              <w:rPr>
                <w:sz w:val="22"/>
                <w:szCs w:val="22"/>
              </w:rPr>
            </w:pPr>
            <w:r w:rsidRPr="006E31EE">
              <w:rPr>
                <w:sz w:val="22"/>
                <w:szCs w:val="22"/>
              </w:rPr>
              <w:t xml:space="preserve">Sofosbuvir/velpatasvir </w:t>
            </w:r>
          </w:p>
          <w:p w14:paraId="19AE19B2" w14:textId="77777777" w:rsidR="00CA3916" w:rsidRPr="00E70F73" w:rsidRDefault="00CA3916" w:rsidP="005E3C92">
            <w:pPr>
              <w:autoSpaceDE w:val="0"/>
              <w:autoSpaceDN w:val="0"/>
              <w:adjustRightInd w:val="0"/>
              <w:rPr>
                <w:sz w:val="22"/>
                <w:szCs w:val="22"/>
                <w:lang w:val="sv-SE"/>
              </w:rPr>
            </w:pPr>
            <w:r w:rsidRPr="006E31EE">
              <w:rPr>
                <w:sz w:val="22"/>
                <w:szCs w:val="22"/>
              </w:rPr>
              <w:t xml:space="preserve">(400 mg/100 mg q.d.) </w:t>
            </w:r>
            <w:r w:rsidRPr="00E70F73">
              <w:rPr>
                <w:sz w:val="22"/>
                <w:szCs w:val="22"/>
                <w:lang w:val="sv-SE"/>
              </w:rPr>
              <w:t xml:space="preserve">+ </w:t>
            </w:r>
          </w:p>
          <w:p w14:paraId="471C7331" w14:textId="77777777" w:rsidR="00CA3916" w:rsidRPr="00E70F73" w:rsidRDefault="00CA3916" w:rsidP="005E3C92">
            <w:pPr>
              <w:autoSpaceDE w:val="0"/>
              <w:autoSpaceDN w:val="0"/>
              <w:adjustRightInd w:val="0"/>
              <w:rPr>
                <w:sz w:val="22"/>
                <w:szCs w:val="22"/>
                <w:lang w:val="sv-SE"/>
              </w:rPr>
            </w:pPr>
            <w:r w:rsidRPr="00E70F73">
              <w:rPr>
                <w:sz w:val="22"/>
                <w:szCs w:val="22"/>
                <w:lang w:val="sv-SE"/>
              </w:rPr>
              <w:t xml:space="preserve">raltegravir </w:t>
            </w:r>
          </w:p>
          <w:p w14:paraId="297BFB1D" w14:textId="77777777" w:rsidR="00CA3916" w:rsidRPr="00E70F73" w:rsidRDefault="00CA3916" w:rsidP="005E3C92">
            <w:pPr>
              <w:autoSpaceDE w:val="0"/>
              <w:autoSpaceDN w:val="0"/>
              <w:adjustRightInd w:val="0"/>
              <w:rPr>
                <w:sz w:val="22"/>
                <w:szCs w:val="22"/>
                <w:lang w:val="sv-SE"/>
              </w:rPr>
            </w:pPr>
            <w:r w:rsidRPr="00E70F73">
              <w:rPr>
                <w:sz w:val="22"/>
                <w:szCs w:val="22"/>
                <w:lang w:val="sv-SE"/>
              </w:rPr>
              <w:t xml:space="preserve">(400 mg b.i.d) + </w:t>
            </w:r>
          </w:p>
          <w:p w14:paraId="145D58FC" w14:textId="77777777" w:rsidR="00CA3916" w:rsidRPr="005E3C92" w:rsidRDefault="00CA3916" w:rsidP="005E3C92">
            <w:pPr>
              <w:autoSpaceDE w:val="0"/>
              <w:autoSpaceDN w:val="0"/>
              <w:adjustRightInd w:val="0"/>
              <w:rPr>
                <w:sz w:val="22"/>
                <w:szCs w:val="22"/>
                <w:lang w:val="en-US"/>
              </w:rPr>
            </w:pPr>
            <w:r w:rsidRPr="005E3C92">
              <w:rPr>
                <w:sz w:val="22"/>
                <w:szCs w:val="22"/>
                <w:lang w:val="en-US"/>
              </w:rPr>
              <w:t xml:space="preserve">emtricitabin/tenofovirdisoproxil </w:t>
            </w:r>
          </w:p>
          <w:p w14:paraId="5C2B8008" w14:textId="77777777" w:rsidR="00CA3916" w:rsidRPr="00E70F73" w:rsidRDefault="00CA3916" w:rsidP="005E3C92">
            <w:pPr>
              <w:rPr>
                <w:color w:val="000000" w:themeColor="text1"/>
                <w:sz w:val="22"/>
                <w:szCs w:val="22"/>
                <w:lang w:val="en-US"/>
              </w:rPr>
            </w:pPr>
            <w:r w:rsidRPr="00E70F73">
              <w:rPr>
                <w:sz w:val="22"/>
                <w:szCs w:val="22"/>
                <w:lang w:val="en-US"/>
              </w:rPr>
              <w:t>(200 mg/245 mg q.d.)</w:t>
            </w:r>
          </w:p>
        </w:tc>
        <w:tc>
          <w:tcPr>
            <w:tcW w:w="1588" w:type="pct"/>
            <w:gridSpan w:val="2"/>
          </w:tcPr>
          <w:p w14:paraId="0BDB8D80" w14:textId="77777777" w:rsidR="00CA3916" w:rsidRPr="00E70F73" w:rsidRDefault="00CA3916" w:rsidP="005E3C92">
            <w:pPr>
              <w:autoSpaceDE w:val="0"/>
              <w:autoSpaceDN w:val="0"/>
              <w:adjustRightInd w:val="0"/>
              <w:rPr>
                <w:sz w:val="22"/>
                <w:szCs w:val="22"/>
                <w:lang w:val="en-US"/>
              </w:rPr>
            </w:pPr>
            <w:r w:rsidRPr="00E70F73">
              <w:rPr>
                <w:sz w:val="22"/>
                <w:szCs w:val="22"/>
                <w:lang w:val="en-US"/>
              </w:rPr>
              <w:t xml:space="preserve">Sofosbuvir: </w:t>
            </w:r>
          </w:p>
          <w:p w14:paraId="00D00BC5" w14:textId="77777777" w:rsidR="00CA3916" w:rsidRPr="00E70F73" w:rsidRDefault="00CA3916" w:rsidP="005E3C92">
            <w:pPr>
              <w:autoSpaceDE w:val="0"/>
              <w:autoSpaceDN w:val="0"/>
              <w:adjustRightInd w:val="0"/>
              <w:spacing w:after="6"/>
              <w:rPr>
                <w:sz w:val="22"/>
                <w:szCs w:val="22"/>
                <w:lang w:val="en-US"/>
              </w:rPr>
            </w:pPr>
            <w:r w:rsidRPr="00E70F73">
              <w:rPr>
                <w:sz w:val="22"/>
                <w:szCs w:val="22"/>
                <w:lang w:val="en-US"/>
              </w:rPr>
              <w:t xml:space="preserve">AUC: ↔ </w:t>
            </w:r>
          </w:p>
          <w:p w14:paraId="486034BF" w14:textId="77777777" w:rsidR="00CA3916" w:rsidRPr="00E70F73" w:rsidRDefault="00CA3916" w:rsidP="005E3C92">
            <w:pPr>
              <w:autoSpaceDE w:val="0"/>
              <w:autoSpaceDN w:val="0"/>
              <w:adjustRightInd w:val="0"/>
              <w:rPr>
                <w:sz w:val="22"/>
                <w:szCs w:val="22"/>
                <w:lang w:val="en-US"/>
              </w:rPr>
            </w:pPr>
            <w:r w:rsidRPr="00E70F73">
              <w:rPr>
                <w:sz w:val="22"/>
                <w:szCs w:val="22"/>
                <w:lang w:val="en-US"/>
              </w:rPr>
              <w:t xml:space="preserve">Cmax: ↔ </w:t>
            </w:r>
          </w:p>
          <w:p w14:paraId="2DD4555C" w14:textId="77777777" w:rsidR="00CA3916" w:rsidRPr="00E70F73" w:rsidRDefault="00CA3916" w:rsidP="005E3C92">
            <w:pPr>
              <w:autoSpaceDE w:val="0"/>
              <w:autoSpaceDN w:val="0"/>
              <w:adjustRightInd w:val="0"/>
              <w:rPr>
                <w:sz w:val="22"/>
                <w:szCs w:val="22"/>
                <w:lang w:val="en-US"/>
              </w:rPr>
            </w:pPr>
            <w:r w:rsidRPr="00E70F73">
              <w:rPr>
                <w:sz w:val="22"/>
                <w:szCs w:val="22"/>
                <w:lang w:val="en-US"/>
              </w:rPr>
              <w:t xml:space="preserve"> </w:t>
            </w:r>
          </w:p>
          <w:p w14:paraId="45DB84C9" w14:textId="77777777" w:rsidR="00CA3916" w:rsidRPr="00E70F73" w:rsidRDefault="00CA3916" w:rsidP="005E3C92">
            <w:pPr>
              <w:autoSpaceDE w:val="0"/>
              <w:autoSpaceDN w:val="0"/>
              <w:adjustRightInd w:val="0"/>
              <w:spacing w:after="4"/>
              <w:rPr>
                <w:sz w:val="22"/>
                <w:szCs w:val="22"/>
                <w:lang w:val="en-US"/>
              </w:rPr>
            </w:pPr>
            <w:r w:rsidRPr="00E70F73">
              <w:rPr>
                <w:sz w:val="22"/>
                <w:szCs w:val="22"/>
                <w:lang w:val="en-US"/>
              </w:rPr>
              <w:t>GS-331007</w:t>
            </w:r>
            <w:r w:rsidRPr="00E70F73">
              <w:rPr>
                <w:sz w:val="22"/>
                <w:szCs w:val="22"/>
                <w:vertAlign w:val="superscript"/>
                <w:lang w:val="en-US"/>
              </w:rPr>
              <w:t>2</w:t>
            </w:r>
            <w:r w:rsidRPr="00E70F73">
              <w:rPr>
                <w:sz w:val="22"/>
                <w:szCs w:val="22"/>
                <w:lang w:val="en-US"/>
              </w:rPr>
              <w:t xml:space="preserve">: </w:t>
            </w:r>
          </w:p>
          <w:p w14:paraId="1181EF1C" w14:textId="77777777" w:rsidR="00CA3916" w:rsidRPr="00E70F73" w:rsidRDefault="00CA3916" w:rsidP="005E3C92">
            <w:pPr>
              <w:autoSpaceDE w:val="0"/>
              <w:autoSpaceDN w:val="0"/>
              <w:adjustRightInd w:val="0"/>
              <w:spacing w:after="6"/>
              <w:rPr>
                <w:sz w:val="22"/>
                <w:szCs w:val="22"/>
                <w:lang w:val="en-US"/>
              </w:rPr>
            </w:pPr>
            <w:r w:rsidRPr="00E70F73">
              <w:rPr>
                <w:sz w:val="22"/>
                <w:szCs w:val="22"/>
                <w:lang w:val="en-US"/>
              </w:rPr>
              <w:t xml:space="preserve">AUC: ↔ </w:t>
            </w:r>
          </w:p>
          <w:p w14:paraId="40BEC1B7" w14:textId="77777777" w:rsidR="00CA3916" w:rsidRPr="00E70F73" w:rsidRDefault="00CA3916" w:rsidP="005E3C92">
            <w:pPr>
              <w:autoSpaceDE w:val="0"/>
              <w:autoSpaceDN w:val="0"/>
              <w:adjustRightInd w:val="0"/>
              <w:spacing w:after="4"/>
              <w:rPr>
                <w:sz w:val="22"/>
                <w:szCs w:val="22"/>
                <w:lang w:val="en-US"/>
              </w:rPr>
            </w:pPr>
            <w:r w:rsidRPr="00E70F73">
              <w:rPr>
                <w:sz w:val="22"/>
                <w:szCs w:val="22"/>
                <w:lang w:val="en-US"/>
              </w:rPr>
              <w:t xml:space="preserve">Cmax: ↔ </w:t>
            </w:r>
          </w:p>
          <w:p w14:paraId="711A5A53" w14:textId="77777777" w:rsidR="00CA3916" w:rsidRPr="00E70F73" w:rsidRDefault="00CA3916" w:rsidP="005E3C92">
            <w:pPr>
              <w:autoSpaceDE w:val="0"/>
              <w:autoSpaceDN w:val="0"/>
              <w:adjustRightInd w:val="0"/>
              <w:rPr>
                <w:sz w:val="22"/>
                <w:szCs w:val="22"/>
                <w:lang w:val="en-US"/>
              </w:rPr>
            </w:pPr>
            <w:r w:rsidRPr="00E70F73">
              <w:rPr>
                <w:sz w:val="22"/>
                <w:szCs w:val="22"/>
                <w:lang w:val="en-US"/>
              </w:rPr>
              <w:t xml:space="preserve">Cmin: ↔ </w:t>
            </w:r>
          </w:p>
          <w:p w14:paraId="1B0821FC" w14:textId="77777777" w:rsidR="00CA3916" w:rsidRPr="00E70F73" w:rsidRDefault="00CA3916" w:rsidP="005E3C92">
            <w:pPr>
              <w:autoSpaceDE w:val="0"/>
              <w:autoSpaceDN w:val="0"/>
              <w:adjustRightInd w:val="0"/>
              <w:rPr>
                <w:sz w:val="22"/>
                <w:szCs w:val="22"/>
                <w:lang w:val="en-US"/>
              </w:rPr>
            </w:pPr>
            <w:r w:rsidRPr="00E70F73">
              <w:rPr>
                <w:sz w:val="22"/>
                <w:szCs w:val="22"/>
                <w:lang w:val="en-US"/>
              </w:rPr>
              <w:t xml:space="preserve"> </w:t>
            </w:r>
          </w:p>
          <w:p w14:paraId="220C6F87" w14:textId="77777777" w:rsidR="00CA3916" w:rsidRPr="00E70F73" w:rsidRDefault="00CA3916" w:rsidP="005E3C92">
            <w:pPr>
              <w:autoSpaceDE w:val="0"/>
              <w:autoSpaceDN w:val="0"/>
              <w:adjustRightInd w:val="0"/>
              <w:rPr>
                <w:sz w:val="22"/>
                <w:szCs w:val="22"/>
                <w:lang w:val="en-US"/>
              </w:rPr>
            </w:pPr>
            <w:r w:rsidRPr="00E70F73">
              <w:rPr>
                <w:sz w:val="22"/>
                <w:szCs w:val="22"/>
                <w:lang w:val="en-US"/>
              </w:rPr>
              <w:t xml:space="preserve">Velpatasvir: </w:t>
            </w:r>
          </w:p>
          <w:p w14:paraId="521F639C" w14:textId="77777777" w:rsidR="00CA3916" w:rsidRPr="00E70F73" w:rsidRDefault="00CA3916" w:rsidP="005E3C92">
            <w:pPr>
              <w:autoSpaceDE w:val="0"/>
              <w:autoSpaceDN w:val="0"/>
              <w:adjustRightInd w:val="0"/>
              <w:spacing w:after="6"/>
              <w:rPr>
                <w:sz w:val="22"/>
                <w:szCs w:val="22"/>
                <w:lang w:val="en-US"/>
              </w:rPr>
            </w:pPr>
            <w:r w:rsidRPr="00E70F73">
              <w:rPr>
                <w:sz w:val="22"/>
                <w:szCs w:val="22"/>
                <w:lang w:val="en-US"/>
              </w:rPr>
              <w:t xml:space="preserve">AUC: ↔ </w:t>
            </w:r>
          </w:p>
          <w:p w14:paraId="193D4226" w14:textId="77777777" w:rsidR="00CA3916" w:rsidRPr="00E70F73" w:rsidRDefault="00CA3916" w:rsidP="005E3C92">
            <w:pPr>
              <w:autoSpaceDE w:val="0"/>
              <w:autoSpaceDN w:val="0"/>
              <w:adjustRightInd w:val="0"/>
              <w:rPr>
                <w:sz w:val="22"/>
                <w:szCs w:val="22"/>
                <w:lang w:val="en-US"/>
              </w:rPr>
            </w:pPr>
            <w:r w:rsidRPr="00E70F73">
              <w:rPr>
                <w:sz w:val="22"/>
                <w:szCs w:val="22"/>
                <w:lang w:val="en-US"/>
              </w:rPr>
              <w:t xml:space="preserve">Cmax: ↔ </w:t>
            </w:r>
          </w:p>
          <w:p w14:paraId="5E1F638D" w14:textId="77777777" w:rsidR="00CA3916" w:rsidRPr="00E70F73" w:rsidRDefault="00CA3916" w:rsidP="005E3C92">
            <w:pPr>
              <w:autoSpaceDE w:val="0"/>
              <w:autoSpaceDN w:val="0"/>
              <w:adjustRightInd w:val="0"/>
              <w:rPr>
                <w:sz w:val="22"/>
                <w:szCs w:val="22"/>
                <w:lang w:val="en-US"/>
              </w:rPr>
            </w:pPr>
            <w:r w:rsidRPr="00E70F73">
              <w:rPr>
                <w:sz w:val="22"/>
                <w:szCs w:val="22"/>
                <w:lang w:val="en-US"/>
              </w:rPr>
              <w:t xml:space="preserve">Cmin: ↔ </w:t>
            </w:r>
          </w:p>
          <w:p w14:paraId="753AF774" w14:textId="77777777" w:rsidR="00CA3916" w:rsidRPr="00E70F73" w:rsidRDefault="00CA3916" w:rsidP="005E3C92">
            <w:pPr>
              <w:autoSpaceDE w:val="0"/>
              <w:autoSpaceDN w:val="0"/>
              <w:adjustRightInd w:val="0"/>
              <w:rPr>
                <w:sz w:val="22"/>
                <w:szCs w:val="22"/>
                <w:lang w:val="en-US"/>
              </w:rPr>
            </w:pPr>
            <w:r w:rsidRPr="00E70F73">
              <w:rPr>
                <w:sz w:val="22"/>
                <w:szCs w:val="22"/>
                <w:lang w:val="en-US"/>
              </w:rPr>
              <w:t xml:space="preserve"> </w:t>
            </w:r>
          </w:p>
          <w:p w14:paraId="7234182C" w14:textId="77777777" w:rsidR="00CA3916" w:rsidRPr="00E70F73" w:rsidRDefault="00CA3916" w:rsidP="005E3C92">
            <w:pPr>
              <w:autoSpaceDE w:val="0"/>
              <w:autoSpaceDN w:val="0"/>
              <w:adjustRightInd w:val="0"/>
              <w:rPr>
                <w:sz w:val="22"/>
                <w:szCs w:val="22"/>
                <w:lang w:val="en-US"/>
              </w:rPr>
            </w:pPr>
            <w:r w:rsidRPr="00E70F73">
              <w:rPr>
                <w:sz w:val="22"/>
                <w:szCs w:val="22"/>
                <w:lang w:val="en-US"/>
              </w:rPr>
              <w:t xml:space="preserve">Raltegravir: </w:t>
            </w:r>
          </w:p>
          <w:p w14:paraId="539033B7" w14:textId="77777777" w:rsidR="00CA3916" w:rsidRPr="00E70F73" w:rsidRDefault="00CA3916" w:rsidP="005E3C92">
            <w:pPr>
              <w:autoSpaceDE w:val="0"/>
              <w:autoSpaceDN w:val="0"/>
              <w:adjustRightInd w:val="0"/>
              <w:rPr>
                <w:sz w:val="22"/>
                <w:szCs w:val="22"/>
                <w:lang w:val="en-US"/>
              </w:rPr>
            </w:pPr>
            <w:r w:rsidRPr="00E70F73">
              <w:rPr>
                <w:sz w:val="22"/>
                <w:szCs w:val="22"/>
                <w:lang w:val="en-US"/>
              </w:rPr>
              <w:t xml:space="preserve">AUC: ↔ </w:t>
            </w:r>
          </w:p>
          <w:p w14:paraId="5E1CC454" w14:textId="77777777" w:rsidR="00CA3916" w:rsidRPr="00E70F73" w:rsidRDefault="00CA3916" w:rsidP="005E3C92">
            <w:pPr>
              <w:autoSpaceDE w:val="0"/>
              <w:autoSpaceDN w:val="0"/>
              <w:adjustRightInd w:val="0"/>
              <w:rPr>
                <w:sz w:val="22"/>
                <w:szCs w:val="22"/>
                <w:lang w:val="en-US"/>
              </w:rPr>
            </w:pPr>
            <w:r w:rsidRPr="00E70F73">
              <w:rPr>
                <w:sz w:val="22"/>
                <w:szCs w:val="22"/>
                <w:lang w:val="en-US"/>
              </w:rPr>
              <w:t xml:space="preserve">Cmax: ↔ </w:t>
            </w:r>
          </w:p>
          <w:p w14:paraId="10A4A3FC" w14:textId="77777777" w:rsidR="00CA3916" w:rsidRPr="00E70F73" w:rsidRDefault="00CA3916" w:rsidP="005E3C92">
            <w:pPr>
              <w:autoSpaceDE w:val="0"/>
              <w:autoSpaceDN w:val="0"/>
              <w:adjustRightInd w:val="0"/>
              <w:rPr>
                <w:sz w:val="22"/>
                <w:szCs w:val="22"/>
                <w:lang w:val="en-US"/>
              </w:rPr>
            </w:pPr>
            <w:r w:rsidRPr="00E70F73">
              <w:rPr>
                <w:sz w:val="22"/>
                <w:szCs w:val="22"/>
                <w:lang w:val="en-US"/>
              </w:rPr>
              <w:t xml:space="preserve">Cmin: ↓ 21 % </w:t>
            </w:r>
          </w:p>
          <w:p w14:paraId="1733A961" w14:textId="77777777" w:rsidR="00CA3916" w:rsidRPr="00E70F73" w:rsidRDefault="00CA3916" w:rsidP="005E3C92">
            <w:pPr>
              <w:autoSpaceDE w:val="0"/>
              <w:autoSpaceDN w:val="0"/>
              <w:adjustRightInd w:val="0"/>
              <w:rPr>
                <w:sz w:val="22"/>
                <w:szCs w:val="22"/>
                <w:lang w:val="en-US"/>
              </w:rPr>
            </w:pPr>
            <w:r w:rsidRPr="00E70F73">
              <w:rPr>
                <w:sz w:val="22"/>
                <w:szCs w:val="22"/>
                <w:lang w:val="en-US"/>
              </w:rPr>
              <w:t xml:space="preserve"> </w:t>
            </w:r>
          </w:p>
          <w:p w14:paraId="33F5B5DF" w14:textId="77777777" w:rsidR="00CA3916" w:rsidRPr="00E70F73" w:rsidRDefault="00CA3916" w:rsidP="005E3C92">
            <w:pPr>
              <w:autoSpaceDE w:val="0"/>
              <w:autoSpaceDN w:val="0"/>
              <w:adjustRightInd w:val="0"/>
              <w:rPr>
                <w:sz w:val="22"/>
                <w:szCs w:val="22"/>
                <w:lang w:val="en-US"/>
              </w:rPr>
            </w:pPr>
            <w:r w:rsidRPr="00E70F73">
              <w:rPr>
                <w:sz w:val="22"/>
                <w:szCs w:val="22"/>
                <w:lang w:val="en-US"/>
              </w:rPr>
              <w:t xml:space="preserve">Emtricitabin: </w:t>
            </w:r>
          </w:p>
          <w:p w14:paraId="744EF85C" w14:textId="77777777" w:rsidR="00CA3916" w:rsidRPr="00E70F73" w:rsidRDefault="00CA3916" w:rsidP="005E3C92">
            <w:pPr>
              <w:autoSpaceDE w:val="0"/>
              <w:autoSpaceDN w:val="0"/>
              <w:adjustRightInd w:val="0"/>
              <w:rPr>
                <w:sz w:val="22"/>
                <w:szCs w:val="22"/>
                <w:lang w:val="en-US"/>
              </w:rPr>
            </w:pPr>
            <w:r w:rsidRPr="00E70F73">
              <w:rPr>
                <w:sz w:val="22"/>
                <w:szCs w:val="22"/>
                <w:lang w:val="en-US"/>
              </w:rPr>
              <w:t xml:space="preserve">AUC: ↔ </w:t>
            </w:r>
          </w:p>
          <w:p w14:paraId="149AE526" w14:textId="77777777" w:rsidR="00CA3916" w:rsidRPr="00E70F73" w:rsidRDefault="00CA3916" w:rsidP="005E3C92">
            <w:pPr>
              <w:autoSpaceDE w:val="0"/>
              <w:autoSpaceDN w:val="0"/>
              <w:adjustRightInd w:val="0"/>
              <w:rPr>
                <w:sz w:val="22"/>
                <w:szCs w:val="22"/>
                <w:lang w:val="en-US"/>
              </w:rPr>
            </w:pPr>
            <w:r w:rsidRPr="00E70F73">
              <w:rPr>
                <w:sz w:val="22"/>
                <w:szCs w:val="22"/>
                <w:lang w:val="en-US"/>
              </w:rPr>
              <w:t xml:space="preserve">Cmax: ↔ </w:t>
            </w:r>
          </w:p>
          <w:p w14:paraId="1555A2DF" w14:textId="77777777" w:rsidR="00CA3916" w:rsidRPr="00E70F73" w:rsidRDefault="00CA3916" w:rsidP="005E3C92">
            <w:pPr>
              <w:autoSpaceDE w:val="0"/>
              <w:autoSpaceDN w:val="0"/>
              <w:adjustRightInd w:val="0"/>
              <w:rPr>
                <w:sz w:val="22"/>
                <w:szCs w:val="22"/>
                <w:lang w:val="en-US"/>
              </w:rPr>
            </w:pPr>
            <w:r w:rsidRPr="00E70F73">
              <w:rPr>
                <w:sz w:val="22"/>
                <w:szCs w:val="22"/>
                <w:lang w:val="en-US"/>
              </w:rPr>
              <w:t xml:space="preserve">Cmin: ↔ </w:t>
            </w:r>
          </w:p>
          <w:p w14:paraId="1156041B" w14:textId="77777777" w:rsidR="00CA3916" w:rsidRPr="00E70F73" w:rsidRDefault="00CA3916" w:rsidP="005E3C92">
            <w:pPr>
              <w:autoSpaceDE w:val="0"/>
              <w:autoSpaceDN w:val="0"/>
              <w:adjustRightInd w:val="0"/>
              <w:rPr>
                <w:sz w:val="22"/>
                <w:szCs w:val="22"/>
                <w:lang w:val="en-US"/>
              </w:rPr>
            </w:pPr>
            <w:r w:rsidRPr="00E70F73">
              <w:rPr>
                <w:sz w:val="22"/>
                <w:szCs w:val="22"/>
                <w:lang w:val="en-US"/>
              </w:rPr>
              <w:t xml:space="preserve"> </w:t>
            </w:r>
          </w:p>
          <w:p w14:paraId="2BE8310A" w14:textId="77777777" w:rsidR="00CA3916" w:rsidRPr="00E70F73" w:rsidRDefault="00CA3916" w:rsidP="005E3C92">
            <w:pPr>
              <w:autoSpaceDE w:val="0"/>
              <w:autoSpaceDN w:val="0"/>
              <w:adjustRightInd w:val="0"/>
              <w:rPr>
                <w:sz w:val="22"/>
                <w:szCs w:val="22"/>
                <w:lang w:val="en-US"/>
              </w:rPr>
            </w:pPr>
            <w:r w:rsidRPr="00E70F73">
              <w:rPr>
                <w:sz w:val="22"/>
                <w:szCs w:val="22"/>
                <w:lang w:val="en-US"/>
              </w:rPr>
              <w:t xml:space="preserve">Tenofovir: </w:t>
            </w:r>
          </w:p>
          <w:p w14:paraId="05AE0D13" w14:textId="77777777" w:rsidR="00CA3916" w:rsidRPr="006E31EE" w:rsidRDefault="00CA3916" w:rsidP="005E3C92">
            <w:pPr>
              <w:autoSpaceDE w:val="0"/>
              <w:autoSpaceDN w:val="0"/>
              <w:adjustRightInd w:val="0"/>
              <w:rPr>
                <w:sz w:val="22"/>
                <w:szCs w:val="22"/>
              </w:rPr>
            </w:pPr>
            <w:r w:rsidRPr="006E31EE">
              <w:rPr>
                <w:sz w:val="22"/>
                <w:szCs w:val="22"/>
              </w:rPr>
              <w:t xml:space="preserve">AUC: ↑ 40 % </w:t>
            </w:r>
          </w:p>
          <w:p w14:paraId="01384D79" w14:textId="77777777" w:rsidR="00CA3916" w:rsidRPr="006E31EE" w:rsidRDefault="00CA3916" w:rsidP="005E3C92">
            <w:pPr>
              <w:autoSpaceDE w:val="0"/>
              <w:autoSpaceDN w:val="0"/>
              <w:adjustRightInd w:val="0"/>
              <w:rPr>
                <w:sz w:val="22"/>
                <w:szCs w:val="22"/>
              </w:rPr>
            </w:pPr>
            <w:r w:rsidRPr="006E31EE">
              <w:rPr>
                <w:sz w:val="22"/>
                <w:szCs w:val="22"/>
              </w:rPr>
              <w:t xml:space="preserve">Cmax: ↑ 46 % </w:t>
            </w:r>
          </w:p>
          <w:p w14:paraId="6800DDF1" w14:textId="77777777" w:rsidR="00CA3916" w:rsidRPr="006E31EE" w:rsidRDefault="00CA3916" w:rsidP="005E3C92">
            <w:pPr>
              <w:rPr>
                <w:color w:val="000000" w:themeColor="text1"/>
                <w:sz w:val="22"/>
                <w:szCs w:val="22"/>
              </w:rPr>
            </w:pPr>
            <w:r w:rsidRPr="006E31EE">
              <w:rPr>
                <w:sz w:val="22"/>
                <w:szCs w:val="22"/>
              </w:rPr>
              <w:t xml:space="preserve">Cmin: ↑ 70 % </w:t>
            </w:r>
          </w:p>
        </w:tc>
        <w:tc>
          <w:tcPr>
            <w:tcW w:w="1745" w:type="pct"/>
          </w:tcPr>
          <w:p w14:paraId="044F4F3B" w14:textId="77777777" w:rsidR="00CA3916" w:rsidRPr="006E31EE" w:rsidRDefault="00CA3916" w:rsidP="005E3C92">
            <w:pPr>
              <w:rPr>
                <w:sz w:val="22"/>
                <w:szCs w:val="22"/>
              </w:rPr>
            </w:pPr>
            <w:r w:rsidRPr="006E31EE">
              <w:rPr>
                <w:sz w:val="22"/>
                <w:szCs w:val="22"/>
              </w:rPr>
              <w:t>Der anbefales ingen dosisjustering. Den øgede eksponering af tenofovir kan forstærke bivirkninger forbundet med tenofovirdisoproxil, herunder nyrelidelser. Nyrefunktionen skal overvåges nøje (se pkt. 4.4).</w:t>
            </w:r>
          </w:p>
        </w:tc>
      </w:tr>
      <w:tr w:rsidR="00CA3916" w:rsidRPr="006E31EE" w14:paraId="38E60235" w14:textId="77777777" w:rsidTr="005E3C92">
        <w:trPr>
          <w:trHeight w:val="273"/>
        </w:trPr>
        <w:tc>
          <w:tcPr>
            <w:tcW w:w="1667" w:type="pct"/>
          </w:tcPr>
          <w:p w14:paraId="0561A1F5" w14:textId="77777777" w:rsidR="00CA3916" w:rsidRPr="006E31EE" w:rsidRDefault="00CA3916" w:rsidP="005E3C92">
            <w:pPr>
              <w:autoSpaceDE w:val="0"/>
              <w:autoSpaceDN w:val="0"/>
              <w:adjustRightInd w:val="0"/>
              <w:rPr>
                <w:sz w:val="22"/>
                <w:szCs w:val="22"/>
              </w:rPr>
            </w:pPr>
            <w:r w:rsidRPr="006E31EE">
              <w:rPr>
                <w:sz w:val="22"/>
                <w:szCs w:val="22"/>
              </w:rPr>
              <w:t>Sofosbuvir/Velpatasvir (400 mg/100 mg q.d.) + efavirenz/emtricitabin/</w:t>
            </w:r>
          </w:p>
          <w:p w14:paraId="0D8EEEFA" w14:textId="77777777" w:rsidR="00CA3916" w:rsidRPr="006E31EE" w:rsidRDefault="00CA3916" w:rsidP="005E3C92">
            <w:pPr>
              <w:rPr>
                <w:color w:val="000000" w:themeColor="text1"/>
                <w:sz w:val="22"/>
                <w:szCs w:val="22"/>
              </w:rPr>
            </w:pPr>
            <w:r w:rsidRPr="006E31EE">
              <w:rPr>
                <w:sz w:val="22"/>
                <w:szCs w:val="22"/>
              </w:rPr>
              <w:t>tenofovirdisoproxil (600 mg/200 mg/245 mg q.d.)</w:t>
            </w:r>
          </w:p>
        </w:tc>
        <w:tc>
          <w:tcPr>
            <w:tcW w:w="1588" w:type="pct"/>
            <w:gridSpan w:val="2"/>
          </w:tcPr>
          <w:p w14:paraId="3F729E6C" w14:textId="77777777" w:rsidR="00CA3916" w:rsidRPr="006E31EE" w:rsidRDefault="00CA3916" w:rsidP="005E3C92">
            <w:pPr>
              <w:autoSpaceDE w:val="0"/>
              <w:autoSpaceDN w:val="0"/>
              <w:adjustRightInd w:val="0"/>
              <w:rPr>
                <w:sz w:val="22"/>
                <w:szCs w:val="22"/>
              </w:rPr>
            </w:pPr>
            <w:r w:rsidRPr="006E31EE">
              <w:rPr>
                <w:sz w:val="22"/>
                <w:szCs w:val="22"/>
              </w:rPr>
              <w:t xml:space="preserve">Sofosbuvir: </w:t>
            </w:r>
          </w:p>
          <w:p w14:paraId="2B347884" w14:textId="77777777" w:rsidR="00CA3916" w:rsidRPr="006E31EE" w:rsidRDefault="00CA3916" w:rsidP="005E3C92">
            <w:pPr>
              <w:autoSpaceDE w:val="0"/>
              <w:autoSpaceDN w:val="0"/>
              <w:adjustRightInd w:val="0"/>
              <w:rPr>
                <w:sz w:val="22"/>
                <w:szCs w:val="22"/>
              </w:rPr>
            </w:pPr>
            <w:r w:rsidRPr="006E31EE">
              <w:rPr>
                <w:sz w:val="22"/>
                <w:szCs w:val="22"/>
              </w:rPr>
              <w:t xml:space="preserve">AUC: ↔ </w:t>
            </w:r>
          </w:p>
          <w:p w14:paraId="17002D48" w14:textId="77777777" w:rsidR="00CA3916" w:rsidRPr="006E31EE" w:rsidRDefault="00CA3916" w:rsidP="005E3C92">
            <w:pPr>
              <w:autoSpaceDE w:val="0"/>
              <w:autoSpaceDN w:val="0"/>
              <w:adjustRightInd w:val="0"/>
              <w:rPr>
                <w:sz w:val="22"/>
                <w:szCs w:val="22"/>
              </w:rPr>
            </w:pPr>
            <w:r w:rsidRPr="006E31EE">
              <w:rPr>
                <w:sz w:val="22"/>
                <w:szCs w:val="22"/>
              </w:rPr>
              <w:t xml:space="preserve">Cmax: ↑ 38 % </w:t>
            </w:r>
          </w:p>
          <w:p w14:paraId="7CD5E803" w14:textId="77777777" w:rsidR="00CA3916" w:rsidRPr="006E31EE" w:rsidRDefault="00CA3916" w:rsidP="005E3C92">
            <w:pPr>
              <w:autoSpaceDE w:val="0"/>
              <w:autoSpaceDN w:val="0"/>
              <w:adjustRightInd w:val="0"/>
              <w:rPr>
                <w:sz w:val="22"/>
                <w:szCs w:val="22"/>
              </w:rPr>
            </w:pPr>
            <w:r w:rsidRPr="006E31EE">
              <w:rPr>
                <w:sz w:val="22"/>
                <w:szCs w:val="22"/>
              </w:rPr>
              <w:t xml:space="preserve"> </w:t>
            </w:r>
          </w:p>
          <w:p w14:paraId="3532B885" w14:textId="77777777" w:rsidR="00CA3916" w:rsidRPr="006E31EE" w:rsidRDefault="00CA3916" w:rsidP="005E3C92">
            <w:pPr>
              <w:autoSpaceDE w:val="0"/>
              <w:autoSpaceDN w:val="0"/>
              <w:adjustRightInd w:val="0"/>
              <w:ind w:right="2049"/>
              <w:rPr>
                <w:sz w:val="22"/>
                <w:szCs w:val="22"/>
              </w:rPr>
            </w:pPr>
            <w:r w:rsidRPr="006E31EE">
              <w:rPr>
                <w:sz w:val="22"/>
                <w:szCs w:val="22"/>
              </w:rPr>
              <w:t>GS-331007</w:t>
            </w:r>
            <w:r w:rsidRPr="006E31EE">
              <w:rPr>
                <w:sz w:val="22"/>
                <w:szCs w:val="22"/>
                <w:vertAlign w:val="superscript"/>
              </w:rPr>
              <w:t>2</w:t>
            </w:r>
            <w:r w:rsidRPr="006E31EE">
              <w:rPr>
                <w:sz w:val="22"/>
                <w:szCs w:val="22"/>
              </w:rPr>
              <w:t xml:space="preserve">: AUC: ↔ </w:t>
            </w:r>
          </w:p>
          <w:p w14:paraId="75DDA2DA" w14:textId="77777777" w:rsidR="00CA3916" w:rsidRPr="006E31EE" w:rsidRDefault="00CA3916" w:rsidP="005E3C92">
            <w:pPr>
              <w:autoSpaceDE w:val="0"/>
              <w:autoSpaceDN w:val="0"/>
              <w:adjustRightInd w:val="0"/>
              <w:spacing w:after="4"/>
              <w:rPr>
                <w:sz w:val="22"/>
                <w:szCs w:val="22"/>
              </w:rPr>
            </w:pPr>
            <w:r w:rsidRPr="006E31EE">
              <w:rPr>
                <w:sz w:val="22"/>
                <w:szCs w:val="22"/>
              </w:rPr>
              <w:t xml:space="preserve">Cmax: ↔ </w:t>
            </w:r>
          </w:p>
          <w:p w14:paraId="52BD6B8C" w14:textId="77777777" w:rsidR="00CA3916" w:rsidRPr="006E31EE" w:rsidRDefault="00CA3916" w:rsidP="005E3C92">
            <w:pPr>
              <w:autoSpaceDE w:val="0"/>
              <w:autoSpaceDN w:val="0"/>
              <w:adjustRightInd w:val="0"/>
              <w:rPr>
                <w:sz w:val="22"/>
                <w:szCs w:val="22"/>
              </w:rPr>
            </w:pPr>
            <w:r w:rsidRPr="006E31EE">
              <w:rPr>
                <w:sz w:val="22"/>
                <w:szCs w:val="22"/>
              </w:rPr>
              <w:t xml:space="preserve">Cmin: ↔ </w:t>
            </w:r>
          </w:p>
          <w:p w14:paraId="47D3B87E" w14:textId="77777777" w:rsidR="00CA3916" w:rsidRPr="006E31EE" w:rsidRDefault="00CA3916" w:rsidP="005E3C92">
            <w:pPr>
              <w:autoSpaceDE w:val="0"/>
              <w:autoSpaceDN w:val="0"/>
              <w:adjustRightInd w:val="0"/>
              <w:rPr>
                <w:sz w:val="22"/>
                <w:szCs w:val="22"/>
              </w:rPr>
            </w:pPr>
            <w:r w:rsidRPr="006E31EE">
              <w:rPr>
                <w:sz w:val="22"/>
                <w:szCs w:val="22"/>
              </w:rPr>
              <w:t xml:space="preserve"> </w:t>
            </w:r>
          </w:p>
          <w:p w14:paraId="2059A36D" w14:textId="77777777" w:rsidR="00CA3916" w:rsidRPr="006E31EE" w:rsidRDefault="00CA3916" w:rsidP="005E3C92">
            <w:pPr>
              <w:autoSpaceDE w:val="0"/>
              <w:autoSpaceDN w:val="0"/>
              <w:adjustRightInd w:val="0"/>
              <w:rPr>
                <w:sz w:val="22"/>
                <w:szCs w:val="22"/>
              </w:rPr>
            </w:pPr>
            <w:r w:rsidRPr="006E31EE">
              <w:rPr>
                <w:sz w:val="22"/>
                <w:szCs w:val="22"/>
              </w:rPr>
              <w:t xml:space="preserve">Velpatasvir: </w:t>
            </w:r>
          </w:p>
          <w:p w14:paraId="29DF446C" w14:textId="77777777" w:rsidR="00CA3916" w:rsidRPr="006E31EE" w:rsidRDefault="00CA3916" w:rsidP="005E3C92">
            <w:pPr>
              <w:autoSpaceDE w:val="0"/>
              <w:autoSpaceDN w:val="0"/>
              <w:adjustRightInd w:val="0"/>
              <w:rPr>
                <w:sz w:val="22"/>
                <w:szCs w:val="22"/>
              </w:rPr>
            </w:pPr>
            <w:r w:rsidRPr="006E31EE">
              <w:rPr>
                <w:sz w:val="22"/>
                <w:szCs w:val="22"/>
              </w:rPr>
              <w:t xml:space="preserve">AUC: ↓ 53 % </w:t>
            </w:r>
          </w:p>
          <w:p w14:paraId="7550A312" w14:textId="77777777" w:rsidR="00CA3916" w:rsidRPr="006E31EE" w:rsidRDefault="00CA3916" w:rsidP="005E3C92">
            <w:pPr>
              <w:autoSpaceDE w:val="0"/>
              <w:autoSpaceDN w:val="0"/>
              <w:adjustRightInd w:val="0"/>
              <w:rPr>
                <w:sz w:val="22"/>
                <w:szCs w:val="22"/>
              </w:rPr>
            </w:pPr>
            <w:r w:rsidRPr="006E31EE">
              <w:rPr>
                <w:sz w:val="22"/>
                <w:szCs w:val="22"/>
              </w:rPr>
              <w:t xml:space="preserve">Cmax: ↓ 47 % </w:t>
            </w:r>
          </w:p>
          <w:p w14:paraId="318CE074" w14:textId="77777777" w:rsidR="00CA3916" w:rsidRPr="006E31EE" w:rsidRDefault="00CA3916" w:rsidP="005E3C92">
            <w:pPr>
              <w:autoSpaceDE w:val="0"/>
              <w:autoSpaceDN w:val="0"/>
              <w:adjustRightInd w:val="0"/>
              <w:rPr>
                <w:sz w:val="22"/>
                <w:szCs w:val="22"/>
              </w:rPr>
            </w:pPr>
            <w:r w:rsidRPr="006E31EE">
              <w:rPr>
                <w:sz w:val="22"/>
                <w:szCs w:val="22"/>
              </w:rPr>
              <w:t xml:space="preserve">Cmin: ↓ 57 % </w:t>
            </w:r>
          </w:p>
          <w:p w14:paraId="048B7FD0" w14:textId="77777777" w:rsidR="00CA3916" w:rsidRPr="006E31EE" w:rsidRDefault="00CA3916" w:rsidP="005E3C92">
            <w:pPr>
              <w:autoSpaceDE w:val="0"/>
              <w:autoSpaceDN w:val="0"/>
              <w:adjustRightInd w:val="0"/>
              <w:rPr>
                <w:sz w:val="22"/>
                <w:szCs w:val="22"/>
              </w:rPr>
            </w:pPr>
            <w:r w:rsidRPr="006E31EE">
              <w:rPr>
                <w:sz w:val="22"/>
                <w:szCs w:val="22"/>
              </w:rPr>
              <w:t xml:space="preserve"> </w:t>
            </w:r>
          </w:p>
          <w:p w14:paraId="76B2EE7B" w14:textId="77777777" w:rsidR="00CA3916" w:rsidRPr="006E31EE" w:rsidRDefault="00CA3916" w:rsidP="005E3C92">
            <w:pPr>
              <w:keepNext/>
              <w:autoSpaceDE w:val="0"/>
              <w:autoSpaceDN w:val="0"/>
              <w:adjustRightInd w:val="0"/>
              <w:rPr>
                <w:sz w:val="22"/>
                <w:szCs w:val="22"/>
              </w:rPr>
            </w:pPr>
            <w:r w:rsidRPr="006E31EE">
              <w:rPr>
                <w:sz w:val="22"/>
                <w:szCs w:val="22"/>
              </w:rPr>
              <w:lastRenderedPageBreak/>
              <w:t xml:space="preserve">Efavirenz: </w:t>
            </w:r>
          </w:p>
          <w:p w14:paraId="4973CD0F" w14:textId="77777777" w:rsidR="00CA3916" w:rsidRPr="006E31EE" w:rsidRDefault="00CA3916" w:rsidP="005E3C92">
            <w:pPr>
              <w:autoSpaceDE w:val="0"/>
              <w:autoSpaceDN w:val="0"/>
              <w:adjustRightInd w:val="0"/>
              <w:spacing w:after="6"/>
              <w:rPr>
                <w:sz w:val="22"/>
                <w:szCs w:val="22"/>
              </w:rPr>
            </w:pPr>
            <w:r w:rsidRPr="006E31EE">
              <w:rPr>
                <w:sz w:val="22"/>
                <w:szCs w:val="22"/>
              </w:rPr>
              <w:t xml:space="preserve">AUC: ↔ </w:t>
            </w:r>
          </w:p>
          <w:p w14:paraId="7A8E9356" w14:textId="77777777" w:rsidR="00CA3916" w:rsidRPr="006E31EE" w:rsidRDefault="00CA3916" w:rsidP="005E3C92">
            <w:pPr>
              <w:autoSpaceDE w:val="0"/>
              <w:autoSpaceDN w:val="0"/>
              <w:adjustRightInd w:val="0"/>
              <w:spacing w:after="1"/>
              <w:rPr>
                <w:sz w:val="22"/>
                <w:szCs w:val="22"/>
              </w:rPr>
            </w:pPr>
            <w:r w:rsidRPr="006E31EE">
              <w:rPr>
                <w:sz w:val="22"/>
                <w:szCs w:val="22"/>
              </w:rPr>
              <w:t xml:space="preserve">Cmax: ↔ </w:t>
            </w:r>
          </w:p>
          <w:p w14:paraId="4AB730BE" w14:textId="77777777" w:rsidR="00CA3916" w:rsidRPr="006E31EE" w:rsidRDefault="00CA3916" w:rsidP="005E3C92">
            <w:pPr>
              <w:autoSpaceDE w:val="0"/>
              <w:autoSpaceDN w:val="0"/>
              <w:adjustRightInd w:val="0"/>
              <w:rPr>
                <w:sz w:val="22"/>
                <w:szCs w:val="22"/>
              </w:rPr>
            </w:pPr>
            <w:r w:rsidRPr="006E31EE">
              <w:rPr>
                <w:sz w:val="22"/>
                <w:szCs w:val="22"/>
              </w:rPr>
              <w:t xml:space="preserve">Cmin: ↔ </w:t>
            </w:r>
          </w:p>
          <w:p w14:paraId="70D5D571" w14:textId="77777777" w:rsidR="00CA3916" w:rsidRPr="006E31EE" w:rsidRDefault="00CA3916" w:rsidP="005E3C92">
            <w:pPr>
              <w:autoSpaceDE w:val="0"/>
              <w:autoSpaceDN w:val="0"/>
              <w:adjustRightInd w:val="0"/>
              <w:rPr>
                <w:sz w:val="22"/>
                <w:szCs w:val="22"/>
              </w:rPr>
            </w:pPr>
            <w:r w:rsidRPr="006E31EE">
              <w:rPr>
                <w:sz w:val="22"/>
                <w:szCs w:val="22"/>
              </w:rPr>
              <w:t xml:space="preserve"> </w:t>
            </w:r>
          </w:p>
          <w:p w14:paraId="566A49E2" w14:textId="77777777" w:rsidR="00CA3916" w:rsidRPr="006E31EE" w:rsidRDefault="00CA3916" w:rsidP="005E3C92">
            <w:pPr>
              <w:autoSpaceDE w:val="0"/>
              <w:autoSpaceDN w:val="0"/>
              <w:adjustRightInd w:val="0"/>
              <w:rPr>
                <w:sz w:val="22"/>
                <w:szCs w:val="22"/>
              </w:rPr>
            </w:pPr>
            <w:r w:rsidRPr="006E31EE">
              <w:rPr>
                <w:sz w:val="22"/>
                <w:szCs w:val="22"/>
              </w:rPr>
              <w:t xml:space="preserve">Emtricitabin: </w:t>
            </w:r>
          </w:p>
          <w:p w14:paraId="46A14A6D" w14:textId="77777777" w:rsidR="00CA3916" w:rsidRPr="006E31EE" w:rsidRDefault="00CA3916" w:rsidP="005E3C92">
            <w:pPr>
              <w:autoSpaceDE w:val="0"/>
              <w:autoSpaceDN w:val="0"/>
              <w:adjustRightInd w:val="0"/>
              <w:spacing w:after="6"/>
              <w:rPr>
                <w:sz w:val="22"/>
                <w:szCs w:val="22"/>
              </w:rPr>
            </w:pPr>
            <w:r w:rsidRPr="006E31EE">
              <w:rPr>
                <w:sz w:val="22"/>
                <w:szCs w:val="22"/>
              </w:rPr>
              <w:t xml:space="preserve">AUC: ↔ </w:t>
            </w:r>
          </w:p>
          <w:p w14:paraId="34B123F2" w14:textId="77777777" w:rsidR="00CA3916" w:rsidRPr="006E31EE" w:rsidRDefault="00CA3916" w:rsidP="005E3C92">
            <w:pPr>
              <w:autoSpaceDE w:val="0"/>
              <w:autoSpaceDN w:val="0"/>
              <w:adjustRightInd w:val="0"/>
              <w:rPr>
                <w:sz w:val="22"/>
                <w:szCs w:val="22"/>
              </w:rPr>
            </w:pPr>
            <w:r w:rsidRPr="006E31EE">
              <w:rPr>
                <w:sz w:val="22"/>
                <w:szCs w:val="22"/>
              </w:rPr>
              <w:t xml:space="preserve">Cmax: ↔ </w:t>
            </w:r>
          </w:p>
          <w:p w14:paraId="0ABCC76B" w14:textId="77777777" w:rsidR="00CA3916" w:rsidRPr="006E31EE" w:rsidRDefault="00CA3916" w:rsidP="005E3C92">
            <w:pPr>
              <w:autoSpaceDE w:val="0"/>
              <w:autoSpaceDN w:val="0"/>
              <w:adjustRightInd w:val="0"/>
              <w:rPr>
                <w:sz w:val="22"/>
                <w:szCs w:val="22"/>
              </w:rPr>
            </w:pPr>
            <w:r w:rsidRPr="006E31EE">
              <w:rPr>
                <w:sz w:val="22"/>
                <w:szCs w:val="22"/>
              </w:rPr>
              <w:t xml:space="preserve">Cmin: ↔ </w:t>
            </w:r>
          </w:p>
          <w:p w14:paraId="073B18CF" w14:textId="77777777" w:rsidR="00CA3916" w:rsidRPr="006E31EE" w:rsidRDefault="00CA3916" w:rsidP="005E3C92">
            <w:pPr>
              <w:autoSpaceDE w:val="0"/>
              <w:autoSpaceDN w:val="0"/>
              <w:adjustRightInd w:val="0"/>
              <w:rPr>
                <w:sz w:val="22"/>
                <w:szCs w:val="22"/>
              </w:rPr>
            </w:pPr>
            <w:r w:rsidRPr="006E31EE">
              <w:rPr>
                <w:sz w:val="22"/>
                <w:szCs w:val="22"/>
              </w:rPr>
              <w:t xml:space="preserve"> </w:t>
            </w:r>
          </w:p>
          <w:p w14:paraId="013374E0" w14:textId="77777777" w:rsidR="00CA3916" w:rsidRPr="006E31EE" w:rsidRDefault="00CA3916" w:rsidP="005E3C92">
            <w:pPr>
              <w:autoSpaceDE w:val="0"/>
              <w:autoSpaceDN w:val="0"/>
              <w:adjustRightInd w:val="0"/>
              <w:rPr>
                <w:sz w:val="22"/>
                <w:szCs w:val="22"/>
              </w:rPr>
            </w:pPr>
            <w:r w:rsidRPr="006E31EE">
              <w:rPr>
                <w:sz w:val="22"/>
                <w:szCs w:val="22"/>
              </w:rPr>
              <w:t xml:space="preserve">Tenofovir: </w:t>
            </w:r>
          </w:p>
          <w:p w14:paraId="2E176747" w14:textId="77777777" w:rsidR="00CA3916" w:rsidRPr="006E31EE" w:rsidRDefault="00CA3916" w:rsidP="005E3C92">
            <w:pPr>
              <w:autoSpaceDE w:val="0"/>
              <w:autoSpaceDN w:val="0"/>
              <w:adjustRightInd w:val="0"/>
              <w:rPr>
                <w:sz w:val="22"/>
                <w:szCs w:val="22"/>
              </w:rPr>
            </w:pPr>
            <w:r w:rsidRPr="006E31EE">
              <w:rPr>
                <w:sz w:val="22"/>
                <w:szCs w:val="22"/>
              </w:rPr>
              <w:t xml:space="preserve">AUC: ↑ 81 % </w:t>
            </w:r>
          </w:p>
          <w:p w14:paraId="52E1E795" w14:textId="77777777" w:rsidR="00CA3916" w:rsidRPr="006E31EE" w:rsidRDefault="00CA3916" w:rsidP="005E3C92">
            <w:pPr>
              <w:autoSpaceDE w:val="0"/>
              <w:autoSpaceDN w:val="0"/>
              <w:adjustRightInd w:val="0"/>
              <w:rPr>
                <w:sz w:val="22"/>
                <w:szCs w:val="22"/>
              </w:rPr>
            </w:pPr>
            <w:r w:rsidRPr="006E31EE">
              <w:rPr>
                <w:sz w:val="22"/>
                <w:szCs w:val="22"/>
              </w:rPr>
              <w:t xml:space="preserve">Cmax: ↑ 77 % </w:t>
            </w:r>
          </w:p>
          <w:p w14:paraId="3F7E2DD6" w14:textId="77777777" w:rsidR="00CA3916" w:rsidRPr="006E31EE" w:rsidRDefault="00CA3916" w:rsidP="005E3C92">
            <w:pPr>
              <w:rPr>
                <w:color w:val="000000" w:themeColor="text1"/>
                <w:sz w:val="22"/>
                <w:szCs w:val="22"/>
              </w:rPr>
            </w:pPr>
            <w:r w:rsidRPr="006E31EE">
              <w:rPr>
                <w:sz w:val="22"/>
                <w:szCs w:val="22"/>
              </w:rPr>
              <w:t>Cmin: ↑ 121 %</w:t>
            </w:r>
          </w:p>
        </w:tc>
        <w:tc>
          <w:tcPr>
            <w:tcW w:w="1745" w:type="pct"/>
          </w:tcPr>
          <w:p w14:paraId="66B13FB5" w14:textId="77777777" w:rsidR="00CA3916" w:rsidRPr="006E31EE" w:rsidRDefault="00CA3916" w:rsidP="005E3C92">
            <w:pPr>
              <w:rPr>
                <w:sz w:val="22"/>
                <w:szCs w:val="22"/>
              </w:rPr>
            </w:pPr>
            <w:r w:rsidRPr="006E31EE">
              <w:rPr>
                <w:sz w:val="22"/>
                <w:szCs w:val="22"/>
              </w:rPr>
              <w:lastRenderedPageBreak/>
              <w:t xml:space="preserve">Samtidig administration af sofosbuvir/velpatasvir og efavirenz forventes at reducere plasmakoncentrationen af velpatasvir. Samtidig administration af sofosbuvir/velpatasvir og regimer, der indeholder efavirenz, frarådes. </w:t>
            </w:r>
          </w:p>
        </w:tc>
      </w:tr>
      <w:tr w:rsidR="00CA3916" w:rsidRPr="006E31EE" w14:paraId="7EDFCCAC" w14:textId="77777777" w:rsidTr="005E3C92">
        <w:trPr>
          <w:trHeight w:val="273"/>
        </w:trPr>
        <w:tc>
          <w:tcPr>
            <w:tcW w:w="1667" w:type="pct"/>
            <w:tcBorders>
              <w:top w:val="single" w:sz="4" w:space="0" w:color="auto"/>
              <w:left w:val="single" w:sz="4" w:space="0" w:color="auto"/>
              <w:bottom w:val="single" w:sz="4" w:space="0" w:color="auto"/>
              <w:right w:val="single" w:sz="4" w:space="0" w:color="auto"/>
            </w:tcBorders>
            <w:shd w:val="clear" w:color="auto" w:fill="auto"/>
          </w:tcPr>
          <w:p w14:paraId="6AEF83F7" w14:textId="77777777" w:rsidR="00CA3916" w:rsidRPr="006E31EE" w:rsidRDefault="00CA3916" w:rsidP="005E3C92">
            <w:pPr>
              <w:rPr>
                <w:color w:val="000000" w:themeColor="text1"/>
                <w:sz w:val="22"/>
                <w:szCs w:val="22"/>
              </w:rPr>
            </w:pPr>
            <w:r w:rsidRPr="006E31EE">
              <w:rPr>
                <w:color w:val="000000" w:themeColor="text1"/>
                <w:sz w:val="22"/>
                <w:szCs w:val="22"/>
              </w:rPr>
              <w:t xml:space="preserve">Sofosbuvir/velpatasvir </w:t>
            </w:r>
          </w:p>
          <w:p w14:paraId="01A69D56" w14:textId="77777777" w:rsidR="00CA3916" w:rsidRPr="006E31EE" w:rsidRDefault="00CA3916" w:rsidP="005E3C92">
            <w:pPr>
              <w:rPr>
                <w:color w:val="000000" w:themeColor="text1"/>
                <w:sz w:val="22"/>
                <w:szCs w:val="22"/>
              </w:rPr>
            </w:pPr>
            <w:r w:rsidRPr="006E31EE">
              <w:rPr>
                <w:color w:val="000000" w:themeColor="text1"/>
                <w:sz w:val="22"/>
                <w:szCs w:val="22"/>
              </w:rPr>
              <w:t xml:space="preserve">(400 mg/100 mg q.d.) + </w:t>
            </w:r>
          </w:p>
          <w:p w14:paraId="6FEE906E" w14:textId="77777777" w:rsidR="00CA3916" w:rsidRPr="006E31EE" w:rsidRDefault="00CA3916" w:rsidP="005E3C92">
            <w:pPr>
              <w:rPr>
                <w:color w:val="000000" w:themeColor="text1"/>
                <w:sz w:val="22"/>
                <w:szCs w:val="22"/>
              </w:rPr>
            </w:pPr>
            <w:r w:rsidRPr="006E31EE">
              <w:rPr>
                <w:color w:val="000000" w:themeColor="text1"/>
                <w:sz w:val="22"/>
                <w:szCs w:val="22"/>
              </w:rPr>
              <w:t xml:space="preserve">emtricitabin/rilpivirin/ </w:t>
            </w:r>
          </w:p>
          <w:p w14:paraId="2E27C1E7" w14:textId="77777777" w:rsidR="00CA3916" w:rsidRPr="006E31EE" w:rsidRDefault="00CA3916" w:rsidP="005E3C92">
            <w:pPr>
              <w:rPr>
                <w:color w:val="000000" w:themeColor="text1"/>
                <w:sz w:val="22"/>
                <w:szCs w:val="22"/>
              </w:rPr>
            </w:pPr>
            <w:r w:rsidRPr="006E31EE">
              <w:rPr>
                <w:color w:val="000000" w:themeColor="text1"/>
                <w:sz w:val="22"/>
                <w:szCs w:val="22"/>
              </w:rPr>
              <w:t xml:space="preserve">tenofovirdisoproxil </w:t>
            </w:r>
          </w:p>
          <w:p w14:paraId="46467630" w14:textId="77777777" w:rsidR="00CA3916" w:rsidRPr="006E31EE" w:rsidRDefault="00CA3916" w:rsidP="005E3C92">
            <w:pPr>
              <w:rPr>
                <w:color w:val="000000" w:themeColor="text1"/>
                <w:sz w:val="22"/>
                <w:szCs w:val="22"/>
              </w:rPr>
            </w:pPr>
            <w:r w:rsidRPr="006E31EE">
              <w:rPr>
                <w:color w:val="000000" w:themeColor="text1"/>
                <w:sz w:val="22"/>
                <w:szCs w:val="22"/>
              </w:rPr>
              <w:t>(200 mg/25 mg/245 mg q.d.)</w:t>
            </w:r>
          </w:p>
        </w:tc>
        <w:tc>
          <w:tcPr>
            <w:tcW w:w="1588" w:type="pct"/>
            <w:gridSpan w:val="2"/>
            <w:tcBorders>
              <w:top w:val="single" w:sz="4" w:space="0" w:color="auto"/>
              <w:left w:val="single" w:sz="4" w:space="0" w:color="auto"/>
              <w:bottom w:val="single" w:sz="4" w:space="0" w:color="auto"/>
              <w:right w:val="single" w:sz="4" w:space="0" w:color="auto"/>
            </w:tcBorders>
            <w:shd w:val="clear" w:color="auto" w:fill="auto"/>
          </w:tcPr>
          <w:p w14:paraId="1830DCEB" w14:textId="77777777" w:rsidR="00CA3916" w:rsidRPr="006E31EE" w:rsidRDefault="00CA3916" w:rsidP="005E3C92">
            <w:pPr>
              <w:rPr>
                <w:color w:val="000000" w:themeColor="text1"/>
                <w:sz w:val="22"/>
                <w:szCs w:val="22"/>
              </w:rPr>
            </w:pPr>
            <w:r w:rsidRPr="006E31EE">
              <w:rPr>
                <w:color w:val="000000" w:themeColor="text1"/>
                <w:sz w:val="22"/>
                <w:szCs w:val="22"/>
              </w:rPr>
              <w:t xml:space="preserve">Sofosbuvir: </w:t>
            </w:r>
          </w:p>
          <w:p w14:paraId="2597CFCE" w14:textId="77777777" w:rsidR="00CA3916" w:rsidRPr="006E31EE" w:rsidRDefault="00CA3916" w:rsidP="005E3C92">
            <w:pPr>
              <w:rPr>
                <w:color w:val="000000" w:themeColor="text1"/>
                <w:sz w:val="22"/>
                <w:szCs w:val="22"/>
              </w:rPr>
            </w:pPr>
            <w:r w:rsidRPr="006E31EE">
              <w:rPr>
                <w:color w:val="000000" w:themeColor="text1"/>
                <w:sz w:val="22"/>
                <w:szCs w:val="22"/>
              </w:rPr>
              <w:t xml:space="preserve">AUC: ↔ </w:t>
            </w:r>
          </w:p>
          <w:p w14:paraId="4C0BE0A9" w14:textId="77777777" w:rsidR="00CA3916" w:rsidRPr="006E31EE" w:rsidRDefault="00CA3916" w:rsidP="005E3C92">
            <w:pPr>
              <w:rPr>
                <w:color w:val="000000" w:themeColor="text1"/>
                <w:sz w:val="22"/>
                <w:szCs w:val="22"/>
              </w:rPr>
            </w:pPr>
            <w:r w:rsidRPr="006E31EE">
              <w:rPr>
                <w:color w:val="000000" w:themeColor="text1"/>
                <w:sz w:val="22"/>
                <w:szCs w:val="22"/>
              </w:rPr>
              <w:t xml:space="preserve">Cmax: ↔ </w:t>
            </w:r>
          </w:p>
          <w:p w14:paraId="7EB69087" w14:textId="77777777" w:rsidR="00CA3916" w:rsidRPr="006E31EE" w:rsidRDefault="00CA3916" w:rsidP="005E3C92">
            <w:pPr>
              <w:rPr>
                <w:color w:val="000000" w:themeColor="text1"/>
                <w:sz w:val="22"/>
                <w:szCs w:val="22"/>
              </w:rPr>
            </w:pPr>
            <w:r w:rsidRPr="006E31EE">
              <w:rPr>
                <w:color w:val="000000" w:themeColor="text1"/>
                <w:sz w:val="22"/>
                <w:szCs w:val="22"/>
              </w:rPr>
              <w:t xml:space="preserve"> </w:t>
            </w:r>
          </w:p>
          <w:p w14:paraId="3CD382C7" w14:textId="77777777" w:rsidR="00CA3916" w:rsidRPr="006E31EE" w:rsidRDefault="00CA3916" w:rsidP="005E3C92">
            <w:pPr>
              <w:rPr>
                <w:color w:val="000000" w:themeColor="text1"/>
                <w:sz w:val="22"/>
                <w:szCs w:val="22"/>
              </w:rPr>
            </w:pPr>
            <w:r w:rsidRPr="006E31EE">
              <w:rPr>
                <w:color w:val="000000" w:themeColor="text1"/>
                <w:sz w:val="22"/>
                <w:szCs w:val="22"/>
              </w:rPr>
              <w:t xml:space="preserve">GS-3310072: </w:t>
            </w:r>
          </w:p>
          <w:p w14:paraId="194CF053" w14:textId="77777777" w:rsidR="00CA3916" w:rsidRPr="006E31EE" w:rsidRDefault="00CA3916" w:rsidP="005E3C92">
            <w:pPr>
              <w:rPr>
                <w:color w:val="000000" w:themeColor="text1"/>
                <w:sz w:val="22"/>
                <w:szCs w:val="22"/>
              </w:rPr>
            </w:pPr>
            <w:r w:rsidRPr="006E31EE">
              <w:rPr>
                <w:color w:val="000000" w:themeColor="text1"/>
                <w:sz w:val="22"/>
                <w:szCs w:val="22"/>
              </w:rPr>
              <w:t xml:space="preserve">AUC: ↔ </w:t>
            </w:r>
          </w:p>
          <w:p w14:paraId="37AC6670" w14:textId="77777777" w:rsidR="00CA3916" w:rsidRPr="006E31EE" w:rsidRDefault="00CA3916" w:rsidP="005E3C92">
            <w:pPr>
              <w:rPr>
                <w:color w:val="000000" w:themeColor="text1"/>
                <w:sz w:val="22"/>
                <w:szCs w:val="22"/>
              </w:rPr>
            </w:pPr>
            <w:r w:rsidRPr="006E31EE">
              <w:rPr>
                <w:color w:val="000000" w:themeColor="text1"/>
                <w:sz w:val="22"/>
                <w:szCs w:val="22"/>
              </w:rPr>
              <w:t xml:space="preserve">Cmax: ↔ </w:t>
            </w:r>
          </w:p>
          <w:p w14:paraId="6BE298B2" w14:textId="77777777" w:rsidR="00CA3916" w:rsidRPr="006E31EE" w:rsidRDefault="00CA3916" w:rsidP="005E3C92">
            <w:pPr>
              <w:rPr>
                <w:color w:val="000000" w:themeColor="text1"/>
                <w:sz w:val="22"/>
                <w:szCs w:val="22"/>
              </w:rPr>
            </w:pPr>
            <w:r w:rsidRPr="006E31EE">
              <w:rPr>
                <w:color w:val="000000" w:themeColor="text1"/>
                <w:sz w:val="22"/>
                <w:szCs w:val="22"/>
              </w:rPr>
              <w:t xml:space="preserve">Cmin: ↔ </w:t>
            </w:r>
          </w:p>
          <w:p w14:paraId="6F08E5D6" w14:textId="77777777" w:rsidR="00CA3916" w:rsidRPr="006E31EE" w:rsidRDefault="00CA3916" w:rsidP="005E3C92">
            <w:pPr>
              <w:rPr>
                <w:color w:val="000000" w:themeColor="text1"/>
                <w:sz w:val="22"/>
                <w:szCs w:val="22"/>
              </w:rPr>
            </w:pPr>
            <w:r w:rsidRPr="006E31EE">
              <w:rPr>
                <w:color w:val="000000" w:themeColor="text1"/>
                <w:sz w:val="22"/>
                <w:szCs w:val="22"/>
              </w:rPr>
              <w:t xml:space="preserve"> </w:t>
            </w:r>
          </w:p>
          <w:p w14:paraId="436648A4" w14:textId="77777777" w:rsidR="00CA3916" w:rsidRPr="006E31EE" w:rsidRDefault="00CA3916" w:rsidP="005E3C92">
            <w:pPr>
              <w:rPr>
                <w:color w:val="000000" w:themeColor="text1"/>
                <w:sz w:val="22"/>
                <w:szCs w:val="22"/>
              </w:rPr>
            </w:pPr>
            <w:r w:rsidRPr="006E31EE">
              <w:rPr>
                <w:color w:val="000000" w:themeColor="text1"/>
                <w:sz w:val="22"/>
                <w:szCs w:val="22"/>
              </w:rPr>
              <w:t xml:space="preserve">Velpatasvir: </w:t>
            </w:r>
          </w:p>
          <w:p w14:paraId="45FD85D5" w14:textId="77777777" w:rsidR="00CA3916" w:rsidRPr="006E31EE" w:rsidRDefault="00CA3916" w:rsidP="005E3C92">
            <w:pPr>
              <w:rPr>
                <w:color w:val="000000" w:themeColor="text1"/>
                <w:sz w:val="22"/>
                <w:szCs w:val="22"/>
              </w:rPr>
            </w:pPr>
            <w:r w:rsidRPr="006E31EE">
              <w:rPr>
                <w:color w:val="000000" w:themeColor="text1"/>
                <w:sz w:val="22"/>
                <w:szCs w:val="22"/>
              </w:rPr>
              <w:t xml:space="preserve">AUC: ↔ </w:t>
            </w:r>
          </w:p>
          <w:p w14:paraId="2A041672" w14:textId="77777777" w:rsidR="00CA3916" w:rsidRPr="006E31EE" w:rsidRDefault="00CA3916" w:rsidP="005E3C92">
            <w:pPr>
              <w:rPr>
                <w:color w:val="000000" w:themeColor="text1"/>
                <w:sz w:val="22"/>
                <w:szCs w:val="22"/>
              </w:rPr>
            </w:pPr>
            <w:r w:rsidRPr="006E31EE">
              <w:rPr>
                <w:color w:val="000000" w:themeColor="text1"/>
                <w:sz w:val="22"/>
                <w:szCs w:val="22"/>
              </w:rPr>
              <w:t xml:space="preserve">Cmax: ↔ </w:t>
            </w:r>
          </w:p>
          <w:p w14:paraId="79DDD3A0" w14:textId="77777777" w:rsidR="00CA3916" w:rsidRPr="006E31EE" w:rsidRDefault="00CA3916" w:rsidP="005E3C92">
            <w:pPr>
              <w:rPr>
                <w:color w:val="000000" w:themeColor="text1"/>
                <w:sz w:val="22"/>
                <w:szCs w:val="22"/>
              </w:rPr>
            </w:pPr>
            <w:r w:rsidRPr="006E31EE">
              <w:rPr>
                <w:color w:val="000000" w:themeColor="text1"/>
                <w:sz w:val="22"/>
                <w:szCs w:val="22"/>
              </w:rPr>
              <w:t xml:space="preserve">Cmin: ↔ </w:t>
            </w:r>
          </w:p>
          <w:p w14:paraId="4E0C9484" w14:textId="77777777" w:rsidR="00CA3916" w:rsidRPr="006E31EE" w:rsidRDefault="00CA3916" w:rsidP="005E3C92">
            <w:pPr>
              <w:rPr>
                <w:color w:val="000000" w:themeColor="text1"/>
                <w:sz w:val="22"/>
                <w:szCs w:val="22"/>
              </w:rPr>
            </w:pPr>
            <w:r w:rsidRPr="006E31EE">
              <w:rPr>
                <w:color w:val="000000" w:themeColor="text1"/>
                <w:sz w:val="22"/>
                <w:szCs w:val="22"/>
              </w:rPr>
              <w:t xml:space="preserve"> </w:t>
            </w:r>
          </w:p>
          <w:p w14:paraId="53AA5B4D" w14:textId="77777777" w:rsidR="00CA3916" w:rsidRPr="006E31EE" w:rsidRDefault="00CA3916" w:rsidP="005E3C92">
            <w:pPr>
              <w:rPr>
                <w:color w:val="000000" w:themeColor="text1"/>
                <w:sz w:val="22"/>
                <w:szCs w:val="22"/>
              </w:rPr>
            </w:pPr>
            <w:r w:rsidRPr="006E31EE">
              <w:rPr>
                <w:color w:val="000000" w:themeColor="text1"/>
                <w:sz w:val="22"/>
                <w:szCs w:val="22"/>
              </w:rPr>
              <w:t xml:space="preserve">Emtricitabin: </w:t>
            </w:r>
          </w:p>
          <w:p w14:paraId="497D8086" w14:textId="77777777" w:rsidR="00CA3916" w:rsidRPr="006E31EE" w:rsidRDefault="00CA3916" w:rsidP="005E3C92">
            <w:pPr>
              <w:rPr>
                <w:color w:val="000000" w:themeColor="text1"/>
                <w:sz w:val="22"/>
                <w:szCs w:val="22"/>
              </w:rPr>
            </w:pPr>
            <w:r w:rsidRPr="006E31EE">
              <w:rPr>
                <w:color w:val="000000" w:themeColor="text1"/>
                <w:sz w:val="22"/>
                <w:szCs w:val="22"/>
              </w:rPr>
              <w:t xml:space="preserve">AUC: ↔ </w:t>
            </w:r>
          </w:p>
          <w:p w14:paraId="6EB86F91" w14:textId="77777777" w:rsidR="00CA3916" w:rsidRPr="006E31EE" w:rsidRDefault="00CA3916" w:rsidP="005E3C92">
            <w:pPr>
              <w:rPr>
                <w:color w:val="000000" w:themeColor="text1"/>
                <w:sz w:val="22"/>
                <w:szCs w:val="22"/>
              </w:rPr>
            </w:pPr>
            <w:r w:rsidRPr="006E31EE">
              <w:rPr>
                <w:color w:val="000000" w:themeColor="text1"/>
                <w:sz w:val="22"/>
                <w:szCs w:val="22"/>
              </w:rPr>
              <w:t xml:space="preserve">Cmax: ↔ </w:t>
            </w:r>
          </w:p>
          <w:p w14:paraId="349CF42E" w14:textId="77777777" w:rsidR="00CA3916" w:rsidRPr="006E31EE" w:rsidRDefault="00CA3916" w:rsidP="005E3C92">
            <w:pPr>
              <w:rPr>
                <w:color w:val="000000" w:themeColor="text1"/>
                <w:sz w:val="22"/>
                <w:szCs w:val="22"/>
              </w:rPr>
            </w:pPr>
            <w:r w:rsidRPr="006E31EE">
              <w:rPr>
                <w:color w:val="000000" w:themeColor="text1"/>
                <w:sz w:val="22"/>
                <w:szCs w:val="22"/>
              </w:rPr>
              <w:t xml:space="preserve">Cmin: ↔ </w:t>
            </w:r>
          </w:p>
          <w:p w14:paraId="04504EC6" w14:textId="77777777" w:rsidR="00CA3916" w:rsidRPr="006E31EE" w:rsidRDefault="00CA3916" w:rsidP="005E3C92">
            <w:pPr>
              <w:rPr>
                <w:color w:val="000000" w:themeColor="text1"/>
                <w:sz w:val="22"/>
                <w:szCs w:val="22"/>
              </w:rPr>
            </w:pPr>
            <w:r w:rsidRPr="006E31EE">
              <w:rPr>
                <w:color w:val="000000" w:themeColor="text1"/>
                <w:sz w:val="22"/>
                <w:szCs w:val="22"/>
              </w:rPr>
              <w:t xml:space="preserve"> </w:t>
            </w:r>
          </w:p>
          <w:p w14:paraId="17EAAF0A" w14:textId="77777777" w:rsidR="00CA3916" w:rsidRPr="006E31EE" w:rsidRDefault="00CA3916" w:rsidP="005E3C92">
            <w:pPr>
              <w:rPr>
                <w:color w:val="000000" w:themeColor="text1"/>
                <w:sz w:val="22"/>
                <w:szCs w:val="22"/>
              </w:rPr>
            </w:pPr>
            <w:r w:rsidRPr="006E31EE">
              <w:rPr>
                <w:color w:val="000000" w:themeColor="text1"/>
                <w:sz w:val="22"/>
                <w:szCs w:val="22"/>
              </w:rPr>
              <w:t xml:space="preserve">Rilpivirin: </w:t>
            </w:r>
          </w:p>
          <w:p w14:paraId="2149D373" w14:textId="77777777" w:rsidR="00CA3916" w:rsidRPr="006E31EE" w:rsidRDefault="00CA3916" w:rsidP="005E3C92">
            <w:pPr>
              <w:rPr>
                <w:color w:val="000000" w:themeColor="text1"/>
                <w:sz w:val="22"/>
                <w:szCs w:val="22"/>
              </w:rPr>
            </w:pPr>
            <w:r w:rsidRPr="006E31EE">
              <w:rPr>
                <w:color w:val="000000" w:themeColor="text1"/>
                <w:sz w:val="22"/>
                <w:szCs w:val="22"/>
              </w:rPr>
              <w:t xml:space="preserve">AUC: ↔ </w:t>
            </w:r>
          </w:p>
          <w:p w14:paraId="28419AD3" w14:textId="77777777" w:rsidR="00CA3916" w:rsidRPr="006E31EE" w:rsidRDefault="00CA3916" w:rsidP="005E3C92">
            <w:pPr>
              <w:rPr>
                <w:color w:val="000000" w:themeColor="text1"/>
                <w:sz w:val="22"/>
                <w:szCs w:val="22"/>
              </w:rPr>
            </w:pPr>
            <w:r w:rsidRPr="006E31EE">
              <w:rPr>
                <w:color w:val="000000" w:themeColor="text1"/>
                <w:sz w:val="22"/>
                <w:szCs w:val="22"/>
              </w:rPr>
              <w:t xml:space="preserve">Cmax: ↔ </w:t>
            </w:r>
          </w:p>
          <w:p w14:paraId="77DD6565" w14:textId="77777777" w:rsidR="00CA3916" w:rsidRPr="006E31EE" w:rsidRDefault="00CA3916" w:rsidP="005E3C92">
            <w:pPr>
              <w:rPr>
                <w:color w:val="000000" w:themeColor="text1"/>
                <w:sz w:val="22"/>
                <w:szCs w:val="22"/>
              </w:rPr>
            </w:pPr>
            <w:r w:rsidRPr="006E31EE">
              <w:rPr>
                <w:color w:val="000000" w:themeColor="text1"/>
                <w:sz w:val="22"/>
                <w:szCs w:val="22"/>
              </w:rPr>
              <w:t xml:space="preserve">Cmin: ↔ </w:t>
            </w:r>
          </w:p>
          <w:p w14:paraId="0387BE3E" w14:textId="77777777" w:rsidR="00CA3916" w:rsidRPr="006E31EE" w:rsidRDefault="00CA3916" w:rsidP="005E3C92">
            <w:pPr>
              <w:rPr>
                <w:color w:val="000000" w:themeColor="text1"/>
                <w:sz w:val="22"/>
                <w:szCs w:val="22"/>
              </w:rPr>
            </w:pPr>
            <w:r w:rsidRPr="006E31EE">
              <w:rPr>
                <w:color w:val="000000" w:themeColor="text1"/>
                <w:sz w:val="22"/>
                <w:szCs w:val="22"/>
              </w:rPr>
              <w:t xml:space="preserve"> </w:t>
            </w:r>
          </w:p>
          <w:p w14:paraId="099A0F64" w14:textId="77777777" w:rsidR="00CA3916" w:rsidRPr="006E31EE" w:rsidRDefault="00CA3916" w:rsidP="005E3C92">
            <w:pPr>
              <w:rPr>
                <w:color w:val="000000" w:themeColor="text1"/>
                <w:sz w:val="22"/>
                <w:szCs w:val="22"/>
              </w:rPr>
            </w:pPr>
            <w:r w:rsidRPr="006E31EE">
              <w:rPr>
                <w:color w:val="000000" w:themeColor="text1"/>
                <w:sz w:val="22"/>
                <w:szCs w:val="22"/>
              </w:rPr>
              <w:t xml:space="preserve">Tenofovir: </w:t>
            </w:r>
          </w:p>
          <w:p w14:paraId="764D3203" w14:textId="77777777" w:rsidR="00CA3916" w:rsidRPr="006E31EE" w:rsidRDefault="00CA3916" w:rsidP="005E3C92">
            <w:pPr>
              <w:rPr>
                <w:color w:val="000000" w:themeColor="text1"/>
                <w:sz w:val="22"/>
                <w:szCs w:val="22"/>
              </w:rPr>
            </w:pPr>
            <w:r w:rsidRPr="006E31EE">
              <w:rPr>
                <w:color w:val="000000" w:themeColor="text1"/>
                <w:sz w:val="22"/>
                <w:szCs w:val="22"/>
              </w:rPr>
              <w:t xml:space="preserve">AUC: ↑ 40 % </w:t>
            </w:r>
          </w:p>
          <w:p w14:paraId="0A849042" w14:textId="77777777" w:rsidR="00CA3916" w:rsidRPr="006E31EE" w:rsidRDefault="00CA3916" w:rsidP="005E3C92">
            <w:pPr>
              <w:rPr>
                <w:color w:val="000000" w:themeColor="text1"/>
                <w:sz w:val="22"/>
                <w:szCs w:val="22"/>
              </w:rPr>
            </w:pPr>
            <w:r w:rsidRPr="006E31EE">
              <w:rPr>
                <w:color w:val="000000" w:themeColor="text1"/>
                <w:sz w:val="22"/>
                <w:szCs w:val="22"/>
              </w:rPr>
              <w:t xml:space="preserve">Cmax: ↑ 44 % </w:t>
            </w:r>
          </w:p>
          <w:p w14:paraId="1A9EEE80" w14:textId="77777777" w:rsidR="00CA3916" w:rsidRPr="006E31EE" w:rsidRDefault="00CA3916" w:rsidP="005E3C92">
            <w:pPr>
              <w:rPr>
                <w:color w:val="000000" w:themeColor="text1"/>
                <w:sz w:val="22"/>
                <w:szCs w:val="22"/>
              </w:rPr>
            </w:pPr>
            <w:r w:rsidRPr="006E31EE">
              <w:rPr>
                <w:color w:val="000000" w:themeColor="text1"/>
                <w:sz w:val="22"/>
                <w:szCs w:val="22"/>
              </w:rPr>
              <w:t xml:space="preserve">Cmin: ↑ 84 % </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5E3052A8" w14:textId="77777777" w:rsidR="00CA3916" w:rsidRPr="006E31EE" w:rsidRDefault="00CA3916" w:rsidP="005E3C92">
            <w:pPr>
              <w:rPr>
                <w:sz w:val="22"/>
                <w:szCs w:val="22"/>
              </w:rPr>
            </w:pPr>
            <w:r w:rsidRPr="006E31EE">
              <w:rPr>
                <w:sz w:val="22"/>
                <w:szCs w:val="22"/>
              </w:rPr>
              <w:t>Der anbefales ingen dosisjustering. Den øgede eksponering af tenofovir kan forstærke bivirkninger forbundet med tenofovirdisoproxil, herunder nyrelidelser. Nyrefunktionen skal overvåges nøje (se pkt. 4.4).</w:t>
            </w:r>
          </w:p>
        </w:tc>
      </w:tr>
      <w:tr w:rsidR="00CA3916" w:rsidRPr="006E31EE" w14:paraId="767C06E9" w14:textId="77777777" w:rsidTr="005E3C92">
        <w:trPr>
          <w:trHeight w:val="273"/>
        </w:trPr>
        <w:tc>
          <w:tcPr>
            <w:tcW w:w="1667" w:type="pct"/>
          </w:tcPr>
          <w:p w14:paraId="6ABBD3EC" w14:textId="77777777" w:rsidR="00CA3916" w:rsidRPr="006E31EE" w:rsidRDefault="00CA3916" w:rsidP="005E3C92">
            <w:pPr>
              <w:autoSpaceDE w:val="0"/>
              <w:autoSpaceDN w:val="0"/>
              <w:adjustRightInd w:val="0"/>
              <w:rPr>
                <w:sz w:val="22"/>
                <w:szCs w:val="22"/>
              </w:rPr>
            </w:pPr>
            <w:r w:rsidRPr="006E31EE">
              <w:rPr>
                <w:sz w:val="22"/>
                <w:szCs w:val="22"/>
              </w:rPr>
              <w:t xml:space="preserve">Sofosbuvir/velpatasvir/ </w:t>
            </w:r>
          </w:p>
          <w:p w14:paraId="42BE053D" w14:textId="77777777" w:rsidR="00CA3916" w:rsidRPr="006E31EE" w:rsidRDefault="00CA3916" w:rsidP="005E3C92">
            <w:pPr>
              <w:autoSpaceDE w:val="0"/>
              <w:autoSpaceDN w:val="0"/>
              <w:adjustRightInd w:val="0"/>
              <w:rPr>
                <w:sz w:val="22"/>
                <w:szCs w:val="22"/>
              </w:rPr>
            </w:pPr>
            <w:r w:rsidRPr="006E31EE">
              <w:rPr>
                <w:sz w:val="22"/>
                <w:szCs w:val="22"/>
              </w:rPr>
              <w:t xml:space="preserve">voxilaprevir (400 mg/100 mg/ </w:t>
            </w:r>
          </w:p>
          <w:p w14:paraId="0EDBBC58" w14:textId="77777777" w:rsidR="00CA3916" w:rsidRPr="00C521AB" w:rsidRDefault="00CA3916" w:rsidP="005E3C92">
            <w:pPr>
              <w:autoSpaceDE w:val="0"/>
              <w:autoSpaceDN w:val="0"/>
              <w:adjustRightInd w:val="0"/>
              <w:rPr>
                <w:sz w:val="22"/>
                <w:szCs w:val="22"/>
                <w:lang w:val="de-DE"/>
              </w:rPr>
            </w:pPr>
            <w:r w:rsidRPr="00C521AB">
              <w:rPr>
                <w:sz w:val="22"/>
                <w:szCs w:val="22"/>
                <w:lang w:val="de-DE"/>
              </w:rPr>
              <w:t>100 mg+100 mg q.d.)</w:t>
            </w:r>
            <w:r w:rsidRPr="00C521AB">
              <w:rPr>
                <w:sz w:val="22"/>
                <w:szCs w:val="22"/>
                <w:vertAlign w:val="superscript"/>
                <w:lang w:val="de-DE"/>
              </w:rPr>
              <w:t>3</w:t>
            </w:r>
            <w:r w:rsidRPr="00C521AB">
              <w:rPr>
                <w:sz w:val="22"/>
                <w:szCs w:val="22"/>
                <w:lang w:val="de-DE"/>
              </w:rPr>
              <w:t xml:space="preserve"> + </w:t>
            </w:r>
          </w:p>
          <w:p w14:paraId="1ED544E0" w14:textId="77777777" w:rsidR="00CA3916" w:rsidRPr="00C521AB" w:rsidRDefault="00CA3916" w:rsidP="005E3C92">
            <w:pPr>
              <w:autoSpaceDE w:val="0"/>
              <w:autoSpaceDN w:val="0"/>
              <w:adjustRightInd w:val="0"/>
              <w:rPr>
                <w:sz w:val="22"/>
                <w:szCs w:val="22"/>
                <w:lang w:val="de-DE"/>
              </w:rPr>
            </w:pPr>
            <w:r w:rsidRPr="00C521AB">
              <w:rPr>
                <w:sz w:val="22"/>
                <w:szCs w:val="22"/>
                <w:lang w:val="de-DE"/>
              </w:rPr>
              <w:t xml:space="preserve">darunavir (800 mg q.d.) + </w:t>
            </w:r>
          </w:p>
          <w:p w14:paraId="76C01518" w14:textId="77777777" w:rsidR="00CA3916" w:rsidRPr="00C521AB" w:rsidRDefault="00CA3916" w:rsidP="005E3C92">
            <w:pPr>
              <w:rPr>
                <w:color w:val="000000" w:themeColor="text1"/>
                <w:sz w:val="22"/>
                <w:szCs w:val="22"/>
                <w:lang w:val="de-DE"/>
              </w:rPr>
            </w:pPr>
            <w:r w:rsidRPr="00C521AB">
              <w:rPr>
                <w:sz w:val="22"/>
                <w:szCs w:val="22"/>
                <w:lang w:val="de-DE"/>
              </w:rPr>
              <w:t>ritonavir (100 mg q.d.) + emtricitabin/tenofovirdisoproxil (200 mg/245 mg q.d.)</w:t>
            </w:r>
          </w:p>
        </w:tc>
        <w:tc>
          <w:tcPr>
            <w:tcW w:w="1588" w:type="pct"/>
            <w:gridSpan w:val="2"/>
          </w:tcPr>
          <w:p w14:paraId="41F6441D" w14:textId="77777777" w:rsidR="00CA3916" w:rsidRPr="00C521AB" w:rsidRDefault="00CA3916" w:rsidP="005E3C92">
            <w:pPr>
              <w:autoSpaceDE w:val="0"/>
              <w:autoSpaceDN w:val="0"/>
              <w:adjustRightInd w:val="0"/>
              <w:rPr>
                <w:sz w:val="22"/>
                <w:szCs w:val="22"/>
                <w:lang w:val="de-DE"/>
              </w:rPr>
            </w:pPr>
            <w:r w:rsidRPr="00C521AB">
              <w:rPr>
                <w:sz w:val="22"/>
                <w:szCs w:val="22"/>
                <w:lang w:val="de-DE"/>
              </w:rPr>
              <w:t xml:space="preserve">Sofosbuvir: </w:t>
            </w:r>
          </w:p>
          <w:p w14:paraId="1F9FD2E5" w14:textId="77777777" w:rsidR="00CA3916" w:rsidRPr="00C521AB" w:rsidRDefault="00CA3916" w:rsidP="005E3C92">
            <w:pPr>
              <w:autoSpaceDE w:val="0"/>
              <w:autoSpaceDN w:val="0"/>
              <w:adjustRightInd w:val="0"/>
              <w:rPr>
                <w:sz w:val="22"/>
                <w:szCs w:val="22"/>
                <w:lang w:val="de-DE"/>
              </w:rPr>
            </w:pPr>
            <w:r w:rsidRPr="00C521AB">
              <w:rPr>
                <w:sz w:val="22"/>
                <w:szCs w:val="22"/>
                <w:lang w:val="de-DE"/>
              </w:rPr>
              <w:t xml:space="preserve">AUC: ↔ </w:t>
            </w:r>
          </w:p>
          <w:p w14:paraId="516A642C" w14:textId="77777777" w:rsidR="00CA3916" w:rsidRPr="00C521AB" w:rsidRDefault="00CA3916" w:rsidP="005E3C92">
            <w:pPr>
              <w:autoSpaceDE w:val="0"/>
              <w:autoSpaceDN w:val="0"/>
              <w:adjustRightInd w:val="0"/>
              <w:spacing w:after="1"/>
              <w:rPr>
                <w:sz w:val="22"/>
                <w:szCs w:val="22"/>
                <w:lang w:val="de-DE"/>
              </w:rPr>
            </w:pPr>
            <w:r w:rsidRPr="00C521AB">
              <w:rPr>
                <w:sz w:val="22"/>
                <w:szCs w:val="22"/>
                <w:lang w:val="de-DE"/>
              </w:rPr>
              <w:t xml:space="preserve">Cmax: ↓ 30 % </w:t>
            </w:r>
          </w:p>
          <w:p w14:paraId="7991C2AC" w14:textId="77777777" w:rsidR="00CA3916" w:rsidRPr="00C521AB" w:rsidRDefault="00CA3916" w:rsidP="005E3C92">
            <w:pPr>
              <w:autoSpaceDE w:val="0"/>
              <w:autoSpaceDN w:val="0"/>
              <w:adjustRightInd w:val="0"/>
              <w:rPr>
                <w:sz w:val="22"/>
                <w:szCs w:val="22"/>
                <w:lang w:val="de-DE"/>
              </w:rPr>
            </w:pPr>
            <w:r w:rsidRPr="00C521AB">
              <w:rPr>
                <w:sz w:val="22"/>
                <w:szCs w:val="22"/>
                <w:lang w:val="de-DE"/>
              </w:rPr>
              <w:t xml:space="preserve">Cmin: N/A </w:t>
            </w:r>
          </w:p>
          <w:p w14:paraId="67E646C1" w14:textId="77777777" w:rsidR="00CA3916" w:rsidRPr="00C521AB" w:rsidRDefault="00CA3916" w:rsidP="005E3C92">
            <w:pPr>
              <w:autoSpaceDE w:val="0"/>
              <w:autoSpaceDN w:val="0"/>
              <w:adjustRightInd w:val="0"/>
              <w:rPr>
                <w:sz w:val="22"/>
                <w:szCs w:val="22"/>
                <w:lang w:val="de-DE"/>
              </w:rPr>
            </w:pPr>
            <w:r w:rsidRPr="00C521AB">
              <w:rPr>
                <w:sz w:val="22"/>
                <w:szCs w:val="22"/>
                <w:lang w:val="de-DE"/>
              </w:rPr>
              <w:t xml:space="preserve"> </w:t>
            </w:r>
          </w:p>
          <w:p w14:paraId="08354723" w14:textId="77777777" w:rsidR="00CA3916" w:rsidRPr="00C521AB" w:rsidRDefault="00CA3916" w:rsidP="005E3C92">
            <w:pPr>
              <w:autoSpaceDE w:val="0"/>
              <w:autoSpaceDN w:val="0"/>
              <w:adjustRightInd w:val="0"/>
              <w:spacing w:after="4"/>
              <w:ind w:right="2049"/>
              <w:rPr>
                <w:sz w:val="22"/>
                <w:szCs w:val="22"/>
                <w:lang w:val="en-US"/>
              </w:rPr>
            </w:pPr>
            <w:r w:rsidRPr="00C521AB">
              <w:rPr>
                <w:sz w:val="22"/>
                <w:szCs w:val="22"/>
                <w:lang w:val="en-US"/>
              </w:rPr>
              <w:t>GS-331007</w:t>
            </w:r>
            <w:r w:rsidRPr="00C521AB">
              <w:rPr>
                <w:sz w:val="22"/>
                <w:szCs w:val="22"/>
                <w:vertAlign w:val="superscript"/>
                <w:lang w:val="en-US"/>
              </w:rPr>
              <w:t>2</w:t>
            </w:r>
            <w:r w:rsidRPr="00C521AB">
              <w:rPr>
                <w:sz w:val="22"/>
                <w:szCs w:val="22"/>
                <w:lang w:val="en-US"/>
              </w:rPr>
              <w:t xml:space="preserve">: AUC: ↔ </w:t>
            </w:r>
          </w:p>
          <w:p w14:paraId="7EF6C834" w14:textId="77777777" w:rsidR="00CA3916" w:rsidRPr="00C521AB" w:rsidRDefault="00CA3916" w:rsidP="005E3C92">
            <w:pPr>
              <w:autoSpaceDE w:val="0"/>
              <w:autoSpaceDN w:val="0"/>
              <w:adjustRightInd w:val="0"/>
              <w:spacing w:after="1"/>
              <w:rPr>
                <w:sz w:val="22"/>
                <w:szCs w:val="22"/>
                <w:lang w:val="en-US"/>
              </w:rPr>
            </w:pPr>
            <w:proofErr w:type="gramStart"/>
            <w:r w:rsidRPr="00C521AB">
              <w:rPr>
                <w:sz w:val="22"/>
                <w:szCs w:val="22"/>
                <w:lang w:val="en-US"/>
              </w:rPr>
              <w:t>Cmax:↔</w:t>
            </w:r>
            <w:proofErr w:type="gramEnd"/>
            <w:r w:rsidRPr="00C521AB">
              <w:rPr>
                <w:sz w:val="22"/>
                <w:szCs w:val="22"/>
                <w:lang w:val="en-US"/>
              </w:rPr>
              <w:t xml:space="preserve"> </w:t>
            </w:r>
          </w:p>
          <w:p w14:paraId="5C6B5F76" w14:textId="77777777" w:rsidR="00CA3916" w:rsidRPr="00C521AB" w:rsidRDefault="00CA3916" w:rsidP="005E3C92">
            <w:pPr>
              <w:autoSpaceDE w:val="0"/>
              <w:autoSpaceDN w:val="0"/>
              <w:adjustRightInd w:val="0"/>
              <w:rPr>
                <w:sz w:val="22"/>
                <w:szCs w:val="22"/>
                <w:lang w:val="en-US"/>
              </w:rPr>
            </w:pPr>
            <w:r w:rsidRPr="00C521AB">
              <w:rPr>
                <w:sz w:val="22"/>
                <w:szCs w:val="22"/>
                <w:lang w:val="en-US"/>
              </w:rPr>
              <w:t xml:space="preserve">Cmin: N/A </w:t>
            </w:r>
          </w:p>
          <w:p w14:paraId="1E3A135A" w14:textId="77777777" w:rsidR="00CA3916" w:rsidRPr="00C521AB" w:rsidRDefault="00CA3916" w:rsidP="005E3C92">
            <w:pPr>
              <w:autoSpaceDE w:val="0"/>
              <w:autoSpaceDN w:val="0"/>
              <w:adjustRightInd w:val="0"/>
              <w:rPr>
                <w:sz w:val="22"/>
                <w:szCs w:val="22"/>
                <w:lang w:val="en-US"/>
              </w:rPr>
            </w:pPr>
            <w:r w:rsidRPr="00C521AB">
              <w:rPr>
                <w:sz w:val="22"/>
                <w:szCs w:val="22"/>
                <w:lang w:val="en-US"/>
              </w:rPr>
              <w:t xml:space="preserve"> </w:t>
            </w:r>
          </w:p>
          <w:p w14:paraId="3505233C" w14:textId="77777777" w:rsidR="00CA3916" w:rsidRPr="00C521AB" w:rsidRDefault="00CA3916" w:rsidP="005E3C92">
            <w:pPr>
              <w:autoSpaceDE w:val="0"/>
              <w:autoSpaceDN w:val="0"/>
              <w:adjustRightInd w:val="0"/>
              <w:rPr>
                <w:sz w:val="22"/>
                <w:szCs w:val="22"/>
                <w:lang w:val="en-US"/>
              </w:rPr>
            </w:pPr>
            <w:r w:rsidRPr="00C521AB">
              <w:rPr>
                <w:sz w:val="22"/>
                <w:szCs w:val="22"/>
                <w:lang w:val="en-US"/>
              </w:rPr>
              <w:t xml:space="preserve">Velpatasvir: </w:t>
            </w:r>
          </w:p>
          <w:p w14:paraId="21258FD6" w14:textId="77777777" w:rsidR="00CA3916" w:rsidRPr="00C521AB" w:rsidRDefault="00CA3916" w:rsidP="005E3C92">
            <w:pPr>
              <w:autoSpaceDE w:val="0"/>
              <w:autoSpaceDN w:val="0"/>
              <w:adjustRightInd w:val="0"/>
              <w:spacing w:after="6"/>
              <w:rPr>
                <w:sz w:val="22"/>
                <w:szCs w:val="22"/>
                <w:lang w:val="en-US"/>
              </w:rPr>
            </w:pPr>
            <w:r w:rsidRPr="00C521AB">
              <w:rPr>
                <w:sz w:val="22"/>
                <w:szCs w:val="22"/>
                <w:lang w:val="en-US"/>
              </w:rPr>
              <w:t xml:space="preserve">AUC: ↔ </w:t>
            </w:r>
          </w:p>
          <w:p w14:paraId="390BD2D1" w14:textId="77777777" w:rsidR="00CA3916" w:rsidRPr="00C521AB" w:rsidRDefault="00CA3916" w:rsidP="005E3C92">
            <w:pPr>
              <w:autoSpaceDE w:val="0"/>
              <w:autoSpaceDN w:val="0"/>
              <w:adjustRightInd w:val="0"/>
              <w:rPr>
                <w:sz w:val="22"/>
                <w:szCs w:val="22"/>
                <w:lang w:val="en-US"/>
              </w:rPr>
            </w:pPr>
            <w:r w:rsidRPr="00C521AB">
              <w:rPr>
                <w:sz w:val="22"/>
                <w:szCs w:val="22"/>
                <w:lang w:val="en-US"/>
              </w:rPr>
              <w:lastRenderedPageBreak/>
              <w:t xml:space="preserve">Cmax: ↔ </w:t>
            </w:r>
          </w:p>
          <w:p w14:paraId="15A3801C" w14:textId="77777777" w:rsidR="00CA3916" w:rsidRPr="00C521AB" w:rsidRDefault="00CA3916" w:rsidP="005E3C92">
            <w:pPr>
              <w:autoSpaceDE w:val="0"/>
              <w:autoSpaceDN w:val="0"/>
              <w:adjustRightInd w:val="0"/>
              <w:rPr>
                <w:sz w:val="22"/>
                <w:szCs w:val="22"/>
                <w:lang w:val="en-US"/>
              </w:rPr>
            </w:pPr>
            <w:r w:rsidRPr="00C521AB">
              <w:rPr>
                <w:sz w:val="22"/>
                <w:szCs w:val="22"/>
                <w:lang w:val="en-US"/>
              </w:rPr>
              <w:t xml:space="preserve">Cmin: ↔ </w:t>
            </w:r>
          </w:p>
          <w:p w14:paraId="3C766007" w14:textId="77777777" w:rsidR="00CA3916" w:rsidRPr="00C521AB" w:rsidRDefault="00CA3916" w:rsidP="005E3C92">
            <w:pPr>
              <w:autoSpaceDE w:val="0"/>
              <w:autoSpaceDN w:val="0"/>
              <w:adjustRightInd w:val="0"/>
              <w:rPr>
                <w:sz w:val="22"/>
                <w:szCs w:val="22"/>
                <w:lang w:val="en-US"/>
              </w:rPr>
            </w:pPr>
            <w:r w:rsidRPr="00C521AB">
              <w:rPr>
                <w:sz w:val="22"/>
                <w:szCs w:val="22"/>
                <w:lang w:val="en-US"/>
              </w:rPr>
              <w:t xml:space="preserve"> </w:t>
            </w:r>
          </w:p>
          <w:p w14:paraId="244ECCAE" w14:textId="77777777" w:rsidR="00CA3916" w:rsidRPr="00C521AB" w:rsidRDefault="00CA3916" w:rsidP="005E3C92">
            <w:pPr>
              <w:autoSpaceDE w:val="0"/>
              <w:autoSpaceDN w:val="0"/>
              <w:adjustRightInd w:val="0"/>
              <w:rPr>
                <w:sz w:val="22"/>
                <w:szCs w:val="22"/>
                <w:lang w:val="en-US"/>
              </w:rPr>
            </w:pPr>
            <w:r w:rsidRPr="00C521AB">
              <w:rPr>
                <w:sz w:val="22"/>
                <w:szCs w:val="22"/>
                <w:lang w:val="en-US"/>
              </w:rPr>
              <w:t xml:space="preserve">Voxilaprevir: </w:t>
            </w:r>
          </w:p>
          <w:p w14:paraId="7E0EE468" w14:textId="77777777" w:rsidR="00CA3916" w:rsidRPr="00C521AB" w:rsidRDefault="00CA3916" w:rsidP="005E3C92">
            <w:pPr>
              <w:autoSpaceDE w:val="0"/>
              <w:autoSpaceDN w:val="0"/>
              <w:adjustRightInd w:val="0"/>
              <w:rPr>
                <w:sz w:val="22"/>
                <w:szCs w:val="22"/>
                <w:lang w:val="en-US"/>
              </w:rPr>
            </w:pPr>
            <w:r w:rsidRPr="00C521AB">
              <w:rPr>
                <w:sz w:val="22"/>
                <w:szCs w:val="22"/>
                <w:lang w:val="en-US"/>
              </w:rPr>
              <w:t xml:space="preserve">AUC: ↑ 143 % </w:t>
            </w:r>
          </w:p>
          <w:p w14:paraId="1C5D68A3" w14:textId="77777777" w:rsidR="00CA3916" w:rsidRPr="00C521AB" w:rsidRDefault="00CA3916" w:rsidP="005E3C92">
            <w:pPr>
              <w:autoSpaceDE w:val="0"/>
              <w:autoSpaceDN w:val="0"/>
              <w:adjustRightInd w:val="0"/>
              <w:rPr>
                <w:sz w:val="22"/>
                <w:szCs w:val="22"/>
                <w:lang w:val="en-US"/>
              </w:rPr>
            </w:pPr>
            <w:proofErr w:type="gramStart"/>
            <w:r w:rsidRPr="00C521AB">
              <w:rPr>
                <w:sz w:val="22"/>
                <w:szCs w:val="22"/>
                <w:lang w:val="en-US"/>
              </w:rPr>
              <w:t>Cmax:↑</w:t>
            </w:r>
            <w:proofErr w:type="gramEnd"/>
            <w:r w:rsidRPr="00C521AB">
              <w:rPr>
                <w:sz w:val="22"/>
                <w:szCs w:val="22"/>
                <w:lang w:val="en-US"/>
              </w:rPr>
              <w:t xml:space="preserve"> 72 % </w:t>
            </w:r>
          </w:p>
          <w:p w14:paraId="4683FC9F" w14:textId="77777777" w:rsidR="00CA3916" w:rsidRPr="00C521AB" w:rsidRDefault="00CA3916" w:rsidP="005E3C92">
            <w:pPr>
              <w:autoSpaceDE w:val="0"/>
              <w:autoSpaceDN w:val="0"/>
              <w:adjustRightInd w:val="0"/>
              <w:rPr>
                <w:sz w:val="22"/>
                <w:szCs w:val="22"/>
                <w:lang w:val="en-US"/>
              </w:rPr>
            </w:pPr>
            <w:r w:rsidRPr="00C521AB">
              <w:rPr>
                <w:sz w:val="22"/>
                <w:szCs w:val="22"/>
                <w:lang w:val="en-US"/>
              </w:rPr>
              <w:t xml:space="preserve">Cmin: ↑ 300 % </w:t>
            </w:r>
          </w:p>
          <w:p w14:paraId="507F3D92" w14:textId="77777777" w:rsidR="00CA3916" w:rsidRPr="00C521AB" w:rsidRDefault="00CA3916" w:rsidP="005E3C92">
            <w:pPr>
              <w:autoSpaceDE w:val="0"/>
              <w:autoSpaceDN w:val="0"/>
              <w:adjustRightInd w:val="0"/>
              <w:rPr>
                <w:sz w:val="22"/>
                <w:szCs w:val="22"/>
                <w:lang w:val="en-US"/>
              </w:rPr>
            </w:pPr>
            <w:r w:rsidRPr="00C521AB">
              <w:rPr>
                <w:sz w:val="22"/>
                <w:szCs w:val="22"/>
                <w:lang w:val="en-US"/>
              </w:rPr>
              <w:t xml:space="preserve"> </w:t>
            </w:r>
          </w:p>
          <w:p w14:paraId="3C69F3C3" w14:textId="77777777" w:rsidR="00CA3916" w:rsidRPr="00C521AB" w:rsidRDefault="00CA3916" w:rsidP="005E3C92">
            <w:pPr>
              <w:autoSpaceDE w:val="0"/>
              <w:autoSpaceDN w:val="0"/>
              <w:adjustRightInd w:val="0"/>
              <w:rPr>
                <w:sz w:val="22"/>
                <w:szCs w:val="22"/>
                <w:lang w:val="en-US"/>
              </w:rPr>
            </w:pPr>
            <w:r w:rsidRPr="00C521AB">
              <w:rPr>
                <w:sz w:val="22"/>
                <w:szCs w:val="22"/>
                <w:lang w:val="en-US"/>
              </w:rPr>
              <w:t xml:space="preserve">Darunavir: </w:t>
            </w:r>
          </w:p>
          <w:p w14:paraId="47B964FE" w14:textId="77777777" w:rsidR="00CA3916" w:rsidRPr="00C521AB" w:rsidRDefault="00CA3916" w:rsidP="005E3C92">
            <w:pPr>
              <w:autoSpaceDE w:val="0"/>
              <w:autoSpaceDN w:val="0"/>
              <w:adjustRightInd w:val="0"/>
              <w:spacing w:after="6"/>
              <w:rPr>
                <w:sz w:val="22"/>
                <w:szCs w:val="22"/>
                <w:lang w:val="en-US"/>
              </w:rPr>
            </w:pPr>
            <w:r w:rsidRPr="00C521AB">
              <w:rPr>
                <w:sz w:val="22"/>
                <w:szCs w:val="22"/>
                <w:lang w:val="en-US"/>
              </w:rPr>
              <w:t xml:space="preserve">AUC: ↔ </w:t>
            </w:r>
          </w:p>
          <w:p w14:paraId="2E64465B" w14:textId="77777777" w:rsidR="00CA3916" w:rsidRPr="00C521AB" w:rsidRDefault="00CA3916" w:rsidP="005E3C92">
            <w:pPr>
              <w:autoSpaceDE w:val="0"/>
              <w:autoSpaceDN w:val="0"/>
              <w:adjustRightInd w:val="0"/>
              <w:rPr>
                <w:sz w:val="22"/>
                <w:szCs w:val="22"/>
                <w:lang w:val="en-US"/>
              </w:rPr>
            </w:pPr>
            <w:r w:rsidRPr="00C521AB">
              <w:rPr>
                <w:sz w:val="22"/>
                <w:szCs w:val="22"/>
                <w:lang w:val="en-US"/>
              </w:rPr>
              <w:t xml:space="preserve">Cmax: ↔ </w:t>
            </w:r>
          </w:p>
          <w:p w14:paraId="57EBE1FB" w14:textId="77777777" w:rsidR="00CA3916" w:rsidRPr="00C521AB" w:rsidRDefault="00CA3916" w:rsidP="005E3C92">
            <w:pPr>
              <w:autoSpaceDE w:val="0"/>
              <w:autoSpaceDN w:val="0"/>
              <w:adjustRightInd w:val="0"/>
              <w:rPr>
                <w:sz w:val="22"/>
                <w:szCs w:val="22"/>
                <w:lang w:val="en-US"/>
              </w:rPr>
            </w:pPr>
            <w:r w:rsidRPr="00C521AB">
              <w:rPr>
                <w:sz w:val="22"/>
                <w:szCs w:val="22"/>
                <w:lang w:val="en-US"/>
              </w:rPr>
              <w:t xml:space="preserve">Cmin: ↓ 34 % </w:t>
            </w:r>
          </w:p>
          <w:p w14:paraId="0F493A9F" w14:textId="77777777" w:rsidR="00CA3916" w:rsidRPr="00C521AB" w:rsidRDefault="00CA3916" w:rsidP="005E3C92">
            <w:pPr>
              <w:autoSpaceDE w:val="0"/>
              <w:autoSpaceDN w:val="0"/>
              <w:adjustRightInd w:val="0"/>
              <w:rPr>
                <w:sz w:val="22"/>
                <w:szCs w:val="22"/>
                <w:lang w:val="en-US"/>
              </w:rPr>
            </w:pPr>
            <w:r w:rsidRPr="00C521AB">
              <w:rPr>
                <w:sz w:val="22"/>
                <w:szCs w:val="22"/>
                <w:lang w:val="en-US"/>
              </w:rPr>
              <w:t xml:space="preserve"> </w:t>
            </w:r>
          </w:p>
          <w:p w14:paraId="075A907A" w14:textId="77777777" w:rsidR="00CA3916" w:rsidRPr="00C521AB" w:rsidRDefault="00CA3916" w:rsidP="005E3C92">
            <w:pPr>
              <w:autoSpaceDE w:val="0"/>
              <w:autoSpaceDN w:val="0"/>
              <w:adjustRightInd w:val="0"/>
              <w:rPr>
                <w:sz w:val="22"/>
                <w:szCs w:val="22"/>
                <w:lang w:val="en-US"/>
              </w:rPr>
            </w:pPr>
            <w:r w:rsidRPr="00C521AB">
              <w:rPr>
                <w:sz w:val="22"/>
                <w:szCs w:val="22"/>
                <w:lang w:val="en-US"/>
              </w:rPr>
              <w:t xml:space="preserve">Ritonavir: </w:t>
            </w:r>
          </w:p>
          <w:p w14:paraId="386539F7" w14:textId="77777777" w:rsidR="00CA3916" w:rsidRPr="00C521AB" w:rsidRDefault="00CA3916" w:rsidP="005E3C92">
            <w:pPr>
              <w:autoSpaceDE w:val="0"/>
              <w:autoSpaceDN w:val="0"/>
              <w:adjustRightInd w:val="0"/>
              <w:rPr>
                <w:sz w:val="22"/>
                <w:szCs w:val="22"/>
                <w:lang w:val="en-US"/>
              </w:rPr>
            </w:pPr>
            <w:r w:rsidRPr="00C521AB">
              <w:rPr>
                <w:sz w:val="22"/>
                <w:szCs w:val="22"/>
                <w:lang w:val="en-US"/>
              </w:rPr>
              <w:t xml:space="preserve">AUC: ↑ 45 % </w:t>
            </w:r>
          </w:p>
          <w:p w14:paraId="1E6D8190" w14:textId="77777777" w:rsidR="00CA3916" w:rsidRPr="00C521AB" w:rsidRDefault="00CA3916" w:rsidP="005E3C92">
            <w:pPr>
              <w:autoSpaceDE w:val="0"/>
              <w:autoSpaceDN w:val="0"/>
              <w:adjustRightInd w:val="0"/>
              <w:spacing w:after="4"/>
              <w:rPr>
                <w:sz w:val="22"/>
                <w:szCs w:val="22"/>
                <w:lang w:val="en-US"/>
              </w:rPr>
            </w:pPr>
            <w:r w:rsidRPr="00C521AB">
              <w:rPr>
                <w:sz w:val="22"/>
                <w:szCs w:val="22"/>
                <w:lang w:val="en-US"/>
              </w:rPr>
              <w:t xml:space="preserve">Cmax: ↑ 60 % </w:t>
            </w:r>
          </w:p>
          <w:p w14:paraId="6A103A11" w14:textId="77777777" w:rsidR="00CA3916" w:rsidRPr="00C521AB" w:rsidRDefault="00CA3916" w:rsidP="005E3C92">
            <w:pPr>
              <w:autoSpaceDE w:val="0"/>
              <w:autoSpaceDN w:val="0"/>
              <w:adjustRightInd w:val="0"/>
              <w:rPr>
                <w:sz w:val="22"/>
                <w:szCs w:val="22"/>
                <w:lang w:val="en-US"/>
              </w:rPr>
            </w:pPr>
            <w:r w:rsidRPr="00C521AB">
              <w:rPr>
                <w:sz w:val="22"/>
                <w:szCs w:val="22"/>
                <w:lang w:val="en-US"/>
              </w:rPr>
              <w:t xml:space="preserve">Cmin: ↔ </w:t>
            </w:r>
          </w:p>
          <w:p w14:paraId="0B908654" w14:textId="77777777" w:rsidR="00CA3916" w:rsidRPr="00C521AB" w:rsidRDefault="00CA3916" w:rsidP="005E3C92">
            <w:pPr>
              <w:autoSpaceDE w:val="0"/>
              <w:autoSpaceDN w:val="0"/>
              <w:adjustRightInd w:val="0"/>
              <w:rPr>
                <w:sz w:val="22"/>
                <w:szCs w:val="22"/>
                <w:lang w:val="en-US"/>
              </w:rPr>
            </w:pPr>
            <w:r w:rsidRPr="00C521AB">
              <w:rPr>
                <w:sz w:val="22"/>
                <w:szCs w:val="22"/>
                <w:lang w:val="en-US"/>
              </w:rPr>
              <w:t xml:space="preserve"> </w:t>
            </w:r>
          </w:p>
          <w:p w14:paraId="427E0A6D" w14:textId="77777777" w:rsidR="00CA3916" w:rsidRPr="00C521AB" w:rsidRDefault="00CA3916" w:rsidP="005E3C92">
            <w:pPr>
              <w:autoSpaceDE w:val="0"/>
              <w:autoSpaceDN w:val="0"/>
              <w:adjustRightInd w:val="0"/>
              <w:rPr>
                <w:sz w:val="22"/>
                <w:szCs w:val="22"/>
                <w:lang w:val="en-US"/>
              </w:rPr>
            </w:pPr>
            <w:r w:rsidRPr="00C521AB">
              <w:rPr>
                <w:sz w:val="22"/>
                <w:szCs w:val="22"/>
                <w:lang w:val="en-US"/>
              </w:rPr>
              <w:t xml:space="preserve">Emtricitabin: </w:t>
            </w:r>
          </w:p>
          <w:p w14:paraId="7862BD21" w14:textId="77777777" w:rsidR="00CA3916" w:rsidRPr="00C521AB" w:rsidRDefault="00CA3916" w:rsidP="005E3C92">
            <w:pPr>
              <w:autoSpaceDE w:val="0"/>
              <w:autoSpaceDN w:val="0"/>
              <w:adjustRightInd w:val="0"/>
              <w:spacing w:after="6"/>
              <w:rPr>
                <w:sz w:val="22"/>
                <w:szCs w:val="22"/>
                <w:lang w:val="en-US"/>
              </w:rPr>
            </w:pPr>
            <w:r w:rsidRPr="00C521AB">
              <w:rPr>
                <w:sz w:val="22"/>
                <w:szCs w:val="22"/>
                <w:lang w:val="en-US"/>
              </w:rPr>
              <w:t xml:space="preserve">AUC: ↔ </w:t>
            </w:r>
          </w:p>
          <w:p w14:paraId="7EFE8A67" w14:textId="77777777" w:rsidR="00CA3916" w:rsidRPr="00C521AB" w:rsidRDefault="00CA3916" w:rsidP="005E3C92">
            <w:pPr>
              <w:autoSpaceDE w:val="0"/>
              <w:autoSpaceDN w:val="0"/>
              <w:adjustRightInd w:val="0"/>
              <w:spacing w:after="1"/>
              <w:rPr>
                <w:sz w:val="22"/>
                <w:szCs w:val="22"/>
                <w:lang w:val="en-US"/>
              </w:rPr>
            </w:pPr>
            <w:r w:rsidRPr="00C521AB">
              <w:rPr>
                <w:sz w:val="22"/>
                <w:szCs w:val="22"/>
                <w:lang w:val="en-US"/>
              </w:rPr>
              <w:t xml:space="preserve">Cmax: ↔ </w:t>
            </w:r>
          </w:p>
          <w:p w14:paraId="06109585" w14:textId="77777777" w:rsidR="00CA3916" w:rsidRPr="00C521AB" w:rsidRDefault="00CA3916" w:rsidP="005E3C92">
            <w:pPr>
              <w:autoSpaceDE w:val="0"/>
              <w:autoSpaceDN w:val="0"/>
              <w:adjustRightInd w:val="0"/>
              <w:rPr>
                <w:sz w:val="22"/>
                <w:szCs w:val="22"/>
                <w:lang w:val="en-US"/>
              </w:rPr>
            </w:pPr>
            <w:r w:rsidRPr="00C521AB">
              <w:rPr>
                <w:sz w:val="22"/>
                <w:szCs w:val="22"/>
                <w:lang w:val="en-US"/>
              </w:rPr>
              <w:t xml:space="preserve">Cmin: ↔ </w:t>
            </w:r>
          </w:p>
          <w:p w14:paraId="4544CBC9" w14:textId="77777777" w:rsidR="00CA3916" w:rsidRPr="00C521AB" w:rsidRDefault="00CA3916" w:rsidP="005E3C92">
            <w:pPr>
              <w:autoSpaceDE w:val="0"/>
              <w:autoSpaceDN w:val="0"/>
              <w:adjustRightInd w:val="0"/>
              <w:rPr>
                <w:sz w:val="22"/>
                <w:szCs w:val="22"/>
                <w:lang w:val="en-US"/>
              </w:rPr>
            </w:pPr>
            <w:r w:rsidRPr="00C521AB">
              <w:rPr>
                <w:sz w:val="22"/>
                <w:szCs w:val="22"/>
                <w:lang w:val="en-US"/>
              </w:rPr>
              <w:t xml:space="preserve"> </w:t>
            </w:r>
          </w:p>
          <w:p w14:paraId="7B4AA7E5" w14:textId="77777777" w:rsidR="00CA3916" w:rsidRPr="006E31EE" w:rsidRDefault="00CA3916" w:rsidP="005E3C92">
            <w:pPr>
              <w:autoSpaceDE w:val="0"/>
              <w:autoSpaceDN w:val="0"/>
              <w:adjustRightInd w:val="0"/>
              <w:rPr>
                <w:sz w:val="22"/>
                <w:szCs w:val="22"/>
              </w:rPr>
            </w:pPr>
            <w:r w:rsidRPr="006E31EE">
              <w:rPr>
                <w:sz w:val="22"/>
                <w:szCs w:val="22"/>
              </w:rPr>
              <w:t xml:space="preserve">Tenofovir: </w:t>
            </w:r>
          </w:p>
          <w:p w14:paraId="7A180023" w14:textId="77777777" w:rsidR="00CA3916" w:rsidRPr="006E31EE" w:rsidRDefault="00CA3916" w:rsidP="005E3C92">
            <w:pPr>
              <w:autoSpaceDE w:val="0"/>
              <w:autoSpaceDN w:val="0"/>
              <w:adjustRightInd w:val="0"/>
              <w:rPr>
                <w:sz w:val="22"/>
                <w:szCs w:val="22"/>
              </w:rPr>
            </w:pPr>
            <w:r w:rsidRPr="006E31EE">
              <w:rPr>
                <w:sz w:val="22"/>
                <w:szCs w:val="22"/>
              </w:rPr>
              <w:t xml:space="preserve">AUC: ↑ 39 % </w:t>
            </w:r>
          </w:p>
          <w:p w14:paraId="05CA39FA" w14:textId="77777777" w:rsidR="00CA3916" w:rsidRPr="006E31EE" w:rsidRDefault="00CA3916" w:rsidP="005E3C92">
            <w:pPr>
              <w:autoSpaceDE w:val="0"/>
              <w:autoSpaceDN w:val="0"/>
              <w:adjustRightInd w:val="0"/>
              <w:rPr>
                <w:sz w:val="22"/>
                <w:szCs w:val="22"/>
              </w:rPr>
            </w:pPr>
            <w:r w:rsidRPr="006E31EE">
              <w:rPr>
                <w:sz w:val="22"/>
                <w:szCs w:val="22"/>
              </w:rPr>
              <w:t xml:space="preserve">Cmax: ↑ 48 % </w:t>
            </w:r>
          </w:p>
          <w:p w14:paraId="3A1ED7A7" w14:textId="77777777" w:rsidR="00CA3916" w:rsidRPr="006E31EE" w:rsidRDefault="00CA3916" w:rsidP="005E3C92">
            <w:pPr>
              <w:rPr>
                <w:color w:val="000000" w:themeColor="text1"/>
                <w:sz w:val="22"/>
                <w:szCs w:val="22"/>
              </w:rPr>
            </w:pPr>
            <w:r w:rsidRPr="006E31EE">
              <w:rPr>
                <w:sz w:val="22"/>
                <w:szCs w:val="22"/>
              </w:rPr>
              <w:t xml:space="preserve">Cmin: ↑ 47 % </w:t>
            </w:r>
          </w:p>
        </w:tc>
        <w:tc>
          <w:tcPr>
            <w:tcW w:w="1745" w:type="pct"/>
          </w:tcPr>
          <w:p w14:paraId="4C440579" w14:textId="77777777" w:rsidR="00CA3916" w:rsidRPr="006E31EE" w:rsidRDefault="00CA3916" w:rsidP="005E3C92">
            <w:pPr>
              <w:autoSpaceDE w:val="0"/>
              <w:autoSpaceDN w:val="0"/>
              <w:adjustRightInd w:val="0"/>
              <w:spacing w:after="1"/>
              <w:ind w:right="53"/>
              <w:rPr>
                <w:sz w:val="22"/>
                <w:szCs w:val="22"/>
              </w:rPr>
            </w:pPr>
            <w:r w:rsidRPr="006E31EE">
              <w:rPr>
                <w:sz w:val="22"/>
                <w:szCs w:val="22"/>
              </w:rPr>
              <w:lastRenderedPageBreak/>
              <w:t xml:space="preserve">Øgede plasmakoncentrationer af tenofovir som følge af samtidig administration af tenofovirdisoproxil, sofosbuvir/velpatasvir/voxilaprevir og darunavir/ritonavir kan øge bivirkninger relateret til tenofovirdisoproxil, herunder nyrelidelser. </w:t>
            </w:r>
          </w:p>
          <w:p w14:paraId="6892CAB2" w14:textId="77777777" w:rsidR="00CA3916" w:rsidRPr="006E31EE" w:rsidRDefault="00CA3916" w:rsidP="005E3C92">
            <w:pPr>
              <w:autoSpaceDE w:val="0"/>
              <w:autoSpaceDN w:val="0"/>
              <w:adjustRightInd w:val="0"/>
              <w:spacing w:after="1"/>
              <w:ind w:right="53"/>
              <w:rPr>
                <w:sz w:val="22"/>
                <w:szCs w:val="22"/>
              </w:rPr>
            </w:pPr>
            <w:r w:rsidRPr="006E31EE">
              <w:rPr>
                <w:sz w:val="22"/>
                <w:szCs w:val="22"/>
              </w:rPr>
              <w:t xml:space="preserve">Sikkerheden af tenofovirdisoproxil, når det bruges med sofosbuvir/velpatasvir/voxilaprevir og en farmakokinetisk forstærker </w:t>
            </w:r>
            <w:r w:rsidRPr="006E31EE">
              <w:rPr>
                <w:sz w:val="22"/>
                <w:szCs w:val="22"/>
              </w:rPr>
              <w:lastRenderedPageBreak/>
              <w:t xml:space="preserve">(f.eks. ritonavir eller cobicistat), er ikke fastslået. </w:t>
            </w:r>
          </w:p>
          <w:p w14:paraId="62770367" w14:textId="77777777" w:rsidR="00CA3916" w:rsidRPr="006E31EE" w:rsidRDefault="00CA3916" w:rsidP="005E3C92">
            <w:pPr>
              <w:autoSpaceDE w:val="0"/>
              <w:autoSpaceDN w:val="0"/>
              <w:adjustRightInd w:val="0"/>
              <w:spacing w:after="1"/>
              <w:ind w:right="53"/>
              <w:rPr>
                <w:sz w:val="22"/>
                <w:szCs w:val="22"/>
              </w:rPr>
            </w:pPr>
          </w:p>
          <w:p w14:paraId="0ACA601C" w14:textId="77777777" w:rsidR="00CA3916" w:rsidRPr="006E31EE" w:rsidRDefault="00CA3916" w:rsidP="005E3C92">
            <w:pPr>
              <w:autoSpaceDE w:val="0"/>
              <w:autoSpaceDN w:val="0"/>
              <w:adjustRightInd w:val="0"/>
              <w:spacing w:after="1"/>
              <w:ind w:right="53"/>
              <w:rPr>
                <w:sz w:val="22"/>
                <w:szCs w:val="22"/>
              </w:rPr>
            </w:pPr>
            <w:r w:rsidRPr="006E31EE">
              <w:rPr>
                <w:sz w:val="22"/>
                <w:szCs w:val="22"/>
              </w:rPr>
              <w:t>Kombinationen bør anvendes med forsigtighed med hyppig overvågning af nyrerne (se pkt. 4.4).</w:t>
            </w:r>
          </w:p>
          <w:p w14:paraId="10D5D5E9" w14:textId="77777777" w:rsidR="00CA3916" w:rsidRPr="006E31EE" w:rsidRDefault="00CA3916" w:rsidP="005E3C92">
            <w:pPr>
              <w:rPr>
                <w:sz w:val="22"/>
                <w:szCs w:val="22"/>
              </w:rPr>
            </w:pPr>
            <w:r w:rsidRPr="006E31EE">
              <w:rPr>
                <w:sz w:val="22"/>
                <w:szCs w:val="22"/>
              </w:rPr>
              <w:t xml:space="preserve"> </w:t>
            </w:r>
          </w:p>
        </w:tc>
      </w:tr>
      <w:tr w:rsidR="00CA3916" w:rsidRPr="006E31EE" w14:paraId="2FAC37F8" w14:textId="77777777" w:rsidTr="005E3C92">
        <w:trPr>
          <w:trHeight w:val="5374"/>
        </w:trPr>
        <w:tc>
          <w:tcPr>
            <w:tcW w:w="1667" w:type="pct"/>
            <w:hideMark/>
          </w:tcPr>
          <w:p w14:paraId="0F220C7D" w14:textId="77777777" w:rsidR="00CA3916" w:rsidRPr="006E31EE" w:rsidRDefault="00CA3916" w:rsidP="005E3C92">
            <w:pPr>
              <w:rPr>
                <w:color w:val="000000" w:themeColor="text1"/>
                <w:sz w:val="22"/>
                <w:szCs w:val="22"/>
              </w:rPr>
            </w:pPr>
            <w:r w:rsidRPr="006E31EE">
              <w:rPr>
                <w:color w:val="000000" w:themeColor="text1"/>
                <w:sz w:val="22"/>
                <w:szCs w:val="22"/>
              </w:rPr>
              <w:lastRenderedPageBreak/>
              <w:t xml:space="preserve">Sofosbuvir </w:t>
            </w:r>
          </w:p>
          <w:p w14:paraId="2845C3FF" w14:textId="77777777" w:rsidR="00CA3916" w:rsidRPr="006E31EE" w:rsidRDefault="00CA3916" w:rsidP="005E3C92">
            <w:pPr>
              <w:rPr>
                <w:color w:val="000000" w:themeColor="text1"/>
                <w:sz w:val="22"/>
                <w:szCs w:val="22"/>
              </w:rPr>
            </w:pPr>
            <w:r w:rsidRPr="006E31EE">
              <w:rPr>
                <w:color w:val="000000" w:themeColor="text1"/>
                <w:sz w:val="22"/>
                <w:szCs w:val="22"/>
              </w:rPr>
              <w:t xml:space="preserve">(400 mg q.d.) + </w:t>
            </w:r>
          </w:p>
          <w:p w14:paraId="177CC40A" w14:textId="77777777" w:rsidR="00CA3916" w:rsidRPr="006E31EE" w:rsidRDefault="00CA3916" w:rsidP="005E3C92">
            <w:pPr>
              <w:rPr>
                <w:color w:val="000000" w:themeColor="text1"/>
                <w:sz w:val="22"/>
                <w:szCs w:val="22"/>
              </w:rPr>
            </w:pPr>
            <w:r w:rsidRPr="006E31EE">
              <w:rPr>
                <w:color w:val="000000" w:themeColor="text1"/>
                <w:sz w:val="22"/>
                <w:szCs w:val="22"/>
              </w:rPr>
              <w:t>Efavirenz/emtricitabin/</w:t>
            </w:r>
          </w:p>
          <w:p w14:paraId="2879622A" w14:textId="77777777" w:rsidR="00CA3916" w:rsidRPr="006E31EE" w:rsidRDefault="00CA3916" w:rsidP="005E3C92">
            <w:pPr>
              <w:rPr>
                <w:color w:val="000000" w:themeColor="text1"/>
                <w:sz w:val="22"/>
                <w:szCs w:val="22"/>
              </w:rPr>
            </w:pPr>
            <w:r w:rsidRPr="006E31EE">
              <w:rPr>
                <w:color w:val="000000" w:themeColor="text1"/>
                <w:sz w:val="22"/>
                <w:szCs w:val="22"/>
              </w:rPr>
              <w:t>tenofovirdisoproxil</w:t>
            </w:r>
          </w:p>
          <w:p w14:paraId="53B7B761" w14:textId="77777777" w:rsidR="00CA3916" w:rsidRPr="006E31EE" w:rsidRDefault="00CA3916" w:rsidP="005E3C92">
            <w:pPr>
              <w:rPr>
                <w:color w:val="FF0000"/>
                <w:sz w:val="22"/>
                <w:szCs w:val="22"/>
              </w:rPr>
            </w:pPr>
            <w:r w:rsidRPr="006E31EE">
              <w:rPr>
                <w:color w:val="000000" w:themeColor="text1"/>
                <w:sz w:val="22"/>
                <w:szCs w:val="22"/>
              </w:rPr>
              <w:t xml:space="preserve">(600 mg/200 mg/245 mg q.d.) </w:t>
            </w:r>
          </w:p>
        </w:tc>
        <w:tc>
          <w:tcPr>
            <w:tcW w:w="1588" w:type="pct"/>
            <w:gridSpan w:val="2"/>
            <w:hideMark/>
          </w:tcPr>
          <w:p w14:paraId="4A02E113" w14:textId="77777777" w:rsidR="00CA3916" w:rsidRPr="006E31EE" w:rsidRDefault="00CA3916" w:rsidP="005E3C92">
            <w:pPr>
              <w:rPr>
                <w:color w:val="000000" w:themeColor="text1"/>
                <w:sz w:val="22"/>
                <w:szCs w:val="22"/>
              </w:rPr>
            </w:pPr>
            <w:r w:rsidRPr="006E31EE">
              <w:rPr>
                <w:color w:val="000000" w:themeColor="text1"/>
                <w:sz w:val="22"/>
                <w:szCs w:val="22"/>
              </w:rPr>
              <w:t xml:space="preserve">Sofosbuvir: </w:t>
            </w:r>
          </w:p>
          <w:p w14:paraId="6B8171C3" w14:textId="77777777" w:rsidR="00CA3916" w:rsidRPr="006E31EE" w:rsidRDefault="00CA3916" w:rsidP="005E3C92">
            <w:pPr>
              <w:rPr>
                <w:color w:val="000000" w:themeColor="text1"/>
                <w:sz w:val="22"/>
                <w:szCs w:val="22"/>
              </w:rPr>
            </w:pPr>
            <w:r w:rsidRPr="006E31EE">
              <w:rPr>
                <w:color w:val="000000" w:themeColor="text1"/>
                <w:sz w:val="22"/>
                <w:szCs w:val="22"/>
              </w:rPr>
              <w:t xml:space="preserve">AUC: ↔ </w:t>
            </w:r>
          </w:p>
          <w:p w14:paraId="5FF63A34" w14:textId="77777777" w:rsidR="00CA3916" w:rsidRPr="006E31EE" w:rsidRDefault="00CA3916" w:rsidP="005E3C92">
            <w:pPr>
              <w:rPr>
                <w:color w:val="000000" w:themeColor="text1"/>
                <w:sz w:val="22"/>
                <w:szCs w:val="22"/>
              </w:rPr>
            </w:pPr>
            <w:r w:rsidRPr="006E31EE">
              <w:rPr>
                <w:color w:val="000000" w:themeColor="text1"/>
                <w:sz w:val="22"/>
                <w:szCs w:val="22"/>
              </w:rPr>
              <w:t>C</w:t>
            </w:r>
            <w:r w:rsidRPr="006E31EE">
              <w:rPr>
                <w:color w:val="000000" w:themeColor="text1"/>
                <w:sz w:val="22"/>
                <w:szCs w:val="22"/>
                <w:vertAlign w:val="subscript"/>
              </w:rPr>
              <w:t>max</w:t>
            </w:r>
            <w:r w:rsidRPr="006E31EE">
              <w:rPr>
                <w:color w:val="000000" w:themeColor="text1"/>
                <w:sz w:val="22"/>
                <w:szCs w:val="22"/>
              </w:rPr>
              <w:t xml:space="preserve">: ↓ 19% </w:t>
            </w:r>
          </w:p>
          <w:p w14:paraId="0423BA2E" w14:textId="77777777" w:rsidR="00CA3916" w:rsidRPr="006E31EE" w:rsidRDefault="00CA3916" w:rsidP="005E3C92">
            <w:pPr>
              <w:rPr>
                <w:color w:val="000000" w:themeColor="text1"/>
                <w:sz w:val="22"/>
                <w:szCs w:val="22"/>
              </w:rPr>
            </w:pPr>
            <w:r w:rsidRPr="006E31EE">
              <w:rPr>
                <w:color w:val="000000" w:themeColor="text1"/>
                <w:sz w:val="22"/>
                <w:szCs w:val="22"/>
              </w:rPr>
              <w:t xml:space="preserve"> </w:t>
            </w:r>
          </w:p>
          <w:p w14:paraId="69AA2FA7" w14:textId="77777777" w:rsidR="00CA3916" w:rsidRPr="006E31EE" w:rsidRDefault="00CA3916" w:rsidP="005E3C92">
            <w:pPr>
              <w:rPr>
                <w:color w:val="000000" w:themeColor="text1"/>
                <w:sz w:val="22"/>
                <w:szCs w:val="22"/>
              </w:rPr>
            </w:pPr>
            <w:r w:rsidRPr="006E31EE">
              <w:rPr>
                <w:color w:val="000000" w:themeColor="text1"/>
                <w:sz w:val="22"/>
                <w:szCs w:val="22"/>
              </w:rPr>
              <w:t>GS-331007</w:t>
            </w:r>
            <w:r w:rsidRPr="006E31EE">
              <w:rPr>
                <w:color w:val="000000" w:themeColor="text1"/>
                <w:sz w:val="22"/>
                <w:szCs w:val="22"/>
                <w:vertAlign w:val="superscript"/>
              </w:rPr>
              <w:t>2</w:t>
            </w:r>
            <w:r w:rsidRPr="006E31EE">
              <w:rPr>
                <w:color w:val="000000" w:themeColor="text1"/>
                <w:sz w:val="22"/>
                <w:szCs w:val="22"/>
              </w:rPr>
              <w:t xml:space="preserve">: </w:t>
            </w:r>
          </w:p>
          <w:p w14:paraId="40F31BAB" w14:textId="77777777" w:rsidR="00CA3916" w:rsidRPr="006E31EE" w:rsidRDefault="00CA3916" w:rsidP="005E3C92">
            <w:pPr>
              <w:rPr>
                <w:color w:val="000000" w:themeColor="text1"/>
                <w:sz w:val="22"/>
                <w:szCs w:val="22"/>
              </w:rPr>
            </w:pPr>
            <w:r w:rsidRPr="006E31EE">
              <w:rPr>
                <w:color w:val="000000" w:themeColor="text1"/>
                <w:sz w:val="22"/>
                <w:szCs w:val="22"/>
              </w:rPr>
              <w:t xml:space="preserve">AUC: ↔ </w:t>
            </w:r>
          </w:p>
          <w:p w14:paraId="49794E94" w14:textId="77777777" w:rsidR="00CA3916" w:rsidRPr="006E31EE" w:rsidRDefault="00CA3916" w:rsidP="005E3C92">
            <w:pPr>
              <w:rPr>
                <w:color w:val="000000" w:themeColor="text1"/>
                <w:sz w:val="22"/>
                <w:szCs w:val="22"/>
              </w:rPr>
            </w:pPr>
            <w:r w:rsidRPr="006E31EE">
              <w:rPr>
                <w:color w:val="000000" w:themeColor="text1"/>
                <w:sz w:val="22"/>
                <w:szCs w:val="22"/>
              </w:rPr>
              <w:t>C</w:t>
            </w:r>
            <w:r w:rsidRPr="006E31EE">
              <w:rPr>
                <w:color w:val="000000" w:themeColor="text1"/>
                <w:sz w:val="22"/>
                <w:szCs w:val="22"/>
                <w:vertAlign w:val="subscript"/>
              </w:rPr>
              <w:t>max</w:t>
            </w:r>
            <w:r w:rsidRPr="006E31EE">
              <w:rPr>
                <w:color w:val="000000" w:themeColor="text1"/>
                <w:sz w:val="22"/>
                <w:szCs w:val="22"/>
              </w:rPr>
              <w:t xml:space="preserve">: ↓ 23% </w:t>
            </w:r>
          </w:p>
          <w:p w14:paraId="4DC86D57" w14:textId="77777777" w:rsidR="00CA3916" w:rsidRPr="006E31EE" w:rsidRDefault="00CA3916" w:rsidP="005E3C92">
            <w:pPr>
              <w:rPr>
                <w:color w:val="000000" w:themeColor="text1"/>
                <w:sz w:val="22"/>
                <w:szCs w:val="22"/>
              </w:rPr>
            </w:pPr>
            <w:r w:rsidRPr="006E31EE">
              <w:rPr>
                <w:color w:val="000000" w:themeColor="text1"/>
                <w:sz w:val="22"/>
                <w:szCs w:val="22"/>
              </w:rPr>
              <w:t xml:space="preserve"> </w:t>
            </w:r>
          </w:p>
          <w:p w14:paraId="1D1779D3" w14:textId="77777777" w:rsidR="00CA3916" w:rsidRPr="006E31EE" w:rsidRDefault="00CA3916" w:rsidP="005E3C92">
            <w:pPr>
              <w:rPr>
                <w:color w:val="000000" w:themeColor="text1"/>
                <w:sz w:val="22"/>
                <w:szCs w:val="22"/>
              </w:rPr>
            </w:pPr>
            <w:r w:rsidRPr="006E31EE">
              <w:rPr>
                <w:color w:val="000000" w:themeColor="text1"/>
                <w:sz w:val="22"/>
                <w:szCs w:val="22"/>
              </w:rPr>
              <w:t xml:space="preserve">Efavirenz: </w:t>
            </w:r>
          </w:p>
          <w:p w14:paraId="28A9579D" w14:textId="77777777" w:rsidR="00CA3916" w:rsidRPr="006E31EE" w:rsidRDefault="00CA3916" w:rsidP="005E3C92">
            <w:pPr>
              <w:rPr>
                <w:color w:val="000000" w:themeColor="text1"/>
                <w:sz w:val="22"/>
                <w:szCs w:val="22"/>
              </w:rPr>
            </w:pPr>
            <w:r w:rsidRPr="006E31EE">
              <w:rPr>
                <w:color w:val="000000" w:themeColor="text1"/>
                <w:sz w:val="22"/>
                <w:szCs w:val="22"/>
              </w:rPr>
              <w:t xml:space="preserve">AUC: ↔ </w:t>
            </w:r>
          </w:p>
          <w:p w14:paraId="0392F236" w14:textId="77777777" w:rsidR="00CA3916" w:rsidRPr="006E31EE" w:rsidRDefault="00CA3916" w:rsidP="005E3C92">
            <w:pPr>
              <w:rPr>
                <w:color w:val="000000" w:themeColor="text1"/>
                <w:sz w:val="22"/>
                <w:szCs w:val="22"/>
              </w:rPr>
            </w:pPr>
            <w:r w:rsidRPr="006E31EE">
              <w:rPr>
                <w:color w:val="000000" w:themeColor="text1"/>
                <w:sz w:val="22"/>
                <w:szCs w:val="22"/>
              </w:rPr>
              <w:t>C</w:t>
            </w:r>
            <w:r w:rsidRPr="006E31EE">
              <w:rPr>
                <w:color w:val="000000" w:themeColor="text1"/>
                <w:sz w:val="22"/>
                <w:szCs w:val="22"/>
                <w:vertAlign w:val="subscript"/>
              </w:rPr>
              <w:t>max</w:t>
            </w:r>
            <w:r w:rsidRPr="006E31EE">
              <w:rPr>
                <w:color w:val="000000" w:themeColor="text1"/>
                <w:sz w:val="22"/>
                <w:szCs w:val="22"/>
              </w:rPr>
              <w:t xml:space="preserve">: ↔ </w:t>
            </w:r>
          </w:p>
          <w:p w14:paraId="3762C2BB" w14:textId="77777777" w:rsidR="00CA3916" w:rsidRPr="006E31EE" w:rsidRDefault="00CA3916" w:rsidP="005E3C92">
            <w:pPr>
              <w:rPr>
                <w:color w:val="000000" w:themeColor="text1"/>
                <w:sz w:val="22"/>
                <w:szCs w:val="22"/>
              </w:rPr>
            </w:pPr>
            <w:r w:rsidRPr="006E31EE">
              <w:rPr>
                <w:color w:val="000000" w:themeColor="text1"/>
                <w:sz w:val="22"/>
                <w:szCs w:val="22"/>
              </w:rPr>
              <w:t>C</w:t>
            </w:r>
            <w:r w:rsidRPr="006E31EE">
              <w:rPr>
                <w:color w:val="000000" w:themeColor="text1"/>
                <w:sz w:val="22"/>
                <w:szCs w:val="22"/>
                <w:vertAlign w:val="subscript"/>
              </w:rPr>
              <w:t>min</w:t>
            </w:r>
            <w:r w:rsidRPr="006E31EE">
              <w:rPr>
                <w:color w:val="000000" w:themeColor="text1"/>
                <w:sz w:val="22"/>
                <w:szCs w:val="22"/>
              </w:rPr>
              <w:t xml:space="preserve">: ↔ </w:t>
            </w:r>
          </w:p>
          <w:p w14:paraId="62D553DA" w14:textId="77777777" w:rsidR="00CA3916" w:rsidRPr="006E31EE" w:rsidRDefault="00CA3916" w:rsidP="005E3C92">
            <w:pPr>
              <w:rPr>
                <w:color w:val="000000" w:themeColor="text1"/>
                <w:sz w:val="22"/>
                <w:szCs w:val="22"/>
              </w:rPr>
            </w:pPr>
            <w:r w:rsidRPr="006E31EE">
              <w:rPr>
                <w:color w:val="000000" w:themeColor="text1"/>
                <w:sz w:val="22"/>
                <w:szCs w:val="22"/>
              </w:rPr>
              <w:t xml:space="preserve"> </w:t>
            </w:r>
          </w:p>
          <w:p w14:paraId="2CFEBCD2" w14:textId="77777777" w:rsidR="00CA3916" w:rsidRPr="006E31EE" w:rsidRDefault="00CA3916" w:rsidP="005E3C92">
            <w:pPr>
              <w:rPr>
                <w:color w:val="000000" w:themeColor="text1"/>
                <w:sz w:val="22"/>
                <w:szCs w:val="22"/>
              </w:rPr>
            </w:pPr>
            <w:r w:rsidRPr="006E31EE">
              <w:rPr>
                <w:color w:val="000000" w:themeColor="text1"/>
                <w:sz w:val="22"/>
                <w:szCs w:val="22"/>
              </w:rPr>
              <w:t xml:space="preserve">Emtricitabin: </w:t>
            </w:r>
          </w:p>
          <w:p w14:paraId="439E89F9" w14:textId="77777777" w:rsidR="00CA3916" w:rsidRPr="006E31EE" w:rsidRDefault="00CA3916" w:rsidP="005E3C92">
            <w:pPr>
              <w:rPr>
                <w:color w:val="000000" w:themeColor="text1"/>
                <w:sz w:val="22"/>
                <w:szCs w:val="22"/>
              </w:rPr>
            </w:pPr>
            <w:r w:rsidRPr="006E31EE">
              <w:rPr>
                <w:color w:val="000000" w:themeColor="text1"/>
                <w:sz w:val="22"/>
                <w:szCs w:val="22"/>
              </w:rPr>
              <w:t xml:space="preserve">AUC: ↔ </w:t>
            </w:r>
          </w:p>
          <w:p w14:paraId="341FEC73" w14:textId="77777777" w:rsidR="00CA3916" w:rsidRPr="006E31EE" w:rsidRDefault="00CA3916" w:rsidP="005E3C92">
            <w:pPr>
              <w:rPr>
                <w:color w:val="000000" w:themeColor="text1"/>
                <w:sz w:val="22"/>
                <w:szCs w:val="22"/>
              </w:rPr>
            </w:pPr>
            <w:r w:rsidRPr="006E31EE">
              <w:rPr>
                <w:color w:val="000000" w:themeColor="text1"/>
                <w:sz w:val="22"/>
                <w:szCs w:val="22"/>
              </w:rPr>
              <w:t>C</w:t>
            </w:r>
            <w:r w:rsidRPr="006E31EE">
              <w:rPr>
                <w:color w:val="000000" w:themeColor="text1"/>
                <w:sz w:val="22"/>
                <w:szCs w:val="22"/>
                <w:vertAlign w:val="subscript"/>
              </w:rPr>
              <w:t>max</w:t>
            </w:r>
            <w:r w:rsidRPr="006E31EE">
              <w:rPr>
                <w:color w:val="000000" w:themeColor="text1"/>
                <w:sz w:val="22"/>
                <w:szCs w:val="22"/>
              </w:rPr>
              <w:t xml:space="preserve">: ↔ </w:t>
            </w:r>
          </w:p>
          <w:p w14:paraId="47BECD32" w14:textId="77777777" w:rsidR="00CA3916" w:rsidRPr="006E31EE" w:rsidRDefault="00CA3916" w:rsidP="005E3C92">
            <w:pPr>
              <w:rPr>
                <w:color w:val="000000" w:themeColor="text1"/>
                <w:sz w:val="22"/>
                <w:szCs w:val="22"/>
              </w:rPr>
            </w:pPr>
            <w:r w:rsidRPr="006E31EE">
              <w:rPr>
                <w:color w:val="000000" w:themeColor="text1"/>
                <w:sz w:val="22"/>
                <w:szCs w:val="22"/>
              </w:rPr>
              <w:t>C</w:t>
            </w:r>
            <w:r w:rsidRPr="006E31EE">
              <w:rPr>
                <w:color w:val="000000" w:themeColor="text1"/>
                <w:sz w:val="22"/>
                <w:szCs w:val="22"/>
                <w:vertAlign w:val="subscript"/>
              </w:rPr>
              <w:t>min</w:t>
            </w:r>
            <w:r w:rsidRPr="006E31EE">
              <w:rPr>
                <w:color w:val="000000" w:themeColor="text1"/>
                <w:sz w:val="22"/>
                <w:szCs w:val="22"/>
              </w:rPr>
              <w:t xml:space="preserve">: ↔ </w:t>
            </w:r>
          </w:p>
          <w:p w14:paraId="7DD2D3B2" w14:textId="77777777" w:rsidR="00CA3916" w:rsidRPr="006E31EE" w:rsidRDefault="00CA3916" w:rsidP="005E3C92">
            <w:pPr>
              <w:rPr>
                <w:color w:val="000000" w:themeColor="text1"/>
                <w:sz w:val="22"/>
                <w:szCs w:val="22"/>
              </w:rPr>
            </w:pPr>
            <w:r w:rsidRPr="006E31EE">
              <w:rPr>
                <w:color w:val="000000" w:themeColor="text1"/>
                <w:sz w:val="22"/>
                <w:szCs w:val="22"/>
              </w:rPr>
              <w:t xml:space="preserve"> </w:t>
            </w:r>
          </w:p>
          <w:p w14:paraId="1C106062" w14:textId="77777777" w:rsidR="00CA3916" w:rsidRPr="006E31EE" w:rsidRDefault="00CA3916" w:rsidP="005E3C92">
            <w:pPr>
              <w:rPr>
                <w:color w:val="000000" w:themeColor="text1"/>
                <w:sz w:val="22"/>
                <w:szCs w:val="22"/>
              </w:rPr>
            </w:pPr>
            <w:r w:rsidRPr="006E31EE">
              <w:rPr>
                <w:color w:val="000000" w:themeColor="text1"/>
                <w:sz w:val="22"/>
                <w:szCs w:val="22"/>
              </w:rPr>
              <w:t xml:space="preserve">Tenofovir: </w:t>
            </w:r>
          </w:p>
          <w:p w14:paraId="3B4E47E0" w14:textId="77777777" w:rsidR="00CA3916" w:rsidRPr="006E31EE" w:rsidRDefault="00CA3916" w:rsidP="005E3C92">
            <w:pPr>
              <w:rPr>
                <w:color w:val="000000" w:themeColor="text1"/>
                <w:sz w:val="22"/>
                <w:szCs w:val="22"/>
              </w:rPr>
            </w:pPr>
            <w:r w:rsidRPr="006E31EE">
              <w:rPr>
                <w:color w:val="000000" w:themeColor="text1"/>
                <w:sz w:val="22"/>
                <w:szCs w:val="22"/>
              </w:rPr>
              <w:t xml:space="preserve">AUC: ↔ </w:t>
            </w:r>
          </w:p>
          <w:p w14:paraId="45281FA9" w14:textId="77777777" w:rsidR="00CA3916" w:rsidRPr="006E31EE" w:rsidRDefault="00CA3916" w:rsidP="005E3C92">
            <w:pPr>
              <w:rPr>
                <w:color w:val="000000" w:themeColor="text1"/>
                <w:sz w:val="22"/>
                <w:szCs w:val="22"/>
              </w:rPr>
            </w:pPr>
            <w:r w:rsidRPr="006E31EE">
              <w:rPr>
                <w:color w:val="000000" w:themeColor="text1"/>
                <w:sz w:val="22"/>
                <w:szCs w:val="22"/>
              </w:rPr>
              <w:t>C</w:t>
            </w:r>
            <w:r w:rsidRPr="006E31EE">
              <w:rPr>
                <w:color w:val="000000" w:themeColor="text1"/>
                <w:sz w:val="22"/>
                <w:szCs w:val="22"/>
                <w:vertAlign w:val="subscript"/>
              </w:rPr>
              <w:t>max</w:t>
            </w:r>
            <w:r w:rsidRPr="006E31EE">
              <w:rPr>
                <w:color w:val="000000" w:themeColor="text1"/>
                <w:sz w:val="22"/>
                <w:szCs w:val="22"/>
              </w:rPr>
              <w:t>: ↑ 25% C</w:t>
            </w:r>
            <w:r w:rsidRPr="006E31EE">
              <w:rPr>
                <w:color w:val="000000" w:themeColor="text1"/>
                <w:sz w:val="22"/>
                <w:szCs w:val="22"/>
                <w:vertAlign w:val="subscript"/>
              </w:rPr>
              <w:t>min</w:t>
            </w:r>
            <w:r w:rsidRPr="006E31EE">
              <w:rPr>
                <w:color w:val="000000" w:themeColor="text1"/>
                <w:sz w:val="22"/>
                <w:szCs w:val="22"/>
              </w:rPr>
              <w:t xml:space="preserve">: ↔ </w:t>
            </w:r>
          </w:p>
        </w:tc>
        <w:tc>
          <w:tcPr>
            <w:tcW w:w="1745" w:type="pct"/>
            <w:hideMark/>
          </w:tcPr>
          <w:p w14:paraId="2F537495" w14:textId="77777777" w:rsidR="00CA3916" w:rsidRPr="006E31EE" w:rsidRDefault="00CA3916" w:rsidP="005E3C92">
            <w:pPr>
              <w:rPr>
                <w:color w:val="FF0000"/>
                <w:sz w:val="22"/>
                <w:szCs w:val="22"/>
              </w:rPr>
            </w:pPr>
            <w:r w:rsidRPr="006E31EE">
              <w:rPr>
                <w:sz w:val="22"/>
                <w:szCs w:val="22"/>
              </w:rPr>
              <w:t>Der anbefales ingen dosisjustering.</w:t>
            </w:r>
          </w:p>
        </w:tc>
      </w:tr>
    </w:tbl>
    <w:p w14:paraId="5AFC4330" w14:textId="77777777" w:rsidR="00A97556" w:rsidRPr="006E31EE" w:rsidRDefault="00A97556" w:rsidP="00A97556">
      <w:pPr>
        <w:numPr>
          <w:ilvl w:val="0"/>
          <w:numId w:val="11"/>
        </w:numPr>
        <w:tabs>
          <w:tab w:val="left" w:pos="284"/>
        </w:tabs>
        <w:ind w:left="284" w:hanging="284"/>
        <w:rPr>
          <w:color w:val="000000" w:themeColor="text1"/>
          <w:sz w:val="24"/>
          <w:szCs w:val="24"/>
        </w:rPr>
      </w:pPr>
      <w:r w:rsidRPr="006E31EE">
        <w:rPr>
          <w:color w:val="000000" w:themeColor="text1"/>
          <w:sz w:val="24"/>
          <w:szCs w:val="24"/>
        </w:rPr>
        <w:t>Data genereret fra samtidig dosering med ledipasvir/sofosbuvir. Forskudt administration (12 timers mellemrum) gav lignende resultater.</w:t>
      </w:r>
    </w:p>
    <w:p w14:paraId="1AAA7C21" w14:textId="77777777" w:rsidR="00A97556" w:rsidRPr="006E31EE" w:rsidRDefault="00A97556" w:rsidP="00A97556">
      <w:pPr>
        <w:numPr>
          <w:ilvl w:val="0"/>
          <w:numId w:val="11"/>
        </w:numPr>
        <w:tabs>
          <w:tab w:val="left" w:pos="284"/>
        </w:tabs>
        <w:ind w:left="284" w:hanging="284"/>
        <w:rPr>
          <w:color w:val="000000" w:themeColor="text1"/>
          <w:sz w:val="24"/>
          <w:szCs w:val="24"/>
          <w:u w:val="single"/>
        </w:rPr>
      </w:pPr>
      <w:r w:rsidRPr="006E31EE">
        <w:rPr>
          <w:color w:val="000000" w:themeColor="text1"/>
          <w:sz w:val="24"/>
          <w:szCs w:val="24"/>
        </w:rPr>
        <w:t>Den overvejende cirkulerende metabolit af sofosbuvir.</w:t>
      </w:r>
    </w:p>
    <w:p w14:paraId="1968C2DA" w14:textId="77777777" w:rsidR="00A97556" w:rsidRPr="006E31EE" w:rsidRDefault="00A97556" w:rsidP="00A97556">
      <w:pPr>
        <w:numPr>
          <w:ilvl w:val="0"/>
          <w:numId w:val="11"/>
        </w:numPr>
        <w:tabs>
          <w:tab w:val="left" w:pos="284"/>
        </w:tabs>
        <w:ind w:left="284" w:hanging="284"/>
        <w:rPr>
          <w:color w:val="000000" w:themeColor="text1"/>
          <w:sz w:val="24"/>
          <w:szCs w:val="24"/>
          <w:u w:val="single"/>
        </w:rPr>
      </w:pPr>
      <w:r w:rsidRPr="006E31EE">
        <w:rPr>
          <w:color w:val="000000" w:themeColor="text1"/>
          <w:sz w:val="24"/>
          <w:szCs w:val="24"/>
        </w:rPr>
        <w:t>Studie udført med yderligere 100 mg voxilaprevir for at opnå den samme eksponering for voxilaprevir, som der forventes hos HCV-inficerede patienter.</w:t>
      </w:r>
    </w:p>
    <w:p w14:paraId="6307D5E6" w14:textId="77777777" w:rsidR="00A97556" w:rsidRPr="006E31EE" w:rsidRDefault="00A97556" w:rsidP="00A97556">
      <w:pPr>
        <w:ind w:left="851" w:hanging="851"/>
        <w:rPr>
          <w:sz w:val="24"/>
          <w:szCs w:val="24"/>
          <w:u w:val="single"/>
        </w:rPr>
      </w:pPr>
    </w:p>
    <w:p w14:paraId="3EA5B4F1" w14:textId="77777777" w:rsidR="00A97556" w:rsidRPr="006E31EE" w:rsidRDefault="00A97556" w:rsidP="00285E88">
      <w:pPr>
        <w:keepNext/>
        <w:ind w:left="851"/>
        <w:rPr>
          <w:sz w:val="24"/>
          <w:szCs w:val="24"/>
          <w:u w:val="single"/>
        </w:rPr>
      </w:pPr>
      <w:r w:rsidRPr="006E31EE">
        <w:rPr>
          <w:sz w:val="24"/>
          <w:szCs w:val="24"/>
          <w:u w:val="single"/>
        </w:rPr>
        <w:lastRenderedPageBreak/>
        <w:t xml:space="preserve">Studier, der blev udført med andre lægemidler </w:t>
      </w:r>
    </w:p>
    <w:p w14:paraId="761B59F7" w14:textId="77777777" w:rsidR="00A97556" w:rsidRPr="006E31EE" w:rsidRDefault="00A97556" w:rsidP="00A97556">
      <w:pPr>
        <w:ind w:left="851"/>
        <w:rPr>
          <w:sz w:val="24"/>
          <w:szCs w:val="24"/>
        </w:rPr>
      </w:pPr>
      <w:r w:rsidRPr="006E31EE">
        <w:rPr>
          <w:sz w:val="24"/>
          <w:szCs w:val="24"/>
        </w:rPr>
        <w:t xml:space="preserve">Der var ingen klinisk signifikante farmakokinetiske interaktioner, når tenofovirdisoproxil blev administreret sammen med emtricitabin, lamivudin, indinavir, efavirenz, nelfinavir, saquinavir (ritonavir-boostet), methadon, ribavirin, rifampicin, tacrolimus eller hormonantikonceptionsmidlet norgestimat/ethinylestradiol. </w:t>
      </w:r>
    </w:p>
    <w:p w14:paraId="12573F76" w14:textId="77777777" w:rsidR="00A97556" w:rsidRPr="006E31EE" w:rsidRDefault="00A97556" w:rsidP="00A97556">
      <w:pPr>
        <w:ind w:left="851"/>
        <w:rPr>
          <w:sz w:val="24"/>
          <w:szCs w:val="24"/>
        </w:rPr>
      </w:pPr>
    </w:p>
    <w:p w14:paraId="382A468B" w14:textId="77777777" w:rsidR="00A97556" w:rsidRPr="006E31EE" w:rsidRDefault="00A97556" w:rsidP="00A97556">
      <w:pPr>
        <w:ind w:left="851"/>
        <w:rPr>
          <w:sz w:val="24"/>
          <w:szCs w:val="24"/>
        </w:rPr>
      </w:pPr>
      <w:r w:rsidRPr="006E31EE">
        <w:rPr>
          <w:sz w:val="24"/>
          <w:szCs w:val="24"/>
        </w:rPr>
        <w:t>Tenofovirdisoproxil skal tages sammen med mad, da mad forbedrer tenofovirs biotilgængelighed (se pkt. 5.2).</w:t>
      </w:r>
    </w:p>
    <w:p w14:paraId="5BE9843B" w14:textId="77777777" w:rsidR="008F3CD4" w:rsidRPr="006E31EE" w:rsidRDefault="008F3CD4" w:rsidP="008F3CD4">
      <w:pPr>
        <w:ind w:left="851" w:hanging="851"/>
        <w:rPr>
          <w:sz w:val="24"/>
          <w:szCs w:val="24"/>
        </w:rPr>
      </w:pPr>
    </w:p>
    <w:p w14:paraId="4C1D3C65" w14:textId="443BDB67" w:rsidR="00A97556" w:rsidRPr="006E31EE" w:rsidRDefault="008F3CD4" w:rsidP="00A97556">
      <w:pPr>
        <w:ind w:left="851" w:hanging="851"/>
        <w:rPr>
          <w:b/>
          <w:sz w:val="24"/>
          <w:szCs w:val="24"/>
        </w:rPr>
      </w:pPr>
      <w:r w:rsidRPr="006E31EE">
        <w:rPr>
          <w:b/>
          <w:sz w:val="24"/>
          <w:szCs w:val="24"/>
        </w:rPr>
        <w:t>4.6</w:t>
      </w:r>
      <w:r w:rsidRPr="006E31EE">
        <w:rPr>
          <w:b/>
          <w:sz w:val="24"/>
          <w:szCs w:val="24"/>
        </w:rPr>
        <w:tab/>
      </w:r>
      <w:r w:rsidR="003228A3">
        <w:rPr>
          <w:b/>
          <w:sz w:val="24"/>
          <w:szCs w:val="24"/>
        </w:rPr>
        <w:t>Fertilitet, g</w:t>
      </w:r>
      <w:r w:rsidRPr="006E31EE">
        <w:rPr>
          <w:b/>
          <w:sz w:val="24"/>
          <w:szCs w:val="24"/>
        </w:rPr>
        <w:t>raviditet og amning</w:t>
      </w:r>
    </w:p>
    <w:p w14:paraId="18A2CA7B" w14:textId="77777777" w:rsidR="00A97556" w:rsidRPr="006E31EE" w:rsidRDefault="00A97556" w:rsidP="00A97556">
      <w:pPr>
        <w:ind w:left="851"/>
        <w:rPr>
          <w:sz w:val="24"/>
          <w:szCs w:val="24"/>
          <w:u w:val="single"/>
        </w:rPr>
      </w:pPr>
      <w:r w:rsidRPr="006E31EE">
        <w:rPr>
          <w:sz w:val="24"/>
          <w:szCs w:val="24"/>
          <w:u w:val="single"/>
        </w:rPr>
        <w:t xml:space="preserve">Graviditet </w:t>
      </w:r>
    </w:p>
    <w:p w14:paraId="383E97B7" w14:textId="1F38C84F" w:rsidR="00A97556" w:rsidRPr="006E31EE" w:rsidRDefault="00A97556" w:rsidP="00A97556">
      <w:pPr>
        <w:ind w:left="851"/>
        <w:rPr>
          <w:sz w:val="24"/>
          <w:szCs w:val="24"/>
        </w:rPr>
      </w:pPr>
      <w:r w:rsidRPr="006E31EE">
        <w:rPr>
          <w:sz w:val="24"/>
          <w:szCs w:val="24"/>
        </w:rPr>
        <w:t>Data fra anvendelse af tenofovirdisoproxil hos et stort antal gravide kvinder (mere end</w:t>
      </w:r>
      <w:r w:rsidR="0037478E">
        <w:rPr>
          <w:sz w:val="24"/>
          <w:szCs w:val="24"/>
        </w:rPr>
        <w:t xml:space="preserve"> </w:t>
      </w:r>
      <w:r w:rsidRPr="006E31EE">
        <w:rPr>
          <w:sz w:val="24"/>
          <w:szCs w:val="24"/>
        </w:rPr>
        <w:t xml:space="preserve">1.000) indikerer ingen misdannelser eller føtal/neonatal toksicitet af tenofovirdisoproxil. Dyrestudier indikerer ikke reproduktionstoksicitet (se pkt. 5.3). Hvis det er indiceret, kan anvendelse af tenofovirdisoproxil overvejes under graviditet. </w:t>
      </w:r>
    </w:p>
    <w:p w14:paraId="544F28D0" w14:textId="77777777" w:rsidR="00A97556" w:rsidRPr="006E31EE" w:rsidRDefault="00A97556" w:rsidP="00A97556">
      <w:pPr>
        <w:ind w:left="851" w:hanging="851"/>
        <w:rPr>
          <w:sz w:val="24"/>
          <w:szCs w:val="24"/>
        </w:rPr>
      </w:pPr>
    </w:p>
    <w:p w14:paraId="7BDD8B86" w14:textId="77777777" w:rsidR="00A97556" w:rsidRPr="006E31EE" w:rsidRDefault="00A97556" w:rsidP="00A97556">
      <w:pPr>
        <w:ind w:left="851"/>
        <w:rPr>
          <w:sz w:val="24"/>
          <w:szCs w:val="24"/>
        </w:rPr>
      </w:pPr>
      <w:r w:rsidRPr="006E31EE">
        <w:rPr>
          <w:sz w:val="24"/>
          <w:szCs w:val="24"/>
        </w:rPr>
        <w:t>I litteraturen er eksponering for tenofovirdisoproxil i graviditetens tredje trimester blevet påvist at reducere risikoen for transmission af HBV fra moder til barn, hvis tenofovirdisoproxil gives til mødre i tillæg til hepatitis-B immunglobulin og hepatitis-B vaccine til spædbørn.</w:t>
      </w:r>
    </w:p>
    <w:p w14:paraId="7D3E9D52" w14:textId="77777777" w:rsidR="00A97556" w:rsidRPr="006E31EE" w:rsidRDefault="00A97556" w:rsidP="00A97556">
      <w:pPr>
        <w:ind w:left="851"/>
        <w:rPr>
          <w:sz w:val="24"/>
          <w:szCs w:val="24"/>
        </w:rPr>
      </w:pPr>
    </w:p>
    <w:p w14:paraId="6626468D" w14:textId="77777777" w:rsidR="00A97556" w:rsidRPr="006E31EE" w:rsidRDefault="00A97556" w:rsidP="00A97556">
      <w:pPr>
        <w:ind w:left="851"/>
        <w:rPr>
          <w:sz w:val="24"/>
          <w:szCs w:val="24"/>
        </w:rPr>
      </w:pPr>
      <w:r w:rsidRPr="006E31EE">
        <w:rPr>
          <w:sz w:val="24"/>
          <w:szCs w:val="24"/>
        </w:rPr>
        <w:t>I tre kontrollerede kliniske forsøg fik i alt 327 gravide kvinder med kronisk HBV-infektion administreret tenofovirdisoproxil (245 mg) en gang dagligt fra graviditetsuge 28 til 32 frem til 1-2 måneder efter fødslen. Kvinderne og deres spædbørn blev fulgt i op til 12 måneder efter fødslen. Der er ikke fremkommet nogen sikkerhedssignaler fra disse data.</w:t>
      </w:r>
    </w:p>
    <w:p w14:paraId="656D817D" w14:textId="77777777" w:rsidR="00A97556" w:rsidRPr="006E31EE" w:rsidRDefault="00A97556" w:rsidP="00A97556">
      <w:pPr>
        <w:ind w:left="851" w:hanging="851"/>
        <w:rPr>
          <w:sz w:val="24"/>
          <w:szCs w:val="24"/>
        </w:rPr>
      </w:pPr>
    </w:p>
    <w:p w14:paraId="350D7253" w14:textId="77777777" w:rsidR="00A97556" w:rsidRPr="006E31EE" w:rsidRDefault="00A97556" w:rsidP="00A97556">
      <w:pPr>
        <w:ind w:left="851"/>
        <w:rPr>
          <w:sz w:val="24"/>
          <w:szCs w:val="24"/>
          <w:u w:val="single"/>
        </w:rPr>
      </w:pPr>
      <w:r w:rsidRPr="006E31EE">
        <w:rPr>
          <w:sz w:val="24"/>
          <w:szCs w:val="24"/>
          <w:u w:val="single"/>
        </w:rPr>
        <w:t xml:space="preserve">Amning </w:t>
      </w:r>
    </w:p>
    <w:p w14:paraId="73A1EF01" w14:textId="77777777" w:rsidR="0037478E" w:rsidRDefault="0037478E" w:rsidP="0037478E">
      <w:pPr>
        <w:ind w:left="851"/>
        <w:rPr>
          <w:noProof/>
          <w:sz w:val="24"/>
          <w:szCs w:val="24"/>
        </w:rPr>
      </w:pPr>
      <w:r>
        <w:rPr>
          <w:noProof/>
          <w:sz w:val="24"/>
          <w:szCs w:val="24"/>
        </w:rPr>
        <w:t xml:space="preserve">Hvis den nyfødte behandles tilstrækkeligt for forebyggelse af hepatitis B ved fødslen, kan en mor med hepatitis B generelt amme sit spædbarn. </w:t>
      </w:r>
    </w:p>
    <w:p w14:paraId="265AF60C" w14:textId="77777777" w:rsidR="0037478E" w:rsidRDefault="0037478E" w:rsidP="0037478E">
      <w:pPr>
        <w:ind w:left="851"/>
        <w:rPr>
          <w:noProof/>
          <w:sz w:val="24"/>
          <w:szCs w:val="24"/>
        </w:rPr>
      </w:pPr>
      <w:r>
        <w:rPr>
          <w:noProof/>
          <w:sz w:val="24"/>
          <w:szCs w:val="24"/>
        </w:rPr>
        <w:t xml:space="preserve">Tenofovir udskilles i human mælk i meget lave mængder og eksponering af spædbørn gennem modermælk anses som ubetydelig. Selvom langtidsdataene er begrænsede, er der ikke rapporteret nogen bivirkninger hos ammede spædbørn, og HBV-inficerede mødre, der tager tenofovirdisoproxil kan amme. </w:t>
      </w:r>
    </w:p>
    <w:p w14:paraId="1FE4358D" w14:textId="77777777" w:rsidR="003228A3" w:rsidRPr="003228A3" w:rsidRDefault="003228A3" w:rsidP="0037478E">
      <w:pPr>
        <w:ind w:left="851"/>
        <w:rPr>
          <w:noProof/>
          <w:sz w:val="24"/>
          <w:szCs w:val="24"/>
        </w:rPr>
      </w:pPr>
    </w:p>
    <w:p w14:paraId="0CAAD253" w14:textId="77777777" w:rsidR="003228A3" w:rsidRPr="003228A3" w:rsidRDefault="003228A3" w:rsidP="003228A3">
      <w:pPr>
        <w:ind w:left="851"/>
        <w:rPr>
          <w:noProof/>
          <w:sz w:val="24"/>
          <w:szCs w:val="24"/>
        </w:rPr>
      </w:pPr>
      <w:r w:rsidRPr="003228A3">
        <w:rPr>
          <w:sz w:val="24"/>
          <w:szCs w:val="24"/>
        </w:rPr>
        <w:t>For at undgå overførsel af hiv til spædbarnet anbefales det, at hiv-inficerede mødre undlader at amme deres spædbørn.</w:t>
      </w:r>
    </w:p>
    <w:p w14:paraId="47E72C51" w14:textId="77777777" w:rsidR="00A97556" w:rsidRPr="006E31EE" w:rsidRDefault="00A97556" w:rsidP="00A97556">
      <w:pPr>
        <w:ind w:left="851" w:hanging="851"/>
        <w:rPr>
          <w:sz w:val="24"/>
          <w:szCs w:val="24"/>
        </w:rPr>
      </w:pPr>
    </w:p>
    <w:p w14:paraId="0A9BFD2A" w14:textId="77777777" w:rsidR="00A97556" w:rsidRPr="006E31EE" w:rsidRDefault="00A97556" w:rsidP="00A97556">
      <w:pPr>
        <w:ind w:left="851"/>
        <w:rPr>
          <w:sz w:val="24"/>
          <w:szCs w:val="24"/>
          <w:u w:val="single"/>
        </w:rPr>
      </w:pPr>
      <w:r w:rsidRPr="006E31EE">
        <w:rPr>
          <w:sz w:val="24"/>
          <w:szCs w:val="24"/>
          <w:u w:val="single"/>
        </w:rPr>
        <w:t xml:space="preserve">Fertilitet </w:t>
      </w:r>
    </w:p>
    <w:p w14:paraId="1D4BF0A7" w14:textId="77777777" w:rsidR="00A97556" w:rsidRPr="006E31EE" w:rsidRDefault="00A97556" w:rsidP="00A97556">
      <w:pPr>
        <w:ind w:left="851"/>
        <w:rPr>
          <w:sz w:val="24"/>
          <w:szCs w:val="24"/>
        </w:rPr>
      </w:pPr>
      <w:r w:rsidRPr="006E31EE">
        <w:rPr>
          <w:sz w:val="24"/>
          <w:szCs w:val="24"/>
        </w:rPr>
        <w:t>Der er begrænsede kliniske data, hvad angår virkningen af tenofovirdisoproxil på fertilitet. Dyrestudier indikerer ingen skadelige virkninger af tenofovirdisoproxil på fertiliteten.</w:t>
      </w:r>
    </w:p>
    <w:p w14:paraId="65680671" w14:textId="77777777" w:rsidR="008F3CD4" w:rsidRPr="006E31EE" w:rsidRDefault="008F3CD4" w:rsidP="008F3CD4">
      <w:pPr>
        <w:ind w:left="851" w:hanging="851"/>
        <w:rPr>
          <w:sz w:val="24"/>
          <w:szCs w:val="24"/>
        </w:rPr>
      </w:pPr>
    </w:p>
    <w:p w14:paraId="62CC10F7" w14:textId="59F50954" w:rsidR="008F3CD4" w:rsidRPr="006E31EE" w:rsidRDefault="008F3CD4" w:rsidP="008F3CD4">
      <w:pPr>
        <w:ind w:left="851" w:hanging="851"/>
        <w:rPr>
          <w:b/>
          <w:sz w:val="24"/>
          <w:szCs w:val="24"/>
        </w:rPr>
      </w:pPr>
      <w:r w:rsidRPr="006E31EE">
        <w:rPr>
          <w:b/>
          <w:sz w:val="24"/>
          <w:szCs w:val="24"/>
        </w:rPr>
        <w:t>4.7</w:t>
      </w:r>
      <w:r w:rsidRPr="006E31EE">
        <w:rPr>
          <w:b/>
          <w:sz w:val="24"/>
          <w:szCs w:val="24"/>
        </w:rPr>
        <w:tab/>
        <w:t xml:space="preserve">Virkning på evnen til at føre motorkøretøj </w:t>
      </w:r>
      <w:r w:rsidR="003228A3">
        <w:rPr>
          <w:b/>
          <w:sz w:val="24"/>
          <w:szCs w:val="24"/>
        </w:rPr>
        <w:t>og</w:t>
      </w:r>
      <w:r w:rsidRPr="006E31EE">
        <w:rPr>
          <w:b/>
          <w:sz w:val="24"/>
          <w:szCs w:val="24"/>
        </w:rPr>
        <w:t xml:space="preserve"> betjene maskiner</w:t>
      </w:r>
    </w:p>
    <w:p w14:paraId="2020A7EC" w14:textId="77777777" w:rsidR="00A97556" w:rsidRPr="006E31EE" w:rsidRDefault="00A97556" w:rsidP="00A97556">
      <w:pPr>
        <w:ind w:left="851"/>
        <w:rPr>
          <w:sz w:val="24"/>
          <w:szCs w:val="24"/>
        </w:rPr>
      </w:pPr>
      <w:r w:rsidRPr="006E31EE">
        <w:rPr>
          <w:sz w:val="24"/>
          <w:szCs w:val="24"/>
        </w:rPr>
        <w:t>Der er ikke foretaget studier af virkningen på evnen til at føre motorkøretøj og betjene maskiner. Patienter bør dog underrettes om, at svimmelhed er blevet indberettet som en bivirkning under behandling med tenofovirdisoproxil.</w:t>
      </w:r>
    </w:p>
    <w:p w14:paraId="46B4349E" w14:textId="77777777" w:rsidR="008F3CD4" w:rsidRPr="006E31EE" w:rsidRDefault="008F3CD4" w:rsidP="008F3CD4">
      <w:pPr>
        <w:ind w:left="851" w:hanging="851"/>
        <w:rPr>
          <w:sz w:val="24"/>
          <w:szCs w:val="24"/>
        </w:rPr>
      </w:pPr>
    </w:p>
    <w:p w14:paraId="3B79E986" w14:textId="68A9F161" w:rsidR="008F3CD4" w:rsidRPr="006E31EE" w:rsidRDefault="008F3CD4" w:rsidP="00285E88">
      <w:pPr>
        <w:ind w:left="851" w:hanging="851"/>
        <w:rPr>
          <w:b/>
          <w:sz w:val="24"/>
          <w:szCs w:val="24"/>
        </w:rPr>
      </w:pPr>
      <w:r w:rsidRPr="006E31EE">
        <w:rPr>
          <w:b/>
          <w:sz w:val="24"/>
          <w:szCs w:val="24"/>
        </w:rPr>
        <w:t>4.8</w:t>
      </w:r>
      <w:r w:rsidRPr="006E31EE">
        <w:rPr>
          <w:b/>
          <w:sz w:val="24"/>
          <w:szCs w:val="24"/>
        </w:rPr>
        <w:tab/>
        <w:t>Bivirkninger</w:t>
      </w:r>
    </w:p>
    <w:p w14:paraId="449E4F77" w14:textId="77777777" w:rsidR="00A97556" w:rsidRPr="006E31EE" w:rsidRDefault="00A97556" w:rsidP="00A97556">
      <w:pPr>
        <w:ind w:left="851"/>
        <w:rPr>
          <w:sz w:val="24"/>
          <w:szCs w:val="24"/>
          <w:u w:val="single"/>
        </w:rPr>
      </w:pPr>
      <w:r w:rsidRPr="006E31EE">
        <w:rPr>
          <w:sz w:val="24"/>
          <w:szCs w:val="24"/>
          <w:u w:val="single"/>
        </w:rPr>
        <w:t>Resumé af sikkerhedsprofilen</w:t>
      </w:r>
    </w:p>
    <w:p w14:paraId="085B6BF7" w14:textId="77777777" w:rsidR="00A97556" w:rsidRPr="006E31EE" w:rsidRDefault="00A97556" w:rsidP="00A97556">
      <w:pPr>
        <w:ind w:left="851"/>
        <w:rPr>
          <w:i/>
          <w:sz w:val="24"/>
          <w:szCs w:val="24"/>
        </w:rPr>
      </w:pPr>
      <w:r w:rsidRPr="006E31EE">
        <w:rPr>
          <w:i/>
          <w:sz w:val="24"/>
          <w:szCs w:val="24"/>
        </w:rPr>
        <w:t>Hiv 1 og hepatitis B</w:t>
      </w:r>
      <w:r w:rsidRPr="006E31EE">
        <w:rPr>
          <w:sz w:val="24"/>
          <w:szCs w:val="24"/>
        </w:rPr>
        <w:t xml:space="preserve">: Hos patienter, der behandles med tenofovirdisoproxil, er der rapporteret sjældne tilfælde af nyrefunktionsnedsættelse og nyresvigt. Proksimal renal tubulopati (herunder Fanconis syndrom) er indberettet med hyppigheden </w:t>
      </w:r>
      <w:r w:rsidRPr="006E31EE">
        <w:rPr>
          <w:i/>
          <w:sz w:val="24"/>
          <w:szCs w:val="24"/>
        </w:rPr>
        <w:t>ikke almindelig</w:t>
      </w:r>
      <w:r w:rsidRPr="006E31EE">
        <w:rPr>
          <w:sz w:val="24"/>
          <w:szCs w:val="24"/>
        </w:rPr>
        <w:t xml:space="preserve"> </w:t>
      </w:r>
      <w:r w:rsidRPr="006E31EE">
        <w:rPr>
          <w:sz w:val="24"/>
          <w:szCs w:val="24"/>
        </w:rPr>
        <w:lastRenderedPageBreak/>
        <w:t>og kan nogle gange medføre knogle</w:t>
      </w:r>
      <w:r w:rsidRPr="006E31EE">
        <w:rPr>
          <w:sz w:val="24"/>
          <w:szCs w:val="24"/>
        </w:rPr>
        <w:softHyphen/>
        <w:t>abnormiteter (i sjældne tilfælde er det rapporteret som medvirkende årsag til frakturer). Nyrefunktionen bør monitoreres hos patienter, som får Tenofovir disoproxil "Sandoz" (se pkt. 4.4).</w:t>
      </w:r>
    </w:p>
    <w:p w14:paraId="36498D24" w14:textId="77777777" w:rsidR="00A97556" w:rsidRPr="006E31EE" w:rsidRDefault="00A97556" w:rsidP="00A97556">
      <w:pPr>
        <w:ind w:left="851" w:hanging="851"/>
        <w:rPr>
          <w:sz w:val="24"/>
          <w:szCs w:val="24"/>
        </w:rPr>
      </w:pPr>
    </w:p>
    <w:p w14:paraId="3EB87093" w14:textId="77777777" w:rsidR="00A97556" w:rsidRPr="006E31EE" w:rsidRDefault="00A97556" w:rsidP="00A97556">
      <w:pPr>
        <w:ind w:left="851"/>
        <w:rPr>
          <w:sz w:val="24"/>
          <w:szCs w:val="24"/>
        </w:rPr>
      </w:pPr>
      <w:r w:rsidRPr="006E31EE">
        <w:rPr>
          <w:i/>
          <w:sz w:val="24"/>
          <w:szCs w:val="24"/>
        </w:rPr>
        <w:t>Hiv 1</w:t>
      </w:r>
      <w:r w:rsidRPr="006E31EE">
        <w:rPr>
          <w:sz w:val="24"/>
          <w:szCs w:val="24"/>
        </w:rPr>
        <w:t xml:space="preserve">: Ca. 1/3 af patienterne kan forventes at få bivirkninger i forbindelse med behandling med tenofovirdisoproxil i kombination med andre antiretrovirale midler. Disse bivirkninger er som regel milde til moderate gastrointestinale symptomer. Ca. 1 % af de tenofovirdisoproxil-behandlede voksne patienter ophørte med behandlingen på grund af gastrointestinale symptomer. </w:t>
      </w:r>
    </w:p>
    <w:p w14:paraId="40220E23" w14:textId="77777777" w:rsidR="00F32EA9" w:rsidRPr="006E31EE" w:rsidRDefault="00F32EA9" w:rsidP="00F32EA9">
      <w:pPr>
        <w:ind w:left="851" w:hanging="851"/>
        <w:rPr>
          <w:sz w:val="24"/>
          <w:szCs w:val="24"/>
        </w:rPr>
      </w:pPr>
    </w:p>
    <w:p w14:paraId="75851D64" w14:textId="77777777" w:rsidR="00F32EA9" w:rsidRPr="006E31EE" w:rsidRDefault="00F32EA9" w:rsidP="00F32EA9">
      <w:pPr>
        <w:ind w:left="851"/>
        <w:rPr>
          <w:sz w:val="24"/>
          <w:szCs w:val="24"/>
        </w:rPr>
      </w:pPr>
      <w:r w:rsidRPr="006E31EE">
        <w:rPr>
          <w:i/>
          <w:sz w:val="24"/>
          <w:szCs w:val="24"/>
        </w:rPr>
        <w:t>Hepatitis B</w:t>
      </w:r>
      <w:r w:rsidRPr="006E31EE">
        <w:rPr>
          <w:sz w:val="24"/>
          <w:szCs w:val="24"/>
        </w:rPr>
        <w:t xml:space="preserve">: Ca. 1/4 af patienterne kan forventes at få bivirkninger i forbindelse med behandling med tenofovirdisoproxil; de fleste af disse bivirkninger er milde. I kliniske studier med HBV-inficerede patienter var den hyppigst forekommende bivirkning med tenofovirdisoproxil kvalme (5,4 %). </w:t>
      </w:r>
    </w:p>
    <w:p w14:paraId="0EC58CE0" w14:textId="77777777" w:rsidR="00F32EA9" w:rsidRPr="006E31EE" w:rsidRDefault="00F32EA9" w:rsidP="00F32EA9">
      <w:pPr>
        <w:ind w:left="851" w:hanging="851"/>
        <w:rPr>
          <w:sz w:val="24"/>
          <w:szCs w:val="24"/>
        </w:rPr>
      </w:pPr>
    </w:p>
    <w:p w14:paraId="4BBA377B" w14:textId="77777777" w:rsidR="00F32EA9" w:rsidRPr="006E31EE" w:rsidRDefault="00F32EA9" w:rsidP="00F32EA9">
      <w:pPr>
        <w:ind w:left="851"/>
        <w:rPr>
          <w:sz w:val="24"/>
          <w:szCs w:val="24"/>
        </w:rPr>
      </w:pPr>
      <w:r w:rsidRPr="006E31EE">
        <w:rPr>
          <w:sz w:val="24"/>
          <w:szCs w:val="24"/>
        </w:rPr>
        <w:t xml:space="preserve">Der er rapporteret akut hepatitis-eksacerbationer, både under behandling og efter seponering af hepatitis B-behandling (se pkt. 4.4). </w:t>
      </w:r>
    </w:p>
    <w:p w14:paraId="41EF35D0" w14:textId="77777777" w:rsidR="00F32EA9" w:rsidRPr="006E31EE" w:rsidRDefault="00F32EA9" w:rsidP="00F32EA9">
      <w:pPr>
        <w:ind w:left="851" w:hanging="851"/>
        <w:rPr>
          <w:sz w:val="24"/>
          <w:szCs w:val="24"/>
        </w:rPr>
      </w:pPr>
    </w:p>
    <w:p w14:paraId="10F03505" w14:textId="77777777" w:rsidR="00F32EA9" w:rsidRPr="006E31EE" w:rsidRDefault="00F32EA9" w:rsidP="00F32EA9">
      <w:pPr>
        <w:ind w:left="851"/>
        <w:rPr>
          <w:sz w:val="24"/>
          <w:szCs w:val="24"/>
          <w:u w:val="single"/>
        </w:rPr>
      </w:pPr>
      <w:r w:rsidRPr="006E31EE">
        <w:rPr>
          <w:sz w:val="24"/>
          <w:szCs w:val="24"/>
          <w:u w:val="single"/>
        </w:rPr>
        <w:t xml:space="preserve">Resumé af bivirkninger i tabelform </w:t>
      </w:r>
    </w:p>
    <w:p w14:paraId="6A2ECD17" w14:textId="77777777" w:rsidR="00F32EA9" w:rsidRPr="006E31EE" w:rsidRDefault="00F32EA9" w:rsidP="00F32EA9">
      <w:pPr>
        <w:ind w:left="851"/>
        <w:rPr>
          <w:sz w:val="24"/>
          <w:szCs w:val="24"/>
        </w:rPr>
      </w:pPr>
      <w:r w:rsidRPr="006E31EE">
        <w:rPr>
          <w:sz w:val="24"/>
          <w:szCs w:val="24"/>
        </w:rPr>
        <w:t xml:space="preserve">Vurderingen af bivirkninger ved tenofovirdisoproxil er baseret på sikkerhedsdata fra kliniske studier og erfaringer efter markedsføring. Alle bivirkninger vises i tabel 2. </w:t>
      </w:r>
    </w:p>
    <w:p w14:paraId="207EE81D" w14:textId="77777777" w:rsidR="00F32EA9" w:rsidRPr="006E31EE" w:rsidRDefault="00F32EA9" w:rsidP="00F32EA9">
      <w:pPr>
        <w:ind w:left="851" w:hanging="851"/>
        <w:rPr>
          <w:sz w:val="24"/>
          <w:szCs w:val="24"/>
        </w:rPr>
      </w:pPr>
    </w:p>
    <w:p w14:paraId="3F9B6492" w14:textId="77777777" w:rsidR="00F32EA9" w:rsidRPr="006E31EE" w:rsidRDefault="00F32EA9" w:rsidP="00F32EA9">
      <w:pPr>
        <w:ind w:left="851"/>
        <w:rPr>
          <w:sz w:val="24"/>
          <w:szCs w:val="24"/>
        </w:rPr>
      </w:pPr>
      <w:r w:rsidRPr="006E31EE">
        <w:rPr>
          <w:i/>
          <w:sz w:val="24"/>
          <w:szCs w:val="24"/>
        </w:rPr>
        <w:t>Kliniske studier, hiv 1</w:t>
      </w:r>
      <w:r w:rsidRPr="006E31EE">
        <w:rPr>
          <w:sz w:val="24"/>
          <w:szCs w:val="24"/>
        </w:rPr>
        <w:t xml:space="preserve">:Vurderingen af bivirkninger med data fra kliniske studier med hiv 1-inficerede patienter er baseret på erfaringer fra to studier, hvor 653 behandlingserfarne patienter fik behandling med tenofovirdisoproxil (n = 443) eller placebo (n = 210) i kombination med andre antiretrovirale lægemidler i 24 uger, og ligeledes fra et dobbeltblindt, sammenlignende, kontrolleret studie, hvor 600 behandlingsnaive patienter fik behandling med 245 mg tenofovirdisoproxil (n = 299) eller stavudin (n = 301) i kombination med lamivudin og efavirenz i 144 uger. </w:t>
      </w:r>
    </w:p>
    <w:p w14:paraId="476E0C2E" w14:textId="77777777" w:rsidR="00F32EA9" w:rsidRPr="006E31EE" w:rsidRDefault="00F32EA9" w:rsidP="00F32EA9">
      <w:pPr>
        <w:ind w:left="851" w:hanging="851"/>
        <w:rPr>
          <w:sz w:val="24"/>
          <w:szCs w:val="24"/>
        </w:rPr>
      </w:pPr>
    </w:p>
    <w:p w14:paraId="63D62410" w14:textId="77777777" w:rsidR="00F32EA9" w:rsidRPr="006E31EE" w:rsidRDefault="00F32EA9" w:rsidP="00F32EA9">
      <w:pPr>
        <w:ind w:left="851"/>
        <w:rPr>
          <w:sz w:val="24"/>
          <w:szCs w:val="24"/>
        </w:rPr>
      </w:pPr>
      <w:r w:rsidRPr="006E31EE">
        <w:rPr>
          <w:i/>
          <w:sz w:val="24"/>
          <w:szCs w:val="24"/>
        </w:rPr>
        <w:t>Kliniske studier, hepatitis B</w:t>
      </w:r>
      <w:r w:rsidRPr="006E31EE">
        <w:rPr>
          <w:sz w:val="24"/>
          <w:szCs w:val="24"/>
        </w:rPr>
        <w:t>: Vurderingen af bivirkninger med data fra kliniske studier med HBV-patienter er primært baseret på erfaringer fra to dobbeltblinde, sammenlignende, kontrollerede studier, hvor 641 voksne patienter med kronisk hepatitis B og kompenseret leversygdom blev behandlet med 245 mg tenofovirdisoproxil dagligt (n = 426) eller 10 mg adefovirdipivoxil dagligt (n = 215) i 48 uger. De bivirkninger, der blev observeret ved fortsat behandling i 384 uger, var i overensstemmelse med sikkerhedsprofilen for tenofovirdisoproxil. Efter et initialt fald på ca. -4,9 ml/min (ved brug af Cockcroft-Gault formlen) eller -3,9 ml/min/1,73 m</w:t>
      </w:r>
      <w:r w:rsidRPr="006E31EE">
        <w:rPr>
          <w:sz w:val="24"/>
          <w:szCs w:val="24"/>
          <w:vertAlign w:val="superscript"/>
        </w:rPr>
        <w:t>2</w:t>
      </w:r>
      <w:r w:rsidRPr="006E31EE">
        <w:rPr>
          <w:sz w:val="24"/>
          <w:szCs w:val="24"/>
        </w:rPr>
        <w:t xml:space="preserve"> (ved brug af Modification of Diet in Renal Disease (MDRD) efter de første 4 ugers behandling, var det årlige fald for patienter behandlet med tenofovirdisoproxil efter baseline af nyrefunktionen rapporteret til -1,41 ml/min/år (ved brug af Cockcroft-Gault formlen) og 0,74 ml/min/1,73 m</w:t>
      </w:r>
      <w:r w:rsidRPr="006E31EE">
        <w:rPr>
          <w:sz w:val="24"/>
          <w:szCs w:val="24"/>
          <w:vertAlign w:val="superscript"/>
        </w:rPr>
        <w:t xml:space="preserve">2 </w:t>
      </w:r>
      <w:r w:rsidRPr="006E31EE">
        <w:rPr>
          <w:sz w:val="24"/>
          <w:szCs w:val="24"/>
        </w:rPr>
        <w:t>pr. år (ved brug af Modification of Diet in Renal Disease (MDRD).</w:t>
      </w:r>
    </w:p>
    <w:p w14:paraId="29327479" w14:textId="77777777" w:rsidR="00F32EA9" w:rsidRPr="006E31EE" w:rsidRDefault="00F32EA9" w:rsidP="00F32EA9">
      <w:pPr>
        <w:ind w:left="851" w:hanging="851"/>
        <w:rPr>
          <w:sz w:val="24"/>
          <w:szCs w:val="24"/>
        </w:rPr>
      </w:pPr>
    </w:p>
    <w:p w14:paraId="0FAB06B3" w14:textId="77777777" w:rsidR="00F32EA9" w:rsidRPr="006E31EE" w:rsidRDefault="00F32EA9" w:rsidP="00F32EA9">
      <w:pPr>
        <w:ind w:left="851"/>
        <w:rPr>
          <w:sz w:val="24"/>
          <w:szCs w:val="24"/>
        </w:rPr>
      </w:pPr>
      <w:r w:rsidRPr="006E31EE">
        <w:rPr>
          <w:i/>
          <w:sz w:val="24"/>
          <w:szCs w:val="24"/>
        </w:rPr>
        <w:t>Patienter med dekompenseret leversygdom</w:t>
      </w:r>
      <w:r w:rsidRPr="006E31EE">
        <w:rPr>
          <w:sz w:val="24"/>
          <w:szCs w:val="24"/>
        </w:rPr>
        <w:t xml:space="preserve">: Sikkerhedsprofilen for tenofovirdisoproxil hos patienter med dekompenseret leversygdom blev vurderet i et dobbeltblindt, aktivt kontrolleret studie (GS-US-174-0108), hvor voksne patienter fik behandling med tenofovirdisoproxil (n = 45) eller emtricitabin plus tenofovirdisoproxil (n = 45) eller entecavir (n = 22) i 48 uger. </w:t>
      </w:r>
    </w:p>
    <w:p w14:paraId="2F2CB21B" w14:textId="77777777" w:rsidR="00F32EA9" w:rsidRPr="006E31EE" w:rsidRDefault="00F32EA9" w:rsidP="00F32EA9">
      <w:pPr>
        <w:ind w:left="851" w:hanging="851"/>
        <w:rPr>
          <w:sz w:val="24"/>
          <w:szCs w:val="24"/>
        </w:rPr>
      </w:pPr>
    </w:p>
    <w:p w14:paraId="60B98EAC" w14:textId="77777777" w:rsidR="00F32EA9" w:rsidRPr="006E31EE" w:rsidRDefault="00F32EA9" w:rsidP="00F32EA9">
      <w:pPr>
        <w:ind w:left="851"/>
        <w:rPr>
          <w:sz w:val="24"/>
          <w:szCs w:val="24"/>
        </w:rPr>
      </w:pPr>
      <w:r w:rsidRPr="006E31EE">
        <w:rPr>
          <w:sz w:val="24"/>
          <w:szCs w:val="24"/>
        </w:rPr>
        <w:t xml:space="preserve">I behandlingsarmen med tenofovirdisoproxil afbrød 7 % af patienterne behandlingen på grund af en bivirkning, 9 % af patienterne fik bekræftet forhøjelse i serumkreatinin på ≥0,5 </w:t>
      </w:r>
      <w:r w:rsidRPr="006E31EE">
        <w:rPr>
          <w:sz w:val="24"/>
          <w:szCs w:val="24"/>
        </w:rPr>
        <w:lastRenderedPageBreak/>
        <w:t xml:space="preserve">mg/dl eller bekræftet serumphosphat på &lt;2 mg/dl til og med uge 48. Der var ingen statistisk signifikante forskelle mellem de kombinerede tenofovir-arme og armen med entecavir. Efter 168 uger oplevede 16 % (7/45) i tenofovirdisoproxil-gruppen, 4 % (2/45) i emtricitabin plus tenofovirdisoproxil-gruppen og 14 % (3/22) i entecavir-gruppen tolerabilitetssvigt. Tretten procent (6/45) i tenofovirdisoproxil-gruppen, 13 % (6/45) i emtricitabin plus tenofovirdisoproxil-gruppen og 9 % (2/22) i entecavir-gruppen havde en bekræftet stigning i serumkreatinin på ≥0,5 mg/dl eller bekræftet serumphosphat på &lt;2 mg/dl. </w:t>
      </w:r>
    </w:p>
    <w:p w14:paraId="49A346A8" w14:textId="77777777" w:rsidR="00F32EA9" w:rsidRPr="006E31EE" w:rsidRDefault="00F32EA9" w:rsidP="00F32EA9">
      <w:pPr>
        <w:ind w:left="851" w:hanging="851"/>
        <w:rPr>
          <w:sz w:val="24"/>
          <w:szCs w:val="24"/>
        </w:rPr>
      </w:pPr>
    </w:p>
    <w:p w14:paraId="17DA83A2" w14:textId="77777777" w:rsidR="00F32EA9" w:rsidRPr="006E31EE" w:rsidRDefault="00F32EA9" w:rsidP="00F32EA9">
      <w:pPr>
        <w:ind w:left="851"/>
        <w:rPr>
          <w:sz w:val="24"/>
          <w:szCs w:val="24"/>
        </w:rPr>
      </w:pPr>
      <w:r w:rsidRPr="006E31EE">
        <w:rPr>
          <w:sz w:val="24"/>
          <w:szCs w:val="24"/>
        </w:rPr>
        <w:t xml:space="preserve">Ved uge 168 var hyppigheden af dødsfald i denne population af patienter med dekompenseret leversygdom 13 % (6/45) i tenofovirdisoproxil-gruppen, 11 % (5/45) i emtricitabin plus tenofovirdisoproxil-gruppen og 14 % (3/22) i entecavir-gruppen. Hyppigheden af hepatocellulært karcinom var 18 % (8/45) i tenofovirdisoproxil-gruppen, 7 % (3/45) i emtricitabin plus tenofovirdisoproxil-gruppen og 9 % (2/22) i entecavir-gruppen. </w:t>
      </w:r>
    </w:p>
    <w:p w14:paraId="34F8A735" w14:textId="77777777" w:rsidR="00F32EA9" w:rsidRPr="006E31EE" w:rsidRDefault="00F32EA9" w:rsidP="00F32EA9">
      <w:pPr>
        <w:ind w:left="851" w:hanging="851"/>
        <w:rPr>
          <w:sz w:val="24"/>
          <w:szCs w:val="24"/>
        </w:rPr>
      </w:pPr>
    </w:p>
    <w:p w14:paraId="42336F6D" w14:textId="77777777" w:rsidR="00F32EA9" w:rsidRPr="006E31EE" w:rsidRDefault="00F32EA9" w:rsidP="00F32EA9">
      <w:pPr>
        <w:ind w:left="851"/>
        <w:rPr>
          <w:sz w:val="24"/>
          <w:szCs w:val="24"/>
        </w:rPr>
      </w:pPr>
      <w:r w:rsidRPr="006E31EE">
        <w:rPr>
          <w:sz w:val="24"/>
          <w:szCs w:val="24"/>
        </w:rPr>
        <w:t xml:space="preserve">Forsøgspersoner med en høj CPT-score ved baseline havde en større risiko for at udvikle alvorlige bivirkninger (se pkt. 4.4). </w:t>
      </w:r>
    </w:p>
    <w:p w14:paraId="4A4673E6" w14:textId="77777777" w:rsidR="00F32EA9" w:rsidRPr="006E31EE" w:rsidRDefault="00F32EA9" w:rsidP="00F32EA9">
      <w:pPr>
        <w:ind w:left="851" w:hanging="851"/>
        <w:rPr>
          <w:sz w:val="24"/>
          <w:szCs w:val="24"/>
        </w:rPr>
      </w:pPr>
    </w:p>
    <w:p w14:paraId="0BD92D74" w14:textId="77777777" w:rsidR="00F32EA9" w:rsidRPr="006E31EE" w:rsidRDefault="00F32EA9" w:rsidP="00F32EA9">
      <w:pPr>
        <w:ind w:left="851"/>
        <w:rPr>
          <w:sz w:val="24"/>
          <w:szCs w:val="24"/>
        </w:rPr>
      </w:pPr>
      <w:r w:rsidRPr="006E31EE">
        <w:rPr>
          <w:i/>
          <w:sz w:val="24"/>
          <w:szCs w:val="24"/>
        </w:rPr>
        <w:t>Patienter med lamivudin-resistent kronisk hepatitis B</w:t>
      </w:r>
      <w:r w:rsidRPr="006E31EE">
        <w:rPr>
          <w:sz w:val="24"/>
          <w:szCs w:val="24"/>
        </w:rPr>
        <w:t xml:space="preserve">: Der blev ikke identificeret nye bivirkninger af tenofovirdisoproxil i et randomiseret, dobbeltblindt studie (GS-US-174-0121), hvor 280 lamivudin-resistente patienter fik tenofovirdisoproxil (n = 141) eller emtricitabin/tenofovirdisoproxil (n = 139) i 240 uger. </w:t>
      </w:r>
    </w:p>
    <w:p w14:paraId="25B16806" w14:textId="77777777" w:rsidR="00F32EA9" w:rsidRPr="006E31EE" w:rsidRDefault="00F32EA9" w:rsidP="00F32EA9">
      <w:pPr>
        <w:ind w:left="851" w:hanging="851"/>
        <w:rPr>
          <w:sz w:val="24"/>
          <w:szCs w:val="24"/>
        </w:rPr>
      </w:pPr>
    </w:p>
    <w:p w14:paraId="21F08074" w14:textId="77777777" w:rsidR="00F32EA9" w:rsidRPr="006E31EE" w:rsidRDefault="00F32EA9" w:rsidP="00F32EA9">
      <w:pPr>
        <w:ind w:left="851"/>
        <w:rPr>
          <w:sz w:val="24"/>
          <w:szCs w:val="24"/>
        </w:rPr>
      </w:pPr>
      <w:r w:rsidRPr="006E31EE">
        <w:rPr>
          <w:sz w:val="24"/>
          <w:szCs w:val="24"/>
        </w:rPr>
        <w:t>Bivirkninger med mistænkt (eller i det mindste en mulig) forbindelse med behandling er anført nedenfor efter systemorganklasse og hyppighed. Inden for hver enkelt hyppighedsgruppe er bivirkningerne opstillet efter, hvor alvorlige de er. De alvorligste bivirkninger er anført først. Hyppighederne er defineret som meget almindelig (≥1/10), almindelig (≥1/100 til &lt;1/10), ikke almindelig (≥1/1.000 til &lt;1/100) eller sjælden (≥1/10.000 til &lt;1/1.000).</w:t>
      </w:r>
    </w:p>
    <w:p w14:paraId="227CA68D" w14:textId="77777777" w:rsidR="00F32EA9" w:rsidRPr="006E31EE" w:rsidRDefault="00F32EA9" w:rsidP="00F32EA9">
      <w:pPr>
        <w:ind w:left="851" w:hanging="851"/>
        <w:rPr>
          <w:b/>
          <w:sz w:val="24"/>
          <w:szCs w:val="24"/>
        </w:rPr>
      </w:pPr>
    </w:p>
    <w:p w14:paraId="230E42D8" w14:textId="77777777" w:rsidR="00F32EA9" w:rsidRPr="006E31EE" w:rsidRDefault="00F32EA9" w:rsidP="00F32EA9">
      <w:pPr>
        <w:rPr>
          <w:b/>
          <w:sz w:val="24"/>
          <w:szCs w:val="24"/>
        </w:rPr>
      </w:pPr>
      <w:r w:rsidRPr="006E31EE">
        <w:rPr>
          <w:b/>
          <w:sz w:val="24"/>
          <w:szCs w:val="24"/>
        </w:rPr>
        <w:t>Tabel 2: Resumé af bivirkninger forbundet med tenofovirdisoproxil baseret på erfaringer fra kliniske studier og efter markedsføring</w:t>
      </w:r>
    </w:p>
    <w:p w14:paraId="75272737" w14:textId="77777777" w:rsidR="008F3CD4" w:rsidRPr="006E31EE" w:rsidRDefault="008F3CD4" w:rsidP="008F3CD4">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7134"/>
      </w:tblGrid>
      <w:tr w:rsidR="00682EDD" w:rsidRPr="006E31EE" w14:paraId="4CF1A723" w14:textId="77777777" w:rsidTr="00682EDD">
        <w:tc>
          <w:tcPr>
            <w:tcW w:w="1295" w:type="pct"/>
            <w:hideMark/>
          </w:tcPr>
          <w:p w14:paraId="4FEF4D30" w14:textId="77777777" w:rsidR="00682EDD" w:rsidRPr="006E31EE" w:rsidRDefault="00682EDD" w:rsidP="00682EDD">
            <w:pPr>
              <w:rPr>
                <w:b/>
                <w:sz w:val="24"/>
              </w:rPr>
            </w:pPr>
            <w:r w:rsidRPr="006E31EE">
              <w:rPr>
                <w:b/>
                <w:sz w:val="24"/>
              </w:rPr>
              <w:t>Hyppighed</w:t>
            </w:r>
          </w:p>
        </w:tc>
        <w:tc>
          <w:tcPr>
            <w:tcW w:w="3705" w:type="pct"/>
            <w:hideMark/>
          </w:tcPr>
          <w:p w14:paraId="2A7105A0" w14:textId="77777777" w:rsidR="00682EDD" w:rsidRPr="006E31EE" w:rsidRDefault="00682EDD" w:rsidP="00682EDD">
            <w:pPr>
              <w:rPr>
                <w:b/>
                <w:sz w:val="24"/>
              </w:rPr>
            </w:pPr>
            <w:r w:rsidRPr="006E31EE">
              <w:rPr>
                <w:b/>
                <w:sz w:val="24"/>
              </w:rPr>
              <w:t>Tenofovirdisoproxil</w:t>
            </w:r>
          </w:p>
        </w:tc>
      </w:tr>
      <w:tr w:rsidR="00682EDD" w:rsidRPr="006E31EE" w14:paraId="0B9C6CA4" w14:textId="77777777" w:rsidTr="00682EDD">
        <w:tc>
          <w:tcPr>
            <w:tcW w:w="5000" w:type="pct"/>
            <w:gridSpan w:val="2"/>
            <w:shd w:val="clear" w:color="auto" w:fill="D9D9D9" w:themeFill="background1" w:themeFillShade="D9"/>
            <w:hideMark/>
          </w:tcPr>
          <w:p w14:paraId="6DA5C5A6" w14:textId="77777777" w:rsidR="00682EDD" w:rsidRPr="006E31EE" w:rsidRDefault="00682EDD" w:rsidP="00682EDD">
            <w:pPr>
              <w:rPr>
                <w:i/>
                <w:sz w:val="24"/>
              </w:rPr>
            </w:pPr>
            <w:r w:rsidRPr="006E31EE">
              <w:rPr>
                <w:i/>
                <w:sz w:val="24"/>
              </w:rPr>
              <w:t>Metabolisme og ernæring:</w:t>
            </w:r>
            <w:r w:rsidRPr="006E31EE">
              <w:rPr>
                <w:i/>
                <w:sz w:val="24"/>
              </w:rPr>
              <w:tab/>
            </w:r>
          </w:p>
        </w:tc>
      </w:tr>
      <w:tr w:rsidR="00682EDD" w:rsidRPr="006E31EE" w14:paraId="753B79BD" w14:textId="77777777" w:rsidTr="00682EDD">
        <w:tc>
          <w:tcPr>
            <w:tcW w:w="1295" w:type="pct"/>
            <w:hideMark/>
          </w:tcPr>
          <w:p w14:paraId="0B008275" w14:textId="77777777" w:rsidR="00682EDD" w:rsidRPr="006E31EE" w:rsidRDefault="00682EDD" w:rsidP="00682EDD">
            <w:pPr>
              <w:rPr>
                <w:sz w:val="24"/>
              </w:rPr>
            </w:pPr>
            <w:r w:rsidRPr="006E31EE">
              <w:rPr>
                <w:sz w:val="24"/>
              </w:rPr>
              <w:t>Meget almindelig</w:t>
            </w:r>
          </w:p>
        </w:tc>
        <w:tc>
          <w:tcPr>
            <w:tcW w:w="3705" w:type="pct"/>
            <w:hideMark/>
          </w:tcPr>
          <w:p w14:paraId="2D9982CB" w14:textId="77777777" w:rsidR="00682EDD" w:rsidRPr="006E31EE" w:rsidRDefault="00682EDD" w:rsidP="00682EDD">
            <w:pPr>
              <w:rPr>
                <w:sz w:val="24"/>
              </w:rPr>
            </w:pPr>
            <w:r w:rsidRPr="006E31EE">
              <w:rPr>
                <w:sz w:val="24"/>
              </w:rPr>
              <w:t>Hypofosfatæmi</w:t>
            </w:r>
            <w:r w:rsidRPr="006E31EE">
              <w:rPr>
                <w:sz w:val="24"/>
                <w:vertAlign w:val="superscript"/>
              </w:rPr>
              <w:t>1</w:t>
            </w:r>
          </w:p>
        </w:tc>
      </w:tr>
      <w:tr w:rsidR="00682EDD" w:rsidRPr="006E31EE" w14:paraId="4B6579B7" w14:textId="77777777" w:rsidTr="00682EDD">
        <w:trPr>
          <w:trHeight w:val="281"/>
        </w:trPr>
        <w:tc>
          <w:tcPr>
            <w:tcW w:w="1295" w:type="pct"/>
            <w:hideMark/>
          </w:tcPr>
          <w:p w14:paraId="05BA3941" w14:textId="77777777" w:rsidR="00682EDD" w:rsidRPr="006E31EE" w:rsidRDefault="00682EDD" w:rsidP="00682EDD">
            <w:pPr>
              <w:rPr>
                <w:sz w:val="24"/>
              </w:rPr>
            </w:pPr>
            <w:r w:rsidRPr="006E31EE">
              <w:rPr>
                <w:sz w:val="24"/>
              </w:rPr>
              <w:t>Ikke almindelig</w:t>
            </w:r>
          </w:p>
        </w:tc>
        <w:tc>
          <w:tcPr>
            <w:tcW w:w="3705" w:type="pct"/>
            <w:hideMark/>
          </w:tcPr>
          <w:p w14:paraId="5433342D" w14:textId="77777777" w:rsidR="00682EDD" w:rsidRPr="006E31EE" w:rsidRDefault="00682EDD" w:rsidP="00682EDD">
            <w:pPr>
              <w:rPr>
                <w:sz w:val="24"/>
              </w:rPr>
            </w:pPr>
            <w:r w:rsidRPr="006E31EE">
              <w:rPr>
                <w:sz w:val="24"/>
              </w:rPr>
              <w:t>Hypokaliæmi</w:t>
            </w:r>
            <w:r w:rsidRPr="006E31EE">
              <w:rPr>
                <w:sz w:val="24"/>
                <w:vertAlign w:val="superscript"/>
              </w:rPr>
              <w:t>1</w:t>
            </w:r>
          </w:p>
        </w:tc>
      </w:tr>
      <w:tr w:rsidR="00682EDD" w:rsidRPr="006E31EE" w14:paraId="46E7D1D9" w14:textId="77777777" w:rsidTr="00682EDD">
        <w:tc>
          <w:tcPr>
            <w:tcW w:w="1295" w:type="pct"/>
            <w:hideMark/>
          </w:tcPr>
          <w:p w14:paraId="0EFB3361" w14:textId="77777777" w:rsidR="00682EDD" w:rsidRPr="006E31EE" w:rsidRDefault="00682EDD" w:rsidP="00682EDD">
            <w:pPr>
              <w:rPr>
                <w:sz w:val="24"/>
              </w:rPr>
            </w:pPr>
            <w:r w:rsidRPr="006E31EE">
              <w:rPr>
                <w:sz w:val="24"/>
              </w:rPr>
              <w:t>Sjælden</w:t>
            </w:r>
          </w:p>
        </w:tc>
        <w:tc>
          <w:tcPr>
            <w:tcW w:w="3705" w:type="pct"/>
            <w:hideMark/>
          </w:tcPr>
          <w:p w14:paraId="55EED82B" w14:textId="77777777" w:rsidR="00682EDD" w:rsidRPr="006E31EE" w:rsidRDefault="00682EDD" w:rsidP="00682EDD">
            <w:pPr>
              <w:rPr>
                <w:sz w:val="24"/>
              </w:rPr>
            </w:pPr>
            <w:r w:rsidRPr="006E31EE">
              <w:rPr>
                <w:sz w:val="24"/>
              </w:rPr>
              <w:t>Laktatacidose</w:t>
            </w:r>
          </w:p>
        </w:tc>
      </w:tr>
      <w:tr w:rsidR="00682EDD" w:rsidRPr="006E31EE" w14:paraId="74F48D87" w14:textId="77777777" w:rsidTr="00682EDD">
        <w:tc>
          <w:tcPr>
            <w:tcW w:w="5000" w:type="pct"/>
            <w:gridSpan w:val="2"/>
            <w:shd w:val="clear" w:color="auto" w:fill="D9D9D9" w:themeFill="background1" w:themeFillShade="D9"/>
            <w:hideMark/>
          </w:tcPr>
          <w:p w14:paraId="466A3EB5" w14:textId="77777777" w:rsidR="00682EDD" w:rsidRPr="006E31EE" w:rsidRDefault="00682EDD" w:rsidP="00682EDD">
            <w:pPr>
              <w:rPr>
                <w:i/>
                <w:sz w:val="24"/>
              </w:rPr>
            </w:pPr>
            <w:r w:rsidRPr="006E31EE">
              <w:rPr>
                <w:i/>
                <w:sz w:val="24"/>
              </w:rPr>
              <w:t>Nervesystemet:</w:t>
            </w:r>
          </w:p>
        </w:tc>
      </w:tr>
      <w:tr w:rsidR="00682EDD" w:rsidRPr="006E31EE" w14:paraId="525CBF48" w14:textId="77777777" w:rsidTr="00682EDD">
        <w:tc>
          <w:tcPr>
            <w:tcW w:w="1295" w:type="pct"/>
            <w:hideMark/>
          </w:tcPr>
          <w:p w14:paraId="64E663D6" w14:textId="77777777" w:rsidR="00682EDD" w:rsidRPr="006E31EE" w:rsidRDefault="00682EDD" w:rsidP="00682EDD">
            <w:pPr>
              <w:rPr>
                <w:sz w:val="24"/>
              </w:rPr>
            </w:pPr>
            <w:r w:rsidRPr="006E31EE">
              <w:rPr>
                <w:sz w:val="24"/>
              </w:rPr>
              <w:t>Meget almindelig</w:t>
            </w:r>
          </w:p>
        </w:tc>
        <w:tc>
          <w:tcPr>
            <w:tcW w:w="3705" w:type="pct"/>
            <w:hideMark/>
          </w:tcPr>
          <w:p w14:paraId="7590E2E1" w14:textId="77777777" w:rsidR="00682EDD" w:rsidRPr="006E31EE" w:rsidRDefault="00682EDD" w:rsidP="00682EDD">
            <w:pPr>
              <w:rPr>
                <w:sz w:val="24"/>
              </w:rPr>
            </w:pPr>
            <w:r w:rsidRPr="006E31EE">
              <w:rPr>
                <w:sz w:val="24"/>
              </w:rPr>
              <w:t>Svimmelhed</w:t>
            </w:r>
          </w:p>
        </w:tc>
      </w:tr>
      <w:tr w:rsidR="00682EDD" w:rsidRPr="006E31EE" w14:paraId="72F76E99" w14:textId="77777777" w:rsidTr="00682EDD">
        <w:tc>
          <w:tcPr>
            <w:tcW w:w="1295" w:type="pct"/>
            <w:hideMark/>
          </w:tcPr>
          <w:p w14:paraId="4B231C93" w14:textId="77777777" w:rsidR="00682EDD" w:rsidRPr="006E31EE" w:rsidRDefault="00682EDD" w:rsidP="00682EDD">
            <w:pPr>
              <w:rPr>
                <w:sz w:val="24"/>
              </w:rPr>
            </w:pPr>
            <w:r w:rsidRPr="006E31EE">
              <w:rPr>
                <w:sz w:val="24"/>
              </w:rPr>
              <w:t>Almindelig</w:t>
            </w:r>
          </w:p>
        </w:tc>
        <w:tc>
          <w:tcPr>
            <w:tcW w:w="3705" w:type="pct"/>
            <w:hideMark/>
          </w:tcPr>
          <w:p w14:paraId="1D0C1111" w14:textId="77777777" w:rsidR="00682EDD" w:rsidRPr="006E31EE" w:rsidRDefault="00682EDD" w:rsidP="00682EDD">
            <w:pPr>
              <w:rPr>
                <w:sz w:val="24"/>
              </w:rPr>
            </w:pPr>
            <w:r w:rsidRPr="006E31EE">
              <w:rPr>
                <w:sz w:val="24"/>
              </w:rPr>
              <w:t>Hovedpine</w:t>
            </w:r>
          </w:p>
        </w:tc>
      </w:tr>
      <w:tr w:rsidR="00682EDD" w:rsidRPr="006E31EE" w14:paraId="4C0FE827" w14:textId="77777777" w:rsidTr="00682EDD">
        <w:tc>
          <w:tcPr>
            <w:tcW w:w="5000" w:type="pct"/>
            <w:gridSpan w:val="2"/>
            <w:shd w:val="clear" w:color="auto" w:fill="D9D9D9" w:themeFill="background1" w:themeFillShade="D9"/>
            <w:hideMark/>
          </w:tcPr>
          <w:p w14:paraId="195AD0FB" w14:textId="77777777" w:rsidR="00682EDD" w:rsidRPr="006E31EE" w:rsidRDefault="00682EDD" w:rsidP="00682EDD">
            <w:pPr>
              <w:rPr>
                <w:i/>
                <w:sz w:val="24"/>
              </w:rPr>
            </w:pPr>
            <w:r w:rsidRPr="006E31EE">
              <w:rPr>
                <w:i/>
                <w:sz w:val="24"/>
              </w:rPr>
              <w:t>Mave-tarm-kanalen:</w:t>
            </w:r>
          </w:p>
        </w:tc>
      </w:tr>
      <w:tr w:rsidR="00682EDD" w:rsidRPr="006E31EE" w14:paraId="1B1AFB2E" w14:textId="77777777" w:rsidTr="00682EDD">
        <w:tc>
          <w:tcPr>
            <w:tcW w:w="1295" w:type="pct"/>
            <w:hideMark/>
          </w:tcPr>
          <w:p w14:paraId="1949F823" w14:textId="77777777" w:rsidR="00682EDD" w:rsidRPr="006E31EE" w:rsidRDefault="00682EDD" w:rsidP="00682EDD">
            <w:pPr>
              <w:rPr>
                <w:sz w:val="24"/>
              </w:rPr>
            </w:pPr>
            <w:r w:rsidRPr="006E31EE">
              <w:rPr>
                <w:sz w:val="24"/>
              </w:rPr>
              <w:t>Meget almindelig</w:t>
            </w:r>
          </w:p>
        </w:tc>
        <w:tc>
          <w:tcPr>
            <w:tcW w:w="3705" w:type="pct"/>
            <w:hideMark/>
          </w:tcPr>
          <w:p w14:paraId="45C113A2" w14:textId="77777777" w:rsidR="00682EDD" w:rsidRPr="006E31EE" w:rsidRDefault="00682EDD" w:rsidP="00682EDD">
            <w:pPr>
              <w:rPr>
                <w:sz w:val="24"/>
              </w:rPr>
            </w:pPr>
            <w:r w:rsidRPr="006E31EE">
              <w:rPr>
                <w:sz w:val="24"/>
              </w:rPr>
              <w:t>Diarré, opkastning, kvalme</w:t>
            </w:r>
          </w:p>
        </w:tc>
      </w:tr>
      <w:tr w:rsidR="00682EDD" w:rsidRPr="006E31EE" w14:paraId="77D15858" w14:textId="77777777" w:rsidTr="00682EDD">
        <w:tc>
          <w:tcPr>
            <w:tcW w:w="1295" w:type="pct"/>
            <w:hideMark/>
          </w:tcPr>
          <w:p w14:paraId="7522D891" w14:textId="77777777" w:rsidR="00682EDD" w:rsidRPr="006E31EE" w:rsidRDefault="00682EDD" w:rsidP="00682EDD">
            <w:pPr>
              <w:rPr>
                <w:sz w:val="24"/>
              </w:rPr>
            </w:pPr>
            <w:r w:rsidRPr="006E31EE">
              <w:rPr>
                <w:sz w:val="24"/>
              </w:rPr>
              <w:t>Almindelig</w:t>
            </w:r>
          </w:p>
        </w:tc>
        <w:tc>
          <w:tcPr>
            <w:tcW w:w="3705" w:type="pct"/>
            <w:hideMark/>
          </w:tcPr>
          <w:p w14:paraId="54DB301B" w14:textId="77777777" w:rsidR="00682EDD" w:rsidRPr="006E31EE" w:rsidRDefault="00682EDD" w:rsidP="00682EDD">
            <w:pPr>
              <w:rPr>
                <w:sz w:val="24"/>
              </w:rPr>
            </w:pPr>
            <w:r w:rsidRPr="006E31EE">
              <w:rPr>
                <w:sz w:val="24"/>
              </w:rPr>
              <w:t>Abdominalsmerter, abdominal udspiling, flatulens</w:t>
            </w:r>
          </w:p>
        </w:tc>
      </w:tr>
      <w:tr w:rsidR="00682EDD" w:rsidRPr="006E31EE" w14:paraId="0EC09EE3" w14:textId="77777777" w:rsidTr="00682EDD">
        <w:tc>
          <w:tcPr>
            <w:tcW w:w="1295" w:type="pct"/>
            <w:hideMark/>
          </w:tcPr>
          <w:p w14:paraId="35370E52" w14:textId="77777777" w:rsidR="00682EDD" w:rsidRPr="006E31EE" w:rsidRDefault="00682EDD" w:rsidP="00682EDD">
            <w:pPr>
              <w:rPr>
                <w:sz w:val="24"/>
              </w:rPr>
            </w:pPr>
            <w:r w:rsidRPr="006E31EE">
              <w:rPr>
                <w:sz w:val="24"/>
              </w:rPr>
              <w:t>Ikke almindelig</w:t>
            </w:r>
          </w:p>
        </w:tc>
        <w:tc>
          <w:tcPr>
            <w:tcW w:w="3705" w:type="pct"/>
            <w:hideMark/>
          </w:tcPr>
          <w:p w14:paraId="1C2D3E6D" w14:textId="77777777" w:rsidR="00682EDD" w:rsidRPr="006E31EE" w:rsidRDefault="00682EDD" w:rsidP="00682EDD">
            <w:pPr>
              <w:rPr>
                <w:sz w:val="24"/>
              </w:rPr>
            </w:pPr>
            <w:r w:rsidRPr="006E31EE">
              <w:rPr>
                <w:sz w:val="24"/>
              </w:rPr>
              <w:t>Pancreatitis</w:t>
            </w:r>
          </w:p>
        </w:tc>
      </w:tr>
      <w:tr w:rsidR="00682EDD" w:rsidRPr="006E31EE" w14:paraId="16DC30B9" w14:textId="77777777" w:rsidTr="00682EDD">
        <w:tc>
          <w:tcPr>
            <w:tcW w:w="5000" w:type="pct"/>
            <w:gridSpan w:val="2"/>
            <w:shd w:val="clear" w:color="auto" w:fill="D9D9D9" w:themeFill="background1" w:themeFillShade="D9"/>
            <w:hideMark/>
          </w:tcPr>
          <w:p w14:paraId="0E9C224A" w14:textId="77777777" w:rsidR="00682EDD" w:rsidRPr="006E31EE" w:rsidRDefault="00682EDD" w:rsidP="00682EDD">
            <w:pPr>
              <w:rPr>
                <w:i/>
                <w:sz w:val="24"/>
              </w:rPr>
            </w:pPr>
            <w:r w:rsidRPr="006E31EE">
              <w:rPr>
                <w:i/>
                <w:sz w:val="24"/>
              </w:rPr>
              <w:t>Lever og galdeveje:</w:t>
            </w:r>
          </w:p>
        </w:tc>
      </w:tr>
      <w:tr w:rsidR="00682EDD" w:rsidRPr="006E31EE" w14:paraId="2CE582DB" w14:textId="77777777" w:rsidTr="00682EDD">
        <w:tc>
          <w:tcPr>
            <w:tcW w:w="1295" w:type="pct"/>
            <w:hideMark/>
          </w:tcPr>
          <w:p w14:paraId="1845F9C2" w14:textId="77777777" w:rsidR="00682EDD" w:rsidRPr="006E31EE" w:rsidRDefault="00682EDD" w:rsidP="00682EDD">
            <w:pPr>
              <w:rPr>
                <w:sz w:val="24"/>
              </w:rPr>
            </w:pPr>
            <w:r w:rsidRPr="006E31EE">
              <w:rPr>
                <w:sz w:val="24"/>
              </w:rPr>
              <w:t>Almindelig</w:t>
            </w:r>
          </w:p>
        </w:tc>
        <w:tc>
          <w:tcPr>
            <w:tcW w:w="3705" w:type="pct"/>
            <w:hideMark/>
          </w:tcPr>
          <w:p w14:paraId="4F8B4511" w14:textId="77777777" w:rsidR="00682EDD" w:rsidRPr="006E31EE" w:rsidRDefault="00682EDD" w:rsidP="00682EDD">
            <w:pPr>
              <w:rPr>
                <w:sz w:val="24"/>
              </w:rPr>
            </w:pPr>
            <w:r w:rsidRPr="006E31EE">
              <w:rPr>
                <w:sz w:val="24"/>
              </w:rPr>
              <w:t>Forhøjede aminotransferaser</w:t>
            </w:r>
          </w:p>
        </w:tc>
      </w:tr>
      <w:tr w:rsidR="00682EDD" w:rsidRPr="006E31EE" w14:paraId="4D092ECA" w14:textId="77777777" w:rsidTr="00682EDD">
        <w:tc>
          <w:tcPr>
            <w:tcW w:w="1295" w:type="pct"/>
            <w:hideMark/>
          </w:tcPr>
          <w:p w14:paraId="7BD9D1B0" w14:textId="77777777" w:rsidR="00682EDD" w:rsidRPr="006E31EE" w:rsidRDefault="00682EDD" w:rsidP="00682EDD">
            <w:pPr>
              <w:rPr>
                <w:sz w:val="24"/>
              </w:rPr>
            </w:pPr>
            <w:r w:rsidRPr="006E31EE">
              <w:rPr>
                <w:sz w:val="24"/>
              </w:rPr>
              <w:t>Sjælden</w:t>
            </w:r>
          </w:p>
        </w:tc>
        <w:tc>
          <w:tcPr>
            <w:tcW w:w="3705" w:type="pct"/>
            <w:hideMark/>
          </w:tcPr>
          <w:p w14:paraId="6E4E4DBD" w14:textId="77777777" w:rsidR="00682EDD" w:rsidRPr="006E31EE" w:rsidRDefault="00682EDD" w:rsidP="00682EDD">
            <w:pPr>
              <w:rPr>
                <w:sz w:val="24"/>
              </w:rPr>
            </w:pPr>
            <w:r w:rsidRPr="006E31EE">
              <w:rPr>
                <w:sz w:val="24"/>
              </w:rPr>
              <w:t>Steatosis hepatis, hepatitis</w:t>
            </w:r>
          </w:p>
        </w:tc>
      </w:tr>
      <w:tr w:rsidR="00682EDD" w:rsidRPr="006E31EE" w14:paraId="7750A8AF" w14:textId="77777777" w:rsidTr="00682EDD">
        <w:tc>
          <w:tcPr>
            <w:tcW w:w="5000" w:type="pct"/>
            <w:gridSpan w:val="2"/>
            <w:shd w:val="clear" w:color="auto" w:fill="D9D9D9" w:themeFill="background1" w:themeFillShade="D9"/>
            <w:hideMark/>
          </w:tcPr>
          <w:p w14:paraId="7454E135" w14:textId="77777777" w:rsidR="00682EDD" w:rsidRPr="006E31EE" w:rsidRDefault="00682EDD" w:rsidP="00A25ECF">
            <w:pPr>
              <w:keepNext/>
              <w:rPr>
                <w:i/>
                <w:sz w:val="24"/>
              </w:rPr>
            </w:pPr>
            <w:r w:rsidRPr="006E31EE">
              <w:rPr>
                <w:i/>
                <w:sz w:val="24"/>
              </w:rPr>
              <w:lastRenderedPageBreak/>
              <w:t>Hud og subkutane væv:</w:t>
            </w:r>
          </w:p>
        </w:tc>
      </w:tr>
      <w:tr w:rsidR="00682EDD" w:rsidRPr="006E31EE" w14:paraId="5816A000" w14:textId="77777777" w:rsidTr="00682EDD">
        <w:tc>
          <w:tcPr>
            <w:tcW w:w="1295" w:type="pct"/>
            <w:hideMark/>
          </w:tcPr>
          <w:p w14:paraId="6C643A48" w14:textId="77777777" w:rsidR="00682EDD" w:rsidRPr="006E31EE" w:rsidRDefault="00682EDD" w:rsidP="00A25ECF">
            <w:pPr>
              <w:keepNext/>
              <w:rPr>
                <w:sz w:val="24"/>
              </w:rPr>
            </w:pPr>
            <w:r w:rsidRPr="006E31EE">
              <w:rPr>
                <w:sz w:val="24"/>
              </w:rPr>
              <w:t>Meget almindelig</w:t>
            </w:r>
          </w:p>
        </w:tc>
        <w:tc>
          <w:tcPr>
            <w:tcW w:w="3705" w:type="pct"/>
            <w:hideMark/>
          </w:tcPr>
          <w:p w14:paraId="5C1CCDF9" w14:textId="77777777" w:rsidR="00682EDD" w:rsidRPr="006E31EE" w:rsidRDefault="00682EDD" w:rsidP="00A25ECF">
            <w:pPr>
              <w:keepNext/>
              <w:rPr>
                <w:sz w:val="24"/>
              </w:rPr>
            </w:pPr>
            <w:r w:rsidRPr="006E31EE">
              <w:rPr>
                <w:sz w:val="24"/>
              </w:rPr>
              <w:t>Udslæt</w:t>
            </w:r>
          </w:p>
        </w:tc>
      </w:tr>
      <w:tr w:rsidR="00682EDD" w:rsidRPr="006E31EE" w14:paraId="54B8033D" w14:textId="77777777" w:rsidTr="00682EDD">
        <w:tc>
          <w:tcPr>
            <w:tcW w:w="1295" w:type="pct"/>
            <w:hideMark/>
          </w:tcPr>
          <w:p w14:paraId="7704F1F8" w14:textId="77777777" w:rsidR="00682EDD" w:rsidRPr="006E31EE" w:rsidRDefault="00682EDD" w:rsidP="00682EDD">
            <w:pPr>
              <w:rPr>
                <w:sz w:val="24"/>
              </w:rPr>
            </w:pPr>
            <w:r w:rsidRPr="006E31EE">
              <w:rPr>
                <w:sz w:val="24"/>
              </w:rPr>
              <w:t>Sjælden</w:t>
            </w:r>
          </w:p>
        </w:tc>
        <w:tc>
          <w:tcPr>
            <w:tcW w:w="3705" w:type="pct"/>
            <w:hideMark/>
          </w:tcPr>
          <w:p w14:paraId="13C3AC5C" w14:textId="77777777" w:rsidR="00682EDD" w:rsidRPr="006E31EE" w:rsidRDefault="00682EDD" w:rsidP="00682EDD">
            <w:pPr>
              <w:rPr>
                <w:sz w:val="24"/>
              </w:rPr>
            </w:pPr>
            <w:r w:rsidRPr="006E31EE">
              <w:rPr>
                <w:sz w:val="24"/>
              </w:rPr>
              <w:t>Angioødem</w:t>
            </w:r>
          </w:p>
        </w:tc>
      </w:tr>
      <w:tr w:rsidR="00682EDD" w:rsidRPr="006E31EE" w14:paraId="5097DC5F" w14:textId="77777777" w:rsidTr="00682EDD">
        <w:tc>
          <w:tcPr>
            <w:tcW w:w="5000" w:type="pct"/>
            <w:gridSpan w:val="2"/>
            <w:shd w:val="clear" w:color="auto" w:fill="D9D9D9" w:themeFill="background1" w:themeFillShade="D9"/>
            <w:hideMark/>
          </w:tcPr>
          <w:p w14:paraId="32610F61" w14:textId="77777777" w:rsidR="00682EDD" w:rsidRPr="006E31EE" w:rsidRDefault="00682EDD" w:rsidP="00285E88">
            <w:pPr>
              <w:keepNext/>
              <w:rPr>
                <w:i/>
                <w:sz w:val="24"/>
              </w:rPr>
            </w:pPr>
            <w:r w:rsidRPr="006E31EE">
              <w:rPr>
                <w:i/>
                <w:sz w:val="24"/>
              </w:rPr>
              <w:t>Knogler, led, muskler og bindevæv:</w:t>
            </w:r>
          </w:p>
        </w:tc>
      </w:tr>
      <w:tr w:rsidR="00CA3916" w:rsidRPr="006E31EE" w14:paraId="41032C92" w14:textId="77777777" w:rsidTr="00CA3916">
        <w:tc>
          <w:tcPr>
            <w:tcW w:w="1295" w:type="pct"/>
            <w:shd w:val="clear" w:color="auto" w:fill="D9D9D9" w:themeFill="background1" w:themeFillShade="D9"/>
          </w:tcPr>
          <w:p w14:paraId="55A42FE5" w14:textId="77777777" w:rsidR="00CA3916" w:rsidRPr="006E31EE" w:rsidRDefault="00CA3916" w:rsidP="00CA3916">
            <w:pPr>
              <w:keepNext/>
              <w:rPr>
                <w:i/>
                <w:sz w:val="24"/>
              </w:rPr>
            </w:pPr>
            <w:r w:rsidRPr="006E31EE">
              <w:rPr>
                <w:sz w:val="24"/>
              </w:rPr>
              <w:t>Almindelig</w:t>
            </w:r>
          </w:p>
        </w:tc>
        <w:tc>
          <w:tcPr>
            <w:tcW w:w="3705" w:type="pct"/>
            <w:shd w:val="clear" w:color="auto" w:fill="D9D9D9" w:themeFill="background1" w:themeFillShade="D9"/>
          </w:tcPr>
          <w:p w14:paraId="749631D8" w14:textId="77CC519D" w:rsidR="00CA3916" w:rsidRPr="006E31EE" w:rsidRDefault="00CA3916" w:rsidP="00CA3916">
            <w:pPr>
              <w:keepNext/>
              <w:rPr>
                <w:i/>
                <w:sz w:val="24"/>
              </w:rPr>
            </w:pPr>
            <w:r>
              <w:rPr>
                <w:sz w:val="24"/>
              </w:rPr>
              <w:t>F</w:t>
            </w:r>
            <w:r w:rsidRPr="0064619D">
              <w:rPr>
                <w:sz w:val="24"/>
              </w:rPr>
              <w:t>ald i knoglemineraltæthed</w:t>
            </w:r>
            <w:r w:rsidRPr="005E3C92">
              <w:rPr>
                <w:sz w:val="24"/>
                <w:vertAlign w:val="superscript"/>
              </w:rPr>
              <w:t>3</w:t>
            </w:r>
          </w:p>
        </w:tc>
      </w:tr>
      <w:tr w:rsidR="00CA3916" w:rsidRPr="006E31EE" w14:paraId="7FEA5B18" w14:textId="77777777" w:rsidTr="00682EDD">
        <w:tc>
          <w:tcPr>
            <w:tcW w:w="1295" w:type="pct"/>
            <w:hideMark/>
          </w:tcPr>
          <w:p w14:paraId="6CEE0412" w14:textId="77777777" w:rsidR="00CA3916" w:rsidRPr="006E31EE" w:rsidRDefault="00CA3916" w:rsidP="00CA3916">
            <w:pPr>
              <w:rPr>
                <w:sz w:val="24"/>
              </w:rPr>
            </w:pPr>
            <w:r w:rsidRPr="006E31EE">
              <w:rPr>
                <w:sz w:val="24"/>
              </w:rPr>
              <w:t>Ikke almindelig</w:t>
            </w:r>
          </w:p>
        </w:tc>
        <w:tc>
          <w:tcPr>
            <w:tcW w:w="3705" w:type="pct"/>
            <w:hideMark/>
          </w:tcPr>
          <w:p w14:paraId="021F2566" w14:textId="77777777" w:rsidR="00CA3916" w:rsidRPr="006E31EE" w:rsidRDefault="00CA3916" w:rsidP="00CA3916">
            <w:pPr>
              <w:rPr>
                <w:sz w:val="24"/>
              </w:rPr>
            </w:pPr>
            <w:r w:rsidRPr="006E31EE">
              <w:rPr>
                <w:sz w:val="24"/>
              </w:rPr>
              <w:t>Rabdomyolyse</w:t>
            </w:r>
            <w:r w:rsidRPr="006E31EE">
              <w:rPr>
                <w:sz w:val="24"/>
                <w:vertAlign w:val="superscript"/>
              </w:rPr>
              <w:t>1</w:t>
            </w:r>
            <w:r w:rsidRPr="006E31EE">
              <w:rPr>
                <w:sz w:val="24"/>
              </w:rPr>
              <w:t>, muskelsvækkelse</w:t>
            </w:r>
            <w:r w:rsidRPr="006E31EE">
              <w:rPr>
                <w:sz w:val="24"/>
                <w:vertAlign w:val="superscript"/>
              </w:rPr>
              <w:t>1</w:t>
            </w:r>
          </w:p>
        </w:tc>
      </w:tr>
      <w:tr w:rsidR="00CA3916" w:rsidRPr="006E31EE" w14:paraId="7A8BE58A" w14:textId="77777777" w:rsidTr="00682EDD">
        <w:tc>
          <w:tcPr>
            <w:tcW w:w="1295" w:type="pct"/>
            <w:hideMark/>
          </w:tcPr>
          <w:p w14:paraId="5CB5ABE5" w14:textId="77777777" w:rsidR="00CA3916" w:rsidRPr="006E31EE" w:rsidRDefault="00CA3916" w:rsidP="00CA3916">
            <w:pPr>
              <w:rPr>
                <w:sz w:val="24"/>
              </w:rPr>
            </w:pPr>
            <w:r w:rsidRPr="006E31EE">
              <w:rPr>
                <w:sz w:val="24"/>
              </w:rPr>
              <w:t>Sjælden</w:t>
            </w:r>
          </w:p>
        </w:tc>
        <w:tc>
          <w:tcPr>
            <w:tcW w:w="3705" w:type="pct"/>
            <w:hideMark/>
          </w:tcPr>
          <w:p w14:paraId="40904AA1" w14:textId="77777777" w:rsidR="00CA3916" w:rsidRPr="006E31EE" w:rsidRDefault="00CA3916" w:rsidP="00CA3916">
            <w:pPr>
              <w:rPr>
                <w:sz w:val="24"/>
              </w:rPr>
            </w:pPr>
            <w:r w:rsidRPr="006E31EE">
              <w:rPr>
                <w:sz w:val="24"/>
              </w:rPr>
              <w:t xml:space="preserve">Osteomalaci (manifesterer sig som knoglesmerter og i </w:t>
            </w:r>
            <w:proofErr w:type="gramStart"/>
            <w:r w:rsidRPr="006E31EE">
              <w:rPr>
                <w:sz w:val="24"/>
              </w:rPr>
              <w:t>sjælden</w:t>
            </w:r>
            <w:proofErr w:type="gramEnd"/>
            <w:r w:rsidRPr="006E31EE">
              <w:rPr>
                <w:sz w:val="24"/>
              </w:rPr>
              <w:t xml:space="preserve"> tilfælde medvirkende årsag til frakturer)</w:t>
            </w:r>
            <w:r w:rsidRPr="006E31EE">
              <w:rPr>
                <w:sz w:val="24"/>
                <w:vertAlign w:val="superscript"/>
              </w:rPr>
              <w:t>1,2</w:t>
            </w:r>
            <w:r w:rsidRPr="006E31EE">
              <w:rPr>
                <w:sz w:val="24"/>
              </w:rPr>
              <w:t>, myopati</w:t>
            </w:r>
            <w:r w:rsidRPr="006E31EE">
              <w:rPr>
                <w:sz w:val="24"/>
                <w:vertAlign w:val="superscript"/>
              </w:rPr>
              <w:t>1</w:t>
            </w:r>
          </w:p>
        </w:tc>
      </w:tr>
      <w:tr w:rsidR="00CA3916" w:rsidRPr="006E31EE" w14:paraId="51CF6F74" w14:textId="77777777" w:rsidTr="00682EDD">
        <w:tc>
          <w:tcPr>
            <w:tcW w:w="5000" w:type="pct"/>
            <w:gridSpan w:val="2"/>
            <w:shd w:val="clear" w:color="auto" w:fill="D9D9D9" w:themeFill="background1" w:themeFillShade="D9"/>
            <w:hideMark/>
          </w:tcPr>
          <w:p w14:paraId="63F1E447" w14:textId="77777777" w:rsidR="00CA3916" w:rsidRPr="006E31EE" w:rsidRDefault="00CA3916" w:rsidP="00CA3916">
            <w:pPr>
              <w:rPr>
                <w:i/>
                <w:sz w:val="24"/>
              </w:rPr>
            </w:pPr>
            <w:r w:rsidRPr="006E31EE">
              <w:rPr>
                <w:i/>
                <w:sz w:val="24"/>
              </w:rPr>
              <w:t>Nyrer og urinveje:</w:t>
            </w:r>
          </w:p>
        </w:tc>
      </w:tr>
      <w:tr w:rsidR="00CA3916" w:rsidRPr="006E31EE" w14:paraId="682B1477" w14:textId="77777777" w:rsidTr="00682EDD">
        <w:tc>
          <w:tcPr>
            <w:tcW w:w="1295" w:type="pct"/>
            <w:hideMark/>
          </w:tcPr>
          <w:p w14:paraId="1DF3920E" w14:textId="77777777" w:rsidR="00CA3916" w:rsidRPr="006E31EE" w:rsidRDefault="00CA3916" w:rsidP="00CA3916">
            <w:pPr>
              <w:rPr>
                <w:sz w:val="24"/>
              </w:rPr>
            </w:pPr>
            <w:r w:rsidRPr="006E31EE">
              <w:rPr>
                <w:sz w:val="24"/>
              </w:rPr>
              <w:t>Ikke almindelig</w:t>
            </w:r>
          </w:p>
        </w:tc>
        <w:tc>
          <w:tcPr>
            <w:tcW w:w="3705" w:type="pct"/>
            <w:hideMark/>
          </w:tcPr>
          <w:p w14:paraId="2436DF8E" w14:textId="77777777" w:rsidR="00CA3916" w:rsidRPr="006E31EE" w:rsidRDefault="00CA3916" w:rsidP="00CA3916">
            <w:pPr>
              <w:rPr>
                <w:sz w:val="24"/>
              </w:rPr>
            </w:pPr>
            <w:r w:rsidRPr="006E31EE">
              <w:rPr>
                <w:sz w:val="24"/>
              </w:rPr>
              <w:t>Øget kreatinin, proksimal renal tubulopati (herunder Fanconis syndrom)</w:t>
            </w:r>
          </w:p>
        </w:tc>
      </w:tr>
      <w:tr w:rsidR="00CA3916" w:rsidRPr="006E31EE" w14:paraId="76D25E89" w14:textId="77777777" w:rsidTr="00682EDD">
        <w:tc>
          <w:tcPr>
            <w:tcW w:w="1295" w:type="pct"/>
            <w:hideMark/>
          </w:tcPr>
          <w:p w14:paraId="57BCF6D1" w14:textId="77777777" w:rsidR="00CA3916" w:rsidRPr="006E31EE" w:rsidRDefault="00CA3916" w:rsidP="00CA3916">
            <w:pPr>
              <w:rPr>
                <w:sz w:val="24"/>
              </w:rPr>
            </w:pPr>
            <w:r w:rsidRPr="006E31EE">
              <w:rPr>
                <w:sz w:val="24"/>
              </w:rPr>
              <w:t>Sjælden</w:t>
            </w:r>
          </w:p>
        </w:tc>
        <w:tc>
          <w:tcPr>
            <w:tcW w:w="3705" w:type="pct"/>
            <w:hideMark/>
          </w:tcPr>
          <w:p w14:paraId="075584C0" w14:textId="77777777" w:rsidR="00CA3916" w:rsidRPr="006E31EE" w:rsidRDefault="00CA3916" w:rsidP="00CA3916">
            <w:pPr>
              <w:rPr>
                <w:sz w:val="24"/>
              </w:rPr>
            </w:pPr>
            <w:r w:rsidRPr="006E31EE">
              <w:rPr>
                <w:sz w:val="24"/>
              </w:rPr>
              <w:t>Akut nyresvigt, nyresvigt, akut tubulær nekrose, nefritis (herunder akut interstitiel nefritis)</w:t>
            </w:r>
            <w:r w:rsidRPr="006E31EE">
              <w:rPr>
                <w:sz w:val="24"/>
                <w:vertAlign w:val="superscript"/>
              </w:rPr>
              <w:t>2</w:t>
            </w:r>
            <w:r w:rsidRPr="006E31EE">
              <w:rPr>
                <w:sz w:val="24"/>
              </w:rPr>
              <w:t>, nefrogen diabetes insipidus</w:t>
            </w:r>
          </w:p>
        </w:tc>
      </w:tr>
      <w:tr w:rsidR="00CA3916" w:rsidRPr="006E31EE" w14:paraId="2E0D0EFF" w14:textId="77777777" w:rsidTr="00682EDD">
        <w:tc>
          <w:tcPr>
            <w:tcW w:w="5000" w:type="pct"/>
            <w:gridSpan w:val="2"/>
            <w:shd w:val="clear" w:color="auto" w:fill="D9D9D9" w:themeFill="background1" w:themeFillShade="D9"/>
            <w:hideMark/>
          </w:tcPr>
          <w:p w14:paraId="7F81B516" w14:textId="77777777" w:rsidR="00CA3916" w:rsidRPr="006E31EE" w:rsidRDefault="00CA3916" w:rsidP="00CA3916">
            <w:pPr>
              <w:rPr>
                <w:i/>
                <w:sz w:val="24"/>
              </w:rPr>
            </w:pPr>
            <w:r w:rsidRPr="006E31EE">
              <w:rPr>
                <w:i/>
                <w:sz w:val="24"/>
              </w:rPr>
              <w:t>Almene symptomer og reaktioner på administrationsstedet:</w:t>
            </w:r>
          </w:p>
        </w:tc>
      </w:tr>
      <w:tr w:rsidR="00CA3916" w:rsidRPr="006E31EE" w14:paraId="64617C55" w14:textId="77777777" w:rsidTr="00682EDD">
        <w:tc>
          <w:tcPr>
            <w:tcW w:w="1295" w:type="pct"/>
            <w:hideMark/>
          </w:tcPr>
          <w:p w14:paraId="460505CF" w14:textId="77777777" w:rsidR="00CA3916" w:rsidRPr="006E31EE" w:rsidRDefault="00CA3916" w:rsidP="00CA3916">
            <w:pPr>
              <w:rPr>
                <w:sz w:val="24"/>
              </w:rPr>
            </w:pPr>
            <w:r w:rsidRPr="006E31EE">
              <w:rPr>
                <w:sz w:val="24"/>
              </w:rPr>
              <w:t>Meget almindelig</w:t>
            </w:r>
          </w:p>
        </w:tc>
        <w:tc>
          <w:tcPr>
            <w:tcW w:w="3705" w:type="pct"/>
            <w:hideMark/>
          </w:tcPr>
          <w:p w14:paraId="49BCA061" w14:textId="77777777" w:rsidR="00CA3916" w:rsidRPr="006E31EE" w:rsidRDefault="00CA3916" w:rsidP="00CA3916">
            <w:pPr>
              <w:rPr>
                <w:sz w:val="24"/>
              </w:rPr>
            </w:pPr>
            <w:r w:rsidRPr="006E31EE">
              <w:rPr>
                <w:sz w:val="24"/>
              </w:rPr>
              <w:t>Asteni</w:t>
            </w:r>
          </w:p>
        </w:tc>
      </w:tr>
      <w:tr w:rsidR="00CA3916" w:rsidRPr="006E31EE" w14:paraId="4B2438BE" w14:textId="77777777" w:rsidTr="00682EDD">
        <w:tc>
          <w:tcPr>
            <w:tcW w:w="1295" w:type="pct"/>
            <w:hideMark/>
          </w:tcPr>
          <w:p w14:paraId="0AEBB395" w14:textId="77777777" w:rsidR="00CA3916" w:rsidRPr="006E31EE" w:rsidRDefault="00CA3916" w:rsidP="00CA3916">
            <w:pPr>
              <w:rPr>
                <w:sz w:val="24"/>
              </w:rPr>
            </w:pPr>
            <w:r w:rsidRPr="006E31EE">
              <w:rPr>
                <w:sz w:val="24"/>
              </w:rPr>
              <w:t>Almindelig</w:t>
            </w:r>
          </w:p>
        </w:tc>
        <w:tc>
          <w:tcPr>
            <w:tcW w:w="3705" w:type="pct"/>
            <w:hideMark/>
          </w:tcPr>
          <w:p w14:paraId="0F55016C" w14:textId="77777777" w:rsidR="00CA3916" w:rsidRPr="006E31EE" w:rsidRDefault="00CA3916" w:rsidP="00CA3916">
            <w:pPr>
              <w:rPr>
                <w:sz w:val="24"/>
              </w:rPr>
            </w:pPr>
            <w:r w:rsidRPr="006E31EE">
              <w:rPr>
                <w:sz w:val="24"/>
              </w:rPr>
              <w:t>Træthed</w:t>
            </w:r>
          </w:p>
        </w:tc>
      </w:tr>
    </w:tbl>
    <w:p w14:paraId="21556A2D" w14:textId="77777777" w:rsidR="00F32EA9" w:rsidRPr="006E31EE" w:rsidRDefault="008F3CD4" w:rsidP="00F32EA9">
      <w:pPr>
        <w:tabs>
          <w:tab w:val="left" w:pos="284"/>
        </w:tabs>
        <w:ind w:left="284" w:hanging="284"/>
        <w:rPr>
          <w:sz w:val="24"/>
          <w:szCs w:val="24"/>
        </w:rPr>
      </w:pPr>
      <w:r w:rsidRPr="006E31EE">
        <w:rPr>
          <w:sz w:val="24"/>
          <w:szCs w:val="24"/>
          <w:vertAlign w:val="superscript"/>
        </w:rPr>
        <w:t>1</w:t>
      </w:r>
      <w:r w:rsidRPr="006E31EE">
        <w:rPr>
          <w:sz w:val="24"/>
          <w:szCs w:val="24"/>
        </w:rPr>
        <w:t xml:space="preserve"> </w:t>
      </w:r>
      <w:r w:rsidR="00F32EA9" w:rsidRPr="006E31EE">
        <w:rPr>
          <w:sz w:val="24"/>
          <w:szCs w:val="24"/>
        </w:rPr>
        <w:tab/>
        <w:t xml:space="preserve">Denne bivirkning kan forekomme som resultat af proksimal renal tubulopati. Den anses ikke som årsagsmæssigt forbundet med tenofovirdisoproxil, hvis denne tilstand ikke er til stede. </w:t>
      </w:r>
    </w:p>
    <w:p w14:paraId="64D70F65" w14:textId="77777777" w:rsidR="00F32EA9" w:rsidRPr="006E31EE" w:rsidRDefault="00F32EA9" w:rsidP="00F32EA9">
      <w:pPr>
        <w:tabs>
          <w:tab w:val="left" w:pos="284"/>
        </w:tabs>
        <w:ind w:left="284" w:hanging="284"/>
        <w:rPr>
          <w:sz w:val="24"/>
          <w:szCs w:val="24"/>
        </w:rPr>
      </w:pPr>
      <w:r w:rsidRPr="006E31EE">
        <w:rPr>
          <w:sz w:val="24"/>
          <w:szCs w:val="24"/>
          <w:vertAlign w:val="superscript"/>
        </w:rPr>
        <w:t>2</w:t>
      </w:r>
      <w:r w:rsidRPr="006E31EE">
        <w:rPr>
          <w:sz w:val="24"/>
          <w:szCs w:val="24"/>
        </w:rPr>
        <w:t xml:space="preserve"> </w:t>
      </w:r>
      <w:r w:rsidRPr="006E31EE">
        <w:rPr>
          <w:sz w:val="24"/>
          <w:szCs w:val="24"/>
        </w:rPr>
        <w:tab/>
        <w:t xml:space="preserve">Denne bivirkning blev identificeret under sikkerhedsovervågningen efter markedsføring, men blev ikke observeret i randomiserede, kontrollerede, kliniske studier eller i programmet for forlænget adgang til tenofovirdisoproxil. Hyppighedskategorien blev estimeret ud fra en statistisk beregning baseret på det totale antal patienter eksponeret for tenofovirdisoproxil i randomiserede, kontrollerede, kliniske studier og i programmet for forlænget adgang (n=7319). </w:t>
      </w:r>
    </w:p>
    <w:p w14:paraId="36F458A2" w14:textId="77777777" w:rsidR="00CA3916" w:rsidRPr="006E31EE" w:rsidRDefault="00CA3916" w:rsidP="00CA3916">
      <w:pPr>
        <w:tabs>
          <w:tab w:val="left" w:pos="284"/>
        </w:tabs>
        <w:ind w:left="284" w:hanging="284"/>
        <w:rPr>
          <w:sz w:val="24"/>
          <w:szCs w:val="24"/>
        </w:rPr>
      </w:pPr>
      <w:r w:rsidRPr="005E3C92">
        <w:rPr>
          <w:sz w:val="24"/>
          <w:szCs w:val="24"/>
          <w:vertAlign w:val="superscript"/>
        </w:rPr>
        <w:t>3</w:t>
      </w:r>
      <w:r>
        <w:rPr>
          <w:sz w:val="24"/>
          <w:szCs w:val="24"/>
        </w:rPr>
        <w:t xml:space="preserve">   </w:t>
      </w:r>
      <w:r w:rsidRPr="0064619D">
        <w:rPr>
          <w:sz w:val="24"/>
          <w:szCs w:val="24"/>
        </w:rPr>
        <w:t>Hyppigheden af denne bivirkning blev estimeret baseret på sikkerhedsdata fra forskellige kliniske studier med TDF hos HBV-inficerede patienter. Se også pkt. 4.4 og 5.1.</w:t>
      </w:r>
    </w:p>
    <w:p w14:paraId="297687BC" w14:textId="77777777" w:rsidR="00F32EA9" w:rsidRPr="006E31EE" w:rsidRDefault="00F32EA9" w:rsidP="00F32EA9">
      <w:pPr>
        <w:ind w:left="851" w:hanging="851"/>
        <w:rPr>
          <w:sz w:val="24"/>
          <w:szCs w:val="24"/>
        </w:rPr>
      </w:pPr>
    </w:p>
    <w:p w14:paraId="4341FC4E" w14:textId="77777777" w:rsidR="00F32EA9" w:rsidRPr="006E31EE" w:rsidRDefault="00F32EA9" w:rsidP="00F32EA9">
      <w:pPr>
        <w:ind w:left="851"/>
        <w:rPr>
          <w:sz w:val="24"/>
          <w:szCs w:val="24"/>
          <w:u w:val="single"/>
        </w:rPr>
      </w:pPr>
      <w:r w:rsidRPr="006E31EE">
        <w:rPr>
          <w:sz w:val="24"/>
          <w:szCs w:val="24"/>
          <w:u w:val="single"/>
        </w:rPr>
        <w:t xml:space="preserve">Beskrivelse af udvalgte bivirkninger </w:t>
      </w:r>
    </w:p>
    <w:p w14:paraId="55792157" w14:textId="77777777" w:rsidR="00F32EA9" w:rsidRPr="006E31EE" w:rsidRDefault="00F32EA9" w:rsidP="00F32EA9">
      <w:pPr>
        <w:ind w:left="851"/>
        <w:rPr>
          <w:i/>
          <w:sz w:val="24"/>
          <w:szCs w:val="24"/>
        </w:rPr>
      </w:pPr>
      <w:r w:rsidRPr="006E31EE">
        <w:rPr>
          <w:i/>
          <w:sz w:val="24"/>
          <w:szCs w:val="24"/>
        </w:rPr>
        <w:t>Hiv 1 og hepatitis B</w:t>
      </w:r>
    </w:p>
    <w:p w14:paraId="2300DAC1" w14:textId="77777777" w:rsidR="00F32EA9" w:rsidRPr="006E31EE" w:rsidRDefault="00F32EA9" w:rsidP="00F32EA9">
      <w:pPr>
        <w:ind w:left="851"/>
        <w:rPr>
          <w:i/>
          <w:sz w:val="24"/>
          <w:szCs w:val="24"/>
        </w:rPr>
      </w:pPr>
      <w:r w:rsidRPr="006E31EE">
        <w:rPr>
          <w:i/>
          <w:sz w:val="24"/>
          <w:szCs w:val="24"/>
        </w:rPr>
        <w:t xml:space="preserve">Nedsat nyrefunktion </w:t>
      </w:r>
    </w:p>
    <w:p w14:paraId="72D4D0E9" w14:textId="068BDEB5" w:rsidR="00F32EA9" w:rsidRPr="006E31EE" w:rsidRDefault="00F32EA9" w:rsidP="00F32EA9">
      <w:pPr>
        <w:ind w:left="851"/>
        <w:rPr>
          <w:sz w:val="24"/>
          <w:szCs w:val="24"/>
        </w:rPr>
      </w:pPr>
      <w:r w:rsidRPr="006E31EE">
        <w:rPr>
          <w:sz w:val="24"/>
          <w:szCs w:val="24"/>
        </w:rPr>
        <w:t xml:space="preserve">Da Tenofovir disoproxil "Sandoz" kan forårsage nyreskader, anbefales monitorering af nyrefunktionen (se pkt. 4.4 og 4.8 "Resumé af sikkerhedsprofil"). Proksimal renal tubulopati gik generelt væk eller blev bedre efter seponering af tenofovirdisoproxil. Hos nogle patienter gik reduktionen i kreatininclearance imidlertid ikke helt væk, trods seponering af tenofovirdisoproxil. Patienter med risiko for nedsat nyrefunktion (såsom patienter med renale risikofaktorer ved baseline eller fremskreden hiv-sygdom eller patienter, der samtidig fik nefrotoksiske lægemidler) har en øget risiko for at opleve en ufuldstændig bedring af nyrefunktionen, trods seponering af tenofovirdisoproxil (se pkt. 4.4). </w:t>
      </w:r>
    </w:p>
    <w:p w14:paraId="3EEB896A" w14:textId="77777777" w:rsidR="00A97556" w:rsidRPr="006E31EE" w:rsidRDefault="00A97556" w:rsidP="00F32EA9">
      <w:pPr>
        <w:ind w:left="851"/>
        <w:rPr>
          <w:sz w:val="24"/>
          <w:szCs w:val="24"/>
        </w:rPr>
      </w:pPr>
    </w:p>
    <w:p w14:paraId="5F00789F" w14:textId="77777777" w:rsidR="00A97556" w:rsidRPr="006E31EE" w:rsidRDefault="00A97556" w:rsidP="00A97556">
      <w:pPr>
        <w:ind w:left="851"/>
        <w:rPr>
          <w:sz w:val="24"/>
          <w:szCs w:val="24"/>
          <w:u w:val="single"/>
        </w:rPr>
      </w:pPr>
      <w:r w:rsidRPr="006E31EE">
        <w:rPr>
          <w:sz w:val="24"/>
          <w:szCs w:val="24"/>
          <w:u w:val="single"/>
        </w:rPr>
        <w:t>Laktatacidose</w:t>
      </w:r>
    </w:p>
    <w:p w14:paraId="30204839" w14:textId="77777777" w:rsidR="00A97556" w:rsidRPr="006E31EE" w:rsidRDefault="00A97556" w:rsidP="00A97556">
      <w:pPr>
        <w:ind w:left="851"/>
        <w:rPr>
          <w:sz w:val="24"/>
          <w:szCs w:val="24"/>
        </w:rPr>
      </w:pPr>
      <w:r w:rsidRPr="006E31EE">
        <w:rPr>
          <w:sz w:val="24"/>
          <w:szCs w:val="24"/>
        </w:rPr>
        <w:t>Der er rapporteret tilfælde af laktatacidose med tenofovirdisoproxil alene eller i kombination med andre antiretrovirale midler. Patienter med prædisponerende faktorer, såsom patienter med dekompenseret leversygdom, eller patienter der får samtidige lægemidler, der vides at inducere laktatacidose, har en større risiko for at få svær laktatacidose under behandling med tenofovirdisoproxil, herunder med letal udgang.</w:t>
      </w:r>
    </w:p>
    <w:p w14:paraId="617F9217" w14:textId="77777777" w:rsidR="00A97556" w:rsidRPr="006E31EE" w:rsidRDefault="00A97556" w:rsidP="00A97556">
      <w:pPr>
        <w:ind w:left="851"/>
        <w:rPr>
          <w:sz w:val="24"/>
          <w:szCs w:val="24"/>
        </w:rPr>
      </w:pPr>
    </w:p>
    <w:p w14:paraId="76145EF5" w14:textId="77777777" w:rsidR="00A97556" w:rsidRPr="006E31EE" w:rsidRDefault="00A97556" w:rsidP="00A97556">
      <w:pPr>
        <w:ind w:left="851"/>
        <w:rPr>
          <w:sz w:val="24"/>
          <w:szCs w:val="24"/>
        </w:rPr>
      </w:pPr>
      <w:r w:rsidRPr="006E31EE">
        <w:rPr>
          <w:i/>
          <w:sz w:val="24"/>
          <w:szCs w:val="24"/>
        </w:rPr>
        <w:t>Hiv 1</w:t>
      </w:r>
      <w:r w:rsidRPr="006E31EE">
        <w:rPr>
          <w:sz w:val="24"/>
          <w:szCs w:val="24"/>
        </w:rPr>
        <w:t>:</w:t>
      </w:r>
    </w:p>
    <w:p w14:paraId="39A2D7D8" w14:textId="77777777" w:rsidR="00F32EA9" w:rsidRPr="006E31EE" w:rsidRDefault="00F32EA9" w:rsidP="00F32EA9">
      <w:pPr>
        <w:ind w:left="851"/>
        <w:rPr>
          <w:sz w:val="24"/>
          <w:szCs w:val="24"/>
        </w:rPr>
      </w:pPr>
    </w:p>
    <w:p w14:paraId="373F45F9" w14:textId="77777777" w:rsidR="00F32EA9" w:rsidRPr="006E31EE" w:rsidRDefault="00F32EA9" w:rsidP="00F32EA9">
      <w:pPr>
        <w:ind w:left="851"/>
        <w:rPr>
          <w:i/>
          <w:sz w:val="24"/>
          <w:szCs w:val="24"/>
        </w:rPr>
      </w:pPr>
      <w:r w:rsidRPr="006E31EE">
        <w:rPr>
          <w:i/>
          <w:sz w:val="24"/>
          <w:szCs w:val="24"/>
        </w:rPr>
        <w:t>Metaboliske parametre</w:t>
      </w:r>
    </w:p>
    <w:p w14:paraId="116C2665" w14:textId="77777777" w:rsidR="00F32EA9" w:rsidRPr="006E31EE" w:rsidRDefault="00F32EA9" w:rsidP="00F32EA9">
      <w:pPr>
        <w:ind w:left="851"/>
        <w:rPr>
          <w:sz w:val="24"/>
          <w:szCs w:val="24"/>
        </w:rPr>
      </w:pPr>
      <w:r w:rsidRPr="006E31EE">
        <w:rPr>
          <w:sz w:val="24"/>
          <w:szCs w:val="24"/>
        </w:rPr>
        <w:t>Vægt og niveau af blodlipider og glukose kan ske at øges under antiretroviral terapi (se pkt. 4.4).</w:t>
      </w:r>
    </w:p>
    <w:p w14:paraId="7D09A85C" w14:textId="77777777" w:rsidR="00F32EA9" w:rsidRPr="006E31EE" w:rsidRDefault="00F32EA9" w:rsidP="00F32EA9">
      <w:pPr>
        <w:ind w:left="851"/>
        <w:rPr>
          <w:sz w:val="24"/>
          <w:szCs w:val="24"/>
        </w:rPr>
      </w:pPr>
    </w:p>
    <w:p w14:paraId="768CD00C" w14:textId="77777777" w:rsidR="00F32EA9" w:rsidRPr="006E31EE" w:rsidRDefault="00F32EA9" w:rsidP="00A25ECF">
      <w:pPr>
        <w:keepNext/>
        <w:ind w:left="851"/>
        <w:rPr>
          <w:i/>
          <w:sz w:val="24"/>
          <w:szCs w:val="24"/>
        </w:rPr>
      </w:pPr>
      <w:r w:rsidRPr="006E31EE">
        <w:rPr>
          <w:i/>
          <w:sz w:val="24"/>
          <w:szCs w:val="24"/>
        </w:rPr>
        <w:t xml:space="preserve">Immunreaktiveringssyndrom </w:t>
      </w:r>
    </w:p>
    <w:p w14:paraId="5BC7539C" w14:textId="5EFC2418" w:rsidR="00F32EA9" w:rsidRPr="006E31EE" w:rsidRDefault="00F32EA9" w:rsidP="00285E88">
      <w:pPr>
        <w:ind w:left="851"/>
        <w:rPr>
          <w:sz w:val="24"/>
          <w:szCs w:val="24"/>
        </w:rPr>
      </w:pPr>
      <w:r w:rsidRPr="006E31EE">
        <w:rPr>
          <w:sz w:val="24"/>
          <w:szCs w:val="24"/>
        </w:rPr>
        <w:t xml:space="preserve">Hos hiv-inficerede patienter med svær immuninsufficiens kan der ved påbegyndelse af antiretroviral kombinationsbehandling (CART) opstå en inflammatorisk reaktion på asymptomatiske eller residuale opportunistiske infektioner. Autoimmune lidelser (såsom Graves sygdom og autoimmun hepatitis) er også set; tiden til udbrud er mere variabel og kan være mange måneder efter initiering af behandling (se pkt. 4.4). </w:t>
      </w:r>
    </w:p>
    <w:p w14:paraId="0A01A1C3" w14:textId="77777777" w:rsidR="00285E88" w:rsidRPr="006E31EE" w:rsidRDefault="00285E88" w:rsidP="00285E88">
      <w:pPr>
        <w:ind w:left="851"/>
        <w:rPr>
          <w:sz w:val="24"/>
          <w:szCs w:val="24"/>
        </w:rPr>
      </w:pPr>
    </w:p>
    <w:p w14:paraId="08DF731F" w14:textId="77777777" w:rsidR="00F32EA9" w:rsidRPr="006E31EE" w:rsidRDefault="00F32EA9" w:rsidP="00F32EA9">
      <w:pPr>
        <w:ind w:left="851"/>
        <w:rPr>
          <w:i/>
          <w:sz w:val="24"/>
          <w:szCs w:val="24"/>
        </w:rPr>
      </w:pPr>
      <w:r w:rsidRPr="006E31EE">
        <w:rPr>
          <w:i/>
          <w:sz w:val="24"/>
          <w:szCs w:val="24"/>
        </w:rPr>
        <w:t>Osteonekrose</w:t>
      </w:r>
    </w:p>
    <w:p w14:paraId="7F5031DE" w14:textId="77777777" w:rsidR="00F32EA9" w:rsidRPr="006E31EE" w:rsidRDefault="00F32EA9" w:rsidP="00F32EA9">
      <w:pPr>
        <w:ind w:left="851"/>
        <w:rPr>
          <w:sz w:val="24"/>
          <w:szCs w:val="24"/>
        </w:rPr>
      </w:pPr>
      <w:r w:rsidRPr="006E31EE">
        <w:rPr>
          <w:sz w:val="24"/>
          <w:szCs w:val="24"/>
        </w:rPr>
        <w:t>Tilfælde af osteonekrose er rapporteret, specielt hos patienter med generelt anerkendte risikofaktorer, fremskreden hiv-sygdom eller langvarig CART. Hyppigheden er ukendt (se pkt. 4.4).</w:t>
      </w:r>
    </w:p>
    <w:p w14:paraId="42960809" w14:textId="77777777" w:rsidR="00F32EA9" w:rsidRPr="006E31EE" w:rsidRDefault="00F32EA9" w:rsidP="00F32EA9">
      <w:pPr>
        <w:ind w:left="851"/>
        <w:rPr>
          <w:sz w:val="24"/>
          <w:szCs w:val="24"/>
        </w:rPr>
      </w:pPr>
    </w:p>
    <w:p w14:paraId="10BF1AD0" w14:textId="77777777" w:rsidR="00F32EA9" w:rsidRPr="006E31EE" w:rsidRDefault="00F32EA9" w:rsidP="00F32EA9">
      <w:pPr>
        <w:ind w:left="851"/>
        <w:rPr>
          <w:i/>
          <w:sz w:val="24"/>
          <w:szCs w:val="24"/>
        </w:rPr>
      </w:pPr>
      <w:r w:rsidRPr="006E31EE">
        <w:rPr>
          <w:i/>
          <w:sz w:val="24"/>
          <w:szCs w:val="24"/>
        </w:rPr>
        <w:t xml:space="preserve">Hepatitis B: </w:t>
      </w:r>
    </w:p>
    <w:p w14:paraId="0E74535D" w14:textId="77777777" w:rsidR="00F32EA9" w:rsidRPr="006E31EE" w:rsidRDefault="00F32EA9" w:rsidP="00F32EA9">
      <w:pPr>
        <w:ind w:left="851"/>
        <w:rPr>
          <w:i/>
          <w:sz w:val="24"/>
          <w:szCs w:val="24"/>
        </w:rPr>
      </w:pPr>
      <w:r w:rsidRPr="006E31EE">
        <w:rPr>
          <w:i/>
          <w:sz w:val="24"/>
          <w:szCs w:val="24"/>
        </w:rPr>
        <w:t xml:space="preserve">Hepatitis-eksacerbationer under behandlingen </w:t>
      </w:r>
    </w:p>
    <w:p w14:paraId="1FAEDA4C" w14:textId="77777777" w:rsidR="00F32EA9" w:rsidRPr="006E31EE" w:rsidRDefault="00F32EA9" w:rsidP="00F32EA9">
      <w:pPr>
        <w:ind w:left="851"/>
        <w:rPr>
          <w:sz w:val="24"/>
          <w:szCs w:val="24"/>
        </w:rPr>
      </w:pPr>
      <w:r w:rsidRPr="006E31EE">
        <w:rPr>
          <w:sz w:val="24"/>
          <w:szCs w:val="24"/>
        </w:rPr>
        <w:t>I studier med nukleosid-naive patienter forekom der efter behandlingsstart stigninger i ALAT &gt;10 gange ULN (øvre grænse af normalværdien) og &gt;2 gange baseline hos 2,6 % af de tenofovirdisoproxil-behandlede patienter. ALAT-stigninger forekom med en mediantid fra behandlingsstart på 8 uger. Disse stigninger forsvandt ved fortsat behandling og var i de fleste tilfælde associeret med en reduktion i virusmængden på ≥ 2 log</w:t>
      </w:r>
      <w:r w:rsidRPr="006E31EE">
        <w:rPr>
          <w:sz w:val="24"/>
          <w:szCs w:val="24"/>
          <w:vertAlign w:val="subscript"/>
        </w:rPr>
        <w:t>10</w:t>
      </w:r>
      <w:r w:rsidRPr="006E31EE">
        <w:rPr>
          <w:sz w:val="24"/>
          <w:szCs w:val="24"/>
        </w:rPr>
        <w:t xml:space="preserve"> kopier/ml, som gik forud for eller faldt sammen med ALAT-stigningen. Der anbefales periodisk monitorering af leverfunktionen under behandling (se pkt. 4.4). </w:t>
      </w:r>
    </w:p>
    <w:p w14:paraId="11F96257" w14:textId="77777777" w:rsidR="00F32EA9" w:rsidRPr="006E31EE" w:rsidRDefault="00F32EA9" w:rsidP="00F32EA9">
      <w:pPr>
        <w:ind w:left="851"/>
        <w:rPr>
          <w:sz w:val="24"/>
          <w:szCs w:val="24"/>
        </w:rPr>
      </w:pPr>
    </w:p>
    <w:p w14:paraId="273E5715" w14:textId="77777777" w:rsidR="00F32EA9" w:rsidRPr="006E31EE" w:rsidRDefault="00F32EA9" w:rsidP="00F32EA9">
      <w:pPr>
        <w:ind w:left="851"/>
        <w:rPr>
          <w:i/>
          <w:sz w:val="24"/>
          <w:szCs w:val="24"/>
        </w:rPr>
      </w:pPr>
      <w:r w:rsidRPr="006E31EE">
        <w:rPr>
          <w:i/>
          <w:sz w:val="24"/>
          <w:szCs w:val="24"/>
        </w:rPr>
        <w:t xml:space="preserve">Hepatitis-eksacerbationer efter seponering af behandling </w:t>
      </w:r>
    </w:p>
    <w:p w14:paraId="1D9F924E" w14:textId="77777777" w:rsidR="00F32EA9" w:rsidRPr="006E31EE" w:rsidRDefault="00F32EA9" w:rsidP="00F32EA9">
      <w:pPr>
        <w:ind w:left="851"/>
        <w:rPr>
          <w:sz w:val="24"/>
          <w:szCs w:val="24"/>
        </w:rPr>
      </w:pPr>
      <w:r w:rsidRPr="006E31EE">
        <w:rPr>
          <w:sz w:val="24"/>
          <w:szCs w:val="24"/>
        </w:rPr>
        <w:t xml:space="preserve">Hos HBV-inficerede patienter er der forekommet klinisk og laboratoriemæssig evidens for hepatitis-eksacerbationer efter seponering af HBV-behandling (se pkt. 4.4). </w:t>
      </w:r>
    </w:p>
    <w:p w14:paraId="0DBC6D5E" w14:textId="77777777" w:rsidR="00F32EA9" w:rsidRPr="006E31EE" w:rsidRDefault="00F32EA9" w:rsidP="00F32EA9">
      <w:pPr>
        <w:ind w:left="851"/>
        <w:rPr>
          <w:sz w:val="24"/>
          <w:szCs w:val="24"/>
        </w:rPr>
      </w:pPr>
    </w:p>
    <w:p w14:paraId="10BC5703" w14:textId="77777777" w:rsidR="00F32EA9" w:rsidRPr="006E31EE" w:rsidRDefault="00F32EA9" w:rsidP="00F32EA9">
      <w:pPr>
        <w:ind w:left="851"/>
        <w:rPr>
          <w:sz w:val="24"/>
          <w:szCs w:val="24"/>
          <w:u w:val="single"/>
        </w:rPr>
      </w:pPr>
      <w:r w:rsidRPr="006E31EE">
        <w:rPr>
          <w:sz w:val="24"/>
          <w:szCs w:val="24"/>
          <w:u w:val="single"/>
        </w:rPr>
        <w:t xml:space="preserve">Pædiatrisk population </w:t>
      </w:r>
    </w:p>
    <w:p w14:paraId="2462D9D8" w14:textId="77777777" w:rsidR="00F32EA9" w:rsidRPr="006E31EE" w:rsidRDefault="00F32EA9" w:rsidP="00F32EA9">
      <w:pPr>
        <w:ind w:left="851"/>
        <w:rPr>
          <w:i/>
          <w:sz w:val="24"/>
          <w:szCs w:val="24"/>
        </w:rPr>
      </w:pPr>
      <w:r w:rsidRPr="006E31EE">
        <w:rPr>
          <w:i/>
          <w:sz w:val="24"/>
          <w:szCs w:val="24"/>
        </w:rPr>
        <w:t xml:space="preserve">Hiv 1 </w:t>
      </w:r>
    </w:p>
    <w:p w14:paraId="7F4BFF71" w14:textId="77777777" w:rsidR="00F32EA9" w:rsidRPr="006E31EE" w:rsidRDefault="00F32EA9" w:rsidP="00F32EA9">
      <w:pPr>
        <w:ind w:left="851"/>
        <w:rPr>
          <w:sz w:val="24"/>
          <w:szCs w:val="24"/>
        </w:rPr>
      </w:pPr>
      <w:r w:rsidRPr="006E31EE">
        <w:rPr>
          <w:sz w:val="24"/>
          <w:szCs w:val="24"/>
        </w:rPr>
        <w:t>Vurderingen af bivirkninger er baseret på to randomiserede studier (studie GS-US-104-0321 og studie GS-US-104-0352) med 184 hiv 1-inficerede pædiatriske patienter (i alderen 2 til &lt;18 år), der blev behandlet med tenofovirdisoproxil (n = 93) eller placebo/aktiv komparator (n = 91) i kombination med andre antiretrovirale midler i 48 uger (se pkt. 5.1). De observerede bivirkninger hos pædiatriske patienter, der fik behandling med tenofovirdisoproxil var overensstemmende med dem, der blev observeret i kliniske studier af tenofovirdisoproxil hos voksne (se pkt. 4.8 ”</w:t>
      </w:r>
      <w:r w:rsidRPr="006E31EE">
        <w:rPr>
          <w:i/>
          <w:sz w:val="24"/>
          <w:szCs w:val="24"/>
        </w:rPr>
        <w:t>Resumé af bivirkninger i tabelform</w:t>
      </w:r>
      <w:r w:rsidRPr="006E31EE">
        <w:rPr>
          <w:sz w:val="24"/>
          <w:szCs w:val="24"/>
        </w:rPr>
        <w:t xml:space="preserve">” og 5.1). </w:t>
      </w:r>
    </w:p>
    <w:p w14:paraId="2193994C" w14:textId="77777777" w:rsidR="00F32EA9" w:rsidRPr="006E31EE" w:rsidRDefault="00F32EA9" w:rsidP="00F32EA9">
      <w:pPr>
        <w:ind w:left="851"/>
        <w:rPr>
          <w:sz w:val="24"/>
          <w:szCs w:val="24"/>
        </w:rPr>
      </w:pPr>
    </w:p>
    <w:p w14:paraId="366CCD34" w14:textId="77777777" w:rsidR="00F32EA9" w:rsidRPr="006E31EE" w:rsidRDefault="00F32EA9" w:rsidP="00F32EA9">
      <w:pPr>
        <w:ind w:left="851"/>
        <w:rPr>
          <w:sz w:val="24"/>
          <w:szCs w:val="24"/>
        </w:rPr>
      </w:pPr>
      <w:r w:rsidRPr="006E31EE">
        <w:rPr>
          <w:sz w:val="24"/>
          <w:szCs w:val="24"/>
        </w:rPr>
        <w:t>Reduktioner i BMD er blevet rapporteret hos pædiatriske patienter. Hos hiv 1-inficerede unge var BMD Z-scores, der blev observeret hos forsøgspersoner, som fik tenofovir</w:t>
      </w:r>
      <w:r w:rsidRPr="006E31EE">
        <w:rPr>
          <w:sz w:val="24"/>
          <w:szCs w:val="24"/>
        </w:rPr>
        <w:softHyphen/>
        <w:t xml:space="preserve">disoproxil, lavere end de scores, der blev observeret hos forsøgspersoner, som fik placebo. Hos hiv 1-inficerede børn var BMD Z-scores hos forsøgspersoner, der skiftede til tenofovirdisoproxil, lavere end de scores, der blev observeret hos forsøgspersoner, som bibeholdt deres stavudin- eller zidovudin-holdige behandlinger (se pkt. 4.4 og 5.1). </w:t>
      </w:r>
    </w:p>
    <w:p w14:paraId="07092081" w14:textId="77777777" w:rsidR="00F32EA9" w:rsidRPr="006E31EE" w:rsidRDefault="00F32EA9" w:rsidP="00F32EA9">
      <w:pPr>
        <w:ind w:left="851"/>
        <w:rPr>
          <w:sz w:val="24"/>
          <w:szCs w:val="24"/>
        </w:rPr>
      </w:pPr>
    </w:p>
    <w:p w14:paraId="0430BBD3" w14:textId="77777777" w:rsidR="00F32EA9" w:rsidRPr="006E31EE" w:rsidRDefault="00F32EA9" w:rsidP="00F32EA9">
      <w:pPr>
        <w:ind w:left="851"/>
        <w:rPr>
          <w:sz w:val="24"/>
          <w:szCs w:val="24"/>
        </w:rPr>
      </w:pPr>
      <w:r w:rsidRPr="006E31EE">
        <w:rPr>
          <w:sz w:val="24"/>
          <w:szCs w:val="24"/>
        </w:rPr>
        <w:t xml:space="preserve">I studie GS-US-104-0352 fik 8 ud af de 89 pædiatriske patienter (9,0 %), der blev eksponeret for tenofovirdisoproxil (gennemsnitligt 331 ugers eksponering for tenofovirdisoproxil), seponeret forsøgslægemidlet på grund af renale bivirkninger. Fem forsøgsdeltagere (5,6 %) havde analyseresultater, der var klinisk forenelige med proksimal renal tubulopati; 4 af disse forsøgsdeltagere fik seponeret behandlingen med tenofovirdisoproxil. Syv patienter havde estimeret glomerulær filtrationshastighed (GFR) </w:t>
      </w:r>
      <w:r w:rsidRPr="006E31EE">
        <w:rPr>
          <w:sz w:val="24"/>
          <w:szCs w:val="24"/>
        </w:rPr>
        <w:lastRenderedPageBreak/>
        <w:t>værdier mellem 70 og 90 ml/min / 1,73 m</w:t>
      </w:r>
      <w:r w:rsidRPr="006E31EE">
        <w:rPr>
          <w:sz w:val="24"/>
          <w:szCs w:val="24"/>
          <w:vertAlign w:val="superscript"/>
        </w:rPr>
        <w:t>2</w:t>
      </w:r>
      <w:r w:rsidRPr="006E31EE">
        <w:rPr>
          <w:sz w:val="24"/>
          <w:szCs w:val="24"/>
        </w:rPr>
        <w:t>. Blandt dem, oplevede 3 patienter en klinisk betydningsfuld fald i estimeret GFR som forbedret efter seponering af tenofovirdisoproxil.</w:t>
      </w:r>
    </w:p>
    <w:p w14:paraId="5CA241A7" w14:textId="77777777" w:rsidR="00F32EA9" w:rsidRPr="006E31EE" w:rsidRDefault="00F32EA9" w:rsidP="00F32EA9">
      <w:pPr>
        <w:ind w:left="851"/>
        <w:rPr>
          <w:sz w:val="24"/>
          <w:szCs w:val="24"/>
        </w:rPr>
      </w:pPr>
    </w:p>
    <w:p w14:paraId="14F588FC" w14:textId="77777777" w:rsidR="00A97556" w:rsidRPr="006E31EE" w:rsidRDefault="00A97556" w:rsidP="00285E88">
      <w:pPr>
        <w:keepNext/>
        <w:ind w:left="851"/>
        <w:rPr>
          <w:i/>
          <w:sz w:val="24"/>
          <w:szCs w:val="24"/>
        </w:rPr>
      </w:pPr>
      <w:r w:rsidRPr="006E31EE">
        <w:rPr>
          <w:i/>
          <w:sz w:val="24"/>
          <w:szCs w:val="24"/>
        </w:rPr>
        <w:t xml:space="preserve">Kronisk hepatitis B </w:t>
      </w:r>
    </w:p>
    <w:p w14:paraId="2A94D595" w14:textId="77777777" w:rsidR="00A97556" w:rsidRPr="006E31EE" w:rsidRDefault="00A97556" w:rsidP="00A97556">
      <w:pPr>
        <w:ind w:left="851"/>
        <w:rPr>
          <w:sz w:val="24"/>
          <w:szCs w:val="24"/>
        </w:rPr>
      </w:pPr>
      <w:r w:rsidRPr="006E31EE">
        <w:rPr>
          <w:sz w:val="24"/>
          <w:szCs w:val="24"/>
        </w:rPr>
        <w:t xml:space="preserve">Vurderingen af bivirkninger er baseret på et randomiseret studie (studie GS-US-174-0115) med 106 unge patienter (i alderen 12 til &lt;18 år) med kronisk hepatitis B, der blev behandlet med tenofovirdisoproxil 245 mg (n = 52) eller placebo (n = 54) i 72 uger, og et randomiseret studie (Studie GS-US-174-0144) hos 89 patienter med kronisk hepatitis B (i alderen 2 til &lt; 12 år), der fik behandling med tenofovirdisoproxil (n = 60) eller placebo (n = 29) i 48 uger. De observerede bivirkninger hos pædiatriske patienter, som blev behandlet med tenofovirdisoproxil, svarede til de bivirkninger, der blev observeret i kliniske studier af tenofovirdisoproxil hos voksne (se pkt. 4.8 "Resumé af bivirkninger i tabelform" og 5.1). </w:t>
      </w:r>
    </w:p>
    <w:p w14:paraId="2AD28B26" w14:textId="77777777" w:rsidR="00A97556" w:rsidRPr="006E31EE" w:rsidRDefault="00A97556" w:rsidP="00A97556">
      <w:pPr>
        <w:ind w:left="851"/>
        <w:rPr>
          <w:sz w:val="24"/>
          <w:szCs w:val="24"/>
        </w:rPr>
      </w:pPr>
    </w:p>
    <w:p w14:paraId="6A30F85C" w14:textId="77777777" w:rsidR="00A97556" w:rsidRPr="006E31EE" w:rsidRDefault="00A97556" w:rsidP="00A97556">
      <w:pPr>
        <w:ind w:left="851"/>
        <w:rPr>
          <w:sz w:val="24"/>
          <w:szCs w:val="24"/>
        </w:rPr>
      </w:pPr>
      <w:r w:rsidRPr="006E31EE">
        <w:rPr>
          <w:sz w:val="24"/>
          <w:szCs w:val="24"/>
        </w:rPr>
        <w:t>Reduktioner i BMD er blevet observeret hos HBV-inficerede pædiatriske patienter i alderen 2 til &lt; 18 år. BMD Z-scores, der blev observeret hos forsøgspersoner, som fik tenofovirdisoproxil, var lavere end de scores, der blev observeret hos forsøgspersoner, som fik placebo (se pkt. 4.4 og 5.1).</w:t>
      </w:r>
    </w:p>
    <w:p w14:paraId="081C630E" w14:textId="77777777" w:rsidR="00682EDD" w:rsidRPr="006E31EE" w:rsidRDefault="00682EDD" w:rsidP="00682EDD">
      <w:pPr>
        <w:ind w:left="851"/>
        <w:rPr>
          <w:sz w:val="24"/>
          <w:szCs w:val="24"/>
        </w:rPr>
      </w:pPr>
    </w:p>
    <w:p w14:paraId="4410D638" w14:textId="77777777" w:rsidR="00682EDD" w:rsidRPr="006E31EE" w:rsidRDefault="00682EDD" w:rsidP="00682EDD">
      <w:pPr>
        <w:ind w:left="851"/>
        <w:rPr>
          <w:sz w:val="24"/>
          <w:szCs w:val="24"/>
          <w:u w:val="single"/>
        </w:rPr>
      </w:pPr>
      <w:r w:rsidRPr="006E31EE">
        <w:rPr>
          <w:sz w:val="24"/>
          <w:szCs w:val="24"/>
          <w:u w:val="single"/>
        </w:rPr>
        <w:t xml:space="preserve">Andre særlige populationer </w:t>
      </w:r>
    </w:p>
    <w:p w14:paraId="54F6FCC8" w14:textId="77777777" w:rsidR="00682EDD" w:rsidRPr="006E31EE" w:rsidRDefault="00682EDD" w:rsidP="00682EDD">
      <w:pPr>
        <w:ind w:left="851"/>
        <w:rPr>
          <w:i/>
          <w:sz w:val="24"/>
          <w:szCs w:val="24"/>
        </w:rPr>
      </w:pPr>
      <w:r w:rsidRPr="006E31EE">
        <w:rPr>
          <w:i/>
          <w:sz w:val="24"/>
          <w:szCs w:val="24"/>
        </w:rPr>
        <w:t xml:space="preserve">Ældre </w:t>
      </w:r>
    </w:p>
    <w:p w14:paraId="224C67B7" w14:textId="77777777" w:rsidR="00682EDD" w:rsidRPr="006E31EE" w:rsidRDefault="00682EDD" w:rsidP="00682EDD">
      <w:pPr>
        <w:ind w:left="851"/>
        <w:rPr>
          <w:sz w:val="24"/>
          <w:szCs w:val="24"/>
        </w:rPr>
      </w:pPr>
      <w:r w:rsidRPr="006E31EE">
        <w:rPr>
          <w:sz w:val="24"/>
          <w:szCs w:val="24"/>
        </w:rPr>
        <w:t xml:space="preserve">Tenofovirdisoproxil er ikke blevet undersøgt hos patienter over 65 år. Da det er mere sandsynligt, at ældre patienter har nedsat nyrefunktion, skal der udvises forsigtighed ved behandling af ældre patienter med tenofovirdisoproxil (se pkt. 4.4). </w:t>
      </w:r>
    </w:p>
    <w:p w14:paraId="68338FE6" w14:textId="77777777" w:rsidR="00682EDD" w:rsidRPr="006E31EE" w:rsidRDefault="00682EDD" w:rsidP="00682EDD">
      <w:pPr>
        <w:ind w:left="851"/>
        <w:rPr>
          <w:sz w:val="24"/>
          <w:szCs w:val="24"/>
        </w:rPr>
      </w:pPr>
    </w:p>
    <w:p w14:paraId="1D246225" w14:textId="77777777" w:rsidR="00682EDD" w:rsidRPr="006E31EE" w:rsidRDefault="00682EDD" w:rsidP="00682EDD">
      <w:pPr>
        <w:ind w:left="851"/>
        <w:rPr>
          <w:i/>
          <w:sz w:val="24"/>
          <w:szCs w:val="24"/>
        </w:rPr>
      </w:pPr>
      <w:r w:rsidRPr="006E31EE">
        <w:rPr>
          <w:i/>
          <w:sz w:val="24"/>
          <w:szCs w:val="24"/>
        </w:rPr>
        <w:t xml:space="preserve">Nedsat nyrefunktion </w:t>
      </w:r>
    </w:p>
    <w:p w14:paraId="17D5D506" w14:textId="77777777" w:rsidR="00682EDD" w:rsidRPr="006E31EE" w:rsidRDefault="00682EDD" w:rsidP="00682EDD">
      <w:pPr>
        <w:ind w:left="851"/>
        <w:rPr>
          <w:sz w:val="24"/>
          <w:szCs w:val="24"/>
        </w:rPr>
      </w:pPr>
      <w:r w:rsidRPr="006E31EE">
        <w:rPr>
          <w:sz w:val="24"/>
          <w:szCs w:val="24"/>
        </w:rPr>
        <w:t>Da tenofovirdisoproxil kan forårsage nyretoksicitet, anbefales tæt monitorering af nyrefunktionen hos voksne patienter med nedsat nyrefunktion, som behandles med Tenofovir disoproxil "Sandoz" (se pkt. 4.2, 4.4 og 5.2). Anvendelsen af tenofovirdisoproxil anbefales ikke til pædiatriske patienter med nedsat nyrefunktion (se pkt. 4.2 og 4.4)</w:t>
      </w:r>
    </w:p>
    <w:p w14:paraId="015A07C6" w14:textId="77777777" w:rsidR="00682EDD" w:rsidRPr="006E31EE" w:rsidRDefault="00682EDD" w:rsidP="00682EDD">
      <w:pPr>
        <w:ind w:left="851"/>
        <w:rPr>
          <w:b/>
          <w:i/>
          <w:color w:val="FF0000"/>
          <w:sz w:val="24"/>
          <w:szCs w:val="24"/>
        </w:rPr>
      </w:pPr>
    </w:p>
    <w:p w14:paraId="75E8DA11" w14:textId="77777777" w:rsidR="00682EDD" w:rsidRPr="006E31EE" w:rsidRDefault="00682EDD" w:rsidP="00682EDD">
      <w:pPr>
        <w:autoSpaceDE w:val="0"/>
        <w:autoSpaceDN w:val="0"/>
        <w:adjustRightInd w:val="0"/>
        <w:ind w:left="851"/>
        <w:rPr>
          <w:sz w:val="24"/>
          <w:szCs w:val="24"/>
          <w:u w:val="single"/>
        </w:rPr>
      </w:pPr>
      <w:r w:rsidRPr="006E31EE">
        <w:rPr>
          <w:sz w:val="24"/>
          <w:szCs w:val="24"/>
          <w:u w:val="single"/>
        </w:rPr>
        <w:t>Indberetning af formodede bivirkninger</w:t>
      </w:r>
    </w:p>
    <w:p w14:paraId="0102C5A7" w14:textId="77777777" w:rsidR="00682EDD" w:rsidRPr="006E31EE" w:rsidRDefault="00682EDD" w:rsidP="00682EDD">
      <w:pPr>
        <w:autoSpaceDE w:val="0"/>
        <w:autoSpaceDN w:val="0"/>
        <w:adjustRightInd w:val="0"/>
        <w:ind w:left="851"/>
        <w:rPr>
          <w:color w:val="000000" w:themeColor="text1"/>
          <w:sz w:val="24"/>
          <w:szCs w:val="24"/>
        </w:rPr>
      </w:pPr>
      <w:r w:rsidRPr="006E31EE">
        <w:rPr>
          <w:sz w:val="24"/>
          <w:szCs w:val="24"/>
        </w:rPr>
        <w:t>Når lægemidlet er godkendt, er indberetning af formodede bivirkninger vigtig. Det muliggør løbende overvågning af benefit/risk-forholdet for lægemidlet. Sundhedspersoner anmodes om at indberette alle formodede bivirkninger via</w:t>
      </w:r>
      <w:r w:rsidRPr="006E31EE">
        <w:rPr>
          <w:color w:val="000000" w:themeColor="text1"/>
          <w:sz w:val="24"/>
          <w:szCs w:val="24"/>
        </w:rPr>
        <w:t>:</w:t>
      </w:r>
    </w:p>
    <w:p w14:paraId="62653FE7" w14:textId="77777777" w:rsidR="00682EDD" w:rsidRPr="006E31EE" w:rsidRDefault="00682EDD" w:rsidP="00682EDD">
      <w:pPr>
        <w:autoSpaceDE w:val="0"/>
        <w:autoSpaceDN w:val="0"/>
        <w:adjustRightInd w:val="0"/>
        <w:ind w:left="851"/>
        <w:rPr>
          <w:color w:val="000000" w:themeColor="text1"/>
          <w:sz w:val="24"/>
          <w:szCs w:val="24"/>
        </w:rPr>
      </w:pPr>
    </w:p>
    <w:p w14:paraId="61516F83" w14:textId="77777777" w:rsidR="00682EDD" w:rsidRPr="006E31EE" w:rsidRDefault="00682EDD" w:rsidP="00682EDD">
      <w:pPr>
        <w:autoSpaceDE w:val="0"/>
        <w:autoSpaceDN w:val="0"/>
        <w:adjustRightInd w:val="0"/>
        <w:ind w:left="851"/>
        <w:rPr>
          <w:color w:val="000000" w:themeColor="text1"/>
          <w:sz w:val="24"/>
          <w:szCs w:val="24"/>
        </w:rPr>
      </w:pPr>
      <w:r w:rsidRPr="006E31EE">
        <w:rPr>
          <w:color w:val="000000" w:themeColor="text1"/>
          <w:sz w:val="24"/>
          <w:szCs w:val="24"/>
        </w:rPr>
        <w:t>Lægemiddelstyrelsen</w:t>
      </w:r>
    </w:p>
    <w:p w14:paraId="0C2FDDCB" w14:textId="77777777" w:rsidR="00682EDD" w:rsidRPr="006E31EE" w:rsidRDefault="00682EDD" w:rsidP="00682EDD">
      <w:pPr>
        <w:autoSpaceDE w:val="0"/>
        <w:autoSpaceDN w:val="0"/>
        <w:adjustRightInd w:val="0"/>
        <w:ind w:left="851"/>
        <w:rPr>
          <w:color w:val="000000" w:themeColor="text1"/>
          <w:sz w:val="24"/>
          <w:szCs w:val="24"/>
        </w:rPr>
      </w:pPr>
      <w:r w:rsidRPr="006E31EE">
        <w:rPr>
          <w:color w:val="000000" w:themeColor="text1"/>
          <w:sz w:val="24"/>
          <w:szCs w:val="24"/>
        </w:rPr>
        <w:t>Axel Heides Gade 1</w:t>
      </w:r>
    </w:p>
    <w:p w14:paraId="235C6920" w14:textId="77777777" w:rsidR="00682EDD" w:rsidRPr="006E31EE" w:rsidRDefault="00682EDD" w:rsidP="00682EDD">
      <w:pPr>
        <w:autoSpaceDE w:val="0"/>
        <w:autoSpaceDN w:val="0"/>
        <w:adjustRightInd w:val="0"/>
        <w:ind w:left="851"/>
        <w:rPr>
          <w:color w:val="000000" w:themeColor="text1"/>
          <w:sz w:val="24"/>
          <w:szCs w:val="24"/>
        </w:rPr>
      </w:pPr>
      <w:r w:rsidRPr="006E31EE">
        <w:rPr>
          <w:color w:val="000000" w:themeColor="text1"/>
          <w:sz w:val="24"/>
          <w:szCs w:val="24"/>
        </w:rPr>
        <w:t>DK-2300 København S</w:t>
      </w:r>
    </w:p>
    <w:p w14:paraId="2B39A2D4" w14:textId="77777777" w:rsidR="00682EDD" w:rsidRPr="006E31EE" w:rsidRDefault="00682EDD" w:rsidP="00682EDD">
      <w:pPr>
        <w:autoSpaceDE w:val="0"/>
        <w:autoSpaceDN w:val="0"/>
        <w:adjustRightInd w:val="0"/>
        <w:ind w:left="851"/>
        <w:rPr>
          <w:color w:val="000000" w:themeColor="text1"/>
          <w:sz w:val="24"/>
          <w:szCs w:val="24"/>
        </w:rPr>
      </w:pPr>
      <w:r w:rsidRPr="006E31EE">
        <w:rPr>
          <w:color w:val="000000" w:themeColor="text1"/>
          <w:sz w:val="24"/>
          <w:szCs w:val="24"/>
        </w:rPr>
        <w:t xml:space="preserve">Websted: </w:t>
      </w:r>
      <w:hyperlink r:id="rId8" w:history="1">
        <w:r w:rsidRPr="006E31EE">
          <w:rPr>
            <w:rStyle w:val="Hyperlink"/>
            <w:sz w:val="24"/>
            <w:szCs w:val="24"/>
          </w:rPr>
          <w:t>www.meldenbivirkning.dk</w:t>
        </w:r>
      </w:hyperlink>
    </w:p>
    <w:p w14:paraId="5DCB27CC" w14:textId="77777777" w:rsidR="008F3CD4" w:rsidRPr="006E31EE" w:rsidRDefault="008F3CD4" w:rsidP="00F32EA9">
      <w:pPr>
        <w:tabs>
          <w:tab w:val="left" w:pos="284"/>
        </w:tabs>
        <w:ind w:left="284" w:hanging="284"/>
        <w:rPr>
          <w:szCs w:val="24"/>
        </w:rPr>
      </w:pPr>
    </w:p>
    <w:p w14:paraId="2A0B0191" w14:textId="73B4CD2A" w:rsidR="008F3CD4" w:rsidRPr="006E31EE" w:rsidRDefault="008F3CD4" w:rsidP="00A97556">
      <w:pPr>
        <w:ind w:left="851" w:hanging="851"/>
        <w:rPr>
          <w:b/>
          <w:sz w:val="24"/>
          <w:szCs w:val="24"/>
        </w:rPr>
      </w:pPr>
      <w:r w:rsidRPr="006E31EE">
        <w:rPr>
          <w:b/>
          <w:sz w:val="24"/>
          <w:szCs w:val="24"/>
        </w:rPr>
        <w:t>4.9</w:t>
      </w:r>
      <w:r w:rsidRPr="006E31EE">
        <w:rPr>
          <w:b/>
          <w:sz w:val="24"/>
          <w:szCs w:val="24"/>
        </w:rPr>
        <w:tab/>
        <w:t>Overdosering</w:t>
      </w:r>
    </w:p>
    <w:p w14:paraId="0347D100" w14:textId="77777777" w:rsidR="008F3CD4" w:rsidRPr="006E31EE" w:rsidRDefault="008F3CD4" w:rsidP="008F3CD4">
      <w:pPr>
        <w:ind w:left="851"/>
        <w:rPr>
          <w:sz w:val="24"/>
          <w:szCs w:val="24"/>
          <w:u w:val="single"/>
        </w:rPr>
      </w:pPr>
      <w:r w:rsidRPr="006E31EE">
        <w:rPr>
          <w:sz w:val="24"/>
          <w:szCs w:val="24"/>
          <w:u w:val="single"/>
        </w:rPr>
        <w:t xml:space="preserve">Symptomer </w:t>
      </w:r>
    </w:p>
    <w:p w14:paraId="75299EC0" w14:textId="77777777" w:rsidR="008F3CD4" w:rsidRPr="006E31EE" w:rsidRDefault="008F3CD4" w:rsidP="008F3CD4">
      <w:pPr>
        <w:ind w:left="851"/>
        <w:rPr>
          <w:sz w:val="24"/>
          <w:szCs w:val="24"/>
        </w:rPr>
      </w:pPr>
      <w:r w:rsidRPr="006E31EE">
        <w:rPr>
          <w:sz w:val="24"/>
          <w:szCs w:val="24"/>
        </w:rPr>
        <w:t xml:space="preserve">Såfremt der forekommer overdosering, skal patienten monitoreres for tegn på toksicitet (se pkt. 4.8 og 5.3), og der skal gives støttende standardbehandling efter behov. </w:t>
      </w:r>
    </w:p>
    <w:p w14:paraId="58BC1CF8" w14:textId="77777777" w:rsidR="008F3CD4" w:rsidRPr="006E31EE" w:rsidRDefault="008F3CD4" w:rsidP="008F3CD4">
      <w:pPr>
        <w:ind w:left="851" w:hanging="851"/>
        <w:rPr>
          <w:sz w:val="24"/>
          <w:szCs w:val="24"/>
        </w:rPr>
      </w:pPr>
    </w:p>
    <w:p w14:paraId="43B0322E" w14:textId="77777777" w:rsidR="008F3CD4" w:rsidRPr="006E31EE" w:rsidRDefault="008F3CD4" w:rsidP="008F3CD4">
      <w:pPr>
        <w:ind w:left="851"/>
        <w:rPr>
          <w:sz w:val="24"/>
          <w:szCs w:val="24"/>
          <w:u w:val="single"/>
        </w:rPr>
      </w:pPr>
      <w:r w:rsidRPr="006E31EE">
        <w:rPr>
          <w:sz w:val="24"/>
          <w:szCs w:val="24"/>
          <w:u w:val="single"/>
        </w:rPr>
        <w:t xml:space="preserve">Behandling </w:t>
      </w:r>
    </w:p>
    <w:p w14:paraId="5981F19D" w14:textId="77777777" w:rsidR="008F3CD4" w:rsidRPr="006E31EE" w:rsidRDefault="008F3CD4" w:rsidP="008F3CD4">
      <w:pPr>
        <w:ind w:left="851"/>
        <w:rPr>
          <w:sz w:val="24"/>
          <w:szCs w:val="24"/>
        </w:rPr>
      </w:pPr>
      <w:r w:rsidRPr="006E31EE">
        <w:rPr>
          <w:sz w:val="24"/>
          <w:szCs w:val="24"/>
        </w:rPr>
        <w:t>Tenofovir kan fjernes ved hæmodialyse; median hæmodialyse-clearance af tenofovir er 134 ml/min. Det vides ikke, om tenofovir kan fjernes ved peritonealdialyse.</w:t>
      </w:r>
    </w:p>
    <w:p w14:paraId="691F0B3E" w14:textId="77777777" w:rsidR="008F3CD4" w:rsidRPr="006E31EE" w:rsidRDefault="008F3CD4" w:rsidP="008F3CD4">
      <w:pPr>
        <w:ind w:left="851" w:hanging="851"/>
        <w:rPr>
          <w:sz w:val="24"/>
          <w:szCs w:val="24"/>
        </w:rPr>
      </w:pPr>
    </w:p>
    <w:p w14:paraId="66FF4959" w14:textId="77777777" w:rsidR="008F3CD4" w:rsidRPr="006E31EE" w:rsidRDefault="008F3CD4" w:rsidP="00A25ECF">
      <w:pPr>
        <w:keepNext/>
        <w:ind w:left="851" w:hanging="851"/>
        <w:rPr>
          <w:b/>
          <w:sz w:val="24"/>
          <w:szCs w:val="24"/>
        </w:rPr>
      </w:pPr>
      <w:r w:rsidRPr="006E31EE">
        <w:rPr>
          <w:b/>
          <w:sz w:val="24"/>
          <w:szCs w:val="24"/>
        </w:rPr>
        <w:lastRenderedPageBreak/>
        <w:t>4.10</w:t>
      </w:r>
      <w:r w:rsidRPr="006E31EE">
        <w:rPr>
          <w:b/>
          <w:sz w:val="24"/>
          <w:szCs w:val="24"/>
        </w:rPr>
        <w:tab/>
        <w:t>Udlevering</w:t>
      </w:r>
    </w:p>
    <w:p w14:paraId="36936B38" w14:textId="2CC96A6F" w:rsidR="008F3CD4" w:rsidRPr="006E31EE" w:rsidRDefault="008F3CD4" w:rsidP="00285E88">
      <w:pPr>
        <w:ind w:left="851"/>
        <w:rPr>
          <w:sz w:val="24"/>
          <w:szCs w:val="24"/>
        </w:rPr>
      </w:pPr>
      <w:r w:rsidRPr="006E31EE">
        <w:rPr>
          <w:sz w:val="24"/>
          <w:szCs w:val="24"/>
        </w:rPr>
        <w:t>BEGR</w:t>
      </w:r>
    </w:p>
    <w:p w14:paraId="4DE76C00" w14:textId="42271311" w:rsidR="00682EDD" w:rsidRPr="006E31EE" w:rsidRDefault="00682EDD" w:rsidP="008F3CD4">
      <w:pPr>
        <w:ind w:left="851" w:hanging="851"/>
        <w:rPr>
          <w:sz w:val="24"/>
          <w:szCs w:val="24"/>
        </w:rPr>
      </w:pPr>
    </w:p>
    <w:p w14:paraId="78FD744D" w14:textId="77777777" w:rsidR="00682EDD" w:rsidRPr="006E31EE" w:rsidRDefault="00682EDD" w:rsidP="00285E88">
      <w:pPr>
        <w:rPr>
          <w:sz w:val="24"/>
          <w:szCs w:val="24"/>
        </w:rPr>
      </w:pPr>
    </w:p>
    <w:p w14:paraId="508520B4" w14:textId="77777777" w:rsidR="008F3CD4" w:rsidRPr="006E31EE" w:rsidRDefault="008F3CD4" w:rsidP="008F3CD4">
      <w:pPr>
        <w:ind w:left="851" w:hanging="851"/>
        <w:rPr>
          <w:b/>
          <w:sz w:val="24"/>
          <w:szCs w:val="24"/>
        </w:rPr>
      </w:pPr>
      <w:r w:rsidRPr="006E31EE">
        <w:rPr>
          <w:b/>
          <w:sz w:val="24"/>
          <w:szCs w:val="24"/>
        </w:rPr>
        <w:t>5.</w:t>
      </w:r>
      <w:r w:rsidRPr="006E31EE">
        <w:rPr>
          <w:b/>
          <w:sz w:val="24"/>
          <w:szCs w:val="24"/>
        </w:rPr>
        <w:tab/>
        <w:t>FARMAKOLOGISKE EGENSKABER</w:t>
      </w:r>
    </w:p>
    <w:p w14:paraId="1E447FAC" w14:textId="77777777" w:rsidR="008F3CD4" w:rsidRPr="006E31EE" w:rsidRDefault="008F3CD4" w:rsidP="008F3CD4">
      <w:pPr>
        <w:ind w:left="851" w:hanging="851"/>
        <w:rPr>
          <w:sz w:val="24"/>
          <w:szCs w:val="24"/>
        </w:rPr>
      </w:pPr>
    </w:p>
    <w:p w14:paraId="6F3DD2A5" w14:textId="4604EB48" w:rsidR="008F3CD4" w:rsidRPr="006E31EE" w:rsidRDefault="008F3CD4" w:rsidP="00285E88">
      <w:pPr>
        <w:ind w:left="851" w:hanging="851"/>
        <w:rPr>
          <w:b/>
          <w:sz w:val="24"/>
          <w:szCs w:val="24"/>
        </w:rPr>
      </w:pPr>
      <w:r w:rsidRPr="006E31EE">
        <w:rPr>
          <w:b/>
          <w:sz w:val="24"/>
          <w:szCs w:val="24"/>
        </w:rPr>
        <w:t>5.1</w:t>
      </w:r>
      <w:r w:rsidRPr="006E31EE">
        <w:rPr>
          <w:b/>
          <w:sz w:val="24"/>
          <w:szCs w:val="24"/>
        </w:rPr>
        <w:tab/>
        <w:t>Farmakodynamiske egenskaber</w:t>
      </w:r>
    </w:p>
    <w:p w14:paraId="4502145E" w14:textId="64EFEAC7" w:rsidR="003228A3" w:rsidRDefault="003228A3" w:rsidP="003228A3">
      <w:pPr>
        <w:keepNext/>
        <w:ind w:left="851"/>
        <w:rPr>
          <w:sz w:val="24"/>
          <w:szCs w:val="24"/>
          <w:u w:val="single"/>
        </w:rPr>
      </w:pPr>
      <w:r w:rsidRPr="003228A3">
        <w:rPr>
          <w:sz w:val="24"/>
          <w:szCs w:val="24"/>
        </w:rPr>
        <w:t>Farmakoterapeutisk klassifikation</w:t>
      </w:r>
      <w:r>
        <w:rPr>
          <w:sz w:val="24"/>
          <w:szCs w:val="24"/>
        </w:rPr>
        <w:t>: A</w:t>
      </w:r>
      <w:r w:rsidRPr="006E31EE">
        <w:rPr>
          <w:sz w:val="24"/>
          <w:szCs w:val="24"/>
        </w:rPr>
        <w:t>ntivirale midler til systemisk brug; nukleosid og nukleotid reverse transkriptasehæmmere</w:t>
      </w:r>
      <w:r w:rsidR="00CA3916">
        <w:rPr>
          <w:sz w:val="24"/>
          <w:szCs w:val="24"/>
        </w:rPr>
        <w:t>,</w:t>
      </w:r>
      <w:r>
        <w:rPr>
          <w:sz w:val="24"/>
          <w:szCs w:val="24"/>
        </w:rPr>
        <w:t xml:space="preserve"> </w:t>
      </w:r>
      <w:r w:rsidRPr="006E31EE">
        <w:rPr>
          <w:sz w:val="24"/>
          <w:szCs w:val="24"/>
        </w:rPr>
        <w:t>ATC-kode: J05AF07</w:t>
      </w:r>
      <w:r>
        <w:rPr>
          <w:sz w:val="24"/>
          <w:szCs w:val="24"/>
        </w:rPr>
        <w:t>.</w:t>
      </w:r>
    </w:p>
    <w:p w14:paraId="15D5AE5B" w14:textId="77777777" w:rsidR="003228A3" w:rsidRDefault="003228A3" w:rsidP="00A97556">
      <w:pPr>
        <w:suppressAutoHyphens/>
        <w:ind w:left="851"/>
        <w:rPr>
          <w:sz w:val="24"/>
          <w:szCs w:val="24"/>
          <w:u w:val="single"/>
        </w:rPr>
      </w:pPr>
    </w:p>
    <w:p w14:paraId="2594A29D" w14:textId="7BD42D2A" w:rsidR="00A97556" w:rsidRPr="006E31EE" w:rsidRDefault="00A97556" w:rsidP="00A97556">
      <w:pPr>
        <w:suppressAutoHyphens/>
        <w:ind w:left="851"/>
        <w:rPr>
          <w:sz w:val="24"/>
          <w:szCs w:val="24"/>
          <w:u w:val="single"/>
        </w:rPr>
      </w:pPr>
      <w:r w:rsidRPr="006E31EE">
        <w:rPr>
          <w:sz w:val="24"/>
          <w:szCs w:val="24"/>
          <w:u w:val="single"/>
        </w:rPr>
        <w:t xml:space="preserve">Virkningsmekanisme og farmakodynamisk virkning </w:t>
      </w:r>
    </w:p>
    <w:p w14:paraId="522F24C5" w14:textId="77777777" w:rsidR="00A97556" w:rsidRPr="006E31EE" w:rsidRDefault="00A97556" w:rsidP="00A97556">
      <w:pPr>
        <w:suppressAutoHyphens/>
        <w:ind w:left="851"/>
        <w:rPr>
          <w:sz w:val="24"/>
          <w:szCs w:val="24"/>
        </w:rPr>
      </w:pPr>
      <w:r w:rsidRPr="006E31EE">
        <w:rPr>
          <w:sz w:val="24"/>
          <w:szCs w:val="24"/>
        </w:rPr>
        <w:t xml:space="preserve">Prodrug'et tenofovirdisoproxil absorberes og omdannes til det aktive stof tenofovir, som er en nukleosidmonophosphat (nukleotid)-analog. Tenofovir omdannes derefter af konstitutivt eksprimerede celleenzymer til den aktive metabolit, tenofovirdiphosphat, en obligat kædeblokker. Tenofovirdiphosphat har en intracellulær halveringstid på 10 timer i aktiverede og 50 timer i hvilende mononukleære celler i perifert blod (peripheral blood mononuclear cells, PBMC’er). Tenofovirdiphosphat hæmmer hiv 1-reverse-transkriptase og HBV-polymerase ved direkte bindingskonkurrence med det naturlige deoxyribonukleotidsubstrat og - efter indføjelse i dna - ved dna-kædeblokering. Tenofovirdiphosphat er en svag hæmmer af de cellulære polymeraser α, β og γ. Ved koncentrationer på op til 300 μmol/l har tenofovir tilmed ikke vist effekt på syntesen af mitokondrie-dna eller produktionen af mælkesyre ved </w:t>
      </w:r>
      <w:r w:rsidRPr="006E31EE">
        <w:rPr>
          <w:i/>
          <w:sz w:val="24"/>
          <w:szCs w:val="24"/>
        </w:rPr>
        <w:t>in vitro</w:t>
      </w:r>
      <w:r w:rsidRPr="006E31EE">
        <w:rPr>
          <w:sz w:val="24"/>
          <w:szCs w:val="24"/>
        </w:rPr>
        <w:t xml:space="preserve">-analyser. </w:t>
      </w:r>
    </w:p>
    <w:p w14:paraId="75A27B32" w14:textId="77777777" w:rsidR="00A97556" w:rsidRPr="006E31EE" w:rsidRDefault="00A97556" w:rsidP="00A97556">
      <w:pPr>
        <w:suppressAutoHyphens/>
        <w:ind w:left="851" w:hanging="851"/>
        <w:rPr>
          <w:sz w:val="24"/>
          <w:szCs w:val="24"/>
        </w:rPr>
      </w:pPr>
    </w:p>
    <w:p w14:paraId="755D2100" w14:textId="77777777" w:rsidR="00A97556" w:rsidRPr="006E31EE" w:rsidRDefault="00A97556" w:rsidP="00A97556">
      <w:pPr>
        <w:suppressAutoHyphens/>
        <w:ind w:left="851"/>
        <w:rPr>
          <w:i/>
          <w:sz w:val="24"/>
          <w:szCs w:val="24"/>
        </w:rPr>
      </w:pPr>
      <w:r w:rsidRPr="006E31EE">
        <w:rPr>
          <w:i/>
          <w:sz w:val="24"/>
          <w:szCs w:val="24"/>
        </w:rPr>
        <w:t>Data vedrørende hiv</w:t>
      </w:r>
    </w:p>
    <w:p w14:paraId="10C7F650" w14:textId="77777777" w:rsidR="00A97556" w:rsidRPr="006E31EE" w:rsidRDefault="00A97556" w:rsidP="00A97556">
      <w:pPr>
        <w:suppressAutoHyphens/>
        <w:ind w:left="851"/>
        <w:rPr>
          <w:i/>
          <w:sz w:val="24"/>
          <w:szCs w:val="24"/>
        </w:rPr>
      </w:pPr>
      <w:r w:rsidRPr="006E31EE">
        <w:rPr>
          <w:i/>
          <w:sz w:val="24"/>
          <w:szCs w:val="24"/>
        </w:rPr>
        <w:t>Hiv-antiviral aktivitet in vitro</w:t>
      </w:r>
    </w:p>
    <w:p w14:paraId="62411189" w14:textId="77777777" w:rsidR="00A97556" w:rsidRPr="006E31EE" w:rsidRDefault="00A97556" w:rsidP="00A97556">
      <w:pPr>
        <w:suppressAutoHyphens/>
        <w:ind w:left="851"/>
        <w:rPr>
          <w:sz w:val="24"/>
          <w:szCs w:val="24"/>
        </w:rPr>
      </w:pPr>
      <w:r w:rsidRPr="006E31EE">
        <w:rPr>
          <w:sz w:val="24"/>
          <w:szCs w:val="24"/>
        </w:rPr>
        <w:t>Den koncentration af tenofovir, der kræves til 50 % hæmning (EC</w:t>
      </w:r>
      <w:r w:rsidRPr="006E31EE">
        <w:rPr>
          <w:sz w:val="24"/>
          <w:szCs w:val="24"/>
          <w:vertAlign w:val="subscript"/>
        </w:rPr>
        <w:t>50</w:t>
      </w:r>
      <w:r w:rsidRPr="006E31EE">
        <w:rPr>
          <w:sz w:val="24"/>
          <w:szCs w:val="24"/>
        </w:rPr>
        <w:t>) af laboratorie-vildtypestammen hiv 1</w:t>
      </w:r>
      <w:r w:rsidRPr="006E31EE">
        <w:rPr>
          <w:sz w:val="24"/>
          <w:szCs w:val="24"/>
          <w:vertAlign w:val="subscript"/>
        </w:rPr>
        <w:t>IIIB</w:t>
      </w:r>
      <w:r w:rsidRPr="006E31EE">
        <w:rPr>
          <w:sz w:val="24"/>
          <w:szCs w:val="24"/>
        </w:rPr>
        <w:t>, er 1-6 μmol/l ved lymfoide cellelinjer og 1,1 μmol/l mod primære hiv 1 subtype B-isolater i PBMC’er. Tenofovir er også aktivt mod hiv 1-subtyperne A, C, D, E, F, G og O og mod hiv</w:t>
      </w:r>
      <w:r w:rsidRPr="006E31EE">
        <w:rPr>
          <w:sz w:val="24"/>
          <w:szCs w:val="24"/>
          <w:vertAlign w:val="subscript"/>
        </w:rPr>
        <w:t>BaL</w:t>
      </w:r>
      <w:r w:rsidRPr="006E31EE">
        <w:rPr>
          <w:sz w:val="24"/>
          <w:szCs w:val="24"/>
        </w:rPr>
        <w:t xml:space="preserve"> ved primære monocyt-/makrofagceller. Tenofovir er desuden aktivt in vitro mod hiv 2 med en EC</w:t>
      </w:r>
      <w:r w:rsidRPr="006E31EE">
        <w:rPr>
          <w:sz w:val="24"/>
          <w:szCs w:val="24"/>
          <w:vertAlign w:val="subscript"/>
        </w:rPr>
        <w:t>50</w:t>
      </w:r>
      <w:r w:rsidRPr="006E31EE">
        <w:rPr>
          <w:sz w:val="24"/>
          <w:szCs w:val="24"/>
        </w:rPr>
        <w:t xml:space="preserve"> på 4,9 μmol/l ved MT-4-celler. </w:t>
      </w:r>
    </w:p>
    <w:p w14:paraId="754A90A1" w14:textId="77777777" w:rsidR="00A97556" w:rsidRPr="006E31EE" w:rsidRDefault="00A97556" w:rsidP="00A97556">
      <w:pPr>
        <w:suppressAutoHyphens/>
        <w:ind w:left="851" w:hanging="851"/>
        <w:rPr>
          <w:sz w:val="24"/>
          <w:szCs w:val="24"/>
        </w:rPr>
      </w:pPr>
    </w:p>
    <w:p w14:paraId="489B64DA" w14:textId="77777777" w:rsidR="00A97556" w:rsidRPr="006E31EE" w:rsidRDefault="00A97556" w:rsidP="00A97556">
      <w:pPr>
        <w:suppressAutoHyphens/>
        <w:ind w:left="851"/>
        <w:rPr>
          <w:sz w:val="24"/>
          <w:szCs w:val="24"/>
        </w:rPr>
      </w:pPr>
      <w:r w:rsidRPr="006E31EE">
        <w:rPr>
          <w:i/>
          <w:sz w:val="24"/>
          <w:szCs w:val="24"/>
        </w:rPr>
        <w:t>Resistens</w:t>
      </w:r>
      <w:r w:rsidRPr="006E31EE">
        <w:rPr>
          <w:sz w:val="24"/>
          <w:szCs w:val="24"/>
        </w:rPr>
        <w:t xml:space="preserve">: Stammer af hiv 1 med nedsat følsomhed over for tenofovir og en K65R-mutation ved reverse transkriptase er blevet udsøgt in vitro og hos nogle patienter (se "Klinisk virkning og sikkerhed"). Tenofovirdisoproxil bør undgås hos tidligere antiretroviral-behandlede patienter med stammer, som har K65R-mutationen (se pkt. 4.4). Desuden er en K70E-substitution i hiv-1-reverse transkriptase blevet selekteret af tenofovir, hvilket fører til en nedsat følsomhed for tenofovir på lavt niveau. </w:t>
      </w:r>
    </w:p>
    <w:p w14:paraId="0C78DC7C" w14:textId="77777777" w:rsidR="00A97556" w:rsidRPr="006E31EE" w:rsidRDefault="00A97556" w:rsidP="00A97556">
      <w:pPr>
        <w:suppressAutoHyphens/>
        <w:ind w:left="851" w:hanging="851"/>
        <w:rPr>
          <w:sz w:val="24"/>
          <w:szCs w:val="24"/>
        </w:rPr>
      </w:pPr>
    </w:p>
    <w:p w14:paraId="13AF39FF" w14:textId="77777777" w:rsidR="00A97556" w:rsidRPr="006E31EE" w:rsidRDefault="00A97556" w:rsidP="00A97556">
      <w:pPr>
        <w:suppressAutoHyphens/>
        <w:ind w:left="851"/>
        <w:rPr>
          <w:sz w:val="24"/>
          <w:szCs w:val="24"/>
        </w:rPr>
      </w:pPr>
      <w:r w:rsidRPr="006E31EE">
        <w:rPr>
          <w:sz w:val="24"/>
          <w:szCs w:val="24"/>
        </w:rPr>
        <w:t xml:space="preserve">Kliniske studier med tidligere behandlede patienter har vurderet anti-hiv-aktiviteten af 245 mg tenofovirdisoproxil mod hiv 1-stammer med resistens over for nukleosidhæmmere. Resultaterne indikerer, at patienter, hvis hiv udtrykte 3 eller flere thymidin-analog-forbundne mutationer (TAMs), som omfattede enten M41L- eller L210W-reverse transkriptase-mutation, viste reduceret respons over for behandlingen med 245 mg tenofovirdisoproxil. </w:t>
      </w:r>
    </w:p>
    <w:p w14:paraId="4450A0E9" w14:textId="77777777" w:rsidR="00A97556" w:rsidRPr="006E31EE" w:rsidRDefault="00A97556" w:rsidP="00A97556">
      <w:pPr>
        <w:suppressAutoHyphens/>
        <w:ind w:left="851" w:hanging="851"/>
        <w:rPr>
          <w:sz w:val="24"/>
          <w:szCs w:val="24"/>
        </w:rPr>
      </w:pPr>
    </w:p>
    <w:p w14:paraId="6439EA1A" w14:textId="77777777" w:rsidR="00A97556" w:rsidRPr="006E31EE" w:rsidRDefault="00A97556" w:rsidP="00A97556">
      <w:pPr>
        <w:suppressAutoHyphens/>
        <w:ind w:left="851"/>
        <w:rPr>
          <w:sz w:val="24"/>
          <w:szCs w:val="24"/>
          <w:u w:val="single"/>
        </w:rPr>
      </w:pPr>
      <w:r w:rsidRPr="006E31EE">
        <w:rPr>
          <w:sz w:val="24"/>
          <w:szCs w:val="24"/>
          <w:u w:val="single"/>
        </w:rPr>
        <w:t xml:space="preserve">Klinisk virkning og sikkerhed </w:t>
      </w:r>
    </w:p>
    <w:p w14:paraId="1CD6D106" w14:textId="77777777" w:rsidR="00A97556" w:rsidRPr="006E31EE" w:rsidRDefault="00A97556" w:rsidP="00A97556">
      <w:pPr>
        <w:suppressAutoHyphens/>
        <w:ind w:left="851"/>
        <w:rPr>
          <w:sz w:val="24"/>
          <w:szCs w:val="24"/>
        </w:rPr>
      </w:pPr>
      <w:r w:rsidRPr="006E31EE">
        <w:rPr>
          <w:sz w:val="24"/>
          <w:szCs w:val="24"/>
        </w:rPr>
        <w:t xml:space="preserve">Den gavnlige effekt af tenofovirdisoproxil hos tidligere behandlede og behandlingsnaive hiv-1-inficerede voksne er blevet påvist i studier af henholdsvis 48 ugers og 144 ugers varighed. </w:t>
      </w:r>
    </w:p>
    <w:p w14:paraId="781D8408" w14:textId="77777777" w:rsidR="00A97556" w:rsidRPr="006E31EE" w:rsidRDefault="00A97556" w:rsidP="00A97556">
      <w:pPr>
        <w:suppressAutoHyphens/>
        <w:ind w:left="851" w:hanging="851"/>
        <w:rPr>
          <w:sz w:val="24"/>
          <w:szCs w:val="24"/>
        </w:rPr>
      </w:pPr>
    </w:p>
    <w:p w14:paraId="1F5F113B" w14:textId="77777777" w:rsidR="00A97556" w:rsidRPr="006E31EE" w:rsidRDefault="00A97556" w:rsidP="00A97556">
      <w:pPr>
        <w:suppressAutoHyphens/>
        <w:ind w:left="851"/>
        <w:rPr>
          <w:sz w:val="24"/>
          <w:szCs w:val="24"/>
        </w:rPr>
      </w:pPr>
      <w:r w:rsidRPr="006E31EE">
        <w:rPr>
          <w:sz w:val="24"/>
          <w:szCs w:val="24"/>
        </w:rPr>
        <w:lastRenderedPageBreak/>
        <w:t>I studie GS-99-907 blev 550 behandlingserfarne voksne patienter behandlet med placebo eller 245 mg tenofovirdisoproxil i 24 uger. Det gennemsnitlige CD4-celletal ved baseline var 427 celler/mm</w:t>
      </w:r>
      <w:r w:rsidRPr="006E31EE">
        <w:rPr>
          <w:sz w:val="24"/>
          <w:szCs w:val="24"/>
          <w:vertAlign w:val="superscript"/>
        </w:rPr>
        <w:t>3</w:t>
      </w:r>
      <w:r w:rsidRPr="006E31EE">
        <w:rPr>
          <w:sz w:val="24"/>
          <w:szCs w:val="24"/>
        </w:rPr>
        <w:t>, den gennemsnitlige hiv 1-rna-plasmakoncentration ved baseline var 3,4 log</w:t>
      </w:r>
      <w:r w:rsidRPr="006E31EE">
        <w:rPr>
          <w:sz w:val="24"/>
          <w:szCs w:val="24"/>
          <w:vertAlign w:val="subscript"/>
        </w:rPr>
        <w:t>10</w:t>
      </w:r>
      <w:r w:rsidRPr="006E31EE">
        <w:rPr>
          <w:sz w:val="24"/>
          <w:szCs w:val="24"/>
        </w:rPr>
        <w:t xml:space="preserve"> kopier/ml (78 % af patienterne havde en virusmængde på &lt;5.000 kopier/ml) og den gennemsnitlige varighed af forudgående hiv-behandling var 5,4 år. Genotypeanalyse ved baseline af hiv-isolater fra 253 patienter afslørede, at 94 % af patienterne havde hiv 1-resistensmutationer i forbindelse med nukleosid reverse transkriptasehæmmere, 58 % havde mutationer i forbindelse med proteasehæmmere og 48 % havde mutationer i forbindelse med non-nukleosid reverse transkriptasehæmmere. </w:t>
      </w:r>
    </w:p>
    <w:p w14:paraId="1D24D4AF" w14:textId="77777777" w:rsidR="00A97556" w:rsidRPr="006E31EE" w:rsidRDefault="00A97556" w:rsidP="00A97556">
      <w:pPr>
        <w:suppressAutoHyphens/>
        <w:ind w:left="851" w:hanging="851"/>
        <w:rPr>
          <w:sz w:val="24"/>
          <w:szCs w:val="24"/>
        </w:rPr>
      </w:pPr>
    </w:p>
    <w:p w14:paraId="290005A8" w14:textId="77777777" w:rsidR="00A97556" w:rsidRPr="006E31EE" w:rsidRDefault="00A97556" w:rsidP="00A97556">
      <w:pPr>
        <w:suppressAutoHyphens/>
        <w:ind w:left="851"/>
        <w:rPr>
          <w:sz w:val="24"/>
          <w:szCs w:val="24"/>
        </w:rPr>
      </w:pPr>
      <w:r w:rsidRPr="006E31EE">
        <w:rPr>
          <w:sz w:val="24"/>
          <w:szCs w:val="24"/>
        </w:rPr>
        <w:t>Ved uge 24 var den tidsvægtede gennemsnitsændring fra baseline i log</w:t>
      </w:r>
      <w:r w:rsidRPr="006E31EE">
        <w:rPr>
          <w:sz w:val="24"/>
          <w:szCs w:val="24"/>
          <w:vertAlign w:val="subscript"/>
        </w:rPr>
        <w:t>10</w:t>
      </w:r>
      <w:r w:rsidRPr="006E31EE">
        <w:rPr>
          <w:sz w:val="24"/>
          <w:szCs w:val="24"/>
        </w:rPr>
        <w:t xml:space="preserve"> plasma</w:t>
      </w:r>
      <w:r w:rsidRPr="006E31EE">
        <w:rPr>
          <w:sz w:val="24"/>
          <w:szCs w:val="24"/>
        </w:rPr>
        <w:softHyphen/>
        <w:t>koncentrationer af hiv 1-rna-niveauer (DAVG24) -0,03 log</w:t>
      </w:r>
      <w:r w:rsidRPr="006E31EE">
        <w:rPr>
          <w:sz w:val="24"/>
          <w:szCs w:val="24"/>
          <w:vertAlign w:val="subscript"/>
        </w:rPr>
        <w:t>10</w:t>
      </w:r>
      <w:r w:rsidRPr="006E31EE">
        <w:rPr>
          <w:sz w:val="24"/>
          <w:szCs w:val="24"/>
        </w:rPr>
        <w:t xml:space="preserve"> kopier/ml og -0,61 log</w:t>
      </w:r>
      <w:r w:rsidRPr="006E31EE">
        <w:rPr>
          <w:sz w:val="24"/>
          <w:szCs w:val="24"/>
          <w:vertAlign w:val="subscript"/>
        </w:rPr>
        <w:t>10</w:t>
      </w:r>
      <w:r w:rsidRPr="006E31EE">
        <w:rPr>
          <w:sz w:val="24"/>
          <w:szCs w:val="24"/>
        </w:rPr>
        <w:t xml:space="preserve"> kopier/ml for placebogruppen og 245 mg tenofovirdisoproxil-gruppen (p &lt; 0,0001). En statistisk signifikant forskel til gunst for 245 mg tenofovirdisoproxil sås i den tidsvægtede gennemsnitsændring fra baseline efter 24 uger (DAVG24) for CD4-celletallet (+13 celler/mm</w:t>
      </w:r>
      <w:r w:rsidRPr="006E31EE">
        <w:rPr>
          <w:sz w:val="24"/>
          <w:szCs w:val="24"/>
          <w:vertAlign w:val="superscript"/>
        </w:rPr>
        <w:t>3</w:t>
      </w:r>
      <w:r w:rsidRPr="006E31EE">
        <w:rPr>
          <w:sz w:val="24"/>
          <w:szCs w:val="24"/>
        </w:rPr>
        <w:t xml:space="preserve"> for 245 mg tenofovirdisoproxil versus -11 celler/mm</w:t>
      </w:r>
      <w:r w:rsidRPr="006E31EE">
        <w:rPr>
          <w:sz w:val="24"/>
          <w:szCs w:val="24"/>
          <w:vertAlign w:val="superscript"/>
        </w:rPr>
        <w:t xml:space="preserve">3 </w:t>
      </w:r>
      <w:r w:rsidRPr="006E31EE">
        <w:rPr>
          <w:sz w:val="24"/>
          <w:szCs w:val="24"/>
        </w:rPr>
        <w:t>for placebo, p-værdi = 0,0008). Den antivirale respons over for tenofovirdisoproxil holdt sig i 48 uger (DAVG48 var -0,57 log</w:t>
      </w:r>
      <w:r w:rsidRPr="006E31EE">
        <w:rPr>
          <w:sz w:val="24"/>
          <w:szCs w:val="24"/>
          <w:vertAlign w:val="subscript"/>
        </w:rPr>
        <w:t>10</w:t>
      </w:r>
      <w:r w:rsidRPr="006E31EE">
        <w:rPr>
          <w:sz w:val="24"/>
          <w:szCs w:val="24"/>
        </w:rPr>
        <w:t xml:space="preserve"> kopier/ml, procentdelen af patienter med hiv 1-rna under 400 eller 50 kopier/ml var henholdsvis 41 % og 18 %). 8 patienter (2 %) behandlet med 245 mg tenofovirdisoproxil udviklede K65R mutationen inden for de første 48 uger. </w:t>
      </w:r>
    </w:p>
    <w:p w14:paraId="00E5CDD6" w14:textId="77777777" w:rsidR="00A97556" w:rsidRPr="006E31EE" w:rsidRDefault="00A97556" w:rsidP="00A97556">
      <w:pPr>
        <w:suppressAutoHyphens/>
        <w:ind w:left="851" w:hanging="851"/>
        <w:rPr>
          <w:sz w:val="24"/>
          <w:szCs w:val="24"/>
        </w:rPr>
      </w:pPr>
    </w:p>
    <w:p w14:paraId="0B162904" w14:textId="77777777" w:rsidR="00A97556" w:rsidRPr="006E31EE" w:rsidRDefault="00A97556" w:rsidP="00A97556">
      <w:pPr>
        <w:suppressAutoHyphens/>
        <w:ind w:left="851"/>
        <w:rPr>
          <w:sz w:val="24"/>
          <w:szCs w:val="24"/>
        </w:rPr>
      </w:pPr>
      <w:r w:rsidRPr="006E31EE">
        <w:rPr>
          <w:sz w:val="24"/>
          <w:szCs w:val="24"/>
        </w:rPr>
        <w:t>Den 144-ugers, dobbeltblinde, aktivt kontrollerede fase af studie GS-99-903 vurderede effekten og sikkerheden af 245 mg tenofovirdisoproxil versus stavudin ved anvendelse i kombination med lamivudin og efavirenz hos behandlingsnaive hiv 1-inficerede voksne patienter. Det gennemsnitlige CD4-celletal ved baseline var 279 celler/mm</w:t>
      </w:r>
      <w:r w:rsidRPr="006E31EE">
        <w:rPr>
          <w:sz w:val="24"/>
          <w:szCs w:val="24"/>
          <w:vertAlign w:val="superscript"/>
        </w:rPr>
        <w:t>3</w:t>
      </w:r>
      <w:r w:rsidRPr="006E31EE">
        <w:rPr>
          <w:sz w:val="24"/>
          <w:szCs w:val="24"/>
        </w:rPr>
        <w:t>, den gennemsnitlige hiv 1-rna-plasmakoncentration ved baseline var 4,91 log</w:t>
      </w:r>
      <w:r w:rsidRPr="006E31EE">
        <w:rPr>
          <w:sz w:val="24"/>
          <w:szCs w:val="24"/>
          <w:vertAlign w:val="subscript"/>
        </w:rPr>
        <w:t>10</w:t>
      </w:r>
      <w:r w:rsidRPr="006E31EE">
        <w:rPr>
          <w:sz w:val="24"/>
          <w:szCs w:val="24"/>
        </w:rPr>
        <w:t xml:space="preserve"> kopier/ml, 19 % af patienterne havde symptomatisk hiv 1-infektion og 18 % havde aids. Patienter blev stratificeret efter hiv 1-rna og CD4-tal ved baseline. 43 % af patienterne havde en virusmængde ved baseline på &gt; 100.000 kopier/ml og 39 % havde CD4-celletal på &lt; 200 celler/ml. </w:t>
      </w:r>
    </w:p>
    <w:p w14:paraId="6C30409D" w14:textId="77777777" w:rsidR="00A97556" w:rsidRPr="006E31EE" w:rsidRDefault="00A97556" w:rsidP="00A97556">
      <w:pPr>
        <w:suppressAutoHyphens/>
        <w:ind w:left="851" w:hanging="851"/>
        <w:rPr>
          <w:sz w:val="24"/>
          <w:szCs w:val="24"/>
        </w:rPr>
      </w:pPr>
    </w:p>
    <w:p w14:paraId="122BBB4A" w14:textId="77777777" w:rsidR="00A97556" w:rsidRPr="006E31EE" w:rsidRDefault="00A97556" w:rsidP="00A97556">
      <w:pPr>
        <w:suppressAutoHyphens/>
        <w:ind w:left="851"/>
        <w:rPr>
          <w:sz w:val="24"/>
          <w:szCs w:val="24"/>
        </w:rPr>
      </w:pPr>
      <w:r w:rsidRPr="006E31EE">
        <w:rPr>
          <w:sz w:val="24"/>
          <w:szCs w:val="24"/>
        </w:rPr>
        <w:t xml:space="preserve">Ved behandlingsintentionsanalyse (manglende data og skift i antiretroviral behandling (ART) blev betragtet som svigt) var procentdelen af patienter med hiv 1-rna under 400 kopier/ml og 50 kopier/ml i uge 48 af behandlingen henholdsvis 80 % og 76 % i 245 mg tenofovirdisoproxil behandlingsarmen, sammenlignet med 84 % og 80 % i stavudin behandlingsarmen. I uge 144 var procentdelen af patienter med hiv 1-rna under 400 kopier/ml og 50 kopier/ml henholdsvis 71 % og 68 % i 245 mg tenofovirdisoproxil-armen sammenlignet med 64 % og 63 % i stavudinarmen. </w:t>
      </w:r>
    </w:p>
    <w:p w14:paraId="32BCC580" w14:textId="77777777" w:rsidR="00A97556" w:rsidRPr="006E31EE" w:rsidRDefault="00A97556" w:rsidP="00A97556">
      <w:pPr>
        <w:suppressAutoHyphens/>
        <w:ind w:left="851" w:hanging="851"/>
        <w:rPr>
          <w:sz w:val="24"/>
          <w:szCs w:val="24"/>
        </w:rPr>
      </w:pPr>
    </w:p>
    <w:p w14:paraId="0EF17B25" w14:textId="77777777" w:rsidR="00A97556" w:rsidRPr="006E31EE" w:rsidRDefault="00A97556" w:rsidP="00A97556">
      <w:pPr>
        <w:suppressAutoHyphens/>
        <w:ind w:left="851"/>
        <w:rPr>
          <w:sz w:val="24"/>
          <w:szCs w:val="24"/>
        </w:rPr>
      </w:pPr>
      <w:r w:rsidRPr="006E31EE">
        <w:rPr>
          <w:sz w:val="24"/>
          <w:szCs w:val="24"/>
        </w:rPr>
        <w:t>Den gennemsnitlige ændring fra baseline for hiv 1-rna og CD4-tal i uge 48 af behandlingen var næsten ens i begge behandlingsgrupper (-3,09 og -3,09 log</w:t>
      </w:r>
      <w:r w:rsidRPr="006E31EE">
        <w:rPr>
          <w:sz w:val="24"/>
          <w:szCs w:val="24"/>
          <w:vertAlign w:val="subscript"/>
        </w:rPr>
        <w:t>10</w:t>
      </w:r>
      <w:r w:rsidRPr="006E31EE">
        <w:rPr>
          <w:sz w:val="24"/>
          <w:szCs w:val="24"/>
        </w:rPr>
        <w:t xml:space="preserve"> kopier/ml; +169 og 167 celler/mm</w:t>
      </w:r>
      <w:r w:rsidRPr="006E31EE">
        <w:rPr>
          <w:sz w:val="24"/>
          <w:szCs w:val="24"/>
          <w:vertAlign w:val="superscript"/>
        </w:rPr>
        <w:t>3</w:t>
      </w:r>
      <w:r w:rsidRPr="006E31EE">
        <w:rPr>
          <w:sz w:val="24"/>
          <w:szCs w:val="24"/>
        </w:rPr>
        <w:t xml:space="preserve"> i henholdsvis 245 mg tenofovirdisoproxil- og stavudin-gruppen). I uge 144 af behandlingen forblev den gennemsnitlige ændring fra baseline næsten ens i begge behandlingsgrupper (-3,07 og -3,03 log</w:t>
      </w:r>
      <w:r w:rsidRPr="006E31EE">
        <w:rPr>
          <w:sz w:val="24"/>
          <w:szCs w:val="24"/>
          <w:vertAlign w:val="subscript"/>
        </w:rPr>
        <w:t xml:space="preserve">10 </w:t>
      </w:r>
      <w:r w:rsidRPr="006E31EE">
        <w:rPr>
          <w:sz w:val="24"/>
          <w:szCs w:val="24"/>
        </w:rPr>
        <w:t>kopier/ml; +263 og +283 celler/mm</w:t>
      </w:r>
      <w:r w:rsidRPr="006E31EE">
        <w:rPr>
          <w:sz w:val="24"/>
          <w:szCs w:val="24"/>
          <w:vertAlign w:val="superscript"/>
        </w:rPr>
        <w:t>3</w:t>
      </w:r>
      <w:r w:rsidRPr="006E31EE">
        <w:rPr>
          <w:sz w:val="24"/>
          <w:szCs w:val="24"/>
        </w:rPr>
        <w:t xml:space="preserve"> i henholdsvis 245 mg tenofovirdisoproxil- og stavudin-gruppen). En konsistent respons på behandling med 245 mg tenofovirdisoproxil sås uden hensyn til hiv 1-rna og CD4-tal ved baseline. </w:t>
      </w:r>
    </w:p>
    <w:p w14:paraId="610E0465" w14:textId="77777777" w:rsidR="00A97556" w:rsidRPr="006E31EE" w:rsidRDefault="00A97556" w:rsidP="00A97556">
      <w:pPr>
        <w:suppressAutoHyphens/>
        <w:ind w:left="851" w:hanging="851"/>
        <w:rPr>
          <w:sz w:val="24"/>
          <w:szCs w:val="24"/>
        </w:rPr>
      </w:pPr>
    </w:p>
    <w:p w14:paraId="71CB7B3E" w14:textId="77777777" w:rsidR="00A97556" w:rsidRPr="006E31EE" w:rsidRDefault="00A97556" w:rsidP="00A97556">
      <w:pPr>
        <w:suppressAutoHyphens/>
        <w:ind w:left="851"/>
        <w:rPr>
          <w:sz w:val="24"/>
          <w:szCs w:val="24"/>
        </w:rPr>
      </w:pPr>
      <w:r w:rsidRPr="006E31EE">
        <w:rPr>
          <w:sz w:val="24"/>
          <w:szCs w:val="24"/>
        </w:rPr>
        <w:t xml:space="preserve">K65R-mutationen sås hos en lidt højere procentdel af patienter i tenofovirdisoproxil-gruppen end den aktive kontrolgruppe (2,7 % versus 0,7 %). Efavirenz- eller lamivudinresistens opstod enten forud for eller samtidig med udviklingen af K65R i alle </w:t>
      </w:r>
      <w:r w:rsidRPr="006E31EE">
        <w:rPr>
          <w:sz w:val="24"/>
          <w:szCs w:val="24"/>
        </w:rPr>
        <w:lastRenderedPageBreak/>
        <w:t xml:space="preserve">tilfælde. 8 patienter i 245 mg tenofovirdisoproxil-armen havde hiv med K65R-mutation, 7 af disse opstod i løbet af de første 48 uger af behandlingen og den sidste i uge 96. Der blev ikke observeret yderligere udvikling af K65R op til uge 144. En patient i armen med tenofovirdisoproxil udviklede K70E-substitutionen i virusset. Fra både genotype- og fænotypeanalyser har der ikke været nogen tegn på andre veje for resistens over for tenofovir. </w:t>
      </w:r>
    </w:p>
    <w:p w14:paraId="2643F096" w14:textId="77777777" w:rsidR="00A97556" w:rsidRPr="006E31EE" w:rsidRDefault="00A97556" w:rsidP="00A97556">
      <w:pPr>
        <w:suppressAutoHyphens/>
        <w:ind w:left="851" w:hanging="851"/>
        <w:rPr>
          <w:sz w:val="24"/>
          <w:szCs w:val="24"/>
        </w:rPr>
      </w:pPr>
    </w:p>
    <w:p w14:paraId="17717619" w14:textId="77777777" w:rsidR="00A97556" w:rsidRPr="006E31EE" w:rsidRDefault="00A97556" w:rsidP="00A97556">
      <w:pPr>
        <w:suppressAutoHyphens/>
        <w:ind w:left="851"/>
        <w:rPr>
          <w:i/>
          <w:sz w:val="24"/>
          <w:szCs w:val="24"/>
        </w:rPr>
      </w:pPr>
      <w:r w:rsidRPr="006E31EE">
        <w:rPr>
          <w:i/>
          <w:sz w:val="24"/>
          <w:szCs w:val="24"/>
        </w:rPr>
        <w:t xml:space="preserve">Data vedrørende HBV </w:t>
      </w:r>
    </w:p>
    <w:p w14:paraId="76CC5B1F" w14:textId="77777777" w:rsidR="00A97556" w:rsidRPr="006E31EE" w:rsidRDefault="00A97556" w:rsidP="00A97556">
      <w:pPr>
        <w:suppressAutoHyphens/>
        <w:ind w:left="851"/>
        <w:rPr>
          <w:i/>
          <w:sz w:val="24"/>
          <w:szCs w:val="24"/>
        </w:rPr>
      </w:pPr>
      <w:r w:rsidRPr="006E31EE">
        <w:rPr>
          <w:i/>
          <w:sz w:val="24"/>
          <w:szCs w:val="24"/>
        </w:rPr>
        <w:t>HBV-antiviral aktivitet in vitro</w:t>
      </w:r>
      <w:r w:rsidRPr="006E31EE">
        <w:rPr>
          <w:sz w:val="24"/>
          <w:szCs w:val="24"/>
        </w:rPr>
        <w:t>:</w:t>
      </w:r>
      <w:r w:rsidRPr="006E31EE">
        <w:rPr>
          <w:i/>
          <w:sz w:val="24"/>
          <w:szCs w:val="24"/>
        </w:rPr>
        <w:t xml:space="preserve"> </w:t>
      </w:r>
      <w:r w:rsidRPr="006E31EE">
        <w:rPr>
          <w:sz w:val="24"/>
          <w:szCs w:val="24"/>
        </w:rPr>
        <w:t>Tenofovirs antivirale aktivitet in vitro over for HBV blev vurderet i cellelinjen HepG2 2.2.15. EC</w:t>
      </w:r>
      <w:r w:rsidRPr="006E31EE">
        <w:rPr>
          <w:sz w:val="24"/>
          <w:szCs w:val="24"/>
          <w:vertAlign w:val="subscript"/>
        </w:rPr>
        <w:t>50</w:t>
      </w:r>
      <w:r w:rsidRPr="006E31EE">
        <w:rPr>
          <w:sz w:val="24"/>
          <w:szCs w:val="24"/>
        </w:rPr>
        <w:t>-værdierne for tenofovir var inden for intervallet 0,14 til 1,5 μmol/l med CC</w:t>
      </w:r>
      <w:r w:rsidRPr="006E31EE">
        <w:rPr>
          <w:sz w:val="24"/>
          <w:szCs w:val="24"/>
          <w:vertAlign w:val="subscript"/>
        </w:rPr>
        <w:t>50</w:t>
      </w:r>
      <w:r w:rsidRPr="006E31EE">
        <w:rPr>
          <w:sz w:val="24"/>
          <w:szCs w:val="24"/>
        </w:rPr>
        <w:t xml:space="preserve">-værdier (50 % cytotoksisk koncentration) &gt;100 μmol/l. </w:t>
      </w:r>
    </w:p>
    <w:p w14:paraId="18D09D64" w14:textId="77777777" w:rsidR="00A97556" w:rsidRPr="006E31EE" w:rsidRDefault="00A97556" w:rsidP="00A97556">
      <w:pPr>
        <w:suppressAutoHyphens/>
        <w:ind w:left="851" w:hanging="851"/>
        <w:rPr>
          <w:sz w:val="24"/>
          <w:szCs w:val="24"/>
        </w:rPr>
      </w:pPr>
    </w:p>
    <w:p w14:paraId="1632B2D0" w14:textId="77777777" w:rsidR="00A97556" w:rsidRPr="006E31EE" w:rsidRDefault="00A97556" w:rsidP="00A97556">
      <w:pPr>
        <w:suppressAutoHyphens/>
        <w:ind w:left="851"/>
        <w:rPr>
          <w:sz w:val="24"/>
          <w:szCs w:val="24"/>
        </w:rPr>
      </w:pPr>
      <w:r w:rsidRPr="006E31EE">
        <w:rPr>
          <w:i/>
          <w:sz w:val="24"/>
          <w:szCs w:val="24"/>
        </w:rPr>
        <w:t>Resistens</w:t>
      </w:r>
      <w:r w:rsidRPr="006E31EE">
        <w:rPr>
          <w:sz w:val="24"/>
          <w:szCs w:val="24"/>
        </w:rPr>
        <w:t>: Der er ikke blevet identificeret nogen HBV-mutationer med relation til tenofovirdisoproxil-resistens (se ”Klinisk virkning og sikkerhed”). I cellebaserede assays med HBV-stammer med rtV173L-, rtL180M- og rtM204I/V-mutationer med relation til lamivudin- og telbivudinresistens påvistes en følsomhed over for tenofovir fra 0,7 til 3,4 gange den for vildtypevirus. HBV-stammer med rtL180M-, rtT184G-, rtS202G/I-, rtM204V- og rtM250V-mutationer med relation til entecavirresistens udviste en følsomhed over for tenofovir fra 0,6 til 6,9 gange den for vildtypevirus. HBV-stammer med rtA181V- og rtN236T-mutationer med relation til adefovirresistens udviste en følsomhed over for tenofovir fra 2,9 til 10 gange den for vildtypevirus. Virus, som indeholdt rtA181T-mutatationen, forblev følsomme over for tenofovir med EC</w:t>
      </w:r>
      <w:r w:rsidRPr="006E31EE">
        <w:rPr>
          <w:sz w:val="24"/>
          <w:szCs w:val="24"/>
          <w:vertAlign w:val="subscript"/>
        </w:rPr>
        <w:t>50</w:t>
      </w:r>
      <w:r w:rsidRPr="006E31EE">
        <w:rPr>
          <w:sz w:val="24"/>
          <w:szCs w:val="24"/>
        </w:rPr>
        <w:t>-værdier på 1,5 gange den for vildtypevirus.</w:t>
      </w:r>
    </w:p>
    <w:p w14:paraId="320292DB" w14:textId="77777777" w:rsidR="00A97556" w:rsidRPr="006E31EE" w:rsidRDefault="00A97556" w:rsidP="00A97556">
      <w:pPr>
        <w:suppressAutoHyphens/>
        <w:ind w:left="851" w:hanging="851"/>
        <w:rPr>
          <w:sz w:val="24"/>
          <w:szCs w:val="24"/>
        </w:rPr>
      </w:pPr>
    </w:p>
    <w:p w14:paraId="27C8A55D" w14:textId="77777777" w:rsidR="00A97556" w:rsidRPr="006E31EE" w:rsidRDefault="00A97556" w:rsidP="00A97556">
      <w:pPr>
        <w:suppressAutoHyphens/>
        <w:ind w:left="851"/>
        <w:rPr>
          <w:sz w:val="24"/>
          <w:szCs w:val="24"/>
          <w:u w:val="single"/>
        </w:rPr>
      </w:pPr>
      <w:r w:rsidRPr="006E31EE">
        <w:rPr>
          <w:sz w:val="24"/>
          <w:szCs w:val="24"/>
          <w:u w:val="single"/>
        </w:rPr>
        <w:t xml:space="preserve">Klinisk virkning og sikkerhed </w:t>
      </w:r>
    </w:p>
    <w:p w14:paraId="577CB767" w14:textId="77777777" w:rsidR="00A97556" w:rsidRPr="006E31EE" w:rsidRDefault="00A97556" w:rsidP="00A97556">
      <w:pPr>
        <w:suppressAutoHyphens/>
        <w:ind w:left="851"/>
        <w:rPr>
          <w:sz w:val="24"/>
          <w:szCs w:val="24"/>
        </w:rPr>
      </w:pPr>
      <w:r w:rsidRPr="006E31EE">
        <w:rPr>
          <w:sz w:val="24"/>
          <w:szCs w:val="24"/>
        </w:rPr>
        <w:t xml:space="preserve">Påvisningen af tenofovirdisoproxils gavnlige effekt på kompenseret og dekompenseret sygdom er baseret på virologisk, biokemisk og serologisk respons hos voksne med HBeAg-positiv og HBeAg-negativ kronisk hepatitis B. Behandlede patienter omfattede behandlingsnaive, lamivudinerfarne og adefovirdipivoxilerfarne patienter samt patienter med lamivudin- og/eller adefovirdipivoxilresistens-mutationer ved baseline. Der er også blevet påvist gavnlig effekt, baseret på histologisk respons hos kompenserede patienter. </w:t>
      </w:r>
    </w:p>
    <w:p w14:paraId="6694C35B" w14:textId="77777777" w:rsidR="00A97556" w:rsidRPr="006E31EE" w:rsidRDefault="00A97556" w:rsidP="00A97556">
      <w:pPr>
        <w:suppressAutoHyphens/>
        <w:ind w:left="851" w:hanging="851"/>
        <w:rPr>
          <w:sz w:val="24"/>
          <w:szCs w:val="24"/>
        </w:rPr>
      </w:pPr>
    </w:p>
    <w:p w14:paraId="74176B33" w14:textId="77777777" w:rsidR="00A97556" w:rsidRPr="006E31EE" w:rsidRDefault="00A97556" w:rsidP="00A97556">
      <w:pPr>
        <w:suppressAutoHyphens/>
        <w:ind w:left="851"/>
        <w:rPr>
          <w:i/>
          <w:sz w:val="24"/>
          <w:szCs w:val="24"/>
        </w:rPr>
      </w:pPr>
      <w:r w:rsidRPr="006E31EE">
        <w:rPr>
          <w:i/>
          <w:sz w:val="24"/>
          <w:szCs w:val="24"/>
        </w:rPr>
        <w:t xml:space="preserve">Erfaring hos patienter med kompenseret leversygdom i uge 48 (studie GS-US-174-0102 og GS-US-174-0103) </w:t>
      </w:r>
    </w:p>
    <w:p w14:paraId="41786802" w14:textId="77777777" w:rsidR="00A97556" w:rsidRPr="006E31EE" w:rsidRDefault="00A97556" w:rsidP="00A97556">
      <w:pPr>
        <w:suppressAutoHyphens/>
        <w:ind w:left="851"/>
        <w:rPr>
          <w:sz w:val="24"/>
          <w:szCs w:val="24"/>
        </w:rPr>
      </w:pPr>
      <w:r w:rsidRPr="006E31EE">
        <w:rPr>
          <w:sz w:val="24"/>
          <w:szCs w:val="24"/>
        </w:rPr>
        <w:t xml:space="preserve">Resultater gennem 48 uger fra to randomiserede, dobbeltblinde fase 3-studier, som sammenlignede tenofovirdisoproxil med adefovirdipivoxil hos voksne patienter med kompenseret leversygdom, vises i tabel 3 nedenfor. Studie GS-US-174-0103 blev udført med 266 (randomiserede og behandlede) HBeAg-positive patienter, mens studie GS-US-174-0102 blev udført med 375 (randomiserede og behandlede) patienter, som var HBeAg-negative og HBeAb-positive. </w:t>
      </w:r>
    </w:p>
    <w:p w14:paraId="433ADE88" w14:textId="77777777" w:rsidR="00A97556" w:rsidRPr="006E31EE" w:rsidRDefault="00A97556" w:rsidP="00A97556">
      <w:pPr>
        <w:suppressAutoHyphens/>
        <w:ind w:left="851" w:hanging="851"/>
        <w:rPr>
          <w:sz w:val="24"/>
          <w:szCs w:val="24"/>
        </w:rPr>
      </w:pPr>
    </w:p>
    <w:p w14:paraId="4477DE06" w14:textId="77777777" w:rsidR="00A97556" w:rsidRPr="006E31EE" w:rsidRDefault="00A97556" w:rsidP="00A97556">
      <w:pPr>
        <w:suppressAutoHyphens/>
        <w:ind w:left="851"/>
        <w:rPr>
          <w:sz w:val="24"/>
          <w:szCs w:val="24"/>
        </w:rPr>
      </w:pPr>
      <w:r w:rsidRPr="006E31EE">
        <w:rPr>
          <w:sz w:val="24"/>
          <w:szCs w:val="24"/>
        </w:rPr>
        <w:t>I begge disse studier var tenofovirdisoproxil signifikant bedre end adefovirdipivoxil med hensyn til det primære virkningsendepunkt, som var komplet respons (defineret som HBV-dna-niveauer &lt;400 kopier/ml og en forbedring af Knodells nekroinflammatoriske score på mindst 2 points uden forværring af Knodells fibrosescore). Behandlingen med 245 mg tenofovirdisoproxil var også forbundet med signifikant større andele af patienter med HBV-dna &lt;400 kopier/ml sammenlignet med behandlingen med 10 mg adefovirdipivoxil. Begge behandlinger producerede lignende resultater med hensyn til histologisk respons (defineret som en forbedring af Knodells nekroinflammatoriske score på mindst 2 points uden forværring af Knodells fibrosescore) ved uge 48 (se tabel 3 nedenfor).</w:t>
      </w:r>
    </w:p>
    <w:p w14:paraId="458D651F" w14:textId="77777777" w:rsidR="00A97556" w:rsidRPr="006E31EE" w:rsidRDefault="00A97556" w:rsidP="00A97556">
      <w:pPr>
        <w:suppressAutoHyphens/>
        <w:ind w:left="851" w:hanging="851"/>
        <w:rPr>
          <w:sz w:val="24"/>
          <w:szCs w:val="24"/>
        </w:rPr>
      </w:pPr>
    </w:p>
    <w:p w14:paraId="5C6D210A" w14:textId="77777777" w:rsidR="00A97556" w:rsidRPr="006E31EE" w:rsidRDefault="00A97556" w:rsidP="00A97556">
      <w:pPr>
        <w:suppressAutoHyphens/>
        <w:ind w:left="851"/>
        <w:rPr>
          <w:sz w:val="24"/>
          <w:szCs w:val="24"/>
        </w:rPr>
      </w:pPr>
      <w:r w:rsidRPr="006E31EE">
        <w:rPr>
          <w:sz w:val="24"/>
          <w:szCs w:val="24"/>
        </w:rPr>
        <w:lastRenderedPageBreak/>
        <w:t>I studie GS-US-174-0103 var der en signifikant større andel af patienterne i tenofovirdisoproxil-gruppen, der havde normaliseret ALAT og opnået tab af HBsAg ved uge 48 end i adefovirdipivoxil-gruppen (se tabel 3 nedenfor).</w:t>
      </w:r>
    </w:p>
    <w:p w14:paraId="542F5F44" w14:textId="7B5275DE" w:rsidR="00A97556" w:rsidRPr="006E31EE" w:rsidRDefault="00A97556" w:rsidP="00A25ECF">
      <w:pPr>
        <w:rPr>
          <w:sz w:val="24"/>
          <w:szCs w:val="24"/>
        </w:rPr>
      </w:pPr>
    </w:p>
    <w:p w14:paraId="790C8B7F" w14:textId="77777777" w:rsidR="003228A3" w:rsidRDefault="003228A3" w:rsidP="003228A3">
      <w:pPr>
        <w:suppressAutoHyphens/>
        <w:rPr>
          <w:b/>
          <w:sz w:val="24"/>
          <w:szCs w:val="24"/>
        </w:rPr>
      </w:pPr>
      <w:r>
        <w:rPr>
          <w:b/>
          <w:sz w:val="24"/>
          <w:szCs w:val="24"/>
        </w:rPr>
        <w:t>Tabel 3: Virkningsparametre hos kompenserede HBeAg-negative og HBeAg-positive patienter i uge 48</w:t>
      </w:r>
    </w:p>
    <w:p w14:paraId="71507EF2" w14:textId="77777777" w:rsidR="003228A3" w:rsidRDefault="003228A3" w:rsidP="003228A3">
      <w:pPr>
        <w:suppressAutoHyphens/>
        <w:ind w:left="851" w:hanging="851"/>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2211"/>
        <w:gridCol w:w="1918"/>
        <w:gridCol w:w="2109"/>
        <w:gridCol w:w="1918"/>
      </w:tblGrid>
      <w:tr w:rsidR="003228A3" w14:paraId="531B4E7E" w14:textId="77777777" w:rsidTr="003228A3">
        <w:tc>
          <w:tcPr>
            <w:tcW w:w="765" w:type="pct"/>
            <w:tcBorders>
              <w:top w:val="single" w:sz="4" w:space="0" w:color="auto"/>
              <w:left w:val="single" w:sz="4" w:space="0" w:color="auto"/>
              <w:bottom w:val="single" w:sz="4" w:space="0" w:color="auto"/>
              <w:right w:val="single" w:sz="4" w:space="0" w:color="auto"/>
            </w:tcBorders>
          </w:tcPr>
          <w:p w14:paraId="3822F4D6" w14:textId="77777777" w:rsidR="003228A3" w:rsidRDefault="003228A3">
            <w:pPr>
              <w:jc w:val="center"/>
              <w:rPr>
                <w:b/>
                <w:sz w:val="22"/>
                <w:szCs w:val="22"/>
              </w:rPr>
            </w:pPr>
          </w:p>
        </w:tc>
        <w:tc>
          <w:tcPr>
            <w:tcW w:w="2144" w:type="pct"/>
            <w:gridSpan w:val="2"/>
            <w:tcBorders>
              <w:top w:val="single" w:sz="4" w:space="0" w:color="auto"/>
              <w:left w:val="single" w:sz="4" w:space="0" w:color="auto"/>
              <w:bottom w:val="single" w:sz="4" w:space="0" w:color="auto"/>
              <w:right w:val="single" w:sz="4" w:space="0" w:color="auto"/>
            </w:tcBorders>
            <w:hideMark/>
          </w:tcPr>
          <w:p w14:paraId="30179760" w14:textId="77777777" w:rsidR="003228A3" w:rsidRDefault="003228A3">
            <w:pPr>
              <w:jc w:val="center"/>
              <w:rPr>
                <w:b/>
                <w:sz w:val="22"/>
                <w:szCs w:val="22"/>
              </w:rPr>
            </w:pPr>
            <w:r>
              <w:rPr>
                <w:b/>
                <w:bCs/>
                <w:sz w:val="22"/>
                <w:szCs w:val="22"/>
              </w:rPr>
              <w:t>Studie 174-0102 (HBeAg-negativ)</w:t>
            </w:r>
          </w:p>
        </w:tc>
        <w:tc>
          <w:tcPr>
            <w:tcW w:w="2091" w:type="pct"/>
            <w:gridSpan w:val="2"/>
            <w:tcBorders>
              <w:top w:val="single" w:sz="4" w:space="0" w:color="auto"/>
              <w:left w:val="single" w:sz="4" w:space="0" w:color="auto"/>
              <w:bottom w:val="single" w:sz="4" w:space="0" w:color="auto"/>
              <w:right w:val="single" w:sz="4" w:space="0" w:color="auto"/>
            </w:tcBorders>
            <w:hideMark/>
          </w:tcPr>
          <w:p w14:paraId="14170B5B" w14:textId="77777777" w:rsidR="003228A3" w:rsidRDefault="003228A3">
            <w:pPr>
              <w:jc w:val="center"/>
              <w:rPr>
                <w:b/>
                <w:sz w:val="22"/>
                <w:szCs w:val="22"/>
              </w:rPr>
            </w:pPr>
            <w:r>
              <w:rPr>
                <w:b/>
                <w:bCs/>
                <w:sz w:val="22"/>
                <w:szCs w:val="22"/>
              </w:rPr>
              <w:t>Studie 174-0103 (HBeAg-positiv)</w:t>
            </w:r>
          </w:p>
        </w:tc>
      </w:tr>
      <w:tr w:rsidR="003228A3" w14:paraId="3887BC74" w14:textId="77777777" w:rsidTr="003228A3">
        <w:tc>
          <w:tcPr>
            <w:tcW w:w="765" w:type="pct"/>
            <w:tcBorders>
              <w:top w:val="single" w:sz="4" w:space="0" w:color="auto"/>
              <w:left w:val="single" w:sz="4" w:space="0" w:color="auto"/>
              <w:bottom w:val="single" w:sz="4" w:space="0" w:color="auto"/>
              <w:right w:val="single" w:sz="4" w:space="0" w:color="auto"/>
            </w:tcBorders>
            <w:vAlign w:val="center"/>
            <w:hideMark/>
          </w:tcPr>
          <w:p w14:paraId="599F0699" w14:textId="77777777" w:rsidR="003228A3" w:rsidRDefault="003228A3">
            <w:pPr>
              <w:rPr>
                <w:sz w:val="22"/>
                <w:szCs w:val="22"/>
                <w:lang w:eastAsia="da-DK"/>
              </w:rPr>
            </w:pPr>
            <w:r>
              <w:rPr>
                <w:sz w:val="22"/>
                <w:szCs w:val="22"/>
                <w:lang w:eastAsia="da-DK"/>
              </w:rPr>
              <w:t>Parameter</w:t>
            </w:r>
          </w:p>
        </w:tc>
        <w:tc>
          <w:tcPr>
            <w:tcW w:w="1148" w:type="pct"/>
            <w:tcBorders>
              <w:top w:val="single" w:sz="4" w:space="0" w:color="auto"/>
              <w:left w:val="single" w:sz="4" w:space="0" w:color="auto"/>
              <w:bottom w:val="single" w:sz="4" w:space="0" w:color="auto"/>
              <w:right w:val="single" w:sz="4" w:space="0" w:color="auto"/>
            </w:tcBorders>
            <w:hideMark/>
          </w:tcPr>
          <w:p w14:paraId="44CCF8B8" w14:textId="77777777" w:rsidR="003228A3" w:rsidRDefault="003228A3">
            <w:pPr>
              <w:jc w:val="center"/>
              <w:rPr>
                <w:sz w:val="22"/>
                <w:szCs w:val="22"/>
              </w:rPr>
            </w:pPr>
            <w:r>
              <w:rPr>
                <w:sz w:val="22"/>
                <w:szCs w:val="22"/>
              </w:rPr>
              <w:t>245 mg tenofovirdisoproxil</w:t>
            </w:r>
          </w:p>
          <w:p w14:paraId="066E7C38" w14:textId="77777777" w:rsidR="003228A3" w:rsidRDefault="003228A3">
            <w:pPr>
              <w:jc w:val="center"/>
              <w:rPr>
                <w:sz w:val="22"/>
                <w:szCs w:val="22"/>
                <w:lang w:eastAsia="da-DK"/>
              </w:rPr>
            </w:pPr>
            <w:r>
              <w:rPr>
                <w:sz w:val="22"/>
                <w:szCs w:val="22"/>
                <w:lang w:eastAsia="da-DK"/>
              </w:rPr>
              <w:t>n = 250</w:t>
            </w:r>
          </w:p>
        </w:tc>
        <w:tc>
          <w:tcPr>
            <w:tcW w:w="996" w:type="pct"/>
            <w:tcBorders>
              <w:top w:val="single" w:sz="4" w:space="0" w:color="auto"/>
              <w:left w:val="single" w:sz="4" w:space="0" w:color="auto"/>
              <w:bottom w:val="single" w:sz="4" w:space="0" w:color="auto"/>
              <w:right w:val="single" w:sz="4" w:space="0" w:color="auto"/>
            </w:tcBorders>
            <w:hideMark/>
          </w:tcPr>
          <w:p w14:paraId="57A02DDC" w14:textId="77777777" w:rsidR="003228A3" w:rsidRDefault="003228A3">
            <w:pPr>
              <w:jc w:val="center"/>
              <w:rPr>
                <w:sz w:val="22"/>
                <w:szCs w:val="22"/>
              </w:rPr>
            </w:pPr>
            <w:r>
              <w:rPr>
                <w:sz w:val="22"/>
                <w:szCs w:val="22"/>
              </w:rPr>
              <w:t>10 mg adefovirdipivoxil</w:t>
            </w:r>
          </w:p>
          <w:p w14:paraId="370C2FA2" w14:textId="77777777" w:rsidR="003228A3" w:rsidRDefault="003228A3">
            <w:pPr>
              <w:jc w:val="center"/>
              <w:rPr>
                <w:sz w:val="22"/>
                <w:szCs w:val="22"/>
                <w:lang w:eastAsia="da-DK"/>
              </w:rPr>
            </w:pPr>
            <w:r>
              <w:rPr>
                <w:sz w:val="22"/>
                <w:szCs w:val="22"/>
                <w:lang w:eastAsia="da-DK"/>
              </w:rPr>
              <w:t>n = 125</w:t>
            </w:r>
          </w:p>
        </w:tc>
        <w:tc>
          <w:tcPr>
            <w:tcW w:w="1095" w:type="pct"/>
            <w:tcBorders>
              <w:top w:val="single" w:sz="4" w:space="0" w:color="auto"/>
              <w:left w:val="single" w:sz="4" w:space="0" w:color="auto"/>
              <w:bottom w:val="single" w:sz="4" w:space="0" w:color="auto"/>
              <w:right w:val="single" w:sz="4" w:space="0" w:color="auto"/>
            </w:tcBorders>
            <w:hideMark/>
          </w:tcPr>
          <w:p w14:paraId="698C241A" w14:textId="77777777" w:rsidR="003228A3" w:rsidRDefault="003228A3">
            <w:pPr>
              <w:jc w:val="center"/>
              <w:rPr>
                <w:sz w:val="22"/>
                <w:szCs w:val="22"/>
              </w:rPr>
            </w:pPr>
            <w:r>
              <w:rPr>
                <w:sz w:val="22"/>
                <w:szCs w:val="22"/>
              </w:rPr>
              <w:t>245 mg tenofovirdisoproxil</w:t>
            </w:r>
          </w:p>
          <w:p w14:paraId="4051F9DF" w14:textId="77777777" w:rsidR="003228A3" w:rsidRDefault="003228A3">
            <w:pPr>
              <w:jc w:val="center"/>
              <w:rPr>
                <w:sz w:val="22"/>
                <w:szCs w:val="22"/>
                <w:lang w:eastAsia="da-DK"/>
              </w:rPr>
            </w:pPr>
            <w:r>
              <w:rPr>
                <w:sz w:val="22"/>
                <w:szCs w:val="22"/>
                <w:lang w:eastAsia="da-DK"/>
              </w:rPr>
              <w:t>n = 176</w:t>
            </w:r>
          </w:p>
        </w:tc>
        <w:tc>
          <w:tcPr>
            <w:tcW w:w="996" w:type="pct"/>
            <w:tcBorders>
              <w:top w:val="single" w:sz="4" w:space="0" w:color="auto"/>
              <w:left w:val="single" w:sz="4" w:space="0" w:color="auto"/>
              <w:bottom w:val="single" w:sz="4" w:space="0" w:color="auto"/>
              <w:right w:val="single" w:sz="4" w:space="0" w:color="auto"/>
            </w:tcBorders>
            <w:hideMark/>
          </w:tcPr>
          <w:p w14:paraId="23EBC697" w14:textId="77777777" w:rsidR="003228A3" w:rsidRDefault="003228A3">
            <w:pPr>
              <w:jc w:val="center"/>
              <w:rPr>
                <w:sz w:val="22"/>
                <w:szCs w:val="22"/>
              </w:rPr>
            </w:pPr>
            <w:r>
              <w:rPr>
                <w:sz w:val="22"/>
                <w:szCs w:val="22"/>
              </w:rPr>
              <w:t>10 mg adefovirdipivoxil</w:t>
            </w:r>
          </w:p>
          <w:p w14:paraId="272E5BE2" w14:textId="77777777" w:rsidR="003228A3" w:rsidRDefault="003228A3">
            <w:pPr>
              <w:jc w:val="center"/>
              <w:rPr>
                <w:sz w:val="22"/>
                <w:szCs w:val="22"/>
                <w:lang w:eastAsia="da-DK"/>
              </w:rPr>
            </w:pPr>
            <w:r>
              <w:rPr>
                <w:sz w:val="22"/>
                <w:szCs w:val="22"/>
                <w:lang w:eastAsia="da-DK"/>
              </w:rPr>
              <w:t>n = 90</w:t>
            </w:r>
          </w:p>
        </w:tc>
      </w:tr>
      <w:tr w:rsidR="003228A3" w14:paraId="56ABB6D5" w14:textId="77777777" w:rsidTr="003228A3">
        <w:tc>
          <w:tcPr>
            <w:tcW w:w="765" w:type="pct"/>
            <w:tcBorders>
              <w:top w:val="single" w:sz="4" w:space="0" w:color="auto"/>
              <w:left w:val="single" w:sz="4" w:space="0" w:color="auto"/>
              <w:bottom w:val="single" w:sz="4" w:space="0" w:color="auto"/>
              <w:right w:val="single" w:sz="4" w:space="0" w:color="auto"/>
            </w:tcBorders>
            <w:hideMark/>
          </w:tcPr>
          <w:p w14:paraId="4A556F54" w14:textId="77777777" w:rsidR="003228A3" w:rsidRDefault="003228A3">
            <w:pPr>
              <w:rPr>
                <w:b/>
                <w:sz w:val="22"/>
                <w:szCs w:val="22"/>
                <w:lang w:eastAsia="da-DK"/>
              </w:rPr>
            </w:pPr>
            <w:r>
              <w:rPr>
                <w:b/>
                <w:sz w:val="22"/>
                <w:szCs w:val="22"/>
                <w:lang w:eastAsia="da-DK"/>
              </w:rPr>
              <w:t>Komplet respons</w:t>
            </w:r>
          </w:p>
          <w:p w14:paraId="4A9CC467" w14:textId="77777777" w:rsidR="003228A3" w:rsidRDefault="003228A3">
            <w:pPr>
              <w:rPr>
                <w:sz w:val="22"/>
                <w:szCs w:val="22"/>
                <w:lang w:eastAsia="da-DK"/>
              </w:rPr>
            </w:pPr>
            <w:r>
              <w:rPr>
                <w:b/>
                <w:sz w:val="22"/>
                <w:szCs w:val="22"/>
                <w:lang w:eastAsia="da-DK"/>
              </w:rPr>
              <w:t>(</w:t>
            </w:r>
            <w:proofErr w:type="gramStart"/>
            <w:r>
              <w:rPr>
                <w:b/>
                <w:sz w:val="22"/>
                <w:szCs w:val="22"/>
                <w:lang w:eastAsia="da-DK"/>
              </w:rPr>
              <w:t>%)</w:t>
            </w:r>
            <w:r>
              <w:rPr>
                <w:b/>
                <w:sz w:val="22"/>
                <w:szCs w:val="22"/>
                <w:vertAlign w:val="superscript"/>
                <w:lang w:eastAsia="da-DK"/>
              </w:rPr>
              <w:t>a</w:t>
            </w:r>
            <w:proofErr w:type="gramEnd"/>
          </w:p>
        </w:tc>
        <w:tc>
          <w:tcPr>
            <w:tcW w:w="1148" w:type="pct"/>
            <w:tcBorders>
              <w:top w:val="single" w:sz="4" w:space="0" w:color="auto"/>
              <w:left w:val="single" w:sz="4" w:space="0" w:color="auto"/>
              <w:bottom w:val="single" w:sz="4" w:space="0" w:color="auto"/>
              <w:right w:val="single" w:sz="4" w:space="0" w:color="auto"/>
            </w:tcBorders>
            <w:hideMark/>
          </w:tcPr>
          <w:p w14:paraId="7B2789EB" w14:textId="77777777" w:rsidR="003228A3" w:rsidRDefault="003228A3">
            <w:pPr>
              <w:jc w:val="center"/>
              <w:rPr>
                <w:sz w:val="22"/>
                <w:szCs w:val="22"/>
                <w:lang w:eastAsia="da-DK"/>
              </w:rPr>
            </w:pPr>
            <w:r>
              <w:rPr>
                <w:sz w:val="22"/>
                <w:szCs w:val="22"/>
                <w:lang w:eastAsia="da-DK"/>
              </w:rPr>
              <w:t>71*</w:t>
            </w:r>
          </w:p>
        </w:tc>
        <w:tc>
          <w:tcPr>
            <w:tcW w:w="996" w:type="pct"/>
            <w:tcBorders>
              <w:top w:val="single" w:sz="4" w:space="0" w:color="auto"/>
              <w:left w:val="single" w:sz="4" w:space="0" w:color="auto"/>
              <w:bottom w:val="single" w:sz="4" w:space="0" w:color="auto"/>
              <w:right w:val="single" w:sz="4" w:space="0" w:color="auto"/>
            </w:tcBorders>
            <w:hideMark/>
          </w:tcPr>
          <w:p w14:paraId="36E2E8CB" w14:textId="77777777" w:rsidR="003228A3" w:rsidRDefault="003228A3">
            <w:pPr>
              <w:jc w:val="center"/>
              <w:rPr>
                <w:sz w:val="22"/>
                <w:szCs w:val="22"/>
                <w:lang w:eastAsia="da-DK"/>
              </w:rPr>
            </w:pPr>
            <w:r>
              <w:rPr>
                <w:sz w:val="22"/>
                <w:szCs w:val="22"/>
                <w:lang w:eastAsia="da-DK"/>
              </w:rPr>
              <w:t>49</w:t>
            </w:r>
          </w:p>
        </w:tc>
        <w:tc>
          <w:tcPr>
            <w:tcW w:w="1095" w:type="pct"/>
            <w:tcBorders>
              <w:top w:val="single" w:sz="4" w:space="0" w:color="auto"/>
              <w:left w:val="single" w:sz="4" w:space="0" w:color="auto"/>
              <w:bottom w:val="single" w:sz="4" w:space="0" w:color="auto"/>
              <w:right w:val="single" w:sz="4" w:space="0" w:color="auto"/>
            </w:tcBorders>
            <w:hideMark/>
          </w:tcPr>
          <w:p w14:paraId="3A09874B" w14:textId="77777777" w:rsidR="003228A3" w:rsidRDefault="003228A3">
            <w:pPr>
              <w:jc w:val="center"/>
              <w:rPr>
                <w:sz w:val="22"/>
                <w:szCs w:val="22"/>
                <w:lang w:eastAsia="da-DK"/>
              </w:rPr>
            </w:pPr>
            <w:r>
              <w:rPr>
                <w:sz w:val="22"/>
                <w:szCs w:val="22"/>
                <w:lang w:eastAsia="da-DK"/>
              </w:rPr>
              <w:t>67*</w:t>
            </w:r>
          </w:p>
        </w:tc>
        <w:tc>
          <w:tcPr>
            <w:tcW w:w="996" w:type="pct"/>
            <w:tcBorders>
              <w:top w:val="single" w:sz="4" w:space="0" w:color="auto"/>
              <w:left w:val="single" w:sz="4" w:space="0" w:color="auto"/>
              <w:bottom w:val="single" w:sz="4" w:space="0" w:color="auto"/>
              <w:right w:val="single" w:sz="4" w:space="0" w:color="auto"/>
            </w:tcBorders>
            <w:hideMark/>
          </w:tcPr>
          <w:p w14:paraId="1A981008" w14:textId="77777777" w:rsidR="003228A3" w:rsidRDefault="003228A3">
            <w:pPr>
              <w:jc w:val="center"/>
              <w:rPr>
                <w:sz w:val="22"/>
                <w:szCs w:val="22"/>
                <w:lang w:eastAsia="da-DK"/>
              </w:rPr>
            </w:pPr>
            <w:r>
              <w:rPr>
                <w:sz w:val="22"/>
                <w:szCs w:val="22"/>
                <w:lang w:eastAsia="da-DK"/>
              </w:rPr>
              <w:t>12</w:t>
            </w:r>
          </w:p>
        </w:tc>
      </w:tr>
      <w:tr w:rsidR="003228A3" w14:paraId="18AC6EFC" w14:textId="77777777" w:rsidTr="003228A3">
        <w:tc>
          <w:tcPr>
            <w:tcW w:w="765" w:type="pct"/>
            <w:tcBorders>
              <w:top w:val="single" w:sz="4" w:space="0" w:color="auto"/>
              <w:left w:val="single" w:sz="4" w:space="0" w:color="auto"/>
              <w:bottom w:val="single" w:sz="4" w:space="0" w:color="auto"/>
              <w:right w:val="single" w:sz="4" w:space="0" w:color="auto"/>
            </w:tcBorders>
            <w:hideMark/>
          </w:tcPr>
          <w:p w14:paraId="1491DE80" w14:textId="77777777" w:rsidR="003228A3" w:rsidRDefault="003228A3">
            <w:pPr>
              <w:rPr>
                <w:b/>
                <w:sz w:val="22"/>
                <w:szCs w:val="22"/>
                <w:lang w:eastAsia="da-DK"/>
              </w:rPr>
            </w:pPr>
            <w:r>
              <w:rPr>
                <w:b/>
                <w:sz w:val="22"/>
                <w:szCs w:val="22"/>
                <w:lang w:eastAsia="da-DK"/>
              </w:rPr>
              <w:t>Histologi</w:t>
            </w:r>
          </w:p>
          <w:p w14:paraId="3B11952A" w14:textId="77777777" w:rsidR="003228A3" w:rsidRDefault="003228A3">
            <w:pPr>
              <w:rPr>
                <w:sz w:val="22"/>
                <w:szCs w:val="22"/>
                <w:lang w:eastAsia="da-DK"/>
              </w:rPr>
            </w:pPr>
            <w:r>
              <w:rPr>
                <w:sz w:val="22"/>
                <w:szCs w:val="22"/>
                <w:lang w:eastAsia="da-DK"/>
              </w:rPr>
              <w:t>Histologisk respons (</w:t>
            </w:r>
            <w:proofErr w:type="gramStart"/>
            <w:r>
              <w:rPr>
                <w:sz w:val="22"/>
                <w:szCs w:val="22"/>
                <w:lang w:eastAsia="da-DK"/>
              </w:rPr>
              <w:t>%)</w:t>
            </w:r>
            <w:r>
              <w:rPr>
                <w:sz w:val="22"/>
                <w:szCs w:val="22"/>
                <w:vertAlign w:val="superscript"/>
                <w:lang w:eastAsia="da-DK"/>
              </w:rPr>
              <w:t>b</w:t>
            </w:r>
            <w:proofErr w:type="gramEnd"/>
          </w:p>
        </w:tc>
        <w:tc>
          <w:tcPr>
            <w:tcW w:w="1148" w:type="pct"/>
            <w:tcBorders>
              <w:top w:val="single" w:sz="4" w:space="0" w:color="auto"/>
              <w:left w:val="single" w:sz="4" w:space="0" w:color="auto"/>
              <w:bottom w:val="single" w:sz="4" w:space="0" w:color="auto"/>
              <w:right w:val="single" w:sz="4" w:space="0" w:color="auto"/>
            </w:tcBorders>
            <w:hideMark/>
          </w:tcPr>
          <w:p w14:paraId="2C943CBB" w14:textId="77777777" w:rsidR="003228A3" w:rsidRDefault="003228A3">
            <w:pPr>
              <w:jc w:val="center"/>
              <w:rPr>
                <w:sz w:val="22"/>
                <w:szCs w:val="22"/>
                <w:lang w:eastAsia="da-DK"/>
              </w:rPr>
            </w:pPr>
            <w:r>
              <w:rPr>
                <w:sz w:val="22"/>
                <w:szCs w:val="22"/>
                <w:lang w:eastAsia="da-DK"/>
              </w:rPr>
              <w:t>72</w:t>
            </w:r>
          </w:p>
        </w:tc>
        <w:tc>
          <w:tcPr>
            <w:tcW w:w="996" w:type="pct"/>
            <w:tcBorders>
              <w:top w:val="single" w:sz="4" w:space="0" w:color="auto"/>
              <w:left w:val="single" w:sz="4" w:space="0" w:color="auto"/>
              <w:bottom w:val="single" w:sz="4" w:space="0" w:color="auto"/>
              <w:right w:val="single" w:sz="4" w:space="0" w:color="auto"/>
            </w:tcBorders>
            <w:hideMark/>
          </w:tcPr>
          <w:p w14:paraId="4DEAAEEB" w14:textId="77777777" w:rsidR="003228A3" w:rsidRDefault="003228A3">
            <w:pPr>
              <w:jc w:val="center"/>
              <w:rPr>
                <w:sz w:val="22"/>
                <w:szCs w:val="22"/>
                <w:lang w:eastAsia="da-DK"/>
              </w:rPr>
            </w:pPr>
            <w:r>
              <w:rPr>
                <w:sz w:val="22"/>
                <w:szCs w:val="22"/>
                <w:lang w:eastAsia="da-DK"/>
              </w:rPr>
              <w:t>69</w:t>
            </w:r>
          </w:p>
        </w:tc>
        <w:tc>
          <w:tcPr>
            <w:tcW w:w="1095" w:type="pct"/>
            <w:tcBorders>
              <w:top w:val="single" w:sz="4" w:space="0" w:color="auto"/>
              <w:left w:val="single" w:sz="4" w:space="0" w:color="auto"/>
              <w:bottom w:val="single" w:sz="4" w:space="0" w:color="auto"/>
              <w:right w:val="single" w:sz="4" w:space="0" w:color="auto"/>
            </w:tcBorders>
            <w:hideMark/>
          </w:tcPr>
          <w:p w14:paraId="3F45572C" w14:textId="77777777" w:rsidR="003228A3" w:rsidRDefault="003228A3">
            <w:pPr>
              <w:jc w:val="center"/>
              <w:rPr>
                <w:sz w:val="22"/>
                <w:szCs w:val="22"/>
                <w:lang w:eastAsia="da-DK"/>
              </w:rPr>
            </w:pPr>
            <w:r>
              <w:rPr>
                <w:sz w:val="22"/>
                <w:szCs w:val="22"/>
                <w:lang w:eastAsia="da-DK"/>
              </w:rPr>
              <w:t>74</w:t>
            </w:r>
          </w:p>
        </w:tc>
        <w:tc>
          <w:tcPr>
            <w:tcW w:w="996" w:type="pct"/>
            <w:tcBorders>
              <w:top w:val="single" w:sz="4" w:space="0" w:color="auto"/>
              <w:left w:val="single" w:sz="4" w:space="0" w:color="auto"/>
              <w:bottom w:val="single" w:sz="4" w:space="0" w:color="auto"/>
              <w:right w:val="single" w:sz="4" w:space="0" w:color="auto"/>
            </w:tcBorders>
            <w:hideMark/>
          </w:tcPr>
          <w:p w14:paraId="622DF8BE" w14:textId="77777777" w:rsidR="003228A3" w:rsidRDefault="003228A3">
            <w:pPr>
              <w:jc w:val="center"/>
              <w:rPr>
                <w:sz w:val="22"/>
                <w:szCs w:val="22"/>
                <w:lang w:eastAsia="da-DK"/>
              </w:rPr>
            </w:pPr>
            <w:r>
              <w:rPr>
                <w:sz w:val="22"/>
                <w:szCs w:val="22"/>
                <w:lang w:eastAsia="da-DK"/>
              </w:rPr>
              <w:t>68</w:t>
            </w:r>
          </w:p>
        </w:tc>
      </w:tr>
      <w:tr w:rsidR="003228A3" w14:paraId="126ED04C" w14:textId="77777777" w:rsidTr="003228A3">
        <w:tc>
          <w:tcPr>
            <w:tcW w:w="765" w:type="pct"/>
            <w:tcBorders>
              <w:top w:val="single" w:sz="4" w:space="0" w:color="auto"/>
              <w:left w:val="single" w:sz="4" w:space="0" w:color="auto"/>
              <w:bottom w:val="single" w:sz="4" w:space="0" w:color="auto"/>
              <w:right w:val="single" w:sz="4" w:space="0" w:color="auto"/>
            </w:tcBorders>
            <w:hideMark/>
          </w:tcPr>
          <w:p w14:paraId="2A2A8AD9" w14:textId="77777777" w:rsidR="003228A3" w:rsidRDefault="003228A3">
            <w:pPr>
              <w:rPr>
                <w:b/>
                <w:sz w:val="22"/>
                <w:szCs w:val="22"/>
                <w:lang w:eastAsia="da-DK"/>
              </w:rPr>
            </w:pPr>
            <w:r>
              <w:rPr>
                <w:b/>
                <w:sz w:val="22"/>
                <w:szCs w:val="22"/>
                <w:lang w:eastAsia="da-DK"/>
              </w:rPr>
              <w:t>Median</w:t>
            </w:r>
          </w:p>
          <w:p w14:paraId="3D1D5D61" w14:textId="77777777" w:rsidR="003228A3" w:rsidRDefault="003228A3">
            <w:pPr>
              <w:rPr>
                <w:sz w:val="22"/>
                <w:szCs w:val="22"/>
                <w:lang w:eastAsia="da-DK"/>
              </w:rPr>
            </w:pPr>
            <w:r>
              <w:rPr>
                <w:b/>
                <w:sz w:val="22"/>
                <w:szCs w:val="22"/>
                <w:lang w:eastAsia="da-DK"/>
              </w:rPr>
              <w:t>HBV-dna-reduktion fra baseline</w:t>
            </w:r>
            <w:r>
              <w:rPr>
                <w:b/>
                <w:sz w:val="22"/>
                <w:szCs w:val="22"/>
                <w:vertAlign w:val="superscript"/>
                <w:lang w:eastAsia="da-DK"/>
              </w:rPr>
              <w:t>c</w:t>
            </w:r>
          </w:p>
          <w:p w14:paraId="2A943512" w14:textId="77777777" w:rsidR="003228A3" w:rsidRDefault="003228A3">
            <w:pPr>
              <w:rPr>
                <w:sz w:val="22"/>
                <w:szCs w:val="22"/>
                <w:lang w:eastAsia="da-DK"/>
              </w:rPr>
            </w:pPr>
            <w:r>
              <w:rPr>
                <w:sz w:val="22"/>
                <w:szCs w:val="22"/>
                <w:lang w:eastAsia="da-DK"/>
              </w:rPr>
              <w:t>(log</w:t>
            </w:r>
            <w:r>
              <w:rPr>
                <w:sz w:val="22"/>
                <w:szCs w:val="22"/>
                <w:vertAlign w:val="subscript"/>
                <w:lang w:eastAsia="da-DK"/>
              </w:rPr>
              <w:t>10</w:t>
            </w:r>
            <w:r>
              <w:rPr>
                <w:sz w:val="22"/>
                <w:szCs w:val="22"/>
                <w:lang w:eastAsia="da-DK"/>
              </w:rPr>
              <w:t xml:space="preserve"> kopier/ml)</w:t>
            </w:r>
          </w:p>
        </w:tc>
        <w:tc>
          <w:tcPr>
            <w:tcW w:w="1148" w:type="pct"/>
            <w:tcBorders>
              <w:top w:val="single" w:sz="4" w:space="0" w:color="auto"/>
              <w:left w:val="single" w:sz="4" w:space="0" w:color="auto"/>
              <w:bottom w:val="single" w:sz="4" w:space="0" w:color="auto"/>
              <w:right w:val="single" w:sz="4" w:space="0" w:color="auto"/>
            </w:tcBorders>
            <w:hideMark/>
          </w:tcPr>
          <w:p w14:paraId="12C4BD6C" w14:textId="77777777" w:rsidR="003228A3" w:rsidRDefault="003228A3">
            <w:pPr>
              <w:jc w:val="center"/>
              <w:rPr>
                <w:sz w:val="22"/>
                <w:szCs w:val="22"/>
                <w:lang w:eastAsia="da-DK"/>
              </w:rPr>
            </w:pPr>
            <w:r>
              <w:rPr>
                <w:sz w:val="22"/>
                <w:szCs w:val="22"/>
                <w:lang w:eastAsia="da-DK"/>
              </w:rPr>
              <w:t>-4,7*</w:t>
            </w:r>
          </w:p>
        </w:tc>
        <w:tc>
          <w:tcPr>
            <w:tcW w:w="996" w:type="pct"/>
            <w:tcBorders>
              <w:top w:val="single" w:sz="4" w:space="0" w:color="auto"/>
              <w:left w:val="single" w:sz="4" w:space="0" w:color="auto"/>
              <w:bottom w:val="single" w:sz="4" w:space="0" w:color="auto"/>
              <w:right w:val="single" w:sz="4" w:space="0" w:color="auto"/>
            </w:tcBorders>
            <w:hideMark/>
          </w:tcPr>
          <w:p w14:paraId="20A38F75" w14:textId="77777777" w:rsidR="003228A3" w:rsidRDefault="003228A3">
            <w:pPr>
              <w:jc w:val="center"/>
              <w:rPr>
                <w:sz w:val="22"/>
                <w:szCs w:val="22"/>
                <w:lang w:eastAsia="da-DK"/>
              </w:rPr>
            </w:pPr>
            <w:r>
              <w:rPr>
                <w:sz w:val="22"/>
                <w:szCs w:val="22"/>
                <w:lang w:eastAsia="da-DK"/>
              </w:rPr>
              <w:t>-4,0</w:t>
            </w:r>
          </w:p>
        </w:tc>
        <w:tc>
          <w:tcPr>
            <w:tcW w:w="1095" w:type="pct"/>
            <w:tcBorders>
              <w:top w:val="single" w:sz="4" w:space="0" w:color="auto"/>
              <w:left w:val="single" w:sz="4" w:space="0" w:color="auto"/>
              <w:bottom w:val="single" w:sz="4" w:space="0" w:color="auto"/>
              <w:right w:val="single" w:sz="4" w:space="0" w:color="auto"/>
            </w:tcBorders>
            <w:hideMark/>
          </w:tcPr>
          <w:p w14:paraId="3DC35053" w14:textId="77777777" w:rsidR="003228A3" w:rsidRDefault="003228A3">
            <w:pPr>
              <w:jc w:val="center"/>
              <w:rPr>
                <w:sz w:val="22"/>
                <w:szCs w:val="22"/>
                <w:lang w:eastAsia="da-DK"/>
              </w:rPr>
            </w:pPr>
            <w:r>
              <w:rPr>
                <w:sz w:val="22"/>
                <w:szCs w:val="22"/>
                <w:lang w:eastAsia="da-DK"/>
              </w:rPr>
              <w:t>-6,4*</w:t>
            </w:r>
          </w:p>
        </w:tc>
        <w:tc>
          <w:tcPr>
            <w:tcW w:w="996" w:type="pct"/>
            <w:tcBorders>
              <w:top w:val="single" w:sz="4" w:space="0" w:color="auto"/>
              <w:left w:val="single" w:sz="4" w:space="0" w:color="auto"/>
              <w:bottom w:val="single" w:sz="4" w:space="0" w:color="auto"/>
              <w:right w:val="single" w:sz="4" w:space="0" w:color="auto"/>
            </w:tcBorders>
            <w:hideMark/>
          </w:tcPr>
          <w:p w14:paraId="08ED4B4F" w14:textId="77777777" w:rsidR="003228A3" w:rsidRDefault="003228A3">
            <w:pPr>
              <w:jc w:val="center"/>
              <w:rPr>
                <w:sz w:val="22"/>
                <w:szCs w:val="22"/>
                <w:lang w:eastAsia="da-DK"/>
              </w:rPr>
            </w:pPr>
            <w:r>
              <w:rPr>
                <w:sz w:val="22"/>
                <w:szCs w:val="22"/>
                <w:lang w:eastAsia="da-DK"/>
              </w:rPr>
              <w:t>-3,7</w:t>
            </w:r>
          </w:p>
        </w:tc>
      </w:tr>
      <w:tr w:rsidR="003228A3" w14:paraId="74345FE3" w14:textId="77777777" w:rsidTr="003228A3">
        <w:tc>
          <w:tcPr>
            <w:tcW w:w="765" w:type="pct"/>
            <w:tcBorders>
              <w:top w:val="single" w:sz="4" w:space="0" w:color="auto"/>
              <w:left w:val="single" w:sz="4" w:space="0" w:color="auto"/>
              <w:bottom w:val="single" w:sz="4" w:space="0" w:color="auto"/>
              <w:right w:val="single" w:sz="4" w:space="0" w:color="auto"/>
            </w:tcBorders>
            <w:hideMark/>
          </w:tcPr>
          <w:p w14:paraId="4039A8BC" w14:textId="77777777" w:rsidR="003228A3" w:rsidRDefault="003228A3">
            <w:pPr>
              <w:rPr>
                <w:b/>
                <w:sz w:val="22"/>
                <w:szCs w:val="22"/>
                <w:lang w:val="sv-SE" w:eastAsia="da-DK"/>
              </w:rPr>
            </w:pPr>
            <w:r>
              <w:rPr>
                <w:b/>
                <w:sz w:val="22"/>
                <w:szCs w:val="22"/>
                <w:lang w:val="sv-SE" w:eastAsia="da-DK"/>
              </w:rPr>
              <w:t>HBV-dna (%)</w:t>
            </w:r>
          </w:p>
          <w:p w14:paraId="7F0B05D1" w14:textId="77777777" w:rsidR="003228A3" w:rsidRDefault="003228A3">
            <w:pPr>
              <w:rPr>
                <w:sz w:val="22"/>
                <w:szCs w:val="22"/>
                <w:lang w:val="sv-SE" w:eastAsia="da-DK"/>
              </w:rPr>
            </w:pPr>
            <w:r>
              <w:rPr>
                <w:sz w:val="22"/>
                <w:szCs w:val="22"/>
                <w:lang w:val="sv-SE" w:eastAsia="da-DK"/>
              </w:rPr>
              <w:t xml:space="preserve">&lt;400 kopier/ml </w:t>
            </w:r>
          </w:p>
          <w:p w14:paraId="64EB14BD" w14:textId="77777777" w:rsidR="003228A3" w:rsidRDefault="003228A3">
            <w:pPr>
              <w:rPr>
                <w:sz w:val="22"/>
                <w:szCs w:val="22"/>
                <w:lang w:val="sv-SE" w:eastAsia="da-DK"/>
              </w:rPr>
            </w:pPr>
            <w:r>
              <w:rPr>
                <w:sz w:val="22"/>
                <w:szCs w:val="22"/>
                <w:lang w:val="sv-SE" w:eastAsia="da-DK"/>
              </w:rPr>
              <w:t>(&lt;69 IE/ml)</w:t>
            </w:r>
          </w:p>
        </w:tc>
        <w:tc>
          <w:tcPr>
            <w:tcW w:w="1148" w:type="pct"/>
            <w:tcBorders>
              <w:top w:val="single" w:sz="4" w:space="0" w:color="auto"/>
              <w:left w:val="single" w:sz="4" w:space="0" w:color="auto"/>
              <w:bottom w:val="single" w:sz="4" w:space="0" w:color="auto"/>
              <w:right w:val="single" w:sz="4" w:space="0" w:color="auto"/>
            </w:tcBorders>
            <w:hideMark/>
          </w:tcPr>
          <w:p w14:paraId="29879391" w14:textId="77777777" w:rsidR="003228A3" w:rsidRDefault="003228A3">
            <w:pPr>
              <w:jc w:val="center"/>
              <w:rPr>
                <w:sz w:val="22"/>
                <w:szCs w:val="22"/>
                <w:lang w:eastAsia="da-DK"/>
              </w:rPr>
            </w:pPr>
            <w:r>
              <w:rPr>
                <w:sz w:val="22"/>
                <w:szCs w:val="22"/>
                <w:lang w:eastAsia="da-DK"/>
              </w:rPr>
              <w:t>93*</w:t>
            </w:r>
          </w:p>
        </w:tc>
        <w:tc>
          <w:tcPr>
            <w:tcW w:w="996" w:type="pct"/>
            <w:tcBorders>
              <w:top w:val="single" w:sz="4" w:space="0" w:color="auto"/>
              <w:left w:val="single" w:sz="4" w:space="0" w:color="auto"/>
              <w:bottom w:val="single" w:sz="4" w:space="0" w:color="auto"/>
              <w:right w:val="single" w:sz="4" w:space="0" w:color="auto"/>
            </w:tcBorders>
            <w:hideMark/>
          </w:tcPr>
          <w:p w14:paraId="5134F3A6" w14:textId="77777777" w:rsidR="003228A3" w:rsidRDefault="003228A3">
            <w:pPr>
              <w:jc w:val="center"/>
              <w:rPr>
                <w:sz w:val="22"/>
                <w:szCs w:val="22"/>
                <w:lang w:eastAsia="da-DK"/>
              </w:rPr>
            </w:pPr>
            <w:r>
              <w:rPr>
                <w:sz w:val="22"/>
                <w:szCs w:val="22"/>
                <w:lang w:eastAsia="da-DK"/>
              </w:rPr>
              <w:t>63</w:t>
            </w:r>
          </w:p>
        </w:tc>
        <w:tc>
          <w:tcPr>
            <w:tcW w:w="1095" w:type="pct"/>
            <w:tcBorders>
              <w:top w:val="single" w:sz="4" w:space="0" w:color="auto"/>
              <w:left w:val="single" w:sz="4" w:space="0" w:color="auto"/>
              <w:bottom w:val="single" w:sz="4" w:space="0" w:color="auto"/>
              <w:right w:val="single" w:sz="4" w:space="0" w:color="auto"/>
            </w:tcBorders>
            <w:hideMark/>
          </w:tcPr>
          <w:p w14:paraId="7773F633" w14:textId="77777777" w:rsidR="003228A3" w:rsidRDefault="003228A3">
            <w:pPr>
              <w:jc w:val="center"/>
              <w:rPr>
                <w:sz w:val="22"/>
                <w:szCs w:val="22"/>
                <w:lang w:eastAsia="da-DK"/>
              </w:rPr>
            </w:pPr>
            <w:r>
              <w:rPr>
                <w:sz w:val="22"/>
                <w:szCs w:val="22"/>
                <w:lang w:eastAsia="da-DK"/>
              </w:rPr>
              <w:t>76*</w:t>
            </w:r>
          </w:p>
        </w:tc>
        <w:tc>
          <w:tcPr>
            <w:tcW w:w="996" w:type="pct"/>
            <w:tcBorders>
              <w:top w:val="single" w:sz="4" w:space="0" w:color="auto"/>
              <w:left w:val="single" w:sz="4" w:space="0" w:color="auto"/>
              <w:bottom w:val="single" w:sz="4" w:space="0" w:color="auto"/>
              <w:right w:val="single" w:sz="4" w:space="0" w:color="auto"/>
            </w:tcBorders>
            <w:hideMark/>
          </w:tcPr>
          <w:p w14:paraId="36B90CFF" w14:textId="77777777" w:rsidR="003228A3" w:rsidRDefault="003228A3">
            <w:pPr>
              <w:jc w:val="center"/>
              <w:rPr>
                <w:sz w:val="22"/>
                <w:szCs w:val="22"/>
                <w:lang w:eastAsia="da-DK"/>
              </w:rPr>
            </w:pPr>
            <w:r>
              <w:rPr>
                <w:sz w:val="22"/>
                <w:szCs w:val="22"/>
                <w:lang w:eastAsia="da-DK"/>
              </w:rPr>
              <w:t>13</w:t>
            </w:r>
          </w:p>
        </w:tc>
      </w:tr>
      <w:tr w:rsidR="003228A3" w14:paraId="2539C426" w14:textId="77777777" w:rsidTr="003228A3">
        <w:tc>
          <w:tcPr>
            <w:tcW w:w="765" w:type="pct"/>
            <w:tcBorders>
              <w:top w:val="single" w:sz="4" w:space="0" w:color="auto"/>
              <w:left w:val="single" w:sz="4" w:space="0" w:color="auto"/>
              <w:bottom w:val="single" w:sz="4" w:space="0" w:color="auto"/>
              <w:right w:val="single" w:sz="4" w:space="0" w:color="auto"/>
            </w:tcBorders>
            <w:hideMark/>
          </w:tcPr>
          <w:p w14:paraId="184F6BB9" w14:textId="77777777" w:rsidR="003228A3" w:rsidRDefault="003228A3">
            <w:pPr>
              <w:rPr>
                <w:b/>
                <w:sz w:val="22"/>
                <w:szCs w:val="22"/>
                <w:lang w:eastAsia="da-DK"/>
              </w:rPr>
            </w:pPr>
            <w:r>
              <w:rPr>
                <w:b/>
                <w:sz w:val="22"/>
                <w:szCs w:val="22"/>
                <w:lang w:eastAsia="da-DK"/>
              </w:rPr>
              <w:t>ALAT (%)</w:t>
            </w:r>
          </w:p>
          <w:p w14:paraId="39E44D2F" w14:textId="77777777" w:rsidR="003228A3" w:rsidRDefault="003228A3">
            <w:pPr>
              <w:rPr>
                <w:sz w:val="22"/>
                <w:szCs w:val="22"/>
                <w:lang w:eastAsia="da-DK"/>
              </w:rPr>
            </w:pPr>
            <w:r>
              <w:rPr>
                <w:sz w:val="22"/>
                <w:szCs w:val="22"/>
                <w:lang w:eastAsia="da-DK"/>
              </w:rPr>
              <w:t>Normaliseret ALAT</w:t>
            </w:r>
            <w:r>
              <w:rPr>
                <w:sz w:val="22"/>
                <w:szCs w:val="22"/>
                <w:vertAlign w:val="superscript"/>
                <w:lang w:eastAsia="da-DK"/>
              </w:rPr>
              <w:t>d</w:t>
            </w:r>
          </w:p>
        </w:tc>
        <w:tc>
          <w:tcPr>
            <w:tcW w:w="1148" w:type="pct"/>
            <w:tcBorders>
              <w:top w:val="single" w:sz="4" w:space="0" w:color="auto"/>
              <w:left w:val="single" w:sz="4" w:space="0" w:color="auto"/>
              <w:bottom w:val="single" w:sz="4" w:space="0" w:color="auto"/>
              <w:right w:val="single" w:sz="4" w:space="0" w:color="auto"/>
            </w:tcBorders>
            <w:hideMark/>
          </w:tcPr>
          <w:p w14:paraId="0671C7AA" w14:textId="77777777" w:rsidR="003228A3" w:rsidRDefault="003228A3">
            <w:pPr>
              <w:jc w:val="center"/>
              <w:rPr>
                <w:sz w:val="22"/>
                <w:szCs w:val="22"/>
                <w:lang w:eastAsia="da-DK"/>
              </w:rPr>
            </w:pPr>
            <w:r>
              <w:rPr>
                <w:sz w:val="22"/>
                <w:szCs w:val="22"/>
                <w:lang w:eastAsia="da-DK"/>
              </w:rPr>
              <w:t>76</w:t>
            </w:r>
          </w:p>
        </w:tc>
        <w:tc>
          <w:tcPr>
            <w:tcW w:w="996" w:type="pct"/>
            <w:tcBorders>
              <w:top w:val="single" w:sz="4" w:space="0" w:color="auto"/>
              <w:left w:val="single" w:sz="4" w:space="0" w:color="auto"/>
              <w:bottom w:val="single" w:sz="4" w:space="0" w:color="auto"/>
              <w:right w:val="single" w:sz="4" w:space="0" w:color="auto"/>
            </w:tcBorders>
            <w:hideMark/>
          </w:tcPr>
          <w:p w14:paraId="56057217" w14:textId="77777777" w:rsidR="003228A3" w:rsidRDefault="003228A3">
            <w:pPr>
              <w:jc w:val="center"/>
              <w:rPr>
                <w:sz w:val="22"/>
                <w:szCs w:val="22"/>
                <w:lang w:eastAsia="da-DK"/>
              </w:rPr>
            </w:pPr>
            <w:r>
              <w:rPr>
                <w:sz w:val="22"/>
                <w:szCs w:val="22"/>
                <w:lang w:eastAsia="da-DK"/>
              </w:rPr>
              <w:t>77</w:t>
            </w:r>
          </w:p>
        </w:tc>
        <w:tc>
          <w:tcPr>
            <w:tcW w:w="1095" w:type="pct"/>
            <w:tcBorders>
              <w:top w:val="single" w:sz="4" w:space="0" w:color="auto"/>
              <w:left w:val="single" w:sz="4" w:space="0" w:color="auto"/>
              <w:bottom w:val="single" w:sz="4" w:space="0" w:color="auto"/>
              <w:right w:val="single" w:sz="4" w:space="0" w:color="auto"/>
            </w:tcBorders>
            <w:hideMark/>
          </w:tcPr>
          <w:p w14:paraId="29F6B213" w14:textId="77777777" w:rsidR="003228A3" w:rsidRDefault="003228A3">
            <w:pPr>
              <w:jc w:val="center"/>
              <w:rPr>
                <w:sz w:val="22"/>
                <w:szCs w:val="22"/>
                <w:lang w:eastAsia="da-DK"/>
              </w:rPr>
            </w:pPr>
            <w:r>
              <w:rPr>
                <w:sz w:val="22"/>
                <w:szCs w:val="22"/>
                <w:lang w:eastAsia="da-DK"/>
              </w:rPr>
              <w:t>68*</w:t>
            </w:r>
          </w:p>
        </w:tc>
        <w:tc>
          <w:tcPr>
            <w:tcW w:w="996" w:type="pct"/>
            <w:tcBorders>
              <w:top w:val="single" w:sz="4" w:space="0" w:color="auto"/>
              <w:left w:val="single" w:sz="4" w:space="0" w:color="auto"/>
              <w:bottom w:val="single" w:sz="4" w:space="0" w:color="auto"/>
              <w:right w:val="single" w:sz="4" w:space="0" w:color="auto"/>
            </w:tcBorders>
            <w:hideMark/>
          </w:tcPr>
          <w:p w14:paraId="781A54F2" w14:textId="77777777" w:rsidR="003228A3" w:rsidRDefault="003228A3">
            <w:pPr>
              <w:jc w:val="center"/>
              <w:rPr>
                <w:sz w:val="22"/>
                <w:szCs w:val="22"/>
                <w:lang w:eastAsia="da-DK"/>
              </w:rPr>
            </w:pPr>
            <w:r>
              <w:rPr>
                <w:sz w:val="22"/>
                <w:szCs w:val="22"/>
                <w:lang w:eastAsia="da-DK"/>
              </w:rPr>
              <w:t>54</w:t>
            </w:r>
          </w:p>
        </w:tc>
      </w:tr>
      <w:tr w:rsidR="003228A3" w14:paraId="07D2E586" w14:textId="77777777" w:rsidTr="003228A3">
        <w:tc>
          <w:tcPr>
            <w:tcW w:w="765" w:type="pct"/>
            <w:tcBorders>
              <w:top w:val="single" w:sz="4" w:space="0" w:color="auto"/>
              <w:left w:val="single" w:sz="4" w:space="0" w:color="auto"/>
              <w:bottom w:val="single" w:sz="4" w:space="0" w:color="auto"/>
              <w:right w:val="single" w:sz="4" w:space="0" w:color="auto"/>
            </w:tcBorders>
          </w:tcPr>
          <w:p w14:paraId="34269F93" w14:textId="77777777" w:rsidR="003228A3" w:rsidRDefault="003228A3">
            <w:pPr>
              <w:rPr>
                <w:b/>
                <w:sz w:val="22"/>
                <w:szCs w:val="22"/>
                <w:lang w:eastAsia="da-DK"/>
              </w:rPr>
            </w:pPr>
            <w:r>
              <w:rPr>
                <w:b/>
                <w:sz w:val="22"/>
                <w:szCs w:val="22"/>
                <w:lang w:eastAsia="da-DK"/>
              </w:rPr>
              <w:t>Serologi (%)</w:t>
            </w:r>
          </w:p>
          <w:p w14:paraId="48C4A5F7" w14:textId="77777777" w:rsidR="003228A3" w:rsidRDefault="003228A3">
            <w:pPr>
              <w:rPr>
                <w:sz w:val="22"/>
                <w:szCs w:val="22"/>
                <w:lang w:eastAsia="da-DK"/>
              </w:rPr>
            </w:pPr>
            <w:r>
              <w:rPr>
                <w:sz w:val="22"/>
                <w:szCs w:val="22"/>
                <w:lang w:eastAsia="da-DK"/>
              </w:rPr>
              <w:t>Tab af HBeAg/sero-konversion</w:t>
            </w:r>
          </w:p>
          <w:p w14:paraId="3B1FCD39" w14:textId="77777777" w:rsidR="003228A3" w:rsidRDefault="003228A3">
            <w:pPr>
              <w:rPr>
                <w:sz w:val="22"/>
                <w:szCs w:val="22"/>
                <w:lang w:eastAsia="da-DK"/>
              </w:rPr>
            </w:pPr>
          </w:p>
          <w:p w14:paraId="4E10CB0A" w14:textId="77777777" w:rsidR="003228A3" w:rsidRDefault="003228A3">
            <w:pPr>
              <w:rPr>
                <w:sz w:val="22"/>
                <w:szCs w:val="22"/>
                <w:lang w:eastAsia="da-DK"/>
              </w:rPr>
            </w:pPr>
            <w:r>
              <w:rPr>
                <w:sz w:val="22"/>
                <w:szCs w:val="22"/>
                <w:lang w:eastAsia="da-DK"/>
              </w:rPr>
              <w:t>Tab af HBsAg/sero-</w:t>
            </w:r>
          </w:p>
          <w:p w14:paraId="754A1579" w14:textId="77777777" w:rsidR="003228A3" w:rsidRDefault="003228A3">
            <w:pPr>
              <w:rPr>
                <w:sz w:val="22"/>
                <w:szCs w:val="22"/>
                <w:lang w:eastAsia="da-DK"/>
              </w:rPr>
            </w:pPr>
            <w:r>
              <w:rPr>
                <w:sz w:val="22"/>
                <w:szCs w:val="22"/>
                <w:lang w:eastAsia="da-DK"/>
              </w:rPr>
              <w:t>konversion</w:t>
            </w:r>
          </w:p>
        </w:tc>
        <w:tc>
          <w:tcPr>
            <w:tcW w:w="1148" w:type="pct"/>
            <w:tcBorders>
              <w:top w:val="single" w:sz="4" w:space="0" w:color="auto"/>
              <w:left w:val="single" w:sz="4" w:space="0" w:color="auto"/>
              <w:bottom w:val="single" w:sz="4" w:space="0" w:color="auto"/>
              <w:right w:val="single" w:sz="4" w:space="0" w:color="auto"/>
            </w:tcBorders>
          </w:tcPr>
          <w:p w14:paraId="3626B0CE" w14:textId="77777777" w:rsidR="003228A3" w:rsidRDefault="003228A3">
            <w:pPr>
              <w:jc w:val="center"/>
              <w:rPr>
                <w:sz w:val="22"/>
                <w:szCs w:val="22"/>
                <w:lang w:eastAsia="da-DK"/>
              </w:rPr>
            </w:pPr>
          </w:p>
          <w:p w14:paraId="05598D68" w14:textId="77777777" w:rsidR="003228A3" w:rsidRDefault="003228A3">
            <w:pPr>
              <w:jc w:val="center"/>
              <w:rPr>
                <w:sz w:val="22"/>
                <w:szCs w:val="22"/>
                <w:lang w:eastAsia="da-DK"/>
              </w:rPr>
            </w:pPr>
          </w:p>
          <w:p w14:paraId="57927598" w14:textId="77777777" w:rsidR="003228A3" w:rsidRDefault="003228A3">
            <w:pPr>
              <w:jc w:val="center"/>
              <w:rPr>
                <w:sz w:val="22"/>
                <w:szCs w:val="22"/>
                <w:lang w:eastAsia="da-DK"/>
              </w:rPr>
            </w:pPr>
          </w:p>
          <w:p w14:paraId="28B62582" w14:textId="77777777" w:rsidR="003228A3" w:rsidRDefault="003228A3">
            <w:pPr>
              <w:jc w:val="center"/>
              <w:rPr>
                <w:sz w:val="22"/>
                <w:szCs w:val="22"/>
                <w:lang w:eastAsia="da-DK"/>
              </w:rPr>
            </w:pPr>
            <w:r>
              <w:rPr>
                <w:sz w:val="22"/>
                <w:szCs w:val="22"/>
                <w:lang w:eastAsia="da-DK"/>
              </w:rPr>
              <w:t>n/a</w:t>
            </w:r>
          </w:p>
          <w:p w14:paraId="6EC9A52B" w14:textId="77777777" w:rsidR="003228A3" w:rsidRDefault="003228A3">
            <w:pPr>
              <w:jc w:val="center"/>
              <w:rPr>
                <w:sz w:val="22"/>
                <w:szCs w:val="22"/>
                <w:lang w:eastAsia="da-DK"/>
              </w:rPr>
            </w:pPr>
          </w:p>
          <w:p w14:paraId="48D2649F" w14:textId="77777777" w:rsidR="003228A3" w:rsidRDefault="003228A3">
            <w:pPr>
              <w:jc w:val="center"/>
              <w:rPr>
                <w:sz w:val="22"/>
                <w:szCs w:val="22"/>
                <w:lang w:eastAsia="da-DK"/>
              </w:rPr>
            </w:pPr>
          </w:p>
          <w:p w14:paraId="4A6B074C" w14:textId="77777777" w:rsidR="003228A3" w:rsidRDefault="003228A3">
            <w:pPr>
              <w:jc w:val="center"/>
              <w:rPr>
                <w:sz w:val="22"/>
                <w:szCs w:val="22"/>
                <w:lang w:eastAsia="da-DK"/>
              </w:rPr>
            </w:pPr>
          </w:p>
          <w:p w14:paraId="0703B8CB" w14:textId="77777777" w:rsidR="003228A3" w:rsidRDefault="003228A3">
            <w:pPr>
              <w:jc w:val="center"/>
              <w:rPr>
                <w:sz w:val="22"/>
                <w:szCs w:val="22"/>
                <w:lang w:eastAsia="da-DK"/>
              </w:rPr>
            </w:pPr>
            <w:r>
              <w:rPr>
                <w:sz w:val="22"/>
                <w:szCs w:val="22"/>
                <w:lang w:eastAsia="da-DK"/>
              </w:rPr>
              <w:t>0/0</w:t>
            </w:r>
          </w:p>
        </w:tc>
        <w:tc>
          <w:tcPr>
            <w:tcW w:w="996" w:type="pct"/>
            <w:tcBorders>
              <w:top w:val="single" w:sz="4" w:space="0" w:color="auto"/>
              <w:left w:val="single" w:sz="4" w:space="0" w:color="auto"/>
              <w:bottom w:val="single" w:sz="4" w:space="0" w:color="auto"/>
              <w:right w:val="single" w:sz="4" w:space="0" w:color="auto"/>
            </w:tcBorders>
          </w:tcPr>
          <w:p w14:paraId="34D4F07B" w14:textId="77777777" w:rsidR="003228A3" w:rsidRDefault="003228A3">
            <w:pPr>
              <w:jc w:val="center"/>
              <w:rPr>
                <w:sz w:val="22"/>
                <w:szCs w:val="22"/>
                <w:lang w:eastAsia="da-DK"/>
              </w:rPr>
            </w:pPr>
          </w:p>
          <w:p w14:paraId="681A6304" w14:textId="77777777" w:rsidR="003228A3" w:rsidRDefault="003228A3">
            <w:pPr>
              <w:jc w:val="center"/>
              <w:rPr>
                <w:sz w:val="22"/>
                <w:szCs w:val="22"/>
                <w:lang w:eastAsia="da-DK"/>
              </w:rPr>
            </w:pPr>
          </w:p>
          <w:p w14:paraId="57558378" w14:textId="77777777" w:rsidR="003228A3" w:rsidRDefault="003228A3">
            <w:pPr>
              <w:jc w:val="center"/>
              <w:rPr>
                <w:sz w:val="22"/>
                <w:szCs w:val="22"/>
                <w:lang w:eastAsia="da-DK"/>
              </w:rPr>
            </w:pPr>
          </w:p>
          <w:p w14:paraId="06A16578" w14:textId="77777777" w:rsidR="003228A3" w:rsidRDefault="003228A3">
            <w:pPr>
              <w:jc w:val="center"/>
              <w:rPr>
                <w:sz w:val="22"/>
                <w:szCs w:val="22"/>
                <w:lang w:eastAsia="da-DK"/>
              </w:rPr>
            </w:pPr>
            <w:r>
              <w:rPr>
                <w:sz w:val="22"/>
                <w:szCs w:val="22"/>
                <w:lang w:eastAsia="da-DK"/>
              </w:rPr>
              <w:t>n/a</w:t>
            </w:r>
          </w:p>
          <w:p w14:paraId="78BE5C05" w14:textId="77777777" w:rsidR="003228A3" w:rsidRDefault="003228A3">
            <w:pPr>
              <w:jc w:val="center"/>
              <w:rPr>
                <w:sz w:val="22"/>
                <w:szCs w:val="22"/>
                <w:lang w:eastAsia="da-DK"/>
              </w:rPr>
            </w:pPr>
          </w:p>
          <w:p w14:paraId="39DD2B32" w14:textId="77777777" w:rsidR="003228A3" w:rsidRDefault="003228A3">
            <w:pPr>
              <w:jc w:val="center"/>
              <w:rPr>
                <w:sz w:val="22"/>
                <w:szCs w:val="22"/>
                <w:lang w:eastAsia="da-DK"/>
              </w:rPr>
            </w:pPr>
          </w:p>
          <w:p w14:paraId="74CEEEE8" w14:textId="77777777" w:rsidR="003228A3" w:rsidRDefault="003228A3">
            <w:pPr>
              <w:jc w:val="center"/>
              <w:rPr>
                <w:sz w:val="22"/>
                <w:szCs w:val="22"/>
                <w:lang w:eastAsia="da-DK"/>
              </w:rPr>
            </w:pPr>
          </w:p>
          <w:p w14:paraId="41B04101" w14:textId="77777777" w:rsidR="003228A3" w:rsidRDefault="003228A3">
            <w:pPr>
              <w:jc w:val="center"/>
              <w:rPr>
                <w:sz w:val="22"/>
                <w:szCs w:val="22"/>
                <w:lang w:eastAsia="da-DK"/>
              </w:rPr>
            </w:pPr>
            <w:r>
              <w:rPr>
                <w:sz w:val="22"/>
                <w:szCs w:val="22"/>
                <w:lang w:eastAsia="da-DK"/>
              </w:rPr>
              <w:t>0/0</w:t>
            </w:r>
          </w:p>
        </w:tc>
        <w:tc>
          <w:tcPr>
            <w:tcW w:w="1095" w:type="pct"/>
            <w:tcBorders>
              <w:top w:val="single" w:sz="4" w:space="0" w:color="auto"/>
              <w:left w:val="single" w:sz="4" w:space="0" w:color="auto"/>
              <w:bottom w:val="single" w:sz="4" w:space="0" w:color="auto"/>
              <w:right w:val="single" w:sz="4" w:space="0" w:color="auto"/>
            </w:tcBorders>
          </w:tcPr>
          <w:p w14:paraId="21BA8D9F" w14:textId="77777777" w:rsidR="003228A3" w:rsidRDefault="003228A3">
            <w:pPr>
              <w:jc w:val="center"/>
              <w:rPr>
                <w:sz w:val="22"/>
                <w:szCs w:val="22"/>
                <w:lang w:eastAsia="da-DK"/>
              </w:rPr>
            </w:pPr>
          </w:p>
          <w:p w14:paraId="0CD7C077" w14:textId="77777777" w:rsidR="003228A3" w:rsidRDefault="003228A3">
            <w:pPr>
              <w:jc w:val="center"/>
              <w:rPr>
                <w:sz w:val="22"/>
                <w:szCs w:val="22"/>
                <w:lang w:eastAsia="da-DK"/>
              </w:rPr>
            </w:pPr>
          </w:p>
          <w:p w14:paraId="4BFF5572" w14:textId="77777777" w:rsidR="003228A3" w:rsidRDefault="003228A3">
            <w:pPr>
              <w:jc w:val="center"/>
              <w:rPr>
                <w:sz w:val="22"/>
                <w:szCs w:val="22"/>
                <w:lang w:eastAsia="da-DK"/>
              </w:rPr>
            </w:pPr>
          </w:p>
          <w:p w14:paraId="1D7DC371" w14:textId="77777777" w:rsidR="003228A3" w:rsidRDefault="003228A3">
            <w:pPr>
              <w:jc w:val="center"/>
              <w:rPr>
                <w:sz w:val="22"/>
                <w:szCs w:val="22"/>
                <w:lang w:eastAsia="da-DK"/>
              </w:rPr>
            </w:pPr>
            <w:r>
              <w:rPr>
                <w:sz w:val="22"/>
                <w:szCs w:val="22"/>
                <w:lang w:eastAsia="da-DK"/>
              </w:rPr>
              <w:t>22/21</w:t>
            </w:r>
          </w:p>
          <w:p w14:paraId="7CBF9565" w14:textId="77777777" w:rsidR="003228A3" w:rsidRDefault="003228A3">
            <w:pPr>
              <w:jc w:val="center"/>
              <w:rPr>
                <w:sz w:val="22"/>
                <w:szCs w:val="22"/>
                <w:lang w:eastAsia="da-DK"/>
              </w:rPr>
            </w:pPr>
          </w:p>
          <w:p w14:paraId="5CD3519B" w14:textId="77777777" w:rsidR="003228A3" w:rsidRDefault="003228A3">
            <w:pPr>
              <w:jc w:val="center"/>
              <w:rPr>
                <w:sz w:val="22"/>
                <w:szCs w:val="22"/>
                <w:lang w:eastAsia="da-DK"/>
              </w:rPr>
            </w:pPr>
          </w:p>
          <w:p w14:paraId="31EE8259" w14:textId="77777777" w:rsidR="003228A3" w:rsidRDefault="003228A3">
            <w:pPr>
              <w:jc w:val="center"/>
              <w:rPr>
                <w:sz w:val="22"/>
                <w:szCs w:val="22"/>
                <w:lang w:eastAsia="da-DK"/>
              </w:rPr>
            </w:pPr>
          </w:p>
          <w:p w14:paraId="260B5E69" w14:textId="77777777" w:rsidR="003228A3" w:rsidRDefault="003228A3">
            <w:pPr>
              <w:jc w:val="center"/>
              <w:rPr>
                <w:sz w:val="22"/>
                <w:szCs w:val="22"/>
                <w:lang w:eastAsia="da-DK"/>
              </w:rPr>
            </w:pPr>
            <w:r>
              <w:rPr>
                <w:sz w:val="22"/>
                <w:szCs w:val="22"/>
                <w:lang w:eastAsia="da-DK"/>
              </w:rPr>
              <w:t>3*/1</w:t>
            </w:r>
          </w:p>
        </w:tc>
        <w:tc>
          <w:tcPr>
            <w:tcW w:w="996" w:type="pct"/>
            <w:tcBorders>
              <w:top w:val="single" w:sz="4" w:space="0" w:color="auto"/>
              <w:left w:val="single" w:sz="4" w:space="0" w:color="auto"/>
              <w:bottom w:val="single" w:sz="4" w:space="0" w:color="auto"/>
              <w:right w:val="single" w:sz="4" w:space="0" w:color="auto"/>
            </w:tcBorders>
          </w:tcPr>
          <w:p w14:paraId="1D319FF6" w14:textId="77777777" w:rsidR="003228A3" w:rsidRDefault="003228A3">
            <w:pPr>
              <w:jc w:val="center"/>
              <w:rPr>
                <w:sz w:val="22"/>
                <w:szCs w:val="22"/>
                <w:lang w:eastAsia="da-DK"/>
              </w:rPr>
            </w:pPr>
          </w:p>
          <w:p w14:paraId="13D27497" w14:textId="77777777" w:rsidR="003228A3" w:rsidRDefault="003228A3">
            <w:pPr>
              <w:jc w:val="center"/>
              <w:rPr>
                <w:sz w:val="22"/>
                <w:szCs w:val="22"/>
                <w:lang w:eastAsia="da-DK"/>
              </w:rPr>
            </w:pPr>
          </w:p>
          <w:p w14:paraId="0BCF7EA1" w14:textId="77777777" w:rsidR="003228A3" w:rsidRDefault="003228A3">
            <w:pPr>
              <w:jc w:val="center"/>
              <w:rPr>
                <w:sz w:val="22"/>
                <w:szCs w:val="22"/>
                <w:lang w:eastAsia="da-DK"/>
              </w:rPr>
            </w:pPr>
          </w:p>
          <w:p w14:paraId="32399BB0" w14:textId="77777777" w:rsidR="003228A3" w:rsidRDefault="003228A3">
            <w:pPr>
              <w:jc w:val="center"/>
              <w:rPr>
                <w:sz w:val="22"/>
                <w:szCs w:val="22"/>
                <w:lang w:eastAsia="da-DK"/>
              </w:rPr>
            </w:pPr>
            <w:r>
              <w:rPr>
                <w:sz w:val="22"/>
                <w:szCs w:val="22"/>
                <w:lang w:eastAsia="da-DK"/>
              </w:rPr>
              <w:t>18/18</w:t>
            </w:r>
          </w:p>
          <w:p w14:paraId="6716876D" w14:textId="77777777" w:rsidR="003228A3" w:rsidRDefault="003228A3">
            <w:pPr>
              <w:jc w:val="center"/>
              <w:rPr>
                <w:sz w:val="22"/>
                <w:szCs w:val="22"/>
                <w:lang w:eastAsia="da-DK"/>
              </w:rPr>
            </w:pPr>
          </w:p>
          <w:p w14:paraId="66564E4A" w14:textId="77777777" w:rsidR="003228A3" w:rsidRDefault="003228A3">
            <w:pPr>
              <w:jc w:val="center"/>
              <w:rPr>
                <w:sz w:val="22"/>
                <w:szCs w:val="22"/>
                <w:lang w:eastAsia="da-DK"/>
              </w:rPr>
            </w:pPr>
          </w:p>
          <w:p w14:paraId="18066A17" w14:textId="77777777" w:rsidR="003228A3" w:rsidRDefault="003228A3">
            <w:pPr>
              <w:jc w:val="center"/>
              <w:rPr>
                <w:sz w:val="22"/>
                <w:szCs w:val="22"/>
                <w:lang w:eastAsia="da-DK"/>
              </w:rPr>
            </w:pPr>
          </w:p>
          <w:p w14:paraId="4920BBD6" w14:textId="77777777" w:rsidR="003228A3" w:rsidRDefault="003228A3">
            <w:pPr>
              <w:jc w:val="center"/>
              <w:rPr>
                <w:sz w:val="22"/>
                <w:szCs w:val="22"/>
                <w:lang w:eastAsia="da-DK"/>
              </w:rPr>
            </w:pPr>
            <w:r>
              <w:rPr>
                <w:sz w:val="22"/>
                <w:szCs w:val="22"/>
                <w:lang w:eastAsia="da-DK"/>
              </w:rPr>
              <w:t>0/0</w:t>
            </w:r>
          </w:p>
        </w:tc>
      </w:tr>
    </w:tbl>
    <w:p w14:paraId="40BC04EB" w14:textId="77777777" w:rsidR="003228A3" w:rsidRDefault="003228A3" w:rsidP="003228A3">
      <w:pPr>
        <w:suppressAutoHyphens/>
        <w:ind w:left="284" w:hanging="284"/>
        <w:rPr>
          <w:sz w:val="24"/>
          <w:szCs w:val="24"/>
        </w:rPr>
      </w:pPr>
      <w:r>
        <w:rPr>
          <w:sz w:val="24"/>
          <w:szCs w:val="24"/>
        </w:rPr>
        <w:t>*</w:t>
      </w:r>
      <w:r>
        <w:rPr>
          <w:sz w:val="24"/>
          <w:szCs w:val="24"/>
        </w:rPr>
        <w:tab/>
        <w:t xml:space="preserve">p-værdi versus adefovirdipivoxil &lt;0,05. </w:t>
      </w:r>
    </w:p>
    <w:p w14:paraId="081590E7" w14:textId="77777777" w:rsidR="003228A3" w:rsidRDefault="003228A3" w:rsidP="003228A3">
      <w:pPr>
        <w:suppressAutoHyphens/>
        <w:ind w:left="284" w:hanging="284"/>
        <w:rPr>
          <w:sz w:val="24"/>
          <w:szCs w:val="24"/>
        </w:rPr>
      </w:pPr>
      <w:r>
        <w:rPr>
          <w:sz w:val="24"/>
          <w:szCs w:val="24"/>
        </w:rPr>
        <w:t>a</w:t>
      </w:r>
      <w:r>
        <w:rPr>
          <w:sz w:val="24"/>
          <w:szCs w:val="24"/>
        </w:rPr>
        <w:tab/>
        <w:t xml:space="preserve">Komplet respons defineret som HBV-dna-niveauer &lt;400 kopier/ml og en forbedring af Knodells nekroinflammatoriske score på mindst 2 points uden forværring af Knodells fibrosescore. </w:t>
      </w:r>
    </w:p>
    <w:p w14:paraId="3E64A61D" w14:textId="77777777" w:rsidR="003228A3" w:rsidRDefault="003228A3" w:rsidP="003228A3">
      <w:pPr>
        <w:suppressAutoHyphens/>
        <w:ind w:left="284" w:hanging="284"/>
        <w:rPr>
          <w:sz w:val="24"/>
          <w:szCs w:val="24"/>
        </w:rPr>
      </w:pPr>
      <w:r>
        <w:rPr>
          <w:sz w:val="24"/>
          <w:szCs w:val="24"/>
        </w:rPr>
        <w:t>b</w:t>
      </w:r>
      <w:r>
        <w:rPr>
          <w:sz w:val="24"/>
          <w:szCs w:val="24"/>
        </w:rPr>
        <w:tab/>
        <w:t xml:space="preserve">Forbedring af Knodells nekroinflammatoriske score på mindst 2 point uden forværring af Knodells fibrosescore. </w:t>
      </w:r>
    </w:p>
    <w:p w14:paraId="36458937" w14:textId="77777777" w:rsidR="003228A3" w:rsidRDefault="003228A3" w:rsidP="003228A3">
      <w:pPr>
        <w:suppressAutoHyphens/>
        <w:ind w:left="284" w:hanging="284"/>
        <w:rPr>
          <w:sz w:val="24"/>
          <w:szCs w:val="24"/>
        </w:rPr>
      </w:pPr>
      <w:r>
        <w:rPr>
          <w:sz w:val="24"/>
          <w:szCs w:val="24"/>
        </w:rPr>
        <w:t>c</w:t>
      </w:r>
      <w:r>
        <w:rPr>
          <w:sz w:val="24"/>
          <w:szCs w:val="24"/>
        </w:rPr>
        <w:tab/>
        <w:t xml:space="preserve">Median ændring fra baseline HBV-dna reflekterer blot forskellen mellem baseline HBV-dna og analysens detektionsgrænse (Limit of detection - LOD). </w:t>
      </w:r>
    </w:p>
    <w:p w14:paraId="24ADE54A" w14:textId="77777777" w:rsidR="003228A3" w:rsidRDefault="003228A3" w:rsidP="003228A3">
      <w:pPr>
        <w:suppressAutoHyphens/>
        <w:ind w:left="284" w:hanging="284"/>
        <w:rPr>
          <w:sz w:val="24"/>
          <w:szCs w:val="24"/>
        </w:rPr>
      </w:pPr>
      <w:r>
        <w:rPr>
          <w:sz w:val="24"/>
          <w:szCs w:val="24"/>
        </w:rPr>
        <w:t>d</w:t>
      </w:r>
      <w:r>
        <w:rPr>
          <w:sz w:val="24"/>
          <w:szCs w:val="24"/>
        </w:rPr>
        <w:tab/>
        <w:t xml:space="preserve">Populationen, som blev brugt til analyse af ALAT-normalisering, inkluderede kun patienter med ALAT over ULN ved baseline. </w:t>
      </w:r>
    </w:p>
    <w:p w14:paraId="3E420759" w14:textId="77777777" w:rsidR="003228A3" w:rsidRDefault="003228A3" w:rsidP="003228A3">
      <w:pPr>
        <w:suppressAutoHyphens/>
        <w:ind w:left="284" w:hanging="284"/>
        <w:rPr>
          <w:sz w:val="24"/>
          <w:szCs w:val="24"/>
          <w:lang w:val="en-US"/>
        </w:rPr>
      </w:pPr>
      <w:r>
        <w:rPr>
          <w:sz w:val="24"/>
          <w:szCs w:val="24"/>
          <w:lang w:val="en-US"/>
        </w:rPr>
        <w:t xml:space="preserve">n/a = not applicable - ikke relevant. </w:t>
      </w:r>
    </w:p>
    <w:p w14:paraId="0620B568" w14:textId="77777777" w:rsidR="003228A3" w:rsidRDefault="003228A3" w:rsidP="003228A3">
      <w:pPr>
        <w:suppressAutoHyphens/>
        <w:ind w:left="851" w:hanging="851"/>
        <w:rPr>
          <w:sz w:val="24"/>
          <w:szCs w:val="24"/>
          <w:lang w:val="en-US"/>
        </w:rPr>
      </w:pPr>
    </w:p>
    <w:p w14:paraId="27881101" w14:textId="77777777" w:rsidR="00A97556" w:rsidRPr="006E31EE" w:rsidRDefault="00A97556" w:rsidP="00A97556">
      <w:pPr>
        <w:suppressAutoHyphens/>
        <w:ind w:left="851"/>
        <w:rPr>
          <w:sz w:val="24"/>
          <w:szCs w:val="24"/>
        </w:rPr>
      </w:pPr>
      <w:r w:rsidRPr="006E31EE">
        <w:rPr>
          <w:sz w:val="24"/>
          <w:szCs w:val="24"/>
        </w:rPr>
        <w:t xml:space="preserve">Tenofovirdisoproxil var forbundet med signifikant større andele af patienter med HBV-dna, som ikke kunne måles (&lt;169 kopier/ml [&lt;29 IE/ml]; kvantificeringsgrænsen for Roche Cobas Taqman HBV-assayet), sammenlignet med adefovirdipivoxil (studie GS-US-174-0102; 91 %, 56 % henholdsvis studie GS-US-174-0103; 69 %, 9 %). </w:t>
      </w:r>
    </w:p>
    <w:p w14:paraId="2A010D82" w14:textId="77777777" w:rsidR="00A97556" w:rsidRPr="006E31EE" w:rsidRDefault="00A97556" w:rsidP="00A97556">
      <w:pPr>
        <w:suppressAutoHyphens/>
        <w:ind w:left="851" w:hanging="851"/>
        <w:rPr>
          <w:sz w:val="24"/>
          <w:szCs w:val="24"/>
        </w:rPr>
      </w:pPr>
    </w:p>
    <w:p w14:paraId="05700C45" w14:textId="77777777" w:rsidR="00A97556" w:rsidRPr="006E31EE" w:rsidRDefault="00A97556" w:rsidP="00A97556">
      <w:pPr>
        <w:suppressAutoHyphens/>
        <w:ind w:left="851"/>
        <w:rPr>
          <w:sz w:val="24"/>
          <w:szCs w:val="24"/>
        </w:rPr>
      </w:pPr>
      <w:r w:rsidRPr="006E31EE">
        <w:rPr>
          <w:sz w:val="24"/>
          <w:szCs w:val="24"/>
        </w:rPr>
        <w:t xml:space="preserve">Behandlingsresponsen med tenofovirdisoproxil var sammenlignelig hos de nukleosid-behandlede (n = 51) og nukleosid-naive (n = 375) patienter samt hos patienter med normal ALAT (n = 21) og unormal ALAT (n = 405) ved baseline, da studierne GS-US-174-0102 og GS-US-174-0103 blev kombineret. Der var 49 ud af de 51 nukleosid-behandlede patienter, der tidligere var blevet behandlet med lamivudin. Der var 73 % af de nukleosid-behandlede og 69 % af de nukleosid-naive patienter, der opnåede fuldkommen respons på behandlingen; 90 % af de nukleosidbehandlede og 88 % af de nukleosidnaive patienter opnåede HBV-dna-undertrykkelse &lt;400 kopier/ml. Alle patienter med normal ALAT ved baseline og 88 % af patienterne med unormal ALAT ved baseline opnåede HBV-dna-suppression &lt; 400 kopier/ml. </w:t>
      </w:r>
    </w:p>
    <w:p w14:paraId="369376F4" w14:textId="77777777" w:rsidR="00A97556" w:rsidRPr="006E31EE" w:rsidRDefault="00A97556" w:rsidP="00A97556">
      <w:pPr>
        <w:suppressAutoHyphens/>
        <w:ind w:left="851" w:hanging="851"/>
        <w:rPr>
          <w:sz w:val="24"/>
          <w:szCs w:val="24"/>
        </w:rPr>
      </w:pPr>
    </w:p>
    <w:p w14:paraId="524737D8" w14:textId="77777777" w:rsidR="00A97556" w:rsidRPr="006E31EE" w:rsidRDefault="00A97556" w:rsidP="00A97556">
      <w:pPr>
        <w:suppressAutoHyphens/>
        <w:ind w:left="851"/>
        <w:rPr>
          <w:i/>
          <w:sz w:val="24"/>
          <w:szCs w:val="24"/>
        </w:rPr>
      </w:pPr>
      <w:r w:rsidRPr="006E31EE">
        <w:rPr>
          <w:i/>
          <w:sz w:val="24"/>
          <w:szCs w:val="24"/>
        </w:rPr>
        <w:t xml:space="preserve">Erfaring ud over 48 uger i studie GS-US-174-0102 og GS-US-174-0103 </w:t>
      </w:r>
    </w:p>
    <w:p w14:paraId="11364512" w14:textId="77777777" w:rsidR="00A97556" w:rsidRPr="006E31EE" w:rsidRDefault="00A97556" w:rsidP="00A97556">
      <w:pPr>
        <w:suppressAutoHyphens/>
        <w:ind w:left="851"/>
        <w:rPr>
          <w:sz w:val="24"/>
          <w:szCs w:val="24"/>
        </w:rPr>
      </w:pPr>
      <w:r w:rsidRPr="006E31EE">
        <w:rPr>
          <w:sz w:val="24"/>
          <w:szCs w:val="24"/>
        </w:rPr>
        <w:t>I studierne GS-US-174-0102 og GS-US-174-0103 skiftede patienterne uden behandlingsafbrydelse til open label-behandling med tenofovirdisoproxil efter at have fået dobbeltblind-behandling i 48 uger (enten 245 mg tenofovirdisoproxil eller 10 mg adefovirdipivoxil). I studierne GS-US-174-0102 og GS-US-174-0103 fortsatte henholdsvis 77 % og 61 % af patienterne i studiet til og med uge 384. Ved uge 96, 144, 192, 240, 288 og 384 blev viral suppression og biokemisk og serologisk respons opretholdt ved fortsat tenofovirdisoproxil-behandling (se tabel 4 og 5 nedenfor).</w:t>
      </w:r>
    </w:p>
    <w:p w14:paraId="6A0470B8" w14:textId="77777777" w:rsidR="00A97556" w:rsidRPr="006E31EE" w:rsidRDefault="00A97556" w:rsidP="00A97556">
      <w:pPr>
        <w:suppressAutoHyphens/>
        <w:ind w:left="851" w:hanging="851"/>
        <w:rPr>
          <w:sz w:val="24"/>
          <w:szCs w:val="24"/>
        </w:rPr>
      </w:pPr>
    </w:p>
    <w:p w14:paraId="476530FD" w14:textId="77777777" w:rsidR="00A97556" w:rsidRPr="006E31EE" w:rsidRDefault="00A97556" w:rsidP="00A97556">
      <w:pPr>
        <w:suppressAutoHyphens/>
        <w:rPr>
          <w:b/>
          <w:sz w:val="24"/>
          <w:szCs w:val="24"/>
        </w:rPr>
      </w:pPr>
      <w:r w:rsidRPr="006E31EE">
        <w:rPr>
          <w:b/>
          <w:sz w:val="24"/>
          <w:szCs w:val="24"/>
        </w:rPr>
        <w:t>Tabel 4: Virkningsparametre hos kompenserede HBeAg-negative patienter ved uge 96, 144, 192, 240, 288 og 384 open label-behandling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520"/>
        <w:gridCol w:w="628"/>
        <w:gridCol w:w="635"/>
        <w:gridCol w:w="603"/>
        <w:gridCol w:w="603"/>
        <w:gridCol w:w="635"/>
        <w:gridCol w:w="1402"/>
        <w:gridCol w:w="610"/>
        <w:gridCol w:w="635"/>
        <w:gridCol w:w="603"/>
        <w:gridCol w:w="678"/>
        <w:gridCol w:w="634"/>
      </w:tblGrid>
      <w:tr w:rsidR="00A97556" w:rsidRPr="006E31EE" w14:paraId="0F9569F9" w14:textId="77777777" w:rsidTr="00A97556">
        <w:tc>
          <w:tcPr>
            <w:tcW w:w="749" w:type="pct"/>
          </w:tcPr>
          <w:p w14:paraId="10153434" w14:textId="77777777" w:rsidR="00A97556" w:rsidRPr="006E31EE" w:rsidRDefault="00A97556" w:rsidP="00A97556">
            <w:pPr>
              <w:rPr>
                <w:sz w:val="22"/>
                <w:szCs w:val="22"/>
              </w:rPr>
            </w:pPr>
          </w:p>
        </w:tc>
        <w:tc>
          <w:tcPr>
            <w:tcW w:w="4251" w:type="pct"/>
            <w:gridSpan w:val="12"/>
          </w:tcPr>
          <w:p w14:paraId="18805DA6" w14:textId="77777777" w:rsidR="00A97556" w:rsidRPr="006E31EE" w:rsidRDefault="00A97556" w:rsidP="00A97556">
            <w:pPr>
              <w:jc w:val="center"/>
              <w:rPr>
                <w:sz w:val="22"/>
                <w:szCs w:val="22"/>
              </w:rPr>
            </w:pPr>
            <w:r w:rsidRPr="006E31EE">
              <w:rPr>
                <w:b/>
                <w:bCs/>
                <w:sz w:val="22"/>
                <w:szCs w:val="22"/>
              </w:rPr>
              <w:t>Studie 174-0102 (HBeAg-negativ)</w:t>
            </w:r>
          </w:p>
        </w:tc>
      </w:tr>
      <w:tr w:rsidR="00A97556" w:rsidRPr="006E31EE" w14:paraId="4244032A" w14:textId="77777777" w:rsidTr="00A97556">
        <w:tc>
          <w:tcPr>
            <w:tcW w:w="749" w:type="pct"/>
          </w:tcPr>
          <w:p w14:paraId="720F1F90" w14:textId="77777777" w:rsidR="00A97556" w:rsidRPr="006E31EE" w:rsidRDefault="00A97556" w:rsidP="00A97556">
            <w:pPr>
              <w:rPr>
                <w:sz w:val="22"/>
                <w:szCs w:val="22"/>
              </w:rPr>
            </w:pPr>
            <w:r w:rsidRPr="006E31EE">
              <w:rPr>
                <w:sz w:val="22"/>
                <w:szCs w:val="22"/>
              </w:rPr>
              <w:t>Parameter</w:t>
            </w:r>
            <w:r w:rsidRPr="006E31EE">
              <w:rPr>
                <w:sz w:val="22"/>
                <w:szCs w:val="22"/>
                <w:vertAlign w:val="superscript"/>
              </w:rPr>
              <w:t>a</w:t>
            </w:r>
          </w:p>
        </w:tc>
        <w:tc>
          <w:tcPr>
            <w:tcW w:w="1882" w:type="pct"/>
            <w:gridSpan w:val="6"/>
            <w:vAlign w:val="bottom"/>
          </w:tcPr>
          <w:p w14:paraId="493ADAA9" w14:textId="77777777" w:rsidR="00A97556" w:rsidRPr="006E31EE" w:rsidRDefault="00A97556" w:rsidP="00A97556">
            <w:pPr>
              <w:jc w:val="center"/>
              <w:rPr>
                <w:sz w:val="22"/>
                <w:szCs w:val="22"/>
              </w:rPr>
            </w:pPr>
            <w:r w:rsidRPr="006E31EE">
              <w:rPr>
                <w:sz w:val="22"/>
                <w:szCs w:val="22"/>
              </w:rPr>
              <w:t>245 mg tenofovirdisoproxil</w:t>
            </w:r>
          </w:p>
          <w:p w14:paraId="71E36F44" w14:textId="77777777" w:rsidR="00A97556" w:rsidRPr="006E31EE" w:rsidRDefault="00A97556" w:rsidP="00A97556">
            <w:pPr>
              <w:jc w:val="center"/>
              <w:rPr>
                <w:sz w:val="22"/>
                <w:szCs w:val="22"/>
              </w:rPr>
            </w:pPr>
            <w:r w:rsidRPr="006E31EE">
              <w:rPr>
                <w:sz w:val="22"/>
                <w:szCs w:val="22"/>
              </w:rPr>
              <w:t>n = 250</w:t>
            </w:r>
          </w:p>
        </w:tc>
        <w:tc>
          <w:tcPr>
            <w:tcW w:w="2370" w:type="pct"/>
            <w:gridSpan w:val="6"/>
            <w:vAlign w:val="center"/>
          </w:tcPr>
          <w:p w14:paraId="3D3076CB" w14:textId="77777777" w:rsidR="00A97556" w:rsidRPr="006E31EE" w:rsidRDefault="00A97556" w:rsidP="00A97556">
            <w:pPr>
              <w:jc w:val="center"/>
              <w:rPr>
                <w:sz w:val="22"/>
                <w:szCs w:val="22"/>
              </w:rPr>
            </w:pPr>
            <w:r w:rsidRPr="006E31EE">
              <w:rPr>
                <w:sz w:val="22"/>
                <w:szCs w:val="22"/>
              </w:rPr>
              <w:t>10 mg adefovirdipivoxil skift til 245 mg tenofovirdisoproxil</w:t>
            </w:r>
          </w:p>
          <w:p w14:paraId="074A2397" w14:textId="77777777" w:rsidR="00A97556" w:rsidRPr="006E31EE" w:rsidRDefault="00A97556" w:rsidP="00A97556">
            <w:pPr>
              <w:jc w:val="center"/>
              <w:rPr>
                <w:sz w:val="22"/>
                <w:szCs w:val="22"/>
              </w:rPr>
            </w:pPr>
            <w:r w:rsidRPr="006E31EE">
              <w:rPr>
                <w:sz w:val="22"/>
                <w:szCs w:val="22"/>
              </w:rPr>
              <w:t>n = 125</w:t>
            </w:r>
          </w:p>
        </w:tc>
      </w:tr>
      <w:tr w:rsidR="00A97556" w:rsidRPr="006E31EE" w14:paraId="5A5D9FB3" w14:textId="77777777" w:rsidTr="00A97556">
        <w:tc>
          <w:tcPr>
            <w:tcW w:w="749" w:type="pct"/>
          </w:tcPr>
          <w:p w14:paraId="463A3BA6" w14:textId="77777777" w:rsidR="00A97556" w:rsidRPr="006E31EE" w:rsidRDefault="00A97556" w:rsidP="00A97556">
            <w:pPr>
              <w:rPr>
                <w:b/>
                <w:sz w:val="22"/>
                <w:szCs w:val="22"/>
                <w:lang w:eastAsia="da-DK"/>
              </w:rPr>
            </w:pPr>
            <w:r w:rsidRPr="006E31EE">
              <w:rPr>
                <w:b/>
                <w:sz w:val="22"/>
                <w:szCs w:val="22"/>
                <w:lang w:eastAsia="da-DK"/>
              </w:rPr>
              <w:t>Uge</w:t>
            </w:r>
          </w:p>
        </w:tc>
        <w:tc>
          <w:tcPr>
            <w:tcW w:w="270" w:type="pct"/>
          </w:tcPr>
          <w:p w14:paraId="430F1D88" w14:textId="77777777" w:rsidR="00A97556" w:rsidRPr="006E31EE" w:rsidRDefault="00A97556" w:rsidP="00A97556">
            <w:pPr>
              <w:jc w:val="center"/>
              <w:rPr>
                <w:sz w:val="22"/>
                <w:szCs w:val="22"/>
                <w:lang w:eastAsia="da-DK"/>
              </w:rPr>
            </w:pPr>
            <w:r w:rsidRPr="006E31EE">
              <w:rPr>
                <w:sz w:val="22"/>
                <w:szCs w:val="22"/>
                <w:lang w:eastAsia="da-DK"/>
              </w:rPr>
              <w:t>96</w:t>
            </w:r>
            <w:r w:rsidRPr="006E31EE">
              <w:rPr>
                <w:sz w:val="22"/>
                <w:szCs w:val="22"/>
                <w:vertAlign w:val="superscript"/>
                <w:lang w:eastAsia="da-DK"/>
              </w:rPr>
              <w:t>b</w:t>
            </w:r>
          </w:p>
        </w:tc>
        <w:tc>
          <w:tcPr>
            <w:tcW w:w="326" w:type="pct"/>
          </w:tcPr>
          <w:p w14:paraId="35ECB629" w14:textId="77777777" w:rsidR="00A97556" w:rsidRPr="006E31EE" w:rsidRDefault="00A97556" w:rsidP="00A97556">
            <w:pPr>
              <w:jc w:val="center"/>
              <w:rPr>
                <w:sz w:val="22"/>
                <w:szCs w:val="22"/>
                <w:lang w:eastAsia="da-DK"/>
              </w:rPr>
            </w:pPr>
            <w:r w:rsidRPr="006E31EE">
              <w:rPr>
                <w:sz w:val="22"/>
                <w:szCs w:val="22"/>
                <w:lang w:eastAsia="da-DK"/>
              </w:rPr>
              <w:t>144</w:t>
            </w:r>
            <w:r w:rsidRPr="006E31EE">
              <w:rPr>
                <w:sz w:val="22"/>
                <w:szCs w:val="22"/>
                <w:vertAlign w:val="superscript"/>
                <w:lang w:eastAsia="da-DK"/>
              </w:rPr>
              <w:t>e</w:t>
            </w:r>
          </w:p>
        </w:tc>
        <w:tc>
          <w:tcPr>
            <w:tcW w:w="330" w:type="pct"/>
          </w:tcPr>
          <w:p w14:paraId="55150EDF" w14:textId="77777777" w:rsidR="00A97556" w:rsidRPr="006E31EE" w:rsidRDefault="00A97556" w:rsidP="00A97556">
            <w:pPr>
              <w:jc w:val="center"/>
              <w:rPr>
                <w:sz w:val="22"/>
                <w:szCs w:val="22"/>
                <w:lang w:eastAsia="da-DK"/>
              </w:rPr>
            </w:pPr>
            <w:r w:rsidRPr="006E31EE">
              <w:rPr>
                <w:sz w:val="22"/>
                <w:szCs w:val="22"/>
                <w:lang w:eastAsia="da-DK"/>
              </w:rPr>
              <w:t>192</w:t>
            </w:r>
            <w:r w:rsidRPr="006E31EE">
              <w:rPr>
                <w:sz w:val="22"/>
                <w:szCs w:val="22"/>
                <w:vertAlign w:val="superscript"/>
                <w:lang w:eastAsia="da-DK"/>
              </w:rPr>
              <w:t>g</w:t>
            </w:r>
          </w:p>
        </w:tc>
        <w:tc>
          <w:tcPr>
            <w:tcW w:w="313" w:type="pct"/>
          </w:tcPr>
          <w:p w14:paraId="23E861E5" w14:textId="77777777" w:rsidR="00A97556" w:rsidRPr="006E31EE" w:rsidRDefault="00A97556" w:rsidP="00A97556">
            <w:pPr>
              <w:jc w:val="center"/>
              <w:rPr>
                <w:sz w:val="22"/>
                <w:szCs w:val="22"/>
                <w:lang w:eastAsia="da-DK"/>
              </w:rPr>
            </w:pPr>
            <w:r w:rsidRPr="006E31EE">
              <w:rPr>
                <w:sz w:val="22"/>
                <w:szCs w:val="22"/>
                <w:lang w:eastAsia="da-DK"/>
              </w:rPr>
              <w:t>240</w:t>
            </w:r>
            <w:r w:rsidRPr="006E31EE">
              <w:rPr>
                <w:sz w:val="22"/>
                <w:szCs w:val="22"/>
                <w:vertAlign w:val="superscript"/>
                <w:lang w:eastAsia="da-DK"/>
              </w:rPr>
              <w:t>i</w:t>
            </w:r>
          </w:p>
        </w:tc>
        <w:tc>
          <w:tcPr>
            <w:tcW w:w="313" w:type="pct"/>
          </w:tcPr>
          <w:p w14:paraId="250062B6" w14:textId="77777777" w:rsidR="00A97556" w:rsidRPr="006E31EE" w:rsidRDefault="00A97556" w:rsidP="00A97556">
            <w:pPr>
              <w:jc w:val="center"/>
              <w:rPr>
                <w:sz w:val="22"/>
                <w:szCs w:val="22"/>
                <w:lang w:eastAsia="da-DK"/>
              </w:rPr>
            </w:pPr>
            <w:r w:rsidRPr="006E31EE">
              <w:rPr>
                <w:sz w:val="22"/>
                <w:szCs w:val="22"/>
                <w:lang w:eastAsia="da-DK"/>
              </w:rPr>
              <w:t>288</w:t>
            </w:r>
            <w:r w:rsidRPr="006E31EE">
              <w:rPr>
                <w:sz w:val="22"/>
                <w:szCs w:val="22"/>
                <w:vertAlign w:val="superscript"/>
                <w:lang w:eastAsia="da-DK"/>
              </w:rPr>
              <w:t>l</w:t>
            </w:r>
          </w:p>
        </w:tc>
        <w:tc>
          <w:tcPr>
            <w:tcW w:w="330" w:type="pct"/>
          </w:tcPr>
          <w:p w14:paraId="1AD7B5C3" w14:textId="77777777" w:rsidR="00A97556" w:rsidRPr="006E31EE" w:rsidRDefault="00A97556" w:rsidP="00A97556">
            <w:pPr>
              <w:jc w:val="center"/>
              <w:rPr>
                <w:sz w:val="22"/>
                <w:szCs w:val="22"/>
                <w:lang w:eastAsia="da-DK"/>
              </w:rPr>
            </w:pPr>
            <w:r w:rsidRPr="006E31EE">
              <w:rPr>
                <w:sz w:val="22"/>
                <w:szCs w:val="22"/>
                <w:lang w:eastAsia="da-DK"/>
              </w:rPr>
              <w:t>384</w:t>
            </w:r>
            <w:r w:rsidRPr="006E31EE">
              <w:rPr>
                <w:sz w:val="22"/>
                <w:szCs w:val="22"/>
                <w:vertAlign w:val="superscript"/>
                <w:lang w:eastAsia="da-DK"/>
              </w:rPr>
              <w:t>o</w:t>
            </w:r>
          </w:p>
        </w:tc>
        <w:tc>
          <w:tcPr>
            <w:tcW w:w="728" w:type="pct"/>
          </w:tcPr>
          <w:p w14:paraId="6064C4EB" w14:textId="77777777" w:rsidR="00A97556" w:rsidRPr="006E31EE" w:rsidRDefault="00A97556" w:rsidP="00A97556">
            <w:pPr>
              <w:jc w:val="center"/>
              <w:rPr>
                <w:sz w:val="22"/>
                <w:szCs w:val="22"/>
                <w:lang w:eastAsia="da-DK"/>
              </w:rPr>
            </w:pPr>
            <w:r w:rsidRPr="006E31EE">
              <w:rPr>
                <w:sz w:val="22"/>
                <w:szCs w:val="22"/>
                <w:lang w:eastAsia="da-DK"/>
              </w:rPr>
              <w:t>96</w:t>
            </w:r>
            <w:r w:rsidRPr="006E31EE">
              <w:rPr>
                <w:sz w:val="22"/>
                <w:szCs w:val="22"/>
                <w:vertAlign w:val="superscript"/>
                <w:lang w:eastAsia="da-DK"/>
              </w:rPr>
              <w:t>c</w:t>
            </w:r>
          </w:p>
        </w:tc>
        <w:tc>
          <w:tcPr>
            <w:tcW w:w="317" w:type="pct"/>
          </w:tcPr>
          <w:p w14:paraId="14E3455D" w14:textId="77777777" w:rsidR="00A97556" w:rsidRPr="006E31EE" w:rsidRDefault="00A97556" w:rsidP="00A97556">
            <w:pPr>
              <w:jc w:val="center"/>
              <w:rPr>
                <w:sz w:val="22"/>
                <w:szCs w:val="22"/>
                <w:lang w:eastAsia="da-DK"/>
              </w:rPr>
            </w:pPr>
            <w:r w:rsidRPr="006E31EE">
              <w:rPr>
                <w:sz w:val="22"/>
                <w:szCs w:val="22"/>
                <w:lang w:eastAsia="da-DK"/>
              </w:rPr>
              <w:t>144</w:t>
            </w:r>
            <w:r w:rsidRPr="006E31EE">
              <w:rPr>
                <w:sz w:val="22"/>
                <w:szCs w:val="22"/>
                <w:vertAlign w:val="superscript"/>
                <w:lang w:eastAsia="da-DK"/>
              </w:rPr>
              <w:t>f</w:t>
            </w:r>
          </w:p>
        </w:tc>
        <w:tc>
          <w:tcPr>
            <w:tcW w:w="330" w:type="pct"/>
          </w:tcPr>
          <w:p w14:paraId="6DE8BA07" w14:textId="77777777" w:rsidR="00A97556" w:rsidRPr="006E31EE" w:rsidRDefault="00A97556" w:rsidP="00A97556">
            <w:pPr>
              <w:jc w:val="center"/>
              <w:rPr>
                <w:sz w:val="22"/>
                <w:szCs w:val="22"/>
                <w:lang w:eastAsia="da-DK"/>
              </w:rPr>
            </w:pPr>
            <w:r w:rsidRPr="006E31EE">
              <w:rPr>
                <w:sz w:val="22"/>
                <w:szCs w:val="22"/>
                <w:lang w:eastAsia="da-DK"/>
              </w:rPr>
              <w:t>192</w:t>
            </w:r>
            <w:r w:rsidRPr="006E31EE">
              <w:rPr>
                <w:sz w:val="22"/>
                <w:szCs w:val="22"/>
                <w:vertAlign w:val="superscript"/>
                <w:lang w:eastAsia="da-DK"/>
              </w:rPr>
              <w:t>h</w:t>
            </w:r>
          </w:p>
        </w:tc>
        <w:tc>
          <w:tcPr>
            <w:tcW w:w="313" w:type="pct"/>
          </w:tcPr>
          <w:p w14:paraId="1435960E" w14:textId="77777777" w:rsidR="00A97556" w:rsidRPr="006E31EE" w:rsidRDefault="00A97556" w:rsidP="00A97556">
            <w:pPr>
              <w:jc w:val="center"/>
              <w:rPr>
                <w:sz w:val="22"/>
                <w:szCs w:val="22"/>
                <w:lang w:eastAsia="da-DK"/>
              </w:rPr>
            </w:pPr>
            <w:r w:rsidRPr="006E31EE">
              <w:rPr>
                <w:sz w:val="22"/>
                <w:szCs w:val="22"/>
                <w:lang w:eastAsia="da-DK"/>
              </w:rPr>
              <w:t>240</w:t>
            </w:r>
            <w:r w:rsidRPr="006E31EE">
              <w:rPr>
                <w:sz w:val="22"/>
                <w:szCs w:val="22"/>
                <w:vertAlign w:val="superscript"/>
                <w:lang w:eastAsia="da-DK"/>
              </w:rPr>
              <w:t>j</w:t>
            </w:r>
          </w:p>
        </w:tc>
        <w:tc>
          <w:tcPr>
            <w:tcW w:w="352" w:type="pct"/>
          </w:tcPr>
          <w:p w14:paraId="66CA6622" w14:textId="77777777" w:rsidR="00A97556" w:rsidRPr="006E31EE" w:rsidRDefault="00A97556" w:rsidP="00A97556">
            <w:pPr>
              <w:jc w:val="center"/>
              <w:rPr>
                <w:sz w:val="22"/>
                <w:szCs w:val="22"/>
                <w:lang w:eastAsia="da-DK"/>
              </w:rPr>
            </w:pPr>
            <w:r w:rsidRPr="006E31EE">
              <w:rPr>
                <w:sz w:val="22"/>
                <w:szCs w:val="22"/>
                <w:lang w:eastAsia="da-DK"/>
              </w:rPr>
              <w:t>288</w:t>
            </w:r>
            <w:r w:rsidRPr="006E31EE">
              <w:rPr>
                <w:sz w:val="22"/>
                <w:szCs w:val="22"/>
                <w:vertAlign w:val="superscript"/>
                <w:lang w:eastAsia="da-DK"/>
              </w:rPr>
              <w:t>m</w:t>
            </w:r>
          </w:p>
        </w:tc>
        <w:tc>
          <w:tcPr>
            <w:tcW w:w="330" w:type="pct"/>
          </w:tcPr>
          <w:p w14:paraId="7DBD1864" w14:textId="77777777" w:rsidR="00A97556" w:rsidRPr="006E31EE" w:rsidRDefault="00A97556" w:rsidP="00A97556">
            <w:pPr>
              <w:rPr>
                <w:sz w:val="22"/>
                <w:szCs w:val="22"/>
                <w:lang w:eastAsia="da-DK"/>
              </w:rPr>
            </w:pPr>
            <w:r w:rsidRPr="006E31EE">
              <w:rPr>
                <w:sz w:val="22"/>
                <w:szCs w:val="22"/>
                <w:lang w:eastAsia="da-DK"/>
              </w:rPr>
              <w:t>384</w:t>
            </w:r>
            <w:r w:rsidRPr="006E31EE">
              <w:rPr>
                <w:sz w:val="22"/>
                <w:szCs w:val="22"/>
                <w:vertAlign w:val="superscript"/>
                <w:lang w:eastAsia="da-DK"/>
              </w:rPr>
              <w:t>p</w:t>
            </w:r>
          </w:p>
        </w:tc>
      </w:tr>
      <w:tr w:rsidR="00A97556" w:rsidRPr="006E31EE" w14:paraId="305DEA29" w14:textId="77777777" w:rsidTr="00A97556">
        <w:tc>
          <w:tcPr>
            <w:tcW w:w="749" w:type="pct"/>
          </w:tcPr>
          <w:p w14:paraId="54C47B1B" w14:textId="77777777" w:rsidR="00A97556" w:rsidRPr="00C521AB" w:rsidRDefault="00A97556" w:rsidP="00A97556">
            <w:pPr>
              <w:rPr>
                <w:b/>
                <w:sz w:val="22"/>
                <w:szCs w:val="22"/>
                <w:lang w:val="de-DE" w:eastAsia="da-DK"/>
              </w:rPr>
            </w:pPr>
            <w:r w:rsidRPr="00C521AB">
              <w:rPr>
                <w:b/>
                <w:sz w:val="22"/>
                <w:szCs w:val="22"/>
                <w:lang w:val="de-DE" w:eastAsia="da-DK"/>
              </w:rPr>
              <w:t>HBV-dna (%)</w:t>
            </w:r>
          </w:p>
          <w:p w14:paraId="10B395ED" w14:textId="77777777" w:rsidR="00A97556" w:rsidRPr="00C521AB" w:rsidRDefault="00A97556" w:rsidP="00A97556">
            <w:pPr>
              <w:rPr>
                <w:sz w:val="22"/>
                <w:szCs w:val="22"/>
                <w:lang w:val="de-DE" w:eastAsia="da-DK"/>
              </w:rPr>
            </w:pPr>
            <w:r w:rsidRPr="00C521AB">
              <w:rPr>
                <w:sz w:val="22"/>
                <w:szCs w:val="22"/>
                <w:lang w:val="de-DE" w:eastAsia="da-DK"/>
              </w:rPr>
              <w:t>&lt;400 kopier/ml</w:t>
            </w:r>
          </w:p>
          <w:p w14:paraId="548B53C7" w14:textId="77777777" w:rsidR="00A97556" w:rsidRPr="00C521AB" w:rsidRDefault="00A97556" w:rsidP="00A97556">
            <w:pPr>
              <w:rPr>
                <w:sz w:val="22"/>
                <w:szCs w:val="22"/>
                <w:lang w:val="de-DE" w:eastAsia="da-DK"/>
              </w:rPr>
            </w:pPr>
            <w:r w:rsidRPr="00C521AB">
              <w:rPr>
                <w:sz w:val="22"/>
                <w:szCs w:val="22"/>
                <w:lang w:val="de-DE" w:eastAsia="da-DK"/>
              </w:rPr>
              <w:t>(&lt;69 IE/ml)</w:t>
            </w:r>
          </w:p>
        </w:tc>
        <w:tc>
          <w:tcPr>
            <w:tcW w:w="270" w:type="pct"/>
          </w:tcPr>
          <w:p w14:paraId="0019D95B" w14:textId="77777777" w:rsidR="00A97556" w:rsidRPr="006E31EE" w:rsidRDefault="00A97556" w:rsidP="00A97556">
            <w:pPr>
              <w:jc w:val="center"/>
              <w:rPr>
                <w:sz w:val="22"/>
                <w:szCs w:val="22"/>
                <w:lang w:eastAsia="da-DK"/>
              </w:rPr>
            </w:pPr>
            <w:r w:rsidRPr="006E31EE">
              <w:rPr>
                <w:sz w:val="22"/>
                <w:szCs w:val="22"/>
                <w:lang w:eastAsia="da-DK"/>
              </w:rPr>
              <w:t>90</w:t>
            </w:r>
          </w:p>
        </w:tc>
        <w:tc>
          <w:tcPr>
            <w:tcW w:w="326" w:type="pct"/>
          </w:tcPr>
          <w:p w14:paraId="7AB42649" w14:textId="77777777" w:rsidR="00A97556" w:rsidRPr="006E31EE" w:rsidRDefault="00A97556" w:rsidP="00A97556">
            <w:pPr>
              <w:jc w:val="center"/>
              <w:rPr>
                <w:sz w:val="22"/>
                <w:szCs w:val="22"/>
                <w:lang w:eastAsia="da-DK"/>
              </w:rPr>
            </w:pPr>
            <w:r w:rsidRPr="006E31EE">
              <w:rPr>
                <w:sz w:val="22"/>
                <w:szCs w:val="22"/>
                <w:lang w:eastAsia="da-DK"/>
              </w:rPr>
              <w:t>87</w:t>
            </w:r>
          </w:p>
        </w:tc>
        <w:tc>
          <w:tcPr>
            <w:tcW w:w="330" w:type="pct"/>
          </w:tcPr>
          <w:p w14:paraId="6C2DC17E" w14:textId="77777777" w:rsidR="00A97556" w:rsidRPr="006E31EE" w:rsidRDefault="00A97556" w:rsidP="00A97556">
            <w:pPr>
              <w:jc w:val="center"/>
              <w:rPr>
                <w:sz w:val="22"/>
                <w:szCs w:val="22"/>
                <w:lang w:eastAsia="da-DK"/>
              </w:rPr>
            </w:pPr>
            <w:r w:rsidRPr="006E31EE">
              <w:rPr>
                <w:sz w:val="22"/>
                <w:szCs w:val="22"/>
                <w:lang w:eastAsia="da-DK"/>
              </w:rPr>
              <w:t>84</w:t>
            </w:r>
          </w:p>
        </w:tc>
        <w:tc>
          <w:tcPr>
            <w:tcW w:w="313" w:type="pct"/>
          </w:tcPr>
          <w:p w14:paraId="3264F9E2" w14:textId="77777777" w:rsidR="00A97556" w:rsidRPr="006E31EE" w:rsidRDefault="00A97556" w:rsidP="00A97556">
            <w:pPr>
              <w:jc w:val="center"/>
              <w:rPr>
                <w:sz w:val="22"/>
                <w:szCs w:val="22"/>
                <w:lang w:eastAsia="da-DK"/>
              </w:rPr>
            </w:pPr>
            <w:r w:rsidRPr="006E31EE">
              <w:rPr>
                <w:sz w:val="22"/>
                <w:szCs w:val="22"/>
                <w:lang w:eastAsia="da-DK"/>
              </w:rPr>
              <w:t>83</w:t>
            </w:r>
          </w:p>
        </w:tc>
        <w:tc>
          <w:tcPr>
            <w:tcW w:w="313" w:type="pct"/>
          </w:tcPr>
          <w:p w14:paraId="66D3175C" w14:textId="77777777" w:rsidR="00A97556" w:rsidRPr="006E31EE" w:rsidRDefault="00A97556" w:rsidP="00A97556">
            <w:pPr>
              <w:jc w:val="center"/>
              <w:rPr>
                <w:sz w:val="22"/>
                <w:szCs w:val="22"/>
                <w:lang w:eastAsia="da-DK"/>
              </w:rPr>
            </w:pPr>
            <w:r w:rsidRPr="006E31EE">
              <w:rPr>
                <w:sz w:val="22"/>
                <w:szCs w:val="22"/>
                <w:lang w:eastAsia="da-DK"/>
              </w:rPr>
              <w:t>80</w:t>
            </w:r>
          </w:p>
        </w:tc>
        <w:tc>
          <w:tcPr>
            <w:tcW w:w="330" w:type="pct"/>
          </w:tcPr>
          <w:p w14:paraId="4B341078" w14:textId="77777777" w:rsidR="00A97556" w:rsidRPr="006E31EE" w:rsidRDefault="00A97556" w:rsidP="00A97556">
            <w:pPr>
              <w:jc w:val="center"/>
              <w:rPr>
                <w:sz w:val="22"/>
                <w:szCs w:val="22"/>
                <w:lang w:eastAsia="da-DK"/>
              </w:rPr>
            </w:pPr>
            <w:r w:rsidRPr="006E31EE">
              <w:rPr>
                <w:sz w:val="22"/>
                <w:szCs w:val="22"/>
                <w:lang w:eastAsia="da-DK"/>
              </w:rPr>
              <w:t>74</w:t>
            </w:r>
          </w:p>
        </w:tc>
        <w:tc>
          <w:tcPr>
            <w:tcW w:w="728" w:type="pct"/>
          </w:tcPr>
          <w:p w14:paraId="2768A296" w14:textId="77777777" w:rsidR="00A97556" w:rsidRPr="006E31EE" w:rsidRDefault="00A97556" w:rsidP="00A97556">
            <w:pPr>
              <w:jc w:val="center"/>
              <w:rPr>
                <w:sz w:val="22"/>
                <w:szCs w:val="22"/>
                <w:lang w:eastAsia="da-DK"/>
              </w:rPr>
            </w:pPr>
            <w:r w:rsidRPr="006E31EE">
              <w:rPr>
                <w:sz w:val="22"/>
                <w:szCs w:val="22"/>
                <w:lang w:eastAsia="da-DK"/>
              </w:rPr>
              <w:t>89</w:t>
            </w:r>
          </w:p>
        </w:tc>
        <w:tc>
          <w:tcPr>
            <w:tcW w:w="317" w:type="pct"/>
          </w:tcPr>
          <w:p w14:paraId="743229E8" w14:textId="77777777" w:rsidR="00A97556" w:rsidRPr="006E31EE" w:rsidRDefault="00A97556" w:rsidP="00A97556">
            <w:pPr>
              <w:jc w:val="center"/>
              <w:rPr>
                <w:sz w:val="22"/>
                <w:szCs w:val="22"/>
                <w:lang w:eastAsia="da-DK"/>
              </w:rPr>
            </w:pPr>
            <w:r w:rsidRPr="006E31EE">
              <w:rPr>
                <w:sz w:val="22"/>
                <w:szCs w:val="22"/>
                <w:lang w:eastAsia="da-DK"/>
              </w:rPr>
              <w:t>88</w:t>
            </w:r>
          </w:p>
        </w:tc>
        <w:tc>
          <w:tcPr>
            <w:tcW w:w="330" w:type="pct"/>
          </w:tcPr>
          <w:p w14:paraId="437EAC2E" w14:textId="77777777" w:rsidR="00A97556" w:rsidRPr="006E31EE" w:rsidRDefault="00A97556" w:rsidP="00A97556">
            <w:pPr>
              <w:jc w:val="center"/>
              <w:rPr>
                <w:sz w:val="22"/>
                <w:szCs w:val="22"/>
                <w:lang w:eastAsia="da-DK"/>
              </w:rPr>
            </w:pPr>
            <w:r w:rsidRPr="006E31EE">
              <w:rPr>
                <w:sz w:val="22"/>
                <w:szCs w:val="22"/>
                <w:lang w:eastAsia="da-DK"/>
              </w:rPr>
              <w:t>87</w:t>
            </w:r>
          </w:p>
        </w:tc>
        <w:tc>
          <w:tcPr>
            <w:tcW w:w="313" w:type="pct"/>
          </w:tcPr>
          <w:p w14:paraId="6DA04723" w14:textId="77777777" w:rsidR="00A97556" w:rsidRPr="006E31EE" w:rsidRDefault="00A97556" w:rsidP="00A97556">
            <w:pPr>
              <w:jc w:val="center"/>
              <w:rPr>
                <w:sz w:val="22"/>
                <w:szCs w:val="22"/>
                <w:lang w:eastAsia="da-DK"/>
              </w:rPr>
            </w:pPr>
            <w:r w:rsidRPr="006E31EE">
              <w:rPr>
                <w:sz w:val="22"/>
                <w:szCs w:val="22"/>
                <w:lang w:eastAsia="da-DK"/>
              </w:rPr>
              <w:t>84</w:t>
            </w:r>
          </w:p>
        </w:tc>
        <w:tc>
          <w:tcPr>
            <w:tcW w:w="352" w:type="pct"/>
          </w:tcPr>
          <w:p w14:paraId="38D5EF2B" w14:textId="77777777" w:rsidR="00A97556" w:rsidRPr="006E31EE" w:rsidRDefault="00A97556" w:rsidP="00A97556">
            <w:pPr>
              <w:jc w:val="center"/>
              <w:rPr>
                <w:sz w:val="22"/>
                <w:szCs w:val="22"/>
                <w:lang w:eastAsia="da-DK"/>
              </w:rPr>
            </w:pPr>
            <w:r w:rsidRPr="006E31EE">
              <w:rPr>
                <w:sz w:val="22"/>
                <w:szCs w:val="22"/>
                <w:lang w:eastAsia="da-DK"/>
              </w:rPr>
              <w:t>84</w:t>
            </w:r>
          </w:p>
        </w:tc>
        <w:tc>
          <w:tcPr>
            <w:tcW w:w="330" w:type="pct"/>
          </w:tcPr>
          <w:p w14:paraId="02451C5E" w14:textId="77777777" w:rsidR="00A97556" w:rsidRPr="006E31EE" w:rsidRDefault="00A97556" w:rsidP="00A97556">
            <w:pPr>
              <w:rPr>
                <w:sz w:val="22"/>
                <w:szCs w:val="22"/>
                <w:lang w:eastAsia="da-DK"/>
              </w:rPr>
            </w:pPr>
            <w:r w:rsidRPr="006E31EE">
              <w:rPr>
                <w:sz w:val="22"/>
                <w:szCs w:val="22"/>
                <w:lang w:eastAsia="da-DK"/>
              </w:rPr>
              <w:t>76</w:t>
            </w:r>
          </w:p>
        </w:tc>
      </w:tr>
      <w:tr w:rsidR="00A97556" w:rsidRPr="006E31EE" w14:paraId="0FD86A92" w14:textId="77777777" w:rsidTr="00A97556">
        <w:tc>
          <w:tcPr>
            <w:tcW w:w="749" w:type="pct"/>
          </w:tcPr>
          <w:p w14:paraId="1DED0097" w14:textId="77777777" w:rsidR="00A97556" w:rsidRPr="006E31EE" w:rsidRDefault="00A97556" w:rsidP="00A97556">
            <w:pPr>
              <w:rPr>
                <w:b/>
                <w:sz w:val="22"/>
                <w:szCs w:val="22"/>
                <w:lang w:eastAsia="da-DK"/>
              </w:rPr>
            </w:pPr>
            <w:r w:rsidRPr="006E31EE">
              <w:rPr>
                <w:b/>
                <w:sz w:val="22"/>
                <w:szCs w:val="22"/>
                <w:lang w:eastAsia="da-DK"/>
              </w:rPr>
              <w:t>ALAT (%)</w:t>
            </w:r>
          </w:p>
          <w:p w14:paraId="283C553B" w14:textId="77777777" w:rsidR="00A97556" w:rsidRPr="006E31EE" w:rsidRDefault="00A97556" w:rsidP="00A97556">
            <w:pPr>
              <w:rPr>
                <w:sz w:val="22"/>
                <w:szCs w:val="22"/>
                <w:lang w:eastAsia="da-DK"/>
              </w:rPr>
            </w:pPr>
            <w:r w:rsidRPr="006E31EE">
              <w:rPr>
                <w:sz w:val="22"/>
                <w:szCs w:val="22"/>
                <w:lang w:eastAsia="da-DK"/>
              </w:rPr>
              <w:t>Normaliseret ALAT</w:t>
            </w:r>
            <w:r w:rsidRPr="006E31EE">
              <w:rPr>
                <w:sz w:val="22"/>
                <w:szCs w:val="22"/>
                <w:vertAlign w:val="superscript"/>
                <w:lang w:eastAsia="da-DK"/>
              </w:rPr>
              <w:t>d</w:t>
            </w:r>
          </w:p>
        </w:tc>
        <w:tc>
          <w:tcPr>
            <w:tcW w:w="270" w:type="pct"/>
          </w:tcPr>
          <w:p w14:paraId="2D9E9100" w14:textId="77777777" w:rsidR="00A97556" w:rsidRPr="006E31EE" w:rsidRDefault="00A97556" w:rsidP="00A97556">
            <w:pPr>
              <w:jc w:val="center"/>
              <w:rPr>
                <w:sz w:val="22"/>
                <w:szCs w:val="22"/>
                <w:lang w:eastAsia="da-DK"/>
              </w:rPr>
            </w:pPr>
            <w:r w:rsidRPr="006E31EE">
              <w:rPr>
                <w:sz w:val="22"/>
                <w:szCs w:val="22"/>
                <w:lang w:eastAsia="da-DK"/>
              </w:rPr>
              <w:t>72</w:t>
            </w:r>
          </w:p>
        </w:tc>
        <w:tc>
          <w:tcPr>
            <w:tcW w:w="326" w:type="pct"/>
          </w:tcPr>
          <w:p w14:paraId="372D7B4D" w14:textId="77777777" w:rsidR="00A97556" w:rsidRPr="006E31EE" w:rsidRDefault="00A97556" w:rsidP="00A97556">
            <w:pPr>
              <w:jc w:val="center"/>
              <w:rPr>
                <w:sz w:val="22"/>
                <w:szCs w:val="22"/>
                <w:lang w:eastAsia="da-DK"/>
              </w:rPr>
            </w:pPr>
            <w:r w:rsidRPr="006E31EE">
              <w:rPr>
                <w:sz w:val="22"/>
                <w:szCs w:val="22"/>
                <w:lang w:eastAsia="da-DK"/>
              </w:rPr>
              <w:t>73</w:t>
            </w:r>
          </w:p>
        </w:tc>
        <w:tc>
          <w:tcPr>
            <w:tcW w:w="330" w:type="pct"/>
          </w:tcPr>
          <w:p w14:paraId="66E00BB1" w14:textId="77777777" w:rsidR="00A97556" w:rsidRPr="006E31EE" w:rsidRDefault="00A97556" w:rsidP="00A97556">
            <w:pPr>
              <w:jc w:val="center"/>
              <w:rPr>
                <w:sz w:val="22"/>
                <w:szCs w:val="22"/>
                <w:lang w:eastAsia="da-DK"/>
              </w:rPr>
            </w:pPr>
            <w:r w:rsidRPr="006E31EE">
              <w:rPr>
                <w:sz w:val="22"/>
                <w:szCs w:val="22"/>
                <w:lang w:eastAsia="da-DK"/>
              </w:rPr>
              <w:t>67</w:t>
            </w:r>
          </w:p>
        </w:tc>
        <w:tc>
          <w:tcPr>
            <w:tcW w:w="313" w:type="pct"/>
          </w:tcPr>
          <w:p w14:paraId="3C2D7385" w14:textId="77777777" w:rsidR="00A97556" w:rsidRPr="006E31EE" w:rsidRDefault="00A97556" w:rsidP="00A97556">
            <w:pPr>
              <w:jc w:val="center"/>
              <w:rPr>
                <w:sz w:val="22"/>
                <w:szCs w:val="22"/>
                <w:lang w:eastAsia="da-DK"/>
              </w:rPr>
            </w:pPr>
            <w:r w:rsidRPr="006E31EE">
              <w:rPr>
                <w:sz w:val="22"/>
                <w:szCs w:val="22"/>
                <w:lang w:eastAsia="da-DK"/>
              </w:rPr>
              <w:t>70</w:t>
            </w:r>
          </w:p>
        </w:tc>
        <w:tc>
          <w:tcPr>
            <w:tcW w:w="313" w:type="pct"/>
          </w:tcPr>
          <w:p w14:paraId="36B59693" w14:textId="77777777" w:rsidR="00A97556" w:rsidRPr="006E31EE" w:rsidRDefault="00A97556" w:rsidP="00A97556">
            <w:pPr>
              <w:jc w:val="center"/>
              <w:rPr>
                <w:sz w:val="22"/>
                <w:szCs w:val="22"/>
                <w:lang w:eastAsia="da-DK"/>
              </w:rPr>
            </w:pPr>
            <w:r w:rsidRPr="006E31EE">
              <w:rPr>
                <w:sz w:val="22"/>
                <w:szCs w:val="22"/>
                <w:lang w:eastAsia="da-DK"/>
              </w:rPr>
              <w:t>68</w:t>
            </w:r>
          </w:p>
        </w:tc>
        <w:tc>
          <w:tcPr>
            <w:tcW w:w="330" w:type="pct"/>
          </w:tcPr>
          <w:p w14:paraId="6F5E5666" w14:textId="77777777" w:rsidR="00A97556" w:rsidRPr="006E31EE" w:rsidRDefault="00A97556" w:rsidP="00A97556">
            <w:pPr>
              <w:jc w:val="center"/>
              <w:rPr>
                <w:sz w:val="22"/>
                <w:szCs w:val="22"/>
                <w:lang w:eastAsia="da-DK"/>
              </w:rPr>
            </w:pPr>
            <w:r w:rsidRPr="006E31EE">
              <w:rPr>
                <w:sz w:val="22"/>
                <w:szCs w:val="22"/>
                <w:lang w:eastAsia="da-DK"/>
              </w:rPr>
              <w:t>64</w:t>
            </w:r>
          </w:p>
        </w:tc>
        <w:tc>
          <w:tcPr>
            <w:tcW w:w="728" w:type="pct"/>
          </w:tcPr>
          <w:p w14:paraId="11256E75" w14:textId="77777777" w:rsidR="00A97556" w:rsidRPr="006E31EE" w:rsidRDefault="00A97556" w:rsidP="00A97556">
            <w:pPr>
              <w:jc w:val="center"/>
              <w:rPr>
                <w:sz w:val="22"/>
                <w:szCs w:val="22"/>
                <w:lang w:eastAsia="da-DK"/>
              </w:rPr>
            </w:pPr>
            <w:r w:rsidRPr="006E31EE">
              <w:rPr>
                <w:sz w:val="22"/>
                <w:szCs w:val="22"/>
                <w:lang w:eastAsia="da-DK"/>
              </w:rPr>
              <w:t>68</w:t>
            </w:r>
          </w:p>
        </w:tc>
        <w:tc>
          <w:tcPr>
            <w:tcW w:w="317" w:type="pct"/>
          </w:tcPr>
          <w:p w14:paraId="640B4B74" w14:textId="77777777" w:rsidR="00A97556" w:rsidRPr="006E31EE" w:rsidRDefault="00A97556" w:rsidP="00A97556">
            <w:pPr>
              <w:jc w:val="center"/>
              <w:rPr>
                <w:sz w:val="22"/>
                <w:szCs w:val="22"/>
                <w:lang w:eastAsia="da-DK"/>
              </w:rPr>
            </w:pPr>
            <w:r w:rsidRPr="006E31EE">
              <w:rPr>
                <w:sz w:val="22"/>
                <w:szCs w:val="22"/>
                <w:lang w:eastAsia="da-DK"/>
              </w:rPr>
              <w:t>70</w:t>
            </w:r>
          </w:p>
        </w:tc>
        <w:tc>
          <w:tcPr>
            <w:tcW w:w="330" w:type="pct"/>
          </w:tcPr>
          <w:p w14:paraId="205A8FE3" w14:textId="77777777" w:rsidR="00A97556" w:rsidRPr="006E31EE" w:rsidRDefault="00A97556" w:rsidP="00A97556">
            <w:pPr>
              <w:jc w:val="center"/>
              <w:rPr>
                <w:sz w:val="22"/>
                <w:szCs w:val="22"/>
                <w:lang w:eastAsia="da-DK"/>
              </w:rPr>
            </w:pPr>
            <w:r w:rsidRPr="006E31EE">
              <w:rPr>
                <w:sz w:val="22"/>
                <w:szCs w:val="22"/>
                <w:lang w:eastAsia="da-DK"/>
              </w:rPr>
              <w:t>77</w:t>
            </w:r>
          </w:p>
        </w:tc>
        <w:tc>
          <w:tcPr>
            <w:tcW w:w="313" w:type="pct"/>
          </w:tcPr>
          <w:p w14:paraId="4D4EBCC6" w14:textId="77777777" w:rsidR="00A97556" w:rsidRPr="006E31EE" w:rsidRDefault="00A97556" w:rsidP="00A97556">
            <w:pPr>
              <w:jc w:val="center"/>
              <w:rPr>
                <w:sz w:val="22"/>
                <w:szCs w:val="22"/>
                <w:lang w:eastAsia="da-DK"/>
              </w:rPr>
            </w:pPr>
            <w:r w:rsidRPr="006E31EE">
              <w:rPr>
                <w:sz w:val="22"/>
                <w:szCs w:val="22"/>
                <w:lang w:eastAsia="da-DK"/>
              </w:rPr>
              <w:t>76</w:t>
            </w:r>
          </w:p>
        </w:tc>
        <w:tc>
          <w:tcPr>
            <w:tcW w:w="352" w:type="pct"/>
          </w:tcPr>
          <w:p w14:paraId="60ACD271" w14:textId="77777777" w:rsidR="00A97556" w:rsidRPr="006E31EE" w:rsidRDefault="00A97556" w:rsidP="00A97556">
            <w:pPr>
              <w:jc w:val="center"/>
              <w:rPr>
                <w:sz w:val="22"/>
                <w:szCs w:val="22"/>
                <w:lang w:eastAsia="da-DK"/>
              </w:rPr>
            </w:pPr>
            <w:r w:rsidRPr="006E31EE">
              <w:rPr>
                <w:sz w:val="22"/>
                <w:szCs w:val="22"/>
                <w:lang w:eastAsia="da-DK"/>
              </w:rPr>
              <w:t>74</w:t>
            </w:r>
          </w:p>
        </w:tc>
        <w:tc>
          <w:tcPr>
            <w:tcW w:w="330" w:type="pct"/>
          </w:tcPr>
          <w:p w14:paraId="61122313" w14:textId="77777777" w:rsidR="00A97556" w:rsidRPr="006E31EE" w:rsidRDefault="00A97556" w:rsidP="00A97556">
            <w:pPr>
              <w:rPr>
                <w:sz w:val="22"/>
                <w:szCs w:val="22"/>
                <w:lang w:eastAsia="da-DK"/>
              </w:rPr>
            </w:pPr>
            <w:r w:rsidRPr="006E31EE">
              <w:rPr>
                <w:sz w:val="22"/>
                <w:szCs w:val="22"/>
                <w:lang w:eastAsia="da-DK"/>
              </w:rPr>
              <w:t>69</w:t>
            </w:r>
          </w:p>
        </w:tc>
      </w:tr>
      <w:tr w:rsidR="00A97556" w:rsidRPr="006E31EE" w14:paraId="37CB9E71" w14:textId="77777777" w:rsidTr="00A97556">
        <w:tc>
          <w:tcPr>
            <w:tcW w:w="749" w:type="pct"/>
          </w:tcPr>
          <w:p w14:paraId="7C7D0E45" w14:textId="77777777" w:rsidR="00A97556" w:rsidRPr="006E31EE" w:rsidRDefault="00A97556" w:rsidP="00A97556">
            <w:pPr>
              <w:rPr>
                <w:sz w:val="22"/>
                <w:szCs w:val="22"/>
                <w:lang w:eastAsia="da-DK"/>
              </w:rPr>
            </w:pPr>
            <w:r w:rsidRPr="006E31EE">
              <w:rPr>
                <w:b/>
                <w:sz w:val="22"/>
                <w:szCs w:val="22"/>
                <w:lang w:eastAsia="da-DK"/>
              </w:rPr>
              <w:t>Serologi</w:t>
            </w:r>
            <w:r w:rsidRPr="006E31EE">
              <w:rPr>
                <w:sz w:val="22"/>
                <w:szCs w:val="22"/>
                <w:lang w:eastAsia="da-DK"/>
              </w:rPr>
              <w:t xml:space="preserve"> (%)</w:t>
            </w:r>
          </w:p>
          <w:p w14:paraId="649965D9" w14:textId="77777777" w:rsidR="00A97556" w:rsidRPr="006E31EE" w:rsidRDefault="00A97556" w:rsidP="00A97556">
            <w:pPr>
              <w:rPr>
                <w:sz w:val="22"/>
                <w:szCs w:val="22"/>
                <w:lang w:eastAsia="da-DK"/>
              </w:rPr>
            </w:pPr>
            <w:r w:rsidRPr="006E31EE">
              <w:rPr>
                <w:sz w:val="22"/>
                <w:szCs w:val="22"/>
                <w:lang w:eastAsia="da-DK"/>
              </w:rPr>
              <w:t>Tab af HBeAg/sero-konversion</w:t>
            </w:r>
          </w:p>
          <w:p w14:paraId="6BE52E8A" w14:textId="77777777" w:rsidR="00A97556" w:rsidRPr="006E31EE" w:rsidRDefault="00A97556" w:rsidP="00A97556">
            <w:pPr>
              <w:rPr>
                <w:sz w:val="22"/>
                <w:szCs w:val="22"/>
                <w:lang w:eastAsia="da-DK"/>
              </w:rPr>
            </w:pPr>
            <w:r w:rsidRPr="006E31EE">
              <w:rPr>
                <w:sz w:val="22"/>
                <w:szCs w:val="22"/>
                <w:lang w:eastAsia="da-DK"/>
              </w:rPr>
              <w:t>Tab af HBsAg/sero-</w:t>
            </w:r>
          </w:p>
          <w:p w14:paraId="523755E0" w14:textId="77777777" w:rsidR="00A97556" w:rsidRPr="006E31EE" w:rsidRDefault="00A97556" w:rsidP="00A97556">
            <w:pPr>
              <w:rPr>
                <w:sz w:val="22"/>
                <w:szCs w:val="22"/>
                <w:lang w:eastAsia="da-DK"/>
              </w:rPr>
            </w:pPr>
            <w:r w:rsidRPr="006E31EE">
              <w:rPr>
                <w:sz w:val="22"/>
                <w:szCs w:val="22"/>
                <w:lang w:eastAsia="da-DK"/>
              </w:rPr>
              <w:t>konversion</w:t>
            </w:r>
          </w:p>
        </w:tc>
        <w:tc>
          <w:tcPr>
            <w:tcW w:w="270" w:type="pct"/>
          </w:tcPr>
          <w:p w14:paraId="2FE64206" w14:textId="77777777" w:rsidR="00A97556" w:rsidRPr="006E31EE" w:rsidRDefault="00A97556" w:rsidP="00A97556">
            <w:pPr>
              <w:jc w:val="center"/>
              <w:rPr>
                <w:sz w:val="22"/>
                <w:szCs w:val="22"/>
                <w:lang w:eastAsia="da-DK"/>
              </w:rPr>
            </w:pPr>
          </w:p>
          <w:p w14:paraId="2F7FBD3E" w14:textId="77777777" w:rsidR="00A97556" w:rsidRPr="006E31EE" w:rsidRDefault="00A97556" w:rsidP="00A97556">
            <w:pPr>
              <w:jc w:val="center"/>
              <w:rPr>
                <w:sz w:val="22"/>
                <w:szCs w:val="22"/>
                <w:lang w:eastAsia="da-DK"/>
              </w:rPr>
            </w:pPr>
          </w:p>
          <w:p w14:paraId="528BBDED" w14:textId="77777777" w:rsidR="00A97556" w:rsidRPr="006E31EE" w:rsidRDefault="00A97556" w:rsidP="00A97556">
            <w:pPr>
              <w:jc w:val="center"/>
              <w:rPr>
                <w:sz w:val="22"/>
                <w:szCs w:val="22"/>
                <w:lang w:eastAsia="da-DK"/>
              </w:rPr>
            </w:pPr>
            <w:r w:rsidRPr="006E31EE">
              <w:rPr>
                <w:sz w:val="22"/>
                <w:szCs w:val="22"/>
                <w:lang w:eastAsia="da-DK"/>
              </w:rPr>
              <w:t>n/a</w:t>
            </w:r>
          </w:p>
          <w:p w14:paraId="56021519" w14:textId="77777777" w:rsidR="00A97556" w:rsidRPr="006E31EE" w:rsidRDefault="00A97556" w:rsidP="00A97556">
            <w:pPr>
              <w:jc w:val="center"/>
              <w:rPr>
                <w:sz w:val="22"/>
                <w:szCs w:val="22"/>
                <w:lang w:eastAsia="da-DK"/>
              </w:rPr>
            </w:pPr>
          </w:p>
          <w:p w14:paraId="28F03E6B" w14:textId="77777777" w:rsidR="00A97556" w:rsidRPr="006E31EE" w:rsidRDefault="00A97556" w:rsidP="00A97556">
            <w:pPr>
              <w:jc w:val="center"/>
              <w:rPr>
                <w:sz w:val="22"/>
                <w:szCs w:val="22"/>
                <w:lang w:eastAsia="da-DK"/>
              </w:rPr>
            </w:pPr>
          </w:p>
          <w:p w14:paraId="23975CA6" w14:textId="77777777" w:rsidR="00A97556" w:rsidRPr="006E31EE" w:rsidRDefault="00A97556" w:rsidP="00A97556">
            <w:pPr>
              <w:jc w:val="center"/>
              <w:rPr>
                <w:sz w:val="22"/>
                <w:szCs w:val="22"/>
                <w:lang w:eastAsia="da-DK"/>
              </w:rPr>
            </w:pPr>
            <w:r w:rsidRPr="006E31EE">
              <w:rPr>
                <w:sz w:val="22"/>
                <w:szCs w:val="22"/>
                <w:lang w:eastAsia="da-DK"/>
              </w:rPr>
              <w:t>0/0</w:t>
            </w:r>
          </w:p>
        </w:tc>
        <w:tc>
          <w:tcPr>
            <w:tcW w:w="326" w:type="pct"/>
          </w:tcPr>
          <w:p w14:paraId="00CA149D" w14:textId="77777777" w:rsidR="00A97556" w:rsidRPr="006E31EE" w:rsidRDefault="00A97556" w:rsidP="00A97556">
            <w:pPr>
              <w:jc w:val="center"/>
              <w:rPr>
                <w:sz w:val="22"/>
                <w:szCs w:val="22"/>
                <w:lang w:eastAsia="da-DK"/>
              </w:rPr>
            </w:pPr>
          </w:p>
          <w:p w14:paraId="63858960" w14:textId="77777777" w:rsidR="00A97556" w:rsidRPr="006E31EE" w:rsidRDefault="00A97556" w:rsidP="00A97556">
            <w:pPr>
              <w:jc w:val="center"/>
              <w:rPr>
                <w:sz w:val="22"/>
                <w:szCs w:val="22"/>
                <w:lang w:eastAsia="da-DK"/>
              </w:rPr>
            </w:pPr>
          </w:p>
          <w:p w14:paraId="14F40683" w14:textId="77777777" w:rsidR="00A97556" w:rsidRPr="006E31EE" w:rsidRDefault="00A97556" w:rsidP="00A97556">
            <w:pPr>
              <w:jc w:val="center"/>
              <w:rPr>
                <w:sz w:val="22"/>
                <w:szCs w:val="22"/>
                <w:lang w:eastAsia="da-DK"/>
              </w:rPr>
            </w:pPr>
            <w:r w:rsidRPr="006E31EE">
              <w:rPr>
                <w:sz w:val="22"/>
                <w:szCs w:val="22"/>
                <w:lang w:eastAsia="da-DK"/>
              </w:rPr>
              <w:t>n/a</w:t>
            </w:r>
          </w:p>
          <w:p w14:paraId="70AA9E56" w14:textId="77777777" w:rsidR="00A97556" w:rsidRPr="006E31EE" w:rsidRDefault="00A97556" w:rsidP="00A97556">
            <w:pPr>
              <w:jc w:val="center"/>
              <w:rPr>
                <w:sz w:val="22"/>
                <w:szCs w:val="22"/>
                <w:lang w:eastAsia="da-DK"/>
              </w:rPr>
            </w:pPr>
          </w:p>
          <w:p w14:paraId="5C8945C6" w14:textId="77777777" w:rsidR="00A97556" w:rsidRPr="006E31EE" w:rsidRDefault="00A97556" w:rsidP="00A97556">
            <w:pPr>
              <w:jc w:val="center"/>
              <w:rPr>
                <w:sz w:val="22"/>
                <w:szCs w:val="22"/>
                <w:lang w:eastAsia="da-DK"/>
              </w:rPr>
            </w:pPr>
          </w:p>
          <w:p w14:paraId="19469293" w14:textId="77777777" w:rsidR="00A97556" w:rsidRPr="006E31EE" w:rsidRDefault="00A97556" w:rsidP="00A97556">
            <w:pPr>
              <w:jc w:val="center"/>
              <w:rPr>
                <w:sz w:val="22"/>
                <w:szCs w:val="22"/>
                <w:lang w:eastAsia="da-DK"/>
              </w:rPr>
            </w:pPr>
            <w:r w:rsidRPr="006E31EE">
              <w:rPr>
                <w:sz w:val="22"/>
                <w:szCs w:val="22"/>
                <w:lang w:eastAsia="da-DK"/>
              </w:rPr>
              <w:t>0/0</w:t>
            </w:r>
          </w:p>
        </w:tc>
        <w:tc>
          <w:tcPr>
            <w:tcW w:w="330" w:type="pct"/>
          </w:tcPr>
          <w:p w14:paraId="4371DC7B" w14:textId="77777777" w:rsidR="00A97556" w:rsidRPr="006E31EE" w:rsidRDefault="00A97556" w:rsidP="00A97556">
            <w:pPr>
              <w:jc w:val="center"/>
              <w:rPr>
                <w:sz w:val="22"/>
                <w:szCs w:val="22"/>
                <w:lang w:eastAsia="da-DK"/>
              </w:rPr>
            </w:pPr>
          </w:p>
          <w:p w14:paraId="022434AD" w14:textId="77777777" w:rsidR="00A97556" w:rsidRPr="006E31EE" w:rsidRDefault="00A97556" w:rsidP="00A97556">
            <w:pPr>
              <w:jc w:val="center"/>
              <w:rPr>
                <w:sz w:val="22"/>
                <w:szCs w:val="22"/>
                <w:lang w:eastAsia="da-DK"/>
              </w:rPr>
            </w:pPr>
          </w:p>
          <w:p w14:paraId="42058A18" w14:textId="77777777" w:rsidR="00A97556" w:rsidRPr="006E31EE" w:rsidRDefault="00A97556" w:rsidP="00A97556">
            <w:pPr>
              <w:jc w:val="center"/>
              <w:rPr>
                <w:sz w:val="22"/>
                <w:szCs w:val="22"/>
                <w:lang w:eastAsia="da-DK"/>
              </w:rPr>
            </w:pPr>
            <w:r w:rsidRPr="006E31EE">
              <w:rPr>
                <w:sz w:val="22"/>
                <w:szCs w:val="22"/>
                <w:lang w:eastAsia="da-DK"/>
              </w:rPr>
              <w:t>n/a</w:t>
            </w:r>
          </w:p>
          <w:p w14:paraId="698F8BDE" w14:textId="77777777" w:rsidR="00A97556" w:rsidRPr="006E31EE" w:rsidRDefault="00A97556" w:rsidP="00A97556">
            <w:pPr>
              <w:jc w:val="center"/>
              <w:rPr>
                <w:sz w:val="22"/>
                <w:szCs w:val="22"/>
                <w:lang w:eastAsia="da-DK"/>
              </w:rPr>
            </w:pPr>
          </w:p>
          <w:p w14:paraId="42F5A9A0" w14:textId="77777777" w:rsidR="00A97556" w:rsidRPr="006E31EE" w:rsidRDefault="00A97556" w:rsidP="00A97556">
            <w:pPr>
              <w:jc w:val="center"/>
              <w:rPr>
                <w:sz w:val="22"/>
                <w:szCs w:val="22"/>
                <w:lang w:eastAsia="da-DK"/>
              </w:rPr>
            </w:pPr>
          </w:p>
          <w:p w14:paraId="65794121" w14:textId="77777777" w:rsidR="00A97556" w:rsidRPr="006E31EE" w:rsidRDefault="00A97556" w:rsidP="00A97556">
            <w:pPr>
              <w:jc w:val="center"/>
              <w:rPr>
                <w:sz w:val="22"/>
                <w:szCs w:val="22"/>
                <w:lang w:eastAsia="da-DK"/>
              </w:rPr>
            </w:pPr>
            <w:r w:rsidRPr="006E31EE">
              <w:rPr>
                <w:sz w:val="22"/>
                <w:szCs w:val="22"/>
                <w:lang w:eastAsia="da-DK"/>
              </w:rPr>
              <w:t>0/0</w:t>
            </w:r>
          </w:p>
        </w:tc>
        <w:tc>
          <w:tcPr>
            <w:tcW w:w="313" w:type="pct"/>
          </w:tcPr>
          <w:p w14:paraId="77C47F4D" w14:textId="77777777" w:rsidR="00A97556" w:rsidRPr="006E31EE" w:rsidRDefault="00A97556" w:rsidP="00A97556">
            <w:pPr>
              <w:jc w:val="center"/>
              <w:rPr>
                <w:sz w:val="22"/>
                <w:szCs w:val="22"/>
                <w:lang w:eastAsia="da-DK"/>
              </w:rPr>
            </w:pPr>
          </w:p>
          <w:p w14:paraId="4854B7E4" w14:textId="77777777" w:rsidR="00A97556" w:rsidRPr="006E31EE" w:rsidRDefault="00A97556" w:rsidP="00A97556">
            <w:pPr>
              <w:jc w:val="center"/>
              <w:rPr>
                <w:sz w:val="22"/>
                <w:szCs w:val="22"/>
                <w:lang w:eastAsia="da-DK"/>
              </w:rPr>
            </w:pPr>
          </w:p>
          <w:p w14:paraId="751F76AC" w14:textId="77777777" w:rsidR="00A97556" w:rsidRPr="006E31EE" w:rsidRDefault="00A97556" w:rsidP="00A97556">
            <w:pPr>
              <w:jc w:val="center"/>
              <w:rPr>
                <w:sz w:val="22"/>
                <w:szCs w:val="22"/>
                <w:lang w:eastAsia="da-DK"/>
              </w:rPr>
            </w:pPr>
            <w:r w:rsidRPr="006E31EE">
              <w:rPr>
                <w:sz w:val="22"/>
                <w:szCs w:val="22"/>
                <w:lang w:eastAsia="da-DK"/>
              </w:rPr>
              <w:t>n/a</w:t>
            </w:r>
          </w:p>
          <w:p w14:paraId="5318A450" w14:textId="77777777" w:rsidR="00A97556" w:rsidRPr="006E31EE" w:rsidRDefault="00A97556" w:rsidP="00A97556">
            <w:pPr>
              <w:jc w:val="center"/>
              <w:rPr>
                <w:sz w:val="22"/>
                <w:szCs w:val="22"/>
                <w:lang w:eastAsia="da-DK"/>
              </w:rPr>
            </w:pPr>
          </w:p>
          <w:p w14:paraId="73646667" w14:textId="77777777" w:rsidR="00A97556" w:rsidRPr="006E31EE" w:rsidRDefault="00A97556" w:rsidP="00A97556">
            <w:pPr>
              <w:jc w:val="center"/>
              <w:rPr>
                <w:sz w:val="22"/>
                <w:szCs w:val="22"/>
                <w:lang w:eastAsia="da-DK"/>
              </w:rPr>
            </w:pPr>
          </w:p>
          <w:p w14:paraId="6DB97959" w14:textId="77777777" w:rsidR="00A97556" w:rsidRPr="006E31EE" w:rsidRDefault="00A97556" w:rsidP="00A97556">
            <w:pPr>
              <w:jc w:val="center"/>
              <w:rPr>
                <w:sz w:val="22"/>
                <w:szCs w:val="22"/>
                <w:lang w:eastAsia="da-DK"/>
              </w:rPr>
            </w:pPr>
            <w:r w:rsidRPr="006E31EE">
              <w:rPr>
                <w:sz w:val="22"/>
                <w:szCs w:val="22"/>
                <w:lang w:eastAsia="da-DK"/>
              </w:rPr>
              <w:t>0/0</w:t>
            </w:r>
          </w:p>
        </w:tc>
        <w:tc>
          <w:tcPr>
            <w:tcW w:w="313" w:type="pct"/>
          </w:tcPr>
          <w:p w14:paraId="7F7135F4" w14:textId="77777777" w:rsidR="00A97556" w:rsidRPr="006E31EE" w:rsidRDefault="00A97556" w:rsidP="00A97556">
            <w:pPr>
              <w:jc w:val="center"/>
              <w:rPr>
                <w:sz w:val="22"/>
                <w:szCs w:val="22"/>
                <w:lang w:eastAsia="da-DK"/>
              </w:rPr>
            </w:pPr>
          </w:p>
          <w:p w14:paraId="352FBDC3" w14:textId="77777777" w:rsidR="00A97556" w:rsidRPr="006E31EE" w:rsidRDefault="00A97556" w:rsidP="00A97556">
            <w:pPr>
              <w:jc w:val="center"/>
              <w:rPr>
                <w:sz w:val="22"/>
                <w:szCs w:val="22"/>
                <w:lang w:eastAsia="da-DK"/>
              </w:rPr>
            </w:pPr>
          </w:p>
          <w:p w14:paraId="038FBFE1" w14:textId="77777777" w:rsidR="00A97556" w:rsidRPr="006E31EE" w:rsidRDefault="00A97556" w:rsidP="00A97556">
            <w:pPr>
              <w:jc w:val="center"/>
              <w:rPr>
                <w:sz w:val="22"/>
                <w:szCs w:val="22"/>
                <w:lang w:eastAsia="da-DK"/>
              </w:rPr>
            </w:pPr>
            <w:r w:rsidRPr="006E31EE">
              <w:rPr>
                <w:sz w:val="22"/>
                <w:szCs w:val="22"/>
                <w:lang w:eastAsia="da-DK"/>
              </w:rPr>
              <w:t>n/a</w:t>
            </w:r>
          </w:p>
          <w:p w14:paraId="3CC0CCA4" w14:textId="77777777" w:rsidR="00A97556" w:rsidRPr="006E31EE" w:rsidRDefault="00A97556" w:rsidP="00A97556">
            <w:pPr>
              <w:jc w:val="center"/>
              <w:rPr>
                <w:sz w:val="22"/>
                <w:szCs w:val="22"/>
                <w:lang w:eastAsia="da-DK"/>
              </w:rPr>
            </w:pPr>
          </w:p>
          <w:p w14:paraId="4B77885E" w14:textId="77777777" w:rsidR="00A97556" w:rsidRPr="006E31EE" w:rsidRDefault="00A97556" w:rsidP="00A97556">
            <w:pPr>
              <w:jc w:val="center"/>
              <w:rPr>
                <w:sz w:val="22"/>
                <w:szCs w:val="22"/>
                <w:lang w:eastAsia="da-DK"/>
              </w:rPr>
            </w:pPr>
          </w:p>
          <w:p w14:paraId="43B7615B" w14:textId="77777777" w:rsidR="00A97556" w:rsidRPr="006E31EE" w:rsidRDefault="00A97556" w:rsidP="00A97556">
            <w:pPr>
              <w:jc w:val="center"/>
              <w:rPr>
                <w:sz w:val="22"/>
                <w:szCs w:val="22"/>
                <w:lang w:eastAsia="da-DK"/>
              </w:rPr>
            </w:pPr>
            <w:r w:rsidRPr="006E31EE">
              <w:rPr>
                <w:sz w:val="22"/>
                <w:szCs w:val="22"/>
                <w:lang w:eastAsia="da-DK"/>
              </w:rPr>
              <w:t>0/0</w:t>
            </w:r>
          </w:p>
        </w:tc>
        <w:tc>
          <w:tcPr>
            <w:tcW w:w="330" w:type="pct"/>
          </w:tcPr>
          <w:p w14:paraId="6D1EA66A" w14:textId="77777777" w:rsidR="00A97556" w:rsidRPr="006E31EE" w:rsidRDefault="00A97556" w:rsidP="00A97556">
            <w:pPr>
              <w:jc w:val="center"/>
              <w:rPr>
                <w:sz w:val="22"/>
                <w:szCs w:val="22"/>
                <w:lang w:eastAsia="da-DK"/>
              </w:rPr>
            </w:pPr>
          </w:p>
          <w:p w14:paraId="4BE31FDA" w14:textId="77777777" w:rsidR="00A97556" w:rsidRPr="006E31EE" w:rsidRDefault="00A97556" w:rsidP="00A97556">
            <w:pPr>
              <w:jc w:val="center"/>
              <w:rPr>
                <w:sz w:val="22"/>
                <w:szCs w:val="22"/>
                <w:lang w:eastAsia="da-DK"/>
              </w:rPr>
            </w:pPr>
          </w:p>
          <w:p w14:paraId="6349C509" w14:textId="77777777" w:rsidR="00A97556" w:rsidRPr="006E31EE" w:rsidRDefault="00A97556" w:rsidP="00A97556">
            <w:pPr>
              <w:jc w:val="center"/>
              <w:rPr>
                <w:sz w:val="22"/>
                <w:szCs w:val="22"/>
                <w:lang w:eastAsia="da-DK"/>
              </w:rPr>
            </w:pPr>
            <w:r w:rsidRPr="006E31EE">
              <w:rPr>
                <w:sz w:val="22"/>
                <w:szCs w:val="22"/>
                <w:lang w:eastAsia="da-DK"/>
              </w:rPr>
              <w:t>n/a</w:t>
            </w:r>
          </w:p>
          <w:p w14:paraId="2018D81E" w14:textId="77777777" w:rsidR="00A97556" w:rsidRPr="006E31EE" w:rsidRDefault="00A97556" w:rsidP="00A97556">
            <w:pPr>
              <w:jc w:val="center"/>
              <w:rPr>
                <w:sz w:val="22"/>
                <w:szCs w:val="22"/>
                <w:lang w:eastAsia="da-DK"/>
              </w:rPr>
            </w:pPr>
          </w:p>
          <w:p w14:paraId="7427B550" w14:textId="77777777" w:rsidR="00A97556" w:rsidRPr="006E31EE" w:rsidRDefault="00A97556" w:rsidP="00A97556">
            <w:pPr>
              <w:jc w:val="center"/>
              <w:rPr>
                <w:sz w:val="22"/>
                <w:szCs w:val="22"/>
                <w:lang w:eastAsia="da-DK"/>
              </w:rPr>
            </w:pPr>
          </w:p>
          <w:p w14:paraId="3263A3AB" w14:textId="77777777" w:rsidR="00A97556" w:rsidRPr="006E31EE" w:rsidRDefault="00A97556" w:rsidP="00A97556">
            <w:pPr>
              <w:jc w:val="center"/>
              <w:rPr>
                <w:sz w:val="22"/>
                <w:szCs w:val="22"/>
                <w:lang w:eastAsia="da-DK"/>
              </w:rPr>
            </w:pPr>
            <w:r w:rsidRPr="006E31EE">
              <w:rPr>
                <w:sz w:val="22"/>
                <w:szCs w:val="22"/>
                <w:lang w:eastAsia="da-DK"/>
              </w:rPr>
              <w:t>1/1</w:t>
            </w:r>
            <w:r w:rsidRPr="006E31EE">
              <w:rPr>
                <w:sz w:val="22"/>
                <w:szCs w:val="22"/>
                <w:vertAlign w:val="superscript"/>
                <w:lang w:eastAsia="da-DK"/>
              </w:rPr>
              <w:t>n</w:t>
            </w:r>
          </w:p>
        </w:tc>
        <w:tc>
          <w:tcPr>
            <w:tcW w:w="728" w:type="pct"/>
          </w:tcPr>
          <w:p w14:paraId="338A9649" w14:textId="77777777" w:rsidR="00A97556" w:rsidRPr="006E31EE" w:rsidRDefault="00A97556" w:rsidP="00A97556">
            <w:pPr>
              <w:jc w:val="center"/>
              <w:rPr>
                <w:sz w:val="22"/>
                <w:szCs w:val="22"/>
                <w:lang w:eastAsia="da-DK"/>
              </w:rPr>
            </w:pPr>
          </w:p>
          <w:p w14:paraId="66B44D14" w14:textId="77777777" w:rsidR="00A97556" w:rsidRPr="006E31EE" w:rsidRDefault="00A97556" w:rsidP="00A97556">
            <w:pPr>
              <w:jc w:val="center"/>
              <w:rPr>
                <w:sz w:val="22"/>
                <w:szCs w:val="22"/>
                <w:lang w:eastAsia="da-DK"/>
              </w:rPr>
            </w:pPr>
          </w:p>
          <w:p w14:paraId="2DFDDAF3" w14:textId="77777777" w:rsidR="00A97556" w:rsidRPr="006E31EE" w:rsidRDefault="00A97556" w:rsidP="00A97556">
            <w:pPr>
              <w:jc w:val="center"/>
              <w:rPr>
                <w:sz w:val="22"/>
                <w:szCs w:val="22"/>
                <w:lang w:eastAsia="da-DK"/>
              </w:rPr>
            </w:pPr>
            <w:r w:rsidRPr="006E31EE">
              <w:rPr>
                <w:sz w:val="22"/>
                <w:szCs w:val="22"/>
                <w:lang w:eastAsia="da-DK"/>
              </w:rPr>
              <w:t>n/a</w:t>
            </w:r>
          </w:p>
          <w:p w14:paraId="7EC55837" w14:textId="77777777" w:rsidR="00A97556" w:rsidRPr="006E31EE" w:rsidRDefault="00A97556" w:rsidP="00A97556">
            <w:pPr>
              <w:jc w:val="center"/>
              <w:rPr>
                <w:sz w:val="22"/>
                <w:szCs w:val="22"/>
                <w:lang w:eastAsia="da-DK"/>
              </w:rPr>
            </w:pPr>
          </w:p>
          <w:p w14:paraId="73D6422B" w14:textId="77777777" w:rsidR="00A97556" w:rsidRPr="006E31EE" w:rsidRDefault="00A97556" w:rsidP="00A97556">
            <w:pPr>
              <w:jc w:val="center"/>
              <w:rPr>
                <w:sz w:val="22"/>
                <w:szCs w:val="22"/>
                <w:lang w:eastAsia="da-DK"/>
              </w:rPr>
            </w:pPr>
          </w:p>
          <w:p w14:paraId="7DB56620" w14:textId="77777777" w:rsidR="00A97556" w:rsidRPr="006E31EE" w:rsidRDefault="00A97556" w:rsidP="00A97556">
            <w:pPr>
              <w:jc w:val="center"/>
              <w:rPr>
                <w:sz w:val="22"/>
                <w:szCs w:val="22"/>
                <w:lang w:eastAsia="da-DK"/>
              </w:rPr>
            </w:pPr>
            <w:r w:rsidRPr="006E31EE">
              <w:rPr>
                <w:sz w:val="22"/>
                <w:szCs w:val="22"/>
                <w:lang w:eastAsia="da-DK"/>
              </w:rPr>
              <w:t>0/0</w:t>
            </w:r>
          </w:p>
        </w:tc>
        <w:tc>
          <w:tcPr>
            <w:tcW w:w="317" w:type="pct"/>
          </w:tcPr>
          <w:p w14:paraId="331BD93B" w14:textId="77777777" w:rsidR="00A97556" w:rsidRPr="006E31EE" w:rsidRDefault="00A97556" w:rsidP="00A97556">
            <w:pPr>
              <w:jc w:val="center"/>
              <w:rPr>
                <w:sz w:val="22"/>
                <w:szCs w:val="22"/>
                <w:lang w:eastAsia="da-DK"/>
              </w:rPr>
            </w:pPr>
          </w:p>
          <w:p w14:paraId="4E696CCC" w14:textId="77777777" w:rsidR="00A97556" w:rsidRPr="006E31EE" w:rsidRDefault="00A97556" w:rsidP="00A97556">
            <w:pPr>
              <w:jc w:val="center"/>
              <w:rPr>
                <w:sz w:val="22"/>
                <w:szCs w:val="22"/>
                <w:lang w:eastAsia="da-DK"/>
              </w:rPr>
            </w:pPr>
          </w:p>
          <w:p w14:paraId="3D7FA913" w14:textId="77777777" w:rsidR="00A97556" w:rsidRPr="006E31EE" w:rsidRDefault="00A97556" w:rsidP="00A97556">
            <w:pPr>
              <w:jc w:val="center"/>
              <w:rPr>
                <w:sz w:val="22"/>
                <w:szCs w:val="22"/>
                <w:lang w:eastAsia="da-DK"/>
              </w:rPr>
            </w:pPr>
            <w:r w:rsidRPr="006E31EE">
              <w:rPr>
                <w:sz w:val="22"/>
                <w:szCs w:val="22"/>
                <w:lang w:eastAsia="da-DK"/>
              </w:rPr>
              <w:t>n/a</w:t>
            </w:r>
          </w:p>
          <w:p w14:paraId="65860502" w14:textId="77777777" w:rsidR="00A97556" w:rsidRPr="006E31EE" w:rsidRDefault="00A97556" w:rsidP="00A97556">
            <w:pPr>
              <w:jc w:val="center"/>
              <w:rPr>
                <w:sz w:val="22"/>
                <w:szCs w:val="22"/>
                <w:lang w:eastAsia="da-DK"/>
              </w:rPr>
            </w:pPr>
          </w:p>
          <w:p w14:paraId="617B0606" w14:textId="77777777" w:rsidR="00A97556" w:rsidRPr="006E31EE" w:rsidRDefault="00A97556" w:rsidP="00A97556">
            <w:pPr>
              <w:jc w:val="center"/>
              <w:rPr>
                <w:sz w:val="22"/>
                <w:szCs w:val="22"/>
                <w:lang w:eastAsia="da-DK"/>
              </w:rPr>
            </w:pPr>
          </w:p>
          <w:p w14:paraId="47A30E63" w14:textId="77777777" w:rsidR="00A97556" w:rsidRPr="006E31EE" w:rsidRDefault="00A97556" w:rsidP="00A97556">
            <w:pPr>
              <w:jc w:val="center"/>
              <w:rPr>
                <w:sz w:val="22"/>
                <w:szCs w:val="22"/>
                <w:lang w:eastAsia="da-DK"/>
              </w:rPr>
            </w:pPr>
            <w:r w:rsidRPr="006E31EE">
              <w:rPr>
                <w:sz w:val="22"/>
                <w:szCs w:val="22"/>
                <w:lang w:eastAsia="da-DK"/>
              </w:rPr>
              <w:t>0/0</w:t>
            </w:r>
          </w:p>
        </w:tc>
        <w:tc>
          <w:tcPr>
            <w:tcW w:w="330" w:type="pct"/>
          </w:tcPr>
          <w:p w14:paraId="556BCF9E" w14:textId="77777777" w:rsidR="00A97556" w:rsidRPr="006E31EE" w:rsidRDefault="00A97556" w:rsidP="00A97556">
            <w:pPr>
              <w:jc w:val="center"/>
              <w:rPr>
                <w:sz w:val="22"/>
                <w:szCs w:val="22"/>
                <w:lang w:eastAsia="da-DK"/>
              </w:rPr>
            </w:pPr>
          </w:p>
          <w:p w14:paraId="2408D091" w14:textId="77777777" w:rsidR="00A97556" w:rsidRPr="006E31EE" w:rsidRDefault="00A97556" w:rsidP="00A97556">
            <w:pPr>
              <w:jc w:val="center"/>
              <w:rPr>
                <w:sz w:val="22"/>
                <w:szCs w:val="22"/>
                <w:lang w:eastAsia="da-DK"/>
              </w:rPr>
            </w:pPr>
          </w:p>
          <w:p w14:paraId="0136214C" w14:textId="77777777" w:rsidR="00A97556" w:rsidRPr="006E31EE" w:rsidRDefault="00A97556" w:rsidP="00A97556">
            <w:pPr>
              <w:jc w:val="center"/>
              <w:rPr>
                <w:sz w:val="22"/>
                <w:szCs w:val="22"/>
                <w:lang w:eastAsia="da-DK"/>
              </w:rPr>
            </w:pPr>
            <w:r w:rsidRPr="006E31EE">
              <w:rPr>
                <w:sz w:val="22"/>
                <w:szCs w:val="22"/>
                <w:lang w:eastAsia="da-DK"/>
              </w:rPr>
              <w:t>n/a</w:t>
            </w:r>
          </w:p>
          <w:p w14:paraId="14A81330" w14:textId="77777777" w:rsidR="00A97556" w:rsidRPr="006E31EE" w:rsidRDefault="00A97556" w:rsidP="00A97556">
            <w:pPr>
              <w:jc w:val="center"/>
              <w:rPr>
                <w:sz w:val="22"/>
                <w:szCs w:val="22"/>
                <w:lang w:eastAsia="da-DK"/>
              </w:rPr>
            </w:pPr>
          </w:p>
          <w:p w14:paraId="0EF4E338" w14:textId="77777777" w:rsidR="00A97556" w:rsidRPr="006E31EE" w:rsidRDefault="00A97556" w:rsidP="00A97556">
            <w:pPr>
              <w:jc w:val="center"/>
              <w:rPr>
                <w:sz w:val="22"/>
                <w:szCs w:val="22"/>
                <w:lang w:eastAsia="da-DK"/>
              </w:rPr>
            </w:pPr>
          </w:p>
          <w:p w14:paraId="63BDA4F5" w14:textId="77777777" w:rsidR="00A97556" w:rsidRPr="006E31EE" w:rsidRDefault="00A97556" w:rsidP="00A97556">
            <w:pPr>
              <w:jc w:val="center"/>
              <w:rPr>
                <w:sz w:val="22"/>
                <w:szCs w:val="22"/>
                <w:lang w:eastAsia="da-DK"/>
              </w:rPr>
            </w:pPr>
            <w:r w:rsidRPr="006E31EE">
              <w:rPr>
                <w:sz w:val="22"/>
                <w:szCs w:val="22"/>
                <w:lang w:eastAsia="da-DK"/>
              </w:rPr>
              <w:t>0/0</w:t>
            </w:r>
          </w:p>
        </w:tc>
        <w:tc>
          <w:tcPr>
            <w:tcW w:w="313" w:type="pct"/>
          </w:tcPr>
          <w:p w14:paraId="7D6E49BE" w14:textId="77777777" w:rsidR="00A97556" w:rsidRPr="006E31EE" w:rsidRDefault="00A97556" w:rsidP="00A97556">
            <w:pPr>
              <w:jc w:val="center"/>
              <w:rPr>
                <w:sz w:val="22"/>
                <w:szCs w:val="22"/>
                <w:lang w:eastAsia="da-DK"/>
              </w:rPr>
            </w:pPr>
          </w:p>
          <w:p w14:paraId="0B0FF46A" w14:textId="77777777" w:rsidR="00A97556" w:rsidRPr="006E31EE" w:rsidRDefault="00A97556" w:rsidP="00A97556">
            <w:pPr>
              <w:jc w:val="center"/>
              <w:rPr>
                <w:sz w:val="22"/>
                <w:szCs w:val="22"/>
                <w:lang w:eastAsia="da-DK"/>
              </w:rPr>
            </w:pPr>
          </w:p>
          <w:p w14:paraId="7E2039AE" w14:textId="77777777" w:rsidR="00A97556" w:rsidRPr="006E31EE" w:rsidRDefault="00A97556" w:rsidP="00A97556">
            <w:pPr>
              <w:jc w:val="center"/>
              <w:rPr>
                <w:sz w:val="22"/>
                <w:szCs w:val="22"/>
                <w:lang w:eastAsia="da-DK"/>
              </w:rPr>
            </w:pPr>
            <w:r w:rsidRPr="006E31EE">
              <w:rPr>
                <w:sz w:val="22"/>
                <w:szCs w:val="22"/>
                <w:lang w:eastAsia="da-DK"/>
              </w:rPr>
              <w:t>n/a</w:t>
            </w:r>
          </w:p>
          <w:p w14:paraId="3551CABD" w14:textId="77777777" w:rsidR="00A97556" w:rsidRPr="006E31EE" w:rsidRDefault="00A97556" w:rsidP="00A97556">
            <w:pPr>
              <w:jc w:val="center"/>
              <w:rPr>
                <w:sz w:val="22"/>
                <w:szCs w:val="22"/>
                <w:lang w:eastAsia="da-DK"/>
              </w:rPr>
            </w:pPr>
          </w:p>
          <w:p w14:paraId="1DDB7853" w14:textId="77777777" w:rsidR="00A97556" w:rsidRPr="006E31EE" w:rsidRDefault="00A97556" w:rsidP="00A97556">
            <w:pPr>
              <w:jc w:val="center"/>
              <w:rPr>
                <w:sz w:val="22"/>
                <w:szCs w:val="22"/>
                <w:lang w:eastAsia="da-DK"/>
              </w:rPr>
            </w:pPr>
          </w:p>
          <w:p w14:paraId="07A3BC75" w14:textId="77777777" w:rsidR="00A97556" w:rsidRPr="006E31EE" w:rsidRDefault="00A97556" w:rsidP="00A97556">
            <w:pPr>
              <w:jc w:val="center"/>
              <w:rPr>
                <w:sz w:val="22"/>
                <w:szCs w:val="22"/>
                <w:lang w:eastAsia="da-DK"/>
              </w:rPr>
            </w:pPr>
            <w:r w:rsidRPr="006E31EE">
              <w:rPr>
                <w:sz w:val="22"/>
                <w:szCs w:val="22"/>
                <w:lang w:eastAsia="da-DK"/>
              </w:rPr>
              <w:t>0/0</w:t>
            </w:r>
            <w:r w:rsidRPr="006E31EE">
              <w:rPr>
                <w:sz w:val="22"/>
                <w:szCs w:val="22"/>
                <w:vertAlign w:val="superscript"/>
                <w:lang w:eastAsia="da-DK"/>
              </w:rPr>
              <w:t>k</w:t>
            </w:r>
          </w:p>
        </w:tc>
        <w:tc>
          <w:tcPr>
            <w:tcW w:w="352" w:type="pct"/>
          </w:tcPr>
          <w:p w14:paraId="2F817FBD" w14:textId="77777777" w:rsidR="00A97556" w:rsidRPr="006E31EE" w:rsidRDefault="00A97556" w:rsidP="00A97556">
            <w:pPr>
              <w:jc w:val="center"/>
              <w:rPr>
                <w:sz w:val="22"/>
                <w:szCs w:val="22"/>
                <w:lang w:eastAsia="da-DK"/>
              </w:rPr>
            </w:pPr>
          </w:p>
          <w:p w14:paraId="160E4816" w14:textId="77777777" w:rsidR="00A97556" w:rsidRPr="006E31EE" w:rsidRDefault="00A97556" w:rsidP="00A97556">
            <w:pPr>
              <w:jc w:val="center"/>
              <w:rPr>
                <w:sz w:val="22"/>
                <w:szCs w:val="22"/>
                <w:lang w:eastAsia="da-DK"/>
              </w:rPr>
            </w:pPr>
          </w:p>
          <w:p w14:paraId="3CF01FFA" w14:textId="77777777" w:rsidR="00A97556" w:rsidRPr="006E31EE" w:rsidRDefault="00A97556" w:rsidP="00A97556">
            <w:pPr>
              <w:jc w:val="center"/>
              <w:rPr>
                <w:sz w:val="22"/>
                <w:szCs w:val="22"/>
                <w:lang w:eastAsia="da-DK"/>
              </w:rPr>
            </w:pPr>
            <w:r w:rsidRPr="006E31EE">
              <w:rPr>
                <w:sz w:val="22"/>
                <w:szCs w:val="22"/>
                <w:lang w:eastAsia="da-DK"/>
              </w:rPr>
              <w:t>n/a</w:t>
            </w:r>
          </w:p>
          <w:p w14:paraId="63078532" w14:textId="77777777" w:rsidR="00A97556" w:rsidRPr="006E31EE" w:rsidRDefault="00A97556" w:rsidP="00A97556">
            <w:pPr>
              <w:jc w:val="center"/>
              <w:rPr>
                <w:sz w:val="22"/>
                <w:szCs w:val="22"/>
                <w:lang w:eastAsia="da-DK"/>
              </w:rPr>
            </w:pPr>
          </w:p>
          <w:p w14:paraId="328DC507" w14:textId="77777777" w:rsidR="00A97556" w:rsidRPr="006E31EE" w:rsidRDefault="00A97556" w:rsidP="00A97556">
            <w:pPr>
              <w:jc w:val="center"/>
              <w:rPr>
                <w:sz w:val="22"/>
                <w:szCs w:val="22"/>
                <w:lang w:eastAsia="da-DK"/>
              </w:rPr>
            </w:pPr>
          </w:p>
          <w:p w14:paraId="03CC6CAC" w14:textId="77777777" w:rsidR="00A97556" w:rsidRPr="006E31EE" w:rsidRDefault="00A97556" w:rsidP="00A97556">
            <w:pPr>
              <w:jc w:val="center"/>
              <w:rPr>
                <w:sz w:val="22"/>
                <w:szCs w:val="22"/>
                <w:lang w:eastAsia="da-DK"/>
              </w:rPr>
            </w:pPr>
            <w:r w:rsidRPr="006E31EE">
              <w:rPr>
                <w:sz w:val="22"/>
                <w:szCs w:val="22"/>
                <w:lang w:eastAsia="da-DK"/>
              </w:rPr>
              <w:t>0/0</w:t>
            </w:r>
            <w:r w:rsidRPr="006E31EE">
              <w:rPr>
                <w:sz w:val="22"/>
                <w:szCs w:val="22"/>
                <w:vertAlign w:val="superscript"/>
                <w:lang w:eastAsia="da-DK"/>
              </w:rPr>
              <w:t>n</w:t>
            </w:r>
          </w:p>
        </w:tc>
        <w:tc>
          <w:tcPr>
            <w:tcW w:w="330" w:type="pct"/>
          </w:tcPr>
          <w:p w14:paraId="5471AEC4" w14:textId="77777777" w:rsidR="00A97556" w:rsidRPr="006E31EE" w:rsidRDefault="00A97556" w:rsidP="00A97556">
            <w:pPr>
              <w:rPr>
                <w:sz w:val="22"/>
                <w:szCs w:val="22"/>
                <w:lang w:eastAsia="da-DK"/>
              </w:rPr>
            </w:pPr>
          </w:p>
          <w:p w14:paraId="284A7C75" w14:textId="77777777" w:rsidR="00A97556" w:rsidRPr="006E31EE" w:rsidRDefault="00A97556" w:rsidP="00A97556">
            <w:pPr>
              <w:rPr>
                <w:sz w:val="22"/>
                <w:szCs w:val="22"/>
                <w:lang w:eastAsia="da-DK"/>
              </w:rPr>
            </w:pPr>
          </w:p>
          <w:p w14:paraId="4C955385" w14:textId="77777777" w:rsidR="00A97556" w:rsidRPr="006E31EE" w:rsidRDefault="00A97556" w:rsidP="00A97556">
            <w:pPr>
              <w:rPr>
                <w:sz w:val="22"/>
                <w:szCs w:val="22"/>
                <w:lang w:eastAsia="da-DK"/>
              </w:rPr>
            </w:pPr>
            <w:r w:rsidRPr="006E31EE">
              <w:rPr>
                <w:sz w:val="22"/>
                <w:szCs w:val="22"/>
                <w:lang w:eastAsia="da-DK"/>
              </w:rPr>
              <w:t>n/a</w:t>
            </w:r>
          </w:p>
          <w:p w14:paraId="17B1E5F1" w14:textId="77777777" w:rsidR="00A97556" w:rsidRPr="006E31EE" w:rsidRDefault="00A97556" w:rsidP="00A97556">
            <w:pPr>
              <w:rPr>
                <w:sz w:val="22"/>
                <w:szCs w:val="22"/>
                <w:lang w:eastAsia="da-DK"/>
              </w:rPr>
            </w:pPr>
          </w:p>
          <w:p w14:paraId="1ECF131D" w14:textId="77777777" w:rsidR="00A97556" w:rsidRPr="006E31EE" w:rsidRDefault="00A97556" w:rsidP="00A97556">
            <w:pPr>
              <w:rPr>
                <w:sz w:val="22"/>
                <w:szCs w:val="22"/>
                <w:lang w:eastAsia="da-DK"/>
              </w:rPr>
            </w:pPr>
          </w:p>
          <w:p w14:paraId="091CFABB" w14:textId="77777777" w:rsidR="00A97556" w:rsidRPr="006E31EE" w:rsidRDefault="00A97556" w:rsidP="00A97556">
            <w:pPr>
              <w:rPr>
                <w:sz w:val="22"/>
                <w:szCs w:val="22"/>
                <w:lang w:eastAsia="da-DK"/>
              </w:rPr>
            </w:pPr>
            <w:r w:rsidRPr="006E31EE">
              <w:rPr>
                <w:sz w:val="22"/>
                <w:szCs w:val="22"/>
                <w:lang w:eastAsia="da-DK"/>
              </w:rPr>
              <w:t>1/1</w:t>
            </w:r>
            <w:r w:rsidRPr="006E31EE">
              <w:rPr>
                <w:sz w:val="22"/>
                <w:szCs w:val="22"/>
                <w:vertAlign w:val="superscript"/>
                <w:lang w:eastAsia="da-DK"/>
              </w:rPr>
              <w:t>n</w:t>
            </w:r>
          </w:p>
        </w:tc>
      </w:tr>
    </w:tbl>
    <w:p w14:paraId="198A2BF8" w14:textId="77777777" w:rsidR="00A97556" w:rsidRPr="006E31EE" w:rsidRDefault="00A97556" w:rsidP="00A97556">
      <w:pPr>
        <w:pStyle w:val="Default"/>
        <w:tabs>
          <w:tab w:val="left" w:pos="284"/>
        </w:tabs>
        <w:ind w:left="284" w:hanging="284"/>
      </w:pPr>
      <w:r w:rsidRPr="006E31EE">
        <w:rPr>
          <w:vertAlign w:val="superscript"/>
        </w:rPr>
        <w:t>a</w:t>
      </w:r>
      <w:r w:rsidRPr="006E31EE">
        <w:t xml:space="preserve"> Baseret på Long Term Evaluation algoritme (LTE-analyse) - Patienter, som afbrød studiet på et vilkårligt tidspunkt før uge 384 pga. et protokoldefineret endepunkt, såvel som dem, der fuldførte uge 288, inkluderes i nævneren. </w:t>
      </w:r>
    </w:p>
    <w:p w14:paraId="64C5978B" w14:textId="77777777" w:rsidR="00A97556" w:rsidRPr="006E31EE" w:rsidRDefault="00A97556" w:rsidP="00A97556">
      <w:pPr>
        <w:pStyle w:val="Default"/>
        <w:tabs>
          <w:tab w:val="left" w:pos="284"/>
        </w:tabs>
        <w:ind w:left="284" w:hanging="284"/>
      </w:pPr>
      <w:r w:rsidRPr="006E31EE">
        <w:rPr>
          <w:vertAlign w:val="superscript"/>
        </w:rPr>
        <w:t>b</w:t>
      </w:r>
      <w:r w:rsidRPr="006E31EE">
        <w:t xml:space="preserve"> </w:t>
      </w:r>
      <w:r w:rsidRPr="006E31EE">
        <w:tab/>
        <w:t xml:space="preserve">48 ugers dobbeltblind tenofovirdisoproxil, efterfulgt af 48 ugers open label. </w:t>
      </w:r>
    </w:p>
    <w:p w14:paraId="0B539028" w14:textId="77777777" w:rsidR="00A97556" w:rsidRPr="006E31EE" w:rsidRDefault="00A97556" w:rsidP="00A97556">
      <w:pPr>
        <w:pStyle w:val="Default"/>
        <w:tabs>
          <w:tab w:val="left" w:pos="284"/>
        </w:tabs>
        <w:ind w:left="284" w:hanging="284"/>
      </w:pPr>
      <w:r w:rsidRPr="006E31EE">
        <w:rPr>
          <w:vertAlign w:val="superscript"/>
        </w:rPr>
        <w:t>c</w:t>
      </w:r>
      <w:r w:rsidRPr="006E31EE">
        <w:t xml:space="preserve"> </w:t>
      </w:r>
      <w:r w:rsidRPr="006E31EE">
        <w:tab/>
        <w:t xml:space="preserve">48 ugers dobbeltblind adefovirdipivoxil, efterfulgt af 48 ugers open label tenofovirdisoproxil. </w:t>
      </w:r>
    </w:p>
    <w:p w14:paraId="1FCE0E26" w14:textId="77777777" w:rsidR="00A97556" w:rsidRPr="006E31EE" w:rsidRDefault="00A97556" w:rsidP="00A97556">
      <w:pPr>
        <w:pStyle w:val="Default"/>
        <w:tabs>
          <w:tab w:val="left" w:pos="284"/>
        </w:tabs>
        <w:ind w:left="284" w:hanging="284"/>
      </w:pPr>
      <w:r w:rsidRPr="006E31EE">
        <w:rPr>
          <w:vertAlign w:val="superscript"/>
        </w:rPr>
        <w:t>d</w:t>
      </w:r>
      <w:r w:rsidRPr="006E31EE">
        <w:t xml:space="preserve"> </w:t>
      </w:r>
      <w:r w:rsidRPr="006E31EE">
        <w:tab/>
        <w:t xml:space="preserve">Populationen, som blev brugt til analyse af ALAT-normalisering, inkluderede kun patienter med ALAT over ULN ved baseline. </w:t>
      </w:r>
    </w:p>
    <w:p w14:paraId="3F018373" w14:textId="77777777" w:rsidR="00A97556" w:rsidRPr="006E31EE" w:rsidRDefault="00A97556" w:rsidP="00A97556">
      <w:pPr>
        <w:pStyle w:val="Default"/>
        <w:tabs>
          <w:tab w:val="left" w:pos="284"/>
        </w:tabs>
        <w:ind w:left="284" w:hanging="284"/>
      </w:pPr>
      <w:r w:rsidRPr="006E31EE">
        <w:rPr>
          <w:vertAlign w:val="superscript"/>
        </w:rPr>
        <w:t>e</w:t>
      </w:r>
      <w:r w:rsidRPr="006E31EE">
        <w:t xml:space="preserve"> </w:t>
      </w:r>
      <w:r w:rsidRPr="006E31EE">
        <w:tab/>
        <w:t xml:space="preserve">48 ugers dobbeltblind tenofovirdisoproxil, efterfulgt af 96 ugers open label. </w:t>
      </w:r>
    </w:p>
    <w:p w14:paraId="381C9CBB" w14:textId="77777777" w:rsidR="00A97556" w:rsidRPr="006E31EE" w:rsidRDefault="00A97556" w:rsidP="00A97556">
      <w:pPr>
        <w:pStyle w:val="Default"/>
        <w:tabs>
          <w:tab w:val="left" w:pos="284"/>
        </w:tabs>
        <w:ind w:left="284" w:hanging="284"/>
      </w:pPr>
      <w:r w:rsidRPr="006E31EE">
        <w:rPr>
          <w:vertAlign w:val="superscript"/>
        </w:rPr>
        <w:t>f</w:t>
      </w:r>
      <w:r w:rsidRPr="006E31EE">
        <w:t xml:space="preserve"> </w:t>
      </w:r>
      <w:r w:rsidRPr="006E31EE">
        <w:tab/>
        <w:t xml:space="preserve">48 ugers dobbeltblind adefovirdipivoxil, efterfulgt af 96 ugers open label tenofovirdisoproxil. </w:t>
      </w:r>
    </w:p>
    <w:p w14:paraId="3CB5967D" w14:textId="77777777" w:rsidR="00A97556" w:rsidRPr="006E31EE" w:rsidRDefault="00A97556" w:rsidP="00A97556">
      <w:pPr>
        <w:pStyle w:val="Default"/>
        <w:tabs>
          <w:tab w:val="left" w:pos="284"/>
        </w:tabs>
        <w:ind w:left="284" w:hanging="284"/>
      </w:pPr>
      <w:r w:rsidRPr="006E31EE">
        <w:rPr>
          <w:vertAlign w:val="superscript"/>
        </w:rPr>
        <w:t>g</w:t>
      </w:r>
      <w:r w:rsidRPr="006E31EE">
        <w:t xml:space="preserve"> </w:t>
      </w:r>
      <w:r w:rsidRPr="006E31EE">
        <w:tab/>
        <w:t xml:space="preserve">48 ugers dobbeltblind tenofovirdisoproxil, efterfulgt af 144 ugers open label. </w:t>
      </w:r>
    </w:p>
    <w:p w14:paraId="1D5B0A1C" w14:textId="77777777" w:rsidR="00A97556" w:rsidRPr="006E31EE" w:rsidRDefault="00A97556" w:rsidP="00A97556">
      <w:pPr>
        <w:pStyle w:val="Default"/>
        <w:tabs>
          <w:tab w:val="left" w:pos="284"/>
        </w:tabs>
        <w:ind w:left="284" w:hanging="284"/>
      </w:pPr>
      <w:r w:rsidRPr="006E31EE">
        <w:rPr>
          <w:vertAlign w:val="superscript"/>
        </w:rPr>
        <w:lastRenderedPageBreak/>
        <w:t xml:space="preserve">h </w:t>
      </w:r>
      <w:r w:rsidRPr="006E31EE">
        <w:rPr>
          <w:vertAlign w:val="superscript"/>
        </w:rPr>
        <w:tab/>
      </w:r>
      <w:r w:rsidRPr="006E31EE">
        <w:t xml:space="preserve">48 ugers dobbeltblind adefovirdipivoxil, efterfulgt af 144 ugers open label tenofovirdisoproxil. </w:t>
      </w:r>
    </w:p>
    <w:p w14:paraId="489F9FB3" w14:textId="77777777" w:rsidR="00A97556" w:rsidRPr="006E31EE" w:rsidRDefault="00A97556" w:rsidP="00A97556">
      <w:pPr>
        <w:pStyle w:val="Default"/>
        <w:tabs>
          <w:tab w:val="left" w:pos="284"/>
        </w:tabs>
        <w:ind w:left="284" w:hanging="284"/>
      </w:pPr>
      <w:r w:rsidRPr="006E31EE">
        <w:rPr>
          <w:vertAlign w:val="superscript"/>
        </w:rPr>
        <w:t xml:space="preserve">i </w:t>
      </w:r>
      <w:r w:rsidRPr="006E31EE">
        <w:rPr>
          <w:vertAlign w:val="superscript"/>
        </w:rPr>
        <w:tab/>
      </w:r>
      <w:r w:rsidRPr="006E31EE">
        <w:t xml:space="preserve">48 ugers dobbeltblind tenofovirdisoproxil, efterfulgt af 192 ugers open label. </w:t>
      </w:r>
    </w:p>
    <w:p w14:paraId="2EBE7377" w14:textId="77777777" w:rsidR="00A97556" w:rsidRPr="006E31EE" w:rsidRDefault="00A97556" w:rsidP="00A97556">
      <w:pPr>
        <w:pStyle w:val="Default"/>
        <w:tabs>
          <w:tab w:val="left" w:pos="284"/>
        </w:tabs>
        <w:ind w:left="284" w:hanging="284"/>
      </w:pPr>
      <w:r w:rsidRPr="006E31EE">
        <w:rPr>
          <w:vertAlign w:val="superscript"/>
        </w:rPr>
        <w:t xml:space="preserve">j </w:t>
      </w:r>
      <w:r w:rsidRPr="006E31EE">
        <w:rPr>
          <w:vertAlign w:val="superscript"/>
        </w:rPr>
        <w:tab/>
      </w:r>
      <w:r w:rsidRPr="006E31EE">
        <w:t xml:space="preserve">48 ugers dobbeltblind adefovirdipivoxil, efterfulgt af 192 ugers open label tenofovirdisoproxil. </w:t>
      </w:r>
    </w:p>
    <w:p w14:paraId="5B60631C" w14:textId="77777777" w:rsidR="00A97556" w:rsidRPr="006E31EE" w:rsidRDefault="00A97556" w:rsidP="00A97556">
      <w:pPr>
        <w:pStyle w:val="Default"/>
        <w:tabs>
          <w:tab w:val="left" w:pos="284"/>
        </w:tabs>
        <w:ind w:left="284" w:hanging="284"/>
      </w:pPr>
      <w:r w:rsidRPr="006E31EE">
        <w:rPr>
          <w:vertAlign w:val="superscript"/>
        </w:rPr>
        <w:t xml:space="preserve">k </w:t>
      </w:r>
      <w:r w:rsidRPr="006E31EE">
        <w:rPr>
          <w:vertAlign w:val="superscript"/>
        </w:rPr>
        <w:tab/>
      </w:r>
      <w:r w:rsidRPr="006E31EE">
        <w:t xml:space="preserve">Én patient i denne gruppe blev HBsAg-negativ for første gang ved uge 240-besøget og var stadig i studiet på skæringsdagen for dataindsamling. Forsøgspersonens tab af HBsAg blev endeligt bekræftet ved det efterfølgende besøg. </w:t>
      </w:r>
    </w:p>
    <w:p w14:paraId="1BC722EF" w14:textId="77777777" w:rsidR="00A97556" w:rsidRPr="006E31EE" w:rsidRDefault="00A97556" w:rsidP="00A97556">
      <w:pPr>
        <w:pStyle w:val="Default"/>
        <w:tabs>
          <w:tab w:val="left" w:pos="284"/>
        </w:tabs>
        <w:ind w:left="284" w:hanging="284"/>
      </w:pPr>
      <w:r w:rsidRPr="006E31EE">
        <w:rPr>
          <w:vertAlign w:val="superscript"/>
        </w:rPr>
        <w:t xml:space="preserve">l </w:t>
      </w:r>
      <w:r w:rsidRPr="006E31EE">
        <w:rPr>
          <w:vertAlign w:val="superscript"/>
        </w:rPr>
        <w:tab/>
      </w:r>
      <w:r w:rsidRPr="006E31EE">
        <w:t xml:space="preserve">48 ugers dobbeltblind tenofovirdisoproxil, efterfulgt af 240 ugers open label. </w:t>
      </w:r>
    </w:p>
    <w:p w14:paraId="4193E4AB" w14:textId="77777777" w:rsidR="00A97556" w:rsidRPr="006E31EE" w:rsidRDefault="00A97556" w:rsidP="00A97556">
      <w:pPr>
        <w:pStyle w:val="Default"/>
        <w:tabs>
          <w:tab w:val="left" w:pos="284"/>
        </w:tabs>
        <w:ind w:left="284" w:hanging="284"/>
      </w:pPr>
      <w:r w:rsidRPr="006E31EE">
        <w:rPr>
          <w:vertAlign w:val="superscript"/>
        </w:rPr>
        <w:t xml:space="preserve">m </w:t>
      </w:r>
      <w:r w:rsidRPr="006E31EE">
        <w:rPr>
          <w:vertAlign w:val="superscript"/>
        </w:rPr>
        <w:tab/>
      </w:r>
      <w:r w:rsidRPr="006E31EE">
        <w:t xml:space="preserve">48 ugers dobbeltblind adefovirdipivoxil, efterfulgt af 240 ugers open label tenofovirdisoproxil. </w:t>
      </w:r>
    </w:p>
    <w:p w14:paraId="61B856A6" w14:textId="77777777" w:rsidR="00A97556" w:rsidRPr="006E31EE" w:rsidRDefault="00A97556" w:rsidP="00A97556">
      <w:pPr>
        <w:pStyle w:val="Default"/>
        <w:tabs>
          <w:tab w:val="left" w:pos="284"/>
        </w:tabs>
        <w:ind w:left="284" w:hanging="284"/>
      </w:pPr>
      <w:r w:rsidRPr="006E31EE">
        <w:rPr>
          <w:vertAlign w:val="superscript"/>
        </w:rPr>
        <w:t>n</w:t>
      </w:r>
      <w:r w:rsidRPr="006E31EE">
        <w:t xml:space="preserve"> </w:t>
      </w:r>
      <w:r w:rsidRPr="006E31EE">
        <w:tab/>
        <w:t>De viste tal er kumulative procenter baseret på en Kaplan Meier-analyse, som ekskluderer data indsamlet efter tillæg af emtricitabin til open label tenofovirdisoproxil (KM-</w:t>
      </w:r>
      <w:proofErr w:type="gramStart"/>
      <w:r w:rsidRPr="006E31EE">
        <w:t>tenofovirdisoproxil</w:t>
      </w:r>
      <w:r w:rsidRPr="006E31EE" w:rsidDel="00666684">
        <w:t xml:space="preserve"> </w:t>
      </w:r>
      <w:r w:rsidRPr="006E31EE">
        <w:t>)</w:t>
      </w:r>
      <w:proofErr w:type="gramEnd"/>
      <w:r w:rsidRPr="006E31EE">
        <w:t xml:space="preserve">. </w:t>
      </w:r>
    </w:p>
    <w:p w14:paraId="77E11909" w14:textId="77777777" w:rsidR="00A97556" w:rsidRPr="006E31EE" w:rsidRDefault="00A97556" w:rsidP="00A97556">
      <w:pPr>
        <w:pStyle w:val="Default"/>
        <w:tabs>
          <w:tab w:val="left" w:pos="284"/>
        </w:tabs>
        <w:ind w:left="284" w:hanging="284"/>
      </w:pPr>
      <w:r w:rsidRPr="006E31EE">
        <w:rPr>
          <w:vertAlign w:val="superscript"/>
        </w:rPr>
        <w:t>o</w:t>
      </w:r>
      <w:r w:rsidRPr="006E31EE">
        <w:t xml:space="preserve"> </w:t>
      </w:r>
      <w:r w:rsidRPr="006E31EE">
        <w:tab/>
        <w:t>48 ugers dobbeltblind tenofovirdisoproxil, efterfulgt af 336 ugers open label.</w:t>
      </w:r>
    </w:p>
    <w:p w14:paraId="118A5C58" w14:textId="77777777" w:rsidR="00A97556" w:rsidRPr="006E31EE" w:rsidRDefault="00A97556" w:rsidP="00A97556">
      <w:pPr>
        <w:pStyle w:val="Default"/>
        <w:tabs>
          <w:tab w:val="left" w:pos="284"/>
        </w:tabs>
        <w:ind w:left="284" w:hanging="284"/>
      </w:pPr>
      <w:r w:rsidRPr="006E31EE">
        <w:rPr>
          <w:vertAlign w:val="superscript"/>
        </w:rPr>
        <w:t>p</w:t>
      </w:r>
      <w:r w:rsidRPr="006E31EE">
        <w:t xml:space="preserve"> </w:t>
      </w:r>
      <w:r w:rsidRPr="006E31EE">
        <w:tab/>
        <w:t xml:space="preserve">48 ugers dobbeltblind adefovirdipivoxil, efterfulgt af 336 ugers open label tenofovirdisoproxil. n/a = </w:t>
      </w:r>
      <w:r w:rsidRPr="006E31EE">
        <w:rPr>
          <w:i/>
          <w:iCs/>
        </w:rPr>
        <w:t xml:space="preserve">not applicable </w:t>
      </w:r>
      <w:r w:rsidRPr="006E31EE">
        <w:t>- ikke relevant.</w:t>
      </w:r>
    </w:p>
    <w:p w14:paraId="04054901" w14:textId="77777777" w:rsidR="00A97556" w:rsidRPr="006E31EE" w:rsidRDefault="00A97556" w:rsidP="00A97556">
      <w:pPr>
        <w:suppressAutoHyphens/>
        <w:ind w:left="851" w:hanging="851"/>
        <w:rPr>
          <w:sz w:val="24"/>
          <w:szCs w:val="24"/>
        </w:rPr>
      </w:pPr>
    </w:p>
    <w:p w14:paraId="59CE6535" w14:textId="77777777" w:rsidR="00A97556" w:rsidRPr="006E31EE" w:rsidRDefault="00A97556" w:rsidP="00A97556">
      <w:pPr>
        <w:rPr>
          <w:sz w:val="24"/>
          <w:szCs w:val="24"/>
        </w:rPr>
      </w:pPr>
      <w:r w:rsidRPr="006E31EE">
        <w:rPr>
          <w:b/>
          <w:bCs/>
          <w:sz w:val="24"/>
          <w:szCs w:val="24"/>
        </w:rPr>
        <w:t xml:space="preserve">Tabel 5: Virkningsparametre hos kompenserede HBeAg-positive patienter ved uge 96, 144, 192, 240, 288 og 384 </w:t>
      </w:r>
      <w:r w:rsidRPr="006E31EE">
        <w:rPr>
          <w:b/>
          <w:bCs/>
          <w:iCs/>
          <w:sz w:val="24"/>
          <w:szCs w:val="24"/>
        </w:rPr>
        <w:t>open label</w:t>
      </w:r>
      <w:r w:rsidRPr="006E31EE">
        <w:rPr>
          <w:b/>
          <w:bCs/>
          <w:sz w:val="24"/>
          <w:szCs w:val="24"/>
        </w:rPr>
        <w:t>-behandling</w:t>
      </w:r>
    </w:p>
    <w:p w14:paraId="5E0D84C8" w14:textId="77777777" w:rsidR="00A97556" w:rsidRPr="006E31EE" w:rsidRDefault="00A97556" w:rsidP="00A97556">
      <w:pPr>
        <w:pStyle w:val="Default"/>
        <w:tabs>
          <w:tab w:val="left" w:pos="284"/>
        </w:tabs>
        <w:ind w:left="284" w:hanging="284"/>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544"/>
        <w:gridCol w:w="628"/>
        <w:gridCol w:w="683"/>
        <w:gridCol w:w="683"/>
        <w:gridCol w:w="683"/>
        <w:gridCol w:w="750"/>
        <w:gridCol w:w="683"/>
        <w:gridCol w:w="683"/>
        <w:gridCol w:w="683"/>
        <w:gridCol w:w="720"/>
        <w:gridCol w:w="720"/>
        <w:gridCol w:w="751"/>
      </w:tblGrid>
      <w:tr w:rsidR="00A97556" w:rsidRPr="006E31EE" w14:paraId="1BBFBF98" w14:textId="77777777" w:rsidTr="00A97556">
        <w:tc>
          <w:tcPr>
            <w:tcW w:w="683" w:type="pct"/>
          </w:tcPr>
          <w:p w14:paraId="47ABE763" w14:textId="77777777" w:rsidR="00A97556" w:rsidRPr="006E31EE" w:rsidRDefault="00A97556" w:rsidP="00A97556"/>
        </w:tc>
        <w:tc>
          <w:tcPr>
            <w:tcW w:w="4317" w:type="pct"/>
            <w:gridSpan w:val="12"/>
          </w:tcPr>
          <w:p w14:paraId="28D8AF09" w14:textId="77777777" w:rsidR="00A97556" w:rsidRPr="006E31EE" w:rsidRDefault="00A97556" w:rsidP="00A97556">
            <w:pPr>
              <w:jc w:val="center"/>
            </w:pPr>
            <w:r w:rsidRPr="006E31EE">
              <w:rPr>
                <w:b/>
                <w:bCs/>
              </w:rPr>
              <w:t>Studie 174-0103 (HBeAg-positiv)</w:t>
            </w:r>
          </w:p>
        </w:tc>
      </w:tr>
      <w:tr w:rsidR="00A97556" w:rsidRPr="006E31EE" w14:paraId="1B02D38B" w14:textId="77777777" w:rsidTr="00A97556">
        <w:tc>
          <w:tcPr>
            <w:tcW w:w="683" w:type="pct"/>
          </w:tcPr>
          <w:p w14:paraId="2625DD19" w14:textId="77777777" w:rsidR="00A97556" w:rsidRPr="006E31EE" w:rsidRDefault="00A97556" w:rsidP="00A97556">
            <w:r w:rsidRPr="006E31EE">
              <w:t>Parameter</w:t>
            </w:r>
            <w:r w:rsidRPr="006E31EE">
              <w:rPr>
                <w:vertAlign w:val="superscript"/>
              </w:rPr>
              <w:t>a</w:t>
            </w:r>
          </w:p>
        </w:tc>
        <w:tc>
          <w:tcPr>
            <w:tcW w:w="2060" w:type="pct"/>
            <w:gridSpan w:val="6"/>
          </w:tcPr>
          <w:p w14:paraId="159FC860" w14:textId="77777777" w:rsidR="00A97556" w:rsidRPr="006E31EE" w:rsidRDefault="00A97556" w:rsidP="00A97556">
            <w:pPr>
              <w:jc w:val="center"/>
            </w:pPr>
            <w:r w:rsidRPr="006E31EE">
              <w:t>245 mg tenofovirdisoproxil</w:t>
            </w:r>
          </w:p>
          <w:p w14:paraId="2DD6B882" w14:textId="77777777" w:rsidR="00A97556" w:rsidRPr="006E31EE" w:rsidRDefault="00A97556" w:rsidP="00A97556">
            <w:pPr>
              <w:jc w:val="center"/>
            </w:pPr>
            <w:r w:rsidRPr="006E31EE">
              <w:t>n = 176</w:t>
            </w:r>
          </w:p>
        </w:tc>
        <w:tc>
          <w:tcPr>
            <w:tcW w:w="2257" w:type="pct"/>
            <w:gridSpan w:val="6"/>
          </w:tcPr>
          <w:p w14:paraId="21711E75" w14:textId="77777777" w:rsidR="00A97556" w:rsidRPr="006E31EE" w:rsidRDefault="00A97556" w:rsidP="00A97556">
            <w:pPr>
              <w:jc w:val="center"/>
            </w:pPr>
            <w:r w:rsidRPr="006E31EE">
              <w:t>10 mg adefovirdipivoxil skift til 245 mg tenofovirdisoproxil</w:t>
            </w:r>
          </w:p>
          <w:p w14:paraId="0BAA3012" w14:textId="77777777" w:rsidR="00A97556" w:rsidRPr="006E31EE" w:rsidRDefault="00A97556" w:rsidP="00A97556">
            <w:pPr>
              <w:jc w:val="center"/>
            </w:pPr>
            <w:r w:rsidRPr="006E31EE">
              <w:t>n = 90</w:t>
            </w:r>
          </w:p>
        </w:tc>
      </w:tr>
      <w:tr w:rsidR="00A97556" w:rsidRPr="006E31EE" w14:paraId="719560D1" w14:textId="77777777" w:rsidTr="00A97556">
        <w:tc>
          <w:tcPr>
            <w:tcW w:w="683" w:type="pct"/>
          </w:tcPr>
          <w:p w14:paraId="567A4D64" w14:textId="77777777" w:rsidR="00A97556" w:rsidRPr="006E31EE" w:rsidRDefault="00A97556" w:rsidP="00A97556">
            <w:pPr>
              <w:rPr>
                <w:b/>
                <w:lang w:eastAsia="da-DK"/>
              </w:rPr>
            </w:pPr>
            <w:r w:rsidRPr="006E31EE">
              <w:rPr>
                <w:b/>
                <w:lang w:eastAsia="da-DK"/>
              </w:rPr>
              <w:t>Uge</w:t>
            </w:r>
          </w:p>
        </w:tc>
        <w:tc>
          <w:tcPr>
            <w:tcW w:w="292" w:type="pct"/>
          </w:tcPr>
          <w:p w14:paraId="2CF7E3A0" w14:textId="77777777" w:rsidR="00A97556" w:rsidRPr="006E31EE" w:rsidRDefault="00A97556" w:rsidP="00A97556">
            <w:pPr>
              <w:jc w:val="center"/>
              <w:rPr>
                <w:lang w:eastAsia="da-DK"/>
              </w:rPr>
            </w:pPr>
            <w:r w:rsidRPr="006E31EE">
              <w:rPr>
                <w:lang w:eastAsia="da-DK"/>
              </w:rPr>
              <w:t>96</w:t>
            </w:r>
            <w:r w:rsidRPr="006E31EE">
              <w:rPr>
                <w:vertAlign w:val="superscript"/>
                <w:lang w:eastAsia="da-DK"/>
              </w:rPr>
              <w:t>b</w:t>
            </w:r>
          </w:p>
        </w:tc>
        <w:tc>
          <w:tcPr>
            <w:tcW w:w="277" w:type="pct"/>
          </w:tcPr>
          <w:p w14:paraId="3CE432FD" w14:textId="77777777" w:rsidR="00A97556" w:rsidRPr="006E31EE" w:rsidRDefault="00A97556" w:rsidP="00A97556">
            <w:pPr>
              <w:jc w:val="center"/>
              <w:rPr>
                <w:lang w:eastAsia="da-DK"/>
              </w:rPr>
            </w:pPr>
            <w:r w:rsidRPr="006E31EE">
              <w:rPr>
                <w:lang w:eastAsia="da-DK"/>
              </w:rPr>
              <w:t>144</w:t>
            </w:r>
            <w:r w:rsidRPr="006E31EE">
              <w:rPr>
                <w:vertAlign w:val="superscript"/>
                <w:lang w:eastAsia="da-DK"/>
              </w:rPr>
              <w:t>e</w:t>
            </w:r>
          </w:p>
        </w:tc>
        <w:tc>
          <w:tcPr>
            <w:tcW w:w="364" w:type="pct"/>
          </w:tcPr>
          <w:p w14:paraId="1984E0CA" w14:textId="77777777" w:rsidR="00A97556" w:rsidRPr="006E31EE" w:rsidRDefault="00A97556" w:rsidP="00A97556">
            <w:pPr>
              <w:jc w:val="center"/>
              <w:rPr>
                <w:lang w:eastAsia="da-DK"/>
              </w:rPr>
            </w:pPr>
            <w:r w:rsidRPr="006E31EE">
              <w:rPr>
                <w:lang w:eastAsia="da-DK"/>
              </w:rPr>
              <w:t>192</w:t>
            </w:r>
            <w:r w:rsidRPr="006E31EE">
              <w:rPr>
                <w:vertAlign w:val="superscript"/>
                <w:lang w:eastAsia="da-DK"/>
              </w:rPr>
              <w:t>h</w:t>
            </w:r>
          </w:p>
        </w:tc>
        <w:tc>
          <w:tcPr>
            <w:tcW w:w="364" w:type="pct"/>
          </w:tcPr>
          <w:p w14:paraId="19B066CC" w14:textId="77777777" w:rsidR="00A97556" w:rsidRPr="006E31EE" w:rsidRDefault="00A97556" w:rsidP="00A97556">
            <w:pPr>
              <w:jc w:val="center"/>
              <w:rPr>
                <w:lang w:eastAsia="da-DK"/>
              </w:rPr>
            </w:pPr>
            <w:r w:rsidRPr="006E31EE">
              <w:rPr>
                <w:lang w:eastAsia="da-DK"/>
              </w:rPr>
              <w:t>240</w:t>
            </w:r>
            <w:r w:rsidRPr="006E31EE">
              <w:rPr>
                <w:vertAlign w:val="superscript"/>
                <w:lang w:eastAsia="da-DK"/>
              </w:rPr>
              <w:t>j</w:t>
            </w:r>
          </w:p>
        </w:tc>
        <w:tc>
          <w:tcPr>
            <w:tcW w:w="364" w:type="pct"/>
          </w:tcPr>
          <w:p w14:paraId="1F64698B" w14:textId="77777777" w:rsidR="00A97556" w:rsidRPr="006E31EE" w:rsidRDefault="00A97556" w:rsidP="00A97556">
            <w:pPr>
              <w:jc w:val="center"/>
              <w:rPr>
                <w:lang w:eastAsia="da-DK"/>
              </w:rPr>
            </w:pPr>
            <w:r w:rsidRPr="006E31EE">
              <w:rPr>
                <w:lang w:eastAsia="da-DK"/>
              </w:rPr>
              <w:t>288</w:t>
            </w:r>
            <w:r w:rsidRPr="006E31EE">
              <w:rPr>
                <w:vertAlign w:val="superscript"/>
                <w:lang w:eastAsia="da-DK"/>
              </w:rPr>
              <w:t>m</w:t>
            </w:r>
          </w:p>
        </w:tc>
        <w:tc>
          <w:tcPr>
            <w:tcW w:w="399" w:type="pct"/>
          </w:tcPr>
          <w:p w14:paraId="6A31AD45" w14:textId="77777777" w:rsidR="00A97556" w:rsidRPr="006E31EE" w:rsidRDefault="00A97556" w:rsidP="00A97556">
            <w:pPr>
              <w:jc w:val="center"/>
              <w:rPr>
                <w:lang w:eastAsia="da-DK"/>
              </w:rPr>
            </w:pPr>
            <w:r w:rsidRPr="006E31EE">
              <w:rPr>
                <w:lang w:eastAsia="da-DK"/>
              </w:rPr>
              <w:t>384</w:t>
            </w:r>
            <w:r w:rsidRPr="006E31EE">
              <w:rPr>
                <w:vertAlign w:val="superscript"/>
                <w:lang w:eastAsia="da-DK"/>
              </w:rPr>
              <w:t>o</w:t>
            </w:r>
          </w:p>
        </w:tc>
        <w:tc>
          <w:tcPr>
            <w:tcW w:w="364" w:type="pct"/>
          </w:tcPr>
          <w:p w14:paraId="0ED11D9D" w14:textId="77777777" w:rsidR="00A97556" w:rsidRPr="006E31EE" w:rsidRDefault="00A97556" w:rsidP="00A97556">
            <w:pPr>
              <w:jc w:val="center"/>
              <w:rPr>
                <w:lang w:eastAsia="da-DK"/>
              </w:rPr>
            </w:pPr>
            <w:r w:rsidRPr="006E31EE">
              <w:rPr>
                <w:lang w:eastAsia="da-DK"/>
              </w:rPr>
              <w:t>96</w:t>
            </w:r>
            <w:r w:rsidRPr="006E31EE">
              <w:rPr>
                <w:vertAlign w:val="superscript"/>
                <w:lang w:eastAsia="da-DK"/>
              </w:rPr>
              <w:t>c</w:t>
            </w:r>
          </w:p>
        </w:tc>
        <w:tc>
          <w:tcPr>
            <w:tcW w:w="364" w:type="pct"/>
          </w:tcPr>
          <w:p w14:paraId="0769D8F2" w14:textId="77777777" w:rsidR="00A97556" w:rsidRPr="006E31EE" w:rsidRDefault="00A97556" w:rsidP="00A97556">
            <w:pPr>
              <w:jc w:val="center"/>
              <w:rPr>
                <w:lang w:eastAsia="da-DK"/>
              </w:rPr>
            </w:pPr>
            <w:r w:rsidRPr="006E31EE">
              <w:rPr>
                <w:lang w:eastAsia="da-DK"/>
              </w:rPr>
              <w:t>144</w:t>
            </w:r>
            <w:r w:rsidRPr="006E31EE">
              <w:rPr>
                <w:vertAlign w:val="superscript"/>
                <w:lang w:eastAsia="da-DK"/>
              </w:rPr>
              <w:t>f</w:t>
            </w:r>
          </w:p>
        </w:tc>
        <w:tc>
          <w:tcPr>
            <w:tcW w:w="364" w:type="pct"/>
          </w:tcPr>
          <w:p w14:paraId="02B46547" w14:textId="77777777" w:rsidR="00A97556" w:rsidRPr="006E31EE" w:rsidRDefault="00A97556" w:rsidP="00A97556">
            <w:pPr>
              <w:jc w:val="center"/>
              <w:rPr>
                <w:lang w:eastAsia="da-DK"/>
              </w:rPr>
            </w:pPr>
            <w:r w:rsidRPr="006E31EE">
              <w:rPr>
                <w:lang w:eastAsia="da-DK"/>
              </w:rPr>
              <w:t>192</w:t>
            </w:r>
            <w:r w:rsidRPr="006E31EE">
              <w:rPr>
                <w:vertAlign w:val="superscript"/>
                <w:lang w:eastAsia="da-DK"/>
              </w:rPr>
              <w:t>i</w:t>
            </w:r>
          </w:p>
        </w:tc>
        <w:tc>
          <w:tcPr>
            <w:tcW w:w="383" w:type="pct"/>
          </w:tcPr>
          <w:p w14:paraId="5D9E1275" w14:textId="77777777" w:rsidR="00A97556" w:rsidRPr="006E31EE" w:rsidRDefault="00A97556" w:rsidP="00A97556">
            <w:pPr>
              <w:jc w:val="center"/>
              <w:rPr>
                <w:lang w:eastAsia="da-DK"/>
              </w:rPr>
            </w:pPr>
            <w:r w:rsidRPr="006E31EE">
              <w:rPr>
                <w:lang w:eastAsia="da-DK"/>
              </w:rPr>
              <w:t>240</w:t>
            </w:r>
            <w:r w:rsidRPr="006E31EE">
              <w:rPr>
                <w:vertAlign w:val="superscript"/>
                <w:lang w:eastAsia="da-DK"/>
              </w:rPr>
              <w:t>k</w:t>
            </w:r>
          </w:p>
        </w:tc>
        <w:tc>
          <w:tcPr>
            <w:tcW w:w="383" w:type="pct"/>
          </w:tcPr>
          <w:p w14:paraId="1436FF28" w14:textId="77777777" w:rsidR="00A97556" w:rsidRPr="006E31EE" w:rsidRDefault="00A97556" w:rsidP="00A97556">
            <w:pPr>
              <w:jc w:val="center"/>
              <w:rPr>
                <w:lang w:eastAsia="da-DK"/>
              </w:rPr>
            </w:pPr>
            <w:r w:rsidRPr="006E31EE">
              <w:rPr>
                <w:lang w:eastAsia="da-DK"/>
              </w:rPr>
              <w:t>288</w:t>
            </w:r>
            <w:r w:rsidRPr="006E31EE">
              <w:rPr>
                <w:vertAlign w:val="superscript"/>
                <w:lang w:eastAsia="da-DK"/>
              </w:rPr>
              <w:t>n</w:t>
            </w:r>
          </w:p>
        </w:tc>
        <w:tc>
          <w:tcPr>
            <w:tcW w:w="399" w:type="pct"/>
          </w:tcPr>
          <w:p w14:paraId="1CE7542F" w14:textId="77777777" w:rsidR="00A97556" w:rsidRPr="006E31EE" w:rsidRDefault="00A97556" w:rsidP="00A97556">
            <w:pPr>
              <w:jc w:val="center"/>
              <w:rPr>
                <w:lang w:eastAsia="da-DK"/>
              </w:rPr>
            </w:pPr>
            <w:r w:rsidRPr="006E31EE">
              <w:rPr>
                <w:lang w:eastAsia="da-DK"/>
              </w:rPr>
              <w:t>384</w:t>
            </w:r>
            <w:r w:rsidRPr="006E31EE">
              <w:rPr>
                <w:vertAlign w:val="superscript"/>
                <w:lang w:eastAsia="da-DK"/>
              </w:rPr>
              <w:t>p</w:t>
            </w:r>
          </w:p>
        </w:tc>
      </w:tr>
      <w:tr w:rsidR="00A97556" w:rsidRPr="006E31EE" w14:paraId="363EC3B6" w14:textId="77777777" w:rsidTr="00A97556">
        <w:tc>
          <w:tcPr>
            <w:tcW w:w="683" w:type="pct"/>
          </w:tcPr>
          <w:p w14:paraId="0AB038A7" w14:textId="77777777" w:rsidR="00A97556" w:rsidRPr="00C521AB" w:rsidRDefault="00A97556" w:rsidP="00A97556">
            <w:pPr>
              <w:rPr>
                <w:b/>
                <w:lang w:val="de-DE" w:eastAsia="da-DK"/>
              </w:rPr>
            </w:pPr>
            <w:r w:rsidRPr="00C521AB">
              <w:rPr>
                <w:b/>
                <w:lang w:val="de-DE" w:eastAsia="da-DK"/>
              </w:rPr>
              <w:t>HBV-dna (%)</w:t>
            </w:r>
          </w:p>
          <w:p w14:paraId="257A0290" w14:textId="77777777" w:rsidR="00A97556" w:rsidRPr="00C521AB" w:rsidRDefault="00A97556" w:rsidP="00A97556">
            <w:pPr>
              <w:rPr>
                <w:lang w:val="de-DE" w:eastAsia="da-DK"/>
              </w:rPr>
            </w:pPr>
            <w:r w:rsidRPr="00C521AB">
              <w:rPr>
                <w:lang w:val="de-DE" w:eastAsia="da-DK"/>
              </w:rPr>
              <w:t>&lt;400 kopier/ml</w:t>
            </w:r>
          </w:p>
          <w:p w14:paraId="54C10203" w14:textId="77777777" w:rsidR="00A97556" w:rsidRPr="00C521AB" w:rsidRDefault="00A97556" w:rsidP="00A97556">
            <w:pPr>
              <w:rPr>
                <w:lang w:val="de-DE" w:eastAsia="da-DK"/>
              </w:rPr>
            </w:pPr>
            <w:r w:rsidRPr="00C521AB">
              <w:rPr>
                <w:lang w:val="de-DE" w:eastAsia="da-DK"/>
              </w:rPr>
              <w:t>(&lt;69 IE/ml)</w:t>
            </w:r>
          </w:p>
        </w:tc>
        <w:tc>
          <w:tcPr>
            <w:tcW w:w="292" w:type="pct"/>
          </w:tcPr>
          <w:p w14:paraId="0B7713AC" w14:textId="77777777" w:rsidR="00A97556" w:rsidRPr="006E31EE" w:rsidRDefault="00A97556" w:rsidP="00A97556">
            <w:pPr>
              <w:jc w:val="center"/>
              <w:rPr>
                <w:lang w:eastAsia="da-DK"/>
              </w:rPr>
            </w:pPr>
            <w:r w:rsidRPr="006E31EE">
              <w:rPr>
                <w:lang w:eastAsia="da-DK"/>
              </w:rPr>
              <w:t>76</w:t>
            </w:r>
          </w:p>
        </w:tc>
        <w:tc>
          <w:tcPr>
            <w:tcW w:w="277" w:type="pct"/>
          </w:tcPr>
          <w:p w14:paraId="723A5425" w14:textId="77777777" w:rsidR="00A97556" w:rsidRPr="006E31EE" w:rsidRDefault="00A97556" w:rsidP="00A97556">
            <w:pPr>
              <w:jc w:val="center"/>
              <w:rPr>
                <w:lang w:eastAsia="da-DK"/>
              </w:rPr>
            </w:pPr>
            <w:r w:rsidRPr="006E31EE">
              <w:rPr>
                <w:lang w:eastAsia="da-DK"/>
              </w:rPr>
              <w:t>72</w:t>
            </w:r>
          </w:p>
        </w:tc>
        <w:tc>
          <w:tcPr>
            <w:tcW w:w="364" w:type="pct"/>
          </w:tcPr>
          <w:p w14:paraId="42BB0527" w14:textId="77777777" w:rsidR="00A97556" w:rsidRPr="006E31EE" w:rsidRDefault="00A97556" w:rsidP="00A97556">
            <w:pPr>
              <w:jc w:val="center"/>
              <w:rPr>
                <w:lang w:eastAsia="da-DK"/>
              </w:rPr>
            </w:pPr>
            <w:r w:rsidRPr="006E31EE">
              <w:rPr>
                <w:lang w:eastAsia="da-DK"/>
              </w:rPr>
              <w:t>68</w:t>
            </w:r>
          </w:p>
        </w:tc>
        <w:tc>
          <w:tcPr>
            <w:tcW w:w="364" w:type="pct"/>
          </w:tcPr>
          <w:p w14:paraId="1BC190CC" w14:textId="77777777" w:rsidR="00A97556" w:rsidRPr="006E31EE" w:rsidRDefault="00A97556" w:rsidP="00A97556">
            <w:pPr>
              <w:jc w:val="center"/>
              <w:rPr>
                <w:lang w:eastAsia="da-DK"/>
              </w:rPr>
            </w:pPr>
            <w:r w:rsidRPr="006E31EE">
              <w:rPr>
                <w:lang w:eastAsia="da-DK"/>
              </w:rPr>
              <w:t>64</w:t>
            </w:r>
          </w:p>
        </w:tc>
        <w:tc>
          <w:tcPr>
            <w:tcW w:w="364" w:type="pct"/>
          </w:tcPr>
          <w:p w14:paraId="6BDC9D9A" w14:textId="77777777" w:rsidR="00A97556" w:rsidRPr="006E31EE" w:rsidRDefault="00A97556" w:rsidP="00A97556">
            <w:pPr>
              <w:jc w:val="center"/>
              <w:rPr>
                <w:lang w:eastAsia="da-DK"/>
              </w:rPr>
            </w:pPr>
            <w:r w:rsidRPr="006E31EE">
              <w:rPr>
                <w:lang w:eastAsia="da-DK"/>
              </w:rPr>
              <w:t>61</w:t>
            </w:r>
          </w:p>
        </w:tc>
        <w:tc>
          <w:tcPr>
            <w:tcW w:w="399" w:type="pct"/>
          </w:tcPr>
          <w:p w14:paraId="0996FF54" w14:textId="77777777" w:rsidR="00A97556" w:rsidRPr="006E31EE" w:rsidRDefault="00A97556" w:rsidP="00A97556">
            <w:pPr>
              <w:jc w:val="center"/>
              <w:rPr>
                <w:lang w:eastAsia="da-DK"/>
              </w:rPr>
            </w:pPr>
            <w:r w:rsidRPr="006E31EE">
              <w:rPr>
                <w:lang w:eastAsia="da-DK"/>
              </w:rPr>
              <w:t>56</w:t>
            </w:r>
          </w:p>
        </w:tc>
        <w:tc>
          <w:tcPr>
            <w:tcW w:w="364" w:type="pct"/>
          </w:tcPr>
          <w:p w14:paraId="00CE0007" w14:textId="77777777" w:rsidR="00A97556" w:rsidRPr="006E31EE" w:rsidRDefault="00A97556" w:rsidP="00A97556">
            <w:pPr>
              <w:jc w:val="center"/>
              <w:rPr>
                <w:lang w:eastAsia="da-DK"/>
              </w:rPr>
            </w:pPr>
            <w:r w:rsidRPr="006E31EE">
              <w:rPr>
                <w:lang w:eastAsia="da-DK"/>
              </w:rPr>
              <w:t>74</w:t>
            </w:r>
          </w:p>
        </w:tc>
        <w:tc>
          <w:tcPr>
            <w:tcW w:w="364" w:type="pct"/>
          </w:tcPr>
          <w:p w14:paraId="79E3BD18" w14:textId="77777777" w:rsidR="00A97556" w:rsidRPr="006E31EE" w:rsidRDefault="00A97556" w:rsidP="00A97556">
            <w:pPr>
              <w:jc w:val="center"/>
              <w:rPr>
                <w:lang w:eastAsia="da-DK"/>
              </w:rPr>
            </w:pPr>
            <w:r w:rsidRPr="006E31EE">
              <w:rPr>
                <w:lang w:eastAsia="da-DK"/>
              </w:rPr>
              <w:t>71</w:t>
            </w:r>
          </w:p>
        </w:tc>
        <w:tc>
          <w:tcPr>
            <w:tcW w:w="364" w:type="pct"/>
          </w:tcPr>
          <w:p w14:paraId="30DA3689" w14:textId="77777777" w:rsidR="00A97556" w:rsidRPr="006E31EE" w:rsidRDefault="00A97556" w:rsidP="00A97556">
            <w:pPr>
              <w:jc w:val="center"/>
              <w:rPr>
                <w:lang w:eastAsia="da-DK"/>
              </w:rPr>
            </w:pPr>
            <w:r w:rsidRPr="006E31EE">
              <w:rPr>
                <w:lang w:eastAsia="da-DK"/>
              </w:rPr>
              <w:t>72</w:t>
            </w:r>
          </w:p>
        </w:tc>
        <w:tc>
          <w:tcPr>
            <w:tcW w:w="383" w:type="pct"/>
          </w:tcPr>
          <w:p w14:paraId="3E6AEBAE" w14:textId="77777777" w:rsidR="00A97556" w:rsidRPr="006E31EE" w:rsidRDefault="00A97556" w:rsidP="00A97556">
            <w:pPr>
              <w:jc w:val="center"/>
              <w:rPr>
                <w:lang w:eastAsia="da-DK"/>
              </w:rPr>
            </w:pPr>
            <w:r w:rsidRPr="006E31EE">
              <w:rPr>
                <w:lang w:eastAsia="da-DK"/>
              </w:rPr>
              <w:t>66</w:t>
            </w:r>
          </w:p>
        </w:tc>
        <w:tc>
          <w:tcPr>
            <w:tcW w:w="383" w:type="pct"/>
          </w:tcPr>
          <w:p w14:paraId="26E037BF" w14:textId="77777777" w:rsidR="00A97556" w:rsidRPr="006E31EE" w:rsidRDefault="00A97556" w:rsidP="00A97556">
            <w:pPr>
              <w:jc w:val="center"/>
              <w:rPr>
                <w:lang w:eastAsia="da-DK"/>
              </w:rPr>
            </w:pPr>
            <w:r w:rsidRPr="006E31EE">
              <w:rPr>
                <w:lang w:eastAsia="da-DK"/>
              </w:rPr>
              <w:t>65</w:t>
            </w:r>
          </w:p>
        </w:tc>
        <w:tc>
          <w:tcPr>
            <w:tcW w:w="399" w:type="pct"/>
          </w:tcPr>
          <w:p w14:paraId="02C76372" w14:textId="77777777" w:rsidR="00A97556" w:rsidRPr="006E31EE" w:rsidRDefault="00A97556" w:rsidP="00A97556">
            <w:pPr>
              <w:jc w:val="center"/>
              <w:rPr>
                <w:lang w:eastAsia="da-DK"/>
              </w:rPr>
            </w:pPr>
            <w:r w:rsidRPr="006E31EE">
              <w:rPr>
                <w:lang w:eastAsia="da-DK"/>
              </w:rPr>
              <w:t>61</w:t>
            </w:r>
          </w:p>
        </w:tc>
      </w:tr>
      <w:tr w:rsidR="00A97556" w:rsidRPr="006E31EE" w14:paraId="4314C81E" w14:textId="77777777" w:rsidTr="00A97556">
        <w:tc>
          <w:tcPr>
            <w:tcW w:w="683" w:type="pct"/>
          </w:tcPr>
          <w:p w14:paraId="20E6F8E9" w14:textId="77777777" w:rsidR="00A97556" w:rsidRPr="006E31EE" w:rsidRDefault="00A97556" w:rsidP="00A97556">
            <w:pPr>
              <w:rPr>
                <w:b/>
                <w:lang w:eastAsia="da-DK"/>
              </w:rPr>
            </w:pPr>
            <w:r w:rsidRPr="006E31EE">
              <w:rPr>
                <w:b/>
                <w:lang w:eastAsia="da-DK"/>
              </w:rPr>
              <w:t>ALAT (%)</w:t>
            </w:r>
          </w:p>
          <w:p w14:paraId="57E7BA51" w14:textId="77777777" w:rsidR="00A97556" w:rsidRPr="006E31EE" w:rsidRDefault="00A97556" w:rsidP="00A97556">
            <w:pPr>
              <w:rPr>
                <w:lang w:eastAsia="da-DK"/>
              </w:rPr>
            </w:pPr>
            <w:r w:rsidRPr="006E31EE">
              <w:rPr>
                <w:lang w:eastAsia="da-DK"/>
              </w:rPr>
              <w:t>Normaliseret ALAT</w:t>
            </w:r>
            <w:r w:rsidRPr="006E31EE">
              <w:rPr>
                <w:vertAlign w:val="superscript"/>
                <w:lang w:eastAsia="da-DK"/>
              </w:rPr>
              <w:t>d</w:t>
            </w:r>
          </w:p>
        </w:tc>
        <w:tc>
          <w:tcPr>
            <w:tcW w:w="292" w:type="pct"/>
          </w:tcPr>
          <w:p w14:paraId="6FE38DB0" w14:textId="77777777" w:rsidR="00A97556" w:rsidRPr="006E31EE" w:rsidRDefault="00A97556" w:rsidP="00A97556">
            <w:pPr>
              <w:jc w:val="center"/>
              <w:rPr>
                <w:lang w:eastAsia="da-DK"/>
              </w:rPr>
            </w:pPr>
            <w:r w:rsidRPr="006E31EE">
              <w:rPr>
                <w:lang w:eastAsia="da-DK"/>
              </w:rPr>
              <w:t>60</w:t>
            </w:r>
          </w:p>
        </w:tc>
        <w:tc>
          <w:tcPr>
            <w:tcW w:w="277" w:type="pct"/>
          </w:tcPr>
          <w:p w14:paraId="07BF9818" w14:textId="77777777" w:rsidR="00A97556" w:rsidRPr="006E31EE" w:rsidRDefault="00A97556" w:rsidP="00A97556">
            <w:pPr>
              <w:jc w:val="center"/>
              <w:rPr>
                <w:lang w:eastAsia="da-DK"/>
              </w:rPr>
            </w:pPr>
            <w:r w:rsidRPr="006E31EE">
              <w:rPr>
                <w:lang w:eastAsia="da-DK"/>
              </w:rPr>
              <w:t>55</w:t>
            </w:r>
          </w:p>
        </w:tc>
        <w:tc>
          <w:tcPr>
            <w:tcW w:w="364" w:type="pct"/>
          </w:tcPr>
          <w:p w14:paraId="5C3A8DA2" w14:textId="77777777" w:rsidR="00A97556" w:rsidRPr="006E31EE" w:rsidRDefault="00A97556" w:rsidP="00A97556">
            <w:pPr>
              <w:jc w:val="center"/>
              <w:rPr>
                <w:lang w:eastAsia="da-DK"/>
              </w:rPr>
            </w:pPr>
            <w:r w:rsidRPr="006E31EE">
              <w:rPr>
                <w:lang w:eastAsia="da-DK"/>
              </w:rPr>
              <w:t>56</w:t>
            </w:r>
          </w:p>
        </w:tc>
        <w:tc>
          <w:tcPr>
            <w:tcW w:w="364" w:type="pct"/>
          </w:tcPr>
          <w:p w14:paraId="4D58738A" w14:textId="77777777" w:rsidR="00A97556" w:rsidRPr="006E31EE" w:rsidRDefault="00A97556" w:rsidP="00A97556">
            <w:pPr>
              <w:jc w:val="center"/>
              <w:rPr>
                <w:lang w:eastAsia="da-DK"/>
              </w:rPr>
            </w:pPr>
            <w:r w:rsidRPr="006E31EE">
              <w:rPr>
                <w:lang w:eastAsia="da-DK"/>
              </w:rPr>
              <w:t>46</w:t>
            </w:r>
          </w:p>
        </w:tc>
        <w:tc>
          <w:tcPr>
            <w:tcW w:w="364" w:type="pct"/>
          </w:tcPr>
          <w:p w14:paraId="5555605B" w14:textId="77777777" w:rsidR="00A97556" w:rsidRPr="006E31EE" w:rsidRDefault="00A97556" w:rsidP="00A97556">
            <w:pPr>
              <w:jc w:val="center"/>
              <w:rPr>
                <w:lang w:eastAsia="da-DK"/>
              </w:rPr>
            </w:pPr>
            <w:r w:rsidRPr="006E31EE">
              <w:rPr>
                <w:lang w:eastAsia="da-DK"/>
              </w:rPr>
              <w:t>47</w:t>
            </w:r>
          </w:p>
        </w:tc>
        <w:tc>
          <w:tcPr>
            <w:tcW w:w="399" w:type="pct"/>
          </w:tcPr>
          <w:p w14:paraId="475E5A20" w14:textId="77777777" w:rsidR="00A97556" w:rsidRPr="006E31EE" w:rsidRDefault="00A97556" w:rsidP="00A97556">
            <w:pPr>
              <w:jc w:val="center"/>
              <w:rPr>
                <w:lang w:eastAsia="da-DK"/>
              </w:rPr>
            </w:pPr>
            <w:r w:rsidRPr="006E31EE">
              <w:rPr>
                <w:lang w:eastAsia="da-DK"/>
              </w:rPr>
              <w:t>47</w:t>
            </w:r>
          </w:p>
        </w:tc>
        <w:tc>
          <w:tcPr>
            <w:tcW w:w="364" w:type="pct"/>
          </w:tcPr>
          <w:p w14:paraId="09B45A04" w14:textId="77777777" w:rsidR="00A97556" w:rsidRPr="006E31EE" w:rsidRDefault="00A97556" w:rsidP="00A97556">
            <w:pPr>
              <w:jc w:val="center"/>
              <w:rPr>
                <w:lang w:eastAsia="da-DK"/>
              </w:rPr>
            </w:pPr>
            <w:r w:rsidRPr="006E31EE">
              <w:rPr>
                <w:lang w:eastAsia="da-DK"/>
              </w:rPr>
              <w:t>65</w:t>
            </w:r>
          </w:p>
        </w:tc>
        <w:tc>
          <w:tcPr>
            <w:tcW w:w="364" w:type="pct"/>
          </w:tcPr>
          <w:p w14:paraId="66EDFD81" w14:textId="77777777" w:rsidR="00A97556" w:rsidRPr="006E31EE" w:rsidRDefault="00A97556" w:rsidP="00A97556">
            <w:pPr>
              <w:jc w:val="center"/>
              <w:rPr>
                <w:lang w:eastAsia="da-DK"/>
              </w:rPr>
            </w:pPr>
            <w:r w:rsidRPr="006E31EE">
              <w:rPr>
                <w:lang w:eastAsia="da-DK"/>
              </w:rPr>
              <w:t>61</w:t>
            </w:r>
          </w:p>
        </w:tc>
        <w:tc>
          <w:tcPr>
            <w:tcW w:w="364" w:type="pct"/>
          </w:tcPr>
          <w:p w14:paraId="53232497" w14:textId="77777777" w:rsidR="00A97556" w:rsidRPr="006E31EE" w:rsidRDefault="00A97556" w:rsidP="00A97556">
            <w:pPr>
              <w:jc w:val="center"/>
              <w:rPr>
                <w:lang w:eastAsia="da-DK"/>
              </w:rPr>
            </w:pPr>
            <w:r w:rsidRPr="006E31EE">
              <w:rPr>
                <w:lang w:eastAsia="da-DK"/>
              </w:rPr>
              <w:t>59</w:t>
            </w:r>
          </w:p>
        </w:tc>
        <w:tc>
          <w:tcPr>
            <w:tcW w:w="383" w:type="pct"/>
          </w:tcPr>
          <w:p w14:paraId="063F8FD3" w14:textId="77777777" w:rsidR="00A97556" w:rsidRPr="006E31EE" w:rsidRDefault="00A97556" w:rsidP="00A97556">
            <w:pPr>
              <w:jc w:val="center"/>
              <w:rPr>
                <w:lang w:eastAsia="da-DK"/>
              </w:rPr>
            </w:pPr>
            <w:r w:rsidRPr="006E31EE">
              <w:rPr>
                <w:lang w:eastAsia="da-DK"/>
              </w:rPr>
              <w:t>56</w:t>
            </w:r>
          </w:p>
        </w:tc>
        <w:tc>
          <w:tcPr>
            <w:tcW w:w="383" w:type="pct"/>
          </w:tcPr>
          <w:p w14:paraId="4F7D3265" w14:textId="77777777" w:rsidR="00A97556" w:rsidRPr="006E31EE" w:rsidRDefault="00A97556" w:rsidP="00A97556">
            <w:pPr>
              <w:jc w:val="center"/>
              <w:rPr>
                <w:lang w:eastAsia="da-DK"/>
              </w:rPr>
            </w:pPr>
            <w:r w:rsidRPr="006E31EE">
              <w:rPr>
                <w:lang w:eastAsia="da-DK"/>
              </w:rPr>
              <w:t>57</w:t>
            </w:r>
          </w:p>
        </w:tc>
        <w:tc>
          <w:tcPr>
            <w:tcW w:w="399" w:type="pct"/>
          </w:tcPr>
          <w:p w14:paraId="110334FF" w14:textId="77777777" w:rsidR="00A97556" w:rsidRPr="006E31EE" w:rsidRDefault="00A97556" w:rsidP="00A97556">
            <w:pPr>
              <w:jc w:val="center"/>
              <w:rPr>
                <w:lang w:eastAsia="da-DK"/>
              </w:rPr>
            </w:pPr>
            <w:r w:rsidRPr="006E31EE">
              <w:rPr>
                <w:lang w:eastAsia="da-DK"/>
              </w:rPr>
              <w:t>56</w:t>
            </w:r>
          </w:p>
        </w:tc>
      </w:tr>
      <w:tr w:rsidR="00A97556" w:rsidRPr="006E31EE" w14:paraId="4F664E13" w14:textId="77777777" w:rsidTr="00A97556">
        <w:tc>
          <w:tcPr>
            <w:tcW w:w="683" w:type="pct"/>
          </w:tcPr>
          <w:p w14:paraId="0F4E0A8E" w14:textId="77777777" w:rsidR="00A97556" w:rsidRPr="006E31EE" w:rsidRDefault="00A97556" w:rsidP="00A97556">
            <w:pPr>
              <w:rPr>
                <w:lang w:eastAsia="da-DK"/>
              </w:rPr>
            </w:pPr>
            <w:r w:rsidRPr="006E31EE">
              <w:rPr>
                <w:b/>
                <w:lang w:eastAsia="da-DK"/>
              </w:rPr>
              <w:t>Serologi</w:t>
            </w:r>
            <w:r w:rsidRPr="006E31EE">
              <w:rPr>
                <w:lang w:eastAsia="da-DK"/>
              </w:rPr>
              <w:t xml:space="preserve"> (%)</w:t>
            </w:r>
          </w:p>
          <w:p w14:paraId="3FF7B364" w14:textId="77777777" w:rsidR="00A97556" w:rsidRPr="006E31EE" w:rsidRDefault="00A97556" w:rsidP="00A97556">
            <w:pPr>
              <w:rPr>
                <w:lang w:eastAsia="da-DK"/>
              </w:rPr>
            </w:pPr>
            <w:r w:rsidRPr="006E31EE">
              <w:rPr>
                <w:lang w:eastAsia="da-DK"/>
              </w:rPr>
              <w:t>Tab af HBeAg/</w:t>
            </w:r>
            <w:r w:rsidRPr="006E31EE">
              <w:rPr>
                <w:lang w:eastAsia="da-DK"/>
              </w:rPr>
              <w:br/>
              <w:t>sero-konversion</w:t>
            </w:r>
          </w:p>
          <w:p w14:paraId="1CA9D9F3" w14:textId="77777777" w:rsidR="00A97556" w:rsidRPr="006E31EE" w:rsidRDefault="00A97556" w:rsidP="00A97556">
            <w:pPr>
              <w:rPr>
                <w:lang w:eastAsia="da-DK"/>
              </w:rPr>
            </w:pPr>
          </w:p>
          <w:p w14:paraId="3B1AF1DB" w14:textId="77777777" w:rsidR="00A97556" w:rsidRPr="006E31EE" w:rsidRDefault="00A97556" w:rsidP="00A97556">
            <w:pPr>
              <w:rPr>
                <w:lang w:eastAsia="da-DK"/>
              </w:rPr>
            </w:pPr>
            <w:r w:rsidRPr="006E31EE">
              <w:rPr>
                <w:lang w:eastAsia="da-DK"/>
              </w:rPr>
              <w:t>Tab af HBsAg/</w:t>
            </w:r>
            <w:r w:rsidRPr="006E31EE">
              <w:rPr>
                <w:lang w:eastAsia="da-DK"/>
              </w:rPr>
              <w:br/>
              <w:t>sero-konversion</w:t>
            </w:r>
          </w:p>
        </w:tc>
        <w:tc>
          <w:tcPr>
            <w:tcW w:w="292" w:type="pct"/>
          </w:tcPr>
          <w:p w14:paraId="13BD2957" w14:textId="77777777" w:rsidR="00A97556" w:rsidRPr="006E31EE" w:rsidRDefault="00A97556" w:rsidP="00A97556">
            <w:pPr>
              <w:jc w:val="center"/>
              <w:rPr>
                <w:lang w:eastAsia="da-DK"/>
              </w:rPr>
            </w:pPr>
          </w:p>
          <w:p w14:paraId="5AE7ACB8" w14:textId="77777777" w:rsidR="00A97556" w:rsidRPr="006E31EE" w:rsidRDefault="00A97556" w:rsidP="00A97556">
            <w:pPr>
              <w:jc w:val="center"/>
              <w:rPr>
                <w:lang w:eastAsia="da-DK"/>
              </w:rPr>
            </w:pPr>
          </w:p>
          <w:p w14:paraId="04D9FEF1" w14:textId="77777777" w:rsidR="00A97556" w:rsidRPr="006E31EE" w:rsidRDefault="00A97556" w:rsidP="00A97556">
            <w:pPr>
              <w:jc w:val="center"/>
              <w:rPr>
                <w:lang w:eastAsia="da-DK"/>
              </w:rPr>
            </w:pPr>
          </w:p>
          <w:p w14:paraId="3A160CD6" w14:textId="77777777" w:rsidR="00A97556" w:rsidRPr="006E31EE" w:rsidRDefault="00A97556" w:rsidP="00A97556">
            <w:pPr>
              <w:jc w:val="center"/>
              <w:rPr>
                <w:lang w:eastAsia="da-DK"/>
              </w:rPr>
            </w:pPr>
            <w:r w:rsidRPr="006E31EE">
              <w:rPr>
                <w:lang w:eastAsia="da-DK"/>
              </w:rPr>
              <w:t>26/</w:t>
            </w:r>
            <w:r w:rsidRPr="006E31EE">
              <w:rPr>
                <w:lang w:eastAsia="da-DK"/>
              </w:rPr>
              <w:br/>
              <w:t>23</w:t>
            </w:r>
          </w:p>
          <w:p w14:paraId="7AF74ACD" w14:textId="77777777" w:rsidR="00A97556" w:rsidRPr="006E31EE" w:rsidRDefault="00A97556" w:rsidP="00A97556">
            <w:pPr>
              <w:jc w:val="center"/>
              <w:rPr>
                <w:lang w:eastAsia="da-DK"/>
              </w:rPr>
            </w:pPr>
          </w:p>
          <w:p w14:paraId="7BFD8B3D" w14:textId="77777777" w:rsidR="00A97556" w:rsidRPr="006E31EE" w:rsidRDefault="00A97556" w:rsidP="00A97556">
            <w:pPr>
              <w:jc w:val="center"/>
              <w:rPr>
                <w:lang w:eastAsia="da-DK"/>
              </w:rPr>
            </w:pPr>
          </w:p>
          <w:p w14:paraId="48D38B3C" w14:textId="77777777" w:rsidR="00A97556" w:rsidRPr="006E31EE" w:rsidRDefault="00A97556" w:rsidP="00A97556">
            <w:pPr>
              <w:jc w:val="center"/>
              <w:rPr>
                <w:lang w:eastAsia="da-DK"/>
              </w:rPr>
            </w:pPr>
          </w:p>
          <w:p w14:paraId="7691622C" w14:textId="77777777" w:rsidR="00A97556" w:rsidRPr="006E31EE" w:rsidRDefault="00A97556" w:rsidP="00A97556">
            <w:pPr>
              <w:jc w:val="center"/>
              <w:rPr>
                <w:lang w:eastAsia="da-DK"/>
              </w:rPr>
            </w:pPr>
            <w:r w:rsidRPr="006E31EE">
              <w:rPr>
                <w:lang w:eastAsia="da-DK"/>
              </w:rPr>
              <w:t>5/</w:t>
            </w:r>
          </w:p>
          <w:p w14:paraId="427028F8" w14:textId="77777777" w:rsidR="00A97556" w:rsidRPr="006E31EE" w:rsidRDefault="00A97556" w:rsidP="00A97556">
            <w:pPr>
              <w:jc w:val="center"/>
              <w:rPr>
                <w:lang w:eastAsia="da-DK"/>
              </w:rPr>
            </w:pPr>
            <w:r w:rsidRPr="006E31EE">
              <w:rPr>
                <w:lang w:eastAsia="da-DK"/>
              </w:rPr>
              <w:t>4</w:t>
            </w:r>
          </w:p>
        </w:tc>
        <w:tc>
          <w:tcPr>
            <w:tcW w:w="277" w:type="pct"/>
          </w:tcPr>
          <w:p w14:paraId="63E09D04" w14:textId="77777777" w:rsidR="00A97556" w:rsidRPr="006E31EE" w:rsidRDefault="00A97556" w:rsidP="00A97556">
            <w:pPr>
              <w:jc w:val="center"/>
              <w:rPr>
                <w:lang w:eastAsia="da-DK"/>
              </w:rPr>
            </w:pPr>
          </w:p>
          <w:p w14:paraId="3AF48403" w14:textId="77777777" w:rsidR="00A97556" w:rsidRPr="006E31EE" w:rsidRDefault="00A97556" w:rsidP="00A97556">
            <w:pPr>
              <w:jc w:val="center"/>
              <w:rPr>
                <w:lang w:eastAsia="da-DK"/>
              </w:rPr>
            </w:pPr>
          </w:p>
          <w:p w14:paraId="51792D99" w14:textId="77777777" w:rsidR="00A97556" w:rsidRPr="006E31EE" w:rsidRDefault="00A97556" w:rsidP="00A97556">
            <w:pPr>
              <w:jc w:val="center"/>
              <w:rPr>
                <w:lang w:eastAsia="da-DK"/>
              </w:rPr>
            </w:pPr>
          </w:p>
          <w:p w14:paraId="30D71D80" w14:textId="77777777" w:rsidR="00A97556" w:rsidRPr="006E31EE" w:rsidRDefault="00A97556" w:rsidP="00A97556">
            <w:pPr>
              <w:jc w:val="center"/>
              <w:rPr>
                <w:lang w:eastAsia="da-DK"/>
              </w:rPr>
            </w:pPr>
            <w:r w:rsidRPr="006E31EE">
              <w:rPr>
                <w:lang w:eastAsia="da-DK"/>
              </w:rPr>
              <w:t>29/</w:t>
            </w:r>
            <w:r w:rsidRPr="006E31EE">
              <w:rPr>
                <w:lang w:eastAsia="da-DK"/>
              </w:rPr>
              <w:br/>
              <w:t>23</w:t>
            </w:r>
          </w:p>
          <w:p w14:paraId="479385F3" w14:textId="77777777" w:rsidR="00A97556" w:rsidRPr="006E31EE" w:rsidRDefault="00A97556" w:rsidP="00A97556">
            <w:pPr>
              <w:jc w:val="center"/>
              <w:rPr>
                <w:lang w:eastAsia="da-DK"/>
              </w:rPr>
            </w:pPr>
          </w:p>
          <w:p w14:paraId="01869BF0" w14:textId="77777777" w:rsidR="00A97556" w:rsidRPr="006E31EE" w:rsidRDefault="00A97556" w:rsidP="00A97556">
            <w:pPr>
              <w:jc w:val="center"/>
              <w:rPr>
                <w:lang w:eastAsia="da-DK"/>
              </w:rPr>
            </w:pPr>
          </w:p>
          <w:p w14:paraId="241905CE" w14:textId="77777777" w:rsidR="00A97556" w:rsidRPr="006E31EE" w:rsidRDefault="00A97556" w:rsidP="00A97556">
            <w:pPr>
              <w:jc w:val="center"/>
              <w:rPr>
                <w:lang w:eastAsia="da-DK"/>
              </w:rPr>
            </w:pPr>
          </w:p>
          <w:p w14:paraId="6F006B7A" w14:textId="77777777" w:rsidR="00A97556" w:rsidRPr="006E31EE" w:rsidRDefault="00A97556" w:rsidP="00A97556">
            <w:pPr>
              <w:jc w:val="center"/>
              <w:rPr>
                <w:lang w:eastAsia="da-DK"/>
              </w:rPr>
            </w:pPr>
            <w:r w:rsidRPr="006E31EE">
              <w:rPr>
                <w:lang w:eastAsia="da-DK"/>
              </w:rPr>
              <w:t>8/</w:t>
            </w:r>
          </w:p>
          <w:p w14:paraId="7E282323" w14:textId="77777777" w:rsidR="00A97556" w:rsidRPr="006E31EE" w:rsidRDefault="00A97556" w:rsidP="00A97556">
            <w:pPr>
              <w:jc w:val="center"/>
              <w:rPr>
                <w:lang w:eastAsia="da-DK"/>
              </w:rPr>
            </w:pPr>
            <w:r w:rsidRPr="006E31EE">
              <w:rPr>
                <w:lang w:eastAsia="da-DK"/>
              </w:rPr>
              <w:t>6</w:t>
            </w:r>
            <w:r w:rsidRPr="006E31EE">
              <w:rPr>
                <w:vertAlign w:val="superscript"/>
                <w:lang w:eastAsia="da-DK"/>
              </w:rPr>
              <w:t>g</w:t>
            </w:r>
          </w:p>
        </w:tc>
        <w:tc>
          <w:tcPr>
            <w:tcW w:w="364" w:type="pct"/>
          </w:tcPr>
          <w:p w14:paraId="64D8E907" w14:textId="77777777" w:rsidR="00A97556" w:rsidRPr="006E31EE" w:rsidRDefault="00A97556" w:rsidP="00A97556">
            <w:pPr>
              <w:jc w:val="center"/>
              <w:rPr>
                <w:lang w:eastAsia="da-DK"/>
              </w:rPr>
            </w:pPr>
          </w:p>
          <w:p w14:paraId="7070A05C" w14:textId="77777777" w:rsidR="00A97556" w:rsidRPr="006E31EE" w:rsidRDefault="00A97556" w:rsidP="00A97556">
            <w:pPr>
              <w:jc w:val="center"/>
              <w:rPr>
                <w:lang w:eastAsia="da-DK"/>
              </w:rPr>
            </w:pPr>
          </w:p>
          <w:p w14:paraId="2BC4DC10" w14:textId="77777777" w:rsidR="00A97556" w:rsidRPr="006E31EE" w:rsidRDefault="00A97556" w:rsidP="00A97556">
            <w:pPr>
              <w:jc w:val="center"/>
              <w:rPr>
                <w:lang w:eastAsia="da-DK"/>
              </w:rPr>
            </w:pPr>
          </w:p>
          <w:p w14:paraId="3A3B285B" w14:textId="77777777" w:rsidR="00A97556" w:rsidRPr="006E31EE" w:rsidRDefault="00A97556" w:rsidP="00A97556">
            <w:pPr>
              <w:jc w:val="center"/>
              <w:rPr>
                <w:lang w:eastAsia="da-DK"/>
              </w:rPr>
            </w:pPr>
            <w:r w:rsidRPr="006E31EE">
              <w:rPr>
                <w:lang w:eastAsia="da-DK"/>
              </w:rPr>
              <w:t>34/ 25</w:t>
            </w:r>
          </w:p>
          <w:p w14:paraId="0A87FD09" w14:textId="77777777" w:rsidR="00A97556" w:rsidRPr="006E31EE" w:rsidRDefault="00A97556" w:rsidP="00A97556">
            <w:pPr>
              <w:jc w:val="center"/>
              <w:rPr>
                <w:lang w:eastAsia="da-DK"/>
              </w:rPr>
            </w:pPr>
          </w:p>
          <w:p w14:paraId="1E02EACF" w14:textId="77777777" w:rsidR="00A97556" w:rsidRPr="006E31EE" w:rsidRDefault="00A97556" w:rsidP="00A97556">
            <w:pPr>
              <w:jc w:val="center"/>
              <w:rPr>
                <w:lang w:eastAsia="da-DK"/>
              </w:rPr>
            </w:pPr>
          </w:p>
          <w:p w14:paraId="70F6C4F0" w14:textId="77777777" w:rsidR="00A97556" w:rsidRPr="006E31EE" w:rsidRDefault="00A97556" w:rsidP="00A97556">
            <w:pPr>
              <w:jc w:val="center"/>
              <w:rPr>
                <w:lang w:eastAsia="da-DK"/>
              </w:rPr>
            </w:pPr>
          </w:p>
          <w:p w14:paraId="45EE1ECD" w14:textId="77777777" w:rsidR="00A97556" w:rsidRPr="006E31EE" w:rsidRDefault="00A97556" w:rsidP="00A97556">
            <w:pPr>
              <w:jc w:val="center"/>
              <w:rPr>
                <w:lang w:eastAsia="da-DK"/>
              </w:rPr>
            </w:pPr>
            <w:r w:rsidRPr="006E31EE">
              <w:rPr>
                <w:lang w:eastAsia="da-DK"/>
              </w:rPr>
              <w:t>11/</w:t>
            </w:r>
          </w:p>
          <w:p w14:paraId="5B2082CD" w14:textId="77777777" w:rsidR="00A97556" w:rsidRPr="006E31EE" w:rsidRDefault="00A97556" w:rsidP="00A97556">
            <w:pPr>
              <w:jc w:val="center"/>
              <w:rPr>
                <w:lang w:eastAsia="da-DK"/>
              </w:rPr>
            </w:pPr>
            <w:r w:rsidRPr="006E31EE">
              <w:rPr>
                <w:lang w:eastAsia="da-DK"/>
              </w:rPr>
              <w:t>8</w:t>
            </w:r>
            <w:r w:rsidRPr="006E31EE">
              <w:rPr>
                <w:vertAlign w:val="superscript"/>
                <w:lang w:eastAsia="da-DK"/>
              </w:rPr>
              <w:t>g</w:t>
            </w:r>
          </w:p>
        </w:tc>
        <w:tc>
          <w:tcPr>
            <w:tcW w:w="364" w:type="pct"/>
          </w:tcPr>
          <w:p w14:paraId="0946D4A2" w14:textId="77777777" w:rsidR="00A97556" w:rsidRPr="006E31EE" w:rsidRDefault="00A97556" w:rsidP="00A97556">
            <w:pPr>
              <w:jc w:val="center"/>
              <w:rPr>
                <w:lang w:eastAsia="da-DK"/>
              </w:rPr>
            </w:pPr>
          </w:p>
          <w:p w14:paraId="7D57FC60" w14:textId="77777777" w:rsidR="00A97556" w:rsidRPr="006E31EE" w:rsidRDefault="00A97556" w:rsidP="00A97556">
            <w:pPr>
              <w:jc w:val="center"/>
              <w:rPr>
                <w:lang w:eastAsia="da-DK"/>
              </w:rPr>
            </w:pPr>
          </w:p>
          <w:p w14:paraId="3379F18D" w14:textId="77777777" w:rsidR="00A97556" w:rsidRPr="006E31EE" w:rsidRDefault="00A97556" w:rsidP="00A97556">
            <w:pPr>
              <w:jc w:val="center"/>
              <w:rPr>
                <w:lang w:eastAsia="da-DK"/>
              </w:rPr>
            </w:pPr>
          </w:p>
          <w:p w14:paraId="68347FAB" w14:textId="77777777" w:rsidR="00A97556" w:rsidRPr="006E31EE" w:rsidRDefault="00A97556" w:rsidP="00A97556">
            <w:pPr>
              <w:jc w:val="center"/>
              <w:rPr>
                <w:lang w:eastAsia="da-DK"/>
              </w:rPr>
            </w:pPr>
            <w:r w:rsidRPr="006E31EE">
              <w:rPr>
                <w:lang w:eastAsia="da-DK"/>
              </w:rPr>
              <w:t>38/ 30</w:t>
            </w:r>
          </w:p>
          <w:p w14:paraId="4112ADF8" w14:textId="77777777" w:rsidR="00A97556" w:rsidRPr="006E31EE" w:rsidRDefault="00A97556" w:rsidP="00A97556">
            <w:pPr>
              <w:jc w:val="center"/>
              <w:rPr>
                <w:lang w:eastAsia="da-DK"/>
              </w:rPr>
            </w:pPr>
          </w:p>
          <w:p w14:paraId="04A8DDB0" w14:textId="77777777" w:rsidR="00A97556" w:rsidRPr="006E31EE" w:rsidRDefault="00A97556" w:rsidP="00A97556">
            <w:pPr>
              <w:jc w:val="center"/>
              <w:rPr>
                <w:lang w:eastAsia="da-DK"/>
              </w:rPr>
            </w:pPr>
          </w:p>
          <w:p w14:paraId="5D4D4D34" w14:textId="77777777" w:rsidR="00A97556" w:rsidRPr="006E31EE" w:rsidRDefault="00A97556" w:rsidP="00A97556">
            <w:pPr>
              <w:jc w:val="center"/>
              <w:rPr>
                <w:lang w:eastAsia="da-DK"/>
              </w:rPr>
            </w:pPr>
          </w:p>
          <w:p w14:paraId="79979A6E" w14:textId="77777777" w:rsidR="00A97556" w:rsidRPr="006E31EE" w:rsidRDefault="00A97556" w:rsidP="00A97556">
            <w:pPr>
              <w:jc w:val="center"/>
              <w:rPr>
                <w:lang w:eastAsia="da-DK"/>
              </w:rPr>
            </w:pPr>
            <w:r w:rsidRPr="006E31EE">
              <w:rPr>
                <w:lang w:eastAsia="da-DK"/>
              </w:rPr>
              <w:t>11/</w:t>
            </w:r>
          </w:p>
          <w:p w14:paraId="480C664C" w14:textId="77777777" w:rsidR="00A97556" w:rsidRPr="006E31EE" w:rsidRDefault="00A97556" w:rsidP="00A97556">
            <w:pPr>
              <w:jc w:val="center"/>
              <w:rPr>
                <w:lang w:eastAsia="da-DK"/>
              </w:rPr>
            </w:pPr>
            <w:r w:rsidRPr="006E31EE">
              <w:rPr>
                <w:lang w:eastAsia="da-DK"/>
              </w:rPr>
              <w:t>8</w:t>
            </w:r>
            <w:r w:rsidRPr="006E31EE">
              <w:rPr>
                <w:vertAlign w:val="superscript"/>
                <w:lang w:eastAsia="da-DK"/>
              </w:rPr>
              <w:t>l</w:t>
            </w:r>
          </w:p>
        </w:tc>
        <w:tc>
          <w:tcPr>
            <w:tcW w:w="364" w:type="pct"/>
          </w:tcPr>
          <w:p w14:paraId="1EBD40A9" w14:textId="77777777" w:rsidR="00A97556" w:rsidRPr="006E31EE" w:rsidRDefault="00A97556" w:rsidP="00A97556">
            <w:pPr>
              <w:jc w:val="center"/>
              <w:rPr>
                <w:lang w:eastAsia="da-DK"/>
              </w:rPr>
            </w:pPr>
          </w:p>
          <w:p w14:paraId="5D665F12" w14:textId="77777777" w:rsidR="00A97556" w:rsidRPr="006E31EE" w:rsidRDefault="00A97556" w:rsidP="00A97556">
            <w:pPr>
              <w:jc w:val="center"/>
              <w:rPr>
                <w:lang w:eastAsia="da-DK"/>
              </w:rPr>
            </w:pPr>
          </w:p>
          <w:p w14:paraId="3B5A20E9" w14:textId="77777777" w:rsidR="00A97556" w:rsidRPr="006E31EE" w:rsidRDefault="00A97556" w:rsidP="00A97556">
            <w:pPr>
              <w:jc w:val="center"/>
              <w:rPr>
                <w:lang w:eastAsia="da-DK"/>
              </w:rPr>
            </w:pPr>
          </w:p>
          <w:p w14:paraId="0BAD6FA7" w14:textId="77777777" w:rsidR="00A97556" w:rsidRPr="006E31EE" w:rsidRDefault="00A97556" w:rsidP="00A97556">
            <w:pPr>
              <w:jc w:val="center"/>
              <w:rPr>
                <w:lang w:eastAsia="da-DK"/>
              </w:rPr>
            </w:pPr>
            <w:r w:rsidRPr="006E31EE">
              <w:rPr>
                <w:lang w:eastAsia="da-DK"/>
              </w:rPr>
              <w:t>37/ 25</w:t>
            </w:r>
          </w:p>
          <w:p w14:paraId="17A10774" w14:textId="77777777" w:rsidR="00A97556" w:rsidRPr="006E31EE" w:rsidRDefault="00A97556" w:rsidP="00A97556">
            <w:pPr>
              <w:jc w:val="center"/>
              <w:rPr>
                <w:lang w:eastAsia="da-DK"/>
              </w:rPr>
            </w:pPr>
          </w:p>
          <w:p w14:paraId="17A79FF2" w14:textId="77777777" w:rsidR="00A97556" w:rsidRPr="006E31EE" w:rsidRDefault="00A97556" w:rsidP="00A97556">
            <w:pPr>
              <w:jc w:val="center"/>
              <w:rPr>
                <w:lang w:eastAsia="da-DK"/>
              </w:rPr>
            </w:pPr>
          </w:p>
          <w:p w14:paraId="14AFC03D" w14:textId="77777777" w:rsidR="00A97556" w:rsidRPr="006E31EE" w:rsidRDefault="00A97556" w:rsidP="00A97556">
            <w:pPr>
              <w:jc w:val="center"/>
              <w:rPr>
                <w:lang w:eastAsia="da-DK"/>
              </w:rPr>
            </w:pPr>
          </w:p>
          <w:p w14:paraId="356E95EA" w14:textId="77777777" w:rsidR="00A97556" w:rsidRPr="006E31EE" w:rsidRDefault="00A97556" w:rsidP="00A97556">
            <w:pPr>
              <w:jc w:val="center"/>
              <w:rPr>
                <w:lang w:eastAsia="da-DK"/>
              </w:rPr>
            </w:pPr>
            <w:r w:rsidRPr="006E31EE">
              <w:rPr>
                <w:lang w:eastAsia="da-DK"/>
              </w:rPr>
              <w:t>12/ 8</w:t>
            </w:r>
            <w:r w:rsidRPr="006E31EE">
              <w:rPr>
                <w:vertAlign w:val="superscript"/>
                <w:lang w:eastAsia="da-DK"/>
              </w:rPr>
              <w:t>l</w:t>
            </w:r>
          </w:p>
        </w:tc>
        <w:tc>
          <w:tcPr>
            <w:tcW w:w="399" w:type="pct"/>
          </w:tcPr>
          <w:p w14:paraId="6E79FCDC" w14:textId="77777777" w:rsidR="00A97556" w:rsidRPr="006E31EE" w:rsidRDefault="00A97556" w:rsidP="00A97556">
            <w:pPr>
              <w:jc w:val="center"/>
              <w:rPr>
                <w:lang w:eastAsia="da-DK"/>
              </w:rPr>
            </w:pPr>
          </w:p>
          <w:p w14:paraId="58E66F5E" w14:textId="77777777" w:rsidR="00A97556" w:rsidRPr="006E31EE" w:rsidRDefault="00A97556" w:rsidP="00A97556">
            <w:pPr>
              <w:jc w:val="center"/>
              <w:rPr>
                <w:lang w:eastAsia="da-DK"/>
              </w:rPr>
            </w:pPr>
          </w:p>
          <w:p w14:paraId="1B4B5546" w14:textId="77777777" w:rsidR="00A97556" w:rsidRPr="006E31EE" w:rsidRDefault="00A97556" w:rsidP="00A97556">
            <w:pPr>
              <w:jc w:val="center"/>
              <w:rPr>
                <w:lang w:eastAsia="da-DK"/>
              </w:rPr>
            </w:pPr>
          </w:p>
          <w:p w14:paraId="34131607" w14:textId="77777777" w:rsidR="00A97556" w:rsidRPr="006E31EE" w:rsidRDefault="00A97556" w:rsidP="00A97556">
            <w:pPr>
              <w:jc w:val="center"/>
              <w:rPr>
                <w:lang w:eastAsia="da-DK"/>
              </w:rPr>
            </w:pPr>
            <w:r w:rsidRPr="006E31EE">
              <w:rPr>
                <w:lang w:eastAsia="da-DK"/>
              </w:rPr>
              <w:t>30/ 20</w:t>
            </w:r>
          </w:p>
          <w:p w14:paraId="5B40DBD7" w14:textId="77777777" w:rsidR="00A97556" w:rsidRPr="006E31EE" w:rsidRDefault="00A97556" w:rsidP="00A97556">
            <w:pPr>
              <w:jc w:val="center"/>
              <w:rPr>
                <w:lang w:eastAsia="da-DK"/>
              </w:rPr>
            </w:pPr>
          </w:p>
          <w:p w14:paraId="623EA404" w14:textId="77777777" w:rsidR="00A97556" w:rsidRPr="006E31EE" w:rsidRDefault="00A97556" w:rsidP="00A97556">
            <w:pPr>
              <w:jc w:val="center"/>
              <w:rPr>
                <w:lang w:eastAsia="da-DK"/>
              </w:rPr>
            </w:pPr>
          </w:p>
          <w:p w14:paraId="18271049" w14:textId="77777777" w:rsidR="00A97556" w:rsidRPr="006E31EE" w:rsidRDefault="00A97556" w:rsidP="00A97556">
            <w:pPr>
              <w:jc w:val="center"/>
              <w:rPr>
                <w:lang w:eastAsia="da-DK"/>
              </w:rPr>
            </w:pPr>
          </w:p>
          <w:p w14:paraId="2DA88A66" w14:textId="77777777" w:rsidR="00A97556" w:rsidRPr="006E31EE" w:rsidRDefault="00A97556" w:rsidP="00A97556">
            <w:pPr>
              <w:jc w:val="center"/>
              <w:rPr>
                <w:lang w:eastAsia="da-DK"/>
              </w:rPr>
            </w:pPr>
            <w:r w:rsidRPr="006E31EE">
              <w:rPr>
                <w:lang w:eastAsia="da-DK"/>
              </w:rPr>
              <w:t>15/ 12</w:t>
            </w:r>
            <w:r w:rsidRPr="006E31EE">
              <w:rPr>
                <w:vertAlign w:val="superscript"/>
                <w:lang w:eastAsia="da-DK"/>
              </w:rPr>
              <w:t>1</w:t>
            </w:r>
          </w:p>
        </w:tc>
        <w:tc>
          <w:tcPr>
            <w:tcW w:w="364" w:type="pct"/>
          </w:tcPr>
          <w:p w14:paraId="35D248A4" w14:textId="77777777" w:rsidR="00A97556" w:rsidRPr="006E31EE" w:rsidRDefault="00A97556" w:rsidP="00A97556">
            <w:pPr>
              <w:jc w:val="center"/>
              <w:rPr>
                <w:lang w:eastAsia="da-DK"/>
              </w:rPr>
            </w:pPr>
          </w:p>
          <w:p w14:paraId="5F399065" w14:textId="77777777" w:rsidR="00A97556" w:rsidRPr="006E31EE" w:rsidRDefault="00A97556" w:rsidP="00A97556">
            <w:pPr>
              <w:jc w:val="center"/>
              <w:rPr>
                <w:lang w:eastAsia="da-DK"/>
              </w:rPr>
            </w:pPr>
          </w:p>
          <w:p w14:paraId="3E656435" w14:textId="77777777" w:rsidR="00A97556" w:rsidRPr="006E31EE" w:rsidRDefault="00A97556" w:rsidP="00A97556">
            <w:pPr>
              <w:jc w:val="center"/>
              <w:rPr>
                <w:lang w:eastAsia="da-DK"/>
              </w:rPr>
            </w:pPr>
          </w:p>
          <w:p w14:paraId="52C22636" w14:textId="77777777" w:rsidR="00A97556" w:rsidRPr="006E31EE" w:rsidRDefault="00A97556" w:rsidP="00A97556">
            <w:pPr>
              <w:jc w:val="center"/>
              <w:rPr>
                <w:lang w:eastAsia="da-DK"/>
              </w:rPr>
            </w:pPr>
            <w:r w:rsidRPr="006E31EE">
              <w:rPr>
                <w:lang w:eastAsia="da-DK"/>
              </w:rPr>
              <w:t>24/ 20</w:t>
            </w:r>
          </w:p>
          <w:p w14:paraId="7D40C11A" w14:textId="77777777" w:rsidR="00A97556" w:rsidRPr="006E31EE" w:rsidRDefault="00A97556" w:rsidP="00A97556">
            <w:pPr>
              <w:jc w:val="center"/>
              <w:rPr>
                <w:lang w:eastAsia="da-DK"/>
              </w:rPr>
            </w:pPr>
          </w:p>
          <w:p w14:paraId="383CFA55" w14:textId="77777777" w:rsidR="00A97556" w:rsidRPr="006E31EE" w:rsidRDefault="00A97556" w:rsidP="00A97556">
            <w:pPr>
              <w:jc w:val="center"/>
              <w:rPr>
                <w:lang w:eastAsia="da-DK"/>
              </w:rPr>
            </w:pPr>
          </w:p>
          <w:p w14:paraId="165C5A56" w14:textId="77777777" w:rsidR="00A97556" w:rsidRPr="006E31EE" w:rsidRDefault="00A97556" w:rsidP="00A97556">
            <w:pPr>
              <w:jc w:val="center"/>
              <w:rPr>
                <w:lang w:eastAsia="da-DK"/>
              </w:rPr>
            </w:pPr>
          </w:p>
          <w:p w14:paraId="70024558" w14:textId="77777777" w:rsidR="00A97556" w:rsidRPr="006E31EE" w:rsidRDefault="00A97556" w:rsidP="00A97556">
            <w:pPr>
              <w:jc w:val="center"/>
              <w:rPr>
                <w:lang w:eastAsia="da-DK"/>
              </w:rPr>
            </w:pPr>
            <w:r w:rsidRPr="006E31EE">
              <w:rPr>
                <w:lang w:eastAsia="da-DK"/>
              </w:rPr>
              <w:t>6/    5</w:t>
            </w:r>
          </w:p>
        </w:tc>
        <w:tc>
          <w:tcPr>
            <w:tcW w:w="364" w:type="pct"/>
          </w:tcPr>
          <w:p w14:paraId="222B3256" w14:textId="77777777" w:rsidR="00A97556" w:rsidRPr="006E31EE" w:rsidRDefault="00A97556" w:rsidP="00A97556">
            <w:pPr>
              <w:jc w:val="center"/>
              <w:rPr>
                <w:lang w:eastAsia="da-DK"/>
              </w:rPr>
            </w:pPr>
          </w:p>
          <w:p w14:paraId="6E36E056" w14:textId="77777777" w:rsidR="00A97556" w:rsidRPr="006E31EE" w:rsidRDefault="00A97556" w:rsidP="00A97556">
            <w:pPr>
              <w:jc w:val="center"/>
              <w:rPr>
                <w:lang w:eastAsia="da-DK"/>
              </w:rPr>
            </w:pPr>
          </w:p>
          <w:p w14:paraId="4A492DF1" w14:textId="77777777" w:rsidR="00A97556" w:rsidRPr="006E31EE" w:rsidRDefault="00A97556" w:rsidP="00A97556">
            <w:pPr>
              <w:jc w:val="center"/>
              <w:rPr>
                <w:lang w:eastAsia="da-DK"/>
              </w:rPr>
            </w:pPr>
          </w:p>
          <w:p w14:paraId="74744333" w14:textId="77777777" w:rsidR="00A97556" w:rsidRPr="006E31EE" w:rsidRDefault="00A97556" w:rsidP="00A97556">
            <w:pPr>
              <w:jc w:val="center"/>
              <w:rPr>
                <w:lang w:eastAsia="da-DK"/>
              </w:rPr>
            </w:pPr>
            <w:r w:rsidRPr="006E31EE">
              <w:rPr>
                <w:lang w:eastAsia="da-DK"/>
              </w:rPr>
              <w:t>33/ 26</w:t>
            </w:r>
          </w:p>
          <w:p w14:paraId="2B42F4C3" w14:textId="77777777" w:rsidR="00A97556" w:rsidRPr="006E31EE" w:rsidRDefault="00A97556" w:rsidP="00A97556">
            <w:pPr>
              <w:jc w:val="center"/>
              <w:rPr>
                <w:lang w:eastAsia="da-DK"/>
              </w:rPr>
            </w:pPr>
          </w:p>
          <w:p w14:paraId="42B4B2C8" w14:textId="77777777" w:rsidR="00A97556" w:rsidRPr="006E31EE" w:rsidRDefault="00A97556" w:rsidP="00A97556">
            <w:pPr>
              <w:jc w:val="center"/>
              <w:rPr>
                <w:lang w:eastAsia="da-DK"/>
              </w:rPr>
            </w:pPr>
          </w:p>
          <w:p w14:paraId="293B899C" w14:textId="77777777" w:rsidR="00A97556" w:rsidRPr="006E31EE" w:rsidRDefault="00A97556" w:rsidP="00A97556">
            <w:pPr>
              <w:jc w:val="center"/>
              <w:rPr>
                <w:lang w:eastAsia="da-DK"/>
              </w:rPr>
            </w:pPr>
          </w:p>
          <w:p w14:paraId="6C1AEF2D" w14:textId="77777777" w:rsidR="00A97556" w:rsidRPr="006E31EE" w:rsidRDefault="00A97556" w:rsidP="00A97556">
            <w:pPr>
              <w:jc w:val="center"/>
              <w:rPr>
                <w:lang w:eastAsia="da-DK"/>
              </w:rPr>
            </w:pPr>
            <w:r w:rsidRPr="006E31EE">
              <w:rPr>
                <w:lang w:eastAsia="da-DK"/>
              </w:rPr>
              <w:t>8/    7</w:t>
            </w:r>
            <w:r w:rsidRPr="006E31EE">
              <w:rPr>
                <w:vertAlign w:val="superscript"/>
                <w:lang w:eastAsia="da-DK"/>
              </w:rPr>
              <w:t>g</w:t>
            </w:r>
          </w:p>
        </w:tc>
        <w:tc>
          <w:tcPr>
            <w:tcW w:w="364" w:type="pct"/>
          </w:tcPr>
          <w:p w14:paraId="60567274" w14:textId="77777777" w:rsidR="00A97556" w:rsidRPr="006E31EE" w:rsidRDefault="00A97556" w:rsidP="00A97556">
            <w:pPr>
              <w:jc w:val="center"/>
              <w:rPr>
                <w:lang w:eastAsia="da-DK"/>
              </w:rPr>
            </w:pPr>
          </w:p>
          <w:p w14:paraId="6F71B590" w14:textId="77777777" w:rsidR="00A97556" w:rsidRPr="006E31EE" w:rsidRDefault="00A97556" w:rsidP="00A97556">
            <w:pPr>
              <w:jc w:val="center"/>
              <w:rPr>
                <w:lang w:eastAsia="da-DK"/>
              </w:rPr>
            </w:pPr>
          </w:p>
          <w:p w14:paraId="784F44F4" w14:textId="77777777" w:rsidR="00A97556" w:rsidRPr="006E31EE" w:rsidRDefault="00A97556" w:rsidP="00A97556">
            <w:pPr>
              <w:jc w:val="center"/>
              <w:rPr>
                <w:lang w:eastAsia="da-DK"/>
              </w:rPr>
            </w:pPr>
          </w:p>
          <w:p w14:paraId="1415375C" w14:textId="77777777" w:rsidR="00A97556" w:rsidRPr="006E31EE" w:rsidRDefault="00A97556" w:rsidP="00A97556">
            <w:pPr>
              <w:jc w:val="center"/>
              <w:rPr>
                <w:lang w:eastAsia="da-DK"/>
              </w:rPr>
            </w:pPr>
            <w:r w:rsidRPr="006E31EE">
              <w:rPr>
                <w:lang w:eastAsia="da-DK"/>
              </w:rPr>
              <w:t>36/ 30</w:t>
            </w:r>
          </w:p>
          <w:p w14:paraId="0CF97B7F" w14:textId="77777777" w:rsidR="00A97556" w:rsidRPr="006E31EE" w:rsidRDefault="00A97556" w:rsidP="00A97556">
            <w:pPr>
              <w:jc w:val="center"/>
              <w:rPr>
                <w:lang w:eastAsia="da-DK"/>
              </w:rPr>
            </w:pPr>
          </w:p>
          <w:p w14:paraId="5A037E05" w14:textId="77777777" w:rsidR="00A97556" w:rsidRPr="006E31EE" w:rsidRDefault="00A97556" w:rsidP="00A97556">
            <w:pPr>
              <w:jc w:val="center"/>
              <w:rPr>
                <w:lang w:eastAsia="da-DK"/>
              </w:rPr>
            </w:pPr>
          </w:p>
          <w:p w14:paraId="53065936" w14:textId="77777777" w:rsidR="00A97556" w:rsidRPr="006E31EE" w:rsidRDefault="00A97556" w:rsidP="00A97556">
            <w:pPr>
              <w:jc w:val="center"/>
              <w:rPr>
                <w:lang w:eastAsia="da-DK"/>
              </w:rPr>
            </w:pPr>
          </w:p>
          <w:p w14:paraId="35994CD3" w14:textId="77777777" w:rsidR="00A97556" w:rsidRPr="006E31EE" w:rsidRDefault="00A97556" w:rsidP="00A97556">
            <w:pPr>
              <w:jc w:val="center"/>
              <w:rPr>
                <w:lang w:eastAsia="da-DK"/>
              </w:rPr>
            </w:pPr>
            <w:r w:rsidRPr="006E31EE">
              <w:rPr>
                <w:lang w:eastAsia="da-DK"/>
              </w:rPr>
              <w:t>8</w:t>
            </w:r>
            <w:proofErr w:type="gramStart"/>
            <w:r w:rsidRPr="006E31EE">
              <w:rPr>
                <w:lang w:eastAsia="da-DK"/>
              </w:rPr>
              <w:t>/  7</w:t>
            </w:r>
            <w:proofErr w:type="gramEnd"/>
            <w:r w:rsidRPr="006E31EE">
              <w:rPr>
                <w:vertAlign w:val="superscript"/>
                <w:lang w:eastAsia="da-DK"/>
              </w:rPr>
              <w:t>g</w:t>
            </w:r>
          </w:p>
        </w:tc>
        <w:tc>
          <w:tcPr>
            <w:tcW w:w="383" w:type="pct"/>
          </w:tcPr>
          <w:p w14:paraId="55251D2F" w14:textId="77777777" w:rsidR="00A97556" w:rsidRPr="006E31EE" w:rsidRDefault="00A97556" w:rsidP="00A97556">
            <w:pPr>
              <w:jc w:val="center"/>
              <w:rPr>
                <w:lang w:eastAsia="da-DK"/>
              </w:rPr>
            </w:pPr>
          </w:p>
          <w:p w14:paraId="0BDD6872" w14:textId="77777777" w:rsidR="00A97556" w:rsidRPr="006E31EE" w:rsidRDefault="00A97556" w:rsidP="00A97556">
            <w:pPr>
              <w:jc w:val="center"/>
              <w:rPr>
                <w:lang w:eastAsia="da-DK"/>
              </w:rPr>
            </w:pPr>
          </w:p>
          <w:p w14:paraId="47FCA51F" w14:textId="77777777" w:rsidR="00A97556" w:rsidRPr="006E31EE" w:rsidRDefault="00A97556" w:rsidP="00A97556">
            <w:pPr>
              <w:jc w:val="center"/>
              <w:rPr>
                <w:lang w:eastAsia="da-DK"/>
              </w:rPr>
            </w:pPr>
          </w:p>
          <w:p w14:paraId="42576995" w14:textId="77777777" w:rsidR="00A97556" w:rsidRPr="006E31EE" w:rsidRDefault="00A97556" w:rsidP="00A97556">
            <w:pPr>
              <w:jc w:val="center"/>
              <w:rPr>
                <w:lang w:eastAsia="da-DK"/>
              </w:rPr>
            </w:pPr>
            <w:r w:rsidRPr="006E31EE">
              <w:rPr>
                <w:lang w:eastAsia="da-DK"/>
              </w:rPr>
              <w:t>38/ 31</w:t>
            </w:r>
          </w:p>
          <w:p w14:paraId="2E7A525F" w14:textId="77777777" w:rsidR="00A97556" w:rsidRPr="006E31EE" w:rsidRDefault="00A97556" w:rsidP="00A97556">
            <w:pPr>
              <w:jc w:val="center"/>
              <w:rPr>
                <w:lang w:eastAsia="da-DK"/>
              </w:rPr>
            </w:pPr>
          </w:p>
          <w:p w14:paraId="25B6C6CD" w14:textId="77777777" w:rsidR="00A97556" w:rsidRPr="006E31EE" w:rsidRDefault="00A97556" w:rsidP="00A97556">
            <w:pPr>
              <w:jc w:val="center"/>
              <w:rPr>
                <w:lang w:eastAsia="da-DK"/>
              </w:rPr>
            </w:pPr>
          </w:p>
          <w:p w14:paraId="6FF57A77" w14:textId="77777777" w:rsidR="00A97556" w:rsidRPr="006E31EE" w:rsidRDefault="00A97556" w:rsidP="00A97556">
            <w:pPr>
              <w:jc w:val="center"/>
              <w:rPr>
                <w:lang w:eastAsia="da-DK"/>
              </w:rPr>
            </w:pPr>
          </w:p>
          <w:p w14:paraId="376818D3" w14:textId="77777777" w:rsidR="00A97556" w:rsidRPr="006E31EE" w:rsidRDefault="00A97556" w:rsidP="00A97556">
            <w:pPr>
              <w:jc w:val="center"/>
              <w:rPr>
                <w:lang w:eastAsia="da-DK"/>
              </w:rPr>
            </w:pPr>
            <w:r w:rsidRPr="006E31EE">
              <w:rPr>
                <w:lang w:eastAsia="da-DK"/>
              </w:rPr>
              <w:t>10/ 10</w:t>
            </w:r>
            <w:r w:rsidRPr="006E31EE">
              <w:rPr>
                <w:vertAlign w:val="superscript"/>
                <w:lang w:eastAsia="da-DK"/>
              </w:rPr>
              <w:t>l</w:t>
            </w:r>
          </w:p>
        </w:tc>
        <w:tc>
          <w:tcPr>
            <w:tcW w:w="383" w:type="pct"/>
          </w:tcPr>
          <w:p w14:paraId="2F8D1837" w14:textId="77777777" w:rsidR="00A97556" w:rsidRPr="006E31EE" w:rsidRDefault="00A97556" w:rsidP="00A97556">
            <w:pPr>
              <w:jc w:val="center"/>
              <w:rPr>
                <w:lang w:eastAsia="da-DK"/>
              </w:rPr>
            </w:pPr>
          </w:p>
          <w:p w14:paraId="52E6CD59" w14:textId="77777777" w:rsidR="00A97556" w:rsidRPr="006E31EE" w:rsidRDefault="00A97556" w:rsidP="00A97556">
            <w:pPr>
              <w:jc w:val="center"/>
              <w:rPr>
                <w:lang w:eastAsia="da-DK"/>
              </w:rPr>
            </w:pPr>
          </w:p>
          <w:p w14:paraId="7B60A13A" w14:textId="77777777" w:rsidR="00A97556" w:rsidRPr="006E31EE" w:rsidRDefault="00A97556" w:rsidP="00A97556">
            <w:pPr>
              <w:jc w:val="center"/>
              <w:rPr>
                <w:lang w:eastAsia="da-DK"/>
              </w:rPr>
            </w:pPr>
          </w:p>
          <w:p w14:paraId="45161C5D" w14:textId="77777777" w:rsidR="00A97556" w:rsidRPr="006E31EE" w:rsidRDefault="00A97556" w:rsidP="00A97556">
            <w:pPr>
              <w:jc w:val="center"/>
              <w:rPr>
                <w:lang w:eastAsia="da-DK"/>
              </w:rPr>
            </w:pPr>
            <w:r w:rsidRPr="006E31EE">
              <w:rPr>
                <w:lang w:eastAsia="da-DK"/>
              </w:rPr>
              <w:t>40/ 31</w:t>
            </w:r>
          </w:p>
          <w:p w14:paraId="7C4B0402" w14:textId="77777777" w:rsidR="00A97556" w:rsidRPr="006E31EE" w:rsidRDefault="00A97556" w:rsidP="00A97556">
            <w:pPr>
              <w:jc w:val="center"/>
              <w:rPr>
                <w:lang w:eastAsia="da-DK"/>
              </w:rPr>
            </w:pPr>
          </w:p>
          <w:p w14:paraId="64E5B3F7" w14:textId="77777777" w:rsidR="00A97556" w:rsidRPr="006E31EE" w:rsidRDefault="00A97556" w:rsidP="00A97556">
            <w:pPr>
              <w:jc w:val="center"/>
              <w:rPr>
                <w:lang w:eastAsia="da-DK"/>
              </w:rPr>
            </w:pPr>
          </w:p>
          <w:p w14:paraId="5B35F2A8" w14:textId="77777777" w:rsidR="00A97556" w:rsidRPr="006E31EE" w:rsidRDefault="00A97556" w:rsidP="00A97556">
            <w:pPr>
              <w:jc w:val="center"/>
              <w:rPr>
                <w:lang w:eastAsia="da-DK"/>
              </w:rPr>
            </w:pPr>
          </w:p>
          <w:p w14:paraId="3FAAEE66" w14:textId="77777777" w:rsidR="00A97556" w:rsidRPr="006E31EE" w:rsidRDefault="00A97556" w:rsidP="00A97556">
            <w:pPr>
              <w:jc w:val="center"/>
              <w:rPr>
                <w:lang w:eastAsia="da-DK"/>
              </w:rPr>
            </w:pPr>
            <w:r w:rsidRPr="006E31EE">
              <w:rPr>
                <w:lang w:eastAsia="da-DK"/>
              </w:rPr>
              <w:t>11/ 10</w:t>
            </w:r>
            <w:r w:rsidRPr="006E31EE">
              <w:rPr>
                <w:vertAlign w:val="superscript"/>
                <w:lang w:eastAsia="da-DK"/>
              </w:rPr>
              <w:t>l</w:t>
            </w:r>
          </w:p>
        </w:tc>
        <w:tc>
          <w:tcPr>
            <w:tcW w:w="399" w:type="pct"/>
          </w:tcPr>
          <w:p w14:paraId="1B8890F4" w14:textId="77777777" w:rsidR="00A97556" w:rsidRPr="006E31EE" w:rsidRDefault="00A97556" w:rsidP="00A97556">
            <w:pPr>
              <w:jc w:val="center"/>
              <w:rPr>
                <w:lang w:eastAsia="da-DK"/>
              </w:rPr>
            </w:pPr>
          </w:p>
          <w:p w14:paraId="612DA892" w14:textId="77777777" w:rsidR="00A97556" w:rsidRPr="006E31EE" w:rsidRDefault="00A97556" w:rsidP="00A97556">
            <w:pPr>
              <w:jc w:val="center"/>
              <w:rPr>
                <w:lang w:eastAsia="da-DK"/>
              </w:rPr>
            </w:pPr>
          </w:p>
          <w:p w14:paraId="2FA8D144" w14:textId="77777777" w:rsidR="00A97556" w:rsidRPr="006E31EE" w:rsidRDefault="00A97556" w:rsidP="00A97556">
            <w:pPr>
              <w:jc w:val="center"/>
              <w:rPr>
                <w:lang w:eastAsia="da-DK"/>
              </w:rPr>
            </w:pPr>
          </w:p>
          <w:p w14:paraId="7A70EA94" w14:textId="77777777" w:rsidR="00A97556" w:rsidRPr="006E31EE" w:rsidRDefault="00A97556" w:rsidP="00A97556">
            <w:pPr>
              <w:jc w:val="center"/>
              <w:rPr>
                <w:lang w:eastAsia="da-DK"/>
              </w:rPr>
            </w:pPr>
            <w:r w:rsidRPr="006E31EE">
              <w:rPr>
                <w:lang w:eastAsia="da-DK"/>
              </w:rPr>
              <w:t>35/ 24</w:t>
            </w:r>
          </w:p>
          <w:p w14:paraId="58E4178A" w14:textId="77777777" w:rsidR="00A97556" w:rsidRPr="006E31EE" w:rsidRDefault="00A97556" w:rsidP="00A97556">
            <w:pPr>
              <w:jc w:val="center"/>
              <w:rPr>
                <w:lang w:eastAsia="da-DK"/>
              </w:rPr>
            </w:pPr>
          </w:p>
          <w:p w14:paraId="4167F900" w14:textId="77777777" w:rsidR="00A97556" w:rsidRPr="006E31EE" w:rsidRDefault="00A97556" w:rsidP="00A97556">
            <w:pPr>
              <w:jc w:val="center"/>
              <w:rPr>
                <w:lang w:eastAsia="da-DK"/>
              </w:rPr>
            </w:pPr>
          </w:p>
          <w:p w14:paraId="4CC8561B" w14:textId="77777777" w:rsidR="00A97556" w:rsidRPr="006E31EE" w:rsidRDefault="00A97556" w:rsidP="00A97556">
            <w:pPr>
              <w:jc w:val="center"/>
              <w:rPr>
                <w:lang w:eastAsia="da-DK"/>
              </w:rPr>
            </w:pPr>
          </w:p>
          <w:p w14:paraId="3C9C333C" w14:textId="77777777" w:rsidR="00A97556" w:rsidRPr="006E31EE" w:rsidRDefault="00A97556" w:rsidP="00A97556">
            <w:pPr>
              <w:jc w:val="center"/>
              <w:rPr>
                <w:lang w:eastAsia="da-DK"/>
              </w:rPr>
            </w:pPr>
            <w:r w:rsidRPr="006E31EE">
              <w:rPr>
                <w:lang w:eastAsia="da-DK"/>
              </w:rPr>
              <w:t>13/ 11</w:t>
            </w:r>
            <w:r w:rsidRPr="006E31EE">
              <w:rPr>
                <w:vertAlign w:val="superscript"/>
                <w:lang w:eastAsia="da-DK"/>
              </w:rPr>
              <w:t>1</w:t>
            </w:r>
          </w:p>
        </w:tc>
      </w:tr>
    </w:tbl>
    <w:p w14:paraId="22CE2178" w14:textId="77777777" w:rsidR="00A97556" w:rsidRPr="006E31EE" w:rsidRDefault="00A97556" w:rsidP="00A97556">
      <w:pPr>
        <w:pStyle w:val="Default"/>
        <w:ind w:left="284" w:hanging="284"/>
      </w:pPr>
      <w:r w:rsidRPr="006E31EE">
        <w:rPr>
          <w:vertAlign w:val="superscript"/>
        </w:rPr>
        <w:t>a</w:t>
      </w:r>
      <w:r w:rsidRPr="006E31EE">
        <w:t xml:space="preserve"> </w:t>
      </w:r>
      <w:r w:rsidRPr="006E31EE">
        <w:tab/>
        <w:t xml:space="preserve">Baseret på </w:t>
      </w:r>
      <w:r w:rsidRPr="006E31EE">
        <w:rPr>
          <w:iCs/>
        </w:rPr>
        <w:t>Long Term Evaluation</w:t>
      </w:r>
      <w:r w:rsidRPr="006E31EE">
        <w:rPr>
          <w:i/>
          <w:iCs/>
        </w:rPr>
        <w:t xml:space="preserve"> </w:t>
      </w:r>
      <w:r w:rsidRPr="006E31EE">
        <w:t xml:space="preserve">algoritme (LTE-analyse) - Patienter, som afbrød studiet på et vilkårligt tidspunkt før uge 384 pga. et protokoldefineret endepunkt, såvel som dem, der fuldførte uge 384, inkluderes i nævneren. </w:t>
      </w:r>
    </w:p>
    <w:p w14:paraId="58E6C804" w14:textId="77777777" w:rsidR="00A97556" w:rsidRPr="006E31EE" w:rsidRDefault="00A97556" w:rsidP="00A97556">
      <w:pPr>
        <w:pStyle w:val="Default"/>
        <w:ind w:left="284" w:hanging="284"/>
      </w:pPr>
      <w:r w:rsidRPr="006E31EE">
        <w:rPr>
          <w:vertAlign w:val="superscript"/>
        </w:rPr>
        <w:t>b</w:t>
      </w:r>
      <w:r w:rsidRPr="006E31EE">
        <w:t xml:space="preserve"> </w:t>
      </w:r>
      <w:r w:rsidRPr="006E31EE">
        <w:tab/>
        <w:t xml:space="preserve">48 ugers dobbeltblind tenofovirdisoproxil, efterfulgt af 48 ugers open label. </w:t>
      </w:r>
    </w:p>
    <w:p w14:paraId="28942FF9" w14:textId="77777777" w:rsidR="00A97556" w:rsidRPr="006E31EE" w:rsidRDefault="00A97556" w:rsidP="00A97556">
      <w:pPr>
        <w:pStyle w:val="Default"/>
        <w:ind w:left="284" w:hanging="284"/>
      </w:pPr>
      <w:r w:rsidRPr="006E31EE">
        <w:rPr>
          <w:vertAlign w:val="superscript"/>
        </w:rPr>
        <w:t>c</w:t>
      </w:r>
      <w:r w:rsidRPr="006E31EE">
        <w:t xml:space="preserve"> </w:t>
      </w:r>
      <w:r w:rsidRPr="006E31EE">
        <w:tab/>
        <w:t xml:space="preserve">48 ugers dobbeltblind adefovirdipivoxil, efterfulgt af 48 ugers open label tenofovirdisoproxil. </w:t>
      </w:r>
    </w:p>
    <w:p w14:paraId="58013A39" w14:textId="77777777" w:rsidR="00A97556" w:rsidRPr="006E31EE" w:rsidRDefault="00A97556" w:rsidP="00A97556">
      <w:pPr>
        <w:pStyle w:val="Default"/>
        <w:ind w:left="284" w:hanging="284"/>
      </w:pPr>
      <w:r w:rsidRPr="006E31EE">
        <w:rPr>
          <w:vertAlign w:val="superscript"/>
        </w:rPr>
        <w:t>d</w:t>
      </w:r>
      <w:r w:rsidRPr="006E31EE">
        <w:t xml:space="preserve"> </w:t>
      </w:r>
      <w:r w:rsidRPr="006E31EE">
        <w:tab/>
        <w:t xml:space="preserve">Populationen, som blev brugt til analyse af ALAT-normalisering, inkluderede kun patienter med ALAT over ULN ved baseline. </w:t>
      </w:r>
    </w:p>
    <w:p w14:paraId="42238395" w14:textId="77777777" w:rsidR="00A97556" w:rsidRPr="006E31EE" w:rsidRDefault="00A97556" w:rsidP="00A97556">
      <w:pPr>
        <w:pStyle w:val="Default"/>
        <w:ind w:left="284" w:hanging="284"/>
      </w:pPr>
      <w:r w:rsidRPr="006E31EE">
        <w:rPr>
          <w:vertAlign w:val="superscript"/>
        </w:rPr>
        <w:t>e</w:t>
      </w:r>
      <w:r w:rsidRPr="006E31EE">
        <w:t xml:space="preserve"> </w:t>
      </w:r>
      <w:r w:rsidRPr="006E31EE">
        <w:tab/>
        <w:t xml:space="preserve">48 ugers dobbeltblind tenofovirdisoproxil, efterfulgt af 96 ugers open label. </w:t>
      </w:r>
    </w:p>
    <w:p w14:paraId="677BD407" w14:textId="77777777" w:rsidR="00A97556" w:rsidRPr="006E31EE" w:rsidRDefault="00A97556" w:rsidP="00A97556">
      <w:pPr>
        <w:pStyle w:val="Default"/>
        <w:ind w:left="284" w:hanging="284"/>
      </w:pPr>
      <w:r w:rsidRPr="006E31EE">
        <w:rPr>
          <w:vertAlign w:val="superscript"/>
        </w:rPr>
        <w:t>f</w:t>
      </w:r>
      <w:r w:rsidRPr="006E31EE">
        <w:t xml:space="preserve"> </w:t>
      </w:r>
      <w:r w:rsidRPr="006E31EE">
        <w:tab/>
        <w:t xml:space="preserve">48 ugers dobbeltblind adefovirdipivoxil, efterfulgt af 96 ugers open label tenofovirdisoproxil. </w:t>
      </w:r>
    </w:p>
    <w:p w14:paraId="1481F5C6" w14:textId="77777777" w:rsidR="00A97556" w:rsidRPr="006E31EE" w:rsidRDefault="00A97556" w:rsidP="00A97556">
      <w:pPr>
        <w:pStyle w:val="Default"/>
        <w:ind w:left="284" w:hanging="284"/>
      </w:pPr>
      <w:r w:rsidRPr="006E31EE">
        <w:rPr>
          <w:vertAlign w:val="superscript"/>
        </w:rPr>
        <w:lastRenderedPageBreak/>
        <w:t>g</w:t>
      </w:r>
      <w:r w:rsidRPr="006E31EE">
        <w:t xml:space="preserve"> </w:t>
      </w:r>
      <w:r w:rsidRPr="006E31EE">
        <w:tab/>
        <w:t xml:space="preserve">De viste tal er kumulative procentdele baseret på en Kaplan Meier-analyse, som inkluderer data indsamlet efter tillæg af emtricitabin til open label tenofovirdisoproxil (KM-ITT). </w:t>
      </w:r>
    </w:p>
    <w:p w14:paraId="58BE6F9D" w14:textId="77777777" w:rsidR="00A97556" w:rsidRPr="006E31EE" w:rsidRDefault="00A97556" w:rsidP="00A97556">
      <w:pPr>
        <w:pStyle w:val="Default"/>
        <w:ind w:left="284" w:hanging="284"/>
      </w:pPr>
      <w:r w:rsidRPr="006E31EE">
        <w:rPr>
          <w:vertAlign w:val="superscript"/>
        </w:rPr>
        <w:t>h</w:t>
      </w:r>
      <w:r w:rsidRPr="006E31EE">
        <w:t xml:space="preserve"> </w:t>
      </w:r>
      <w:r w:rsidRPr="006E31EE">
        <w:tab/>
        <w:t xml:space="preserve">48 ugers dobbeltblind tenofovirdisoproxil, efterfulgt af 144 ugers open label. </w:t>
      </w:r>
    </w:p>
    <w:p w14:paraId="1CCCCD34" w14:textId="77777777" w:rsidR="00A97556" w:rsidRPr="006E31EE" w:rsidRDefault="00A97556" w:rsidP="00A97556">
      <w:pPr>
        <w:pStyle w:val="Default"/>
        <w:ind w:left="284" w:hanging="284"/>
      </w:pPr>
      <w:r w:rsidRPr="006E31EE">
        <w:rPr>
          <w:vertAlign w:val="superscript"/>
        </w:rPr>
        <w:t>i</w:t>
      </w:r>
      <w:r w:rsidRPr="006E31EE">
        <w:t xml:space="preserve"> </w:t>
      </w:r>
      <w:r w:rsidRPr="006E31EE">
        <w:tab/>
        <w:t xml:space="preserve">48 ugers dobbeltblind adefovirdipivoxil, efterfulgt af 144 ugers open label tenofovirdisoproxil. </w:t>
      </w:r>
    </w:p>
    <w:p w14:paraId="77E8FE55" w14:textId="77777777" w:rsidR="00A97556" w:rsidRPr="006E31EE" w:rsidRDefault="00A97556" w:rsidP="00A97556">
      <w:pPr>
        <w:pStyle w:val="Default"/>
        <w:ind w:left="284" w:hanging="284"/>
      </w:pPr>
      <w:r w:rsidRPr="006E31EE">
        <w:rPr>
          <w:vertAlign w:val="superscript"/>
        </w:rPr>
        <w:t xml:space="preserve">j </w:t>
      </w:r>
      <w:r w:rsidRPr="006E31EE">
        <w:rPr>
          <w:vertAlign w:val="superscript"/>
        </w:rPr>
        <w:tab/>
      </w:r>
      <w:r w:rsidRPr="006E31EE">
        <w:t xml:space="preserve">48 ugers dobbeltblind tenofovirdisoproxil, efterfulgt af 192 ugers open label. </w:t>
      </w:r>
    </w:p>
    <w:p w14:paraId="4071F6CB" w14:textId="77777777" w:rsidR="00A97556" w:rsidRPr="006E31EE" w:rsidRDefault="00A97556" w:rsidP="00A97556">
      <w:pPr>
        <w:pStyle w:val="Default"/>
        <w:ind w:left="284" w:hanging="284"/>
      </w:pPr>
      <w:r w:rsidRPr="006E31EE">
        <w:rPr>
          <w:vertAlign w:val="superscript"/>
        </w:rPr>
        <w:t>k</w:t>
      </w:r>
      <w:r w:rsidRPr="006E31EE">
        <w:t xml:space="preserve"> </w:t>
      </w:r>
      <w:r w:rsidRPr="006E31EE">
        <w:tab/>
        <w:t xml:space="preserve">48 ugers dobbeltblind adefovirdipivoxil, efterfulgt af 192 ugers open label tenofovirdisoproxil. </w:t>
      </w:r>
    </w:p>
    <w:p w14:paraId="6F15A395" w14:textId="77777777" w:rsidR="00A97556" w:rsidRPr="006E31EE" w:rsidRDefault="00A97556" w:rsidP="00A97556">
      <w:pPr>
        <w:pStyle w:val="Default"/>
        <w:ind w:left="284" w:hanging="284"/>
      </w:pPr>
      <w:r w:rsidRPr="006E31EE">
        <w:rPr>
          <w:vertAlign w:val="superscript"/>
        </w:rPr>
        <w:t>l</w:t>
      </w:r>
      <w:r w:rsidRPr="006E31EE">
        <w:t xml:space="preserve"> </w:t>
      </w:r>
      <w:r w:rsidRPr="006E31EE">
        <w:tab/>
        <w:t xml:space="preserve">De viste tal er kumulative procenter baseret på en Kaplan Meier-analyse, som ekskluderer data indsamlet efter tillæg af emtricitabin til open label tenofovirdisoproxil (KM- tenofovirdisoproxil). </w:t>
      </w:r>
    </w:p>
    <w:p w14:paraId="2C31832A" w14:textId="77777777" w:rsidR="00A97556" w:rsidRPr="006E31EE" w:rsidRDefault="00A97556" w:rsidP="00A97556">
      <w:pPr>
        <w:pStyle w:val="Default"/>
        <w:ind w:left="284" w:hanging="284"/>
      </w:pPr>
      <w:r w:rsidRPr="006E31EE">
        <w:rPr>
          <w:vertAlign w:val="superscript"/>
        </w:rPr>
        <w:t xml:space="preserve">m </w:t>
      </w:r>
      <w:r w:rsidRPr="006E31EE">
        <w:rPr>
          <w:vertAlign w:val="superscript"/>
        </w:rPr>
        <w:tab/>
      </w:r>
      <w:r w:rsidRPr="006E31EE">
        <w:t xml:space="preserve">48 ugers dobbeltblind tenofovirdisoproxil, efterfulgt af 240 ugers open label. </w:t>
      </w:r>
    </w:p>
    <w:p w14:paraId="0281BBCD" w14:textId="77777777" w:rsidR="00A97556" w:rsidRPr="006E31EE" w:rsidRDefault="00A97556" w:rsidP="00A97556">
      <w:pPr>
        <w:pStyle w:val="Default"/>
        <w:ind w:left="284" w:hanging="284"/>
      </w:pPr>
      <w:r w:rsidRPr="006E31EE">
        <w:rPr>
          <w:vertAlign w:val="superscript"/>
        </w:rPr>
        <w:t>n</w:t>
      </w:r>
      <w:r w:rsidRPr="006E31EE">
        <w:t xml:space="preserve"> </w:t>
      </w:r>
      <w:r w:rsidRPr="006E31EE">
        <w:tab/>
        <w:t xml:space="preserve">48 ugers dobbeltblind adefovirdipivoxil, efterfulgt af 240 ugers open label tenofovirdisoproxil. </w:t>
      </w:r>
    </w:p>
    <w:p w14:paraId="460E5D45" w14:textId="77777777" w:rsidR="00A97556" w:rsidRPr="006E31EE" w:rsidRDefault="00A97556" w:rsidP="00A97556">
      <w:pPr>
        <w:pStyle w:val="Default"/>
        <w:ind w:left="284" w:hanging="284"/>
      </w:pPr>
      <w:r w:rsidRPr="006E31EE">
        <w:rPr>
          <w:vertAlign w:val="superscript"/>
        </w:rPr>
        <w:t xml:space="preserve">o </w:t>
      </w:r>
      <w:r w:rsidRPr="006E31EE">
        <w:rPr>
          <w:vertAlign w:val="superscript"/>
        </w:rPr>
        <w:tab/>
      </w:r>
      <w:r w:rsidRPr="006E31EE">
        <w:t>48 ugers dobbeltblind tenofovirdisoproxil, efterfulgt af 336 ugers open label.</w:t>
      </w:r>
    </w:p>
    <w:p w14:paraId="301D09F2" w14:textId="77777777" w:rsidR="00A97556" w:rsidRPr="006E31EE" w:rsidRDefault="00A97556" w:rsidP="00A97556">
      <w:pPr>
        <w:pStyle w:val="Default"/>
        <w:ind w:left="284" w:hanging="284"/>
      </w:pPr>
      <w:r w:rsidRPr="006E31EE">
        <w:rPr>
          <w:vertAlign w:val="superscript"/>
        </w:rPr>
        <w:t>p</w:t>
      </w:r>
      <w:r w:rsidRPr="006E31EE">
        <w:t xml:space="preserve"> </w:t>
      </w:r>
      <w:r w:rsidRPr="006E31EE">
        <w:tab/>
        <w:t>48 ugers dobbeltblind adefovirdipivoxil, efterfulgt af 336 ugers open label tenofovirdisoproxil.</w:t>
      </w:r>
    </w:p>
    <w:p w14:paraId="65134647" w14:textId="77777777" w:rsidR="00A97556" w:rsidRPr="006E31EE" w:rsidRDefault="00A97556" w:rsidP="00A97556">
      <w:pPr>
        <w:pStyle w:val="Default"/>
        <w:ind w:left="851" w:hanging="851"/>
      </w:pPr>
    </w:p>
    <w:p w14:paraId="2F7C08EE" w14:textId="77777777" w:rsidR="00A97556" w:rsidRPr="006E31EE" w:rsidRDefault="00A97556" w:rsidP="00A97556">
      <w:pPr>
        <w:ind w:left="851"/>
        <w:rPr>
          <w:sz w:val="24"/>
          <w:szCs w:val="24"/>
        </w:rPr>
      </w:pPr>
      <w:r w:rsidRPr="006E31EE">
        <w:rPr>
          <w:sz w:val="24"/>
          <w:szCs w:val="24"/>
        </w:rPr>
        <w:t xml:space="preserve">Data for leverbiopsi ved både </w:t>
      </w:r>
      <w:r w:rsidRPr="006E31EE">
        <w:rPr>
          <w:iCs/>
          <w:sz w:val="24"/>
          <w:szCs w:val="24"/>
        </w:rPr>
        <w:t>baseline</w:t>
      </w:r>
      <w:r w:rsidRPr="006E31EE">
        <w:rPr>
          <w:i/>
          <w:iCs/>
          <w:sz w:val="24"/>
          <w:szCs w:val="24"/>
        </w:rPr>
        <w:t xml:space="preserve"> </w:t>
      </w:r>
      <w:r w:rsidRPr="006E31EE">
        <w:rPr>
          <w:sz w:val="24"/>
          <w:szCs w:val="24"/>
        </w:rPr>
        <w:t xml:space="preserve">og uge 240 var tilgængelige for 331/489 patienter, som forblev i studierne GS-US-174-0102 og GS-US-174-0103 (se tabel 6 nedenfor). 95 % (225/237) af patienterne uden cirrose ved </w:t>
      </w:r>
      <w:r w:rsidRPr="006E31EE">
        <w:rPr>
          <w:iCs/>
          <w:sz w:val="24"/>
          <w:szCs w:val="24"/>
        </w:rPr>
        <w:t>baseline</w:t>
      </w:r>
      <w:r w:rsidRPr="006E31EE">
        <w:rPr>
          <w:i/>
          <w:iCs/>
          <w:sz w:val="24"/>
          <w:szCs w:val="24"/>
        </w:rPr>
        <w:t xml:space="preserve"> </w:t>
      </w:r>
      <w:r w:rsidRPr="006E31EE">
        <w:rPr>
          <w:sz w:val="24"/>
          <w:szCs w:val="24"/>
        </w:rPr>
        <w:t xml:space="preserve">og 99 % (93/94) af patienterne med cirrose ved </w:t>
      </w:r>
      <w:r w:rsidRPr="006E31EE">
        <w:rPr>
          <w:i/>
          <w:iCs/>
          <w:sz w:val="24"/>
          <w:szCs w:val="24"/>
        </w:rPr>
        <w:t xml:space="preserve">baseline </w:t>
      </w:r>
      <w:r w:rsidRPr="006E31EE">
        <w:rPr>
          <w:sz w:val="24"/>
          <w:szCs w:val="24"/>
        </w:rPr>
        <w:t xml:space="preserve">havde enten ingen ændring eller en bedring af fibrosen (Ishaks fibrosescore). Ud af 94 patienter med cirrose ved </w:t>
      </w:r>
      <w:r w:rsidRPr="006E31EE">
        <w:rPr>
          <w:iCs/>
          <w:sz w:val="24"/>
          <w:szCs w:val="24"/>
        </w:rPr>
        <w:t>baseline</w:t>
      </w:r>
      <w:r w:rsidRPr="006E31EE">
        <w:rPr>
          <w:i/>
          <w:iCs/>
          <w:sz w:val="24"/>
          <w:szCs w:val="24"/>
        </w:rPr>
        <w:t xml:space="preserve"> </w:t>
      </w:r>
      <w:r w:rsidRPr="006E31EE">
        <w:rPr>
          <w:sz w:val="24"/>
          <w:szCs w:val="24"/>
        </w:rPr>
        <w:t>(Ishaks fibrosescore 5-6) oplevede 26 % (24) ingen ændring i Ishaks fibrosescore, og 72 % (68) oplevede regression af cirrose ved uge 240 med en reduktion i Ishaks fibrosescore på mindst 2 point.</w:t>
      </w:r>
    </w:p>
    <w:p w14:paraId="446F64F5" w14:textId="77777777" w:rsidR="00A97556" w:rsidRPr="006E31EE" w:rsidRDefault="00A97556" w:rsidP="00A97556">
      <w:pPr>
        <w:ind w:left="851" w:hanging="851"/>
        <w:rPr>
          <w:sz w:val="24"/>
          <w:szCs w:val="24"/>
        </w:rPr>
      </w:pPr>
    </w:p>
    <w:p w14:paraId="0080E453" w14:textId="77777777" w:rsidR="00A97556" w:rsidRPr="006E31EE" w:rsidRDefault="00A97556" w:rsidP="00A97556">
      <w:pPr>
        <w:rPr>
          <w:b/>
          <w:bCs/>
          <w:iCs/>
          <w:sz w:val="24"/>
          <w:szCs w:val="24"/>
        </w:rPr>
      </w:pPr>
      <w:r w:rsidRPr="006E31EE">
        <w:rPr>
          <w:b/>
          <w:bCs/>
          <w:sz w:val="24"/>
          <w:szCs w:val="24"/>
        </w:rPr>
        <w:t xml:space="preserve">Tabel 6: Histologisk respons (%) hos kompenserede HBeAg-negative og HBeAg-positive forsøgspersoner ved uge 240 sammenlignet med </w:t>
      </w:r>
      <w:r w:rsidRPr="006E31EE">
        <w:rPr>
          <w:b/>
          <w:bCs/>
          <w:iCs/>
          <w:sz w:val="24"/>
          <w:szCs w:val="24"/>
        </w:rPr>
        <w:t>baseline</w:t>
      </w:r>
    </w:p>
    <w:p w14:paraId="6BC3E50B" w14:textId="77777777" w:rsidR="00A97556" w:rsidRPr="006E31EE" w:rsidRDefault="00A97556" w:rsidP="00A97556">
      <w:pPr>
        <w:pStyle w:val="Default"/>
        <w:ind w:left="284" w:hanging="284"/>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5"/>
        <w:gridCol w:w="2084"/>
        <w:gridCol w:w="2083"/>
        <w:gridCol w:w="2083"/>
        <w:gridCol w:w="2083"/>
      </w:tblGrid>
      <w:tr w:rsidR="00A97556" w:rsidRPr="006E31EE" w14:paraId="3B1E4FCB" w14:textId="77777777" w:rsidTr="00A97556">
        <w:tc>
          <w:tcPr>
            <w:tcW w:w="672" w:type="pct"/>
            <w:vMerge w:val="restart"/>
            <w:tcBorders>
              <w:top w:val="single" w:sz="4" w:space="0" w:color="auto"/>
              <w:left w:val="single" w:sz="4" w:space="0" w:color="auto"/>
              <w:right w:val="single" w:sz="4" w:space="0" w:color="auto"/>
            </w:tcBorders>
          </w:tcPr>
          <w:p w14:paraId="5536CD3C" w14:textId="77777777" w:rsidR="00A97556" w:rsidRPr="006E31EE" w:rsidRDefault="00A97556" w:rsidP="00A97556">
            <w:pPr>
              <w:rPr>
                <w:lang w:eastAsia="da-DK"/>
              </w:rPr>
            </w:pPr>
          </w:p>
        </w:tc>
        <w:tc>
          <w:tcPr>
            <w:tcW w:w="2164" w:type="pct"/>
            <w:gridSpan w:val="2"/>
            <w:tcBorders>
              <w:top w:val="single" w:sz="4" w:space="0" w:color="auto"/>
              <w:left w:val="single" w:sz="4" w:space="0" w:color="auto"/>
              <w:bottom w:val="single" w:sz="4" w:space="0" w:color="auto"/>
              <w:right w:val="single" w:sz="4" w:space="0" w:color="auto"/>
            </w:tcBorders>
          </w:tcPr>
          <w:p w14:paraId="326C4DF1" w14:textId="77777777" w:rsidR="00A97556" w:rsidRPr="006E31EE" w:rsidRDefault="00A97556" w:rsidP="00A97556">
            <w:pPr>
              <w:jc w:val="center"/>
            </w:pPr>
            <w:r w:rsidRPr="006E31EE">
              <w:rPr>
                <w:b/>
                <w:bCs/>
              </w:rPr>
              <w:t>Studie 174-0102 (HBeAg-negativ)</w:t>
            </w:r>
          </w:p>
        </w:tc>
        <w:tc>
          <w:tcPr>
            <w:tcW w:w="2164" w:type="pct"/>
            <w:gridSpan w:val="2"/>
            <w:tcBorders>
              <w:top w:val="single" w:sz="4" w:space="0" w:color="auto"/>
              <w:left w:val="single" w:sz="4" w:space="0" w:color="auto"/>
              <w:bottom w:val="single" w:sz="4" w:space="0" w:color="auto"/>
              <w:right w:val="single" w:sz="4" w:space="0" w:color="auto"/>
            </w:tcBorders>
          </w:tcPr>
          <w:p w14:paraId="7FF6D38A" w14:textId="77777777" w:rsidR="00A97556" w:rsidRPr="006E31EE" w:rsidRDefault="00A97556" w:rsidP="00A97556">
            <w:pPr>
              <w:jc w:val="center"/>
            </w:pPr>
            <w:r w:rsidRPr="006E31EE">
              <w:rPr>
                <w:b/>
                <w:bCs/>
              </w:rPr>
              <w:t>Studie 174-0103 (HBeAg-positiv)</w:t>
            </w:r>
          </w:p>
        </w:tc>
      </w:tr>
      <w:tr w:rsidR="00A97556" w:rsidRPr="006E31EE" w14:paraId="5B28FF21" w14:textId="77777777" w:rsidTr="00A97556">
        <w:tc>
          <w:tcPr>
            <w:tcW w:w="672" w:type="pct"/>
            <w:vMerge/>
            <w:tcBorders>
              <w:left w:val="single" w:sz="4" w:space="0" w:color="auto"/>
              <w:bottom w:val="single" w:sz="4" w:space="0" w:color="auto"/>
              <w:right w:val="single" w:sz="4" w:space="0" w:color="auto"/>
            </w:tcBorders>
          </w:tcPr>
          <w:p w14:paraId="14E7DF90" w14:textId="77777777" w:rsidR="00A97556" w:rsidRPr="006E31EE" w:rsidRDefault="00A97556" w:rsidP="00A97556">
            <w:pPr>
              <w:rPr>
                <w:lang w:eastAsia="da-DK"/>
              </w:rPr>
            </w:pPr>
          </w:p>
        </w:tc>
        <w:tc>
          <w:tcPr>
            <w:tcW w:w="1082" w:type="pct"/>
            <w:tcBorders>
              <w:top w:val="single" w:sz="4" w:space="0" w:color="auto"/>
              <w:left w:val="single" w:sz="4" w:space="0" w:color="auto"/>
              <w:bottom w:val="single" w:sz="4" w:space="0" w:color="auto"/>
              <w:right w:val="single" w:sz="4" w:space="0" w:color="auto"/>
            </w:tcBorders>
            <w:hideMark/>
          </w:tcPr>
          <w:p w14:paraId="1E784F5C" w14:textId="77777777" w:rsidR="00A97556" w:rsidRPr="006E31EE" w:rsidRDefault="00A97556" w:rsidP="00A97556">
            <w:pPr>
              <w:jc w:val="center"/>
            </w:pPr>
            <w:r w:rsidRPr="006E31EE">
              <w:t>245 mg tenofovirdisoproxil</w:t>
            </w:r>
          </w:p>
          <w:p w14:paraId="0889512B" w14:textId="77777777" w:rsidR="00A97556" w:rsidRPr="006E31EE" w:rsidRDefault="00A97556" w:rsidP="00A97556">
            <w:pPr>
              <w:jc w:val="center"/>
              <w:rPr>
                <w:lang w:eastAsia="da-DK"/>
              </w:rPr>
            </w:pPr>
            <w:r w:rsidRPr="006E31EE">
              <w:rPr>
                <w:lang w:eastAsia="da-DK"/>
              </w:rPr>
              <w:t>n = 250</w:t>
            </w:r>
            <w:r w:rsidRPr="006E31EE">
              <w:rPr>
                <w:vertAlign w:val="superscript"/>
                <w:lang w:eastAsia="da-DK"/>
              </w:rPr>
              <w:t>c</w:t>
            </w:r>
          </w:p>
        </w:tc>
        <w:tc>
          <w:tcPr>
            <w:tcW w:w="1082" w:type="pct"/>
            <w:tcBorders>
              <w:top w:val="single" w:sz="4" w:space="0" w:color="auto"/>
              <w:left w:val="single" w:sz="4" w:space="0" w:color="auto"/>
              <w:bottom w:val="single" w:sz="4" w:space="0" w:color="auto"/>
              <w:right w:val="single" w:sz="4" w:space="0" w:color="auto"/>
            </w:tcBorders>
            <w:hideMark/>
          </w:tcPr>
          <w:p w14:paraId="16FBA2CF" w14:textId="77777777" w:rsidR="00A97556" w:rsidRPr="006E31EE" w:rsidRDefault="00A97556" w:rsidP="00A97556">
            <w:pPr>
              <w:jc w:val="center"/>
            </w:pPr>
            <w:r w:rsidRPr="006E31EE">
              <w:t>10 mg adefovirdipivoxil skiftet over til 245 mg tenofovirdisoproxil</w:t>
            </w:r>
          </w:p>
          <w:p w14:paraId="4EA19DEA" w14:textId="77777777" w:rsidR="00A97556" w:rsidRPr="006E31EE" w:rsidRDefault="00A97556" w:rsidP="00A97556">
            <w:pPr>
              <w:jc w:val="center"/>
              <w:rPr>
                <w:lang w:eastAsia="da-DK"/>
              </w:rPr>
            </w:pPr>
            <w:r w:rsidRPr="006E31EE">
              <w:rPr>
                <w:lang w:eastAsia="da-DK"/>
              </w:rPr>
              <w:t>n = 125</w:t>
            </w:r>
            <w:r w:rsidRPr="006E31EE">
              <w:rPr>
                <w:vertAlign w:val="superscript"/>
                <w:lang w:eastAsia="da-DK"/>
              </w:rPr>
              <w:t>d</w:t>
            </w:r>
          </w:p>
        </w:tc>
        <w:tc>
          <w:tcPr>
            <w:tcW w:w="1082" w:type="pct"/>
            <w:tcBorders>
              <w:top w:val="single" w:sz="4" w:space="0" w:color="auto"/>
              <w:left w:val="single" w:sz="4" w:space="0" w:color="auto"/>
              <w:bottom w:val="single" w:sz="4" w:space="0" w:color="auto"/>
              <w:right w:val="single" w:sz="4" w:space="0" w:color="auto"/>
            </w:tcBorders>
            <w:hideMark/>
          </w:tcPr>
          <w:p w14:paraId="2933F51F" w14:textId="77777777" w:rsidR="00A97556" w:rsidRPr="006E31EE" w:rsidRDefault="00A97556" w:rsidP="00A97556">
            <w:pPr>
              <w:jc w:val="center"/>
            </w:pPr>
            <w:r w:rsidRPr="006E31EE">
              <w:t>245 mg tenofovirdisoproxil</w:t>
            </w:r>
          </w:p>
          <w:p w14:paraId="494F7B4E" w14:textId="77777777" w:rsidR="00A97556" w:rsidRPr="006E31EE" w:rsidRDefault="00A97556" w:rsidP="00A97556">
            <w:pPr>
              <w:jc w:val="center"/>
              <w:rPr>
                <w:lang w:eastAsia="da-DK"/>
              </w:rPr>
            </w:pPr>
            <w:r w:rsidRPr="006E31EE">
              <w:rPr>
                <w:lang w:eastAsia="da-DK"/>
              </w:rPr>
              <w:t>n = 176</w:t>
            </w:r>
            <w:r w:rsidRPr="006E31EE">
              <w:rPr>
                <w:vertAlign w:val="superscript"/>
                <w:lang w:eastAsia="da-DK"/>
              </w:rPr>
              <w:t>c</w:t>
            </w:r>
          </w:p>
        </w:tc>
        <w:tc>
          <w:tcPr>
            <w:tcW w:w="1082" w:type="pct"/>
            <w:tcBorders>
              <w:top w:val="single" w:sz="4" w:space="0" w:color="auto"/>
              <w:left w:val="single" w:sz="4" w:space="0" w:color="auto"/>
              <w:bottom w:val="single" w:sz="4" w:space="0" w:color="auto"/>
              <w:right w:val="single" w:sz="4" w:space="0" w:color="auto"/>
            </w:tcBorders>
            <w:hideMark/>
          </w:tcPr>
          <w:p w14:paraId="093A3F66" w14:textId="77777777" w:rsidR="00A97556" w:rsidRPr="006E31EE" w:rsidRDefault="00A97556" w:rsidP="00A97556">
            <w:pPr>
              <w:jc w:val="center"/>
            </w:pPr>
            <w:r w:rsidRPr="006E31EE">
              <w:t>10 mg adefovirdipivoxil skiftet over til 245 mg tenofovirdisoproxil</w:t>
            </w:r>
          </w:p>
          <w:p w14:paraId="1A9EDA4A" w14:textId="77777777" w:rsidR="00A97556" w:rsidRPr="006E31EE" w:rsidRDefault="00A97556" w:rsidP="00A97556">
            <w:pPr>
              <w:jc w:val="center"/>
              <w:rPr>
                <w:lang w:eastAsia="da-DK"/>
              </w:rPr>
            </w:pPr>
            <w:r w:rsidRPr="006E31EE">
              <w:rPr>
                <w:lang w:eastAsia="da-DK"/>
              </w:rPr>
              <w:t>n = 90</w:t>
            </w:r>
            <w:r w:rsidRPr="006E31EE">
              <w:rPr>
                <w:vertAlign w:val="superscript"/>
                <w:lang w:eastAsia="da-DK"/>
              </w:rPr>
              <w:t>d</w:t>
            </w:r>
          </w:p>
        </w:tc>
      </w:tr>
      <w:tr w:rsidR="00A97556" w:rsidRPr="006E31EE" w14:paraId="335A6163" w14:textId="77777777" w:rsidTr="00A97556">
        <w:tc>
          <w:tcPr>
            <w:tcW w:w="672" w:type="pct"/>
            <w:tcBorders>
              <w:top w:val="single" w:sz="4" w:space="0" w:color="auto"/>
              <w:left w:val="single" w:sz="4" w:space="0" w:color="auto"/>
              <w:bottom w:val="single" w:sz="4" w:space="0" w:color="auto"/>
              <w:right w:val="single" w:sz="4" w:space="0" w:color="auto"/>
            </w:tcBorders>
            <w:hideMark/>
          </w:tcPr>
          <w:p w14:paraId="4ED0824F" w14:textId="77777777" w:rsidR="00A97556" w:rsidRPr="006E31EE" w:rsidRDefault="00A97556" w:rsidP="00A97556">
            <w:pPr>
              <w:rPr>
                <w:b/>
                <w:lang w:eastAsia="da-DK"/>
              </w:rPr>
            </w:pPr>
            <w:r w:rsidRPr="006E31EE">
              <w:rPr>
                <w:b/>
                <w:lang w:eastAsia="da-DK"/>
              </w:rPr>
              <w:t>Histologi</w:t>
            </w:r>
          </w:p>
          <w:p w14:paraId="3023EB10" w14:textId="77777777" w:rsidR="00A97556" w:rsidRPr="006E31EE" w:rsidRDefault="00A97556" w:rsidP="00A97556">
            <w:pPr>
              <w:rPr>
                <w:lang w:eastAsia="da-DK"/>
              </w:rPr>
            </w:pPr>
            <w:r w:rsidRPr="006E31EE">
              <w:rPr>
                <w:lang w:eastAsia="da-DK"/>
              </w:rPr>
              <w:t xml:space="preserve">Histologisk </w:t>
            </w:r>
            <w:proofErr w:type="gramStart"/>
            <w:r w:rsidRPr="006E31EE">
              <w:rPr>
                <w:lang w:eastAsia="da-DK"/>
              </w:rPr>
              <w:t>respons</w:t>
            </w:r>
            <w:r w:rsidRPr="006E31EE">
              <w:rPr>
                <w:vertAlign w:val="superscript"/>
                <w:lang w:eastAsia="da-DK"/>
              </w:rPr>
              <w:t>a,b</w:t>
            </w:r>
            <w:proofErr w:type="gramEnd"/>
            <w:r w:rsidRPr="006E31EE">
              <w:rPr>
                <w:lang w:eastAsia="da-DK"/>
              </w:rPr>
              <w:t xml:space="preserve"> (%)</w:t>
            </w:r>
          </w:p>
        </w:tc>
        <w:tc>
          <w:tcPr>
            <w:tcW w:w="1082" w:type="pct"/>
            <w:tcBorders>
              <w:top w:val="single" w:sz="4" w:space="0" w:color="auto"/>
              <w:left w:val="single" w:sz="4" w:space="0" w:color="auto"/>
              <w:bottom w:val="single" w:sz="4" w:space="0" w:color="auto"/>
              <w:right w:val="single" w:sz="4" w:space="0" w:color="auto"/>
            </w:tcBorders>
            <w:hideMark/>
          </w:tcPr>
          <w:p w14:paraId="6CFDA0E6" w14:textId="77777777" w:rsidR="00A97556" w:rsidRPr="006E31EE" w:rsidRDefault="00A97556" w:rsidP="00A97556">
            <w:pPr>
              <w:jc w:val="center"/>
              <w:rPr>
                <w:lang w:eastAsia="da-DK"/>
              </w:rPr>
            </w:pPr>
            <w:r w:rsidRPr="006E31EE">
              <w:rPr>
                <w:lang w:eastAsia="da-DK"/>
              </w:rPr>
              <w:t>88</w:t>
            </w:r>
          </w:p>
          <w:p w14:paraId="59127A75" w14:textId="77777777" w:rsidR="00A97556" w:rsidRPr="006E31EE" w:rsidRDefault="00A97556" w:rsidP="00A97556">
            <w:pPr>
              <w:jc w:val="center"/>
              <w:rPr>
                <w:lang w:eastAsia="da-DK"/>
              </w:rPr>
            </w:pPr>
            <w:r w:rsidRPr="006E31EE">
              <w:rPr>
                <w:lang w:eastAsia="da-DK"/>
              </w:rPr>
              <w:t>[130/148]</w:t>
            </w:r>
          </w:p>
        </w:tc>
        <w:tc>
          <w:tcPr>
            <w:tcW w:w="1082" w:type="pct"/>
            <w:tcBorders>
              <w:top w:val="single" w:sz="4" w:space="0" w:color="auto"/>
              <w:left w:val="single" w:sz="4" w:space="0" w:color="auto"/>
              <w:bottom w:val="single" w:sz="4" w:space="0" w:color="auto"/>
              <w:right w:val="single" w:sz="4" w:space="0" w:color="auto"/>
            </w:tcBorders>
            <w:hideMark/>
          </w:tcPr>
          <w:p w14:paraId="34F0D1B7" w14:textId="77777777" w:rsidR="00A97556" w:rsidRPr="006E31EE" w:rsidRDefault="00A97556" w:rsidP="00A97556">
            <w:pPr>
              <w:jc w:val="center"/>
              <w:rPr>
                <w:lang w:eastAsia="da-DK"/>
              </w:rPr>
            </w:pPr>
            <w:r w:rsidRPr="006E31EE">
              <w:rPr>
                <w:lang w:eastAsia="da-DK"/>
              </w:rPr>
              <w:t>85</w:t>
            </w:r>
          </w:p>
          <w:p w14:paraId="15AA32F3" w14:textId="77777777" w:rsidR="00A97556" w:rsidRPr="006E31EE" w:rsidRDefault="00A97556" w:rsidP="00A97556">
            <w:pPr>
              <w:jc w:val="center"/>
              <w:rPr>
                <w:lang w:eastAsia="da-DK"/>
              </w:rPr>
            </w:pPr>
            <w:r w:rsidRPr="006E31EE">
              <w:rPr>
                <w:lang w:eastAsia="da-DK"/>
              </w:rPr>
              <w:t>[63/74]</w:t>
            </w:r>
          </w:p>
        </w:tc>
        <w:tc>
          <w:tcPr>
            <w:tcW w:w="1082" w:type="pct"/>
            <w:tcBorders>
              <w:top w:val="single" w:sz="4" w:space="0" w:color="auto"/>
              <w:left w:val="single" w:sz="4" w:space="0" w:color="auto"/>
              <w:bottom w:val="single" w:sz="4" w:space="0" w:color="auto"/>
              <w:right w:val="single" w:sz="4" w:space="0" w:color="auto"/>
            </w:tcBorders>
            <w:hideMark/>
          </w:tcPr>
          <w:p w14:paraId="3D71431C" w14:textId="77777777" w:rsidR="00A97556" w:rsidRPr="006E31EE" w:rsidRDefault="00A97556" w:rsidP="00A97556">
            <w:pPr>
              <w:jc w:val="center"/>
              <w:rPr>
                <w:lang w:eastAsia="da-DK"/>
              </w:rPr>
            </w:pPr>
            <w:r w:rsidRPr="006E31EE">
              <w:rPr>
                <w:lang w:eastAsia="da-DK"/>
              </w:rPr>
              <w:t>90</w:t>
            </w:r>
          </w:p>
          <w:p w14:paraId="3D2850CE" w14:textId="77777777" w:rsidR="00A97556" w:rsidRPr="006E31EE" w:rsidRDefault="00A97556" w:rsidP="00A97556">
            <w:pPr>
              <w:jc w:val="center"/>
              <w:rPr>
                <w:lang w:eastAsia="da-DK"/>
              </w:rPr>
            </w:pPr>
            <w:r w:rsidRPr="006E31EE">
              <w:rPr>
                <w:lang w:eastAsia="da-DK"/>
              </w:rPr>
              <w:t>[63/70]</w:t>
            </w:r>
          </w:p>
        </w:tc>
        <w:tc>
          <w:tcPr>
            <w:tcW w:w="1082" w:type="pct"/>
            <w:tcBorders>
              <w:top w:val="single" w:sz="4" w:space="0" w:color="auto"/>
              <w:left w:val="single" w:sz="4" w:space="0" w:color="auto"/>
              <w:bottom w:val="single" w:sz="4" w:space="0" w:color="auto"/>
              <w:right w:val="single" w:sz="4" w:space="0" w:color="auto"/>
            </w:tcBorders>
            <w:hideMark/>
          </w:tcPr>
          <w:p w14:paraId="4EB0BB30" w14:textId="77777777" w:rsidR="00A97556" w:rsidRPr="006E31EE" w:rsidRDefault="00A97556" w:rsidP="00A97556">
            <w:pPr>
              <w:jc w:val="center"/>
              <w:rPr>
                <w:lang w:eastAsia="da-DK"/>
              </w:rPr>
            </w:pPr>
            <w:r w:rsidRPr="006E31EE">
              <w:rPr>
                <w:lang w:eastAsia="da-DK"/>
              </w:rPr>
              <w:t>92</w:t>
            </w:r>
          </w:p>
          <w:p w14:paraId="6D09FDCC" w14:textId="77777777" w:rsidR="00A97556" w:rsidRPr="006E31EE" w:rsidRDefault="00A97556" w:rsidP="00A97556">
            <w:pPr>
              <w:jc w:val="center"/>
              <w:rPr>
                <w:lang w:eastAsia="da-DK"/>
              </w:rPr>
            </w:pPr>
            <w:r w:rsidRPr="006E31EE">
              <w:rPr>
                <w:lang w:eastAsia="da-DK"/>
              </w:rPr>
              <w:t>[36/39]</w:t>
            </w:r>
          </w:p>
        </w:tc>
      </w:tr>
    </w:tbl>
    <w:p w14:paraId="2D56EA8F" w14:textId="77777777" w:rsidR="00A97556" w:rsidRPr="006E31EE" w:rsidRDefault="00A97556" w:rsidP="00A97556">
      <w:pPr>
        <w:pStyle w:val="Default"/>
        <w:ind w:left="284" w:hanging="284"/>
      </w:pPr>
      <w:r w:rsidRPr="006E31EE">
        <w:rPr>
          <w:vertAlign w:val="superscript"/>
        </w:rPr>
        <w:t>a</w:t>
      </w:r>
      <w:r w:rsidRPr="006E31EE">
        <w:t xml:space="preserve"> </w:t>
      </w:r>
      <w:r w:rsidRPr="006E31EE">
        <w:tab/>
        <w:t xml:space="preserve">Populationen, som blev analyseret histologisk, inkluderede kun patienter med tilgængelige data fra leverbiopsi (manglende = ekskluderet) ved uge 240. Respons efter tillæg af emtricitabin er ekskluderet (i alt 17 forsøgspersoner i begge studier). </w:t>
      </w:r>
    </w:p>
    <w:p w14:paraId="7A713062" w14:textId="77777777" w:rsidR="00A97556" w:rsidRPr="006E31EE" w:rsidRDefault="00A97556" w:rsidP="00A97556">
      <w:pPr>
        <w:pStyle w:val="Default"/>
        <w:ind w:left="284" w:hanging="284"/>
      </w:pPr>
      <w:r w:rsidRPr="006E31EE">
        <w:rPr>
          <w:vertAlign w:val="superscript"/>
        </w:rPr>
        <w:t>b</w:t>
      </w:r>
      <w:r w:rsidRPr="006E31EE">
        <w:t xml:space="preserve"> </w:t>
      </w:r>
      <w:r w:rsidRPr="006E31EE">
        <w:tab/>
        <w:t xml:space="preserve">Forbedring af Knodells nekroinflammatoriske score på mindst 2 point uden forværring af Knodells fibrosescore. </w:t>
      </w:r>
    </w:p>
    <w:p w14:paraId="635A27E5" w14:textId="77777777" w:rsidR="00A97556" w:rsidRPr="006E31EE" w:rsidRDefault="00A97556" w:rsidP="00A97556">
      <w:pPr>
        <w:pStyle w:val="Default"/>
        <w:ind w:left="284" w:hanging="284"/>
      </w:pPr>
      <w:r w:rsidRPr="006E31EE">
        <w:rPr>
          <w:vertAlign w:val="superscript"/>
        </w:rPr>
        <w:t>c</w:t>
      </w:r>
      <w:r w:rsidRPr="006E31EE">
        <w:t xml:space="preserve"> </w:t>
      </w:r>
      <w:r w:rsidRPr="006E31EE">
        <w:tab/>
        <w:t xml:space="preserve">48 ugers dobbeltblind tenofovirdisoproxil, efterfulgt af op til 192 ugers </w:t>
      </w:r>
      <w:r w:rsidRPr="006E31EE">
        <w:rPr>
          <w:iCs/>
        </w:rPr>
        <w:t>open label</w:t>
      </w:r>
      <w:r w:rsidRPr="006E31EE">
        <w:t xml:space="preserve">. </w:t>
      </w:r>
    </w:p>
    <w:p w14:paraId="14B9659E" w14:textId="77777777" w:rsidR="00A97556" w:rsidRPr="006E31EE" w:rsidRDefault="00A97556" w:rsidP="00A97556">
      <w:pPr>
        <w:pStyle w:val="Default"/>
        <w:ind w:left="284" w:hanging="284"/>
      </w:pPr>
      <w:r w:rsidRPr="006E31EE">
        <w:rPr>
          <w:vertAlign w:val="superscript"/>
        </w:rPr>
        <w:t>d</w:t>
      </w:r>
      <w:r w:rsidRPr="006E31EE">
        <w:t xml:space="preserve"> </w:t>
      </w:r>
      <w:r w:rsidRPr="006E31EE">
        <w:tab/>
        <w:t xml:space="preserve">48 ugers dobbeltblind adefovirdipivoxil, efterfulgt af op til 192 ugers </w:t>
      </w:r>
      <w:r w:rsidRPr="006E31EE">
        <w:rPr>
          <w:iCs/>
        </w:rPr>
        <w:t>open label</w:t>
      </w:r>
      <w:r w:rsidRPr="006E31EE">
        <w:rPr>
          <w:i/>
          <w:iCs/>
        </w:rPr>
        <w:t xml:space="preserve"> </w:t>
      </w:r>
      <w:r w:rsidRPr="006E31EE">
        <w:t xml:space="preserve">tenofovirdisoproxil. </w:t>
      </w:r>
    </w:p>
    <w:p w14:paraId="277C27AE" w14:textId="77777777" w:rsidR="00A97556" w:rsidRPr="006E31EE" w:rsidRDefault="00A97556" w:rsidP="00A97556">
      <w:pPr>
        <w:pStyle w:val="Default"/>
        <w:ind w:left="851" w:hanging="851"/>
      </w:pPr>
    </w:p>
    <w:p w14:paraId="610B0A69" w14:textId="77777777" w:rsidR="00A97556" w:rsidRPr="006E31EE" w:rsidRDefault="00A97556" w:rsidP="00A97556">
      <w:pPr>
        <w:pStyle w:val="Default"/>
        <w:ind w:left="851"/>
      </w:pPr>
      <w:r w:rsidRPr="006E31EE">
        <w:rPr>
          <w:i/>
          <w:iCs/>
        </w:rPr>
        <w:t xml:space="preserve">Erfaring hos patienter med samtidig hiv-infektion og tidligere erfaring med lamivudin </w:t>
      </w:r>
    </w:p>
    <w:p w14:paraId="7F9B53EE" w14:textId="77777777" w:rsidR="00A97556" w:rsidRPr="006E31EE" w:rsidRDefault="00A97556" w:rsidP="00A97556">
      <w:pPr>
        <w:pStyle w:val="Default"/>
        <w:ind w:left="851"/>
      </w:pPr>
      <w:r w:rsidRPr="006E31EE">
        <w:t xml:space="preserve">I et randomiseret 48-ugers dobbeltblindt, kontrolleret studie af 245 mg tenofovirdisoproxil hos voksne patienter med samtidig infektion med hiv 1 og kronisk hepatitis B, der tidligere blev behandlet med lamivudin (studie ACTG 5127), var de gennemsnitlige serum-HBV-dna-niveauer ved </w:t>
      </w:r>
      <w:r w:rsidRPr="006E31EE">
        <w:rPr>
          <w:iCs/>
        </w:rPr>
        <w:t>baseline</w:t>
      </w:r>
      <w:r w:rsidRPr="006E31EE">
        <w:rPr>
          <w:i/>
          <w:iCs/>
        </w:rPr>
        <w:t xml:space="preserve"> </w:t>
      </w:r>
      <w:r w:rsidRPr="006E31EE">
        <w:t>på 9,45 log</w:t>
      </w:r>
      <w:r w:rsidRPr="006E31EE">
        <w:rPr>
          <w:vertAlign w:val="subscript"/>
        </w:rPr>
        <w:t>10</w:t>
      </w:r>
      <w:r w:rsidRPr="006E31EE">
        <w:t xml:space="preserve"> kopier/ml (n = 27) hos de patienter, der var randomiseret til tenofovir-armen. Behandling med 245 mg tenofovirdisoproxil var forbundet med en gennemsnitlig ændring i serum-HBV-dna fra </w:t>
      </w:r>
      <w:r w:rsidRPr="006E31EE">
        <w:rPr>
          <w:iCs/>
        </w:rPr>
        <w:t>baseline</w:t>
      </w:r>
      <w:r w:rsidRPr="006E31EE">
        <w:rPr>
          <w:i/>
          <w:iCs/>
        </w:rPr>
        <w:t xml:space="preserve"> </w:t>
      </w:r>
      <w:r w:rsidRPr="006E31EE">
        <w:t>på -5,74 log</w:t>
      </w:r>
      <w:r w:rsidRPr="006E31EE">
        <w:rPr>
          <w:vertAlign w:val="subscript"/>
        </w:rPr>
        <w:t>10</w:t>
      </w:r>
      <w:r w:rsidRPr="006E31EE">
        <w:t xml:space="preserve"> </w:t>
      </w:r>
      <w:r w:rsidRPr="006E31EE">
        <w:lastRenderedPageBreak/>
        <w:t xml:space="preserve">kopier/ml (n = 18) hos de patienter, hvor der fandtes 48-ugers data. Ydermere havde 61 % af patienterne normale ALAT-værdier ved uge 48. </w:t>
      </w:r>
    </w:p>
    <w:p w14:paraId="04EFBFFC" w14:textId="77777777" w:rsidR="00A97556" w:rsidRPr="006E31EE" w:rsidRDefault="00A97556" w:rsidP="00A97556">
      <w:pPr>
        <w:pStyle w:val="Default"/>
        <w:ind w:left="851" w:hanging="851"/>
        <w:rPr>
          <w:i/>
          <w:iCs/>
        </w:rPr>
      </w:pPr>
    </w:p>
    <w:p w14:paraId="7CA4D706" w14:textId="77777777" w:rsidR="00A97556" w:rsidRPr="006E31EE" w:rsidRDefault="00A97556" w:rsidP="00A97556">
      <w:pPr>
        <w:pStyle w:val="Default"/>
        <w:ind w:left="851"/>
      </w:pPr>
      <w:r w:rsidRPr="006E31EE">
        <w:rPr>
          <w:i/>
          <w:iCs/>
        </w:rPr>
        <w:t xml:space="preserve">Erfaring hos patienter med vedvarende viral replikation (studie GS-US-174-0106) </w:t>
      </w:r>
    </w:p>
    <w:p w14:paraId="5AD9EF06" w14:textId="77777777" w:rsidR="00A97556" w:rsidRPr="006E31EE" w:rsidRDefault="00A97556" w:rsidP="00A97556">
      <w:pPr>
        <w:pStyle w:val="Default"/>
        <w:ind w:left="851"/>
      </w:pPr>
      <w:r w:rsidRPr="006E31EE">
        <w:t xml:space="preserve">Virkningen og sikkerheden af 245 mg tenofovirdisoproxil eller 245 mg tenofovirdisoproxil sammen med 200 mg emtricitabin er blevet evalueret i et randomiseret dobbeltblindt studie (studie GS-US-174-0106) med HBeAg-positive og HBeAg-negative voksne patienter, som havde vedvarende viræmi (HBV-dna ≥1.000 kopier/ml), mens de fik 10 mg adefovirdipivoxil i mere end 24 uger. Ved </w:t>
      </w:r>
      <w:r w:rsidRPr="006E31EE">
        <w:rPr>
          <w:iCs/>
        </w:rPr>
        <w:t>baseline</w:t>
      </w:r>
      <w:r w:rsidRPr="006E31EE">
        <w:rPr>
          <w:i/>
          <w:iCs/>
        </w:rPr>
        <w:t xml:space="preserve"> </w:t>
      </w:r>
      <w:r w:rsidRPr="006E31EE">
        <w:t xml:space="preserve">var 57 % af de patienter, der var randomiseret til behandlingsgruppen med tenofovirdisoproxil, </w:t>
      </w:r>
      <w:r w:rsidRPr="006E31EE">
        <w:rPr>
          <w:iCs/>
        </w:rPr>
        <w:t>versus</w:t>
      </w:r>
      <w:r w:rsidRPr="006E31EE">
        <w:rPr>
          <w:i/>
          <w:iCs/>
        </w:rPr>
        <w:t xml:space="preserve"> </w:t>
      </w:r>
      <w:r w:rsidRPr="006E31EE">
        <w:t xml:space="preserve">60 % af de patienter, der var randomiseret til behandlingsgruppen med emtricitabin plus tenofovirdisoproxil, tidligere blevet behandlet med lamivudin. Ved uge 24 var det overordnede resultat, at 66 % (35/53) af patienterne behandlet med tenofovirdisoproxil havde HBV-dna &lt;400 kopier/ml (&lt;69 IE/ml) </w:t>
      </w:r>
      <w:r w:rsidRPr="006E31EE">
        <w:rPr>
          <w:iCs/>
        </w:rPr>
        <w:t>versus</w:t>
      </w:r>
      <w:r w:rsidRPr="006E31EE">
        <w:rPr>
          <w:i/>
          <w:iCs/>
        </w:rPr>
        <w:t xml:space="preserve"> </w:t>
      </w:r>
      <w:r w:rsidRPr="006E31EE">
        <w:t xml:space="preserve">69 % (36/52) af patienterne behandlet med emtricitabin plus tenofovirdisoproxil (p = 0,672). Ydermere havde 55 % (29/53) af patienterne behandlet med tenofovirdisoproxil HBV-dna, som ikke kunne måles (&lt;169 kopier/ml [&lt;29 IE/ml]; kvantificeringsgrænsen for Roche Cobas TaqMan HBV-assayet) </w:t>
      </w:r>
      <w:r w:rsidRPr="006E31EE">
        <w:rPr>
          <w:iCs/>
        </w:rPr>
        <w:t>versus</w:t>
      </w:r>
      <w:r w:rsidRPr="006E31EE">
        <w:rPr>
          <w:i/>
          <w:iCs/>
        </w:rPr>
        <w:t xml:space="preserve"> </w:t>
      </w:r>
      <w:r w:rsidRPr="006E31EE">
        <w:t xml:space="preserve">60 % (31/52) af patienterne behandlet med emtricitabin plus tenofovirdisoproxil (p = 0,504). Sammenligninger mellem behandlingsgrupperne ud over uge 24 er svære at fortolke, da investigatorerne havde muligheden for at intensivere behandlingen til </w:t>
      </w:r>
      <w:r w:rsidRPr="006E31EE">
        <w:rPr>
          <w:iCs/>
        </w:rPr>
        <w:t>open label</w:t>
      </w:r>
      <w:r w:rsidRPr="006E31EE">
        <w:rPr>
          <w:i/>
          <w:iCs/>
        </w:rPr>
        <w:t>-</w:t>
      </w:r>
      <w:r w:rsidRPr="006E31EE">
        <w:t xml:space="preserve">behandling med emtricitabin plus tenofovirdisoproxil. Langtidsstudier til evaluering af fordele/risici af samtidig behandling med emtricitabin plus tenofovirdisoproxil hos HBV-monoinficerede patienter er stadig i gang. </w:t>
      </w:r>
    </w:p>
    <w:p w14:paraId="75B39E1B" w14:textId="77777777" w:rsidR="00A97556" w:rsidRPr="006E31EE" w:rsidRDefault="00A97556" w:rsidP="00A97556">
      <w:pPr>
        <w:pStyle w:val="Default"/>
        <w:ind w:left="851" w:hanging="851"/>
      </w:pPr>
    </w:p>
    <w:p w14:paraId="06C5655A" w14:textId="77777777" w:rsidR="00A97556" w:rsidRPr="006E31EE" w:rsidRDefault="00A97556" w:rsidP="00A97556">
      <w:pPr>
        <w:pStyle w:val="Default"/>
        <w:ind w:left="851"/>
      </w:pPr>
      <w:r w:rsidRPr="006E31EE">
        <w:rPr>
          <w:i/>
          <w:iCs/>
        </w:rPr>
        <w:t xml:space="preserve">Erfaring hos patienter med dekompenseret leversygdom ved uge 48 (studie GS-US-174-0108) </w:t>
      </w:r>
    </w:p>
    <w:p w14:paraId="5DCDE4C4" w14:textId="77777777" w:rsidR="00A97556" w:rsidRPr="006E31EE" w:rsidRDefault="00A97556" w:rsidP="00A97556">
      <w:pPr>
        <w:pStyle w:val="Default"/>
        <w:ind w:left="851"/>
      </w:pPr>
      <w:r w:rsidRPr="006E31EE">
        <w:t>Studie GS-US-174-0108 er et randomiseret, dobbeltblindt, aktivt kontrolleret studie, som evaluerer sikkerhed og virkning af tenofovirdisoproxil (n = 45), emtricitabin plus tenofovirdisoproxil (n = 45) og entecavir (n = 22) hos patienter med dekompenseret leversygdom. I behandlingsarmen med tenofovirdisoproxil havde patienterne en gennemsnitlig CPT-score på 7,2, en gennemsnitlig HBV-dna på 5,8 log</w:t>
      </w:r>
      <w:r w:rsidRPr="006E31EE">
        <w:rPr>
          <w:vertAlign w:val="subscript"/>
        </w:rPr>
        <w:t>10</w:t>
      </w:r>
      <w:r w:rsidRPr="006E31EE">
        <w:t xml:space="preserve"> kopier/ml og en gennemsnitlig serum-ALAT på 61 E/l ved </w:t>
      </w:r>
      <w:r w:rsidRPr="006E31EE">
        <w:rPr>
          <w:iCs/>
        </w:rPr>
        <w:t>baseline</w:t>
      </w:r>
      <w:r w:rsidRPr="006E31EE">
        <w:t xml:space="preserve">. 42 % (19/45) af patienterne havde mindst 6 måneders tidligere erfaring med lamivudin, 20 % (9/45) af patienterne havde tidligere erfaring med adefovirdipivoxil, og 9 ud af 45 patienter (20 %) havde lamivudin- og/eller adefovirdipivoxilresistens-mutationer ved </w:t>
      </w:r>
      <w:r w:rsidRPr="006E31EE">
        <w:rPr>
          <w:iCs/>
        </w:rPr>
        <w:t>baseline</w:t>
      </w:r>
      <w:r w:rsidRPr="006E31EE">
        <w:t xml:space="preserve">. De sammensatte primære sikkerhedsendepunkter var afbrydelse på grund af en bivirkning og en bekræftet forhøjelse af serumkreatinin ≥0,5 mg/dl eller bekræftet serumphosphat på &lt;2 mg/dl. </w:t>
      </w:r>
    </w:p>
    <w:p w14:paraId="3ECE2073" w14:textId="77777777" w:rsidR="00A97556" w:rsidRPr="006E31EE" w:rsidRDefault="00A97556" w:rsidP="00A97556">
      <w:pPr>
        <w:pStyle w:val="Default"/>
        <w:ind w:left="851" w:hanging="851"/>
      </w:pPr>
    </w:p>
    <w:p w14:paraId="04BFAF2D" w14:textId="77777777" w:rsidR="00A97556" w:rsidRPr="006E31EE" w:rsidRDefault="00A97556" w:rsidP="00A97556">
      <w:pPr>
        <w:pStyle w:val="Default"/>
        <w:ind w:left="851"/>
      </w:pPr>
      <w:r w:rsidRPr="006E31EE">
        <w:t xml:space="preserve">Hos patienter med CPT-score ≤9 opnåede 74 % (29/39) i behandlingsgruppen med tenofovirdisoproxil og 94 % (33/35) i behandlingsgruppen med emtricitabin plus tenofovirdisoproxil HBV-dna &lt;400 kopier/ml efter 48 ugers behandling. </w:t>
      </w:r>
    </w:p>
    <w:p w14:paraId="48B00B31" w14:textId="77777777" w:rsidR="00A97556" w:rsidRPr="006E31EE" w:rsidRDefault="00A97556" w:rsidP="00A97556">
      <w:pPr>
        <w:pStyle w:val="Default"/>
        <w:ind w:left="851" w:hanging="851"/>
      </w:pPr>
    </w:p>
    <w:p w14:paraId="24AA3955" w14:textId="77777777" w:rsidR="00A97556" w:rsidRPr="006E31EE" w:rsidRDefault="00A97556" w:rsidP="00A97556">
      <w:pPr>
        <w:ind w:left="851"/>
        <w:rPr>
          <w:sz w:val="24"/>
          <w:szCs w:val="24"/>
        </w:rPr>
      </w:pPr>
      <w:r w:rsidRPr="006E31EE">
        <w:rPr>
          <w:sz w:val="24"/>
          <w:szCs w:val="24"/>
        </w:rPr>
        <w:t>Samlet er de afledte data fra denne studie for begrænsede til at drage definitive konklusioner om sammenligningen mellem emtricitabin plus tenofovirdisoproxil og tenofovirdisoproxil (se tabel 7 nedenunder).</w:t>
      </w:r>
    </w:p>
    <w:p w14:paraId="31664640" w14:textId="77777777" w:rsidR="00A97556" w:rsidRPr="006E31EE" w:rsidRDefault="00A97556" w:rsidP="00A97556">
      <w:pPr>
        <w:rPr>
          <w:sz w:val="24"/>
          <w:szCs w:val="24"/>
        </w:rPr>
      </w:pPr>
      <w:r w:rsidRPr="006E31EE">
        <w:rPr>
          <w:sz w:val="24"/>
          <w:szCs w:val="24"/>
        </w:rPr>
        <w:br w:type="page"/>
      </w:r>
    </w:p>
    <w:p w14:paraId="3BA1CCF5" w14:textId="77777777" w:rsidR="00A97556" w:rsidRPr="006E31EE" w:rsidRDefault="00A97556" w:rsidP="00A97556">
      <w:pPr>
        <w:ind w:left="851" w:hanging="851"/>
        <w:rPr>
          <w:sz w:val="24"/>
          <w:szCs w:val="24"/>
        </w:rPr>
      </w:pPr>
    </w:p>
    <w:p w14:paraId="4940A653" w14:textId="77777777" w:rsidR="00A97556" w:rsidRPr="006E31EE" w:rsidRDefault="00A97556" w:rsidP="00A97556">
      <w:pPr>
        <w:ind w:left="851" w:hanging="851"/>
        <w:rPr>
          <w:b/>
          <w:bCs/>
          <w:sz w:val="24"/>
          <w:szCs w:val="24"/>
        </w:rPr>
      </w:pPr>
      <w:r w:rsidRPr="006E31EE">
        <w:rPr>
          <w:b/>
          <w:bCs/>
          <w:sz w:val="24"/>
          <w:szCs w:val="24"/>
        </w:rPr>
        <w:t>Tabel 7: Sikkerheds- og virkningsparametre hos dekompenserede patienter ved uge 48</w:t>
      </w:r>
    </w:p>
    <w:p w14:paraId="50399764" w14:textId="77777777" w:rsidR="00A97556" w:rsidRPr="006E31EE" w:rsidRDefault="00A97556" w:rsidP="00A97556">
      <w:pPr>
        <w:pStyle w:val="Default"/>
        <w:ind w:left="284" w:hanging="284"/>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A97556" w:rsidRPr="006E31EE" w14:paraId="7A0321F0" w14:textId="77777777" w:rsidTr="00A97556">
        <w:tc>
          <w:tcPr>
            <w:tcW w:w="1250" w:type="pct"/>
          </w:tcPr>
          <w:p w14:paraId="4C71BDFB" w14:textId="77777777" w:rsidR="00A97556" w:rsidRPr="006E31EE" w:rsidRDefault="00A97556" w:rsidP="00A97556"/>
        </w:tc>
        <w:tc>
          <w:tcPr>
            <w:tcW w:w="3750" w:type="pct"/>
            <w:gridSpan w:val="3"/>
          </w:tcPr>
          <w:p w14:paraId="42921A2E" w14:textId="77777777" w:rsidR="00A97556" w:rsidRPr="006E31EE" w:rsidRDefault="00A97556" w:rsidP="00A97556">
            <w:pPr>
              <w:jc w:val="center"/>
            </w:pPr>
            <w:r w:rsidRPr="006E31EE">
              <w:rPr>
                <w:b/>
              </w:rPr>
              <w:t>Studie 174-0108</w:t>
            </w:r>
          </w:p>
        </w:tc>
      </w:tr>
      <w:tr w:rsidR="00A97556" w:rsidRPr="00E70F73" w14:paraId="1D57D3F6" w14:textId="77777777" w:rsidTr="00A97556">
        <w:tc>
          <w:tcPr>
            <w:tcW w:w="1250" w:type="pct"/>
          </w:tcPr>
          <w:p w14:paraId="6539DC1C" w14:textId="77777777" w:rsidR="00A97556" w:rsidRPr="006E31EE" w:rsidRDefault="00A97556" w:rsidP="00A97556">
            <w:r w:rsidRPr="006E31EE">
              <w:t>Parameter</w:t>
            </w:r>
          </w:p>
        </w:tc>
        <w:tc>
          <w:tcPr>
            <w:tcW w:w="1250" w:type="pct"/>
          </w:tcPr>
          <w:p w14:paraId="77BE1BF9" w14:textId="77777777" w:rsidR="00A97556" w:rsidRPr="006E31EE" w:rsidRDefault="00A97556" w:rsidP="00A97556">
            <w:pPr>
              <w:jc w:val="center"/>
            </w:pPr>
            <w:r w:rsidRPr="006E31EE">
              <w:t>245 mg tenofovirdisoproxil</w:t>
            </w:r>
          </w:p>
          <w:p w14:paraId="53441EAF" w14:textId="77777777" w:rsidR="00A97556" w:rsidRPr="006E31EE" w:rsidRDefault="00A97556" w:rsidP="00A97556">
            <w:pPr>
              <w:jc w:val="center"/>
            </w:pPr>
            <w:r w:rsidRPr="006E31EE">
              <w:t>(n = 45)</w:t>
            </w:r>
          </w:p>
        </w:tc>
        <w:tc>
          <w:tcPr>
            <w:tcW w:w="1250" w:type="pct"/>
          </w:tcPr>
          <w:p w14:paraId="775A09E5" w14:textId="77777777" w:rsidR="00A97556" w:rsidRPr="00F14257" w:rsidRDefault="00A97556" w:rsidP="00A97556">
            <w:pPr>
              <w:jc w:val="center"/>
              <w:rPr>
                <w:lang w:val="en-US"/>
              </w:rPr>
            </w:pPr>
            <w:r w:rsidRPr="00F14257">
              <w:rPr>
                <w:lang w:val="en-US"/>
              </w:rPr>
              <w:t>200 mg emtricitabin/ 245 mg tenofovirdisoproxil</w:t>
            </w:r>
          </w:p>
          <w:p w14:paraId="543A8CBA" w14:textId="77777777" w:rsidR="00A97556" w:rsidRPr="00F14257" w:rsidRDefault="00A97556" w:rsidP="00A97556">
            <w:pPr>
              <w:jc w:val="center"/>
              <w:rPr>
                <w:lang w:val="en-US"/>
              </w:rPr>
            </w:pPr>
            <w:r w:rsidRPr="00F14257">
              <w:rPr>
                <w:lang w:val="en-US"/>
              </w:rPr>
              <w:t>(n = 45)</w:t>
            </w:r>
          </w:p>
        </w:tc>
        <w:tc>
          <w:tcPr>
            <w:tcW w:w="1250" w:type="pct"/>
          </w:tcPr>
          <w:p w14:paraId="6535A332" w14:textId="77777777" w:rsidR="00A97556" w:rsidRPr="00E70F73" w:rsidRDefault="00A97556" w:rsidP="00A97556">
            <w:pPr>
              <w:jc w:val="center"/>
              <w:rPr>
                <w:lang w:val="sv-SE"/>
              </w:rPr>
            </w:pPr>
            <w:r w:rsidRPr="00E70F73">
              <w:rPr>
                <w:lang w:val="sv-SE"/>
              </w:rPr>
              <w:t>Entecavir</w:t>
            </w:r>
          </w:p>
          <w:p w14:paraId="55C29705" w14:textId="77777777" w:rsidR="00A97556" w:rsidRPr="00E70F73" w:rsidRDefault="00A97556" w:rsidP="00A97556">
            <w:pPr>
              <w:jc w:val="center"/>
              <w:rPr>
                <w:lang w:val="sv-SE"/>
              </w:rPr>
            </w:pPr>
            <w:r w:rsidRPr="00E70F73">
              <w:rPr>
                <w:lang w:val="sv-SE"/>
              </w:rPr>
              <w:t>(0,5 mg eller 1 mg)</w:t>
            </w:r>
          </w:p>
          <w:p w14:paraId="25287D33" w14:textId="77777777" w:rsidR="00A97556" w:rsidRPr="00E70F73" w:rsidRDefault="00A97556" w:rsidP="00A97556">
            <w:pPr>
              <w:jc w:val="center"/>
              <w:rPr>
                <w:lang w:val="sv-SE"/>
              </w:rPr>
            </w:pPr>
            <w:r w:rsidRPr="00E70F73">
              <w:rPr>
                <w:lang w:val="sv-SE"/>
              </w:rPr>
              <w:t>n = 22</w:t>
            </w:r>
          </w:p>
        </w:tc>
      </w:tr>
      <w:tr w:rsidR="00A97556" w:rsidRPr="006E31EE" w14:paraId="0B3C986D" w14:textId="77777777" w:rsidTr="00A97556">
        <w:tc>
          <w:tcPr>
            <w:tcW w:w="1250" w:type="pct"/>
          </w:tcPr>
          <w:p w14:paraId="4D6B5451" w14:textId="77777777" w:rsidR="00A97556" w:rsidRPr="006E31EE" w:rsidRDefault="00A97556" w:rsidP="00A97556">
            <w:r w:rsidRPr="006E31EE">
              <w:rPr>
                <w:b/>
                <w:bCs/>
              </w:rPr>
              <w:t xml:space="preserve">Tolerabilitetssvigt (permanent seponering af studiemedicin på grund af en bivirkning, der opstod under behandlingen) </w:t>
            </w:r>
          </w:p>
          <w:p w14:paraId="298E7A00" w14:textId="77777777" w:rsidR="00A97556" w:rsidRPr="006E31EE" w:rsidRDefault="00A97556" w:rsidP="00A97556">
            <w:r w:rsidRPr="006E31EE">
              <w:t>n (</w:t>
            </w:r>
            <w:proofErr w:type="gramStart"/>
            <w:r w:rsidRPr="006E31EE">
              <w:t>%)</w:t>
            </w:r>
            <w:r w:rsidRPr="006E31EE">
              <w:rPr>
                <w:vertAlign w:val="superscript"/>
              </w:rPr>
              <w:t>a</w:t>
            </w:r>
            <w:proofErr w:type="gramEnd"/>
            <w:r w:rsidRPr="006E31EE">
              <w:t xml:space="preserve"> </w:t>
            </w:r>
          </w:p>
        </w:tc>
        <w:tc>
          <w:tcPr>
            <w:tcW w:w="1250" w:type="pct"/>
          </w:tcPr>
          <w:p w14:paraId="59EB0BEB" w14:textId="77777777" w:rsidR="00A97556" w:rsidRPr="006E31EE" w:rsidRDefault="00A97556" w:rsidP="00A97556">
            <w:pPr>
              <w:jc w:val="center"/>
            </w:pPr>
            <w:r w:rsidRPr="006E31EE">
              <w:t>3 (7 %)</w:t>
            </w:r>
          </w:p>
        </w:tc>
        <w:tc>
          <w:tcPr>
            <w:tcW w:w="1250" w:type="pct"/>
          </w:tcPr>
          <w:p w14:paraId="29351FDF" w14:textId="77777777" w:rsidR="00A97556" w:rsidRPr="006E31EE" w:rsidRDefault="00A97556" w:rsidP="00A97556">
            <w:pPr>
              <w:jc w:val="center"/>
            </w:pPr>
            <w:r w:rsidRPr="006E31EE">
              <w:t>2 (4 %)</w:t>
            </w:r>
          </w:p>
        </w:tc>
        <w:tc>
          <w:tcPr>
            <w:tcW w:w="1250" w:type="pct"/>
          </w:tcPr>
          <w:p w14:paraId="76147E42" w14:textId="77777777" w:rsidR="00A97556" w:rsidRPr="006E31EE" w:rsidRDefault="00A97556" w:rsidP="00A97556">
            <w:pPr>
              <w:jc w:val="center"/>
            </w:pPr>
            <w:r w:rsidRPr="006E31EE">
              <w:t>2 (9 %)</w:t>
            </w:r>
          </w:p>
        </w:tc>
      </w:tr>
      <w:tr w:rsidR="00A97556" w:rsidRPr="006E31EE" w14:paraId="3F81A7F2" w14:textId="77777777" w:rsidTr="00A97556">
        <w:tc>
          <w:tcPr>
            <w:tcW w:w="1250" w:type="pct"/>
          </w:tcPr>
          <w:p w14:paraId="2EB0372F" w14:textId="77777777" w:rsidR="00A97556" w:rsidRPr="006E31EE" w:rsidRDefault="00A97556" w:rsidP="00A97556">
            <w:r w:rsidRPr="006E31EE">
              <w:rPr>
                <w:b/>
                <w:bCs/>
              </w:rPr>
              <w:t xml:space="preserve">Bekræftet forhøjelse af serumkreatinin ≥ 0,5 mg/dl fra </w:t>
            </w:r>
            <w:r w:rsidRPr="006E31EE">
              <w:rPr>
                <w:b/>
                <w:bCs/>
                <w:iCs/>
              </w:rPr>
              <w:t>baseline</w:t>
            </w:r>
            <w:r w:rsidRPr="006E31EE">
              <w:rPr>
                <w:b/>
                <w:bCs/>
                <w:i/>
                <w:iCs/>
              </w:rPr>
              <w:t xml:space="preserve"> </w:t>
            </w:r>
            <w:r w:rsidRPr="006E31EE">
              <w:rPr>
                <w:b/>
                <w:bCs/>
              </w:rPr>
              <w:t xml:space="preserve">eller bekræftet serumphosphat på &lt;2 mg/dl </w:t>
            </w:r>
          </w:p>
          <w:p w14:paraId="3941D8A5" w14:textId="77777777" w:rsidR="00A97556" w:rsidRPr="006E31EE" w:rsidRDefault="00A97556" w:rsidP="00A97556">
            <w:r w:rsidRPr="006E31EE">
              <w:t>n (</w:t>
            </w:r>
            <w:proofErr w:type="gramStart"/>
            <w:r w:rsidRPr="006E31EE">
              <w:t>%)</w:t>
            </w:r>
            <w:r w:rsidRPr="006E31EE">
              <w:rPr>
                <w:vertAlign w:val="superscript"/>
              </w:rPr>
              <w:t>b</w:t>
            </w:r>
            <w:proofErr w:type="gramEnd"/>
            <w:r w:rsidRPr="006E31EE">
              <w:t xml:space="preserve"> </w:t>
            </w:r>
          </w:p>
        </w:tc>
        <w:tc>
          <w:tcPr>
            <w:tcW w:w="1250" w:type="pct"/>
          </w:tcPr>
          <w:p w14:paraId="2E21123A" w14:textId="77777777" w:rsidR="00A97556" w:rsidRPr="006E31EE" w:rsidRDefault="00A97556" w:rsidP="00A97556">
            <w:pPr>
              <w:jc w:val="center"/>
            </w:pPr>
            <w:r w:rsidRPr="006E31EE">
              <w:t>4 (9 %)</w:t>
            </w:r>
          </w:p>
        </w:tc>
        <w:tc>
          <w:tcPr>
            <w:tcW w:w="1250" w:type="pct"/>
          </w:tcPr>
          <w:p w14:paraId="45C4FE35" w14:textId="77777777" w:rsidR="00A97556" w:rsidRPr="006E31EE" w:rsidRDefault="00A97556" w:rsidP="00A97556">
            <w:pPr>
              <w:jc w:val="center"/>
            </w:pPr>
            <w:r w:rsidRPr="006E31EE">
              <w:t>3 (7 %)</w:t>
            </w:r>
          </w:p>
        </w:tc>
        <w:tc>
          <w:tcPr>
            <w:tcW w:w="1250" w:type="pct"/>
          </w:tcPr>
          <w:p w14:paraId="31590781" w14:textId="77777777" w:rsidR="00A97556" w:rsidRPr="006E31EE" w:rsidRDefault="00A97556" w:rsidP="00A97556">
            <w:pPr>
              <w:jc w:val="center"/>
            </w:pPr>
            <w:r w:rsidRPr="006E31EE">
              <w:t>1 (5 %)</w:t>
            </w:r>
          </w:p>
        </w:tc>
      </w:tr>
      <w:tr w:rsidR="00A97556" w:rsidRPr="006E31EE" w14:paraId="2CF4F042" w14:textId="77777777" w:rsidTr="00A97556">
        <w:tc>
          <w:tcPr>
            <w:tcW w:w="1250" w:type="pct"/>
          </w:tcPr>
          <w:p w14:paraId="6C14BEB6" w14:textId="77777777" w:rsidR="00A97556" w:rsidRPr="00C521AB" w:rsidRDefault="00A97556" w:rsidP="00A97556">
            <w:pPr>
              <w:rPr>
                <w:lang w:val="de-DE"/>
              </w:rPr>
            </w:pPr>
            <w:r w:rsidRPr="00C521AB">
              <w:rPr>
                <w:b/>
                <w:bCs/>
                <w:lang w:val="de-DE"/>
              </w:rPr>
              <w:t xml:space="preserve">HBV-dna n (%) </w:t>
            </w:r>
            <w:r w:rsidRPr="00C521AB">
              <w:rPr>
                <w:lang w:val="de-DE"/>
              </w:rPr>
              <w:t xml:space="preserve">&lt;400 kopier/ml </w:t>
            </w:r>
          </w:p>
          <w:p w14:paraId="72E5371D" w14:textId="77777777" w:rsidR="00A97556" w:rsidRPr="00C521AB" w:rsidRDefault="00A97556" w:rsidP="00A97556">
            <w:pPr>
              <w:rPr>
                <w:lang w:val="de-DE"/>
              </w:rPr>
            </w:pPr>
            <w:r w:rsidRPr="00C521AB">
              <w:rPr>
                <w:lang w:val="de-DE"/>
              </w:rPr>
              <w:t xml:space="preserve">n (%) </w:t>
            </w:r>
          </w:p>
        </w:tc>
        <w:tc>
          <w:tcPr>
            <w:tcW w:w="1250" w:type="pct"/>
          </w:tcPr>
          <w:p w14:paraId="5E803C0F" w14:textId="77777777" w:rsidR="00A97556" w:rsidRPr="006E31EE" w:rsidRDefault="00A97556" w:rsidP="00A97556">
            <w:pPr>
              <w:jc w:val="center"/>
            </w:pPr>
            <w:r w:rsidRPr="006E31EE">
              <w:t>31/44 (70 %)</w:t>
            </w:r>
          </w:p>
        </w:tc>
        <w:tc>
          <w:tcPr>
            <w:tcW w:w="1250" w:type="pct"/>
          </w:tcPr>
          <w:p w14:paraId="788CF445" w14:textId="77777777" w:rsidR="00A97556" w:rsidRPr="006E31EE" w:rsidRDefault="00A97556" w:rsidP="00A97556">
            <w:pPr>
              <w:jc w:val="center"/>
            </w:pPr>
            <w:r w:rsidRPr="006E31EE">
              <w:t>36/41 (88 %)</w:t>
            </w:r>
          </w:p>
        </w:tc>
        <w:tc>
          <w:tcPr>
            <w:tcW w:w="1250" w:type="pct"/>
          </w:tcPr>
          <w:p w14:paraId="5283FFB0" w14:textId="77777777" w:rsidR="00A97556" w:rsidRPr="006E31EE" w:rsidRDefault="00A97556" w:rsidP="00A97556">
            <w:pPr>
              <w:jc w:val="center"/>
            </w:pPr>
            <w:r w:rsidRPr="006E31EE">
              <w:t>16/22 (73 %)</w:t>
            </w:r>
          </w:p>
        </w:tc>
      </w:tr>
      <w:tr w:rsidR="00A97556" w:rsidRPr="006E31EE" w14:paraId="4B946FD6" w14:textId="77777777" w:rsidTr="00A97556">
        <w:tc>
          <w:tcPr>
            <w:tcW w:w="1250" w:type="pct"/>
          </w:tcPr>
          <w:p w14:paraId="4BB1EE57" w14:textId="77777777" w:rsidR="00A97556" w:rsidRPr="006E31EE" w:rsidRDefault="00A97556" w:rsidP="00A97556">
            <w:proofErr w:type="gramStart"/>
            <w:r w:rsidRPr="006E31EE">
              <w:rPr>
                <w:b/>
                <w:bCs/>
              </w:rPr>
              <w:t>ALAT n</w:t>
            </w:r>
            <w:proofErr w:type="gramEnd"/>
            <w:r w:rsidRPr="006E31EE">
              <w:rPr>
                <w:b/>
                <w:bCs/>
              </w:rPr>
              <w:t xml:space="preserve"> (%) </w:t>
            </w:r>
          </w:p>
          <w:p w14:paraId="04115BB2" w14:textId="77777777" w:rsidR="00A97556" w:rsidRPr="006E31EE" w:rsidRDefault="00A97556" w:rsidP="00A97556">
            <w:r w:rsidRPr="006E31EE">
              <w:t xml:space="preserve">Normal ALAT </w:t>
            </w:r>
          </w:p>
        </w:tc>
        <w:tc>
          <w:tcPr>
            <w:tcW w:w="1250" w:type="pct"/>
          </w:tcPr>
          <w:p w14:paraId="28F77835" w14:textId="77777777" w:rsidR="00A97556" w:rsidRPr="006E31EE" w:rsidRDefault="00A97556" w:rsidP="00A97556">
            <w:pPr>
              <w:jc w:val="center"/>
            </w:pPr>
            <w:r w:rsidRPr="006E31EE">
              <w:t>25/44 (57 %)</w:t>
            </w:r>
          </w:p>
        </w:tc>
        <w:tc>
          <w:tcPr>
            <w:tcW w:w="1250" w:type="pct"/>
          </w:tcPr>
          <w:p w14:paraId="38CB5A1A" w14:textId="77777777" w:rsidR="00A97556" w:rsidRPr="006E31EE" w:rsidRDefault="00A97556" w:rsidP="00A97556">
            <w:pPr>
              <w:jc w:val="center"/>
            </w:pPr>
            <w:r w:rsidRPr="006E31EE">
              <w:t>31/41 (76 %)</w:t>
            </w:r>
          </w:p>
        </w:tc>
        <w:tc>
          <w:tcPr>
            <w:tcW w:w="1250" w:type="pct"/>
          </w:tcPr>
          <w:p w14:paraId="6C4C70E8" w14:textId="77777777" w:rsidR="00A97556" w:rsidRPr="006E31EE" w:rsidRDefault="00A97556" w:rsidP="00A97556">
            <w:pPr>
              <w:jc w:val="center"/>
            </w:pPr>
            <w:r w:rsidRPr="006E31EE">
              <w:t>12/22 (55 %)</w:t>
            </w:r>
          </w:p>
        </w:tc>
      </w:tr>
      <w:tr w:rsidR="00A97556" w:rsidRPr="006E31EE" w14:paraId="79C2E1AF" w14:textId="77777777" w:rsidTr="00A97556">
        <w:tc>
          <w:tcPr>
            <w:tcW w:w="1250" w:type="pct"/>
          </w:tcPr>
          <w:p w14:paraId="189352D1" w14:textId="77777777" w:rsidR="00A97556" w:rsidRPr="006E31EE" w:rsidRDefault="00A97556" w:rsidP="00A97556">
            <w:r w:rsidRPr="006E31EE">
              <w:rPr>
                <w:b/>
                <w:bCs/>
              </w:rPr>
              <w:t xml:space="preserve">≥2 point reduktion i CPT fra </w:t>
            </w:r>
            <w:r w:rsidRPr="006E31EE">
              <w:rPr>
                <w:b/>
                <w:bCs/>
                <w:iCs/>
              </w:rPr>
              <w:t>baseline</w:t>
            </w:r>
            <w:r w:rsidRPr="006E31EE">
              <w:rPr>
                <w:b/>
                <w:bCs/>
                <w:i/>
                <w:iCs/>
              </w:rPr>
              <w:t xml:space="preserve"> </w:t>
            </w:r>
          </w:p>
          <w:p w14:paraId="66DCC8E1" w14:textId="77777777" w:rsidR="00A97556" w:rsidRPr="006E31EE" w:rsidRDefault="00A97556" w:rsidP="00A97556">
            <w:r w:rsidRPr="006E31EE">
              <w:t xml:space="preserve">n (%) </w:t>
            </w:r>
          </w:p>
        </w:tc>
        <w:tc>
          <w:tcPr>
            <w:tcW w:w="1250" w:type="pct"/>
          </w:tcPr>
          <w:p w14:paraId="3F135F57" w14:textId="77777777" w:rsidR="00A97556" w:rsidRPr="006E31EE" w:rsidRDefault="00A97556" w:rsidP="00A97556">
            <w:pPr>
              <w:jc w:val="center"/>
            </w:pPr>
            <w:r w:rsidRPr="006E31EE">
              <w:t>7/27 (26 %)</w:t>
            </w:r>
          </w:p>
        </w:tc>
        <w:tc>
          <w:tcPr>
            <w:tcW w:w="1250" w:type="pct"/>
          </w:tcPr>
          <w:p w14:paraId="653D7341" w14:textId="77777777" w:rsidR="00A97556" w:rsidRPr="006E31EE" w:rsidRDefault="00A97556" w:rsidP="00A97556">
            <w:pPr>
              <w:jc w:val="center"/>
            </w:pPr>
            <w:r w:rsidRPr="006E31EE">
              <w:t>12/25 (48 %)</w:t>
            </w:r>
          </w:p>
        </w:tc>
        <w:tc>
          <w:tcPr>
            <w:tcW w:w="1250" w:type="pct"/>
          </w:tcPr>
          <w:p w14:paraId="017B7EFA" w14:textId="77777777" w:rsidR="00A97556" w:rsidRPr="006E31EE" w:rsidRDefault="00A97556" w:rsidP="00A97556">
            <w:pPr>
              <w:jc w:val="center"/>
            </w:pPr>
            <w:r w:rsidRPr="006E31EE">
              <w:t>5/12 (42 %)</w:t>
            </w:r>
          </w:p>
        </w:tc>
      </w:tr>
      <w:tr w:rsidR="00A97556" w:rsidRPr="006E31EE" w14:paraId="3843D40A" w14:textId="77777777" w:rsidTr="00A97556">
        <w:tc>
          <w:tcPr>
            <w:tcW w:w="1250" w:type="pct"/>
          </w:tcPr>
          <w:p w14:paraId="4458DE80" w14:textId="77777777" w:rsidR="00A97556" w:rsidRPr="006E31EE" w:rsidRDefault="00A97556" w:rsidP="00A97556">
            <w:r w:rsidRPr="006E31EE">
              <w:rPr>
                <w:b/>
                <w:bCs/>
              </w:rPr>
              <w:t xml:space="preserve">Gennemsnitlig ændring fra </w:t>
            </w:r>
            <w:r w:rsidRPr="006E31EE">
              <w:rPr>
                <w:b/>
                <w:bCs/>
                <w:iCs/>
              </w:rPr>
              <w:t>baseline</w:t>
            </w:r>
            <w:r w:rsidRPr="006E31EE">
              <w:rPr>
                <w:b/>
                <w:bCs/>
                <w:i/>
                <w:iCs/>
              </w:rPr>
              <w:t xml:space="preserve"> </w:t>
            </w:r>
            <w:r w:rsidRPr="006E31EE">
              <w:rPr>
                <w:b/>
                <w:bCs/>
              </w:rPr>
              <w:t xml:space="preserve">i CPT-score </w:t>
            </w:r>
          </w:p>
        </w:tc>
        <w:tc>
          <w:tcPr>
            <w:tcW w:w="1250" w:type="pct"/>
          </w:tcPr>
          <w:p w14:paraId="205CB77C" w14:textId="77777777" w:rsidR="00A97556" w:rsidRPr="006E31EE" w:rsidRDefault="00A97556" w:rsidP="00A97556">
            <w:pPr>
              <w:jc w:val="center"/>
            </w:pPr>
            <w:r w:rsidRPr="006E31EE">
              <w:t>-0,8</w:t>
            </w:r>
          </w:p>
        </w:tc>
        <w:tc>
          <w:tcPr>
            <w:tcW w:w="1250" w:type="pct"/>
          </w:tcPr>
          <w:p w14:paraId="1FF7C180" w14:textId="77777777" w:rsidR="00A97556" w:rsidRPr="006E31EE" w:rsidRDefault="00A97556" w:rsidP="00A97556">
            <w:pPr>
              <w:jc w:val="center"/>
            </w:pPr>
            <w:r w:rsidRPr="006E31EE">
              <w:t>-0,9</w:t>
            </w:r>
          </w:p>
        </w:tc>
        <w:tc>
          <w:tcPr>
            <w:tcW w:w="1250" w:type="pct"/>
          </w:tcPr>
          <w:p w14:paraId="7EC720D7" w14:textId="77777777" w:rsidR="00A97556" w:rsidRPr="006E31EE" w:rsidRDefault="00A97556" w:rsidP="00A97556">
            <w:pPr>
              <w:jc w:val="center"/>
            </w:pPr>
            <w:r w:rsidRPr="006E31EE">
              <w:t>-1,3</w:t>
            </w:r>
          </w:p>
        </w:tc>
      </w:tr>
      <w:tr w:rsidR="00A97556" w:rsidRPr="006E31EE" w14:paraId="4A36E315" w14:textId="77777777" w:rsidTr="00A97556">
        <w:tc>
          <w:tcPr>
            <w:tcW w:w="1250" w:type="pct"/>
          </w:tcPr>
          <w:p w14:paraId="1D2A47E5" w14:textId="77777777" w:rsidR="00A97556" w:rsidRPr="006E31EE" w:rsidRDefault="00A97556" w:rsidP="00A97556">
            <w:pPr>
              <w:rPr>
                <w:b/>
                <w:bCs/>
              </w:rPr>
            </w:pPr>
            <w:r w:rsidRPr="006E31EE">
              <w:rPr>
                <w:b/>
                <w:bCs/>
              </w:rPr>
              <w:t xml:space="preserve">Gennemsnitlig ændring fra </w:t>
            </w:r>
            <w:r w:rsidRPr="006E31EE">
              <w:rPr>
                <w:b/>
                <w:bCs/>
                <w:iCs/>
              </w:rPr>
              <w:t>baseline</w:t>
            </w:r>
            <w:r w:rsidRPr="006E31EE">
              <w:rPr>
                <w:b/>
                <w:bCs/>
                <w:i/>
                <w:iCs/>
              </w:rPr>
              <w:t xml:space="preserve"> </w:t>
            </w:r>
            <w:r w:rsidRPr="006E31EE">
              <w:rPr>
                <w:b/>
                <w:bCs/>
              </w:rPr>
              <w:t xml:space="preserve">i MELD-score </w:t>
            </w:r>
          </w:p>
        </w:tc>
        <w:tc>
          <w:tcPr>
            <w:tcW w:w="1250" w:type="pct"/>
          </w:tcPr>
          <w:p w14:paraId="7A14E1DF" w14:textId="77777777" w:rsidR="00A97556" w:rsidRPr="006E31EE" w:rsidRDefault="00A97556" w:rsidP="00A97556">
            <w:pPr>
              <w:jc w:val="center"/>
            </w:pPr>
            <w:r w:rsidRPr="006E31EE">
              <w:t>-1,8</w:t>
            </w:r>
          </w:p>
        </w:tc>
        <w:tc>
          <w:tcPr>
            <w:tcW w:w="1250" w:type="pct"/>
          </w:tcPr>
          <w:p w14:paraId="0E2A255F" w14:textId="77777777" w:rsidR="00A97556" w:rsidRPr="006E31EE" w:rsidRDefault="00A97556" w:rsidP="00A97556">
            <w:pPr>
              <w:jc w:val="center"/>
            </w:pPr>
            <w:r w:rsidRPr="006E31EE">
              <w:t>-2,3</w:t>
            </w:r>
          </w:p>
        </w:tc>
        <w:tc>
          <w:tcPr>
            <w:tcW w:w="1250" w:type="pct"/>
          </w:tcPr>
          <w:p w14:paraId="01E85CA5" w14:textId="77777777" w:rsidR="00A97556" w:rsidRPr="006E31EE" w:rsidRDefault="00A97556" w:rsidP="00A97556">
            <w:pPr>
              <w:jc w:val="center"/>
            </w:pPr>
            <w:r w:rsidRPr="006E31EE">
              <w:t>-2,6</w:t>
            </w:r>
          </w:p>
        </w:tc>
      </w:tr>
    </w:tbl>
    <w:p w14:paraId="36B27EDD" w14:textId="77777777" w:rsidR="00A97556" w:rsidRPr="006E31EE" w:rsidRDefault="00A97556" w:rsidP="00A97556">
      <w:pPr>
        <w:suppressAutoHyphens/>
        <w:ind w:left="284" w:hanging="284"/>
        <w:rPr>
          <w:sz w:val="24"/>
          <w:szCs w:val="24"/>
        </w:rPr>
      </w:pPr>
      <w:r w:rsidRPr="006E31EE">
        <w:rPr>
          <w:sz w:val="24"/>
          <w:szCs w:val="24"/>
          <w:vertAlign w:val="superscript"/>
        </w:rPr>
        <w:t>a</w:t>
      </w:r>
      <w:r w:rsidRPr="006E31EE">
        <w:rPr>
          <w:sz w:val="24"/>
          <w:szCs w:val="24"/>
        </w:rPr>
        <w:t xml:space="preserve"> </w:t>
      </w:r>
      <w:r w:rsidRPr="006E31EE">
        <w:rPr>
          <w:sz w:val="24"/>
          <w:szCs w:val="24"/>
        </w:rPr>
        <w:tab/>
        <w:t xml:space="preserve">p-værdi ved sammenligning af de kombinerede tenofovirindeholdende arme versus entecavirarmen = 0,622 </w:t>
      </w:r>
    </w:p>
    <w:p w14:paraId="78B9B3C8" w14:textId="77777777" w:rsidR="00A97556" w:rsidRPr="006E31EE" w:rsidRDefault="00A97556" w:rsidP="00A97556">
      <w:pPr>
        <w:suppressAutoHyphens/>
        <w:ind w:left="284" w:hanging="284"/>
        <w:rPr>
          <w:sz w:val="24"/>
          <w:szCs w:val="24"/>
        </w:rPr>
      </w:pPr>
      <w:r w:rsidRPr="006E31EE">
        <w:rPr>
          <w:sz w:val="24"/>
          <w:szCs w:val="24"/>
          <w:vertAlign w:val="superscript"/>
        </w:rPr>
        <w:t>b</w:t>
      </w:r>
      <w:r w:rsidRPr="006E31EE">
        <w:rPr>
          <w:sz w:val="24"/>
          <w:szCs w:val="24"/>
        </w:rPr>
        <w:t xml:space="preserve"> </w:t>
      </w:r>
      <w:r w:rsidRPr="006E31EE">
        <w:rPr>
          <w:sz w:val="24"/>
          <w:szCs w:val="24"/>
        </w:rPr>
        <w:tab/>
        <w:t xml:space="preserve">p-værdi ved sammenligning af de kombinerede tenofovirindeholdende arme versus entecavirarmen = 1,000. </w:t>
      </w:r>
    </w:p>
    <w:p w14:paraId="0732F526" w14:textId="77777777" w:rsidR="00A97556" w:rsidRPr="006E31EE" w:rsidRDefault="00A97556" w:rsidP="00A97556">
      <w:pPr>
        <w:suppressAutoHyphens/>
        <w:ind w:left="851" w:hanging="851"/>
        <w:rPr>
          <w:sz w:val="24"/>
          <w:szCs w:val="24"/>
        </w:rPr>
      </w:pPr>
    </w:p>
    <w:p w14:paraId="48F35F16" w14:textId="77777777" w:rsidR="00A97556" w:rsidRPr="006E31EE" w:rsidRDefault="00A97556" w:rsidP="00A97556">
      <w:pPr>
        <w:suppressAutoHyphens/>
        <w:ind w:left="851"/>
        <w:rPr>
          <w:i/>
          <w:sz w:val="24"/>
          <w:szCs w:val="24"/>
        </w:rPr>
      </w:pPr>
      <w:r w:rsidRPr="006E31EE">
        <w:rPr>
          <w:i/>
          <w:sz w:val="24"/>
          <w:szCs w:val="24"/>
        </w:rPr>
        <w:t xml:space="preserve">Erfaring ud over 48 uger i studie GS-US-174-0108 </w:t>
      </w:r>
    </w:p>
    <w:p w14:paraId="3B93B63E" w14:textId="77777777" w:rsidR="00A97556" w:rsidRPr="006E31EE" w:rsidRDefault="00A97556" w:rsidP="00A97556">
      <w:pPr>
        <w:suppressAutoHyphens/>
        <w:ind w:left="851"/>
        <w:rPr>
          <w:sz w:val="24"/>
          <w:szCs w:val="24"/>
        </w:rPr>
      </w:pPr>
      <w:r w:rsidRPr="006E31EE">
        <w:rPr>
          <w:sz w:val="24"/>
          <w:szCs w:val="24"/>
        </w:rPr>
        <w:t xml:space="preserve">På basis af en analyse af personer, der ikke fuldfører/skifter = svigt, opnåede 50 % (21/42) af forsøgspersonerne, som fik tenofovirdisoproxil, 76 % (28/37) af forsøgspersonerne, som fik emtricitabin plus tenofovirdisoproxil, og 52 % (11/21) af forsøgspersonerne, som fik entecavir, HBV-dna &lt; 400 kopier/ml ved uge 168. </w:t>
      </w:r>
    </w:p>
    <w:p w14:paraId="2CC34DE7" w14:textId="77777777" w:rsidR="00A97556" w:rsidRPr="006E31EE" w:rsidRDefault="00A97556" w:rsidP="00A97556">
      <w:pPr>
        <w:rPr>
          <w:sz w:val="24"/>
          <w:szCs w:val="24"/>
        </w:rPr>
      </w:pPr>
      <w:r w:rsidRPr="006E31EE">
        <w:rPr>
          <w:sz w:val="24"/>
          <w:szCs w:val="24"/>
        </w:rPr>
        <w:br w:type="page"/>
      </w:r>
    </w:p>
    <w:p w14:paraId="5B90678A" w14:textId="77777777" w:rsidR="00A97556" w:rsidRPr="006E31EE" w:rsidRDefault="00A97556" w:rsidP="00A97556">
      <w:pPr>
        <w:suppressAutoHyphens/>
        <w:ind w:left="851"/>
        <w:rPr>
          <w:sz w:val="24"/>
          <w:szCs w:val="24"/>
        </w:rPr>
      </w:pPr>
    </w:p>
    <w:p w14:paraId="4DE1040E" w14:textId="77777777" w:rsidR="00A97556" w:rsidRPr="006E31EE" w:rsidRDefault="00A97556" w:rsidP="00A97556">
      <w:pPr>
        <w:suppressAutoHyphens/>
        <w:ind w:left="851"/>
        <w:rPr>
          <w:i/>
          <w:sz w:val="24"/>
          <w:szCs w:val="24"/>
        </w:rPr>
      </w:pPr>
      <w:r w:rsidRPr="006E31EE">
        <w:rPr>
          <w:i/>
          <w:sz w:val="24"/>
          <w:szCs w:val="24"/>
        </w:rPr>
        <w:t xml:space="preserve">Erfaring efter 240 uger hos patienter med lamivudin-resistent HBV (studie GS-US-174-0121) </w:t>
      </w:r>
    </w:p>
    <w:p w14:paraId="4C656EA4" w14:textId="77777777" w:rsidR="00A97556" w:rsidRPr="006E31EE" w:rsidRDefault="00A97556" w:rsidP="00A97556">
      <w:pPr>
        <w:suppressAutoHyphens/>
        <w:ind w:left="851"/>
        <w:rPr>
          <w:sz w:val="24"/>
          <w:szCs w:val="24"/>
        </w:rPr>
      </w:pPr>
      <w:r w:rsidRPr="006E31EE">
        <w:rPr>
          <w:sz w:val="24"/>
          <w:szCs w:val="24"/>
        </w:rPr>
        <w:t>Virkningen og sikkerheden af 245 mg tenofovirdisoproxil blev evalueret i et randomiseret, dobbeltblindt studie (GS-US-174-0121) hos HBeAg-positive og HBeAg-negative patienter (n = 280) med kompenseret leversygdom, viræmi (HBV-dna ≥1.000 IE/ml) og genotype-evidens for lamivudinresistens (rtM204I/V +/- rtL180M). Kun fem patienter havde mutationer med relation til adefovirresistens ved baseline. 141 voksne forsøgspersoner blev randomiseret til en behandlingsarm med tenofovirdisoproxil, og 139 voksne forsøgspersoner blev randomiseret til en behandlingsarm med emtricitabin plus tenofovirdisoproxil. Demografien ved baseline var sammenlignelig for de to behandlingsarme: ved baseline var 52,5 % af forsøgspersonerne HBeAg-negative, 47,5 % var HBeAg-positive, det gennemsnitlige HBV-dna-niveau var 6,5 log</w:t>
      </w:r>
      <w:r w:rsidRPr="006E31EE">
        <w:rPr>
          <w:sz w:val="24"/>
          <w:szCs w:val="24"/>
          <w:vertAlign w:val="subscript"/>
        </w:rPr>
        <w:t>10</w:t>
      </w:r>
      <w:r w:rsidRPr="006E31EE">
        <w:rPr>
          <w:sz w:val="24"/>
          <w:szCs w:val="24"/>
        </w:rPr>
        <w:t xml:space="preserve"> kopier/ml, og det gennemsnitlige ALAT-niveau var 79 E/l. </w:t>
      </w:r>
    </w:p>
    <w:p w14:paraId="6A527672" w14:textId="77777777" w:rsidR="00A97556" w:rsidRPr="006E31EE" w:rsidRDefault="00A97556" w:rsidP="00A97556">
      <w:pPr>
        <w:suppressAutoHyphens/>
        <w:ind w:left="851"/>
        <w:rPr>
          <w:sz w:val="24"/>
          <w:szCs w:val="24"/>
        </w:rPr>
      </w:pPr>
    </w:p>
    <w:p w14:paraId="7896F0B1" w14:textId="77777777" w:rsidR="00A97556" w:rsidRPr="006E31EE" w:rsidRDefault="00A97556" w:rsidP="00A97556">
      <w:pPr>
        <w:suppressAutoHyphens/>
        <w:ind w:left="851"/>
        <w:rPr>
          <w:sz w:val="24"/>
          <w:szCs w:val="24"/>
        </w:rPr>
      </w:pPr>
      <w:r w:rsidRPr="006E31EE">
        <w:rPr>
          <w:sz w:val="24"/>
          <w:szCs w:val="24"/>
        </w:rPr>
        <w:t>Efter 240 ugers behandling havde 117 ud af 141 forsøgspersoner (83%), der var randomiseret til tenofovirdisoproxil, HBV-dna &lt; 400 kopier/ml, og 51 ud af 79 forsøgspersoner (65%) havde normalisering af ALAT. Efter 240 ugers behandling med emtricitabin plus tenofovirdisoproxil havde 115 ud af 139 forsøgspersoner (83%) HBV-dna &lt; 400 kopier/ml, og 59 ud af 83 forsøgspersoner (71%) havde normalisering af ALAT. Blandt de HBeAg-positive forsøgspersoner, der var randomiseret til tenofovirdisoproxil, oplevede 16 ud af 65 forsøgspersoner (25%) tab af HBeAg, og 8 ud af 65 forsøgspersoner (12%) oplevede anti-HBe-serokonversion til og med uge 240. For de HBeAg-positive forsøgspersoner, der var randomiseret til emtricitabin plus tenofovirdisoproxil, oplevede 13 ud af 68 forsøgspersoner (19%) tab af HBeAg, og 7 ud af 68 forsøgspersoner (10%) oplevede anti-HBe-serokonversion til og med uge 240. To forsøgspersoner, der var randomiseret til tenofovirdisoproxil, oplevede HBsAg-tab ved uge 240, men ikke serokonversion til anti-HBs. Fem forsøgspersoner, der var randomiseret til emtricitabin plus tenofovirdisoproxil, oplevede tab af HbsAg, hvoraf 2 ud af disse 5 forsøgspersoner oplevede serokonversion til anti-HBs.</w:t>
      </w:r>
    </w:p>
    <w:p w14:paraId="519CAB1D" w14:textId="77777777" w:rsidR="00A97556" w:rsidRPr="006E31EE" w:rsidRDefault="00A97556" w:rsidP="00A97556">
      <w:pPr>
        <w:suppressAutoHyphens/>
        <w:ind w:left="851"/>
        <w:rPr>
          <w:i/>
          <w:sz w:val="24"/>
          <w:szCs w:val="24"/>
        </w:rPr>
      </w:pPr>
    </w:p>
    <w:p w14:paraId="025D5846" w14:textId="77777777" w:rsidR="00A97556" w:rsidRPr="006E31EE" w:rsidRDefault="00A97556" w:rsidP="00A97556">
      <w:pPr>
        <w:suppressAutoHyphens/>
        <w:ind w:left="851"/>
        <w:rPr>
          <w:i/>
          <w:sz w:val="24"/>
          <w:szCs w:val="24"/>
        </w:rPr>
      </w:pPr>
      <w:r w:rsidRPr="006E31EE">
        <w:rPr>
          <w:i/>
          <w:sz w:val="24"/>
          <w:szCs w:val="24"/>
        </w:rPr>
        <w:t xml:space="preserve">Klinisk resistens </w:t>
      </w:r>
    </w:p>
    <w:p w14:paraId="521015A6" w14:textId="77777777" w:rsidR="00A97556" w:rsidRPr="006E31EE" w:rsidRDefault="00A97556" w:rsidP="00A97556">
      <w:pPr>
        <w:suppressAutoHyphens/>
        <w:ind w:left="851"/>
        <w:rPr>
          <w:sz w:val="24"/>
          <w:szCs w:val="24"/>
        </w:rPr>
      </w:pPr>
      <w:r w:rsidRPr="006E31EE">
        <w:rPr>
          <w:sz w:val="24"/>
          <w:szCs w:val="24"/>
        </w:rPr>
        <w:t xml:space="preserve">426 HBeAg-negative (GS-US-174-0102, n = 250) og HBeAg-positive (GS-US-174-0103, n = 176) patienter, der initialt blev randomiseret til behandling med dobbeltblind tenofovirdisoproxil og derefter skiftede til open label-behandling med tenofovirdisoproxil, blev undersøgt for genotype-ændringer i HBV-polymerase i forhold til baseline. Genotype-studier, udført på alle patienter med HBV-dna &gt;400 kopier/ml ved uge 48 (n = 39), 96 (n = 24), 144 (n = 6), 192 (n = 5), 240 (n = 4), 288 (n = 6) og 384 (n = 2) af tenofovirdisoproxil-monoterapi viste, at der ikke udvikledes mutationer associeret med tenofovirdisoproxil-resistens. </w:t>
      </w:r>
    </w:p>
    <w:p w14:paraId="4E1B5F31" w14:textId="77777777" w:rsidR="00A97556" w:rsidRPr="006E31EE" w:rsidRDefault="00A97556" w:rsidP="00A97556">
      <w:pPr>
        <w:suppressAutoHyphens/>
        <w:ind w:left="851"/>
        <w:rPr>
          <w:sz w:val="24"/>
          <w:szCs w:val="24"/>
        </w:rPr>
      </w:pPr>
    </w:p>
    <w:p w14:paraId="0B1FBC23" w14:textId="77777777" w:rsidR="00A97556" w:rsidRPr="006E31EE" w:rsidRDefault="00A97556" w:rsidP="00A97556">
      <w:pPr>
        <w:suppressAutoHyphens/>
        <w:ind w:left="851"/>
        <w:rPr>
          <w:sz w:val="24"/>
          <w:szCs w:val="24"/>
        </w:rPr>
      </w:pPr>
      <w:r w:rsidRPr="006E31EE">
        <w:rPr>
          <w:sz w:val="24"/>
          <w:szCs w:val="24"/>
        </w:rPr>
        <w:t xml:space="preserve">215 HBeAg-negative (GS-US-174-0102, n = 125) og HBeAg-positive (GS-US-174-0103, n = 90) patienter, der initialt blev randomiseret til behandling med dobbeltblind adefovirdipivoxil og derefter skiftede til open label-behandling med tenofovirdisoproxil, blev undersøgt for genotype-ændringer i HBV-polymerase i forhold til baseline. Genotype-studier, udført på alle patienter med HBV-dna &gt;400 kopier/ml ved uge 48 (n = 16), 96 (n = 5), 144 (n = 1), 192 (n = 2), 240 (n = 1), 288 (n = 1) og 384 (n = 2) af tenofovirdisoproxil-monoterapi viste, at der ikke udvikledes mutationer associeret med tenofovirdisoproxil-resistens. </w:t>
      </w:r>
    </w:p>
    <w:p w14:paraId="5B813C51" w14:textId="77777777" w:rsidR="00A97556" w:rsidRPr="006E31EE" w:rsidRDefault="00A97556" w:rsidP="00A97556">
      <w:pPr>
        <w:suppressAutoHyphens/>
        <w:ind w:left="851"/>
        <w:rPr>
          <w:sz w:val="24"/>
          <w:szCs w:val="24"/>
        </w:rPr>
      </w:pPr>
    </w:p>
    <w:p w14:paraId="07F3D2B6" w14:textId="77777777" w:rsidR="00A97556" w:rsidRPr="006E31EE" w:rsidRDefault="00A97556" w:rsidP="00A97556">
      <w:pPr>
        <w:suppressAutoHyphens/>
        <w:ind w:left="851"/>
        <w:rPr>
          <w:sz w:val="24"/>
          <w:szCs w:val="24"/>
        </w:rPr>
      </w:pPr>
      <w:r w:rsidRPr="006E31EE">
        <w:rPr>
          <w:sz w:val="24"/>
          <w:szCs w:val="24"/>
        </w:rPr>
        <w:lastRenderedPageBreak/>
        <w:t xml:space="preserve">I studie GS-US-174-0108 fik 45 patienter (herunder 9 patienter med lamivudin- og/eller adefovirdipivoxilresistens-mutationer ved baseline) tenofovirdisoproxil i op til 168 uger. Genotypedata fra parrede HBV-isolater fra baseline og under behandling var tilgængelige for 6/8 patienter med HBV-dna &gt;400 kopier/ml ved uge 48. Der blev ikke identificeret aminosyresubstitutioner forbundet med resistens over for tenofovirdisoproxil i disse isolater. Genotypeanalyse blev udført hos 5 forsøgspersoner i tenofovirdisoproxil-armen efter uge 48. Der blev ikke identificeret aminosyresubstitutioner forbundet med tenofovirdisoproxil-resistens hos nogen forsøgspersoner. </w:t>
      </w:r>
    </w:p>
    <w:p w14:paraId="2FE73715" w14:textId="77777777" w:rsidR="00A97556" w:rsidRPr="006E31EE" w:rsidRDefault="00A97556" w:rsidP="00A97556">
      <w:pPr>
        <w:suppressAutoHyphens/>
        <w:ind w:left="851"/>
        <w:rPr>
          <w:sz w:val="24"/>
          <w:szCs w:val="24"/>
        </w:rPr>
      </w:pPr>
    </w:p>
    <w:p w14:paraId="5438E57D" w14:textId="77777777" w:rsidR="00A97556" w:rsidRPr="006E31EE" w:rsidRDefault="00A97556" w:rsidP="00A97556">
      <w:pPr>
        <w:suppressAutoHyphens/>
        <w:ind w:left="851"/>
        <w:rPr>
          <w:sz w:val="24"/>
          <w:szCs w:val="24"/>
        </w:rPr>
      </w:pPr>
      <w:r w:rsidRPr="006E31EE">
        <w:rPr>
          <w:sz w:val="24"/>
          <w:szCs w:val="24"/>
        </w:rPr>
        <w:t xml:space="preserve">I studie GS-US-174-0121 fik 141 patienter med lamivudinresistens-substitutioner ved baseline tenofovirdisoproxil i op til 96 uger. Genotypedata fra parrede HBV-isolater fra baseline og under behandling var tilgængelige for 6 ud af 9 patienter med HBV-dna &gt;400 kopier/ml på det sidste tidspunkt af deres behandling med TDF. Der blev ikke identificeret aminosyresubstitutioner forbundet med resistens over for tenofovirdisoproxil i disse isolater. </w:t>
      </w:r>
    </w:p>
    <w:p w14:paraId="25C8C37B" w14:textId="77777777" w:rsidR="00A97556" w:rsidRPr="006E31EE" w:rsidRDefault="00A97556" w:rsidP="00A97556">
      <w:pPr>
        <w:suppressAutoHyphens/>
        <w:ind w:left="851"/>
        <w:rPr>
          <w:sz w:val="24"/>
          <w:szCs w:val="24"/>
        </w:rPr>
      </w:pPr>
    </w:p>
    <w:p w14:paraId="21FFFBB6" w14:textId="77777777" w:rsidR="00A97556" w:rsidRPr="006E31EE" w:rsidRDefault="00A97556" w:rsidP="00A97556">
      <w:pPr>
        <w:suppressAutoHyphens/>
        <w:ind w:left="851"/>
        <w:rPr>
          <w:sz w:val="24"/>
          <w:szCs w:val="24"/>
        </w:rPr>
      </w:pPr>
      <w:r w:rsidRPr="006E31EE">
        <w:rPr>
          <w:sz w:val="24"/>
          <w:szCs w:val="24"/>
        </w:rPr>
        <w:t xml:space="preserve">I et pædiatrisk studie (GS-US-174-0115) fik 52 patienter (herunder 6 patienter med lamivudinresistente mutationer ved </w:t>
      </w:r>
      <w:r w:rsidRPr="006E31EE">
        <w:rPr>
          <w:i/>
          <w:iCs/>
          <w:sz w:val="24"/>
          <w:szCs w:val="24"/>
        </w:rPr>
        <w:t>baseline</w:t>
      </w:r>
      <w:r w:rsidRPr="006E31EE">
        <w:rPr>
          <w:sz w:val="24"/>
          <w:szCs w:val="24"/>
        </w:rPr>
        <w:t xml:space="preserve">) indledningsvist blindet tenofovirdisoproxil i op til 72 uger, og derefter skiftede 51/52 patienter over til </w:t>
      </w:r>
      <w:r w:rsidRPr="006E31EE">
        <w:rPr>
          <w:i/>
          <w:iCs/>
          <w:sz w:val="24"/>
          <w:szCs w:val="24"/>
        </w:rPr>
        <w:t xml:space="preserve">open-label </w:t>
      </w:r>
      <w:r w:rsidRPr="006E31EE">
        <w:rPr>
          <w:sz w:val="24"/>
          <w:szCs w:val="24"/>
        </w:rPr>
        <w:t xml:space="preserve">tenofovirdisoproxil (tenofovirdisoproxil-tenofovirdisoproxil-gruppen). Genotypeevaluering blev udført for alle patienter i denne gruppe med HBV-dna &gt; 400 kopier/ml ved uge 48 (n = 6), uge 72 (n = 5), uge 96 (n = 4), uge 144 (n = 2) samt uge 192 (n = 3). 54 patienter (herunder 2 patienter med lamivudinresistente mutationer ved </w:t>
      </w:r>
      <w:r w:rsidRPr="006E31EE">
        <w:rPr>
          <w:i/>
          <w:iCs/>
          <w:sz w:val="24"/>
          <w:szCs w:val="24"/>
        </w:rPr>
        <w:t>baseline</w:t>
      </w:r>
      <w:r w:rsidRPr="006E31EE">
        <w:rPr>
          <w:sz w:val="24"/>
          <w:szCs w:val="24"/>
        </w:rPr>
        <w:t>) fik indledningsvist blindet placebobehandling i 72 uger, og 52/54 patienter fik derefter tenofovirdisoproxil (PLB-tenofovirdisoproxil-gruppen). Genotypeevaluering blev udført for alle patienter i denne gruppe med HBV-dna &gt; 400 kopier/ml ved uge 96 (n = 17), uge 144 (n = 7) og uge 192 (n = 8). Der blev ikke identificeret aminosyresubstitutioner forbundet med resistens over for tenofovir</w:t>
      </w:r>
      <w:r w:rsidRPr="006E31EE">
        <w:rPr>
          <w:sz w:val="24"/>
          <w:szCs w:val="24"/>
        </w:rPr>
        <w:softHyphen/>
        <w:t xml:space="preserve">disoproxil i disse isolater. </w:t>
      </w:r>
      <w:r w:rsidRPr="006E31EE">
        <w:rPr>
          <w:sz w:val="24"/>
          <w:szCs w:val="24"/>
        </w:rPr>
        <w:t> </w:t>
      </w:r>
    </w:p>
    <w:p w14:paraId="7468272B" w14:textId="77777777" w:rsidR="00A97556" w:rsidRPr="003228A3" w:rsidRDefault="00A97556" w:rsidP="00A97556">
      <w:pPr>
        <w:suppressAutoHyphens/>
        <w:ind w:left="851"/>
        <w:rPr>
          <w:sz w:val="24"/>
          <w:szCs w:val="24"/>
        </w:rPr>
      </w:pPr>
    </w:p>
    <w:p w14:paraId="5AB38359" w14:textId="02AB18F1" w:rsidR="00A97556" w:rsidRPr="003228A3" w:rsidRDefault="003228A3" w:rsidP="00A97556">
      <w:pPr>
        <w:suppressAutoHyphens/>
        <w:ind w:left="851"/>
        <w:rPr>
          <w:sz w:val="24"/>
          <w:szCs w:val="24"/>
        </w:rPr>
      </w:pPr>
      <w:r w:rsidRPr="003228A3">
        <w:rPr>
          <w:sz w:val="24"/>
          <w:szCs w:val="24"/>
        </w:rPr>
        <w:t>I et pædiatrisk studie (GS-US-174-0144) var genotypedata fra parrede HBV-isolater fra baseline</w:t>
      </w:r>
      <w:r w:rsidRPr="003228A3">
        <w:rPr>
          <w:i/>
          <w:iCs/>
          <w:sz w:val="24"/>
          <w:szCs w:val="24"/>
        </w:rPr>
        <w:t xml:space="preserve"> </w:t>
      </w:r>
      <w:r w:rsidRPr="003228A3">
        <w:rPr>
          <w:sz w:val="24"/>
          <w:szCs w:val="24"/>
        </w:rPr>
        <w:t>og under behandling fra patienter, der fik blindet tenofovirdisoproxil, tilgængelige for 9 ud af 10 patienter ved uge 48, som havde plasma-HBV-dna &gt; 400 kopier/ml. Genotypedata fra parrede HBV-isolater fra baseline</w:t>
      </w:r>
      <w:r w:rsidRPr="003228A3">
        <w:rPr>
          <w:i/>
          <w:iCs/>
          <w:sz w:val="24"/>
          <w:szCs w:val="24"/>
        </w:rPr>
        <w:t xml:space="preserve"> </w:t>
      </w:r>
      <w:r w:rsidRPr="003228A3">
        <w:rPr>
          <w:sz w:val="24"/>
          <w:szCs w:val="24"/>
        </w:rPr>
        <w:t xml:space="preserve">og under behandling fra patienter, der skiftede til </w:t>
      </w:r>
      <w:r w:rsidRPr="003228A3">
        <w:rPr>
          <w:i/>
          <w:iCs/>
          <w:sz w:val="24"/>
          <w:szCs w:val="24"/>
        </w:rPr>
        <w:t xml:space="preserve">open-label </w:t>
      </w:r>
      <w:r w:rsidRPr="003228A3">
        <w:rPr>
          <w:sz w:val="24"/>
          <w:szCs w:val="24"/>
        </w:rPr>
        <w:t>tenofovirdisoproxil, fra blindet tenofovirdisoproxil (TDF-TDF-gruppen) eller fra placebo (PLB-TDF-gruppen) efter mindst 48 ugers blindet behandling, var tilgængelig for 12 ud af 16 patienter ved uge 96, for 4 ud af 6 patienter ved uge 144 og for 4 ud af 4 patienter ved uge 192, som havde plasma-HBV-dna &gt; 400 kopier/ml. Der blev ikke identificeret nogen aminosyresubstitutioner, der var forbundet med resistens over for tenofovirdisoproxil, i disse isolater ved uge 48.</w:t>
      </w:r>
    </w:p>
    <w:p w14:paraId="33C2C85F" w14:textId="77777777" w:rsidR="00A97556" w:rsidRPr="006E31EE" w:rsidRDefault="00A97556" w:rsidP="00A97556">
      <w:pPr>
        <w:suppressAutoHyphens/>
        <w:ind w:left="851"/>
        <w:rPr>
          <w:sz w:val="24"/>
          <w:szCs w:val="24"/>
        </w:rPr>
      </w:pPr>
    </w:p>
    <w:p w14:paraId="528DB296" w14:textId="77777777" w:rsidR="00A97556" w:rsidRPr="006E31EE" w:rsidRDefault="00A97556" w:rsidP="00A97556">
      <w:pPr>
        <w:suppressAutoHyphens/>
        <w:ind w:left="851"/>
        <w:rPr>
          <w:sz w:val="24"/>
          <w:szCs w:val="24"/>
          <w:u w:val="single"/>
        </w:rPr>
      </w:pPr>
      <w:r w:rsidRPr="006E31EE">
        <w:rPr>
          <w:sz w:val="24"/>
          <w:szCs w:val="24"/>
          <w:u w:val="single"/>
        </w:rPr>
        <w:t xml:space="preserve">Pædiatrisk population </w:t>
      </w:r>
    </w:p>
    <w:p w14:paraId="210908AC" w14:textId="77777777" w:rsidR="00A97556" w:rsidRPr="006E31EE" w:rsidRDefault="00A97556" w:rsidP="00A97556">
      <w:pPr>
        <w:suppressAutoHyphens/>
        <w:ind w:left="851"/>
        <w:rPr>
          <w:sz w:val="24"/>
          <w:szCs w:val="24"/>
        </w:rPr>
      </w:pPr>
      <w:r w:rsidRPr="006E31EE">
        <w:rPr>
          <w:i/>
          <w:sz w:val="24"/>
          <w:szCs w:val="24"/>
        </w:rPr>
        <w:t>Hiv 1</w:t>
      </w:r>
      <w:r w:rsidRPr="006E31EE">
        <w:rPr>
          <w:sz w:val="24"/>
          <w:szCs w:val="24"/>
        </w:rPr>
        <w:t xml:space="preserve">: I studie GS-US-104-0321 blev 87 hiv 1-inficerede behandlingserfarne patienter i alderen 12 til &lt; 18 år behandlet med tenofovirdisoproxil (n = 45) eller placebo (n = 42) i kombination med et optimeret baggrundsregime (OBR) i 48 uger. På grund af begrænsninger i studiet blev der ikke vist en gavnlig effekt ved tenofovirdisoproxil sammenlignet med placebo baseret på plasma-hiv 1-rna-niveauer ved uge 24. Der forventes imidlertid en gavnlig effekt for den unge population baseret på ekstrapolation af data fra voksne og sammenlignende farmakokinetiske data (se pkt. 5.2). </w:t>
      </w:r>
    </w:p>
    <w:p w14:paraId="729E82B3" w14:textId="77777777" w:rsidR="00A97556" w:rsidRPr="006E31EE" w:rsidRDefault="00A97556" w:rsidP="00A97556">
      <w:pPr>
        <w:suppressAutoHyphens/>
        <w:ind w:left="851"/>
        <w:rPr>
          <w:sz w:val="24"/>
          <w:szCs w:val="24"/>
        </w:rPr>
      </w:pPr>
    </w:p>
    <w:p w14:paraId="46091386" w14:textId="03C95CEA" w:rsidR="00A97556" w:rsidRPr="006E31EE" w:rsidRDefault="00A97556" w:rsidP="00A97556">
      <w:pPr>
        <w:suppressAutoHyphens/>
        <w:ind w:left="851"/>
        <w:rPr>
          <w:sz w:val="24"/>
          <w:szCs w:val="24"/>
        </w:rPr>
      </w:pPr>
      <w:r w:rsidRPr="006E31EE">
        <w:rPr>
          <w:sz w:val="24"/>
          <w:szCs w:val="24"/>
        </w:rPr>
        <w:t xml:space="preserve">Hos patienter, som fik behandling med tenofovirdisoproxil eller placebo, var den gennemsnitlige BMD Z-score for columna lumbalis ved baseline henholdsvis -1,004 og </w:t>
      </w:r>
      <w:r w:rsidRPr="006E31EE">
        <w:rPr>
          <w:sz w:val="24"/>
          <w:szCs w:val="24"/>
        </w:rPr>
        <w:lastRenderedPageBreak/>
        <w:t xml:space="preserve">0,809, og den gennemsnitlige BMD Z-score for hele kroppen ved baseline var henholdsvis -0,866 og -0,584. De gennemsnitlige ændringer ved uge 48 (afslutning på den dobbeltblinde fase) var -0,215 og -0,165 i BMD Z-score for columna lumbalis og -0,254 og -0,179 i BMD Z-score for hele kroppen for henholdsvis tenofovirdisoproxil- og placebogrupperne. Den gennemsnitlige hastighed for stigning i BMD var mindre i tenofovirdisoproxil-gruppen sammenlignet med placebogruppen. Ved uge 48 havde seks unge i tenofovirdisoproxilgruppen og én ung i placebogruppen signifikant tab i BMD i columna lumbalis (defineret som &gt;4 % tab). Blandt de 28 patienter, der blev behandlet i 96 uger med tenofovirdisoproxil, ændredes BMD Z-score med -0,341 for columna lumbalis og med -0,458 for hele kroppen. </w:t>
      </w:r>
    </w:p>
    <w:p w14:paraId="653ED751" w14:textId="77777777" w:rsidR="00A97556" w:rsidRPr="006E31EE" w:rsidRDefault="00A97556" w:rsidP="00A97556">
      <w:pPr>
        <w:suppressAutoHyphens/>
        <w:ind w:left="851"/>
        <w:rPr>
          <w:sz w:val="24"/>
          <w:szCs w:val="24"/>
        </w:rPr>
      </w:pPr>
    </w:p>
    <w:p w14:paraId="36D71DE3" w14:textId="77777777" w:rsidR="00A97556" w:rsidRPr="006E31EE" w:rsidRDefault="00A97556" w:rsidP="00A97556">
      <w:pPr>
        <w:suppressAutoHyphens/>
        <w:ind w:left="851"/>
        <w:rPr>
          <w:sz w:val="24"/>
          <w:szCs w:val="24"/>
        </w:rPr>
      </w:pPr>
      <w:r w:rsidRPr="006E31EE">
        <w:rPr>
          <w:sz w:val="24"/>
          <w:szCs w:val="24"/>
        </w:rPr>
        <w:t xml:space="preserve">I studie GS-US-104-0352 blev 97 behandlingserfarne patienter i alderen 2 til &lt;12 år med stabil, virologisk suppression på stavudin- eller zidovudin-holdige behandlinger randomiseret til enten at erstatte stavudin eller zidovudin med tenofovirdisoproxil (n = 48) eller at fortsætte med den oprindelige behandling (n = 49) i 48 uger. Ved uge 48 havde 83 % af patienterne i behandlingsgruppen med tenofovirdisoproxil og 92 % af patienterne i behandlingsgruppen med stavudin eller zidovudin hiv-1 RNA-koncentrationer på &lt;400 kopier/ml. Forskellen i andelen af patienter, der bibeholdte &lt;400 kopier/ml ved uge 48 var hovedsageligt påvirket af det højere antal seponeringer i behandlingsgruppen med tenofovirdisoproxil. Når manglende data blev ekskluderet, havde 91 % af patienterne i behandlingsgruppen med tenofovirdisoproxil og 94 % af patienterne i behandlingsgruppen med stavudin eller zidovudin hiv-1 RNA-koncentrationer på &lt;400 kopier/ml ved uge 48. </w:t>
      </w:r>
    </w:p>
    <w:p w14:paraId="75A250AC" w14:textId="77777777" w:rsidR="00A97556" w:rsidRPr="006E31EE" w:rsidRDefault="00A97556" w:rsidP="00A97556">
      <w:pPr>
        <w:suppressAutoHyphens/>
        <w:ind w:left="851"/>
        <w:rPr>
          <w:sz w:val="24"/>
          <w:szCs w:val="24"/>
        </w:rPr>
      </w:pPr>
    </w:p>
    <w:p w14:paraId="6EFDD410" w14:textId="77777777" w:rsidR="00A97556" w:rsidRPr="006E31EE" w:rsidRDefault="00A97556" w:rsidP="00A97556">
      <w:pPr>
        <w:suppressAutoHyphens/>
        <w:ind w:left="851"/>
        <w:rPr>
          <w:sz w:val="24"/>
          <w:szCs w:val="24"/>
        </w:rPr>
      </w:pPr>
      <w:r w:rsidRPr="006E31EE">
        <w:rPr>
          <w:sz w:val="24"/>
          <w:szCs w:val="24"/>
        </w:rPr>
        <w:t>Reduktioner i BMD er blevet rapporteret hos pædiatriske patienter. Hos patienter, der fik behandling med tenofovirdisoproxil, eller stavudin eller zidovudin, var den gennemsnitlige BMD Z-score -1,034 og -0,498 for columna lumbalis og den gennemsnitlige BMD Z-score var henholdsvis -0,471 og -0,386 ved baseline for hele kroppen. Gennemsnitlige ændringer ved uge 48 (afslutning af den randomiserede fase) var 0,032 og 0,087 i BMD Z-scoren for columna lumbalis og -0,184 og -0,027 i BMD Z-scoren for hele kroppen for henholdsvis gruppen med tenofovirdisoproxil og gruppen med stavudin eller zidovudin. Den gennemsnitlige hastighed for knogleøgning i columna lumbalis ved uge 48 var sammenlignelig mellem behandlingsgruppen med tenofovirdisoproxil og behandlings</w:t>
      </w:r>
      <w:r w:rsidRPr="006E31EE">
        <w:rPr>
          <w:sz w:val="24"/>
          <w:szCs w:val="24"/>
        </w:rPr>
        <w:softHyphen/>
        <w:t>gruppen med stavudin eller zidovudin. Knogleøgning for hele kroppen var mindre i behandlingsgruppen med tenofovirdisoproxil sammenlignet med behandlingsgruppen med stavudin eller zidovudin. Én patient behandlet med tenofovirdisoproxil og ingen patienter behandlet med stavudin eller zidovudin havde signifikant (&gt;4 %) BMD-tab i columna lumbalis ved uge 48. BMD Z-scores faldt med -0,012 for columna lumbalis og med -0,338 for hele kroppen hos de 64 patienter, der blev behandlet med tenofovirdisoproxil i 96 uger. BMD Z-score blev ikke justeret for højde og vægt.</w:t>
      </w:r>
    </w:p>
    <w:p w14:paraId="1ABD5423" w14:textId="77777777" w:rsidR="00A97556" w:rsidRPr="006E31EE" w:rsidRDefault="00A97556" w:rsidP="00A97556">
      <w:pPr>
        <w:suppressAutoHyphens/>
        <w:ind w:left="851"/>
        <w:rPr>
          <w:sz w:val="24"/>
          <w:szCs w:val="24"/>
        </w:rPr>
      </w:pPr>
    </w:p>
    <w:p w14:paraId="6C5192F6" w14:textId="77777777" w:rsidR="00A97556" w:rsidRPr="006E31EE" w:rsidRDefault="00A97556" w:rsidP="00A97556">
      <w:pPr>
        <w:suppressAutoHyphens/>
        <w:ind w:left="851"/>
        <w:rPr>
          <w:sz w:val="24"/>
          <w:szCs w:val="24"/>
        </w:rPr>
      </w:pPr>
      <w:r w:rsidRPr="006E31EE">
        <w:rPr>
          <w:sz w:val="24"/>
          <w:szCs w:val="24"/>
        </w:rPr>
        <w:t>I studie GS-US-104-0352 fik 8 ud af de 89 pædiatriske patienter (9,0 %), der blev eksponeret for tenofovirdisoproxil), seponeret forsøgslægemidlet på grund af renale bivirkninger. Fem forsøgsdeltagere (5,6 %) havde analyseresultater, der var klinisk forenelige med proksimal renal tubulopati; 4 af disse forsøgsdeltagere fik seponeret behandlingen med tenofovirdisoproxil (gennemsnitligt 331 ugers eksponering for tenofovirdisoproxil).</w:t>
      </w:r>
    </w:p>
    <w:p w14:paraId="107FD5D1" w14:textId="77777777" w:rsidR="00A97556" w:rsidRPr="006E31EE" w:rsidRDefault="00A97556" w:rsidP="00A97556">
      <w:pPr>
        <w:suppressAutoHyphens/>
        <w:ind w:left="851"/>
        <w:rPr>
          <w:sz w:val="24"/>
          <w:szCs w:val="24"/>
        </w:rPr>
      </w:pPr>
    </w:p>
    <w:p w14:paraId="133A5C84" w14:textId="77777777" w:rsidR="00A97556" w:rsidRPr="006E31EE" w:rsidRDefault="00A97556" w:rsidP="00A97556">
      <w:pPr>
        <w:suppressAutoHyphens/>
        <w:ind w:left="851"/>
        <w:rPr>
          <w:sz w:val="24"/>
          <w:szCs w:val="24"/>
        </w:rPr>
      </w:pPr>
      <w:r w:rsidRPr="006E31EE">
        <w:rPr>
          <w:i/>
          <w:sz w:val="24"/>
          <w:szCs w:val="24"/>
        </w:rPr>
        <w:t>Kronisk hepatitis B</w:t>
      </w:r>
      <w:r w:rsidRPr="006E31EE">
        <w:rPr>
          <w:sz w:val="24"/>
          <w:szCs w:val="24"/>
        </w:rPr>
        <w:t xml:space="preserve">: I studie GS-US-174-0115 blev 106 HBeAg-negative og HBeAg-positive patienter i alderen 12 til &lt;18 år med kronisk HBV-infektion [HBV-dna ≥105 kopier/ml, forhøjet serum-ALAT (≥ 2 x ULN) eller en anamnese med forhøjede serum-ALAT-niveauer i løbet af de seneste 24 måneder] behandlet med tenofovirdisoproxil 245 </w:t>
      </w:r>
      <w:r w:rsidRPr="006E31EE">
        <w:rPr>
          <w:sz w:val="24"/>
          <w:szCs w:val="24"/>
        </w:rPr>
        <w:lastRenderedPageBreak/>
        <w:t>mg (n = 52) eller placebo (n = 54) i 72 uger. Patienterne skulle være behandlingsnaive med hensyn til tenofovirdisoproxil, men kunne have fået interferon-baserede regimer (&gt;6 måneder før screening) eller anden anti-HBV nukleosid/nukleotid-behandling (&gt;16 uger før screening), der ikke indeholdt tenofovirdisoproxil. Ved uge 72 havde i alt 88 % (46/52) af patienterne i behandlingsgruppen med tenofovirdisoproxil og 0 % (0/54) af patienterne i placebogruppen HBV-dna &lt;400 kopier/ml. 74 % (26/35) af patienterne i gruppen med tenofovirdisoproxil havde normaliseret ALAT ved uge 72, sammenlignet med 31 % (13/42) i placebogruppen. Behandlingsresponset med tenofovirdisoproxil var sammenligneligt hos nukleos(t)id-naive (n = 20) og nukleos(t)idbehandlede (n = 32) patienter, herunder lamivudin-resistente patienter (n = 6). 95 % af de nukleos(t)id-naive patienter, 84 % af de nukleos(t)idbehandlede patienter og 83 % af de lamivudin-resistente patienter opnåede HBV-dna &lt;400 kopier/ml ved uge 72. 31 ud af de 32 nukleos(t)id</w:t>
      </w:r>
      <w:r w:rsidRPr="006E31EE">
        <w:rPr>
          <w:sz w:val="24"/>
          <w:szCs w:val="24"/>
        </w:rPr>
        <w:softHyphen/>
        <w:t xml:space="preserve">behandlede patienter havde tidligere erfaring med lamivudin. Ved uge 72 havde 96 % (27/28) af de immunaktive patienter (HBV-dna ≥105 kopier/ml, serum-ALAT &gt;1,5 x ULN) i gruppen, der blev behandlet med tenofovirdisoproxil, og 0 % (0/32) af patienterne i placebogruppen HBV-dna &lt;400 kopier/ml. 75 % (21/28) af de immunaktive patienter i tenofovirdisoproxil-gruppen havde normal ALAT ved uge 72, sammenlignet med 34 % (11/32) i placebogruppen. </w:t>
      </w:r>
    </w:p>
    <w:p w14:paraId="40FBE029" w14:textId="77777777" w:rsidR="00A97556" w:rsidRPr="006E31EE" w:rsidRDefault="00A97556" w:rsidP="00A97556">
      <w:pPr>
        <w:ind w:left="851"/>
        <w:rPr>
          <w:sz w:val="24"/>
          <w:szCs w:val="24"/>
        </w:rPr>
      </w:pPr>
    </w:p>
    <w:p w14:paraId="19D3652E" w14:textId="77777777" w:rsidR="00A97556" w:rsidRPr="006E31EE" w:rsidRDefault="00A97556" w:rsidP="00A97556">
      <w:pPr>
        <w:ind w:left="851"/>
        <w:rPr>
          <w:sz w:val="24"/>
          <w:szCs w:val="24"/>
        </w:rPr>
      </w:pPr>
      <w:r w:rsidRPr="006E31EE">
        <w:rPr>
          <w:sz w:val="24"/>
          <w:szCs w:val="24"/>
        </w:rPr>
        <w:t>Efter 72 ugers blindet randomiseret behandling, kunne hver person skifte til open-label tenofovirdisoproxil behandling op til uge 192. Efter uge 72, blev virologisk suppression opretholdt for dem, der modtog dobbeltblind tenofovirdisoproxil efterfulgt af open-label tenofovirdisoproxil (tenofovirdisoproxil-tenofovirdisoproxil-gruppen): 86,5% (45/52) af forsøgspersonerne i tenofovirdisoproxil-tenofovirdisoproxil-gruppen havde HBV-DNA &lt;400 kopier/ml ved uge 192. Blandt de forsøgspersoner, der fik placebo i den dobbeltblindede periode, steg andelen af forsøgspersoner med HBV-DNA &lt;400 kopier/ml kraftigt, efter de begyndte behandling med open-label tenofovirdisoproxil (PLB- tenofovirdisoproxil -gruppen): 74,1% (40/54) af forsøgspersonerne i PLB-tenofovirdisoproxil-gruppen havde HBV-DNA &lt;400 kopier/ml ved uge 192. Andelen af forsøgspersoner med ALAT-normalisering ved uge 192 i tenofovirdisoproxil-tenofovirdisoproxil-gruppen var 75,8% (25/33) blandt dem, der var HBeAg-positive ved baseline, og 100,0% (2 af 2 forsøgspersonerne) blandt dem, der var HBeAg-negative ved baseline. Lignende procentdele af forsøgsdeltagerne i tenofovirdisoproxil-tenofovirdisoproxil- og PLB-tenofovirdisoproxil-gruppen (henholdsvis 37,5 % og 41,7 %) oplevede serokonversion til anti-HBe med uge 192.</w:t>
      </w:r>
    </w:p>
    <w:p w14:paraId="5DDD58D8" w14:textId="77777777" w:rsidR="00A97556" w:rsidRPr="006E31EE" w:rsidRDefault="00A97556" w:rsidP="00A97556">
      <w:pPr>
        <w:ind w:left="851"/>
        <w:rPr>
          <w:sz w:val="24"/>
          <w:szCs w:val="24"/>
        </w:rPr>
      </w:pPr>
    </w:p>
    <w:p w14:paraId="0FA64D15" w14:textId="77777777" w:rsidR="00A97556" w:rsidRPr="006E31EE" w:rsidRDefault="00A97556" w:rsidP="00A97556">
      <w:pPr>
        <w:ind w:left="851"/>
        <w:rPr>
          <w:sz w:val="24"/>
          <w:szCs w:val="24"/>
        </w:rPr>
      </w:pPr>
      <w:r w:rsidRPr="006E31EE">
        <w:rPr>
          <w:sz w:val="24"/>
          <w:szCs w:val="24"/>
        </w:rPr>
        <w:t xml:space="preserve">Data vedrørende knoglemineraltæthed (BMD) fra studie GS-US-174-0115 er opsummeret i Tabel 8: </w:t>
      </w:r>
    </w:p>
    <w:p w14:paraId="79E7E6B5" w14:textId="77777777" w:rsidR="00A97556" w:rsidRPr="006E31EE" w:rsidRDefault="00A97556" w:rsidP="00A97556">
      <w:pPr>
        <w:ind w:left="851" w:hanging="851"/>
        <w:rPr>
          <w:sz w:val="24"/>
          <w:szCs w:val="24"/>
        </w:rPr>
      </w:pPr>
    </w:p>
    <w:p w14:paraId="508AA3EA" w14:textId="77777777" w:rsidR="00A97556" w:rsidRPr="006E31EE" w:rsidRDefault="00A97556" w:rsidP="00A97556">
      <w:pPr>
        <w:ind w:left="851" w:hanging="851"/>
        <w:rPr>
          <w:b/>
          <w:sz w:val="24"/>
          <w:szCs w:val="24"/>
        </w:rPr>
      </w:pPr>
      <w:r w:rsidRPr="006E31EE">
        <w:rPr>
          <w:b/>
          <w:sz w:val="24"/>
          <w:szCs w:val="24"/>
        </w:rPr>
        <w:t xml:space="preserve">Tabel 8: Evaluering af knoglemineraltæthed ved Baseline, uge 72 og 192 </w:t>
      </w:r>
    </w:p>
    <w:tbl>
      <w:tblPr>
        <w:tblW w:w="5226" w:type="pct"/>
        <w:tblLayout w:type="fixed"/>
        <w:tblCellMar>
          <w:top w:w="8" w:type="dxa"/>
          <w:right w:w="67" w:type="dxa"/>
        </w:tblCellMar>
        <w:tblLook w:val="04A0" w:firstRow="1" w:lastRow="0" w:firstColumn="1" w:lastColumn="0" w:noHBand="0" w:noVBand="1"/>
      </w:tblPr>
      <w:tblGrid>
        <w:gridCol w:w="1411"/>
        <w:gridCol w:w="1560"/>
        <w:gridCol w:w="1275"/>
        <w:gridCol w:w="1416"/>
        <w:gridCol w:w="1275"/>
        <w:gridCol w:w="1559"/>
        <w:gridCol w:w="1561"/>
      </w:tblGrid>
      <w:tr w:rsidR="00A97556" w:rsidRPr="006E31EE" w14:paraId="581EBEBA" w14:textId="77777777" w:rsidTr="00A97556">
        <w:trPr>
          <w:trHeight w:val="245"/>
        </w:trPr>
        <w:tc>
          <w:tcPr>
            <w:tcW w:w="701" w:type="pct"/>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14:paraId="71BF3314" w14:textId="77777777" w:rsidR="00A97556" w:rsidRPr="006E31EE" w:rsidRDefault="00A97556" w:rsidP="00A97556">
            <w:pPr>
              <w:rPr>
                <w:sz w:val="22"/>
                <w:szCs w:val="22"/>
              </w:rPr>
            </w:pPr>
          </w:p>
        </w:tc>
        <w:tc>
          <w:tcPr>
            <w:tcW w:w="1409" w:type="pct"/>
            <w:gridSpan w:val="2"/>
            <w:tcBorders>
              <w:top w:val="single" w:sz="6" w:space="0" w:color="000000"/>
              <w:left w:val="single" w:sz="6" w:space="0" w:color="000000"/>
              <w:bottom w:val="single" w:sz="6" w:space="0" w:color="000000"/>
              <w:right w:val="single" w:sz="6" w:space="0" w:color="000000"/>
            </w:tcBorders>
            <w:shd w:val="clear" w:color="auto" w:fill="auto"/>
          </w:tcPr>
          <w:p w14:paraId="4F1775C2" w14:textId="77777777" w:rsidR="00A97556" w:rsidRPr="006E31EE" w:rsidRDefault="00A97556" w:rsidP="00A97556">
            <w:pPr>
              <w:jc w:val="center"/>
              <w:rPr>
                <w:sz w:val="22"/>
                <w:szCs w:val="22"/>
              </w:rPr>
            </w:pPr>
            <w:r w:rsidRPr="006E31EE">
              <w:rPr>
                <w:b/>
                <w:sz w:val="22"/>
                <w:szCs w:val="22"/>
              </w:rPr>
              <w:t>Baseline</w:t>
            </w:r>
          </w:p>
        </w:tc>
        <w:tc>
          <w:tcPr>
            <w:tcW w:w="1338" w:type="pct"/>
            <w:gridSpan w:val="2"/>
            <w:tcBorders>
              <w:top w:val="single" w:sz="6" w:space="0" w:color="000000"/>
              <w:left w:val="single" w:sz="6" w:space="0" w:color="000000"/>
              <w:bottom w:val="single" w:sz="6" w:space="0" w:color="000000"/>
              <w:right w:val="single" w:sz="6" w:space="0" w:color="000000"/>
            </w:tcBorders>
            <w:shd w:val="clear" w:color="auto" w:fill="auto"/>
          </w:tcPr>
          <w:p w14:paraId="520D781B" w14:textId="77777777" w:rsidR="00A97556" w:rsidRPr="006E31EE" w:rsidRDefault="00A97556" w:rsidP="00A97556">
            <w:pPr>
              <w:jc w:val="center"/>
              <w:rPr>
                <w:sz w:val="22"/>
                <w:szCs w:val="22"/>
              </w:rPr>
            </w:pPr>
            <w:r w:rsidRPr="006E31EE">
              <w:rPr>
                <w:b/>
                <w:sz w:val="22"/>
                <w:szCs w:val="22"/>
              </w:rPr>
              <w:t>Uge 72</w:t>
            </w:r>
          </w:p>
        </w:tc>
        <w:tc>
          <w:tcPr>
            <w:tcW w:w="1551" w:type="pct"/>
            <w:gridSpan w:val="2"/>
            <w:tcBorders>
              <w:top w:val="single" w:sz="6" w:space="0" w:color="000000"/>
              <w:left w:val="single" w:sz="6" w:space="0" w:color="000000"/>
              <w:bottom w:val="single" w:sz="6" w:space="0" w:color="000000"/>
              <w:right w:val="single" w:sz="6" w:space="0" w:color="000000"/>
            </w:tcBorders>
            <w:shd w:val="clear" w:color="auto" w:fill="auto"/>
          </w:tcPr>
          <w:p w14:paraId="69C57B79" w14:textId="77777777" w:rsidR="00A97556" w:rsidRPr="006E31EE" w:rsidRDefault="00A97556" w:rsidP="00A97556">
            <w:pPr>
              <w:jc w:val="center"/>
              <w:rPr>
                <w:sz w:val="22"/>
                <w:szCs w:val="22"/>
              </w:rPr>
            </w:pPr>
            <w:r w:rsidRPr="006E31EE">
              <w:rPr>
                <w:b/>
                <w:sz w:val="22"/>
                <w:szCs w:val="22"/>
              </w:rPr>
              <w:t>Uge 192</w:t>
            </w:r>
          </w:p>
        </w:tc>
      </w:tr>
      <w:tr w:rsidR="00A97556" w:rsidRPr="006E31EE" w14:paraId="1EE314F2" w14:textId="77777777" w:rsidTr="00A97556">
        <w:trPr>
          <w:trHeight w:val="1330"/>
        </w:trPr>
        <w:tc>
          <w:tcPr>
            <w:tcW w:w="701" w:type="pct"/>
            <w:vMerge/>
            <w:tcBorders>
              <w:top w:val="nil"/>
              <w:left w:val="single" w:sz="6" w:space="0" w:color="000000"/>
              <w:bottom w:val="single" w:sz="6" w:space="0" w:color="000000"/>
              <w:right w:val="single" w:sz="6" w:space="0" w:color="000000"/>
            </w:tcBorders>
            <w:shd w:val="clear" w:color="auto" w:fill="auto"/>
          </w:tcPr>
          <w:p w14:paraId="2E87C362" w14:textId="77777777" w:rsidR="00A97556" w:rsidRPr="006E31EE" w:rsidRDefault="00A97556" w:rsidP="00A97556">
            <w:pPr>
              <w:rPr>
                <w:sz w:val="22"/>
                <w:szCs w:val="22"/>
              </w:rPr>
            </w:pPr>
          </w:p>
        </w:tc>
        <w:tc>
          <w:tcPr>
            <w:tcW w:w="775" w:type="pct"/>
            <w:tcBorders>
              <w:top w:val="single" w:sz="6" w:space="0" w:color="000000"/>
              <w:left w:val="single" w:sz="6" w:space="0" w:color="000000"/>
              <w:bottom w:val="single" w:sz="6" w:space="0" w:color="000000"/>
              <w:right w:val="single" w:sz="6" w:space="0" w:color="000000"/>
            </w:tcBorders>
            <w:shd w:val="clear" w:color="auto" w:fill="auto"/>
          </w:tcPr>
          <w:p w14:paraId="295F49F7" w14:textId="77777777" w:rsidR="00A97556" w:rsidRPr="006E31EE" w:rsidRDefault="00A97556" w:rsidP="00A97556">
            <w:pPr>
              <w:jc w:val="center"/>
              <w:rPr>
                <w:sz w:val="22"/>
                <w:szCs w:val="22"/>
              </w:rPr>
            </w:pPr>
            <w:r w:rsidRPr="006E31EE">
              <w:rPr>
                <w:b/>
                <w:sz w:val="22"/>
                <w:szCs w:val="22"/>
              </w:rPr>
              <w:t>Tenofovirdisoproxil-tenofovirdisoproxil</w:t>
            </w:r>
          </w:p>
        </w:tc>
        <w:tc>
          <w:tcPr>
            <w:tcW w:w="634" w:type="pct"/>
            <w:tcBorders>
              <w:top w:val="single" w:sz="6" w:space="0" w:color="000000"/>
              <w:left w:val="single" w:sz="6" w:space="0" w:color="000000"/>
              <w:bottom w:val="single" w:sz="6" w:space="0" w:color="000000"/>
              <w:right w:val="single" w:sz="6" w:space="0" w:color="000000"/>
            </w:tcBorders>
            <w:shd w:val="clear" w:color="auto" w:fill="auto"/>
          </w:tcPr>
          <w:p w14:paraId="47A54785" w14:textId="77777777" w:rsidR="00A97556" w:rsidRPr="006E31EE" w:rsidRDefault="00A97556" w:rsidP="00A97556">
            <w:pPr>
              <w:jc w:val="center"/>
              <w:rPr>
                <w:sz w:val="22"/>
                <w:szCs w:val="22"/>
              </w:rPr>
            </w:pPr>
            <w:r w:rsidRPr="006E31EE">
              <w:rPr>
                <w:b/>
                <w:sz w:val="22"/>
                <w:szCs w:val="22"/>
              </w:rPr>
              <w:t>PLB-tenofovirdisoproxil</w:t>
            </w:r>
          </w:p>
        </w:tc>
        <w:tc>
          <w:tcPr>
            <w:tcW w:w="704" w:type="pct"/>
            <w:tcBorders>
              <w:top w:val="single" w:sz="6" w:space="0" w:color="000000"/>
              <w:left w:val="single" w:sz="6" w:space="0" w:color="000000"/>
              <w:bottom w:val="single" w:sz="6" w:space="0" w:color="000000"/>
              <w:right w:val="single" w:sz="6" w:space="0" w:color="000000"/>
            </w:tcBorders>
            <w:shd w:val="clear" w:color="auto" w:fill="auto"/>
          </w:tcPr>
          <w:p w14:paraId="2AB59B66" w14:textId="77777777" w:rsidR="00A97556" w:rsidRPr="006E31EE" w:rsidRDefault="00A97556" w:rsidP="00A97556">
            <w:pPr>
              <w:jc w:val="center"/>
              <w:rPr>
                <w:sz w:val="22"/>
                <w:szCs w:val="22"/>
              </w:rPr>
            </w:pPr>
            <w:r w:rsidRPr="006E31EE">
              <w:rPr>
                <w:b/>
                <w:sz w:val="22"/>
                <w:szCs w:val="22"/>
              </w:rPr>
              <w:t>Tenofovirdisoproxil-tenofovirdisoproxil</w:t>
            </w:r>
          </w:p>
        </w:tc>
        <w:tc>
          <w:tcPr>
            <w:tcW w:w="634" w:type="pct"/>
            <w:tcBorders>
              <w:top w:val="single" w:sz="6" w:space="0" w:color="000000"/>
              <w:left w:val="single" w:sz="6" w:space="0" w:color="000000"/>
              <w:bottom w:val="single" w:sz="6" w:space="0" w:color="000000"/>
              <w:right w:val="single" w:sz="6" w:space="0" w:color="000000"/>
            </w:tcBorders>
            <w:shd w:val="clear" w:color="auto" w:fill="auto"/>
          </w:tcPr>
          <w:p w14:paraId="141768FB" w14:textId="77777777" w:rsidR="00A97556" w:rsidRPr="006E31EE" w:rsidRDefault="00A97556" w:rsidP="00A97556">
            <w:pPr>
              <w:jc w:val="center"/>
              <w:rPr>
                <w:sz w:val="22"/>
                <w:szCs w:val="22"/>
              </w:rPr>
            </w:pPr>
            <w:r w:rsidRPr="006E31EE">
              <w:rPr>
                <w:b/>
                <w:sz w:val="22"/>
                <w:szCs w:val="22"/>
              </w:rPr>
              <w:t>PLB-tenofovirdisoproxil</w:t>
            </w:r>
          </w:p>
        </w:tc>
        <w:tc>
          <w:tcPr>
            <w:tcW w:w="775" w:type="pct"/>
            <w:tcBorders>
              <w:top w:val="single" w:sz="6" w:space="0" w:color="000000"/>
              <w:left w:val="single" w:sz="6" w:space="0" w:color="000000"/>
              <w:bottom w:val="single" w:sz="6" w:space="0" w:color="000000"/>
              <w:right w:val="single" w:sz="6" w:space="0" w:color="000000"/>
            </w:tcBorders>
            <w:shd w:val="clear" w:color="auto" w:fill="auto"/>
          </w:tcPr>
          <w:p w14:paraId="61231F40" w14:textId="77777777" w:rsidR="00A97556" w:rsidRPr="006E31EE" w:rsidRDefault="00A97556" w:rsidP="00A97556">
            <w:pPr>
              <w:jc w:val="center"/>
              <w:rPr>
                <w:sz w:val="22"/>
                <w:szCs w:val="22"/>
              </w:rPr>
            </w:pPr>
            <w:r w:rsidRPr="006E31EE">
              <w:rPr>
                <w:b/>
                <w:sz w:val="22"/>
                <w:szCs w:val="22"/>
              </w:rPr>
              <w:t>Tenofovirdisoproxil-tenofovirdisoproxil</w:t>
            </w:r>
          </w:p>
        </w:tc>
        <w:tc>
          <w:tcPr>
            <w:tcW w:w="776" w:type="pct"/>
            <w:tcBorders>
              <w:top w:val="single" w:sz="6" w:space="0" w:color="000000"/>
              <w:left w:val="single" w:sz="6" w:space="0" w:color="000000"/>
              <w:bottom w:val="single" w:sz="6" w:space="0" w:color="000000"/>
              <w:right w:val="single" w:sz="6" w:space="0" w:color="000000"/>
            </w:tcBorders>
            <w:shd w:val="clear" w:color="auto" w:fill="auto"/>
          </w:tcPr>
          <w:p w14:paraId="1B72D1B0" w14:textId="77777777" w:rsidR="00A97556" w:rsidRPr="006E31EE" w:rsidRDefault="00A97556" w:rsidP="00A97556">
            <w:pPr>
              <w:jc w:val="center"/>
              <w:rPr>
                <w:sz w:val="22"/>
                <w:szCs w:val="22"/>
              </w:rPr>
            </w:pPr>
            <w:r w:rsidRPr="006E31EE">
              <w:rPr>
                <w:b/>
                <w:sz w:val="22"/>
                <w:szCs w:val="22"/>
              </w:rPr>
              <w:t>PLB-tenofovirdisoproxil</w:t>
            </w:r>
          </w:p>
        </w:tc>
      </w:tr>
      <w:tr w:rsidR="00A97556" w:rsidRPr="006E31EE" w14:paraId="39000A10" w14:textId="77777777" w:rsidTr="00A97556">
        <w:trPr>
          <w:trHeight w:val="482"/>
        </w:trPr>
        <w:tc>
          <w:tcPr>
            <w:tcW w:w="701" w:type="pct"/>
            <w:tcBorders>
              <w:top w:val="single" w:sz="6" w:space="0" w:color="000000"/>
              <w:left w:val="single" w:sz="6" w:space="0" w:color="000000"/>
              <w:bottom w:val="single" w:sz="6" w:space="0" w:color="000000"/>
              <w:right w:val="single" w:sz="6" w:space="0" w:color="000000"/>
            </w:tcBorders>
            <w:shd w:val="clear" w:color="auto" w:fill="auto"/>
          </w:tcPr>
          <w:p w14:paraId="08A750C0" w14:textId="77777777" w:rsidR="00A97556" w:rsidRPr="006E31EE" w:rsidRDefault="00A97556" w:rsidP="00A97556">
            <w:pPr>
              <w:rPr>
                <w:sz w:val="22"/>
                <w:szCs w:val="22"/>
              </w:rPr>
            </w:pPr>
            <w:r w:rsidRPr="006E31EE">
              <w:rPr>
                <w:sz w:val="22"/>
                <w:szCs w:val="22"/>
              </w:rPr>
              <w:t>Lumbal middelværdi (SD) BMD Z-score</w:t>
            </w:r>
            <w:r w:rsidRPr="006E31EE">
              <w:rPr>
                <w:sz w:val="22"/>
                <w:szCs w:val="22"/>
                <w:vertAlign w:val="superscript"/>
              </w:rPr>
              <w:t>a</w:t>
            </w:r>
            <w:r w:rsidRPr="006E31EE">
              <w:rPr>
                <w:sz w:val="22"/>
                <w:szCs w:val="22"/>
              </w:rPr>
              <w:t xml:space="preserve"> </w:t>
            </w:r>
          </w:p>
        </w:tc>
        <w:tc>
          <w:tcPr>
            <w:tcW w:w="775" w:type="pct"/>
            <w:tcBorders>
              <w:top w:val="single" w:sz="6" w:space="0" w:color="000000"/>
              <w:left w:val="single" w:sz="6" w:space="0" w:color="000000"/>
              <w:bottom w:val="single" w:sz="6" w:space="0" w:color="000000"/>
              <w:right w:val="single" w:sz="6" w:space="0" w:color="000000"/>
            </w:tcBorders>
            <w:shd w:val="clear" w:color="auto" w:fill="auto"/>
          </w:tcPr>
          <w:p w14:paraId="15D17825" w14:textId="77777777" w:rsidR="00A97556" w:rsidRPr="006E31EE" w:rsidRDefault="00A97556" w:rsidP="00A97556">
            <w:pPr>
              <w:jc w:val="center"/>
              <w:rPr>
                <w:sz w:val="22"/>
                <w:szCs w:val="22"/>
              </w:rPr>
            </w:pPr>
            <w:r w:rsidRPr="006E31EE">
              <w:rPr>
                <w:sz w:val="22"/>
                <w:szCs w:val="22"/>
              </w:rPr>
              <w:t>−0,42</w:t>
            </w:r>
          </w:p>
          <w:p w14:paraId="1FFAE53B" w14:textId="77777777" w:rsidR="00A97556" w:rsidRPr="006E31EE" w:rsidRDefault="00A97556" w:rsidP="00A97556">
            <w:pPr>
              <w:jc w:val="center"/>
              <w:rPr>
                <w:sz w:val="22"/>
                <w:szCs w:val="22"/>
              </w:rPr>
            </w:pPr>
            <w:r w:rsidRPr="006E31EE">
              <w:rPr>
                <w:sz w:val="22"/>
                <w:szCs w:val="22"/>
              </w:rPr>
              <w:t>(0,762)</w:t>
            </w:r>
          </w:p>
        </w:tc>
        <w:tc>
          <w:tcPr>
            <w:tcW w:w="634" w:type="pct"/>
            <w:tcBorders>
              <w:top w:val="single" w:sz="6" w:space="0" w:color="000000"/>
              <w:left w:val="single" w:sz="6" w:space="0" w:color="000000"/>
              <w:bottom w:val="single" w:sz="6" w:space="0" w:color="000000"/>
              <w:right w:val="single" w:sz="6" w:space="0" w:color="000000"/>
            </w:tcBorders>
            <w:shd w:val="clear" w:color="auto" w:fill="auto"/>
          </w:tcPr>
          <w:p w14:paraId="7738CE57" w14:textId="77777777" w:rsidR="00A97556" w:rsidRPr="006E31EE" w:rsidRDefault="00A97556" w:rsidP="00A97556">
            <w:pPr>
              <w:jc w:val="center"/>
              <w:rPr>
                <w:sz w:val="22"/>
                <w:szCs w:val="22"/>
              </w:rPr>
            </w:pPr>
            <w:r w:rsidRPr="006E31EE">
              <w:rPr>
                <w:sz w:val="22"/>
                <w:szCs w:val="22"/>
              </w:rPr>
              <w:t>-0,26</w:t>
            </w:r>
          </w:p>
          <w:p w14:paraId="5950CB80" w14:textId="77777777" w:rsidR="00A97556" w:rsidRPr="006E31EE" w:rsidRDefault="00A97556" w:rsidP="00A97556">
            <w:pPr>
              <w:jc w:val="center"/>
              <w:rPr>
                <w:sz w:val="22"/>
                <w:szCs w:val="22"/>
              </w:rPr>
            </w:pPr>
            <w:r w:rsidRPr="006E31EE">
              <w:rPr>
                <w:sz w:val="22"/>
                <w:szCs w:val="22"/>
              </w:rPr>
              <w:t>(0,806)</w:t>
            </w:r>
          </w:p>
        </w:tc>
        <w:tc>
          <w:tcPr>
            <w:tcW w:w="704" w:type="pct"/>
            <w:tcBorders>
              <w:top w:val="single" w:sz="6" w:space="0" w:color="000000"/>
              <w:left w:val="single" w:sz="6" w:space="0" w:color="000000"/>
              <w:bottom w:val="single" w:sz="6" w:space="0" w:color="000000"/>
              <w:right w:val="single" w:sz="6" w:space="0" w:color="000000"/>
            </w:tcBorders>
            <w:shd w:val="clear" w:color="auto" w:fill="auto"/>
          </w:tcPr>
          <w:p w14:paraId="0B9BDCEC" w14:textId="77777777" w:rsidR="00A97556" w:rsidRPr="006E31EE" w:rsidRDefault="00A97556" w:rsidP="00A97556">
            <w:pPr>
              <w:jc w:val="center"/>
              <w:rPr>
                <w:sz w:val="22"/>
                <w:szCs w:val="22"/>
              </w:rPr>
            </w:pPr>
            <w:r w:rsidRPr="006E31EE">
              <w:rPr>
                <w:sz w:val="22"/>
                <w:szCs w:val="22"/>
              </w:rPr>
              <w:t>-0,49</w:t>
            </w:r>
          </w:p>
          <w:p w14:paraId="75770107" w14:textId="77777777" w:rsidR="00A97556" w:rsidRPr="006E31EE" w:rsidRDefault="00A97556" w:rsidP="00A97556">
            <w:pPr>
              <w:jc w:val="center"/>
              <w:rPr>
                <w:sz w:val="22"/>
                <w:szCs w:val="22"/>
              </w:rPr>
            </w:pPr>
            <w:r w:rsidRPr="006E31EE">
              <w:rPr>
                <w:sz w:val="22"/>
                <w:szCs w:val="22"/>
              </w:rPr>
              <w:t>(0,852)</w:t>
            </w:r>
          </w:p>
        </w:tc>
        <w:tc>
          <w:tcPr>
            <w:tcW w:w="634" w:type="pct"/>
            <w:tcBorders>
              <w:top w:val="single" w:sz="6" w:space="0" w:color="000000"/>
              <w:left w:val="single" w:sz="6" w:space="0" w:color="000000"/>
              <w:bottom w:val="single" w:sz="6" w:space="0" w:color="000000"/>
              <w:right w:val="single" w:sz="6" w:space="0" w:color="000000"/>
            </w:tcBorders>
            <w:shd w:val="clear" w:color="auto" w:fill="auto"/>
          </w:tcPr>
          <w:p w14:paraId="716F6BB1" w14:textId="77777777" w:rsidR="00A97556" w:rsidRPr="006E31EE" w:rsidRDefault="00A97556" w:rsidP="00A97556">
            <w:pPr>
              <w:jc w:val="center"/>
              <w:rPr>
                <w:sz w:val="22"/>
                <w:szCs w:val="22"/>
              </w:rPr>
            </w:pPr>
            <w:r w:rsidRPr="006E31EE">
              <w:rPr>
                <w:sz w:val="22"/>
                <w:szCs w:val="22"/>
              </w:rPr>
              <w:t>-0,23</w:t>
            </w:r>
          </w:p>
          <w:p w14:paraId="5A8352C5" w14:textId="77777777" w:rsidR="00A97556" w:rsidRPr="006E31EE" w:rsidRDefault="00A97556" w:rsidP="00A97556">
            <w:pPr>
              <w:jc w:val="center"/>
              <w:rPr>
                <w:sz w:val="22"/>
                <w:szCs w:val="22"/>
              </w:rPr>
            </w:pPr>
            <w:r w:rsidRPr="006E31EE">
              <w:rPr>
                <w:sz w:val="22"/>
                <w:szCs w:val="22"/>
              </w:rPr>
              <w:t>(0,893)</w:t>
            </w:r>
          </w:p>
        </w:tc>
        <w:tc>
          <w:tcPr>
            <w:tcW w:w="775" w:type="pct"/>
            <w:tcBorders>
              <w:top w:val="single" w:sz="6" w:space="0" w:color="000000"/>
              <w:left w:val="single" w:sz="6" w:space="0" w:color="000000"/>
              <w:bottom w:val="single" w:sz="6" w:space="0" w:color="000000"/>
              <w:right w:val="single" w:sz="6" w:space="0" w:color="000000"/>
            </w:tcBorders>
            <w:shd w:val="clear" w:color="auto" w:fill="auto"/>
          </w:tcPr>
          <w:p w14:paraId="7B0B37F0" w14:textId="77777777" w:rsidR="00A97556" w:rsidRPr="006E31EE" w:rsidRDefault="00A97556" w:rsidP="00A97556">
            <w:pPr>
              <w:jc w:val="center"/>
              <w:rPr>
                <w:sz w:val="22"/>
                <w:szCs w:val="22"/>
              </w:rPr>
            </w:pPr>
            <w:r w:rsidRPr="006E31EE">
              <w:rPr>
                <w:sz w:val="22"/>
                <w:szCs w:val="22"/>
              </w:rPr>
              <w:t>-0,37</w:t>
            </w:r>
          </w:p>
          <w:p w14:paraId="786DF35C" w14:textId="77777777" w:rsidR="00A97556" w:rsidRPr="006E31EE" w:rsidRDefault="00A97556" w:rsidP="00A97556">
            <w:pPr>
              <w:jc w:val="center"/>
              <w:rPr>
                <w:sz w:val="22"/>
                <w:szCs w:val="22"/>
              </w:rPr>
            </w:pPr>
            <w:r w:rsidRPr="006E31EE">
              <w:rPr>
                <w:sz w:val="22"/>
                <w:szCs w:val="22"/>
              </w:rPr>
              <w:t>(0,946)</w:t>
            </w:r>
          </w:p>
        </w:tc>
        <w:tc>
          <w:tcPr>
            <w:tcW w:w="776" w:type="pct"/>
            <w:tcBorders>
              <w:top w:val="single" w:sz="6" w:space="0" w:color="000000"/>
              <w:left w:val="single" w:sz="6" w:space="0" w:color="000000"/>
              <w:bottom w:val="single" w:sz="6" w:space="0" w:color="000000"/>
              <w:right w:val="single" w:sz="6" w:space="0" w:color="000000"/>
            </w:tcBorders>
            <w:shd w:val="clear" w:color="auto" w:fill="auto"/>
          </w:tcPr>
          <w:p w14:paraId="2D1E1652" w14:textId="77777777" w:rsidR="00A97556" w:rsidRPr="006E31EE" w:rsidRDefault="00A97556" w:rsidP="00A97556">
            <w:pPr>
              <w:jc w:val="center"/>
              <w:rPr>
                <w:sz w:val="22"/>
                <w:szCs w:val="22"/>
              </w:rPr>
            </w:pPr>
            <w:r w:rsidRPr="006E31EE">
              <w:rPr>
                <w:sz w:val="22"/>
                <w:szCs w:val="22"/>
              </w:rPr>
              <w:t>-0,44</w:t>
            </w:r>
          </w:p>
          <w:p w14:paraId="764B120A" w14:textId="77777777" w:rsidR="00A97556" w:rsidRPr="006E31EE" w:rsidRDefault="00A97556" w:rsidP="00A97556">
            <w:pPr>
              <w:jc w:val="center"/>
              <w:rPr>
                <w:sz w:val="22"/>
                <w:szCs w:val="22"/>
              </w:rPr>
            </w:pPr>
            <w:r w:rsidRPr="006E31EE">
              <w:rPr>
                <w:sz w:val="22"/>
                <w:szCs w:val="22"/>
              </w:rPr>
              <w:t>(0,920)</w:t>
            </w:r>
          </w:p>
        </w:tc>
      </w:tr>
      <w:tr w:rsidR="00A97556" w:rsidRPr="006E31EE" w14:paraId="14E5FA87" w14:textId="77777777" w:rsidTr="00A97556">
        <w:trPr>
          <w:trHeight w:val="936"/>
        </w:trPr>
        <w:tc>
          <w:tcPr>
            <w:tcW w:w="701" w:type="pct"/>
            <w:tcBorders>
              <w:top w:val="single" w:sz="6" w:space="0" w:color="000000"/>
              <w:left w:val="single" w:sz="6" w:space="0" w:color="000000"/>
              <w:bottom w:val="single" w:sz="6" w:space="0" w:color="000000"/>
              <w:right w:val="single" w:sz="6" w:space="0" w:color="000000"/>
            </w:tcBorders>
            <w:shd w:val="clear" w:color="auto" w:fill="auto"/>
          </w:tcPr>
          <w:p w14:paraId="518EC82D" w14:textId="77777777" w:rsidR="00A97556" w:rsidRPr="006E31EE" w:rsidRDefault="00A97556" w:rsidP="00A97556">
            <w:pPr>
              <w:rPr>
                <w:sz w:val="22"/>
                <w:szCs w:val="22"/>
              </w:rPr>
            </w:pPr>
            <w:r w:rsidRPr="006E31EE">
              <w:rPr>
                <w:sz w:val="22"/>
                <w:szCs w:val="22"/>
              </w:rPr>
              <w:lastRenderedPageBreak/>
              <w:t xml:space="preserve">Lumbal middelværdi (SD) ændring fra baseline </w:t>
            </w:r>
          </w:p>
          <w:p w14:paraId="6DA2414F" w14:textId="77777777" w:rsidR="00A97556" w:rsidRPr="006E31EE" w:rsidRDefault="00A97556" w:rsidP="00A97556">
            <w:pPr>
              <w:rPr>
                <w:sz w:val="22"/>
                <w:szCs w:val="22"/>
              </w:rPr>
            </w:pPr>
            <w:r w:rsidRPr="006E31EE">
              <w:rPr>
                <w:sz w:val="22"/>
                <w:szCs w:val="22"/>
              </w:rPr>
              <w:t>BMD Z-score</w:t>
            </w:r>
            <w:r w:rsidRPr="006E31EE">
              <w:rPr>
                <w:sz w:val="22"/>
                <w:szCs w:val="22"/>
                <w:vertAlign w:val="superscript"/>
              </w:rPr>
              <w:t xml:space="preserve">a </w:t>
            </w:r>
          </w:p>
        </w:tc>
        <w:tc>
          <w:tcPr>
            <w:tcW w:w="77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4B0612C" w14:textId="77777777" w:rsidR="00A97556" w:rsidRPr="006E31EE" w:rsidRDefault="00A97556" w:rsidP="00A97556">
            <w:pPr>
              <w:jc w:val="center"/>
              <w:rPr>
                <w:sz w:val="22"/>
                <w:szCs w:val="22"/>
              </w:rPr>
            </w:pPr>
            <w:r w:rsidRPr="006E31EE">
              <w:rPr>
                <w:sz w:val="22"/>
                <w:szCs w:val="22"/>
              </w:rPr>
              <w:t>NA</w:t>
            </w:r>
          </w:p>
        </w:tc>
        <w:tc>
          <w:tcPr>
            <w:tcW w:w="63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D8C96FE" w14:textId="77777777" w:rsidR="00A97556" w:rsidRPr="006E31EE" w:rsidRDefault="00A97556" w:rsidP="00A97556">
            <w:pPr>
              <w:jc w:val="center"/>
              <w:rPr>
                <w:sz w:val="22"/>
                <w:szCs w:val="22"/>
              </w:rPr>
            </w:pPr>
            <w:r w:rsidRPr="006E31EE">
              <w:rPr>
                <w:sz w:val="22"/>
                <w:szCs w:val="22"/>
              </w:rPr>
              <w:t>NA</w:t>
            </w:r>
          </w:p>
        </w:tc>
        <w:tc>
          <w:tcPr>
            <w:tcW w:w="70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5898F74" w14:textId="77777777" w:rsidR="00A97556" w:rsidRPr="006E31EE" w:rsidRDefault="00A97556" w:rsidP="00A97556">
            <w:pPr>
              <w:jc w:val="center"/>
              <w:rPr>
                <w:sz w:val="22"/>
                <w:szCs w:val="22"/>
              </w:rPr>
            </w:pPr>
            <w:r w:rsidRPr="006E31EE">
              <w:rPr>
                <w:sz w:val="22"/>
                <w:szCs w:val="22"/>
              </w:rPr>
              <w:t>-0,06</w:t>
            </w:r>
          </w:p>
          <w:p w14:paraId="59510E4F" w14:textId="77777777" w:rsidR="00A97556" w:rsidRPr="006E31EE" w:rsidRDefault="00A97556" w:rsidP="00A97556">
            <w:pPr>
              <w:jc w:val="center"/>
              <w:rPr>
                <w:sz w:val="22"/>
                <w:szCs w:val="22"/>
              </w:rPr>
            </w:pPr>
            <w:r w:rsidRPr="006E31EE">
              <w:rPr>
                <w:sz w:val="22"/>
                <w:szCs w:val="22"/>
              </w:rPr>
              <w:t>(0,320)</w:t>
            </w:r>
          </w:p>
        </w:tc>
        <w:tc>
          <w:tcPr>
            <w:tcW w:w="63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59EDD3F" w14:textId="77777777" w:rsidR="00A97556" w:rsidRPr="006E31EE" w:rsidRDefault="00A97556" w:rsidP="00A97556">
            <w:pPr>
              <w:jc w:val="center"/>
              <w:rPr>
                <w:sz w:val="22"/>
                <w:szCs w:val="22"/>
              </w:rPr>
            </w:pPr>
            <w:r w:rsidRPr="006E31EE">
              <w:rPr>
                <w:sz w:val="22"/>
                <w:szCs w:val="22"/>
              </w:rPr>
              <w:t>0,10</w:t>
            </w:r>
          </w:p>
          <w:p w14:paraId="0A9A669F" w14:textId="77777777" w:rsidR="00A97556" w:rsidRPr="006E31EE" w:rsidRDefault="00A97556" w:rsidP="00A97556">
            <w:pPr>
              <w:jc w:val="center"/>
              <w:rPr>
                <w:sz w:val="22"/>
                <w:szCs w:val="22"/>
              </w:rPr>
            </w:pPr>
            <w:r w:rsidRPr="006E31EE">
              <w:rPr>
                <w:sz w:val="22"/>
                <w:szCs w:val="22"/>
              </w:rPr>
              <w:t>(0,378)</w:t>
            </w:r>
          </w:p>
        </w:tc>
        <w:tc>
          <w:tcPr>
            <w:tcW w:w="77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05FA618" w14:textId="77777777" w:rsidR="00A97556" w:rsidRPr="006E31EE" w:rsidRDefault="00A97556" w:rsidP="00A97556">
            <w:pPr>
              <w:jc w:val="center"/>
              <w:rPr>
                <w:sz w:val="22"/>
                <w:szCs w:val="22"/>
              </w:rPr>
            </w:pPr>
            <w:r w:rsidRPr="006E31EE">
              <w:rPr>
                <w:sz w:val="22"/>
                <w:szCs w:val="22"/>
              </w:rPr>
              <w:t>0,02</w:t>
            </w:r>
          </w:p>
          <w:p w14:paraId="5073D9BC" w14:textId="77777777" w:rsidR="00A97556" w:rsidRPr="006E31EE" w:rsidRDefault="00A97556" w:rsidP="00A97556">
            <w:pPr>
              <w:jc w:val="center"/>
              <w:rPr>
                <w:sz w:val="22"/>
                <w:szCs w:val="22"/>
              </w:rPr>
            </w:pPr>
            <w:r w:rsidRPr="006E31EE">
              <w:rPr>
                <w:sz w:val="22"/>
                <w:szCs w:val="22"/>
              </w:rPr>
              <w:t>(0,548)</w:t>
            </w:r>
          </w:p>
        </w:tc>
        <w:tc>
          <w:tcPr>
            <w:tcW w:w="77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774D42C" w14:textId="77777777" w:rsidR="00A97556" w:rsidRPr="006E31EE" w:rsidRDefault="00A97556" w:rsidP="00A97556">
            <w:pPr>
              <w:jc w:val="center"/>
              <w:rPr>
                <w:sz w:val="22"/>
                <w:szCs w:val="22"/>
              </w:rPr>
            </w:pPr>
            <w:r w:rsidRPr="006E31EE">
              <w:rPr>
                <w:sz w:val="22"/>
                <w:szCs w:val="22"/>
              </w:rPr>
              <w:t>-0,10</w:t>
            </w:r>
          </w:p>
          <w:p w14:paraId="27FC4B6A" w14:textId="77777777" w:rsidR="00A97556" w:rsidRPr="006E31EE" w:rsidRDefault="00A97556" w:rsidP="00A97556">
            <w:pPr>
              <w:jc w:val="center"/>
              <w:rPr>
                <w:sz w:val="22"/>
                <w:szCs w:val="22"/>
              </w:rPr>
            </w:pPr>
            <w:r w:rsidRPr="006E31EE">
              <w:rPr>
                <w:sz w:val="22"/>
                <w:szCs w:val="22"/>
              </w:rPr>
              <w:t>(0,543)</w:t>
            </w:r>
          </w:p>
        </w:tc>
      </w:tr>
      <w:tr w:rsidR="00A97556" w:rsidRPr="006E31EE" w14:paraId="7D8D6D31" w14:textId="77777777" w:rsidTr="00A97556">
        <w:trPr>
          <w:trHeight w:val="482"/>
        </w:trPr>
        <w:tc>
          <w:tcPr>
            <w:tcW w:w="701" w:type="pct"/>
            <w:tcBorders>
              <w:top w:val="single" w:sz="6" w:space="0" w:color="000000"/>
              <w:left w:val="single" w:sz="6" w:space="0" w:color="000000"/>
              <w:bottom w:val="single" w:sz="6" w:space="0" w:color="000000"/>
              <w:right w:val="single" w:sz="6" w:space="0" w:color="000000"/>
            </w:tcBorders>
            <w:shd w:val="clear" w:color="auto" w:fill="auto"/>
          </w:tcPr>
          <w:p w14:paraId="55C8B86D" w14:textId="77777777" w:rsidR="00A97556" w:rsidRPr="006E31EE" w:rsidRDefault="00A97556" w:rsidP="00A97556">
            <w:pPr>
              <w:rPr>
                <w:sz w:val="22"/>
                <w:szCs w:val="22"/>
              </w:rPr>
            </w:pPr>
            <w:r w:rsidRPr="006E31EE">
              <w:rPr>
                <w:sz w:val="22"/>
                <w:szCs w:val="22"/>
              </w:rPr>
              <w:t>Middelværdi af hele kroppen (SD) BMD Z-score</w:t>
            </w:r>
            <w:r w:rsidRPr="006E31EE">
              <w:rPr>
                <w:sz w:val="22"/>
                <w:szCs w:val="22"/>
                <w:vertAlign w:val="superscript"/>
              </w:rPr>
              <w:t>a</w:t>
            </w:r>
            <w:r w:rsidRPr="006E31EE">
              <w:rPr>
                <w:sz w:val="22"/>
                <w:szCs w:val="22"/>
              </w:rPr>
              <w:t xml:space="preserve"> </w:t>
            </w:r>
          </w:p>
        </w:tc>
        <w:tc>
          <w:tcPr>
            <w:tcW w:w="775" w:type="pct"/>
            <w:tcBorders>
              <w:top w:val="single" w:sz="6" w:space="0" w:color="000000"/>
              <w:left w:val="single" w:sz="6" w:space="0" w:color="000000"/>
              <w:bottom w:val="single" w:sz="6" w:space="0" w:color="000000"/>
              <w:right w:val="single" w:sz="6" w:space="0" w:color="000000"/>
            </w:tcBorders>
            <w:shd w:val="clear" w:color="auto" w:fill="auto"/>
          </w:tcPr>
          <w:p w14:paraId="10580DF5" w14:textId="77777777" w:rsidR="00A97556" w:rsidRPr="006E31EE" w:rsidRDefault="00A97556" w:rsidP="00A97556">
            <w:pPr>
              <w:jc w:val="center"/>
              <w:rPr>
                <w:sz w:val="22"/>
                <w:szCs w:val="22"/>
              </w:rPr>
            </w:pPr>
            <w:r w:rsidRPr="006E31EE">
              <w:rPr>
                <w:sz w:val="22"/>
                <w:szCs w:val="22"/>
              </w:rPr>
              <w:t>−0,19</w:t>
            </w:r>
          </w:p>
          <w:p w14:paraId="1D1C3A1C" w14:textId="77777777" w:rsidR="00A97556" w:rsidRPr="006E31EE" w:rsidRDefault="00A97556" w:rsidP="00A97556">
            <w:pPr>
              <w:jc w:val="center"/>
              <w:rPr>
                <w:sz w:val="22"/>
                <w:szCs w:val="22"/>
              </w:rPr>
            </w:pPr>
            <w:r w:rsidRPr="006E31EE">
              <w:rPr>
                <w:sz w:val="22"/>
                <w:szCs w:val="22"/>
              </w:rPr>
              <w:t>(1,110)</w:t>
            </w:r>
          </w:p>
        </w:tc>
        <w:tc>
          <w:tcPr>
            <w:tcW w:w="634" w:type="pct"/>
            <w:tcBorders>
              <w:top w:val="single" w:sz="6" w:space="0" w:color="000000"/>
              <w:left w:val="single" w:sz="6" w:space="0" w:color="000000"/>
              <w:bottom w:val="single" w:sz="6" w:space="0" w:color="000000"/>
              <w:right w:val="single" w:sz="6" w:space="0" w:color="000000"/>
            </w:tcBorders>
            <w:shd w:val="clear" w:color="auto" w:fill="auto"/>
          </w:tcPr>
          <w:p w14:paraId="5EEE104C" w14:textId="77777777" w:rsidR="00A97556" w:rsidRPr="006E31EE" w:rsidRDefault="00A97556" w:rsidP="00A97556">
            <w:pPr>
              <w:jc w:val="center"/>
              <w:rPr>
                <w:sz w:val="22"/>
                <w:szCs w:val="22"/>
              </w:rPr>
            </w:pPr>
            <w:r w:rsidRPr="006E31EE">
              <w:rPr>
                <w:sz w:val="22"/>
                <w:szCs w:val="22"/>
              </w:rPr>
              <w:t>−0,23</w:t>
            </w:r>
          </w:p>
          <w:p w14:paraId="6DF4226D" w14:textId="77777777" w:rsidR="00A97556" w:rsidRPr="006E31EE" w:rsidRDefault="00A97556" w:rsidP="00A97556">
            <w:pPr>
              <w:jc w:val="center"/>
              <w:rPr>
                <w:sz w:val="22"/>
                <w:szCs w:val="22"/>
              </w:rPr>
            </w:pPr>
            <w:r w:rsidRPr="006E31EE">
              <w:rPr>
                <w:sz w:val="22"/>
                <w:szCs w:val="22"/>
              </w:rPr>
              <w:t>(0,859)</w:t>
            </w:r>
          </w:p>
        </w:tc>
        <w:tc>
          <w:tcPr>
            <w:tcW w:w="704" w:type="pct"/>
            <w:tcBorders>
              <w:top w:val="single" w:sz="6" w:space="0" w:color="000000"/>
              <w:left w:val="single" w:sz="6" w:space="0" w:color="000000"/>
              <w:bottom w:val="single" w:sz="6" w:space="0" w:color="000000"/>
              <w:right w:val="single" w:sz="6" w:space="0" w:color="000000"/>
            </w:tcBorders>
            <w:shd w:val="clear" w:color="auto" w:fill="auto"/>
          </w:tcPr>
          <w:p w14:paraId="49D9A23D" w14:textId="77777777" w:rsidR="00A97556" w:rsidRPr="006E31EE" w:rsidRDefault="00A97556" w:rsidP="00A97556">
            <w:pPr>
              <w:jc w:val="center"/>
              <w:rPr>
                <w:sz w:val="22"/>
                <w:szCs w:val="22"/>
              </w:rPr>
            </w:pPr>
            <w:r w:rsidRPr="006E31EE">
              <w:rPr>
                <w:sz w:val="22"/>
                <w:szCs w:val="22"/>
              </w:rPr>
              <w:t>−0,</w:t>
            </w:r>
            <w:proofErr w:type="gramStart"/>
            <w:r w:rsidRPr="006E31EE">
              <w:rPr>
                <w:sz w:val="22"/>
                <w:szCs w:val="22"/>
              </w:rPr>
              <w:t>36  (</w:t>
            </w:r>
            <w:proofErr w:type="gramEnd"/>
            <w:r w:rsidRPr="006E31EE">
              <w:rPr>
                <w:sz w:val="22"/>
                <w:szCs w:val="22"/>
              </w:rPr>
              <w:t>1,077)</w:t>
            </w:r>
          </w:p>
        </w:tc>
        <w:tc>
          <w:tcPr>
            <w:tcW w:w="634" w:type="pct"/>
            <w:tcBorders>
              <w:top w:val="single" w:sz="6" w:space="0" w:color="000000"/>
              <w:left w:val="single" w:sz="6" w:space="0" w:color="000000"/>
              <w:bottom w:val="single" w:sz="6" w:space="0" w:color="000000"/>
              <w:right w:val="single" w:sz="6" w:space="0" w:color="000000"/>
            </w:tcBorders>
            <w:shd w:val="clear" w:color="auto" w:fill="auto"/>
          </w:tcPr>
          <w:p w14:paraId="3D31D4B4" w14:textId="77777777" w:rsidR="00A97556" w:rsidRPr="006E31EE" w:rsidRDefault="00A97556" w:rsidP="00A97556">
            <w:pPr>
              <w:jc w:val="center"/>
              <w:rPr>
                <w:sz w:val="22"/>
                <w:szCs w:val="22"/>
              </w:rPr>
            </w:pPr>
            <w:r w:rsidRPr="006E31EE">
              <w:rPr>
                <w:sz w:val="22"/>
                <w:szCs w:val="22"/>
              </w:rPr>
              <w:t>−0,12</w:t>
            </w:r>
          </w:p>
          <w:p w14:paraId="3BB9CF5D" w14:textId="77777777" w:rsidR="00A97556" w:rsidRPr="006E31EE" w:rsidRDefault="00A97556" w:rsidP="00A97556">
            <w:pPr>
              <w:jc w:val="center"/>
              <w:rPr>
                <w:sz w:val="22"/>
                <w:szCs w:val="22"/>
              </w:rPr>
            </w:pPr>
            <w:r w:rsidRPr="006E31EE">
              <w:rPr>
                <w:sz w:val="22"/>
                <w:szCs w:val="22"/>
              </w:rPr>
              <w:t>(0,916)</w:t>
            </w:r>
          </w:p>
        </w:tc>
        <w:tc>
          <w:tcPr>
            <w:tcW w:w="775" w:type="pct"/>
            <w:tcBorders>
              <w:top w:val="single" w:sz="6" w:space="0" w:color="000000"/>
              <w:left w:val="single" w:sz="6" w:space="0" w:color="000000"/>
              <w:bottom w:val="single" w:sz="6" w:space="0" w:color="000000"/>
              <w:right w:val="single" w:sz="6" w:space="0" w:color="000000"/>
            </w:tcBorders>
            <w:shd w:val="clear" w:color="auto" w:fill="auto"/>
          </w:tcPr>
          <w:p w14:paraId="6254F1AF" w14:textId="77777777" w:rsidR="00A97556" w:rsidRPr="006E31EE" w:rsidRDefault="00A97556" w:rsidP="00A97556">
            <w:pPr>
              <w:jc w:val="center"/>
              <w:rPr>
                <w:sz w:val="22"/>
                <w:szCs w:val="22"/>
              </w:rPr>
            </w:pPr>
            <w:r w:rsidRPr="006E31EE">
              <w:rPr>
                <w:sz w:val="22"/>
                <w:szCs w:val="22"/>
              </w:rPr>
              <w:t>−0,38</w:t>
            </w:r>
          </w:p>
          <w:p w14:paraId="6FC8AAAD" w14:textId="77777777" w:rsidR="00A97556" w:rsidRPr="006E31EE" w:rsidRDefault="00A97556" w:rsidP="00A97556">
            <w:pPr>
              <w:jc w:val="center"/>
              <w:rPr>
                <w:sz w:val="22"/>
                <w:szCs w:val="22"/>
              </w:rPr>
            </w:pPr>
            <w:r w:rsidRPr="006E31EE">
              <w:rPr>
                <w:sz w:val="22"/>
                <w:szCs w:val="22"/>
              </w:rPr>
              <w:t>(0,934)</w:t>
            </w:r>
          </w:p>
        </w:tc>
        <w:tc>
          <w:tcPr>
            <w:tcW w:w="776" w:type="pct"/>
            <w:tcBorders>
              <w:top w:val="single" w:sz="6" w:space="0" w:color="000000"/>
              <w:left w:val="single" w:sz="6" w:space="0" w:color="000000"/>
              <w:bottom w:val="single" w:sz="6" w:space="0" w:color="000000"/>
              <w:right w:val="single" w:sz="6" w:space="0" w:color="000000"/>
            </w:tcBorders>
            <w:shd w:val="clear" w:color="auto" w:fill="auto"/>
          </w:tcPr>
          <w:p w14:paraId="0048A277" w14:textId="77777777" w:rsidR="00A97556" w:rsidRPr="006E31EE" w:rsidRDefault="00A97556" w:rsidP="00A97556">
            <w:pPr>
              <w:jc w:val="center"/>
              <w:rPr>
                <w:sz w:val="22"/>
                <w:szCs w:val="22"/>
              </w:rPr>
            </w:pPr>
            <w:r w:rsidRPr="006E31EE">
              <w:rPr>
                <w:sz w:val="22"/>
                <w:szCs w:val="22"/>
              </w:rPr>
              <w:t>−0,</w:t>
            </w:r>
            <w:proofErr w:type="gramStart"/>
            <w:r w:rsidRPr="006E31EE">
              <w:rPr>
                <w:sz w:val="22"/>
                <w:szCs w:val="22"/>
              </w:rPr>
              <w:t>42  (</w:t>
            </w:r>
            <w:proofErr w:type="gramEnd"/>
            <w:r w:rsidRPr="006E31EE">
              <w:rPr>
                <w:sz w:val="22"/>
                <w:szCs w:val="22"/>
              </w:rPr>
              <w:t>0,942)</w:t>
            </w:r>
          </w:p>
        </w:tc>
      </w:tr>
      <w:tr w:rsidR="00A97556" w:rsidRPr="006E31EE" w14:paraId="108D5AEC" w14:textId="77777777" w:rsidTr="00A97556">
        <w:trPr>
          <w:trHeight w:val="937"/>
        </w:trPr>
        <w:tc>
          <w:tcPr>
            <w:tcW w:w="701" w:type="pct"/>
            <w:tcBorders>
              <w:top w:val="single" w:sz="6" w:space="0" w:color="000000"/>
              <w:left w:val="single" w:sz="6" w:space="0" w:color="000000"/>
              <w:bottom w:val="single" w:sz="6" w:space="0" w:color="000000"/>
              <w:right w:val="single" w:sz="6" w:space="0" w:color="000000"/>
            </w:tcBorders>
            <w:shd w:val="clear" w:color="auto" w:fill="auto"/>
          </w:tcPr>
          <w:p w14:paraId="35A2F953" w14:textId="77777777" w:rsidR="00A97556" w:rsidRPr="006E31EE" w:rsidRDefault="00A97556" w:rsidP="00A97556">
            <w:pPr>
              <w:rPr>
                <w:sz w:val="22"/>
                <w:szCs w:val="22"/>
              </w:rPr>
            </w:pPr>
            <w:r w:rsidRPr="006E31EE">
              <w:rPr>
                <w:sz w:val="22"/>
                <w:szCs w:val="22"/>
              </w:rPr>
              <w:t xml:space="preserve">Middelværdi af hele kroppen (SD) ændring fra baseline </w:t>
            </w:r>
          </w:p>
          <w:p w14:paraId="4843A511" w14:textId="77777777" w:rsidR="00A97556" w:rsidRPr="006E31EE" w:rsidRDefault="00A97556" w:rsidP="00A97556">
            <w:pPr>
              <w:rPr>
                <w:sz w:val="22"/>
                <w:szCs w:val="22"/>
              </w:rPr>
            </w:pPr>
            <w:r w:rsidRPr="006E31EE">
              <w:rPr>
                <w:sz w:val="22"/>
                <w:szCs w:val="22"/>
              </w:rPr>
              <w:t>BMD Z-score</w:t>
            </w:r>
            <w:r w:rsidRPr="006E31EE">
              <w:rPr>
                <w:sz w:val="22"/>
                <w:szCs w:val="22"/>
                <w:vertAlign w:val="superscript"/>
              </w:rPr>
              <w:t>a</w:t>
            </w:r>
            <w:r w:rsidRPr="006E31EE">
              <w:rPr>
                <w:sz w:val="22"/>
                <w:szCs w:val="22"/>
              </w:rPr>
              <w:t xml:space="preserve"> </w:t>
            </w:r>
          </w:p>
        </w:tc>
        <w:tc>
          <w:tcPr>
            <w:tcW w:w="77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62054B1" w14:textId="77777777" w:rsidR="00A97556" w:rsidRPr="006E31EE" w:rsidRDefault="00A97556" w:rsidP="00A97556">
            <w:pPr>
              <w:jc w:val="center"/>
              <w:rPr>
                <w:sz w:val="22"/>
                <w:szCs w:val="22"/>
              </w:rPr>
            </w:pPr>
            <w:r w:rsidRPr="006E31EE">
              <w:rPr>
                <w:sz w:val="22"/>
                <w:szCs w:val="22"/>
              </w:rPr>
              <w:t>n/a</w:t>
            </w:r>
          </w:p>
        </w:tc>
        <w:tc>
          <w:tcPr>
            <w:tcW w:w="63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15DEA23" w14:textId="77777777" w:rsidR="00A97556" w:rsidRPr="006E31EE" w:rsidRDefault="00A97556" w:rsidP="00A97556">
            <w:pPr>
              <w:jc w:val="center"/>
              <w:rPr>
                <w:sz w:val="22"/>
                <w:szCs w:val="22"/>
              </w:rPr>
            </w:pPr>
            <w:r w:rsidRPr="006E31EE">
              <w:rPr>
                <w:sz w:val="22"/>
                <w:szCs w:val="22"/>
              </w:rPr>
              <w:t>n/a</w:t>
            </w:r>
          </w:p>
        </w:tc>
        <w:tc>
          <w:tcPr>
            <w:tcW w:w="70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AEC0068" w14:textId="77777777" w:rsidR="00A97556" w:rsidRPr="006E31EE" w:rsidRDefault="00A97556" w:rsidP="00A97556">
            <w:pPr>
              <w:jc w:val="center"/>
              <w:rPr>
                <w:sz w:val="22"/>
                <w:szCs w:val="22"/>
              </w:rPr>
            </w:pPr>
            <w:r w:rsidRPr="006E31EE">
              <w:rPr>
                <w:sz w:val="22"/>
                <w:szCs w:val="22"/>
              </w:rPr>
              <w:t>−0,16</w:t>
            </w:r>
          </w:p>
          <w:p w14:paraId="1AD85865" w14:textId="77777777" w:rsidR="00A97556" w:rsidRPr="006E31EE" w:rsidRDefault="00A97556" w:rsidP="00A97556">
            <w:pPr>
              <w:jc w:val="center"/>
              <w:rPr>
                <w:sz w:val="22"/>
                <w:szCs w:val="22"/>
              </w:rPr>
            </w:pPr>
            <w:r w:rsidRPr="006E31EE">
              <w:rPr>
                <w:sz w:val="22"/>
                <w:szCs w:val="22"/>
              </w:rPr>
              <w:t>(0,355)</w:t>
            </w:r>
          </w:p>
        </w:tc>
        <w:tc>
          <w:tcPr>
            <w:tcW w:w="63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8C3EC06" w14:textId="77777777" w:rsidR="00A97556" w:rsidRPr="006E31EE" w:rsidRDefault="00A97556" w:rsidP="00A97556">
            <w:pPr>
              <w:jc w:val="center"/>
              <w:rPr>
                <w:sz w:val="22"/>
                <w:szCs w:val="22"/>
              </w:rPr>
            </w:pPr>
            <w:r w:rsidRPr="006E31EE">
              <w:rPr>
                <w:sz w:val="22"/>
                <w:szCs w:val="22"/>
              </w:rPr>
              <w:t>0,09</w:t>
            </w:r>
          </w:p>
          <w:p w14:paraId="0F4295C3" w14:textId="77777777" w:rsidR="00A97556" w:rsidRPr="006E31EE" w:rsidRDefault="00A97556" w:rsidP="00A97556">
            <w:pPr>
              <w:jc w:val="center"/>
              <w:rPr>
                <w:sz w:val="22"/>
                <w:szCs w:val="22"/>
              </w:rPr>
            </w:pPr>
            <w:r w:rsidRPr="006E31EE">
              <w:rPr>
                <w:sz w:val="22"/>
                <w:szCs w:val="22"/>
              </w:rPr>
              <w:t>(0,349)</w:t>
            </w:r>
          </w:p>
        </w:tc>
        <w:tc>
          <w:tcPr>
            <w:tcW w:w="77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878012E" w14:textId="77777777" w:rsidR="00A97556" w:rsidRPr="006E31EE" w:rsidRDefault="00A97556" w:rsidP="00A97556">
            <w:pPr>
              <w:jc w:val="center"/>
              <w:rPr>
                <w:sz w:val="22"/>
                <w:szCs w:val="22"/>
              </w:rPr>
            </w:pPr>
            <w:r w:rsidRPr="006E31EE">
              <w:rPr>
                <w:sz w:val="22"/>
                <w:szCs w:val="22"/>
              </w:rPr>
              <w:t>-0,16</w:t>
            </w:r>
          </w:p>
          <w:p w14:paraId="7ED2030B" w14:textId="77777777" w:rsidR="00A97556" w:rsidRPr="006E31EE" w:rsidRDefault="00A97556" w:rsidP="00A97556">
            <w:pPr>
              <w:jc w:val="center"/>
              <w:rPr>
                <w:sz w:val="22"/>
                <w:szCs w:val="22"/>
              </w:rPr>
            </w:pPr>
            <w:r w:rsidRPr="006E31EE">
              <w:rPr>
                <w:sz w:val="22"/>
                <w:szCs w:val="22"/>
              </w:rPr>
              <w:t>(0,521)</w:t>
            </w:r>
          </w:p>
        </w:tc>
        <w:tc>
          <w:tcPr>
            <w:tcW w:w="77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9CBCC2F" w14:textId="77777777" w:rsidR="00A97556" w:rsidRPr="006E31EE" w:rsidRDefault="00A97556" w:rsidP="00A97556">
            <w:pPr>
              <w:jc w:val="center"/>
              <w:rPr>
                <w:sz w:val="22"/>
                <w:szCs w:val="22"/>
              </w:rPr>
            </w:pPr>
            <w:r w:rsidRPr="006E31EE">
              <w:rPr>
                <w:sz w:val="22"/>
                <w:szCs w:val="22"/>
              </w:rPr>
              <w:t>-0,19</w:t>
            </w:r>
          </w:p>
          <w:p w14:paraId="7A650568" w14:textId="77777777" w:rsidR="00A97556" w:rsidRPr="006E31EE" w:rsidRDefault="00A97556" w:rsidP="00A97556">
            <w:pPr>
              <w:jc w:val="center"/>
              <w:rPr>
                <w:sz w:val="22"/>
                <w:szCs w:val="22"/>
              </w:rPr>
            </w:pPr>
            <w:r w:rsidRPr="006E31EE">
              <w:rPr>
                <w:sz w:val="22"/>
                <w:szCs w:val="22"/>
              </w:rPr>
              <w:t>(0,504)</w:t>
            </w:r>
          </w:p>
        </w:tc>
      </w:tr>
      <w:tr w:rsidR="00A97556" w:rsidRPr="006E31EE" w14:paraId="40DC9CFE" w14:textId="77777777" w:rsidTr="00A97556">
        <w:trPr>
          <w:trHeight w:val="483"/>
        </w:trPr>
        <w:tc>
          <w:tcPr>
            <w:tcW w:w="701" w:type="pct"/>
            <w:tcBorders>
              <w:top w:val="single" w:sz="6" w:space="0" w:color="000000"/>
              <w:left w:val="single" w:sz="6" w:space="0" w:color="000000"/>
              <w:bottom w:val="single" w:sz="6" w:space="0" w:color="000000"/>
              <w:right w:val="single" w:sz="6" w:space="0" w:color="000000"/>
            </w:tcBorders>
            <w:shd w:val="clear" w:color="auto" w:fill="auto"/>
          </w:tcPr>
          <w:p w14:paraId="19E5D831" w14:textId="77777777" w:rsidR="00A97556" w:rsidRPr="006E31EE" w:rsidRDefault="00A97556" w:rsidP="00A97556">
            <w:pPr>
              <w:rPr>
                <w:sz w:val="22"/>
                <w:szCs w:val="22"/>
              </w:rPr>
            </w:pPr>
            <w:r w:rsidRPr="006E31EE">
              <w:rPr>
                <w:sz w:val="22"/>
                <w:szCs w:val="22"/>
              </w:rPr>
              <w:t xml:space="preserve">Lumbal BMD ved mindst 6 % </w:t>
            </w:r>
          </w:p>
          <w:p w14:paraId="21A39C14" w14:textId="77777777" w:rsidR="00A97556" w:rsidRPr="006E31EE" w:rsidRDefault="00A97556" w:rsidP="00A97556">
            <w:pPr>
              <w:rPr>
                <w:sz w:val="22"/>
                <w:szCs w:val="22"/>
              </w:rPr>
            </w:pPr>
            <w:r w:rsidRPr="006E31EE">
              <w:rPr>
                <w:sz w:val="22"/>
                <w:szCs w:val="22"/>
              </w:rPr>
              <w:t xml:space="preserve">sænkning </w:t>
            </w:r>
            <w:r w:rsidRPr="006E31EE">
              <w:rPr>
                <w:sz w:val="22"/>
                <w:szCs w:val="22"/>
                <w:vertAlign w:val="superscript"/>
              </w:rPr>
              <w:t>b</w:t>
            </w:r>
            <w:r w:rsidRPr="006E31EE">
              <w:rPr>
                <w:sz w:val="22"/>
                <w:szCs w:val="22"/>
              </w:rPr>
              <w:t xml:space="preserve"> </w:t>
            </w:r>
          </w:p>
        </w:tc>
        <w:tc>
          <w:tcPr>
            <w:tcW w:w="77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CA781A9" w14:textId="77777777" w:rsidR="00A97556" w:rsidRPr="006E31EE" w:rsidRDefault="00A97556" w:rsidP="00A97556">
            <w:pPr>
              <w:jc w:val="center"/>
              <w:rPr>
                <w:sz w:val="22"/>
                <w:szCs w:val="22"/>
              </w:rPr>
            </w:pPr>
            <w:r w:rsidRPr="006E31EE">
              <w:rPr>
                <w:sz w:val="22"/>
                <w:szCs w:val="22"/>
              </w:rPr>
              <w:t>n/a</w:t>
            </w:r>
          </w:p>
        </w:tc>
        <w:tc>
          <w:tcPr>
            <w:tcW w:w="63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125F46D" w14:textId="77777777" w:rsidR="00A97556" w:rsidRPr="006E31EE" w:rsidRDefault="00A97556" w:rsidP="00A97556">
            <w:pPr>
              <w:jc w:val="center"/>
              <w:rPr>
                <w:sz w:val="22"/>
                <w:szCs w:val="22"/>
              </w:rPr>
            </w:pPr>
            <w:r w:rsidRPr="006E31EE">
              <w:rPr>
                <w:sz w:val="22"/>
                <w:szCs w:val="22"/>
              </w:rPr>
              <w:t>n/a</w:t>
            </w:r>
          </w:p>
        </w:tc>
        <w:tc>
          <w:tcPr>
            <w:tcW w:w="704" w:type="pct"/>
            <w:tcBorders>
              <w:top w:val="single" w:sz="6" w:space="0" w:color="000000"/>
              <w:left w:val="single" w:sz="6" w:space="0" w:color="000000"/>
              <w:bottom w:val="single" w:sz="6" w:space="0" w:color="000000"/>
              <w:right w:val="single" w:sz="6" w:space="0" w:color="000000"/>
            </w:tcBorders>
            <w:shd w:val="clear" w:color="auto" w:fill="auto"/>
          </w:tcPr>
          <w:p w14:paraId="081EF71B" w14:textId="77777777" w:rsidR="00A97556" w:rsidRPr="006E31EE" w:rsidRDefault="00A97556" w:rsidP="00A97556">
            <w:pPr>
              <w:jc w:val="center"/>
              <w:rPr>
                <w:sz w:val="22"/>
                <w:szCs w:val="22"/>
              </w:rPr>
            </w:pPr>
            <w:r w:rsidRPr="006E31EE">
              <w:rPr>
                <w:sz w:val="22"/>
                <w:szCs w:val="22"/>
              </w:rPr>
              <w:t>1,9 %</w:t>
            </w:r>
          </w:p>
          <w:p w14:paraId="26FA83CD" w14:textId="77777777" w:rsidR="00A97556" w:rsidRPr="006E31EE" w:rsidRDefault="00A97556" w:rsidP="00A97556">
            <w:pPr>
              <w:jc w:val="center"/>
              <w:rPr>
                <w:sz w:val="22"/>
                <w:szCs w:val="22"/>
              </w:rPr>
            </w:pPr>
            <w:r w:rsidRPr="006E31EE">
              <w:rPr>
                <w:sz w:val="22"/>
                <w:szCs w:val="22"/>
              </w:rPr>
              <w:t>(1 patient)</w:t>
            </w:r>
          </w:p>
        </w:tc>
        <w:tc>
          <w:tcPr>
            <w:tcW w:w="63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39F23C4" w14:textId="77777777" w:rsidR="00A97556" w:rsidRPr="006E31EE" w:rsidRDefault="00A97556" w:rsidP="00A97556">
            <w:pPr>
              <w:jc w:val="center"/>
              <w:rPr>
                <w:sz w:val="22"/>
                <w:szCs w:val="22"/>
              </w:rPr>
            </w:pPr>
            <w:r w:rsidRPr="006E31EE">
              <w:rPr>
                <w:sz w:val="22"/>
                <w:szCs w:val="22"/>
              </w:rPr>
              <w:t>0 %</w:t>
            </w:r>
          </w:p>
        </w:tc>
        <w:tc>
          <w:tcPr>
            <w:tcW w:w="775" w:type="pct"/>
            <w:tcBorders>
              <w:top w:val="single" w:sz="6" w:space="0" w:color="000000"/>
              <w:left w:val="single" w:sz="6" w:space="0" w:color="000000"/>
              <w:bottom w:val="single" w:sz="6" w:space="0" w:color="000000"/>
              <w:right w:val="single" w:sz="6" w:space="0" w:color="000000"/>
            </w:tcBorders>
            <w:shd w:val="clear" w:color="auto" w:fill="auto"/>
          </w:tcPr>
          <w:p w14:paraId="3B2BFD4E" w14:textId="77777777" w:rsidR="00A97556" w:rsidRPr="006E31EE" w:rsidRDefault="00A97556" w:rsidP="00A97556">
            <w:pPr>
              <w:jc w:val="center"/>
              <w:rPr>
                <w:sz w:val="22"/>
                <w:szCs w:val="22"/>
              </w:rPr>
            </w:pPr>
            <w:r w:rsidRPr="006E31EE">
              <w:rPr>
                <w:sz w:val="22"/>
                <w:szCs w:val="22"/>
              </w:rPr>
              <w:t>3,8 %</w:t>
            </w:r>
          </w:p>
          <w:p w14:paraId="21A170C8" w14:textId="77777777" w:rsidR="00A97556" w:rsidRPr="006E31EE" w:rsidRDefault="00A97556" w:rsidP="00A97556">
            <w:pPr>
              <w:jc w:val="center"/>
              <w:rPr>
                <w:sz w:val="22"/>
                <w:szCs w:val="22"/>
              </w:rPr>
            </w:pPr>
            <w:r w:rsidRPr="006E31EE">
              <w:rPr>
                <w:sz w:val="22"/>
                <w:szCs w:val="22"/>
              </w:rPr>
              <w:t>(2 patienter)</w:t>
            </w:r>
          </w:p>
        </w:tc>
        <w:tc>
          <w:tcPr>
            <w:tcW w:w="776" w:type="pct"/>
            <w:tcBorders>
              <w:top w:val="single" w:sz="6" w:space="0" w:color="000000"/>
              <w:left w:val="single" w:sz="6" w:space="0" w:color="000000"/>
              <w:bottom w:val="single" w:sz="6" w:space="0" w:color="000000"/>
              <w:right w:val="single" w:sz="6" w:space="0" w:color="000000"/>
            </w:tcBorders>
            <w:shd w:val="clear" w:color="auto" w:fill="auto"/>
          </w:tcPr>
          <w:p w14:paraId="49705B28" w14:textId="77777777" w:rsidR="00A97556" w:rsidRPr="006E31EE" w:rsidRDefault="00A97556" w:rsidP="00A97556">
            <w:pPr>
              <w:jc w:val="center"/>
              <w:rPr>
                <w:sz w:val="22"/>
                <w:szCs w:val="22"/>
              </w:rPr>
            </w:pPr>
            <w:r w:rsidRPr="006E31EE">
              <w:rPr>
                <w:sz w:val="22"/>
                <w:szCs w:val="22"/>
              </w:rPr>
              <w:t>3,7 %</w:t>
            </w:r>
          </w:p>
          <w:p w14:paraId="7665F7B4" w14:textId="77777777" w:rsidR="00A97556" w:rsidRPr="006E31EE" w:rsidRDefault="00A97556" w:rsidP="00A97556">
            <w:pPr>
              <w:jc w:val="center"/>
              <w:rPr>
                <w:sz w:val="22"/>
                <w:szCs w:val="22"/>
              </w:rPr>
            </w:pPr>
            <w:r w:rsidRPr="006E31EE">
              <w:rPr>
                <w:sz w:val="22"/>
                <w:szCs w:val="22"/>
              </w:rPr>
              <w:t>(2 patienter)</w:t>
            </w:r>
          </w:p>
        </w:tc>
      </w:tr>
      <w:tr w:rsidR="00A97556" w:rsidRPr="006E31EE" w14:paraId="52302924" w14:textId="77777777" w:rsidTr="00A97556">
        <w:trPr>
          <w:trHeight w:val="482"/>
        </w:trPr>
        <w:tc>
          <w:tcPr>
            <w:tcW w:w="701" w:type="pct"/>
            <w:tcBorders>
              <w:top w:val="single" w:sz="6" w:space="0" w:color="000000"/>
              <w:left w:val="single" w:sz="6" w:space="0" w:color="000000"/>
              <w:bottom w:val="single" w:sz="6" w:space="0" w:color="000000"/>
              <w:right w:val="single" w:sz="6" w:space="0" w:color="000000"/>
            </w:tcBorders>
            <w:shd w:val="clear" w:color="auto" w:fill="auto"/>
          </w:tcPr>
          <w:p w14:paraId="6A7F85A0" w14:textId="77777777" w:rsidR="00A97556" w:rsidRPr="006E31EE" w:rsidRDefault="00A97556" w:rsidP="00A97556">
            <w:pPr>
              <w:rPr>
                <w:sz w:val="22"/>
                <w:szCs w:val="22"/>
              </w:rPr>
            </w:pPr>
            <w:r w:rsidRPr="006E31EE">
              <w:rPr>
                <w:sz w:val="22"/>
                <w:szCs w:val="22"/>
              </w:rPr>
              <w:t xml:space="preserve">Hele kroppen BMD ved mindst 6 % sænkning </w:t>
            </w:r>
            <w:r w:rsidRPr="006E31EE">
              <w:rPr>
                <w:sz w:val="22"/>
                <w:szCs w:val="22"/>
                <w:vertAlign w:val="superscript"/>
              </w:rPr>
              <w:t>b</w:t>
            </w:r>
            <w:r w:rsidRPr="006E31EE">
              <w:rPr>
                <w:sz w:val="22"/>
                <w:szCs w:val="22"/>
              </w:rPr>
              <w:t xml:space="preserve"> </w:t>
            </w:r>
          </w:p>
        </w:tc>
        <w:tc>
          <w:tcPr>
            <w:tcW w:w="77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93644A9" w14:textId="77777777" w:rsidR="00A97556" w:rsidRPr="006E31EE" w:rsidRDefault="00A97556" w:rsidP="00A97556">
            <w:pPr>
              <w:jc w:val="center"/>
              <w:rPr>
                <w:sz w:val="22"/>
                <w:szCs w:val="22"/>
              </w:rPr>
            </w:pPr>
            <w:r w:rsidRPr="006E31EE">
              <w:rPr>
                <w:sz w:val="22"/>
                <w:szCs w:val="22"/>
              </w:rPr>
              <w:t>n/a</w:t>
            </w:r>
          </w:p>
        </w:tc>
        <w:tc>
          <w:tcPr>
            <w:tcW w:w="63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1F4D2B2" w14:textId="77777777" w:rsidR="00A97556" w:rsidRPr="006E31EE" w:rsidRDefault="00A97556" w:rsidP="00A97556">
            <w:pPr>
              <w:jc w:val="center"/>
              <w:rPr>
                <w:sz w:val="22"/>
                <w:szCs w:val="22"/>
              </w:rPr>
            </w:pPr>
            <w:r w:rsidRPr="006E31EE">
              <w:rPr>
                <w:sz w:val="22"/>
                <w:szCs w:val="22"/>
              </w:rPr>
              <w:t>n/a</w:t>
            </w:r>
          </w:p>
        </w:tc>
        <w:tc>
          <w:tcPr>
            <w:tcW w:w="70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843E58F" w14:textId="77777777" w:rsidR="00A97556" w:rsidRPr="006E31EE" w:rsidRDefault="00A97556" w:rsidP="00A97556">
            <w:pPr>
              <w:jc w:val="center"/>
              <w:rPr>
                <w:sz w:val="22"/>
                <w:szCs w:val="22"/>
              </w:rPr>
            </w:pPr>
            <w:r w:rsidRPr="006E31EE">
              <w:rPr>
                <w:sz w:val="22"/>
                <w:szCs w:val="22"/>
              </w:rPr>
              <w:t>0 %</w:t>
            </w:r>
          </w:p>
        </w:tc>
        <w:tc>
          <w:tcPr>
            <w:tcW w:w="63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FCA7232" w14:textId="77777777" w:rsidR="00A97556" w:rsidRPr="006E31EE" w:rsidRDefault="00A97556" w:rsidP="00A97556">
            <w:pPr>
              <w:jc w:val="center"/>
              <w:rPr>
                <w:sz w:val="22"/>
                <w:szCs w:val="22"/>
              </w:rPr>
            </w:pPr>
            <w:r w:rsidRPr="006E31EE">
              <w:rPr>
                <w:sz w:val="22"/>
                <w:szCs w:val="22"/>
              </w:rPr>
              <w:t>0 %</w:t>
            </w:r>
          </w:p>
        </w:tc>
        <w:tc>
          <w:tcPr>
            <w:tcW w:w="77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48BBA6F" w14:textId="77777777" w:rsidR="00A97556" w:rsidRPr="006E31EE" w:rsidRDefault="00A97556" w:rsidP="00A97556">
            <w:pPr>
              <w:jc w:val="center"/>
              <w:rPr>
                <w:sz w:val="22"/>
                <w:szCs w:val="22"/>
              </w:rPr>
            </w:pPr>
            <w:r w:rsidRPr="006E31EE">
              <w:rPr>
                <w:sz w:val="22"/>
                <w:szCs w:val="22"/>
              </w:rPr>
              <w:t>0 %</w:t>
            </w:r>
          </w:p>
        </w:tc>
        <w:tc>
          <w:tcPr>
            <w:tcW w:w="776" w:type="pct"/>
            <w:tcBorders>
              <w:top w:val="single" w:sz="6" w:space="0" w:color="000000"/>
              <w:left w:val="single" w:sz="6" w:space="0" w:color="000000"/>
              <w:bottom w:val="single" w:sz="6" w:space="0" w:color="000000"/>
              <w:right w:val="single" w:sz="6" w:space="0" w:color="000000"/>
            </w:tcBorders>
            <w:shd w:val="clear" w:color="auto" w:fill="auto"/>
          </w:tcPr>
          <w:p w14:paraId="0F7C1F1A" w14:textId="77777777" w:rsidR="00A97556" w:rsidRPr="006E31EE" w:rsidRDefault="00A97556" w:rsidP="00A97556">
            <w:pPr>
              <w:jc w:val="center"/>
              <w:rPr>
                <w:sz w:val="22"/>
                <w:szCs w:val="22"/>
              </w:rPr>
            </w:pPr>
            <w:r w:rsidRPr="006E31EE">
              <w:rPr>
                <w:sz w:val="22"/>
                <w:szCs w:val="22"/>
              </w:rPr>
              <w:t>1,9 %</w:t>
            </w:r>
          </w:p>
          <w:p w14:paraId="27C1D5B4" w14:textId="77777777" w:rsidR="00A97556" w:rsidRPr="006E31EE" w:rsidRDefault="00A97556" w:rsidP="00A97556">
            <w:pPr>
              <w:jc w:val="center"/>
              <w:rPr>
                <w:sz w:val="22"/>
                <w:szCs w:val="22"/>
              </w:rPr>
            </w:pPr>
            <w:r w:rsidRPr="006E31EE">
              <w:rPr>
                <w:sz w:val="22"/>
                <w:szCs w:val="22"/>
              </w:rPr>
              <w:t>(1 patient)</w:t>
            </w:r>
          </w:p>
        </w:tc>
      </w:tr>
      <w:tr w:rsidR="00A97556" w:rsidRPr="006E31EE" w14:paraId="2EF5D1A6" w14:textId="77777777" w:rsidTr="00A97556">
        <w:trPr>
          <w:trHeight w:val="475"/>
        </w:trPr>
        <w:tc>
          <w:tcPr>
            <w:tcW w:w="701" w:type="pct"/>
            <w:tcBorders>
              <w:top w:val="single" w:sz="6" w:space="0" w:color="000000"/>
              <w:left w:val="single" w:sz="6" w:space="0" w:color="000000"/>
              <w:bottom w:val="single" w:sz="6" w:space="0" w:color="000000"/>
              <w:right w:val="single" w:sz="6" w:space="0" w:color="000000"/>
            </w:tcBorders>
            <w:shd w:val="clear" w:color="auto" w:fill="auto"/>
          </w:tcPr>
          <w:p w14:paraId="1CA72040" w14:textId="77777777" w:rsidR="00A97556" w:rsidRPr="006E31EE" w:rsidRDefault="00A97556" w:rsidP="00A97556">
            <w:pPr>
              <w:rPr>
                <w:sz w:val="22"/>
                <w:szCs w:val="22"/>
              </w:rPr>
            </w:pPr>
            <w:r w:rsidRPr="006E31EE">
              <w:rPr>
                <w:sz w:val="22"/>
                <w:szCs w:val="22"/>
              </w:rPr>
              <w:t xml:space="preserve">Lumbal </w:t>
            </w:r>
            <w:proofErr w:type="gramStart"/>
            <w:r w:rsidRPr="006E31EE">
              <w:rPr>
                <w:sz w:val="22"/>
                <w:szCs w:val="22"/>
              </w:rPr>
              <w:t>BMD middelværdi</w:t>
            </w:r>
            <w:proofErr w:type="gramEnd"/>
            <w:r w:rsidRPr="006E31EE">
              <w:rPr>
                <w:sz w:val="22"/>
                <w:szCs w:val="22"/>
              </w:rPr>
              <w:t xml:space="preserve"> % øgning</w:t>
            </w:r>
          </w:p>
        </w:tc>
        <w:tc>
          <w:tcPr>
            <w:tcW w:w="77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28CE661" w14:textId="77777777" w:rsidR="00A97556" w:rsidRPr="006E31EE" w:rsidRDefault="00A97556" w:rsidP="00A97556">
            <w:pPr>
              <w:jc w:val="center"/>
              <w:rPr>
                <w:sz w:val="22"/>
                <w:szCs w:val="22"/>
              </w:rPr>
            </w:pPr>
            <w:r w:rsidRPr="006E31EE">
              <w:rPr>
                <w:sz w:val="22"/>
                <w:szCs w:val="22"/>
              </w:rPr>
              <w:t>n/a</w:t>
            </w:r>
          </w:p>
        </w:tc>
        <w:tc>
          <w:tcPr>
            <w:tcW w:w="63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26EFABF" w14:textId="77777777" w:rsidR="00A97556" w:rsidRPr="006E31EE" w:rsidRDefault="00A97556" w:rsidP="00A97556">
            <w:pPr>
              <w:jc w:val="center"/>
              <w:rPr>
                <w:sz w:val="22"/>
                <w:szCs w:val="22"/>
              </w:rPr>
            </w:pPr>
            <w:r w:rsidRPr="006E31EE">
              <w:rPr>
                <w:sz w:val="22"/>
                <w:szCs w:val="22"/>
              </w:rPr>
              <w:t>n/a</w:t>
            </w:r>
          </w:p>
        </w:tc>
        <w:tc>
          <w:tcPr>
            <w:tcW w:w="70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6962D40" w14:textId="77777777" w:rsidR="00A97556" w:rsidRPr="006E31EE" w:rsidRDefault="00A97556" w:rsidP="00A97556">
            <w:pPr>
              <w:jc w:val="center"/>
              <w:rPr>
                <w:sz w:val="22"/>
                <w:szCs w:val="22"/>
              </w:rPr>
            </w:pPr>
            <w:r w:rsidRPr="006E31EE">
              <w:rPr>
                <w:sz w:val="22"/>
                <w:szCs w:val="22"/>
              </w:rPr>
              <w:t>5,14 %</w:t>
            </w:r>
          </w:p>
        </w:tc>
        <w:tc>
          <w:tcPr>
            <w:tcW w:w="63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A52F579" w14:textId="77777777" w:rsidR="00A97556" w:rsidRPr="006E31EE" w:rsidRDefault="00A97556" w:rsidP="00A97556">
            <w:pPr>
              <w:jc w:val="center"/>
              <w:rPr>
                <w:sz w:val="22"/>
                <w:szCs w:val="22"/>
              </w:rPr>
            </w:pPr>
            <w:r w:rsidRPr="006E31EE">
              <w:rPr>
                <w:sz w:val="22"/>
                <w:szCs w:val="22"/>
              </w:rPr>
              <w:t>8,08 %</w:t>
            </w:r>
          </w:p>
        </w:tc>
        <w:tc>
          <w:tcPr>
            <w:tcW w:w="77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BA01239" w14:textId="77777777" w:rsidR="00A97556" w:rsidRPr="006E31EE" w:rsidRDefault="00A97556" w:rsidP="00A97556">
            <w:pPr>
              <w:jc w:val="center"/>
              <w:rPr>
                <w:sz w:val="22"/>
                <w:szCs w:val="22"/>
              </w:rPr>
            </w:pPr>
            <w:r w:rsidRPr="006E31EE">
              <w:rPr>
                <w:sz w:val="22"/>
                <w:szCs w:val="22"/>
              </w:rPr>
              <w:t>10,05 %</w:t>
            </w:r>
          </w:p>
        </w:tc>
        <w:tc>
          <w:tcPr>
            <w:tcW w:w="77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6E80ADF" w14:textId="77777777" w:rsidR="00A97556" w:rsidRPr="006E31EE" w:rsidRDefault="00A97556" w:rsidP="00A97556">
            <w:pPr>
              <w:jc w:val="center"/>
              <w:rPr>
                <w:sz w:val="22"/>
                <w:szCs w:val="22"/>
              </w:rPr>
            </w:pPr>
            <w:r w:rsidRPr="006E31EE">
              <w:rPr>
                <w:sz w:val="22"/>
                <w:szCs w:val="22"/>
              </w:rPr>
              <w:t>11,21 %</w:t>
            </w:r>
          </w:p>
        </w:tc>
      </w:tr>
      <w:tr w:rsidR="00A97556" w:rsidRPr="006E31EE" w14:paraId="2A90DABE" w14:textId="77777777" w:rsidTr="00A97556">
        <w:trPr>
          <w:trHeight w:val="483"/>
        </w:trPr>
        <w:tc>
          <w:tcPr>
            <w:tcW w:w="701" w:type="pct"/>
            <w:tcBorders>
              <w:top w:val="single" w:sz="6" w:space="0" w:color="000000"/>
              <w:left w:val="single" w:sz="6" w:space="0" w:color="000000"/>
              <w:bottom w:val="single" w:sz="6" w:space="0" w:color="000000"/>
              <w:right w:val="single" w:sz="6" w:space="0" w:color="000000"/>
            </w:tcBorders>
            <w:shd w:val="clear" w:color="auto" w:fill="auto"/>
          </w:tcPr>
          <w:p w14:paraId="27788F78" w14:textId="77777777" w:rsidR="00A97556" w:rsidRPr="006E31EE" w:rsidRDefault="00A97556" w:rsidP="00A97556">
            <w:pPr>
              <w:rPr>
                <w:sz w:val="22"/>
                <w:szCs w:val="22"/>
              </w:rPr>
            </w:pPr>
            <w:r w:rsidRPr="006E31EE">
              <w:rPr>
                <w:sz w:val="22"/>
                <w:szCs w:val="22"/>
              </w:rPr>
              <w:t xml:space="preserve">Hele kroppen </w:t>
            </w:r>
            <w:proofErr w:type="gramStart"/>
            <w:r w:rsidRPr="006E31EE">
              <w:rPr>
                <w:sz w:val="22"/>
                <w:szCs w:val="22"/>
              </w:rPr>
              <w:t>BMD middelværdi</w:t>
            </w:r>
            <w:proofErr w:type="gramEnd"/>
            <w:r w:rsidRPr="006E31EE">
              <w:rPr>
                <w:sz w:val="22"/>
                <w:szCs w:val="22"/>
              </w:rPr>
              <w:t xml:space="preserve"> % øgning </w:t>
            </w:r>
          </w:p>
        </w:tc>
        <w:tc>
          <w:tcPr>
            <w:tcW w:w="77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724B0FB" w14:textId="77777777" w:rsidR="00A97556" w:rsidRPr="006E31EE" w:rsidRDefault="00A97556" w:rsidP="00A97556">
            <w:pPr>
              <w:jc w:val="center"/>
              <w:rPr>
                <w:sz w:val="22"/>
                <w:szCs w:val="22"/>
              </w:rPr>
            </w:pPr>
            <w:r w:rsidRPr="006E31EE">
              <w:rPr>
                <w:sz w:val="22"/>
                <w:szCs w:val="22"/>
              </w:rPr>
              <w:t>n/a</w:t>
            </w:r>
          </w:p>
        </w:tc>
        <w:tc>
          <w:tcPr>
            <w:tcW w:w="63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5A6647A" w14:textId="77777777" w:rsidR="00A97556" w:rsidRPr="006E31EE" w:rsidRDefault="00A97556" w:rsidP="00A97556">
            <w:pPr>
              <w:jc w:val="center"/>
              <w:rPr>
                <w:sz w:val="22"/>
                <w:szCs w:val="22"/>
              </w:rPr>
            </w:pPr>
            <w:r w:rsidRPr="006E31EE">
              <w:rPr>
                <w:sz w:val="22"/>
                <w:szCs w:val="22"/>
              </w:rPr>
              <w:t>n/a</w:t>
            </w:r>
          </w:p>
        </w:tc>
        <w:tc>
          <w:tcPr>
            <w:tcW w:w="70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B696740" w14:textId="77777777" w:rsidR="00A97556" w:rsidRPr="006E31EE" w:rsidRDefault="00A97556" w:rsidP="00A97556">
            <w:pPr>
              <w:jc w:val="center"/>
              <w:rPr>
                <w:sz w:val="22"/>
                <w:szCs w:val="22"/>
              </w:rPr>
            </w:pPr>
            <w:r w:rsidRPr="006E31EE">
              <w:rPr>
                <w:sz w:val="22"/>
                <w:szCs w:val="22"/>
              </w:rPr>
              <w:t>3,07 %</w:t>
            </w:r>
          </w:p>
        </w:tc>
        <w:tc>
          <w:tcPr>
            <w:tcW w:w="634"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5AACE4E" w14:textId="77777777" w:rsidR="00A97556" w:rsidRPr="006E31EE" w:rsidRDefault="00A97556" w:rsidP="00A97556">
            <w:pPr>
              <w:jc w:val="center"/>
              <w:rPr>
                <w:sz w:val="22"/>
                <w:szCs w:val="22"/>
              </w:rPr>
            </w:pPr>
            <w:r w:rsidRPr="006E31EE">
              <w:rPr>
                <w:sz w:val="22"/>
                <w:szCs w:val="22"/>
              </w:rPr>
              <w:t>5,39 %</w:t>
            </w:r>
          </w:p>
        </w:tc>
        <w:tc>
          <w:tcPr>
            <w:tcW w:w="775"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4B947D3" w14:textId="77777777" w:rsidR="00A97556" w:rsidRPr="006E31EE" w:rsidRDefault="00A97556" w:rsidP="00A97556">
            <w:pPr>
              <w:jc w:val="center"/>
              <w:rPr>
                <w:sz w:val="22"/>
                <w:szCs w:val="22"/>
              </w:rPr>
            </w:pPr>
            <w:r w:rsidRPr="006E31EE">
              <w:rPr>
                <w:sz w:val="22"/>
                <w:szCs w:val="22"/>
              </w:rPr>
              <w:t>6,09 %</w:t>
            </w:r>
          </w:p>
        </w:tc>
        <w:tc>
          <w:tcPr>
            <w:tcW w:w="776"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3053A0C" w14:textId="77777777" w:rsidR="00A97556" w:rsidRPr="006E31EE" w:rsidRDefault="00A97556" w:rsidP="00A97556">
            <w:pPr>
              <w:jc w:val="center"/>
              <w:rPr>
                <w:sz w:val="22"/>
                <w:szCs w:val="22"/>
              </w:rPr>
            </w:pPr>
            <w:r w:rsidRPr="006E31EE">
              <w:rPr>
                <w:sz w:val="22"/>
                <w:szCs w:val="22"/>
              </w:rPr>
              <w:t>7,22 %</w:t>
            </w:r>
          </w:p>
        </w:tc>
      </w:tr>
    </w:tbl>
    <w:p w14:paraId="12247295" w14:textId="77777777" w:rsidR="00A97556" w:rsidRPr="00C521AB" w:rsidRDefault="00A97556" w:rsidP="00A97556">
      <w:pPr>
        <w:ind w:left="284" w:right="-1" w:hanging="284"/>
        <w:rPr>
          <w:sz w:val="24"/>
          <w:szCs w:val="24"/>
          <w:lang w:val="en-US"/>
        </w:rPr>
      </w:pPr>
      <w:r w:rsidRPr="00C521AB">
        <w:rPr>
          <w:sz w:val="24"/>
          <w:szCs w:val="24"/>
          <w:lang w:val="en-US"/>
        </w:rPr>
        <w:t xml:space="preserve">n/a = </w:t>
      </w:r>
      <w:r w:rsidRPr="00C521AB">
        <w:rPr>
          <w:i/>
          <w:iCs/>
          <w:sz w:val="24"/>
          <w:szCs w:val="24"/>
          <w:lang w:val="en-US"/>
        </w:rPr>
        <w:t xml:space="preserve">not applicable </w:t>
      </w:r>
      <w:r w:rsidRPr="00C521AB">
        <w:rPr>
          <w:sz w:val="24"/>
          <w:szCs w:val="24"/>
          <w:lang w:val="en-US"/>
        </w:rPr>
        <w:t xml:space="preserve">- ikke relevant </w:t>
      </w:r>
    </w:p>
    <w:p w14:paraId="1B4C8384" w14:textId="77777777" w:rsidR="00A97556" w:rsidRPr="006E31EE" w:rsidRDefault="00A97556" w:rsidP="00A97556">
      <w:pPr>
        <w:pStyle w:val="Ingenafstand"/>
        <w:ind w:left="284" w:right="-1" w:hanging="284"/>
        <w:rPr>
          <w:sz w:val="24"/>
          <w:szCs w:val="24"/>
        </w:rPr>
      </w:pPr>
      <w:r w:rsidRPr="006E31EE">
        <w:rPr>
          <w:sz w:val="24"/>
          <w:szCs w:val="24"/>
          <w:vertAlign w:val="superscript"/>
        </w:rPr>
        <w:t xml:space="preserve">a </w:t>
      </w:r>
      <w:r w:rsidRPr="006E31EE">
        <w:rPr>
          <w:sz w:val="24"/>
          <w:szCs w:val="24"/>
          <w:vertAlign w:val="superscript"/>
        </w:rPr>
        <w:tab/>
      </w:r>
      <w:r w:rsidRPr="006E31EE">
        <w:rPr>
          <w:sz w:val="24"/>
          <w:szCs w:val="24"/>
        </w:rPr>
        <w:t>BMD Z-scores ikke korrigeret for højde og vægt</w:t>
      </w:r>
    </w:p>
    <w:p w14:paraId="615E1A12" w14:textId="77777777" w:rsidR="00A97556" w:rsidRPr="006E31EE" w:rsidRDefault="00A97556" w:rsidP="00A97556">
      <w:pPr>
        <w:ind w:left="284" w:right="-1" w:hanging="284"/>
        <w:rPr>
          <w:sz w:val="24"/>
          <w:szCs w:val="24"/>
        </w:rPr>
      </w:pPr>
      <w:r w:rsidRPr="006E31EE">
        <w:rPr>
          <w:sz w:val="24"/>
          <w:szCs w:val="24"/>
          <w:vertAlign w:val="superscript"/>
        </w:rPr>
        <w:t>b</w:t>
      </w:r>
      <w:r w:rsidRPr="006E31EE">
        <w:rPr>
          <w:sz w:val="24"/>
          <w:szCs w:val="24"/>
        </w:rPr>
        <w:t xml:space="preserve"> </w:t>
      </w:r>
      <w:r w:rsidRPr="006E31EE">
        <w:rPr>
          <w:sz w:val="24"/>
          <w:szCs w:val="24"/>
        </w:rPr>
        <w:tab/>
        <w:t>Primær sikkerheds endpoint gennem uge 72</w:t>
      </w:r>
    </w:p>
    <w:p w14:paraId="721B0A70" w14:textId="77777777" w:rsidR="00A97556" w:rsidRPr="006E31EE" w:rsidRDefault="00A97556" w:rsidP="00A97556">
      <w:pPr>
        <w:ind w:left="851" w:right="-1"/>
        <w:rPr>
          <w:sz w:val="24"/>
          <w:szCs w:val="24"/>
        </w:rPr>
      </w:pPr>
    </w:p>
    <w:p w14:paraId="126C6C17" w14:textId="77777777" w:rsidR="00A97556" w:rsidRPr="006E31EE" w:rsidRDefault="00A97556" w:rsidP="00A97556">
      <w:pPr>
        <w:suppressAutoHyphens/>
        <w:ind w:left="851"/>
        <w:rPr>
          <w:sz w:val="24"/>
          <w:szCs w:val="24"/>
        </w:rPr>
      </w:pPr>
      <w:r w:rsidRPr="006E31EE">
        <w:rPr>
          <w:sz w:val="24"/>
          <w:szCs w:val="24"/>
        </w:rPr>
        <w:t>I studie GS-</w:t>
      </w:r>
      <w:r w:rsidRPr="006E31EE">
        <w:rPr>
          <w:sz w:val="22"/>
          <w:szCs w:val="22"/>
        </w:rPr>
        <w:t xml:space="preserve"> </w:t>
      </w:r>
      <w:r w:rsidRPr="006E31EE">
        <w:rPr>
          <w:sz w:val="24"/>
          <w:szCs w:val="24"/>
        </w:rPr>
        <w:t>US-174-0144 blev 89 HBeAg-negative og -positive patienter i alderen 2 til &lt; 12 år med kronisk hepatitis B behandlet med tenofovirdisoproxil 6,5 mg/kg, dog højst 245 mg, (n = 60) eller placebo (n = 29) én gang dagligt i 48 uger. Forsøgsdeltagerne skulle være tenofovirdisoproxilbehandlingsnaive og have HBV-dna &gt; 105 kopier/ml (~ 4,2 log10 IE/ml) og ALAT &gt; 1,5 × den øvre normalgrænse (ULN) ved screeningen. Ved uge 48 havde 77 % (46 ud af 60) af patienterne i tenofovirdisoproxilgruppen og 7 % (2 ud af 29) af patienterne i placebogruppen HBV-dna &lt; 400 kopier/ml (69 IE/ml). 66 % (38 ud af 58) af patienterne i tenofovirdisoproxilgruppen havde normaliseret ALAT ved uge 48 sammenlignet med 15 % (4 ud af 27) i placebogruppen. 25 % (14 ud af 56) af patienterne i tenofovirdisoproxilgruppen og 24 % (7 ud af 29) af patienterne i placebogruppen havde opnået HBeAg-serokonversion ved uge 48.</w:t>
      </w:r>
    </w:p>
    <w:p w14:paraId="647B7C81" w14:textId="77777777" w:rsidR="00A97556" w:rsidRPr="006E31EE" w:rsidRDefault="00A97556" w:rsidP="00A97556">
      <w:pPr>
        <w:suppressAutoHyphens/>
        <w:ind w:left="851"/>
        <w:rPr>
          <w:sz w:val="24"/>
          <w:szCs w:val="24"/>
        </w:rPr>
      </w:pPr>
    </w:p>
    <w:p w14:paraId="70644C02" w14:textId="77777777" w:rsidR="00A97556" w:rsidRPr="006E31EE" w:rsidRDefault="00A97556" w:rsidP="00A97556">
      <w:pPr>
        <w:suppressAutoHyphens/>
        <w:ind w:left="851"/>
        <w:rPr>
          <w:sz w:val="24"/>
          <w:szCs w:val="24"/>
        </w:rPr>
      </w:pPr>
      <w:r w:rsidRPr="006E31EE">
        <w:rPr>
          <w:sz w:val="24"/>
          <w:szCs w:val="24"/>
        </w:rPr>
        <w:t xml:space="preserve">Responset på behandlingen med tenofovirdisoproxil var sammenligneligt hos behandlingsnaive og behandlingserfarne forsøgsdeltagere, idet 76 % (38/50) af de behandlingsnaive patienter og 80 % af de behandlingserfarne forsøgsdeltagere havde </w:t>
      </w:r>
      <w:r w:rsidRPr="006E31EE">
        <w:rPr>
          <w:sz w:val="24"/>
          <w:szCs w:val="24"/>
        </w:rPr>
        <w:lastRenderedPageBreak/>
        <w:t>opnået HBV-dna &lt; 400 kopier/ml (69 IE/ml) ved uge 48. Responset på behandlingen med tenofovirdisoproxil var også ensartet hos forsøgsdeltagere, der var henholdsvis HBeAg-negative og HBeAg-positive ved baseline, idet 77 % (43/56) af de HBeAg-positive og 75 % (3/4) af de HBeAg-negative forsøgsdeltagere havde opnået HBV-dna &lt; 400 kopier/ml (69 IE/ml) ved uge 48. Fordelingen af HBV-genotyper ved baseline var ensartet i TDF- og placebogruppen. Størstedelen af forsøgsdeltagerne var enten genotype C (43,8 %) eller D (41,6 %), mens genotype A og B forekom med en lavere og ensartet hyppighed (6,7 % hver). Kun 1 af de forsøgsdeltagere, der blev randomiseret til TDF-gruppen, var genotype E ved baseline. Generelt var behandlingsresponset på tenofovirdisoproxil meget ensartet for genotype A, B, C og E [75-100 % af forsøgsdeltagerne havde opnået HBV-dna &lt; 400 kopier/ml (69 IE/ml) ved uge 48, mens responsraten var lavere hos forsøgsdeltagere med genotype D-infektion (55 %).</w:t>
      </w:r>
    </w:p>
    <w:p w14:paraId="05CD2795" w14:textId="77777777" w:rsidR="003228A3" w:rsidRDefault="003228A3" w:rsidP="00A97556">
      <w:pPr>
        <w:suppressAutoHyphens/>
        <w:ind w:left="851"/>
        <w:rPr>
          <w:sz w:val="24"/>
          <w:szCs w:val="24"/>
        </w:rPr>
      </w:pPr>
    </w:p>
    <w:p w14:paraId="29748A91" w14:textId="77777777" w:rsidR="003228A3" w:rsidRDefault="003228A3" w:rsidP="003228A3">
      <w:pPr>
        <w:suppressAutoHyphens/>
        <w:ind w:left="851"/>
        <w:rPr>
          <w:sz w:val="24"/>
          <w:szCs w:val="24"/>
        </w:rPr>
      </w:pPr>
      <w:r>
        <w:rPr>
          <w:sz w:val="24"/>
          <w:szCs w:val="24"/>
        </w:rPr>
        <w:t>Efter mindst 48 ugers blindet, randomiseret behandling kunne hver forsøgsperson skifte til open-label tenofovirdisoproxil-behandling op til uge 192. Efter uge 48 blev virologisk suppression opretholdt for dem, der fik dobbeltblindet tenofovirdisoproxil efterfulgt af open-label tenofovirdisoproxil (TDF-TDF-gruppen): 83,3 % (50/60) af forsøgspersonerne i TDF-TDF-gruppen havde HBV-dna &lt; 400 kopier/ml (69 IE/ml) ved uge 192. Blandt forsøgspersonerne, som fik placebo under den dobbeltblindede periode, steg andelen af forsøgspersoner med HBV-dna &lt; 400 kopier/ml stejlt efter behandling med open-label TDF (PLB-TDF-gruppen): 62,1 % (18/29) af forsøgspersonerne i PLB-TDF-gruppen havde HBV-dna &lt; 400 kopier/ml ved uge 192. Andelen af forsøgspersoner med normaliseret ALAT ved uge 192 i TDF-TDF- og PLB-TDF-grupperne var henholdsvis 79,3 % og 59,3 % (baseret på centrallaboratoriekriterier). Lignende procentdele af forsøgspersoner i TDF-TDF- og PLB-TDF-grupperne (henholdsvis 33,9 % og 34,5 %) havde HBeAg-serokonversion til og med uge 192. Ingen forsøgspersoner i nogen af behandlingsgrupperne havde HBsAg-serokonversion ved uge 192. Behandlingsrespons</w:t>
      </w:r>
      <w:r>
        <w:rPr>
          <w:sz w:val="24"/>
          <w:szCs w:val="24"/>
        </w:rPr>
        <w:softHyphen/>
        <w:t>rater med tenofovirdisoproxil ved uge 192 blev opretholdt for alle genotyper A, B og C (80-100 %) i TDF-TDF-gruppen. Ved uge 192 blev der stadig set en lavere responsrate hos forsøgspersonerne med genotype D-infektion (77 %), men med en forbedring sammenlignet med resultaterne ved uge 48 (55 %)</w:t>
      </w:r>
    </w:p>
    <w:p w14:paraId="1B545BF3" w14:textId="77777777" w:rsidR="003228A3" w:rsidRDefault="003228A3" w:rsidP="00A97556">
      <w:pPr>
        <w:suppressAutoHyphens/>
        <w:ind w:left="851"/>
        <w:rPr>
          <w:sz w:val="24"/>
          <w:szCs w:val="24"/>
        </w:rPr>
      </w:pPr>
    </w:p>
    <w:p w14:paraId="52C4DF30" w14:textId="4D0386BA" w:rsidR="00A97556" w:rsidRPr="006E31EE" w:rsidRDefault="00A97556" w:rsidP="00A97556">
      <w:pPr>
        <w:suppressAutoHyphens/>
        <w:ind w:left="851"/>
        <w:rPr>
          <w:sz w:val="24"/>
          <w:szCs w:val="24"/>
        </w:rPr>
      </w:pPr>
      <w:r w:rsidRPr="006E31EE">
        <w:rPr>
          <w:sz w:val="24"/>
          <w:szCs w:val="24"/>
        </w:rPr>
        <w:t>Data for knoglemineraltæthed (BMD) fra studie GS-US-174-0144 er opsummeret i tabel 9:</w:t>
      </w:r>
    </w:p>
    <w:p w14:paraId="65B31505" w14:textId="77777777" w:rsidR="00A97556" w:rsidRPr="006E31EE" w:rsidRDefault="00A97556" w:rsidP="00A97556">
      <w:pPr>
        <w:suppressAutoHyphens/>
        <w:ind w:left="851"/>
        <w:rPr>
          <w:sz w:val="24"/>
          <w:szCs w:val="24"/>
        </w:rPr>
      </w:pPr>
    </w:p>
    <w:p w14:paraId="39B7A8A5" w14:textId="77777777" w:rsidR="003228A3" w:rsidRDefault="003228A3" w:rsidP="003228A3">
      <w:pPr>
        <w:suppressAutoHyphens/>
        <w:ind w:left="851"/>
        <w:rPr>
          <w:b/>
          <w:bCs/>
          <w:sz w:val="24"/>
          <w:szCs w:val="24"/>
        </w:rPr>
      </w:pPr>
      <w:r>
        <w:rPr>
          <w:b/>
          <w:bCs/>
          <w:sz w:val="24"/>
          <w:szCs w:val="24"/>
        </w:rPr>
        <w:t>Tabel 9: Evaluering af knoglemineraltæthed ved baseline, uge 48 og uge 192</w:t>
      </w:r>
    </w:p>
    <w:p w14:paraId="55CD97CF" w14:textId="77777777" w:rsidR="003228A3" w:rsidRDefault="003228A3" w:rsidP="003228A3">
      <w:pPr>
        <w:suppressAutoHyphens/>
        <w:ind w:left="851"/>
        <w:rPr>
          <w:sz w:val="24"/>
          <w:szCs w:val="24"/>
        </w:rPr>
      </w:pPr>
    </w:p>
    <w:tbl>
      <w:tblPr>
        <w:tblW w:w="4643" w:type="pct"/>
        <w:jc w:val="center"/>
        <w:tblCellMar>
          <w:left w:w="0" w:type="dxa"/>
          <w:right w:w="27" w:type="dxa"/>
        </w:tblCellMar>
        <w:tblLook w:val="04A0" w:firstRow="1" w:lastRow="0" w:firstColumn="1" w:lastColumn="0" w:noHBand="0" w:noVBand="1"/>
      </w:tblPr>
      <w:tblGrid>
        <w:gridCol w:w="2411"/>
        <w:gridCol w:w="850"/>
        <w:gridCol w:w="850"/>
        <w:gridCol w:w="991"/>
        <w:gridCol w:w="1277"/>
        <w:gridCol w:w="1275"/>
        <w:gridCol w:w="1277"/>
      </w:tblGrid>
      <w:tr w:rsidR="003228A3" w14:paraId="6F15F697" w14:textId="77777777" w:rsidTr="003228A3">
        <w:trPr>
          <w:trHeight w:val="252"/>
          <w:jc w:val="center"/>
        </w:trPr>
        <w:tc>
          <w:tcPr>
            <w:tcW w:w="1349" w:type="pct"/>
            <w:vMerge w:val="restart"/>
            <w:tcBorders>
              <w:top w:val="single" w:sz="8" w:space="0" w:color="000000"/>
              <w:left w:val="single" w:sz="8" w:space="0" w:color="000000"/>
              <w:bottom w:val="single" w:sz="8" w:space="0" w:color="000000"/>
              <w:right w:val="single" w:sz="8" w:space="0" w:color="000000"/>
            </w:tcBorders>
            <w:vAlign w:val="center"/>
          </w:tcPr>
          <w:p w14:paraId="4B45C02F" w14:textId="77777777" w:rsidR="003228A3" w:rsidRDefault="003228A3">
            <w:pPr>
              <w:ind w:left="108"/>
              <w:rPr>
                <w:sz w:val="20"/>
              </w:rPr>
            </w:pPr>
          </w:p>
        </w:tc>
        <w:tc>
          <w:tcPr>
            <w:tcW w:w="476" w:type="pct"/>
            <w:tcBorders>
              <w:top w:val="single" w:sz="8" w:space="0" w:color="000000"/>
              <w:left w:val="single" w:sz="8" w:space="0" w:color="000000"/>
              <w:bottom w:val="single" w:sz="8" w:space="0" w:color="000000"/>
              <w:right w:val="nil"/>
            </w:tcBorders>
            <w:hideMark/>
          </w:tcPr>
          <w:p w14:paraId="4DEA98B3" w14:textId="77777777" w:rsidR="003228A3" w:rsidRDefault="003228A3">
            <w:pPr>
              <w:jc w:val="right"/>
              <w:rPr>
                <w:sz w:val="20"/>
              </w:rPr>
            </w:pPr>
            <w:r>
              <w:rPr>
                <w:b/>
                <w:bCs/>
                <w:i/>
                <w:iCs/>
                <w:sz w:val="20"/>
              </w:rPr>
              <w:t>Base</w:t>
            </w:r>
          </w:p>
        </w:tc>
        <w:tc>
          <w:tcPr>
            <w:tcW w:w="476" w:type="pct"/>
            <w:tcBorders>
              <w:top w:val="single" w:sz="8" w:space="0" w:color="000000"/>
              <w:left w:val="nil"/>
              <w:bottom w:val="single" w:sz="8" w:space="0" w:color="000000"/>
              <w:right w:val="single" w:sz="8" w:space="0" w:color="000000"/>
            </w:tcBorders>
            <w:hideMark/>
          </w:tcPr>
          <w:p w14:paraId="3BF0EBC3" w14:textId="77777777" w:rsidR="003228A3" w:rsidRDefault="003228A3">
            <w:pPr>
              <w:rPr>
                <w:sz w:val="20"/>
              </w:rPr>
            </w:pPr>
            <w:r>
              <w:rPr>
                <w:b/>
                <w:bCs/>
                <w:i/>
                <w:iCs/>
                <w:sz w:val="20"/>
              </w:rPr>
              <w:t>line</w:t>
            </w:r>
            <w:r>
              <w:rPr>
                <w:b/>
                <w:bCs/>
                <w:sz w:val="20"/>
              </w:rPr>
              <w:t xml:space="preserve"> </w:t>
            </w:r>
          </w:p>
        </w:tc>
        <w:tc>
          <w:tcPr>
            <w:tcW w:w="1270" w:type="pct"/>
            <w:gridSpan w:val="2"/>
            <w:tcBorders>
              <w:top w:val="single" w:sz="8" w:space="0" w:color="000000"/>
              <w:left w:val="single" w:sz="8" w:space="0" w:color="000000"/>
              <w:bottom w:val="single" w:sz="8" w:space="0" w:color="000000"/>
              <w:right w:val="single" w:sz="8" w:space="0" w:color="000000"/>
            </w:tcBorders>
            <w:hideMark/>
          </w:tcPr>
          <w:p w14:paraId="24915E6D" w14:textId="77777777" w:rsidR="003228A3" w:rsidRDefault="003228A3">
            <w:pPr>
              <w:ind w:left="23"/>
              <w:jc w:val="center"/>
              <w:rPr>
                <w:sz w:val="20"/>
              </w:rPr>
            </w:pPr>
            <w:r>
              <w:rPr>
                <w:b/>
                <w:bCs/>
                <w:sz w:val="20"/>
              </w:rPr>
              <w:t xml:space="preserve">Uge 48 </w:t>
            </w:r>
          </w:p>
        </w:tc>
        <w:tc>
          <w:tcPr>
            <w:tcW w:w="1429" w:type="pct"/>
            <w:gridSpan w:val="2"/>
            <w:tcBorders>
              <w:top w:val="single" w:sz="8" w:space="0" w:color="000000"/>
              <w:left w:val="single" w:sz="8" w:space="0" w:color="000000"/>
              <w:bottom w:val="single" w:sz="8" w:space="0" w:color="000000"/>
              <w:right w:val="single" w:sz="8" w:space="0" w:color="000000"/>
            </w:tcBorders>
            <w:hideMark/>
          </w:tcPr>
          <w:p w14:paraId="77E0331E" w14:textId="77777777" w:rsidR="003228A3" w:rsidRDefault="003228A3">
            <w:pPr>
              <w:ind w:left="23"/>
              <w:jc w:val="center"/>
              <w:rPr>
                <w:b/>
                <w:sz w:val="20"/>
              </w:rPr>
            </w:pPr>
            <w:r>
              <w:rPr>
                <w:b/>
                <w:bCs/>
                <w:sz w:val="20"/>
              </w:rPr>
              <w:t>Uge 192</w:t>
            </w:r>
          </w:p>
        </w:tc>
      </w:tr>
      <w:tr w:rsidR="003228A3" w14:paraId="6F32A9FF" w14:textId="77777777" w:rsidTr="003228A3">
        <w:trPr>
          <w:trHeight w:val="25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A1DFE3" w14:textId="77777777" w:rsidR="003228A3" w:rsidRDefault="003228A3">
            <w:pPr>
              <w:rPr>
                <w:sz w:val="20"/>
              </w:rPr>
            </w:pPr>
          </w:p>
        </w:tc>
        <w:tc>
          <w:tcPr>
            <w:tcW w:w="476" w:type="pct"/>
            <w:tcBorders>
              <w:top w:val="single" w:sz="8" w:space="0" w:color="000000"/>
              <w:left w:val="single" w:sz="8" w:space="0" w:color="000000"/>
              <w:bottom w:val="single" w:sz="8" w:space="0" w:color="000000"/>
              <w:right w:val="single" w:sz="8" w:space="0" w:color="000000"/>
            </w:tcBorders>
            <w:hideMark/>
          </w:tcPr>
          <w:p w14:paraId="3516E9FF" w14:textId="77777777" w:rsidR="003228A3" w:rsidRDefault="003228A3">
            <w:pPr>
              <w:ind w:left="21"/>
              <w:jc w:val="center"/>
              <w:rPr>
                <w:sz w:val="20"/>
              </w:rPr>
            </w:pPr>
            <w:r>
              <w:rPr>
                <w:b/>
                <w:bCs/>
                <w:sz w:val="20"/>
              </w:rPr>
              <w:t xml:space="preserve">TDF </w:t>
            </w:r>
          </w:p>
        </w:tc>
        <w:tc>
          <w:tcPr>
            <w:tcW w:w="476" w:type="pct"/>
            <w:tcBorders>
              <w:top w:val="single" w:sz="8" w:space="0" w:color="000000"/>
              <w:left w:val="single" w:sz="8" w:space="0" w:color="000000"/>
              <w:bottom w:val="single" w:sz="8" w:space="0" w:color="000000"/>
              <w:right w:val="single" w:sz="8" w:space="0" w:color="000000"/>
            </w:tcBorders>
            <w:hideMark/>
          </w:tcPr>
          <w:p w14:paraId="4B1BB001" w14:textId="77777777" w:rsidR="003228A3" w:rsidRDefault="003228A3">
            <w:pPr>
              <w:ind w:left="25"/>
              <w:jc w:val="center"/>
              <w:rPr>
                <w:sz w:val="20"/>
              </w:rPr>
            </w:pPr>
            <w:r>
              <w:rPr>
                <w:b/>
                <w:bCs/>
                <w:sz w:val="20"/>
              </w:rPr>
              <w:t xml:space="preserve">PLB </w:t>
            </w:r>
          </w:p>
        </w:tc>
        <w:tc>
          <w:tcPr>
            <w:tcW w:w="555" w:type="pct"/>
            <w:tcBorders>
              <w:top w:val="single" w:sz="8" w:space="0" w:color="000000"/>
              <w:left w:val="single" w:sz="8" w:space="0" w:color="000000"/>
              <w:bottom w:val="single" w:sz="8" w:space="0" w:color="000000"/>
              <w:right w:val="single" w:sz="8" w:space="0" w:color="000000"/>
            </w:tcBorders>
            <w:hideMark/>
          </w:tcPr>
          <w:p w14:paraId="003C0470" w14:textId="77777777" w:rsidR="003228A3" w:rsidRDefault="003228A3">
            <w:pPr>
              <w:ind w:left="24"/>
              <w:jc w:val="center"/>
              <w:rPr>
                <w:sz w:val="20"/>
              </w:rPr>
            </w:pPr>
            <w:r>
              <w:rPr>
                <w:b/>
                <w:bCs/>
                <w:sz w:val="20"/>
              </w:rPr>
              <w:t>TDF -TDF</w:t>
            </w:r>
          </w:p>
        </w:tc>
        <w:tc>
          <w:tcPr>
            <w:tcW w:w="714" w:type="pct"/>
            <w:tcBorders>
              <w:top w:val="single" w:sz="8" w:space="0" w:color="000000"/>
              <w:left w:val="single" w:sz="8" w:space="0" w:color="000000"/>
              <w:bottom w:val="single" w:sz="8" w:space="0" w:color="000000"/>
              <w:right w:val="single" w:sz="8" w:space="0" w:color="000000"/>
            </w:tcBorders>
            <w:hideMark/>
          </w:tcPr>
          <w:p w14:paraId="1982E9A6" w14:textId="77777777" w:rsidR="003228A3" w:rsidRDefault="003228A3">
            <w:pPr>
              <w:ind w:left="25"/>
              <w:jc w:val="center"/>
              <w:rPr>
                <w:sz w:val="20"/>
              </w:rPr>
            </w:pPr>
            <w:r>
              <w:rPr>
                <w:b/>
                <w:bCs/>
                <w:sz w:val="20"/>
              </w:rPr>
              <w:t>PLB - TDF</w:t>
            </w:r>
          </w:p>
        </w:tc>
        <w:tc>
          <w:tcPr>
            <w:tcW w:w="714" w:type="pct"/>
            <w:tcBorders>
              <w:top w:val="single" w:sz="8" w:space="0" w:color="000000"/>
              <w:left w:val="single" w:sz="8" w:space="0" w:color="000000"/>
              <w:bottom w:val="single" w:sz="8" w:space="0" w:color="000000"/>
              <w:right w:val="single" w:sz="8" w:space="0" w:color="000000"/>
            </w:tcBorders>
            <w:hideMark/>
          </w:tcPr>
          <w:p w14:paraId="4E4A382F" w14:textId="77777777" w:rsidR="003228A3" w:rsidRDefault="003228A3">
            <w:pPr>
              <w:ind w:left="25"/>
              <w:jc w:val="center"/>
              <w:rPr>
                <w:b/>
                <w:sz w:val="20"/>
              </w:rPr>
            </w:pPr>
            <w:r>
              <w:rPr>
                <w:b/>
                <w:bCs/>
                <w:sz w:val="20"/>
              </w:rPr>
              <w:t xml:space="preserve">TDF-TDF </w:t>
            </w:r>
          </w:p>
        </w:tc>
        <w:tc>
          <w:tcPr>
            <w:tcW w:w="714" w:type="pct"/>
            <w:tcBorders>
              <w:top w:val="single" w:sz="8" w:space="0" w:color="000000"/>
              <w:left w:val="single" w:sz="8" w:space="0" w:color="000000"/>
              <w:bottom w:val="single" w:sz="8" w:space="0" w:color="000000"/>
              <w:right w:val="single" w:sz="8" w:space="0" w:color="000000"/>
            </w:tcBorders>
            <w:hideMark/>
          </w:tcPr>
          <w:p w14:paraId="105A31BC" w14:textId="77777777" w:rsidR="003228A3" w:rsidRDefault="003228A3">
            <w:pPr>
              <w:ind w:left="25"/>
              <w:jc w:val="center"/>
              <w:rPr>
                <w:b/>
                <w:sz w:val="20"/>
              </w:rPr>
            </w:pPr>
            <w:r>
              <w:rPr>
                <w:b/>
                <w:bCs/>
                <w:sz w:val="20"/>
              </w:rPr>
              <w:t>PLB-TDF</w:t>
            </w:r>
          </w:p>
        </w:tc>
      </w:tr>
      <w:tr w:rsidR="003228A3" w14:paraId="68C8B0B4" w14:textId="77777777" w:rsidTr="00A25ECF">
        <w:trPr>
          <w:trHeight w:val="779"/>
          <w:jc w:val="center"/>
        </w:trPr>
        <w:tc>
          <w:tcPr>
            <w:tcW w:w="1349" w:type="pct"/>
            <w:tcBorders>
              <w:top w:val="single" w:sz="8" w:space="0" w:color="000000"/>
              <w:left w:val="single" w:sz="8" w:space="0" w:color="000000"/>
              <w:bottom w:val="single" w:sz="8" w:space="0" w:color="000000"/>
              <w:right w:val="single" w:sz="8" w:space="0" w:color="000000"/>
            </w:tcBorders>
            <w:hideMark/>
          </w:tcPr>
          <w:p w14:paraId="05B09E64" w14:textId="77777777" w:rsidR="003228A3" w:rsidRDefault="003228A3" w:rsidP="00A25ECF">
            <w:pPr>
              <w:ind w:left="108" w:right="76"/>
              <w:rPr>
                <w:sz w:val="20"/>
              </w:rPr>
            </w:pPr>
            <w:r>
              <w:rPr>
                <w:sz w:val="20"/>
              </w:rPr>
              <w:t xml:space="preserve">Gennemsnitlig (SD) BMD Z-resultat for columna lumbalis </w:t>
            </w:r>
          </w:p>
        </w:tc>
        <w:tc>
          <w:tcPr>
            <w:tcW w:w="476" w:type="pct"/>
            <w:tcBorders>
              <w:top w:val="single" w:sz="8" w:space="0" w:color="000000"/>
              <w:left w:val="single" w:sz="8" w:space="0" w:color="000000"/>
              <w:bottom w:val="single" w:sz="8" w:space="0" w:color="000000"/>
              <w:right w:val="single" w:sz="8" w:space="0" w:color="000000"/>
            </w:tcBorders>
            <w:vAlign w:val="center"/>
            <w:hideMark/>
          </w:tcPr>
          <w:p w14:paraId="63B91474" w14:textId="77777777" w:rsidR="003228A3" w:rsidRDefault="003228A3">
            <w:pPr>
              <w:ind w:left="23"/>
              <w:jc w:val="center"/>
              <w:rPr>
                <w:sz w:val="20"/>
              </w:rPr>
            </w:pPr>
            <w:r>
              <w:rPr>
                <w:sz w:val="20"/>
              </w:rPr>
              <w:t xml:space="preserve">-0,08  </w:t>
            </w:r>
          </w:p>
          <w:p w14:paraId="4E5293D6" w14:textId="77777777" w:rsidR="003228A3" w:rsidRDefault="003228A3">
            <w:pPr>
              <w:ind w:left="26"/>
              <w:jc w:val="center"/>
              <w:rPr>
                <w:sz w:val="20"/>
              </w:rPr>
            </w:pPr>
            <w:r>
              <w:rPr>
                <w:sz w:val="20"/>
              </w:rPr>
              <w:t xml:space="preserve">(1,044) </w:t>
            </w:r>
          </w:p>
        </w:tc>
        <w:tc>
          <w:tcPr>
            <w:tcW w:w="476" w:type="pct"/>
            <w:tcBorders>
              <w:top w:val="single" w:sz="8" w:space="0" w:color="000000"/>
              <w:left w:val="single" w:sz="8" w:space="0" w:color="000000"/>
              <w:bottom w:val="single" w:sz="8" w:space="0" w:color="000000"/>
              <w:right w:val="single" w:sz="8" w:space="0" w:color="000000"/>
            </w:tcBorders>
            <w:vAlign w:val="center"/>
            <w:hideMark/>
          </w:tcPr>
          <w:p w14:paraId="50FE4F95" w14:textId="77777777" w:rsidR="003228A3" w:rsidRDefault="003228A3">
            <w:pPr>
              <w:ind w:left="25"/>
              <w:jc w:val="center"/>
              <w:rPr>
                <w:sz w:val="20"/>
              </w:rPr>
            </w:pPr>
            <w:r>
              <w:rPr>
                <w:sz w:val="20"/>
              </w:rPr>
              <w:t xml:space="preserve">-0,31  </w:t>
            </w:r>
          </w:p>
          <w:p w14:paraId="473FF4F9" w14:textId="77777777" w:rsidR="003228A3" w:rsidRDefault="003228A3">
            <w:pPr>
              <w:ind w:left="26"/>
              <w:jc w:val="center"/>
              <w:rPr>
                <w:sz w:val="20"/>
              </w:rPr>
            </w:pPr>
            <w:r>
              <w:rPr>
                <w:sz w:val="20"/>
              </w:rPr>
              <w:t xml:space="preserve">(1,200) </w:t>
            </w:r>
          </w:p>
        </w:tc>
        <w:tc>
          <w:tcPr>
            <w:tcW w:w="555" w:type="pct"/>
            <w:tcBorders>
              <w:top w:val="single" w:sz="8" w:space="0" w:color="000000"/>
              <w:left w:val="single" w:sz="8" w:space="0" w:color="000000"/>
              <w:bottom w:val="single" w:sz="8" w:space="0" w:color="000000"/>
              <w:right w:val="single" w:sz="8" w:space="0" w:color="000000"/>
            </w:tcBorders>
            <w:vAlign w:val="center"/>
            <w:hideMark/>
          </w:tcPr>
          <w:p w14:paraId="7BA5D93B" w14:textId="77777777" w:rsidR="003228A3" w:rsidRDefault="003228A3">
            <w:pPr>
              <w:ind w:left="23"/>
              <w:jc w:val="center"/>
              <w:rPr>
                <w:sz w:val="20"/>
              </w:rPr>
            </w:pPr>
            <w:r>
              <w:rPr>
                <w:sz w:val="20"/>
              </w:rPr>
              <w:t xml:space="preserve">-0,09 </w:t>
            </w:r>
          </w:p>
          <w:p w14:paraId="248BB867" w14:textId="77777777" w:rsidR="003228A3" w:rsidRDefault="003228A3">
            <w:pPr>
              <w:ind w:left="28"/>
              <w:jc w:val="center"/>
              <w:rPr>
                <w:sz w:val="20"/>
              </w:rPr>
            </w:pPr>
            <w:r>
              <w:rPr>
                <w:sz w:val="20"/>
              </w:rPr>
              <w:t xml:space="preserve">(1,056) </w:t>
            </w:r>
          </w:p>
        </w:tc>
        <w:tc>
          <w:tcPr>
            <w:tcW w:w="714" w:type="pct"/>
            <w:tcBorders>
              <w:top w:val="single" w:sz="8" w:space="0" w:color="000000"/>
              <w:left w:val="single" w:sz="8" w:space="0" w:color="000000"/>
              <w:bottom w:val="single" w:sz="8" w:space="0" w:color="000000"/>
              <w:right w:val="single" w:sz="8" w:space="0" w:color="000000"/>
            </w:tcBorders>
            <w:vAlign w:val="center"/>
            <w:hideMark/>
          </w:tcPr>
          <w:p w14:paraId="1F2E0696" w14:textId="77777777" w:rsidR="003228A3" w:rsidRDefault="003228A3">
            <w:pPr>
              <w:ind w:left="25"/>
              <w:jc w:val="center"/>
              <w:rPr>
                <w:sz w:val="20"/>
              </w:rPr>
            </w:pPr>
            <w:r>
              <w:rPr>
                <w:sz w:val="20"/>
              </w:rPr>
              <w:t xml:space="preserve">-0,16 </w:t>
            </w:r>
          </w:p>
          <w:p w14:paraId="43BF60B0" w14:textId="77777777" w:rsidR="003228A3" w:rsidRDefault="003228A3">
            <w:pPr>
              <w:ind w:left="26"/>
              <w:jc w:val="center"/>
              <w:rPr>
                <w:sz w:val="20"/>
              </w:rPr>
            </w:pPr>
            <w:r>
              <w:rPr>
                <w:sz w:val="20"/>
              </w:rPr>
              <w:t xml:space="preserve">(1,234) </w:t>
            </w:r>
          </w:p>
        </w:tc>
        <w:tc>
          <w:tcPr>
            <w:tcW w:w="714" w:type="pct"/>
            <w:tcBorders>
              <w:top w:val="single" w:sz="8" w:space="0" w:color="000000"/>
              <w:left w:val="single" w:sz="8" w:space="0" w:color="000000"/>
              <w:bottom w:val="single" w:sz="8" w:space="0" w:color="000000"/>
              <w:right w:val="single" w:sz="8" w:space="0" w:color="000000"/>
            </w:tcBorders>
            <w:vAlign w:val="center"/>
            <w:hideMark/>
          </w:tcPr>
          <w:p w14:paraId="1FED229F" w14:textId="77777777" w:rsidR="003228A3" w:rsidRDefault="003228A3">
            <w:pPr>
              <w:pStyle w:val="Default"/>
              <w:jc w:val="center"/>
              <w:rPr>
                <w:sz w:val="20"/>
                <w:szCs w:val="20"/>
              </w:rPr>
            </w:pPr>
            <w:r>
              <w:rPr>
                <w:sz w:val="20"/>
                <w:szCs w:val="20"/>
              </w:rPr>
              <w:t>-0,20</w:t>
            </w:r>
          </w:p>
          <w:p w14:paraId="6755E9B4" w14:textId="77777777" w:rsidR="003228A3" w:rsidRDefault="003228A3">
            <w:pPr>
              <w:ind w:left="25"/>
              <w:jc w:val="center"/>
              <w:rPr>
                <w:sz w:val="20"/>
              </w:rPr>
            </w:pPr>
            <w:r>
              <w:rPr>
                <w:sz w:val="20"/>
              </w:rPr>
              <w:t>(1,032)</w:t>
            </w:r>
          </w:p>
        </w:tc>
        <w:tc>
          <w:tcPr>
            <w:tcW w:w="714" w:type="pct"/>
            <w:tcBorders>
              <w:top w:val="single" w:sz="8" w:space="0" w:color="000000"/>
              <w:left w:val="single" w:sz="8" w:space="0" w:color="000000"/>
              <w:bottom w:val="single" w:sz="8" w:space="0" w:color="000000"/>
              <w:right w:val="single" w:sz="8" w:space="0" w:color="000000"/>
            </w:tcBorders>
            <w:vAlign w:val="center"/>
            <w:hideMark/>
          </w:tcPr>
          <w:p w14:paraId="65F38437" w14:textId="77777777" w:rsidR="003228A3" w:rsidRDefault="003228A3">
            <w:pPr>
              <w:pStyle w:val="Default"/>
              <w:jc w:val="center"/>
              <w:rPr>
                <w:sz w:val="20"/>
                <w:szCs w:val="20"/>
              </w:rPr>
            </w:pPr>
            <w:r>
              <w:rPr>
                <w:sz w:val="20"/>
                <w:szCs w:val="20"/>
              </w:rPr>
              <w:t>-0,38</w:t>
            </w:r>
          </w:p>
          <w:p w14:paraId="4A242C6A" w14:textId="77777777" w:rsidR="003228A3" w:rsidRDefault="003228A3">
            <w:pPr>
              <w:ind w:left="25"/>
              <w:jc w:val="center"/>
              <w:rPr>
                <w:sz w:val="20"/>
              </w:rPr>
            </w:pPr>
            <w:r>
              <w:rPr>
                <w:sz w:val="20"/>
              </w:rPr>
              <w:t>(1,344)</w:t>
            </w:r>
          </w:p>
        </w:tc>
      </w:tr>
      <w:tr w:rsidR="003228A3" w14:paraId="5DC96165" w14:textId="77777777" w:rsidTr="00A25ECF">
        <w:trPr>
          <w:trHeight w:val="710"/>
          <w:jc w:val="center"/>
        </w:trPr>
        <w:tc>
          <w:tcPr>
            <w:tcW w:w="1349" w:type="pct"/>
            <w:tcBorders>
              <w:top w:val="single" w:sz="8" w:space="0" w:color="000000"/>
              <w:left w:val="single" w:sz="8" w:space="0" w:color="000000"/>
              <w:bottom w:val="single" w:sz="8" w:space="0" w:color="000000"/>
              <w:right w:val="single" w:sz="8" w:space="0" w:color="000000"/>
            </w:tcBorders>
            <w:hideMark/>
          </w:tcPr>
          <w:p w14:paraId="762FCD31" w14:textId="77777777" w:rsidR="003228A3" w:rsidRDefault="003228A3">
            <w:pPr>
              <w:ind w:left="108" w:right="76"/>
              <w:rPr>
                <w:sz w:val="20"/>
              </w:rPr>
            </w:pPr>
            <w:r>
              <w:rPr>
                <w:sz w:val="20"/>
              </w:rPr>
              <w:t xml:space="preserve">Gennemsnitlig (SD) ændring i BMD Z-resultat for columna lumbalis fra baseline </w:t>
            </w:r>
          </w:p>
        </w:tc>
        <w:tc>
          <w:tcPr>
            <w:tcW w:w="476" w:type="pct"/>
            <w:tcBorders>
              <w:top w:val="single" w:sz="8" w:space="0" w:color="000000"/>
              <w:left w:val="single" w:sz="8" w:space="0" w:color="000000"/>
              <w:bottom w:val="single" w:sz="8" w:space="0" w:color="000000"/>
              <w:right w:val="single" w:sz="8" w:space="0" w:color="000000"/>
            </w:tcBorders>
            <w:vAlign w:val="center"/>
            <w:hideMark/>
          </w:tcPr>
          <w:p w14:paraId="22DFCEE8" w14:textId="77777777" w:rsidR="003228A3" w:rsidRDefault="003228A3">
            <w:pPr>
              <w:ind w:left="26"/>
              <w:jc w:val="center"/>
              <w:rPr>
                <w:sz w:val="20"/>
              </w:rPr>
            </w:pPr>
            <w:r>
              <w:rPr>
                <w:sz w:val="20"/>
              </w:rPr>
              <w:t xml:space="preserve">n/a </w:t>
            </w:r>
          </w:p>
        </w:tc>
        <w:tc>
          <w:tcPr>
            <w:tcW w:w="476" w:type="pct"/>
            <w:tcBorders>
              <w:top w:val="single" w:sz="8" w:space="0" w:color="000000"/>
              <w:left w:val="single" w:sz="8" w:space="0" w:color="000000"/>
              <w:bottom w:val="single" w:sz="8" w:space="0" w:color="000000"/>
              <w:right w:val="single" w:sz="8" w:space="0" w:color="000000"/>
            </w:tcBorders>
            <w:vAlign w:val="center"/>
            <w:hideMark/>
          </w:tcPr>
          <w:p w14:paraId="7F1168BA" w14:textId="77777777" w:rsidR="003228A3" w:rsidRDefault="003228A3">
            <w:pPr>
              <w:ind w:left="26"/>
              <w:jc w:val="center"/>
              <w:rPr>
                <w:sz w:val="20"/>
              </w:rPr>
            </w:pPr>
            <w:r>
              <w:rPr>
                <w:sz w:val="20"/>
              </w:rPr>
              <w:t xml:space="preserve">n/a </w:t>
            </w:r>
          </w:p>
        </w:tc>
        <w:tc>
          <w:tcPr>
            <w:tcW w:w="555" w:type="pct"/>
            <w:tcBorders>
              <w:top w:val="single" w:sz="8" w:space="0" w:color="000000"/>
              <w:left w:val="single" w:sz="8" w:space="0" w:color="000000"/>
              <w:bottom w:val="single" w:sz="8" w:space="0" w:color="000000"/>
              <w:right w:val="single" w:sz="8" w:space="0" w:color="000000"/>
            </w:tcBorders>
            <w:vAlign w:val="center"/>
            <w:hideMark/>
          </w:tcPr>
          <w:p w14:paraId="59EBAE97" w14:textId="77777777" w:rsidR="003228A3" w:rsidRDefault="003228A3">
            <w:pPr>
              <w:ind w:left="23"/>
              <w:jc w:val="center"/>
              <w:rPr>
                <w:sz w:val="20"/>
              </w:rPr>
            </w:pPr>
            <w:r>
              <w:rPr>
                <w:sz w:val="20"/>
              </w:rPr>
              <w:t xml:space="preserve">-0,03  </w:t>
            </w:r>
          </w:p>
          <w:p w14:paraId="4195BCFC" w14:textId="77777777" w:rsidR="003228A3" w:rsidRDefault="003228A3">
            <w:pPr>
              <w:ind w:left="28"/>
              <w:jc w:val="center"/>
              <w:rPr>
                <w:sz w:val="20"/>
              </w:rPr>
            </w:pPr>
            <w:r>
              <w:rPr>
                <w:sz w:val="20"/>
              </w:rPr>
              <w:t xml:space="preserve">(0,464) </w:t>
            </w:r>
          </w:p>
        </w:tc>
        <w:tc>
          <w:tcPr>
            <w:tcW w:w="714" w:type="pct"/>
            <w:tcBorders>
              <w:top w:val="single" w:sz="8" w:space="0" w:color="000000"/>
              <w:left w:val="single" w:sz="8" w:space="0" w:color="000000"/>
              <w:bottom w:val="single" w:sz="8" w:space="0" w:color="000000"/>
              <w:right w:val="single" w:sz="8" w:space="0" w:color="000000"/>
            </w:tcBorders>
            <w:vAlign w:val="center"/>
            <w:hideMark/>
          </w:tcPr>
          <w:p w14:paraId="287FD921" w14:textId="77777777" w:rsidR="003228A3" w:rsidRDefault="003228A3">
            <w:pPr>
              <w:ind w:left="28"/>
              <w:jc w:val="center"/>
              <w:rPr>
                <w:sz w:val="20"/>
              </w:rPr>
            </w:pPr>
            <w:r>
              <w:rPr>
                <w:sz w:val="20"/>
              </w:rPr>
              <w:t xml:space="preserve">0,23 </w:t>
            </w:r>
          </w:p>
          <w:p w14:paraId="4BB988B3" w14:textId="77777777" w:rsidR="003228A3" w:rsidRDefault="003228A3">
            <w:pPr>
              <w:ind w:left="26"/>
              <w:jc w:val="center"/>
              <w:rPr>
                <w:sz w:val="20"/>
              </w:rPr>
            </w:pPr>
            <w:r>
              <w:rPr>
                <w:sz w:val="20"/>
              </w:rPr>
              <w:t xml:space="preserve">(0,409) </w:t>
            </w:r>
          </w:p>
        </w:tc>
        <w:tc>
          <w:tcPr>
            <w:tcW w:w="714" w:type="pct"/>
            <w:tcBorders>
              <w:top w:val="single" w:sz="8" w:space="0" w:color="000000"/>
              <w:left w:val="single" w:sz="8" w:space="0" w:color="000000"/>
              <w:bottom w:val="single" w:sz="8" w:space="0" w:color="000000"/>
              <w:right w:val="single" w:sz="8" w:space="0" w:color="000000"/>
            </w:tcBorders>
            <w:vAlign w:val="center"/>
            <w:hideMark/>
          </w:tcPr>
          <w:p w14:paraId="27BE2055" w14:textId="77777777" w:rsidR="003228A3" w:rsidRDefault="003228A3">
            <w:pPr>
              <w:pStyle w:val="Default"/>
              <w:jc w:val="center"/>
              <w:rPr>
                <w:sz w:val="20"/>
                <w:szCs w:val="20"/>
              </w:rPr>
            </w:pPr>
            <w:r>
              <w:rPr>
                <w:sz w:val="20"/>
                <w:szCs w:val="20"/>
              </w:rPr>
              <w:t>-0,15</w:t>
            </w:r>
          </w:p>
          <w:p w14:paraId="43EB2689" w14:textId="77777777" w:rsidR="003228A3" w:rsidRDefault="003228A3">
            <w:pPr>
              <w:ind w:left="28"/>
              <w:jc w:val="center"/>
              <w:rPr>
                <w:sz w:val="20"/>
              </w:rPr>
            </w:pPr>
            <w:r>
              <w:rPr>
                <w:sz w:val="20"/>
              </w:rPr>
              <w:t>(0,661)</w:t>
            </w:r>
          </w:p>
        </w:tc>
        <w:tc>
          <w:tcPr>
            <w:tcW w:w="714" w:type="pct"/>
            <w:tcBorders>
              <w:top w:val="single" w:sz="8" w:space="0" w:color="000000"/>
              <w:left w:val="single" w:sz="8" w:space="0" w:color="000000"/>
              <w:bottom w:val="single" w:sz="8" w:space="0" w:color="000000"/>
              <w:right w:val="single" w:sz="8" w:space="0" w:color="000000"/>
            </w:tcBorders>
            <w:vAlign w:val="center"/>
            <w:hideMark/>
          </w:tcPr>
          <w:p w14:paraId="2F321E74" w14:textId="77777777" w:rsidR="003228A3" w:rsidRDefault="003228A3">
            <w:pPr>
              <w:pStyle w:val="Default"/>
              <w:jc w:val="center"/>
              <w:rPr>
                <w:sz w:val="20"/>
                <w:szCs w:val="20"/>
              </w:rPr>
            </w:pPr>
            <w:r>
              <w:rPr>
                <w:sz w:val="20"/>
                <w:szCs w:val="20"/>
              </w:rPr>
              <w:t>0,21</w:t>
            </w:r>
          </w:p>
          <w:p w14:paraId="30C702F6" w14:textId="77777777" w:rsidR="003228A3" w:rsidRDefault="003228A3">
            <w:pPr>
              <w:ind w:left="28"/>
              <w:jc w:val="center"/>
              <w:rPr>
                <w:sz w:val="20"/>
              </w:rPr>
            </w:pPr>
            <w:r>
              <w:rPr>
                <w:sz w:val="20"/>
              </w:rPr>
              <w:t>(0,812)</w:t>
            </w:r>
          </w:p>
        </w:tc>
      </w:tr>
      <w:tr w:rsidR="003228A3" w14:paraId="5ABF1AF2" w14:textId="77777777" w:rsidTr="00A25ECF">
        <w:trPr>
          <w:trHeight w:val="480"/>
          <w:jc w:val="center"/>
        </w:trPr>
        <w:tc>
          <w:tcPr>
            <w:tcW w:w="1349" w:type="pct"/>
            <w:tcBorders>
              <w:top w:val="single" w:sz="8" w:space="0" w:color="000000"/>
              <w:left w:val="single" w:sz="8" w:space="0" w:color="000000"/>
              <w:bottom w:val="single" w:sz="8" w:space="0" w:color="000000"/>
              <w:right w:val="single" w:sz="8" w:space="0" w:color="000000"/>
            </w:tcBorders>
            <w:hideMark/>
          </w:tcPr>
          <w:p w14:paraId="11AA4B37" w14:textId="77777777" w:rsidR="003228A3" w:rsidRDefault="003228A3">
            <w:pPr>
              <w:ind w:left="108"/>
              <w:rPr>
                <w:sz w:val="20"/>
              </w:rPr>
            </w:pPr>
            <w:r>
              <w:rPr>
                <w:sz w:val="20"/>
              </w:rPr>
              <w:t xml:space="preserve">Gennemsnitligt (SD) BMD Z-resultat for hele kroppen </w:t>
            </w:r>
          </w:p>
        </w:tc>
        <w:tc>
          <w:tcPr>
            <w:tcW w:w="476" w:type="pct"/>
            <w:tcBorders>
              <w:top w:val="single" w:sz="8" w:space="0" w:color="000000"/>
              <w:left w:val="single" w:sz="8" w:space="0" w:color="000000"/>
              <w:bottom w:val="single" w:sz="4" w:space="0" w:color="auto"/>
              <w:right w:val="single" w:sz="8" w:space="0" w:color="000000"/>
            </w:tcBorders>
            <w:vAlign w:val="center"/>
            <w:hideMark/>
          </w:tcPr>
          <w:p w14:paraId="4D14498F" w14:textId="77777777" w:rsidR="003228A3" w:rsidRDefault="003228A3">
            <w:pPr>
              <w:ind w:left="28"/>
              <w:jc w:val="center"/>
              <w:rPr>
                <w:sz w:val="20"/>
              </w:rPr>
            </w:pPr>
            <w:r>
              <w:rPr>
                <w:sz w:val="20"/>
              </w:rPr>
              <w:t xml:space="preserve">-0,46 </w:t>
            </w:r>
          </w:p>
          <w:p w14:paraId="1E56BEDB" w14:textId="77777777" w:rsidR="003228A3" w:rsidRDefault="003228A3">
            <w:pPr>
              <w:ind w:left="26"/>
              <w:jc w:val="center"/>
              <w:rPr>
                <w:sz w:val="20"/>
              </w:rPr>
            </w:pPr>
            <w:r>
              <w:rPr>
                <w:sz w:val="20"/>
              </w:rPr>
              <w:t xml:space="preserve">(1,113) </w:t>
            </w:r>
          </w:p>
        </w:tc>
        <w:tc>
          <w:tcPr>
            <w:tcW w:w="476" w:type="pct"/>
            <w:tcBorders>
              <w:top w:val="single" w:sz="8" w:space="0" w:color="000000"/>
              <w:left w:val="single" w:sz="8" w:space="0" w:color="000000"/>
              <w:bottom w:val="single" w:sz="4" w:space="0" w:color="auto"/>
              <w:right w:val="single" w:sz="8" w:space="0" w:color="000000"/>
            </w:tcBorders>
            <w:vAlign w:val="center"/>
            <w:hideMark/>
          </w:tcPr>
          <w:p w14:paraId="00E48B1D" w14:textId="77777777" w:rsidR="003228A3" w:rsidRDefault="003228A3">
            <w:pPr>
              <w:ind w:left="25"/>
              <w:jc w:val="center"/>
              <w:rPr>
                <w:sz w:val="20"/>
              </w:rPr>
            </w:pPr>
            <w:r>
              <w:rPr>
                <w:sz w:val="20"/>
              </w:rPr>
              <w:t xml:space="preserve">-0,34 </w:t>
            </w:r>
          </w:p>
          <w:p w14:paraId="5AB989D0" w14:textId="77777777" w:rsidR="003228A3" w:rsidRDefault="003228A3">
            <w:pPr>
              <w:ind w:left="26"/>
              <w:jc w:val="center"/>
              <w:rPr>
                <w:sz w:val="20"/>
              </w:rPr>
            </w:pPr>
            <w:r>
              <w:rPr>
                <w:sz w:val="20"/>
              </w:rPr>
              <w:t xml:space="preserve">(1,468) </w:t>
            </w:r>
          </w:p>
        </w:tc>
        <w:tc>
          <w:tcPr>
            <w:tcW w:w="555" w:type="pct"/>
            <w:tcBorders>
              <w:top w:val="single" w:sz="8" w:space="0" w:color="000000"/>
              <w:left w:val="single" w:sz="8" w:space="0" w:color="000000"/>
              <w:bottom w:val="single" w:sz="4" w:space="0" w:color="auto"/>
              <w:right w:val="single" w:sz="8" w:space="0" w:color="000000"/>
            </w:tcBorders>
            <w:vAlign w:val="center"/>
            <w:hideMark/>
          </w:tcPr>
          <w:p w14:paraId="1AE8C5D6" w14:textId="77777777" w:rsidR="003228A3" w:rsidRDefault="003228A3">
            <w:pPr>
              <w:ind w:left="23"/>
              <w:jc w:val="center"/>
              <w:rPr>
                <w:sz w:val="20"/>
              </w:rPr>
            </w:pPr>
            <w:r>
              <w:rPr>
                <w:sz w:val="20"/>
              </w:rPr>
              <w:t xml:space="preserve">-0,57 </w:t>
            </w:r>
          </w:p>
          <w:p w14:paraId="6EFA5671" w14:textId="77777777" w:rsidR="003228A3" w:rsidRDefault="003228A3">
            <w:pPr>
              <w:ind w:left="28"/>
              <w:jc w:val="center"/>
              <w:rPr>
                <w:sz w:val="20"/>
              </w:rPr>
            </w:pPr>
            <w:r>
              <w:rPr>
                <w:sz w:val="20"/>
              </w:rPr>
              <w:t xml:space="preserve">(0,978) </w:t>
            </w:r>
          </w:p>
        </w:tc>
        <w:tc>
          <w:tcPr>
            <w:tcW w:w="714" w:type="pct"/>
            <w:tcBorders>
              <w:top w:val="single" w:sz="8" w:space="0" w:color="000000"/>
              <w:left w:val="single" w:sz="8" w:space="0" w:color="000000"/>
              <w:bottom w:val="single" w:sz="4" w:space="0" w:color="auto"/>
              <w:right w:val="single" w:sz="8" w:space="0" w:color="000000"/>
            </w:tcBorders>
            <w:vAlign w:val="center"/>
            <w:hideMark/>
          </w:tcPr>
          <w:p w14:paraId="14D313A1" w14:textId="77777777" w:rsidR="003228A3" w:rsidRDefault="003228A3">
            <w:pPr>
              <w:ind w:left="28"/>
              <w:jc w:val="center"/>
              <w:rPr>
                <w:sz w:val="20"/>
              </w:rPr>
            </w:pPr>
            <w:r>
              <w:rPr>
                <w:sz w:val="20"/>
              </w:rPr>
              <w:t xml:space="preserve">-0,05 </w:t>
            </w:r>
          </w:p>
          <w:p w14:paraId="00A4D498" w14:textId="77777777" w:rsidR="003228A3" w:rsidRDefault="003228A3">
            <w:pPr>
              <w:ind w:left="26"/>
              <w:jc w:val="center"/>
              <w:rPr>
                <w:sz w:val="20"/>
              </w:rPr>
            </w:pPr>
            <w:r>
              <w:rPr>
                <w:sz w:val="20"/>
              </w:rPr>
              <w:t xml:space="preserve">(1,360) </w:t>
            </w:r>
          </w:p>
        </w:tc>
        <w:tc>
          <w:tcPr>
            <w:tcW w:w="714" w:type="pct"/>
            <w:tcBorders>
              <w:top w:val="single" w:sz="8" w:space="0" w:color="000000"/>
              <w:left w:val="single" w:sz="8" w:space="0" w:color="000000"/>
              <w:bottom w:val="single" w:sz="4" w:space="0" w:color="auto"/>
              <w:right w:val="single" w:sz="8" w:space="0" w:color="000000"/>
            </w:tcBorders>
            <w:vAlign w:val="center"/>
            <w:hideMark/>
          </w:tcPr>
          <w:p w14:paraId="4E7C7B2C" w14:textId="77777777" w:rsidR="003228A3" w:rsidRDefault="003228A3">
            <w:pPr>
              <w:pStyle w:val="Default"/>
              <w:jc w:val="center"/>
              <w:rPr>
                <w:sz w:val="20"/>
                <w:szCs w:val="20"/>
              </w:rPr>
            </w:pPr>
            <w:r>
              <w:rPr>
                <w:sz w:val="20"/>
                <w:szCs w:val="20"/>
              </w:rPr>
              <w:t>-0,56</w:t>
            </w:r>
          </w:p>
          <w:p w14:paraId="188E2A6B" w14:textId="77777777" w:rsidR="003228A3" w:rsidRDefault="003228A3">
            <w:pPr>
              <w:ind w:left="28"/>
              <w:jc w:val="center"/>
              <w:rPr>
                <w:sz w:val="20"/>
              </w:rPr>
            </w:pPr>
            <w:r>
              <w:rPr>
                <w:sz w:val="20"/>
              </w:rPr>
              <w:t>(1,082)</w:t>
            </w:r>
          </w:p>
        </w:tc>
        <w:tc>
          <w:tcPr>
            <w:tcW w:w="714" w:type="pct"/>
            <w:tcBorders>
              <w:top w:val="single" w:sz="8" w:space="0" w:color="000000"/>
              <w:left w:val="single" w:sz="8" w:space="0" w:color="000000"/>
              <w:bottom w:val="single" w:sz="4" w:space="0" w:color="auto"/>
              <w:right w:val="single" w:sz="8" w:space="0" w:color="000000"/>
            </w:tcBorders>
            <w:vAlign w:val="center"/>
            <w:hideMark/>
          </w:tcPr>
          <w:p w14:paraId="20FE0B3D" w14:textId="77777777" w:rsidR="003228A3" w:rsidRDefault="003228A3">
            <w:pPr>
              <w:pStyle w:val="Default"/>
              <w:jc w:val="center"/>
              <w:rPr>
                <w:sz w:val="20"/>
                <w:szCs w:val="20"/>
              </w:rPr>
            </w:pPr>
            <w:r>
              <w:rPr>
                <w:sz w:val="20"/>
                <w:szCs w:val="20"/>
              </w:rPr>
              <w:t>-0,31</w:t>
            </w:r>
          </w:p>
          <w:p w14:paraId="4D01D7C2" w14:textId="77777777" w:rsidR="003228A3" w:rsidRDefault="003228A3">
            <w:pPr>
              <w:ind w:left="28"/>
              <w:jc w:val="center"/>
              <w:rPr>
                <w:sz w:val="20"/>
              </w:rPr>
            </w:pPr>
            <w:r>
              <w:rPr>
                <w:sz w:val="20"/>
              </w:rPr>
              <w:t>(1,418)</w:t>
            </w:r>
          </w:p>
        </w:tc>
      </w:tr>
      <w:tr w:rsidR="003228A3" w14:paraId="1E736854" w14:textId="77777777" w:rsidTr="00A25ECF">
        <w:trPr>
          <w:trHeight w:val="785"/>
          <w:jc w:val="center"/>
        </w:trPr>
        <w:tc>
          <w:tcPr>
            <w:tcW w:w="1349" w:type="pct"/>
            <w:tcBorders>
              <w:top w:val="single" w:sz="8" w:space="0" w:color="000000"/>
              <w:left w:val="single" w:sz="8" w:space="0" w:color="000000"/>
              <w:bottom w:val="single" w:sz="4" w:space="0" w:color="auto"/>
              <w:right w:val="single" w:sz="4" w:space="0" w:color="auto"/>
            </w:tcBorders>
            <w:hideMark/>
          </w:tcPr>
          <w:p w14:paraId="70799E36" w14:textId="77777777" w:rsidR="003228A3" w:rsidRDefault="003228A3">
            <w:pPr>
              <w:ind w:left="108"/>
              <w:rPr>
                <w:sz w:val="20"/>
              </w:rPr>
            </w:pPr>
            <w:r>
              <w:rPr>
                <w:sz w:val="20"/>
              </w:rPr>
              <w:t>Gennemsnitlig (SD) ændring i BMD Z-resultat for hele kroppen fra baseline</w:t>
            </w:r>
          </w:p>
          <w:p w14:paraId="04B777D4" w14:textId="77777777" w:rsidR="003228A3" w:rsidRDefault="003228A3">
            <w:pPr>
              <w:ind w:left="108" w:right="76"/>
              <w:rPr>
                <w:sz w:val="20"/>
              </w:rPr>
            </w:pPr>
            <w:r>
              <w:rPr>
                <w:sz w:val="20"/>
              </w:rPr>
              <w:t xml:space="preserve"> </w:t>
            </w:r>
          </w:p>
        </w:tc>
        <w:tc>
          <w:tcPr>
            <w:tcW w:w="476" w:type="pct"/>
            <w:tcBorders>
              <w:top w:val="single" w:sz="4" w:space="0" w:color="auto"/>
              <w:left w:val="single" w:sz="4" w:space="0" w:color="auto"/>
              <w:bottom w:val="single" w:sz="4" w:space="0" w:color="auto"/>
              <w:right w:val="single" w:sz="4" w:space="0" w:color="auto"/>
            </w:tcBorders>
            <w:vAlign w:val="center"/>
            <w:hideMark/>
          </w:tcPr>
          <w:p w14:paraId="0D7CBD63" w14:textId="77777777" w:rsidR="003228A3" w:rsidRDefault="003228A3">
            <w:pPr>
              <w:ind w:left="26"/>
              <w:jc w:val="center"/>
              <w:rPr>
                <w:sz w:val="20"/>
              </w:rPr>
            </w:pPr>
            <w:r>
              <w:rPr>
                <w:sz w:val="20"/>
              </w:rPr>
              <w:t xml:space="preserve">n/a </w:t>
            </w:r>
          </w:p>
        </w:tc>
        <w:tc>
          <w:tcPr>
            <w:tcW w:w="476" w:type="pct"/>
            <w:tcBorders>
              <w:top w:val="single" w:sz="4" w:space="0" w:color="auto"/>
              <w:left w:val="single" w:sz="4" w:space="0" w:color="auto"/>
              <w:bottom w:val="single" w:sz="4" w:space="0" w:color="auto"/>
              <w:right w:val="single" w:sz="8" w:space="0" w:color="000000"/>
            </w:tcBorders>
            <w:vAlign w:val="center"/>
            <w:hideMark/>
          </w:tcPr>
          <w:p w14:paraId="057A2961" w14:textId="77777777" w:rsidR="003228A3" w:rsidRDefault="003228A3">
            <w:pPr>
              <w:ind w:left="26"/>
              <w:jc w:val="center"/>
              <w:rPr>
                <w:sz w:val="20"/>
              </w:rPr>
            </w:pPr>
            <w:r>
              <w:rPr>
                <w:sz w:val="20"/>
              </w:rPr>
              <w:t xml:space="preserve">n/a </w:t>
            </w:r>
          </w:p>
        </w:tc>
        <w:tc>
          <w:tcPr>
            <w:tcW w:w="555" w:type="pct"/>
            <w:tcBorders>
              <w:top w:val="single" w:sz="4" w:space="0" w:color="auto"/>
              <w:left w:val="single" w:sz="8" w:space="0" w:color="000000"/>
              <w:bottom w:val="single" w:sz="4" w:space="0" w:color="auto"/>
              <w:right w:val="single" w:sz="8" w:space="0" w:color="000000"/>
            </w:tcBorders>
            <w:vAlign w:val="center"/>
            <w:hideMark/>
          </w:tcPr>
          <w:p w14:paraId="3A921A5F" w14:textId="77777777" w:rsidR="003228A3" w:rsidRDefault="003228A3">
            <w:pPr>
              <w:ind w:left="28"/>
              <w:jc w:val="center"/>
              <w:rPr>
                <w:sz w:val="20"/>
              </w:rPr>
            </w:pPr>
            <w:r>
              <w:rPr>
                <w:sz w:val="20"/>
              </w:rPr>
              <w:t xml:space="preserve">-0,18 </w:t>
            </w:r>
          </w:p>
          <w:p w14:paraId="120A87D4" w14:textId="77777777" w:rsidR="003228A3" w:rsidRDefault="003228A3">
            <w:pPr>
              <w:jc w:val="center"/>
              <w:rPr>
                <w:sz w:val="20"/>
              </w:rPr>
            </w:pPr>
            <w:r>
              <w:rPr>
                <w:sz w:val="20"/>
              </w:rPr>
              <w:t xml:space="preserve">(0,514) </w:t>
            </w:r>
          </w:p>
        </w:tc>
        <w:tc>
          <w:tcPr>
            <w:tcW w:w="714" w:type="pct"/>
            <w:tcBorders>
              <w:top w:val="single" w:sz="4" w:space="0" w:color="auto"/>
              <w:left w:val="single" w:sz="8" w:space="0" w:color="000000"/>
              <w:bottom w:val="single" w:sz="4" w:space="0" w:color="auto"/>
              <w:right w:val="single" w:sz="4" w:space="0" w:color="auto"/>
            </w:tcBorders>
            <w:vAlign w:val="center"/>
            <w:hideMark/>
          </w:tcPr>
          <w:p w14:paraId="39099746" w14:textId="77777777" w:rsidR="003228A3" w:rsidRDefault="003228A3">
            <w:pPr>
              <w:ind w:left="28"/>
              <w:jc w:val="center"/>
              <w:rPr>
                <w:sz w:val="20"/>
              </w:rPr>
            </w:pPr>
            <w:r>
              <w:rPr>
                <w:sz w:val="20"/>
              </w:rPr>
              <w:t xml:space="preserve">0,26 </w:t>
            </w:r>
          </w:p>
          <w:p w14:paraId="3FFD284E" w14:textId="77777777" w:rsidR="003228A3" w:rsidRDefault="003228A3">
            <w:pPr>
              <w:ind w:right="3"/>
              <w:jc w:val="center"/>
              <w:rPr>
                <w:sz w:val="20"/>
              </w:rPr>
            </w:pPr>
            <w:r>
              <w:rPr>
                <w:sz w:val="20"/>
              </w:rPr>
              <w:t xml:space="preserve">(0,516) </w:t>
            </w:r>
          </w:p>
        </w:tc>
        <w:tc>
          <w:tcPr>
            <w:tcW w:w="714" w:type="pct"/>
            <w:tcBorders>
              <w:top w:val="single" w:sz="4" w:space="0" w:color="auto"/>
              <w:left w:val="single" w:sz="8" w:space="0" w:color="000000"/>
              <w:bottom w:val="single" w:sz="4" w:space="0" w:color="auto"/>
              <w:right w:val="single" w:sz="4" w:space="0" w:color="auto"/>
            </w:tcBorders>
            <w:vAlign w:val="center"/>
            <w:hideMark/>
          </w:tcPr>
          <w:p w14:paraId="6E0003F0" w14:textId="77777777" w:rsidR="003228A3" w:rsidRDefault="003228A3">
            <w:pPr>
              <w:pStyle w:val="Default"/>
              <w:jc w:val="center"/>
              <w:rPr>
                <w:sz w:val="20"/>
                <w:szCs w:val="20"/>
              </w:rPr>
            </w:pPr>
            <w:r>
              <w:rPr>
                <w:sz w:val="20"/>
                <w:szCs w:val="20"/>
              </w:rPr>
              <w:t>-0,18</w:t>
            </w:r>
          </w:p>
          <w:p w14:paraId="11A3F298" w14:textId="77777777" w:rsidR="003228A3" w:rsidRDefault="003228A3">
            <w:pPr>
              <w:ind w:left="28"/>
              <w:jc w:val="center"/>
              <w:rPr>
                <w:sz w:val="20"/>
              </w:rPr>
            </w:pPr>
            <w:r>
              <w:rPr>
                <w:sz w:val="20"/>
              </w:rPr>
              <w:t>(1,020)</w:t>
            </w:r>
          </w:p>
        </w:tc>
        <w:tc>
          <w:tcPr>
            <w:tcW w:w="714" w:type="pct"/>
            <w:tcBorders>
              <w:top w:val="single" w:sz="4" w:space="0" w:color="auto"/>
              <w:left w:val="single" w:sz="8" w:space="0" w:color="000000"/>
              <w:bottom w:val="single" w:sz="4" w:space="0" w:color="auto"/>
              <w:right w:val="single" w:sz="4" w:space="0" w:color="auto"/>
            </w:tcBorders>
            <w:vAlign w:val="center"/>
            <w:hideMark/>
          </w:tcPr>
          <w:p w14:paraId="599E73FB" w14:textId="77777777" w:rsidR="003228A3" w:rsidRDefault="003228A3">
            <w:pPr>
              <w:pStyle w:val="Default"/>
              <w:jc w:val="center"/>
              <w:rPr>
                <w:sz w:val="20"/>
                <w:szCs w:val="20"/>
              </w:rPr>
            </w:pPr>
            <w:r>
              <w:rPr>
                <w:sz w:val="20"/>
                <w:szCs w:val="20"/>
              </w:rPr>
              <w:t>0,38</w:t>
            </w:r>
          </w:p>
          <w:p w14:paraId="2ED437F4" w14:textId="77777777" w:rsidR="003228A3" w:rsidRDefault="003228A3">
            <w:pPr>
              <w:ind w:left="28"/>
              <w:jc w:val="center"/>
              <w:rPr>
                <w:sz w:val="20"/>
              </w:rPr>
            </w:pPr>
            <w:r>
              <w:rPr>
                <w:sz w:val="20"/>
              </w:rPr>
              <w:t>(0,934)</w:t>
            </w:r>
          </w:p>
        </w:tc>
      </w:tr>
      <w:tr w:rsidR="003228A3" w14:paraId="564EA0FB" w14:textId="77777777" w:rsidTr="00A25ECF">
        <w:trPr>
          <w:trHeight w:val="480"/>
          <w:jc w:val="center"/>
        </w:trPr>
        <w:tc>
          <w:tcPr>
            <w:tcW w:w="1349" w:type="pct"/>
            <w:tcBorders>
              <w:top w:val="single" w:sz="4" w:space="0" w:color="auto"/>
              <w:left w:val="single" w:sz="8" w:space="0" w:color="000000"/>
              <w:bottom w:val="single" w:sz="8" w:space="0" w:color="000000"/>
              <w:right w:val="single" w:sz="8" w:space="0" w:color="000000"/>
            </w:tcBorders>
          </w:tcPr>
          <w:p w14:paraId="4C762C71" w14:textId="77777777" w:rsidR="003228A3" w:rsidRDefault="003228A3">
            <w:pPr>
              <w:pStyle w:val="Default"/>
              <w:rPr>
                <w:sz w:val="13"/>
                <w:szCs w:val="13"/>
                <w:vertAlign w:val="superscript"/>
              </w:rPr>
            </w:pPr>
            <w:r>
              <w:rPr>
                <w:sz w:val="20"/>
                <w:szCs w:val="20"/>
              </w:rPr>
              <w:lastRenderedPageBreak/>
              <w:t>Kumulativ incidens ≥ 4 % fald i BMD for columna lumbalis</w:t>
            </w:r>
            <w:r>
              <w:rPr>
                <w:sz w:val="20"/>
                <w:szCs w:val="20"/>
                <w:vertAlign w:val="superscript"/>
              </w:rPr>
              <w:t>a</w:t>
            </w:r>
          </w:p>
          <w:p w14:paraId="6C93C14A" w14:textId="77777777" w:rsidR="003228A3" w:rsidRDefault="003228A3">
            <w:pPr>
              <w:rPr>
                <w:sz w:val="20"/>
              </w:rPr>
            </w:pPr>
          </w:p>
        </w:tc>
        <w:tc>
          <w:tcPr>
            <w:tcW w:w="476" w:type="pct"/>
            <w:tcBorders>
              <w:top w:val="single" w:sz="4" w:space="0" w:color="auto"/>
              <w:left w:val="single" w:sz="8" w:space="0" w:color="000000"/>
              <w:bottom w:val="single" w:sz="8" w:space="0" w:color="000000"/>
              <w:right w:val="single" w:sz="8" w:space="0" w:color="000000"/>
            </w:tcBorders>
            <w:vAlign w:val="center"/>
            <w:hideMark/>
          </w:tcPr>
          <w:p w14:paraId="7B6B36B4" w14:textId="77777777" w:rsidR="003228A3" w:rsidRDefault="003228A3">
            <w:pPr>
              <w:ind w:right="2"/>
              <w:jc w:val="center"/>
              <w:rPr>
                <w:sz w:val="20"/>
              </w:rPr>
            </w:pPr>
            <w:r>
              <w:rPr>
                <w:sz w:val="20"/>
              </w:rPr>
              <w:t xml:space="preserve">n/a </w:t>
            </w:r>
          </w:p>
        </w:tc>
        <w:tc>
          <w:tcPr>
            <w:tcW w:w="476" w:type="pct"/>
            <w:tcBorders>
              <w:top w:val="single" w:sz="4" w:space="0" w:color="auto"/>
              <w:left w:val="single" w:sz="8" w:space="0" w:color="000000"/>
              <w:bottom w:val="single" w:sz="8" w:space="0" w:color="000000"/>
              <w:right w:val="single" w:sz="8" w:space="0" w:color="000000"/>
            </w:tcBorders>
            <w:vAlign w:val="center"/>
            <w:hideMark/>
          </w:tcPr>
          <w:p w14:paraId="5B1E9D49" w14:textId="77777777" w:rsidR="003228A3" w:rsidRDefault="003228A3">
            <w:pPr>
              <w:ind w:right="2"/>
              <w:jc w:val="center"/>
              <w:rPr>
                <w:sz w:val="20"/>
              </w:rPr>
            </w:pPr>
            <w:r>
              <w:rPr>
                <w:sz w:val="20"/>
              </w:rPr>
              <w:t xml:space="preserve">n/a </w:t>
            </w:r>
          </w:p>
        </w:tc>
        <w:tc>
          <w:tcPr>
            <w:tcW w:w="555" w:type="pct"/>
            <w:tcBorders>
              <w:top w:val="single" w:sz="4" w:space="0" w:color="auto"/>
              <w:left w:val="single" w:sz="8" w:space="0" w:color="000000"/>
              <w:bottom w:val="single" w:sz="8" w:space="0" w:color="000000"/>
              <w:right w:val="single" w:sz="8" w:space="0" w:color="000000"/>
            </w:tcBorders>
            <w:vAlign w:val="center"/>
            <w:hideMark/>
          </w:tcPr>
          <w:p w14:paraId="4084EA23" w14:textId="77777777" w:rsidR="003228A3" w:rsidRDefault="003228A3">
            <w:pPr>
              <w:ind w:left="86" w:right="89"/>
              <w:jc w:val="center"/>
              <w:rPr>
                <w:sz w:val="20"/>
              </w:rPr>
            </w:pPr>
            <w:r>
              <w:rPr>
                <w:sz w:val="20"/>
              </w:rPr>
              <w:t xml:space="preserve">18,3 % </w:t>
            </w:r>
          </w:p>
        </w:tc>
        <w:tc>
          <w:tcPr>
            <w:tcW w:w="714" w:type="pct"/>
            <w:tcBorders>
              <w:top w:val="single" w:sz="4" w:space="0" w:color="auto"/>
              <w:left w:val="single" w:sz="8" w:space="0" w:color="000000"/>
              <w:bottom w:val="single" w:sz="8" w:space="0" w:color="000000"/>
              <w:right w:val="single" w:sz="8" w:space="0" w:color="000000"/>
            </w:tcBorders>
            <w:vAlign w:val="center"/>
            <w:hideMark/>
          </w:tcPr>
          <w:p w14:paraId="46171AC7" w14:textId="77777777" w:rsidR="003228A3" w:rsidRDefault="003228A3">
            <w:pPr>
              <w:ind w:left="190" w:right="195"/>
              <w:jc w:val="center"/>
              <w:rPr>
                <w:sz w:val="20"/>
              </w:rPr>
            </w:pPr>
            <w:r>
              <w:rPr>
                <w:sz w:val="20"/>
              </w:rPr>
              <w:t xml:space="preserve">6,9 % </w:t>
            </w:r>
          </w:p>
        </w:tc>
        <w:tc>
          <w:tcPr>
            <w:tcW w:w="714" w:type="pct"/>
            <w:tcBorders>
              <w:top w:val="single" w:sz="4" w:space="0" w:color="auto"/>
              <w:left w:val="single" w:sz="8" w:space="0" w:color="000000"/>
              <w:bottom w:val="single" w:sz="8" w:space="0" w:color="000000"/>
              <w:right w:val="single" w:sz="8" w:space="0" w:color="000000"/>
            </w:tcBorders>
            <w:vAlign w:val="center"/>
            <w:hideMark/>
          </w:tcPr>
          <w:p w14:paraId="7F6B2ADE" w14:textId="77777777" w:rsidR="003228A3" w:rsidRDefault="003228A3">
            <w:pPr>
              <w:ind w:left="190" w:right="195"/>
              <w:jc w:val="center"/>
              <w:rPr>
                <w:sz w:val="20"/>
              </w:rPr>
            </w:pPr>
            <w:r>
              <w:rPr>
                <w:sz w:val="20"/>
              </w:rPr>
              <w:t xml:space="preserve">18,3 % </w:t>
            </w:r>
          </w:p>
        </w:tc>
        <w:tc>
          <w:tcPr>
            <w:tcW w:w="714" w:type="pct"/>
            <w:tcBorders>
              <w:top w:val="single" w:sz="4" w:space="0" w:color="auto"/>
              <w:left w:val="single" w:sz="8" w:space="0" w:color="000000"/>
              <w:bottom w:val="single" w:sz="8" w:space="0" w:color="000000"/>
              <w:right w:val="single" w:sz="8" w:space="0" w:color="000000"/>
            </w:tcBorders>
            <w:vAlign w:val="center"/>
            <w:hideMark/>
          </w:tcPr>
          <w:p w14:paraId="4D587A0A" w14:textId="77777777" w:rsidR="003228A3" w:rsidRDefault="003228A3">
            <w:pPr>
              <w:ind w:left="190" w:right="195"/>
              <w:jc w:val="center"/>
              <w:rPr>
                <w:sz w:val="20"/>
              </w:rPr>
            </w:pPr>
            <w:r>
              <w:rPr>
                <w:sz w:val="20"/>
              </w:rPr>
              <w:t>6,9 %</w:t>
            </w:r>
          </w:p>
        </w:tc>
      </w:tr>
      <w:tr w:rsidR="003228A3" w14:paraId="4E6ECD9B" w14:textId="77777777" w:rsidTr="00A25ECF">
        <w:trPr>
          <w:trHeight w:val="480"/>
          <w:jc w:val="center"/>
        </w:trPr>
        <w:tc>
          <w:tcPr>
            <w:tcW w:w="1349" w:type="pct"/>
            <w:tcBorders>
              <w:top w:val="single" w:sz="8" w:space="0" w:color="000000"/>
              <w:left w:val="single" w:sz="8" w:space="0" w:color="000000"/>
              <w:bottom w:val="single" w:sz="8" w:space="0" w:color="000000"/>
              <w:right w:val="single" w:sz="8" w:space="0" w:color="000000"/>
            </w:tcBorders>
          </w:tcPr>
          <w:p w14:paraId="2182A4BD" w14:textId="77777777" w:rsidR="003228A3" w:rsidRDefault="003228A3">
            <w:pPr>
              <w:rPr>
                <w:sz w:val="20"/>
              </w:rPr>
            </w:pPr>
          </w:p>
          <w:p w14:paraId="2BF69B30" w14:textId="77777777" w:rsidR="003228A3" w:rsidRDefault="003228A3">
            <w:pPr>
              <w:pStyle w:val="Default"/>
              <w:rPr>
                <w:sz w:val="13"/>
                <w:szCs w:val="13"/>
                <w:vertAlign w:val="superscript"/>
              </w:rPr>
            </w:pPr>
            <w:r>
              <w:rPr>
                <w:sz w:val="20"/>
                <w:szCs w:val="20"/>
              </w:rPr>
              <w:t>Kumulativ incidens ≥ 4 % fald i BMD for hele kroppen</w:t>
            </w:r>
            <w:r>
              <w:rPr>
                <w:sz w:val="20"/>
                <w:szCs w:val="20"/>
                <w:vertAlign w:val="superscript"/>
              </w:rPr>
              <w:t>a</w:t>
            </w:r>
          </w:p>
          <w:p w14:paraId="2EAC4094" w14:textId="77777777" w:rsidR="003228A3" w:rsidRDefault="003228A3">
            <w:pPr>
              <w:rPr>
                <w:sz w:val="20"/>
              </w:rPr>
            </w:pPr>
          </w:p>
        </w:tc>
        <w:tc>
          <w:tcPr>
            <w:tcW w:w="476" w:type="pct"/>
            <w:tcBorders>
              <w:top w:val="single" w:sz="8" w:space="0" w:color="000000"/>
              <w:left w:val="single" w:sz="8" w:space="0" w:color="000000"/>
              <w:bottom w:val="single" w:sz="8" w:space="0" w:color="000000"/>
              <w:right w:val="single" w:sz="8" w:space="0" w:color="000000"/>
            </w:tcBorders>
            <w:vAlign w:val="center"/>
            <w:hideMark/>
          </w:tcPr>
          <w:p w14:paraId="213633D3" w14:textId="77777777" w:rsidR="003228A3" w:rsidRDefault="003228A3">
            <w:pPr>
              <w:ind w:right="2"/>
              <w:jc w:val="center"/>
              <w:rPr>
                <w:sz w:val="20"/>
              </w:rPr>
            </w:pPr>
            <w:r>
              <w:rPr>
                <w:sz w:val="20"/>
              </w:rPr>
              <w:t xml:space="preserve">n/a </w:t>
            </w:r>
          </w:p>
        </w:tc>
        <w:tc>
          <w:tcPr>
            <w:tcW w:w="476" w:type="pct"/>
            <w:tcBorders>
              <w:top w:val="single" w:sz="8" w:space="0" w:color="000000"/>
              <w:left w:val="single" w:sz="8" w:space="0" w:color="000000"/>
              <w:bottom w:val="single" w:sz="8" w:space="0" w:color="000000"/>
              <w:right w:val="single" w:sz="8" w:space="0" w:color="000000"/>
            </w:tcBorders>
            <w:vAlign w:val="center"/>
            <w:hideMark/>
          </w:tcPr>
          <w:p w14:paraId="376EF920" w14:textId="77777777" w:rsidR="003228A3" w:rsidRDefault="003228A3">
            <w:pPr>
              <w:ind w:right="2"/>
              <w:jc w:val="center"/>
              <w:rPr>
                <w:sz w:val="20"/>
              </w:rPr>
            </w:pPr>
            <w:r>
              <w:rPr>
                <w:sz w:val="20"/>
              </w:rPr>
              <w:t xml:space="preserve">n/a </w:t>
            </w:r>
          </w:p>
        </w:tc>
        <w:tc>
          <w:tcPr>
            <w:tcW w:w="555" w:type="pct"/>
            <w:tcBorders>
              <w:top w:val="single" w:sz="8" w:space="0" w:color="000000"/>
              <w:left w:val="single" w:sz="8" w:space="0" w:color="000000"/>
              <w:bottom w:val="single" w:sz="8" w:space="0" w:color="000000"/>
              <w:right w:val="single" w:sz="8" w:space="0" w:color="000000"/>
            </w:tcBorders>
            <w:vAlign w:val="center"/>
            <w:hideMark/>
          </w:tcPr>
          <w:p w14:paraId="37580170" w14:textId="77777777" w:rsidR="003228A3" w:rsidRDefault="003228A3">
            <w:pPr>
              <w:ind w:left="137" w:right="140"/>
              <w:jc w:val="center"/>
              <w:rPr>
                <w:sz w:val="20"/>
              </w:rPr>
            </w:pPr>
            <w:r>
              <w:rPr>
                <w:sz w:val="20"/>
              </w:rPr>
              <w:t xml:space="preserve">6,7 % </w:t>
            </w:r>
          </w:p>
        </w:tc>
        <w:tc>
          <w:tcPr>
            <w:tcW w:w="714" w:type="pct"/>
            <w:tcBorders>
              <w:top w:val="single" w:sz="8" w:space="0" w:color="000000"/>
              <w:left w:val="single" w:sz="8" w:space="0" w:color="000000"/>
              <w:bottom w:val="single" w:sz="8" w:space="0" w:color="000000"/>
              <w:right w:val="single" w:sz="8" w:space="0" w:color="000000"/>
            </w:tcBorders>
            <w:vAlign w:val="center"/>
            <w:hideMark/>
          </w:tcPr>
          <w:p w14:paraId="463C0419" w14:textId="77777777" w:rsidR="003228A3" w:rsidRDefault="003228A3">
            <w:pPr>
              <w:ind w:right="4"/>
              <w:jc w:val="center"/>
              <w:rPr>
                <w:sz w:val="20"/>
              </w:rPr>
            </w:pPr>
            <w:r>
              <w:rPr>
                <w:sz w:val="20"/>
              </w:rPr>
              <w:t xml:space="preserve">0 % </w:t>
            </w:r>
          </w:p>
        </w:tc>
        <w:tc>
          <w:tcPr>
            <w:tcW w:w="714" w:type="pct"/>
            <w:tcBorders>
              <w:top w:val="single" w:sz="8" w:space="0" w:color="000000"/>
              <w:left w:val="single" w:sz="8" w:space="0" w:color="000000"/>
              <w:bottom w:val="single" w:sz="8" w:space="0" w:color="000000"/>
              <w:right w:val="single" w:sz="8" w:space="0" w:color="000000"/>
            </w:tcBorders>
            <w:vAlign w:val="center"/>
            <w:hideMark/>
          </w:tcPr>
          <w:p w14:paraId="077607D4" w14:textId="77777777" w:rsidR="003228A3" w:rsidRDefault="003228A3">
            <w:pPr>
              <w:ind w:right="4"/>
              <w:jc w:val="center"/>
              <w:rPr>
                <w:sz w:val="20"/>
              </w:rPr>
            </w:pPr>
            <w:r>
              <w:rPr>
                <w:sz w:val="20"/>
              </w:rPr>
              <w:t xml:space="preserve">6,7 % </w:t>
            </w:r>
          </w:p>
        </w:tc>
        <w:tc>
          <w:tcPr>
            <w:tcW w:w="714" w:type="pct"/>
            <w:tcBorders>
              <w:top w:val="single" w:sz="8" w:space="0" w:color="000000"/>
              <w:left w:val="single" w:sz="8" w:space="0" w:color="000000"/>
              <w:bottom w:val="single" w:sz="8" w:space="0" w:color="000000"/>
              <w:right w:val="single" w:sz="8" w:space="0" w:color="000000"/>
            </w:tcBorders>
            <w:vAlign w:val="center"/>
            <w:hideMark/>
          </w:tcPr>
          <w:p w14:paraId="56171433" w14:textId="77777777" w:rsidR="003228A3" w:rsidRDefault="003228A3">
            <w:pPr>
              <w:ind w:right="4"/>
              <w:jc w:val="center"/>
              <w:rPr>
                <w:sz w:val="20"/>
              </w:rPr>
            </w:pPr>
            <w:r>
              <w:rPr>
                <w:sz w:val="20"/>
              </w:rPr>
              <w:t>0 %</w:t>
            </w:r>
          </w:p>
        </w:tc>
      </w:tr>
      <w:tr w:rsidR="003228A3" w14:paraId="741B476A" w14:textId="77777777" w:rsidTr="003228A3">
        <w:trPr>
          <w:trHeight w:val="480"/>
          <w:jc w:val="center"/>
        </w:trPr>
        <w:tc>
          <w:tcPr>
            <w:tcW w:w="1349" w:type="pct"/>
            <w:tcBorders>
              <w:top w:val="single" w:sz="8" w:space="0" w:color="000000"/>
              <w:left w:val="single" w:sz="8" w:space="0" w:color="000000"/>
              <w:bottom w:val="single" w:sz="8" w:space="0" w:color="000000"/>
              <w:right w:val="single" w:sz="8" w:space="0" w:color="000000"/>
            </w:tcBorders>
            <w:hideMark/>
          </w:tcPr>
          <w:p w14:paraId="0BD28E6D" w14:textId="77777777" w:rsidR="003228A3" w:rsidRDefault="003228A3">
            <w:pPr>
              <w:rPr>
                <w:sz w:val="20"/>
              </w:rPr>
            </w:pPr>
            <w:r>
              <w:rPr>
                <w:sz w:val="20"/>
              </w:rPr>
              <w:t xml:space="preserve">Gennemsnitlig stigning (%) i BMD for columna lumbalis </w:t>
            </w:r>
          </w:p>
        </w:tc>
        <w:tc>
          <w:tcPr>
            <w:tcW w:w="476" w:type="pct"/>
            <w:tcBorders>
              <w:top w:val="single" w:sz="8" w:space="0" w:color="000000"/>
              <w:left w:val="single" w:sz="8" w:space="0" w:color="000000"/>
              <w:bottom w:val="single" w:sz="8" w:space="0" w:color="000000"/>
              <w:right w:val="single" w:sz="8" w:space="0" w:color="000000"/>
            </w:tcBorders>
            <w:vAlign w:val="center"/>
            <w:hideMark/>
          </w:tcPr>
          <w:p w14:paraId="27AE9A48" w14:textId="77777777" w:rsidR="003228A3" w:rsidRDefault="003228A3">
            <w:pPr>
              <w:ind w:right="2"/>
              <w:jc w:val="center"/>
              <w:rPr>
                <w:sz w:val="20"/>
              </w:rPr>
            </w:pPr>
            <w:r>
              <w:rPr>
                <w:sz w:val="20"/>
              </w:rPr>
              <w:t xml:space="preserve">n/a </w:t>
            </w:r>
          </w:p>
        </w:tc>
        <w:tc>
          <w:tcPr>
            <w:tcW w:w="476" w:type="pct"/>
            <w:tcBorders>
              <w:top w:val="single" w:sz="8" w:space="0" w:color="000000"/>
              <w:left w:val="single" w:sz="8" w:space="0" w:color="000000"/>
              <w:bottom w:val="single" w:sz="8" w:space="0" w:color="000000"/>
              <w:right w:val="single" w:sz="8" w:space="0" w:color="000000"/>
            </w:tcBorders>
            <w:vAlign w:val="center"/>
            <w:hideMark/>
          </w:tcPr>
          <w:p w14:paraId="706175D9" w14:textId="77777777" w:rsidR="003228A3" w:rsidRDefault="003228A3">
            <w:pPr>
              <w:ind w:right="2"/>
              <w:jc w:val="center"/>
              <w:rPr>
                <w:sz w:val="20"/>
              </w:rPr>
            </w:pPr>
            <w:r>
              <w:rPr>
                <w:sz w:val="20"/>
              </w:rPr>
              <w:t xml:space="preserve">n/a </w:t>
            </w:r>
          </w:p>
        </w:tc>
        <w:tc>
          <w:tcPr>
            <w:tcW w:w="555" w:type="pct"/>
            <w:tcBorders>
              <w:top w:val="single" w:sz="8" w:space="0" w:color="000000"/>
              <w:left w:val="single" w:sz="8" w:space="0" w:color="000000"/>
              <w:bottom w:val="single" w:sz="8" w:space="0" w:color="000000"/>
              <w:right w:val="single" w:sz="8" w:space="0" w:color="000000"/>
            </w:tcBorders>
            <w:vAlign w:val="center"/>
            <w:hideMark/>
          </w:tcPr>
          <w:p w14:paraId="65F300CA" w14:textId="77777777" w:rsidR="003228A3" w:rsidRDefault="003228A3">
            <w:pPr>
              <w:ind w:right="4"/>
              <w:jc w:val="center"/>
              <w:rPr>
                <w:sz w:val="20"/>
              </w:rPr>
            </w:pPr>
            <w:r>
              <w:rPr>
                <w:sz w:val="20"/>
              </w:rPr>
              <w:t xml:space="preserve">3,9 % </w:t>
            </w:r>
          </w:p>
        </w:tc>
        <w:tc>
          <w:tcPr>
            <w:tcW w:w="714" w:type="pct"/>
            <w:tcBorders>
              <w:top w:val="single" w:sz="8" w:space="0" w:color="000000"/>
              <w:left w:val="single" w:sz="8" w:space="0" w:color="000000"/>
              <w:bottom w:val="single" w:sz="8" w:space="0" w:color="000000"/>
              <w:right w:val="single" w:sz="8" w:space="0" w:color="000000"/>
            </w:tcBorders>
            <w:vAlign w:val="center"/>
            <w:hideMark/>
          </w:tcPr>
          <w:p w14:paraId="36722212" w14:textId="77777777" w:rsidR="003228A3" w:rsidRDefault="003228A3">
            <w:pPr>
              <w:ind w:left="209"/>
              <w:jc w:val="center"/>
              <w:rPr>
                <w:sz w:val="20"/>
              </w:rPr>
            </w:pPr>
            <w:r>
              <w:rPr>
                <w:sz w:val="20"/>
              </w:rPr>
              <w:t xml:space="preserve">7,6 % </w:t>
            </w:r>
          </w:p>
        </w:tc>
        <w:tc>
          <w:tcPr>
            <w:tcW w:w="714" w:type="pct"/>
            <w:tcBorders>
              <w:top w:val="single" w:sz="8" w:space="0" w:color="000000"/>
              <w:left w:val="single" w:sz="8" w:space="0" w:color="000000"/>
              <w:bottom w:val="single" w:sz="8" w:space="0" w:color="000000"/>
              <w:right w:val="single" w:sz="8" w:space="0" w:color="000000"/>
            </w:tcBorders>
            <w:vAlign w:val="center"/>
            <w:hideMark/>
          </w:tcPr>
          <w:p w14:paraId="5391DA77" w14:textId="77777777" w:rsidR="003228A3" w:rsidRDefault="003228A3">
            <w:pPr>
              <w:ind w:left="209"/>
              <w:jc w:val="center"/>
              <w:rPr>
                <w:sz w:val="20"/>
              </w:rPr>
            </w:pPr>
            <w:r>
              <w:rPr>
                <w:sz w:val="20"/>
              </w:rPr>
              <w:t>19,2 %</w:t>
            </w:r>
          </w:p>
        </w:tc>
        <w:tc>
          <w:tcPr>
            <w:tcW w:w="714" w:type="pct"/>
            <w:tcBorders>
              <w:top w:val="single" w:sz="8" w:space="0" w:color="000000"/>
              <w:left w:val="single" w:sz="8" w:space="0" w:color="000000"/>
              <w:bottom w:val="single" w:sz="8" w:space="0" w:color="000000"/>
              <w:right w:val="single" w:sz="8" w:space="0" w:color="000000"/>
            </w:tcBorders>
            <w:vAlign w:val="center"/>
            <w:hideMark/>
          </w:tcPr>
          <w:p w14:paraId="1D76DD7A" w14:textId="77777777" w:rsidR="003228A3" w:rsidRDefault="003228A3">
            <w:pPr>
              <w:ind w:left="209"/>
              <w:jc w:val="center"/>
              <w:rPr>
                <w:sz w:val="20"/>
              </w:rPr>
            </w:pPr>
            <w:r>
              <w:rPr>
                <w:sz w:val="20"/>
              </w:rPr>
              <w:t>26,1 %</w:t>
            </w:r>
          </w:p>
        </w:tc>
      </w:tr>
      <w:tr w:rsidR="003228A3" w14:paraId="63F153CC" w14:textId="77777777" w:rsidTr="003228A3">
        <w:trPr>
          <w:trHeight w:val="480"/>
          <w:jc w:val="center"/>
        </w:trPr>
        <w:tc>
          <w:tcPr>
            <w:tcW w:w="1349" w:type="pct"/>
            <w:tcBorders>
              <w:top w:val="single" w:sz="8" w:space="0" w:color="000000"/>
              <w:left w:val="single" w:sz="8" w:space="0" w:color="000000"/>
              <w:bottom w:val="single" w:sz="8" w:space="0" w:color="000000"/>
              <w:right w:val="single" w:sz="8" w:space="0" w:color="000000"/>
            </w:tcBorders>
            <w:hideMark/>
          </w:tcPr>
          <w:p w14:paraId="558FB341" w14:textId="77777777" w:rsidR="003228A3" w:rsidRDefault="003228A3">
            <w:pPr>
              <w:rPr>
                <w:sz w:val="20"/>
              </w:rPr>
            </w:pPr>
            <w:r>
              <w:rPr>
                <w:sz w:val="20"/>
              </w:rPr>
              <w:t xml:space="preserve">Gennemsnitlig stigning (%) i BMD for hele kroppen </w:t>
            </w:r>
          </w:p>
        </w:tc>
        <w:tc>
          <w:tcPr>
            <w:tcW w:w="476" w:type="pct"/>
            <w:tcBorders>
              <w:top w:val="single" w:sz="8" w:space="0" w:color="000000"/>
              <w:left w:val="single" w:sz="8" w:space="0" w:color="000000"/>
              <w:bottom w:val="single" w:sz="8" w:space="0" w:color="000000"/>
              <w:right w:val="single" w:sz="8" w:space="0" w:color="000000"/>
            </w:tcBorders>
            <w:vAlign w:val="center"/>
            <w:hideMark/>
          </w:tcPr>
          <w:p w14:paraId="04DCA74C" w14:textId="77777777" w:rsidR="003228A3" w:rsidRDefault="003228A3">
            <w:pPr>
              <w:ind w:right="2"/>
              <w:jc w:val="center"/>
              <w:rPr>
                <w:sz w:val="20"/>
              </w:rPr>
            </w:pPr>
            <w:r>
              <w:rPr>
                <w:sz w:val="20"/>
              </w:rPr>
              <w:t xml:space="preserve">n/a </w:t>
            </w:r>
          </w:p>
        </w:tc>
        <w:tc>
          <w:tcPr>
            <w:tcW w:w="476" w:type="pct"/>
            <w:tcBorders>
              <w:top w:val="single" w:sz="8" w:space="0" w:color="000000"/>
              <w:left w:val="single" w:sz="8" w:space="0" w:color="000000"/>
              <w:bottom w:val="single" w:sz="8" w:space="0" w:color="000000"/>
              <w:right w:val="single" w:sz="8" w:space="0" w:color="000000"/>
            </w:tcBorders>
            <w:vAlign w:val="center"/>
            <w:hideMark/>
          </w:tcPr>
          <w:p w14:paraId="200ACA8E" w14:textId="77777777" w:rsidR="003228A3" w:rsidRDefault="003228A3">
            <w:pPr>
              <w:ind w:right="2"/>
              <w:jc w:val="center"/>
              <w:rPr>
                <w:sz w:val="20"/>
              </w:rPr>
            </w:pPr>
            <w:r>
              <w:rPr>
                <w:sz w:val="20"/>
              </w:rPr>
              <w:t xml:space="preserve">n/a </w:t>
            </w:r>
          </w:p>
        </w:tc>
        <w:tc>
          <w:tcPr>
            <w:tcW w:w="555" w:type="pct"/>
            <w:tcBorders>
              <w:top w:val="single" w:sz="8" w:space="0" w:color="000000"/>
              <w:left w:val="single" w:sz="8" w:space="0" w:color="000000"/>
              <w:bottom w:val="single" w:sz="8" w:space="0" w:color="000000"/>
              <w:right w:val="single" w:sz="8" w:space="0" w:color="000000"/>
            </w:tcBorders>
            <w:vAlign w:val="center"/>
            <w:hideMark/>
          </w:tcPr>
          <w:p w14:paraId="5909690D" w14:textId="77777777" w:rsidR="003228A3" w:rsidRDefault="003228A3">
            <w:pPr>
              <w:ind w:right="4"/>
              <w:jc w:val="center"/>
              <w:rPr>
                <w:sz w:val="20"/>
              </w:rPr>
            </w:pPr>
            <w:r>
              <w:rPr>
                <w:sz w:val="20"/>
              </w:rPr>
              <w:t xml:space="preserve">4,6 % </w:t>
            </w:r>
          </w:p>
        </w:tc>
        <w:tc>
          <w:tcPr>
            <w:tcW w:w="714" w:type="pct"/>
            <w:tcBorders>
              <w:top w:val="single" w:sz="8" w:space="0" w:color="000000"/>
              <w:left w:val="single" w:sz="8" w:space="0" w:color="000000"/>
              <w:bottom w:val="single" w:sz="8" w:space="0" w:color="000000"/>
              <w:right w:val="single" w:sz="8" w:space="0" w:color="000000"/>
            </w:tcBorders>
            <w:vAlign w:val="center"/>
            <w:hideMark/>
          </w:tcPr>
          <w:p w14:paraId="590FEBCA" w14:textId="77777777" w:rsidR="003228A3" w:rsidRDefault="003228A3">
            <w:pPr>
              <w:ind w:left="209"/>
              <w:jc w:val="center"/>
              <w:rPr>
                <w:sz w:val="20"/>
              </w:rPr>
            </w:pPr>
            <w:r>
              <w:rPr>
                <w:sz w:val="20"/>
              </w:rPr>
              <w:t xml:space="preserve">8,7 % </w:t>
            </w:r>
          </w:p>
        </w:tc>
        <w:tc>
          <w:tcPr>
            <w:tcW w:w="714" w:type="pct"/>
            <w:tcBorders>
              <w:top w:val="single" w:sz="8" w:space="0" w:color="000000"/>
              <w:left w:val="single" w:sz="8" w:space="0" w:color="000000"/>
              <w:bottom w:val="single" w:sz="8" w:space="0" w:color="000000"/>
              <w:right w:val="single" w:sz="8" w:space="0" w:color="000000"/>
            </w:tcBorders>
            <w:vAlign w:val="center"/>
            <w:hideMark/>
          </w:tcPr>
          <w:p w14:paraId="52D59CF1" w14:textId="77777777" w:rsidR="003228A3" w:rsidRDefault="003228A3">
            <w:pPr>
              <w:ind w:left="209"/>
              <w:jc w:val="center"/>
              <w:rPr>
                <w:sz w:val="20"/>
              </w:rPr>
            </w:pPr>
            <w:r>
              <w:rPr>
                <w:sz w:val="20"/>
              </w:rPr>
              <w:t xml:space="preserve">23,7 % </w:t>
            </w:r>
          </w:p>
        </w:tc>
        <w:tc>
          <w:tcPr>
            <w:tcW w:w="714" w:type="pct"/>
            <w:tcBorders>
              <w:top w:val="single" w:sz="8" w:space="0" w:color="000000"/>
              <w:left w:val="single" w:sz="8" w:space="0" w:color="000000"/>
              <w:bottom w:val="single" w:sz="8" w:space="0" w:color="000000"/>
              <w:right w:val="single" w:sz="8" w:space="0" w:color="000000"/>
            </w:tcBorders>
            <w:vAlign w:val="center"/>
            <w:hideMark/>
          </w:tcPr>
          <w:p w14:paraId="67F2AD5A" w14:textId="77777777" w:rsidR="003228A3" w:rsidRDefault="003228A3">
            <w:pPr>
              <w:ind w:left="209"/>
              <w:jc w:val="center"/>
              <w:rPr>
                <w:sz w:val="20"/>
              </w:rPr>
            </w:pPr>
            <w:r>
              <w:rPr>
                <w:sz w:val="20"/>
              </w:rPr>
              <w:t>27,7 %</w:t>
            </w:r>
          </w:p>
        </w:tc>
      </w:tr>
    </w:tbl>
    <w:p w14:paraId="7FA23785" w14:textId="77777777" w:rsidR="003228A3" w:rsidRDefault="003228A3" w:rsidP="003228A3">
      <w:pPr>
        <w:ind w:left="851" w:right="-1"/>
        <w:rPr>
          <w:sz w:val="18"/>
          <w:szCs w:val="18"/>
          <w:lang w:val="en-US"/>
        </w:rPr>
      </w:pPr>
      <w:r>
        <w:rPr>
          <w:sz w:val="18"/>
          <w:szCs w:val="18"/>
          <w:lang w:val="en-US"/>
        </w:rPr>
        <w:t xml:space="preserve">n/a = </w:t>
      </w:r>
      <w:r>
        <w:rPr>
          <w:i/>
          <w:iCs/>
          <w:sz w:val="18"/>
          <w:szCs w:val="18"/>
          <w:lang w:val="en-US"/>
        </w:rPr>
        <w:t xml:space="preserve">not applicable </w:t>
      </w:r>
      <w:r>
        <w:rPr>
          <w:sz w:val="18"/>
          <w:szCs w:val="18"/>
          <w:lang w:val="en-US"/>
        </w:rPr>
        <w:t xml:space="preserve">- ikke relevant </w:t>
      </w:r>
    </w:p>
    <w:p w14:paraId="0D38D36B" w14:textId="77777777" w:rsidR="003228A3" w:rsidRDefault="003228A3" w:rsidP="003228A3">
      <w:pPr>
        <w:ind w:left="851" w:right="-1"/>
        <w:rPr>
          <w:sz w:val="18"/>
          <w:szCs w:val="18"/>
        </w:rPr>
      </w:pPr>
      <w:r>
        <w:rPr>
          <w:sz w:val="18"/>
          <w:szCs w:val="18"/>
          <w:vertAlign w:val="superscript"/>
        </w:rPr>
        <w:t>a</w:t>
      </w:r>
      <w:r>
        <w:rPr>
          <w:sz w:val="18"/>
          <w:szCs w:val="18"/>
        </w:rPr>
        <w:t>Ingen yderligere forsøgspersoner havde ≥ 4 % fald i BMD efter uge 48</w:t>
      </w:r>
    </w:p>
    <w:p w14:paraId="3141F19F" w14:textId="77777777" w:rsidR="00A97556" w:rsidRPr="006E31EE" w:rsidRDefault="00A97556" w:rsidP="00A97556">
      <w:pPr>
        <w:suppressAutoHyphens/>
        <w:ind w:left="851"/>
        <w:rPr>
          <w:sz w:val="24"/>
          <w:szCs w:val="24"/>
        </w:rPr>
      </w:pPr>
    </w:p>
    <w:p w14:paraId="49DF416B" w14:textId="77777777" w:rsidR="00A97556" w:rsidRPr="006E31EE" w:rsidRDefault="00A97556" w:rsidP="00A97556">
      <w:pPr>
        <w:suppressAutoHyphens/>
        <w:ind w:left="851"/>
        <w:rPr>
          <w:sz w:val="24"/>
          <w:szCs w:val="24"/>
        </w:rPr>
      </w:pPr>
      <w:r w:rsidRPr="006E31EE">
        <w:rPr>
          <w:sz w:val="24"/>
          <w:szCs w:val="24"/>
        </w:rPr>
        <w:t>Det Europæiske Lægemiddelagentur har udsat forpligtelsen til at fremlægge resultaterne af studier med tenofovirdisoproxil i en eller flere undergrupper af den pædiatriske population med hiv og kronisk hepatitis B (se pkt. 4.2 for oplysninger om pædiatrisk anvendelse).</w:t>
      </w:r>
    </w:p>
    <w:p w14:paraId="71C0F310" w14:textId="77777777" w:rsidR="008F3CD4" w:rsidRPr="006E31EE" w:rsidRDefault="008F3CD4" w:rsidP="008F3CD4">
      <w:pPr>
        <w:ind w:left="851" w:hanging="851"/>
        <w:rPr>
          <w:sz w:val="24"/>
          <w:szCs w:val="24"/>
        </w:rPr>
      </w:pPr>
    </w:p>
    <w:p w14:paraId="1239B290" w14:textId="77777777" w:rsidR="008F3CD4" w:rsidRPr="006E31EE" w:rsidRDefault="008F3CD4" w:rsidP="008F3CD4">
      <w:pPr>
        <w:ind w:left="851" w:hanging="851"/>
        <w:rPr>
          <w:b/>
          <w:sz w:val="24"/>
          <w:szCs w:val="24"/>
        </w:rPr>
      </w:pPr>
      <w:r w:rsidRPr="006E31EE">
        <w:rPr>
          <w:b/>
          <w:sz w:val="24"/>
          <w:szCs w:val="24"/>
        </w:rPr>
        <w:t>5.2</w:t>
      </w:r>
      <w:r w:rsidRPr="006E31EE">
        <w:rPr>
          <w:b/>
          <w:sz w:val="24"/>
          <w:szCs w:val="24"/>
        </w:rPr>
        <w:tab/>
        <w:t>Farmakokinetiske egenskaber</w:t>
      </w:r>
    </w:p>
    <w:p w14:paraId="4A83FAA1" w14:textId="77777777" w:rsidR="00F32EA9" w:rsidRPr="006E31EE" w:rsidRDefault="00F32EA9" w:rsidP="00F32EA9">
      <w:pPr>
        <w:ind w:left="851"/>
        <w:rPr>
          <w:sz w:val="24"/>
          <w:szCs w:val="24"/>
        </w:rPr>
      </w:pPr>
      <w:r w:rsidRPr="006E31EE">
        <w:rPr>
          <w:sz w:val="24"/>
          <w:szCs w:val="24"/>
        </w:rPr>
        <w:t xml:space="preserve">Tenofovirdisoproxil er et vandopløseligt ester-prodrug, som in vivo hurtigt omdannes til tenofovir og formaldehyd. </w:t>
      </w:r>
    </w:p>
    <w:p w14:paraId="4432D4CB" w14:textId="77777777" w:rsidR="00F32EA9" w:rsidRPr="006E31EE" w:rsidRDefault="00F32EA9" w:rsidP="00F32EA9">
      <w:pPr>
        <w:ind w:left="851" w:hanging="851"/>
        <w:rPr>
          <w:sz w:val="24"/>
          <w:szCs w:val="24"/>
        </w:rPr>
      </w:pPr>
    </w:p>
    <w:p w14:paraId="6D1A5592" w14:textId="77777777" w:rsidR="00F32EA9" w:rsidRPr="006E31EE" w:rsidRDefault="00F32EA9" w:rsidP="00F32EA9">
      <w:pPr>
        <w:ind w:left="851"/>
        <w:rPr>
          <w:sz w:val="24"/>
          <w:szCs w:val="24"/>
        </w:rPr>
      </w:pPr>
      <w:r w:rsidRPr="006E31EE">
        <w:rPr>
          <w:sz w:val="24"/>
          <w:szCs w:val="24"/>
        </w:rPr>
        <w:t xml:space="preserve">Tenofovir omdannes intracellulært til tenofovirmonophosphat og til det aktive stof tenofovirdiphosphat. </w:t>
      </w:r>
    </w:p>
    <w:p w14:paraId="2651BC79" w14:textId="77777777" w:rsidR="00F32EA9" w:rsidRPr="006E31EE" w:rsidRDefault="00F32EA9" w:rsidP="00F32EA9">
      <w:pPr>
        <w:ind w:left="851" w:hanging="851"/>
        <w:rPr>
          <w:sz w:val="24"/>
          <w:szCs w:val="24"/>
        </w:rPr>
      </w:pPr>
    </w:p>
    <w:p w14:paraId="28B8404E" w14:textId="77777777" w:rsidR="00F32EA9" w:rsidRPr="006E31EE" w:rsidRDefault="00F32EA9" w:rsidP="00F32EA9">
      <w:pPr>
        <w:ind w:left="851"/>
        <w:rPr>
          <w:sz w:val="24"/>
          <w:szCs w:val="24"/>
          <w:u w:val="single"/>
        </w:rPr>
      </w:pPr>
      <w:r w:rsidRPr="006E31EE">
        <w:rPr>
          <w:sz w:val="24"/>
          <w:szCs w:val="24"/>
          <w:u w:val="single"/>
        </w:rPr>
        <w:t xml:space="preserve">Absorption </w:t>
      </w:r>
    </w:p>
    <w:p w14:paraId="3F87BBB7" w14:textId="77777777" w:rsidR="00F32EA9" w:rsidRPr="006E31EE" w:rsidRDefault="00F32EA9" w:rsidP="00F32EA9">
      <w:pPr>
        <w:ind w:left="851"/>
        <w:rPr>
          <w:sz w:val="24"/>
          <w:szCs w:val="24"/>
        </w:rPr>
      </w:pPr>
      <w:r w:rsidRPr="006E31EE">
        <w:rPr>
          <w:sz w:val="24"/>
          <w:szCs w:val="24"/>
        </w:rPr>
        <w:t>Efter oral indgivelse af tenofovirdisoproxil til hiv-inficerede patienter absorberes tenofovirdisoproxil hurtigt og omdannes til tenofovir. Indgivelse af flere doser af tenofovirdisoproxil sammen med et måltid til hiv-inficerede patienter resulterede i gennemsnitlige værdier (% variationskoefficient) af tenofovir C</w:t>
      </w:r>
      <w:r w:rsidRPr="006E31EE">
        <w:rPr>
          <w:sz w:val="24"/>
          <w:szCs w:val="24"/>
          <w:vertAlign w:val="subscript"/>
        </w:rPr>
        <w:t>max</w:t>
      </w:r>
      <w:r w:rsidRPr="006E31EE">
        <w:rPr>
          <w:sz w:val="24"/>
          <w:szCs w:val="24"/>
        </w:rPr>
        <w:t>, AUC og C</w:t>
      </w:r>
      <w:r w:rsidRPr="006E31EE">
        <w:rPr>
          <w:sz w:val="24"/>
          <w:szCs w:val="24"/>
          <w:vertAlign w:val="subscript"/>
        </w:rPr>
        <w:t>min</w:t>
      </w:r>
      <w:r w:rsidRPr="006E31EE">
        <w:rPr>
          <w:sz w:val="24"/>
          <w:szCs w:val="24"/>
        </w:rPr>
        <w:t xml:space="preserve"> på henholdsvis 326 (36,6 %) ng/ml, 3.324 (41,2 %) ng·t/ml og 64,4 (39,4 %) ng/ml. Maksimale tenofovirkoncentrationer ses i serum inden for 1 time efter dosering i den fastende tilstand og inden for 2 timer efter indgivelse sammen med mad. Den orale biotilgængelighed af tenofovir fra tenofovirdisoproxil var ca. 25 % hos fastende patienter. Indgivelse af tenofovirdisoproxil sammen med et fedtholdigt måltid forstærkede den orale biotilgængelighed med en forøgelse i tenofovir AUC med ca. 40 % og C</w:t>
      </w:r>
      <w:r w:rsidRPr="006E31EE">
        <w:rPr>
          <w:sz w:val="24"/>
          <w:szCs w:val="24"/>
          <w:vertAlign w:val="subscript"/>
        </w:rPr>
        <w:t>max</w:t>
      </w:r>
      <w:r w:rsidRPr="006E31EE">
        <w:rPr>
          <w:sz w:val="24"/>
          <w:szCs w:val="24"/>
        </w:rPr>
        <w:t xml:space="preserve"> med ca. 14 %. Efter den første dosis tenofovirdisoproxil varierede medianværdien C</w:t>
      </w:r>
      <w:r w:rsidRPr="006E31EE">
        <w:rPr>
          <w:sz w:val="24"/>
          <w:szCs w:val="24"/>
          <w:vertAlign w:val="subscript"/>
        </w:rPr>
        <w:t>max</w:t>
      </w:r>
      <w:r w:rsidRPr="006E31EE">
        <w:rPr>
          <w:sz w:val="24"/>
          <w:szCs w:val="24"/>
        </w:rPr>
        <w:t xml:space="preserve"> i serum fra 213 til 375 ng/ml hos patienter, der havde indtaget et måltid. Indgivelse af tenofovirdisoproxil sammen med et let måltid havde derimod ingen signifikant indvirkning på tenofovirs farmakokinetik. </w:t>
      </w:r>
    </w:p>
    <w:p w14:paraId="55392AFA" w14:textId="77777777" w:rsidR="00F32EA9" w:rsidRPr="006E31EE" w:rsidRDefault="00F32EA9" w:rsidP="00F32EA9">
      <w:pPr>
        <w:ind w:left="851" w:hanging="851"/>
        <w:rPr>
          <w:sz w:val="24"/>
          <w:szCs w:val="24"/>
        </w:rPr>
      </w:pPr>
    </w:p>
    <w:p w14:paraId="0D32AE50" w14:textId="77777777" w:rsidR="00F32EA9" w:rsidRPr="006E31EE" w:rsidRDefault="00F32EA9" w:rsidP="00124588">
      <w:pPr>
        <w:keepNext/>
        <w:ind w:left="851"/>
        <w:rPr>
          <w:sz w:val="24"/>
          <w:szCs w:val="24"/>
          <w:u w:val="single"/>
        </w:rPr>
      </w:pPr>
      <w:r w:rsidRPr="006E31EE">
        <w:rPr>
          <w:sz w:val="24"/>
          <w:szCs w:val="24"/>
          <w:u w:val="single"/>
        </w:rPr>
        <w:t xml:space="preserve">Fordeling </w:t>
      </w:r>
    </w:p>
    <w:p w14:paraId="6C55DF58" w14:textId="77777777" w:rsidR="00F32EA9" w:rsidRPr="006E31EE" w:rsidRDefault="00F32EA9" w:rsidP="00F32EA9">
      <w:pPr>
        <w:ind w:left="851"/>
        <w:rPr>
          <w:sz w:val="24"/>
          <w:szCs w:val="24"/>
        </w:rPr>
      </w:pPr>
      <w:r w:rsidRPr="006E31EE">
        <w:rPr>
          <w:sz w:val="24"/>
          <w:szCs w:val="24"/>
        </w:rPr>
        <w:t xml:space="preserve">Efter intravenøs indgivelse blev steady state distributionsvolumenet af tenofovir vurderet til at være ca. 800 ml/kg. Efter oral indgivelse af tenofovirdisoproxil fordeles tenofovir til de fleste væv, hvor de højeste koncentrationer forekommer i nyrer, lever og tarmindhold (prækliniske studier). </w:t>
      </w:r>
      <w:r w:rsidRPr="006E31EE">
        <w:rPr>
          <w:i/>
          <w:sz w:val="24"/>
          <w:szCs w:val="24"/>
        </w:rPr>
        <w:t>In vitro</w:t>
      </w:r>
      <w:r w:rsidRPr="006E31EE">
        <w:rPr>
          <w:sz w:val="24"/>
          <w:szCs w:val="24"/>
        </w:rPr>
        <w:t xml:space="preserve">-proteinbinding af tenofovir til plasma- eller serumprotein var under henholdsvis 0,7 og 7,2 % gennem tenofovirs koncentrationsområde 0,01 til 25 μg/ml. </w:t>
      </w:r>
    </w:p>
    <w:p w14:paraId="35661A39" w14:textId="77777777" w:rsidR="00F32EA9" w:rsidRPr="006E31EE" w:rsidRDefault="00F32EA9" w:rsidP="00F32EA9">
      <w:pPr>
        <w:ind w:left="851" w:hanging="851"/>
        <w:rPr>
          <w:sz w:val="24"/>
          <w:szCs w:val="24"/>
        </w:rPr>
      </w:pPr>
    </w:p>
    <w:p w14:paraId="2908BBE0" w14:textId="77777777" w:rsidR="00F32EA9" w:rsidRPr="006E31EE" w:rsidRDefault="00F32EA9" w:rsidP="00F32EA9">
      <w:pPr>
        <w:ind w:left="851"/>
        <w:rPr>
          <w:sz w:val="24"/>
          <w:szCs w:val="24"/>
          <w:u w:val="single"/>
        </w:rPr>
      </w:pPr>
      <w:r w:rsidRPr="006E31EE">
        <w:rPr>
          <w:sz w:val="24"/>
          <w:szCs w:val="24"/>
          <w:u w:val="single"/>
        </w:rPr>
        <w:t xml:space="preserve">Biotransformation </w:t>
      </w:r>
    </w:p>
    <w:p w14:paraId="4F1C3892" w14:textId="77777777" w:rsidR="00F32EA9" w:rsidRPr="006E31EE" w:rsidRDefault="00F32EA9" w:rsidP="00F32EA9">
      <w:pPr>
        <w:ind w:left="851"/>
        <w:rPr>
          <w:sz w:val="24"/>
          <w:szCs w:val="24"/>
        </w:rPr>
      </w:pPr>
      <w:r w:rsidRPr="006E31EE">
        <w:rPr>
          <w:i/>
          <w:sz w:val="24"/>
          <w:szCs w:val="24"/>
        </w:rPr>
        <w:t>In vitro</w:t>
      </w:r>
      <w:r w:rsidRPr="006E31EE">
        <w:rPr>
          <w:sz w:val="24"/>
          <w:szCs w:val="24"/>
        </w:rPr>
        <w:t xml:space="preserve">-studier har afgjort, at hverken tenofovirdisoproxil eller tenofovir er substrater for CYP450-enzymerne. Hertil kommer, at ved koncentrationer væsentligt højere (ca. 300 </w:t>
      </w:r>
      <w:r w:rsidRPr="006E31EE">
        <w:rPr>
          <w:sz w:val="24"/>
          <w:szCs w:val="24"/>
        </w:rPr>
        <w:lastRenderedPageBreak/>
        <w:t>gange) end dem, der sås in vivo, hæmmede tenofovir ikke in vitro-lægemiddel</w:t>
      </w:r>
      <w:r w:rsidRPr="006E31EE">
        <w:rPr>
          <w:sz w:val="24"/>
          <w:szCs w:val="24"/>
        </w:rPr>
        <w:softHyphen/>
        <w:t xml:space="preserve">metabolisering medieret af en hvilken som helst af de vigtige, humane CYP450-isoformer, der er involveret i lægemiddelbiotransformation (CYP3A4, CYP2D6, CYP2C9, CYP2E1 eller CYP1A1/2). Tenofovirdisoproxil i en koncentration på 100 μmol/l havde ingen effekt på nogen af CYP450-isoformerne undtagen CYP1A1/2, hvor der sås en lille (6 %), men statistisk signifikant reduktion i metaboliseringen af CYP1A1/2-substrat. På baggrund af disse data er det usandsynligt, at der skulle forekomme klinisk betydende interaktioner, der involverer tenofovirdisoproxil og lægemidler, der metaboliseres af CYP450. </w:t>
      </w:r>
    </w:p>
    <w:p w14:paraId="08B31BB9" w14:textId="77777777" w:rsidR="00F32EA9" w:rsidRPr="006E31EE" w:rsidRDefault="00F32EA9" w:rsidP="00F32EA9">
      <w:pPr>
        <w:ind w:left="851" w:hanging="851"/>
        <w:rPr>
          <w:sz w:val="24"/>
          <w:szCs w:val="24"/>
        </w:rPr>
      </w:pPr>
    </w:p>
    <w:p w14:paraId="5A3B4426" w14:textId="77777777" w:rsidR="00F32EA9" w:rsidRPr="006E31EE" w:rsidRDefault="00F32EA9" w:rsidP="00F32EA9">
      <w:pPr>
        <w:ind w:left="851"/>
        <w:rPr>
          <w:sz w:val="24"/>
          <w:szCs w:val="24"/>
          <w:u w:val="single"/>
        </w:rPr>
      </w:pPr>
      <w:r w:rsidRPr="006E31EE">
        <w:rPr>
          <w:sz w:val="24"/>
          <w:szCs w:val="24"/>
          <w:u w:val="single"/>
        </w:rPr>
        <w:t xml:space="preserve">Elimination </w:t>
      </w:r>
    </w:p>
    <w:p w14:paraId="2EB24BA2" w14:textId="77777777" w:rsidR="00F32EA9" w:rsidRPr="006E31EE" w:rsidRDefault="00F32EA9" w:rsidP="00F32EA9">
      <w:pPr>
        <w:ind w:left="851"/>
        <w:rPr>
          <w:sz w:val="24"/>
          <w:szCs w:val="24"/>
        </w:rPr>
      </w:pPr>
      <w:r w:rsidRPr="006E31EE">
        <w:rPr>
          <w:sz w:val="24"/>
          <w:szCs w:val="24"/>
        </w:rPr>
        <w:t xml:space="preserve">Tenofovir udskilles primært af nyrerne ved både filtrering og et aktivt tubulært transportsystem, hvor ca. 70-80 % af dosen udskilles uomdannet i urinen efter intravenøs indgivelse. Total clearance er beregnet til at være ca. 230 ml/t/kg (ca. 300 ml/min). Renal clearance er beregnet til at være ca. 160 ml/t/kg (ca. 210 ml/min), hvilket er over den glomerulære filtreringshastighed. Dette angiver, at aktiv tubulær sekretion udgør en vigtig del af eliminationen af tenofovir. Efter oral indgivelse er den terminale halveringstid af tenofovir ca. 12 til 18 timer. </w:t>
      </w:r>
    </w:p>
    <w:p w14:paraId="090C59ED" w14:textId="77777777" w:rsidR="00F32EA9" w:rsidRPr="006E31EE" w:rsidRDefault="00F32EA9" w:rsidP="00F32EA9">
      <w:pPr>
        <w:ind w:left="851" w:hanging="851"/>
        <w:rPr>
          <w:sz w:val="24"/>
          <w:szCs w:val="24"/>
        </w:rPr>
      </w:pPr>
    </w:p>
    <w:p w14:paraId="39E284EE" w14:textId="77777777" w:rsidR="00F32EA9" w:rsidRPr="006E31EE" w:rsidRDefault="00F32EA9" w:rsidP="00F32EA9">
      <w:pPr>
        <w:ind w:left="851"/>
        <w:rPr>
          <w:sz w:val="24"/>
          <w:szCs w:val="24"/>
        </w:rPr>
      </w:pPr>
      <w:r w:rsidRPr="006E31EE">
        <w:rPr>
          <w:sz w:val="24"/>
          <w:szCs w:val="24"/>
        </w:rPr>
        <w:t xml:space="preserve">Studier har vist, at tenofovir secerneres aktivt tubulært af human organisk aniontransporter (hOAT) 1 og 3 ind i de proksimale tubulusceller (influx) og ud i urinen (efflux) af det multidrug-resistente protein 4 (MRP 4). </w:t>
      </w:r>
    </w:p>
    <w:p w14:paraId="42128244" w14:textId="77777777" w:rsidR="00F32EA9" w:rsidRPr="006E31EE" w:rsidRDefault="00F32EA9" w:rsidP="00F32EA9">
      <w:pPr>
        <w:ind w:left="851" w:hanging="851"/>
        <w:rPr>
          <w:sz w:val="24"/>
          <w:szCs w:val="24"/>
        </w:rPr>
      </w:pPr>
    </w:p>
    <w:p w14:paraId="5B1C4271" w14:textId="77777777" w:rsidR="00F32EA9" w:rsidRPr="006E31EE" w:rsidRDefault="00F32EA9" w:rsidP="00682EDD">
      <w:pPr>
        <w:keepNext/>
        <w:ind w:left="851"/>
        <w:rPr>
          <w:sz w:val="24"/>
          <w:szCs w:val="24"/>
          <w:u w:val="single"/>
        </w:rPr>
      </w:pPr>
      <w:r w:rsidRPr="006E31EE">
        <w:rPr>
          <w:sz w:val="24"/>
          <w:szCs w:val="24"/>
          <w:u w:val="single"/>
        </w:rPr>
        <w:t xml:space="preserve">Linearitet/non-linearitet </w:t>
      </w:r>
    </w:p>
    <w:p w14:paraId="662DDDC9" w14:textId="77777777" w:rsidR="00F32EA9" w:rsidRPr="006E31EE" w:rsidRDefault="00F32EA9" w:rsidP="00F32EA9">
      <w:pPr>
        <w:ind w:left="851"/>
        <w:rPr>
          <w:sz w:val="24"/>
          <w:szCs w:val="24"/>
        </w:rPr>
      </w:pPr>
      <w:r w:rsidRPr="006E31EE">
        <w:rPr>
          <w:sz w:val="24"/>
          <w:szCs w:val="24"/>
        </w:rPr>
        <w:t xml:space="preserve">Tenofovirs farmakokinetik var uafhængig af tenofovirdisoproxildosis gennem dosisområdet 75-600 mg og påvirkedes ikke af gentagen dosering på noget som helst dosisniveau. </w:t>
      </w:r>
    </w:p>
    <w:p w14:paraId="08A26813" w14:textId="77777777" w:rsidR="00F32EA9" w:rsidRPr="006E31EE" w:rsidRDefault="00F32EA9" w:rsidP="00F32EA9">
      <w:pPr>
        <w:ind w:left="851" w:hanging="851"/>
        <w:rPr>
          <w:sz w:val="24"/>
          <w:szCs w:val="24"/>
        </w:rPr>
      </w:pPr>
    </w:p>
    <w:p w14:paraId="597F64A3" w14:textId="77777777" w:rsidR="00F32EA9" w:rsidRPr="006E31EE" w:rsidRDefault="00F32EA9" w:rsidP="00F32EA9">
      <w:pPr>
        <w:ind w:left="851"/>
        <w:rPr>
          <w:sz w:val="24"/>
          <w:szCs w:val="24"/>
          <w:u w:val="single"/>
        </w:rPr>
      </w:pPr>
      <w:r w:rsidRPr="006E31EE">
        <w:rPr>
          <w:sz w:val="24"/>
          <w:szCs w:val="24"/>
          <w:u w:val="single"/>
        </w:rPr>
        <w:t xml:space="preserve">Alder </w:t>
      </w:r>
    </w:p>
    <w:p w14:paraId="0744A2DA" w14:textId="77777777" w:rsidR="00F32EA9" w:rsidRPr="006E31EE" w:rsidRDefault="00F32EA9" w:rsidP="00F32EA9">
      <w:pPr>
        <w:ind w:left="851"/>
        <w:rPr>
          <w:sz w:val="24"/>
          <w:szCs w:val="24"/>
        </w:rPr>
      </w:pPr>
      <w:r w:rsidRPr="006E31EE">
        <w:rPr>
          <w:sz w:val="24"/>
          <w:szCs w:val="24"/>
        </w:rPr>
        <w:t xml:space="preserve">Der er ikke foretaget farmakokinetiske studier hos ældre (over 65 år). </w:t>
      </w:r>
    </w:p>
    <w:p w14:paraId="6F282C4E" w14:textId="77777777" w:rsidR="00F32EA9" w:rsidRPr="006E31EE" w:rsidRDefault="00F32EA9" w:rsidP="00F32EA9">
      <w:pPr>
        <w:ind w:left="851" w:hanging="851"/>
        <w:rPr>
          <w:sz w:val="24"/>
          <w:szCs w:val="24"/>
        </w:rPr>
      </w:pPr>
    </w:p>
    <w:p w14:paraId="7338A57E" w14:textId="77777777" w:rsidR="00F32EA9" w:rsidRPr="006E31EE" w:rsidRDefault="00F32EA9" w:rsidP="00F32EA9">
      <w:pPr>
        <w:ind w:left="851"/>
        <w:rPr>
          <w:sz w:val="24"/>
          <w:szCs w:val="24"/>
          <w:u w:val="single"/>
        </w:rPr>
      </w:pPr>
      <w:r w:rsidRPr="006E31EE">
        <w:rPr>
          <w:sz w:val="24"/>
          <w:szCs w:val="24"/>
          <w:u w:val="single"/>
        </w:rPr>
        <w:t xml:space="preserve">Køn </w:t>
      </w:r>
    </w:p>
    <w:p w14:paraId="5F31C809" w14:textId="77777777" w:rsidR="00F32EA9" w:rsidRPr="006E31EE" w:rsidRDefault="00F32EA9" w:rsidP="00F32EA9">
      <w:pPr>
        <w:ind w:left="851"/>
        <w:rPr>
          <w:sz w:val="24"/>
          <w:szCs w:val="24"/>
        </w:rPr>
      </w:pPr>
      <w:r w:rsidRPr="006E31EE">
        <w:rPr>
          <w:sz w:val="24"/>
          <w:szCs w:val="24"/>
        </w:rPr>
        <w:t xml:space="preserve">Begrænset materiale om tenofovirs farmakokinetik hos kvinder angiver ingen større kønseffekt. </w:t>
      </w:r>
    </w:p>
    <w:p w14:paraId="13D3E574" w14:textId="77777777" w:rsidR="00F32EA9" w:rsidRPr="006E31EE" w:rsidRDefault="00F32EA9" w:rsidP="00F32EA9">
      <w:pPr>
        <w:ind w:left="851" w:hanging="851"/>
        <w:rPr>
          <w:sz w:val="24"/>
          <w:szCs w:val="24"/>
        </w:rPr>
      </w:pPr>
    </w:p>
    <w:p w14:paraId="431640FF" w14:textId="77777777" w:rsidR="00F32EA9" w:rsidRPr="006E31EE" w:rsidRDefault="00F32EA9" w:rsidP="00F32EA9">
      <w:pPr>
        <w:ind w:left="851"/>
        <w:rPr>
          <w:sz w:val="24"/>
          <w:szCs w:val="24"/>
          <w:u w:val="single"/>
        </w:rPr>
      </w:pPr>
      <w:r w:rsidRPr="006E31EE">
        <w:rPr>
          <w:sz w:val="24"/>
          <w:szCs w:val="24"/>
          <w:u w:val="single"/>
        </w:rPr>
        <w:t xml:space="preserve">Etnisk oprindelse </w:t>
      </w:r>
    </w:p>
    <w:p w14:paraId="47C856C5" w14:textId="77777777" w:rsidR="00F32EA9" w:rsidRPr="006E31EE" w:rsidRDefault="00F32EA9" w:rsidP="00F32EA9">
      <w:pPr>
        <w:ind w:left="851"/>
        <w:rPr>
          <w:sz w:val="24"/>
          <w:szCs w:val="24"/>
        </w:rPr>
      </w:pPr>
      <w:r w:rsidRPr="006E31EE">
        <w:rPr>
          <w:sz w:val="24"/>
          <w:szCs w:val="24"/>
        </w:rPr>
        <w:t>Farmakokinetik er ikke blevet specifikt undersøgt hos forskellige etniske grupper.</w:t>
      </w:r>
    </w:p>
    <w:p w14:paraId="6BB59F20" w14:textId="77777777" w:rsidR="00F32EA9" w:rsidRPr="006E31EE" w:rsidRDefault="00F32EA9" w:rsidP="00F32EA9">
      <w:pPr>
        <w:ind w:left="851" w:hanging="851"/>
        <w:rPr>
          <w:sz w:val="24"/>
          <w:szCs w:val="24"/>
        </w:rPr>
      </w:pPr>
    </w:p>
    <w:p w14:paraId="31A68D7B" w14:textId="77777777" w:rsidR="00F32EA9" w:rsidRPr="006E31EE" w:rsidRDefault="00F32EA9" w:rsidP="00F32EA9">
      <w:pPr>
        <w:ind w:left="851"/>
        <w:rPr>
          <w:sz w:val="24"/>
          <w:szCs w:val="24"/>
          <w:u w:val="single"/>
        </w:rPr>
      </w:pPr>
      <w:r w:rsidRPr="006E31EE">
        <w:rPr>
          <w:sz w:val="24"/>
          <w:szCs w:val="24"/>
          <w:u w:val="single"/>
        </w:rPr>
        <w:t xml:space="preserve">Pædiatrisk population </w:t>
      </w:r>
    </w:p>
    <w:p w14:paraId="5D8E6F17" w14:textId="77777777" w:rsidR="00F32EA9" w:rsidRPr="006E31EE" w:rsidRDefault="00F32EA9" w:rsidP="00F32EA9">
      <w:pPr>
        <w:ind w:left="851"/>
        <w:rPr>
          <w:sz w:val="24"/>
          <w:szCs w:val="24"/>
        </w:rPr>
      </w:pPr>
      <w:r w:rsidRPr="006E31EE">
        <w:rPr>
          <w:i/>
          <w:sz w:val="24"/>
          <w:szCs w:val="24"/>
        </w:rPr>
        <w:t>Hiv 1</w:t>
      </w:r>
      <w:r w:rsidRPr="006E31EE">
        <w:rPr>
          <w:sz w:val="24"/>
          <w:szCs w:val="24"/>
        </w:rPr>
        <w:t>: Tenofovir steady state farmakokinetik blev evalueret hos 8 hiv 1-inficerede unge patienter (i alderen 12 til &lt;18 år) med kropsvægt ≥35 kg. Gennemsnitlig (± SD) C</w:t>
      </w:r>
      <w:r w:rsidRPr="006E31EE">
        <w:rPr>
          <w:sz w:val="24"/>
          <w:szCs w:val="24"/>
          <w:vertAlign w:val="subscript"/>
        </w:rPr>
        <w:t>max</w:t>
      </w:r>
      <w:r w:rsidRPr="006E31EE">
        <w:rPr>
          <w:sz w:val="24"/>
          <w:szCs w:val="24"/>
        </w:rPr>
        <w:t xml:space="preserve"> og AUC</w:t>
      </w:r>
      <w:r w:rsidRPr="006E31EE">
        <w:rPr>
          <w:sz w:val="24"/>
          <w:szCs w:val="24"/>
          <w:vertAlign w:val="subscript"/>
        </w:rPr>
        <w:t>tau</w:t>
      </w:r>
      <w:r w:rsidRPr="006E31EE">
        <w:rPr>
          <w:sz w:val="24"/>
          <w:szCs w:val="24"/>
        </w:rPr>
        <w:t xml:space="preserve"> er henholdsvis 0,38 ± 0,13 μg/ml og 3,39 ± 1,22 μg·t/ml. Den tenofovir-eksponering, der blev opnået hos unge patienter, som fik daglige orale doser på 245 mg tenofovirdisoproxil, svarede til de eksponeringer, der blev opnået hos voksne, som fik 245 mg tenofovirdisoproxil en gang daglig. </w:t>
      </w:r>
    </w:p>
    <w:p w14:paraId="3C48A32B" w14:textId="77777777" w:rsidR="00F32EA9" w:rsidRPr="006E31EE" w:rsidRDefault="00F32EA9" w:rsidP="00F32EA9">
      <w:pPr>
        <w:ind w:left="851" w:hanging="851"/>
        <w:rPr>
          <w:sz w:val="24"/>
          <w:szCs w:val="24"/>
        </w:rPr>
      </w:pPr>
    </w:p>
    <w:p w14:paraId="16138805" w14:textId="77777777" w:rsidR="00682EDD" w:rsidRPr="006E31EE" w:rsidRDefault="00682EDD" w:rsidP="00682EDD">
      <w:pPr>
        <w:ind w:left="851"/>
        <w:rPr>
          <w:sz w:val="24"/>
          <w:szCs w:val="24"/>
        </w:rPr>
      </w:pPr>
      <w:r w:rsidRPr="006E31EE">
        <w:rPr>
          <w:i/>
          <w:sz w:val="24"/>
          <w:szCs w:val="24"/>
        </w:rPr>
        <w:t>Kronisk hepatitis B</w:t>
      </w:r>
      <w:r w:rsidRPr="006E31EE">
        <w:rPr>
          <w:sz w:val="24"/>
          <w:szCs w:val="24"/>
        </w:rPr>
        <w:t xml:space="preserve">: Steady state tenofovir-eksponering hos HBV-inficerede unge patienter (i alderen 12 til &lt;18 år), som fik daglige orale doser på 245 mg tenofovirdisoproxil, svarede til de eksponeringer, der blev opnået hos voksne, som fik 245 mg tenofovirdisoproxil en gang dagligt. </w:t>
      </w:r>
    </w:p>
    <w:p w14:paraId="0655D959" w14:textId="77777777" w:rsidR="00682EDD" w:rsidRPr="006E31EE" w:rsidRDefault="00682EDD" w:rsidP="00682EDD">
      <w:pPr>
        <w:ind w:left="851" w:hanging="851"/>
        <w:rPr>
          <w:sz w:val="24"/>
          <w:szCs w:val="24"/>
        </w:rPr>
      </w:pPr>
    </w:p>
    <w:p w14:paraId="124AE5D7" w14:textId="77777777" w:rsidR="00A97556" w:rsidRPr="006E31EE" w:rsidRDefault="00A97556" w:rsidP="00A97556">
      <w:pPr>
        <w:ind w:left="851"/>
        <w:rPr>
          <w:sz w:val="24"/>
          <w:szCs w:val="24"/>
        </w:rPr>
      </w:pPr>
      <w:r w:rsidRPr="006E31EE">
        <w:rPr>
          <w:sz w:val="24"/>
          <w:szCs w:val="24"/>
        </w:rPr>
        <w:lastRenderedPageBreak/>
        <w:t>Tenofovireksponeringen hos HBV-inficerede pædiatriske patienter i alderen 2 til &lt; 12 år, der fik en oral daglig dosis tenofovirdisoproxil på 6,5 mg/kg legemsvægt (tabletter eller granulat), dog højst 245 mg, var den samme som den eksponering, der blev opnået hos hiv 1-inficerede pædiatriske patienter i alderen 2 til &lt; 12 år, der fik en daglig dosis tenofovirdisoproxil på 6,5 mg/kg legemsvægt, dog højst 245 mg.</w:t>
      </w:r>
    </w:p>
    <w:p w14:paraId="763DF6CA" w14:textId="77777777" w:rsidR="00682EDD" w:rsidRPr="006E31EE" w:rsidRDefault="00682EDD" w:rsidP="00682EDD">
      <w:pPr>
        <w:ind w:left="851" w:hanging="851"/>
        <w:rPr>
          <w:sz w:val="24"/>
          <w:szCs w:val="24"/>
        </w:rPr>
      </w:pPr>
    </w:p>
    <w:p w14:paraId="7CFA0252" w14:textId="77777777" w:rsidR="00F32EA9" w:rsidRPr="006E31EE" w:rsidRDefault="00F32EA9" w:rsidP="00F32EA9">
      <w:pPr>
        <w:ind w:left="851"/>
        <w:rPr>
          <w:sz w:val="24"/>
          <w:szCs w:val="24"/>
        </w:rPr>
      </w:pPr>
      <w:r w:rsidRPr="006E31EE">
        <w:rPr>
          <w:sz w:val="24"/>
          <w:szCs w:val="24"/>
        </w:rPr>
        <w:t xml:space="preserve">Der er ikke foretaget farmakokinetiske studier med tenofovirdisoproxil 245 mg tabletter hos børn under 12 år eller børn med nedsat nyrefunktion. </w:t>
      </w:r>
    </w:p>
    <w:p w14:paraId="1E37FB14" w14:textId="77777777" w:rsidR="00F32EA9" w:rsidRPr="006E31EE" w:rsidRDefault="00F32EA9" w:rsidP="00F32EA9">
      <w:pPr>
        <w:ind w:left="851" w:hanging="851"/>
        <w:rPr>
          <w:sz w:val="24"/>
          <w:szCs w:val="24"/>
        </w:rPr>
      </w:pPr>
    </w:p>
    <w:p w14:paraId="64A7E855" w14:textId="77777777" w:rsidR="00F32EA9" w:rsidRPr="006E31EE" w:rsidRDefault="00F32EA9" w:rsidP="00F32EA9">
      <w:pPr>
        <w:ind w:left="851"/>
        <w:rPr>
          <w:sz w:val="24"/>
          <w:szCs w:val="24"/>
          <w:u w:val="single"/>
        </w:rPr>
      </w:pPr>
      <w:r w:rsidRPr="006E31EE">
        <w:rPr>
          <w:sz w:val="24"/>
          <w:szCs w:val="24"/>
          <w:u w:val="single"/>
        </w:rPr>
        <w:t xml:space="preserve">Nedsat nyrefunktion </w:t>
      </w:r>
    </w:p>
    <w:p w14:paraId="1888FC51" w14:textId="77777777" w:rsidR="00F32EA9" w:rsidRPr="006E31EE" w:rsidRDefault="00F32EA9" w:rsidP="00F32EA9">
      <w:pPr>
        <w:ind w:left="851"/>
        <w:rPr>
          <w:sz w:val="24"/>
          <w:szCs w:val="24"/>
        </w:rPr>
      </w:pPr>
      <w:r w:rsidRPr="006E31EE">
        <w:rPr>
          <w:sz w:val="24"/>
          <w:szCs w:val="24"/>
        </w:rPr>
        <w:t xml:space="preserve">Farmakokinetiske parametre af tenofovir blev bestemt efter administration af en enkelt dosis af 245 mg tenofovirdisoproxil til 40 voksne patienter uden hiv- eller HBV-infektion med forskellige grader af nedsat nyrefunktion defineret i henhold til kreatininclearance (CrCl) ved baseline (normal nyrefunktion med CrCl &gt;80 ml/min; mild nedsat nyrefunktion med CrCl = 50-79 ml/min; moderat nedsat nyrefunktion med CrCl = 30-49 ml/min og svær nedsat nyrefunktion med CrCl = 10-29 ml/min). Sammenlignet med patienter med normal nyrefunktion steg den gennemsnitlige (% variationskoefficient) eksponering af tenofovir fra 2,185 (12 %) ng·t/ml hos forsøgspersoner med CrCl &gt;80 ml/min til henholdsvis 3,064 (30 %) ng·t/ml, 6,009 (42 %) ng·t/ml og 15.985 (45 %) ng·t/ml hos patienter med mild, moderat og svær nedsat nyrefunktion. Dosisanbefalingerne til patienter med nedsat nyrefunktion, med øget doseringsinterval, forventes at resultere i højere peak-plasmakoncentrationer og lavere Cmin-niveauer hos patienter med nedsat nyrefunktion sammenlignet med patienter med normal nyrefunktion. De kliniske konsekvenser heraf er ukendte. </w:t>
      </w:r>
    </w:p>
    <w:p w14:paraId="5A44776E" w14:textId="77777777" w:rsidR="00F32EA9" w:rsidRPr="006E31EE" w:rsidRDefault="00F32EA9" w:rsidP="00F32EA9">
      <w:pPr>
        <w:ind w:left="851" w:hanging="851"/>
        <w:rPr>
          <w:sz w:val="24"/>
          <w:szCs w:val="24"/>
        </w:rPr>
      </w:pPr>
    </w:p>
    <w:p w14:paraId="16361BD1" w14:textId="2C9F2F57" w:rsidR="00682EDD" w:rsidRPr="006E31EE" w:rsidRDefault="00682EDD" w:rsidP="00682EDD">
      <w:pPr>
        <w:ind w:left="851"/>
        <w:rPr>
          <w:sz w:val="24"/>
          <w:szCs w:val="24"/>
        </w:rPr>
      </w:pPr>
      <w:r w:rsidRPr="006E31EE">
        <w:rPr>
          <w:sz w:val="24"/>
          <w:szCs w:val="24"/>
        </w:rPr>
        <w:t>Hos patienter med nyresygdom i slutstadiet (End Stage Renal Disease, ESRD) (CrCl &lt;10 ml/min), som havde behov for hæmodialyse, steg tenofovirkoncentrationerne mellem dialyser betydeligt over 48 timer, hvilket gav en gennemsnitlig C</w:t>
      </w:r>
      <w:r w:rsidRPr="006E31EE">
        <w:rPr>
          <w:sz w:val="24"/>
          <w:szCs w:val="24"/>
          <w:vertAlign w:val="subscript"/>
        </w:rPr>
        <w:t>max</w:t>
      </w:r>
      <w:r w:rsidRPr="006E31EE">
        <w:rPr>
          <w:sz w:val="24"/>
          <w:szCs w:val="24"/>
        </w:rPr>
        <w:t xml:space="preserve"> på 1,032 ng/ml og en gennemsnitlig AUC</w:t>
      </w:r>
      <w:r w:rsidRPr="006E31EE">
        <w:rPr>
          <w:sz w:val="24"/>
          <w:szCs w:val="24"/>
          <w:vertAlign w:val="subscript"/>
        </w:rPr>
        <w:t xml:space="preserve">0-48t </w:t>
      </w:r>
      <w:r w:rsidRPr="006E31EE">
        <w:rPr>
          <w:sz w:val="24"/>
          <w:szCs w:val="24"/>
        </w:rPr>
        <w:t xml:space="preserve">på 42,857 </w:t>
      </w:r>
      <w:r w:rsidR="00A97556" w:rsidRPr="006E31EE">
        <w:rPr>
          <w:sz w:val="24"/>
          <w:szCs w:val="24"/>
        </w:rPr>
        <w:t>ng·t/ml.</w:t>
      </w:r>
    </w:p>
    <w:p w14:paraId="0741154A" w14:textId="77777777" w:rsidR="00F32EA9" w:rsidRPr="006E31EE" w:rsidRDefault="00F32EA9" w:rsidP="00F32EA9">
      <w:pPr>
        <w:ind w:left="851" w:hanging="851"/>
        <w:rPr>
          <w:sz w:val="24"/>
          <w:szCs w:val="24"/>
        </w:rPr>
      </w:pPr>
    </w:p>
    <w:p w14:paraId="66DA79AB" w14:textId="77777777" w:rsidR="00F32EA9" w:rsidRPr="006E31EE" w:rsidRDefault="00F32EA9" w:rsidP="00F32EA9">
      <w:pPr>
        <w:ind w:left="851"/>
        <w:rPr>
          <w:sz w:val="24"/>
          <w:szCs w:val="24"/>
        </w:rPr>
      </w:pPr>
      <w:r w:rsidRPr="006E31EE">
        <w:rPr>
          <w:sz w:val="24"/>
          <w:szCs w:val="24"/>
        </w:rPr>
        <w:t xml:space="preserve">Det anbefales, at doseringsintervallet for 245 mg tenofovirdisoproxil modificeres hos voksne patienter med kreatininclearance &lt;50 ml/min eller hos patienter, som allerede har ESRD og har behov for dialyse (se pkt. 4.2). </w:t>
      </w:r>
    </w:p>
    <w:p w14:paraId="667A8164" w14:textId="77777777" w:rsidR="00F32EA9" w:rsidRPr="006E31EE" w:rsidRDefault="00F32EA9" w:rsidP="00F32EA9">
      <w:pPr>
        <w:ind w:left="851" w:hanging="851"/>
        <w:rPr>
          <w:sz w:val="24"/>
          <w:szCs w:val="24"/>
        </w:rPr>
      </w:pPr>
    </w:p>
    <w:p w14:paraId="04C2C53B" w14:textId="77777777" w:rsidR="00F32EA9" w:rsidRPr="006E31EE" w:rsidRDefault="00F32EA9" w:rsidP="00F32EA9">
      <w:pPr>
        <w:ind w:left="851"/>
        <w:rPr>
          <w:sz w:val="24"/>
          <w:szCs w:val="24"/>
        </w:rPr>
      </w:pPr>
      <w:r w:rsidRPr="006E31EE">
        <w:rPr>
          <w:sz w:val="24"/>
          <w:szCs w:val="24"/>
        </w:rPr>
        <w:t xml:space="preserve">Tenofovirs farmakokinetik hos ikke-hæmodialyse-patienter med kreatininclearance &lt;10 ml/min og hos patienter med ESRD kontrolleret af peritonealdialyse eller andre former for dialyse er ikke blevet undersøgt. </w:t>
      </w:r>
    </w:p>
    <w:p w14:paraId="3F150B20" w14:textId="77777777" w:rsidR="00F32EA9" w:rsidRPr="006E31EE" w:rsidRDefault="00F32EA9" w:rsidP="00F32EA9">
      <w:pPr>
        <w:ind w:left="851" w:hanging="851"/>
        <w:rPr>
          <w:sz w:val="24"/>
          <w:szCs w:val="24"/>
        </w:rPr>
      </w:pPr>
    </w:p>
    <w:p w14:paraId="2558A84A" w14:textId="77777777" w:rsidR="00F32EA9" w:rsidRPr="006E31EE" w:rsidRDefault="00F32EA9" w:rsidP="00F32EA9">
      <w:pPr>
        <w:ind w:left="851"/>
        <w:rPr>
          <w:sz w:val="24"/>
          <w:szCs w:val="24"/>
        </w:rPr>
      </w:pPr>
      <w:r w:rsidRPr="006E31EE">
        <w:rPr>
          <w:sz w:val="24"/>
          <w:szCs w:val="24"/>
        </w:rPr>
        <w:t xml:space="preserve">Tenofovirs farmakokinetik hos pædiatriske patienter med nedsat nyrefunktion er ikke undersøgt. Der foreligger ingen data for dosisanbefalinger (se pkt. 4.2 og 4.4). </w:t>
      </w:r>
    </w:p>
    <w:p w14:paraId="553CD44E" w14:textId="77777777" w:rsidR="00F32EA9" w:rsidRPr="006E31EE" w:rsidRDefault="00F32EA9" w:rsidP="00F32EA9">
      <w:pPr>
        <w:ind w:left="851" w:hanging="851"/>
        <w:rPr>
          <w:sz w:val="24"/>
          <w:szCs w:val="24"/>
        </w:rPr>
      </w:pPr>
    </w:p>
    <w:p w14:paraId="19A9A1BC" w14:textId="77777777" w:rsidR="00F32EA9" w:rsidRPr="006E31EE" w:rsidRDefault="00F32EA9" w:rsidP="00F32EA9">
      <w:pPr>
        <w:ind w:left="851"/>
        <w:rPr>
          <w:sz w:val="24"/>
          <w:szCs w:val="24"/>
          <w:u w:val="single"/>
        </w:rPr>
      </w:pPr>
      <w:r w:rsidRPr="006E31EE">
        <w:rPr>
          <w:sz w:val="24"/>
          <w:szCs w:val="24"/>
          <w:u w:val="single"/>
        </w:rPr>
        <w:t xml:space="preserve">Nedsat leverfunktion </w:t>
      </w:r>
    </w:p>
    <w:p w14:paraId="1BAE6445" w14:textId="77777777" w:rsidR="00F32EA9" w:rsidRPr="006E31EE" w:rsidRDefault="00F32EA9" w:rsidP="00F32EA9">
      <w:pPr>
        <w:ind w:left="851"/>
        <w:rPr>
          <w:sz w:val="24"/>
          <w:szCs w:val="24"/>
        </w:rPr>
      </w:pPr>
      <w:r w:rsidRPr="006E31EE">
        <w:rPr>
          <w:sz w:val="24"/>
          <w:szCs w:val="24"/>
        </w:rPr>
        <w:t>En enkelt dosis af 245 mg tenofovirdisoproxil blev indgivet til voksne patienter uden hiv- eller HBV-infektion med forskellige grader af nedsat leverfunktion defineret i henhold til Child-Pugh-Turcotte (CPT) klassifikationen. Der skete ingen betydelig ændring i tenofovirs farmakokinetik hos forsøgspersoner med nedsat leverfunktion, hvilket tyder på, at det ikke er nødvendigt at justere dosis hos disse personer. De gennemsnitlige (% variationskoefficient) tenofovir C</w:t>
      </w:r>
      <w:r w:rsidRPr="006E31EE">
        <w:rPr>
          <w:sz w:val="24"/>
          <w:szCs w:val="24"/>
          <w:vertAlign w:val="subscript"/>
        </w:rPr>
        <w:t>max</w:t>
      </w:r>
      <w:r w:rsidRPr="006E31EE">
        <w:rPr>
          <w:sz w:val="24"/>
          <w:szCs w:val="24"/>
        </w:rPr>
        <w:t>- og AUC</w:t>
      </w:r>
      <w:r w:rsidRPr="006E31EE">
        <w:rPr>
          <w:sz w:val="24"/>
          <w:szCs w:val="24"/>
          <w:vertAlign w:val="subscript"/>
        </w:rPr>
        <w:t>0-∞-</w:t>
      </w:r>
      <w:r w:rsidRPr="006E31EE">
        <w:rPr>
          <w:sz w:val="24"/>
          <w:szCs w:val="24"/>
        </w:rPr>
        <w:t xml:space="preserve">værdier var henholdsvis 223 (34,8 %) ng/ml og 2,050 (50,8 %) ng·t/ml hos forsøgspersoner med normal leverfunktion sammenlignet med 289 (46,0 %) ng/ml og 2,310 (43,5 %) ng·t/ml hos forsøgspersoner med </w:t>
      </w:r>
      <w:r w:rsidRPr="006E31EE">
        <w:rPr>
          <w:sz w:val="24"/>
          <w:szCs w:val="24"/>
        </w:rPr>
        <w:lastRenderedPageBreak/>
        <w:t>moderat nedsat leverfunktion og 305 (24,8 %) ng/ml og 2,740 (44,0 %) ng·t/ml hos forsøgspersoner med svær nedsat leverfunktion.</w:t>
      </w:r>
    </w:p>
    <w:p w14:paraId="0C495CAC" w14:textId="77777777" w:rsidR="00F32EA9" w:rsidRPr="006E31EE" w:rsidRDefault="00F32EA9" w:rsidP="00F32EA9">
      <w:pPr>
        <w:ind w:left="851" w:hanging="851"/>
        <w:rPr>
          <w:sz w:val="24"/>
          <w:szCs w:val="24"/>
        </w:rPr>
      </w:pPr>
    </w:p>
    <w:p w14:paraId="7574EF66" w14:textId="77777777" w:rsidR="00F32EA9" w:rsidRPr="006E31EE" w:rsidRDefault="00F32EA9" w:rsidP="00F32EA9">
      <w:pPr>
        <w:ind w:left="851"/>
        <w:rPr>
          <w:sz w:val="24"/>
          <w:szCs w:val="24"/>
          <w:u w:val="single"/>
        </w:rPr>
      </w:pPr>
      <w:r w:rsidRPr="006E31EE">
        <w:rPr>
          <w:sz w:val="24"/>
          <w:szCs w:val="24"/>
          <w:u w:val="single"/>
        </w:rPr>
        <w:t xml:space="preserve">Intracellulær farmakokinetik </w:t>
      </w:r>
    </w:p>
    <w:p w14:paraId="22110FBF" w14:textId="77777777" w:rsidR="00F32EA9" w:rsidRPr="006E31EE" w:rsidRDefault="00F32EA9" w:rsidP="00F32EA9">
      <w:pPr>
        <w:ind w:left="851"/>
        <w:rPr>
          <w:sz w:val="24"/>
          <w:szCs w:val="24"/>
        </w:rPr>
      </w:pPr>
      <w:r w:rsidRPr="006E31EE">
        <w:rPr>
          <w:sz w:val="24"/>
          <w:szCs w:val="24"/>
        </w:rPr>
        <w:t>I ikke-proliferende mononukleære celler i humant perifert blod (PBMC'er) konstateredes det, at tenofovirdiphosphats halveringstid var ca. 50 timer, hvorimod halveringstiden i phytohæmagglutinin-stimulerede PBMC'er var ca. 10 timer.</w:t>
      </w:r>
    </w:p>
    <w:p w14:paraId="0395D740" w14:textId="77777777" w:rsidR="008F3CD4" w:rsidRPr="006E31EE" w:rsidRDefault="008F3CD4" w:rsidP="008F3CD4">
      <w:pPr>
        <w:ind w:left="851" w:hanging="851"/>
        <w:rPr>
          <w:sz w:val="24"/>
          <w:szCs w:val="24"/>
        </w:rPr>
      </w:pPr>
    </w:p>
    <w:p w14:paraId="266F62F5" w14:textId="67043879" w:rsidR="008F3CD4" w:rsidRPr="006E31EE" w:rsidRDefault="008F3CD4" w:rsidP="008F3CD4">
      <w:pPr>
        <w:ind w:left="851" w:hanging="851"/>
        <w:rPr>
          <w:b/>
          <w:sz w:val="24"/>
          <w:szCs w:val="24"/>
        </w:rPr>
      </w:pPr>
      <w:r w:rsidRPr="006E31EE">
        <w:rPr>
          <w:b/>
          <w:sz w:val="24"/>
          <w:szCs w:val="24"/>
        </w:rPr>
        <w:t>5.3</w:t>
      </w:r>
      <w:r w:rsidRPr="006E31EE">
        <w:rPr>
          <w:b/>
          <w:sz w:val="24"/>
          <w:szCs w:val="24"/>
        </w:rPr>
        <w:tab/>
      </w:r>
      <w:r w:rsidR="006C06B6">
        <w:rPr>
          <w:b/>
          <w:sz w:val="24"/>
          <w:szCs w:val="24"/>
        </w:rPr>
        <w:t>Non-</w:t>
      </w:r>
      <w:r w:rsidRPr="006E31EE">
        <w:rPr>
          <w:b/>
          <w:sz w:val="24"/>
          <w:szCs w:val="24"/>
        </w:rPr>
        <w:t>kliniske sikkerhedsdata</w:t>
      </w:r>
    </w:p>
    <w:p w14:paraId="1A340708" w14:textId="18734EDC" w:rsidR="008F3CD4" w:rsidRPr="006E31EE" w:rsidRDefault="006C06B6" w:rsidP="008F3CD4">
      <w:pPr>
        <w:ind w:left="851"/>
        <w:rPr>
          <w:sz w:val="24"/>
          <w:szCs w:val="24"/>
        </w:rPr>
      </w:pPr>
      <w:r>
        <w:rPr>
          <w:sz w:val="24"/>
          <w:szCs w:val="24"/>
        </w:rPr>
        <w:t>Non-</w:t>
      </w:r>
      <w:r w:rsidR="008F3CD4" w:rsidRPr="006E31EE">
        <w:rPr>
          <w:sz w:val="24"/>
          <w:szCs w:val="24"/>
        </w:rPr>
        <w:t xml:space="preserve">kliniske studier af sikkerhedsfarmakologi viser ingen </w:t>
      </w:r>
      <w:r w:rsidR="00D94A76">
        <w:rPr>
          <w:sz w:val="24"/>
          <w:szCs w:val="24"/>
        </w:rPr>
        <w:t xml:space="preserve">speciel </w:t>
      </w:r>
      <w:r w:rsidR="008F3CD4" w:rsidRPr="006E31EE">
        <w:rPr>
          <w:sz w:val="24"/>
          <w:szCs w:val="24"/>
        </w:rPr>
        <w:t xml:space="preserve">risiko for mennesker. Resultater fra toksicitetsstudier efter gentagne doser hos rotter, hunde og aber ved eksponeringsniveauer højere end eller lig med kliniske eksponeringsniveauer og med mulig klinisk relevans omfatter nyre- og knogletoksicitet og et fald i serum-phosphat-koncentrationen. Knogletoksicitet blev diagnosticeret som osteomalaci (aber) og nedsat knoglemineraltæthed (BMD) (rotter og hunde). Knogletoksicitet hos unge voksne rotter og hunde forekom ved eksponeringer ≥ 5 gange eksponeringen hos pædiatriske eller voksne patienter; knogletoksicitet forekom hos unge inficerede aber ved meget høje eksponeringer efter subkutan dosering (≥ 40 gange eksponeringen hos patienter). Fund ved studier med rotter og aber viste, at der var en stofrelateret reduktion i den intestinale absorption af phosphat med potentiel, sekundær reduktion af BMD. </w:t>
      </w:r>
    </w:p>
    <w:p w14:paraId="58FE6FF5" w14:textId="77777777" w:rsidR="008F3CD4" w:rsidRPr="006E31EE" w:rsidRDefault="008F3CD4" w:rsidP="008F3CD4">
      <w:pPr>
        <w:ind w:left="851" w:hanging="851"/>
        <w:rPr>
          <w:sz w:val="24"/>
          <w:szCs w:val="24"/>
        </w:rPr>
      </w:pPr>
    </w:p>
    <w:p w14:paraId="3419F0BB" w14:textId="77777777" w:rsidR="008F3CD4" w:rsidRPr="006E31EE" w:rsidRDefault="008F3CD4" w:rsidP="008F3CD4">
      <w:pPr>
        <w:ind w:left="851"/>
        <w:rPr>
          <w:sz w:val="24"/>
          <w:szCs w:val="24"/>
        </w:rPr>
      </w:pPr>
      <w:r w:rsidRPr="006E31EE">
        <w:rPr>
          <w:sz w:val="24"/>
          <w:szCs w:val="24"/>
        </w:rPr>
        <w:t xml:space="preserve">Genotoksicitetsstudier viste positive resultater i in vitro-muselymfomanalysen, uklare resultater for en af de stammer, der blev anvendt i Ames-testen, og svagt positive resultater i UDS-testen i primære rottehepatocytter. Resultaterne var imidlertid negative i en in vivo-mikronukleusanalyse med museknoglemarv. </w:t>
      </w:r>
    </w:p>
    <w:p w14:paraId="623510E5" w14:textId="77777777" w:rsidR="008F3CD4" w:rsidRPr="006E31EE" w:rsidRDefault="008F3CD4" w:rsidP="008F3CD4">
      <w:pPr>
        <w:ind w:left="851" w:hanging="851"/>
        <w:rPr>
          <w:sz w:val="24"/>
          <w:szCs w:val="24"/>
        </w:rPr>
      </w:pPr>
    </w:p>
    <w:p w14:paraId="28D60EAA" w14:textId="77777777" w:rsidR="008F3CD4" w:rsidRPr="006E31EE" w:rsidRDefault="008F3CD4" w:rsidP="008F3CD4">
      <w:pPr>
        <w:ind w:left="851"/>
        <w:rPr>
          <w:sz w:val="24"/>
          <w:szCs w:val="24"/>
        </w:rPr>
      </w:pPr>
      <w:r w:rsidRPr="006E31EE">
        <w:rPr>
          <w:sz w:val="24"/>
          <w:szCs w:val="24"/>
        </w:rPr>
        <w:t xml:space="preserve">Orale karcinogenicitetsstudier hos rotter og mus viste kun en lav forekomst af duodenaltumorer ved en ekstremt høj dosis givet til mus. Disse tumorer har sandsynligvis ingen relevans for mennesker. </w:t>
      </w:r>
    </w:p>
    <w:p w14:paraId="36FD51B2" w14:textId="77777777" w:rsidR="008F3CD4" w:rsidRPr="006E31EE" w:rsidRDefault="008F3CD4" w:rsidP="008F3CD4">
      <w:pPr>
        <w:ind w:left="851" w:hanging="851"/>
        <w:rPr>
          <w:sz w:val="24"/>
          <w:szCs w:val="24"/>
        </w:rPr>
      </w:pPr>
    </w:p>
    <w:p w14:paraId="2F33ED83" w14:textId="77777777" w:rsidR="008F3CD4" w:rsidRPr="006E31EE" w:rsidRDefault="008F3CD4" w:rsidP="008F3CD4">
      <w:pPr>
        <w:ind w:left="851"/>
        <w:rPr>
          <w:sz w:val="24"/>
          <w:szCs w:val="24"/>
        </w:rPr>
      </w:pPr>
      <w:r w:rsidRPr="006E31EE">
        <w:rPr>
          <w:sz w:val="24"/>
          <w:szCs w:val="24"/>
        </w:rPr>
        <w:t xml:space="preserve">Studier af reproduktionstoksicitet udført hos rotter og kaniner viste ingen virkninger hverken på parrings-, fertilitets-, graviditets- eller fosterparametre. Tenofovirdisoproxil reducerede imidlertid afkommets levedygtighed og vægt i peri-postnatale toksicitetsstudier ved doser, der var toksiske for moderen. </w:t>
      </w:r>
    </w:p>
    <w:p w14:paraId="762B77E1" w14:textId="77777777" w:rsidR="008F3CD4" w:rsidRPr="006E31EE" w:rsidRDefault="008F3CD4" w:rsidP="008F3CD4">
      <w:pPr>
        <w:ind w:left="851" w:hanging="851"/>
        <w:rPr>
          <w:sz w:val="24"/>
          <w:szCs w:val="24"/>
        </w:rPr>
      </w:pPr>
    </w:p>
    <w:p w14:paraId="7CA2E2E7" w14:textId="77777777" w:rsidR="008F3CD4" w:rsidRPr="006E31EE" w:rsidRDefault="008F3CD4" w:rsidP="008F3CD4">
      <w:pPr>
        <w:ind w:left="851"/>
        <w:rPr>
          <w:sz w:val="24"/>
          <w:szCs w:val="24"/>
        </w:rPr>
      </w:pPr>
      <w:r w:rsidRPr="006E31EE">
        <w:rPr>
          <w:sz w:val="24"/>
          <w:szCs w:val="24"/>
        </w:rPr>
        <w:t>Det aktive stof tenofovirdisoproxil og dets primære omdannelsesprodukter er persistente i miljøet.</w:t>
      </w:r>
    </w:p>
    <w:p w14:paraId="0FE7B4FA" w14:textId="77777777" w:rsidR="008F3CD4" w:rsidRPr="006E31EE" w:rsidRDefault="008F3CD4" w:rsidP="008F3CD4">
      <w:pPr>
        <w:ind w:left="851" w:hanging="851"/>
        <w:rPr>
          <w:sz w:val="24"/>
          <w:szCs w:val="24"/>
        </w:rPr>
      </w:pPr>
    </w:p>
    <w:p w14:paraId="47169471" w14:textId="77777777" w:rsidR="008F3CD4" w:rsidRPr="006E31EE" w:rsidRDefault="008F3CD4" w:rsidP="008F3CD4">
      <w:pPr>
        <w:ind w:left="851" w:hanging="851"/>
        <w:rPr>
          <w:sz w:val="24"/>
          <w:szCs w:val="24"/>
        </w:rPr>
      </w:pPr>
    </w:p>
    <w:p w14:paraId="484980AD" w14:textId="77777777" w:rsidR="008F3CD4" w:rsidRPr="006E31EE" w:rsidRDefault="008F3CD4" w:rsidP="008F3CD4">
      <w:pPr>
        <w:ind w:left="851" w:hanging="851"/>
        <w:rPr>
          <w:b/>
          <w:sz w:val="24"/>
          <w:szCs w:val="24"/>
        </w:rPr>
      </w:pPr>
      <w:r w:rsidRPr="006E31EE">
        <w:rPr>
          <w:b/>
          <w:sz w:val="24"/>
          <w:szCs w:val="24"/>
        </w:rPr>
        <w:t>6.</w:t>
      </w:r>
      <w:r w:rsidRPr="006E31EE">
        <w:rPr>
          <w:b/>
          <w:sz w:val="24"/>
          <w:szCs w:val="24"/>
        </w:rPr>
        <w:tab/>
        <w:t>FARMACEUTISKE OPLYSNINGER</w:t>
      </w:r>
    </w:p>
    <w:p w14:paraId="46DA4D94" w14:textId="77777777" w:rsidR="008F3CD4" w:rsidRPr="006E31EE" w:rsidRDefault="008F3CD4" w:rsidP="008F3CD4">
      <w:pPr>
        <w:ind w:left="851" w:hanging="851"/>
        <w:rPr>
          <w:sz w:val="24"/>
          <w:szCs w:val="24"/>
        </w:rPr>
      </w:pPr>
    </w:p>
    <w:p w14:paraId="6C040B00" w14:textId="45C30385" w:rsidR="008F3CD4" w:rsidRPr="006E31EE" w:rsidRDefault="008F3CD4" w:rsidP="00285E88">
      <w:pPr>
        <w:ind w:left="851" w:hanging="851"/>
        <w:rPr>
          <w:b/>
          <w:sz w:val="24"/>
          <w:szCs w:val="24"/>
        </w:rPr>
      </w:pPr>
      <w:r w:rsidRPr="006E31EE">
        <w:rPr>
          <w:b/>
          <w:sz w:val="24"/>
          <w:szCs w:val="24"/>
        </w:rPr>
        <w:t>6.1</w:t>
      </w:r>
      <w:r w:rsidRPr="006E31EE">
        <w:rPr>
          <w:b/>
          <w:sz w:val="24"/>
          <w:szCs w:val="24"/>
        </w:rPr>
        <w:tab/>
        <w:t>Hjælpestoffer</w:t>
      </w:r>
    </w:p>
    <w:p w14:paraId="7226EFB0" w14:textId="77777777" w:rsidR="00F32EA9" w:rsidRPr="006E31EE" w:rsidRDefault="00F32EA9" w:rsidP="00F32EA9">
      <w:pPr>
        <w:ind w:left="851"/>
        <w:rPr>
          <w:i/>
          <w:sz w:val="24"/>
          <w:szCs w:val="24"/>
        </w:rPr>
      </w:pPr>
      <w:r w:rsidRPr="006E31EE">
        <w:rPr>
          <w:i/>
          <w:sz w:val="24"/>
          <w:szCs w:val="24"/>
        </w:rPr>
        <w:t>Tabletkerne</w:t>
      </w:r>
    </w:p>
    <w:p w14:paraId="5AC63A55" w14:textId="77777777" w:rsidR="00F32EA9" w:rsidRPr="006E31EE" w:rsidRDefault="00F32EA9" w:rsidP="00F32EA9">
      <w:pPr>
        <w:ind w:left="851"/>
        <w:rPr>
          <w:sz w:val="24"/>
          <w:szCs w:val="24"/>
        </w:rPr>
      </w:pPr>
      <w:r w:rsidRPr="006E31EE">
        <w:rPr>
          <w:sz w:val="24"/>
          <w:szCs w:val="24"/>
        </w:rPr>
        <w:t>Mikrokrystallinsk cellulose</w:t>
      </w:r>
    </w:p>
    <w:p w14:paraId="01B8B16A" w14:textId="77777777" w:rsidR="00F32EA9" w:rsidRPr="006E31EE" w:rsidRDefault="00F32EA9" w:rsidP="00F32EA9">
      <w:pPr>
        <w:ind w:left="851"/>
        <w:rPr>
          <w:sz w:val="24"/>
          <w:szCs w:val="24"/>
        </w:rPr>
      </w:pPr>
      <w:r w:rsidRPr="006E31EE">
        <w:rPr>
          <w:sz w:val="24"/>
          <w:szCs w:val="24"/>
        </w:rPr>
        <w:t>Lactosemonohydrat</w:t>
      </w:r>
    </w:p>
    <w:p w14:paraId="257ADD84" w14:textId="77777777" w:rsidR="00F32EA9" w:rsidRPr="006E31EE" w:rsidRDefault="00F32EA9" w:rsidP="00F32EA9">
      <w:pPr>
        <w:ind w:left="851"/>
        <w:rPr>
          <w:sz w:val="24"/>
          <w:szCs w:val="24"/>
        </w:rPr>
      </w:pPr>
      <w:r w:rsidRPr="006E31EE">
        <w:rPr>
          <w:sz w:val="24"/>
          <w:szCs w:val="24"/>
        </w:rPr>
        <w:t>Prægelatiniseret majsstivelse</w:t>
      </w:r>
    </w:p>
    <w:p w14:paraId="7590D8A9" w14:textId="77777777" w:rsidR="00F32EA9" w:rsidRPr="006E31EE" w:rsidRDefault="00F32EA9" w:rsidP="00F32EA9">
      <w:pPr>
        <w:pStyle w:val="Default"/>
        <w:ind w:left="851"/>
      </w:pPr>
      <w:r w:rsidRPr="006E31EE">
        <w:t>Crospovidon (Type B)</w:t>
      </w:r>
    </w:p>
    <w:p w14:paraId="50D4B5B8" w14:textId="77777777" w:rsidR="00F32EA9" w:rsidRPr="006E31EE" w:rsidRDefault="00F32EA9" w:rsidP="00F32EA9">
      <w:pPr>
        <w:pStyle w:val="Default"/>
        <w:ind w:left="851"/>
      </w:pPr>
      <w:r w:rsidRPr="006E31EE">
        <w:t>Magnesiumstearat</w:t>
      </w:r>
    </w:p>
    <w:p w14:paraId="0B4C2418" w14:textId="77777777" w:rsidR="00F32EA9" w:rsidRPr="006E31EE" w:rsidRDefault="00F32EA9" w:rsidP="00F32EA9">
      <w:pPr>
        <w:ind w:left="851"/>
        <w:rPr>
          <w:sz w:val="24"/>
          <w:szCs w:val="24"/>
        </w:rPr>
      </w:pPr>
    </w:p>
    <w:p w14:paraId="031174CE" w14:textId="77777777" w:rsidR="00F32EA9" w:rsidRPr="006E31EE" w:rsidRDefault="00F32EA9" w:rsidP="00A25ECF">
      <w:pPr>
        <w:keepNext/>
        <w:ind w:left="851"/>
        <w:rPr>
          <w:i/>
          <w:sz w:val="24"/>
          <w:szCs w:val="24"/>
        </w:rPr>
      </w:pPr>
      <w:r w:rsidRPr="006E31EE">
        <w:rPr>
          <w:i/>
          <w:sz w:val="24"/>
          <w:szCs w:val="24"/>
        </w:rPr>
        <w:lastRenderedPageBreak/>
        <w:t>Filmovertræk</w:t>
      </w:r>
    </w:p>
    <w:p w14:paraId="4FBAAC45" w14:textId="77777777" w:rsidR="00F32EA9" w:rsidRPr="006E31EE" w:rsidRDefault="00F32EA9" w:rsidP="00A25ECF">
      <w:pPr>
        <w:pStyle w:val="Default"/>
        <w:keepNext/>
        <w:ind w:left="851"/>
      </w:pPr>
      <w:r w:rsidRPr="006E31EE">
        <w:t>Hypromellose</w:t>
      </w:r>
    </w:p>
    <w:p w14:paraId="476FBE11" w14:textId="77777777" w:rsidR="00F32EA9" w:rsidRPr="006E31EE" w:rsidRDefault="00F32EA9" w:rsidP="00F32EA9">
      <w:pPr>
        <w:ind w:left="851"/>
        <w:rPr>
          <w:sz w:val="24"/>
          <w:szCs w:val="24"/>
        </w:rPr>
      </w:pPr>
      <w:r w:rsidRPr="006E31EE">
        <w:rPr>
          <w:sz w:val="24"/>
          <w:szCs w:val="24"/>
        </w:rPr>
        <w:t>Titandioxid (E 171)</w:t>
      </w:r>
    </w:p>
    <w:p w14:paraId="24DB6B58" w14:textId="77777777" w:rsidR="00F32EA9" w:rsidRPr="006E31EE" w:rsidRDefault="00F32EA9" w:rsidP="00F32EA9">
      <w:pPr>
        <w:ind w:left="851"/>
        <w:rPr>
          <w:sz w:val="24"/>
          <w:szCs w:val="24"/>
        </w:rPr>
      </w:pPr>
      <w:r w:rsidRPr="006E31EE">
        <w:rPr>
          <w:sz w:val="24"/>
          <w:szCs w:val="24"/>
        </w:rPr>
        <w:t>Macrogol 400</w:t>
      </w:r>
    </w:p>
    <w:p w14:paraId="10B1C84B" w14:textId="77777777" w:rsidR="00F32EA9" w:rsidRPr="006E31EE" w:rsidRDefault="00F32EA9" w:rsidP="00F32EA9">
      <w:pPr>
        <w:ind w:left="851"/>
        <w:rPr>
          <w:sz w:val="24"/>
          <w:szCs w:val="24"/>
        </w:rPr>
      </w:pPr>
      <w:r w:rsidRPr="006E31EE">
        <w:rPr>
          <w:sz w:val="24"/>
          <w:szCs w:val="24"/>
        </w:rPr>
        <w:t>Polysorbat 80</w:t>
      </w:r>
    </w:p>
    <w:p w14:paraId="0F5D9700" w14:textId="77777777" w:rsidR="008F3CD4" w:rsidRPr="006E31EE" w:rsidRDefault="008F3CD4" w:rsidP="008F3CD4">
      <w:pPr>
        <w:ind w:left="851" w:hanging="851"/>
        <w:rPr>
          <w:sz w:val="24"/>
          <w:szCs w:val="24"/>
        </w:rPr>
      </w:pPr>
    </w:p>
    <w:p w14:paraId="1476A5DB" w14:textId="77777777" w:rsidR="008F3CD4" w:rsidRPr="006E31EE" w:rsidRDefault="008F3CD4" w:rsidP="008F3CD4">
      <w:pPr>
        <w:ind w:left="851" w:hanging="851"/>
        <w:rPr>
          <w:b/>
          <w:sz w:val="24"/>
          <w:szCs w:val="24"/>
        </w:rPr>
      </w:pPr>
      <w:r w:rsidRPr="006E31EE">
        <w:rPr>
          <w:b/>
          <w:sz w:val="24"/>
          <w:szCs w:val="24"/>
        </w:rPr>
        <w:t>6.2</w:t>
      </w:r>
      <w:r w:rsidRPr="006E31EE">
        <w:rPr>
          <w:b/>
          <w:sz w:val="24"/>
          <w:szCs w:val="24"/>
        </w:rPr>
        <w:tab/>
        <w:t>Uforligeligheder</w:t>
      </w:r>
    </w:p>
    <w:p w14:paraId="26C587A5" w14:textId="77777777" w:rsidR="008F3CD4" w:rsidRPr="006E31EE" w:rsidRDefault="008F3CD4" w:rsidP="008F3CD4">
      <w:pPr>
        <w:ind w:left="851"/>
        <w:rPr>
          <w:sz w:val="24"/>
          <w:szCs w:val="24"/>
        </w:rPr>
      </w:pPr>
      <w:r w:rsidRPr="006E31EE">
        <w:rPr>
          <w:sz w:val="24"/>
          <w:szCs w:val="24"/>
        </w:rPr>
        <w:t>Ikke relevant.</w:t>
      </w:r>
    </w:p>
    <w:p w14:paraId="02F18A8E" w14:textId="77777777" w:rsidR="008F3CD4" w:rsidRPr="006E31EE" w:rsidRDefault="008F3CD4" w:rsidP="008F3CD4">
      <w:pPr>
        <w:ind w:left="851" w:hanging="851"/>
        <w:rPr>
          <w:sz w:val="24"/>
          <w:szCs w:val="24"/>
        </w:rPr>
      </w:pPr>
    </w:p>
    <w:p w14:paraId="075D1340" w14:textId="77777777" w:rsidR="008F3CD4" w:rsidRPr="006E31EE" w:rsidRDefault="008F3CD4" w:rsidP="008F3CD4">
      <w:pPr>
        <w:ind w:left="851" w:hanging="851"/>
        <w:rPr>
          <w:b/>
          <w:sz w:val="24"/>
          <w:szCs w:val="24"/>
        </w:rPr>
      </w:pPr>
      <w:r w:rsidRPr="006E31EE">
        <w:rPr>
          <w:b/>
          <w:sz w:val="24"/>
          <w:szCs w:val="24"/>
        </w:rPr>
        <w:t>6.3</w:t>
      </w:r>
      <w:r w:rsidRPr="006E31EE">
        <w:rPr>
          <w:b/>
          <w:sz w:val="24"/>
          <w:szCs w:val="24"/>
        </w:rPr>
        <w:tab/>
        <w:t>Opbevaringstid</w:t>
      </w:r>
    </w:p>
    <w:p w14:paraId="18B8316E" w14:textId="77777777" w:rsidR="008F3CD4" w:rsidRPr="006E31EE" w:rsidRDefault="008F3CD4" w:rsidP="008F3CD4">
      <w:pPr>
        <w:ind w:left="851" w:hanging="851"/>
        <w:rPr>
          <w:sz w:val="24"/>
          <w:szCs w:val="24"/>
        </w:rPr>
      </w:pPr>
      <w:r w:rsidRPr="006E31EE">
        <w:rPr>
          <w:sz w:val="24"/>
          <w:szCs w:val="24"/>
        </w:rPr>
        <w:tab/>
        <w:t>2 år.</w:t>
      </w:r>
    </w:p>
    <w:p w14:paraId="6D4D15C0" w14:textId="77777777" w:rsidR="008F3CD4" w:rsidRPr="006E31EE" w:rsidRDefault="008F3CD4" w:rsidP="008F3CD4">
      <w:pPr>
        <w:suppressAutoHyphens/>
        <w:ind w:left="851" w:hanging="851"/>
        <w:rPr>
          <w:rStyle w:val="st1"/>
          <w:sz w:val="24"/>
          <w:szCs w:val="24"/>
        </w:rPr>
      </w:pPr>
    </w:p>
    <w:p w14:paraId="41485EAC" w14:textId="77777777" w:rsidR="008F3CD4" w:rsidRPr="006E31EE" w:rsidRDefault="008F3CD4" w:rsidP="008F3CD4">
      <w:pPr>
        <w:suppressAutoHyphens/>
        <w:ind w:left="851"/>
        <w:rPr>
          <w:sz w:val="24"/>
          <w:szCs w:val="24"/>
        </w:rPr>
      </w:pPr>
      <w:r w:rsidRPr="006E31EE">
        <w:rPr>
          <w:rStyle w:val="st1"/>
          <w:sz w:val="24"/>
          <w:szCs w:val="24"/>
        </w:rPr>
        <w:t xml:space="preserve">Brug </w:t>
      </w:r>
      <w:r w:rsidRPr="006E31EE">
        <w:rPr>
          <w:rStyle w:val="Fremhv"/>
          <w:sz w:val="24"/>
          <w:szCs w:val="24"/>
        </w:rPr>
        <w:t>inden</w:t>
      </w:r>
      <w:r w:rsidRPr="006E31EE">
        <w:rPr>
          <w:rStyle w:val="st1"/>
          <w:sz w:val="24"/>
          <w:szCs w:val="24"/>
        </w:rPr>
        <w:t xml:space="preserve"> 30 </w:t>
      </w:r>
      <w:r w:rsidRPr="006E31EE">
        <w:rPr>
          <w:rStyle w:val="Fremhv"/>
          <w:sz w:val="24"/>
          <w:szCs w:val="24"/>
        </w:rPr>
        <w:t>dage efter åbning</w:t>
      </w:r>
      <w:r w:rsidRPr="006E31EE">
        <w:rPr>
          <w:rStyle w:val="st1"/>
          <w:sz w:val="24"/>
          <w:szCs w:val="24"/>
        </w:rPr>
        <w:t xml:space="preserve"> af </w:t>
      </w:r>
      <w:r w:rsidRPr="006E31EE">
        <w:rPr>
          <w:rStyle w:val="Fremhv"/>
          <w:sz w:val="24"/>
          <w:szCs w:val="24"/>
        </w:rPr>
        <w:t>beholderen første</w:t>
      </w:r>
      <w:r w:rsidRPr="006E31EE">
        <w:rPr>
          <w:rStyle w:val="st1"/>
          <w:sz w:val="24"/>
          <w:szCs w:val="24"/>
        </w:rPr>
        <w:t xml:space="preserve"> gang.</w:t>
      </w:r>
    </w:p>
    <w:p w14:paraId="1064CEB8" w14:textId="77777777" w:rsidR="008F3CD4" w:rsidRPr="006E31EE" w:rsidRDefault="008F3CD4" w:rsidP="008F3CD4">
      <w:pPr>
        <w:ind w:left="851" w:hanging="851"/>
        <w:rPr>
          <w:sz w:val="24"/>
          <w:szCs w:val="24"/>
        </w:rPr>
      </w:pPr>
    </w:p>
    <w:p w14:paraId="065B2158" w14:textId="77777777" w:rsidR="008F3CD4" w:rsidRPr="006E31EE" w:rsidRDefault="008F3CD4" w:rsidP="008F3CD4">
      <w:pPr>
        <w:ind w:left="851" w:hanging="851"/>
        <w:rPr>
          <w:b/>
          <w:sz w:val="24"/>
          <w:szCs w:val="24"/>
        </w:rPr>
      </w:pPr>
      <w:r w:rsidRPr="006E31EE">
        <w:rPr>
          <w:b/>
          <w:sz w:val="24"/>
          <w:szCs w:val="24"/>
        </w:rPr>
        <w:t>6.4</w:t>
      </w:r>
      <w:r w:rsidRPr="006E31EE">
        <w:rPr>
          <w:b/>
          <w:sz w:val="24"/>
          <w:szCs w:val="24"/>
        </w:rPr>
        <w:tab/>
        <w:t>Særlige opbevaringsforhold</w:t>
      </w:r>
    </w:p>
    <w:p w14:paraId="711ADECB" w14:textId="77777777" w:rsidR="008F3CD4" w:rsidRPr="006E31EE" w:rsidRDefault="008F3CD4" w:rsidP="008F3CD4">
      <w:pPr>
        <w:ind w:left="851"/>
        <w:rPr>
          <w:sz w:val="24"/>
          <w:szCs w:val="24"/>
        </w:rPr>
      </w:pPr>
      <w:r w:rsidRPr="006E31EE">
        <w:rPr>
          <w:sz w:val="24"/>
          <w:szCs w:val="24"/>
        </w:rPr>
        <w:t>Dette lægemiddel kræver ingen særlige forholdsregler vedrørende opbevaringen.</w:t>
      </w:r>
    </w:p>
    <w:p w14:paraId="2EE209EF" w14:textId="77777777" w:rsidR="008F3CD4" w:rsidRPr="006E31EE" w:rsidRDefault="008F3CD4" w:rsidP="008F3CD4">
      <w:pPr>
        <w:ind w:left="851" w:hanging="851"/>
        <w:rPr>
          <w:sz w:val="24"/>
          <w:szCs w:val="24"/>
        </w:rPr>
      </w:pPr>
    </w:p>
    <w:p w14:paraId="30A3D6CA" w14:textId="1AA50705" w:rsidR="008F3CD4" w:rsidRPr="006E31EE" w:rsidRDefault="008F3CD4" w:rsidP="008F3CD4">
      <w:pPr>
        <w:ind w:left="851" w:hanging="851"/>
        <w:rPr>
          <w:b/>
          <w:sz w:val="24"/>
          <w:szCs w:val="24"/>
        </w:rPr>
      </w:pPr>
      <w:r w:rsidRPr="006E31EE">
        <w:rPr>
          <w:b/>
          <w:sz w:val="24"/>
          <w:szCs w:val="24"/>
        </w:rPr>
        <w:t>6.5</w:t>
      </w:r>
      <w:r w:rsidRPr="006E31EE">
        <w:rPr>
          <w:b/>
          <w:sz w:val="24"/>
          <w:szCs w:val="24"/>
        </w:rPr>
        <w:tab/>
        <w:t>Emballagetype og pakningsstørrelser</w:t>
      </w:r>
    </w:p>
    <w:p w14:paraId="42137772" w14:textId="77777777" w:rsidR="00682EDD" w:rsidRPr="006E31EE" w:rsidRDefault="00682EDD" w:rsidP="00682EDD">
      <w:pPr>
        <w:autoSpaceDE w:val="0"/>
        <w:autoSpaceDN w:val="0"/>
        <w:ind w:left="851"/>
        <w:rPr>
          <w:sz w:val="24"/>
          <w:szCs w:val="24"/>
        </w:rPr>
      </w:pPr>
      <w:r w:rsidRPr="006E31EE">
        <w:rPr>
          <w:color w:val="000000"/>
          <w:sz w:val="24"/>
          <w:szCs w:val="24"/>
        </w:rPr>
        <w:t>OPA-Al-PVC/Al enkeltdosisblister</w:t>
      </w:r>
    </w:p>
    <w:p w14:paraId="7FDA32F1" w14:textId="77777777" w:rsidR="00682EDD" w:rsidRPr="006E31EE" w:rsidRDefault="00682EDD" w:rsidP="00682EDD">
      <w:pPr>
        <w:suppressAutoHyphens/>
        <w:ind w:left="851"/>
        <w:rPr>
          <w:sz w:val="24"/>
          <w:szCs w:val="24"/>
        </w:rPr>
      </w:pPr>
      <w:r w:rsidRPr="006E31EE">
        <w:rPr>
          <w:sz w:val="24"/>
          <w:szCs w:val="24"/>
        </w:rPr>
        <w:t>Pakningsstørrelser: 30×1, 60×1 og 90×1 filmovertrukne tabletter.</w:t>
      </w:r>
    </w:p>
    <w:p w14:paraId="70E14248" w14:textId="77777777" w:rsidR="00682EDD" w:rsidRPr="006E31EE" w:rsidRDefault="00682EDD" w:rsidP="00682EDD">
      <w:pPr>
        <w:suppressAutoHyphens/>
        <w:ind w:left="851" w:hanging="851"/>
        <w:rPr>
          <w:sz w:val="24"/>
          <w:szCs w:val="24"/>
        </w:rPr>
      </w:pPr>
    </w:p>
    <w:p w14:paraId="6AD57E26" w14:textId="77777777" w:rsidR="00285E88" w:rsidRPr="006E31EE" w:rsidRDefault="00285E88" w:rsidP="00285E88">
      <w:pPr>
        <w:ind w:left="851"/>
        <w:rPr>
          <w:sz w:val="24"/>
          <w:szCs w:val="24"/>
        </w:rPr>
      </w:pPr>
      <w:r w:rsidRPr="006E31EE">
        <w:rPr>
          <w:sz w:val="24"/>
          <w:szCs w:val="24"/>
        </w:rPr>
        <w:t>Hvid uigennemsigtig HDPE-beholder med et hvidt uigennemsigtigt børnesikret skruelåg af polypropylen. Beholderen indeholder silicagel og renset rayon.</w:t>
      </w:r>
      <w:r w:rsidRPr="006E31EE">
        <w:rPr>
          <w:color w:val="000000"/>
          <w:sz w:val="24"/>
          <w:szCs w:val="24"/>
        </w:rPr>
        <w:t xml:space="preserve"> </w:t>
      </w:r>
    </w:p>
    <w:p w14:paraId="1B555997" w14:textId="77777777" w:rsidR="00285E88" w:rsidRPr="006E31EE" w:rsidRDefault="00285E88" w:rsidP="00285E88">
      <w:pPr>
        <w:suppressAutoHyphens/>
        <w:ind w:left="851"/>
        <w:rPr>
          <w:sz w:val="24"/>
          <w:szCs w:val="24"/>
        </w:rPr>
      </w:pPr>
      <w:r w:rsidRPr="006E31EE">
        <w:rPr>
          <w:sz w:val="24"/>
          <w:szCs w:val="24"/>
        </w:rPr>
        <w:t>Pakningsstørrelser: 30, 60 (2×30) og 90 (3×30) filmovertrukne tabletter.</w:t>
      </w:r>
    </w:p>
    <w:p w14:paraId="26823F39" w14:textId="77777777" w:rsidR="00682EDD" w:rsidRPr="006E31EE" w:rsidRDefault="00682EDD" w:rsidP="00682EDD">
      <w:pPr>
        <w:suppressAutoHyphens/>
        <w:ind w:left="851" w:hanging="851"/>
        <w:rPr>
          <w:sz w:val="24"/>
          <w:szCs w:val="24"/>
        </w:rPr>
      </w:pPr>
    </w:p>
    <w:p w14:paraId="6DC02A9F" w14:textId="77777777" w:rsidR="00682EDD" w:rsidRPr="006E31EE" w:rsidRDefault="00682EDD" w:rsidP="00682EDD">
      <w:pPr>
        <w:suppressAutoHyphens/>
        <w:ind w:left="851"/>
        <w:rPr>
          <w:sz w:val="24"/>
          <w:szCs w:val="24"/>
        </w:rPr>
      </w:pPr>
      <w:r w:rsidRPr="006E31EE">
        <w:rPr>
          <w:sz w:val="24"/>
          <w:szCs w:val="24"/>
        </w:rPr>
        <w:t xml:space="preserve">Ikke alle pakningsstørrelser er nødvendigvis markedsført. </w:t>
      </w:r>
    </w:p>
    <w:p w14:paraId="038B9D31" w14:textId="77777777" w:rsidR="008F3CD4" w:rsidRPr="006E31EE" w:rsidRDefault="008F3CD4" w:rsidP="008F3CD4">
      <w:pPr>
        <w:ind w:left="851" w:hanging="851"/>
        <w:rPr>
          <w:sz w:val="24"/>
          <w:szCs w:val="24"/>
        </w:rPr>
      </w:pPr>
    </w:p>
    <w:p w14:paraId="1E1A0704" w14:textId="23F854C5" w:rsidR="008F3CD4" w:rsidRPr="006E31EE" w:rsidRDefault="008F3CD4" w:rsidP="008F3CD4">
      <w:pPr>
        <w:ind w:left="851" w:hanging="851"/>
        <w:rPr>
          <w:b/>
          <w:sz w:val="24"/>
          <w:szCs w:val="24"/>
        </w:rPr>
      </w:pPr>
      <w:r w:rsidRPr="006E31EE">
        <w:rPr>
          <w:b/>
          <w:sz w:val="24"/>
          <w:szCs w:val="24"/>
        </w:rPr>
        <w:t>6.6</w:t>
      </w:r>
      <w:r w:rsidRPr="006E31EE">
        <w:rPr>
          <w:b/>
          <w:sz w:val="24"/>
          <w:szCs w:val="24"/>
        </w:rPr>
        <w:tab/>
        <w:t xml:space="preserve">Regler for </w:t>
      </w:r>
      <w:r w:rsidR="006C06B6">
        <w:rPr>
          <w:b/>
          <w:sz w:val="24"/>
          <w:szCs w:val="24"/>
        </w:rPr>
        <w:t>bortskaffelse</w:t>
      </w:r>
      <w:r w:rsidRPr="006E31EE">
        <w:rPr>
          <w:b/>
          <w:sz w:val="24"/>
          <w:szCs w:val="24"/>
        </w:rPr>
        <w:t xml:space="preserve"> og anden håndtering</w:t>
      </w:r>
    </w:p>
    <w:p w14:paraId="678BF05A" w14:textId="77777777" w:rsidR="00F32EA9" w:rsidRPr="006E31EE" w:rsidRDefault="00F32EA9" w:rsidP="00F32EA9">
      <w:pPr>
        <w:ind w:left="851"/>
        <w:rPr>
          <w:sz w:val="24"/>
          <w:szCs w:val="24"/>
        </w:rPr>
      </w:pPr>
      <w:r w:rsidRPr="006E31EE">
        <w:rPr>
          <w:sz w:val="24"/>
          <w:szCs w:val="24"/>
        </w:rPr>
        <w:t>Ikke anvendt lægemiddel samt affald heraf skal bortskaffes i henhold til lokale retningslinjer.</w:t>
      </w:r>
    </w:p>
    <w:p w14:paraId="7E90ACF8" w14:textId="77777777" w:rsidR="008F3CD4" w:rsidRPr="006E31EE" w:rsidRDefault="008F3CD4" w:rsidP="008F3CD4">
      <w:pPr>
        <w:ind w:left="851" w:hanging="851"/>
        <w:jc w:val="both"/>
        <w:rPr>
          <w:sz w:val="24"/>
          <w:szCs w:val="24"/>
        </w:rPr>
      </w:pPr>
    </w:p>
    <w:p w14:paraId="0F48A51A" w14:textId="77777777" w:rsidR="008F3CD4" w:rsidRPr="006E31EE" w:rsidRDefault="008F3CD4" w:rsidP="008F3CD4">
      <w:pPr>
        <w:ind w:left="851" w:hanging="851"/>
        <w:rPr>
          <w:b/>
          <w:sz w:val="24"/>
          <w:szCs w:val="24"/>
        </w:rPr>
      </w:pPr>
      <w:r w:rsidRPr="006E31EE">
        <w:rPr>
          <w:b/>
          <w:sz w:val="24"/>
          <w:szCs w:val="24"/>
        </w:rPr>
        <w:t>7.</w:t>
      </w:r>
      <w:r w:rsidRPr="006E31EE">
        <w:rPr>
          <w:b/>
          <w:sz w:val="24"/>
          <w:szCs w:val="24"/>
        </w:rPr>
        <w:tab/>
        <w:t>INDEHAVER AF MARKEDSFØRINGSTILLADELSEN</w:t>
      </w:r>
    </w:p>
    <w:p w14:paraId="70F2856C" w14:textId="77777777" w:rsidR="00F32EA9" w:rsidRPr="006E31EE" w:rsidRDefault="00F32EA9" w:rsidP="00F32EA9">
      <w:pPr>
        <w:ind w:left="851"/>
        <w:jc w:val="both"/>
        <w:rPr>
          <w:spacing w:val="-3"/>
          <w:sz w:val="24"/>
          <w:szCs w:val="24"/>
        </w:rPr>
      </w:pPr>
      <w:r w:rsidRPr="006E31EE">
        <w:rPr>
          <w:spacing w:val="-3"/>
          <w:sz w:val="24"/>
          <w:szCs w:val="24"/>
        </w:rPr>
        <w:t>Sandoz A/S</w:t>
      </w:r>
    </w:p>
    <w:p w14:paraId="22F57C2B" w14:textId="77777777" w:rsidR="00F32EA9" w:rsidRPr="006E31EE" w:rsidRDefault="00F32EA9" w:rsidP="00F32EA9">
      <w:pPr>
        <w:ind w:left="851"/>
        <w:jc w:val="both"/>
        <w:rPr>
          <w:spacing w:val="-3"/>
          <w:sz w:val="24"/>
          <w:szCs w:val="24"/>
        </w:rPr>
      </w:pPr>
      <w:r w:rsidRPr="006E31EE">
        <w:rPr>
          <w:spacing w:val="-3"/>
          <w:sz w:val="24"/>
          <w:szCs w:val="24"/>
        </w:rPr>
        <w:t>Edvard Thomsens Vej 14</w:t>
      </w:r>
    </w:p>
    <w:p w14:paraId="3EA941E2" w14:textId="77777777" w:rsidR="00F32EA9" w:rsidRPr="006E31EE" w:rsidRDefault="00F32EA9" w:rsidP="00F32EA9">
      <w:pPr>
        <w:ind w:left="851"/>
        <w:jc w:val="both"/>
        <w:rPr>
          <w:spacing w:val="-3"/>
          <w:sz w:val="24"/>
          <w:szCs w:val="24"/>
        </w:rPr>
      </w:pPr>
      <w:r w:rsidRPr="006E31EE">
        <w:rPr>
          <w:spacing w:val="-3"/>
          <w:sz w:val="24"/>
          <w:szCs w:val="24"/>
        </w:rPr>
        <w:t>2300 København S</w:t>
      </w:r>
    </w:p>
    <w:p w14:paraId="7E5140C8" w14:textId="77777777" w:rsidR="00F32EA9" w:rsidRPr="006E31EE" w:rsidRDefault="00F32EA9" w:rsidP="00F32EA9">
      <w:pPr>
        <w:ind w:left="851"/>
        <w:jc w:val="both"/>
        <w:rPr>
          <w:spacing w:val="-3"/>
          <w:sz w:val="24"/>
          <w:szCs w:val="24"/>
        </w:rPr>
      </w:pPr>
      <w:r w:rsidRPr="006E31EE">
        <w:rPr>
          <w:spacing w:val="-3"/>
          <w:sz w:val="24"/>
          <w:szCs w:val="24"/>
        </w:rPr>
        <w:t>Danmark</w:t>
      </w:r>
    </w:p>
    <w:p w14:paraId="0E2F3604" w14:textId="77777777" w:rsidR="008F3CD4" w:rsidRPr="006E31EE" w:rsidRDefault="008F3CD4" w:rsidP="008F3CD4">
      <w:pPr>
        <w:ind w:left="851" w:hanging="851"/>
        <w:rPr>
          <w:sz w:val="24"/>
          <w:szCs w:val="24"/>
        </w:rPr>
      </w:pPr>
    </w:p>
    <w:p w14:paraId="4437E695" w14:textId="08D8E19C" w:rsidR="008F3CD4" w:rsidRPr="006E31EE" w:rsidRDefault="008F3CD4" w:rsidP="008F3CD4">
      <w:pPr>
        <w:ind w:left="851" w:hanging="851"/>
        <w:rPr>
          <w:b/>
          <w:sz w:val="24"/>
          <w:szCs w:val="24"/>
        </w:rPr>
      </w:pPr>
      <w:r w:rsidRPr="006E31EE">
        <w:rPr>
          <w:b/>
          <w:sz w:val="24"/>
          <w:szCs w:val="24"/>
        </w:rPr>
        <w:t>8.</w:t>
      </w:r>
      <w:r w:rsidRPr="006E31EE">
        <w:rPr>
          <w:b/>
          <w:sz w:val="24"/>
          <w:szCs w:val="24"/>
        </w:rPr>
        <w:tab/>
        <w:t>MARKEDSFØRINGSTILLADELSESNUMMER (</w:t>
      </w:r>
      <w:r w:rsidR="006C06B6">
        <w:rPr>
          <w:b/>
          <w:sz w:val="24"/>
          <w:szCs w:val="24"/>
        </w:rPr>
        <w:t>-</w:t>
      </w:r>
      <w:r w:rsidRPr="006E31EE">
        <w:rPr>
          <w:b/>
          <w:sz w:val="24"/>
          <w:szCs w:val="24"/>
        </w:rPr>
        <w:t>NUMRE)</w:t>
      </w:r>
    </w:p>
    <w:p w14:paraId="2F95C5A3" w14:textId="77777777" w:rsidR="008F3CD4" w:rsidRPr="006E31EE" w:rsidRDefault="008F3CD4" w:rsidP="008F3CD4">
      <w:pPr>
        <w:ind w:left="851"/>
        <w:rPr>
          <w:sz w:val="24"/>
          <w:szCs w:val="24"/>
        </w:rPr>
      </w:pPr>
      <w:r w:rsidRPr="006E31EE">
        <w:rPr>
          <w:sz w:val="24"/>
          <w:szCs w:val="24"/>
        </w:rPr>
        <w:t>56758</w:t>
      </w:r>
    </w:p>
    <w:p w14:paraId="1FCBBA16" w14:textId="77777777" w:rsidR="008F3CD4" w:rsidRPr="006E31EE" w:rsidRDefault="008F3CD4" w:rsidP="008F3CD4">
      <w:pPr>
        <w:ind w:left="851" w:hanging="851"/>
        <w:jc w:val="both"/>
        <w:rPr>
          <w:sz w:val="24"/>
          <w:szCs w:val="24"/>
        </w:rPr>
      </w:pPr>
    </w:p>
    <w:p w14:paraId="65AE967C" w14:textId="77777777" w:rsidR="008F3CD4" w:rsidRPr="006E31EE" w:rsidRDefault="008F3CD4" w:rsidP="008F3CD4">
      <w:pPr>
        <w:ind w:left="851" w:hanging="851"/>
        <w:rPr>
          <w:b/>
          <w:sz w:val="24"/>
          <w:szCs w:val="24"/>
        </w:rPr>
      </w:pPr>
      <w:r w:rsidRPr="006E31EE">
        <w:rPr>
          <w:b/>
          <w:sz w:val="24"/>
          <w:szCs w:val="24"/>
        </w:rPr>
        <w:t>9.</w:t>
      </w:r>
      <w:r w:rsidRPr="006E31EE">
        <w:rPr>
          <w:b/>
          <w:sz w:val="24"/>
          <w:szCs w:val="24"/>
        </w:rPr>
        <w:tab/>
        <w:t>DATO FOR FØRSTE MARKEDSFØRINGSTILLADELSE</w:t>
      </w:r>
    </w:p>
    <w:p w14:paraId="75D01199" w14:textId="77777777" w:rsidR="008F3CD4" w:rsidRPr="006E31EE" w:rsidRDefault="008F3CD4" w:rsidP="008F3CD4">
      <w:pPr>
        <w:ind w:left="851"/>
        <w:rPr>
          <w:sz w:val="24"/>
          <w:szCs w:val="24"/>
        </w:rPr>
      </w:pPr>
      <w:r w:rsidRPr="006E31EE">
        <w:rPr>
          <w:sz w:val="24"/>
          <w:szCs w:val="24"/>
        </w:rPr>
        <w:t>11. januar 2017</w:t>
      </w:r>
    </w:p>
    <w:p w14:paraId="4A4012C4" w14:textId="77777777" w:rsidR="008F3CD4" w:rsidRPr="006E31EE" w:rsidRDefault="008F3CD4" w:rsidP="008F3CD4">
      <w:pPr>
        <w:ind w:left="851" w:hanging="851"/>
        <w:rPr>
          <w:sz w:val="24"/>
          <w:szCs w:val="24"/>
        </w:rPr>
      </w:pPr>
    </w:p>
    <w:p w14:paraId="171CD088" w14:textId="77777777" w:rsidR="008F3CD4" w:rsidRPr="006E31EE" w:rsidRDefault="008F3CD4" w:rsidP="008F3CD4">
      <w:pPr>
        <w:ind w:left="851" w:hanging="851"/>
        <w:rPr>
          <w:b/>
          <w:sz w:val="24"/>
          <w:szCs w:val="24"/>
        </w:rPr>
      </w:pPr>
      <w:r w:rsidRPr="006E31EE">
        <w:rPr>
          <w:b/>
          <w:sz w:val="24"/>
          <w:szCs w:val="24"/>
        </w:rPr>
        <w:t>10.</w:t>
      </w:r>
      <w:r w:rsidRPr="006E31EE">
        <w:rPr>
          <w:b/>
          <w:sz w:val="24"/>
          <w:szCs w:val="24"/>
        </w:rPr>
        <w:tab/>
        <w:t>DATO FOR ÆNDRING AF TEKSTEN</w:t>
      </w:r>
    </w:p>
    <w:p w14:paraId="4778B764" w14:textId="11570837" w:rsidR="008F3CD4" w:rsidRPr="006E31EE" w:rsidRDefault="00CA3916" w:rsidP="008F3CD4">
      <w:pPr>
        <w:ind w:left="851"/>
        <w:rPr>
          <w:sz w:val="24"/>
          <w:szCs w:val="24"/>
        </w:rPr>
      </w:pPr>
      <w:r>
        <w:rPr>
          <w:sz w:val="24"/>
          <w:szCs w:val="24"/>
        </w:rPr>
        <w:t>1</w:t>
      </w:r>
      <w:r w:rsidR="00E70F73">
        <w:rPr>
          <w:sz w:val="24"/>
          <w:szCs w:val="24"/>
        </w:rPr>
        <w:t>8</w:t>
      </w:r>
      <w:bookmarkStart w:id="0" w:name="_GoBack"/>
      <w:bookmarkEnd w:id="0"/>
      <w:r>
        <w:rPr>
          <w:sz w:val="24"/>
          <w:szCs w:val="24"/>
        </w:rPr>
        <w:t>. december 2024</w:t>
      </w:r>
    </w:p>
    <w:p w14:paraId="7D2043D4" w14:textId="77777777" w:rsidR="008F3CD4" w:rsidRPr="006E31EE" w:rsidRDefault="008F3CD4" w:rsidP="008F3CD4"/>
    <w:p w14:paraId="59D70750" w14:textId="77777777" w:rsidR="008F3CD4" w:rsidRPr="006E31EE" w:rsidRDefault="008F3CD4" w:rsidP="008F3CD4"/>
    <w:p w14:paraId="29406619" w14:textId="77777777" w:rsidR="009260DE" w:rsidRPr="006E31EE" w:rsidRDefault="009260DE" w:rsidP="008F3CD4"/>
    <w:sectPr w:rsidR="009260DE" w:rsidRPr="006E31EE"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8189D" w14:textId="77777777" w:rsidR="00E202FA" w:rsidRDefault="00E202FA">
      <w:r>
        <w:separator/>
      </w:r>
    </w:p>
  </w:endnote>
  <w:endnote w:type="continuationSeparator" w:id="0">
    <w:p w14:paraId="70E98BEE" w14:textId="77777777" w:rsidR="00E202FA" w:rsidRDefault="00E20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74B67" w14:textId="77777777" w:rsidR="00E202FA" w:rsidRDefault="00E202FA">
    <w:pPr>
      <w:pStyle w:val="Sidefod"/>
      <w:pBdr>
        <w:bottom w:val="single" w:sz="6" w:space="1" w:color="auto"/>
      </w:pBdr>
    </w:pPr>
  </w:p>
  <w:p w14:paraId="64D49BF6" w14:textId="77777777" w:rsidR="00E202FA" w:rsidRDefault="00E202FA" w:rsidP="00C42586">
    <w:pPr>
      <w:pStyle w:val="Sidefod"/>
      <w:tabs>
        <w:tab w:val="clear" w:pos="4819"/>
        <w:tab w:val="left" w:pos="8505"/>
      </w:tabs>
      <w:rPr>
        <w:i/>
        <w:sz w:val="18"/>
        <w:szCs w:val="18"/>
      </w:rPr>
    </w:pPr>
  </w:p>
  <w:p w14:paraId="4B701BC9" w14:textId="678B0B79" w:rsidR="00E202FA" w:rsidRPr="00B373D7" w:rsidRDefault="00E202F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Tenofovir disoproxil Sandoz, filmovertrukne tabletter 245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8EFB0" w14:textId="77777777" w:rsidR="00E202FA" w:rsidRDefault="00E202FA">
      <w:r>
        <w:separator/>
      </w:r>
    </w:p>
  </w:footnote>
  <w:footnote w:type="continuationSeparator" w:id="0">
    <w:p w14:paraId="59190E56" w14:textId="77777777" w:rsidR="00E202FA" w:rsidRDefault="00E20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8760B0"/>
    <w:multiLevelType w:val="hybridMultilevel"/>
    <w:tmpl w:val="FDD20240"/>
    <w:lvl w:ilvl="0" w:tplc="8B1E921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60A4129"/>
    <w:multiLevelType w:val="hybridMultilevel"/>
    <w:tmpl w:val="6B6EE6C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3424A"/>
    <w:multiLevelType w:val="hybridMultilevel"/>
    <w:tmpl w:val="9A1EF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7"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8" w15:restartNumberingAfterBreak="0">
    <w:nsid w:val="29CB0D44"/>
    <w:multiLevelType w:val="hybridMultilevel"/>
    <w:tmpl w:val="32F43BBE"/>
    <w:lvl w:ilvl="0" w:tplc="FFFFFFFF">
      <w:start w:val="1"/>
      <w:numFmt w:val="bullet"/>
      <w:lvlText w:val="-"/>
      <w:legacy w:legacy="1" w:legacySpace="0" w:legacyIndent="360"/>
      <w:lvlJc w:val="left"/>
      <w:pPr>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831CBA"/>
    <w:multiLevelType w:val="hybridMultilevel"/>
    <w:tmpl w:val="073254DE"/>
    <w:lvl w:ilvl="0" w:tplc="D8969F3A">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D874D8"/>
    <w:multiLevelType w:val="hybridMultilevel"/>
    <w:tmpl w:val="E75A1034"/>
    <w:lvl w:ilvl="0" w:tplc="C0D8CE24">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4" w15:restartNumberingAfterBreak="0">
    <w:nsid w:val="3ACA1D71"/>
    <w:multiLevelType w:val="hybridMultilevel"/>
    <w:tmpl w:val="2D8A6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6"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1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51433695"/>
    <w:multiLevelType w:val="multilevel"/>
    <w:tmpl w:val="5F827470"/>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501580C"/>
    <w:multiLevelType w:val="hybridMultilevel"/>
    <w:tmpl w:val="A74CB31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2"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3" w15:restartNumberingAfterBreak="0">
    <w:nsid w:val="56ED1512"/>
    <w:multiLevelType w:val="hybridMultilevel"/>
    <w:tmpl w:val="06961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65054294"/>
    <w:multiLevelType w:val="hybridMultilevel"/>
    <w:tmpl w:val="D64A91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28" w15:restartNumberingAfterBreak="0">
    <w:nsid w:val="6834516E"/>
    <w:multiLevelType w:val="hybridMultilevel"/>
    <w:tmpl w:val="462A494E"/>
    <w:lvl w:ilvl="0" w:tplc="A6B62BAC">
      <w:start w:val="1"/>
      <w:numFmt w:val="decimal"/>
      <w:lvlText w:val="%1"/>
      <w:lvlJc w:val="left"/>
      <w:pPr>
        <w:ind w:left="958" w:firstLine="0"/>
      </w:pPr>
      <w:rPr>
        <w:rFonts w:ascii="Times New Roman" w:eastAsia="Times New Roman" w:hAnsi="Times New Roman" w:cs="Times New Roman"/>
        <w:b/>
        <w:bCs/>
        <w:i w:val="0"/>
        <w:strike w:val="0"/>
        <w:dstrike w:val="0"/>
        <w:color w:val="000000"/>
        <w:sz w:val="18"/>
        <w:szCs w:val="18"/>
        <w:u w:val="none" w:color="000000"/>
        <w:effect w:val="none"/>
        <w:bdr w:val="none" w:sz="0" w:space="0" w:color="auto" w:frame="1"/>
        <w:vertAlign w:val="superscript"/>
      </w:rPr>
    </w:lvl>
    <w:lvl w:ilvl="1" w:tplc="D880407A">
      <w:start w:val="1"/>
      <w:numFmt w:val="lowerLetter"/>
      <w:lvlText w:val="%2"/>
      <w:lvlJc w:val="left"/>
      <w:pPr>
        <w:ind w:left="1932" w:firstLine="0"/>
      </w:pPr>
      <w:rPr>
        <w:rFonts w:ascii="Times New Roman" w:eastAsia="Times New Roman" w:hAnsi="Times New Roman" w:cs="Times New Roman"/>
        <w:b/>
        <w:bCs/>
        <w:i w:val="0"/>
        <w:strike w:val="0"/>
        <w:dstrike w:val="0"/>
        <w:color w:val="000000"/>
        <w:sz w:val="18"/>
        <w:szCs w:val="18"/>
        <w:u w:val="none" w:color="000000"/>
        <w:effect w:val="none"/>
        <w:bdr w:val="none" w:sz="0" w:space="0" w:color="auto" w:frame="1"/>
        <w:vertAlign w:val="superscript"/>
      </w:rPr>
    </w:lvl>
    <w:lvl w:ilvl="2" w:tplc="0D7CB108">
      <w:start w:val="1"/>
      <w:numFmt w:val="lowerRoman"/>
      <w:lvlText w:val="%3"/>
      <w:lvlJc w:val="left"/>
      <w:pPr>
        <w:ind w:left="2652" w:firstLine="0"/>
      </w:pPr>
      <w:rPr>
        <w:rFonts w:ascii="Times New Roman" w:eastAsia="Times New Roman" w:hAnsi="Times New Roman" w:cs="Times New Roman"/>
        <w:b/>
        <w:bCs/>
        <w:i w:val="0"/>
        <w:strike w:val="0"/>
        <w:dstrike w:val="0"/>
        <w:color w:val="000000"/>
        <w:sz w:val="18"/>
        <w:szCs w:val="18"/>
        <w:u w:val="none" w:color="000000"/>
        <w:effect w:val="none"/>
        <w:bdr w:val="none" w:sz="0" w:space="0" w:color="auto" w:frame="1"/>
        <w:vertAlign w:val="superscript"/>
      </w:rPr>
    </w:lvl>
    <w:lvl w:ilvl="3" w:tplc="2B6C3E22">
      <w:start w:val="1"/>
      <w:numFmt w:val="decimal"/>
      <w:lvlText w:val="%4"/>
      <w:lvlJc w:val="left"/>
      <w:pPr>
        <w:ind w:left="3372" w:firstLine="0"/>
      </w:pPr>
      <w:rPr>
        <w:rFonts w:ascii="Times New Roman" w:eastAsia="Times New Roman" w:hAnsi="Times New Roman" w:cs="Times New Roman"/>
        <w:b/>
        <w:bCs/>
        <w:i w:val="0"/>
        <w:strike w:val="0"/>
        <w:dstrike w:val="0"/>
        <w:color w:val="000000"/>
        <w:sz w:val="18"/>
        <w:szCs w:val="18"/>
        <w:u w:val="none" w:color="000000"/>
        <w:effect w:val="none"/>
        <w:bdr w:val="none" w:sz="0" w:space="0" w:color="auto" w:frame="1"/>
        <w:vertAlign w:val="superscript"/>
      </w:rPr>
    </w:lvl>
    <w:lvl w:ilvl="4" w:tplc="273C6F2E">
      <w:start w:val="1"/>
      <w:numFmt w:val="lowerLetter"/>
      <w:lvlText w:val="%5"/>
      <w:lvlJc w:val="left"/>
      <w:pPr>
        <w:ind w:left="4092" w:firstLine="0"/>
      </w:pPr>
      <w:rPr>
        <w:rFonts w:ascii="Times New Roman" w:eastAsia="Times New Roman" w:hAnsi="Times New Roman" w:cs="Times New Roman"/>
        <w:b/>
        <w:bCs/>
        <w:i w:val="0"/>
        <w:strike w:val="0"/>
        <w:dstrike w:val="0"/>
        <w:color w:val="000000"/>
        <w:sz w:val="18"/>
        <w:szCs w:val="18"/>
        <w:u w:val="none" w:color="000000"/>
        <w:effect w:val="none"/>
        <w:bdr w:val="none" w:sz="0" w:space="0" w:color="auto" w:frame="1"/>
        <w:vertAlign w:val="superscript"/>
      </w:rPr>
    </w:lvl>
    <w:lvl w:ilvl="5" w:tplc="C2360A14">
      <w:start w:val="1"/>
      <w:numFmt w:val="lowerRoman"/>
      <w:lvlText w:val="%6"/>
      <w:lvlJc w:val="left"/>
      <w:pPr>
        <w:ind w:left="4812" w:firstLine="0"/>
      </w:pPr>
      <w:rPr>
        <w:rFonts w:ascii="Times New Roman" w:eastAsia="Times New Roman" w:hAnsi="Times New Roman" w:cs="Times New Roman"/>
        <w:b/>
        <w:bCs/>
        <w:i w:val="0"/>
        <w:strike w:val="0"/>
        <w:dstrike w:val="0"/>
        <w:color w:val="000000"/>
        <w:sz w:val="18"/>
        <w:szCs w:val="18"/>
        <w:u w:val="none" w:color="000000"/>
        <w:effect w:val="none"/>
        <w:bdr w:val="none" w:sz="0" w:space="0" w:color="auto" w:frame="1"/>
        <w:vertAlign w:val="superscript"/>
      </w:rPr>
    </w:lvl>
    <w:lvl w:ilvl="6" w:tplc="F9524ACC">
      <w:start w:val="1"/>
      <w:numFmt w:val="decimal"/>
      <w:lvlText w:val="%7"/>
      <w:lvlJc w:val="left"/>
      <w:pPr>
        <w:ind w:left="5532" w:firstLine="0"/>
      </w:pPr>
      <w:rPr>
        <w:rFonts w:ascii="Times New Roman" w:eastAsia="Times New Roman" w:hAnsi="Times New Roman" w:cs="Times New Roman"/>
        <w:b/>
        <w:bCs/>
        <w:i w:val="0"/>
        <w:strike w:val="0"/>
        <w:dstrike w:val="0"/>
        <w:color w:val="000000"/>
        <w:sz w:val="18"/>
        <w:szCs w:val="18"/>
        <w:u w:val="none" w:color="000000"/>
        <w:effect w:val="none"/>
        <w:bdr w:val="none" w:sz="0" w:space="0" w:color="auto" w:frame="1"/>
        <w:vertAlign w:val="superscript"/>
      </w:rPr>
    </w:lvl>
    <w:lvl w:ilvl="7" w:tplc="D0EC8954">
      <w:start w:val="1"/>
      <w:numFmt w:val="lowerLetter"/>
      <w:lvlText w:val="%8"/>
      <w:lvlJc w:val="left"/>
      <w:pPr>
        <w:ind w:left="6252" w:firstLine="0"/>
      </w:pPr>
      <w:rPr>
        <w:rFonts w:ascii="Times New Roman" w:eastAsia="Times New Roman" w:hAnsi="Times New Roman" w:cs="Times New Roman"/>
        <w:b/>
        <w:bCs/>
        <w:i w:val="0"/>
        <w:strike w:val="0"/>
        <w:dstrike w:val="0"/>
        <w:color w:val="000000"/>
        <w:sz w:val="18"/>
        <w:szCs w:val="18"/>
        <w:u w:val="none" w:color="000000"/>
        <w:effect w:val="none"/>
        <w:bdr w:val="none" w:sz="0" w:space="0" w:color="auto" w:frame="1"/>
        <w:vertAlign w:val="superscript"/>
      </w:rPr>
    </w:lvl>
    <w:lvl w:ilvl="8" w:tplc="0672AF90">
      <w:start w:val="1"/>
      <w:numFmt w:val="lowerRoman"/>
      <w:lvlText w:val="%9"/>
      <w:lvlJc w:val="left"/>
      <w:pPr>
        <w:ind w:left="6972" w:firstLine="0"/>
      </w:pPr>
      <w:rPr>
        <w:rFonts w:ascii="Times New Roman" w:eastAsia="Times New Roman" w:hAnsi="Times New Roman" w:cs="Times New Roman"/>
        <w:b/>
        <w:bCs/>
        <w:i w:val="0"/>
        <w:strike w:val="0"/>
        <w:dstrike w:val="0"/>
        <w:color w:val="000000"/>
        <w:sz w:val="18"/>
        <w:szCs w:val="18"/>
        <w:u w:val="none" w:color="000000"/>
        <w:effect w:val="none"/>
        <w:bdr w:val="none" w:sz="0" w:space="0" w:color="auto" w:frame="1"/>
        <w:vertAlign w:val="superscript"/>
      </w:rPr>
    </w:lvl>
  </w:abstractNum>
  <w:abstractNum w:abstractNumId="29" w15:restartNumberingAfterBreak="0">
    <w:nsid w:val="6A52168F"/>
    <w:multiLevelType w:val="hybridMultilevel"/>
    <w:tmpl w:val="28105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C64F69"/>
    <w:multiLevelType w:val="multilevel"/>
    <w:tmpl w:val="5328BEF6"/>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2"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3" w15:restartNumberingAfterBreak="0">
    <w:nsid w:val="767824F2"/>
    <w:multiLevelType w:val="hybridMultilevel"/>
    <w:tmpl w:val="25324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6"/>
  </w:num>
  <w:num w:numId="8">
    <w:abstractNumId w:val="18"/>
  </w:num>
  <w:num w:numId="9">
    <w:abstractNumId w:val="20"/>
  </w:num>
  <w:num w:numId="10">
    <w:abstractNumId w:val="33"/>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 w:ilvl="0">
        <w:start w:val="1"/>
        <w:numFmt w:val="bullet"/>
        <w:lvlText w:val="-"/>
        <w:legacy w:legacy="1" w:legacySpace="0" w:legacyIndent="360"/>
        <w:lvlJc w:val="left"/>
        <w:pPr>
          <w:ind w:left="360" w:hanging="360"/>
        </w:pPr>
      </w:lvl>
    </w:lvlOverride>
  </w:num>
  <w:num w:numId="13">
    <w:abstractNumId w:val="30"/>
  </w:num>
  <w:num w:numId="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32"/>
  </w:num>
  <w:num w:numId="16">
    <w:abstractNumId w:val="31"/>
  </w:num>
  <w:num w:numId="17">
    <w:abstractNumId w:val="9"/>
  </w:num>
  <w:num w:numId="18">
    <w:abstractNumId w:val="22"/>
  </w:num>
  <w:num w:numId="19">
    <w:abstractNumId w:val="17"/>
  </w:num>
  <w:num w:numId="20">
    <w:abstractNumId w:val="7"/>
  </w:num>
  <w:num w:numId="21">
    <w:abstractNumId w:val="27"/>
  </w:num>
  <w:num w:numId="22">
    <w:abstractNumId w:val="1"/>
  </w:num>
  <w:num w:numId="23">
    <w:abstractNumId w:val="6"/>
  </w:num>
  <w:num w:numId="24">
    <w:abstractNumId w:val="24"/>
  </w:num>
  <w:num w:numId="25">
    <w:abstractNumId w:val="19"/>
  </w:num>
  <w:num w:numId="26">
    <w:abstractNumId w:val="8"/>
  </w:num>
  <w:num w:numId="27">
    <w:abstractNumId w:val="11"/>
  </w:num>
  <w:num w:numId="28">
    <w:abstractNumId w:val="10"/>
  </w:num>
  <w:num w:numId="29">
    <w:abstractNumId w:val="13"/>
  </w:num>
  <w:num w:numId="30">
    <w:abstractNumId w:val="2"/>
  </w:num>
  <w:num w:numId="31">
    <w:abstractNumId w:val="5"/>
  </w:num>
  <w:num w:numId="32">
    <w:abstractNumId w:val="23"/>
  </w:num>
  <w:num w:numId="33">
    <w:abstractNumId w:val="26"/>
  </w:num>
  <w:num w:numId="34">
    <w:abstractNumId w:val="4"/>
  </w:num>
  <w:num w:numId="35">
    <w:abstractNumId w:val="29"/>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CD4"/>
    <w:rsid w:val="000259B9"/>
    <w:rsid w:val="00041491"/>
    <w:rsid w:val="00050D16"/>
    <w:rsid w:val="00074F2A"/>
    <w:rsid w:val="0008581C"/>
    <w:rsid w:val="000A1CA8"/>
    <w:rsid w:val="000A466B"/>
    <w:rsid w:val="000B058C"/>
    <w:rsid w:val="000D4702"/>
    <w:rsid w:val="000E4EE6"/>
    <w:rsid w:val="00124588"/>
    <w:rsid w:val="001454E2"/>
    <w:rsid w:val="00206CE8"/>
    <w:rsid w:val="0021526C"/>
    <w:rsid w:val="00235FEA"/>
    <w:rsid w:val="00283A2B"/>
    <w:rsid w:val="00285E88"/>
    <w:rsid w:val="002B30AD"/>
    <w:rsid w:val="002C06F5"/>
    <w:rsid w:val="002C2C01"/>
    <w:rsid w:val="002E065B"/>
    <w:rsid w:val="003228A3"/>
    <w:rsid w:val="0037478E"/>
    <w:rsid w:val="003A29AE"/>
    <w:rsid w:val="003A32D7"/>
    <w:rsid w:val="003B4074"/>
    <w:rsid w:val="003C769A"/>
    <w:rsid w:val="003F1838"/>
    <w:rsid w:val="0045746C"/>
    <w:rsid w:val="0049104B"/>
    <w:rsid w:val="004E3B12"/>
    <w:rsid w:val="00532310"/>
    <w:rsid w:val="00547ECB"/>
    <w:rsid w:val="00560ECC"/>
    <w:rsid w:val="005649CA"/>
    <w:rsid w:val="00565F0F"/>
    <w:rsid w:val="00594A86"/>
    <w:rsid w:val="00596D86"/>
    <w:rsid w:val="00605B22"/>
    <w:rsid w:val="00637F5A"/>
    <w:rsid w:val="006560B1"/>
    <w:rsid w:val="006756DD"/>
    <w:rsid w:val="00682EDD"/>
    <w:rsid w:val="006C06B6"/>
    <w:rsid w:val="006E31EE"/>
    <w:rsid w:val="00737275"/>
    <w:rsid w:val="00740EEC"/>
    <w:rsid w:val="0078011A"/>
    <w:rsid w:val="00782AF4"/>
    <w:rsid w:val="00790EE7"/>
    <w:rsid w:val="007B6649"/>
    <w:rsid w:val="0081546F"/>
    <w:rsid w:val="00817242"/>
    <w:rsid w:val="0082576E"/>
    <w:rsid w:val="008C2BA7"/>
    <w:rsid w:val="008C3A77"/>
    <w:rsid w:val="008F2A1A"/>
    <w:rsid w:val="008F3CD4"/>
    <w:rsid w:val="00907F75"/>
    <w:rsid w:val="009260DE"/>
    <w:rsid w:val="0093258A"/>
    <w:rsid w:val="00960084"/>
    <w:rsid w:val="009904FF"/>
    <w:rsid w:val="009A1589"/>
    <w:rsid w:val="009C7BA3"/>
    <w:rsid w:val="009D1F5A"/>
    <w:rsid w:val="00A25DBE"/>
    <w:rsid w:val="00A25ECF"/>
    <w:rsid w:val="00A97556"/>
    <w:rsid w:val="00B003BF"/>
    <w:rsid w:val="00B373D7"/>
    <w:rsid w:val="00C01F88"/>
    <w:rsid w:val="00C10AAD"/>
    <w:rsid w:val="00C36276"/>
    <w:rsid w:val="00C42586"/>
    <w:rsid w:val="00C521AB"/>
    <w:rsid w:val="00C60CCD"/>
    <w:rsid w:val="00C84483"/>
    <w:rsid w:val="00C95551"/>
    <w:rsid w:val="00CA3916"/>
    <w:rsid w:val="00CB20D7"/>
    <w:rsid w:val="00D020B0"/>
    <w:rsid w:val="00D11748"/>
    <w:rsid w:val="00D20C48"/>
    <w:rsid w:val="00D366CF"/>
    <w:rsid w:val="00D76516"/>
    <w:rsid w:val="00D94A76"/>
    <w:rsid w:val="00DE19E6"/>
    <w:rsid w:val="00E108AA"/>
    <w:rsid w:val="00E202FA"/>
    <w:rsid w:val="00E31812"/>
    <w:rsid w:val="00E3749A"/>
    <w:rsid w:val="00E70F73"/>
    <w:rsid w:val="00E7437F"/>
    <w:rsid w:val="00E865B8"/>
    <w:rsid w:val="00EB00DD"/>
    <w:rsid w:val="00EC0B9B"/>
    <w:rsid w:val="00ED5E9F"/>
    <w:rsid w:val="00EF255B"/>
    <w:rsid w:val="00F14257"/>
    <w:rsid w:val="00F32EA9"/>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64758"/>
  <w15:chartTrackingRefBased/>
  <w15:docId w15:val="{B198560F-A9DE-4793-968D-9E6BD79FE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qFormat/>
    <w:rsid w:val="008F3CD4"/>
    <w:pPr>
      <w:keepNext/>
      <w:tabs>
        <w:tab w:val="left" w:pos="-720"/>
        <w:tab w:val="left" w:pos="567"/>
      </w:tabs>
      <w:suppressAutoHyphens/>
      <w:ind w:left="567" w:hanging="567"/>
      <w:outlineLvl w:val="1"/>
    </w:pPr>
    <w:rPr>
      <w:b/>
      <w:noProof/>
      <w:sz w:val="22"/>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qFormat/>
    <w:rsid w:val="008F3CD4"/>
    <w:pPr>
      <w:keepNext/>
      <w:tabs>
        <w:tab w:val="left" w:pos="567"/>
      </w:tabs>
      <w:spacing w:line="260" w:lineRule="exact"/>
      <w:jc w:val="both"/>
      <w:outlineLvl w:val="3"/>
    </w:pPr>
    <w:rPr>
      <w:b/>
      <w:noProof/>
      <w:sz w:val="22"/>
    </w:rPr>
  </w:style>
  <w:style w:type="paragraph" w:styleId="Overskrift5">
    <w:name w:val="heading 5"/>
    <w:basedOn w:val="Normal"/>
    <w:next w:val="Normal"/>
    <w:link w:val="Overskrift5Tegn"/>
    <w:qFormat/>
    <w:rsid w:val="008F3CD4"/>
    <w:pPr>
      <w:keepNext/>
      <w:tabs>
        <w:tab w:val="left" w:pos="-720"/>
      </w:tabs>
      <w:suppressAutoHyphens/>
      <w:jc w:val="center"/>
      <w:outlineLvl w:val="4"/>
    </w:pPr>
    <w:rPr>
      <w:b/>
      <w:sz w:val="22"/>
    </w:rPr>
  </w:style>
  <w:style w:type="paragraph" w:styleId="Overskrift6">
    <w:name w:val="heading 6"/>
    <w:basedOn w:val="Normal"/>
    <w:next w:val="Normal"/>
    <w:link w:val="Overskrift6Tegn"/>
    <w:qFormat/>
    <w:rsid w:val="008F3CD4"/>
    <w:pPr>
      <w:keepNext/>
      <w:tabs>
        <w:tab w:val="left" w:pos="-720"/>
        <w:tab w:val="left" w:pos="567"/>
        <w:tab w:val="left" w:pos="4536"/>
      </w:tabs>
      <w:suppressAutoHyphens/>
      <w:spacing w:line="260" w:lineRule="exact"/>
      <w:outlineLvl w:val="5"/>
    </w:pPr>
    <w:rPr>
      <w:i/>
      <w:sz w:val="22"/>
      <w:lang w:val="en-GB"/>
    </w:rPr>
  </w:style>
  <w:style w:type="paragraph" w:styleId="Overskrift7">
    <w:name w:val="heading 7"/>
    <w:basedOn w:val="Normal"/>
    <w:next w:val="Normal"/>
    <w:link w:val="Overskrift7Tegn"/>
    <w:qFormat/>
    <w:rsid w:val="008F3CD4"/>
    <w:pPr>
      <w:keepNext/>
      <w:tabs>
        <w:tab w:val="left" w:pos="-720"/>
        <w:tab w:val="left" w:pos="567"/>
        <w:tab w:val="left" w:pos="4536"/>
      </w:tabs>
      <w:suppressAutoHyphens/>
      <w:spacing w:line="260" w:lineRule="exact"/>
      <w:jc w:val="both"/>
      <w:outlineLvl w:val="6"/>
    </w:pPr>
    <w:rPr>
      <w:i/>
      <w:sz w:val="22"/>
      <w:lang w:val="en-GB"/>
    </w:rPr>
  </w:style>
  <w:style w:type="paragraph" w:styleId="Overskrift8">
    <w:name w:val="heading 8"/>
    <w:basedOn w:val="Normal"/>
    <w:next w:val="Normal"/>
    <w:link w:val="Overskrift8Tegn"/>
    <w:qFormat/>
    <w:rsid w:val="008F3CD4"/>
    <w:pPr>
      <w:keepNext/>
      <w:ind w:left="1701" w:hanging="567"/>
      <w:outlineLvl w:val="7"/>
    </w:pPr>
    <w:rPr>
      <w:b/>
      <w:sz w:val="22"/>
    </w:rPr>
  </w:style>
  <w:style w:type="paragraph" w:styleId="Overskrift9">
    <w:name w:val="heading 9"/>
    <w:basedOn w:val="Normal"/>
    <w:next w:val="Normal"/>
    <w:link w:val="Overskrift9Tegn"/>
    <w:qFormat/>
    <w:rsid w:val="008F3CD4"/>
    <w:pPr>
      <w:keepNext/>
      <w:suppressAutoHyphens/>
      <w:outlineLvl w:val="8"/>
    </w:pPr>
    <w:rPr>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semiHidden/>
    <w:rsid w:val="009260DE"/>
    <w:rPr>
      <w:b/>
      <w:bCs/>
      <w:lang w:eastAsia="en-US"/>
    </w:rPr>
  </w:style>
  <w:style w:type="character" w:customStyle="1" w:styleId="Overskrift2Tegn">
    <w:name w:val="Overskrift 2 Tegn"/>
    <w:basedOn w:val="Standardskrifttypeiafsnit"/>
    <w:link w:val="Overskrift2"/>
    <w:rsid w:val="008F3CD4"/>
    <w:rPr>
      <w:b/>
      <w:noProof/>
      <w:sz w:val="22"/>
      <w:lang w:eastAsia="en-US"/>
    </w:rPr>
  </w:style>
  <w:style w:type="character" w:customStyle="1" w:styleId="Overskrift4Tegn">
    <w:name w:val="Overskrift 4 Tegn"/>
    <w:basedOn w:val="Standardskrifttypeiafsnit"/>
    <w:link w:val="Overskrift4"/>
    <w:rsid w:val="008F3CD4"/>
    <w:rPr>
      <w:b/>
      <w:noProof/>
      <w:sz w:val="22"/>
      <w:lang w:eastAsia="en-US"/>
    </w:rPr>
  </w:style>
  <w:style w:type="character" w:customStyle="1" w:styleId="Overskrift5Tegn">
    <w:name w:val="Overskrift 5 Tegn"/>
    <w:basedOn w:val="Standardskrifttypeiafsnit"/>
    <w:link w:val="Overskrift5"/>
    <w:rsid w:val="008F3CD4"/>
    <w:rPr>
      <w:b/>
      <w:sz w:val="22"/>
      <w:lang w:eastAsia="en-US"/>
    </w:rPr>
  </w:style>
  <w:style w:type="character" w:customStyle="1" w:styleId="Overskrift6Tegn">
    <w:name w:val="Overskrift 6 Tegn"/>
    <w:basedOn w:val="Standardskrifttypeiafsnit"/>
    <w:link w:val="Overskrift6"/>
    <w:rsid w:val="008F3CD4"/>
    <w:rPr>
      <w:i/>
      <w:sz w:val="22"/>
      <w:lang w:val="en-GB" w:eastAsia="en-US"/>
    </w:rPr>
  </w:style>
  <w:style w:type="character" w:customStyle="1" w:styleId="Overskrift7Tegn">
    <w:name w:val="Overskrift 7 Tegn"/>
    <w:basedOn w:val="Standardskrifttypeiafsnit"/>
    <w:link w:val="Overskrift7"/>
    <w:rsid w:val="008F3CD4"/>
    <w:rPr>
      <w:i/>
      <w:sz w:val="22"/>
      <w:lang w:val="en-GB" w:eastAsia="en-US"/>
    </w:rPr>
  </w:style>
  <w:style w:type="character" w:customStyle="1" w:styleId="Overskrift8Tegn">
    <w:name w:val="Overskrift 8 Tegn"/>
    <w:basedOn w:val="Standardskrifttypeiafsnit"/>
    <w:link w:val="Overskrift8"/>
    <w:rsid w:val="008F3CD4"/>
    <w:rPr>
      <w:b/>
      <w:sz w:val="22"/>
      <w:lang w:eastAsia="en-US"/>
    </w:rPr>
  </w:style>
  <w:style w:type="character" w:customStyle="1" w:styleId="Overskrift9Tegn">
    <w:name w:val="Overskrift 9 Tegn"/>
    <w:basedOn w:val="Standardskrifttypeiafsnit"/>
    <w:link w:val="Overskrift9"/>
    <w:rsid w:val="008F3CD4"/>
    <w:rPr>
      <w:b/>
      <w:sz w:val="22"/>
      <w:lang w:eastAsia="en-US"/>
    </w:rPr>
  </w:style>
  <w:style w:type="character" w:styleId="Pladsholdertekst">
    <w:name w:val="Placeholder Text"/>
    <w:basedOn w:val="Standardskrifttypeiafsnit"/>
    <w:uiPriority w:val="99"/>
    <w:semiHidden/>
    <w:rsid w:val="008F3CD4"/>
    <w:rPr>
      <w:color w:val="808080"/>
    </w:rPr>
  </w:style>
  <w:style w:type="paragraph" w:styleId="Listeafsnit">
    <w:name w:val="List Paragraph"/>
    <w:basedOn w:val="Normal"/>
    <w:uiPriority w:val="34"/>
    <w:qFormat/>
    <w:rsid w:val="008F3CD4"/>
    <w:pPr>
      <w:ind w:left="720"/>
      <w:contextualSpacing/>
    </w:pPr>
    <w:rPr>
      <w:sz w:val="22"/>
    </w:rPr>
  </w:style>
  <w:style w:type="paragraph" w:customStyle="1" w:styleId="Default">
    <w:name w:val="Default"/>
    <w:rsid w:val="008F3CD4"/>
    <w:pPr>
      <w:autoSpaceDE w:val="0"/>
      <w:autoSpaceDN w:val="0"/>
      <w:adjustRightInd w:val="0"/>
    </w:pPr>
    <w:rPr>
      <w:color w:val="000000"/>
      <w:sz w:val="24"/>
      <w:szCs w:val="24"/>
    </w:rPr>
  </w:style>
  <w:style w:type="table" w:styleId="Tabel-Gitter">
    <w:name w:val="Table Grid"/>
    <w:basedOn w:val="Tabel-Normal"/>
    <w:rsid w:val="008F3C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rsid w:val="008F3CD4"/>
    <w:rPr>
      <w:color w:val="0000FF"/>
      <w:u w:val="single"/>
    </w:rPr>
  </w:style>
  <w:style w:type="character" w:styleId="Fremhv">
    <w:name w:val="Emphasis"/>
    <w:basedOn w:val="Standardskrifttypeiafsnit"/>
    <w:uiPriority w:val="20"/>
    <w:qFormat/>
    <w:rsid w:val="008F3CD4"/>
    <w:rPr>
      <w:b/>
      <w:bCs/>
      <w:i w:val="0"/>
      <w:iCs w:val="0"/>
    </w:rPr>
  </w:style>
  <w:style w:type="character" w:customStyle="1" w:styleId="st1">
    <w:name w:val="st1"/>
    <w:basedOn w:val="Standardskrifttypeiafsnit"/>
    <w:rsid w:val="008F3CD4"/>
  </w:style>
  <w:style w:type="paragraph" w:styleId="Ingenafstand">
    <w:name w:val="No Spacing"/>
    <w:uiPriority w:val="1"/>
    <w:qFormat/>
    <w:rsid w:val="008F3CD4"/>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87091098">
      <w:bodyDiv w:val="1"/>
      <w:marLeft w:val="0"/>
      <w:marRight w:val="0"/>
      <w:marTop w:val="0"/>
      <w:marBottom w:val="0"/>
      <w:divBdr>
        <w:top w:val="none" w:sz="0" w:space="0" w:color="auto"/>
        <w:left w:val="none" w:sz="0" w:space="0" w:color="auto"/>
        <w:bottom w:val="none" w:sz="0" w:space="0" w:color="auto"/>
        <w:right w:val="none" w:sz="0" w:space="0" w:color="auto"/>
      </w:divBdr>
    </w:div>
    <w:div w:id="870069842">
      <w:bodyDiv w:val="1"/>
      <w:marLeft w:val="0"/>
      <w:marRight w:val="0"/>
      <w:marTop w:val="0"/>
      <w:marBottom w:val="0"/>
      <w:divBdr>
        <w:top w:val="none" w:sz="0" w:space="0" w:color="auto"/>
        <w:left w:val="none" w:sz="0" w:space="0" w:color="auto"/>
        <w:bottom w:val="none" w:sz="0" w:space="0" w:color="auto"/>
        <w:right w:val="none" w:sz="0" w:space="0" w:color="auto"/>
      </w:divBdr>
    </w:div>
    <w:div w:id="1030689364">
      <w:bodyDiv w:val="1"/>
      <w:marLeft w:val="0"/>
      <w:marRight w:val="0"/>
      <w:marTop w:val="0"/>
      <w:marBottom w:val="0"/>
      <w:divBdr>
        <w:top w:val="none" w:sz="0" w:space="0" w:color="auto"/>
        <w:left w:val="none" w:sz="0" w:space="0" w:color="auto"/>
        <w:bottom w:val="none" w:sz="0" w:space="0" w:color="auto"/>
        <w:right w:val="none" w:sz="0" w:space="0" w:color="auto"/>
      </w:divBdr>
    </w:div>
    <w:div w:id="1244803518">
      <w:bodyDiv w:val="1"/>
      <w:marLeft w:val="0"/>
      <w:marRight w:val="0"/>
      <w:marTop w:val="0"/>
      <w:marBottom w:val="0"/>
      <w:divBdr>
        <w:top w:val="none" w:sz="0" w:space="0" w:color="auto"/>
        <w:left w:val="none" w:sz="0" w:space="0" w:color="auto"/>
        <w:bottom w:val="none" w:sz="0" w:space="0" w:color="auto"/>
        <w:right w:val="none" w:sz="0" w:space="0" w:color="auto"/>
      </w:divBdr>
    </w:div>
    <w:div w:id="1742412425">
      <w:bodyDiv w:val="1"/>
      <w:marLeft w:val="0"/>
      <w:marRight w:val="0"/>
      <w:marTop w:val="0"/>
      <w:marBottom w:val="0"/>
      <w:divBdr>
        <w:top w:val="none" w:sz="0" w:space="0" w:color="auto"/>
        <w:left w:val="none" w:sz="0" w:space="0" w:color="auto"/>
        <w:bottom w:val="none" w:sz="0" w:space="0" w:color="auto"/>
        <w:right w:val="none" w:sz="0" w:space="0" w:color="auto"/>
      </w:divBdr>
    </w:div>
    <w:div w:id="212306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48</Pages>
  <Words>15847</Words>
  <Characters>101470</Characters>
  <Application>Microsoft Office Word</Application>
  <DocSecurity>0</DocSecurity>
  <Lines>845</Lines>
  <Paragraphs>234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2024054414  - pkt. 4.4, 4.8, </dc:description>
  <cp:lastModifiedBy>Gitte Ronnovius</cp:lastModifiedBy>
  <cp:revision>4</cp:revision>
  <cp:lastPrinted>2012-08-22T08:53:00Z</cp:lastPrinted>
  <dcterms:created xsi:type="dcterms:W3CDTF">2024-12-13T07:50:00Z</dcterms:created>
  <dcterms:modified xsi:type="dcterms:W3CDTF">2024-12-18T10:06:00Z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