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918" w:rsidRPr="00C84483" w:rsidRDefault="00491918" w:rsidP="00491918">
      <w:pPr>
        <w:rPr>
          <w:sz w:val="24"/>
          <w:szCs w:val="24"/>
        </w:rPr>
      </w:pPr>
      <w:r>
        <w:rPr>
          <w:noProof/>
          <w:sz w:val="24"/>
          <w:szCs w:val="24"/>
          <w:lang w:eastAsia="da-DK"/>
        </w:rPr>
        <w:drawing>
          <wp:inline distT="0" distB="0" distL="0" distR="0" wp14:anchorId="11C41FC9" wp14:editId="2C041858">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491918" w:rsidRPr="00C84483" w:rsidRDefault="00491918" w:rsidP="00491918">
      <w:pPr>
        <w:pStyle w:val="Titel"/>
        <w:tabs>
          <w:tab w:val="right" w:pos="9356"/>
        </w:tabs>
        <w:jc w:val="left"/>
        <w:rPr>
          <w:b w:val="0"/>
          <w:szCs w:val="24"/>
          <w:lang w:eastAsia="en-US"/>
        </w:rPr>
      </w:pPr>
    </w:p>
    <w:p w:rsidR="00491918" w:rsidRPr="00C84483" w:rsidRDefault="00491918" w:rsidP="00491918">
      <w:pPr>
        <w:pStyle w:val="Titel"/>
        <w:tabs>
          <w:tab w:val="right" w:pos="9356"/>
        </w:tabs>
        <w:jc w:val="left"/>
        <w:rPr>
          <w:b w:val="0"/>
          <w:szCs w:val="24"/>
          <w:lang w:eastAsia="en-US"/>
        </w:rPr>
      </w:pPr>
      <w:r w:rsidRPr="00C84483">
        <w:rPr>
          <w:b w:val="0"/>
          <w:szCs w:val="24"/>
          <w:lang w:eastAsia="en-US"/>
        </w:rPr>
        <w:tab/>
      </w:r>
      <w:r w:rsidR="00E0577D">
        <w:rPr>
          <w:szCs w:val="24"/>
        </w:rPr>
        <w:t>18. december 2024</w:t>
      </w:r>
    </w:p>
    <w:p w:rsidR="00491918" w:rsidRPr="00C84483" w:rsidRDefault="00491918" w:rsidP="00491918">
      <w:pPr>
        <w:pStyle w:val="Titel"/>
        <w:tabs>
          <w:tab w:val="left" w:pos="8222"/>
        </w:tabs>
        <w:jc w:val="left"/>
        <w:rPr>
          <w:b w:val="0"/>
          <w:szCs w:val="24"/>
        </w:rPr>
      </w:pPr>
    </w:p>
    <w:p w:rsidR="00491918" w:rsidRPr="00C84483" w:rsidRDefault="00491918" w:rsidP="00491918">
      <w:pPr>
        <w:pStyle w:val="Titel"/>
        <w:jc w:val="left"/>
        <w:rPr>
          <w:b w:val="0"/>
          <w:szCs w:val="24"/>
        </w:rPr>
      </w:pPr>
    </w:p>
    <w:p w:rsidR="00491918" w:rsidRPr="00C84483" w:rsidRDefault="00491918" w:rsidP="00491918">
      <w:pPr>
        <w:pStyle w:val="Titel"/>
        <w:jc w:val="left"/>
        <w:rPr>
          <w:b w:val="0"/>
          <w:szCs w:val="24"/>
        </w:rPr>
      </w:pPr>
    </w:p>
    <w:p w:rsidR="00491918" w:rsidRPr="00C84483" w:rsidRDefault="00491918" w:rsidP="00491918">
      <w:pPr>
        <w:jc w:val="center"/>
        <w:rPr>
          <w:b/>
          <w:sz w:val="24"/>
          <w:szCs w:val="24"/>
        </w:rPr>
      </w:pPr>
      <w:r w:rsidRPr="00C84483">
        <w:rPr>
          <w:b/>
          <w:sz w:val="24"/>
          <w:szCs w:val="24"/>
        </w:rPr>
        <w:t>PRODUKTRESUMÉ</w:t>
      </w:r>
    </w:p>
    <w:p w:rsidR="00491918" w:rsidRPr="00C84483" w:rsidRDefault="00491918" w:rsidP="0027257E">
      <w:pPr>
        <w:rPr>
          <w:b/>
          <w:sz w:val="24"/>
          <w:szCs w:val="24"/>
        </w:rPr>
      </w:pPr>
    </w:p>
    <w:p w:rsidR="00491918" w:rsidRPr="00C84483" w:rsidRDefault="00491918" w:rsidP="00491918">
      <w:pPr>
        <w:jc w:val="center"/>
        <w:rPr>
          <w:b/>
          <w:sz w:val="24"/>
          <w:szCs w:val="24"/>
        </w:rPr>
      </w:pPr>
      <w:r w:rsidRPr="00C84483">
        <w:rPr>
          <w:b/>
          <w:sz w:val="24"/>
          <w:szCs w:val="24"/>
        </w:rPr>
        <w:t>for</w:t>
      </w:r>
    </w:p>
    <w:p w:rsidR="00491918" w:rsidRPr="00C84483" w:rsidRDefault="00491918" w:rsidP="00491918">
      <w:pPr>
        <w:jc w:val="center"/>
        <w:rPr>
          <w:b/>
          <w:sz w:val="24"/>
          <w:szCs w:val="24"/>
        </w:rPr>
      </w:pPr>
    </w:p>
    <w:p w:rsidR="00491918" w:rsidRPr="00C84483" w:rsidRDefault="00491918" w:rsidP="00491918">
      <w:pPr>
        <w:jc w:val="center"/>
        <w:rPr>
          <w:b/>
          <w:sz w:val="24"/>
          <w:szCs w:val="24"/>
        </w:rPr>
      </w:pPr>
      <w:r>
        <w:rPr>
          <w:b/>
          <w:sz w:val="24"/>
          <w:szCs w:val="24"/>
        </w:rPr>
        <w:t>Tenofovir disoproxil "Teva", filmovertrukne tabletter</w:t>
      </w:r>
    </w:p>
    <w:p w:rsidR="00491918" w:rsidRPr="00C84483" w:rsidRDefault="00491918" w:rsidP="00491918">
      <w:pPr>
        <w:jc w:val="both"/>
        <w:rPr>
          <w:sz w:val="24"/>
          <w:szCs w:val="24"/>
        </w:rPr>
      </w:pPr>
    </w:p>
    <w:p w:rsidR="00491918" w:rsidRPr="00C84483" w:rsidRDefault="00491918" w:rsidP="00491918">
      <w:pPr>
        <w:jc w:val="both"/>
        <w:rPr>
          <w:sz w:val="24"/>
          <w:szCs w:val="24"/>
        </w:rPr>
      </w:pPr>
    </w:p>
    <w:p w:rsidR="00491918" w:rsidRPr="00C84483" w:rsidRDefault="00491918" w:rsidP="00491918">
      <w:pPr>
        <w:tabs>
          <w:tab w:val="left" w:pos="851"/>
        </w:tabs>
        <w:ind w:left="851" w:hanging="851"/>
        <w:rPr>
          <w:b/>
          <w:sz w:val="24"/>
          <w:szCs w:val="24"/>
        </w:rPr>
      </w:pPr>
      <w:r w:rsidRPr="00C84483">
        <w:rPr>
          <w:b/>
          <w:sz w:val="24"/>
          <w:szCs w:val="24"/>
        </w:rPr>
        <w:t>0.</w:t>
      </w:r>
      <w:r w:rsidRPr="00C84483">
        <w:rPr>
          <w:b/>
          <w:sz w:val="24"/>
          <w:szCs w:val="24"/>
        </w:rPr>
        <w:tab/>
        <w:t>D.SP.NR.</w:t>
      </w:r>
    </w:p>
    <w:p w:rsidR="00491918" w:rsidRPr="00C84483" w:rsidRDefault="00491918" w:rsidP="00491918">
      <w:pPr>
        <w:tabs>
          <w:tab w:val="left" w:pos="851"/>
        </w:tabs>
        <w:rPr>
          <w:sz w:val="24"/>
          <w:szCs w:val="24"/>
        </w:rPr>
      </w:pPr>
      <w:r w:rsidRPr="00C84483">
        <w:rPr>
          <w:sz w:val="24"/>
          <w:szCs w:val="24"/>
        </w:rPr>
        <w:tab/>
      </w:r>
      <w:r>
        <w:rPr>
          <w:sz w:val="24"/>
          <w:szCs w:val="24"/>
        </w:rPr>
        <w:t>29403</w:t>
      </w:r>
    </w:p>
    <w:p w:rsidR="00491918" w:rsidRPr="00C84483" w:rsidRDefault="00491918" w:rsidP="00491918">
      <w:pPr>
        <w:tabs>
          <w:tab w:val="left" w:pos="851"/>
        </w:tabs>
        <w:rPr>
          <w:sz w:val="24"/>
          <w:szCs w:val="24"/>
        </w:rPr>
      </w:pPr>
    </w:p>
    <w:p w:rsidR="00491918" w:rsidRPr="00C84483" w:rsidRDefault="00491918" w:rsidP="00491918">
      <w:pPr>
        <w:tabs>
          <w:tab w:val="left" w:pos="851"/>
        </w:tabs>
        <w:ind w:left="851" w:hanging="851"/>
        <w:rPr>
          <w:b/>
          <w:sz w:val="24"/>
          <w:szCs w:val="24"/>
        </w:rPr>
      </w:pPr>
      <w:r w:rsidRPr="00C84483">
        <w:rPr>
          <w:b/>
          <w:sz w:val="24"/>
          <w:szCs w:val="24"/>
        </w:rPr>
        <w:t>1.</w:t>
      </w:r>
      <w:r w:rsidRPr="00C84483">
        <w:rPr>
          <w:b/>
          <w:sz w:val="24"/>
          <w:szCs w:val="24"/>
        </w:rPr>
        <w:tab/>
        <w:t>LÆGEMIDLETS NAVN</w:t>
      </w:r>
    </w:p>
    <w:p w:rsidR="00491918" w:rsidRPr="00C84483" w:rsidRDefault="00491918" w:rsidP="00491918">
      <w:pPr>
        <w:tabs>
          <w:tab w:val="left" w:pos="851"/>
        </w:tabs>
        <w:rPr>
          <w:sz w:val="24"/>
          <w:szCs w:val="24"/>
        </w:rPr>
      </w:pPr>
      <w:r w:rsidRPr="00C84483">
        <w:rPr>
          <w:sz w:val="24"/>
          <w:szCs w:val="24"/>
        </w:rPr>
        <w:tab/>
      </w:r>
      <w:r>
        <w:rPr>
          <w:sz w:val="24"/>
          <w:szCs w:val="24"/>
        </w:rPr>
        <w:t>Tenofovir disoproxil "Teva"</w:t>
      </w:r>
    </w:p>
    <w:p w:rsidR="00491918" w:rsidRPr="00C84483" w:rsidRDefault="00491918" w:rsidP="00491918">
      <w:pPr>
        <w:tabs>
          <w:tab w:val="left" w:pos="851"/>
        </w:tabs>
        <w:rPr>
          <w:sz w:val="24"/>
          <w:szCs w:val="24"/>
        </w:rPr>
      </w:pPr>
      <w:r w:rsidRPr="00C84483">
        <w:rPr>
          <w:sz w:val="24"/>
          <w:szCs w:val="24"/>
        </w:rPr>
        <w:tab/>
      </w:r>
    </w:p>
    <w:p w:rsidR="00491918" w:rsidRPr="00C84483" w:rsidRDefault="00491918" w:rsidP="0049191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491918" w:rsidRPr="00411D6D" w:rsidRDefault="00491918" w:rsidP="00491918">
      <w:pPr>
        <w:tabs>
          <w:tab w:val="left" w:pos="851"/>
        </w:tabs>
        <w:ind w:left="851" w:hanging="851"/>
        <w:rPr>
          <w:sz w:val="24"/>
          <w:lang w:eastAsia="da-DK"/>
        </w:rPr>
      </w:pPr>
      <w:r w:rsidRPr="00411D6D">
        <w:rPr>
          <w:sz w:val="24"/>
          <w:lang w:eastAsia="da-DK"/>
        </w:rPr>
        <w:tab/>
        <w:t>Hver filmovertrukket tablet indeholder tenofovirdisoproxilphosphat svarende til 245 mg tenofovirdisoproxil.</w:t>
      </w:r>
    </w:p>
    <w:p w:rsidR="00491918" w:rsidRPr="00411D6D" w:rsidRDefault="00491918" w:rsidP="00491918">
      <w:pPr>
        <w:tabs>
          <w:tab w:val="left" w:pos="851"/>
        </w:tabs>
        <w:ind w:left="851" w:hanging="851"/>
        <w:rPr>
          <w:sz w:val="24"/>
          <w:lang w:eastAsia="da-DK"/>
        </w:rPr>
      </w:pPr>
    </w:p>
    <w:p w:rsidR="00491918" w:rsidRPr="00411D6D" w:rsidRDefault="00491918" w:rsidP="00491918">
      <w:pPr>
        <w:tabs>
          <w:tab w:val="left" w:pos="851"/>
        </w:tabs>
        <w:ind w:left="851" w:hanging="851"/>
        <w:rPr>
          <w:sz w:val="24"/>
          <w:lang w:eastAsia="da-DK"/>
        </w:rPr>
      </w:pPr>
      <w:r w:rsidRPr="00411D6D">
        <w:rPr>
          <w:sz w:val="24"/>
          <w:lang w:eastAsia="da-DK"/>
        </w:rPr>
        <w:tab/>
        <w:t>Hjælpestof, som behandleren skal være opmærksom på:</w:t>
      </w:r>
      <w:r>
        <w:rPr>
          <w:sz w:val="24"/>
          <w:lang w:eastAsia="da-DK"/>
        </w:rPr>
        <w:t xml:space="preserve"> </w:t>
      </w:r>
      <w:r w:rsidRPr="00411D6D">
        <w:rPr>
          <w:sz w:val="24"/>
          <w:lang w:eastAsia="da-DK"/>
        </w:rPr>
        <w:t>Hver tablet indeholder 100,0 mg lactosemonohydrat.</w:t>
      </w:r>
    </w:p>
    <w:p w:rsidR="00491918" w:rsidRPr="00411D6D" w:rsidRDefault="00491918" w:rsidP="00491918">
      <w:pPr>
        <w:tabs>
          <w:tab w:val="left" w:pos="851"/>
        </w:tabs>
        <w:ind w:left="851" w:hanging="851"/>
        <w:rPr>
          <w:sz w:val="24"/>
          <w:lang w:eastAsia="da-DK"/>
        </w:rPr>
      </w:pPr>
    </w:p>
    <w:p w:rsidR="00491918" w:rsidRPr="00411D6D" w:rsidRDefault="00491918" w:rsidP="00491918">
      <w:pPr>
        <w:tabs>
          <w:tab w:val="left" w:pos="851"/>
        </w:tabs>
        <w:ind w:left="851" w:hanging="851"/>
        <w:rPr>
          <w:sz w:val="24"/>
          <w:lang w:eastAsia="da-DK"/>
        </w:rPr>
      </w:pPr>
      <w:r w:rsidRPr="00411D6D">
        <w:rPr>
          <w:sz w:val="24"/>
          <w:lang w:eastAsia="da-DK"/>
        </w:rPr>
        <w:tab/>
        <w:t>Alle hjælpestoffer er anført under pkt. 6.1.</w:t>
      </w:r>
    </w:p>
    <w:p w:rsidR="00491918" w:rsidRPr="00C84483" w:rsidRDefault="00491918" w:rsidP="00491918">
      <w:pPr>
        <w:tabs>
          <w:tab w:val="left" w:pos="851"/>
        </w:tabs>
        <w:rPr>
          <w:sz w:val="24"/>
          <w:szCs w:val="24"/>
        </w:rPr>
      </w:pPr>
    </w:p>
    <w:p w:rsidR="00491918" w:rsidRPr="00C84483" w:rsidRDefault="00491918" w:rsidP="00491918">
      <w:pPr>
        <w:tabs>
          <w:tab w:val="left" w:pos="851"/>
        </w:tabs>
        <w:ind w:left="851" w:hanging="851"/>
        <w:rPr>
          <w:b/>
          <w:sz w:val="24"/>
          <w:szCs w:val="24"/>
        </w:rPr>
      </w:pPr>
      <w:r w:rsidRPr="00C84483">
        <w:rPr>
          <w:b/>
          <w:sz w:val="24"/>
          <w:szCs w:val="24"/>
        </w:rPr>
        <w:t>3.</w:t>
      </w:r>
      <w:r w:rsidRPr="00C84483">
        <w:rPr>
          <w:b/>
          <w:sz w:val="24"/>
          <w:szCs w:val="24"/>
        </w:rPr>
        <w:tab/>
        <w:t>LÆGEMIDDELFORM</w:t>
      </w:r>
    </w:p>
    <w:p w:rsidR="00491918" w:rsidRPr="00C84483" w:rsidRDefault="00491918" w:rsidP="00491918">
      <w:pPr>
        <w:tabs>
          <w:tab w:val="left" w:pos="851"/>
        </w:tabs>
        <w:ind w:left="851" w:hanging="851"/>
        <w:rPr>
          <w:sz w:val="24"/>
          <w:szCs w:val="24"/>
        </w:rPr>
      </w:pPr>
      <w:r w:rsidRPr="00C84483">
        <w:rPr>
          <w:sz w:val="24"/>
          <w:szCs w:val="24"/>
        </w:rPr>
        <w:tab/>
      </w:r>
      <w:r>
        <w:rPr>
          <w:sz w:val="24"/>
          <w:szCs w:val="24"/>
        </w:rPr>
        <w:t>Filmovertrukne tabletter</w:t>
      </w:r>
    </w:p>
    <w:p w:rsidR="00491918" w:rsidRDefault="00491918" w:rsidP="00491918">
      <w:pPr>
        <w:tabs>
          <w:tab w:val="left" w:pos="851"/>
        </w:tabs>
        <w:ind w:left="851"/>
        <w:rPr>
          <w:sz w:val="24"/>
          <w:lang w:eastAsia="da-DK"/>
        </w:rPr>
      </w:pPr>
    </w:p>
    <w:p w:rsidR="00491918" w:rsidRPr="00411D6D" w:rsidRDefault="00491918" w:rsidP="00491918">
      <w:pPr>
        <w:tabs>
          <w:tab w:val="left" w:pos="851"/>
        </w:tabs>
        <w:ind w:left="851"/>
        <w:rPr>
          <w:sz w:val="24"/>
          <w:lang w:eastAsia="da-DK"/>
        </w:rPr>
      </w:pPr>
      <w:r w:rsidRPr="00411D6D">
        <w:rPr>
          <w:sz w:val="24"/>
          <w:lang w:eastAsia="da-DK"/>
        </w:rPr>
        <w:t>Lyseblå til blå, filmovertrukket, oval tablet, 16,6 mm lang og 8,9 mm bred, præget med ”T” på den ene side af tabletten og uden prægning på den anden side.</w:t>
      </w:r>
    </w:p>
    <w:p w:rsidR="00491918" w:rsidRPr="00C84483" w:rsidRDefault="00491918" w:rsidP="00491918">
      <w:pPr>
        <w:tabs>
          <w:tab w:val="left" w:pos="851"/>
        </w:tabs>
        <w:rPr>
          <w:sz w:val="24"/>
          <w:szCs w:val="24"/>
        </w:rPr>
      </w:pPr>
    </w:p>
    <w:p w:rsidR="00491918" w:rsidRPr="00C84483" w:rsidRDefault="00491918" w:rsidP="00491918">
      <w:pPr>
        <w:tabs>
          <w:tab w:val="left" w:pos="851"/>
        </w:tabs>
        <w:rPr>
          <w:sz w:val="24"/>
          <w:szCs w:val="24"/>
        </w:rPr>
      </w:pPr>
    </w:p>
    <w:p w:rsidR="00491918" w:rsidRPr="00C84483" w:rsidRDefault="00491918" w:rsidP="00491918">
      <w:pPr>
        <w:tabs>
          <w:tab w:val="left" w:pos="851"/>
        </w:tabs>
        <w:ind w:left="851" w:hanging="851"/>
        <w:rPr>
          <w:b/>
          <w:sz w:val="24"/>
          <w:szCs w:val="24"/>
        </w:rPr>
      </w:pPr>
      <w:r w:rsidRPr="00C84483">
        <w:rPr>
          <w:b/>
          <w:sz w:val="24"/>
          <w:szCs w:val="24"/>
        </w:rPr>
        <w:t>4.</w:t>
      </w:r>
      <w:r w:rsidRPr="00C84483">
        <w:rPr>
          <w:b/>
          <w:sz w:val="24"/>
          <w:szCs w:val="24"/>
        </w:rPr>
        <w:tab/>
        <w:t>KLINISKE OPLYSNINGER</w:t>
      </w:r>
    </w:p>
    <w:p w:rsidR="00491918" w:rsidRPr="00C84483" w:rsidRDefault="00491918" w:rsidP="00491918">
      <w:pPr>
        <w:tabs>
          <w:tab w:val="left" w:pos="851"/>
        </w:tabs>
        <w:rPr>
          <w:b/>
          <w:sz w:val="24"/>
          <w:szCs w:val="24"/>
        </w:rPr>
      </w:pPr>
    </w:p>
    <w:p w:rsidR="00491918" w:rsidRPr="00FE70EC" w:rsidRDefault="00491918" w:rsidP="00FE70EC">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91918" w:rsidRPr="00E44DEA" w:rsidRDefault="00491918" w:rsidP="00491918">
      <w:pPr>
        <w:tabs>
          <w:tab w:val="left" w:pos="851"/>
        </w:tabs>
        <w:autoSpaceDE w:val="0"/>
        <w:autoSpaceDN w:val="0"/>
        <w:adjustRightInd w:val="0"/>
        <w:ind w:left="851"/>
        <w:rPr>
          <w:sz w:val="24"/>
          <w:u w:val="single"/>
          <w:lang w:eastAsia="da-DK"/>
        </w:rPr>
      </w:pPr>
      <w:r w:rsidRPr="00E44DEA">
        <w:rPr>
          <w:sz w:val="24"/>
          <w:u w:val="single"/>
          <w:lang w:eastAsia="da-DK"/>
        </w:rPr>
        <w:t xml:space="preserve">Hiv 1-infektion </w:t>
      </w:r>
    </w:p>
    <w:p w:rsidR="00491918" w:rsidRPr="00E44DEA" w:rsidRDefault="00491918" w:rsidP="00491918">
      <w:pPr>
        <w:autoSpaceDE w:val="0"/>
        <w:autoSpaceDN w:val="0"/>
        <w:adjustRightInd w:val="0"/>
        <w:ind w:left="851"/>
        <w:rPr>
          <w:sz w:val="24"/>
          <w:lang w:eastAsia="da-DK"/>
        </w:rPr>
      </w:pPr>
      <w:r>
        <w:rPr>
          <w:sz w:val="24"/>
          <w:lang w:eastAsia="da-DK"/>
        </w:rPr>
        <w:t>Tenofovir disoproxil "Teva"</w:t>
      </w:r>
      <w:r w:rsidRPr="00E44DEA">
        <w:rPr>
          <w:sz w:val="24"/>
          <w:lang w:eastAsia="da-DK"/>
        </w:rPr>
        <w:t xml:space="preserve"> er indiceret i kombination med andre antiretrovirale lægemidler til behandling af hiv 1-inficerede voksne. </w:t>
      </w:r>
    </w:p>
    <w:p w:rsidR="00491918" w:rsidRPr="00E44DEA" w:rsidRDefault="00491918" w:rsidP="00491918">
      <w:pPr>
        <w:autoSpaceDE w:val="0"/>
        <w:autoSpaceDN w:val="0"/>
        <w:adjustRightInd w:val="0"/>
        <w:ind w:left="851"/>
        <w:rPr>
          <w:sz w:val="24"/>
          <w:lang w:eastAsia="da-DK"/>
        </w:rPr>
      </w:pPr>
    </w:p>
    <w:p w:rsidR="00491918" w:rsidRPr="00E44DEA" w:rsidRDefault="00491918" w:rsidP="00491918">
      <w:pPr>
        <w:autoSpaceDE w:val="0"/>
        <w:autoSpaceDN w:val="0"/>
        <w:adjustRightInd w:val="0"/>
        <w:ind w:left="851"/>
        <w:rPr>
          <w:sz w:val="24"/>
          <w:lang w:eastAsia="da-DK"/>
        </w:rPr>
      </w:pPr>
      <w:r w:rsidRPr="00E44DEA">
        <w:rPr>
          <w:sz w:val="24"/>
          <w:lang w:eastAsia="da-DK"/>
        </w:rPr>
        <w:t xml:space="preserve">Hos voksne er påvisningen af tenofovirdisoproxils gavnlige effekt på hiv 1-infektion baseret på resultaterne fra ét studie med behandlingsnaive patienter, herunder patienter med en høj virusmængde (&gt; 100.000 kopier/ml) og studier, hvor tenofovirdisoproxil blev føjet til stabil baggrundsterapi (hovedsagelig trestofsbehandling) hos antiretroviralt forbehandlede patienter, som tidligt ikke havde haft virologisk effekt (&lt; 10.000 kopier/ml; hos størstedelen af patienterne &lt; 5.000 kopier/ml). </w:t>
      </w:r>
    </w:p>
    <w:p w:rsidR="00491918" w:rsidRPr="00E44DEA" w:rsidRDefault="00491918" w:rsidP="00491918">
      <w:pPr>
        <w:autoSpaceDE w:val="0"/>
        <w:autoSpaceDN w:val="0"/>
        <w:adjustRightInd w:val="0"/>
        <w:ind w:left="851"/>
        <w:rPr>
          <w:sz w:val="24"/>
          <w:lang w:eastAsia="da-DK"/>
        </w:rPr>
      </w:pPr>
      <w:r>
        <w:rPr>
          <w:sz w:val="24"/>
          <w:lang w:eastAsia="da-DK"/>
        </w:rPr>
        <w:lastRenderedPageBreak/>
        <w:t>Tenofovir disoproxil "Teva"</w:t>
      </w:r>
      <w:r w:rsidRPr="00E44DEA">
        <w:rPr>
          <w:sz w:val="24"/>
          <w:lang w:eastAsia="da-DK"/>
        </w:rPr>
        <w:t xml:space="preserve"> er også indiceret til behandling af hiv 1-inficerede unge med NRTI-resistens eller toksiciteter, der udelukker brugen af førstevalgsbehandling, i alderen 12 til &lt;18 år. </w:t>
      </w:r>
    </w:p>
    <w:p w:rsidR="00491918" w:rsidRPr="00E44DEA" w:rsidRDefault="00491918" w:rsidP="00491918">
      <w:pPr>
        <w:tabs>
          <w:tab w:val="left" w:pos="851"/>
        </w:tabs>
        <w:ind w:left="851" w:hanging="851"/>
        <w:rPr>
          <w:sz w:val="24"/>
          <w:lang w:eastAsia="da-DK"/>
        </w:rPr>
      </w:pPr>
    </w:p>
    <w:p w:rsidR="00491918" w:rsidRPr="00E44DEA" w:rsidRDefault="00491918" w:rsidP="00491918">
      <w:pPr>
        <w:tabs>
          <w:tab w:val="left" w:pos="851"/>
        </w:tabs>
        <w:ind w:left="851" w:hanging="851"/>
        <w:rPr>
          <w:sz w:val="24"/>
          <w:lang w:eastAsia="da-DK"/>
        </w:rPr>
      </w:pPr>
      <w:r w:rsidRPr="00E44DEA">
        <w:rPr>
          <w:sz w:val="24"/>
          <w:lang w:eastAsia="da-DK"/>
        </w:rPr>
        <w:tab/>
        <w:t xml:space="preserve">Valget af </w:t>
      </w:r>
      <w:r>
        <w:rPr>
          <w:sz w:val="24"/>
          <w:lang w:eastAsia="da-DK"/>
        </w:rPr>
        <w:t>Tenofovir disoproxil "Teva"</w:t>
      </w:r>
      <w:r w:rsidRPr="00E44DEA">
        <w:rPr>
          <w:sz w:val="24"/>
          <w:lang w:eastAsia="da-DK"/>
        </w:rPr>
        <w:t xml:space="preserve"> som behandlingsform til tidligere antiretroviral-behandlede patienter med hiv 1-infektion skal baseres på individuel testning af patienternes virusresistens og/eller deres behandlingsanamnese.</w:t>
      </w:r>
    </w:p>
    <w:p w:rsidR="00491918" w:rsidRPr="00E44DEA" w:rsidRDefault="00491918" w:rsidP="00491918">
      <w:pPr>
        <w:tabs>
          <w:tab w:val="left" w:pos="851"/>
        </w:tabs>
        <w:ind w:left="851" w:hanging="851"/>
        <w:rPr>
          <w:sz w:val="24"/>
          <w:lang w:eastAsia="da-DK"/>
        </w:rPr>
      </w:pPr>
    </w:p>
    <w:p w:rsidR="00C04C62" w:rsidRDefault="00C04C62" w:rsidP="00C04C62">
      <w:pPr>
        <w:autoSpaceDE w:val="0"/>
        <w:autoSpaceDN w:val="0"/>
        <w:adjustRightInd w:val="0"/>
        <w:ind w:left="851"/>
        <w:rPr>
          <w:sz w:val="24"/>
          <w:u w:val="single"/>
          <w:lang w:eastAsia="da-DK"/>
        </w:rPr>
      </w:pPr>
      <w:r>
        <w:rPr>
          <w:sz w:val="24"/>
          <w:u w:val="single"/>
          <w:lang w:eastAsia="da-DK"/>
        </w:rPr>
        <w:t xml:space="preserve">Hepatitis B-infektion </w:t>
      </w:r>
    </w:p>
    <w:p w:rsidR="00C04C62" w:rsidRDefault="00C04C62" w:rsidP="00C04C62">
      <w:pPr>
        <w:autoSpaceDE w:val="0"/>
        <w:autoSpaceDN w:val="0"/>
        <w:adjustRightInd w:val="0"/>
        <w:ind w:left="851"/>
        <w:rPr>
          <w:sz w:val="24"/>
          <w:lang w:eastAsia="da-DK"/>
        </w:rPr>
      </w:pPr>
      <w:r>
        <w:rPr>
          <w:sz w:val="24"/>
          <w:lang w:eastAsia="da-DK"/>
        </w:rPr>
        <w:t>Tenofovir disoproxil "Teva" er indiceret til behandling af kronisk hepatitis B hos voksne, der har</w:t>
      </w:r>
    </w:p>
    <w:p w:rsidR="00C04C62" w:rsidRDefault="00C04C62" w:rsidP="00C04C62">
      <w:pPr>
        <w:numPr>
          <w:ilvl w:val="0"/>
          <w:numId w:val="10"/>
        </w:numPr>
        <w:autoSpaceDE w:val="0"/>
        <w:autoSpaceDN w:val="0"/>
        <w:adjustRightInd w:val="0"/>
        <w:rPr>
          <w:color w:val="000000"/>
          <w:sz w:val="24"/>
          <w:szCs w:val="24"/>
          <w:lang w:eastAsia="da-DK"/>
        </w:rPr>
      </w:pPr>
      <w:r>
        <w:rPr>
          <w:color w:val="000000"/>
          <w:sz w:val="24"/>
          <w:szCs w:val="24"/>
          <w:lang w:eastAsia="da-DK"/>
        </w:rPr>
        <w:t xml:space="preserve">kompenseret leversygdom med tegn på aktiv viral replikation, konstant forhøjede serum-alanin-aminotransferase (ALAT)-niveauer og histologisk tegn på aktiv betændelse og/eller fibrose (se pkt. 5.1). </w:t>
      </w:r>
    </w:p>
    <w:p w:rsidR="00C04C62" w:rsidRDefault="00C04C62" w:rsidP="00C04C62">
      <w:pPr>
        <w:numPr>
          <w:ilvl w:val="0"/>
          <w:numId w:val="10"/>
        </w:numPr>
        <w:autoSpaceDE w:val="0"/>
        <w:autoSpaceDN w:val="0"/>
        <w:adjustRightInd w:val="0"/>
        <w:rPr>
          <w:color w:val="000000"/>
          <w:sz w:val="24"/>
          <w:szCs w:val="24"/>
          <w:lang w:eastAsia="da-DK"/>
        </w:rPr>
      </w:pPr>
      <w:r>
        <w:rPr>
          <w:color w:val="000000"/>
          <w:sz w:val="24"/>
          <w:szCs w:val="24"/>
          <w:lang w:eastAsia="da-DK"/>
        </w:rPr>
        <w:t xml:space="preserve">tegn på lamivudin-resistent hepatitis B-virus (se pkt. 4.8 og 5.1). </w:t>
      </w:r>
    </w:p>
    <w:p w:rsidR="00C04C62" w:rsidRDefault="00C04C62" w:rsidP="00C04C62">
      <w:pPr>
        <w:numPr>
          <w:ilvl w:val="0"/>
          <w:numId w:val="10"/>
        </w:numPr>
        <w:autoSpaceDE w:val="0"/>
        <w:autoSpaceDN w:val="0"/>
        <w:adjustRightInd w:val="0"/>
        <w:rPr>
          <w:color w:val="000000"/>
          <w:sz w:val="24"/>
          <w:szCs w:val="24"/>
          <w:lang w:eastAsia="da-DK"/>
        </w:rPr>
      </w:pPr>
      <w:r>
        <w:rPr>
          <w:color w:val="000000"/>
          <w:sz w:val="24"/>
          <w:szCs w:val="24"/>
          <w:lang w:eastAsia="da-DK"/>
        </w:rPr>
        <w:t xml:space="preserve">dekompenseret leversygdom (se pkt.4.4, 4.8 og 5.1). </w:t>
      </w:r>
    </w:p>
    <w:p w:rsidR="00C04C62" w:rsidRDefault="00C04C62" w:rsidP="00C04C62">
      <w:pPr>
        <w:tabs>
          <w:tab w:val="left" w:pos="851"/>
        </w:tabs>
        <w:ind w:left="851" w:hanging="851"/>
        <w:rPr>
          <w:sz w:val="24"/>
          <w:lang w:eastAsia="da-DK"/>
        </w:rPr>
      </w:pPr>
    </w:p>
    <w:p w:rsidR="00C04C62" w:rsidRDefault="00C04C62" w:rsidP="00C04C62">
      <w:pPr>
        <w:autoSpaceDE w:val="0"/>
        <w:autoSpaceDN w:val="0"/>
        <w:adjustRightInd w:val="0"/>
        <w:ind w:left="851"/>
        <w:rPr>
          <w:sz w:val="24"/>
          <w:lang w:eastAsia="da-DK"/>
        </w:rPr>
      </w:pPr>
      <w:r>
        <w:rPr>
          <w:sz w:val="24"/>
          <w:lang w:eastAsia="da-DK"/>
        </w:rPr>
        <w:t>Tenofovir disoproxil "Teva" er indiceret til behandling af kronisk hepatitis B hos unge i alderen 12 til &lt;18 år, der har</w:t>
      </w:r>
    </w:p>
    <w:p w:rsidR="00C04C62" w:rsidRDefault="00C04C62" w:rsidP="00C04C62">
      <w:pPr>
        <w:autoSpaceDE w:val="0"/>
        <w:autoSpaceDN w:val="0"/>
        <w:adjustRightInd w:val="0"/>
        <w:ind w:left="851"/>
        <w:rPr>
          <w:sz w:val="24"/>
          <w:lang w:eastAsia="da-DK"/>
        </w:rPr>
      </w:pPr>
    </w:p>
    <w:p w:rsidR="00C04C62" w:rsidRDefault="00C04C62" w:rsidP="00C04C62">
      <w:pPr>
        <w:pStyle w:val="Listeafsnit"/>
        <w:numPr>
          <w:ilvl w:val="0"/>
          <w:numId w:val="11"/>
        </w:numPr>
        <w:autoSpaceDE w:val="0"/>
        <w:autoSpaceDN w:val="0"/>
        <w:adjustRightInd w:val="0"/>
        <w:rPr>
          <w:sz w:val="24"/>
          <w:lang w:eastAsia="da-DK"/>
        </w:rPr>
      </w:pPr>
      <w:r>
        <w:rPr>
          <w:sz w:val="24"/>
          <w:lang w:eastAsia="da-DK"/>
        </w:rPr>
        <w:t xml:space="preserve">kompenseret leversygdom og tegn på immunaktiv sygdom, dvs. aktiv viral replikation og vedvarende forhøjede serum-ALAT-niveauer eller histologisk tegn på </w:t>
      </w:r>
      <w:r>
        <w:rPr>
          <w:sz w:val="22"/>
          <w:szCs w:val="22"/>
          <w:lang w:eastAsia="da-DK"/>
        </w:rPr>
        <w:t>moderat til svær</w:t>
      </w:r>
      <w:r>
        <w:rPr>
          <w:sz w:val="24"/>
          <w:lang w:eastAsia="da-DK"/>
        </w:rPr>
        <w:t xml:space="preserve"> aktiv betændelse og/eller fibrose. Med hensyn til beslutning om initiering af behandling af </w:t>
      </w:r>
      <w:r>
        <w:rPr>
          <w:sz w:val="22"/>
          <w:szCs w:val="22"/>
          <w:lang w:eastAsia="da-DK"/>
        </w:rPr>
        <w:t>pædiatriske patienter se pkt. 4.2, 4.4, 4.8 og 5.1.</w:t>
      </w:r>
      <w:r>
        <w:rPr>
          <w:color w:val="000000"/>
          <w:sz w:val="24"/>
          <w:szCs w:val="24"/>
          <w:lang w:eastAsia="da-DK"/>
        </w:rPr>
        <w:t xml:space="preserve"> </w:t>
      </w:r>
    </w:p>
    <w:p w:rsidR="00491918" w:rsidRPr="00C84483" w:rsidRDefault="00491918" w:rsidP="00491918">
      <w:pPr>
        <w:tabs>
          <w:tab w:val="left" w:pos="851"/>
        </w:tabs>
        <w:rPr>
          <w:sz w:val="24"/>
          <w:szCs w:val="24"/>
        </w:rPr>
      </w:pPr>
    </w:p>
    <w:p w:rsidR="00491918" w:rsidRPr="00C84483" w:rsidRDefault="00491918" w:rsidP="0049191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E359D7">
        <w:rPr>
          <w:b/>
          <w:sz w:val="24"/>
          <w:szCs w:val="24"/>
        </w:rPr>
        <w:t>administration</w:t>
      </w: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Behandlingen skal initieres af en læge med erfaring i behandling af hiv-infektion og/eller behandling af kronisk hepatitis B.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b/>
          <w:color w:val="000000"/>
          <w:sz w:val="24"/>
          <w:szCs w:val="24"/>
          <w:u w:val="single"/>
          <w:lang w:eastAsia="da-DK"/>
        </w:rPr>
      </w:pPr>
      <w:r>
        <w:rPr>
          <w:b/>
          <w:color w:val="000000"/>
          <w:sz w:val="24"/>
          <w:szCs w:val="24"/>
          <w:u w:val="single"/>
          <w:lang w:eastAsia="da-DK"/>
        </w:rPr>
        <w:t>Dosering</w:t>
      </w:r>
    </w:p>
    <w:p w:rsidR="00C04C62" w:rsidRDefault="00C04C62" w:rsidP="00C04C62">
      <w:pPr>
        <w:autoSpaceDE w:val="0"/>
        <w:autoSpaceDN w:val="0"/>
        <w:adjustRightInd w:val="0"/>
        <w:ind w:left="851"/>
        <w:rPr>
          <w:b/>
          <w:iCs/>
          <w:color w:val="000000"/>
          <w:sz w:val="24"/>
          <w:szCs w:val="24"/>
          <w:lang w:eastAsia="da-DK"/>
        </w:rPr>
      </w:pPr>
      <w:r>
        <w:rPr>
          <w:b/>
          <w:iCs/>
          <w:color w:val="000000"/>
          <w:sz w:val="24"/>
          <w:szCs w:val="24"/>
          <w:lang w:eastAsia="da-DK"/>
        </w:rPr>
        <w:t>Hiv 1 og kronisk hepatitis B</w:t>
      </w:r>
    </w:p>
    <w:p w:rsidR="00C04C62" w:rsidRDefault="00C04C62" w:rsidP="00C04C62">
      <w:pPr>
        <w:autoSpaceDE w:val="0"/>
        <w:autoSpaceDN w:val="0"/>
        <w:adjustRightInd w:val="0"/>
        <w:ind w:left="851"/>
        <w:rPr>
          <w:b/>
          <w:iCs/>
          <w:color w:val="000000"/>
          <w:sz w:val="24"/>
          <w:szCs w:val="24"/>
          <w:lang w:eastAsia="da-DK"/>
        </w:rPr>
      </w:pPr>
      <w:r>
        <w:rPr>
          <w:b/>
          <w:iCs/>
          <w:color w:val="000000"/>
          <w:sz w:val="24"/>
          <w:szCs w:val="24"/>
          <w:lang w:eastAsia="da-DK"/>
        </w:rPr>
        <w:t>Voksne og børn i alderen 12 til &lt; 18 år og, som vejer ≥ 35kg</w:t>
      </w: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Den anbefalede dosis af Tenofovir disoproxil "Teva" til behandling af hiv eller til behandling af kronisk hepatitis B er 245 mg (en tablet) en gang daglig taget oralt sammen med mad.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Beslutningen om behandling af pædiatriske patienter skal ske på baggrund af omhyggelige overvejelser af den individuelle patients behov og i betragtning af aktuelle retningslinjer for behandling af pædiatriske patienter, herunder værdien af histologiske oplysninger ved baseline. Fordelene ved langvarig virologisk suppression med fortsat behandling skal opvejes mod risikoen ved langvarig behandling, herunder udvikling af resistent hepatitis B-virus og usikkerhederne i forbindelse med virkningen på knogle- og nyretoksicitet ved langvarig behandling (se pkt. 4.4).</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Serum-ALAT skal være vedvarende forhøjet i mindst 6 måneder forud for behandling af pædiatriske patienter med kompenseret leversygdom, der skyldes HBeAg-positiv kronisk hepatitis B, og i mindst 12 måneder hos patienter med HBeAg-negativ sygdom.</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iCs/>
          <w:color w:val="000000"/>
          <w:sz w:val="24"/>
          <w:szCs w:val="24"/>
          <w:u w:val="single"/>
          <w:lang w:eastAsia="da-DK"/>
        </w:rPr>
      </w:pPr>
      <w:r>
        <w:rPr>
          <w:iCs/>
          <w:color w:val="000000"/>
          <w:sz w:val="24"/>
          <w:szCs w:val="24"/>
          <w:u w:val="single"/>
          <w:lang w:eastAsia="da-DK"/>
        </w:rPr>
        <w:t>Behandlingens varighed for pædiatriske patienter med kronisk hepatitis B</w:t>
      </w: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Behandlingens optimale varighed er ukendt. Seponering af behandlingen kan overvejes i henhold til følgende</w:t>
      </w:r>
    </w:p>
    <w:p w:rsidR="00C04C62" w:rsidRDefault="00C04C62" w:rsidP="00C04C62">
      <w:pPr>
        <w:autoSpaceDE w:val="0"/>
        <w:autoSpaceDN w:val="0"/>
        <w:adjustRightInd w:val="0"/>
        <w:rPr>
          <w:color w:val="000000"/>
          <w:sz w:val="24"/>
          <w:szCs w:val="24"/>
          <w:lang w:eastAsia="da-DK"/>
        </w:rPr>
      </w:pPr>
    </w:p>
    <w:p w:rsidR="00C04C62" w:rsidRDefault="00C04C62" w:rsidP="00C04C62">
      <w:pPr>
        <w:numPr>
          <w:ilvl w:val="0"/>
          <w:numId w:val="10"/>
        </w:numPr>
        <w:autoSpaceDE w:val="0"/>
        <w:autoSpaceDN w:val="0"/>
        <w:adjustRightInd w:val="0"/>
        <w:rPr>
          <w:sz w:val="22"/>
          <w:szCs w:val="22"/>
          <w:lang w:eastAsia="da-DK"/>
        </w:rPr>
      </w:pPr>
      <w:r>
        <w:rPr>
          <w:sz w:val="22"/>
          <w:szCs w:val="22"/>
          <w:lang w:eastAsia="da-DK"/>
        </w:rPr>
        <w:t>Hos HBeAg-positive patienter uden levercirrose bør behandlingen administreres i mindst 12 måneder efter, der er bekræftet HBe-serokonversion (tab af HBeAg og tab af HBV-dna med anti-HBe-påvisning i to på hinanden følgende serumprøver med mindst 3-6 måneders mellemrum</w:t>
      </w:r>
      <w:proofErr w:type="gramStart"/>
      <w:r>
        <w:rPr>
          <w:sz w:val="22"/>
          <w:szCs w:val="22"/>
          <w:lang w:eastAsia="da-DK"/>
        </w:rPr>
        <w:t>)</w:t>
      </w:r>
      <w:r>
        <w:rPr>
          <w:color w:val="000000"/>
          <w:sz w:val="24"/>
          <w:szCs w:val="24"/>
          <w:lang w:eastAsia="da-DK"/>
        </w:rPr>
        <w:t xml:space="preserve"> ,</w:t>
      </w:r>
      <w:proofErr w:type="gramEnd"/>
      <w:r>
        <w:rPr>
          <w:color w:val="000000"/>
          <w:sz w:val="24"/>
          <w:szCs w:val="24"/>
          <w:lang w:eastAsia="da-DK"/>
        </w:rPr>
        <w:t xml:space="preserve"> eller indtil der forekommer HBs-serokonversion eller manglende virkning (se pkt. 4.4). Serum-ALAT- og HBV-dna-niveauer bør følges regelmæssigt efter seponering af behandlingen for at kunne påvise et eventuelt sent virologisk tilbagefald. </w:t>
      </w:r>
    </w:p>
    <w:p w:rsidR="00C04C62" w:rsidRDefault="00C04C62" w:rsidP="00C04C62">
      <w:pPr>
        <w:numPr>
          <w:ilvl w:val="0"/>
          <w:numId w:val="10"/>
        </w:numPr>
        <w:autoSpaceDE w:val="0"/>
        <w:autoSpaceDN w:val="0"/>
        <w:adjustRightInd w:val="0"/>
        <w:rPr>
          <w:color w:val="000000"/>
          <w:sz w:val="24"/>
          <w:szCs w:val="24"/>
          <w:lang w:eastAsia="da-DK"/>
        </w:rPr>
      </w:pPr>
      <w:r>
        <w:rPr>
          <w:color w:val="000000"/>
          <w:sz w:val="24"/>
          <w:szCs w:val="24"/>
          <w:lang w:eastAsia="da-DK"/>
        </w:rPr>
        <w:t xml:space="preserve">Hos HBeAg-negative patienter uden levercirrose bør behandlingen administreres mindst indtil HBs-serokonversion, eller indtil der er tegn på manglende virkning. Seponering af behandlingen kan også overvejes, når der er opnået stabil virologisk suppression (dvs. i mindst 3 år), så længe serum-ALAT- og HBV-dna-niveauer følges regelmæssigt efter seponering af behandlingen for at kunne påvise et eventuelt sent virologisk tilbagefald. Ved langvarig behandling på mere end 2 år tilrådes regelmæssig revurdering for at bekræfte, at det fortsat er hensigtsmæssigt for patienten at fortsætte den valgte behandling.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color w:val="000000"/>
          <w:sz w:val="24"/>
          <w:szCs w:val="24"/>
          <w:lang w:eastAsia="da-DK"/>
        </w:rPr>
      </w:pPr>
      <w:r>
        <w:rPr>
          <w:sz w:val="22"/>
          <w:szCs w:val="22"/>
        </w:rPr>
        <w:t xml:space="preserve">Seponering af behandlingen frarådes hos voksne patienter med dekompenseret leversygdom eller levercirrose.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Det bør undersøges, om der er andre formuleringer tilgængelige til behandling af hiv 1-infektion og kronisk hepatitis B hos voksne, hvor en fast lægemiddelform ikke er hensigtsmæssig.</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b/>
          <w:color w:val="000000"/>
          <w:sz w:val="24"/>
          <w:szCs w:val="24"/>
          <w:lang w:eastAsia="da-DK"/>
        </w:rPr>
      </w:pPr>
      <w:r>
        <w:rPr>
          <w:b/>
          <w:iCs/>
          <w:color w:val="000000"/>
          <w:sz w:val="24"/>
          <w:szCs w:val="24"/>
          <w:lang w:eastAsia="da-DK"/>
        </w:rPr>
        <w:t xml:space="preserve">Pædiatrisk population </w:t>
      </w:r>
    </w:p>
    <w:p w:rsidR="00C04C62" w:rsidRDefault="00C04C62" w:rsidP="00C04C62">
      <w:pPr>
        <w:autoSpaceDE w:val="0"/>
        <w:autoSpaceDN w:val="0"/>
        <w:adjustRightInd w:val="0"/>
        <w:ind w:left="851"/>
        <w:rPr>
          <w:i/>
          <w:iCs/>
          <w:color w:val="000000"/>
          <w:sz w:val="24"/>
          <w:szCs w:val="24"/>
          <w:lang w:eastAsia="da-DK"/>
        </w:rPr>
      </w:pPr>
    </w:p>
    <w:p w:rsidR="00C04C62" w:rsidRDefault="00C04C62" w:rsidP="00C04C62">
      <w:pPr>
        <w:autoSpaceDE w:val="0"/>
        <w:autoSpaceDN w:val="0"/>
        <w:adjustRightInd w:val="0"/>
        <w:ind w:left="851"/>
        <w:rPr>
          <w:sz w:val="22"/>
          <w:szCs w:val="22"/>
          <w:lang w:eastAsia="da-DK"/>
        </w:rPr>
      </w:pPr>
      <w:r>
        <w:rPr>
          <w:color w:val="000000"/>
          <w:sz w:val="24"/>
          <w:szCs w:val="24"/>
          <w:lang w:eastAsia="da-DK"/>
        </w:rPr>
        <w:t xml:space="preserve">Lavere doser af tenofovirdisoproxil anvendes til behandling af hiv-1-inficerede pædiatriske patienter eller </w:t>
      </w:r>
      <w:r>
        <w:rPr>
          <w:sz w:val="22"/>
          <w:szCs w:val="22"/>
          <w:lang w:eastAsia="da-DK"/>
        </w:rPr>
        <w:t>børn med kronisk hepatitis B</w:t>
      </w:r>
      <w:r>
        <w:rPr>
          <w:color w:val="000000"/>
          <w:sz w:val="24"/>
          <w:szCs w:val="24"/>
          <w:lang w:eastAsia="da-DK"/>
        </w:rPr>
        <w:t xml:space="preserve"> i alderen 2 til &lt;12 år. Da Tenofovir disoproxil "Teva" kun findes som 245 mg filmovertrukne tabletter, er dette lægemiddel ikke hensigtsmæssigt til pædiatriske patienter i alderen 2 til &lt;12 år. Det bør undersøges, om andre formuleringer kan anvendes.</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Sikkerhed og virkning ved tenofovirdisoproxil hos hiv 1-inficerede børn eller børn med kronisk hepatitis B under 2 år er ikke klarlagt. Der foreligger ingen data.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b/>
          <w:color w:val="000000"/>
          <w:sz w:val="24"/>
          <w:szCs w:val="24"/>
          <w:lang w:eastAsia="da-DK"/>
        </w:rPr>
      </w:pPr>
      <w:r>
        <w:rPr>
          <w:b/>
          <w:iCs/>
          <w:color w:val="000000"/>
          <w:sz w:val="24"/>
          <w:szCs w:val="24"/>
          <w:lang w:eastAsia="da-DK"/>
        </w:rPr>
        <w:t xml:space="preserve">Manglende dosis </w:t>
      </w: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Hvis en patient glemmer at tage en dosis Tenofovir disoproxil "Teva" i mindre end 12 timer efter tidspunktet, hvor patienten normalt tager dosen, skal patienten tage Tenofovir disoproxil "Teva" sammen med mad så snart som muligt og derefter fortsætte med den normale doseringsplan. Hvis en patient glemmer at tage en dosis Tenofovir disoproxil "Teva" i mere end 12 timer, og det næsten er tid til næste dosis, skal patienten ikke tage den manglende dosis, men blot fortsætte med den normale doseringsplan.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Hvis patienten kaster op inden for 1 time efter at have taget Tenofovir disoproxil "Teva", skal der tages en ny tablet. Hvis patienten kaster op mere end 1 time efter at have taget Tenofovir disoproxil "Teva", skal patienten ikke tage en ny dosis.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b/>
          <w:iCs/>
          <w:color w:val="000000"/>
          <w:sz w:val="24"/>
          <w:szCs w:val="24"/>
          <w:lang w:eastAsia="da-DK"/>
        </w:rPr>
      </w:pPr>
      <w:r>
        <w:rPr>
          <w:b/>
          <w:iCs/>
          <w:color w:val="000000"/>
          <w:sz w:val="24"/>
          <w:szCs w:val="24"/>
          <w:lang w:eastAsia="da-DK"/>
        </w:rPr>
        <w:t xml:space="preserve">Særlige populationer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iCs/>
          <w:color w:val="000000"/>
          <w:sz w:val="24"/>
          <w:szCs w:val="24"/>
          <w:u w:val="single"/>
          <w:lang w:eastAsia="da-DK"/>
        </w:rPr>
      </w:pPr>
      <w:r>
        <w:rPr>
          <w:iCs/>
          <w:color w:val="000000"/>
          <w:sz w:val="24"/>
          <w:szCs w:val="24"/>
          <w:u w:val="single"/>
          <w:lang w:eastAsia="da-DK"/>
        </w:rPr>
        <w:t>Ældre</w:t>
      </w: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Der foreligger ingen data, hvorpå der kan laves en dosisanbefaling til patienter over 65 år (se pkt. 4.4).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keepNext/>
        <w:autoSpaceDE w:val="0"/>
        <w:autoSpaceDN w:val="0"/>
        <w:adjustRightInd w:val="0"/>
        <w:ind w:left="851"/>
        <w:rPr>
          <w:iCs/>
          <w:color w:val="000000"/>
          <w:sz w:val="24"/>
          <w:szCs w:val="24"/>
          <w:u w:val="single"/>
          <w:lang w:eastAsia="da-DK"/>
        </w:rPr>
      </w:pPr>
      <w:r>
        <w:rPr>
          <w:iCs/>
          <w:color w:val="000000"/>
          <w:sz w:val="24"/>
          <w:szCs w:val="24"/>
          <w:u w:val="single"/>
          <w:lang w:eastAsia="da-DK"/>
        </w:rPr>
        <w:lastRenderedPageBreak/>
        <w:t>Nedsat nyrefunktion</w:t>
      </w: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Tenofovir udskilles via nyrerne og eksponeringen for tenofovir øges hos patienter med nyredysfunktion.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color w:val="000000"/>
          <w:sz w:val="24"/>
          <w:szCs w:val="24"/>
          <w:u w:val="single"/>
          <w:lang w:eastAsia="da-DK"/>
        </w:rPr>
      </w:pPr>
      <w:r>
        <w:rPr>
          <w:color w:val="000000"/>
          <w:sz w:val="24"/>
          <w:szCs w:val="24"/>
          <w:u w:val="single"/>
          <w:lang w:eastAsia="da-DK"/>
        </w:rPr>
        <w:t xml:space="preserve">Voksne </w:t>
      </w: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Der er begrænsede data om sikkerhed og virkning af tenofovirdisoproxil hos voksne patienter med moderat eller svært nedsat nyrefunktion (kreatininclearance &lt;50 ml/min), og langtidssikkerhedsdata er ikke blevet evalueret for let nedsat nyrefunktion (kreatininclearance 50-80 ml/min). Tenofovirdisoproxil bør derfor kun bruges til voksne patienter med nedsat nyrefunktion, hvis de potentielle fordele ved behandlingen anses for at veje tungere end de potentielle risici. Reduceret daglig dosis anbefales til voksne patienter med kreatininclearance &lt;50 ml/min, herunder hos hæmodialyse-patienter. Tenofovir disoproxil "Teva" er kun tilgængelig som en filmovertrukket tablet a 245 mg. Det bør undersøges, om der er andre formuleringer tilgængelige.</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i/>
          <w:iCs/>
          <w:color w:val="000000"/>
          <w:sz w:val="24"/>
          <w:szCs w:val="24"/>
          <w:u w:val="single"/>
          <w:lang w:eastAsia="da-DK"/>
        </w:rPr>
      </w:pPr>
      <w:r>
        <w:rPr>
          <w:i/>
          <w:iCs/>
          <w:color w:val="000000"/>
          <w:sz w:val="24"/>
          <w:szCs w:val="24"/>
          <w:u w:val="single"/>
          <w:lang w:eastAsia="da-DK"/>
        </w:rPr>
        <w:t>Let nedsat nyrefunktion (kreatininclearance 50-80 ml/min)</w:t>
      </w: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Begrænsede data fra kliniske studier understøtter én daglig dosis med 245 mg tenofovirdisoproxil hos patienter med let nedsat nyrefunktion.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i/>
          <w:iCs/>
          <w:color w:val="000000"/>
          <w:sz w:val="24"/>
          <w:szCs w:val="24"/>
          <w:u w:val="single"/>
          <w:lang w:eastAsia="da-DK"/>
        </w:rPr>
      </w:pPr>
      <w:r>
        <w:rPr>
          <w:i/>
          <w:iCs/>
          <w:color w:val="000000"/>
          <w:sz w:val="24"/>
          <w:szCs w:val="24"/>
          <w:u w:val="single"/>
          <w:lang w:eastAsia="da-DK"/>
        </w:rPr>
        <w:t>Moderat nedsat nyrefunktion (kreatininclearance 30-49 ml/min)</w:t>
      </w: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Hvis det ikke er muligt med administration af en lavere dosis, kan forlængede dosisintervaller med 245 mg filmovertrukne tabletter anvendes. Administration af 245 mg tenofovirdisoproxil hver 48. time kan anvendes, og dette er baseret på modellering af farmakokinetiske data for enkeltdosis hos hiv-negative patienter eller patienter uden HBV-infektion, men med forskellige grader af nedsat nyrefunktion, herunder nyresygdom i slutstadiet, hvor det er nødvendigt med dialyse, og er ikke blevet bekræftet i kliniske studier. Derfor bør klinisk respons på behandling og nyrefunktion monitoreres tæt hos disse patienter (se pkt. 4.4 og 5.2).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i/>
          <w:iCs/>
          <w:color w:val="000000"/>
          <w:sz w:val="24"/>
          <w:szCs w:val="24"/>
          <w:u w:val="single"/>
          <w:lang w:eastAsia="da-DK"/>
        </w:rPr>
      </w:pPr>
      <w:r>
        <w:rPr>
          <w:i/>
          <w:iCs/>
          <w:color w:val="000000"/>
          <w:sz w:val="24"/>
          <w:szCs w:val="24"/>
          <w:u w:val="single"/>
          <w:lang w:eastAsia="da-DK"/>
        </w:rPr>
        <w:t>Svært nedsat nyrefunktion (kreatininclearance &lt;30 ml/min) og hæmodialyse-patienter</w:t>
      </w: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Passende dosisjustering kan ikke foretages grundet manglende alternativ tabletstyrke. Af denne årsag anbefales brug til denne patientgruppe ikke. Hvis der ikke forefindes alternativ behandling, kan forlængede dosisintervaller anvendes: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i/>
          <w:color w:val="000000"/>
          <w:sz w:val="24"/>
          <w:szCs w:val="24"/>
          <w:u w:val="single"/>
          <w:lang w:eastAsia="da-DK"/>
        </w:rPr>
      </w:pPr>
      <w:r>
        <w:rPr>
          <w:i/>
          <w:color w:val="000000"/>
          <w:sz w:val="24"/>
          <w:szCs w:val="24"/>
          <w:u w:val="single"/>
          <w:lang w:eastAsia="da-DK"/>
        </w:rPr>
        <w:t>Svært nedsat nyrefunktion</w:t>
      </w: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245 mg tenofovirdisoproxil kan administreres hver 72.-96. time (dosering to gange ugentlig).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i/>
          <w:color w:val="000000"/>
          <w:sz w:val="24"/>
          <w:szCs w:val="24"/>
          <w:u w:val="single"/>
          <w:lang w:eastAsia="da-DK"/>
        </w:rPr>
      </w:pPr>
      <w:r>
        <w:rPr>
          <w:i/>
          <w:color w:val="000000"/>
          <w:sz w:val="24"/>
          <w:szCs w:val="24"/>
          <w:u w:val="single"/>
          <w:lang w:eastAsia="da-DK"/>
        </w:rPr>
        <w:t>Hæmodialyse-patienter</w:t>
      </w: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245 mg tenofovirdisoproxil kan administreres hver 7. dag efter afslutning af en hæmodialyse-session*.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tabs>
          <w:tab w:val="left" w:pos="851"/>
        </w:tabs>
        <w:ind w:left="851"/>
        <w:rPr>
          <w:color w:val="000000"/>
          <w:sz w:val="24"/>
          <w:szCs w:val="24"/>
          <w:lang w:eastAsia="da-DK"/>
        </w:rPr>
      </w:pPr>
      <w:r>
        <w:rPr>
          <w:sz w:val="24"/>
          <w:szCs w:val="24"/>
          <w:lang w:eastAsia="da-DK"/>
        </w:rPr>
        <w:t>Disse justeringer af doseringsintervallet er ikke blevet bekræftet i kliniske studier. Simuleringer antyder, at 245 mg filmovertrukne tabletter med forlænget doseringsinterval ikke er optimalt, og at det kan resultere i øget toksicitet og muligt inadækvat respons. Derfor bør klinisk respons på behandling og nyrefunktion monitoreres tæt hos disse patienter (se pkt. 4.4 og 5.2).</w:t>
      </w:r>
    </w:p>
    <w:p w:rsidR="00C04C62" w:rsidRDefault="00C04C62" w:rsidP="00C04C62">
      <w:pPr>
        <w:tabs>
          <w:tab w:val="left" w:pos="851"/>
        </w:tabs>
        <w:ind w:left="851" w:hanging="851"/>
        <w:rPr>
          <w:sz w:val="22"/>
          <w:szCs w:val="22"/>
          <w:lang w:eastAsia="da-DK"/>
        </w:rPr>
      </w:pP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 Generelt forudsætter én ugentlig dosis tre hæmodialysesessioner om ugen, hver af ca. 4 timers varighed eller efter 12 timers kumulativ hæmodialyse.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lastRenderedPageBreak/>
        <w:t xml:space="preserve">Der kan ikke gives nogle dosisanbefalinger til ikke-hæmodialyse-patienter med kreatininclearance &lt;10 ml/min.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color w:val="000000"/>
          <w:sz w:val="24"/>
          <w:szCs w:val="24"/>
          <w:u w:val="single"/>
          <w:lang w:eastAsia="da-DK"/>
        </w:rPr>
      </w:pPr>
      <w:r>
        <w:rPr>
          <w:color w:val="000000"/>
          <w:sz w:val="24"/>
          <w:szCs w:val="24"/>
          <w:u w:val="single"/>
          <w:lang w:eastAsia="da-DK"/>
        </w:rPr>
        <w:t>Pædiatrisk population</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i/>
          <w:color w:val="000000"/>
          <w:sz w:val="24"/>
          <w:szCs w:val="24"/>
          <w:lang w:eastAsia="da-DK"/>
        </w:rPr>
      </w:pPr>
      <w:r>
        <w:rPr>
          <w:i/>
          <w:color w:val="000000"/>
          <w:sz w:val="24"/>
          <w:szCs w:val="24"/>
          <w:lang w:eastAsia="da-DK"/>
        </w:rPr>
        <w:t>Nedsat nyrefunktion</w:t>
      </w: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Anvendelsen af tenofovirdisoproxil anbefales ikke til pædiatriske patienter med nedsat nyrefunktion (se pkt. 4.4).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i/>
          <w:iCs/>
          <w:color w:val="000000"/>
          <w:sz w:val="24"/>
          <w:szCs w:val="24"/>
          <w:lang w:eastAsia="da-DK"/>
        </w:rPr>
      </w:pPr>
      <w:r>
        <w:rPr>
          <w:i/>
          <w:iCs/>
          <w:color w:val="000000"/>
          <w:sz w:val="24"/>
          <w:szCs w:val="24"/>
          <w:lang w:eastAsia="da-DK"/>
        </w:rPr>
        <w:t>Nedsat leverfunktion</w:t>
      </w: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Justering af dosis er ikke nødvendig hos patienter med nedsat leverfunktion (se pkt. 4.4 og 5.2).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Hvis tenofovirdisoproxil seponeres hos patienter med kronisk hepatitis B med eller uden samtidig hiv-infektion, skal disse patienter monitoreres tæt for tegn på eksacerbation af hepatitis (se pkt. 4.4).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b/>
          <w:color w:val="000000"/>
          <w:sz w:val="24"/>
          <w:szCs w:val="24"/>
          <w:u w:val="single"/>
          <w:lang w:eastAsia="da-DK"/>
        </w:rPr>
      </w:pPr>
      <w:r>
        <w:rPr>
          <w:b/>
          <w:color w:val="000000"/>
          <w:sz w:val="24"/>
          <w:szCs w:val="24"/>
          <w:u w:val="single"/>
          <w:lang w:eastAsia="da-DK"/>
        </w:rPr>
        <w:t xml:space="preserve">Administration </w:t>
      </w: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Tenofovir disoproxil "Teva"-tabletter skal tages oralt en gang daglig sammen med mad. </w:t>
      </w:r>
    </w:p>
    <w:p w:rsidR="00C04C62" w:rsidRDefault="00C04C62" w:rsidP="00C04C62">
      <w:pPr>
        <w:autoSpaceDE w:val="0"/>
        <w:autoSpaceDN w:val="0"/>
        <w:adjustRightInd w:val="0"/>
        <w:ind w:left="851"/>
        <w:rPr>
          <w:color w:val="000000"/>
          <w:sz w:val="24"/>
          <w:szCs w:val="24"/>
          <w:lang w:eastAsia="da-DK"/>
        </w:rPr>
      </w:pPr>
    </w:p>
    <w:p w:rsidR="00C04C62" w:rsidRDefault="00C04C62" w:rsidP="00C04C62">
      <w:pPr>
        <w:tabs>
          <w:tab w:val="left" w:pos="851"/>
        </w:tabs>
        <w:ind w:left="851" w:hanging="851"/>
        <w:rPr>
          <w:sz w:val="24"/>
          <w:szCs w:val="24"/>
          <w:lang w:eastAsia="da-DK"/>
        </w:rPr>
      </w:pPr>
      <w:r>
        <w:rPr>
          <w:sz w:val="24"/>
          <w:szCs w:val="24"/>
          <w:lang w:eastAsia="da-DK"/>
        </w:rPr>
        <w:tab/>
        <w:t>I særlige tilfælde, hvis patienten lider af synkebesvær, kan tenofovirdisoproxil filmovertrukne tabletter indgives, efter tabletten er blevet knust og opløst i mindst 100 ml vand, appelsinjuice eller druesaft. Denne blanding skal drikkes med det samme.</w:t>
      </w:r>
    </w:p>
    <w:p w:rsidR="00491918" w:rsidRPr="00C84483" w:rsidRDefault="00491918" w:rsidP="00491918">
      <w:pPr>
        <w:tabs>
          <w:tab w:val="left" w:pos="851"/>
        </w:tabs>
        <w:rPr>
          <w:sz w:val="24"/>
          <w:szCs w:val="24"/>
        </w:rPr>
      </w:pPr>
    </w:p>
    <w:p w:rsidR="00491918" w:rsidRPr="00C84483" w:rsidRDefault="00491918" w:rsidP="00491918">
      <w:pPr>
        <w:tabs>
          <w:tab w:val="left" w:pos="851"/>
        </w:tabs>
        <w:ind w:left="851" w:hanging="851"/>
        <w:rPr>
          <w:b/>
          <w:sz w:val="24"/>
          <w:szCs w:val="24"/>
        </w:rPr>
      </w:pPr>
      <w:r w:rsidRPr="00C84483">
        <w:rPr>
          <w:b/>
          <w:sz w:val="24"/>
          <w:szCs w:val="24"/>
        </w:rPr>
        <w:t>4.3</w:t>
      </w:r>
      <w:r w:rsidRPr="00C84483">
        <w:rPr>
          <w:b/>
          <w:sz w:val="24"/>
          <w:szCs w:val="24"/>
        </w:rPr>
        <w:tab/>
        <w:t>Kontraindikationer</w:t>
      </w:r>
    </w:p>
    <w:p w:rsidR="00491918" w:rsidRPr="00C84483" w:rsidRDefault="00491918" w:rsidP="00491918">
      <w:pPr>
        <w:tabs>
          <w:tab w:val="left" w:pos="851"/>
        </w:tabs>
        <w:ind w:left="851" w:hanging="851"/>
        <w:rPr>
          <w:sz w:val="24"/>
          <w:szCs w:val="24"/>
          <w:lang w:eastAsia="da-DK"/>
        </w:rPr>
      </w:pPr>
      <w:r w:rsidRPr="00487B05">
        <w:rPr>
          <w:sz w:val="24"/>
          <w:lang w:eastAsia="da-DK"/>
        </w:rPr>
        <w:tab/>
      </w:r>
      <w:r w:rsidRPr="00487B05">
        <w:rPr>
          <w:sz w:val="24"/>
          <w:szCs w:val="24"/>
          <w:lang w:eastAsia="da-DK"/>
        </w:rPr>
        <w:t>Overfølsomhed over for det aktive stof eller over for et eller flere af hjælpestofferne anført i pkt. 6.1.</w:t>
      </w:r>
    </w:p>
    <w:p w:rsidR="00491918" w:rsidRPr="00C84483" w:rsidRDefault="00491918" w:rsidP="00491918">
      <w:pPr>
        <w:tabs>
          <w:tab w:val="left" w:pos="851"/>
        </w:tabs>
        <w:rPr>
          <w:sz w:val="24"/>
          <w:szCs w:val="24"/>
        </w:rPr>
      </w:pPr>
    </w:p>
    <w:p w:rsidR="00491918" w:rsidRPr="00FE70EC" w:rsidRDefault="00491918" w:rsidP="00FE70EC">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91918" w:rsidRDefault="00491918" w:rsidP="00491918">
      <w:pPr>
        <w:pStyle w:val="Default"/>
        <w:ind w:left="851"/>
        <w:rPr>
          <w:u w:val="single"/>
        </w:rPr>
      </w:pPr>
      <w:r>
        <w:rPr>
          <w:u w:val="single"/>
        </w:rPr>
        <w:t xml:space="preserve">Generelt </w:t>
      </w:r>
    </w:p>
    <w:p w:rsidR="00491918" w:rsidRDefault="00491918" w:rsidP="00491918">
      <w:pPr>
        <w:pStyle w:val="Default"/>
        <w:ind w:left="851"/>
      </w:pPr>
      <w:r>
        <w:t>Alle HBV-inficerede patienter bør tilbydes hiv-antistoftest før start af behandlingen med tenofovirdisoproxil (se afsnittet ”</w:t>
      </w:r>
      <w:r>
        <w:rPr>
          <w:iCs/>
        </w:rPr>
        <w:t>Samtidig infektion med hiv 1 og hepatitis B</w:t>
      </w:r>
      <w:r>
        <w:rPr>
          <w:i/>
          <w:iCs/>
        </w:rPr>
        <w:t xml:space="preserve">” </w:t>
      </w:r>
      <w:r>
        <w:t xml:space="preserve">nedenfor). </w:t>
      </w:r>
    </w:p>
    <w:p w:rsidR="00491918" w:rsidRDefault="00491918" w:rsidP="00491918">
      <w:pPr>
        <w:pStyle w:val="Default"/>
        <w:ind w:left="851"/>
      </w:pPr>
    </w:p>
    <w:p w:rsidR="00C04C62" w:rsidRDefault="00C04C62" w:rsidP="00C04C62">
      <w:pPr>
        <w:pStyle w:val="Default"/>
        <w:ind w:left="851"/>
      </w:pPr>
      <w:r>
        <w:rPr>
          <w:i/>
          <w:iCs/>
        </w:rPr>
        <w:t xml:space="preserve">Hepatitis B </w:t>
      </w:r>
    </w:p>
    <w:p w:rsidR="00491918" w:rsidRDefault="00491918" w:rsidP="00491918">
      <w:pPr>
        <w:pStyle w:val="Default"/>
        <w:ind w:left="851"/>
      </w:pPr>
      <w:r>
        <w:t xml:space="preserve">Patienterne skal underrettes om, at det ikke er påvist, at tenofovirdisoproxil forebygger risikoen for overførsel af HBV til andre ved seksuel kontakt eller kontaminering af blod. Der skal fortsat anvendes hensigtsmæssige forsigtighedsregler. </w:t>
      </w:r>
    </w:p>
    <w:p w:rsidR="00491918" w:rsidRDefault="00491918" w:rsidP="00491918">
      <w:pPr>
        <w:pStyle w:val="Default"/>
        <w:ind w:left="851"/>
      </w:pPr>
    </w:p>
    <w:p w:rsidR="00DA0437" w:rsidRDefault="00DA0437" w:rsidP="00DA0437">
      <w:pPr>
        <w:pStyle w:val="Default"/>
        <w:ind w:left="851"/>
        <w:rPr>
          <w:u w:val="single"/>
        </w:rPr>
      </w:pPr>
      <w:r>
        <w:rPr>
          <w:u w:val="single"/>
        </w:rPr>
        <w:t xml:space="preserve">Samtidig indgivelse af andre lægemidler </w:t>
      </w:r>
    </w:p>
    <w:p w:rsidR="00DA0437" w:rsidRDefault="00DA0437" w:rsidP="00DA0437">
      <w:pPr>
        <w:pStyle w:val="Default"/>
        <w:numPr>
          <w:ilvl w:val="0"/>
          <w:numId w:val="9"/>
        </w:numPr>
      </w:pPr>
      <w:r>
        <w:t xml:space="preserve">Tenofovir disoproxil "Teva" bør ikke tages samtidigt med andre lægemidler, der indeholder </w:t>
      </w:r>
      <w:r w:rsidRPr="00EC2C30">
        <w:t xml:space="preserve">tenofovirdisoproxil </w:t>
      </w:r>
      <w:r w:rsidRPr="00743892">
        <w:t>eller tenofoviralafenamid</w:t>
      </w:r>
      <w:r w:rsidRPr="00EC2C30">
        <w:t>.</w:t>
      </w:r>
      <w:r>
        <w:t xml:space="preserve"> </w:t>
      </w:r>
    </w:p>
    <w:p w:rsidR="00DA0437" w:rsidRDefault="00DA0437" w:rsidP="00DA0437">
      <w:pPr>
        <w:pStyle w:val="Default"/>
        <w:numPr>
          <w:ilvl w:val="0"/>
          <w:numId w:val="9"/>
        </w:numPr>
      </w:pPr>
      <w:r>
        <w:t xml:space="preserve">Tenofovir disoproxil "Teva" bør ikke tages samtidigt med adefovirdipivoxil. </w:t>
      </w:r>
    </w:p>
    <w:p w:rsidR="00DA0437" w:rsidRDefault="00DA0437" w:rsidP="00DA0437">
      <w:pPr>
        <w:pStyle w:val="Default"/>
        <w:numPr>
          <w:ilvl w:val="0"/>
          <w:numId w:val="9"/>
        </w:numPr>
      </w:pPr>
      <w:r>
        <w:t xml:space="preserve">Samtidig indgivelse af tenofovirdisoproxil og didanosin anbefales ikke (se pkt. 4.5). </w:t>
      </w:r>
    </w:p>
    <w:p w:rsidR="00DA0437" w:rsidRDefault="00DA0437" w:rsidP="00DA0437">
      <w:pPr>
        <w:pStyle w:val="Default"/>
        <w:ind w:left="491"/>
      </w:pPr>
    </w:p>
    <w:p w:rsidR="00DA0437" w:rsidRDefault="00DA0437" w:rsidP="00DA0437">
      <w:pPr>
        <w:pStyle w:val="Default"/>
        <w:keepNext/>
        <w:ind w:left="851"/>
        <w:rPr>
          <w:u w:val="single"/>
        </w:rPr>
      </w:pPr>
      <w:r>
        <w:rPr>
          <w:u w:val="single"/>
        </w:rPr>
        <w:lastRenderedPageBreak/>
        <w:t xml:space="preserve">Trestofsbehandling med nukleosider/nukleotider </w:t>
      </w:r>
    </w:p>
    <w:p w:rsidR="00DA0437" w:rsidRDefault="00DA0437" w:rsidP="00DA0437">
      <w:pPr>
        <w:pStyle w:val="Default"/>
        <w:ind w:left="851"/>
      </w:pPr>
      <w:r>
        <w:t xml:space="preserve">Hos hiv-patienter er der rapporteret om høj forekomst af manglende virologisk effekt og om resistensudvikling, begge på et tidligt tidspunkt, når tenofovirdisoproxil blev kombineret med lamivudin og abacavir eller med lamivudin og didanosin, der blev indgivet en gang dagligt. </w:t>
      </w:r>
    </w:p>
    <w:p w:rsidR="00491918" w:rsidRDefault="00491918" w:rsidP="00491918">
      <w:pPr>
        <w:pStyle w:val="Default"/>
        <w:ind w:left="851"/>
      </w:pPr>
    </w:p>
    <w:p w:rsidR="00491918" w:rsidRDefault="00491918" w:rsidP="00E0577D">
      <w:pPr>
        <w:pStyle w:val="Default"/>
        <w:keepNext/>
        <w:ind w:left="851"/>
        <w:rPr>
          <w:u w:val="single"/>
        </w:rPr>
      </w:pPr>
      <w:r>
        <w:rPr>
          <w:u w:val="single"/>
        </w:rPr>
        <w:t xml:space="preserve">Nyre- og knogleeffekter hos den voksne population </w:t>
      </w:r>
    </w:p>
    <w:p w:rsidR="00491918" w:rsidRDefault="00491918" w:rsidP="00491918">
      <w:pPr>
        <w:pStyle w:val="Default"/>
        <w:ind w:left="851"/>
      </w:pPr>
    </w:p>
    <w:p w:rsidR="00491918" w:rsidRDefault="00491918" w:rsidP="00491918">
      <w:pPr>
        <w:pStyle w:val="Default"/>
        <w:ind w:left="851"/>
      </w:pPr>
      <w:r>
        <w:rPr>
          <w:i/>
          <w:iCs/>
        </w:rPr>
        <w:t xml:space="preserve">Nyreeffekter </w:t>
      </w:r>
    </w:p>
    <w:p w:rsidR="00491918" w:rsidRDefault="00491918" w:rsidP="00491918">
      <w:pPr>
        <w:pStyle w:val="Default"/>
        <w:ind w:left="851"/>
      </w:pPr>
      <w:r>
        <w:t xml:space="preserve">Tenofovir elimineres primært via nyrerne. Der er rapporteret nyresvigt, nedsat nyrefunktion, forhøjet kreatinin, hypofosfatæmi og proksimal tubulopati (herunder Fanconis syndrom) ved brug af tenofovirdisoproxil i klinisk praksis (se pkt. 4.8). </w:t>
      </w:r>
    </w:p>
    <w:p w:rsidR="00491918" w:rsidRDefault="00491918" w:rsidP="00491918">
      <w:pPr>
        <w:pStyle w:val="Default"/>
        <w:ind w:left="851"/>
      </w:pPr>
    </w:p>
    <w:p w:rsidR="00491918" w:rsidRDefault="00491918" w:rsidP="00491918">
      <w:pPr>
        <w:pStyle w:val="Default"/>
        <w:ind w:left="851"/>
      </w:pPr>
      <w:r>
        <w:rPr>
          <w:i/>
          <w:iCs/>
        </w:rPr>
        <w:t xml:space="preserve">Nyremonitorering </w:t>
      </w:r>
    </w:p>
    <w:p w:rsidR="00491918" w:rsidRDefault="00491918" w:rsidP="00491918">
      <w:pPr>
        <w:pStyle w:val="Default"/>
        <w:ind w:left="851"/>
      </w:pPr>
      <w:r>
        <w:t xml:space="preserve">Det anbefales, at man beregner kreatininclearance hos alle patienter forud for initiering af behandlingen med tenofovirdisoproxil. Desuden skal nyrefunktionen (kreatininclearance og serumphosphat) monitoreres efter to til fire ugers behandling, efter tre måneders behandling og derefter hver tredje til sjette måned hos patienter uden renale risikofaktorer. Hos patienter med risiko for nedsat nyrefunktion er hyppigere monitorering af nyrefunktionen nødvendig. </w:t>
      </w:r>
    </w:p>
    <w:p w:rsidR="00491918" w:rsidRDefault="00491918" w:rsidP="00491918">
      <w:pPr>
        <w:pStyle w:val="Default"/>
        <w:ind w:left="851"/>
      </w:pPr>
    </w:p>
    <w:p w:rsidR="00491918" w:rsidRDefault="00491918" w:rsidP="00491918">
      <w:pPr>
        <w:pStyle w:val="Default"/>
        <w:ind w:left="851"/>
      </w:pPr>
      <w:r>
        <w:rPr>
          <w:i/>
          <w:iCs/>
        </w:rPr>
        <w:t xml:space="preserve">Nyrebehandling </w:t>
      </w:r>
    </w:p>
    <w:p w:rsidR="00491918" w:rsidRDefault="00491918" w:rsidP="00491918">
      <w:pPr>
        <w:pStyle w:val="Default"/>
        <w:ind w:left="851"/>
      </w:pPr>
      <w:r>
        <w:t xml:space="preserve">Hvis serumphosphat er &lt;1,5 mg/dl (0,48 mmol/l), eller kreatininclearance er faldende til &lt;50 ml/min hos voksne patienter, der får tenofovirdisoproxil, skal vurderingen af nyrefunktionen gentages inden for en uge, herunder måling af glucose- og kaliumkoncentration i blodet samt uringlucose (se pkt. 4.8, proksimal tubulopati). Det bør også overvejes at afbryde behandlingen med tenofovirdisoproxil hos voksne patienter med kreatininclearance på &lt;50 ml/min eller fald i serumphosphat til &lt;1,0 mg/dl (0,32 mmol/l). Det bør også overvejes at afbryde behandlingen med tenofovirdisoproxil i tilfælde af progressiv forværring af nyrefunktionen, når der ikke er identificeret andre årsager. </w:t>
      </w:r>
    </w:p>
    <w:p w:rsidR="00491918" w:rsidRDefault="00491918" w:rsidP="00491918">
      <w:pPr>
        <w:pStyle w:val="Default"/>
        <w:ind w:left="851"/>
        <w:rPr>
          <w:i/>
          <w:iCs/>
        </w:rPr>
      </w:pPr>
    </w:p>
    <w:p w:rsidR="00491918" w:rsidRDefault="00491918" w:rsidP="00491918">
      <w:pPr>
        <w:pStyle w:val="Default"/>
        <w:ind w:left="851"/>
      </w:pPr>
      <w:r>
        <w:rPr>
          <w:i/>
          <w:iCs/>
        </w:rPr>
        <w:t xml:space="preserve">Samtidig indgivelse og risiko for nyretoksicitet </w:t>
      </w:r>
    </w:p>
    <w:p w:rsidR="00491918" w:rsidRDefault="00491918" w:rsidP="00491918">
      <w:pPr>
        <w:pStyle w:val="Default"/>
        <w:ind w:left="851"/>
      </w:pPr>
      <w:r>
        <w:t xml:space="preserve">Brug af tenofovirdisoproxil bør undgås med samtidig eller nylig brug af et nefrotoksisk lægemiddel (f.eks. aminoglykosider, amphotericin B, foscarnet, ganciclovir, pentamidin, vancomycin, cidofovir eller interleukin-2). Hvis samtidig brug af tenofovirdisoproxil og nefrotoksiske lægemidler er uundgåelig, skal nyrefunktionen monitoreres ugentligt. </w:t>
      </w:r>
    </w:p>
    <w:p w:rsidR="00491918" w:rsidRDefault="00491918" w:rsidP="00491918">
      <w:pPr>
        <w:pStyle w:val="Default"/>
        <w:ind w:left="851"/>
      </w:pPr>
    </w:p>
    <w:p w:rsidR="00491918" w:rsidRDefault="00491918" w:rsidP="00491918">
      <w:pPr>
        <w:pStyle w:val="Default"/>
        <w:ind w:left="851"/>
      </w:pPr>
      <w:r>
        <w:t xml:space="preserve">Hos patienter i behandling med tenofovirdisoproxil med risikofaktorer for renal dysfunktion er der blevet rapporteret tilfælde af akut nyresvigt efter påbegyndelse af højdosisbehandling med nonsteroide antiinflammatoriske midler (NSAID’er) og behandling med flere NSAID’er. Hvis tenofovirdisoproxil administreres sammen med et NSAID, skal nyrefunktionen monitoreres på tilstrækkelig vis. </w:t>
      </w:r>
    </w:p>
    <w:p w:rsidR="00491918" w:rsidRDefault="00491918" w:rsidP="00491918">
      <w:pPr>
        <w:pStyle w:val="Default"/>
        <w:ind w:left="851"/>
      </w:pPr>
    </w:p>
    <w:p w:rsidR="00491918" w:rsidRDefault="00491918" w:rsidP="00491918">
      <w:pPr>
        <w:pStyle w:val="Default"/>
        <w:ind w:left="851"/>
      </w:pPr>
      <w:r>
        <w:t xml:space="preserve">En større risiko for nedsat nyrefunktion er blevet rapporteret hos patienter, der fik tenofovirdisoproxil i kombination med en ritonavir- eller cobicistat-boostet proteasehæmmer. Nøje monitorering af nyrefunktionen er påkrævet hos disse patienter (se pkt. 4.5). Hos patienter med renale risikofaktorer skal administration af tenofovirdisoproxil sammen med en boostet proteasehæmmer evalueres nøje. </w:t>
      </w:r>
    </w:p>
    <w:p w:rsidR="00491918" w:rsidRDefault="00491918" w:rsidP="00491918">
      <w:pPr>
        <w:pStyle w:val="Default"/>
        <w:ind w:left="851"/>
      </w:pPr>
    </w:p>
    <w:p w:rsidR="00491918" w:rsidRDefault="00491918" w:rsidP="00491918">
      <w:pPr>
        <w:pStyle w:val="Default"/>
        <w:ind w:left="851"/>
      </w:pPr>
      <w:r>
        <w:t xml:space="preserve">Tenofovirdisoproxil er ikke klinisk vurderet hos patienter, der får lægemidler, som udskilles via det samme renale system, herunder transportproteinerne </w:t>
      </w:r>
      <w:r>
        <w:rPr>
          <w:iCs/>
        </w:rPr>
        <w:t>human organic anion transporter</w:t>
      </w:r>
      <w:r>
        <w:rPr>
          <w:i/>
          <w:iCs/>
        </w:rPr>
        <w:t xml:space="preserve"> </w:t>
      </w:r>
      <w:r>
        <w:t xml:space="preserve">(hOAT) 1 og 3 eller MRP 4 (f.eks. cidofovir, et lægemiddel, der er kendt for at virke nefrotoksisk). Disse renale transportproteiner kan være ansvarlige for tubulær sekretion og til dels for renal elimination af tenofovir og cidofovir. Farmakokinetikken af disse lægemidler, som udskilles via det samme renale system, herunder transportproteinerne hOAT 1 og 3 eller MRP 4, kan derfor forandre sig, hvis de indgives samtidig. Medmindre det er klart nødvendigt, anbefales samtidig brug af disse lægemidler, som udskilles via samme renale system, ikke, men hvis samtidig brug er uundgåelig, bør nyrefunktionen monitoreres en gang om ugen (se pkt. 4.5). </w:t>
      </w:r>
    </w:p>
    <w:p w:rsidR="00491918" w:rsidRDefault="00491918" w:rsidP="00491918">
      <w:pPr>
        <w:pStyle w:val="Default"/>
        <w:ind w:left="851"/>
        <w:rPr>
          <w:i/>
          <w:iCs/>
        </w:rPr>
      </w:pPr>
    </w:p>
    <w:p w:rsidR="00491918" w:rsidRDefault="00491918" w:rsidP="00491918">
      <w:pPr>
        <w:pStyle w:val="Default"/>
        <w:ind w:left="851"/>
      </w:pPr>
      <w:r>
        <w:rPr>
          <w:i/>
          <w:iCs/>
        </w:rPr>
        <w:t xml:space="preserve">Nedsat nyrefunktion </w:t>
      </w:r>
    </w:p>
    <w:p w:rsidR="00491918" w:rsidRDefault="00491918" w:rsidP="00491918">
      <w:pPr>
        <w:pStyle w:val="Default"/>
        <w:ind w:left="851"/>
      </w:pPr>
      <w:r>
        <w:t xml:space="preserve">Tenofovirdisoproxils renale sikkerhed er kun blevet undersøgt i et meget begrænset omfang hos voksne patienter med nedsat nyrefunktion (kreatininclearance &lt; 80 ml/min). </w:t>
      </w:r>
    </w:p>
    <w:p w:rsidR="00491918" w:rsidRDefault="00491918" w:rsidP="00491918">
      <w:pPr>
        <w:pStyle w:val="Default"/>
        <w:ind w:left="851"/>
      </w:pPr>
    </w:p>
    <w:p w:rsidR="00491918" w:rsidRDefault="00491918" w:rsidP="00491918">
      <w:pPr>
        <w:pStyle w:val="Default"/>
        <w:ind w:left="851"/>
      </w:pPr>
      <w:r>
        <w:rPr>
          <w:i/>
          <w:iCs/>
        </w:rPr>
        <w:t xml:space="preserve">Voksne patienter med en kreatininclearance &lt;50 ml/min, herunder hæmodialysepatienter </w:t>
      </w:r>
    </w:p>
    <w:p w:rsidR="00491918" w:rsidRDefault="00491918" w:rsidP="00491918">
      <w:pPr>
        <w:pStyle w:val="Default"/>
        <w:ind w:left="851"/>
      </w:pPr>
      <w:r>
        <w:t xml:space="preserve">Der er begrænsede data om sikkerhed og virkning af tenofovirdisoproxil hos patienter med nedsat nyrefunktion. Derfor bør tenofovirdisoproxil kun bruges, hvis de potentielle fordele ved behandlingen anses for at veje tungere end de potentielle risici. Det frarådes at bruge tenofovirdisoproxil hos patienter med svært nedsat nyrefunktion (kreatininclearance &lt;30 ml/min) og hos patienter med behov for hæmodialyse. Hvis der ikke findes nogen alternativ behandling, skal doseringsintervallet justeres og nyrefunktionen monitoreres tæt (se pkt. 4.2 og 5.2). </w:t>
      </w:r>
    </w:p>
    <w:p w:rsidR="00491918" w:rsidRDefault="00491918" w:rsidP="00491918">
      <w:pPr>
        <w:pStyle w:val="Default"/>
        <w:ind w:left="851"/>
        <w:rPr>
          <w:i/>
          <w:iCs/>
        </w:rPr>
      </w:pPr>
    </w:p>
    <w:p w:rsidR="00E359D7" w:rsidRDefault="00E359D7" w:rsidP="00E359D7">
      <w:pPr>
        <w:pStyle w:val="Default"/>
        <w:ind w:left="851"/>
      </w:pPr>
      <w:r>
        <w:rPr>
          <w:i/>
          <w:iCs/>
        </w:rPr>
        <w:t xml:space="preserve">Påvirkning af knogler </w:t>
      </w:r>
    </w:p>
    <w:p w:rsidR="00E359D7" w:rsidRDefault="00E359D7" w:rsidP="00E359D7">
      <w:pPr>
        <w:pStyle w:val="Default"/>
        <w:ind w:left="851"/>
      </w:pPr>
    </w:p>
    <w:p w:rsidR="00E359D7" w:rsidRDefault="00E359D7" w:rsidP="00E359D7">
      <w:pPr>
        <w:pStyle w:val="Default"/>
        <w:ind w:left="851"/>
      </w:pPr>
      <w:r w:rsidRPr="006E157A">
        <w:t>Knogleabnormiteter såsom osteomalaci, der kan manifestere sig som vedvarende eller forværrede knoglesmerter, og som i sjældne tilfælde kan medvirke til frakturer, kan forekomme i forbindelse med proksimal renal tubulopati induceret af tenofovirdisoproxil (se pkt. 4.8).</w:t>
      </w:r>
    </w:p>
    <w:p w:rsidR="00E359D7" w:rsidRDefault="00E359D7" w:rsidP="00491918">
      <w:pPr>
        <w:pStyle w:val="Default"/>
        <w:ind w:left="851"/>
      </w:pPr>
    </w:p>
    <w:p w:rsidR="00E0577D" w:rsidRDefault="00E0577D" w:rsidP="00E0577D">
      <w:pPr>
        <w:pStyle w:val="Default"/>
        <w:ind w:left="851"/>
      </w:pPr>
      <w:r w:rsidRPr="005C58F9">
        <w:t>Fald i knoglemineraltætheden (BMD) er blevet observeret med tenofovirdisoproxil i randomiserede kontrollerede, kliniske forsøg med en varighed op til 144 uger hos hiv- eller HBV-inficerede patienter (se pkt. 4.8 og 5.1). Disse fald i BMD blev generelt forbedret efter behandlingsophør.</w:t>
      </w:r>
      <w:r>
        <w:rPr>
          <w:sz w:val="22"/>
          <w:szCs w:val="22"/>
        </w:rPr>
        <w:t xml:space="preserve"> </w:t>
      </w:r>
    </w:p>
    <w:p w:rsidR="00491918" w:rsidRDefault="00491918" w:rsidP="00491918">
      <w:pPr>
        <w:pStyle w:val="Default"/>
        <w:ind w:left="851"/>
      </w:pPr>
    </w:p>
    <w:p w:rsidR="00E0577D" w:rsidRDefault="00E0577D" w:rsidP="00E0577D">
      <w:pPr>
        <w:pStyle w:val="Default"/>
        <w:ind w:left="851"/>
      </w:pPr>
      <w:r>
        <w:t xml:space="preserve">I andre studier (prospektive studier og tværsnitsstudier) sås de mest udtalte reduktioner i BMD hos patienter, der blev behandlet med tenofovirdisoproxil som del af et regime indeholdende en boostet proteasehæmmer. </w:t>
      </w:r>
      <w:r w:rsidRPr="006E157A">
        <w:t>I betragtning af knogleabnormiteter forbundet med tenofovirdisoproxil og begrænsningerne af langtidsdata vedrørende tenofovirdisoproxils virkning på knoglesundhed og frakturrisiko</w:t>
      </w:r>
      <w:r>
        <w:t>, bør alternative behandlingsregimer bør overvejes til patienter med osteoporose eller tidligere knoglefrakturer.</w:t>
      </w:r>
    </w:p>
    <w:p w:rsidR="00491918" w:rsidRDefault="00491918" w:rsidP="00E359D7">
      <w:pPr>
        <w:pStyle w:val="Default"/>
      </w:pPr>
    </w:p>
    <w:p w:rsidR="00491918" w:rsidRDefault="00491918" w:rsidP="00491918">
      <w:pPr>
        <w:pStyle w:val="Default"/>
        <w:ind w:left="851"/>
      </w:pPr>
      <w:r>
        <w:t xml:space="preserve">Hvis der er mistanke om knogleabnormiteter, eller disse påvises, skal relevant konsultation foretages. </w:t>
      </w:r>
    </w:p>
    <w:p w:rsidR="00491918" w:rsidRDefault="00491918" w:rsidP="00491918">
      <w:pPr>
        <w:pStyle w:val="Default"/>
      </w:pPr>
    </w:p>
    <w:p w:rsidR="00491918" w:rsidRDefault="00491918" w:rsidP="00491918">
      <w:pPr>
        <w:pStyle w:val="Default"/>
        <w:ind w:left="851"/>
        <w:rPr>
          <w:u w:val="single"/>
        </w:rPr>
      </w:pPr>
      <w:r>
        <w:rPr>
          <w:u w:val="single"/>
        </w:rPr>
        <w:t xml:space="preserve">Nyre- og knogleeffekter hos den pædiatriske population </w:t>
      </w:r>
    </w:p>
    <w:p w:rsidR="00491918" w:rsidRDefault="00491918" w:rsidP="00491918">
      <w:pPr>
        <w:pStyle w:val="Default"/>
        <w:ind w:left="851"/>
      </w:pPr>
      <w:r>
        <w:t xml:space="preserve">Der er usikkerheder i forbindelse med virkningen af langvarig behandling på knogle- og nyretoksicitet. Desuden kan reversibiliteten af nyretoksicitet ikke helt sikres. Derfor anbefales en multidisciplinær fremgangsmåde for på tilstrækkelig vis at afveje balancen mellem risici og fordele ved behandlingen for hver enkelt patient, bestemme hensigtsmæssig monitorering i løbet af behandlingen (herunder en beslutning om at seponere behandlingen) og overveje behovet for tilskud. </w:t>
      </w:r>
    </w:p>
    <w:p w:rsidR="00491918" w:rsidRDefault="00491918" w:rsidP="00491918">
      <w:pPr>
        <w:pStyle w:val="Default"/>
        <w:ind w:left="851"/>
      </w:pPr>
    </w:p>
    <w:p w:rsidR="00491918" w:rsidRDefault="00491918" w:rsidP="00491918">
      <w:pPr>
        <w:pStyle w:val="Default"/>
        <w:ind w:left="851"/>
      </w:pPr>
      <w:r>
        <w:rPr>
          <w:i/>
          <w:iCs/>
        </w:rPr>
        <w:t xml:space="preserve">Nyreeffekter </w:t>
      </w:r>
    </w:p>
    <w:p w:rsidR="00491918" w:rsidRDefault="00491918" w:rsidP="00491918">
      <w:pPr>
        <w:pStyle w:val="Default"/>
        <w:ind w:left="851"/>
      </w:pPr>
      <w:r>
        <w:t xml:space="preserve">Nyrebivirkninger i overensstemmelse med proximal renal tubulopati er blevet rapporteret hos hiv 1-inficerede, pædiatriske patienter i alderen 2 til &lt;12 år i det kliniske studie GS-US-104-0352 (se pkt. 4.8 og 5.1). </w:t>
      </w:r>
    </w:p>
    <w:p w:rsidR="00491918" w:rsidRDefault="00491918" w:rsidP="00491918">
      <w:pPr>
        <w:pStyle w:val="Default"/>
        <w:ind w:left="851"/>
      </w:pPr>
    </w:p>
    <w:p w:rsidR="00491918" w:rsidRDefault="00491918" w:rsidP="00491918">
      <w:pPr>
        <w:pStyle w:val="Default"/>
        <w:ind w:left="851"/>
      </w:pPr>
      <w:r>
        <w:rPr>
          <w:i/>
          <w:iCs/>
        </w:rPr>
        <w:t xml:space="preserve">Nyremonitorering </w:t>
      </w:r>
    </w:p>
    <w:p w:rsidR="00491918" w:rsidRDefault="00491918" w:rsidP="00491918">
      <w:pPr>
        <w:pStyle w:val="Default"/>
        <w:ind w:left="851"/>
      </w:pPr>
      <w:r>
        <w:t xml:space="preserve">Nyrefunktion (kreatininclearance og serumphosphat) bør evalueres før behandling og monitoreres under behandlingen som for voksne (se ovenfor). </w:t>
      </w:r>
    </w:p>
    <w:p w:rsidR="00491918" w:rsidRDefault="00491918" w:rsidP="00491918">
      <w:pPr>
        <w:pStyle w:val="Default"/>
        <w:ind w:left="851"/>
      </w:pPr>
    </w:p>
    <w:p w:rsidR="00491918" w:rsidRDefault="00491918" w:rsidP="00491918">
      <w:pPr>
        <w:pStyle w:val="Default"/>
        <w:ind w:left="851"/>
      </w:pPr>
      <w:r>
        <w:rPr>
          <w:i/>
          <w:iCs/>
        </w:rPr>
        <w:t xml:space="preserve">Nyrebehandling </w:t>
      </w:r>
    </w:p>
    <w:p w:rsidR="00491918" w:rsidRDefault="00491918" w:rsidP="00491918">
      <w:pPr>
        <w:pStyle w:val="Default"/>
        <w:ind w:left="851"/>
      </w:pPr>
      <w:r>
        <w:t xml:space="preserve">Hvis serumphosphat bekræftes til at være &lt;3,0 mg/dl (0,96 mmol/l) hos pædiatriske patienter, der får tenofovirdisoproxil, skal vurderingen af nyrefunktionen gentages inden for en uge, herunder måling af glucose- og kaliumkoncentration i blodet samt uringlucose-koncentration (se pkt. 4.8, proksimal tubulopati). Hvis der er mistanke om nyreabnormiteter, eller disse påvises, skal konsultation med en nefrolog foretages for at overveje at afbryde behandlingen med tenofovirdisoproxil. Det bør også overvejes at afbryde behandlingen med tenofovirdisoproxil i tilfælde af progressiv forværring af nyrefunktionen, når der ikke er identificeret andre årsager. </w:t>
      </w:r>
    </w:p>
    <w:p w:rsidR="00491918" w:rsidRDefault="00491918" w:rsidP="00491918">
      <w:pPr>
        <w:pStyle w:val="Default"/>
        <w:ind w:left="851"/>
      </w:pPr>
    </w:p>
    <w:p w:rsidR="00491918" w:rsidRDefault="00491918" w:rsidP="00491918">
      <w:pPr>
        <w:pStyle w:val="Default"/>
        <w:ind w:left="851"/>
      </w:pPr>
      <w:r>
        <w:rPr>
          <w:i/>
          <w:iCs/>
        </w:rPr>
        <w:t xml:space="preserve">Samtidig indgivelse og risiko for nyretoksicitet </w:t>
      </w:r>
    </w:p>
    <w:p w:rsidR="00491918" w:rsidRDefault="00491918" w:rsidP="00491918">
      <w:pPr>
        <w:pStyle w:val="Default"/>
        <w:ind w:left="851"/>
      </w:pPr>
      <w:r>
        <w:t>De samme anbefalinger gælder som for voksne (se ovenfor).</w:t>
      </w:r>
    </w:p>
    <w:p w:rsidR="00491918" w:rsidRDefault="00491918" w:rsidP="00491918">
      <w:pPr>
        <w:pStyle w:val="Default"/>
        <w:ind w:left="851"/>
      </w:pPr>
    </w:p>
    <w:p w:rsidR="00491918" w:rsidRDefault="00491918" w:rsidP="00491918">
      <w:pPr>
        <w:pStyle w:val="Default"/>
        <w:ind w:left="851"/>
      </w:pPr>
      <w:r>
        <w:rPr>
          <w:i/>
          <w:iCs/>
        </w:rPr>
        <w:t xml:space="preserve">Nedsat nyrefunktion </w:t>
      </w:r>
    </w:p>
    <w:p w:rsidR="00491918" w:rsidRDefault="00491918" w:rsidP="00491918">
      <w:pPr>
        <w:pStyle w:val="Default"/>
        <w:ind w:left="851"/>
      </w:pPr>
      <w:r>
        <w:t xml:space="preserve">Anvendelsen af tenofovirdisoproxil anbefales ikke til pædiatriske patienter med nedsat nyrefunktion (se pkt. 4.2). Tenofovirdisoproxil bør ikke initieres til pædiatriske patienter med nedsat nyrefunktion og bør seponeres hos pædiatriske patienter, som udvikler nedsat nyrefunktion i løbet af behandlingen med tenofovirdisoproxil. </w:t>
      </w:r>
    </w:p>
    <w:p w:rsidR="00491918" w:rsidRDefault="00491918" w:rsidP="00491918">
      <w:pPr>
        <w:pStyle w:val="Default"/>
        <w:ind w:left="851"/>
      </w:pPr>
    </w:p>
    <w:p w:rsidR="00491918" w:rsidRDefault="00491918" w:rsidP="00491918">
      <w:pPr>
        <w:pStyle w:val="Default"/>
        <w:ind w:left="851"/>
      </w:pPr>
      <w:r>
        <w:rPr>
          <w:i/>
          <w:iCs/>
        </w:rPr>
        <w:t xml:space="preserve">Knogleeffekter </w:t>
      </w:r>
    </w:p>
    <w:p w:rsidR="00491918" w:rsidRDefault="00491918" w:rsidP="00491918">
      <w:pPr>
        <w:pStyle w:val="Default"/>
        <w:ind w:left="851"/>
      </w:pPr>
      <w:r>
        <w:t xml:space="preserve">Tenofovirdisoproxil kan forårsage en reduktion i BMD. Virkningerne af ændringer i BMD associeret med tenofovirdisoproxil på knoglesundheden på længere sigt og fremtidig frakturrisiko kendes ikke på nuværende tidspunkt (se pkt. 5.1). </w:t>
      </w:r>
    </w:p>
    <w:p w:rsidR="00491918" w:rsidRDefault="00491918" w:rsidP="00491918">
      <w:pPr>
        <w:pStyle w:val="Default"/>
        <w:ind w:left="851"/>
      </w:pPr>
    </w:p>
    <w:p w:rsidR="00491918" w:rsidRDefault="00491918" w:rsidP="00491918">
      <w:pPr>
        <w:pStyle w:val="Default"/>
        <w:ind w:left="851"/>
      </w:pPr>
      <w:r>
        <w:t xml:space="preserve">Hvis knogleabnormiteter påvises eller mistænkes hos pædiatriske patienter, skal konsultation med en endokrinolog og/eller en nefrolog foretages. </w:t>
      </w:r>
    </w:p>
    <w:p w:rsidR="00491918" w:rsidRDefault="00491918" w:rsidP="00491918">
      <w:pPr>
        <w:pStyle w:val="Default"/>
        <w:ind w:left="851"/>
      </w:pPr>
    </w:p>
    <w:p w:rsidR="00491918" w:rsidRDefault="00491918" w:rsidP="00491918">
      <w:pPr>
        <w:pStyle w:val="Default"/>
        <w:ind w:left="851"/>
        <w:rPr>
          <w:u w:val="single"/>
        </w:rPr>
      </w:pPr>
      <w:r>
        <w:rPr>
          <w:u w:val="single"/>
        </w:rPr>
        <w:t xml:space="preserve">Leversygdom </w:t>
      </w:r>
    </w:p>
    <w:p w:rsidR="00491918" w:rsidRDefault="00491918" w:rsidP="00491918">
      <w:pPr>
        <w:pStyle w:val="Default"/>
        <w:ind w:left="851"/>
      </w:pPr>
      <w:r>
        <w:t xml:space="preserve">Data om sikkerhed og virkning hos levertransplanterede patienter er meget begrænsede. </w:t>
      </w:r>
    </w:p>
    <w:p w:rsidR="00491918" w:rsidRDefault="00491918" w:rsidP="00491918">
      <w:pPr>
        <w:pStyle w:val="Default"/>
        <w:ind w:left="851"/>
      </w:pPr>
    </w:p>
    <w:p w:rsidR="00491918" w:rsidRDefault="00491918" w:rsidP="00491918">
      <w:pPr>
        <w:pStyle w:val="Default"/>
        <w:ind w:left="851"/>
      </w:pPr>
      <w:r>
        <w:t xml:space="preserve">Der er begrænsede data om sikkerhed og virkning hos HBV-inficerede patienter med dekompenseret leversygdom, som har Child-Pugh-Turcotte (CPT) score &gt;9. Disse patienter kan have højere risiko for at få alvorlige hepatiske eller renale bivirkninger. Derfor bør hepatobiliære og renale parametre monitoreres tæt hos denne patientpopulation. </w:t>
      </w:r>
    </w:p>
    <w:p w:rsidR="00491918" w:rsidRDefault="00491918" w:rsidP="00491918">
      <w:pPr>
        <w:pStyle w:val="Default"/>
        <w:ind w:left="851"/>
      </w:pPr>
    </w:p>
    <w:p w:rsidR="00491918" w:rsidRDefault="00491918" w:rsidP="00491918">
      <w:pPr>
        <w:pStyle w:val="Default"/>
        <w:ind w:left="851"/>
      </w:pPr>
      <w:r>
        <w:rPr>
          <w:i/>
          <w:iCs/>
        </w:rPr>
        <w:t xml:space="preserve">Hepatitis-eksacerbationer </w:t>
      </w:r>
    </w:p>
    <w:p w:rsidR="00491918" w:rsidRDefault="00491918" w:rsidP="00491918">
      <w:pPr>
        <w:pStyle w:val="Default"/>
        <w:ind w:left="1134" w:hanging="283"/>
      </w:pPr>
      <w:r>
        <w:rPr>
          <w:i/>
          <w:iCs/>
        </w:rPr>
        <w:t>-</w:t>
      </w:r>
      <w:r>
        <w:rPr>
          <w:i/>
          <w:iCs/>
        </w:rPr>
        <w:tab/>
        <w:t xml:space="preserve">Opblussen under behandlingen: </w:t>
      </w:r>
      <w:r>
        <w:t>Spontan eksacerbation af kronisk hepatitis B er relativt almindeligt og karakteriseret af forbigående stigninger i serum-ALAT. Efter opstart af antiviral behandling kan serum-ALAT stige hos nogle patienter (se pkt. 4.8). Hos patienter med kompenseret leversygdom er disse stigninger i serum-ALAT generelt hverken ledsaget af en stigning i serum-bilirubin-koncentrationen eller af hepatisk dekompensation. Patienter med levercirrose kan have større risiko for hepatisk dekompensation efter hepatitis-eksacerbation og skal derfor monitoreres tæt under behandlingen.</w:t>
      </w:r>
    </w:p>
    <w:p w:rsidR="00491918" w:rsidRDefault="00491918" w:rsidP="00491918">
      <w:pPr>
        <w:pStyle w:val="Default"/>
        <w:ind w:left="1134" w:hanging="283"/>
      </w:pPr>
      <w:r>
        <w:rPr>
          <w:i/>
          <w:iCs/>
        </w:rPr>
        <w:t>-</w:t>
      </w:r>
      <w:r>
        <w:tab/>
      </w:r>
      <w:r>
        <w:rPr>
          <w:i/>
          <w:iCs/>
        </w:rPr>
        <w:t xml:space="preserve">Opblussen efter seponering af behandlingen: </w:t>
      </w:r>
      <w:r>
        <w:t xml:space="preserve">Akut hepatitis-eksacerbationer er også blevet rapporteret hos patienter efter seponering af hepatitis B-behandlingen. En eksacerbation efter behandlingen er normalt forbundet med stigning i HBV-dna, og størstedelen af tilfældene forekommer at være selvbegrænsende. Der er imidlertid blevet rapporteret om alvorlige eksacerbationer, herunder dødsfald. Leverfunktionen bør monitoreres i regelmæssige intervaller, både med klinisk kontrol og laboratoriekontroller, i mindst 6 måneder efter seponering af hepatitis B-behandlingen. Genoptagelse af hepatitis B-behandlingen kan være nødvendig. Behandlingen bør ikke seponeres hos patienter med fremskreden leversygdom eller levercirrose, da eksacerbationer efter behandlingen kan føre til hepatisk dekompensation. </w:t>
      </w:r>
    </w:p>
    <w:p w:rsidR="00491918" w:rsidRDefault="00491918" w:rsidP="00491918">
      <w:pPr>
        <w:pStyle w:val="Default"/>
        <w:ind w:left="1134"/>
      </w:pPr>
    </w:p>
    <w:p w:rsidR="00491918" w:rsidRDefault="00491918" w:rsidP="00491918">
      <w:pPr>
        <w:pStyle w:val="Default"/>
        <w:ind w:left="1134"/>
      </w:pPr>
      <w:r>
        <w:t xml:space="preserve">En opblussen af leversygdommen er særdeles alvorlig og nogle gange letal hos patienter med dekompenseret leversygdom. </w:t>
      </w:r>
    </w:p>
    <w:p w:rsidR="00491918" w:rsidRDefault="00491918" w:rsidP="00491918">
      <w:pPr>
        <w:pStyle w:val="Default"/>
        <w:ind w:left="851"/>
      </w:pPr>
    </w:p>
    <w:p w:rsidR="00491918" w:rsidRDefault="00491918" w:rsidP="00491918">
      <w:pPr>
        <w:pStyle w:val="Default"/>
        <w:ind w:left="851"/>
      </w:pPr>
      <w:r>
        <w:rPr>
          <w:i/>
          <w:iCs/>
        </w:rPr>
        <w:t xml:space="preserve">Samtidig infektion med hepatitis C eller D: </w:t>
      </w:r>
      <w:r>
        <w:t xml:space="preserve">Der findes ingen data om virkningen af tenofovir hos patienter med samtidig infektion med hepatitis C- eller D-virus. </w:t>
      </w:r>
    </w:p>
    <w:p w:rsidR="00491918" w:rsidRDefault="00491918" w:rsidP="00491918">
      <w:pPr>
        <w:pStyle w:val="Default"/>
        <w:ind w:left="851"/>
      </w:pPr>
    </w:p>
    <w:p w:rsidR="00491918" w:rsidRDefault="00491918" w:rsidP="00491918">
      <w:pPr>
        <w:pStyle w:val="Default"/>
        <w:ind w:left="851"/>
      </w:pPr>
      <w:r>
        <w:rPr>
          <w:i/>
          <w:iCs/>
        </w:rPr>
        <w:t xml:space="preserve">Samtidig infektion med hiv 1 og hepatitis B: </w:t>
      </w:r>
      <w:r>
        <w:t>På grund af risikoen for udvikling af hiv-resistens skal tenofovirdisoproxil kun anvendes som en del af en passende, antiretroviral kombinationsbehandling hos patienter med samtidig hiv/HBV-infektion. Hos patienter med tidligere tilfælde af leverdysfunktion, herunder kronisk aktiv hepatitis, er der en forhøjet forekomst af unormal leverfunktion under antiretroviral kombinationsbehandling (CART) og disse patienter bør monitoreres i henhold til standardprocedurer. Hvis der er tegn på, at leversygdommen forværres hos sådanne patienter, skal man overveje at afbryde eller foretage et ophold i behandlingen. Det skal imidlertid bemærkes, at stigninger i ALAT kan være en del af HBV-clearance under behandling med tenofovir, se afsnittet ”</w:t>
      </w:r>
      <w:r>
        <w:rPr>
          <w:iCs/>
        </w:rPr>
        <w:t>Hepatitis-eksacerbationer</w:t>
      </w:r>
      <w:r>
        <w:rPr>
          <w:i/>
          <w:iCs/>
        </w:rPr>
        <w:t xml:space="preserve">” </w:t>
      </w:r>
      <w:r>
        <w:t>ovenfor.</w:t>
      </w:r>
    </w:p>
    <w:p w:rsidR="00491918" w:rsidRDefault="00491918" w:rsidP="00491918">
      <w:pPr>
        <w:pStyle w:val="Default"/>
        <w:ind w:left="851"/>
      </w:pPr>
    </w:p>
    <w:p w:rsidR="00C04C62" w:rsidRDefault="00C04C62" w:rsidP="00C04C62">
      <w:pPr>
        <w:pStyle w:val="Default"/>
        <w:ind w:left="851"/>
        <w:rPr>
          <w:i/>
        </w:rPr>
      </w:pPr>
      <w:r>
        <w:rPr>
          <w:i/>
        </w:rPr>
        <w:t>Brug sammen med visse antivirale lægemidler mod hepatitis C</w:t>
      </w:r>
    </w:p>
    <w:p w:rsidR="00C04C62" w:rsidRDefault="00C04C62" w:rsidP="00C04C62">
      <w:pPr>
        <w:pStyle w:val="Default"/>
        <w:ind w:left="851"/>
      </w:pPr>
      <w:r>
        <w:t xml:space="preserve">Det er vist, at samtidig administration af tenofovirdisoproxil og ledipasvir/sofosbuvir, </w:t>
      </w:r>
      <w:r>
        <w:rPr>
          <w:sz w:val="22"/>
          <w:szCs w:val="22"/>
        </w:rPr>
        <w:t>sofosbuvir/velpatasvir eller sofosbuvir/velpatasvir/voxilaprevir</w:t>
      </w:r>
      <w:r>
        <w:t xml:space="preserve"> øger plasmakoncentrationen af tenofovir, især ved brug af et hiv-regime, der indeholder tenofovirdisoproxil og en farmakokinetisk booster (ritonavir eller cobicistat). Sikkerheden af tenofovirdisoproxil sammen med ledipasvir/sofosbuvir, </w:t>
      </w:r>
      <w:r>
        <w:rPr>
          <w:sz w:val="22"/>
          <w:szCs w:val="22"/>
        </w:rPr>
        <w:t xml:space="preserve">sofosbuvir/velpatasvir eller sofosbuvir/velpatasvir/voxilaprevir, </w:t>
      </w:r>
      <w:r>
        <w:t xml:space="preserve">og en farmakokinetisk booster er ikke klarlagt. De potentielle risici og fordele ved samtidig administration af ledipasvir/sofosbuvir, </w:t>
      </w:r>
      <w:r>
        <w:rPr>
          <w:sz w:val="22"/>
          <w:szCs w:val="22"/>
        </w:rPr>
        <w:t>sofosbuvir/velpatasvir eller sofosbuvir/velpatasvir/voxilaprevir</w:t>
      </w:r>
      <w:r>
        <w:t xml:space="preserve"> og tenofovirdisoproxil i kombination med en boostet hiv-proteasehæmmer (f.eks. atazanavir eller darunavir) skal overvejes, især hos patienter med øget risiko for renal dysfunktion. Patienter, der får ledipasvir/sofosbuvir, </w:t>
      </w:r>
      <w:r>
        <w:rPr>
          <w:sz w:val="22"/>
          <w:szCs w:val="22"/>
        </w:rPr>
        <w:t>sofosbuvir/velpatasvir eller sofosbuvir/velpatasvir/voxilaprevir</w:t>
      </w:r>
      <w:r>
        <w:t xml:space="preserve"> sammen med tenofovirdisoproxil og en boostet hiv-proteasehæmmer bør overvåges for bivirkninger relateret til tenofovirdisoproxil.</w:t>
      </w:r>
    </w:p>
    <w:p w:rsidR="00491918" w:rsidRDefault="00491918" w:rsidP="00491918">
      <w:pPr>
        <w:pStyle w:val="Default"/>
        <w:ind w:left="851"/>
        <w:rPr>
          <w:u w:val="single"/>
        </w:rPr>
      </w:pPr>
    </w:p>
    <w:p w:rsidR="00491918" w:rsidRDefault="00491918" w:rsidP="00491918">
      <w:pPr>
        <w:pStyle w:val="Default"/>
        <w:ind w:left="851"/>
        <w:rPr>
          <w:u w:val="single"/>
        </w:rPr>
      </w:pPr>
      <w:r>
        <w:rPr>
          <w:u w:val="single"/>
        </w:rPr>
        <w:t>Vægt og metaboliske parametre</w:t>
      </w:r>
    </w:p>
    <w:p w:rsidR="00491918" w:rsidRDefault="00491918" w:rsidP="00491918">
      <w:pPr>
        <w:pStyle w:val="Default"/>
        <w:ind w:left="851"/>
      </w:pPr>
      <w:r>
        <w:t>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rsidR="00491918" w:rsidRDefault="00491918" w:rsidP="00491918">
      <w:pPr>
        <w:pStyle w:val="Default"/>
        <w:ind w:left="851"/>
      </w:pPr>
    </w:p>
    <w:p w:rsidR="00491918" w:rsidRDefault="00491918" w:rsidP="00E0577D">
      <w:pPr>
        <w:pStyle w:val="Default"/>
        <w:keepNext/>
        <w:ind w:left="851"/>
        <w:rPr>
          <w:i/>
          <w:u w:val="single"/>
        </w:rPr>
      </w:pPr>
      <w:r>
        <w:rPr>
          <w:u w:val="single"/>
        </w:rPr>
        <w:t xml:space="preserve">Mitokondriel dysfunktion efter eksponering </w:t>
      </w:r>
      <w:r>
        <w:rPr>
          <w:i/>
          <w:u w:val="single"/>
        </w:rPr>
        <w:t>in utero</w:t>
      </w:r>
    </w:p>
    <w:p w:rsidR="00491918" w:rsidRDefault="00491918" w:rsidP="00491918">
      <w:pPr>
        <w:pStyle w:val="Default"/>
        <w:ind w:left="851"/>
      </w:pPr>
      <w:r>
        <w:t xml:space="preserve">Nukleosid-/nukleotid-analoger kan påvirke mitokondriefunktionen i variende grad, hvilket er mest udtalt for stavudin, didanosin og zidovudin. Der er rapporteret om mitokondriel dysfunktion hos hiv-negative spædbørn, som har været eksponeret for nukleosidanaloger </w:t>
      </w:r>
      <w:r>
        <w:rPr>
          <w:i/>
          <w:iCs/>
        </w:rPr>
        <w:t xml:space="preserve">in utero </w:t>
      </w:r>
      <w:r>
        <w:t xml:space="preserve">og/eller postnatalt. Det har hovedsageligt drejet sig om behandling med regimer indeholdende zidovudin. De hyppigst rapporterede bivirkninger er hæmatologiske forstyrrelser (anæmi, neutropeni) og metaboliske forstyrrelser (hyperlaktatæmi, hyperlipasæmi). Bivirkningerne har ofte været forbigående. Sent forekommende neurologiske forstyrrelser er i sjældne tilfælde blevet rapporteret (hypertoni, kramper, unormal adfærd). I hvilken udstrækning sådanne neurologiske forstyrrelser er forbigående eller permanente er p.t. ikke kendt. Mitokondriel dysfunktion bør overvejes hos alle børn med svære kliniske symptomer af ukendt ætiologi, især neurologiske symptomer, der har været eksponeret for nukleosid-/nukleotid-analoger </w:t>
      </w:r>
      <w:r>
        <w:rPr>
          <w:i/>
          <w:iCs/>
        </w:rPr>
        <w:t>in utero</w:t>
      </w:r>
      <w:r>
        <w:t xml:space="preserve">. Disse fund påvirker ikke de aktuelle nationale anbefalinger vedrørende brug af antiretroviral behandling hos gravide med henblik på at undgå vertikal hiv-overførsel. </w:t>
      </w:r>
    </w:p>
    <w:p w:rsidR="00491918" w:rsidRDefault="00491918" w:rsidP="00491918">
      <w:pPr>
        <w:pStyle w:val="Default"/>
        <w:ind w:left="851"/>
      </w:pPr>
    </w:p>
    <w:p w:rsidR="00491918" w:rsidRDefault="00491918" w:rsidP="00491918">
      <w:pPr>
        <w:pStyle w:val="Default"/>
        <w:ind w:left="851"/>
        <w:rPr>
          <w:u w:val="single"/>
        </w:rPr>
      </w:pPr>
      <w:r>
        <w:rPr>
          <w:u w:val="single"/>
        </w:rPr>
        <w:t xml:space="preserve">Immunreaktiveringssyndrom </w:t>
      </w:r>
    </w:p>
    <w:p w:rsidR="00491918" w:rsidRDefault="00491918" w:rsidP="00491918">
      <w:pPr>
        <w:pStyle w:val="Default"/>
        <w:ind w:left="851"/>
      </w:pPr>
      <w:r>
        <w:t xml:space="preserve">Hos hiv-inficerede patienter med svær immuninsufficiens kan der ved påbegyndelse af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mycobakterielle infektioner og </w:t>
      </w:r>
      <w:r>
        <w:rPr>
          <w:i/>
          <w:iCs/>
        </w:rPr>
        <w:t xml:space="preserve">pneumocystis jirovecii </w:t>
      </w:r>
      <w:r>
        <w:t xml:space="preserve">pneumoni. Alle inflammatoriske symptomer bør vurderes og behandling påbegyndes efter behov. </w:t>
      </w:r>
    </w:p>
    <w:p w:rsidR="00491918" w:rsidRDefault="00491918" w:rsidP="00491918">
      <w:pPr>
        <w:pStyle w:val="Default"/>
        <w:ind w:left="851"/>
      </w:pPr>
    </w:p>
    <w:p w:rsidR="00491918" w:rsidRDefault="00491918" w:rsidP="00491918">
      <w:pPr>
        <w:pStyle w:val="Default"/>
        <w:ind w:left="851"/>
      </w:pPr>
      <w:r>
        <w:t xml:space="preserve">Autoimmune lidelser (såsom Graves sygdom og autoimmun hepatitis) er også rapporteret at forekomme i forbindelse med immunreaktivering. Tiden til udbrud er mere variabel og kan være mange måneder efter initiering af behandling. </w:t>
      </w:r>
    </w:p>
    <w:p w:rsidR="00491918" w:rsidRDefault="00491918" w:rsidP="00491918">
      <w:pPr>
        <w:pStyle w:val="Default"/>
        <w:ind w:left="851"/>
      </w:pPr>
    </w:p>
    <w:p w:rsidR="00491918" w:rsidRDefault="00491918" w:rsidP="00491918">
      <w:pPr>
        <w:pStyle w:val="Default"/>
        <w:ind w:left="851"/>
        <w:rPr>
          <w:u w:val="single"/>
        </w:rPr>
      </w:pPr>
      <w:r>
        <w:rPr>
          <w:u w:val="single"/>
        </w:rPr>
        <w:t xml:space="preserve">Osteonekrose </w:t>
      </w:r>
    </w:p>
    <w:p w:rsidR="00491918" w:rsidRDefault="00491918" w:rsidP="00491918">
      <w:pPr>
        <w:pStyle w:val="Default"/>
        <w:ind w:left="851"/>
      </w:pPr>
      <w:r>
        <w:t xml:space="preserve">Der er rapporteret om tilfælde af osteonekrose hos patienter, der har fremskreden hiv-sygdom og/eller hos patienter som befinder sig i langvarig CART. Ætiologien anses dog for at være multifaktoriel (omfattende anvendelse af kortikosteroider, alkoholforbrug, svær immunosuppression, højere Body Mass Index (BMI)). Patienter, der oplever ømme og smertende led, ledstivhed eller bevægelsesbesvær bør rådes til at søge læge. </w:t>
      </w:r>
    </w:p>
    <w:p w:rsidR="00491918" w:rsidRDefault="00491918" w:rsidP="00491918">
      <w:pPr>
        <w:pStyle w:val="Default"/>
        <w:ind w:left="851"/>
      </w:pPr>
    </w:p>
    <w:p w:rsidR="00C04C62" w:rsidRDefault="00C04C62" w:rsidP="00C04C62">
      <w:pPr>
        <w:pStyle w:val="Default"/>
        <w:keepNext/>
        <w:ind w:left="851"/>
        <w:rPr>
          <w:u w:val="single"/>
        </w:rPr>
      </w:pPr>
      <w:r>
        <w:rPr>
          <w:u w:val="single"/>
        </w:rPr>
        <w:t xml:space="preserve">Ældre </w:t>
      </w:r>
    </w:p>
    <w:p w:rsidR="00C04C62" w:rsidRDefault="00C04C62" w:rsidP="00C04C62">
      <w:pPr>
        <w:pStyle w:val="Default"/>
        <w:ind w:left="851"/>
      </w:pPr>
      <w:r>
        <w:t xml:space="preserve">Tenofovirdisoproxil er ikke blevet undersøgt hos patienter over 65 år. Da det er mere sandsynligt, at ældre patienter har nedsat nyrefunktion, skal der udvises forsigtighed ved behandling af ældre patienter med tenofovirdisoproxil. </w:t>
      </w:r>
    </w:p>
    <w:p w:rsidR="00C04C62" w:rsidRDefault="00C04C62" w:rsidP="00C04C62">
      <w:pPr>
        <w:pStyle w:val="Default"/>
      </w:pPr>
    </w:p>
    <w:p w:rsidR="00C04C62" w:rsidRDefault="00C04C62" w:rsidP="00C04C62">
      <w:pPr>
        <w:pStyle w:val="Default"/>
        <w:ind w:left="851"/>
        <w:rPr>
          <w:u w:val="single"/>
        </w:rPr>
      </w:pPr>
      <w:r>
        <w:rPr>
          <w:u w:val="single"/>
        </w:rPr>
        <w:t>Hjælpestoffer</w:t>
      </w:r>
    </w:p>
    <w:p w:rsidR="00C04C62" w:rsidRDefault="00C04C62" w:rsidP="00C04C62">
      <w:pPr>
        <w:pStyle w:val="Default"/>
        <w:ind w:left="851"/>
        <w:rPr>
          <w:i/>
        </w:rPr>
      </w:pPr>
    </w:p>
    <w:p w:rsidR="00C04C62" w:rsidRDefault="00C04C62" w:rsidP="00C04C62">
      <w:pPr>
        <w:pStyle w:val="Default"/>
        <w:ind w:left="851"/>
        <w:rPr>
          <w:i/>
        </w:rPr>
      </w:pPr>
      <w:r>
        <w:rPr>
          <w:i/>
        </w:rPr>
        <w:t>Lactose</w:t>
      </w:r>
    </w:p>
    <w:p w:rsidR="00C04C62" w:rsidRDefault="00C04C62" w:rsidP="00C04C62">
      <w:pPr>
        <w:pStyle w:val="Default"/>
        <w:ind w:left="851"/>
      </w:pPr>
      <w:r>
        <w:t xml:space="preserve">Tenofovir disoproxil "Teva" indeholder lactosemonohydrat. Bør ikke anvendes til patienter med arvelig galactoseintolerans, en særlig form af hereditær lactasemangel </w:t>
      </w:r>
      <w:r>
        <w:rPr>
          <w:i/>
          <w:iCs/>
        </w:rPr>
        <w:t xml:space="preserve">(total Lactase Deficiency) </w:t>
      </w:r>
      <w:r>
        <w:t>eller glucose/galactosemalabsorption.</w:t>
      </w:r>
    </w:p>
    <w:p w:rsidR="00C04C62" w:rsidRDefault="00C04C62" w:rsidP="00C04C62">
      <w:pPr>
        <w:pStyle w:val="Default"/>
        <w:ind w:left="851"/>
        <w:rPr>
          <w:i/>
        </w:rPr>
      </w:pPr>
    </w:p>
    <w:p w:rsidR="00C04C62" w:rsidRDefault="00C04C62" w:rsidP="00C04C62">
      <w:pPr>
        <w:pStyle w:val="Default"/>
        <w:ind w:left="851"/>
        <w:rPr>
          <w:i/>
        </w:rPr>
      </w:pPr>
      <w:r>
        <w:rPr>
          <w:i/>
        </w:rPr>
        <w:t>Natrium</w:t>
      </w:r>
    </w:p>
    <w:p w:rsidR="00C04C62" w:rsidRDefault="00C04C62" w:rsidP="00C04C62">
      <w:pPr>
        <w:pStyle w:val="Default"/>
        <w:ind w:left="851"/>
      </w:pPr>
      <w:r>
        <w:t xml:space="preserve">Dette lægemiddel indeholder mindre end 1 mmol natrium (23 mg) per tablet, dvs. at det i det væsentlige er ”natrium-frit”. </w:t>
      </w:r>
    </w:p>
    <w:p w:rsidR="00491918" w:rsidRPr="00C84483" w:rsidRDefault="00491918" w:rsidP="00491918">
      <w:pPr>
        <w:tabs>
          <w:tab w:val="left" w:pos="851"/>
        </w:tabs>
        <w:rPr>
          <w:sz w:val="24"/>
          <w:szCs w:val="24"/>
        </w:rPr>
      </w:pPr>
    </w:p>
    <w:p w:rsidR="00491918" w:rsidRPr="00C84483" w:rsidRDefault="00491918" w:rsidP="0049191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Interaktionsstudier er kun udført hos voksne.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På basis af resultaterne af </w:t>
      </w:r>
      <w:r>
        <w:rPr>
          <w:i/>
          <w:iCs/>
          <w:color w:val="000000"/>
          <w:sz w:val="24"/>
          <w:szCs w:val="24"/>
          <w:lang w:eastAsia="da-DK"/>
        </w:rPr>
        <w:t>in vitro</w:t>
      </w:r>
      <w:r>
        <w:rPr>
          <w:color w:val="000000"/>
          <w:sz w:val="24"/>
          <w:szCs w:val="24"/>
          <w:lang w:eastAsia="da-DK"/>
        </w:rPr>
        <w:t xml:space="preserve">-studier og tenofovirs kendte eliminationsvej er potentialet for CYP450-medierede interaktioner, hvor tenofovir er involveret sammen med andre lægemidler, lav.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color w:val="000000"/>
          <w:sz w:val="24"/>
          <w:szCs w:val="24"/>
          <w:u w:val="single"/>
          <w:lang w:eastAsia="da-DK"/>
        </w:rPr>
      </w:pPr>
      <w:r>
        <w:rPr>
          <w:color w:val="000000"/>
          <w:sz w:val="24"/>
          <w:szCs w:val="24"/>
          <w:u w:val="single"/>
          <w:lang w:eastAsia="da-DK"/>
        </w:rPr>
        <w:t xml:space="preserve">Samtidig brug anbefales ikke </w:t>
      </w: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Tenofovir disoproxil "Teva" bør ikke tages samtidigt med andre lægemidler, der indeh</w:t>
      </w:r>
      <w:r w:rsidRPr="0052558A">
        <w:rPr>
          <w:color w:val="000000"/>
          <w:sz w:val="24"/>
          <w:szCs w:val="24"/>
          <w:lang w:eastAsia="da-DK"/>
        </w:rPr>
        <w:t xml:space="preserve">older </w:t>
      </w:r>
      <w:r w:rsidRPr="00743892">
        <w:rPr>
          <w:color w:val="000000"/>
          <w:sz w:val="24"/>
          <w:szCs w:val="24"/>
          <w:lang w:eastAsia="da-DK"/>
        </w:rPr>
        <w:t>tenofovirdisoproxil eller tenofoviralafenamid</w:t>
      </w:r>
      <w:r w:rsidRPr="0052558A">
        <w:rPr>
          <w:color w:val="000000"/>
          <w:sz w:val="24"/>
          <w:szCs w:val="24"/>
          <w:lang w:eastAsia="da-DK"/>
        </w:rPr>
        <w:t>.</w:t>
      </w:r>
      <w:r>
        <w:rPr>
          <w:color w:val="000000"/>
          <w:sz w:val="24"/>
          <w:szCs w:val="24"/>
          <w:lang w:eastAsia="da-DK"/>
        </w:rPr>
        <w:t xml:space="preserve">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Tenofovir disoproxil "Teva" bør ikke tages samtidigt med </w:t>
      </w:r>
      <w:r>
        <w:rPr>
          <w:i/>
          <w:color w:val="000000"/>
          <w:sz w:val="24"/>
          <w:szCs w:val="24"/>
          <w:lang w:eastAsia="da-DK"/>
        </w:rPr>
        <w:t>adefovirdipivoxil</w:t>
      </w:r>
      <w:r>
        <w:rPr>
          <w:color w:val="000000"/>
          <w:sz w:val="24"/>
          <w:szCs w:val="24"/>
          <w:lang w:eastAsia="da-DK"/>
        </w:rPr>
        <w:t xml:space="preserve">.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i/>
          <w:iCs/>
          <w:color w:val="000000"/>
          <w:sz w:val="24"/>
          <w:szCs w:val="24"/>
          <w:lang w:eastAsia="da-DK"/>
        </w:rPr>
      </w:pPr>
      <w:r>
        <w:rPr>
          <w:i/>
          <w:iCs/>
          <w:color w:val="000000"/>
          <w:sz w:val="24"/>
          <w:szCs w:val="24"/>
          <w:lang w:eastAsia="da-DK"/>
        </w:rPr>
        <w:t>Didanosin</w:t>
      </w: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Samtidig indgivelse af tenofovirdisoproxil og didanosin anbefales ikke (se pkt. 4.4 og tabel 1).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color w:val="000000"/>
          <w:sz w:val="24"/>
          <w:szCs w:val="24"/>
          <w:lang w:eastAsia="da-DK"/>
        </w:rPr>
      </w:pPr>
      <w:r>
        <w:rPr>
          <w:i/>
          <w:iCs/>
          <w:color w:val="000000"/>
          <w:sz w:val="24"/>
          <w:szCs w:val="24"/>
          <w:lang w:eastAsia="da-DK"/>
        </w:rPr>
        <w:t xml:space="preserve">Lægemidler, som udskilles gennem nyrerne </w:t>
      </w: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Da tenofovir primært udskilles gennem nyrerne, kan administration af tenofovirdisoproxil samtidig med lægemidler, der reducerer nyrefunktionen eller konkurrerer om aktiv tubulær secernering via transportproteinerne hOAT 1, hOAT 3 eller MRP 4 (f.eks. cidofovir), øge serumkoncentrationerne af tenofovir og/eller de samtidigt administrerede lægemidler.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Brug af tenofovirdisoproxil bør undgås ved samtidig eller nylig brug af et nefrotoksisk lægemiddel. Eksempler herpå omfatter, men er ikke begrænsede til, aminoglykosider, amphotericin B, foscarnet, ganciclovir, pentamidin, vancomycin, cidofovir eller interleukin-2 (se pkt. 4.4).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Da tacrolimus kan påvirke nyrefunktionen, anbefales tæt monitorering, når det administreres samtidigt med tenofovirdisoproxil. </w:t>
      </w:r>
    </w:p>
    <w:p w:rsidR="00491918" w:rsidRDefault="00491918" w:rsidP="00491918">
      <w:pPr>
        <w:autoSpaceDE w:val="0"/>
        <w:autoSpaceDN w:val="0"/>
        <w:adjustRightInd w:val="0"/>
        <w:ind w:left="851"/>
        <w:rPr>
          <w:color w:val="000000"/>
          <w:sz w:val="24"/>
          <w:szCs w:val="24"/>
          <w:lang w:eastAsia="da-DK"/>
        </w:rPr>
      </w:pPr>
    </w:p>
    <w:p w:rsidR="00C04C62" w:rsidRDefault="00C04C62" w:rsidP="00C04C62">
      <w:pPr>
        <w:autoSpaceDE w:val="0"/>
        <w:autoSpaceDN w:val="0"/>
        <w:adjustRightInd w:val="0"/>
        <w:ind w:left="851"/>
        <w:rPr>
          <w:color w:val="000000"/>
          <w:sz w:val="24"/>
          <w:szCs w:val="24"/>
          <w:u w:val="single"/>
          <w:lang w:eastAsia="da-DK"/>
        </w:rPr>
      </w:pPr>
      <w:r>
        <w:rPr>
          <w:color w:val="000000"/>
          <w:sz w:val="24"/>
          <w:szCs w:val="24"/>
          <w:u w:val="single"/>
          <w:lang w:eastAsia="da-DK"/>
        </w:rPr>
        <w:t xml:space="preserve">Andre interaktioner </w:t>
      </w:r>
    </w:p>
    <w:p w:rsidR="00C04C62" w:rsidRDefault="00C04C62" w:rsidP="00C04C62">
      <w:pPr>
        <w:tabs>
          <w:tab w:val="left" w:pos="851"/>
        </w:tabs>
        <w:ind w:left="851" w:hanging="851"/>
        <w:rPr>
          <w:sz w:val="24"/>
          <w:szCs w:val="24"/>
          <w:lang w:eastAsia="da-DK"/>
        </w:rPr>
      </w:pPr>
      <w:r>
        <w:rPr>
          <w:sz w:val="24"/>
          <w:szCs w:val="24"/>
          <w:lang w:eastAsia="da-DK"/>
        </w:rPr>
        <w:tab/>
        <w:t>Interaktioner mellem tenofovirdisoproxil og andre lægemidler ses i tabel 1 nedenfor (stigning er angivet som "↑", fald som "↓", ingen ændring som "↔", to gange dagligt som "b.i.d.", en gang dagligt som "q.d.").</w:t>
      </w:r>
    </w:p>
    <w:p w:rsidR="00C04C62" w:rsidRDefault="00C04C62" w:rsidP="00C04C62">
      <w:pPr>
        <w:tabs>
          <w:tab w:val="left" w:pos="851"/>
        </w:tabs>
        <w:ind w:left="851" w:hanging="851"/>
        <w:rPr>
          <w:sz w:val="24"/>
          <w:szCs w:val="24"/>
          <w:lang w:eastAsia="da-DK"/>
        </w:rPr>
      </w:pPr>
    </w:p>
    <w:p w:rsidR="00C04C62" w:rsidRDefault="00C04C62" w:rsidP="00C04C62">
      <w:pPr>
        <w:keepNext/>
        <w:tabs>
          <w:tab w:val="left" w:pos="851"/>
        </w:tabs>
        <w:ind w:left="851" w:hanging="851"/>
        <w:rPr>
          <w:b/>
          <w:sz w:val="24"/>
          <w:szCs w:val="24"/>
          <w:lang w:eastAsia="da-DK"/>
        </w:rPr>
      </w:pPr>
      <w:r>
        <w:rPr>
          <w:b/>
          <w:sz w:val="24"/>
          <w:szCs w:val="24"/>
          <w:lang w:eastAsia="da-DK"/>
        </w:rPr>
        <w:tab/>
        <w:t>Tabel 1: Interaktioner mellem tenofovirdisoproxil og andre lægemidler</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867"/>
        <w:gridCol w:w="2948"/>
      </w:tblGrid>
      <w:tr w:rsidR="00DA0437" w:rsidTr="0032404C">
        <w:tc>
          <w:tcPr>
            <w:tcW w:w="3022" w:type="dxa"/>
            <w:tcBorders>
              <w:top w:val="single" w:sz="4" w:space="0" w:color="auto"/>
              <w:left w:val="single" w:sz="4" w:space="0" w:color="auto"/>
              <w:bottom w:val="single" w:sz="4" w:space="0" w:color="auto"/>
              <w:right w:val="single" w:sz="4" w:space="0" w:color="auto"/>
            </w:tcBorders>
            <w:hideMark/>
          </w:tcPr>
          <w:p w:rsidR="00DA0437" w:rsidRDefault="00DA0437" w:rsidP="0032404C">
            <w:pPr>
              <w:keepNext/>
              <w:tabs>
                <w:tab w:val="left" w:pos="851"/>
              </w:tabs>
              <w:jc w:val="center"/>
              <w:rPr>
                <w:b/>
                <w:sz w:val="24"/>
                <w:szCs w:val="24"/>
                <w:lang w:eastAsia="da-DK"/>
              </w:rPr>
            </w:pPr>
            <w:r>
              <w:rPr>
                <w:b/>
                <w:sz w:val="24"/>
                <w:szCs w:val="24"/>
                <w:lang w:eastAsia="da-DK"/>
              </w:rPr>
              <w:t>Lægemiddel iht. terapeutisk område</w:t>
            </w:r>
          </w:p>
          <w:p w:rsidR="00DA0437" w:rsidRDefault="00DA0437" w:rsidP="0032404C">
            <w:pPr>
              <w:keepNext/>
              <w:tabs>
                <w:tab w:val="left" w:pos="851"/>
              </w:tabs>
              <w:jc w:val="center"/>
              <w:rPr>
                <w:b/>
                <w:sz w:val="24"/>
                <w:szCs w:val="24"/>
                <w:lang w:eastAsia="da-DK"/>
              </w:rPr>
            </w:pPr>
            <w:r>
              <w:rPr>
                <w:b/>
                <w:sz w:val="24"/>
                <w:szCs w:val="24"/>
                <w:lang w:eastAsia="da-DK"/>
              </w:rPr>
              <w:t xml:space="preserve"> (dosis i mg)</w:t>
            </w:r>
          </w:p>
        </w:tc>
        <w:tc>
          <w:tcPr>
            <w:tcW w:w="2952" w:type="dxa"/>
            <w:tcBorders>
              <w:top w:val="single" w:sz="4" w:space="0" w:color="auto"/>
              <w:left w:val="single" w:sz="4" w:space="0" w:color="auto"/>
              <w:bottom w:val="single" w:sz="4" w:space="0" w:color="auto"/>
              <w:right w:val="single" w:sz="4" w:space="0" w:color="auto"/>
            </w:tcBorders>
            <w:hideMark/>
          </w:tcPr>
          <w:p w:rsidR="00DA0437" w:rsidRDefault="00DA0437" w:rsidP="0032404C">
            <w:pPr>
              <w:keepNext/>
              <w:tabs>
                <w:tab w:val="left" w:pos="851"/>
              </w:tabs>
              <w:jc w:val="center"/>
              <w:rPr>
                <w:b/>
                <w:sz w:val="24"/>
                <w:szCs w:val="24"/>
                <w:lang w:eastAsia="da-DK"/>
              </w:rPr>
            </w:pPr>
            <w:r>
              <w:rPr>
                <w:b/>
                <w:sz w:val="24"/>
                <w:szCs w:val="24"/>
                <w:lang w:eastAsia="da-DK"/>
              </w:rPr>
              <w:t>Virkning og medicinindhold</w:t>
            </w:r>
          </w:p>
          <w:p w:rsidR="00DA0437" w:rsidRDefault="00DA0437" w:rsidP="0032404C">
            <w:pPr>
              <w:keepNext/>
              <w:tabs>
                <w:tab w:val="left" w:pos="851"/>
              </w:tabs>
              <w:jc w:val="center"/>
              <w:rPr>
                <w:b/>
                <w:sz w:val="24"/>
                <w:szCs w:val="24"/>
                <w:lang w:eastAsia="da-DK"/>
              </w:rPr>
            </w:pPr>
            <w:r>
              <w:rPr>
                <w:b/>
                <w:sz w:val="24"/>
                <w:szCs w:val="24"/>
                <w:lang w:eastAsia="da-DK"/>
              </w:rPr>
              <w:t>Gennemsnitlig ændring (%) i AUC, C</w:t>
            </w:r>
            <w:r>
              <w:rPr>
                <w:b/>
                <w:sz w:val="24"/>
                <w:szCs w:val="24"/>
                <w:vertAlign w:val="subscript"/>
                <w:lang w:eastAsia="da-DK"/>
              </w:rPr>
              <w:t>max</w:t>
            </w:r>
            <w:r>
              <w:rPr>
                <w:b/>
                <w:sz w:val="24"/>
                <w:szCs w:val="24"/>
                <w:lang w:eastAsia="da-DK"/>
              </w:rPr>
              <w:t>, C</w:t>
            </w:r>
            <w:r>
              <w:rPr>
                <w:b/>
                <w:sz w:val="24"/>
                <w:szCs w:val="24"/>
                <w:vertAlign w:val="subscript"/>
                <w:lang w:eastAsia="da-DK"/>
              </w:rPr>
              <w:t>min</w:t>
            </w:r>
          </w:p>
        </w:tc>
        <w:tc>
          <w:tcPr>
            <w:tcW w:w="3029" w:type="dxa"/>
            <w:tcBorders>
              <w:top w:val="single" w:sz="4" w:space="0" w:color="auto"/>
              <w:left w:val="single" w:sz="4" w:space="0" w:color="auto"/>
              <w:bottom w:val="single" w:sz="4" w:space="0" w:color="auto"/>
              <w:right w:val="single" w:sz="4" w:space="0" w:color="auto"/>
            </w:tcBorders>
            <w:hideMark/>
          </w:tcPr>
          <w:p w:rsidR="00DA0437" w:rsidRDefault="00DA0437" w:rsidP="0032404C">
            <w:pPr>
              <w:keepNext/>
              <w:tabs>
                <w:tab w:val="left" w:pos="851"/>
              </w:tabs>
              <w:jc w:val="center"/>
              <w:rPr>
                <w:b/>
                <w:sz w:val="24"/>
                <w:szCs w:val="24"/>
                <w:lang w:eastAsia="da-DK"/>
              </w:rPr>
            </w:pPr>
            <w:r>
              <w:rPr>
                <w:b/>
                <w:sz w:val="24"/>
                <w:szCs w:val="24"/>
                <w:lang w:eastAsia="da-DK"/>
              </w:rPr>
              <w:t>Anbefaling vedr. samtidig administration af 245 mg tenofovirdisoproxil</w:t>
            </w:r>
          </w:p>
        </w:tc>
      </w:tr>
      <w:tr w:rsidR="00DA0437" w:rsidTr="0032404C">
        <w:tc>
          <w:tcPr>
            <w:tcW w:w="9003" w:type="dxa"/>
            <w:gridSpan w:val="3"/>
            <w:tcBorders>
              <w:top w:val="single" w:sz="4" w:space="0" w:color="auto"/>
              <w:left w:val="single" w:sz="4" w:space="0" w:color="auto"/>
              <w:bottom w:val="single" w:sz="4" w:space="0" w:color="auto"/>
              <w:right w:val="single" w:sz="4" w:space="0" w:color="auto"/>
            </w:tcBorders>
            <w:hideMark/>
          </w:tcPr>
          <w:p w:rsidR="00DA0437" w:rsidRDefault="00DA0437" w:rsidP="0032404C">
            <w:pPr>
              <w:tabs>
                <w:tab w:val="left" w:pos="851"/>
              </w:tabs>
              <w:rPr>
                <w:b/>
                <w:sz w:val="24"/>
                <w:szCs w:val="24"/>
                <w:lang w:eastAsia="da-DK"/>
              </w:rPr>
            </w:pPr>
            <w:r>
              <w:rPr>
                <w:b/>
                <w:sz w:val="24"/>
                <w:szCs w:val="24"/>
                <w:lang w:eastAsia="da-DK"/>
              </w:rPr>
              <w:t>ANTIINFEKTIVA</w:t>
            </w:r>
          </w:p>
        </w:tc>
      </w:tr>
      <w:tr w:rsidR="00DA0437" w:rsidTr="0032404C">
        <w:tc>
          <w:tcPr>
            <w:tcW w:w="9003" w:type="dxa"/>
            <w:gridSpan w:val="3"/>
            <w:tcBorders>
              <w:top w:val="single" w:sz="4" w:space="0" w:color="auto"/>
              <w:left w:val="single" w:sz="4" w:space="0" w:color="auto"/>
              <w:bottom w:val="single" w:sz="4" w:space="0" w:color="auto"/>
              <w:right w:val="single" w:sz="4" w:space="0" w:color="auto"/>
            </w:tcBorders>
            <w:hideMark/>
          </w:tcPr>
          <w:p w:rsidR="00DA0437" w:rsidRDefault="00DA0437" w:rsidP="0032404C">
            <w:pPr>
              <w:tabs>
                <w:tab w:val="left" w:pos="851"/>
              </w:tabs>
              <w:rPr>
                <w:b/>
                <w:sz w:val="24"/>
                <w:szCs w:val="24"/>
                <w:lang w:eastAsia="da-DK"/>
              </w:rPr>
            </w:pPr>
            <w:r>
              <w:rPr>
                <w:b/>
                <w:sz w:val="24"/>
                <w:szCs w:val="24"/>
                <w:lang w:eastAsia="da-DK"/>
              </w:rPr>
              <w:t>Antiretrovirale lægemidler</w:t>
            </w:r>
          </w:p>
        </w:tc>
      </w:tr>
      <w:tr w:rsidR="00DA0437" w:rsidTr="0032404C">
        <w:tc>
          <w:tcPr>
            <w:tcW w:w="9003" w:type="dxa"/>
            <w:gridSpan w:val="3"/>
            <w:tcBorders>
              <w:top w:val="single" w:sz="4" w:space="0" w:color="auto"/>
              <w:left w:val="single" w:sz="4" w:space="0" w:color="auto"/>
              <w:bottom w:val="single" w:sz="4" w:space="0" w:color="auto"/>
              <w:right w:val="single" w:sz="4" w:space="0" w:color="auto"/>
            </w:tcBorders>
            <w:hideMark/>
          </w:tcPr>
          <w:p w:rsidR="00DA0437" w:rsidRDefault="00DA0437" w:rsidP="0032404C">
            <w:pPr>
              <w:tabs>
                <w:tab w:val="left" w:pos="851"/>
              </w:tabs>
              <w:rPr>
                <w:b/>
                <w:sz w:val="24"/>
                <w:szCs w:val="24"/>
                <w:lang w:eastAsia="da-DK"/>
              </w:rPr>
            </w:pPr>
            <w:r>
              <w:rPr>
                <w:b/>
                <w:sz w:val="24"/>
                <w:szCs w:val="24"/>
                <w:lang w:eastAsia="da-DK"/>
              </w:rPr>
              <w:t>Proteasehæmmere</w:t>
            </w:r>
          </w:p>
        </w:tc>
      </w:tr>
      <w:tr w:rsidR="00DA0437" w:rsidTr="0032404C">
        <w:tc>
          <w:tcPr>
            <w:tcW w:w="3022" w:type="dxa"/>
            <w:tcBorders>
              <w:top w:val="single" w:sz="4" w:space="0" w:color="auto"/>
              <w:left w:val="single" w:sz="4" w:space="0" w:color="auto"/>
              <w:bottom w:val="single" w:sz="4" w:space="0" w:color="auto"/>
              <w:right w:val="single" w:sz="4" w:space="0" w:color="auto"/>
            </w:tcBorders>
          </w:tcPr>
          <w:p w:rsidR="00DA0437" w:rsidRPr="00C956F3" w:rsidRDefault="00DA0437" w:rsidP="0032404C">
            <w:pPr>
              <w:tabs>
                <w:tab w:val="left" w:pos="851"/>
              </w:tabs>
              <w:rPr>
                <w:sz w:val="24"/>
                <w:szCs w:val="24"/>
                <w:lang w:val="es-ES" w:eastAsia="da-DK"/>
              </w:rPr>
            </w:pPr>
            <w:r w:rsidRPr="00C956F3">
              <w:rPr>
                <w:sz w:val="24"/>
                <w:szCs w:val="24"/>
                <w:lang w:val="es-ES" w:eastAsia="da-DK"/>
              </w:rPr>
              <w:t>Atazanavir/ritonavir</w:t>
            </w:r>
          </w:p>
          <w:p w:rsidR="00DA0437" w:rsidRPr="00C956F3" w:rsidRDefault="00DA0437" w:rsidP="0032404C">
            <w:pPr>
              <w:autoSpaceDE w:val="0"/>
              <w:autoSpaceDN w:val="0"/>
              <w:adjustRightInd w:val="0"/>
              <w:rPr>
                <w:color w:val="000000"/>
                <w:sz w:val="24"/>
                <w:szCs w:val="24"/>
                <w:lang w:val="es-ES" w:eastAsia="da-DK"/>
              </w:rPr>
            </w:pPr>
            <w:r w:rsidRPr="00C956F3">
              <w:rPr>
                <w:color w:val="000000"/>
                <w:sz w:val="24"/>
                <w:szCs w:val="24"/>
                <w:lang w:val="es-ES" w:eastAsia="da-DK"/>
              </w:rPr>
              <w:t xml:space="preserve">(300 q.d./100 q.d./300 q.d.) </w:t>
            </w:r>
          </w:p>
          <w:p w:rsidR="00DA0437" w:rsidRPr="00C956F3" w:rsidRDefault="00DA0437" w:rsidP="0032404C">
            <w:pPr>
              <w:tabs>
                <w:tab w:val="left" w:pos="851"/>
              </w:tabs>
              <w:rPr>
                <w:sz w:val="24"/>
                <w:szCs w:val="24"/>
                <w:lang w:val="es-ES" w:eastAsia="da-DK"/>
              </w:rPr>
            </w:pPr>
          </w:p>
        </w:tc>
        <w:tc>
          <w:tcPr>
            <w:tcW w:w="2952" w:type="dxa"/>
            <w:tcBorders>
              <w:top w:val="single" w:sz="4" w:space="0" w:color="auto"/>
              <w:left w:val="single" w:sz="4" w:space="0" w:color="auto"/>
              <w:bottom w:val="single" w:sz="4" w:space="0" w:color="auto"/>
              <w:right w:val="single" w:sz="4" w:space="0" w:color="auto"/>
            </w:tcBorders>
            <w:hideMark/>
          </w:tcPr>
          <w:p w:rsidR="00DA0437" w:rsidRPr="00C956F3" w:rsidRDefault="00DA0437" w:rsidP="0032404C">
            <w:pPr>
              <w:autoSpaceDE w:val="0"/>
              <w:autoSpaceDN w:val="0"/>
              <w:adjustRightInd w:val="0"/>
              <w:rPr>
                <w:color w:val="000000"/>
                <w:sz w:val="24"/>
                <w:szCs w:val="24"/>
                <w:lang w:val="es-ES" w:eastAsia="da-DK"/>
              </w:rPr>
            </w:pPr>
            <w:r w:rsidRPr="00C956F3">
              <w:rPr>
                <w:color w:val="000000"/>
                <w:sz w:val="24"/>
                <w:szCs w:val="24"/>
                <w:lang w:val="es-ES" w:eastAsia="da-DK"/>
              </w:rPr>
              <w:t xml:space="preserve">Atazanavir: </w:t>
            </w:r>
          </w:p>
          <w:p w:rsidR="00DA0437" w:rsidRPr="00C956F3" w:rsidRDefault="00DA0437" w:rsidP="0032404C">
            <w:pPr>
              <w:autoSpaceDE w:val="0"/>
              <w:autoSpaceDN w:val="0"/>
              <w:adjustRightInd w:val="0"/>
              <w:rPr>
                <w:color w:val="000000"/>
                <w:sz w:val="24"/>
                <w:szCs w:val="24"/>
                <w:lang w:val="es-ES" w:eastAsia="da-DK"/>
              </w:rPr>
            </w:pPr>
            <w:r w:rsidRPr="00C956F3">
              <w:rPr>
                <w:color w:val="000000"/>
                <w:sz w:val="24"/>
                <w:szCs w:val="24"/>
                <w:lang w:val="es-ES" w:eastAsia="da-DK"/>
              </w:rPr>
              <w:t xml:space="preserve">AUC: ↓ 25 % </w:t>
            </w:r>
          </w:p>
          <w:p w:rsidR="00DA0437" w:rsidRPr="00C956F3" w:rsidRDefault="00DA0437" w:rsidP="0032404C">
            <w:pPr>
              <w:autoSpaceDE w:val="0"/>
              <w:autoSpaceDN w:val="0"/>
              <w:adjustRightInd w:val="0"/>
              <w:rPr>
                <w:color w:val="000000"/>
                <w:sz w:val="24"/>
                <w:szCs w:val="24"/>
                <w:lang w:val="es-ES" w:eastAsia="da-DK"/>
              </w:rPr>
            </w:pPr>
            <w:r w:rsidRPr="00C956F3">
              <w:rPr>
                <w:color w:val="000000"/>
                <w:sz w:val="24"/>
                <w:szCs w:val="24"/>
                <w:lang w:val="es-ES" w:eastAsia="da-DK"/>
              </w:rPr>
              <w:t>C</w:t>
            </w:r>
            <w:r w:rsidRPr="00C956F3">
              <w:rPr>
                <w:color w:val="000000"/>
                <w:sz w:val="24"/>
                <w:szCs w:val="24"/>
                <w:vertAlign w:val="subscript"/>
                <w:lang w:val="es-ES" w:eastAsia="da-DK"/>
              </w:rPr>
              <w:t>max</w:t>
            </w:r>
            <w:r w:rsidRPr="00C956F3">
              <w:rPr>
                <w:color w:val="000000"/>
                <w:sz w:val="24"/>
                <w:szCs w:val="24"/>
                <w:lang w:val="es-ES" w:eastAsia="da-DK"/>
              </w:rPr>
              <w:t xml:space="preserve">: ↓ 28 % </w:t>
            </w:r>
          </w:p>
          <w:p w:rsidR="00DA0437" w:rsidRPr="00C956F3" w:rsidRDefault="00DA0437" w:rsidP="0032404C">
            <w:pPr>
              <w:autoSpaceDE w:val="0"/>
              <w:autoSpaceDN w:val="0"/>
              <w:adjustRightInd w:val="0"/>
              <w:rPr>
                <w:color w:val="000000"/>
                <w:sz w:val="24"/>
                <w:szCs w:val="24"/>
                <w:lang w:val="es-ES" w:eastAsia="da-DK"/>
              </w:rPr>
            </w:pPr>
            <w:r w:rsidRPr="00C956F3">
              <w:rPr>
                <w:color w:val="000000"/>
                <w:sz w:val="24"/>
                <w:szCs w:val="24"/>
                <w:lang w:val="es-ES" w:eastAsia="da-DK"/>
              </w:rPr>
              <w:t>C</w:t>
            </w:r>
            <w:r w:rsidRPr="00C956F3">
              <w:rPr>
                <w:color w:val="000000"/>
                <w:sz w:val="24"/>
                <w:szCs w:val="24"/>
                <w:vertAlign w:val="subscript"/>
                <w:lang w:val="es-ES" w:eastAsia="da-DK"/>
              </w:rPr>
              <w:t>min</w:t>
            </w:r>
            <w:r w:rsidRPr="00C956F3">
              <w:rPr>
                <w:color w:val="000000"/>
                <w:sz w:val="24"/>
                <w:szCs w:val="24"/>
                <w:lang w:val="es-ES" w:eastAsia="da-DK"/>
              </w:rPr>
              <w:t xml:space="preserve">: ↓ 26 % </w:t>
            </w:r>
          </w:p>
          <w:p w:rsidR="00DA0437" w:rsidRPr="00C956F3" w:rsidRDefault="00DA0437" w:rsidP="0032404C">
            <w:pPr>
              <w:autoSpaceDE w:val="0"/>
              <w:autoSpaceDN w:val="0"/>
              <w:adjustRightInd w:val="0"/>
              <w:rPr>
                <w:color w:val="000000"/>
                <w:sz w:val="24"/>
                <w:szCs w:val="24"/>
                <w:lang w:val="es-ES" w:eastAsia="da-DK"/>
              </w:rPr>
            </w:pPr>
            <w:r w:rsidRPr="00C956F3">
              <w:rPr>
                <w:color w:val="000000"/>
                <w:sz w:val="24"/>
                <w:szCs w:val="24"/>
                <w:lang w:val="es-ES" w:eastAsia="da-DK"/>
              </w:rPr>
              <w:t xml:space="preserve">Tenofovir: </w:t>
            </w:r>
          </w:p>
          <w:p w:rsidR="00DA0437" w:rsidRDefault="00DA0437" w:rsidP="0032404C">
            <w:pPr>
              <w:autoSpaceDE w:val="0"/>
              <w:autoSpaceDN w:val="0"/>
              <w:adjustRightInd w:val="0"/>
              <w:rPr>
                <w:color w:val="000000"/>
                <w:sz w:val="24"/>
                <w:szCs w:val="24"/>
                <w:lang w:eastAsia="da-DK"/>
              </w:rPr>
            </w:pPr>
            <w:r>
              <w:rPr>
                <w:color w:val="000000"/>
                <w:sz w:val="24"/>
                <w:szCs w:val="24"/>
                <w:lang w:eastAsia="da-DK"/>
              </w:rPr>
              <w:t xml:space="preserve">AUC: ↑ 37 % </w:t>
            </w:r>
          </w:p>
          <w:p w:rsidR="00DA0437" w:rsidRDefault="00DA0437" w:rsidP="0032404C">
            <w:pPr>
              <w:autoSpaceDE w:val="0"/>
              <w:autoSpaceDN w:val="0"/>
              <w:adjustRightInd w:val="0"/>
              <w:rPr>
                <w:color w:val="000000"/>
                <w:sz w:val="24"/>
                <w:szCs w:val="24"/>
                <w:lang w:eastAsia="da-DK"/>
              </w:rPr>
            </w:pPr>
            <w:r>
              <w:rPr>
                <w:color w:val="000000"/>
                <w:sz w:val="24"/>
                <w:szCs w:val="24"/>
                <w:lang w:eastAsia="da-DK"/>
              </w:rPr>
              <w:t>C</w:t>
            </w:r>
            <w:r>
              <w:rPr>
                <w:color w:val="000000"/>
                <w:sz w:val="24"/>
                <w:szCs w:val="24"/>
                <w:vertAlign w:val="subscript"/>
                <w:lang w:eastAsia="da-DK"/>
              </w:rPr>
              <w:t>max</w:t>
            </w:r>
            <w:r>
              <w:rPr>
                <w:color w:val="000000"/>
                <w:sz w:val="24"/>
                <w:szCs w:val="24"/>
                <w:lang w:eastAsia="da-DK"/>
              </w:rPr>
              <w:t xml:space="preserve">: ↑ 34 % </w:t>
            </w:r>
          </w:p>
          <w:p w:rsidR="00DA0437" w:rsidRDefault="00DA0437" w:rsidP="0032404C">
            <w:pPr>
              <w:tabs>
                <w:tab w:val="left" w:pos="851"/>
              </w:tabs>
              <w:rPr>
                <w:sz w:val="24"/>
                <w:szCs w:val="24"/>
                <w:lang w:eastAsia="da-DK"/>
              </w:rPr>
            </w:pPr>
            <w:r>
              <w:rPr>
                <w:sz w:val="24"/>
                <w:szCs w:val="24"/>
                <w:lang w:eastAsia="da-DK"/>
              </w:rPr>
              <w:t>C</w:t>
            </w:r>
            <w:r>
              <w:rPr>
                <w:sz w:val="24"/>
                <w:szCs w:val="24"/>
                <w:vertAlign w:val="subscript"/>
                <w:lang w:eastAsia="da-DK"/>
              </w:rPr>
              <w:t>min</w:t>
            </w:r>
            <w:r>
              <w:rPr>
                <w:sz w:val="24"/>
                <w:szCs w:val="24"/>
                <w:lang w:eastAsia="da-DK"/>
              </w:rPr>
              <w:t xml:space="preserve">: ↑ 29 % </w:t>
            </w:r>
          </w:p>
        </w:tc>
        <w:tc>
          <w:tcPr>
            <w:tcW w:w="3029" w:type="dxa"/>
            <w:tcBorders>
              <w:top w:val="single" w:sz="4" w:space="0" w:color="auto"/>
              <w:left w:val="single" w:sz="4" w:space="0" w:color="auto"/>
              <w:bottom w:val="single" w:sz="4" w:space="0" w:color="auto"/>
              <w:right w:val="single" w:sz="4" w:space="0" w:color="auto"/>
            </w:tcBorders>
            <w:hideMark/>
          </w:tcPr>
          <w:p w:rsidR="00DA0437" w:rsidRDefault="00DA0437" w:rsidP="0032404C">
            <w:pPr>
              <w:autoSpaceDE w:val="0"/>
              <w:autoSpaceDN w:val="0"/>
              <w:adjustRightInd w:val="0"/>
              <w:rPr>
                <w:color w:val="000000"/>
                <w:sz w:val="24"/>
                <w:szCs w:val="24"/>
                <w:lang w:eastAsia="da-DK"/>
              </w:rPr>
            </w:pPr>
            <w:r>
              <w:rPr>
                <w:color w:val="000000"/>
                <w:sz w:val="24"/>
                <w:szCs w:val="24"/>
                <w:lang w:eastAsia="da-DK"/>
              </w:rPr>
              <w:t xml:space="preserve">Der er ingen anbefalet dosisjustering. Den forøgede tenofovir-eksponering kan forstærke effekten af bivirkninger ved tenofovir, herunder nyresygdomme. Nyrefunktionen skal monitoreres tæt (se pkt. 4.4). </w:t>
            </w:r>
          </w:p>
        </w:tc>
      </w:tr>
      <w:tr w:rsidR="00DA0437" w:rsidTr="0032404C">
        <w:tc>
          <w:tcPr>
            <w:tcW w:w="3022" w:type="dxa"/>
            <w:tcBorders>
              <w:top w:val="single" w:sz="4" w:space="0" w:color="auto"/>
              <w:left w:val="single" w:sz="4" w:space="0" w:color="auto"/>
              <w:bottom w:val="single" w:sz="4" w:space="0" w:color="auto"/>
              <w:right w:val="single" w:sz="4" w:space="0" w:color="auto"/>
            </w:tcBorders>
            <w:hideMark/>
          </w:tcPr>
          <w:p w:rsidR="00DA0437" w:rsidRPr="00C956F3" w:rsidRDefault="00DA0437" w:rsidP="0032404C">
            <w:pPr>
              <w:autoSpaceDE w:val="0"/>
              <w:autoSpaceDN w:val="0"/>
              <w:adjustRightInd w:val="0"/>
              <w:rPr>
                <w:color w:val="000000"/>
                <w:sz w:val="24"/>
                <w:szCs w:val="24"/>
                <w:lang w:val="es-ES" w:eastAsia="da-DK"/>
              </w:rPr>
            </w:pPr>
            <w:r w:rsidRPr="00C956F3">
              <w:rPr>
                <w:color w:val="000000"/>
                <w:sz w:val="24"/>
                <w:szCs w:val="24"/>
                <w:lang w:val="es-ES" w:eastAsia="da-DK"/>
              </w:rPr>
              <w:t xml:space="preserve">Lopinavir/ritonavir </w:t>
            </w:r>
          </w:p>
          <w:p w:rsidR="00DA0437" w:rsidRPr="00C956F3" w:rsidRDefault="00DA0437" w:rsidP="0032404C">
            <w:pPr>
              <w:tabs>
                <w:tab w:val="left" w:pos="851"/>
              </w:tabs>
              <w:rPr>
                <w:sz w:val="24"/>
                <w:szCs w:val="24"/>
                <w:lang w:val="es-ES" w:eastAsia="da-DK"/>
              </w:rPr>
            </w:pPr>
            <w:r w:rsidRPr="00C956F3">
              <w:rPr>
                <w:sz w:val="24"/>
                <w:szCs w:val="24"/>
                <w:lang w:val="es-ES" w:eastAsia="da-DK"/>
              </w:rPr>
              <w:t xml:space="preserve">(400 b.i.d./100 b.i.d./300 q.d.) </w:t>
            </w:r>
          </w:p>
        </w:tc>
        <w:tc>
          <w:tcPr>
            <w:tcW w:w="2952" w:type="dxa"/>
            <w:tcBorders>
              <w:top w:val="single" w:sz="4" w:space="0" w:color="auto"/>
              <w:left w:val="single" w:sz="4" w:space="0" w:color="auto"/>
              <w:bottom w:val="single" w:sz="4" w:space="0" w:color="auto"/>
              <w:right w:val="single" w:sz="4" w:space="0" w:color="auto"/>
            </w:tcBorders>
            <w:hideMark/>
          </w:tcPr>
          <w:p w:rsidR="00DA0437" w:rsidRDefault="00DA0437" w:rsidP="0032404C">
            <w:pPr>
              <w:autoSpaceDE w:val="0"/>
              <w:autoSpaceDN w:val="0"/>
              <w:adjustRightInd w:val="0"/>
              <w:rPr>
                <w:color w:val="000000"/>
                <w:sz w:val="24"/>
                <w:szCs w:val="24"/>
                <w:lang w:eastAsia="da-DK"/>
              </w:rPr>
            </w:pPr>
            <w:r>
              <w:rPr>
                <w:color w:val="000000"/>
                <w:sz w:val="24"/>
                <w:szCs w:val="24"/>
                <w:lang w:eastAsia="da-DK"/>
              </w:rPr>
              <w:t xml:space="preserve">Lopinavir/ritonavir: </w:t>
            </w:r>
          </w:p>
          <w:p w:rsidR="00DA0437" w:rsidRDefault="00DA0437" w:rsidP="0032404C">
            <w:pPr>
              <w:autoSpaceDE w:val="0"/>
              <w:autoSpaceDN w:val="0"/>
              <w:adjustRightInd w:val="0"/>
              <w:rPr>
                <w:color w:val="000000"/>
                <w:sz w:val="24"/>
                <w:szCs w:val="24"/>
                <w:lang w:eastAsia="da-DK"/>
              </w:rPr>
            </w:pPr>
            <w:r>
              <w:rPr>
                <w:color w:val="000000"/>
                <w:sz w:val="24"/>
                <w:szCs w:val="24"/>
                <w:lang w:eastAsia="da-DK"/>
              </w:rPr>
              <w:t xml:space="preserve">Ingen signifikant virkning på de farmakokinetiske parametre for lopinavir/ritonavir. </w:t>
            </w:r>
          </w:p>
          <w:p w:rsidR="00DA0437" w:rsidRDefault="00DA0437" w:rsidP="0032404C">
            <w:pPr>
              <w:autoSpaceDE w:val="0"/>
              <w:autoSpaceDN w:val="0"/>
              <w:adjustRightInd w:val="0"/>
              <w:rPr>
                <w:color w:val="000000"/>
                <w:sz w:val="24"/>
                <w:szCs w:val="24"/>
                <w:lang w:eastAsia="da-DK"/>
              </w:rPr>
            </w:pPr>
            <w:r>
              <w:rPr>
                <w:color w:val="000000"/>
                <w:sz w:val="24"/>
                <w:szCs w:val="24"/>
                <w:lang w:eastAsia="da-DK"/>
              </w:rPr>
              <w:t xml:space="preserve">Tenofovir: </w:t>
            </w:r>
          </w:p>
          <w:p w:rsidR="00DA0437" w:rsidRDefault="00DA0437" w:rsidP="0032404C">
            <w:pPr>
              <w:autoSpaceDE w:val="0"/>
              <w:autoSpaceDN w:val="0"/>
              <w:adjustRightInd w:val="0"/>
              <w:rPr>
                <w:color w:val="000000"/>
                <w:sz w:val="24"/>
                <w:szCs w:val="24"/>
                <w:lang w:eastAsia="da-DK"/>
              </w:rPr>
            </w:pPr>
            <w:r>
              <w:rPr>
                <w:color w:val="000000"/>
                <w:sz w:val="24"/>
                <w:szCs w:val="24"/>
                <w:lang w:eastAsia="da-DK"/>
              </w:rPr>
              <w:t xml:space="preserve">AUC: ↑ 32 % </w:t>
            </w:r>
          </w:p>
          <w:p w:rsidR="00DA0437" w:rsidRDefault="00DA0437" w:rsidP="0032404C">
            <w:pPr>
              <w:autoSpaceDE w:val="0"/>
              <w:autoSpaceDN w:val="0"/>
              <w:adjustRightInd w:val="0"/>
              <w:rPr>
                <w:color w:val="000000"/>
                <w:sz w:val="24"/>
                <w:szCs w:val="24"/>
                <w:lang w:eastAsia="da-DK"/>
              </w:rPr>
            </w:pPr>
            <w:r>
              <w:rPr>
                <w:color w:val="000000"/>
                <w:sz w:val="24"/>
                <w:szCs w:val="24"/>
                <w:lang w:eastAsia="da-DK"/>
              </w:rPr>
              <w:t>C</w:t>
            </w:r>
            <w:r>
              <w:rPr>
                <w:color w:val="000000"/>
                <w:sz w:val="24"/>
                <w:szCs w:val="24"/>
                <w:vertAlign w:val="subscript"/>
                <w:lang w:eastAsia="da-DK"/>
              </w:rPr>
              <w:t>max</w:t>
            </w:r>
            <w:r>
              <w:rPr>
                <w:color w:val="000000"/>
                <w:sz w:val="24"/>
                <w:szCs w:val="24"/>
                <w:lang w:eastAsia="da-DK"/>
              </w:rPr>
              <w:t xml:space="preserve">: ↔ </w:t>
            </w:r>
          </w:p>
          <w:p w:rsidR="00DA0437" w:rsidRDefault="00DA0437" w:rsidP="0032404C">
            <w:pPr>
              <w:tabs>
                <w:tab w:val="left" w:pos="851"/>
              </w:tabs>
              <w:rPr>
                <w:sz w:val="24"/>
                <w:szCs w:val="24"/>
                <w:lang w:eastAsia="da-DK"/>
              </w:rPr>
            </w:pPr>
            <w:r>
              <w:rPr>
                <w:sz w:val="24"/>
                <w:szCs w:val="24"/>
                <w:lang w:eastAsia="da-DK"/>
              </w:rPr>
              <w:t>C</w:t>
            </w:r>
            <w:r>
              <w:rPr>
                <w:sz w:val="24"/>
                <w:szCs w:val="24"/>
                <w:vertAlign w:val="subscript"/>
                <w:lang w:eastAsia="da-DK"/>
              </w:rPr>
              <w:t>min</w:t>
            </w:r>
            <w:r>
              <w:rPr>
                <w:sz w:val="24"/>
                <w:szCs w:val="24"/>
                <w:lang w:eastAsia="da-DK"/>
              </w:rPr>
              <w:t xml:space="preserve">: ↑ 51 % </w:t>
            </w:r>
          </w:p>
        </w:tc>
        <w:tc>
          <w:tcPr>
            <w:tcW w:w="3029" w:type="dxa"/>
            <w:tcBorders>
              <w:top w:val="single" w:sz="4" w:space="0" w:color="auto"/>
              <w:left w:val="single" w:sz="4" w:space="0" w:color="auto"/>
              <w:bottom w:val="single" w:sz="4" w:space="0" w:color="auto"/>
              <w:right w:val="single" w:sz="4" w:space="0" w:color="auto"/>
            </w:tcBorders>
          </w:tcPr>
          <w:p w:rsidR="00DA0437" w:rsidRDefault="00DA0437" w:rsidP="0032404C">
            <w:pPr>
              <w:autoSpaceDE w:val="0"/>
              <w:autoSpaceDN w:val="0"/>
              <w:adjustRightInd w:val="0"/>
              <w:rPr>
                <w:color w:val="000000"/>
                <w:sz w:val="24"/>
                <w:szCs w:val="24"/>
                <w:lang w:eastAsia="da-DK"/>
              </w:rPr>
            </w:pPr>
            <w:r>
              <w:rPr>
                <w:color w:val="000000"/>
                <w:sz w:val="24"/>
                <w:szCs w:val="24"/>
                <w:lang w:eastAsia="da-DK"/>
              </w:rPr>
              <w:t xml:space="preserve">Der er ingen anbefalet dosisjustering. Den forøgede tenofovir-eksponering kan forstærke effekten af bivirkninger ved tenofovir, herunder nyresygdomme. Nyrefunktionen skal monitoreres tæt (se pkt. 4.4). </w:t>
            </w:r>
          </w:p>
          <w:p w:rsidR="00DA0437" w:rsidRDefault="00DA0437" w:rsidP="0032404C">
            <w:pPr>
              <w:tabs>
                <w:tab w:val="left" w:pos="851"/>
              </w:tabs>
              <w:rPr>
                <w:sz w:val="24"/>
                <w:szCs w:val="24"/>
                <w:lang w:eastAsia="da-DK"/>
              </w:rPr>
            </w:pPr>
          </w:p>
        </w:tc>
      </w:tr>
      <w:tr w:rsidR="00DA0437" w:rsidTr="0032404C">
        <w:tc>
          <w:tcPr>
            <w:tcW w:w="3022" w:type="dxa"/>
            <w:tcBorders>
              <w:top w:val="single" w:sz="4" w:space="0" w:color="auto"/>
              <w:left w:val="single" w:sz="4" w:space="0" w:color="auto"/>
              <w:bottom w:val="single" w:sz="4" w:space="0" w:color="auto"/>
              <w:right w:val="single" w:sz="4" w:space="0" w:color="auto"/>
            </w:tcBorders>
            <w:hideMark/>
          </w:tcPr>
          <w:p w:rsidR="00DA0437" w:rsidRPr="00C956F3" w:rsidRDefault="00DA0437" w:rsidP="0032404C">
            <w:pPr>
              <w:autoSpaceDE w:val="0"/>
              <w:autoSpaceDN w:val="0"/>
              <w:adjustRightInd w:val="0"/>
              <w:rPr>
                <w:color w:val="000000"/>
                <w:sz w:val="24"/>
                <w:szCs w:val="24"/>
                <w:lang w:val="es-ES" w:eastAsia="da-DK"/>
              </w:rPr>
            </w:pPr>
            <w:r w:rsidRPr="00C956F3">
              <w:rPr>
                <w:color w:val="000000"/>
                <w:sz w:val="24"/>
                <w:szCs w:val="24"/>
                <w:lang w:val="es-ES" w:eastAsia="da-DK"/>
              </w:rPr>
              <w:t xml:space="preserve">Darunavir/ritonavir </w:t>
            </w:r>
          </w:p>
          <w:p w:rsidR="00DA0437" w:rsidRPr="00C956F3" w:rsidRDefault="00DA0437" w:rsidP="0032404C">
            <w:pPr>
              <w:tabs>
                <w:tab w:val="left" w:pos="851"/>
              </w:tabs>
              <w:rPr>
                <w:sz w:val="24"/>
                <w:szCs w:val="24"/>
                <w:lang w:val="es-ES" w:eastAsia="da-DK"/>
              </w:rPr>
            </w:pPr>
            <w:r w:rsidRPr="00C956F3">
              <w:rPr>
                <w:sz w:val="24"/>
                <w:szCs w:val="24"/>
                <w:lang w:val="es-ES" w:eastAsia="da-DK"/>
              </w:rPr>
              <w:t xml:space="preserve">(300/100 b.i.d./300 q.d.) </w:t>
            </w:r>
          </w:p>
        </w:tc>
        <w:tc>
          <w:tcPr>
            <w:tcW w:w="2952" w:type="dxa"/>
            <w:tcBorders>
              <w:top w:val="single" w:sz="4" w:space="0" w:color="auto"/>
              <w:left w:val="single" w:sz="4" w:space="0" w:color="auto"/>
              <w:bottom w:val="single" w:sz="4" w:space="0" w:color="auto"/>
              <w:right w:val="single" w:sz="4" w:space="0" w:color="auto"/>
            </w:tcBorders>
            <w:hideMark/>
          </w:tcPr>
          <w:p w:rsidR="00DA0437" w:rsidRPr="00C956F3" w:rsidRDefault="00DA0437" w:rsidP="0032404C">
            <w:pPr>
              <w:autoSpaceDE w:val="0"/>
              <w:autoSpaceDN w:val="0"/>
              <w:adjustRightInd w:val="0"/>
              <w:rPr>
                <w:color w:val="000000"/>
                <w:sz w:val="24"/>
                <w:szCs w:val="24"/>
                <w:lang w:val="es-ES" w:eastAsia="da-DK"/>
              </w:rPr>
            </w:pPr>
            <w:r w:rsidRPr="00C956F3">
              <w:rPr>
                <w:color w:val="000000"/>
                <w:sz w:val="24"/>
                <w:szCs w:val="24"/>
                <w:lang w:val="es-ES" w:eastAsia="da-DK"/>
              </w:rPr>
              <w:t xml:space="preserve">Darunavir: </w:t>
            </w:r>
          </w:p>
          <w:p w:rsidR="00DA0437" w:rsidRPr="00C956F3" w:rsidRDefault="00DA0437" w:rsidP="0032404C">
            <w:pPr>
              <w:autoSpaceDE w:val="0"/>
              <w:autoSpaceDN w:val="0"/>
              <w:adjustRightInd w:val="0"/>
              <w:rPr>
                <w:color w:val="000000"/>
                <w:sz w:val="24"/>
                <w:szCs w:val="24"/>
                <w:lang w:val="es-ES" w:eastAsia="da-DK"/>
              </w:rPr>
            </w:pPr>
            <w:r w:rsidRPr="00C956F3">
              <w:rPr>
                <w:color w:val="000000"/>
                <w:sz w:val="24"/>
                <w:szCs w:val="24"/>
                <w:lang w:val="es-ES" w:eastAsia="da-DK"/>
              </w:rPr>
              <w:t xml:space="preserve">Ingen signifikant virkning på de farmakokinetiske parametre for darunavir/ritonavir. </w:t>
            </w:r>
          </w:p>
          <w:p w:rsidR="00DA0437" w:rsidRPr="00C956F3" w:rsidRDefault="00DA0437" w:rsidP="0032404C">
            <w:pPr>
              <w:autoSpaceDE w:val="0"/>
              <w:autoSpaceDN w:val="0"/>
              <w:adjustRightInd w:val="0"/>
              <w:rPr>
                <w:color w:val="000000"/>
                <w:sz w:val="24"/>
                <w:szCs w:val="24"/>
                <w:lang w:val="es-ES" w:eastAsia="da-DK"/>
              </w:rPr>
            </w:pPr>
            <w:r w:rsidRPr="00C956F3">
              <w:rPr>
                <w:color w:val="000000"/>
                <w:sz w:val="24"/>
                <w:szCs w:val="24"/>
                <w:lang w:val="es-ES" w:eastAsia="da-DK"/>
              </w:rPr>
              <w:t xml:space="preserve">Tenofovir: </w:t>
            </w:r>
          </w:p>
          <w:p w:rsidR="00DA0437" w:rsidRPr="00C956F3" w:rsidRDefault="00DA0437" w:rsidP="0032404C">
            <w:pPr>
              <w:autoSpaceDE w:val="0"/>
              <w:autoSpaceDN w:val="0"/>
              <w:adjustRightInd w:val="0"/>
              <w:rPr>
                <w:color w:val="000000"/>
                <w:sz w:val="24"/>
                <w:szCs w:val="24"/>
                <w:lang w:val="es-ES" w:eastAsia="da-DK"/>
              </w:rPr>
            </w:pPr>
            <w:r w:rsidRPr="00C956F3">
              <w:rPr>
                <w:color w:val="000000"/>
                <w:sz w:val="24"/>
                <w:szCs w:val="24"/>
                <w:lang w:val="es-ES" w:eastAsia="da-DK"/>
              </w:rPr>
              <w:t xml:space="preserve">AUC: ↑ 22 % </w:t>
            </w:r>
          </w:p>
          <w:p w:rsidR="00DA0437" w:rsidRPr="00C956F3" w:rsidRDefault="00DA0437" w:rsidP="0032404C">
            <w:pPr>
              <w:tabs>
                <w:tab w:val="left" w:pos="851"/>
              </w:tabs>
              <w:rPr>
                <w:sz w:val="24"/>
                <w:szCs w:val="24"/>
                <w:lang w:val="es-ES" w:eastAsia="da-DK"/>
              </w:rPr>
            </w:pPr>
            <w:r w:rsidRPr="00C956F3">
              <w:rPr>
                <w:sz w:val="24"/>
                <w:szCs w:val="24"/>
                <w:lang w:val="es-ES" w:eastAsia="da-DK"/>
              </w:rPr>
              <w:t>C</w:t>
            </w:r>
            <w:r w:rsidRPr="00C956F3">
              <w:rPr>
                <w:sz w:val="24"/>
                <w:szCs w:val="24"/>
                <w:vertAlign w:val="subscript"/>
                <w:lang w:val="es-ES" w:eastAsia="da-DK"/>
              </w:rPr>
              <w:t>min</w:t>
            </w:r>
            <w:r w:rsidRPr="00C956F3">
              <w:rPr>
                <w:sz w:val="24"/>
                <w:szCs w:val="24"/>
                <w:lang w:val="es-ES" w:eastAsia="da-DK"/>
              </w:rPr>
              <w:t xml:space="preserve">: ↑ 37 % </w:t>
            </w:r>
          </w:p>
        </w:tc>
        <w:tc>
          <w:tcPr>
            <w:tcW w:w="3029" w:type="dxa"/>
            <w:tcBorders>
              <w:top w:val="single" w:sz="4" w:space="0" w:color="auto"/>
              <w:left w:val="single" w:sz="4" w:space="0" w:color="auto"/>
              <w:bottom w:val="single" w:sz="4" w:space="0" w:color="auto"/>
              <w:right w:val="single" w:sz="4" w:space="0" w:color="auto"/>
            </w:tcBorders>
            <w:hideMark/>
          </w:tcPr>
          <w:p w:rsidR="00DA0437" w:rsidRDefault="00DA0437" w:rsidP="0032404C">
            <w:pPr>
              <w:autoSpaceDE w:val="0"/>
              <w:autoSpaceDN w:val="0"/>
              <w:adjustRightInd w:val="0"/>
              <w:rPr>
                <w:color w:val="000000"/>
                <w:sz w:val="24"/>
                <w:szCs w:val="24"/>
                <w:lang w:eastAsia="da-DK"/>
              </w:rPr>
            </w:pPr>
            <w:r>
              <w:rPr>
                <w:color w:val="000000"/>
                <w:sz w:val="24"/>
                <w:szCs w:val="24"/>
                <w:lang w:eastAsia="da-DK"/>
              </w:rPr>
              <w:t>Der er ingen anbefalet dosisjustering. Den forøgede tenofovir-eksponering kan forstærke effekten af bivirkninger ved tenofovir, herunder nyresygdomme. Nyrefunktionen skal monitoreres tæt (se pkt. 4.4).</w:t>
            </w:r>
          </w:p>
        </w:tc>
      </w:tr>
      <w:tr w:rsidR="00DA0437" w:rsidTr="0032404C">
        <w:tc>
          <w:tcPr>
            <w:tcW w:w="9003" w:type="dxa"/>
            <w:gridSpan w:val="3"/>
            <w:tcBorders>
              <w:top w:val="single" w:sz="4" w:space="0" w:color="auto"/>
              <w:left w:val="single" w:sz="4" w:space="0" w:color="auto"/>
              <w:bottom w:val="single" w:sz="4" w:space="0" w:color="auto"/>
              <w:right w:val="single" w:sz="4" w:space="0" w:color="auto"/>
            </w:tcBorders>
            <w:hideMark/>
          </w:tcPr>
          <w:p w:rsidR="00DA0437" w:rsidRDefault="00DA0437" w:rsidP="0032404C">
            <w:pPr>
              <w:tabs>
                <w:tab w:val="left" w:pos="851"/>
              </w:tabs>
              <w:rPr>
                <w:sz w:val="24"/>
                <w:szCs w:val="24"/>
                <w:lang w:eastAsia="da-DK"/>
              </w:rPr>
            </w:pPr>
            <w:r>
              <w:rPr>
                <w:b/>
                <w:sz w:val="24"/>
                <w:szCs w:val="24"/>
                <w:lang w:eastAsia="da-DK"/>
              </w:rPr>
              <w:t>NRTI’er</w:t>
            </w:r>
          </w:p>
        </w:tc>
      </w:tr>
      <w:tr w:rsidR="00DA0437" w:rsidTr="0032404C">
        <w:tc>
          <w:tcPr>
            <w:tcW w:w="3022" w:type="dxa"/>
            <w:tcBorders>
              <w:top w:val="single" w:sz="4" w:space="0" w:color="auto"/>
              <w:left w:val="single" w:sz="4" w:space="0" w:color="auto"/>
              <w:bottom w:val="single" w:sz="4" w:space="0" w:color="auto"/>
              <w:right w:val="single" w:sz="4" w:space="0" w:color="auto"/>
            </w:tcBorders>
            <w:hideMark/>
          </w:tcPr>
          <w:p w:rsidR="00DA0437" w:rsidRDefault="00DA0437" w:rsidP="0032404C">
            <w:pPr>
              <w:tabs>
                <w:tab w:val="left" w:pos="851"/>
              </w:tabs>
              <w:rPr>
                <w:sz w:val="24"/>
                <w:szCs w:val="24"/>
                <w:lang w:eastAsia="da-DK"/>
              </w:rPr>
            </w:pPr>
            <w:r>
              <w:rPr>
                <w:sz w:val="24"/>
                <w:szCs w:val="24"/>
                <w:lang w:eastAsia="da-DK"/>
              </w:rPr>
              <w:t>Didanosin</w:t>
            </w:r>
          </w:p>
        </w:tc>
        <w:tc>
          <w:tcPr>
            <w:tcW w:w="2952" w:type="dxa"/>
            <w:tcBorders>
              <w:top w:val="single" w:sz="4" w:space="0" w:color="auto"/>
              <w:left w:val="single" w:sz="4" w:space="0" w:color="auto"/>
              <w:bottom w:val="single" w:sz="4" w:space="0" w:color="auto"/>
              <w:right w:val="single" w:sz="4" w:space="0" w:color="auto"/>
            </w:tcBorders>
            <w:hideMark/>
          </w:tcPr>
          <w:p w:rsidR="00DA0437" w:rsidRDefault="00DA0437" w:rsidP="0032404C">
            <w:pPr>
              <w:autoSpaceDE w:val="0"/>
              <w:autoSpaceDN w:val="0"/>
              <w:adjustRightInd w:val="0"/>
              <w:rPr>
                <w:color w:val="000000"/>
                <w:sz w:val="24"/>
                <w:szCs w:val="24"/>
                <w:lang w:eastAsia="da-DK"/>
              </w:rPr>
            </w:pPr>
            <w:r>
              <w:rPr>
                <w:color w:val="000000"/>
                <w:sz w:val="24"/>
                <w:szCs w:val="24"/>
                <w:lang w:eastAsia="da-DK"/>
              </w:rPr>
              <w:t xml:space="preserve">Samtidig indgivelse af tenofovirdisoproxil og didanosin resulterer i en 40-60 % stigning i systemisk eksponering for didanosin., </w:t>
            </w:r>
          </w:p>
        </w:tc>
        <w:tc>
          <w:tcPr>
            <w:tcW w:w="3029" w:type="dxa"/>
            <w:tcBorders>
              <w:top w:val="single" w:sz="4" w:space="0" w:color="auto"/>
              <w:left w:val="single" w:sz="4" w:space="0" w:color="auto"/>
              <w:bottom w:val="single" w:sz="4" w:space="0" w:color="auto"/>
              <w:right w:val="single" w:sz="4" w:space="0" w:color="auto"/>
            </w:tcBorders>
          </w:tcPr>
          <w:p w:rsidR="00DA0437" w:rsidRDefault="00DA0437" w:rsidP="0032404C">
            <w:pPr>
              <w:autoSpaceDE w:val="0"/>
              <w:autoSpaceDN w:val="0"/>
              <w:adjustRightInd w:val="0"/>
              <w:rPr>
                <w:color w:val="000000"/>
                <w:sz w:val="24"/>
                <w:szCs w:val="24"/>
                <w:lang w:eastAsia="da-DK"/>
              </w:rPr>
            </w:pPr>
            <w:r>
              <w:rPr>
                <w:color w:val="000000"/>
                <w:sz w:val="24"/>
                <w:szCs w:val="24"/>
                <w:lang w:eastAsia="da-DK"/>
              </w:rPr>
              <w:t xml:space="preserve">Samtidig indgivelse af tenofovirdisoproxil og didanosin kan ikke anbefales (se pkt. 4.4). </w:t>
            </w:r>
          </w:p>
          <w:p w:rsidR="00DA0437" w:rsidRDefault="00DA0437" w:rsidP="0032404C">
            <w:pPr>
              <w:tabs>
                <w:tab w:val="left" w:pos="851"/>
              </w:tabs>
              <w:rPr>
                <w:sz w:val="24"/>
                <w:szCs w:val="24"/>
                <w:lang w:eastAsia="da-DK"/>
              </w:rPr>
            </w:pPr>
          </w:p>
          <w:p w:rsidR="00DA0437" w:rsidRDefault="00DA0437" w:rsidP="0032404C">
            <w:pPr>
              <w:tabs>
                <w:tab w:val="left" w:pos="851"/>
              </w:tabs>
              <w:rPr>
                <w:sz w:val="24"/>
                <w:szCs w:val="24"/>
                <w:lang w:eastAsia="da-DK"/>
              </w:rPr>
            </w:pPr>
            <w:r>
              <w:rPr>
                <w:color w:val="000000"/>
                <w:sz w:val="24"/>
                <w:szCs w:val="24"/>
                <w:lang w:eastAsia="da-DK"/>
              </w:rPr>
              <w:t>Øget systemisk påvirkning af didanosin øger risikoen for didanosin-relaterede bivirkninger. Der er rapporteret sjældne tilfælde af pancreatitis og laktatacidose, og nogle af disse tilfælde var letale. Samtidig indgivelse af tenofovirdisoproxil og didanosin ved en dosis på 400 mg dagligt er blevet sat i forbindelse med en signifikant reduktion af CD4-celletallet, muligvis på grund af en intracellulær interaktion, der forhøjer niveauet af phosphoryleret (dvs. aktiv) didanosin. I forbindelse med en reduceret dosis på 250 mg didanosin administreret samtidig med tenofovirdisoproxil er der blevet med rapporteret om en høj forekomst af manglende virologisk effekt af flere testede kombinationer til behandling af hiv 1-infektion.</w:t>
            </w:r>
          </w:p>
        </w:tc>
      </w:tr>
      <w:tr w:rsidR="00DA0437" w:rsidTr="0032404C">
        <w:tc>
          <w:tcPr>
            <w:tcW w:w="3022" w:type="dxa"/>
            <w:tcBorders>
              <w:top w:val="single" w:sz="4" w:space="0" w:color="auto"/>
              <w:left w:val="single" w:sz="4" w:space="0" w:color="auto"/>
              <w:bottom w:val="single" w:sz="4" w:space="0" w:color="auto"/>
              <w:right w:val="single" w:sz="4" w:space="0" w:color="auto"/>
            </w:tcBorders>
          </w:tcPr>
          <w:p w:rsidR="00DA0437" w:rsidRDefault="00DA0437" w:rsidP="0032404C">
            <w:pPr>
              <w:autoSpaceDE w:val="0"/>
              <w:autoSpaceDN w:val="0"/>
              <w:adjustRightInd w:val="0"/>
              <w:rPr>
                <w:color w:val="000000"/>
                <w:sz w:val="24"/>
                <w:szCs w:val="24"/>
                <w:lang w:eastAsia="da-DK"/>
              </w:rPr>
            </w:pPr>
            <w:r>
              <w:rPr>
                <w:color w:val="000000"/>
                <w:sz w:val="24"/>
                <w:szCs w:val="24"/>
                <w:lang w:eastAsia="da-DK"/>
              </w:rPr>
              <w:t xml:space="preserve">Adefovirdipivoxil </w:t>
            </w:r>
          </w:p>
          <w:p w:rsidR="00DA0437" w:rsidRDefault="00DA0437" w:rsidP="0032404C">
            <w:pPr>
              <w:tabs>
                <w:tab w:val="left" w:pos="851"/>
              </w:tabs>
              <w:rPr>
                <w:sz w:val="24"/>
                <w:szCs w:val="24"/>
                <w:lang w:eastAsia="da-DK"/>
              </w:rPr>
            </w:pPr>
          </w:p>
        </w:tc>
        <w:tc>
          <w:tcPr>
            <w:tcW w:w="2952" w:type="dxa"/>
            <w:tcBorders>
              <w:top w:val="single" w:sz="4" w:space="0" w:color="auto"/>
              <w:left w:val="single" w:sz="4" w:space="0" w:color="auto"/>
              <w:bottom w:val="single" w:sz="4" w:space="0" w:color="auto"/>
              <w:right w:val="single" w:sz="4" w:space="0" w:color="auto"/>
            </w:tcBorders>
            <w:hideMark/>
          </w:tcPr>
          <w:p w:rsidR="00DA0437" w:rsidRDefault="00DA0437" w:rsidP="0032404C">
            <w:pPr>
              <w:autoSpaceDE w:val="0"/>
              <w:autoSpaceDN w:val="0"/>
              <w:adjustRightInd w:val="0"/>
              <w:rPr>
                <w:color w:val="000000"/>
                <w:sz w:val="24"/>
                <w:szCs w:val="24"/>
                <w:lang w:eastAsia="da-DK"/>
              </w:rPr>
            </w:pPr>
            <w:r>
              <w:rPr>
                <w:color w:val="000000"/>
                <w:sz w:val="24"/>
                <w:szCs w:val="24"/>
                <w:lang w:eastAsia="da-DK"/>
              </w:rPr>
              <w:t xml:space="preserve">AUC: ↔ </w:t>
            </w:r>
          </w:p>
          <w:p w:rsidR="00DA0437" w:rsidRDefault="00DA0437" w:rsidP="0032404C">
            <w:pPr>
              <w:tabs>
                <w:tab w:val="left" w:pos="851"/>
              </w:tabs>
              <w:rPr>
                <w:sz w:val="24"/>
                <w:szCs w:val="24"/>
                <w:lang w:eastAsia="da-DK"/>
              </w:rPr>
            </w:pPr>
            <w:r>
              <w:rPr>
                <w:sz w:val="24"/>
                <w:szCs w:val="24"/>
                <w:lang w:eastAsia="da-DK"/>
              </w:rPr>
              <w:t>C</w:t>
            </w:r>
            <w:r>
              <w:rPr>
                <w:sz w:val="24"/>
                <w:szCs w:val="24"/>
                <w:vertAlign w:val="subscript"/>
                <w:lang w:eastAsia="da-DK"/>
              </w:rPr>
              <w:t>max</w:t>
            </w:r>
            <w:r>
              <w:rPr>
                <w:sz w:val="24"/>
                <w:szCs w:val="24"/>
                <w:lang w:eastAsia="da-DK"/>
              </w:rPr>
              <w:t xml:space="preserve">: ↔ </w:t>
            </w:r>
          </w:p>
        </w:tc>
        <w:tc>
          <w:tcPr>
            <w:tcW w:w="3029" w:type="dxa"/>
            <w:tcBorders>
              <w:top w:val="single" w:sz="4" w:space="0" w:color="auto"/>
              <w:left w:val="single" w:sz="4" w:space="0" w:color="auto"/>
              <w:bottom w:val="single" w:sz="4" w:space="0" w:color="auto"/>
              <w:right w:val="single" w:sz="4" w:space="0" w:color="auto"/>
            </w:tcBorders>
            <w:hideMark/>
          </w:tcPr>
          <w:p w:rsidR="00DA0437" w:rsidRDefault="00DA0437" w:rsidP="0032404C">
            <w:pPr>
              <w:autoSpaceDE w:val="0"/>
              <w:autoSpaceDN w:val="0"/>
              <w:adjustRightInd w:val="0"/>
              <w:rPr>
                <w:color w:val="000000"/>
                <w:sz w:val="24"/>
                <w:szCs w:val="24"/>
                <w:lang w:eastAsia="da-DK"/>
              </w:rPr>
            </w:pPr>
            <w:r>
              <w:rPr>
                <w:color w:val="000000"/>
                <w:sz w:val="24"/>
                <w:szCs w:val="24"/>
                <w:lang w:eastAsia="da-DK"/>
              </w:rPr>
              <w:t xml:space="preserve">Tenofovirdisoproxil bør ikke administreres samtidig med adefovirdipivoxil (se pkt. 4.4). </w:t>
            </w:r>
          </w:p>
        </w:tc>
      </w:tr>
      <w:tr w:rsidR="00DA0437" w:rsidTr="0032404C">
        <w:tc>
          <w:tcPr>
            <w:tcW w:w="3022" w:type="dxa"/>
            <w:tcBorders>
              <w:top w:val="single" w:sz="4" w:space="0" w:color="auto"/>
              <w:left w:val="single" w:sz="4" w:space="0" w:color="auto"/>
              <w:bottom w:val="single" w:sz="4" w:space="0" w:color="auto"/>
              <w:right w:val="single" w:sz="4" w:space="0" w:color="auto"/>
            </w:tcBorders>
            <w:hideMark/>
          </w:tcPr>
          <w:p w:rsidR="00DA0437" w:rsidRDefault="00DA0437" w:rsidP="0032404C">
            <w:pPr>
              <w:autoSpaceDE w:val="0"/>
              <w:autoSpaceDN w:val="0"/>
              <w:adjustRightInd w:val="0"/>
              <w:rPr>
                <w:color w:val="000000"/>
                <w:sz w:val="24"/>
                <w:szCs w:val="24"/>
                <w:lang w:eastAsia="da-DK"/>
              </w:rPr>
            </w:pPr>
            <w:r>
              <w:rPr>
                <w:color w:val="000000"/>
                <w:sz w:val="24"/>
                <w:szCs w:val="24"/>
                <w:lang w:eastAsia="da-DK"/>
              </w:rPr>
              <w:t>Entecavir</w:t>
            </w:r>
          </w:p>
        </w:tc>
        <w:tc>
          <w:tcPr>
            <w:tcW w:w="2952" w:type="dxa"/>
            <w:tcBorders>
              <w:top w:val="single" w:sz="4" w:space="0" w:color="auto"/>
              <w:left w:val="single" w:sz="4" w:space="0" w:color="auto"/>
              <w:bottom w:val="single" w:sz="4" w:space="0" w:color="auto"/>
              <w:right w:val="single" w:sz="4" w:space="0" w:color="auto"/>
            </w:tcBorders>
            <w:hideMark/>
          </w:tcPr>
          <w:p w:rsidR="00DA0437" w:rsidRDefault="00DA0437" w:rsidP="0032404C">
            <w:pPr>
              <w:autoSpaceDE w:val="0"/>
              <w:autoSpaceDN w:val="0"/>
              <w:adjustRightInd w:val="0"/>
              <w:rPr>
                <w:color w:val="000000"/>
                <w:sz w:val="24"/>
                <w:szCs w:val="24"/>
                <w:lang w:eastAsia="da-DK"/>
              </w:rPr>
            </w:pPr>
            <w:r>
              <w:rPr>
                <w:color w:val="000000"/>
                <w:sz w:val="24"/>
                <w:szCs w:val="24"/>
                <w:lang w:eastAsia="da-DK"/>
              </w:rPr>
              <w:t xml:space="preserve">AUC: ↔ </w:t>
            </w:r>
          </w:p>
          <w:p w:rsidR="00DA0437" w:rsidRDefault="00DA0437" w:rsidP="0032404C">
            <w:pPr>
              <w:autoSpaceDE w:val="0"/>
              <w:autoSpaceDN w:val="0"/>
              <w:adjustRightInd w:val="0"/>
              <w:rPr>
                <w:color w:val="000000"/>
                <w:sz w:val="24"/>
                <w:szCs w:val="24"/>
                <w:lang w:eastAsia="da-DK"/>
              </w:rPr>
            </w:pPr>
            <w:r>
              <w:rPr>
                <w:color w:val="000000"/>
                <w:sz w:val="24"/>
                <w:szCs w:val="24"/>
                <w:lang w:eastAsia="da-DK"/>
              </w:rPr>
              <w:t>C</w:t>
            </w:r>
            <w:r>
              <w:rPr>
                <w:color w:val="000000"/>
                <w:sz w:val="24"/>
                <w:szCs w:val="24"/>
                <w:vertAlign w:val="subscript"/>
                <w:lang w:eastAsia="da-DK"/>
              </w:rPr>
              <w:t>max</w:t>
            </w:r>
            <w:r>
              <w:rPr>
                <w:color w:val="000000"/>
                <w:sz w:val="24"/>
                <w:szCs w:val="24"/>
                <w:lang w:eastAsia="da-DK"/>
              </w:rPr>
              <w:t>: ↔</w:t>
            </w:r>
          </w:p>
        </w:tc>
        <w:tc>
          <w:tcPr>
            <w:tcW w:w="3029" w:type="dxa"/>
            <w:tcBorders>
              <w:top w:val="single" w:sz="4" w:space="0" w:color="auto"/>
              <w:left w:val="single" w:sz="4" w:space="0" w:color="auto"/>
              <w:bottom w:val="single" w:sz="4" w:space="0" w:color="auto"/>
              <w:right w:val="single" w:sz="4" w:space="0" w:color="auto"/>
            </w:tcBorders>
            <w:hideMark/>
          </w:tcPr>
          <w:p w:rsidR="00DA0437" w:rsidRDefault="00DA0437" w:rsidP="0032404C">
            <w:pPr>
              <w:autoSpaceDE w:val="0"/>
              <w:autoSpaceDN w:val="0"/>
              <w:adjustRightInd w:val="0"/>
              <w:rPr>
                <w:color w:val="000000"/>
                <w:sz w:val="24"/>
                <w:szCs w:val="24"/>
                <w:lang w:eastAsia="da-DK"/>
              </w:rPr>
            </w:pPr>
            <w:r>
              <w:rPr>
                <w:color w:val="000000"/>
                <w:sz w:val="24"/>
                <w:szCs w:val="24"/>
                <w:lang w:eastAsia="da-DK"/>
              </w:rPr>
              <w:t>Der sås ingen klinisk signifikante farmakokinetiske interaktioner, når tenofovirdisoproxil blev administreret samtidig med entecavir.</w:t>
            </w:r>
          </w:p>
        </w:tc>
      </w:tr>
      <w:tr w:rsidR="00DA0437" w:rsidTr="0032404C">
        <w:tc>
          <w:tcPr>
            <w:tcW w:w="9003" w:type="dxa"/>
            <w:gridSpan w:val="3"/>
            <w:tcBorders>
              <w:top w:val="single" w:sz="4" w:space="0" w:color="auto"/>
              <w:left w:val="single" w:sz="4" w:space="0" w:color="auto"/>
              <w:bottom w:val="single" w:sz="4" w:space="0" w:color="auto"/>
              <w:right w:val="single" w:sz="4" w:space="0" w:color="auto"/>
            </w:tcBorders>
            <w:hideMark/>
          </w:tcPr>
          <w:p w:rsidR="00DA0437" w:rsidRPr="00743892" w:rsidRDefault="00DA0437" w:rsidP="0032404C">
            <w:pPr>
              <w:autoSpaceDE w:val="0"/>
              <w:autoSpaceDN w:val="0"/>
              <w:adjustRightInd w:val="0"/>
              <w:rPr>
                <w:b/>
                <w:color w:val="000000"/>
                <w:sz w:val="24"/>
                <w:szCs w:val="24"/>
                <w:lang w:eastAsia="da-DK"/>
              </w:rPr>
            </w:pPr>
            <w:r w:rsidRPr="00743892">
              <w:rPr>
                <w:b/>
                <w:color w:val="000000"/>
                <w:sz w:val="24"/>
                <w:szCs w:val="24"/>
                <w:lang w:eastAsia="da-DK"/>
              </w:rPr>
              <w:t>Antivirale midler mod hepatitis C-virus</w:t>
            </w:r>
          </w:p>
        </w:tc>
      </w:tr>
      <w:tr w:rsidR="00DA0437" w:rsidTr="0032404C">
        <w:tc>
          <w:tcPr>
            <w:tcW w:w="3022" w:type="dxa"/>
            <w:tcBorders>
              <w:top w:val="single" w:sz="4" w:space="0" w:color="auto"/>
              <w:left w:val="single" w:sz="4" w:space="0" w:color="auto"/>
              <w:bottom w:val="single" w:sz="4" w:space="0" w:color="auto"/>
              <w:right w:val="single" w:sz="4" w:space="0" w:color="auto"/>
            </w:tcBorders>
            <w:hideMark/>
          </w:tcPr>
          <w:p w:rsidR="00DA0437" w:rsidRPr="00743892" w:rsidRDefault="00DA0437" w:rsidP="0032404C">
            <w:pPr>
              <w:pStyle w:val="Default"/>
            </w:pPr>
            <w:r w:rsidRPr="00743892">
              <w:t xml:space="preserve">Ledipasvir/sofosbuvir </w:t>
            </w:r>
          </w:p>
          <w:p w:rsidR="00DA0437" w:rsidRPr="00C956F3" w:rsidRDefault="00DA0437" w:rsidP="0032404C">
            <w:pPr>
              <w:pStyle w:val="Default"/>
              <w:rPr>
                <w:lang w:val="es-ES"/>
              </w:rPr>
            </w:pPr>
            <w:r w:rsidRPr="00743892">
              <w:t xml:space="preserve">(90 mg/400 mg q.d.) </w:t>
            </w:r>
            <w:r w:rsidRPr="00C956F3">
              <w:rPr>
                <w:lang w:val="es-ES"/>
              </w:rPr>
              <w:t xml:space="preserve">+ </w:t>
            </w:r>
          </w:p>
          <w:p w:rsidR="00DA0437" w:rsidRPr="00C956F3" w:rsidRDefault="00DA0437" w:rsidP="0032404C">
            <w:pPr>
              <w:pStyle w:val="Default"/>
              <w:rPr>
                <w:lang w:val="es-ES"/>
              </w:rPr>
            </w:pPr>
            <w:r w:rsidRPr="00C956F3">
              <w:rPr>
                <w:lang w:val="es-ES"/>
              </w:rPr>
              <w:t xml:space="preserve">Atazanavir/ritonavir </w:t>
            </w:r>
          </w:p>
          <w:p w:rsidR="00DA0437" w:rsidRPr="00C956F3" w:rsidRDefault="00DA0437" w:rsidP="0032404C">
            <w:pPr>
              <w:pStyle w:val="Default"/>
              <w:rPr>
                <w:lang w:val="es-ES"/>
              </w:rPr>
            </w:pPr>
            <w:r w:rsidRPr="00C956F3">
              <w:rPr>
                <w:lang w:val="es-ES"/>
              </w:rPr>
              <w:t xml:space="preserve">(300 mg q.d./100 mg q.d.) + </w:t>
            </w:r>
          </w:p>
          <w:p w:rsidR="00DA0437" w:rsidRPr="00C956F3" w:rsidRDefault="00DA0437" w:rsidP="0032404C">
            <w:pPr>
              <w:pStyle w:val="Default"/>
              <w:rPr>
                <w:lang w:val="es-ES"/>
              </w:rPr>
            </w:pPr>
            <w:r w:rsidRPr="00C956F3">
              <w:rPr>
                <w:lang w:val="es-ES"/>
              </w:rPr>
              <w:t xml:space="preserve">Emtricitabin/ </w:t>
            </w:r>
          </w:p>
          <w:p w:rsidR="00DA0437" w:rsidRPr="00C956F3" w:rsidRDefault="00DA0437" w:rsidP="0032404C">
            <w:pPr>
              <w:pStyle w:val="Default"/>
              <w:rPr>
                <w:lang w:val="es-ES"/>
              </w:rPr>
            </w:pPr>
            <w:r w:rsidRPr="00C956F3">
              <w:rPr>
                <w:lang w:val="es-ES"/>
              </w:rPr>
              <w:t xml:space="preserve">tenofovirdisoproxil </w:t>
            </w:r>
          </w:p>
          <w:p w:rsidR="00DA0437" w:rsidRPr="00C956F3" w:rsidRDefault="00DA0437" w:rsidP="0032404C">
            <w:pPr>
              <w:autoSpaceDE w:val="0"/>
              <w:autoSpaceDN w:val="0"/>
              <w:adjustRightInd w:val="0"/>
              <w:rPr>
                <w:color w:val="000000"/>
                <w:sz w:val="24"/>
                <w:szCs w:val="24"/>
                <w:lang w:val="es-ES" w:eastAsia="da-DK"/>
              </w:rPr>
            </w:pPr>
            <w:r w:rsidRPr="00C956F3">
              <w:rPr>
                <w:sz w:val="24"/>
                <w:szCs w:val="24"/>
                <w:lang w:val="es-ES"/>
              </w:rPr>
              <w:t>(200 mg/300 mg q.d.)</w:t>
            </w:r>
            <w:r w:rsidRPr="00C956F3">
              <w:rPr>
                <w:sz w:val="24"/>
                <w:szCs w:val="24"/>
                <w:vertAlign w:val="superscript"/>
                <w:lang w:val="es-ES"/>
              </w:rPr>
              <w:t>1</w:t>
            </w:r>
          </w:p>
        </w:tc>
        <w:tc>
          <w:tcPr>
            <w:tcW w:w="2952" w:type="dxa"/>
            <w:tcBorders>
              <w:top w:val="single" w:sz="4" w:space="0" w:color="auto"/>
              <w:left w:val="single" w:sz="4" w:space="0" w:color="auto"/>
              <w:bottom w:val="single" w:sz="4" w:space="0" w:color="auto"/>
              <w:right w:val="single" w:sz="4" w:space="0" w:color="auto"/>
            </w:tcBorders>
          </w:tcPr>
          <w:p w:rsidR="00DA0437" w:rsidRPr="00C956F3" w:rsidRDefault="00DA0437" w:rsidP="0032404C">
            <w:pPr>
              <w:pStyle w:val="Default"/>
              <w:rPr>
                <w:lang w:val="es-ES"/>
              </w:rPr>
            </w:pPr>
            <w:r w:rsidRPr="00C956F3">
              <w:rPr>
                <w:lang w:val="es-ES"/>
              </w:rPr>
              <w:t xml:space="preserve">Ledipasvir: </w:t>
            </w:r>
          </w:p>
          <w:p w:rsidR="00DA0437" w:rsidRPr="00C956F3" w:rsidRDefault="00DA0437" w:rsidP="0032404C">
            <w:pPr>
              <w:pStyle w:val="Default"/>
              <w:rPr>
                <w:lang w:val="es-ES"/>
              </w:rPr>
            </w:pPr>
            <w:r w:rsidRPr="00C956F3">
              <w:rPr>
                <w:lang w:val="es-ES"/>
              </w:rPr>
              <w:t xml:space="preserve">AUC: ↑ 96 % </w:t>
            </w:r>
          </w:p>
          <w:p w:rsidR="00DA0437" w:rsidRPr="00C956F3" w:rsidRDefault="00DA0437" w:rsidP="0032404C">
            <w:pPr>
              <w:pStyle w:val="Default"/>
              <w:rPr>
                <w:lang w:val="es-ES"/>
              </w:rPr>
            </w:pPr>
            <w:r w:rsidRPr="00C956F3">
              <w:rPr>
                <w:lang w:val="es-ES"/>
              </w:rPr>
              <w:t>C</w:t>
            </w:r>
            <w:r w:rsidRPr="00C956F3">
              <w:rPr>
                <w:vertAlign w:val="subscript"/>
                <w:lang w:val="es-ES"/>
              </w:rPr>
              <w:t>max</w:t>
            </w:r>
            <w:r w:rsidRPr="00C956F3">
              <w:rPr>
                <w:lang w:val="es-ES"/>
              </w:rPr>
              <w:t xml:space="preserve">: ↑ 68 % </w:t>
            </w:r>
          </w:p>
          <w:p w:rsidR="00DA0437" w:rsidRPr="00C956F3" w:rsidRDefault="00DA0437" w:rsidP="0032404C">
            <w:pPr>
              <w:pStyle w:val="Default"/>
              <w:rPr>
                <w:lang w:val="es-ES"/>
              </w:rPr>
            </w:pPr>
            <w:r w:rsidRPr="00C956F3">
              <w:rPr>
                <w:lang w:val="es-ES"/>
              </w:rPr>
              <w:t>C</w:t>
            </w:r>
            <w:r w:rsidRPr="00C956F3">
              <w:rPr>
                <w:vertAlign w:val="subscript"/>
                <w:lang w:val="es-ES"/>
              </w:rPr>
              <w:t>min</w:t>
            </w:r>
            <w:r w:rsidRPr="00C956F3">
              <w:rPr>
                <w:lang w:val="es-ES"/>
              </w:rPr>
              <w:t xml:space="preserve">: ↑ 118 % </w:t>
            </w:r>
          </w:p>
          <w:p w:rsidR="00DA0437" w:rsidRPr="00C956F3" w:rsidRDefault="00DA0437" w:rsidP="0032404C">
            <w:pPr>
              <w:pStyle w:val="Default"/>
              <w:rPr>
                <w:lang w:val="es-ES"/>
              </w:rPr>
            </w:pPr>
          </w:p>
          <w:p w:rsidR="00DA0437" w:rsidRPr="00C956F3" w:rsidRDefault="00DA0437" w:rsidP="0032404C">
            <w:pPr>
              <w:pStyle w:val="Default"/>
              <w:rPr>
                <w:lang w:val="es-ES"/>
              </w:rPr>
            </w:pPr>
            <w:r w:rsidRPr="00C956F3">
              <w:rPr>
                <w:lang w:val="es-ES"/>
              </w:rPr>
              <w:t xml:space="preserve">Sofosbuvir: </w:t>
            </w:r>
          </w:p>
          <w:p w:rsidR="00DA0437" w:rsidRPr="00C956F3" w:rsidRDefault="00DA0437" w:rsidP="0032404C">
            <w:pPr>
              <w:pStyle w:val="Default"/>
              <w:rPr>
                <w:lang w:val="es-ES"/>
              </w:rPr>
            </w:pPr>
            <w:r w:rsidRPr="00C956F3">
              <w:rPr>
                <w:lang w:val="es-ES"/>
              </w:rPr>
              <w:t xml:space="preserve">AUC: ↔ </w:t>
            </w:r>
          </w:p>
          <w:p w:rsidR="00DA0437" w:rsidRPr="00C956F3" w:rsidRDefault="00DA0437" w:rsidP="0032404C">
            <w:pPr>
              <w:pStyle w:val="Default"/>
              <w:rPr>
                <w:lang w:val="es-ES"/>
              </w:rPr>
            </w:pPr>
            <w:r w:rsidRPr="00C956F3">
              <w:rPr>
                <w:lang w:val="es-ES"/>
              </w:rPr>
              <w:t>C</w:t>
            </w:r>
            <w:r w:rsidRPr="00C956F3">
              <w:rPr>
                <w:vertAlign w:val="subscript"/>
                <w:lang w:val="es-ES"/>
              </w:rPr>
              <w:t>max</w:t>
            </w:r>
            <w:r w:rsidRPr="00C956F3">
              <w:rPr>
                <w:lang w:val="es-ES"/>
              </w:rPr>
              <w:t>: ↔</w:t>
            </w:r>
          </w:p>
          <w:p w:rsidR="00DA0437" w:rsidRPr="00C956F3" w:rsidRDefault="00DA0437" w:rsidP="0032404C">
            <w:pPr>
              <w:pStyle w:val="Default"/>
              <w:rPr>
                <w:lang w:val="es-ES"/>
              </w:rPr>
            </w:pPr>
            <w:r w:rsidRPr="00C956F3">
              <w:rPr>
                <w:lang w:val="es-ES"/>
              </w:rPr>
              <w:t xml:space="preserve"> </w:t>
            </w:r>
          </w:p>
          <w:p w:rsidR="00DA0437" w:rsidRPr="00C956F3" w:rsidRDefault="00DA0437" w:rsidP="0032404C">
            <w:pPr>
              <w:pStyle w:val="Default"/>
              <w:rPr>
                <w:lang w:val="es-ES"/>
              </w:rPr>
            </w:pPr>
            <w:r w:rsidRPr="00C956F3">
              <w:rPr>
                <w:lang w:val="es-ES"/>
              </w:rPr>
              <w:t>GS-331007</w:t>
            </w:r>
            <w:r w:rsidRPr="00C956F3">
              <w:rPr>
                <w:bCs/>
                <w:vertAlign w:val="superscript"/>
                <w:lang w:val="es-ES"/>
              </w:rPr>
              <w:t>2</w:t>
            </w:r>
            <w:r w:rsidRPr="00C956F3">
              <w:rPr>
                <w:lang w:val="es-ES"/>
              </w:rPr>
              <w:t xml:space="preserve">: </w:t>
            </w:r>
          </w:p>
          <w:p w:rsidR="00DA0437" w:rsidRPr="00C956F3" w:rsidRDefault="00DA0437" w:rsidP="0032404C">
            <w:pPr>
              <w:pStyle w:val="Default"/>
              <w:rPr>
                <w:lang w:val="es-ES"/>
              </w:rPr>
            </w:pPr>
            <w:r w:rsidRPr="00C956F3">
              <w:rPr>
                <w:lang w:val="es-ES"/>
              </w:rPr>
              <w:t xml:space="preserve">AUC: ↔ </w:t>
            </w:r>
          </w:p>
          <w:p w:rsidR="00DA0437" w:rsidRPr="00C956F3" w:rsidRDefault="00DA0437" w:rsidP="0032404C">
            <w:pPr>
              <w:pStyle w:val="Default"/>
              <w:rPr>
                <w:lang w:val="es-ES"/>
              </w:rPr>
            </w:pPr>
            <w:r w:rsidRPr="00C956F3">
              <w:rPr>
                <w:lang w:val="es-ES"/>
              </w:rPr>
              <w:t>C</w:t>
            </w:r>
            <w:r w:rsidRPr="00C956F3">
              <w:rPr>
                <w:vertAlign w:val="subscript"/>
                <w:lang w:val="es-ES"/>
              </w:rPr>
              <w:t>max</w:t>
            </w:r>
            <w:r w:rsidRPr="00C956F3">
              <w:rPr>
                <w:lang w:val="es-ES"/>
              </w:rPr>
              <w:t xml:space="preserve">: ↔ </w:t>
            </w:r>
          </w:p>
          <w:p w:rsidR="00DA0437" w:rsidRPr="00C956F3" w:rsidRDefault="00DA0437" w:rsidP="0032404C">
            <w:pPr>
              <w:pStyle w:val="Default"/>
              <w:rPr>
                <w:lang w:val="es-ES"/>
              </w:rPr>
            </w:pPr>
            <w:r w:rsidRPr="00C956F3">
              <w:rPr>
                <w:lang w:val="es-ES"/>
              </w:rPr>
              <w:t>C</w:t>
            </w:r>
            <w:r w:rsidRPr="00C956F3">
              <w:rPr>
                <w:vertAlign w:val="subscript"/>
                <w:lang w:val="es-ES"/>
              </w:rPr>
              <w:t>min</w:t>
            </w:r>
            <w:r w:rsidRPr="00C956F3">
              <w:rPr>
                <w:lang w:val="es-ES"/>
              </w:rPr>
              <w:t xml:space="preserve">: ↑ 42 % </w:t>
            </w:r>
          </w:p>
          <w:p w:rsidR="00DA0437" w:rsidRPr="00C956F3" w:rsidRDefault="00DA0437" w:rsidP="0032404C">
            <w:pPr>
              <w:pStyle w:val="Default"/>
              <w:rPr>
                <w:lang w:val="es-ES"/>
              </w:rPr>
            </w:pPr>
          </w:p>
          <w:p w:rsidR="00DA0437" w:rsidRPr="00C956F3" w:rsidRDefault="00DA0437" w:rsidP="0032404C">
            <w:pPr>
              <w:pStyle w:val="Default"/>
              <w:rPr>
                <w:lang w:val="es-ES"/>
              </w:rPr>
            </w:pPr>
            <w:r w:rsidRPr="00C956F3">
              <w:rPr>
                <w:lang w:val="es-ES"/>
              </w:rPr>
              <w:t xml:space="preserve">Atazanavir: </w:t>
            </w:r>
          </w:p>
          <w:p w:rsidR="00DA0437" w:rsidRPr="00C956F3" w:rsidRDefault="00DA0437" w:rsidP="0032404C">
            <w:pPr>
              <w:pStyle w:val="Default"/>
              <w:rPr>
                <w:lang w:val="es-ES"/>
              </w:rPr>
            </w:pPr>
            <w:r w:rsidRPr="00C956F3">
              <w:rPr>
                <w:lang w:val="es-ES"/>
              </w:rPr>
              <w:t xml:space="preserve">AUC: ↔ </w:t>
            </w:r>
          </w:p>
          <w:p w:rsidR="00DA0437" w:rsidRPr="00C956F3" w:rsidRDefault="00DA0437" w:rsidP="0032404C">
            <w:pPr>
              <w:pStyle w:val="Default"/>
              <w:rPr>
                <w:lang w:val="es-ES"/>
              </w:rPr>
            </w:pPr>
            <w:r w:rsidRPr="00C956F3">
              <w:rPr>
                <w:lang w:val="es-ES"/>
              </w:rPr>
              <w:t>C</w:t>
            </w:r>
            <w:r w:rsidRPr="00C956F3">
              <w:rPr>
                <w:vertAlign w:val="subscript"/>
                <w:lang w:val="es-ES"/>
              </w:rPr>
              <w:t>max</w:t>
            </w:r>
            <w:r w:rsidRPr="00C956F3">
              <w:rPr>
                <w:lang w:val="es-ES"/>
              </w:rPr>
              <w:t xml:space="preserve">: ↔ </w:t>
            </w:r>
          </w:p>
          <w:p w:rsidR="00DA0437" w:rsidRPr="00C956F3" w:rsidRDefault="00DA0437" w:rsidP="0032404C">
            <w:pPr>
              <w:pStyle w:val="Default"/>
              <w:rPr>
                <w:lang w:val="es-ES"/>
              </w:rPr>
            </w:pPr>
            <w:r w:rsidRPr="00C956F3">
              <w:rPr>
                <w:lang w:val="es-ES"/>
              </w:rPr>
              <w:t>C</w:t>
            </w:r>
            <w:r w:rsidRPr="00C956F3">
              <w:rPr>
                <w:vertAlign w:val="subscript"/>
                <w:lang w:val="es-ES"/>
              </w:rPr>
              <w:t>min</w:t>
            </w:r>
            <w:r w:rsidRPr="00C956F3">
              <w:rPr>
                <w:lang w:val="es-ES"/>
              </w:rPr>
              <w:t xml:space="preserve">: ↑ 63 % </w:t>
            </w:r>
          </w:p>
          <w:p w:rsidR="00DA0437" w:rsidRPr="00C956F3" w:rsidRDefault="00DA0437" w:rsidP="0032404C">
            <w:pPr>
              <w:pStyle w:val="Default"/>
              <w:rPr>
                <w:lang w:val="es-ES"/>
              </w:rPr>
            </w:pPr>
          </w:p>
          <w:p w:rsidR="00DA0437" w:rsidRPr="00C956F3" w:rsidRDefault="00DA0437" w:rsidP="0032404C">
            <w:pPr>
              <w:pStyle w:val="Default"/>
              <w:rPr>
                <w:lang w:val="es-ES"/>
              </w:rPr>
            </w:pPr>
            <w:r w:rsidRPr="00C956F3">
              <w:rPr>
                <w:lang w:val="es-ES"/>
              </w:rPr>
              <w:t xml:space="preserve">Ritonavir: </w:t>
            </w:r>
          </w:p>
          <w:p w:rsidR="00DA0437" w:rsidRPr="00C956F3" w:rsidRDefault="00DA0437" w:rsidP="0032404C">
            <w:pPr>
              <w:pStyle w:val="Default"/>
              <w:rPr>
                <w:lang w:val="es-ES"/>
              </w:rPr>
            </w:pPr>
            <w:r w:rsidRPr="00C956F3">
              <w:rPr>
                <w:lang w:val="es-ES"/>
              </w:rPr>
              <w:t xml:space="preserve">AUC: ↔ </w:t>
            </w:r>
          </w:p>
          <w:p w:rsidR="00DA0437" w:rsidRPr="00C956F3" w:rsidRDefault="00DA0437" w:rsidP="0032404C">
            <w:pPr>
              <w:pStyle w:val="Default"/>
              <w:rPr>
                <w:lang w:val="es-ES"/>
              </w:rPr>
            </w:pPr>
            <w:r w:rsidRPr="00C956F3">
              <w:rPr>
                <w:lang w:val="es-ES"/>
              </w:rPr>
              <w:t>C</w:t>
            </w:r>
            <w:r w:rsidRPr="00C956F3">
              <w:rPr>
                <w:vertAlign w:val="subscript"/>
                <w:lang w:val="es-ES"/>
              </w:rPr>
              <w:t>max</w:t>
            </w:r>
            <w:r w:rsidRPr="00C956F3">
              <w:rPr>
                <w:lang w:val="es-ES"/>
              </w:rPr>
              <w:t xml:space="preserve">: ↔ </w:t>
            </w:r>
          </w:p>
          <w:p w:rsidR="00DA0437" w:rsidRPr="00C956F3" w:rsidRDefault="00DA0437" w:rsidP="0032404C">
            <w:pPr>
              <w:pStyle w:val="Default"/>
              <w:rPr>
                <w:lang w:val="es-ES"/>
              </w:rPr>
            </w:pPr>
            <w:r w:rsidRPr="00C956F3">
              <w:rPr>
                <w:lang w:val="es-ES"/>
              </w:rPr>
              <w:t>C</w:t>
            </w:r>
            <w:r w:rsidRPr="00C956F3">
              <w:rPr>
                <w:vertAlign w:val="subscript"/>
                <w:lang w:val="es-ES"/>
              </w:rPr>
              <w:t>min</w:t>
            </w:r>
            <w:r w:rsidRPr="00C956F3">
              <w:rPr>
                <w:lang w:val="es-ES"/>
              </w:rPr>
              <w:t xml:space="preserve">: ↑ 45 % </w:t>
            </w:r>
          </w:p>
          <w:p w:rsidR="00DA0437" w:rsidRPr="00C956F3" w:rsidRDefault="00DA0437" w:rsidP="0032404C">
            <w:pPr>
              <w:pStyle w:val="Default"/>
              <w:rPr>
                <w:lang w:val="es-ES"/>
              </w:rPr>
            </w:pPr>
          </w:p>
          <w:p w:rsidR="00DA0437" w:rsidRPr="00C956F3" w:rsidRDefault="00DA0437" w:rsidP="0032404C">
            <w:pPr>
              <w:pStyle w:val="Default"/>
              <w:rPr>
                <w:lang w:val="es-ES"/>
              </w:rPr>
            </w:pPr>
            <w:r w:rsidRPr="00C956F3">
              <w:rPr>
                <w:lang w:val="es-ES"/>
              </w:rPr>
              <w:t xml:space="preserve">Emtricitabin: </w:t>
            </w:r>
          </w:p>
          <w:p w:rsidR="00DA0437" w:rsidRPr="00C956F3" w:rsidRDefault="00DA0437" w:rsidP="0032404C">
            <w:pPr>
              <w:pStyle w:val="Default"/>
              <w:rPr>
                <w:lang w:val="es-ES"/>
              </w:rPr>
            </w:pPr>
            <w:r w:rsidRPr="00C956F3">
              <w:rPr>
                <w:lang w:val="es-ES"/>
              </w:rPr>
              <w:t xml:space="preserve">AUC: ↔ </w:t>
            </w:r>
          </w:p>
          <w:p w:rsidR="00DA0437" w:rsidRPr="00C956F3" w:rsidRDefault="00DA0437" w:rsidP="0032404C">
            <w:pPr>
              <w:pStyle w:val="Default"/>
              <w:rPr>
                <w:lang w:val="es-ES"/>
              </w:rPr>
            </w:pPr>
            <w:r w:rsidRPr="00C956F3">
              <w:rPr>
                <w:lang w:val="es-ES"/>
              </w:rPr>
              <w:t>C</w:t>
            </w:r>
            <w:r w:rsidRPr="00C956F3">
              <w:rPr>
                <w:vertAlign w:val="subscript"/>
                <w:lang w:val="es-ES"/>
              </w:rPr>
              <w:t>max</w:t>
            </w:r>
            <w:r w:rsidRPr="00C956F3">
              <w:rPr>
                <w:lang w:val="es-ES"/>
              </w:rPr>
              <w:t xml:space="preserve">: ↔ </w:t>
            </w:r>
          </w:p>
          <w:p w:rsidR="00DA0437" w:rsidRPr="00C956F3" w:rsidRDefault="00DA0437" w:rsidP="0032404C">
            <w:pPr>
              <w:pStyle w:val="Default"/>
              <w:rPr>
                <w:lang w:val="es-ES"/>
              </w:rPr>
            </w:pPr>
            <w:r w:rsidRPr="00C956F3">
              <w:rPr>
                <w:lang w:val="es-ES"/>
              </w:rPr>
              <w:t>C</w:t>
            </w:r>
            <w:r w:rsidRPr="00C956F3">
              <w:rPr>
                <w:vertAlign w:val="subscript"/>
                <w:lang w:val="es-ES"/>
              </w:rPr>
              <w:t>min</w:t>
            </w:r>
            <w:r w:rsidRPr="00C956F3">
              <w:rPr>
                <w:lang w:val="es-ES"/>
              </w:rPr>
              <w:t xml:space="preserve">: ↔ </w:t>
            </w:r>
          </w:p>
          <w:p w:rsidR="00DA0437" w:rsidRPr="00C956F3" w:rsidRDefault="00DA0437" w:rsidP="0032404C">
            <w:pPr>
              <w:pStyle w:val="Default"/>
              <w:rPr>
                <w:lang w:val="es-ES"/>
              </w:rPr>
            </w:pPr>
          </w:p>
          <w:p w:rsidR="00DA0437" w:rsidRPr="00C956F3" w:rsidRDefault="00DA0437" w:rsidP="0032404C">
            <w:pPr>
              <w:pStyle w:val="Default"/>
              <w:rPr>
                <w:lang w:val="es-ES"/>
              </w:rPr>
            </w:pPr>
            <w:r w:rsidRPr="00C956F3">
              <w:rPr>
                <w:lang w:val="es-ES"/>
              </w:rPr>
              <w:t xml:space="preserve">Tenofovir: </w:t>
            </w:r>
          </w:p>
          <w:p w:rsidR="00DA0437" w:rsidRPr="00C956F3" w:rsidRDefault="00DA0437" w:rsidP="0032404C">
            <w:pPr>
              <w:pStyle w:val="Default"/>
              <w:rPr>
                <w:lang w:val="es-ES"/>
              </w:rPr>
            </w:pPr>
            <w:r w:rsidRPr="00C956F3">
              <w:rPr>
                <w:lang w:val="es-ES"/>
              </w:rPr>
              <w:t xml:space="preserve">AUC: ↔ </w:t>
            </w:r>
          </w:p>
          <w:p w:rsidR="00DA0437" w:rsidRPr="00743892" w:rsidRDefault="00DA0437" w:rsidP="0032404C">
            <w:pPr>
              <w:pStyle w:val="Default"/>
            </w:pPr>
            <w:r w:rsidRPr="00743892">
              <w:t>C</w:t>
            </w:r>
            <w:r w:rsidRPr="00743892">
              <w:rPr>
                <w:vertAlign w:val="subscript"/>
              </w:rPr>
              <w:t>max</w:t>
            </w:r>
            <w:r w:rsidRPr="00743892">
              <w:t>: ↑ 47</w:t>
            </w:r>
            <w:r>
              <w:t xml:space="preserve"> </w:t>
            </w:r>
            <w:r w:rsidRPr="00743892">
              <w:t xml:space="preserve">% </w:t>
            </w:r>
          </w:p>
          <w:p w:rsidR="00DA0437" w:rsidRDefault="00DA0437" w:rsidP="0032404C">
            <w:pPr>
              <w:autoSpaceDE w:val="0"/>
              <w:autoSpaceDN w:val="0"/>
              <w:adjustRightInd w:val="0"/>
              <w:rPr>
                <w:color w:val="000000"/>
                <w:sz w:val="24"/>
                <w:szCs w:val="24"/>
                <w:lang w:eastAsia="da-DK"/>
              </w:rPr>
            </w:pPr>
            <w:r w:rsidRPr="00743892">
              <w:rPr>
                <w:sz w:val="24"/>
                <w:szCs w:val="24"/>
              </w:rPr>
              <w:t>C</w:t>
            </w:r>
            <w:r w:rsidRPr="00743892">
              <w:rPr>
                <w:sz w:val="24"/>
                <w:szCs w:val="24"/>
                <w:vertAlign w:val="subscript"/>
              </w:rPr>
              <w:t>min</w:t>
            </w:r>
            <w:r w:rsidRPr="00743892">
              <w:rPr>
                <w:sz w:val="24"/>
                <w:szCs w:val="24"/>
              </w:rPr>
              <w:t>: ↑ 47</w:t>
            </w:r>
            <w:r>
              <w:rPr>
                <w:sz w:val="24"/>
                <w:szCs w:val="24"/>
              </w:rPr>
              <w:t xml:space="preserve"> </w:t>
            </w:r>
            <w:r w:rsidRPr="00743892">
              <w:rPr>
                <w:sz w:val="24"/>
                <w:szCs w:val="24"/>
              </w:rPr>
              <w:t xml:space="preserve">% </w:t>
            </w:r>
          </w:p>
        </w:tc>
        <w:tc>
          <w:tcPr>
            <w:tcW w:w="3029" w:type="dxa"/>
            <w:tcBorders>
              <w:top w:val="single" w:sz="4" w:space="0" w:color="auto"/>
              <w:left w:val="single" w:sz="4" w:space="0" w:color="auto"/>
              <w:bottom w:val="single" w:sz="4" w:space="0" w:color="auto"/>
              <w:right w:val="single" w:sz="4" w:space="0" w:color="auto"/>
            </w:tcBorders>
            <w:hideMark/>
          </w:tcPr>
          <w:p w:rsidR="00DA0437" w:rsidRPr="00743892" w:rsidRDefault="00DA0437" w:rsidP="0032404C">
            <w:pPr>
              <w:pStyle w:val="Default"/>
            </w:pPr>
            <w:r w:rsidRPr="00743892">
              <w:t xml:space="preserve">Øget plasmakoncentration af tenofovir som følge af samtidig administration af tenofovirdisoproxil, ledipasvir/sofosbuvir og atazanavir/ritonavir kan øge risikoen for bivirkninger relaterede til tenofovirdisoproxil, herunder nyrerelaterede bivirkninger. Sikkerheden af tenofovirdisoproxil sammen med ledipasvir/sofosbuvir og en farmakokinetisk booster (f.eks. ritonavir eller cobicistat) er ikke klarlagt. </w:t>
            </w:r>
          </w:p>
          <w:p w:rsidR="00DA0437" w:rsidRDefault="00DA0437" w:rsidP="0032404C">
            <w:pPr>
              <w:autoSpaceDE w:val="0"/>
              <w:autoSpaceDN w:val="0"/>
              <w:adjustRightInd w:val="0"/>
              <w:rPr>
                <w:color w:val="000000"/>
                <w:sz w:val="24"/>
                <w:szCs w:val="24"/>
                <w:lang w:eastAsia="da-DK"/>
              </w:rPr>
            </w:pPr>
            <w:r w:rsidRPr="00743892">
              <w:rPr>
                <w:sz w:val="24"/>
                <w:szCs w:val="24"/>
              </w:rPr>
              <w:t xml:space="preserve">Hvis der ikke er andre alternativer, skal kombinationen anvendes med forsigtighed og hyppig monitorering af nyrefunktionen (se pkt. 4.4). </w:t>
            </w:r>
          </w:p>
        </w:tc>
      </w:tr>
      <w:tr w:rsidR="00DA0437" w:rsidTr="0032404C">
        <w:tc>
          <w:tcPr>
            <w:tcW w:w="3022" w:type="dxa"/>
            <w:tcBorders>
              <w:top w:val="single" w:sz="4" w:space="0" w:color="auto"/>
              <w:left w:val="single" w:sz="4" w:space="0" w:color="auto"/>
              <w:bottom w:val="single" w:sz="4" w:space="0" w:color="auto"/>
              <w:right w:val="single" w:sz="4" w:space="0" w:color="auto"/>
            </w:tcBorders>
            <w:hideMark/>
          </w:tcPr>
          <w:p w:rsidR="00DA0437" w:rsidRPr="00743892" w:rsidRDefault="00DA0437" w:rsidP="0032404C">
            <w:pPr>
              <w:pStyle w:val="Default"/>
            </w:pPr>
            <w:r w:rsidRPr="00743892">
              <w:t xml:space="preserve">Ledipasvir/sofosbuvir </w:t>
            </w:r>
          </w:p>
          <w:p w:rsidR="00DA0437" w:rsidRPr="00C956F3" w:rsidRDefault="00DA0437" w:rsidP="0032404C">
            <w:pPr>
              <w:pStyle w:val="Default"/>
              <w:rPr>
                <w:lang w:val="es-ES"/>
              </w:rPr>
            </w:pPr>
            <w:r w:rsidRPr="00743892">
              <w:t xml:space="preserve">(90 mg/400 mg q.d.) </w:t>
            </w:r>
            <w:r w:rsidRPr="00C956F3">
              <w:rPr>
                <w:lang w:val="es-ES"/>
              </w:rPr>
              <w:t xml:space="preserve">+ </w:t>
            </w:r>
          </w:p>
          <w:p w:rsidR="00DA0437" w:rsidRPr="00C956F3" w:rsidRDefault="00DA0437" w:rsidP="0032404C">
            <w:pPr>
              <w:pStyle w:val="Default"/>
              <w:rPr>
                <w:lang w:val="es-ES"/>
              </w:rPr>
            </w:pPr>
            <w:r w:rsidRPr="00C956F3">
              <w:rPr>
                <w:lang w:val="es-ES"/>
              </w:rPr>
              <w:t xml:space="preserve">Darunavir/ritonavir </w:t>
            </w:r>
          </w:p>
          <w:p w:rsidR="00DA0437" w:rsidRPr="00C956F3" w:rsidRDefault="00DA0437" w:rsidP="0032404C">
            <w:pPr>
              <w:pStyle w:val="Default"/>
              <w:rPr>
                <w:lang w:val="es-ES"/>
              </w:rPr>
            </w:pPr>
            <w:r w:rsidRPr="00C956F3">
              <w:rPr>
                <w:lang w:val="es-ES"/>
              </w:rPr>
              <w:t xml:space="preserve">(800 mg q.d./100 mg q.d.) + </w:t>
            </w:r>
          </w:p>
          <w:p w:rsidR="00DA0437" w:rsidRPr="00C956F3" w:rsidRDefault="00DA0437" w:rsidP="0032404C">
            <w:pPr>
              <w:pStyle w:val="Default"/>
              <w:rPr>
                <w:lang w:val="es-ES"/>
              </w:rPr>
            </w:pPr>
            <w:r w:rsidRPr="00C956F3">
              <w:rPr>
                <w:lang w:val="es-ES"/>
              </w:rPr>
              <w:t xml:space="preserve">Emtricitabin/ </w:t>
            </w:r>
          </w:p>
          <w:p w:rsidR="00DA0437" w:rsidRPr="00C956F3" w:rsidRDefault="00DA0437" w:rsidP="0032404C">
            <w:pPr>
              <w:pStyle w:val="Default"/>
              <w:rPr>
                <w:lang w:val="es-ES"/>
              </w:rPr>
            </w:pPr>
            <w:r w:rsidRPr="00C956F3">
              <w:rPr>
                <w:lang w:val="es-ES"/>
              </w:rPr>
              <w:t xml:space="preserve">tenofovirdisoproxil </w:t>
            </w:r>
          </w:p>
          <w:p w:rsidR="00DA0437" w:rsidRPr="00C956F3" w:rsidRDefault="00DA0437" w:rsidP="0032404C">
            <w:pPr>
              <w:autoSpaceDE w:val="0"/>
              <w:autoSpaceDN w:val="0"/>
              <w:adjustRightInd w:val="0"/>
              <w:rPr>
                <w:color w:val="000000"/>
                <w:sz w:val="24"/>
                <w:szCs w:val="24"/>
                <w:lang w:val="es-ES" w:eastAsia="da-DK"/>
              </w:rPr>
            </w:pPr>
            <w:r w:rsidRPr="00C956F3">
              <w:rPr>
                <w:sz w:val="24"/>
                <w:szCs w:val="24"/>
                <w:lang w:val="es-ES"/>
              </w:rPr>
              <w:t>(200 mg/300 mg q.d.)</w:t>
            </w:r>
            <w:r w:rsidRPr="00C956F3">
              <w:rPr>
                <w:sz w:val="24"/>
                <w:szCs w:val="24"/>
                <w:vertAlign w:val="superscript"/>
                <w:lang w:val="es-ES"/>
              </w:rPr>
              <w:t>1</w:t>
            </w:r>
          </w:p>
        </w:tc>
        <w:tc>
          <w:tcPr>
            <w:tcW w:w="2952" w:type="dxa"/>
            <w:tcBorders>
              <w:top w:val="single" w:sz="4" w:space="0" w:color="auto"/>
              <w:left w:val="single" w:sz="4" w:space="0" w:color="auto"/>
              <w:bottom w:val="single" w:sz="4" w:space="0" w:color="auto"/>
              <w:right w:val="single" w:sz="4" w:space="0" w:color="auto"/>
            </w:tcBorders>
          </w:tcPr>
          <w:p w:rsidR="00DA0437" w:rsidRPr="00C956F3" w:rsidRDefault="00DA0437" w:rsidP="0032404C">
            <w:pPr>
              <w:pStyle w:val="Default"/>
              <w:rPr>
                <w:lang w:val="es-ES"/>
              </w:rPr>
            </w:pPr>
            <w:r w:rsidRPr="00C956F3">
              <w:rPr>
                <w:lang w:val="es-ES"/>
              </w:rPr>
              <w:t xml:space="preserve">Ledipasvir: </w:t>
            </w:r>
          </w:p>
          <w:p w:rsidR="00DA0437" w:rsidRPr="00C956F3" w:rsidRDefault="00DA0437" w:rsidP="0032404C">
            <w:pPr>
              <w:pStyle w:val="Default"/>
              <w:rPr>
                <w:lang w:val="es-ES"/>
              </w:rPr>
            </w:pPr>
            <w:r w:rsidRPr="00C956F3">
              <w:rPr>
                <w:lang w:val="es-ES"/>
              </w:rPr>
              <w:t xml:space="preserve">AUC: ↔ </w:t>
            </w:r>
          </w:p>
          <w:p w:rsidR="00DA0437" w:rsidRPr="00C956F3" w:rsidRDefault="00DA0437" w:rsidP="0032404C">
            <w:pPr>
              <w:pStyle w:val="Default"/>
              <w:rPr>
                <w:lang w:val="es-ES"/>
              </w:rPr>
            </w:pPr>
            <w:r w:rsidRPr="00C956F3">
              <w:rPr>
                <w:lang w:val="es-ES"/>
              </w:rPr>
              <w:t>C</w:t>
            </w:r>
            <w:r w:rsidRPr="00C956F3">
              <w:rPr>
                <w:vertAlign w:val="subscript"/>
                <w:lang w:val="es-ES"/>
              </w:rPr>
              <w:t>max</w:t>
            </w:r>
            <w:r w:rsidRPr="00C956F3">
              <w:rPr>
                <w:lang w:val="es-ES"/>
              </w:rPr>
              <w:t xml:space="preserve">: ↔ </w:t>
            </w:r>
          </w:p>
          <w:p w:rsidR="00DA0437" w:rsidRPr="00C956F3" w:rsidRDefault="00DA0437" w:rsidP="0032404C">
            <w:pPr>
              <w:pStyle w:val="Default"/>
              <w:rPr>
                <w:lang w:val="es-ES"/>
              </w:rPr>
            </w:pPr>
            <w:r w:rsidRPr="00C956F3">
              <w:rPr>
                <w:lang w:val="es-ES"/>
              </w:rPr>
              <w:t>C</w:t>
            </w:r>
            <w:r w:rsidRPr="00C956F3">
              <w:rPr>
                <w:vertAlign w:val="subscript"/>
                <w:lang w:val="es-ES"/>
              </w:rPr>
              <w:t>min</w:t>
            </w:r>
            <w:r w:rsidRPr="00C956F3">
              <w:rPr>
                <w:lang w:val="es-ES"/>
              </w:rPr>
              <w:t xml:space="preserve">: ↔ </w:t>
            </w:r>
          </w:p>
          <w:p w:rsidR="00DA0437" w:rsidRPr="00C956F3" w:rsidRDefault="00DA0437" w:rsidP="0032404C">
            <w:pPr>
              <w:pStyle w:val="Default"/>
              <w:rPr>
                <w:lang w:val="es-ES"/>
              </w:rPr>
            </w:pPr>
          </w:p>
          <w:p w:rsidR="00DA0437" w:rsidRPr="00C956F3" w:rsidRDefault="00DA0437" w:rsidP="0032404C">
            <w:pPr>
              <w:pStyle w:val="Default"/>
              <w:rPr>
                <w:lang w:val="es-ES"/>
              </w:rPr>
            </w:pPr>
            <w:r w:rsidRPr="00C956F3">
              <w:rPr>
                <w:lang w:val="es-ES"/>
              </w:rPr>
              <w:t xml:space="preserve">Sofosbuvir: </w:t>
            </w:r>
          </w:p>
          <w:p w:rsidR="00DA0437" w:rsidRPr="00C956F3" w:rsidRDefault="00DA0437" w:rsidP="0032404C">
            <w:pPr>
              <w:pStyle w:val="Default"/>
              <w:rPr>
                <w:lang w:val="es-ES"/>
              </w:rPr>
            </w:pPr>
            <w:r w:rsidRPr="00C956F3">
              <w:rPr>
                <w:lang w:val="es-ES"/>
              </w:rPr>
              <w:t xml:space="preserve">AUC: ↓ 27 % </w:t>
            </w:r>
          </w:p>
          <w:p w:rsidR="00DA0437" w:rsidRPr="00C956F3" w:rsidRDefault="00DA0437" w:rsidP="0032404C">
            <w:pPr>
              <w:pStyle w:val="Default"/>
              <w:rPr>
                <w:lang w:val="es-ES"/>
              </w:rPr>
            </w:pPr>
            <w:r w:rsidRPr="00C956F3">
              <w:rPr>
                <w:lang w:val="es-ES"/>
              </w:rPr>
              <w:t>C</w:t>
            </w:r>
            <w:r w:rsidRPr="00C956F3">
              <w:rPr>
                <w:vertAlign w:val="subscript"/>
                <w:lang w:val="es-ES"/>
              </w:rPr>
              <w:t>max</w:t>
            </w:r>
            <w:r w:rsidRPr="00C956F3">
              <w:rPr>
                <w:lang w:val="es-ES"/>
              </w:rPr>
              <w:t xml:space="preserve">: ↓ 37 % </w:t>
            </w:r>
          </w:p>
          <w:p w:rsidR="00DA0437" w:rsidRPr="00C956F3" w:rsidRDefault="00DA0437" w:rsidP="0032404C">
            <w:pPr>
              <w:pStyle w:val="Default"/>
              <w:rPr>
                <w:lang w:val="es-ES"/>
              </w:rPr>
            </w:pPr>
          </w:p>
          <w:p w:rsidR="00DA0437" w:rsidRPr="00C956F3" w:rsidRDefault="00DA0437" w:rsidP="0032404C">
            <w:pPr>
              <w:pStyle w:val="Default"/>
              <w:rPr>
                <w:lang w:val="es-ES"/>
              </w:rPr>
            </w:pPr>
            <w:r w:rsidRPr="00C956F3">
              <w:rPr>
                <w:lang w:val="es-ES"/>
              </w:rPr>
              <w:t>GS-331007</w:t>
            </w:r>
            <w:r w:rsidRPr="00C956F3">
              <w:rPr>
                <w:vertAlign w:val="superscript"/>
                <w:lang w:val="es-ES"/>
              </w:rPr>
              <w:t>2</w:t>
            </w:r>
            <w:r w:rsidRPr="00C956F3">
              <w:rPr>
                <w:lang w:val="es-ES"/>
              </w:rPr>
              <w:t xml:space="preserve">: </w:t>
            </w:r>
          </w:p>
          <w:p w:rsidR="00DA0437" w:rsidRPr="00C956F3" w:rsidRDefault="00DA0437" w:rsidP="0032404C">
            <w:pPr>
              <w:pStyle w:val="Default"/>
              <w:rPr>
                <w:lang w:val="es-ES"/>
              </w:rPr>
            </w:pPr>
            <w:r w:rsidRPr="00C956F3">
              <w:rPr>
                <w:lang w:val="es-ES"/>
              </w:rPr>
              <w:t xml:space="preserve">AUC: ↔ </w:t>
            </w:r>
          </w:p>
          <w:p w:rsidR="00DA0437" w:rsidRPr="00C956F3" w:rsidRDefault="00DA0437" w:rsidP="0032404C">
            <w:pPr>
              <w:pStyle w:val="Default"/>
              <w:rPr>
                <w:lang w:val="es-ES"/>
              </w:rPr>
            </w:pPr>
            <w:r w:rsidRPr="00C956F3">
              <w:rPr>
                <w:lang w:val="es-ES"/>
              </w:rPr>
              <w:t>C</w:t>
            </w:r>
            <w:r w:rsidRPr="00C956F3">
              <w:rPr>
                <w:vertAlign w:val="subscript"/>
                <w:lang w:val="es-ES"/>
              </w:rPr>
              <w:t>max</w:t>
            </w:r>
            <w:r w:rsidRPr="00C956F3">
              <w:rPr>
                <w:lang w:val="es-ES"/>
              </w:rPr>
              <w:t xml:space="preserve">: ↔ </w:t>
            </w:r>
          </w:p>
          <w:p w:rsidR="00DA0437" w:rsidRPr="00C956F3" w:rsidRDefault="00DA0437" w:rsidP="0032404C">
            <w:pPr>
              <w:pStyle w:val="Default"/>
              <w:rPr>
                <w:lang w:val="es-ES"/>
              </w:rPr>
            </w:pPr>
            <w:r w:rsidRPr="00C956F3">
              <w:rPr>
                <w:lang w:val="es-ES"/>
              </w:rPr>
              <w:t>C</w:t>
            </w:r>
            <w:r w:rsidRPr="00C956F3">
              <w:rPr>
                <w:vertAlign w:val="subscript"/>
                <w:lang w:val="es-ES"/>
              </w:rPr>
              <w:t>min</w:t>
            </w:r>
            <w:r w:rsidRPr="00C956F3">
              <w:rPr>
                <w:lang w:val="es-ES"/>
              </w:rPr>
              <w:t xml:space="preserve">: ↔ </w:t>
            </w:r>
          </w:p>
          <w:p w:rsidR="00DA0437" w:rsidRPr="00C956F3" w:rsidRDefault="00DA0437" w:rsidP="0032404C">
            <w:pPr>
              <w:pStyle w:val="Default"/>
              <w:rPr>
                <w:lang w:val="es-ES"/>
              </w:rPr>
            </w:pPr>
          </w:p>
          <w:p w:rsidR="00DA0437" w:rsidRPr="00C956F3" w:rsidRDefault="00DA0437" w:rsidP="0032404C">
            <w:pPr>
              <w:pStyle w:val="Default"/>
              <w:rPr>
                <w:lang w:val="es-ES"/>
              </w:rPr>
            </w:pPr>
            <w:r w:rsidRPr="00C956F3">
              <w:rPr>
                <w:lang w:val="es-ES"/>
              </w:rPr>
              <w:t xml:space="preserve">Darunavir: </w:t>
            </w:r>
          </w:p>
          <w:p w:rsidR="00DA0437" w:rsidRPr="00C956F3" w:rsidRDefault="00DA0437" w:rsidP="0032404C">
            <w:pPr>
              <w:pStyle w:val="Default"/>
              <w:rPr>
                <w:lang w:val="es-ES"/>
              </w:rPr>
            </w:pPr>
            <w:r w:rsidRPr="00C956F3">
              <w:rPr>
                <w:lang w:val="es-ES"/>
              </w:rPr>
              <w:t xml:space="preserve">AUC: ↔ </w:t>
            </w:r>
          </w:p>
          <w:p w:rsidR="00DA0437" w:rsidRPr="00C956F3" w:rsidRDefault="00DA0437" w:rsidP="0032404C">
            <w:pPr>
              <w:pStyle w:val="Default"/>
              <w:rPr>
                <w:lang w:val="es-ES"/>
              </w:rPr>
            </w:pPr>
            <w:r w:rsidRPr="00C956F3">
              <w:rPr>
                <w:lang w:val="es-ES"/>
              </w:rPr>
              <w:t>C</w:t>
            </w:r>
            <w:r w:rsidRPr="00C956F3">
              <w:rPr>
                <w:vertAlign w:val="subscript"/>
                <w:lang w:val="es-ES"/>
              </w:rPr>
              <w:t>max</w:t>
            </w:r>
            <w:r w:rsidRPr="00C956F3">
              <w:rPr>
                <w:lang w:val="es-ES"/>
              </w:rPr>
              <w:t xml:space="preserve">: ↔ </w:t>
            </w:r>
          </w:p>
          <w:p w:rsidR="00DA0437" w:rsidRPr="00C956F3" w:rsidRDefault="00DA0437" w:rsidP="0032404C">
            <w:pPr>
              <w:pStyle w:val="Default"/>
              <w:rPr>
                <w:lang w:val="es-ES"/>
              </w:rPr>
            </w:pPr>
            <w:r w:rsidRPr="00C956F3">
              <w:rPr>
                <w:lang w:val="es-ES"/>
              </w:rPr>
              <w:t>C</w:t>
            </w:r>
            <w:r w:rsidRPr="00C956F3">
              <w:rPr>
                <w:vertAlign w:val="subscript"/>
                <w:lang w:val="es-ES"/>
              </w:rPr>
              <w:t>min</w:t>
            </w:r>
            <w:r w:rsidRPr="00C956F3">
              <w:rPr>
                <w:lang w:val="es-ES"/>
              </w:rPr>
              <w:t xml:space="preserve">: ↔ </w:t>
            </w:r>
          </w:p>
          <w:p w:rsidR="00DA0437" w:rsidRPr="00C956F3" w:rsidRDefault="00DA0437" w:rsidP="0032404C">
            <w:pPr>
              <w:pStyle w:val="Default"/>
              <w:rPr>
                <w:lang w:val="es-ES"/>
              </w:rPr>
            </w:pPr>
          </w:p>
          <w:p w:rsidR="00DA0437" w:rsidRPr="00C956F3" w:rsidRDefault="00DA0437" w:rsidP="0032404C">
            <w:pPr>
              <w:pStyle w:val="Default"/>
              <w:rPr>
                <w:lang w:val="es-ES"/>
              </w:rPr>
            </w:pPr>
            <w:r w:rsidRPr="00C956F3">
              <w:rPr>
                <w:lang w:val="es-ES"/>
              </w:rPr>
              <w:t xml:space="preserve">Ritonavir: </w:t>
            </w:r>
          </w:p>
          <w:p w:rsidR="00DA0437" w:rsidRPr="00C956F3" w:rsidRDefault="00DA0437" w:rsidP="0032404C">
            <w:pPr>
              <w:pStyle w:val="Default"/>
              <w:rPr>
                <w:lang w:val="es-ES"/>
              </w:rPr>
            </w:pPr>
            <w:r w:rsidRPr="00C956F3">
              <w:rPr>
                <w:lang w:val="es-ES"/>
              </w:rPr>
              <w:t xml:space="preserve">AUC: ↔ </w:t>
            </w:r>
          </w:p>
          <w:p w:rsidR="00DA0437" w:rsidRPr="00C956F3" w:rsidRDefault="00DA0437" w:rsidP="0032404C">
            <w:pPr>
              <w:pStyle w:val="Default"/>
              <w:rPr>
                <w:lang w:val="es-ES"/>
              </w:rPr>
            </w:pPr>
            <w:r w:rsidRPr="00C956F3">
              <w:rPr>
                <w:lang w:val="es-ES"/>
              </w:rPr>
              <w:t>C</w:t>
            </w:r>
            <w:r w:rsidRPr="00C956F3">
              <w:rPr>
                <w:vertAlign w:val="subscript"/>
                <w:lang w:val="es-ES"/>
              </w:rPr>
              <w:t>max</w:t>
            </w:r>
            <w:r w:rsidRPr="00C956F3">
              <w:rPr>
                <w:lang w:val="es-ES"/>
              </w:rPr>
              <w:t xml:space="preserve">: ↔ </w:t>
            </w:r>
          </w:p>
          <w:p w:rsidR="00DA0437" w:rsidRPr="00C956F3" w:rsidRDefault="00DA0437" w:rsidP="0032404C">
            <w:pPr>
              <w:pStyle w:val="Default"/>
              <w:rPr>
                <w:lang w:val="es-ES"/>
              </w:rPr>
            </w:pPr>
            <w:r w:rsidRPr="00C956F3">
              <w:rPr>
                <w:lang w:val="es-ES"/>
              </w:rPr>
              <w:t>C</w:t>
            </w:r>
            <w:r w:rsidRPr="00C956F3">
              <w:rPr>
                <w:vertAlign w:val="subscript"/>
                <w:lang w:val="es-ES"/>
              </w:rPr>
              <w:t>min</w:t>
            </w:r>
            <w:r w:rsidRPr="00C956F3">
              <w:rPr>
                <w:lang w:val="es-ES"/>
              </w:rPr>
              <w:t xml:space="preserve">: ↑ 48 % </w:t>
            </w:r>
          </w:p>
          <w:p w:rsidR="00DA0437" w:rsidRPr="00C956F3" w:rsidRDefault="00DA0437" w:rsidP="0032404C">
            <w:pPr>
              <w:pStyle w:val="Default"/>
              <w:rPr>
                <w:lang w:val="es-ES"/>
              </w:rPr>
            </w:pPr>
          </w:p>
          <w:p w:rsidR="00DA0437" w:rsidRPr="00C956F3" w:rsidRDefault="00DA0437" w:rsidP="0032404C">
            <w:pPr>
              <w:autoSpaceDE w:val="0"/>
              <w:autoSpaceDN w:val="0"/>
              <w:adjustRightInd w:val="0"/>
              <w:rPr>
                <w:sz w:val="20"/>
                <w:lang w:val="es-ES"/>
              </w:rPr>
            </w:pPr>
            <w:r w:rsidRPr="00C956F3">
              <w:rPr>
                <w:sz w:val="24"/>
                <w:szCs w:val="24"/>
                <w:lang w:val="es-ES"/>
              </w:rPr>
              <w:t>Emtricitabin:</w:t>
            </w:r>
            <w:r w:rsidRPr="00C956F3">
              <w:rPr>
                <w:sz w:val="20"/>
                <w:lang w:val="es-ES"/>
              </w:rPr>
              <w:t xml:space="preserve"> </w:t>
            </w:r>
          </w:p>
          <w:p w:rsidR="00DA0437" w:rsidRPr="00C956F3" w:rsidRDefault="00DA0437" w:rsidP="0032404C">
            <w:pPr>
              <w:pStyle w:val="Default"/>
              <w:rPr>
                <w:lang w:val="es-ES"/>
              </w:rPr>
            </w:pPr>
            <w:r w:rsidRPr="00C956F3">
              <w:rPr>
                <w:lang w:val="es-ES"/>
              </w:rPr>
              <w:t xml:space="preserve">AUC: ↔ </w:t>
            </w:r>
          </w:p>
          <w:p w:rsidR="00DA0437" w:rsidRPr="00C956F3" w:rsidRDefault="00DA0437" w:rsidP="0032404C">
            <w:pPr>
              <w:pStyle w:val="Default"/>
              <w:rPr>
                <w:lang w:val="es-ES"/>
              </w:rPr>
            </w:pPr>
            <w:r w:rsidRPr="00C956F3">
              <w:rPr>
                <w:lang w:val="es-ES"/>
              </w:rPr>
              <w:t>C</w:t>
            </w:r>
            <w:r w:rsidRPr="00C956F3">
              <w:rPr>
                <w:vertAlign w:val="subscript"/>
                <w:lang w:val="es-ES"/>
              </w:rPr>
              <w:t>max</w:t>
            </w:r>
            <w:r w:rsidRPr="00C956F3">
              <w:rPr>
                <w:lang w:val="es-ES"/>
              </w:rPr>
              <w:t xml:space="preserve">: ↔ </w:t>
            </w:r>
          </w:p>
          <w:p w:rsidR="00DA0437" w:rsidRPr="00C956F3" w:rsidRDefault="00DA0437" w:rsidP="0032404C">
            <w:pPr>
              <w:pStyle w:val="Default"/>
              <w:rPr>
                <w:lang w:val="es-ES"/>
              </w:rPr>
            </w:pPr>
            <w:r w:rsidRPr="00C956F3">
              <w:rPr>
                <w:lang w:val="es-ES"/>
              </w:rPr>
              <w:t>C</w:t>
            </w:r>
            <w:r w:rsidRPr="00C956F3">
              <w:rPr>
                <w:vertAlign w:val="subscript"/>
                <w:lang w:val="es-ES"/>
              </w:rPr>
              <w:t>min</w:t>
            </w:r>
            <w:r w:rsidRPr="00C956F3">
              <w:rPr>
                <w:lang w:val="es-ES"/>
              </w:rPr>
              <w:t xml:space="preserve">: ↔ </w:t>
            </w:r>
          </w:p>
          <w:p w:rsidR="00DA0437" w:rsidRPr="00C956F3" w:rsidRDefault="00DA0437" w:rsidP="0032404C">
            <w:pPr>
              <w:pStyle w:val="Default"/>
              <w:rPr>
                <w:lang w:val="es-ES"/>
              </w:rPr>
            </w:pPr>
          </w:p>
          <w:p w:rsidR="00DA0437" w:rsidRPr="00C956F3" w:rsidRDefault="00DA0437" w:rsidP="0032404C">
            <w:pPr>
              <w:pStyle w:val="Default"/>
              <w:rPr>
                <w:lang w:val="es-ES"/>
              </w:rPr>
            </w:pPr>
            <w:r w:rsidRPr="00C956F3">
              <w:rPr>
                <w:lang w:val="es-ES"/>
              </w:rPr>
              <w:t xml:space="preserve">Tenofovir: </w:t>
            </w:r>
          </w:p>
          <w:p w:rsidR="00DA0437" w:rsidRPr="00C956F3" w:rsidRDefault="00DA0437" w:rsidP="0032404C">
            <w:pPr>
              <w:pStyle w:val="Default"/>
              <w:rPr>
                <w:lang w:val="es-ES"/>
              </w:rPr>
            </w:pPr>
            <w:r w:rsidRPr="00C956F3">
              <w:rPr>
                <w:lang w:val="es-ES"/>
              </w:rPr>
              <w:t xml:space="preserve">AUC: ↑ 50 % </w:t>
            </w:r>
          </w:p>
          <w:p w:rsidR="00DA0437" w:rsidRPr="00743892" w:rsidRDefault="00DA0437" w:rsidP="0032404C">
            <w:pPr>
              <w:pStyle w:val="Default"/>
            </w:pPr>
            <w:r w:rsidRPr="00743892">
              <w:t>C</w:t>
            </w:r>
            <w:r w:rsidRPr="00743892">
              <w:rPr>
                <w:vertAlign w:val="subscript"/>
              </w:rPr>
              <w:t>max</w:t>
            </w:r>
            <w:r w:rsidRPr="00743892">
              <w:t>: ↑ 64</w:t>
            </w:r>
            <w:r>
              <w:t xml:space="preserve"> </w:t>
            </w:r>
            <w:r w:rsidRPr="00743892">
              <w:t xml:space="preserve">% </w:t>
            </w:r>
          </w:p>
          <w:p w:rsidR="00DA0437" w:rsidRPr="00743892" w:rsidRDefault="00DA0437" w:rsidP="0032404C">
            <w:pPr>
              <w:autoSpaceDE w:val="0"/>
              <w:autoSpaceDN w:val="0"/>
              <w:adjustRightInd w:val="0"/>
              <w:rPr>
                <w:color w:val="000000"/>
                <w:sz w:val="24"/>
                <w:szCs w:val="24"/>
                <w:lang w:val="en-US" w:eastAsia="da-DK"/>
              </w:rPr>
            </w:pPr>
            <w:r w:rsidRPr="00743892">
              <w:rPr>
                <w:sz w:val="24"/>
                <w:szCs w:val="24"/>
              </w:rPr>
              <w:t>C</w:t>
            </w:r>
            <w:r w:rsidRPr="00743892">
              <w:rPr>
                <w:sz w:val="24"/>
                <w:szCs w:val="24"/>
                <w:vertAlign w:val="subscript"/>
              </w:rPr>
              <w:t>min</w:t>
            </w:r>
            <w:r w:rsidRPr="00743892">
              <w:rPr>
                <w:sz w:val="24"/>
                <w:szCs w:val="24"/>
              </w:rPr>
              <w:t>: ↑ 59</w:t>
            </w:r>
            <w:r>
              <w:rPr>
                <w:sz w:val="24"/>
                <w:szCs w:val="24"/>
              </w:rPr>
              <w:t xml:space="preserve"> </w:t>
            </w:r>
            <w:r w:rsidRPr="00743892">
              <w:rPr>
                <w:sz w:val="24"/>
                <w:szCs w:val="24"/>
              </w:rPr>
              <w:t>%</w:t>
            </w:r>
            <w:r>
              <w:rPr>
                <w:sz w:val="20"/>
              </w:rPr>
              <w:t xml:space="preserve"> </w:t>
            </w:r>
          </w:p>
        </w:tc>
        <w:tc>
          <w:tcPr>
            <w:tcW w:w="3029" w:type="dxa"/>
            <w:tcBorders>
              <w:top w:val="single" w:sz="4" w:space="0" w:color="auto"/>
              <w:left w:val="single" w:sz="4" w:space="0" w:color="auto"/>
              <w:bottom w:val="single" w:sz="4" w:space="0" w:color="auto"/>
              <w:right w:val="single" w:sz="4" w:space="0" w:color="auto"/>
            </w:tcBorders>
          </w:tcPr>
          <w:p w:rsidR="00DA0437" w:rsidRDefault="00DA0437" w:rsidP="0032404C">
            <w:pPr>
              <w:pStyle w:val="Default"/>
            </w:pPr>
            <w:r w:rsidRPr="00743892">
              <w:t xml:space="preserve">Øget plasmakoncentration af tenofovir som følge af samtidig administration af tenofovirdisoproxil, ledipasvir/sofosbuvir og darunavir/ritonavir kan øge risikoen for bivirkninger relaterede til tenofovirdisoproxil, herunder nyrerelaterede bivirkninger. Sikkerheden af tenofovirdisoproxil sammen med ledipasvir/sofosbuvir og en farmakokinetisk booster (f.eks. ritonavir eller cobicistat) er ikke klarlagt. </w:t>
            </w:r>
          </w:p>
          <w:p w:rsidR="00DA0437" w:rsidRDefault="00DA0437" w:rsidP="0032404C">
            <w:pPr>
              <w:autoSpaceDE w:val="0"/>
              <w:autoSpaceDN w:val="0"/>
              <w:adjustRightInd w:val="0"/>
              <w:rPr>
                <w:color w:val="000000"/>
                <w:sz w:val="24"/>
                <w:szCs w:val="24"/>
                <w:lang w:eastAsia="da-DK"/>
              </w:rPr>
            </w:pPr>
          </w:p>
          <w:p w:rsidR="00DA0437" w:rsidRDefault="00DA0437" w:rsidP="0032404C">
            <w:pPr>
              <w:pStyle w:val="Default"/>
            </w:pPr>
            <w:r w:rsidRPr="00743892">
              <w:t>Hvis der ikke er andre alternativer, skal kombinationen anvendes med forsigtighed og hyppig monitorering af nyrefunktionen (se pkt. 4.4).</w:t>
            </w:r>
          </w:p>
          <w:p w:rsidR="00DA0437" w:rsidRPr="00743892" w:rsidRDefault="00DA0437" w:rsidP="0032404C">
            <w:pPr>
              <w:autoSpaceDE w:val="0"/>
              <w:autoSpaceDN w:val="0"/>
              <w:adjustRightInd w:val="0"/>
              <w:rPr>
                <w:color w:val="000000"/>
                <w:sz w:val="24"/>
                <w:szCs w:val="24"/>
                <w:lang w:eastAsia="da-DK"/>
              </w:rPr>
            </w:pPr>
          </w:p>
          <w:p w:rsidR="00DA0437" w:rsidRPr="00743892" w:rsidRDefault="00DA0437" w:rsidP="0032404C">
            <w:pPr>
              <w:rPr>
                <w:sz w:val="24"/>
                <w:szCs w:val="24"/>
                <w:lang w:eastAsia="da-DK"/>
              </w:rPr>
            </w:pPr>
          </w:p>
          <w:p w:rsidR="00DA0437" w:rsidRPr="00743892" w:rsidRDefault="00DA0437" w:rsidP="0032404C">
            <w:pPr>
              <w:rPr>
                <w:sz w:val="24"/>
                <w:szCs w:val="24"/>
                <w:lang w:eastAsia="da-DK"/>
              </w:rPr>
            </w:pPr>
          </w:p>
          <w:p w:rsidR="00DA0437" w:rsidRPr="00743892" w:rsidRDefault="00DA0437" w:rsidP="0032404C">
            <w:pPr>
              <w:rPr>
                <w:sz w:val="24"/>
                <w:szCs w:val="24"/>
                <w:lang w:eastAsia="da-DK"/>
              </w:rPr>
            </w:pPr>
          </w:p>
          <w:p w:rsidR="00DA0437" w:rsidRPr="00743892" w:rsidRDefault="00DA0437" w:rsidP="0032404C">
            <w:pPr>
              <w:rPr>
                <w:sz w:val="24"/>
                <w:szCs w:val="24"/>
                <w:lang w:eastAsia="da-DK"/>
              </w:rPr>
            </w:pPr>
          </w:p>
          <w:p w:rsidR="00DA0437" w:rsidRPr="00743892" w:rsidRDefault="00DA0437" w:rsidP="0032404C">
            <w:pPr>
              <w:rPr>
                <w:sz w:val="24"/>
                <w:szCs w:val="24"/>
                <w:lang w:eastAsia="da-DK"/>
              </w:rPr>
            </w:pPr>
          </w:p>
          <w:p w:rsidR="00DA0437" w:rsidRPr="00743892" w:rsidRDefault="00DA0437" w:rsidP="0032404C">
            <w:pPr>
              <w:ind w:firstLine="1304"/>
              <w:rPr>
                <w:sz w:val="24"/>
                <w:szCs w:val="24"/>
                <w:lang w:eastAsia="da-DK"/>
              </w:rPr>
            </w:pPr>
          </w:p>
        </w:tc>
      </w:tr>
      <w:tr w:rsidR="00DA0437" w:rsidTr="0032404C">
        <w:tc>
          <w:tcPr>
            <w:tcW w:w="3022" w:type="dxa"/>
            <w:tcBorders>
              <w:top w:val="single" w:sz="4" w:space="0" w:color="auto"/>
              <w:left w:val="single" w:sz="4" w:space="0" w:color="auto"/>
              <w:bottom w:val="single" w:sz="4" w:space="0" w:color="auto"/>
              <w:right w:val="single" w:sz="4" w:space="0" w:color="auto"/>
            </w:tcBorders>
            <w:hideMark/>
          </w:tcPr>
          <w:p w:rsidR="00DA0437" w:rsidRPr="00743892" w:rsidRDefault="00DA0437" w:rsidP="0032404C">
            <w:pPr>
              <w:pStyle w:val="Default"/>
            </w:pPr>
            <w:r w:rsidRPr="00743892">
              <w:t xml:space="preserve">Ledipasvir/sofosbuvir </w:t>
            </w:r>
          </w:p>
          <w:p w:rsidR="00DA0437" w:rsidRPr="00743892" w:rsidRDefault="00DA0437" w:rsidP="0032404C">
            <w:pPr>
              <w:pStyle w:val="Default"/>
            </w:pPr>
            <w:r w:rsidRPr="00743892">
              <w:t xml:space="preserve">(90 mg/400 mg q.d.) + </w:t>
            </w:r>
          </w:p>
          <w:p w:rsidR="00DA0437" w:rsidRPr="00743892" w:rsidRDefault="00DA0437" w:rsidP="0032404C">
            <w:pPr>
              <w:pStyle w:val="Default"/>
            </w:pPr>
            <w:r w:rsidRPr="00743892">
              <w:t xml:space="preserve">Efavirenz/emtricitabin/ </w:t>
            </w:r>
          </w:p>
          <w:p w:rsidR="00DA0437" w:rsidRPr="00743892" w:rsidRDefault="00DA0437" w:rsidP="0032404C">
            <w:pPr>
              <w:pStyle w:val="Default"/>
            </w:pPr>
            <w:r w:rsidRPr="00743892">
              <w:t xml:space="preserve">tenofovirdisoproxil </w:t>
            </w:r>
          </w:p>
          <w:p w:rsidR="00DA0437" w:rsidRDefault="00DA0437" w:rsidP="0032404C">
            <w:pPr>
              <w:pStyle w:val="Default"/>
            </w:pPr>
            <w:r w:rsidRPr="00743892">
              <w:t xml:space="preserve">(600 mg/200 mg/300 mg q.d.) </w:t>
            </w:r>
          </w:p>
        </w:tc>
        <w:tc>
          <w:tcPr>
            <w:tcW w:w="2952" w:type="dxa"/>
            <w:tcBorders>
              <w:top w:val="single" w:sz="4" w:space="0" w:color="auto"/>
              <w:left w:val="single" w:sz="4" w:space="0" w:color="auto"/>
              <w:bottom w:val="single" w:sz="4" w:space="0" w:color="auto"/>
              <w:right w:val="single" w:sz="4" w:space="0" w:color="auto"/>
            </w:tcBorders>
          </w:tcPr>
          <w:p w:rsidR="00DA0437" w:rsidRPr="00743892" w:rsidRDefault="00DA0437" w:rsidP="0032404C">
            <w:pPr>
              <w:pStyle w:val="Default"/>
            </w:pPr>
            <w:r w:rsidRPr="00743892">
              <w:t xml:space="preserve">Ledipasvir: </w:t>
            </w:r>
          </w:p>
          <w:p w:rsidR="00DA0437" w:rsidRPr="00743892" w:rsidRDefault="00DA0437" w:rsidP="0032404C">
            <w:pPr>
              <w:pStyle w:val="Default"/>
            </w:pPr>
            <w:r w:rsidRPr="00743892">
              <w:t>AUC: ↓ 34</w:t>
            </w:r>
            <w:r>
              <w:t xml:space="preserve"> </w:t>
            </w:r>
            <w:r w:rsidRPr="00743892">
              <w:t xml:space="preserve">% </w:t>
            </w:r>
          </w:p>
          <w:p w:rsidR="00DA0437" w:rsidRPr="00743892" w:rsidRDefault="00DA0437" w:rsidP="0032404C">
            <w:pPr>
              <w:pStyle w:val="Default"/>
            </w:pPr>
            <w:r w:rsidRPr="00743892">
              <w:t>C</w:t>
            </w:r>
            <w:r w:rsidRPr="00743892">
              <w:rPr>
                <w:vertAlign w:val="subscript"/>
              </w:rPr>
              <w:t>max</w:t>
            </w:r>
            <w:r w:rsidRPr="00743892">
              <w:t>: ↓ 34</w:t>
            </w:r>
            <w:r>
              <w:t xml:space="preserve"> </w:t>
            </w:r>
            <w:r w:rsidRPr="00743892">
              <w:t xml:space="preserve">% </w:t>
            </w:r>
          </w:p>
          <w:p w:rsidR="00DA0437" w:rsidRDefault="00DA0437" w:rsidP="0032404C">
            <w:pPr>
              <w:pStyle w:val="Default"/>
            </w:pPr>
            <w:r w:rsidRPr="00743892">
              <w:t>C</w:t>
            </w:r>
            <w:r w:rsidRPr="00743892">
              <w:rPr>
                <w:vertAlign w:val="subscript"/>
              </w:rPr>
              <w:t>min</w:t>
            </w:r>
            <w:r w:rsidRPr="00743892">
              <w:t>: ↓ 34</w:t>
            </w:r>
            <w:r>
              <w:t xml:space="preserve"> </w:t>
            </w:r>
            <w:r w:rsidRPr="00743892">
              <w:t xml:space="preserve">% </w:t>
            </w:r>
          </w:p>
          <w:p w:rsidR="00DA0437" w:rsidRPr="00743892" w:rsidRDefault="00DA0437" w:rsidP="0032404C">
            <w:pPr>
              <w:pStyle w:val="Default"/>
            </w:pPr>
          </w:p>
          <w:p w:rsidR="00DA0437" w:rsidRPr="00743892" w:rsidRDefault="00DA0437" w:rsidP="0032404C">
            <w:pPr>
              <w:pStyle w:val="Default"/>
            </w:pPr>
            <w:r w:rsidRPr="00743892">
              <w:t xml:space="preserve">Sofosbuvir: </w:t>
            </w:r>
          </w:p>
          <w:p w:rsidR="00DA0437" w:rsidRPr="00743892" w:rsidRDefault="00DA0437" w:rsidP="0032404C">
            <w:pPr>
              <w:pStyle w:val="Default"/>
            </w:pPr>
            <w:r w:rsidRPr="00743892">
              <w:t xml:space="preserve">AUC: ↔ </w:t>
            </w:r>
          </w:p>
          <w:p w:rsidR="00DA0437" w:rsidRDefault="00DA0437" w:rsidP="0032404C">
            <w:pPr>
              <w:pStyle w:val="Default"/>
            </w:pPr>
            <w:r w:rsidRPr="00743892">
              <w:t>C</w:t>
            </w:r>
            <w:r w:rsidRPr="00743892">
              <w:rPr>
                <w:vertAlign w:val="superscript"/>
              </w:rPr>
              <w:t>max</w:t>
            </w:r>
            <w:r w:rsidRPr="00743892">
              <w:t xml:space="preserve">: ↔ </w:t>
            </w:r>
          </w:p>
          <w:p w:rsidR="00DA0437" w:rsidRPr="00743892" w:rsidRDefault="00DA0437" w:rsidP="0032404C">
            <w:pPr>
              <w:pStyle w:val="Default"/>
            </w:pPr>
          </w:p>
          <w:p w:rsidR="00DA0437" w:rsidRPr="00743892" w:rsidRDefault="00DA0437" w:rsidP="0032404C">
            <w:pPr>
              <w:pStyle w:val="Default"/>
            </w:pPr>
            <w:r w:rsidRPr="00743892">
              <w:t>GS-331007</w:t>
            </w:r>
            <w:r w:rsidRPr="00743892">
              <w:rPr>
                <w:bCs/>
                <w:vertAlign w:val="superscript"/>
              </w:rPr>
              <w:t>2</w:t>
            </w:r>
            <w:r w:rsidRPr="00743892">
              <w:t xml:space="preserve">: </w:t>
            </w:r>
          </w:p>
          <w:p w:rsidR="00DA0437" w:rsidRPr="00743892" w:rsidRDefault="00DA0437" w:rsidP="0032404C">
            <w:pPr>
              <w:pStyle w:val="Default"/>
            </w:pPr>
            <w:r w:rsidRPr="00743892">
              <w:t xml:space="preserve">AUC: ↔ </w:t>
            </w:r>
          </w:p>
          <w:p w:rsidR="00DA0437" w:rsidRPr="00743892" w:rsidRDefault="00DA0437" w:rsidP="0032404C">
            <w:pPr>
              <w:pStyle w:val="Default"/>
            </w:pPr>
            <w:r w:rsidRPr="00743892">
              <w:t>C</w:t>
            </w:r>
            <w:r w:rsidRPr="00743892">
              <w:rPr>
                <w:vertAlign w:val="subscript"/>
              </w:rPr>
              <w:t>max</w:t>
            </w:r>
            <w:r w:rsidRPr="00743892">
              <w:t xml:space="preserve">: ↔ </w:t>
            </w:r>
          </w:p>
          <w:p w:rsidR="00DA0437" w:rsidRDefault="00DA0437" w:rsidP="0032404C">
            <w:pPr>
              <w:pStyle w:val="Default"/>
            </w:pPr>
            <w:r w:rsidRPr="00743892">
              <w:t>C</w:t>
            </w:r>
            <w:r w:rsidRPr="00743892">
              <w:rPr>
                <w:vertAlign w:val="subscript"/>
              </w:rPr>
              <w:t>min</w:t>
            </w:r>
            <w:r w:rsidRPr="00743892">
              <w:t xml:space="preserve">: ↔ </w:t>
            </w:r>
          </w:p>
          <w:p w:rsidR="00DA0437" w:rsidRPr="00743892" w:rsidRDefault="00DA0437" w:rsidP="0032404C">
            <w:pPr>
              <w:pStyle w:val="Default"/>
            </w:pPr>
          </w:p>
          <w:p w:rsidR="00DA0437" w:rsidRPr="00743892" w:rsidRDefault="00DA0437" w:rsidP="0032404C">
            <w:pPr>
              <w:pStyle w:val="Default"/>
            </w:pPr>
            <w:r w:rsidRPr="00743892">
              <w:t xml:space="preserve">Efavirenz: </w:t>
            </w:r>
          </w:p>
          <w:p w:rsidR="00DA0437" w:rsidRPr="00743892" w:rsidRDefault="00DA0437" w:rsidP="0032404C">
            <w:pPr>
              <w:pStyle w:val="Default"/>
            </w:pPr>
            <w:r w:rsidRPr="00743892">
              <w:t xml:space="preserve">AUC: ↔ </w:t>
            </w:r>
          </w:p>
          <w:p w:rsidR="00DA0437" w:rsidRPr="00743892" w:rsidRDefault="00DA0437" w:rsidP="0032404C">
            <w:pPr>
              <w:pStyle w:val="Default"/>
            </w:pPr>
            <w:r w:rsidRPr="00743892">
              <w:t>C</w:t>
            </w:r>
            <w:r w:rsidRPr="00743892">
              <w:rPr>
                <w:vertAlign w:val="subscript"/>
              </w:rPr>
              <w:t>max</w:t>
            </w:r>
            <w:r w:rsidRPr="00743892">
              <w:t xml:space="preserve">: ↔ </w:t>
            </w:r>
          </w:p>
          <w:p w:rsidR="00DA0437" w:rsidRDefault="00DA0437" w:rsidP="0032404C">
            <w:pPr>
              <w:pStyle w:val="Default"/>
            </w:pPr>
            <w:r w:rsidRPr="00743892">
              <w:t>C</w:t>
            </w:r>
            <w:r w:rsidRPr="00743892">
              <w:rPr>
                <w:vertAlign w:val="subscript"/>
              </w:rPr>
              <w:t>min</w:t>
            </w:r>
            <w:r w:rsidRPr="00743892">
              <w:t xml:space="preserve">: ↔ </w:t>
            </w:r>
          </w:p>
          <w:p w:rsidR="00DA0437" w:rsidRPr="00743892" w:rsidRDefault="00DA0437" w:rsidP="0032404C">
            <w:pPr>
              <w:pStyle w:val="Default"/>
            </w:pPr>
          </w:p>
          <w:p w:rsidR="00DA0437" w:rsidRPr="00743892" w:rsidRDefault="00DA0437" w:rsidP="0032404C">
            <w:pPr>
              <w:pStyle w:val="Default"/>
            </w:pPr>
            <w:r w:rsidRPr="00743892">
              <w:t xml:space="preserve">Emtricitabin: </w:t>
            </w:r>
          </w:p>
          <w:p w:rsidR="00DA0437" w:rsidRPr="00743892" w:rsidRDefault="00DA0437" w:rsidP="0032404C">
            <w:pPr>
              <w:pStyle w:val="Default"/>
            </w:pPr>
            <w:r w:rsidRPr="00743892">
              <w:t xml:space="preserve">AUC: ↔ </w:t>
            </w:r>
          </w:p>
          <w:p w:rsidR="00DA0437" w:rsidRPr="00743892" w:rsidRDefault="00DA0437" w:rsidP="0032404C">
            <w:pPr>
              <w:pStyle w:val="Default"/>
            </w:pPr>
            <w:r w:rsidRPr="00743892">
              <w:t>C</w:t>
            </w:r>
            <w:r w:rsidRPr="00743892">
              <w:rPr>
                <w:vertAlign w:val="subscript"/>
              </w:rPr>
              <w:t>max</w:t>
            </w:r>
            <w:r w:rsidRPr="00743892">
              <w:t xml:space="preserve">: ↔ </w:t>
            </w:r>
          </w:p>
          <w:p w:rsidR="00DA0437" w:rsidRDefault="00DA0437" w:rsidP="0032404C">
            <w:pPr>
              <w:pStyle w:val="Default"/>
            </w:pPr>
            <w:r w:rsidRPr="00743892">
              <w:t>C</w:t>
            </w:r>
            <w:r w:rsidRPr="00743892">
              <w:rPr>
                <w:vertAlign w:val="subscript"/>
              </w:rPr>
              <w:t>min</w:t>
            </w:r>
            <w:r w:rsidRPr="00743892">
              <w:t xml:space="preserve">: ↔ </w:t>
            </w:r>
          </w:p>
          <w:p w:rsidR="00DA0437" w:rsidRPr="00743892" w:rsidRDefault="00DA0437" w:rsidP="0032404C">
            <w:pPr>
              <w:pStyle w:val="Default"/>
            </w:pPr>
          </w:p>
          <w:p w:rsidR="00DA0437" w:rsidRPr="00743892" w:rsidRDefault="00DA0437" w:rsidP="0032404C">
            <w:pPr>
              <w:pStyle w:val="Default"/>
            </w:pPr>
            <w:r w:rsidRPr="00743892">
              <w:t xml:space="preserve">Tenofovir: </w:t>
            </w:r>
          </w:p>
          <w:p w:rsidR="00DA0437" w:rsidRPr="00743892" w:rsidRDefault="00DA0437" w:rsidP="0032404C">
            <w:pPr>
              <w:pStyle w:val="Default"/>
            </w:pPr>
            <w:r w:rsidRPr="00743892">
              <w:t>AUC: ↑ 98</w:t>
            </w:r>
            <w:r>
              <w:t xml:space="preserve"> </w:t>
            </w:r>
            <w:r w:rsidRPr="00743892">
              <w:t xml:space="preserve">% </w:t>
            </w:r>
          </w:p>
          <w:p w:rsidR="00DA0437" w:rsidRPr="00743892" w:rsidRDefault="00DA0437" w:rsidP="0032404C">
            <w:pPr>
              <w:pStyle w:val="Default"/>
            </w:pPr>
            <w:r w:rsidRPr="00743892">
              <w:t>C</w:t>
            </w:r>
            <w:r w:rsidRPr="00743892">
              <w:rPr>
                <w:vertAlign w:val="subscript"/>
              </w:rPr>
              <w:t>max</w:t>
            </w:r>
            <w:r w:rsidRPr="00743892">
              <w:t>: ↑ 79</w:t>
            </w:r>
            <w:r>
              <w:t xml:space="preserve"> </w:t>
            </w:r>
            <w:r w:rsidRPr="00743892">
              <w:t xml:space="preserve">% </w:t>
            </w:r>
          </w:p>
          <w:p w:rsidR="00DA0437" w:rsidRDefault="00DA0437" w:rsidP="0032404C">
            <w:pPr>
              <w:pStyle w:val="Default"/>
              <w:rPr>
                <w:lang w:val="en-US"/>
              </w:rPr>
            </w:pPr>
            <w:r w:rsidRPr="00743892">
              <w:t>C</w:t>
            </w:r>
            <w:r w:rsidRPr="00743892">
              <w:rPr>
                <w:vertAlign w:val="subscript"/>
              </w:rPr>
              <w:t>min</w:t>
            </w:r>
            <w:r w:rsidRPr="00743892">
              <w:t>: ↑ 163</w:t>
            </w:r>
            <w:r>
              <w:t xml:space="preserve"> </w:t>
            </w:r>
            <w:r w:rsidRPr="00743892">
              <w:t xml:space="preserve">% </w:t>
            </w:r>
          </w:p>
        </w:tc>
        <w:tc>
          <w:tcPr>
            <w:tcW w:w="3029" w:type="dxa"/>
            <w:tcBorders>
              <w:top w:val="single" w:sz="4" w:space="0" w:color="auto"/>
              <w:left w:val="single" w:sz="4" w:space="0" w:color="auto"/>
              <w:bottom w:val="single" w:sz="4" w:space="0" w:color="auto"/>
              <w:right w:val="single" w:sz="4" w:space="0" w:color="auto"/>
            </w:tcBorders>
          </w:tcPr>
          <w:p w:rsidR="00DA0437" w:rsidRDefault="00DA0437" w:rsidP="0032404C">
            <w:pPr>
              <w:pStyle w:val="Default"/>
            </w:pPr>
            <w:r w:rsidRPr="00743892">
              <w:t>Anbefaling for dosisjustering foreligger ikke. Den forøgede tenofovir-eksponering kan forstærke effekten af bivirkninger ved tenofovirdisoproxil, herunder nyresygdomme. Nyrefunktionen skal monitoreres tæt (se pkt. 4.4).</w:t>
            </w:r>
          </w:p>
          <w:p w:rsidR="00DA0437" w:rsidRDefault="00DA0437" w:rsidP="0032404C">
            <w:pPr>
              <w:pStyle w:val="Default"/>
            </w:pPr>
          </w:p>
        </w:tc>
      </w:tr>
      <w:tr w:rsidR="00DA0437" w:rsidTr="0032404C">
        <w:tc>
          <w:tcPr>
            <w:tcW w:w="3022" w:type="dxa"/>
            <w:tcBorders>
              <w:top w:val="single" w:sz="4" w:space="0" w:color="auto"/>
              <w:left w:val="single" w:sz="4" w:space="0" w:color="auto"/>
              <w:bottom w:val="single" w:sz="4" w:space="0" w:color="auto"/>
              <w:right w:val="single" w:sz="4" w:space="0" w:color="auto"/>
            </w:tcBorders>
            <w:hideMark/>
          </w:tcPr>
          <w:p w:rsidR="00DA0437" w:rsidRPr="00743892" w:rsidRDefault="00DA0437" w:rsidP="0032404C">
            <w:pPr>
              <w:pStyle w:val="Default"/>
            </w:pPr>
            <w:r w:rsidRPr="00743892">
              <w:t xml:space="preserve">Ledipasvir/sofosbuvir </w:t>
            </w:r>
          </w:p>
          <w:p w:rsidR="00DA0437" w:rsidRPr="00743892" w:rsidRDefault="00DA0437" w:rsidP="0032404C">
            <w:pPr>
              <w:pStyle w:val="Default"/>
            </w:pPr>
            <w:r w:rsidRPr="00743892">
              <w:t xml:space="preserve">(90 mg/400 mg q.d.) + </w:t>
            </w:r>
          </w:p>
          <w:p w:rsidR="00DA0437" w:rsidRPr="00743892" w:rsidRDefault="00DA0437" w:rsidP="0032404C">
            <w:pPr>
              <w:pStyle w:val="Default"/>
            </w:pPr>
            <w:r w:rsidRPr="00743892">
              <w:t xml:space="preserve">Emtricitabin/rilpivirin/ </w:t>
            </w:r>
          </w:p>
          <w:p w:rsidR="00DA0437" w:rsidRPr="00743892" w:rsidRDefault="00DA0437" w:rsidP="0032404C">
            <w:pPr>
              <w:pStyle w:val="Default"/>
            </w:pPr>
            <w:r w:rsidRPr="00743892">
              <w:t xml:space="preserve">tenofovirdisoproxil </w:t>
            </w:r>
          </w:p>
          <w:p w:rsidR="00DA0437" w:rsidRDefault="00DA0437" w:rsidP="0032404C">
            <w:pPr>
              <w:pStyle w:val="Default"/>
            </w:pPr>
            <w:r w:rsidRPr="00743892">
              <w:t xml:space="preserve">(200 mg/25 mg/300 mg q.d.) </w:t>
            </w:r>
          </w:p>
        </w:tc>
        <w:tc>
          <w:tcPr>
            <w:tcW w:w="2952" w:type="dxa"/>
            <w:tcBorders>
              <w:top w:val="single" w:sz="4" w:space="0" w:color="auto"/>
              <w:left w:val="single" w:sz="4" w:space="0" w:color="auto"/>
              <w:bottom w:val="single" w:sz="4" w:space="0" w:color="auto"/>
              <w:right w:val="single" w:sz="4" w:space="0" w:color="auto"/>
            </w:tcBorders>
          </w:tcPr>
          <w:p w:rsidR="00DA0437" w:rsidRPr="00743892" w:rsidRDefault="00DA0437" w:rsidP="0032404C">
            <w:pPr>
              <w:pStyle w:val="Default"/>
            </w:pPr>
            <w:r w:rsidRPr="00743892">
              <w:t xml:space="preserve">Ledipasvir: </w:t>
            </w:r>
          </w:p>
          <w:p w:rsidR="00DA0437" w:rsidRPr="00743892" w:rsidRDefault="00DA0437" w:rsidP="0032404C">
            <w:pPr>
              <w:pStyle w:val="Default"/>
            </w:pPr>
            <w:r w:rsidRPr="00743892">
              <w:t xml:space="preserve">AUC: ↔ </w:t>
            </w:r>
          </w:p>
          <w:p w:rsidR="00DA0437" w:rsidRPr="00743892" w:rsidRDefault="00DA0437" w:rsidP="0032404C">
            <w:pPr>
              <w:pStyle w:val="Default"/>
            </w:pPr>
            <w:r w:rsidRPr="00743892">
              <w:t>C</w:t>
            </w:r>
            <w:r w:rsidRPr="00743892">
              <w:rPr>
                <w:vertAlign w:val="subscript"/>
              </w:rPr>
              <w:t>max</w:t>
            </w:r>
            <w:r w:rsidRPr="00743892">
              <w:t xml:space="preserve">: ↔ </w:t>
            </w:r>
          </w:p>
          <w:p w:rsidR="00DA0437" w:rsidRDefault="00DA0437" w:rsidP="0032404C">
            <w:pPr>
              <w:pStyle w:val="Default"/>
            </w:pPr>
            <w:r w:rsidRPr="00743892">
              <w:t>C</w:t>
            </w:r>
            <w:r w:rsidRPr="00743892">
              <w:rPr>
                <w:vertAlign w:val="subscript"/>
              </w:rPr>
              <w:t>min</w:t>
            </w:r>
            <w:r w:rsidRPr="00743892">
              <w:t xml:space="preserve">: ↔ </w:t>
            </w:r>
          </w:p>
          <w:p w:rsidR="00DA0437" w:rsidRPr="00743892" w:rsidRDefault="00DA0437" w:rsidP="0032404C">
            <w:pPr>
              <w:pStyle w:val="Default"/>
            </w:pPr>
          </w:p>
          <w:p w:rsidR="00DA0437" w:rsidRPr="00743892" w:rsidRDefault="00DA0437" w:rsidP="0032404C">
            <w:pPr>
              <w:pStyle w:val="Default"/>
            </w:pPr>
            <w:r w:rsidRPr="00743892">
              <w:t xml:space="preserve">Sofosbuvir: </w:t>
            </w:r>
          </w:p>
          <w:p w:rsidR="00DA0437" w:rsidRPr="00743892" w:rsidRDefault="00DA0437" w:rsidP="0032404C">
            <w:pPr>
              <w:pStyle w:val="Default"/>
            </w:pPr>
            <w:r w:rsidRPr="00743892">
              <w:t xml:space="preserve">AUC: ↔ </w:t>
            </w:r>
          </w:p>
          <w:p w:rsidR="00DA0437" w:rsidRDefault="00DA0437" w:rsidP="0032404C">
            <w:pPr>
              <w:pStyle w:val="Default"/>
            </w:pPr>
            <w:r w:rsidRPr="00743892">
              <w:t>C</w:t>
            </w:r>
            <w:r w:rsidRPr="00743892">
              <w:rPr>
                <w:vertAlign w:val="subscript"/>
              </w:rPr>
              <w:t>max</w:t>
            </w:r>
            <w:r w:rsidRPr="00743892">
              <w:t xml:space="preserve">: ↔ </w:t>
            </w:r>
          </w:p>
          <w:p w:rsidR="00DA0437" w:rsidRPr="00743892" w:rsidRDefault="00DA0437" w:rsidP="0032404C">
            <w:pPr>
              <w:pStyle w:val="Default"/>
            </w:pPr>
          </w:p>
          <w:p w:rsidR="00DA0437" w:rsidRPr="00743892" w:rsidRDefault="00DA0437" w:rsidP="0032404C">
            <w:pPr>
              <w:pStyle w:val="Default"/>
            </w:pPr>
            <w:r w:rsidRPr="00743892">
              <w:t>GS-331007</w:t>
            </w:r>
            <w:r w:rsidRPr="00743892">
              <w:rPr>
                <w:bCs/>
                <w:vertAlign w:val="superscript"/>
              </w:rPr>
              <w:t>2</w:t>
            </w:r>
            <w:r w:rsidRPr="00743892">
              <w:t xml:space="preserve">: </w:t>
            </w:r>
          </w:p>
          <w:p w:rsidR="00DA0437" w:rsidRPr="00743892" w:rsidRDefault="00DA0437" w:rsidP="0032404C">
            <w:pPr>
              <w:pStyle w:val="Default"/>
            </w:pPr>
            <w:r w:rsidRPr="00743892">
              <w:t xml:space="preserve">AUC: ↔ </w:t>
            </w:r>
          </w:p>
          <w:p w:rsidR="00DA0437" w:rsidRPr="00743892" w:rsidRDefault="00DA0437" w:rsidP="0032404C">
            <w:pPr>
              <w:pStyle w:val="Default"/>
            </w:pPr>
            <w:r w:rsidRPr="00743892">
              <w:t>C</w:t>
            </w:r>
            <w:r w:rsidRPr="00743892">
              <w:rPr>
                <w:vertAlign w:val="subscript"/>
              </w:rPr>
              <w:t>max</w:t>
            </w:r>
            <w:r w:rsidRPr="00743892">
              <w:t xml:space="preserve">: ↔ </w:t>
            </w:r>
          </w:p>
          <w:p w:rsidR="00DA0437" w:rsidRDefault="00DA0437" w:rsidP="0032404C">
            <w:pPr>
              <w:pStyle w:val="Default"/>
            </w:pPr>
            <w:r w:rsidRPr="00743892">
              <w:t>C</w:t>
            </w:r>
            <w:r w:rsidRPr="00743892">
              <w:rPr>
                <w:vertAlign w:val="subscript"/>
              </w:rPr>
              <w:t>min</w:t>
            </w:r>
            <w:r w:rsidRPr="00743892">
              <w:t xml:space="preserve">: ↔ </w:t>
            </w:r>
          </w:p>
          <w:p w:rsidR="00DA0437" w:rsidRPr="00743892" w:rsidRDefault="00DA0437" w:rsidP="0032404C">
            <w:pPr>
              <w:pStyle w:val="Default"/>
            </w:pPr>
          </w:p>
          <w:p w:rsidR="00DA0437" w:rsidRPr="00743892" w:rsidRDefault="00DA0437" w:rsidP="0032404C">
            <w:pPr>
              <w:pStyle w:val="Default"/>
            </w:pPr>
            <w:r w:rsidRPr="00743892">
              <w:t xml:space="preserve">Emtricitabin: </w:t>
            </w:r>
          </w:p>
          <w:p w:rsidR="00DA0437" w:rsidRPr="00743892" w:rsidRDefault="00DA0437" w:rsidP="0032404C">
            <w:pPr>
              <w:pStyle w:val="Default"/>
            </w:pPr>
            <w:r w:rsidRPr="00743892">
              <w:t xml:space="preserve">AUC: ↔ </w:t>
            </w:r>
          </w:p>
          <w:p w:rsidR="00DA0437" w:rsidRPr="00743892" w:rsidRDefault="00DA0437" w:rsidP="0032404C">
            <w:pPr>
              <w:pStyle w:val="Default"/>
            </w:pPr>
            <w:r w:rsidRPr="00743892">
              <w:t>C</w:t>
            </w:r>
            <w:r w:rsidRPr="00743892">
              <w:rPr>
                <w:vertAlign w:val="subscript"/>
              </w:rPr>
              <w:t>max</w:t>
            </w:r>
            <w:r w:rsidRPr="00743892">
              <w:t xml:space="preserve">: ↔ </w:t>
            </w:r>
          </w:p>
          <w:p w:rsidR="00DA0437" w:rsidRDefault="00DA0437" w:rsidP="0032404C">
            <w:pPr>
              <w:pStyle w:val="Default"/>
            </w:pPr>
            <w:r w:rsidRPr="00743892">
              <w:t>C</w:t>
            </w:r>
            <w:r w:rsidRPr="00743892">
              <w:rPr>
                <w:vertAlign w:val="subscript"/>
              </w:rPr>
              <w:t>min</w:t>
            </w:r>
            <w:r w:rsidRPr="00743892">
              <w:t xml:space="preserve">: ↔ </w:t>
            </w:r>
          </w:p>
          <w:p w:rsidR="00DA0437" w:rsidRPr="00743892" w:rsidRDefault="00DA0437" w:rsidP="0032404C">
            <w:pPr>
              <w:pStyle w:val="Default"/>
            </w:pPr>
          </w:p>
          <w:p w:rsidR="00DA0437" w:rsidRPr="00743892" w:rsidRDefault="00DA0437" w:rsidP="0032404C">
            <w:pPr>
              <w:pStyle w:val="Default"/>
            </w:pPr>
            <w:r w:rsidRPr="00743892">
              <w:t xml:space="preserve">Rilpivirin: </w:t>
            </w:r>
          </w:p>
          <w:p w:rsidR="00DA0437" w:rsidRPr="00743892" w:rsidRDefault="00DA0437" w:rsidP="0032404C">
            <w:pPr>
              <w:pStyle w:val="Default"/>
            </w:pPr>
            <w:r w:rsidRPr="00743892">
              <w:t xml:space="preserve">AUC: ↔ </w:t>
            </w:r>
          </w:p>
          <w:p w:rsidR="00DA0437" w:rsidRPr="00743892" w:rsidRDefault="00DA0437" w:rsidP="0032404C">
            <w:pPr>
              <w:pStyle w:val="Default"/>
            </w:pPr>
            <w:r w:rsidRPr="00743892">
              <w:t>C</w:t>
            </w:r>
            <w:r w:rsidRPr="00743892">
              <w:rPr>
                <w:vertAlign w:val="subscript"/>
              </w:rPr>
              <w:t>max</w:t>
            </w:r>
            <w:r w:rsidRPr="00743892">
              <w:t xml:space="preserve">: ↔ </w:t>
            </w:r>
          </w:p>
          <w:p w:rsidR="00DA0437" w:rsidRDefault="00DA0437" w:rsidP="0032404C">
            <w:pPr>
              <w:pStyle w:val="Default"/>
            </w:pPr>
            <w:r w:rsidRPr="00743892">
              <w:t>C</w:t>
            </w:r>
            <w:r w:rsidRPr="00743892">
              <w:rPr>
                <w:vertAlign w:val="subscript"/>
              </w:rPr>
              <w:t>min</w:t>
            </w:r>
            <w:r w:rsidRPr="00743892">
              <w:t>: ↔</w:t>
            </w:r>
          </w:p>
          <w:p w:rsidR="00DA0437" w:rsidRPr="00743892" w:rsidRDefault="00DA0437" w:rsidP="0032404C">
            <w:pPr>
              <w:pStyle w:val="Default"/>
            </w:pPr>
            <w:r w:rsidRPr="00743892">
              <w:t xml:space="preserve"> </w:t>
            </w:r>
          </w:p>
          <w:p w:rsidR="00DA0437" w:rsidRPr="00743892" w:rsidRDefault="00DA0437" w:rsidP="0032404C">
            <w:pPr>
              <w:pStyle w:val="Default"/>
            </w:pPr>
            <w:r w:rsidRPr="00743892">
              <w:t xml:space="preserve">Tenofovir: </w:t>
            </w:r>
          </w:p>
          <w:p w:rsidR="00DA0437" w:rsidRPr="00743892" w:rsidRDefault="00DA0437" w:rsidP="0032404C">
            <w:pPr>
              <w:pStyle w:val="Default"/>
            </w:pPr>
            <w:r w:rsidRPr="00743892">
              <w:t>AUC: ↑ 40</w:t>
            </w:r>
            <w:r>
              <w:t xml:space="preserve"> </w:t>
            </w:r>
            <w:r w:rsidRPr="00743892">
              <w:t xml:space="preserve">% </w:t>
            </w:r>
          </w:p>
          <w:p w:rsidR="00DA0437" w:rsidRPr="00743892" w:rsidRDefault="00DA0437" w:rsidP="0032404C">
            <w:pPr>
              <w:pStyle w:val="Default"/>
            </w:pPr>
            <w:r w:rsidRPr="00743892">
              <w:t>C</w:t>
            </w:r>
            <w:r w:rsidRPr="00743892">
              <w:rPr>
                <w:vertAlign w:val="subscript"/>
              </w:rPr>
              <w:t>max</w:t>
            </w:r>
            <w:r w:rsidRPr="00743892">
              <w:t xml:space="preserve">: ↔ </w:t>
            </w:r>
          </w:p>
          <w:p w:rsidR="00DA0437" w:rsidRPr="00743892" w:rsidRDefault="00DA0437" w:rsidP="0032404C">
            <w:pPr>
              <w:pStyle w:val="Default"/>
            </w:pPr>
            <w:r w:rsidRPr="00743892">
              <w:t>C</w:t>
            </w:r>
            <w:r w:rsidRPr="00743892">
              <w:rPr>
                <w:vertAlign w:val="subscript"/>
              </w:rPr>
              <w:t>min</w:t>
            </w:r>
            <w:r w:rsidRPr="00743892">
              <w:t>: ↑ 91</w:t>
            </w:r>
            <w:r>
              <w:t xml:space="preserve"> </w:t>
            </w:r>
            <w:r w:rsidRPr="00743892">
              <w:t xml:space="preserve">% </w:t>
            </w:r>
          </w:p>
        </w:tc>
        <w:tc>
          <w:tcPr>
            <w:tcW w:w="3029" w:type="dxa"/>
            <w:tcBorders>
              <w:top w:val="single" w:sz="4" w:space="0" w:color="auto"/>
              <w:left w:val="single" w:sz="4" w:space="0" w:color="auto"/>
              <w:bottom w:val="single" w:sz="4" w:space="0" w:color="auto"/>
              <w:right w:val="single" w:sz="4" w:space="0" w:color="auto"/>
            </w:tcBorders>
          </w:tcPr>
          <w:p w:rsidR="00DA0437" w:rsidRDefault="00DA0437" w:rsidP="0032404C">
            <w:pPr>
              <w:pStyle w:val="Default"/>
            </w:pPr>
            <w:r w:rsidRPr="00743892">
              <w:t>Anbefaling for dosisjustering foreligger ikke. Den forøgede tenofovir-eksponering kan forstærke effekten af bivirkninger ved tenofovirdisoproxil, herunder nyresygdomme. Nyrefunktionen skal monitoreres tæt (se pkt. 4.4).</w:t>
            </w:r>
          </w:p>
          <w:p w:rsidR="00DA0437" w:rsidRDefault="00DA0437" w:rsidP="0032404C">
            <w:pPr>
              <w:pStyle w:val="Default"/>
            </w:pPr>
          </w:p>
          <w:p w:rsidR="00DA0437" w:rsidRDefault="00DA0437" w:rsidP="0032404C"/>
          <w:p w:rsidR="00DA0437" w:rsidRDefault="00DA0437" w:rsidP="0032404C">
            <w:pPr>
              <w:jc w:val="center"/>
            </w:pPr>
          </w:p>
        </w:tc>
      </w:tr>
      <w:tr w:rsidR="00DA0437" w:rsidTr="0032404C">
        <w:tc>
          <w:tcPr>
            <w:tcW w:w="3022" w:type="dxa"/>
            <w:tcBorders>
              <w:top w:val="single" w:sz="4" w:space="0" w:color="auto"/>
              <w:left w:val="single" w:sz="4" w:space="0" w:color="auto"/>
              <w:bottom w:val="single" w:sz="4" w:space="0" w:color="auto"/>
              <w:right w:val="single" w:sz="4" w:space="0" w:color="auto"/>
            </w:tcBorders>
            <w:hideMark/>
          </w:tcPr>
          <w:p w:rsidR="00DA0437" w:rsidRPr="00743892" w:rsidRDefault="00DA0437" w:rsidP="0032404C">
            <w:pPr>
              <w:pStyle w:val="Default"/>
            </w:pPr>
            <w:r w:rsidRPr="00743892">
              <w:t xml:space="preserve">Sofosbuvir </w:t>
            </w:r>
          </w:p>
          <w:p w:rsidR="00DA0437" w:rsidRPr="00743892" w:rsidRDefault="00DA0437" w:rsidP="0032404C">
            <w:pPr>
              <w:pStyle w:val="Default"/>
            </w:pPr>
            <w:r w:rsidRPr="00743892">
              <w:t xml:space="preserve">(400 mg q.d.) + </w:t>
            </w:r>
          </w:p>
          <w:p w:rsidR="00DA0437" w:rsidRPr="00743892" w:rsidRDefault="00DA0437" w:rsidP="0032404C">
            <w:pPr>
              <w:pStyle w:val="Default"/>
            </w:pPr>
            <w:r w:rsidRPr="00743892">
              <w:t xml:space="preserve">Efavirenz/emtricitabin/ </w:t>
            </w:r>
          </w:p>
          <w:p w:rsidR="00DA0437" w:rsidRPr="00743892" w:rsidRDefault="00DA0437" w:rsidP="0032404C">
            <w:pPr>
              <w:pStyle w:val="Default"/>
            </w:pPr>
            <w:r w:rsidRPr="00743892">
              <w:t xml:space="preserve">tenofovirdisoproxil </w:t>
            </w:r>
          </w:p>
          <w:p w:rsidR="00DA0437" w:rsidRPr="00743892" w:rsidRDefault="00DA0437" w:rsidP="0032404C">
            <w:pPr>
              <w:pStyle w:val="Default"/>
            </w:pPr>
            <w:r w:rsidRPr="00743892">
              <w:t xml:space="preserve">(600 mg/200 mg/300 mg q.d.) </w:t>
            </w:r>
          </w:p>
        </w:tc>
        <w:tc>
          <w:tcPr>
            <w:tcW w:w="2952" w:type="dxa"/>
            <w:tcBorders>
              <w:top w:val="single" w:sz="4" w:space="0" w:color="auto"/>
              <w:left w:val="single" w:sz="4" w:space="0" w:color="auto"/>
              <w:bottom w:val="single" w:sz="4" w:space="0" w:color="auto"/>
              <w:right w:val="single" w:sz="4" w:space="0" w:color="auto"/>
            </w:tcBorders>
          </w:tcPr>
          <w:p w:rsidR="00DA0437" w:rsidRPr="00743892" w:rsidRDefault="00DA0437" w:rsidP="0032404C">
            <w:pPr>
              <w:pStyle w:val="Default"/>
            </w:pPr>
            <w:r w:rsidRPr="00743892">
              <w:t xml:space="preserve">Sofosbuvir: </w:t>
            </w:r>
          </w:p>
          <w:p w:rsidR="00DA0437" w:rsidRPr="00743892" w:rsidRDefault="00DA0437" w:rsidP="0032404C">
            <w:pPr>
              <w:pStyle w:val="Default"/>
            </w:pPr>
            <w:r w:rsidRPr="00743892">
              <w:t xml:space="preserve">AUC: ↔ </w:t>
            </w:r>
          </w:p>
          <w:p w:rsidR="00DA0437" w:rsidRDefault="00DA0437" w:rsidP="0032404C">
            <w:pPr>
              <w:pStyle w:val="Default"/>
            </w:pPr>
            <w:r w:rsidRPr="00743892">
              <w:t>C</w:t>
            </w:r>
            <w:r w:rsidRPr="00743892">
              <w:rPr>
                <w:vertAlign w:val="subscript"/>
              </w:rPr>
              <w:t>max</w:t>
            </w:r>
            <w:r w:rsidRPr="00743892">
              <w:t>: ↓ 19</w:t>
            </w:r>
            <w:r>
              <w:t xml:space="preserve"> </w:t>
            </w:r>
            <w:r w:rsidRPr="00743892">
              <w:t xml:space="preserve">% </w:t>
            </w:r>
          </w:p>
          <w:p w:rsidR="00DA0437" w:rsidRPr="00743892" w:rsidRDefault="00DA0437" w:rsidP="0032404C">
            <w:pPr>
              <w:pStyle w:val="Default"/>
            </w:pPr>
          </w:p>
          <w:p w:rsidR="00DA0437" w:rsidRPr="00743892" w:rsidRDefault="00DA0437" w:rsidP="0032404C">
            <w:pPr>
              <w:pStyle w:val="Default"/>
            </w:pPr>
            <w:r w:rsidRPr="00743892">
              <w:t>GS-331007</w:t>
            </w:r>
            <w:r w:rsidRPr="00743892">
              <w:rPr>
                <w:bCs/>
                <w:vertAlign w:val="superscript"/>
              </w:rPr>
              <w:t>2</w:t>
            </w:r>
            <w:r w:rsidRPr="00743892">
              <w:t xml:space="preserve">: </w:t>
            </w:r>
          </w:p>
          <w:p w:rsidR="00DA0437" w:rsidRPr="00743892" w:rsidRDefault="00DA0437" w:rsidP="0032404C">
            <w:pPr>
              <w:pStyle w:val="Default"/>
            </w:pPr>
            <w:r w:rsidRPr="00743892">
              <w:t xml:space="preserve">AUC: ↔ </w:t>
            </w:r>
          </w:p>
          <w:p w:rsidR="00DA0437" w:rsidRPr="00743892" w:rsidRDefault="00DA0437" w:rsidP="0032404C">
            <w:pPr>
              <w:pStyle w:val="Default"/>
            </w:pPr>
            <w:r w:rsidRPr="00743892">
              <w:t>C</w:t>
            </w:r>
            <w:r w:rsidRPr="00743892">
              <w:rPr>
                <w:vertAlign w:val="subscript"/>
              </w:rPr>
              <w:t>max</w:t>
            </w:r>
            <w:r w:rsidRPr="00743892">
              <w:t>: ↓ 23</w:t>
            </w:r>
            <w:r>
              <w:t xml:space="preserve"> </w:t>
            </w:r>
            <w:r w:rsidRPr="00743892">
              <w:t xml:space="preserve">% </w:t>
            </w:r>
          </w:p>
          <w:p w:rsidR="00DA0437" w:rsidRPr="00743892" w:rsidRDefault="00DA0437" w:rsidP="0032404C">
            <w:pPr>
              <w:pStyle w:val="Default"/>
            </w:pPr>
            <w:r w:rsidRPr="00743892">
              <w:t xml:space="preserve">Efavirenz: </w:t>
            </w:r>
          </w:p>
          <w:p w:rsidR="00DA0437" w:rsidRPr="00743892" w:rsidRDefault="00DA0437" w:rsidP="0032404C">
            <w:pPr>
              <w:pStyle w:val="Default"/>
            </w:pPr>
            <w:r w:rsidRPr="00743892">
              <w:t xml:space="preserve">AUC: ↔ </w:t>
            </w:r>
          </w:p>
          <w:p w:rsidR="00DA0437" w:rsidRPr="00743892" w:rsidRDefault="00DA0437" w:rsidP="0032404C">
            <w:pPr>
              <w:pStyle w:val="Default"/>
            </w:pPr>
            <w:r w:rsidRPr="00743892">
              <w:t>C</w:t>
            </w:r>
            <w:r w:rsidRPr="00743892">
              <w:rPr>
                <w:vertAlign w:val="subscript"/>
              </w:rPr>
              <w:t>max</w:t>
            </w:r>
            <w:r w:rsidRPr="00743892">
              <w:t xml:space="preserve">: ↔ </w:t>
            </w:r>
          </w:p>
          <w:p w:rsidR="00DA0437" w:rsidRDefault="00DA0437" w:rsidP="0032404C">
            <w:pPr>
              <w:pStyle w:val="Default"/>
            </w:pPr>
            <w:r w:rsidRPr="00743892">
              <w:t>C</w:t>
            </w:r>
            <w:r w:rsidRPr="00743892">
              <w:rPr>
                <w:vertAlign w:val="subscript"/>
              </w:rPr>
              <w:t>min</w:t>
            </w:r>
            <w:r w:rsidRPr="00743892">
              <w:t xml:space="preserve">: ↔ </w:t>
            </w:r>
          </w:p>
          <w:p w:rsidR="00DA0437" w:rsidRPr="00743892" w:rsidRDefault="00DA0437" w:rsidP="0032404C">
            <w:pPr>
              <w:pStyle w:val="Default"/>
            </w:pPr>
          </w:p>
          <w:p w:rsidR="00DA0437" w:rsidRPr="00743892" w:rsidRDefault="00DA0437" w:rsidP="0032404C">
            <w:pPr>
              <w:pStyle w:val="Default"/>
            </w:pPr>
            <w:r w:rsidRPr="00743892">
              <w:t xml:space="preserve">Emtricitabin: </w:t>
            </w:r>
          </w:p>
          <w:p w:rsidR="00DA0437" w:rsidRPr="00743892" w:rsidRDefault="00DA0437" w:rsidP="0032404C">
            <w:pPr>
              <w:pStyle w:val="Default"/>
            </w:pPr>
            <w:r w:rsidRPr="00743892">
              <w:t xml:space="preserve">AUC: ↔ </w:t>
            </w:r>
          </w:p>
          <w:p w:rsidR="00DA0437" w:rsidRPr="00743892" w:rsidRDefault="00DA0437" w:rsidP="0032404C">
            <w:pPr>
              <w:pStyle w:val="Default"/>
            </w:pPr>
            <w:r w:rsidRPr="00743892">
              <w:t>C</w:t>
            </w:r>
            <w:r w:rsidRPr="00743892">
              <w:rPr>
                <w:vertAlign w:val="subscript"/>
              </w:rPr>
              <w:t>max</w:t>
            </w:r>
            <w:r w:rsidRPr="00743892">
              <w:t xml:space="preserve">: ↔ </w:t>
            </w:r>
          </w:p>
          <w:p w:rsidR="00DA0437" w:rsidRDefault="00DA0437" w:rsidP="0032404C">
            <w:pPr>
              <w:pStyle w:val="Default"/>
            </w:pPr>
            <w:r w:rsidRPr="00743892">
              <w:t>C</w:t>
            </w:r>
            <w:r w:rsidRPr="00743892">
              <w:rPr>
                <w:vertAlign w:val="subscript"/>
              </w:rPr>
              <w:t>min</w:t>
            </w:r>
            <w:r w:rsidRPr="00743892">
              <w:t xml:space="preserve">: ↔ </w:t>
            </w:r>
          </w:p>
          <w:p w:rsidR="00DA0437" w:rsidRPr="00743892" w:rsidRDefault="00DA0437" w:rsidP="0032404C">
            <w:pPr>
              <w:pStyle w:val="Default"/>
            </w:pPr>
          </w:p>
          <w:p w:rsidR="00DA0437" w:rsidRPr="00743892" w:rsidRDefault="00DA0437" w:rsidP="0032404C">
            <w:pPr>
              <w:pStyle w:val="Default"/>
            </w:pPr>
            <w:r w:rsidRPr="00743892">
              <w:t xml:space="preserve">Tenofovir: </w:t>
            </w:r>
          </w:p>
          <w:p w:rsidR="00DA0437" w:rsidRPr="00743892" w:rsidRDefault="00DA0437" w:rsidP="0032404C">
            <w:pPr>
              <w:pStyle w:val="Default"/>
            </w:pPr>
            <w:r w:rsidRPr="00743892">
              <w:t xml:space="preserve">AUC: ↔ </w:t>
            </w:r>
          </w:p>
          <w:p w:rsidR="00DA0437" w:rsidRPr="00743892" w:rsidRDefault="00DA0437" w:rsidP="0032404C">
            <w:pPr>
              <w:pStyle w:val="Default"/>
            </w:pPr>
            <w:r w:rsidRPr="00743892">
              <w:t>C</w:t>
            </w:r>
            <w:r w:rsidRPr="00743892">
              <w:rPr>
                <w:vertAlign w:val="subscript"/>
              </w:rPr>
              <w:t>max</w:t>
            </w:r>
            <w:r w:rsidRPr="00743892">
              <w:t>: ↑ 25</w:t>
            </w:r>
            <w:r>
              <w:t xml:space="preserve"> </w:t>
            </w:r>
            <w:r w:rsidRPr="00743892">
              <w:t xml:space="preserve">% </w:t>
            </w:r>
          </w:p>
          <w:p w:rsidR="00DA0437" w:rsidRPr="00743892" w:rsidRDefault="00DA0437" w:rsidP="0032404C">
            <w:pPr>
              <w:pStyle w:val="Default"/>
            </w:pPr>
            <w:r w:rsidRPr="00743892">
              <w:t>C</w:t>
            </w:r>
            <w:r w:rsidRPr="00743892">
              <w:rPr>
                <w:vertAlign w:val="subscript"/>
              </w:rPr>
              <w:t>min</w:t>
            </w:r>
            <w:r w:rsidRPr="00743892">
              <w:t xml:space="preserve">: ↔ </w:t>
            </w:r>
          </w:p>
        </w:tc>
        <w:tc>
          <w:tcPr>
            <w:tcW w:w="3029" w:type="dxa"/>
            <w:tcBorders>
              <w:top w:val="single" w:sz="4" w:space="0" w:color="auto"/>
              <w:left w:val="single" w:sz="4" w:space="0" w:color="auto"/>
              <w:bottom w:val="single" w:sz="4" w:space="0" w:color="auto"/>
              <w:right w:val="single" w:sz="4" w:space="0" w:color="auto"/>
            </w:tcBorders>
          </w:tcPr>
          <w:p w:rsidR="00DA0437" w:rsidRDefault="00DA0437" w:rsidP="0032404C">
            <w:pPr>
              <w:pStyle w:val="Default"/>
            </w:pPr>
            <w:r w:rsidRPr="00743892">
              <w:t xml:space="preserve">Dosisjustering er ikke nødvendig. </w:t>
            </w:r>
          </w:p>
          <w:p w:rsidR="00DA0437" w:rsidRPr="00743892" w:rsidRDefault="00DA0437" w:rsidP="0032404C">
            <w:pPr>
              <w:pStyle w:val="Default"/>
            </w:pPr>
          </w:p>
        </w:tc>
      </w:tr>
    </w:tbl>
    <w:p w:rsidR="00C04C62" w:rsidRDefault="00C04C62" w:rsidP="00C04C62">
      <w:pPr>
        <w:pStyle w:val="Default"/>
        <w:ind w:left="1301" w:hanging="450"/>
      </w:pPr>
      <w:r>
        <w:rPr>
          <w:vertAlign w:val="superscript"/>
        </w:rPr>
        <w:t>1</w:t>
      </w:r>
      <w:r>
        <w:rPr>
          <w:vertAlign w:val="superscript"/>
        </w:rPr>
        <w:tab/>
      </w:r>
      <w:r>
        <w:t xml:space="preserve">Data genereret ved samtidig dosering af ledipasvir/sofosbuvir. Forskudt administration (12 timers mellemrum) gav tilsvarende resultater. </w:t>
      </w:r>
    </w:p>
    <w:p w:rsidR="00C04C62" w:rsidRDefault="00C04C62" w:rsidP="00C04C62">
      <w:pPr>
        <w:pStyle w:val="Default"/>
        <w:ind w:left="851"/>
      </w:pPr>
      <w:r>
        <w:rPr>
          <w:vertAlign w:val="superscript"/>
        </w:rPr>
        <w:t>2</w:t>
      </w:r>
      <w:r>
        <w:rPr>
          <w:vertAlign w:val="superscript"/>
        </w:rPr>
        <w:tab/>
      </w:r>
      <w:r>
        <w:t>Den primære cirkulerende sofosbuvirmetabolit.</w:t>
      </w:r>
    </w:p>
    <w:p w:rsidR="00C04C62" w:rsidRDefault="00C04C62" w:rsidP="00C04C62">
      <w:pPr>
        <w:pStyle w:val="Default"/>
        <w:ind w:left="1301" w:hanging="450"/>
      </w:pPr>
      <w:r>
        <w:rPr>
          <w:vertAlign w:val="superscript"/>
        </w:rPr>
        <w:t>3</w:t>
      </w:r>
      <w:r>
        <w:t xml:space="preserve"> </w:t>
      </w:r>
      <w:r>
        <w:tab/>
        <w:t>Studiet blev udført med yderligere voxilaprevir 100 mg for at opnå de forventede voxilaprevir-eksponeringer hos HCV-inficerede patienter.</w:t>
      </w:r>
    </w:p>
    <w:p w:rsidR="00C04C62" w:rsidRDefault="00C04C62" w:rsidP="00C04C62">
      <w:pPr>
        <w:pStyle w:val="Default"/>
        <w:ind w:left="851"/>
      </w:pPr>
    </w:p>
    <w:p w:rsidR="00C04C62" w:rsidRDefault="00C04C62" w:rsidP="00C04C62">
      <w:pPr>
        <w:autoSpaceDE w:val="0"/>
        <w:autoSpaceDN w:val="0"/>
        <w:adjustRightInd w:val="0"/>
        <w:ind w:left="851"/>
        <w:rPr>
          <w:color w:val="000000"/>
          <w:sz w:val="24"/>
          <w:szCs w:val="24"/>
          <w:u w:val="single"/>
          <w:lang w:eastAsia="da-DK"/>
        </w:rPr>
      </w:pPr>
      <w:r>
        <w:rPr>
          <w:color w:val="000000"/>
          <w:sz w:val="24"/>
          <w:szCs w:val="24"/>
          <w:u w:val="single"/>
          <w:lang w:eastAsia="da-DK"/>
        </w:rPr>
        <w:t xml:space="preserve">Studier, der blev udført med andre lægemidler </w:t>
      </w: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Der var ingen klinisk signifikante farmakokinetiske interaktioner, når tenofovirdisoproxil blev administreret sammen med emtricitabin, lamivudin, indinavir, efavirenz, nelfinavir, saquinavir (ritonavir-boostet), methadon, ribavirin, rifampicin, tacrolimus eller hormonantikonceptionsmidlet norgestimat/ethinylestradiol. </w:t>
      </w:r>
    </w:p>
    <w:p w:rsidR="00C04C62" w:rsidRDefault="00C04C62" w:rsidP="00C04C62">
      <w:pPr>
        <w:tabs>
          <w:tab w:val="left" w:pos="851"/>
        </w:tabs>
        <w:ind w:left="851" w:hanging="851"/>
        <w:rPr>
          <w:sz w:val="24"/>
          <w:szCs w:val="24"/>
          <w:lang w:eastAsia="da-DK"/>
        </w:rPr>
      </w:pPr>
    </w:p>
    <w:p w:rsidR="00C04C62" w:rsidRDefault="00C04C62" w:rsidP="00C04C62">
      <w:pPr>
        <w:tabs>
          <w:tab w:val="left" w:pos="851"/>
        </w:tabs>
        <w:ind w:left="851" w:hanging="851"/>
        <w:rPr>
          <w:sz w:val="24"/>
          <w:szCs w:val="24"/>
          <w:lang w:eastAsia="da-DK"/>
        </w:rPr>
      </w:pPr>
      <w:r>
        <w:rPr>
          <w:sz w:val="24"/>
          <w:szCs w:val="24"/>
          <w:lang w:eastAsia="da-DK"/>
        </w:rPr>
        <w:tab/>
        <w:t>Tenofovirdisoproxil skal tages sammen med mad, da mad forbedrer tenofovirs biotilgængelighed (se pkt. 5.2).</w:t>
      </w:r>
    </w:p>
    <w:p w:rsidR="00491918" w:rsidRPr="00C84483" w:rsidRDefault="00491918" w:rsidP="00491918">
      <w:pPr>
        <w:tabs>
          <w:tab w:val="left" w:pos="851"/>
        </w:tabs>
        <w:rPr>
          <w:sz w:val="24"/>
          <w:szCs w:val="24"/>
        </w:rPr>
      </w:pPr>
    </w:p>
    <w:p w:rsidR="00491918" w:rsidRPr="00FE70EC" w:rsidRDefault="00491918" w:rsidP="00FE70EC">
      <w:pPr>
        <w:tabs>
          <w:tab w:val="left" w:pos="851"/>
        </w:tabs>
        <w:ind w:left="851" w:hanging="851"/>
        <w:rPr>
          <w:b/>
          <w:sz w:val="24"/>
          <w:szCs w:val="24"/>
        </w:rPr>
      </w:pPr>
      <w:r w:rsidRPr="00C84483">
        <w:rPr>
          <w:b/>
          <w:sz w:val="24"/>
          <w:szCs w:val="24"/>
        </w:rPr>
        <w:t>4.6</w:t>
      </w:r>
      <w:r w:rsidRPr="00C84483">
        <w:rPr>
          <w:b/>
          <w:sz w:val="24"/>
          <w:szCs w:val="24"/>
        </w:rPr>
        <w:tab/>
      </w:r>
      <w:r w:rsidR="00E359D7">
        <w:rPr>
          <w:b/>
          <w:sz w:val="24"/>
          <w:szCs w:val="24"/>
        </w:rPr>
        <w:t>Fertilitet, g</w:t>
      </w:r>
      <w:r w:rsidRPr="00C84483">
        <w:rPr>
          <w:b/>
          <w:sz w:val="24"/>
          <w:szCs w:val="24"/>
        </w:rPr>
        <w:t>raviditet og amning</w:t>
      </w:r>
    </w:p>
    <w:p w:rsidR="00491918" w:rsidRPr="00AD055F" w:rsidRDefault="00491918" w:rsidP="00491918">
      <w:pPr>
        <w:autoSpaceDE w:val="0"/>
        <w:autoSpaceDN w:val="0"/>
        <w:adjustRightInd w:val="0"/>
        <w:ind w:left="851"/>
        <w:rPr>
          <w:color w:val="000000"/>
          <w:sz w:val="24"/>
          <w:szCs w:val="24"/>
          <w:u w:val="single"/>
          <w:lang w:eastAsia="da-DK"/>
        </w:rPr>
      </w:pPr>
      <w:r w:rsidRPr="00AD055F">
        <w:rPr>
          <w:color w:val="000000"/>
          <w:sz w:val="24"/>
          <w:szCs w:val="24"/>
          <w:u w:val="single"/>
          <w:lang w:eastAsia="da-DK"/>
        </w:rPr>
        <w:t xml:space="preserve">Fertilitet </w:t>
      </w:r>
    </w:p>
    <w:p w:rsidR="00491918" w:rsidRPr="00AD055F" w:rsidRDefault="00491918" w:rsidP="00491918">
      <w:pPr>
        <w:tabs>
          <w:tab w:val="left" w:pos="851"/>
        </w:tabs>
        <w:ind w:left="851" w:hanging="851"/>
        <w:rPr>
          <w:sz w:val="24"/>
          <w:szCs w:val="24"/>
          <w:lang w:eastAsia="da-DK"/>
        </w:rPr>
      </w:pPr>
      <w:r w:rsidRPr="00AD055F">
        <w:rPr>
          <w:sz w:val="24"/>
          <w:szCs w:val="24"/>
          <w:lang w:eastAsia="da-DK"/>
        </w:rPr>
        <w:tab/>
        <w:t>Der er begrænsede kliniske data hvad angår virkningen af tenofovirdisoproxil på fertilitet. Dyrestudier indikerer ingen skadelige virkninger af tenofovirdisoproxil på fertiliteten.</w:t>
      </w:r>
    </w:p>
    <w:p w:rsidR="00491918" w:rsidRDefault="00491918" w:rsidP="00491918">
      <w:pPr>
        <w:autoSpaceDE w:val="0"/>
        <w:autoSpaceDN w:val="0"/>
        <w:adjustRightInd w:val="0"/>
        <w:ind w:left="851"/>
        <w:rPr>
          <w:color w:val="000000"/>
          <w:sz w:val="24"/>
          <w:szCs w:val="24"/>
          <w:u w:val="single"/>
          <w:lang w:eastAsia="da-DK"/>
        </w:rPr>
      </w:pPr>
    </w:p>
    <w:p w:rsidR="00DA0437" w:rsidRPr="00AD055F" w:rsidRDefault="00DA0437" w:rsidP="00DA0437">
      <w:pPr>
        <w:autoSpaceDE w:val="0"/>
        <w:autoSpaceDN w:val="0"/>
        <w:adjustRightInd w:val="0"/>
        <w:ind w:left="851"/>
        <w:rPr>
          <w:color w:val="000000"/>
          <w:sz w:val="24"/>
          <w:szCs w:val="24"/>
          <w:u w:val="single"/>
          <w:lang w:eastAsia="da-DK"/>
        </w:rPr>
      </w:pPr>
      <w:r w:rsidRPr="00AD055F">
        <w:rPr>
          <w:color w:val="000000"/>
          <w:sz w:val="24"/>
          <w:szCs w:val="24"/>
          <w:u w:val="single"/>
          <w:lang w:eastAsia="da-DK"/>
        </w:rPr>
        <w:t xml:space="preserve">Graviditet </w:t>
      </w:r>
    </w:p>
    <w:p w:rsidR="00DA0437" w:rsidRPr="001C0B53" w:rsidRDefault="00DA0437" w:rsidP="00DA0437">
      <w:pPr>
        <w:autoSpaceDE w:val="0"/>
        <w:autoSpaceDN w:val="0"/>
        <w:adjustRightInd w:val="0"/>
        <w:ind w:left="851"/>
        <w:rPr>
          <w:color w:val="000000"/>
          <w:sz w:val="24"/>
          <w:szCs w:val="24"/>
          <w:lang w:eastAsia="da-DK"/>
        </w:rPr>
      </w:pPr>
      <w:r w:rsidRPr="00AD055F">
        <w:rPr>
          <w:color w:val="000000"/>
          <w:sz w:val="24"/>
          <w:szCs w:val="24"/>
          <w:lang w:eastAsia="da-DK"/>
        </w:rPr>
        <w:t xml:space="preserve">Data fra anvendelse af tenofovirdisoproxil hos et begrænset antal gravide kvinder (mellem 300 og 1.000) indikerer ingen misdannelser eller føtal/neonatal toksicitet i forbindelse med tenofovirdisoproxil. Dyrestudier indikerer ikke reproduktionstoksicitet (se pkt. 5.3). Hvis det er indiceret, kan anvendelse af tenofovirdisoproxil overvejes under graviditet. </w:t>
      </w:r>
      <w:r>
        <w:rPr>
          <w:color w:val="000000"/>
          <w:sz w:val="24"/>
          <w:szCs w:val="24"/>
          <w:lang w:eastAsia="da-DK"/>
        </w:rPr>
        <w:br/>
      </w:r>
      <w:r w:rsidRPr="001C0B53">
        <w:rPr>
          <w:color w:val="000000"/>
          <w:sz w:val="24"/>
          <w:szCs w:val="24"/>
          <w:lang w:eastAsia="da-DK"/>
        </w:rPr>
        <w:t>I litteraturen er eksponering for tenofovirdisoproxil i graviditetens tredje trimester blevet påvist at reducere risikoen for transmission af HBV fra moder til barn, hvis tenofovirdisoproxil gives til mødre i tillæg til hepatitis-B immunglobulin og hepatitis-B vaccine til spædbørn.</w:t>
      </w:r>
    </w:p>
    <w:p w:rsidR="00DA0437" w:rsidRPr="00AD055F" w:rsidRDefault="00DA0437" w:rsidP="00DA0437">
      <w:pPr>
        <w:autoSpaceDE w:val="0"/>
        <w:autoSpaceDN w:val="0"/>
        <w:adjustRightInd w:val="0"/>
        <w:ind w:left="851"/>
        <w:rPr>
          <w:color w:val="000000"/>
          <w:sz w:val="24"/>
          <w:szCs w:val="24"/>
          <w:lang w:eastAsia="da-DK"/>
        </w:rPr>
      </w:pPr>
      <w:r w:rsidRPr="001C0B53">
        <w:rPr>
          <w:color w:val="000000"/>
          <w:sz w:val="24"/>
          <w:szCs w:val="24"/>
          <w:lang w:eastAsia="da-DK"/>
        </w:rPr>
        <w:t>I tre kontrollerede kliniske forsøg fik i alt 327 gravide kvinder med kronisk HBV-infektion administreret tenofovirdisoproxil (245 mg) en gang dagligt fra graviditetsuge 28 til 32 frem til 1-2 måneder efter fødslen. Kvinderne og deres spædbørn blev fulgt i op til 12 måneder efter fødslen. Der er ikke fremkommet nogen sikkerhedssignaler fra disse data.</w:t>
      </w:r>
    </w:p>
    <w:p w:rsidR="00491918" w:rsidRPr="00AD055F" w:rsidRDefault="00491918" w:rsidP="00491918">
      <w:pPr>
        <w:autoSpaceDE w:val="0"/>
        <w:autoSpaceDN w:val="0"/>
        <w:adjustRightInd w:val="0"/>
        <w:ind w:left="851"/>
        <w:rPr>
          <w:color w:val="000000"/>
          <w:sz w:val="24"/>
          <w:szCs w:val="24"/>
          <w:u w:val="single"/>
          <w:lang w:eastAsia="da-DK"/>
        </w:rPr>
      </w:pPr>
    </w:p>
    <w:p w:rsidR="00E359D7" w:rsidRPr="00AD055F" w:rsidRDefault="00E359D7" w:rsidP="00E359D7">
      <w:pPr>
        <w:keepNext/>
        <w:autoSpaceDE w:val="0"/>
        <w:autoSpaceDN w:val="0"/>
        <w:adjustRightInd w:val="0"/>
        <w:ind w:left="851"/>
        <w:rPr>
          <w:color w:val="000000"/>
          <w:sz w:val="24"/>
          <w:szCs w:val="24"/>
          <w:u w:val="single"/>
          <w:lang w:eastAsia="da-DK"/>
        </w:rPr>
      </w:pPr>
      <w:r w:rsidRPr="00AD055F">
        <w:rPr>
          <w:color w:val="000000"/>
          <w:sz w:val="24"/>
          <w:szCs w:val="24"/>
          <w:u w:val="single"/>
          <w:lang w:eastAsia="da-DK"/>
        </w:rPr>
        <w:t xml:space="preserve">Amning </w:t>
      </w:r>
    </w:p>
    <w:p w:rsidR="00E359D7" w:rsidRDefault="00E359D7" w:rsidP="00E359D7">
      <w:pPr>
        <w:autoSpaceDE w:val="0"/>
        <w:autoSpaceDN w:val="0"/>
        <w:adjustRightInd w:val="0"/>
        <w:ind w:left="851"/>
        <w:rPr>
          <w:color w:val="000000"/>
          <w:sz w:val="24"/>
          <w:szCs w:val="24"/>
          <w:lang w:eastAsia="da-DK"/>
        </w:rPr>
      </w:pPr>
      <w:r w:rsidRPr="0054184B">
        <w:rPr>
          <w:color w:val="000000"/>
          <w:sz w:val="24"/>
          <w:szCs w:val="24"/>
          <w:lang w:eastAsia="da-DK"/>
        </w:rPr>
        <w:t>Hvis den nyfødte behandles tilstrækkeligt for forebyggelse af hepatitis B ved fødslen, kan en mor med hepatitis B generelt amme sit spædbarn.</w:t>
      </w:r>
    </w:p>
    <w:p w:rsidR="00E359D7" w:rsidRDefault="00E359D7" w:rsidP="00E359D7">
      <w:pPr>
        <w:autoSpaceDE w:val="0"/>
        <w:autoSpaceDN w:val="0"/>
        <w:adjustRightInd w:val="0"/>
        <w:ind w:left="851"/>
        <w:rPr>
          <w:color w:val="000000"/>
          <w:sz w:val="24"/>
          <w:szCs w:val="24"/>
          <w:lang w:eastAsia="da-DK"/>
        </w:rPr>
      </w:pPr>
    </w:p>
    <w:p w:rsidR="00E359D7" w:rsidRDefault="00E359D7" w:rsidP="00E359D7">
      <w:pPr>
        <w:autoSpaceDE w:val="0"/>
        <w:autoSpaceDN w:val="0"/>
        <w:adjustRightInd w:val="0"/>
        <w:ind w:left="851"/>
        <w:rPr>
          <w:color w:val="000000"/>
          <w:sz w:val="24"/>
          <w:szCs w:val="24"/>
          <w:lang w:eastAsia="da-DK"/>
        </w:rPr>
      </w:pPr>
      <w:r w:rsidRPr="00AD055F">
        <w:rPr>
          <w:color w:val="000000"/>
          <w:sz w:val="24"/>
          <w:szCs w:val="24"/>
          <w:lang w:eastAsia="da-DK"/>
        </w:rPr>
        <w:t>Tenofovir udskilles i human mælk</w:t>
      </w:r>
      <w:r>
        <w:rPr>
          <w:color w:val="000000"/>
          <w:sz w:val="24"/>
          <w:szCs w:val="24"/>
          <w:lang w:eastAsia="da-DK"/>
        </w:rPr>
        <w:t xml:space="preserve"> </w:t>
      </w:r>
      <w:r w:rsidRPr="0054184B">
        <w:rPr>
          <w:color w:val="000000"/>
          <w:sz w:val="24"/>
          <w:szCs w:val="24"/>
          <w:lang w:eastAsia="da-DK"/>
        </w:rPr>
        <w:t>i meget lave mængder og eksponering af spædbørn gennem modermælk anses som ubetydelig. Selvom langtidsdataene er begrænsede, er der ikke rapporteret nogen bivirkninger hos ammede spædbørn, og HBV-inficerede mødre, der tager tenofovirdisoproxil kan amme.</w:t>
      </w:r>
    </w:p>
    <w:p w:rsidR="00E0577D" w:rsidRPr="00AD055F" w:rsidRDefault="00E0577D" w:rsidP="00E359D7">
      <w:pPr>
        <w:autoSpaceDE w:val="0"/>
        <w:autoSpaceDN w:val="0"/>
        <w:adjustRightInd w:val="0"/>
        <w:ind w:left="851"/>
        <w:rPr>
          <w:color w:val="000000"/>
          <w:sz w:val="24"/>
          <w:szCs w:val="24"/>
          <w:lang w:eastAsia="da-DK"/>
        </w:rPr>
      </w:pPr>
    </w:p>
    <w:p w:rsidR="00E0577D" w:rsidRPr="00AD055F" w:rsidRDefault="00E0577D" w:rsidP="00E0577D">
      <w:pPr>
        <w:autoSpaceDE w:val="0"/>
        <w:autoSpaceDN w:val="0"/>
        <w:adjustRightInd w:val="0"/>
        <w:ind w:left="851"/>
        <w:rPr>
          <w:color w:val="000000"/>
          <w:sz w:val="24"/>
          <w:szCs w:val="24"/>
          <w:lang w:eastAsia="da-DK"/>
        </w:rPr>
      </w:pPr>
      <w:r w:rsidRPr="00AD055F">
        <w:rPr>
          <w:color w:val="000000"/>
          <w:sz w:val="24"/>
          <w:szCs w:val="24"/>
          <w:lang w:eastAsia="da-DK"/>
        </w:rPr>
        <w:t>For at undgå overførsel af hiv til spædb</w:t>
      </w:r>
      <w:r>
        <w:rPr>
          <w:color w:val="000000"/>
          <w:sz w:val="24"/>
          <w:szCs w:val="24"/>
          <w:lang w:eastAsia="da-DK"/>
        </w:rPr>
        <w:t>arnet</w:t>
      </w:r>
      <w:r w:rsidRPr="00AD055F">
        <w:rPr>
          <w:color w:val="000000"/>
          <w:sz w:val="24"/>
          <w:szCs w:val="24"/>
          <w:lang w:eastAsia="da-DK"/>
        </w:rPr>
        <w:t xml:space="preserve"> anbefales det, at hiv-inficerede </w:t>
      </w:r>
      <w:r>
        <w:rPr>
          <w:color w:val="000000"/>
          <w:sz w:val="24"/>
          <w:szCs w:val="24"/>
          <w:lang w:eastAsia="da-DK"/>
        </w:rPr>
        <w:t>mødre</w:t>
      </w:r>
      <w:r w:rsidRPr="00AD055F">
        <w:rPr>
          <w:color w:val="000000"/>
          <w:sz w:val="24"/>
          <w:szCs w:val="24"/>
          <w:lang w:eastAsia="da-DK"/>
        </w:rPr>
        <w:t xml:space="preserve"> </w:t>
      </w:r>
      <w:r>
        <w:rPr>
          <w:color w:val="000000"/>
          <w:sz w:val="24"/>
          <w:szCs w:val="24"/>
          <w:lang w:eastAsia="da-DK"/>
        </w:rPr>
        <w:t>undlader at</w:t>
      </w:r>
      <w:r w:rsidRPr="00AD055F">
        <w:rPr>
          <w:color w:val="000000"/>
          <w:sz w:val="24"/>
          <w:szCs w:val="24"/>
          <w:lang w:eastAsia="da-DK"/>
        </w:rPr>
        <w:t xml:space="preserve"> amme deres </w:t>
      </w:r>
      <w:r>
        <w:rPr>
          <w:color w:val="000000"/>
          <w:sz w:val="24"/>
          <w:szCs w:val="24"/>
          <w:lang w:eastAsia="da-DK"/>
        </w:rPr>
        <w:t>spæd</w:t>
      </w:r>
      <w:r w:rsidRPr="00AD055F">
        <w:rPr>
          <w:color w:val="000000"/>
          <w:sz w:val="24"/>
          <w:szCs w:val="24"/>
          <w:lang w:eastAsia="da-DK"/>
        </w:rPr>
        <w:t xml:space="preserve">børn. </w:t>
      </w:r>
    </w:p>
    <w:p w:rsidR="00491918" w:rsidRPr="00AD055F" w:rsidRDefault="00491918" w:rsidP="00491918">
      <w:pPr>
        <w:autoSpaceDE w:val="0"/>
        <w:autoSpaceDN w:val="0"/>
        <w:adjustRightInd w:val="0"/>
        <w:ind w:left="851"/>
        <w:rPr>
          <w:color w:val="000000"/>
          <w:sz w:val="24"/>
          <w:szCs w:val="24"/>
          <w:lang w:eastAsia="da-DK"/>
        </w:rPr>
      </w:pPr>
    </w:p>
    <w:p w:rsidR="00491918" w:rsidRPr="00C84483" w:rsidRDefault="00491918" w:rsidP="0049191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E359D7">
        <w:rPr>
          <w:b/>
          <w:sz w:val="24"/>
          <w:szCs w:val="24"/>
        </w:rPr>
        <w:t>og</w:t>
      </w:r>
      <w:r w:rsidRPr="00C84483">
        <w:rPr>
          <w:b/>
          <w:sz w:val="24"/>
          <w:szCs w:val="24"/>
        </w:rPr>
        <w:t xml:space="preserve"> betjene maskiner</w:t>
      </w:r>
    </w:p>
    <w:p w:rsidR="00491918" w:rsidRPr="000D024E" w:rsidRDefault="00491918" w:rsidP="00491918">
      <w:pPr>
        <w:tabs>
          <w:tab w:val="left" w:pos="851"/>
        </w:tabs>
        <w:ind w:left="851"/>
        <w:rPr>
          <w:sz w:val="24"/>
          <w:lang w:eastAsia="da-DK"/>
        </w:rPr>
      </w:pPr>
      <w:r w:rsidRPr="000D024E">
        <w:rPr>
          <w:sz w:val="24"/>
          <w:lang w:eastAsia="da-DK"/>
        </w:rPr>
        <w:t>Ikke mærkning</w:t>
      </w:r>
    </w:p>
    <w:p w:rsidR="00491918" w:rsidRPr="00C84483" w:rsidRDefault="00491918" w:rsidP="00491918">
      <w:pPr>
        <w:tabs>
          <w:tab w:val="left" w:pos="851"/>
        </w:tabs>
        <w:ind w:left="851"/>
        <w:rPr>
          <w:sz w:val="24"/>
          <w:szCs w:val="24"/>
          <w:lang w:eastAsia="da-DK"/>
        </w:rPr>
      </w:pPr>
      <w:r w:rsidRPr="000D024E">
        <w:rPr>
          <w:sz w:val="24"/>
          <w:szCs w:val="24"/>
          <w:lang w:eastAsia="da-DK"/>
        </w:rPr>
        <w:t>Der er ikke foretaget studier af virkningen på evnen til at føre motorkøretøj og betjene maskiner. Patienter bør dog underrettes om, at svimmelhed er blevet indberettet som en bivirkning under behandling med tenofovirdisoproxil</w:t>
      </w:r>
      <w:r>
        <w:rPr>
          <w:sz w:val="24"/>
          <w:szCs w:val="24"/>
          <w:lang w:eastAsia="da-DK"/>
        </w:rPr>
        <w:t>.</w:t>
      </w:r>
    </w:p>
    <w:p w:rsidR="00491918" w:rsidRPr="00C84483" w:rsidRDefault="00491918" w:rsidP="00491918">
      <w:pPr>
        <w:tabs>
          <w:tab w:val="left" w:pos="851"/>
        </w:tabs>
        <w:rPr>
          <w:sz w:val="24"/>
          <w:szCs w:val="24"/>
        </w:rPr>
      </w:pPr>
    </w:p>
    <w:p w:rsidR="00491918" w:rsidRPr="00FE70EC" w:rsidRDefault="00491918" w:rsidP="00FE70EC">
      <w:pPr>
        <w:tabs>
          <w:tab w:val="left" w:pos="851"/>
        </w:tabs>
        <w:ind w:left="851" w:hanging="851"/>
        <w:rPr>
          <w:b/>
          <w:sz w:val="24"/>
          <w:szCs w:val="24"/>
        </w:rPr>
      </w:pPr>
      <w:r w:rsidRPr="00C84483">
        <w:rPr>
          <w:b/>
          <w:sz w:val="24"/>
          <w:szCs w:val="24"/>
        </w:rPr>
        <w:t>4.8</w:t>
      </w:r>
      <w:r w:rsidRPr="00C84483">
        <w:rPr>
          <w:b/>
          <w:sz w:val="24"/>
          <w:szCs w:val="24"/>
        </w:rPr>
        <w:tab/>
        <w:t>Bivirkninger</w:t>
      </w:r>
    </w:p>
    <w:p w:rsidR="00491918" w:rsidRDefault="00491918" w:rsidP="00491918">
      <w:pPr>
        <w:autoSpaceDE w:val="0"/>
        <w:autoSpaceDN w:val="0"/>
        <w:adjustRightInd w:val="0"/>
        <w:ind w:left="851"/>
        <w:rPr>
          <w:color w:val="000000"/>
          <w:sz w:val="24"/>
          <w:szCs w:val="24"/>
          <w:u w:val="single"/>
          <w:lang w:eastAsia="da-DK"/>
        </w:rPr>
      </w:pPr>
      <w:r>
        <w:rPr>
          <w:color w:val="000000"/>
          <w:sz w:val="24"/>
          <w:szCs w:val="24"/>
          <w:u w:val="single"/>
          <w:lang w:eastAsia="da-DK"/>
        </w:rPr>
        <w:t>Resumé af sikkerhedsprofilen</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tabs>
          <w:tab w:val="left" w:pos="851"/>
        </w:tabs>
        <w:ind w:left="851"/>
        <w:rPr>
          <w:i/>
          <w:iCs/>
          <w:sz w:val="24"/>
          <w:szCs w:val="24"/>
          <w:lang w:eastAsia="da-DK"/>
        </w:rPr>
      </w:pPr>
      <w:r>
        <w:rPr>
          <w:i/>
          <w:iCs/>
          <w:sz w:val="24"/>
          <w:szCs w:val="24"/>
          <w:lang w:eastAsia="da-DK"/>
        </w:rPr>
        <w:t>Hiv 1 og hepatitis B</w:t>
      </w:r>
    </w:p>
    <w:p w:rsidR="00C04C62" w:rsidRDefault="00C04C62" w:rsidP="00C04C62">
      <w:pPr>
        <w:tabs>
          <w:tab w:val="left" w:pos="851"/>
        </w:tabs>
        <w:ind w:left="851"/>
        <w:rPr>
          <w:sz w:val="24"/>
          <w:szCs w:val="24"/>
          <w:lang w:eastAsia="da-DK"/>
        </w:rPr>
      </w:pPr>
      <w:r>
        <w:rPr>
          <w:sz w:val="24"/>
          <w:szCs w:val="24"/>
          <w:lang w:eastAsia="da-DK"/>
        </w:rPr>
        <w:t xml:space="preserve">Hos patienter, der behandles med tenofovirdisoproxil, er der rapporteret sjældne tilfælde af nyrefunktionsnedsættelse, nyresvigt </w:t>
      </w:r>
      <w:r>
        <w:rPr>
          <w:sz w:val="22"/>
          <w:szCs w:val="22"/>
          <w:lang w:eastAsia="da-DK"/>
        </w:rPr>
        <w:t xml:space="preserve">og ikke almindeligt forekommende hændelser </w:t>
      </w:r>
      <w:proofErr w:type="gramStart"/>
      <w:r>
        <w:rPr>
          <w:sz w:val="22"/>
          <w:szCs w:val="22"/>
          <w:lang w:eastAsia="da-DK"/>
        </w:rPr>
        <w:t>af</w:t>
      </w:r>
      <w:r>
        <w:rPr>
          <w:sz w:val="24"/>
          <w:szCs w:val="24"/>
          <w:lang w:eastAsia="da-DK"/>
        </w:rPr>
        <w:t xml:space="preserve">  proksimal</w:t>
      </w:r>
      <w:proofErr w:type="gramEnd"/>
      <w:r>
        <w:rPr>
          <w:sz w:val="24"/>
          <w:szCs w:val="24"/>
          <w:lang w:eastAsia="da-DK"/>
        </w:rPr>
        <w:t xml:space="preserve"> renal tubulopati (herunder Fanconis syndrom), som nogle gange kan medføre knogleabnormiteter (i sjældne tilfælde er det rapporteret som medvirkende årsag til frakturer). Nyrefunktionen bør monitoreres hos patienter, som får Tenofovir disoproxil "Teva" (se pkt. 4.4).</w:t>
      </w:r>
    </w:p>
    <w:p w:rsidR="00491918" w:rsidRDefault="00491918" w:rsidP="00491918">
      <w:pPr>
        <w:tabs>
          <w:tab w:val="left" w:pos="851"/>
        </w:tabs>
        <w:ind w:left="851"/>
        <w:rPr>
          <w:sz w:val="24"/>
          <w:szCs w:val="24"/>
          <w:lang w:eastAsia="da-DK"/>
        </w:rPr>
      </w:pPr>
    </w:p>
    <w:p w:rsidR="00DA0437" w:rsidRDefault="00DA0437" w:rsidP="00DA0437">
      <w:pPr>
        <w:autoSpaceDE w:val="0"/>
        <w:autoSpaceDN w:val="0"/>
        <w:adjustRightInd w:val="0"/>
        <w:ind w:left="851"/>
        <w:rPr>
          <w:i/>
          <w:iCs/>
          <w:color w:val="000000"/>
          <w:sz w:val="24"/>
          <w:szCs w:val="24"/>
          <w:lang w:eastAsia="da-DK"/>
        </w:rPr>
      </w:pPr>
      <w:r>
        <w:rPr>
          <w:i/>
          <w:iCs/>
          <w:color w:val="000000"/>
          <w:sz w:val="24"/>
          <w:szCs w:val="24"/>
          <w:lang w:eastAsia="da-DK"/>
        </w:rPr>
        <w:t>Hiv 1</w:t>
      </w:r>
    </w:p>
    <w:p w:rsidR="00DA0437" w:rsidRDefault="00DA0437" w:rsidP="00DA0437">
      <w:pPr>
        <w:autoSpaceDE w:val="0"/>
        <w:autoSpaceDN w:val="0"/>
        <w:adjustRightInd w:val="0"/>
        <w:ind w:left="851"/>
        <w:rPr>
          <w:color w:val="000000"/>
          <w:sz w:val="24"/>
          <w:szCs w:val="24"/>
          <w:lang w:eastAsia="da-DK"/>
        </w:rPr>
      </w:pPr>
      <w:r>
        <w:rPr>
          <w:color w:val="000000"/>
          <w:sz w:val="24"/>
          <w:szCs w:val="24"/>
          <w:lang w:eastAsia="da-DK"/>
        </w:rPr>
        <w:t xml:space="preserve">Ca. 1/3 af patienterne kan forventes at få bivirkninger i forbindelse med behandling med tenofovirdisoproxil i kombination med andre antiretrovirale midler. Disse bivirkninger er som regel milde til moderate gastrointestinale symptomer. Ca. 1 % af de tenofovirdisoproxil-behandlede voksne patienter ophørte med behandlingen på grund af gastrointestinale symptomer.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i/>
          <w:iCs/>
          <w:color w:val="000000"/>
          <w:sz w:val="24"/>
          <w:szCs w:val="24"/>
          <w:lang w:eastAsia="da-DK"/>
        </w:rPr>
      </w:pPr>
      <w:r>
        <w:rPr>
          <w:i/>
          <w:iCs/>
          <w:color w:val="000000"/>
          <w:sz w:val="24"/>
          <w:szCs w:val="24"/>
          <w:lang w:eastAsia="da-DK"/>
        </w:rPr>
        <w:t>Hepatitis B</w:t>
      </w: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Ca. 1/4 af patienterne kan forventes at få bivirkninger i forbindelse med behandling med tenofovirdisoproxil; de fleste af disse bivirkninger er milde. I kliniske studier med HBV-inficerede patienter var den hyppigst forekommende bivirkning med tenofovirdisoproxil kvalme (5,4 %).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Der er rapporteret akut hepatitis-eksacerbationer, både under behandling og efter seponering af hepatitis B-behandling (se pkt. 4.4).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color w:val="000000"/>
          <w:sz w:val="24"/>
          <w:szCs w:val="24"/>
          <w:u w:val="single"/>
          <w:lang w:eastAsia="da-DK"/>
        </w:rPr>
      </w:pPr>
      <w:r>
        <w:rPr>
          <w:color w:val="000000"/>
          <w:sz w:val="24"/>
          <w:szCs w:val="24"/>
          <w:u w:val="single"/>
          <w:lang w:eastAsia="da-DK"/>
        </w:rPr>
        <w:t xml:space="preserve">Resumé af bivirkninger i tabelform </w:t>
      </w: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Vurderingen af bivirkninger ved tenofovirdisoproxil er baseret på sikkerhedsdata fra kliniske studier og erfaringer efter markedsføring. Alle bivirkninger vises i tabel 2.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keepNext/>
        <w:autoSpaceDE w:val="0"/>
        <w:autoSpaceDN w:val="0"/>
        <w:adjustRightInd w:val="0"/>
        <w:ind w:left="851"/>
        <w:rPr>
          <w:i/>
          <w:iCs/>
          <w:color w:val="000000"/>
          <w:sz w:val="24"/>
          <w:szCs w:val="24"/>
          <w:lang w:eastAsia="da-DK"/>
        </w:rPr>
      </w:pPr>
      <w:r>
        <w:rPr>
          <w:i/>
          <w:iCs/>
          <w:color w:val="000000"/>
          <w:sz w:val="24"/>
          <w:szCs w:val="24"/>
          <w:lang w:eastAsia="da-DK"/>
        </w:rPr>
        <w:t>Kliniske studier, hiv 1</w:t>
      </w: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Vurderingen af bivirkninger med data fra kliniske studier med hiv 1-inficerede patienter er baseret på erfaringer fra to studier, hvor 653 behandlingserfarne patienter fik behandling med tenofovirdisoproxil (n = 443) eller placebo (n = 210) i kombination med andre antiretrovirale lægemidler i 24 uger, og ligeledes fra et dobbeltblindt, sammenlignende, kontrolleret studie, hvor 600 behandlingsnaive patienter fik behandling med 245 mg tenofovirdisoproxil (n = 299) eller stavudin (n = 301) i kombination med lamivudin og efavirenz i 144 uger.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ind w:left="851"/>
        <w:rPr>
          <w:i/>
          <w:iCs/>
          <w:sz w:val="24"/>
          <w:lang w:eastAsia="da-DK"/>
        </w:rPr>
      </w:pPr>
      <w:r>
        <w:rPr>
          <w:i/>
          <w:iCs/>
          <w:sz w:val="24"/>
          <w:lang w:eastAsia="da-DK"/>
        </w:rPr>
        <w:t>Kliniske studier, hepatitis B</w:t>
      </w:r>
    </w:p>
    <w:p w:rsidR="00491918" w:rsidRDefault="00491918" w:rsidP="00491918">
      <w:pPr>
        <w:ind w:left="851"/>
        <w:rPr>
          <w:sz w:val="24"/>
          <w:lang w:eastAsia="da-DK"/>
        </w:rPr>
      </w:pPr>
      <w:r>
        <w:rPr>
          <w:sz w:val="24"/>
          <w:lang w:eastAsia="da-DK"/>
        </w:rPr>
        <w:t>Vurderingen af bivirkninger med data fra kliniske studier med HBV-patienter er primært baseret på erfaringer fra to dobbeltblinde, sammenlignende, kontrollerede studier, hvor 641 voksne patienter med kronisk hepatitis B og kompenseret leversygdom blev behandlet med 245 mg tenofovirdisoproxil dagligt (n = 426) eller 10 mg adefovirdipivoxil dagligt (</w:t>
      </w:r>
      <w:r>
        <w:rPr>
          <w:sz w:val="24"/>
          <w:szCs w:val="24"/>
          <w:lang w:eastAsia="da-DK"/>
        </w:rPr>
        <w:t>n = 215) i 48 uger. De bivirkninger, der blev observeret ved fortsat behandling i 384 uger, var i overensstemmelse med sikkerhedsprofilen for tenofovirdisoproxil. Efter et initialt fald på ca. -4,9 ml/min (ved brug af Cockcroft-Gault formlen) eller -3,9 ml/min/1,73 m</w:t>
      </w:r>
      <w:r>
        <w:rPr>
          <w:sz w:val="24"/>
          <w:szCs w:val="24"/>
          <w:vertAlign w:val="superscript"/>
          <w:lang w:eastAsia="da-DK"/>
        </w:rPr>
        <w:t>2</w:t>
      </w:r>
      <w:r>
        <w:rPr>
          <w:sz w:val="24"/>
          <w:szCs w:val="24"/>
          <w:lang w:eastAsia="da-DK"/>
        </w:rPr>
        <w:t xml:space="preserve"> (ved brug af Modification of Diet in Renal Disease (MDRD) efter de første 4 ugers behandling, var det årlige fald for patienter behandlet med tenofovirdisoproxil efter baseline af nyrefunktionen rapporteret til -1,41 ml/min/år (ved brug af Cockcroft-Gault formlen) og 0,74 ml/min/1,73 m</w:t>
      </w:r>
      <w:r>
        <w:rPr>
          <w:sz w:val="24"/>
          <w:szCs w:val="24"/>
          <w:vertAlign w:val="superscript"/>
          <w:lang w:eastAsia="da-DK"/>
        </w:rPr>
        <w:t>2</w:t>
      </w:r>
      <w:r>
        <w:rPr>
          <w:sz w:val="24"/>
          <w:szCs w:val="24"/>
          <w:lang w:eastAsia="da-DK"/>
        </w:rPr>
        <w:t xml:space="preserve"> pr. år (ved brug af Modification of Diet in Renal Disease (MDRD).</w:t>
      </w:r>
    </w:p>
    <w:p w:rsidR="00491918" w:rsidRDefault="00491918" w:rsidP="00491918">
      <w:pPr>
        <w:ind w:left="851"/>
        <w:rPr>
          <w:sz w:val="24"/>
          <w:lang w:eastAsia="da-DK"/>
        </w:rPr>
      </w:pPr>
    </w:p>
    <w:p w:rsidR="00491918" w:rsidRDefault="00491918" w:rsidP="00491918">
      <w:pPr>
        <w:autoSpaceDE w:val="0"/>
        <w:autoSpaceDN w:val="0"/>
        <w:adjustRightInd w:val="0"/>
        <w:ind w:left="851"/>
        <w:rPr>
          <w:i/>
          <w:iCs/>
          <w:color w:val="000000"/>
          <w:sz w:val="24"/>
          <w:szCs w:val="24"/>
          <w:lang w:eastAsia="da-DK"/>
        </w:rPr>
      </w:pPr>
      <w:r>
        <w:rPr>
          <w:i/>
          <w:iCs/>
          <w:color w:val="000000"/>
          <w:sz w:val="24"/>
          <w:szCs w:val="24"/>
          <w:lang w:eastAsia="da-DK"/>
        </w:rPr>
        <w:t>Patienter med dekompenseret leversygdom</w:t>
      </w: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Sikkerhedsprofilen for tenofovirdisoproxil hos patienter med dekompenseret leversygdom blev vurderet i et dobbeltblindt, aktivt kontrolleret studie (GS-US-174-0108), hvor voksne patienter fik behandling med tenofovirdisoproxil (n = 45) eller emtricitabin plus tenofovirdisoproxil (n = 45) eller entecavir (n = 22) i 48 uger.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I behandlingsarmen med tenofovirdisoproxil afbrød 7 % af patienterne behandlingen på grund af en bivirkning, 9 % af patienterne fik bekræftet forhøjelse i serumkreatinin på ≥0,5 mg/dl eller bekræftet serumphosphat på &lt;2 mg/dl til og med uge 48. Der var ingen statistisk signifikante forskelle mellem de kombinerede tenofovir-arme og armen med entecavir. Efter 168 uger oplevede 16 % (7/45) i tenofovirdisoproxil-gruppen, 4 % (2/45) i emtricitabin plus tenofovirdisoproxil-gruppen og 14 % (3/22) i entecavir-gruppen tolerabilitetssvigt. Tretten procent (6/45) i tenofovirdisoproxil-gruppen, 13 % (6/45) i emtricitabin plus tenofovirdisoproxil-gruppen og 9 % (2/22) i entecavir-gruppen havde en bekræftet stigning i serumkreatinin på ≥0,5 mg/dl eller bekræftet serumphosphat på &lt;2 mg/dl.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Ved uge 168 var hyppigheden af dødsfald i denne population af patienter med dekompenseret leversygdom 13 % (6/45) i tenofovirdisoproxil-gruppen, 11 % (5/45) i emtricitabin plus tenofovirdisoproxil-gruppen og 14 % (3/22) i entecavir-gruppen. Hyppigheden af hepatocellulært karcinom var 18 % (8/45) i tenofovirdisoproxil-gruppen, 7 % (3/45) i emtricitabin plus tenofovirdisoproxil-gruppen og 9 % (2/22) i entecavir-gruppen.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Forsøgspersoner med en høj CPT-score ved </w:t>
      </w:r>
      <w:r>
        <w:rPr>
          <w:iCs/>
          <w:color w:val="000000"/>
          <w:sz w:val="24"/>
          <w:szCs w:val="24"/>
          <w:lang w:eastAsia="da-DK"/>
        </w:rPr>
        <w:t>baseline</w:t>
      </w:r>
      <w:r>
        <w:rPr>
          <w:i/>
          <w:iCs/>
          <w:color w:val="000000"/>
          <w:sz w:val="24"/>
          <w:szCs w:val="24"/>
          <w:lang w:eastAsia="da-DK"/>
        </w:rPr>
        <w:t xml:space="preserve"> </w:t>
      </w:r>
      <w:r>
        <w:rPr>
          <w:color w:val="000000"/>
          <w:sz w:val="24"/>
          <w:szCs w:val="24"/>
          <w:lang w:eastAsia="da-DK"/>
        </w:rPr>
        <w:t xml:space="preserve">havde en større risiko for at udvikle alvorlige bivirkninger (se pkt. 4.4).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keepNext/>
        <w:autoSpaceDE w:val="0"/>
        <w:autoSpaceDN w:val="0"/>
        <w:adjustRightInd w:val="0"/>
        <w:ind w:left="851"/>
        <w:rPr>
          <w:i/>
          <w:iCs/>
          <w:color w:val="000000"/>
          <w:sz w:val="24"/>
          <w:szCs w:val="24"/>
          <w:lang w:eastAsia="da-DK"/>
        </w:rPr>
      </w:pPr>
      <w:r>
        <w:rPr>
          <w:i/>
          <w:iCs/>
          <w:color w:val="000000"/>
          <w:sz w:val="24"/>
          <w:szCs w:val="24"/>
          <w:lang w:eastAsia="da-DK"/>
        </w:rPr>
        <w:t>Patienter med lamivudin-resistent kronisk hepatitis B</w:t>
      </w: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Der blev ikke identificeret nye bivirkninger af tenofovirdisoproxil i et randomiseret, dobbeltblindt studie (GS-US-174-0121), hvor 280 lamivudin-resistente patienter fik tenofovirdisoproxil (n = 141) eller emtricitabin/tenofovirdisoproxil (n = 139) i 240 uger.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tabs>
          <w:tab w:val="left" w:pos="851"/>
        </w:tabs>
        <w:ind w:left="851"/>
        <w:rPr>
          <w:sz w:val="24"/>
          <w:szCs w:val="24"/>
          <w:lang w:eastAsia="da-DK"/>
        </w:rPr>
      </w:pPr>
      <w:r>
        <w:rPr>
          <w:sz w:val="24"/>
          <w:szCs w:val="24"/>
          <w:lang w:eastAsia="da-DK"/>
        </w:rPr>
        <w:t>Bivirkninger med mistænkt (eller i det mindste en mulig) forbindelse med behandling er anført nedenfor efter systemorganklasse og hyppighed. Inden for hver enkelt hyppighedsgruppe er bivirkningerne opstillet efter, hvor alvorlige de er. De alvorligste bivirkninger er anført først. Hyppighederne er defineret som meget almindelig (≥1/10), almindelig (≥1/100 til &lt;1/10), ikke almindelig (≥1/1.000 til &lt;1/100) eller sjælden (≥1/10.000 til &lt;1/1.000).</w:t>
      </w:r>
    </w:p>
    <w:p w:rsidR="00491918" w:rsidRDefault="00491918" w:rsidP="00491918">
      <w:pPr>
        <w:tabs>
          <w:tab w:val="left" w:pos="851"/>
        </w:tabs>
        <w:ind w:left="851"/>
        <w:rPr>
          <w:sz w:val="24"/>
          <w:szCs w:val="24"/>
          <w:lang w:eastAsia="da-DK"/>
        </w:rPr>
      </w:pPr>
    </w:p>
    <w:p w:rsidR="00491918" w:rsidRDefault="00491918" w:rsidP="00491918">
      <w:pPr>
        <w:tabs>
          <w:tab w:val="left" w:pos="851"/>
        </w:tabs>
        <w:ind w:left="851"/>
        <w:rPr>
          <w:b/>
          <w:sz w:val="24"/>
          <w:szCs w:val="24"/>
          <w:lang w:eastAsia="da-DK"/>
        </w:rPr>
      </w:pPr>
      <w:r>
        <w:rPr>
          <w:b/>
          <w:sz w:val="24"/>
          <w:szCs w:val="24"/>
          <w:lang w:eastAsia="da-DK"/>
        </w:rPr>
        <w:t>Tabel 2: Resumé af bivirkninger forbundet med tenofovirdisoproxil baseret på erfaringer fra kliniske studier og efter markedsføring</w:t>
      </w:r>
    </w:p>
    <w:p w:rsidR="00491918" w:rsidRDefault="00491918" w:rsidP="00491918">
      <w:pPr>
        <w:tabs>
          <w:tab w:val="left" w:pos="851"/>
        </w:tabs>
        <w:ind w:left="851"/>
        <w:rPr>
          <w:sz w:val="24"/>
          <w:szCs w:val="24"/>
          <w:lang w:eastAsia="da-DK"/>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542"/>
      </w:tblGrid>
      <w:tr w:rsidR="00491918" w:rsidTr="00E0577D">
        <w:tc>
          <w:tcPr>
            <w:tcW w:w="2235"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170"/>
              <w:rPr>
                <w:b/>
                <w:sz w:val="24"/>
                <w:szCs w:val="24"/>
                <w:lang w:eastAsia="da-DK"/>
              </w:rPr>
            </w:pPr>
            <w:r>
              <w:rPr>
                <w:b/>
                <w:sz w:val="24"/>
                <w:szCs w:val="24"/>
                <w:lang w:eastAsia="da-DK"/>
              </w:rPr>
              <w:t>Hyppighed</w:t>
            </w:r>
          </w:p>
        </w:tc>
        <w:tc>
          <w:tcPr>
            <w:tcW w:w="6542"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206"/>
              <w:rPr>
                <w:b/>
                <w:sz w:val="24"/>
                <w:szCs w:val="24"/>
                <w:lang w:eastAsia="da-DK"/>
              </w:rPr>
            </w:pPr>
            <w:r>
              <w:rPr>
                <w:b/>
                <w:sz w:val="24"/>
                <w:szCs w:val="24"/>
                <w:lang w:eastAsia="da-DK"/>
              </w:rPr>
              <w:t>Tenofovirdisoproxil</w:t>
            </w:r>
          </w:p>
        </w:tc>
      </w:tr>
      <w:tr w:rsidR="00491918" w:rsidTr="00E0577D">
        <w:tc>
          <w:tcPr>
            <w:tcW w:w="8777" w:type="dxa"/>
            <w:gridSpan w:val="2"/>
            <w:tcBorders>
              <w:top w:val="single" w:sz="4" w:space="0" w:color="auto"/>
              <w:left w:val="single" w:sz="4" w:space="0" w:color="auto"/>
              <w:bottom w:val="single" w:sz="4" w:space="0" w:color="auto"/>
              <w:right w:val="single" w:sz="4" w:space="0" w:color="auto"/>
            </w:tcBorders>
            <w:shd w:val="pct10" w:color="auto" w:fill="auto"/>
            <w:hideMark/>
          </w:tcPr>
          <w:p w:rsidR="00491918" w:rsidRDefault="00491918" w:rsidP="00FE70EC">
            <w:pPr>
              <w:ind w:left="206"/>
              <w:rPr>
                <w:sz w:val="24"/>
                <w:szCs w:val="24"/>
                <w:lang w:eastAsia="da-DK"/>
              </w:rPr>
            </w:pPr>
            <w:r>
              <w:rPr>
                <w:i/>
                <w:sz w:val="24"/>
                <w:szCs w:val="24"/>
                <w:lang w:eastAsia="da-DK"/>
              </w:rPr>
              <w:t>Metabolisme og ernæring</w:t>
            </w:r>
            <w:r>
              <w:rPr>
                <w:sz w:val="24"/>
                <w:szCs w:val="24"/>
                <w:lang w:eastAsia="da-DK"/>
              </w:rPr>
              <w:t>:</w:t>
            </w:r>
          </w:p>
        </w:tc>
      </w:tr>
      <w:tr w:rsidR="00491918" w:rsidTr="00E0577D">
        <w:tc>
          <w:tcPr>
            <w:tcW w:w="2235"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170"/>
              <w:rPr>
                <w:sz w:val="24"/>
                <w:szCs w:val="24"/>
                <w:lang w:eastAsia="da-DK"/>
              </w:rPr>
            </w:pPr>
            <w:r>
              <w:rPr>
                <w:sz w:val="24"/>
                <w:szCs w:val="24"/>
                <w:lang w:eastAsia="da-DK"/>
              </w:rPr>
              <w:t>Meget almindelig</w:t>
            </w:r>
          </w:p>
        </w:tc>
        <w:tc>
          <w:tcPr>
            <w:tcW w:w="6542"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206"/>
              <w:rPr>
                <w:sz w:val="24"/>
                <w:szCs w:val="24"/>
                <w:lang w:eastAsia="da-DK"/>
              </w:rPr>
            </w:pPr>
            <w:r>
              <w:rPr>
                <w:sz w:val="24"/>
                <w:szCs w:val="24"/>
                <w:lang w:eastAsia="da-DK"/>
              </w:rPr>
              <w:t>Hypofosfatæmi</w:t>
            </w:r>
            <w:r>
              <w:rPr>
                <w:sz w:val="24"/>
                <w:szCs w:val="24"/>
                <w:vertAlign w:val="superscript"/>
                <w:lang w:eastAsia="da-DK"/>
              </w:rPr>
              <w:t>1</w:t>
            </w:r>
          </w:p>
        </w:tc>
      </w:tr>
      <w:tr w:rsidR="00491918" w:rsidTr="00E0577D">
        <w:tc>
          <w:tcPr>
            <w:tcW w:w="2235"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170"/>
              <w:rPr>
                <w:sz w:val="24"/>
                <w:szCs w:val="24"/>
                <w:lang w:eastAsia="da-DK"/>
              </w:rPr>
            </w:pPr>
            <w:r>
              <w:rPr>
                <w:sz w:val="24"/>
                <w:szCs w:val="24"/>
                <w:lang w:eastAsia="da-DK"/>
              </w:rPr>
              <w:t>Ikke almindelig</w:t>
            </w:r>
          </w:p>
        </w:tc>
        <w:tc>
          <w:tcPr>
            <w:tcW w:w="6542"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206"/>
              <w:rPr>
                <w:sz w:val="24"/>
                <w:szCs w:val="24"/>
                <w:lang w:eastAsia="da-DK"/>
              </w:rPr>
            </w:pPr>
            <w:r>
              <w:rPr>
                <w:sz w:val="24"/>
                <w:szCs w:val="24"/>
                <w:lang w:eastAsia="da-DK"/>
              </w:rPr>
              <w:t>Hypokaliæmi</w:t>
            </w:r>
            <w:r>
              <w:rPr>
                <w:sz w:val="24"/>
                <w:szCs w:val="24"/>
                <w:vertAlign w:val="superscript"/>
                <w:lang w:eastAsia="da-DK"/>
              </w:rPr>
              <w:t>1</w:t>
            </w:r>
          </w:p>
        </w:tc>
      </w:tr>
      <w:tr w:rsidR="00491918" w:rsidTr="00E0577D">
        <w:tc>
          <w:tcPr>
            <w:tcW w:w="2235"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170"/>
              <w:rPr>
                <w:sz w:val="24"/>
                <w:szCs w:val="24"/>
                <w:lang w:eastAsia="da-DK"/>
              </w:rPr>
            </w:pPr>
            <w:r>
              <w:rPr>
                <w:sz w:val="24"/>
                <w:szCs w:val="24"/>
                <w:lang w:eastAsia="da-DK"/>
              </w:rPr>
              <w:t>Sjælden</w:t>
            </w:r>
          </w:p>
        </w:tc>
        <w:tc>
          <w:tcPr>
            <w:tcW w:w="6542"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206"/>
              <w:rPr>
                <w:sz w:val="24"/>
                <w:szCs w:val="24"/>
                <w:lang w:eastAsia="da-DK"/>
              </w:rPr>
            </w:pPr>
            <w:r>
              <w:rPr>
                <w:sz w:val="24"/>
                <w:szCs w:val="24"/>
                <w:lang w:eastAsia="da-DK"/>
              </w:rPr>
              <w:t>Laktatacidose</w:t>
            </w:r>
          </w:p>
        </w:tc>
      </w:tr>
      <w:tr w:rsidR="00491918" w:rsidTr="00E0577D">
        <w:tc>
          <w:tcPr>
            <w:tcW w:w="8777" w:type="dxa"/>
            <w:gridSpan w:val="2"/>
            <w:tcBorders>
              <w:top w:val="single" w:sz="4" w:space="0" w:color="auto"/>
              <w:left w:val="single" w:sz="4" w:space="0" w:color="auto"/>
              <w:bottom w:val="single" w:sz="4" w:space="0" w:color="auto"/>
              <w:right w:val="single" w:sz="4" w:space="0" w:color="auto"/>
            </w:tcBorders>
            <w:shd w:val="pct10" w:color="auto" w:fill="auto"/>
            <w:hideMark/>
          </w:tcPr>
          <w:p w:rsidR="00491918" w:rsidRDefault="00491918" w:rsidP="00FE70EC">
            <w:pPr>
              <w:ind w:left="206"/>
              <w:rPr>
                <w:i/>
                <w:sz w:val="24"/>
                <w:szCs w:val="24"/>
                <w:lang w:eastAsia="da-DK"/>
              </w:rPr>
            </w:pPr>
            <w:r>
              <w:rPr>
                <w:i/>
                <w:sz w:val="24"/>
                <w:szCs w:val="24"/>
                <w:lang w:eastAsia="da-DK"/>
              </w:rPr>
              <w:t>Nervesystemet:</w:t>
            </w:r>
          </w:p>
        </w:tc>
      </w:tr>
      <w:tr w:rsidR="00491918" w:rsidTr="00E0577D">
        <w:tc>
          <w:tcPr>
            <w:tcW w:w="2235"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170"/>
              <w:rPr>
                <w:sz w:val="24"/>
                <w:szCs w:val="24"/>
                <w:lang w:eastAsia="da-DK"/>
              </w:rPr>
            </w:pPr>
            <w:r>
              <w:rPr>
                <w:sz w:val="24"/>
                <w:szCs w:val="24"/>
                <w:lang w:eastAsia="da-DK"/>
              </w:rPr>
              <w:t>Meget almindelig</w:t>
            </w:r>
          </w:p>
        </w:tc>
        <w:tc>
          <w:tcPr>
            <w:tcW w:w="6542"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206"/>
              <w:rPr>
                <w:sz w:val="24"/>
                <w:szCs w:val="24"/>
                <w:lang w:eastAsia="da-DK"/>
              </w:rPr>
            </w:pPr>
            <w:r>
              <w:rPr>
                <w:sz w:val="24"/>
                <w:szCs w:val="24"/>
                <w:lang w:eastAsia="da-DK"/>
              </w:rPr>
              <w:t>Svimmelhed</w:t>
            </w:r>
          </w:p>
        </w:tc>
      </w:tr>
      <w:tr w:rsidR="00491918" w:rsidTr="00E0577D">
        <w:tc>
          <w:tcPr>
            <w:tcW w:w="2235"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170"/>
              <w:rPr>
                <w:sz w:val="24"/>
                <w:szCs w:val="24"/>
                <w:lang w:eastAsia="da-DK"/>
              </w:rPr>
            </w:pPr>
            <w:r>
              <w:rPr>
                <w:sz w:val="24"/>
                <w:szCs w:val="24"/>
                <w:lang w:eastAsia="da-DK"/>
              </w:rPr>
              <w:t>Almindelig</w:t>
            </w:r>
          </w:p>
        </w:tc>
        <w:tc>
          <w:tcPr>
            <w:tcW w:w="6542"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206"/>
              <w:rPr>
                <w:sz w:val="24"/>
                <w:szCs w:val="24"/>
                <w:lang w:eastAsia="da-DK"/>
              </w:rPr>
            </w:pPr>
            <w:r>
              <w:rPr>
                <w:sz w:val="24"/>
                <w:szCs w:val="24"/>
                <w:lang w:eastAsia="da-DK"/>
              </w:rPr>
              <w:t>Hovedpine</w:t>
            </w:r>
          </w:p>
        </w:tc>
      </w:tr>
      <w:tr w:rsidR="00491918" w:rsidTr="00E0577D">
        <w:tc>
          <w:tcPr>
            <w:tcW w:w="8777" w:type="dxa"/>
            <w:gridSpan w:val="2"/>
            <w:tcBorders>
              <w:top w:val="single" w:sz="4" w:space="0" w:color="auto"/>
              <w:left w:val="single" w:sz="4" w:space="0" w:color="auto"/>
              <w:bottom w:val="single" w:sz="4" w:space="0" w:color="auto"/>
              <w:right w:val="single" w:sz="4" w:space="0" w:color="auto"/>
            </w:tcBorders>
            <w:shd w:val="pct10" w:color="auto" w:fill="auto"/>
            <w:hideMark/>
          </w:tcPr>
          <w:p w:rsidR="00491918" w:rsidRDefault="00491918" w:rsidP="00FE70EC">
            <w:pPr>
              <w:ind w:left="206"/>
              <w:rPr>
                <w:i/>
                <w:sz w:val="24"/>
                <w:szCs w:val="24"/>
                <w:lang w:eastAsia="da-DK"/>
              </w:rPr>
            </w:pPr>
            <w:r>
              <w:rPr>
                <w:i/>
                <w:sz w:val="24"/>
                <w:szCs w:val="24"/>
                <w:lang w:eastAsia="da-DK"/>
              </w:rPr>
              <w:t>Mave-tarm-kanalen</w:t>
            </w:r>
          </w:p>
        </w:tc>
      </w:tr>
      <w:tr w:rsidR="00491918" w:rsidTr="00E0577D">
        <w:tc>
          <w:tcPr>
            <w:tcW w:w="2235"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170"/>
              <w:rPr>
                <w:sz w:val="24"/>
                <w:szCs w:val="24"/>
                <w:lang w:eastAsia="da-DK"/>
              </w:rPr>
            </w:pPr>
            <w:r>
              <w:rPr>
                <w:sz w:val="24"/>
                <w:szCs w:val="24"/>
                <w:lang w:eastAsia="da-DK"/>
              </w:rPr>
              <w:t>Meget almindelig</w:t>
            </w:r>
          </w:p>
        </w:tc>
        <w:tc>
          <w:tcPr>
            <w:tcW w:w="6542"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206"/>
              <w:rPr>
                <w:sz w:val="24"/>
                <w:szCs w:val="24"/>
                <w:lang w:eastAsia="da-DK"/>
              </w:rPr>
            </w:pPr>
            <w:r>
              <w:rPr>
                <w:sz w:val="24"/>
                <w:szCs w:val="24"/>
                <w:lang w:eastAsia="da-DK"/>
              </w:rPr>
              <w:t>Diarré, opkastning, kvalme</w:t>
            </w:r>
          </w:p>
        </w:tc>
      </w:tr>
      <w:tr w:rsidR="00491918" w:rsidTr="00E0577D">
        <w:tc>
          <w:tcPr>
            <w:tcW w:w="2235"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170"/>
              <w:rPr>
                <w:sz w:val="24"/>
                <w:szCs w:val="24"/>
                <w:lang w:eastAsia="da-DK"/>
              </w:rPr>
            </w:pPr>
            <w:r>
              <w:rPr>
                <w:sz w:val="24"/>
                <w:szCs w:val="24"/>
                <w:lang w:eastAsia="da-DK"/>
              </w:rPr>
              <w:t>Almindelig</w:t>
            </w:r>
          </w:p>
        </w:tc>
        <w:tc>
          <w:tcPr>
            <w:tcW w:w="6542"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206"/>
              <w:rPr>
                <w:sz w:val="24"/>
                <w:szCs w:val="24"/>
                <w:lang w:eastAsia="da-DK"/>
              </w:rPr>
            </w:pPr>
            <w:r>
              <w:rPr>
                <w:sz w:val="24"/>
                <w:szCs w:val="24"/>
                <w:lang w:eastAsia="da-DK"/>
              </w:rPr>
              <w:t>Abdominalsmerter, abdominal udspiling, flatulens</w:t>
            </w:r>
          </w:p>
        </w:tc>
      </w:tr>
      <w:tr w:rsidR="00491918" w:rsidTr="00E0577D">
        <w:tc>
          <w:tcPr>
            <w:tcW w:w="2235"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170"/>
              <w:rPr>
                <w:sz w:val="24"/>
                <w:szCs w:val="24"/>
                <w:lang w:eastAsia="da-DK"/>
              </w:rPr>
            </w:pPr>
            <w:r>
              <w:rPr>
                <w:sz w:val="24"/>
                <w:szCs w:val="24"/>
                <w:lang w:eastAsia="da-DK"/>
              </w:rPr>
              <w:t>Ikke almindelig</w:t>
            </w:r>
          </w:p>
        </w:tc>
        <w:tc>
          <w:tcPr>
            <w:tcW w:w="6542"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206"/>
              <w:rPr>
                <w:sz w:val="24"/>
                <w:szCs w:val="24"/>
                <w:lang w:eastAsia="da-DK"/>
              </w:rPr>
            </w:pPr>
            <w:r>
              <w:rPr>
                <w:sz w:val="24"/>
                <w:szCs w:val="24"/>
                <w:lang w:eastAsia="da-DK"/>
              </w:rPr>
              <w:t>Pancreatitis</w:t>
            </w:r>
          </w:p>
        </w:tc>
      </w:tr>
      <w:tr w:rsidR="00491918" w:rsidTr="00E0577D">
        <w:tc>
          <w:tcPr>
            <w:tcW w:w="8777" w:type="dxa"/>
            <w:gridSpan w:val="2"/>
            <w:tcBorders>
              <w:top w:val="single" w:sz="4" w:space="0" w:color="auto"/>
              <w:left w:val="single" w:sz="4" w:space="0" w:color="auto"/>
              <w:bottom w:val="single" w:sz="4" w:space="0" w:color="auto"/>
              <w:right w:val="single" w:sz="4" w:space="0" w:color="auto"/>
            </w:tcBorders>
            <w:shd w:val="pct10" w:color="auto" w:fill="auto"/>
            <w:hideMark/>
          </w:tcPr>
          <w:p w:rsidR="00491918" w:rsidRDefault="00491918" w:rsidP="00FE70EC">
            <w:pPr>
              <w:ind w:left="206"/>
              <w:rPr>
                <w:i/>
                <w:sz w:val="24"/>
                <w:szCs w:val="24"/>
                <w:lang w:eastAsia="da-DK"/>
              </w:rPr>
            </w:pPr>
            <w:r>
              <w:rPr>
                <w:i/>
                <w:sz w:val="24"/>
                <w:szCs w:val="24"/>
                <w:lang w:eastAsia="da-DK"/>
              </w:rPr>
              <w:t>Lever og galdeveje:</w:t>
            </w:r>
          </w:p>
        </w:tc>
      </w:tr>
      <w:tr w:rsidR="00491918" w:rsidTr="00E0577D">
        <w:tc>
          <w:tcPr>
            <w:tcW w:w="2235"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170"/>
              <w:rPr>
                <w:sz w:val="24"/>
                <w:szCs w:val="24"/>
                <w:lang w:eastAsia="da-DK"/>
              </w:rPr>
            </w:pPr>
            <w:r>
              <w:rPr>
                <w:sz w:val="24"/>
                <w:szCs w:val="24"/>
                <w:lang w:eastAsia="da-DK"/>
              </w:rPr>
              <w:t>Almindelig</w:t>
            </w:r>
          </w:p>
        </w:tc>
        <w:tc>
          <w:tcPr>
            <w:tcW w:w="6542"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206"/>
              <w:rPr>
                <w:sz w:val="24"/>
                <w:szCs w:val="24"/>
                <w:lang w:eastAsia="da-DK"/>
              </w:rPr>
            </w:pPr>
            <w:r>
              <w:rPr>
                <w:sz w:val="24"/>
                <w:szCs w:val="24"/>
                <w:lang w:eastAsia="da-DK"/>
              </w:rPr>
              <w:t>Forhøjede aminotransferaser</w:t>
            </w:r>
          </w:p>
        </w:tc>
      </w:tr>
      <w:tr w:rsidR="00491918" w:rsidTr="00E0577D">
        <w:tc>
          <w:tcPr>
            <w:tcW w:w="2235"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170"/>
              <w:rPr>
                <w:sz w:val="24"/>
                <w:szCs w:val="24"/>
                <w:lang w:eastAsia="da-DK"/>
              </w:rPr>
            </w:pPr>
            <w:r>
              <w:rPr>
                <w:sz w:val="24"/>
                <w:szCs w:val="24"/>
                <w:lang w:eastAsia="da-DK"/>
              </w:rPr>
              <w:t>Sjælden</w:t>
            </w:r>
          </w:p>
        </w:tc>
        <w:tc>
          <w:tcPr>
            <w:tcW w:w="6542"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206"/>
              <w:rPr>
                <w:sz w:val="24"/>
                <w:szCs w:val="24"/>
                <w:lang w:eastAsia="da-DK"/>
              </w:rPr>
            </w:pPr>
            <w:r>
              <w:rPr>
                <w:sz w:val="24"/>
                <w:szCs w:val="24"/>
                <w:lang w:eastAsia="da-DK"/>
              </w:rPr>
              <w:t>Steatosis hepatis, hepatitis</w:t>
            </w:r>
          </w:p>
        </w:tc>
      </w:tr>
      <w:tr w:rsidR="00491918" w:rsidTr="00E0577D">
        <w:tc>
          <w:tcPr>
            <w:tcW w:w="8777" w:type="dxa"/>
            <w:gridSpan w:val="2"/>
            <w:tcBorders>
              <w:top w:val="single" w:sz="4" w:space="0" w:color="auto"/>
              <w:left w:val="single" w:sz="4" w:space="0" w:color="auto"/>
              <w:bottom w:val="single" w:sz="4" w:space="0" w:color="auto"/>
              <w:right w:val="single" w:sz="4" w:space="0" w:color="auto"/>
            </w:tcBorders>
            <w:shd w:val="pct10" w:color="auto" w:fill="auto"/>
            <w:hideMark/>
          </w:tcPr>
          <w:p w:rsidR="00491918" w:rsidRDefault="00491918" w:rsidP="00FE70EC">
            <w:pPr>
              <w:ind w:left="206"/>
              <w:rPr>
                <w:i/>
                <w:sz w:val="24"/>
                <w:szCs w:val="24"/>
                <w:lang w:eastAsia="da-DK"/>
              </w:rPr>
            </w:pPr>
            <w:r>
              <w:rPr>
                <w:i/>
                <w:sz w:val="24"/>
                <w:szCs w:val="24"/>
                <w:lang w:eastAsia="da-DK"/>
              </w:rPr>
              <w:t>Hud og subkutane væv:</w:t>
            </w:r>
          </w:p>
        </w:tc>
      </w:tr>
      <w:tr w:rsidR="00491918" w:rsidTr="00E0577D">
        <w:tc>
          <w:tcPr>
            <w:tcW w:w="2235"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170"/>
              <w:rPr>
                <w:sz w:val="24"/>
                <w:szCs w:val="24"/>
                <w:lang w:eastAsia="da-DK"/>
              </w:rPr>
            </w:pPr>
            <w:r>
              <w:rPr>
                <w:sz w:val="24"/>
                <w:szCs w:val="24"/>
                <w:lang w:eastAsia="da-DK"/>
              </w:rPr>
              <w:t>Meget almindelig</w:t>
            </w:r>
          </w:p>
        </w:tc>
        <w:tc>
          <w:tcPr>
            <w:tcW w:w="6542"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206"/>
              <w:rPr>
                <w:sz w:val="24"/>
                <w:szCs w:val="24"/>
                <w:lang w:eastAsia="da-DK"/>
              </w:rPr>
            </w:pPr>
            <w:r>
              <w:rPr>
                <w:sz w:val="24"/>
                <w:szCs w:val="24"/>
                <w:lang w:eastAsia="da-DK"/>
              </w:rPr>
              <w:t>Udslæt</w:t>
            </w:r>
          </w:p>
        </w:tc>
      </w:tr>
      <w:tr w:rsidR="00491918" w:rsidTr="00E0577D">
        <w:tc>
          <w:tcPr>
            <w:tcW w:w="2235"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170"/>
              <w:rPr>
                <w:sz w:val="24"/>
                <w:szCs w:val="24"/>
                <w:lang w:eastAsia="da-DK"/>
              </w:rPr>
            </w:pPr>
            <w:r>
              <w:rPr>
                <w:sz w:val="24"/>
                <w:szCs w:val="24"/>
                <w:lang w:eastAsia="da-DK"/>
              </w:rPr>
              <w:t>Sjælden</w:t>
            </w:r>
          </w:p>
        </w:tc>
        <w:tc>
          <w:tcPr>
            <w:tcW w:w="6542" w:type="dxa"/>
            <w:tcBorders>
              <w:top w:val="single" w:sz="4" w:space="0" w:color="auto"/>
              <w:left w:val="single" w:sz="4" w:space="0" w:color="auto"/>
              <w:bottom w:val="single" w:sz="4" w:space="0" w:color="auto"/>
              <w:right w:val="single" w:sz="4" w:space="0" w:color="auto"/>
            </w:tcBorders>
            <w:hideMark/>
          </w:tcPr>
          <w:p w:rsidR="00491918" w:rsidRDefault="00491918" w:rsidP="00FE70EC">
            <w:pPr>
              <w:ind w:left="206"/>
              <w:rPr>
                <w:sz w:val="24"/>
                <w:szCs w:val="24"/>
                <w:lang w:eastAsia="da-DK"/>
              </w:rPr>
            </w:pPr>
            <w:r>
              <w:rPr>
                <w:sz w:val="24"/>
                <w:szCs w:val="24"/>
                <w:lang w:eastAsia="da-DK"/>
              </w:rPr>
              <w:t>Angioødem</w:t>
            </w:r>
          </w:p>
        </w:tc>
      </w:tr>
      <w:tr w:rsidR="00491918" w:rsidTr="00E0577D">
        <w:tc>
          <w:tcPr>
            <w:tcW w:w="8777" w:type="dxa"/>
            <w:gridSpan w:val="2"/>
            <w:tcBorders>
              <w:top w:val="single" w:sz="4" w:space="0" w:color="auto"/>
              <w:left w:val="single" w:sz="4" w:space="0" w:color="auto"/>
              <w:bottom w:val="single" w:sz="4" w:space="0" w:color="auto"/>
              <w:right w:val="single" w:sz="4" w:space="0" w:color="auto"/>
            </w:tcBorders>
            <w:shd w:val="pct10" w:color="auto" w:fill="auto"/>
            <w:hideMark/>
          </w:tcPr>
          <w:p w:rsidR="00491918" w:rsidRDefault="00491918" w:rsidP="00FE70EC">
            <w:pPr>
              <w:ind w:left="206"/>
              <w:rPr>
                <w:i/>
                <w:sz w:val="24"/>
                <w:szCs w:val="24"/>
                <w:lang w:eastAsia="da-DK"/>
              </w:rPr>
            </w:pPr>
            <w:r>
              <w:rPr>
                <w:i/>
                <w:sz w:val="24"/>
                <w:szCs w:val="24"/>
                <w:lang w:eastAsia="da-DK"/>
              </w:rPr>
              <w:t>Knogler, led, muskler og bindevæv:</w:t>
            </w:r>
          </w:p>
        </w:tc>
      </w:tr>
      <w:tr w:rsidR="00E0577D" w:rsidTr="00E0577D">
        <w:tc>
          <w:tcPr>
            <w:tcW w:w="2235" w:type="dxa"/>
            <w:tcBorders>
              <w:top w:val="single" w:sz="4" w:space="0" w:color="auto"/>
              <w:left w:val="single" w:sz="4" w:space="0" w:color="auto"/>
              <w:bottom w:val="single" w:sz="4" w:space="0" w:color="auto"/>
              <w:right w:val="single" w:sz="4" w:space="0" w:color="auto"/>
            </w:tcBorders>
            <w:shd w:val="pct10" w:color="auto" w:fill="auto"/>
          </w:tcPr>
          <w:p w:rsidR="00E0577D" w:rsidRDefault="00E0577D" w:rsidP="00E0577D">
            <w:pPr>
              <w:ind w:left="170"/>
              <w:rPr>
                <w:sz w:val="24"/>
                <w:szCs w:val="24"/>
                <w:lang w:eastAsia="da-DK"/>
              </w:rPr>
            </w:pPr>
            <w:r>
              <w:rPr>
                <w:sz w:val="24"/>
                <w:szCs w:val="24"/>
                <w:lang w:eastAsia="da-DK"/>
              </w:rPr>
              <w:t>Almindelig</w:t>
            </w:r>
          </w:p>
        </w:tc>
        <w:tc>
          <w:tcPr>
            <w:tcW w:w="6542" w:type="dxa"/>
            <w:tcBorders>
              <w:top w:val="single" w:sz="4" w:space="0" w:color="auto"/>
              <w:left w:val="single" w:sz="4" w:space="0" w:color="auto"/>
              <w:bottom w:val="single" w:sz="4" w:space="0" w:color="auto"/>
              <w:right w:val="single" w:sz="4" w:space="0" w:color="auto"/>
            </w:tcBorders>
            <w:shd w:val="pct10" w:color="auto" w:fill="auto"/>
          </w:tcPr>
          <w:p w:rsidR="00E0577D" w:rsidRDefault="00E0577D" w:rsidP="00E0577D">
            <w:pPr>
              <w:ind w:left="206"/>
              <w:rPr>
                <w:sz w:val="24"/>
                <w:szCs w:val="24"/>
                <w:lang w:eastAsia="da-DK"/>
              </w:rPr>
            </w:pPr>
            <w:r>
              <w:rPr>
                <w:sz w:val="24"/>
                <w:szCs w:val="24"/>
                <w:lang w:eastAsia="da-DK"/>
              </w:rPr>
              <w:t>Fald i knoglemineraltæthed</w:t>
            </w:r>
            <w:r w:rsidRPr="00ED57E7">
              <w:rPr>
                <w:sz w:val="24"/>
                <w:szCs w:val="24"/>
                <w:vertAlign w:val="superscript"/>
                <w:lang w:eastAsia="da-DK"/>
              </w:rPr>
              <w:t>3</w:t>
            </w:r>
          </w:p>
        </w:tc>
      </w:tr>
      <w:tr w:rsidR="00E0577D" w:rsidTr="00E0577D">
        <w:tc>
          <w:tcPr>
            <w:tcW w:w="2235" w:type="dxa"/>
            <w:tcBorders>
              <w:top w:val="single" w:sz="4" w:space="0" w:color="auto"/>
              <w:left w:val="single" w:sz="4" w:space="0" w:color="auto"/>
              <w:bottom w:val="single" w:sz="4" w:space="0" w:color="auto"/>
              <w:right w:val="single" w:sz="4" w:space="0" w:color="auto"/>
            </w:tcBorders>
            <w:hideMark/>
          </w:tcPr>
          <w:p w:rsidR="00E0577D" w:rsidRDefault="00E0577D" w:rsidP="00E0577D">
            <w:pPr>
              <w:ind w:left="170"/>
              <w:rPr>
                <w:sz w:val="24"/>
                <w:szCs w:val="24"/>
                <w:lang w:eastAsia="da-DK"/>
              </w:rPr>
            </w:pPr>
            <w:r>
              <w:rPr>
                <w:sz w:val="24"/>
                <w:szCs w:val="24"/>
                <w:lang w:eastAsia="da-DK"/>
              </w:rPr>
              <w:t>Ikke almindelig</w:t>
            </w:r>
          </w:p>
        </w:tc>
        <w:tc>
          <w:tcPr>
            <w:tcW w:w="6542" w:type="dxa"/>
            <w:tcBorders>
              <w:top w:val="single" w:sz="4" w:space="0" w:color="auto"/>
              <w:left w:val="single" w:sz="4" w:space="0" w:color="auto"/>
              <w:bottom w:val="single" w:sz="4" w:space="0" w:color="auto"/>
              <w:right w:val="single" w:sz="4" w:space="0" w:color="auto"/>
            </w:tcBorders>
            <w:hideMark/>
          </w:tcPr>
          <w:p w:rsidR="00E0577D" w:rsidRDefault="00E0577D" w:rsidP="00E0577D">
            <w:pPr>
              <w:ind w:left="206"/>
              <w:rPr>
                <w:sz w:val="24"/>
                <w:szCs w:val="24"/>
                <w:lang w:eastAsia="da-DK"/>
              </w:rPr>
            </w:pPr>
            <w:r>
              <w:rPr>
                <w:sz w:val="24"/>
                <w:szCs w:val="24"/>
                <w:lang w:eastAsia="da-DK"/>
              </w:rPr>
              <w:t>Rabdomyolyse</w:t>
            </w:r>
            <w:r>
              <w:rPr>
                <w:sz w:val="24"/>
                <w:szCs w:val="24"/>
                <w:vertAlign w:val="superscript"/>
                <w:lang w:eastAsia="da-DK"/>
              </w:rPr>
              <w:t>1</w:t>
            </w:r>
            <w:r>
              <w:rPr>
                <w:sz w:val="24"/>
                <w:szCs w:val="24"/>
                <w:lang w:eastAsia="da-DK"/>
              </w:rPr>
              <w:t>, muskelsvækkelse</w:t>
            </w:r>
            <w:r>
              <w:rPr>
                <w:sz w:val="24"/>
                <w:szCs w:val="24"/>
                <w:vertAlign w:val="superscript"/>
                <w:lang w:eastAsia="da-DK"/>
              </w:rPr>
              <w:t>1</w:t>
            </w:r>
          </w:p>
        </w:tc>
      </w:tr>
      <w:tr w:rsidR="00E0577D" w:rsidTr="00E0577D">
        <w:tc>
          <w:tcPr>
            <w:tcW w:w="2235" w:type="dxa"/>
            <w:tcBorders>
              <w:top w:val="single" w:sz="4" w:space="0" w:color="auto"/>
              <w:left w:val="single" w:sz="4" w:space="0" w:color="auto"/>
              <w:bottom w:val="single" w:sz="4" w:space="0" w:color="auto"/>
              <w:right w:val="single" w:sz="4" w:space="0" w:color="auto"/>
            </w:tcBorders>
            <w:hideMark/>
          </w:tcPr>
          <w:p w:rsidR="00E0577D" w:rsidRDefault="00E0577D" w:rsidP="00E0577D">
            <w:pPr>
              <w:ind w:left="170"/>
              <w:rPr>
                <w:sz w:val="24"/>
                <w:szCs w:val="24"/>
                <w:lang w:eastAsia="da-DK"/>
              </w:rPr>
            </w:pPr>
            <w:r>
              <w:rPr>
                <w:sz w:val="24"/>
                <w:szCs w:val="24"/>
                <w:lang w:eastAsia="da-DK"/>
              </w:rPr>
              <w:t>Sjælden</w:t>
            </w:r>
          </w:p>
        </w:tc>
        <w:tc>
          <w:tcPr>
            <w:tcW w:w="6542" w:type="dxa"/>
            <w:tcBorders>
              <w:top w:val="single" w:sz="4" w:space="0" w:color="auto"/>
              <w:left w:val="single" w:sz="4" w:space="0" w:color="auto"/>
              <w:bottom w:val="single" w:sz="4" w:space="0" w:color="auto"/>
              <w:right w:val="single" w:sz="4" w:space="0" w:color="auto"/>
            </w:tcBorders>
            <w:hideMark/>
          </w:tcPr>
          <w:p w:rsidR="00E0577D" w:rsidRDefault="00E0577D" w:rsidP="00E0577D">
            <w:pPr>
              <w:ind w:left="206"/>
              <w:rPr>
                <w:sz w:val="24"/>
                <w:szCs w:val="24"/>
                <w:lang w:eastAsia="da-DK"/>
              </w:rPr>
            </w:pPr>
            <w:r>
              <w:rPr>
                <w:sz w:val="24"/>
                <w:szCs w:val="24"/>
                <w:lang w:eastAsia="da-DK"/>
              </w:rPr>
              <w:t xml:space="preserve">Osteomalaci (manifesterer sig som knoglesmerter og i </w:t>
            </w:r>
            <w:proofErr w:type="gramStart"/>
            <w:r>
              <w:rPr>
                <w:sz w:val="24"/>
                <w:szCs w:val="24"/>
                <w:lang w:eastAsia="da-DK"/>
              </w:rPr>
              <w:t>sjælden</w:t>
            </w:r>
            <w:proofErr w:type="gramEnd"/>
            <w:r>
              <w:rPr>
                <w:sz w:val="24"/>
                <w:szCs w:val="24"/>
                <w:lang w:eastAsia="da-DK"/>
              </w:rPr>
              <w:t xml:space="preserve"> tilfælde medvirkende årsag til frakturer)</w:t>
            </w:r>
            <w:r>
              <w:rPr>
                <w:sz w:val="24"/>
                <w:szCs w:val="24"/>
                <w:vertAlign w:val="superscript"/>
                <w:lang w:eastAsia="da-DK"/>
              </w:rPr>
              <w:t>1,2</w:t>
            </w:r>
            <w:r>
              <w:rPr>
                <w:sz w:val="24"/>
                <w:szCs w:val="24"/>
                <w:lang w:eastAsia="da-DK"/>
              </w:rPr>
              <w:t>, myopati</w:t>
            </w:r>
            <w:r>
              <w:rPr>
                <w:sz w:val="24"/>
                <w:szCs w:val="24"/>
                <w:vertAlign w:val="superscript"/>
                <w:lang w:eastAsia="da-DK"/>
              </w:rPr>
              <w:t>1</w:t>
            </w:r>
          </w:p>
        </w:tc>
      </w:tr>
      <w:tr w:rsidR="00E0577D" w:rsidTr="00E0577D">
        <w:tc>
          <w:tcPr>
            <w:tcW w:w="8777" w:type="dxa"/>
            <w:gridSpan w:val="2"/>
            <w:tcBorders>
              <w:top w:val="single" w:sz="4" w:space="0" w:color="auto"/>
              <w:left w:val="single" w:sz="4" w:space="0" w:color="auto"/>
              <w:bottom w:val="single" w:sz="4" w:space="0" w:color="auto"/>
              <w:right w:val="single" w:sz="4" w:space="0" w:color="auto"/>
            </w:tcBorders>
            <w:shd w:val="pct10" w:color="auto" w:fill="auto"/>
            <w:hideMark/>
          </w:tcPr>
          <w:p w:rsidR="00E0577D" w:rsidRDefault="00E0577D" w:rsidP="00E0577D">
            <w:pPr>
              <w:ind w:left="206"/>
              <w:rPr>
                <w:i/>
                <w:sz w:val="24"/>
                <w:szCs w:val="24"/>
                <w:lang w:eastAsia="da-DK"/>
              </w:rPr>
            </w:pPr>
            <w:r>
              <w:rPr>
                <w:i/>
                <w:sz w:val="24"/>
                <w:szCs w:val="24"/>
                <w:lang w:eastAsia="da-DK"/>
              </w:rPr>
              <w:t>Nyrer og urinveje:</w:t>
            </w:r>
          </w:p>
        </w:tc>
      </w:tr>
      <w:tr w:rsidR="00E0577D" w:rsidTr="00E0577D">
        <w:tc>
          <w:tcPr>
            <w:tcW w:w="2235" w:type="dxa"/>
            <w:tcBorders>
              <w:top w:val="single" w:sz="4" w:space="0" w:color="auto"/>
              <w:left w:val="single" w:sz="4" w:space="0" w:color="auto"/>
              <w:bottom w:val="single" w:sz="4" w:space="0" w:color="auto"/>
              <w:right w:val="single" w:sz="4" w:space="0" w:color="auto"/>
            </w:tcBorders>
            <w:hideMark/>
          </w:tcPr>
          <w:p w:rsidR="00E0577D" w:rsidRDefault="00E0577D" w:rsidP="00E0577D">
            <w:pPr>
              <w:ind w:left="170"/>
              <w:rPr>
                <w:sz w:val="24"/>
                <w:szCs w:val="24"/>
                <w:lang w:eastAsia="da-DK"/>
              </w:rPr>
            </w:pPr>
            <w:r>
              <w:rPr>
                <w:sz w:val="24"/>
                <w:szCs w:val="24"/>
                <w:lang w:eastAsia="da-DK"/>
              </w:rPr>
              <w:t>Ikke almindelig</w:t>
            </w:r>
          </w:p>
        </w:tc>
        <w:tc>
          <w:tcPr>
            <w:tcW w:w="6542" w:type="dxa"/>
            <w:tcBorders>
              <w:top w:val="single" w:sz="4" w:space="0" w:color="auto"/>
              <w:left w:val="single" w:sz="4" w:space="0" w:color="auto"/>
              <w:bottom w:val="single" w:sz="4" w:space="0" w:color="auto"/>
              <w:right w:val="single" w:sz="4" w:space="0" w:color="auto"/>
            </w:tcBorders>
            <w:hideMark/>
          </w:tcPr>
          <w:p w:rsidR="00E0577D" w:rsidRDefault="00E0577D" w:rsidP="00E0577D">
            <w:pPr>
              <w:ind w:left="206"/>
              <w:rPr>
                <w:sz w:val="24"/>
                <w:szCs w:val="24"/>
                <w:lang w:eastAsia="da-DK"/>
              </w:rPr>
            </w:pPr>
            <w:r>
              <w:rPr>
                <w:sz w:val="24"/>
                <w:szCs w:val="24"/>
                <w:lang w:eastAsia="da-DK"/>
              </w:rPr>
              <w:t>Øget kreatinin, proksimal renal tubolopati (herunder Fanconis syndrom)</w:t>
            </w:r>
          </w:p>
        </w:tc>
      </w:tr>
      <w:tr w:rsidR="00E0577D" w:rsidTr="00E0577D">
        <w:tc>
          <w:tcPr>
            <w:tcW w:w="2235" w:type="dxa"/>
            <w:tcBorders>
              <w:top w:val="single" w:sz="4" w:space="0" w:color="auto"/>
              <w:left w:val="single" w:sz="4" w:space="0" w:color="auto"/>
              <w:bottom w:val="single" w:sz="4" w:space="0" w:color="auto"/>
              <w:right w:val="single" w:sz="4" w:space="0" w:color="auto"/>
            </w:tcBorders>
            <w:hideMark/>
          </w:tcPr>
          <w:p w:rsidR="00E0577D" w:rsidRDefault="00E0577D" w:rsidP="00E0577D">
            <w:pPr>
              <w:ind w:left="170"/>
              <w:rPr>
                <w:sz w:val="24"/>
                <w:szCs w:val="24"/>
                <w:lang w:eastAsia="da-DK"/>
              </w:rPr>
            </w:pPr>
            <w:r>
              <w:rPr>
                <w:sz w:val="24"/>
                <w:szCs w:val="24"/>
                <w:lang w:eastAsia="da-DK"/>
              </w:rPr>
              <w:t>Sjælden</w:t>
            </w:r>
          </w:p>
        </w:tc>
        <w:tc>
          <w:tcPr>
            <w:tcW w:w="6542" w:type="dxa"/>
            <w:tcBorders>
              <w:top w:val="single" w:sz="4" w:space="0" w:color="auto"/>
              <w:left w:val="single" w:sz="4" w:space="0" w:color="auto"/>
              <w:bottom w:val="single" w:sz="4" w:space="0" w:color="auto"/>
              <w:right w:val="single" w:sz="4" w:space="0" w:color="auto"/>
            </w:tcBorders>
            <w:hideMark/>
          </w:tcPr>
          <w:p w:rsidR="00E0577D" w:rsidRDefault="00E0577D" w:rsidP="00E0577D">
            <w:pPr>
              <w:ind w:left="206"/>
              <w:rPr>
                <w:sz w:val="24"/>
                <w:szCs w:val="24"/>
                <w:lang w:eastAsia="da-DK"/>
              </w:rPr>
            </w:pPr>
            <w:r>
              <w:rPr>
                <w:sz w:val="24"/>
                <w:szCs w:val="24"/>
                <w:lang w:eastAsia="da-DK"/>
              </w:rPr>
              <w:t>Akut nyresvigt, nyresvigt, akut tubulær nekrose, nefritis (herunder akut interstitiel nefritis)</w:t>
            </w:r>
            <w:r>
              <w:rPr>
                <w:sz w:val="24"/>
                <w:szCs w:val="24"/>
                <w:vertAlign w:val="superscript"/>
                <w:lang w:eastAsia="da-DK"/>
              </w:rPr>
              <w:t>2</w:t>
            </w:r>
            <w:r>
              <w:rPr>
                <w:sz w:val="24"/>
                <w:szCs w:val="24"/>
                <w:lang w:eastAsia="da-DK"/>
              </w:rPr>
              <w:t>, nefrogen diabetes insipidus</w:t>
            </w:r>
          </w:p>
        </w:tc>
      </w:tr>
      <w:tr w:rsidR="00E0577D" w:rsidTr="00E0577D">
        <w:tc>
          <w:tcPr>
            <w:tcW w:w="8777" w:type="dxa"/>
            <w:gridSpan w:val="2"/>
            <w:tcBorders>
              <w:top w:val="single" w:sz="4" w:space="0" w:color="auto"/>
              <w:left w:val="single" w:sz="4" w:space="0" w:color="auto"/>
              <w:bottom w:val="single" w:sz="4" w:space="0" w:color="auto"/>
              <w:right w:val="single" w:sz="4" w:space="0" w:color="auto"/>
            </w:tcBorders>
            <w:shd w:val="pct10" w:color="auto" w:fill="auto"/>
            <w:hideMark/>
          </w:tcPr>
          <w:p w:rsidR="00E0577D" w:rsidRDefault="00E0577D" w:rsidP="00E0577D">
            <w:pPr>
              <w:ind w:left="206"/>
              <w:rPr>
                <w:i/>
                <w:sz w:val="24"/>
                <w:szCs w:val="24"/>
                <w:lang w:eastAsia="da-DK"/>
              </w:rPr>
            </w:pPr>
            <w:r>
              <w:rPr>
                <w:i/>
                <w:sz w:val="24"/>
                <w:szCs w:val="24"/>
                <w:lang w:eastAsia="da-DK"/>
              </w:rPr>
              <w:t>Almene symptomer og reaktioner på administrationsstedet:</w:t>
            </w:r>
          </w:p>
        </w:tc>
      </w:tr>
      <w:tr w:rsidR="00E0577D" w:rsidTr="00E0577D">
        <w:tc>
          <w:tcPr>
            <w:tcW w:w="2235" w:type="dxa"/>
            <w:tcBorders>
              <w:top w:val="single" w:sz="4" w:space="0" w:color="auto"/>
              <w:left w:val="single" w:sz="4" w:space="0" w:color="auto"/>
              <w:bottom w:val="single" w:sz="4" w:space="0" w:color="auto"/>
              <w:right w:val="single" w:sz="4" w:space="0" w:color="auto"/>
            </w:tcBorders>
            <w:hideMark/>
          </w:tcPr>
          <w:p w:rsidR="00E0577D" w:rsidRDefault="00E0577D" w:rsidP="00E0577D">
            <w:pPr>
              <w:ind w:left="170"/>
              <w:rPr>
                <w:sz w:val="24"/>
                <w:szCs w:val="24"/>
                <w:lang w:eastAsia="da-DK"/>
              </w:rPr>
            </w:pPr>
            <w:r>
              <w:rPr>
                <w:sz w:val="24"/>
                <w:szCs w:val="24"/>
                <w:lang w:eastAsia="da-DK"/>
              </w:rPr>
              <w:t>Meget almindelig</w:t>
            </w:r>
          </w:p>
        </w:tc>
        <w:tc>
          <w:tcPr>
            <w:tcW w:w="6542" w:type="dxa"/>
            <w:tcBorders>
              <w:top w:val="single" w:sz="4" w:space="0" w:color="auto"/>
              <w:left w:val="single" w:sz="4" w:space="0" w:color="auto"/>
              <w:bottom w:val="single" w:sz="4" w:space="0" w:color="auto"/>
              <w:right w:val="single" w:sz="4" w:space="0" w:color="auto"/>
            </w:tcBorders>
            <w:hideMark/>
          </w:tcPr>
          <w:p w:rsidR="00E0577D" w:rsidRDefault="00E0577D" w:rsidP="00E0577D">
            <w:pPr>
              <w:ind w:left="206"/>
              <w:rPr>
                <w:sz w:val="24"/>
                <w:szCs w:val="24"/>
                <w:lang w:eastAsia="da-DK"/>
              </w:rPr>
            </w:pPr>
            <w:r>
              <w:rPr>
                <w:sz w:val="24"/>
                <w:szCs w:val="24"/>
                <w:lang w:eastAsia="da-DK"/>
              </w:rPr>
              <w:t>Asteni</w:t>
            </w:r>
          </w:p>
        </w:tc>
      </w:tr>
      <w:tr w:rsidR="00E0577D" w:rsidTr="00E0577D">
        <w:tc>
          <w:tcPr>
            <w:tcW w:w="2235" w:type="dxa"/>
            <w:tcBorders>
              <w:top w:val="single" w:sz="4" w:space="0" w:color="auto"/>
              <w:left w:val="single" w:sz="4" w:space="0" w:color="auto"/>
              <w:bottom w:val="single" w:sz="4" w:space="0" w:color="auto"/>
              <w:right w:val="single" w:sz="4" w:space="0" w:color="auto"/>
            </w:tcBorders>
            <w:hideMark/>
          </w:tcPr>
          <w:p w:rsidR="00E0577D" w:rsidRDefault="00E0577D" w:rsidP="00E0577D">
            <w:pPr>
              <w:ind w:left="170"/>
              <w:rPr>
                <w:sz w:val="24"/>
                <w:szCs w:val="24"/>
                <w:lang w:eastAsia="da-DK"/>
              </w:rPr>
            </w:pPr>
            <w:r>
              <w:rPr>
                <w:sz w:val="24"/>
                <w:szCs w:val="24"/>
                <w:lang w:eastAsia="da-DK"/>
              </w:rPr>
              <w:t>Almindelig</w:t>
            </w:r>
          </w:p>
        </w:tc>
        <w:tc>
          <w:tcPr>
            <w:tcW w:w="6542" w:type="dxa"/>
            <w:tcBorders>
              <w:top w:val="single" w:sz="4" w:space="0" w:color="auto"/>
              <w:left w:val="single" w:sz="4" w:space="0" w:color="auto"/>
              <w:bottom w:val="single" w:sz="4" w:space="0" w:color="auto"/>
              <w:right w:val="single" w:sz="4" w:space="0" w:color="auto"/>
            </w:tcBorders>
            <w:hideMark/>
          </w:tcPr>
          <w:p w:rsidR="00E0577D" w:rsidRDefault="00E0577D" w:rsidP="00E0577D">
            <w:pPr>
              <w:ind w:left="206"/>
              <w:rPr>
                <w:sz w:val="24"/>
                <w:szCs w:val="24"/>
                <w:lang w:eastAsia="da-DK"/>
              </w:rPr>
            </w:pPr>
            <w:r>
              <w:rPr>
                <w:sz w:val="24"/>
                <w:szCs w:val="24"/>
                <w:lang w:eastAsia="da-DK"/>
              </w:rPr>
              <w:t>Træthed</w:t>
            </w:r>
          </w:p>
        </w:tc>
      </w:tr>
    </w:tbl>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1134" w:hanging="283"/>
        <w:rPr>
          <w:color w:val="000000"/>
          <w:sz w:val="24"/>
          <w:szCs w:val="24"/>
          <w:lang w:eastAsia="da-DK"/>
        </w:rPr>
      </w:pPr>
      <w:r>
        <w:rPr>
          <w:color w:val="000000"/>
          <w:sz w:val="24"/>
          <w:szCs w:val="24"/>
          <w:vertAlign w:val="superscript"/>
          <w:lang w:eastAsia="da-DK"/>
        </w:rPr>
        <w:t>1</w:t>
      </w:r>
      <w:r>
        <w:rPr>
          <w:color w:val="000000"/>
          <w:sz w:val="24"/>
          <w:szCs w:val="24"/>
          <w:vertAlign w:val="superscript"/>
          <w:lang w:eastAsia="da-DK"/>
        </w:rPr>
        <w:tab/>
      </w:r>
      <w:r>
        <w:rPr>
          <w:color w:val="000000"/>
          <w:sz w:val="24"/>
          <w:szCs w:val="24"/>
          <w:lang w:eastAsia="da-DK"/>
        </w:rPr>
        <w:t xml:space="preserve">Denne bivirkning kan forekomme som resultat af proksimal renal tubulopati. Den anses ikke som årsagsmæssigt forbundet med tenofovirdisoproxil, hvis denne tilstand ikke er til stede. </w:t>
      </w:r>
    </w:p>
    <w:p w:rsidR="00491918" w:rsidRDefault="00491918" w:rsidP="00491918">
      <w:pPr>
        <w:autoSpaceDE w:val="0"/>
        <w:autoSpaceDN w:val="0"/>
        <w:adjustRightInd w:val="0"/>
        <w:ind w:left="1134" w:hanging="283"/>
        <w:rPr>
          <w:color w:val="000000"/>
          <w:sz w:val="24"/>
          <w:szCs w:val="24"/>
          <w:lang w:eastAsia="da-DK"/>
        </w:rPr>
      </w:pPr>
      <w:r>
        <w:rPr>
          <w:color w:val="000000"/>
          <w:sz w:val="24"/>
          <w:szCs w:val="24"/>
          <w:vertAlign w:val="superscript"/>
          <w:lang w:eastAsia="da-DK"/>
        </w:rPr>
        <w:t>2</w:t>
      </w:r>
      <w:r>
        <w:rPr>
          <w:color w:val="000000"/>
          <w:sz w:val="24"/>
          <w:szCs w:val="24"/>
          <w:lang w:eastAsia="da-DK"/>
        </w:rPr>
        <w:tab/>
        <w:t xml:space="preserve">Denne bivirkning blev identificeret under sikkerhedsovervågningen efter markedsføring, men blev ikke observeret i randomiserede, kontrollerede, kliniske studier eller i programmet for forlænget adgang til tenofovirdisoproxil. Hyppighedskategorien ‘ikke almindelig’ blev estimeret ud fra en statistisk beregning baseret på det totale antal patienter eksponeret for tenofovirdisoproxil i randomiserede, kontrollerede, kliniske studier og i programmet for forlænget adgang (n=7.319). </w:t>
      </w:r>
    </w:p>
    <w:p w:rsidR="00491918" w:rsidRPr="00E0577D" w:rsidRDefault="00E0577D" w:rsidP="00E0577D">
      <w:pPr>
        <w:autoSpaceDE w:val="0"/>
        <w:autoSpaceDN w:val="0"/>
        <w:adjustRightInd w:val="0"/>
        <w:ind w:left="1134" w:hanging="283"/>
        <w:rPr>
          <w:color w:val="000000"/>
          <w:sz w:val="24"/>
          <w:szCs w:val="24"/>
          <w:vertAlign w:val="superscript"/>
          <w:lang w:eastAsia="da-DK"/>
        </w:rPr>
      </w:pPr>
      <w:r w:rsidRPr="00ED57E7">
        <w:rPr>
          <w:color w:val="000000"/>
          <w:sz w:val="24"/>
          <w:szCs w:val="24"/>
          <w:vertAlign w:val="superscript"/>
          <w:lang w:eastAsia="da-DK"/>
        </w:rPr>
        <w:t xml:space="preserve">3 </w:t>
      </w:r>
      <w:r>
        <w:rPr>
          <w:color w:val="000000"/>
          <w:sz w:val="24"/>
          <w:szCs w:val="24"/>
          <w:vertAlign w:val="superscript"/>
          <w:lang w:eastAsia="da-DK"/>
        </w:rPr>
        <w:tab/>
      </w:r>
      <w:r w:rsidRPr="00ED57E7">
        <w:rPr>
          <w:color w:val="000000"/>
          <w:sz w:val="24"/>
          <w:szCs w:val="24"/>
          <w:lang w:eastAsia="da-DK"/>
        </w:rPr>
        <w:t>Hyppigheden af denne bivirkning blev estimeret baseret på sikkerhedsdata afledt fra forskellige kliniske studier med TDF hos HBV-inficerede patienter. Se også pkt. 4.4 og 5.1.</w:t>
      </w:r>
    </w:p>
    <w:p w:rsidR="00DA0437" w:rsidRDefault="00DA0437" w:rsidP="00491918">
      <w:pPr>
        <w:autoSpaceDE w:val="0"/>
        <w:autoSpaceDN w:val="0"/>
        <w:adjustRightInd w:val="0"/>
        <w:ind w:left="851"/>
        <w:rPr>
          <w:color w:val="000000"/>
          <w:sz w:val="24"/>
          <w:szCs w:val="24"/>
          <w:lang w:eastAsia="da-DK"/>
        </w:rPr>
      </w:pPr>
    </w:p>
    <w:p w:rsidR="00491918" w:rsidRDefault="00491918" w:rsidP="00DA0437">
      <w:pPr>
        <w:keepNext/>
        <w:autoSpaceDE w:val="0"/>
        <w:autoSpaceDN w:val="0"/>
        <w:adjustRightInd w:val="0"/>
        <w:ind w:left="851"/>
        <w:rPr>
          <w:b/>
          <w:color w:val="000000"/>
          <w:sz w:val="24"/>
          <w:szCs w:val="24"/>
          <w:lang w:eastAsia="da-DK"/>
        </w:rPr>
      </w:pPr>
      <w:r>
        <w:rPr>
          <w:b/>
          <w:color w:val="000000"/>
          <w:sz w:val="24"/>
          <w:szCs w:val="24"/>
          <w:lang w:eastAsia="da-DK"/>
        </w:rPr>
        <w:t xml:space="preserve">Beskrivelse af udvalgte bivirkninger </w:t>
      </w:r>
    </w:p>
    <w:p w:rsidR="00491918" w:rsidRDefault="00491918" w:rsidP="00491918">
      <w:pPr>
        <w:autoSpaceDE w:val="0"/>
        <w:autoSpaceDN w:val="0"/>
        <w:adjustRightInd w:val="0"/>
        <w:ind w:left="851"/>
        <w:rPr>
          <w:i/>
          <w:iCs/>
          <w:color w:val="000000"/>
          <w:sz w:val="24"/>
          <w:szCs w:val="24"/>
          <w:lang w:eastAsia="da-DK"/>
        </w:rPr>
      </w:pPr>
    </w:p>
    <w:p w:rsidR="00491918" w:rsidRDefault="00491918" w:rsidP="00491918">
      <w:pPr>
        <w:autoSpaceDE w:val="0"/>
        <w:autoSpaceDN w:val="0"/>
        <w:adjustRightInd w:val="0"/>
        <w:ind w:left="851"/>
        <w:rPr>
          <w:color w:val="000000"/>
          <w:sz w:val="24"/>
          <w:szCs w:val="24"/>
          <w:u w:val="single"/>
          <w:lang w:eastAsia="da-DK"/>
        </w:rPr>
      </w:pPr>
      <w:r>
        <w:rPr>
          <w:iCs/>
          <w:color w:val="000000"/>
          <w:sz w:val="24"/>
          <w:szCs w:val="24"/>
          <w:u w:val="single"/>
          <w:lang w:eastAsia="da-DK"/>
        </w:rPr>
        <w:t>Hiv 1 og hepatitis B</w:t>
      </w:r>
    </w:p>
    <w:p w:rsidR="00491918" w:rsidRDefault="00491918" w:rsidP="00491918">
      <w:pPr>
        <w:autoSpaceDE w:val="0"/>
        <w:autoSpaceDN w:val="0"/>
        <w:adjustRightInd w:val="0"/>
        <w:ind w:left="851"/>
        <w:rPr>
          <w:color w:val="000000"/>
          <w:sz w:val="24"/>
          <w:szCs w:val="24"/>
          <w:u w:val="single"/>
          <w:lang w:eastAsia="da-DK"/>
        </w:rPr>
      </w:pPr>
      <w:r>
        <w:rPr>
          <w:iCs/>
          <w:color w:val="000000"/>
          <w:sz w:val="24"/>
          <w:szCs w:val="24"/>
          <w:u w:val="single"/>
          <w:lang w:eastAsia="da-DK"/>
        </w:rPr>
        <w:t xml:space="preserve">Nedsat nyrefunktion </w:t>
      </w: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Da Tenofovir disoproxil "Teva" kan forårsage nyreskader, anbefales monitorering af nyrefunktionen (se pkt. 4.4 og 4.8 ”</w:t>
      </w:r>
      <w:r>
        <w:rPr>
          <w:iCs/>
          <w:color w:val="000000"/>
          <w:sz w:val="24"/>
          <w:szCs w:val="24"/>
          <w:lang w:eastAsia="da-DK"/>
        </w:rPr>
        <w:t>Resumé af sikkerhedsprofil”</w:t>
      </w:r>
      <w:r>
        <w:rPr>
          <w:color w:val="000000"/>
          <w:sz w:val="24"/>
          <w:szCs w:val="24"/>
          <w:lang w:eastAsia="da-DK"/>
        </w:rPr>
        <w:t xml:space="preserve">). Proksimal renal tubulopati gik generelt væk eller blev bedre efter seponering af tenofovirdisoproxil. Hos nogle patienter gik reduktionen i kreatininclearance imidlertid ikke helt væk, trods seponering af tenofovirdisoproxil. Patienter med risiko for nedsat nyrefunktion (såsom patienter med renale risikofaktorer ved </w:t>
      </w:r>
      <w:r>
        <w:rPr>
          <w:iCs/>
          <w:color w:val="000000"/>
          <w:sz w:val="24"/>
          <w:szCs w:val="24"/>
          <w:lang w:eastAsia="da-DK"/>
        </w:rPr>
        <w:t>baseline</w:t>
      </w:r>
      <w:r>
        <w:rPr>
          <w:i/>
          <w:iCs/>
          <w:color w:val="000000"/>
          <w:sz w:val="24"/>
          <w:szCs w:val="24"/>
          <w:lang w:eastAsia="da-DK"/>
        </w:rPr>
        <w:t xml:space="preserve"> </w:t>
      </w:r>
      <w:r>
        <w:rPr>
          <w:color w:val="000000"/>
          <w:sz w:val="24"/>
          <w:szCs w:val="24"/>
          <w:lang w:eastAsia="da-DK"/>
        </w:rPr>
        <w:t xml:space="preserve">eller fremskreden hiv-sygdom eller patienter, der samtidig fik nefrotoksiske lægemidler) har en øget risiko for at opleve en ufuldstændig bedring af nyrefunktionen, trods seponering af tenofovirdisoproxil (se pkt. 4.4). </w:t>
      </w:r>
    </w:p>
    <w:p w:rsidR="00491918" w:rsidRDefault="00491918" w:rsidP="00491918">
      <w:pPr>
        <w:autoSpaceDE w:val="0"/>
        <w:autoSpaceDN w:val="0"/>
        <w:adjustRightInd w:val="0"/>
        <w:ind w:left="851"/>
        <w:rPr>
          <w:color w:val="000000"/>
          <w:sz w:val="24"/>
          <w:szCs w:val="24"/>
          <w:lang w:eastAsia="da-DK"/>
        </w:rPr>
      </w:pPr>
    </w:p>
    <w:p w:rsidR="00DA0437" w:rsidRPr="0032404C" w:rsidRDefault="00DA0437" w:rsidP="00DA0437">
      <w:pPr>
        <w:autoSpaceDE w:val="0"/>
        <w:autoSpaceDN w:val="0"/>
        <w:adjustRightInd w:val="0"/>
        <w:ind w:left="851"/>
        <w:rPr>
          <w:color w:val="000000"/>
          <w:sz w:val="24"/>
          <w:szCs w:val="24"/>
          <w:u w:val="single"/>
          <w:lang w:eastAsia="da-DK"/>
        </w:rPr>
      </w:pPr>
      <w:r w:rsidRPr="0032404C">
        <w:rPr>
          <w:color w:val="000000"/>
          <w:sz w:val="24"/>
          <w:szCs w:val="24"/>
          <w:u w:val="single"/>
          <w:lang w:eastAsia="da-DK"/>
        </w:rPr>
        <w:t>Laktatacidose</w:t>
      </w:r>
    </w:p>
    <w:p w:rsidR="00DA0437" w:rsidRPr="009332CD" w:rsidRDefault="00DA0437" w:rsidP="00DA0437">
      <w:pPr>
        <w:autoSpaceDE w:val="0"/>
        <w:autoSpaceDN w:val="0"/>
        <w:adjustRightInd w:val="0"/>
        <w:ind w:left="851"/>
        <w:rPr>
          <w:color w:val="000000"/>
          <w:sz w:val="24"/>
          <w:szCs w:val="24"/>
          <w:lang w:eastAsia="da-DK"/>
        </w:rPr>
      </w:pPr>
      <w:r w:rsidRPr="001C0B53">
        <w:rPr>
          <w:color w:val="000000"/>
          <w:sz w:val="24"/>
          <w:szCs w:val="24"/>
          <w:lang w:eastAsia="da-DK"/>
        </w:rPr>
        <w:t>Der er rapporteret tilfælde af laktatacidose med tenofovirdisoproxil alene eller i kombination med andre antiretrovirale midler. Patienter med prædisponerende faktorer, såsom patienter med dekompenseret leversygdom, eller patienter der får samtidige lægemidler, der vides at inducere laktatacidose, har en større risiko for at få svær laktatacidose under behandling med tenofovirdisoproxil, herunder med letal udgang.</w:t>
      </w:r>
    </w:p>
    <w:p w:rsidR="00DA0437" w:rsidRDefault="00DA0437" w:rsidP="00DA0437">
      <w:pPr>
        <w:autoSpaceDE w:val="0"/>
        <w:autoSpaceDN w:val="0"/>
        <w:adjustRightInd w:val="0"/>
        <w:ind w:left="851"/>
        <w:rPr>
          <w:color w:val="000000"/>
          <w:sz w:val="24"/>
          <w:szCs w:val="24"/>
          <w:lang w:eastAsia="da-DK"/>
        </w:rPr>
      </w:pPr>
    </w:p>
    <w:p w:rsidR="00DA0437" w:rsidRDefault="00DA0437" w:rsidP="00DA0437">
      <w:pPr>
        <w:pStyle w:val="Default"/>
        <w:ind w:firstLine="851"/>
        <w:rPr>
          <w:u w:val="single"/>
        </w:rPr>
      </w:pPr>
      <w:r>
        <w:rPr>
          <w:iCs/>
          <w:u w:val="single"/>
        </w:rPr>
        <w:t xml:space="preserve">Metaboliske parametre </w:t>
      </w:r>
    </w:p>
    <w:p w:rsidR="00DA0437" w:rsidRDefault="00DA0437" w:rsidP="00DA0437">
      <w:pPr>
        <w:autoSpaceDE w:val="0"/>
        <w:autoSpaceDN w:val="0"/>
        <w:adjustRightInd w:val="0"/>
        <w:ind w:left="851"/>
        <w:rPr>
          <w:sz w:val="24"/>
          <w:szCs w:val="24"/>
        </w:rPr>
      </w:pPr>
      <w:r>
        <w:rPr>
          <w:sz w:val="24"/>
          <w:szCs w:val="24"/>
        </w:rPr>
        <w:t>Kropsvægt og niveauerne af lipid og glucose i blodet kan stige under antiretroviral behandling (se pkt. 4.4).</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color w:val="000000"/>
          <w:sz w:val="24"/>
          <w:szCs w:val="24"/>
          <w:u w:val="single"/>
          <w:lang w:eastAsia="da-DK"/>
        </w:rPr>
      </w:pPr>
      <w:r>
        <w:rPr>
          <w:iCs/>
          <w:color w:val="000000"/>
          <w:sz w:val="24"/>
          <w:szCs w:val="24"/>
          <w:u w:val="single"/>
          <w:lang w:eastAsia="da-DK"/>
        </w:rPr>
        <w:t xml:space="preserve">Immunreaktiveringssyndrom </w:t>
      </w: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Hos hiv-inficerede patienter med svær immuninsufficiens kan der ved påbegyndelse af CART opstå en inflammatorisk reaktion på asymptomatiske eller residuale opportunistiske infektioner. Autoimmune lidelser (såsom Graves sygdom</w:t>
      </w:r>
      <w:r>
        <w:t xml:space="preserve"> </w:t>
      </w:r>
      <w:r>
        <w:rPr>
          <w:color w:val="000000"/>
          <w:sz w:val="24"/>
          <w:szCs w:val="24"/>
          <w:lang w:eastAsia="da-DK"/>
        </w:rPr>
        <w:t xml:space="preserve">og autoimmun hepatitis) er også set; tiden til udbrud er mere variabel og kan være mange måneder efter initiering af behandling (se pkt. 4.4).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color w:val="000000"/>
          <w:sz w:val="24"/>
          <w:szCs w:val="24"/>
          <w:u w:val="single"/>
          <w:lang w:eastAsia="da-DK"/>
        </w:rPr>
      </w:pPr>
      <w:r>
        <w:rPr>
          <w:iCs/>
          <w:color w:val="000000"/>
          <w:sz w:val="24"/>
          <w:szCs w:val="24"/>
          <w:u w:val="single"/>
          <w:lang w:eastAsia="da-DK"/>
        </w:rPr>
        <w:t xml:space="preserve">Osteonekrose </w:t>
      </w:r>
    </w:p>
    <w:p w:rsidR="00491918" w:rsidRDefault="00491918" w:rsidP="00491918">
      <w:pPr>
        <w:tabs>
          <w:tab w:val="left" w:pos="851"/>
        </w:tabs>
        <w:ind w:left="851"/>
        <w:rPr>
          <w:sz w:val="24"/>
          <w:szCs w:val="24"/>
          <w:lang w:eastAsia="da-DK"/>
        </w:rPr>
      </w:pPr>
      <w:r>
        <w:rPr>
          <w:sz w:val="24"/>
          <w:szCs w:val="24"/>
          <w:lang w:eastAsia="da-DK"/>
        </w:rPr>
        <w:t>Tilfælde af osteonekrose er rapporteret, specielt hos patienter med generelt anerkendte risikofaktorer, fremskreden hiv-sygdom eller langvarig CART. Hyppigheden er ukendt (se pkt. 4.4).</w:t>
      </w:r>
    </w:p>
    <w:p w:rsidR="00491918" w:rsidRDefault="00491918" w:rsidP="00491918">
      <w:pPr>
        <w:tabs>
          <w:tab w:val="left" w:pos="851"/>
        </w:tabs>
        <w:ind w:left="851"/>
        <w:rPr>
          <w:sz w:val="24"/>
          <w:szCs w:val="24"/>
          <w:lang w:eastAsia="da-DK"/>
        </w:rPr>
      </w:pPr>
    </w:p>
    <w:p w:rsidR="00491918" w:rsidRDefault="00491918" w:rsidP="00491918">
      <w:pPr>
        <w:autoSpaceDE w:val="0"/>
        <w:autoSpaceDN w:val="0"/>
        <w:adjustRightInd w:val="0"/>
        <w:ind w:left="851"/>
        <w:rPr>
          <w:color w:val="000000"/>
          <w:sz w:val="24"/>
          <w:szCs w:val="24"/>
          <w:u w:val="single"/>
          <w:lang w:eastAsia="da-DK"/>
        </w:rPr>
      </w:pPr>
      <w:r>
        <w:rPr>
          <w:iCs/>
          <w:color w:val="000000"/>
          <w:sz w:val="24"/>
          <w:szCs w:val="24"/>
          <w:u w:val="single"/>
          <w:lang w:eastAsia="da-DK"/>
        </w:rPr>
        <w:t xml:space="preserve">Hepatitis B: </w:t>
      </w:r>
    </w:p>
    <w:p w:rsidR="00491918" w:rsidRDefault="00491918" w:rsidP="00491918">
      <w:pPr>
        <w:autoSpaceDE w:val="0"/>
        <w:autoSpaceDN w:val="0"/>
        <w:adjustRightInd w:val="0"/>
        <w:ind w:left="851"/>
        <w:rPr>
          <w:color w:val="000000"/>
          <w:sz w:val="24"/>
          <w:szCs w:val="24"/>
          <w:u w:val="single"/>
          <w:lang w:eastAsia="da-DK"/>
        </w:rPr>
      </w:pPr>
      <w:r>
        <w:rPr>
          <w:iCs/>
          <w:color w:val="000000"/>
          <w:sz w:val="24"/>
          <w:szCs w:val="24"/>
          <w:u w:val="single"/>
          <w:lang w:eastAsia="da-DK"/>
        </w:rPr>
        <w:t xml:space="preserve">Hepatitis-eksacerbationer under behandlingen </w:t>
      </w: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I studier med nukleosid-naive patienter forekom der efter behandlingsstart stigninger i ALAT &gt;10 gange ULN (øvre grænse af normalværdien) og &gt;2 gange </w:t>
      </w:r>
      <w:r>
        <w:rPr>
          <w:iCs/>
          <w:color w:val="000000"/>
          <w:sz w:val="24"/>
          <w:szCs w:val="24"/>
          <w:lang w:eastAsia="da-DK"/>
        </w:rPr>
        <w:t>baseline</w:t>
      </w:r>
      <w:r>
        <w:rPr>
          <w:i/>
          <w:iCs/>
          <w:color w:val="000000"/>
          <w:sz w:val="24"/>
          <w:szCs w:val="24"/>
          <w:lang w:eastAsia="da-DK"/>
        </w:rPr>
        <w:t xml:space="preserve"> </w:t>
      </w:r>
      <w:r>
        <w:rPr>
          <w:color w:val="000000"/>
          <w:sz w:val="24"/>
          <w:szCs w:val="24"/>
          <w:lang w:eastAsia="da-DK"/>
        </w:rPr>
        <w:t>hos 2,6 % af de tenofovirdisoproxil-behandlede patienter. ALAT-stigninger forekom med en mediantid fra behandlingsstart på 8 uger. Disse stigninger forsvandt ved fortsat behandling og var i de fleste tilfælde associeret med en reduktion i virusmængden på ≥ 2 log</w:t>
      </w:r>
      <w:r>
        <w:rPr>
          <w:color w:val="000000"/>
          <w:sz w:val="24"/>
          <w:szCs w:val="24"/>
          <w:vertAlign w:val="subscript"/>
          <w:lang w:eastAsia="da-DK"/>
        </w:rPr>
        <w:t>10</w:t>
      </w:r>
      <w:r>
        <w:rPr>
          <w:color w:val="000000"/>
          <w:sz w:val="24"/>
          <w:szCs w:val="24"/>
          <w:lang w:eastAsia="da-DK"/>
        </w:rPr>
        <w:t xml:space="preserve"> kopier/ml, som gik forud for eller faldt sammen med ALAT-stigningen. Der anbefales periodisk monitorering af leverfunktionen under behandling (se pkt 4.4).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color w:val="000000"/>
          <w:sz w:val="24"/>
          <w:szCs w:val="24"/>
          <w:u w:val="single"/>
          <w:lang w:eastAsia="da-DK"/>
        </w:rPr>
      </w:pPr>
      <w:r>
        <w:rPr>
          <w:iCs/>
          <w:color w:val="000000"/>
          <w:sz w:val="24"/>
          <w:szCs w:val="24"/>
          <w:u w:val="single"/>
          <w:lang w:eastAsia="da-DK"/>
        </w:rPr>
        <w:t xml:space="preserve">Hepatitis-eksacerbationer efter seponering af behandling </w:t>
      </w: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Hos HBV-inficerede patienter er der forekommet klinisk og laboratoriemæssig evidens for hepatitis-eksacerbationer efter seponering af HBV-behandling (se pkt. 4.4).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b/>
          <w:color w:val="000000"/>
          <w:sz w:val="24"/>
          <w:szCs w:val="24"/>
          <w:lang w:eastAsia="da-DK"/>
        </w:rPr>
      </w:pPr>
      <w:r>
        <w:rPr>
          <w:b/>
          <w:color w:val="000000"/>
          <w:sz w:val="24"/>
          <w:szCs w:val="24"/>
          <w:lang w:eastAsia="da-DK"/>
        </w:rPr>
        <w:t xml:space="preserve">Pædiatrisk population </w:t>
      </w:r>
    </w:p>
    <w:p w:rsidR="00491918" w:rsidRDefault="00491918" w:rsidP="00491918">
      <w:pPr>
        <w:autoSpaceDE w:val="0"/>
        <w:autoSpaceDN w:val="0"/>
        <w:adjustRightInd w:val="0"/>
        <w:ind w:left="851"/>
        <w:rPr>
          <w:i/>
          <w:iCs/>
          <w:color w:val="000000"/>
          <w:sz w:val="24"/>
          <w:szCs w:val="24"/>
          <w:lang w:eastAsia="da-DK"/>
        </w:rPr>
      </w:pPr>
    </w:p>
    <w:p w:rsidR="00491918" w:rsidRDefault="00491918" w:rsidP="00491918">
      <w:pPr>
        <w:autoSpaceDE w:val="0"/>
        <w:autoSpaceDN w:val="0"/>
        <w:adjustRightInd w:val="0"/>
        <w:ind w:left="851"/>
        <w:rPr>
          <w:color w:val="000000"/>
          <w:sz w:val="24"/>
          <w:szCs w:val="24"/>
          <w:u w:val="single"/>
          <w:lang w:eastAsia="da-DK"/>
        </w:rPr>
      </w:pPr>
      <w:r>
        <w:rPr>
          <w:iCs/>
          <w:color w:val="000000"/>
          <w:sz w:val="24"/>
          <w:szCs w:val="24"/>
          <w:u w:val="single"/>
          <w:lang w:eastAsia="da-DK"/>
        </w:rPr>
        <w:t xml:space="preserve">Hiv 1 </w:t>
      </w: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Vurderingen af bivirkninger er baseret på to randomiserede studier (studie GS-US-104-0321 og studie GS-US-104-0352) med 184 hiv 1-inficerede pædiatriske patienter (i alderen 2 til &lt;18 år), der blev behandlet med tenofovirdisoproxil (n = 93) eller placebo/aktiv komparator (n = 91) i kombination med andre antiretrovirale midler i 48 uger (se pkt. 5.1). De observerede bivirkninger hos pædiatriske patienter, der fik behandling med tenofovirdisoproxil var overensstemmende med dem, der blev observeret i kliniske studier af tenofovirdisoproxil hos voksne (se pkt. 4.8 ”</w:t>
      </w:r>
      <w:r>
        <w:rPr>
          <w:iCs/>
          <w:color w:val="000000"/>
          <w:sz w:val="24"/>
          <w:szCs w:val="24"/>
          <w:lang w:eastAsia="da-DK"/>
        </w:rPr>
        <w:t>Resumé af bivirkninger i tabelform”</w:t>
      </w:r>
      <w:r>
        <w:rPr>
          <w:i/>
          <w:iCs/>
          <w:color w:val="000000"/>
          <w:sz w:val="24"/>
          <w:szCs w:val="24"/>
          <w:lang w:eastAsia="da-DK"/>
        </w:rPr>
        <w:t xml:space="preserve"> </w:t>
      </w:r>
      <w:r>
        <w:rPr>
          <w:color w:val="000000"/>
          <w:sz w:val="24"/>
          <w:szCs w:val="24"/>
          <w:lang w:eastAsia="da-DK"/>
        </w:rPr>
        <w:t xml:space="preserve">og 5.1).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Reduktioner i BMD er blevet rapporteret hos pædiatriske patienter. Hos hiv 1-inficerede unge var BMD Z-scores, der blev observeret hos forsøgspersoner, som fik tenofovirdisoproxil, lavere end de scores, der blev observeret hos forsøgspersoner, som fik placebo. Hos hiv 1-inficerede børn var BMD Z-scores hos forsøgspersoner, der skiftede til tenofovirdisoproxil, lavere end de scores, der blev observeret hos forsøgspersoner, som bibeholdt deres stavudin- eller zidovudin-holdige behandlinger (se pkt. 4.4 og 5.1). </w:t>
      </w:r>
    </w:p>
    <w:p w:rsidR="00491918" w:rsidRDefault="00491918" w:rsidP="00491918">
      <w:pPr>
        <w:autoSpaceDE w:val="0"/>
        <w:autoSpaceDN w:val="0"/>
        <w:adjustRightInd w:val="0"/>
        <w:ind w:left="851"/>
        <w:rPr>
          <w:color w:val="000000"/>
          <w:sz w:val="24"/>
          <w:szCs w:val="24"/>
          <w:lang w:eastAsia="da-DK"/>
        </w:rPr>
      </w:pPr>
    </w:p>
    <w:p w:rsidR="00E359D7" w:rsidRPr="00C04C62" w:rsidRDefault="00E359D7" w:rsidP="00E359D7">
      <w:pPr>
        <w:autoSpaceDE w:val="0"/>
        <w:autoSpaceDN w:val="0"/>
        <w:adjustRightInd w:val="0"/>
        <w:ind w:left="851"/>
        <w:rPr>
          <w:sz w:val="24"/>
          <w:szCs w:val="22"/>
          <w:lang w:eastAsia="da-DK"/>
        </w:rPr>
      </w:pPr>
      <w:r w:rsidRPr="00C04C62">
        <w:rPr>
          <w:sz w:val="24"/>
          <w:szCs w:val="22"/>
          <w:lang w:eastAsia="da-DK"/>
        </w:rPr>
        <w:t>I studie GS-US-104-0352 seponerede 4-8 ud af 89 pædiatriske patienter (9,0%), der blev eksponeret for tenofovirdisoproxil (median tenofovirdisoproxil-eksponering 331 uger) studiemedicinen på grund af nyrebivirkninger. Fem forsøgsdeltagere (5,6 %) havde laboratoriefund, der var overensstemmende med proksimal renal tubulopati, og 4 af disse seponerede behandlingen med tenofovirdisoproxil., behandlingen. Syv patienter havde en estimeret glomerulær filtreringshastighed (GFR) mellem 70 og 90 ml/min/1,73 m</w:t>
      </w:r>
      <w:r w:rsidRPr="006444DF">
        <w:rPr>
          <w:sz w:val="24"/>
          <w:szCs w:val="22"/>
          <w:vertAlign w:val="superscript"/>
          <w:lang w:eastAsia="da-DK"/>
        </w:rPr>
        <w:t>2</w:t>
      </w:r>
      <w:r w:rsidRPr="00C04C62">
        <w:rPr>
          <w:sz w:val="24"/>
          <w:szCs w:val="22"/>
          <w:lang w:eastAsia="da-DK"/>
        </w:rPr>
        <w:t xml:space="preserve">. Blandt dem oplevede </w:t>
      </w:r>
      <w:r>
        <w:rPr>
          <w:sz w:val="24"/>
          <w:szCs w:val="22"/>
          <w:lang w:eastAsia="da-DK"/>
        </w:rPr>
        <w:t>3</w:t>
      </w:r>
      <w:r w:rsidRPr="00C04C62">
        <w:rPr>
          <w:sz w:val="24"/>
          <w:szCs w:val="22"/>
          <w:lang w:eastAsia="da-DK"/>
        </w:rPr>
        <w:t xml:space="preserve"> patienter en klinisk betydningsfuld reduktion i estimeret GFR, som bedredes efter seponering af tenofovirdisoproxil.</w:t>
      </w:r>
    </w:p>
    <w:p w:rsidR="00491918" w:rsidRDefault="00491918" w:rsidP="00491918">
      <w:pPr>
        <w:autoSpaceDE w:val="0"/>
        <w:autoSpaceDN w:val="0"/>
        <w:adjustRightInd w:val="0"/>
        <w:ind w:left="851"/>
        <w:rPr>
          <w:iCs/>
          <w:color w:val="000000"/>
          <w:sz w:val="24"/>
          <w:szCs w:val="24"/>
          <w:u w:val="single"/>
          <w:lang w:eastAsia="da-DK"/>
        </w:rPr>
      </w:pPr>
    </w:p>
    <w:p w:rsidR="00491918" w:rsidRDefault="00491918" w:rsidP="00FE70EC">
      <w:pPr>
        <w:keepNext/>
        <w:autoSpaceDE w:val="0"/>
        <w:autoSpaceDN w:val="0"/>
        <w:adjustRightInd w:val="0"/>
        <w:ind w:left="851"/>
        <w:rPr>
          <w:color w:val="000000"/>
          <w:sz w:val="24"/>
          <w:szCs w:val="24"/>
          <w:u w:val="single"/>
          <w:lang w:eastAsia="da-DK"/>
        </w:rPr>
      </w:pPr>
      <w:r>
        <w:rPr>
          <w:iCs/>
          <w:color w:val="000000"/>
          <w:sz w:val="24"/>
          <w:szCs w:val="24"/>
          <w:u w:val="single"/>
          <w:lang w:eastAsia="da-DK"/>
        </w:rPr>
        <w:t xml:space="preserve">Kronisk hepatitis B </w:t>
      </w:r>
    </w:p>
    <w:p w:rsidR="00C04C62" w:rsidRDefault="00C04C62" w:rsidP="00C04C62">
      <w:pPr>
        <w:autoSpaceDE w:val="0"/>
        <w:autoSpaceDN w:val="0"/>
        <w:adjustRightInd w:val="0"/>
        <w:ind w:left="851"/>
        <w:rPr>
          <w:color w:val="000000"/>
          <w:sz w:val="24"/>
          <w:szCs w:val="24"/>
          <w:lang w:eastAsia="da-DK"/>
        </w:rPr>
      </w:pPr>
      <w:r>
        <w:rPr>
          <w:color w:val="000000"/>
          <w:sz w:val="24"/>
          <w:szCs w:val="24"/>
          <w:lang w:eastAsia="da-DK"/>
        </w:rPr>
        <w:t xml:space="preserve">Vurderingen af bivirkninger er baseret på ét randomiseret studie (studie GS-US-174-0115) med 106 unge patienter (i alderen 12 til &lt;18 år) med kronisk hepatitis B, der blev behandlet med tenofovirdisoproxil 245 mg (n = 52) eller placebo (n = 54) i 72 uger, og på et randomiseret studie (studie GS-US-174-0144) med 89 patienter med kronisk hepatitis B (i alderen 2 til &lt; 12 år), der blev behandlet med tenofovirdisoproxil (n = 60) eller placebo (n = 29) i 48 uger. De observerede bivirkninger hos pædiatriske patienter, som blev behandlet med tenofovirdisoproxil, svarede til de bivirkninger, der blev observeret i kliniske studier af tenofovirdisoproxil hos voksne (se pkt. 4.8 ”Resumé af bivirkninger i tabelform” og 5.1). </w:t>
      </w:r>
    </w:p>
    <w:p w:rsidR="00C04C62" w:rsidRDefault="00C04C62" w:rsidP="00C04C62">
      <w:pPr>
        <w:tabs>
          <w:tab w:val="left" w:pos="851"/>
        </w:tabs>
        <w:ind w:left="851"/>
        <w:rPr>
          <w:sz w:val="24"/>
          <w:szCs w:val="24"/>
          <w:lang w:eastAsia="da-DK"/>
        </w:rPr>
      </w:pPr>
    </w:p>
    <w:p w:rsidR="00E359D7" w:rsidRDefault="00E359D7" w:rsidP="00E359D7">
      <w:pPr>
        <w:autoSpaceDE w:val="0"/>
        <w:autoSpaceDN w:val="0"/>
        <w:adjustRightInd w:val="0"/>
        <w:ind w:left="851"/>
        <w:rPr>
          <w:sz w:val="22"/>
          <w:szCs w:val="22"/>
          <w:lang w:eastAsia="da-DK"/>
        </w:rPr>
      </w:pPr>
      <w:r>
        <w:rPr>
          <w:sz w:val="24"/>
          <w:szCs w:val="24"/>
          <w:lang w:eastAsia="da-DK"/>
        </w:rPr>
        <w:t xml:space="preserve">Reduktioner i BMD er blevet observeret hos HBV-inficerede </w:t>
      </w:r>
      <w:r>
        <w:rPr>
          <w:sz w:val="22"/>
          <w:szCs w:val="22"/>
          <w:lang w:eastAsia="da-DK"/>
        </w:rPr>
        <w:t>pædiatriske patienter i alderen 2 til &lt; 18 år</w:t>
      </w:r>
      <w:r>
        <w:rPr>
          <w:sz w:val="24"/>
          <w:szCs w:val="24"/>
          <w:lang w:eastAsia="da-DK"/>
        </w:rPr>
        <w:t>. BMD Z-scores, der blev observeret hos forsøgspersoner, som fik tenofovirdisoproxil, var lavere end de scores, der blev observeret hos forsøgspersoner, som fik placebo (se pkt. 4.4 og 5.1).</w:t>
      </w:r>
    </w:p>
    <w:p w:rsidR="00491918" w:rsidRDefault="00491918" w:rsidP="00491918">
      <w:pPr>
        <w:tabs>
          <w:tab w:val="left" w:pos="851"/>
        </w:tabs>
        <w:ind w:left="851"/>
        <w:rPr>
          <w:sz w:val="24"/>
          <w:szCs w:val="24"/>
          <w:lang w:eastAsia="da-DK"/>
        </w:rPr>
      </w:pPr>
    </w:p>
    <w:p w:rsidR="00E0577D" w:rsidRDefault="00E0577D" w:rsidP="00491918">
      <w:pPr>
        <w:tabs>
          <w:tab w:val="left" w:pos="851"/>
        </w:tabs>
        <w:ind w:left="851"/>
        <w:rPr>
          <w:sz w:val="24"/>
          <w:szCs w:val="24"/>
          <w:lang w:eastAsia="da-DK"/>
        </w:rPr>
      </w:pPr>
    </w:p>
    <w:p w:rsidR="00E0577D" w:rsidRDefault="00E0577D" w:rsidP="00491918">
      <w:pPr>
        <w:tabs>
          <w:tab w:val="left" w:pos="851"/>
        </w:tabs>
        <w:ind w:left="851"/>
        <w:rPr>
          <w:sz w:val="24"/>
          <w:szCs w:val="24"/>
          <w:lang w:eastAsia="da-DK"/>
        </w:rPr>
      </w:pPr>
    </w:p>
    <w:p w:rsidR="00E0577D" w:rsidRDefault="00E0577D" w:rsidP="00491918">
      <w:pPr>
        <w:tabs>
          <w:tab w:val="left" w:pos="851"/>
        </w:tabs>
        <w:ind w:left="851"/>
        <w:rPr>
          <w:sz w:val="24"/>
          <w:szCs w:val="24"/>
          <w:lang w:eastAsia="da-DK"/>
        </w:rPr>
      </w:pPr>
    </w:p>
    <w:p w:rsidR="00491918" w:rsidRDefault="00491918" w:rsidP="00491918">
      <w:pPr>
        <w:autoSpaceDE w:val="0"/>
        <w:autoSpaceDN w:val="0"/>
        <w:adjustRightInd w:val="0"/>
        <w:ind w:left="851"/>
        <w:rPr>
          <w:b/>
          <w:color w:val="000000"/>
          <w:sz w:val="24"/>
          <w:szCs w:val="24"/>
          <w:lang w:eastAsia="da-DK"/>
        </w:rPr>
      </w:pPr>
      <w:r>
        <w:rPr>
          <w:b/>
          <w:color w:val="000000"/>
          <w:sz w:val="24"/>
          <w:szCs w:val="24"/>
          <w:lang w:eastAsia="da-DK"/>
        </w:rPr>
        <w:t xml:space="preserve">Andre særlige populationer </w:t>
      </w:r>
    </w:p>
    <w:p w:rsidR="00491918" w:rsidRDefault="00491918" w:rsidP="00491918">
      <w:pPr>
        <w:autoSpaceDE w:val="0"/>
        <w:autoSpaceDN w:val="0"/>
        <w:adjustRightInd w:val="0"/>
        <w:ind w:left="851"/>
        <w:rPr>
          <w:i/>
          <w:iCs/>
          <w:color w:val="000000"/>
          <w:sz w:val="24"/>
          <w:szCs w:val="24"/>
          <w:lang w:eastAsia="da-DK"/>
        </w:rPr>
      </w:pPr>
    </w:p>
    <w:p w:rsidR="00491918" w:rsidRDefault="00491918" w:rsidP="00491918">
      <w:pPr>
        <w:autoSpaceDE w:val="0"/>
        <w:autoSpaceDN w:val="0"/>
        <w:adjustRightInd w:val="0"/>
        <w:ind w:left="851"/>
        <w:rPr>
          <w:color w:val="000000"/>
          <w:sz w:val="24"/>
          <w:szCs w:val="24"/>
          <w:u w:val="single"/>
          <w:lang w:eastAsia="da-DK"/>
        </w:rPr>
      </w:pPr>
      <w:r>
        <w:rPr>
          <w:iCs/>
          <w:color w:val="000000"/>
          <w:sz w:val="24"/>
          <w:szCs w:val="24"/>
          <w:u w:val="single"/>
          <w:lang w:eastAsia="da-DK"/>
        </w:rPr>
        <w:t xml:space="preserve">Ældre </w:t>
      </w: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Tenofovirdisoproxil er ikke blevet undersøgt hos patienter over 65 år. Da det er mere sandsynligt, at ældre patienter har nedsat nyrefunktion, skal der udvises forsigtighed ved behandling af ældre patienter med tenofovirdisoproxil (se pkt. 4.4).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adjustRightInd w:val="0"/>
        <w:ind w:left="851"/>
        <w:rPr>
          <w:color w:val="000000"/>
          <w:sz w:val="24"/>
          <w:szCs w:val="24"/>
          <w:u w:val="single"/>
          <w:lang w:eastAsia="da-DK"/>
        </w:rPr>
      </w:pPr>
      <w:r>
        <w:rPr>
          <w:iCs/>
          <w:color w:val="000000"/>
          <w:sz w:val="24"/>
          <w:szCs w:val="24"/>
          <w:u w:val="single"/>
          <w:lang w:eastAsia="da-DK"/>
        </w:rPr>
        <w:t xml:space="preserve">Patienter med nedsat nyrefunktion </w:t>
      </w:r>
    </w:p>
    <w:p w:rsidR="00491918" w:rsidRDefault="00491918" w:rsidP="00491918">
      <w:pPr>
        <w:autoSpaceDE w:val="0"/>
        <w:autoSpaceDN w:val="0"/>
        <w:adjustRightInd w:val="0"/>
        <w:ind w:left="851"/>
        <w:rPr>
          <w:color w:val="000000"/>
          <w:sz w:val="24"/>
          <w:szCs w:val="24"/>
          <w:lang w:eastAsia="da-DK"/>
        </w:rPr>
      </w:pPr>
      <w:r>
        <w:rPr>
          <w:color w:val="000000"/>
          <w:sz w:val="24"/>
          <w:szCs w:val="24"/>
          <w:lang w:eastAsia="da-DK"/>
        </w:rPr>
        <w:t xml:space="preserve">Da tenofovirdisoproxil kan forårsage nyretoksicitet, anbefales tæt monitorering af nyrefunktionen hos voksne patienter med nedsat nyrefunktion, som behandles med Tenofovir disoproxil "Teva" (se pkt. 4.2, 4.4 og 5.2). Anvendelsen af tenofovirdisoproxil anbefales ikke til pædiatriske patienter med nedsat nyrefunktion (se pkt. 4.2 og 4.4) </w:t>
      </w:r>
    </w:p>
    <w:p w:rsidR="00491918" w:rsidRDefault="00491918" w:rsidP="00491918">
      <w:pPr>
        <w:autoSpaceDE w:val="0"/>
        <w:autoSpaceDN w:val="0"/>
        <w:adjustRightInd w:val="0"/>
        <w:ind w:left="851"/>
        <w:rPr>
          <w:color w:val="000000"/>
          <w:sz w:val="24"/>
          <w:szCs w:val="24"/>
          <w:lang w:eastAsia="da-DK"/>
        </w:rPr>
      </w:pPr>
    </w:p>
    <w:p w:rsidR="00491918" w:rsidRDefault="00491918" w:rsidP="00491918">
      <w:pPr>
        <w:autoSpaceDE w:val="0"/>
        <w:autoSpaceDN w:val="0"/>
        <w:ind w:left="851"/>
        <w:rPr>
          <w:b/>
          <w:sz w:val="24"/>
          <w:szCs w:val="24"/>
        </w:rPr>
      </w:pPr>
      <w:r>
        <w:rPr>
          <w:b/>
          <w:sz w:val="24"/>
          <w:szCs w:val="24"/>
        </w:rPr>
        <w:t>Indberetning af formodede bivirkninger</w:t>
      </w:r>
    </w:p>
    <w:p w:rsidR="00491918" w:rsidRDefault="00491918" w:rsidP="00491918">
      <w:pPr>
        <w:ind w:left="851"/>
        <w:rPr>
          <w:sz w:val="24"/>
          <w:szCs w:val="24"/>
        </w:rPr>
      </w:pPr>
      <w:r>
        <w:rPr>
          <w:sz w:val="24"/>
          <w:szCs w:val="24"/>
        </w:rPr>
        <w:t xml:space="preserve">Når lægemidlet er godkendt, er indberetning af formodede bivirkninger vigtig. Det muliggør løbende overvågning af benefit/risk-forholdet for lægemidlet. </w:t>
      </w:r>
      <w:r w:rsidR="00E359D7">
        <w:rPr>
          <w:sz w:val="24"/>
          <w:szCs w:val="24"/>
        </w:rPr>
        <w:t>S</w:t>
      </w:r>
      <w:r>
        <w:rPr>
          <w:sz w:val="24"/>
          <w:szCs w:val="24"/>
        </w:rPr>
        <w:t>undhedsperson</w:t>
      </w:r>
      <w:r w:rsidR="00E359D7">
        <w:rPr>
          <w:sz w:val="24"/>
          <w:szCs w:val="24"/>
        </w:rPr>
        <w:t>er</w:t>
      </w:r>
      <w:r>
        <w:rPr>
          <w:sz w:val="24"/>
          <w:szCs w:val="24"/>
        </w:rPr>
        <w:t xml:space="preserve"> anmodes om at indberette alle formodede bivirkninger via:</w:t>
      </w:r>
    </w:p>
    <w:p w:rsidR="00491918" w:rsidRDefault="00491918" w:rsidP="00491918">
      <w:pPr>
        <w:ind w:left="851"/>
        <w:rPr>
          <w:sz w:val="24"/>
          <w:szCs w:val="24"/>
        </w:rPr>
      </w:pPr>
    </w:p>
    <w:p w:rsidR="00491918" w:rsidRDefault="00491918" w:rsidP="00491918">
      <w:pPr>
        <w:ind w:left="851"/>
        <w:rPr>
          <w:sz w:val="24"/>
          <w:szCs w:val="24"/>
        </w:rPr>
      </w:pPr>
      <w:r>
        <w:rPr>
          <w:sz w:val="24"/>
          <w:szCs w:val="24"/>
        </w:rPr>
        <w:t>Lægemiddelstyrelsen</w:t>
      </w:r>
    </w:p>
    <w:p w:rsidR="00491918" w:rsidRDefault="00491918" w:rsidP="00491918">
      <w:pPr>
        <w:ind w:left="851"/>
        <w:rPr>
          <w:sz w:val="24"/>
          <w:szCs w:val="24"/>
        </w:rPr>
      </w:pPr>
      <w:r>
        <w:rPr>
          <w:sz w:val="24"/>
          <w:szCs w:val="24"/>
        </w:rPr>
        <w:t>Axel Heides Gade 1</w:t>
      </w:r>
    </w:p>
    <w:p w:rsidR="00491918" w:rsidRDefault="00491918" w:rsidP="00491918">
      <w:pPr>
        <w:ind w:left="851"/>
        <w:rPr>
          <w:sz w:val="24"/>
          <w:szCs w:val="24"/>
        </w:rPr>
      </w:pPr>
      <w:r>
        <w:rPr>
          <w:sz w:val="24"/>
          <w:szCs w:val="24"/>
        </w:rPr>
        <w:t>DK-2300 København S</w:t>
      </w:r>
    </w:p>
    <w:p w:rsidR="00491918" w:rsidRPr="003407E4" w:rsidRDefault="00491918" w:rsidP="00491918">
      <w:pPr>
        <w:ind w:left="851"/>
        <w:rPr>
          <w:sz w:val="24"/>
          <w:szCs w:val="24"/>
        </w:rPr>
      </w:pPr>
      <w:r w:rsidRPr="003407E4">
        <w:rPr>
          <w:sz w:val="24"/>
          <w:szCs w:val="24"/>
        </w:rPr>
        <w:t xml:space="preserve">Websted: </w:t>
      </w:r>
      <w:hyperlink r:id="rId8" w:history="1">
        <w:r w:rsidRPr="003407E4">
          <w:rPr>
            <w:rStyle w:val="Hyperlink"/>
            <w:sz w:val="24"/>
          </w:rPr>
          <w:t>www.meldenbivirkning.dk</w:t>
        </w:r>
      </w:hyperlink>
    </w:p>
    <w:p w:rsidR="00491918" w:rsidRPr="003407E4" w:rsidRDefault="00491918" w:rsidP="00491918">
      <w:pPr>
        <w:rPr>
          <w:sz w:val="24"/>
          <w:szCs w:val="24"/>
          <w:lang w:eastAsia="da-DK"/>
        </w:rPr>
      </w:pPr>
    </w:p>
    <w:p w:rsidR="00491918" w:rsidRPr="003407E4" w:rsidRDefault="00491918" w:rsidP="00FE70EC">
      <w:pPr>
        <w:tabs>
          <w:tab w:val="left" w:pos="851"/>
        </w:tabs>
        <w:ind w:left="851" w:hanging="851"/>
        <w:rPr>
          <w:b/>
          <w:sz w:val="24"/>
          <w:szCs w:val="24"/>
        </w:rPr>
      </w:pPr>
      <w:r w:rsidRPr="003407E4">
        <w:rPr>
          <w:b/>
          <w:sz w:val="24"/>
          <w:szCs w:val="24"/>
        </w:rPr>
        <w:t>4.9</w:t>
      </w:r>
      <w:r w:rsidRPr="003407E4">
        <w:rPr>
          <w:b/>
          <w:sz w:val="24"/>
          <w:szCs w:val="24"/>
        </w:rPr>
        <w:tab/>
        <w:t>Overdosering</w:t>
      </w:r>
    </w:p>
    <w:p w:rsidR="00491918" w:rsidRPr="003407E4" w:rsidRDefault="00491918" w:rsidP="00491918">
      <w:pPr>
        <w:autoSpaceDE w:val="0"/>
        <w:autoSpaceDN w:val="0"/>
        <w:adjustRightInd w:val="0"/>
        <w:ind w:left="851"/>
        <w:rPr>
          <w:color w:val="000000"/>
          <w:sz w:val="24"/>
          <w:szCs w:val="24"/>
          <w:u w:val="single"/>
          <w:lang w:eastAsia="da-DK"/>
        </w:rPr>
      </w:pPr>
      <w:r w:rsidRPr="003407E4">
        <w:rPr>
          <w:color w:val="000000"/>
          <w:sz w:val="24"/>
          <w:szCs w:val="24"/>
          <w:u w:val="single"/>
          <w:lang w:eastAsia="da-DK"/>
        </w:rPr>
        <w:t xml:space="preserve">Symptomer </w:t>
      </w:r>
    </w:p>
    <w:p w:rsidR="00491918" w:rsidRPr="00D667BD" w:rsidRDefault="00491918" w:rsidP="00491918">
      <w:pPr>
        <w:autoSpaceDE w:val="0"/>
        <w:autoSpaceDN w:val="0"/>
        <w:adjustRightInd w:val="0"/>
        <w:ind w:left="851"/>
        <w:rPr>
          <w:color w:val="000000"/>
          <w:sz w:val="24"/>
          <w:szCs w:val="24"/>
          <w:lang w:eastAsia="da-DK"/>
        </w:rPr>
      </w:pPr>
      <w:r w:rsidRPr="00D667BD">
        <w:rPr>
          <w:color w:val="000000"/>
          <w:sz w:val="24"/>
          <w:szCs w:val="24"/>
          <w:lang w:eastAsia="da-DK"/>
        </w:rPr>
        <w:t xml:space="preserve">Såfremt der forekommer overdosering, skal patienten monitoreres for tegn på toksicitet (se pkt. 4.8 og 5.3), og der skal gives støttende standardbehandling efter behov. </w:t>
      </w:r>
    </w:p>
    <w:p w:rsidR="00491918" w:rsidRPr="00D667BD" w:rsidRDefault="00491918" w:rsidP="00491918">
      <w:pPr>
        <w:autoSpaceDE w:val="0"/>
        <w:autoSpaceDN w:val="0"/>
        <w:adjustRightInd w:val="0"/>
        <w:ind w:left="851"/>
        <w:rPr>
          <w:color w:val="000000"/>
          <w:sz w:val="24"/>
          <w:szCs w:val="24"/>
          <w:lang w:eastAsia="da-DK"/>
        </w:rPr>
      </w:pPr>
    </w:p>
    <w:p w:rsidR="00491918" w:rsidRPr="00D667BD" w:rsidRDefault="00491918" w:rsidP="00491918">
      <w:pPr>
        <w:autoSpaceDE w:val="0"/>
        <w:autoSpaceDN w:val="0"/>
        <w:adjustRightInd w:val="0"/>
        <w:ind w:left="851"/>
        <w:rPr>
          <w:color w:val="000000"/>
          <w:sz w:val="24"/>
          <w:szCs w:val="24"/>
          <w:u w:val="single"/>
          <w:lang w:eastAsia="da-DK"/>
        </w:rPr>
      </w:pPr>
      <w:r w:rsidRPr="00D667BD">
        <w:rPr>
          <w:color w:val="000000"/>
          <w:sz w:val="24"/>
          <w:szCs w:val="24"/>
          <w:u w:val="single"/>
          <w:lang w:eastAsia="da-DK"/>
        </w:rPr>
        <w:t xml:space="preserve">Behandling </w:t>
      </w:r>
    </w:p>
    <w:p w:rsidR="00491918" w:rsidRPr="00D667BD" w:rsidRDefault="00491918" w:rsidP="00491918">
      <w:pPr>
        <w:tabs>
          <w:tab w:val="left" w:pos="851"/>
        </w:tabs>
        <w:ind w:left="851" w:hanging="851"/>
        <w:rPr>
          <w:b/>
          <w:sz w:val="24"/>
          <w:szCs w:val="24"/>
          <w:lang w:eastAsia="da-DK"/>
        </w:rPr>
      </w:pPr>
      <w:r w:rsidRPr="00D667BD">
        <w:rPr>
          <w:sz w:val="24"/>
          <w:szCs w:val="24"/>
          <w:lang w:eastAsia="da-DK"/>
        </w:rPr>
        <w:tab/>
        <w:t>Tenofovir kan fjernes ved hæmodialyse; median hæmodialyse-clearance af tenofovir er 134 ml/min. Det vides ikke, om tenofovir kan fjernes ved peritonealdialyse.</w:t>
      </w:r>
    </w:p>
    <w:p w:rsidR="00491918" w:rsidRPr="00C84483" w:rsidRDefault="00491918" w:rsidP="00491918">
      <w:pPr>
        <w:tabs>
          <w:tab w:val="left" w:pos="851"/>
        </w:tabs>
        <w:rPr>
          <w:sz w:val="24"/>
          <w:szCs w:val="24"/>
        </w:rPr>
      </w:pPr>
    </w:p>
    <w:p w:rsidR="00491918" w:rsidRPr="00C84483" w:rsidRDefault="00491918" w:rsidP="00491918">
      <w:pPr>
        <w:tabs>
          <w:tab w:val="left" w:pos="851"/>
        </w:tabs>
        <w:ind w:left="851" w:hanging="851"/>
        <w:rPr>
          <w:b/>
          <w:sz w:val="24"/>
          <w:szCs w:val="24"/>
        </w:rPr>
      </w:pPr>
      <w:r w:rsidRPr="00C84483">
        <w:rPr>
          <w:b/>
          <w:sz w:val="24"/>
          <w:szCs w:val="24"/>
        </w:rPr>
        <w:t>4.10</w:t>
      </w:r>
      <w:r w:rsidRPr="00C84483">
        <w:rPr>
          <w:b/>
          <w:sz w:val="24"/>
          <w:szCs w:val="24"/>
        </w:rPr>
        <w:tab/>
        <w:t>Udlevering</w:t>
      </w:r>
    </w:p>
    <w:p w:rsidR="00491918" w:rsidRPr="00C84483" w:rsidRDefault="00491918" w:rsidP="00491918">
      <w:pPr>
        <w:tabs>
          <w:tab w:val="left" w:pos="851"/>
        </w:tabs>
        <w:ind w:left="851" w:hanging="851"/>
        <w:rPr>
          <w:sz w:val="24"/>
          <w:szCs w:val="24"/>
        </w:rPr>
      </w:pPr>
      <w:r w:rsidRPr="00C84483">
        <w:rPr>
          <w:sz w:val="24"/>
          <w:szCs w:val="24"/>
        </w:rPr>
        <w:tab/>
      </w:r>
      <w:r>
        <w:rPr>
          <w:sz w:val="24"/>
          <w:szCs w:val="24"/>
        </w:rPr>
        <w:t>BEGR - kun til sygehuse.</w:t>
      </w:r>
    </w:p>
    <w:p w:rsidR="00491918" w:rsidRPr="00C84483" w:rsidRDefault="00491918" w:rsidP="00491918">
      <w:pPr>
        <w:tabs>
          <w:tab w:val="left" w:pos="851"/>
        </w:tabs>
        <w:rPr>
          <w:sz w:val="24"/>
          <w:szCs w:val="24"/>
        </w:rPr>
      </w:pPr>
    </w:p>
    <w:p w:rsidR="00491918" w:rsidRPr="00C84483" w:rsidRDefault="00491918" w:rsidP="00491918">
      <w:pPr>
        <w:tabs>
          <w:tab w:val="left" w:pos="851"/>
        </w:tabs>
        <w:rPr>
          <w:sz w:val="24"/>
          <w:szCs w:val="24"/>
        </w:rPr>
      </w:pPr>
    </w:p>
    <w:p w:rsidR="00491918" w:rsidRPr="00C84483" w:rsidRDefault="00491918" w:rsidP="0049191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91918" w:rsidRPr="00C84483" w:rsidRDefault="00491918" w:rsidP="00491918">
      <w:pPr>
        <w:tabs>
          <w:tab w:val="left" w:pos="851"/>
        </w:tabs>
        <w:rPr>
          <w:sz w:val="24"/>
          <w:szCs w:val="24"/>
        </w:rPr>
      </w:pPr>
    </w:p>
    <w:p w:rsidR="00491918" w:rsidRPr="00C84483" w:rsidRDefault="00491918" w:rsidP="00491918">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E359D7" w:rsidRPr="00E359D7" w:rsidRDefault="00E359D7" w:rsidP="00491918">
      <w:pPr>
        <w:pStyle w:val="Default"/>
        <w:tabs>
          <w:tab w:val="left" w:pos="851"/>
        </w:tabs>
        <w:ind w:left="851"/>
      </w:pPr>
      <w:r>
        <w:t xml:space="preserve">Farmakoterapeutisk klassifikation: </w:t>
      </w:r>
      <w:r w:rsidRPr="00CD5341">
        <w:t>Antivirale midler til systemisk brug; nukleosid og nukleotid rev</w:t>
      </w:r>
      <w:r>
        <w:t>erse transkriptasehæmmere</w:t>
      </w:r>
      <w:r w:rsidR="00E0577D">
        <w:t xml:space="preserve">, </w:t>
      </w:r>
      <w:r w:rsidRPr="00CD5341">
        <w:t>ATC-kode: J05AF07.</w:t>
      </w:r>
    </w:p>
    <w:p w:rsidR="00E359D7" w:rsidRDefault="00E359D7" w:rsidP="00491918">
      <w:pPr>
        <w:pStyle w:val="Default"/>
        <w:tabs>
          <w:tab w:val="left" w:pos="851"/>
        </w:tabs>
        <w:ind w:left="851"/>
        <w:rPr>
          <w:u w:val="single"/>
        </w:rPr>
      </w:pPr>
    </w:p>
    <w:p w:rsidR="00491918" w:rsidRDefault="00491918" w:rsidP="00491918">
      <w:pPr>
        <w:pStyle w:val="Default"/>
        <w:tabs>
          <w:tab w:val="left" w:pos="851"/>
        </w:tabs>
        <w:ind w:left="851"/>
        <w:rPr>
          <w:b/>
        </w:rPr>
      </w:pPr>
      <w:r>
        <w:rPr>
          <w:b/>
        </w:rPr>
        <w:t xml:space="preserve">Virkningsmekanisme og farmakodynamisk virkning </w:t>
      </w:r>
    </w:p>
    <w:p w:rsidR="00491918" w:rsidRDefault="00491918" w:rsidP="00491918">
      <w:pPr>
        <w:pStyle w:val="Default"/>
        <w:tabs>
          <w:tab w:val="left" w:pos="851"/>
        </w:tabs>
        <w:ind w:left="851"/>
      </w:pPr>
      <w:r>
        <w:t xml:space="preserve">Tenofovirdisoproxil er phosphatsaltet af </w:t>
      </w:r>
      <w:proofErr w:type="gramStart"/>
      <w:r>
        <w:t>et prodrug</w:t>
      </w:r>
      <w:proofErr w:type="gramEnd"/>
      <w:r>
        <w:t xml:space="preserve"> af tenofovirdisoproxil. Tenofovirdisoproxil absorberes og omdannes til det aktive stof tenofovir, som er en nukleosidmonophosphat (nukleotid)-analog. Tenofovir omdannes derefter af konstitutivt eksprimerede celleenzymer til den aktive metabolit, tenofovirdiphosphat, en obligat kædeblokker. Tenofovirdiphosphat har en intracellulær halveringstid på 10 timer i aktiverede og 50 timer i hvilende mononukleære celler i perifert blod (</w:t>
      </w:r>
      <w:r>
        <w:rPr>
          <w:iCs/>
        </w:rPr>
        <w:t>peripheral blood mononuclear cells</w:t>
      </w:r>
      <w:r>
        <w:t xml:space="preserve">, PBMC’er). Tenofovirdiphosphat hæmmer hiv 1-reverse-transkriptase og HBV-polymerase ved direkte bindingskonkurrence med det naturlige deoxyribonukleotidsubstrat og - efter indføjelse i dna - ved dna-kædeblokering. Tenofovirdiphosphat er en svag hæmmer af de cellulære polymeraser α, β og γ. Ved koncentrationer på op til 300 μmol/l har tenofovir tilmed ikke vist effekt på syntesen af mitokondrie-dna eller produktionen af mælkesyre ved </w:t>
      </w:r>
      <w:r>
        <w:rPr>
          <w:i/>
          <w:iCs/>
        </w:rPr>
        <w:t>in vitro</w:t>
      </w:r>
      <w:r>
        <w:t xml:space="preserve">-analyser. </w:t>
      </w:r>
    </w:p>
    <w:p w:rsidR="00491918" w:rsidRDefault="00491918" w:rsidP="00491918">
      <w:pPr>
        <w:pStyle w:val="Default"/>
        <w:tabs>
          <w:tab w:val="left" w:pos="851"/>
        </w:tabs>
        <w:ind w:left="851"/>
        <w:rPr>
          <w:i/>
          <w:iCs/>
        </w:rPr>
      </w:pPr>
    </w:p>
    <w:p w:rsidR="00491918" w:rsidRDefault="00491918" w:rsidP="00491918">
      <w:pPr>
        <w:pStyle w:val="Default"/>
        <w:tabs>
          <w:tab w:val="left" w:pos="851"/>
        </w:tabs>
        <w:ind w:left="851"/>
        <w:rPr>
          <w:iCs/>
          <w:u w:val="single"/>
        </w:rPr>
      </w:pPr>
      <w:r>
        <w:rPr>
          <w:iCs/>
          <w:u w:val="single"/>
        </w:rPr>
        <w:t>Data vedrørende hiv</w:t>
      </w:r>
    </w:p>
    <w:p w:rsidR="00491918" w:rsidRDefault="00491918" w:rsidP="00491918">
      <w:pPr>
        <w:pStyle w:val="Default"/>
        <w:tabs>
          <w:tab w:val="left" w:pos="851"/>
        </w:tabs>
        <w:ind w:left="851"/>
        <w:rPr>
          <w:b/>
        </w:rPr>
      </w:pPr>
      <w:r>
        <w:rPr>
          <w:b/>
          <w:iCs/>
        </w:rPr>
        <w:t xml:space="preserve"> </w:t>
      </w:r>
    </w:p>
    <w:p w:rsidR="00491918" w:rsidRDefault="00491918" w:rsidP="00491918">
      <w:pPr>
        <w:pStyle w:val="Default"/>
        <w:tabs>
          <w:tab w:val="left" w:pos="851"/>
        </w:tabs>
        <w:ind w:left="851"/>
        <w:rPr>
          <w:i/>
          <w:iCs/>
        </w:rPr>
      </w:pPr>
      <w:r>
        <w:rPr>
          <w:i/>
          <w:iCs/>
        </w:rPr>
        <w:t>Hiv-antiviral aktivitet in vitro</w:t>
      </w:r>
    </w:p>
    <w:p w:rsidR="00491918" w:rsidRDefault="00491918" w:rsidP="00491918">
      <w:pPr>
        <w:pStyle w:val="Default"/>
        <w:tabs>
          <w:tab w:val="left" w:pos="851"/>
        </w:tabs>
        <w:ind w:left="851"/>
      </w:pPr>
      <w:r>
        <w:t>Den koncentration af tenofovir, der kræves til 50 % hæmning (EC</w:t>
      </w:r>
      <w:r>
        <w:rPr>
          <w:vertAlign w:val="subscript"/>
        </w:rPr>
        <w:t>50</w:t>
      </w:r>
      <w:r>
        <w:t>) af laboratorie-vildtypestammen hiv 1</w:t>
      </w:r>
      <w:r>
        <w:rPr>
          <w:vertAlign w:val="subscript"/>
        </w:rPr>
        <w:t>IIIB</w:t>
      </w:r>
      <w:r>
        <w:t>, er 1-6 μmol/l ved lymfoide cellelinjer og 1,1 μmol/l mod primære hiv 1 subtype B-isolater i PBMC’er. Tenofovir er også aktivt mod hiv 1-subtyperne A, C, D, E, F, G og O og mod hiv</w:t>
      </w:r>
      <w:r>
        <w:rPr>
          <w:vertAlign w:val="subscript"/>
        </w:rPr>
        <w:t>BaL</w:t>
      </w:r>
      <w:r>
        <w:t xml:space="preserve"> ved primære monocyt-/makrofagceller. Tenofovir er desuden aktivt </w:t>
      </w:r>
      <w:r>
        <w:rPr>
          <w:i/>
          <w:iCs/>
        </w:rPr>
        <w:t xml:space="preserve">in vitro </w:t>
      </w:r>
      <w:r>
        <w:t>mod hiv 2 med en EC</w:t>
      </w:r>
      <w:r>
        <w:rPr>
          <w:vertAlign w:val="subscript"/>
        </w:rPr>
        <w:t>50</w:t>
      </w:r>
      <w:r>
        <w:t xml:space="preserve"> på 4,9 μmol/l ved MT-4-celler. </w:t>
      </w:r>
    </w:p>
    <w:p w:rsidR="00491918" w:rsidRDefault="00491918" w:rsidP="00491918">
      <w:pPr>
        <w:pStyle w:val="Default"/>
        <w:tabs>
          <w:tab w:val="left" w:pos="851"/>
        </w:tabs>
        <w:ind w:left="851"/>
      </w:pPr>
    </w:p>
    <w:p w:rsidR="00491918" w:rsidRDefault="00491918" w:rsidP="00491918">
      <w:pPr>
        <w:pStyle w:val="Default"/>
        <w:tabs>
          <w:tab w:val="left" w:pos="851"/>
        </w:tabs>
        <w:ind w:left="851"/>
        <w:rPr>
          <w:i/>
          <w:iCs/>
        </w:rPr>
      </w:pPr>
      <w:r>
        <w:rPr>
          <w:i/>
          <w:iCs/>
        </w:rPr>
        <w:t>Resistens</w:t>
      </w:r>
    </w:p>
    <w:p w:rsidR="00491918" w:rsidRDefault="00491918" w:rsidP="00491918">
      <w:pPr>
        <w:pStyle w:val="Default"/>
        <w:tabs>
          <w:tab w:val="left" w:pos="851"/>
        </w:tabs>
        <w:ind w:left="851"/>
        <w:rPr>
          <w:i/>
          <w:iCs/>
        </w:rPr>
      </w:pPr>
      <w:r>
        <w:t xml:space="preserve">Stammer af hiv 1 med nedsat følsomhed over for tenofovir og en K65R-mutation ved reverse transkriptase er blevet udsøgt </w:t>
      </w:r>
      <w:r>
        <w:rPr>
          <w:i/>
          <w:iCs/>
        </w:rPr>
        <w:t xml:space="preserve">in vitro </w:t>
      </w:r>
      <w:r>
        <w:t xml:space="preserve">og hos nogle patienter (se ”Klinisk virkning og sikkerhed"). Tenofovirdisoproxil bør undgås hos tidligere antiretroviral-behandlede patienter med stammer, som har K65R-mutationen (se pkt. 4.4). Desuden er en K70E-substitution i hiv 1-reverse transkriptase blevet selekteret af tenofovir, hvilket fører til en nedsat følsomhed for tenofovir på lavt niveau. </w:t>
      </w:r>
    </w:p>
    <w:p w:rsidR="00491918" w:rsidRDefault="00491918" w:rsidP="00491918">
      <w:pPr>
        <w:pStyle w:val="Default"/>
        <w:tabs>
          <w:tab w:val="left" w:pos="851"/>
        </w:tabs>
        <w:ind w:left="851"/>
      </w:pPr>
    </w:p>
    <w:p w:rsidR="00491918" w:rsidRDefault="00491918" w:rsidP="00491918">
      <w:pPr>
        <w:pStyle w:val="Default"/>
        <w:tabs>
          <w:tab w:val="left" w:pos="851"/>
        </w:tabs>
        <w:ind w:left="851"/>
      </w:pPr>
      <w:r>
        <w:t xml:space="preserve">Kliniske studier med tidligere behandlede patienter har vurderet anti-hiv-aktiviteten af 245 mg tenofovirdisoproxil mod hiv 1-stammer med resistens over for nukleosidhæmmere. Resultaterne indikerer, at patienter, hvis hiv udtrykte 3 eller flere thymidin-analog-forbundne mutationer </w:t>
      </w:r>
      <w:r>
        <w:rPr>
          <w:i/>
          <w:iCs/>
        </w:rPr>
        <w:t>(</w:t>
      </w:r>
      <w:r>
        <w:rPr>
          <w:iCs/>
        </w:rPr>
        <w:t>TAMs</w:t>
      </w:r>
      <w:r>
        <w:rPr>
          <w:i/>
          <w:iCs/>
        </w:rPr>
        <w:t>)</w:t>
      </w:r>
      <w:r>
        <w:t xml:space="preserve">, som omfattede enten M41L- eller L210W-reverse transkriptase-mutation, viste reduceret respons over for behandlingen med 245 mg tenofovirdisoproxil. </w:t>
      </w:r>
    </w:p>
    <w:p w:rsidR="00491918" w:rsidRDefault="00491918" w:rsidP="00491918">
      <w:pPr>
        <w:pStyle w:val="Default"/>
        <w:tabs>
          <w:tab w:val="left" w:pos="851"/>
        </w:tabs>
        <w:ind w:left="851"/>
      </w:pPr>
    </w:p>
    <w:p w:rsidR="00491918" w:rsidRDefault="00491918" w:rsidP="00491918">
      <w:pPr>
        <w:pStyle w:val="Default"/>
        <w:tabs>
          <w:tab w:val="left" w:pos="851"/>
        </w:tabs>
        <w:ind w:left="851"/>
        <w:rPr>
          <w:i/>
        </w:rPr>
      </w:pPr>
      <w:r>
        <w:rPr>
          <w:i/>
        </w:rPr>
        <w:t xml:space="preserve">Klinisk virkning og sikkerhed </w:t>
      </w:r>
    </w:p>
    <w:p w:rsidR="00491918" w:rsidRDefault="00491918" w:rsidP="00491918">
      <w:pPr>
        <w:pStyle w:val="Default"/>
        <w:tabs>
          <w:tab w:val="left" w:pos="851"/>
        </w:tabs>
        <w:ind w:left="851"/>
      </w:pPr>
      <w:r>
        <w:t xml:space="preserve">Den gavnlige effekt af tenofovirdisoproxil hos tidligere behandlede og behandlingsnaive hiv 1-inficerede voksne er blevet påvist i studier af henholdsvis 48 ugers og 144 ugers varighed. </w:t>
      </w:r>
    </w:p>
    <w:p w:rsidR="00491918" w:rsidRDefault="00491918" w:rsidP="00491918">
      <w:pPr>
        <w:pStyle w:val="Default"/>
        <w:tabs>
          <w:tab w:val="left" w:pos="851"/>
        </w:tabs>
        <w:ind w:left="851"/>
      </w:pPr>
    </w:p>
    <w:p w:rsidR="00491918" w:rsidRDefault="00491918" w:rsidP="00491918">
      <w:pPr>
        <w:pStyle w:val="Default"/>
        <w:tabs>
          <w:tab w:val="left" w:pos="851"/>
        </w:tabs>
        <w:ind w:left="851"/>
      </w:pPr>
      <w:r>
        <w:t xml:space="preserve">I studie GS-99-907 blev 550 behandlingserfarne voksne patienter behandlet med placebo eller 245 mg tenofovirdisoproxil i 24 uger. Det gennemsnitlige CD4-celletal ved </w:t>
      </w:r>
      <w:r>
        <w:rPr>
          <w:iCs/>
        </w:rPr>
        <w:t>baseline</w:t>
      </w:r>
      <w:r>
        <w:rPr>
          <w:i/>
          <w:iCs/>
        </w:rPr>
        <w:t xml:space="preserve"> </w:t>
      </w:r>
      <w:r>
        <w:t>var 427 celler/mm</w:t>
      </w:r>
      <w:r>
        <w:rPr>
          <w:vertAlign w:val="superscript"/>
        </w:rPr>
        <w:t>3</w:t>
      </w:r>
      <w:r>
        <w:t xml:space="preserve">, den gennemsnitlige hiv 1-rna-plasmakoncentration ved </w:t>
      </w:r>
      <w:r>
        <w:rPr>
          <w:iCs/>
        </w:rPr>
        <w:t>baseline</w:t>
      </w:r>
      <w:r>
        <w:rPr>
          <w:i/>
          <w:iCs/>
        </w:rPr>
        <w:t xml:space="preserve"> </w:t>
      </w:r>
      <w:r>
        <w:t>var 3,4 log</w:t>
      </w:r>
      <w:r>
        <w:rPr>
          <w:vertAlign w:val="subscript"/>
        </w:rPr>
        <w:t>10</w:t>
      </w:r>
      <w:r>
        <w:t xml:space="preserve"> kopier/ml (78 % af patienterne havde en virusmængde på &lt;5.000 kopier/ml) og den gennemsnitlige varighed af forudgående hiv-behandling var 5,4 år. Genotypeanalyse ved </w:t>
      </w:r>
      <w:r>
        <w:rPr>
          <w:iCs/>
        </w:rPr>
        <w:t>baseline</w:t>
      </w:r>
      <w:r>
        <w:rPr>
          <w:i/>
          <w:iCs/>
        </w:rPr>
        <w:t xml:space="preserve"> </w:t>
      </w:r>
      <w:r>
        <w:t xml:space="preserve">af hiv-isolater fra 253 patienter afslørede, at 94 % af patienterne havde hiv 1-resistensmutationer i forbindelse med nukleosid reverse transkriptasehæmmere, 58 % havde mutationer i forbindelse med proteasehæmmere og 48 % havde mutationer i forbindelse med non-nukleosid reverse transkriptasehæmmere. </w:t>
      </w:r>
    </w:p>
    <w:p w:rsidR="00491918" w:rsidRDefault="00491918" w:rsidP="00491918">
      <w:pPr>
        <w:pStyle w:val="Default"/>
        <w:tabs>
          <w:tab w:val="left" w:pos="851"/>
        </w:tabs>
        <w:ind w:left="851"/>
      </w:pPr>
    </w:p>
    <w:p w:rsidR="00491918" w:rsidRDefault="00491918" w:rsidP="00491918">
      <w:pPr>
        <w:pStyle w:val="Default"/>
        <w:tabs>
          <w:tab w:val="left" w:pos="851"/>
        </w:tabs>
        <w:ind w:left="851"/>
      </w:pPr>
      <w:r>
        <w:t xml:space="preserve">Ved uge 24 var den tidsvægtede gennemsnitsændring fra </w:t>
      </w:r>
      <w:r>
        <w:rPr>
          <w:iCs/>
        </w:rPr>
        <w:t>baseline</w:t>
      </w:r>
      <w:r>
        <w:rPr>
          <w:i/>
          <w:iCs/>
        </w:rPr>
        <w:t xml:space="preserve"> </w:t>
      </w:r>
      <w:r>
        <w:t>i log</w:t>
      </w:r>
      <w:r>
        <w:rPr>
          <w:vertAlign w:val="subscript"/>
        </w:rPr>
        <w:t>10</w:t>
      </w:r>
      <w:r>
        <w:t xml:space="preserve"> plasmakoncentrationer af hiv 1-rna-niveauer (DAVG24) -0,03 log</w:t>
      </w:r>
      <w:r>
        <w:rPr>
          <w:vertAlign w:val="subscript"/>
        </w:rPr>
        <w:t>10</w:t>
      </w:r>
      <w:r>
        <w:t xml:space="preserve"> kopier/ml og -0,61 log</w:t>
      </w:r>
      <w:r>
        <w:rPr>
          <w:vertAlign w:val="subscript"/>
        </w:rPr>
        <w:t>10</w:t>
      </w:r>
      <w:r>
        <w:t xml:space="preserve"> kopier/ml for placebogruppen og 245 mg tenofovirdisoproxil-gruppen (p &lt; 0,0001). En statistisk signifikant forskel til gunst for 245 mg tenofovirdisoproxil sås i den tidsvægtede gennemsnitsændring fra </w:t>
      </w:r>
      <w:r>
        <w:rPr>
          <w:iCs/>
        </w:rPr>
        <w:t>baseline</w:t>
      </w:r>
      <w:r>
        <w:rPr>
          <w:i/>
          <w:iCs/>
        </w:rPr>
        <w:t xml:space="preserve"> </w:t>
      </w:r>
      <w:r>
        <w:t>efter 24 uger (DAVG24) for CD4-celletallet (+13 celler/mm</w:t>
      </w:r>
      <w:r>
        <w:rPr>
          <w:vertAlign w:val="superscript"/>
        </w:rPr>
        <w:t>3</w:t>
      </w:r>
      <w:r>
        <w:t xml:space="preserve"> for 245 mg tenofovirdisoproxil </w:t>
      </w:r>
      <w:r>
        <w:rPr>
          <w:iCs/>
        </w:rPr>
        <w:t>versus</w:t>
      </w:r>
      <w:r>
        <w:rPr>
          <w:i/>
          <w:iCs/>
        </w:rPr>
        <w:t xml:space="preserve"> </w:t>
      </w:r>
      <w:r>
        <w:t>-11 celler/mm</w:t>
      </w:r>
      <w:r>
        <w:rPr>
          <w:vertAlign w:val="superscript"/>
        </w:rPr>
        <w:t>3</w:t>
      </w:r>
      <w:r>
        <w:t xml:space="preserve"> for placebo, p-værdi = 0,0008). Den antivirale respons over for tenofovirdisoproxil holdt sig i 48 uger (DAVG48 var -0,57 log</w:t>
      </w:r>
      <w:r>
        <w:rPr>
          <w:vertAlign w:val="subscript"/>
        </w:rPr>
        <w:t>10</w:t>
      </w:r>
      <w:r>
        <w:t xml:space="preserve"> kopier/ml, procentdelen af patienter med hiv 1-rna under 400 eller 50 kopier/ml var henholdsvis 41 % og 18 %). 8 patienter (2 %) behandlet med 245 mg tenofovirdisoproxil udviklede K65R mutationen inden for de første 48 uger. </w:t>
      </w:r>
    </w:p>
    <w:p w:rsidR="00491918" w:rsidRDefault="00491918" w:rsidP="00491918">
      <w:pPr>
        <w:pStyle w:val="Default"/>
        <w:tabs>
          <w:tab w:val="left" w:pos="851"/>
        </w:tabs>
        <w:ind w:left="851"/>
      </w:pPr>
    </w:p>
    <w:p w:rsidR="00491918" w:rsidRDefault="00491918" w:rsidP="00491918">
      <w:pPr>
        <w:pStyle w:val="Default"/>
        <w:tabs>
          <w:tab w:val="left" w:pos="851"/>
        </w:tabs>
        <w:ind w:left="851"/>
      </w:pPr>
      <w:r>
        <w:t xml:space="preserve">Den 144-ugers, dobbeltblinde, aktivt kontrollerede fase af studie GS-99-903 vurderede effekten og sikkerheden af 245 mg tenofovirdisoproxil </w:t>
      </w:r>
      <w:r>
        <w:rPr>
          <w:iCs/>
        </w:rPr>
        <w:t>versus</w:t>
      </w:r>
      <w:r>
        <w:rPr>
          <w:i/>
          <w:iCs/>
        </w:rPr>
        <w:t xml:space="preserve"> </w:t>
      </w:r>
      <w:r>
        <w:t xml:space="preserve">stavudin ved anvendelse i kombination med lamivudin og efavirenz hos behandlingsnaive hiv 1-inficerede voksne patienter. Det gennemsnitlige CD4-celletal ved </w:t>
      </w:r>
      <w:r>
        <w:rPr>
          <w:iCs/>
        </w:rPr>
        <w:t>baseline</w:t>
      </w:r>
      <w:r>
        <w:rPr>
          <w:i/>
          <w:iCs/>
        </w:rPr>
        <w:t xml:space="preserve"> </w:t>
      </w:r>
      <w:r>
        <w:t>var 279 celler/mm</w:t>
      </w:r>
      <w:r>
        <w:rPr>
          <w:vertAlign w:val="superscript"/>
        </w:rPr>
        <w:t>3</w:t>
      </w:r>
      <w:r>
        <w:t xml:space="preserve">, den gennemsnitlige hiv 1-rna-plasmakoncentration ved </w:t>
      </w:r>
      <w:r>
        <w:rPr>
          <w:iCs/>
        </w:rPr>
        <w:t>baseline</w:t>
      </w:r>
      <w:r>
        <w:rPr>
          <w:i/>
          <w:iCs/>
        </w:rPr>
        <w:t xml:space="preserve"> </w:t>
      </w:r>
      <w:r>
        <w:t>var 4,91 log</w:t>
      </w:r>
      <w:r>
        <w:rPr>
          <w:vertAlign w:val="subscript"/>
        </w:rPr>
        <w:t>10</w:t>
      </w:r>
      <w:r>
        <w:t xml:space="preserve"> kopier/ml, 19 % af patienterne havde symptomatisk hiv 1-infektion og 18 % havde aids. Patienter blev stratificeret efter hiv 1-rna og CD4-tal ved </w:t>
      </w:r>
      <w:r>
        <w:rPr>
          <w:iCs/>
        </w:rPr>
        <w:t>baseline</w:t>
      </w:r>
      <w:r>
        <w:t xml:space="preserve">. 43 % af patienterne havde en virusmængde ved </w:t>
      </w:r>
      <w:r>
        <w:rPr>
          <w:iCs/>
        </w:rPr>
        <w:t>baseline</w:t>
      </w:r>
      <w:r>
        <w:rPr>
          <w:i/>
          <w:iCs/>
        </w:rPr>
        <w:t xml:space="preserve"> </w:t>
      </w:r>
      <w:r>
        <w:t xml:space="preserve">på &gt; 100.000 kopier/ml og 39 % havde CD4-celletal på &lt; 200 celler/ml. </w:t>
      </w:r>
    </w:p>
    <w:p w:rsidR="00491918" w:rsidRDefault="00491918" w:rsidP="00491918">
      <w:pPr>
        <w:pStyle w:val="Default"/>
        <w:tabs>
          <w:tab w:val="left" w:pos="851"/>
        </w:tabs>
        <w:ind w:left="851"/>
      </w:pPr>
    </w:p>
    <w:p w:rsidR="00491918" w:rsidRDefault="00491918" w:rsidP="00491918">
      <w:pPr>
        <w:pStyle w:val="Default"/>
        <w:tabs>
          <w:tab w:val="left" w:pos="851"/>
        </w:tabs>
        <w:ind w:left="851"/>
      </w:pPr>
      <w:r>
        <w:t xml:space="preserve">Ved behandlingsintentionsanalyse (manglende data og skift i antiretroviral behandling (ART) blev betragtet som svigt) var procentdelen af patienter med hiv 1-rna under 400 kopier/ml og 50 kopier/ml i uge 48 af behandlingen henholdsvis 80 % og 76 % i 245 mg tenofovirdisoproxil behandlingsarmen, sammenlignet med 84 % og 80 % i stavudin behandlingsarmen. I uge 144 var procentdelen af patienter med hiv 1-rna under 400 kopier/ml og 50 kopier/ml henholdsvis 71 % og 68 % i 245 mg tenofovirdisoproxil-armen sammenlignet med 64 % og 63 % i stavudinarmen. </w:t>
      </w:r>
    </w:p>
    <w:p w:rsidR="00491918" w:rsidRDefault="00491918" w:rsidP="00491918">
      <w:pPr>
        <w:pStyle w:val="Default"/>
        <w:tabs>
          <w:tab w:val="left" w:pos="851"/>
        </w:tabs>
        <w:ind w:left="851"/>
      </w:pPr>
    </w:p>
    <w:p w:rsidR="00491918" w:rsidRDefault="00491918" w:rsidP="00491918">
      <w:pPr>
        <w:pStyle w:val="Default"/>
        <w:tabs>
          <w:tab w:val="left" w:pos="851"/>
        </w:tabs>
        <w:ind w:left="851"/>
      </w:pPr>
      <w:r>
        <w:t xml:space="preserve">Den gennemsnitlige ændring fra </w:t>
      </w:r>
      <w:r>
        <w:rPr>
          <w:iCs/>
        </w:rPr>
        <w:t>baseline</w:t>
      </w:r>
      <w:r>
        <w:rPr>
          <w:i/>
          <w:iCs/>
        </w:rPr>
        <w:t xml:space="preserve"> </w:t>
      </w:r>
      <w:r>
        <w:t>for hiv 1-rna og CD4-tal i uge 48 af behandlingen var næsten ens i begge behandlingsgrupper (-3,09 og -3,09 log</w:t>
      </w:r>
      <w:r>
        <w:rPr>
          <w:vertAlign w:val="subscript"/>
        </w:rPr>
        <w:t>10</w:t>
      </w:r>
      <w:r>
        <w:t xml:space="preserve"> kopier/ml; +169 og 167 celler/mm</w:t>
      </w:r>
      <w:r>
        <w:rPr>
          <w:vertAlign w:val="superscript"/>
        </w:rPr>
        <w:t>3</w:t>
      </w:r>
      <w:r>
        <w:t xml:space="preserve"> i henholdsvis 245 mg tenofovirdisoproxil- og stavudin-gruppen). I uge 144 af behandlingen forblev den gennemsnitlige ændring fra </w:t>
      </w:r>
      <w:r>
        <w:rPr>
          <w:iCs/>
        </w:rPr>
        <w:t>baseline</w:t>
      </w:r>
      <w:r>
        <w:rPr>
          <w:i/>
          <w:iCs/>
        </w:rPr>
        <w:t xml:space="preserve"> </w:t>
      </w:r>
      <w:r>
        <w:t>næsten ens i begge behandlingsgrupper (-3,07 og -3,03 log</w:t>
      </w:r>
      <w:r>
        <w:rPr>
          <w:vertAlign w:val="subscript"/>
        </w:rPr>
        <w:t>10</w:t>
      </w:r>
      <w:r>
        <w:t xml:space="preserve"> kopier/ml; +263 og +283 celler/mm</w:t>
      </w:r>
      <w:r>
        <w:rPr>
          <w:vertAlign w:val="superscript"/>
        </w:rPr>
        <w:t>3</w:t>
      </w:r>
      <w:r>
        <w:t xml:space="preserve"> i henholdsvis 245 mg tenofovirdisoproxil- og stavudin-gruppen). En konsistent respons på behandling med 245 mg tenofovirdisoproxil sås uden hensyn til hiv 1-rna og CD4-tal ved </w:t>
      </w:r>
      <w:r>
        <w:rPr>
          <w:iCs/>
        </w:rPr>
        <w:t>baseline</w:t>
      </w:r>
      <w:r>
        <w:t xml:space="preserve">. </w:t>
      </w:r>
    </w:p>
    <w:p w:rsidR="00491918" w:rsidRDefault="00491918" w:rsidP="00491918">
      <w:pPr>
        <w:pStyle w:val="Default"/>
        <w:tabs>
          <w:tab w:val="left" w:pos="851"/>
        </w:tabs>
        <w:ind w:left="851"/>
      </w:pPr>
    </w:p>
    <w:p w:rsidR="00491918" w:rsidRDefault="00491918" w:rsidP="00491918">
      <w:pPr>
        <w:pStyle w:val="Default"/>
        <w:tabs>
          <w:tab w:val="left" w:pos="851"/>
        </w:tabs>
        <w:ind w:left="851"/>
      </w:pPr>
      <w:r>
        <w:t xml:space="preserve">K65R-mutationen sås hos en lidt højere procentdel af patienter i tenofovirdisoproxil-gruppen end den aktive kontrolgruppe (2,7 % </w:t>
      </w:r>
      <w:r>
        <w:rPr>
          <w:iCs/>
        </w:rPr>
        <w:t>versus</w:t>
      </w:r>
      <w:r>
        <w:rPr>
          <w:i/>
          <w:iCs/>
        </w:rPr>
        <w:t xml:space="preserve"> </w:t>
      </w:r>
      <w:r>
        <w:t xml:space="preserve">0,7 %). Efavirenz- eller lamivudinresistens opstod enten forud for eller samtidig med udviklingen af K65R i alle tilfælde. 8 patienter i 245 mg tenofovirdisoproxil-armen havde hiv med K65R-mutation, 7 af disse opstod i løbet af de første 48 uger af behandlingen og den sidste i uge 96. Der blev ikke observeret yderligere udvikling af K65R op til uge 144. En patient i armen med tenofovirdisoproxil udviklede K70E-substitutionen i virusset. Fra både genotype- og fænotypeanalyser har der ikke været nogen tegn på andre veje for resistens over for tenofovir. </w:t>
      </w:r>
    </w:p>
    <w:p w:rsidR="00491918" w:rsidRDefault="00491918" w:rsidP="00491918">
      <w:pPr>
        <w:pStyle w:val="Default"/>
        <w:tabs>
          <w:tab w:val="left" w:pos="851"/>
        </w:tabs>
        <w:ind w:left="851"/>
      </w:pPr>
    </w:p>
    <w:p w:rsidR="00491918" w:rsidRDefault="00491918" w:rsidP="00491918">
      <w:pPr>
        <w:pStyle w:val="Default"/>
        <w:tabs>
          <w:tab w:val="left" w:pos="851"/>
        </w:tabs>
        <w:ind w:left="851"/>
        <w:rPr>
          <w:u w:val="single"/>
        </w:rPr>
      </w:pPr>
      <w:r>
        <w:rPr>
          <w:iCs/>
          <w:u w:val="single"/>
        </w:rPr>
        <w:t xml:space="preserve">Data vedrørende HBV </w:t>
      </w:r>
    </w:p>
    <w:p w:rsidR="00491918" w:rsidRDefault="00491918" w:rsidP="00491918">
      <w:pPr>
        <w:pStyle w:val="Default"/>
        <w:tabs>
          <w:tab w:val="left" w:pos="851"/>
        </w:tabs>
        <w:ind w:left="851"/>
        <w:rPr>
          <w:i/>
          <w:iCs/>
        </w:rPr>
      </w:pPr>
    </w:p>
    <w:p w:rsidR="00491918" w:rsidRDefault="00491918" w:rsidP="00491918">
      <w:pPr>
        <w:pStyle w:val="Default"/>
        <w:tabs>
          <w:tab w:val="left" w:pos="851"/>
        </w:tabs>
        <w:ind w:left="851"/>
        <w:rPr>
          <w:i/>
          <w:iCs/>
        </w:rPr>
      </w:pPr>
      <w:r>
        <w:rPr>
          <w:i/>
          <w:iCs/>
        </w:rPr>
        <w:t>HBV-antiviral aktivitet in vitro</w:t>
      </w:r>
    </w:p>
    <w:p w:rsidR="00491918" w:rsidRDefault="00491918" w:rsidP="00491918">
      <w:pPr>
        <w:pStyle w:val="Default"/>
        <w:tabs>
          <w:tab w:val="left" w:pos="851"/>
        </w:tabs>
        <w:ind w:left="851"/>
      </w:pPr>
      <w:r>
        <w:t xml:space="preserve">Tenofovirs antivirale aktivitet </w:t>
      </w:r>
      <w:r>
        <w:rPr>
          <w:i/>
          <w:iCs/>
        </w:rPr>
        <w:t xml:space="preserve">in vitro </w:t>
      </w:r>
      <w:r>
        <w:t>over for HBV blev vurderet i cellelinjen HepG2 2.2.15. EC</w:t>
      </w:r>
      <w:r>
        <w:rPr>
          <w:vertAlign w:val="subscript"/>
        </w:rPr>
        <w:t>50</w:t>
      </w:r>
      <w:r>
        <w:t>-værdierne for tenofovir var inden for intervallet 0,14 til 1,5 μmol/l med CC</w:t>
      </w:r>
      <w:r>
        <w:rPr>
          <w:vertAlign w:val="subscript"/>
        </w:rPr>
        <w:t>50</w:t>
      </w:r>
      <w:r>
        <w:t xml:space="preserve">-værdier (50 % cytotoksisk koncentration) &gt;100 μmol/l. </w:t>
      </w:r>
    </w:p>
    <w:p w:rsidR="00491918" w:rsidRDefault="00491918" w:rsidP="00491918">
      <w:pPr>
        <w:pStyle w:val="Default"/>
        <w:tabs>
          <w:tab w:val="left" w:pos="851"/>
        </w:tabs>
        <w:ind w:left="851"/>
        <w:rPr>
          <w:i/>
          <w:iCs/>
        </w:rPr>
      </w:pPr>
    </w:p>
    <w:p w:rsidR="00491918" w:rsidRDefault="00491918" w:rsidP="00491918">
      <w:pPr>
        <w:pStyle w:val="Default"/>
        <w:tabs>
          <w:tab w:val="left" w:pos="851"/>
        </w:tabs>
        <w:ind w:left="851"/>
        <w:rPr>
          <w:i/>
          <w:iCs/>
        </w:rPr>
      </w:pPr>
      <w:r>
        <w:rPr>
          <w:i/>
          <w:iCs/>
        </w:rPr>
        <w:t>Resistens</w:t>
      </w:r>
    </w:p>
    <w:p w:rsidR="00491918" w:rsidRDefault="00491918" w:rsidP="00491918">
      <w:pPr>
        <w:pStyle w:val="Default"/>
        <w:tabs>
          <w:tab w:val="left" w:pos="851"/>
        </w:tabs>
        <w:ind w:left="851"/>
      </w:pPr>
      <w:r>
        <w:t>Der er ikke blevet identificeret nogen HBV-mutationer med relation til tenofovirdisoproxil-resistens (se ”Klinisk virkning og sikkerhed”). I cellebaserede assays med HBV-stammer med rtV173L-, rtL180M- og rtM204I/V-mutationer med relation til lamivudin- og telbivudinresistens påvistes en følsomhed over for tenofovir fra 0,7 til 3,4 gange den for vildtypevirus. HBV-stammer med rtL180M-, rtT184G-, rtS202G/I-, rtM204V- og rtM250V-mutationer med relation til entecavirresistens udviste en følsomhed over for tenofovir fra 0,6 til 6,9 gange den for vildtypevirus. HBV-stammer med rtA181V- og rtN236T-mutationer med relation til adefovirresistens udviste en følsomhed over for tenofovir fra 2,9 til 10 gange den for vildtypevirus. Virus, som indeholdt rtA181T-mutatationen, forblev følsomme over for tenofovir med EC</w:t>
      </w:r>
      <w:r>
        <w:rPr>
          <w:vertAlign w:val="subscript"/>
        </w:rPr>
        <w:t>50</w:t>
      </w:r>
      <w:r>
        <w:t>-værdier på 1,5 gange den for vildtypevirus.</w:t>
      </w:r>
    </w:p>
    <w:p w:rsidR="00491918" w:rsidRDefault="00491918" w:rsidP="00491918">
      <w:pPr>
        <w:pStyle w:val="Default"/>
        <w:tabs>
          <w:tab w:val="left" w:pos="851"/>
        </w:tabs>
        <w:ind w:left="851"/>
      </w:pPr>
    </w:p>
    <w:p w:rsidR="00491918" w:rsidRDefault="00491918" w:rsidP="00491918">
      <w:pPr>
        <w:pStyle w:val="Default"/>
        <w:tabs>
          <w:tab w:val="left" w:pos="851"/>
        </w:tabs>
        <w:ind w:left="851"/>
        <w:rPr>
          <w:i/>
        </w:rPr>
      </w:pPr>
      <w:r>
        <w:rPr>
          <w:i/>
        </w:rPr>
        <w:t xml:space="preserve">Klinisk virkning og sikkerhed </w:t>
      </w:r>
    </w:p>
    <w:p w:rsidR="00491918" w:rsidRDefault="00491918" w:rsidP="00491918">
      <w:pPr>
        <w:pStyle w:val="Default"/>
        <w:tabs>
          <w:tab w:val="left" w:pos="851"/>
        </w:tabs>
        <w:ind w:left="851"/>
      </w:pPr>
      <w:r>
        <w:t xml:space="preserve">Påvisningen af tenofovirdisoproxils gavnlige effekt på kompenseret og dekompenseret sygdom er baseret på virologisk, biokemisk og serologisk respons hos voksne med HBeAg-positiv og HBeAg-negativ kronisk hepatitis B. Behandlede patienter omfattede behandlingsnaive, lamivudinerfarne og adefovirdipivoxilerfarne patienter samt patienter med lamivudin- og/eller adefovirdipivoxilresistens-mutationer ved </w:t>
      </w:r>
      <w:r>
        <w:rPr>
          <w:iCs/>
        </w:rPr>
        <w:t>baseline</w:t>
      </w:r>
      <w:r>
        <w:t xml:space="preserve">. Der er også blevet påvist gavnlig effekt, baseret på histologisk respons hos kompenserede patienter. </w:t>
      </w:r>
    </w:p>
    <w:p w:rsidR="00491918" w:rsidRDefault="00491918" w:rsidP="00491918">
      <w:pPr>
        <w:pStyle w:val="Default"/>
        <w:tabs>
          <w:tab w:val="left" w:pos="851"/>
        </w:tabs>
        <w:ind w:left="851"/>
        <w:rPr>
          <w:i/>
          <w:iCs/>
        </w:rPr>
      </w:pPr>
    </w:p>
    <w:p w:rsidR="00491918" w:rsidRDefault="00491918" w:rsidP="00491918">
      <w:pPr>
        <w:pStyle w:val="Default"/>
        <w:tabs>
          <w:tab w:val="left" w:pos="851"/>
        </w:tabs>
        <w:ind w:left="851"/>
      </w:pPr>
      <w:r>
        <w:rPr>
          <w:i/>
          <w:iCs/>
        </w:rPr>
        <w:t xml:space="preserve">Erfaring hos patienter med kompenseret leversygdom i uge 48 (studie GS-US-174-0102 og GS-US-174-0103) </w:t>
      </w:r>
    </w:p>
    <w:p w:rsidR="00491918" w:rsidRDefault="00491918" w:rsidP="00491918">
      <w:pPr>
        <w:pStyle w:val="Default"/>
        <w:tabs>
          <w:tab w:val="left" w:pos="851"/>
        </w:tabs>
        <w:ind w:left="851"/>
      </w:pPr>
      <w:r>
        <w:t xml:space="preserve">Resultater gennem 48 uger fra to randomiserede, dobbeltblinde fase 3-studier, som sammenlignede tenofovirdisoproxil med adefovirdipivoxil hos voksne patienter med kompenseret leversygdom, vises i tabel 3 nedenfor. Studie GS-US-174-0103 blev udført med 266 (randomiserede og behandlede) HBeAg-positive patienter, mens studie GS-US-174-0102 blev udført med 375 (randomiserede og behandlede) patienter, som var HBeAg-negative og HBeAb-positive. </w:t>
      </w:r>
    </w:p>
    <w:p w:rsidR="00491918" w:rsidRDefault="00491918" w:rsidP="00491918">
      <w:pPr>
        <w:pStyle w:val="Default"/>
        <w:tabs>
          <w:tab w:val="left" w:pos="851"/>
        </w:tabs>
        <w:ind w:left="851"/>
      </w:pPr>
    </w:p>
    <w:p w:rsidR="00491918" w:rsidRDefault="00491918" w:rsidP="00491918">
      <w:pPr>
        <w:tabs>
          <w:tab w:val="left" w:pos="851"/>
        </w:tabs>
        <w:ind w:left="851" w:hanging="851"/>
        <w:rPr>
          <w:szCs w:val="24"/>
        </w:rPr>
      </w:pPr>
      <w:r>
        <w:rPr>
          <w:szCs w:val="24"/>
        </w:rPr>
        <w:tab/>
        <w:t>I begge disse studier var tenofovirdisoproxil signifikant bedre end adefovirdipivoxil med hensyn til det primære virkningsendepunkt, som var komplet respons (defineret som HBV-dna-niveauer &lt;400 kopier/ml og en forbedring af Knodells nekroinflammatoriske score på mindst 2 points uden forværring af Knodells fibrosescore). Behandlingen med 245 mg tenofovirdisoproxil var også forbundet med signifikant større andele af patienter med HBV-dna &lt;400 kopier/ml sammenlignet med behandlingen med 10 mg adefovirdipivoxil. Begge behandlinger producerede lignende resultater med hensyn til histologisk respons (defineret som en forbedring af Knodells nekroinflammatoriske score på mindst 2 points uden forværring af Knodells fibrosescore) ved uge 48 (se tabel 3 nedenfor).</w:t>
      </w:r>
    </w:p>
    <w:p w:rsidR="00491918" w:rsidRDefault="00491918" w:rsidP="00491918">
      <w:pPr>
        <w:tabs>
          <w:tab w:val="left" w:pos="851"/>
        </w:tabs>
        <w:ind w:left="851" w:hanging="851"/>
        <w:rPr>
          <w:szCs w:val="24"/>
        </w:rPr>
      </w:pPr>
    </w:p>
    <w:p w:rsidR="00491918" w:rsidRDefault="00491918" w:rsidP="00491918">
      <w:pPr>
        <w:tabs>
          <w:tab w:val="left" w:pos="851"/>
        </w:tabs>
        <w:ind w:left="851" w:hanging="851"/>
        <w:rPr>
          <w:szCs w:val="24"/>
        </w:rPr>
      </w:pPr>
      <w:r>
        <w:rPr>
          <w:szCs w:val="24"/>
        </w:rPr>
        <w:tab/>
        <w:t>I studie GS-US-174-0103 var der en signifikant større andel af patienterne i tenofovirdisoproxil-gruppen, der havde normaliseret ALAT og opnået tab af HBsAg ved uge 48 end i adefovirdipivoxil-gruppen (se tabel 3 nedenfor).</w:t>
      </w:r>
    </w:p>
    <w:p w:rsidR="00491918" w:rsidRDefault="00491918" w:rsidP="00491918">
      <w:pPr>
        <w:tabs>
          <w:tab w:val="left" w:pos="851"/>
        </w:tabs>
        <w:ind w:left="851" w:hanging="851"/>
        <w:rPr>
          <w:szCs w:val="24"/>
        </w:rPr>
      </w:pPr>
    </w:p>
    <w:p w:rsidR="00491918" w:rsidRDefault="00491918" w:rsidP="00491918">
      <w:pPr>
        <w:tabs>
          <w:tab w:val="left" w:pos="851"/>
        </w:tabs>
        <w:ind w:left="851" w:hanging="851"/>
        <w:rPr>
          <w:szCs w:val="24"/>
        </w:rPr>
      </w:pPr>
      <w:r>
        <w:rPr>
          <w:szCs w:val="24"/>
        </w:rPr>
        <w:tab/>
      </w:r>
      <w:r>
        <w:rPr>
          <w:b/>
          <w:bCs/>
          <w:szCs w:val="24"/>
        </w:rPr>
        <w:t>Tabel 3: Virkningsparametre hos kompenserede HBeAg-negative og HBeAg-positive patienter i uge 48</w:t>
      </w:r>
    </w:p>
    <w:tbl>
      <w:tblPr>
        <w:tblW w:w="887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2070"/>
        <w:gridCol w:w="1883"/>
        <w:gridCol w:w="2070"/>
        <w:gridCol w:w="1883"/>
      </w:tblGrid>
      <w:tr w:rsidR="00491918" w:rsidTr="00FE70EC">
        <w:tc>
          <w:tcPr>
            <w:tcW w:w="1357"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rPr>
                <w:szCs w:val="24"/>
              </w:rPr>
            </w:pPr>
          </w:p>
        </w:tc>
        <w:tc>
          <w:tcPr>
            <w:tcW w:w="3808" w:type="dxa"/>
            <w:gridSpan w:val="2"/>
            <w:tcBorders>
              <w:top w:val="single" w:sz="4" w:space="0" w:color="auto"/>
              <w:left w:val="single" w:sz="4" w:space="0" w:color="auto"/>
              <w:bottom w:val="single" w:sz="4" w:space="0" w:color="auto"/>
              <w:right w:val="single" w:sz="4" w:space="0" w:color="auto"/>
            </w:tcBorders>
          </w:tcPr>
          <w:p w:rsidR="00491918" w:rsidRDefault="00491918" w:rsidP="00FE70EC">
            <w:pPr>
              <w:pStyle w:val="Default"/>
              <w:jc w:val="center"/>
            </w:pPr>
            <w:r>
              <w:rPr>
                <w:b/>
                <w:bCs/>
              </w:rPr>
              <w:t>Studie 174-0102 (HBeAg-negativ)</w:t>
            </w:r>
          </w:p>
          <w:p w:rsidR="00491918" w:rsidRDefault="00491918" w:rsidP="00FE70EC">
            <w:pPr>
              <w:tabs>
                <w:tab w:val="left" w:pos="851"/>
              </w:tabs>
              <w:jc w:val="center"/>
              <w:rPr>
                <w:szCs w:val="24"/>
              </w:rPr>
            </w:pPr>
          </w:p>
        </w:tc>
        <w:tc>
          <w:tcPr>
            <w:tcW w:w="3710" w:type="dxa"/>
            <w:gridSpan w:val="2"/>
            <w:tcBorders>
              <w:top w:val="single" w:sz="4" w:space="0" w:color="auto"/>
              <w:left w:val="single" w:sz="4" w:space="0" w:color="auto"/>
              <w:bottom w:val="single" w:sz="4" w:space="0" w:color="auto"/>
              <w:right w:val="single" w:sz="4" w:space="0" w:color="auto"/>
            </w:tcBorders>
          </w:tcPr>
          <w:p w:rsidR="00491918" w:rsidRDefault="00491918" w:rsidP="00FE70EC">
            <w:pPr>
              <w:pStyle w:val="Default"/>
              <w:jc w:val="center"/>
            </w:pPr>
            <w:r>
              <w:rPr>
                <w:b/>
                <w:bCs/>
              </w:rPr>
              <w:t>Studie 174-0103 (HBeAg-positiv)</w:t>
            </w:r>
          </w:p>
          <w:p w:rsidR="00491918" w:rsidRDefault="00491918" w:rsidP="00FE70EC">
            <w:pPr>
              <w:tabs>
                <w:tab w:val="left" w:pos="851"/>
              </w:tabs>
              <w:jc w:val="center"/>
              <w:rPr>
                <w:szCs w:val="24"/>
              </w:rPr>
            </w:pPr>
          </w:p>
        </w:tc>
      </w:tr>
      <w:tr w:rsidR="00491918" w:rsidTr="00FE70EC">
        <w:tc>
          <w:tcPr>
            <w:tcW w:w="1357"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rPr>
                <w:szCs w:val="24"/>
              </w:rPr>
            </w:pPr>
            <w:r>
              <w:rPr>
                <w:szCs w:val="24"/>
              </w:rPr>
              <w:t>Parameter</w:t>
            </w:r>
          </w:p>
        </w:tc>
        <w:tc>
          <w:tcPr>
            <w:tcW w:w="2040" w:type="dxa"/>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jc w:val="center"/>
            </w:pPr>
            <w:r>
              <w:t xml:space="preserve">245 mg tenofovirdisoproxil </w:t>
            </w:r>
          </w:p>
          <w:p w:rsidR="00491918" w:rsidRDefault="00491918" w:rsidP="00FE70EC">
            <w:pPr>
              <w:tabs>
                <w:tab w:val="left" w:pos="851"/>
              </w:tabs>
              <w:jc w:val="center"/>
              <w:rPr>
                <w:szCs w:val="24"/>
              </w:rPr>
            </w:pPr>
            <w:r>
              <w:rPr>
                <w:szCs w:val="24"/>
              </w:rPr>
              <w:t>n = 250</w:t>
            </w:r>
          </w:p>
        </w:tc>
        <w:tc>
          <w:tcPr>
            <w:tcW w:w="1768" w:type="dxa"/>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jc w:val="center"/>
            </w:pPr>
            <w:r>
              <w:t>10 mg adefovirdipivoxil</w:t>
            </w:r>
          </w:p>
          <w:p w:rsidR="00491918" w:rsidRDefault="00491918" w:rsidP="00FE70EC">
            <w:pPr>
              <w:tabs>
                <w:tab w:val="left" w:pos="851"/>
              </w:tabs>
              <w:jc w:val="center"/>
              <w:rPr>
                <w:szCs w:val="24"/>
              </w:rPr>
            </w:pPr>
            <w:r>
              <w:rPr>
                <w:szCs w:val="24"/>
              </w:rPr>
              <w:t>n = 125</w:t>
            </w:r>
          </w:p>
        </w:tc>
        <w:tc>
          <w:tcPr>
            <w:tcW w:w="1942" w:type="dxa"/>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jc w:val="center"/>
            </w:pPr>
            <w:r>
              <w:t xml:space="preserve">245 mg tenofovirdisoproxil </w:t>
            </w:r>
          </w:p>
          <w:p w:rsidR="00491918" w:rsidRDefault="00491918" w:rsidP="00FE70EC">
            <w:pPr>
              <w:tabs>
                <w:tab w:val="left" w:pos="851"/>
              </w:tabs>
              <w:jc w:val="center"/>
              <w:rPr>
                <w:szCs w:val="24"/>
              </w:rPr>
            </w:pPr>
            <w:r>
              <w:rPr>
                <w:szCs w:val="24"/>
              </w:rPr>
              <w:t>n = 176</w:t>
            </w:r>
          </w:p>
        </w:tc>
        <w:tc>
          <w:tcPr>
            <w:tcW w:w="1768" w:type="dxa"/>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jc w:val="center"/>
            </w:pPr>
            <w:r>
              <w:t>10 mg adefovirdipivoxil</w:t>
            </w:r>
          </w:p>
          <w:p w:rsidR="00491918" w:rsidRDefault="00491918" w:rsidP="00FE70EC">
            <w:pPr>
              <w:tabs>
                <w:tab w:val="left" w:pos="851"/>
              </w:tabs>
              <w:jc w:val="center"/>
              <w:rPr>
                <w:szCs w:val="24"/>
              </w:rPr>
            </w:pPr>
            <w:r>
              <w:rPr>
                <w:szCs w:val="24"/>
              </w:rPr>
              <w:t>n = 90</w:t>
            </w:r>
          </w:p>
        </w:tc>
      </w:tr>
      <w:tr w:rsidR="00491918" w:rsidTr="00FE70EC">
        <w:tc>
          <w:tcPr>
            <w:tcW w:w="1357"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rPr>
                <w:b/>
                <w:szCs w:val="24"/>
              </w:rPr>
            </w:pPr>
            <w:r>
              <w:rPr>
                <w:b/>
                <w:szCs w:val="24"/>
              </w:rPr>
              <w:t>Komplet respons</w:t>
            </w:r>
          </w:p>
          <w:p w:rsidR="00491918" w:rsidRDefault="00491918" w:rsidP="00FE70EC">
            <w:pPr>
              <w:tabs>
                <w:tab w:val="left" w:pos="851"/>
              </w:tabs>
              <w:rPr>
                <w:szCs w:val="24"/>
              </w:rPr>
            </w:pPr>
            <w:r>
              <w:rPr>
                <w:b/>
                <w:szCs w:val="24"/>
              </w:rPr>
              <w:t>(</w:t>
            </w:r>
            <w:proofErr w:type="gramStart"/>
            <w:r>
              <w:rPr>
                <w:b/>
                <w:szCs w:val="24"/>
              </w:rPr>
              <w:t>%)</w:t>
            </w:r>
            <w:r>
              <w:rPr>
                <w:b/>
                <w:szCs w:val="24"/>
                <w:vertAlign w:val="superscript"/>
              </w:rPr>
              <w:t>a</w:t>
            </w:r>
            <w:proofErr w:type="gramEnd"/>
          </w:p>
        </w:tc>
        <w:tc>
          <w:tcPr>
            <w:tcW w:w="204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71*</w:t>
            </w:r>
          </w:p>
        </w:tc>
        <w:tc>
          <w:tcPr>
            <w:tcW w:w="176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49</w:t>
            </w:r>
          </w:p>
        </w:tc>
        <w:tc>
          <w:tcPr>
            <w:tcW w:w="1942"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67*</w:t>
            </w:r>
          </w:p>
        </w:tc>
        <w:tc>
          <w:tcPr>
            <w:tcW w:w="176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12</w:t>
            </w:r>
          </w:p>
        </w:tc>
      </w:tr>
      <w:tr w:rsidR="00491918" w:rsidTr="00FE70EC">
        <w:tc>
          <w:tcPr>
            <w:tcW w:w="1357" w:type="dxa"/>
            <w:tcBorders>
              <w:top w:val="single" w:sz="4" w:space="0" w:color="auto"/>
              <w:left w:val="single" w:sz="4" w:space="0" w:color="auto"/>
              <w:bottom w:val="single" w:sz="4" w:space="0" w:color="auto"/>
              <w:right w:val="single" w:sz="4" w:space="0" w:color="auto"/>
            </w:tcBorders>
            <w:hideMark/>
          </w:tcPr>
          <w:p w:rsidR="00491918" w:rsidRDefault="00491918" w:rsidP="00FE70EC">
            <w:pPr>
              <w:keepNext/>
              <w:tabs>
                <w:tab w:val="left" w:pos="851"/>
              </w:tabs>
              <w:rPr>
                <w:b/>
                <w:szCs w:val="24"/>
              </w:rPr>
            </w:pPr>
            <w:r>
              <w:rPr>
                <w:b/>
                <w:szCs w:val="24"/>
              </w:rPr>
              <w:t>Histologi</w:t>
            </w:r>
          </w:p>
          <w:p w:rsidR="00491918" w:rsidRDefault="00491918" w:rsidP="00FE70EC">
            <w:pPr>
              <w:tabs>
                <w:tab w:val="left" w:pos="851"/>
              </w:tabs>
              <w:rPr>
                <w:szCs w:val="24"/>
              </w:rPr>
            </w:pPr>
            <w:r>
              <w:rPr>
                <w:szCs w:val="24"/>
              </w:rPr>
              <w:t>Histologisk respons (</w:t>
            </w:r>
            <w:proofErr w:type="gramStart"/>
            <w:r>
              <w:rPr>
                <w:szCs w:val="24"/>
              </w:rPr>
              <w:t>%)</w:t>
            </w:r>
            <w:r>
              <w:rPr>
                <w:szCs w:val="24"/>
                <w:vertAlign w:val="superscript"/>
              </w:rPr>
              <w:t>b</w:t>
            </w:r>
            <w:proofErr w:type="gramEnd"/>
          </w:p>
        </w:tc>
        <w:tc>
          <w:tcPr>
            <w:tcW w:w="204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72</w:t>
            </w:r>
          </w:p>
        </w:tc>
        <w:tc>
          <w:tcPr>
            <w:tcW w:w="176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69</w:t>
            </w:r>
          </w:p>
        </w:tc>
        <w:tc>
          <w:tcPr>
            <w:tcW w:w="1942"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74</w:t>
            </w:r>
          </w:p>
        </w:tc>
        <w:tc>
          <w:tcPr>
            <w:tcW w:w="176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68</w:t>
            </w:r>
          </w:p>
        </w:tc>
      </w:tr>
      <w:tr w:rsidR="00491918" w:rsidTr="00FE70EC">
        <w:tc>
          <w:tcPr>
            <w:tcW w:w="1357"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rPr>
                <w:b/>
                <w:szCs w:val="24"/>
              </w:rPr>
            </w:pPr>
            <w:r>
              <w:rPr>
                <w:b/>
                <w:szCs w:val="24"/>
              </w:rPr>
              <w:t>Median</w:t>
            </w:r>
          </w:p>
          <w:p w:rsidR="00491918" w:rsidRDefault="00491918" w:rsidP="00FE70EC">
            <w:pPr>
              <w:tabs>
                <w:tab w:val="left" w:pos="851"/>
              </w:tabs>
              <w:rPr>
                <w:b/>
                <w:szCs w:val="24"/>
              </w:rPr>
            </w:pPr>
            <w:r>
              <w:rPr>
                <w:b/>
                <w:szCs w:val="24"/>
              </w:rPr>
              <w:t>HBV-dna-reduktion fra baseline</w:t>
            </w:r>
            <w:r>
              <w:rPr>
                <w:b/>
                <w:szCs w:val="24"/>
                <w:vertAlign w:val="superscript"/>
              </w:rPr>
              <w:t>c</w:t>
            </w:r>
          </w:p>
          <w:p w:rsidR="00491918" w:rsidRDefault="00491918" w:rsidP="00FE70EC">
            <w:pPr>
              <w:tabs>
                <w:tab w:val="left" w:pos="851"/>
              </w:tabs>
              <w:rPr>
                <w:szCs w:val="24"/>
              </w:rPr>
            </w:pPr>
            <w:r>
              <w:rPr>
                <w:szCs w:val="24"/>
              </w:rPr>
              <w:t>(log</w:t>
            </w:r>
            <w:r>
              <w:rPr>
                <w:szCs w:val="24"/>
                <w:vertAlign w:val="subscript"/>
              </w:rPr>
              <w:t>10</w:t>
            </w:r>
            <w:r>
              <w:rPr>
                <w:szCs w:val="24"/>
              </w:rPr>
              <w:t xml:space="preserve"> kopier/ml)</w:t>
            </w:r>
          </w:p>
        </w:tc>
        <w:tc>
          <w:tcPr>
            <w:tcW w:w="204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-4,7*</w:t>
            </w:r>
          </w:p>
        </w:tc>
        <w:tc>
          <w:tcPr>
            <w:tcW w:w="176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-4,0</w:t>
            </w:r>
          </w:p>
        </w:tc>
        <w:tc>
          <w:tcPr>
            <w:tcW w:w="1942"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-6,4*</w:t>
            </w:r>
          </w:p>
        </w:tc>
        <w:tc>
          <w:tcPr>
            <w:tcW w:w="176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-3,7</w:t>
            </w:r>
          </w:p>
        </w:tc>
      </w:tr>
      <w:tr w:rsidR="00491918" w:rsidTr="00FE70EC">
        <w:tc>
          <w:tcPr>
            <w:tcW w:w="1357" w:type="dxa"/>
            <w:tcBorders>
              <w:top w:val="single" w:sz="4" w:space="0" w:color="auto"/>
              <w:left w:val="single" w:sz="4" w:space="0" w:color="auto"/>
              <w:bottom w:val="single" w:sz="4" w:space="0" w:color="auto"/>
              <w:right w:val="single" w:sz="4" w:space="0" w:color="auto"/>
            </w:tcBorders>
            <w:hideMark/>
          </w:tcPr>
          <w:p w:rsidR="00491918" w:rsidRPr="00C956F3" w:rsidRDefault="00491918" w:rsidP="00FE70EC">
            <w:pPr>
              <w:tabs>
                <w:tab w:val="left" w:pos="851"/>
              </w:tabs>
              <w:rPr>
                <w:b/>
                <w:szCs w:val="24"/>
                <w:lang w:val="sv-SE"/>
              </w:rPr>
            </w:pPr>
            <w:r w:rsidRPr="00C956F3">
              <w:rPr>
                <w:b/>
                <w:szCs w:val="24"/>
                <w:lang w:val="sv-SE"/>
              </w:rPr>
              <w:t>HBV-dna (%)</w:t>
            </w:r>
          </w:p>
          <w:p w:rsidR="00491918" w:rsidRPr="00C956F3" w:rsidRDefault="00491918" w:rsidP="00FE70EC">
            <w:pPr>
              <w:tabs>
                <w:tab w:val="left" w:pos="851"/>
              </w:tabs>
              <w:rPr>
                <w:szCs w:val="24"/>
                <w:lang w:val="sv-SE"/>
              </w:rPr>
            </w:pPr>
            <w:r w:rsidRPr="00C956F3">
              <w:rPr>
                <w:szCs w:val="24"/>
                <w:lang w:val="sv-SE"/>
              </w:rPr>
              <w:t xml:space="preserve">&lt;400 kopier/ml </w:t>
            </w:r>
          </w:p>
          <w:p w:rsidR="00491918" w:rsidRPr="00C956F3" w:rsidRDefault="00491918" w:rsidP="00FE70EC">
            <w:pPr>
              <w:tabs>
                <w:tab w:val="left" w:pos="851"/>
              </w:tabs>
              <w:rPr>
                <w:szCs w:val="24"/>
                <w:lang w:val="sv-SE"/>
              </w:rPr>
            </w:pPr>
            <w:r w:rsidRPr="00C956F3">
              <w:rPr>
                <w:szCs w:val="24"/>
                <w:lang w:val="sv-SE"/>
              </w:rPr>
              <w:t>(&lt;69 IE/ml)</w:t>
            </w:r>
          </w:p>
        </w:tc>
        <w:tc>
          <w:tcPr>
            <w:tcW w:w="204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93*</w:t>
            </w:r>
          </w:p>
        </w:tc>
        <w:tc>
          <w:tcPr>
            <w:tcW w:w="176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63</w:t>
            </w:r>
          </w:p>
        </w:tc>
        <w:tc>
          <w:tcPr>
            <w:tcW w:w="1942"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76*</w:t>
            </w:r>
          </w:p>
        </w:tc>
        <w:tc>
          <w:tcPr>
            <w:tcW w:w="176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13</w:t>
            </w:r>
          </w:p>
        </w:tc>
      </w:tr>
      <w:tr w:rsidR="00491918" w:rsidTr="00FE70EC">
        <w:tc>
          <w:tcPr>
            <w:tcW w:w="1357"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rPr>
                <w:b/>
                <w:szCs w:val="24"/>
              </w:rPr>
            </w:pPr>
            <w:r>
              <w:rPr>
                <w:b/>
                <w:szCs w:val="24"/>
              </w:rPr>
              <w:t>ALAT (%)</w:t>
            </w:r>
          </w:p>
          <w:p w:rsidR="00491918" w:rsidRDefault="00491918" w:rsidP="00FE70EC">
            <w:pPr>
              <w:tabs>
                <w:tab w:val="left" w:pos="851"/>
              </w:tabs>
              <w:rPr>
                <w:szCs w:val="24"/>
              </w:rPr>
            </w:pPr>
            <w:r>
              <w:rPr>
                <w:szCs w:val="24"/>
              </w:rPr>
              <w:t>Normaliseret ALAT</w:t>
            </w:r>
            <w:r>
              <w:rPr>
                <w:szCs w:val="24"/>
                <w:vertAlign w:val="superscript"/>
              </w:rPr>
              <w:t>d</w:t>
            </w:r>
          </w:p>
        </w:tc>
        <w:tc>
          <w:tcPr>
            <w:tcW w:w="204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76</w:t>
            </w:r>
          </w:p>
        </w:tc>
        <w:tc>
          <w:tcPr>
            <w:tcW w:w="176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77</w:t>
            </w:r>
          </w:p>
        </w:tc>
        <w:tc>
          <w:tcPr>
            <w:tcW w:w="1942"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68*</w:t>
            </w:r>
          </w:p>
        </w:tc>
        <w:tc>
          <w:tcPr>
            <w:tcW w:w="176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54</w:t>
            </w:r>
          </w:p>
        </w:tc>
      </w:tr>
      <w:tr w:rsidR="00491918" w:rsidTr="00FE70EC">
        <w:tc>
          <w:tcPr>
            <w:tcW w:w="1357"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rPr>
                <w:b/>
                <w:szCs w:val="24"/>
              </w:rPr>
            </w:pPr>
            <w:r>
              <w:rPr>
                <w:b/>
                <w:szCs w:val="24"/>
              </w:rPr>
              <w:t>Serologi (%)</w:t>
            </w:r>
          </w:p>
          <w:p w:rsidR="00491918" w:rsidRDefault="00491918" w:rsidP="00FE70EC">
            <w:pPr>
              <w:tabs>
                <w:tab w:val="left" w:pos="851"/>
              </w:tabs>
              <w:rPr>
                <w:szCs w:val="24"/>
              </w:rPr>
            </w:pPr>
          </w:p>
          <w:p w:rsidR="00491918" w:rsidRDefault="00491918" w:rsidP="00FE70EC">
            <w:pPr>
              <w:tabs>
                <w:tab w:val="left" w:pos="851"/>
              </w:tabs>
              <w:rPr>
                <w:szCs w:val="24"/>
              </w:rPr>
            </w:pPr>
            <w:r>
              <w:rPr>
                <w:szCs w:val="24"/>
              </w:rPr>
              <w:t>Tab af HBeAg/sero-konversion</w:t>
            </w:r>
          </w:p>
          <w:p w:rsidR="00491918" w:rsidRDefault="00491918" w:rsidP="00FE70EC">
            <w:pPr>
              <w:tabs>
                <w:tab w:val="left" w:pos="851"/>
              </w:tabs>
              <w:rPr>
                <w:szCs w:val="24"/>
              </w:rPr>
            </w:pPr>
          </w:p>
          <w:p w:rsidR="00491918" w:rsidRDefault="00491918" w:rsidP="00FE70EC">
            <w:pPr>
              <w:tabs>
                <w:tab w:val="left" w:pos="851"/>
              </w:tabs>
              <w:rPr>
                <w:szCs w:val="24"/>
              </w:rPr>
            </w:pPr>
            <w:r>
              <w:rPr>
                <w:szCs w:val="24"/>
              </w:rPr>
              <w:t>Tab af HBsAg/sero-</w:t>
            </w:r>
          </w:p>
          <w:p w:rsidR="00491918" w:rsidRDefault="00491918" w:rsidP="00FE70EC">
            <w:pPr>
              <w:tabs>
                <w:tab w:val="left" w:pos="851"/>
              </w:tabs>
              <w:rPr>
                <w:szCs w:val="24"/>
              </w:rPr>
            </w:pPr>
            <w:r>
              <w:rPr>
                <w:szCs w:val="24"/>
              </w:rPr>
              <w:t>konversion</w:t>
            </w:r>
          </w:p>
        </w:tc>
        <w:tc>
          <w:tcPr>
            <w:tcW w:w="2040"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Cs w:val="24"/>
              </w:rPr>
            </w:pP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r>
              <w:rPr>
                <w:szCs w:val="24"/>
              </w:rPr>
              <w:t>n/a</w:t>
            </w: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r>
              <w:rPr>
                <w:szCs w:val="24"/>
              </w:rPr>
              <w:t>0/0</w:t>
            </w:r>
          </w:p>
        </w:tc>
        <w:tc>
          <w:tcPr>
            <w:tcW w:w="1768"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Cs w:val="24"/>
              </w:rPr>
            </w:pP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r>
              <w:rPr>
                <w:szCs w:val="24"/>
              </w:rPr>
              <w:t>n/a</w:t>
            </w: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r>
              <w:rPr>
                <w:szCs w:val="24"/>
              </w:rPr>
              <w:t>0/0</w:t>
            </w:r>
          </w:p>
        </w:tc>
        <w:tc>
          <w:tcPr>
            <w:tcW w:w="1942"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Cs w:val="24"/>
              </w:rPr>
            </w:pP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r>
              <w:rPr>
                <w:szCs w:val="24"/>
              </w:rPr>
              <w:t>22/21</w:t>
            </w: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r>
              <w:rPr>
                <w:szCs w:val="24"/>
              </w:rPr>
              <w:t>3*/1</w:t>
            </w:r>
          </w:p>
        </w:tc>
        <w:tc>
          <w:tcPr>
            <w:tcW w:w="1768"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Cs w:val="24"/>
              </w:rPr>
            </w:pP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r>
              <w:rPr>
                <w:szCs w:val="24"/>
              </w:rPr>
              <w:t>18/18</w:t>
            </w: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p>
          <w:p w:rsidR="00491918" w:rsidRDefault="00491918" w:rsidP="00FE70EC">
            <w:pPr>
              <w:tabs>
                <w:tab w:val="left" w:pos="851"/>
              </w:tabs>
              <w:jc w:val="center"/>
              <w:rPr>
                <w:szCs w:val="24"/>
              </w:rPr>
            </w:pPr>
            <w:r>
              <w:rPr>
                <w:szCs w:val="24"/>
              </w:rPr>
              <w:t>0/0</w:t>
            </w:r>
          </w:p>
        </w:tc>
      </w:tr>
    </w:tbl>
    <w:p w:rsidR="00491918" w:rsidRDefault="00491918" w:rsidP="00491918">
      <w:pPr>
        <w:pStyle w:val="Default"/>
        <w:tabs>
          <w:tab w:val="left" w:pos="1134"/>
        </w:tabs>
        <w:ind w:left="1134" w:hanging="283"/>
      </w:pPr>
      <w:r>
        <w:t>*</w:t>
      </w:r>
      <w:r>
        <w:tab/>
        <w:t xml:space="preserve">p-værdi </w:t>
      </w:r>
      <w:r>
        <w:rPr>
          <w:iCs/>
        </w:rPr>
        <w:t>versus</w:t>
      </w:r>
      <w:r>
        <w:rPr>
          <w:i/>
          <w:iCs/>
        </w:rPr>
        <w:t xml:space="preserve"> </w:t>
      </w:r>
      <w:r>
        <w:t xml:space="preserve">adefovirdipivoxil &lt;0,05. </w:t>
      </w:r>
    </w:p>
    <w:p w:rsidR="00491918" w:rsidRDefault="00491918" w:rsidP="00491918">
      <w:pPr>
        <w:pStyle w:val="Default"/>
        <w:tabs>
          <w:tab w:val="left" w:pos="1134"/>
        </w:tabs>
        <w:ind w:left="1134" w:hanging="283"/>
      </w:pPr>
      <w:r>
        <w:rPr>
          <w:vertAlign w:val="superscript"/>
        </w:rPr>
        <w:t>a</w:t>
      </w:r>
      <w:r>
        <w:rPr>
          <w:vertAlign w:val="superscript"/>
        </w:rPr>
        <w:tab/>
      </w:r>
      <w:r>
        <w:t xml:space="preserve">Komplet respons defineret som HBV-dna-niveauer &lt;400 kopier/ml og en forbedring af Knodells nekroinflammatoriske score på mindst 2 points uden forværring af Knodells fibrosescore. </w:t>
      </w:r>
    </w:p>
    <w:p w:rsidR="00491918" w:rsidRDefault="00491918" w:rsidP="00491918">
      <w:pPr>
        <w:pStyle w:val="Default"/>
        <w:tabs>
          <w:tab w:val="left" w:pos="1134"/>
        </w:tabs>
        <w:ind w:left="1134" w:hanging="283"/>
      </w:pPr>
      <w:r>
        <w:rPr>
          <w:vertAlign w:val="superscript"/>
        </w:rPr>
        <w:t>b</w:t>
      </w:r>
      <w:r>
        <w:rPr>
          <w:vertAlign w:val="superscript"/>
        </w:rPr>
        <w:tab/>
      </w:r>
      <w:r>
        <w:t xml:space="preserve">Forbedring af Knodells nekroinflammatoriske score på mindst 2 point uden forværring af Knodells fibrosescore. </w:t>
      </w:r>
    </w:p>
    <w:p w:rsidR="00491918" w:rsidRDefault="00491918" w:rsidP="00491918">
      <w:pPr>
        <w:pStyle w:val="Default"/>
        <w:tabs>
          <w:tab w:val="left" w:pos="1134"/>
        </w:tabs>
        <w:ind w:left="1134" w:hanging="283"/>
      </w:pPr>
      <w:r>
        <w:rPr>
          <w:vertAlign w:val="superscript"/>
        </w:rPr>
        <w:t>c</w:t>
      </w:r>
      <w:r>
        <w:rPr>
          <w:vertAlign w:val="superscript"/>
        </w:rPr>
        <w:tab/>
      </w:r>
      <w:r>
        <w:t xml:space="preserve">Median ændring fra </w:t>
      </w:r>
      <w:r>
        <w:rPr>
          <w:iCs/>
        </w:rPr>
        <w:t>baseline</w:t>
      </w:r>
      <w:r>
        <w:rPr>
          <w:i/>
          <w:iCs/>
        </w:rPr>
        <w:t xml:space="preserve"> </w:t>
      </w:r>
      <w:r>
        <w:t xml:space="preserve">HBV-dna reflekterer blot forskellen mellem </w:t>
      </w:r>
      <w:r>
        <w:rPr>
          <w:iCs/>
        </w:rPr>
        <w:t>baseline</w:t>
      </w:r>
      <w:r>
        <w:rPr>
          <w:i/>
          <w:iCs/>
        </w:rPr>
        <w:t xml:space="preserve"> </w:t>
      </w:r>
      <w:r>
        <w:t>HBV-dna og analysens detektionsgrænse (</w:t>
      </w:r>
      <w:r>
        <w:rPr>
          <w:iCs/>
        </w:rPr>
        <w:t>Limit of detection</w:t>
      </w:r>
      <w:r>
        <w:rPr>
          <w:i/>
          <w:iCs/>
        </w:rPr>
        <w:t xml:space="preserve"> </w:t>
      </w:r>
      <w:r>
        <w:t xml:space="preserve">- LOD). </w:t>
      </w:r>
    </w:p>
    <w:p w:rsidR="00491918" w:rsidRDefault="00491918" w:rsidP="00491918">
      <w:pPr>
        <w:pStyle w:val="Default"/>
        <w:tabs>
          <w:tab w:val="left" w:pos="1134"/>
        </w:tabs>
        <w:ind w:left="1134" w:hanging="283"/>
      </w:pPr>
      <w:r>
        <w:rPr>
          <w:vertAlign w:val="superscript"/>
        </w:rPr>
        <w:t>d</w:t>
      </w:r>
      <w:r>
        <w:rPr>
          <w:vertAlign w:val="superscript"/>
        </w:rPr>
        <w:tab/>
      </w:r>
      <w:r>
        <w:t xml:space="preserve">Populationen, som blev brugt til analyse af ALAT-normalisering, inkluderede kun patienter med ALAT over ULN ved </w:t>
      </w:r>
      <w:r>
        <w:rPr>
          <w:iCs/>
        </w:rPr>
        <w:t>baseline</w:t>
      </w:r>
      <w:r>
        <w:t xml:space="preserve">. </w:t>
      </w:r>
    </w:p>
    <w:p w:rsidR="00491918" w:rsidRDefault="00491918" w:rsidP="00491918">
      <w:pPr>
        <w:pStyle w:val="Default"/>
        <w:tabs>
          <w:tab w:val="left" w:pos="1134"/>
        </w:tabs>
        <w:ind w:left="1134" w:hanging="283"/>
        <w:rPr>
          <w:lang w:val="en-US"/>
        </w:rPr>
      </w:pPr>
      <w:r>
        <w:rPr>
          <w:lang w:val="en-US"/>
        </w:rPr>
        <w:t xml:space="preserve">n/a = </w:t>
      </w:r>
      <w:r>
        <w:rPr>
          <w:iCs/>
          <w:lang w:val="en-US"/>
        </w:rPr>
        <w:t>not applicable</w:t>
      </w:r>
      <w:r>
        <w:rPr>
          <w:i/>
          <w:iCs/>
          <w:lang w:val="en-US"/>
        </w:rPr>
        <w:t xml:space="preserve"> - </w:t>
      </w:r>
      <w:r>
        <w:rPr>
          <w:lang w:val="en-US"/>
        </w:rPr>
        <w:t xml:space="preserve">ikke relevant. </w:t>
      </w:r>
    </w:p>
    <w:p w:rsidR="00491918" w:rsidRDefault="00491918" w:rsidP="00491918">
      <w:pPr>
        <w:pStyle w:val="Default"/>
        <w:rPr>
          <w:sz w:val="18"/>
          <w:szCs w:val="18"/>
          <w:lang w:val="en-US"/>
        </w:rPr>
      </w:pPr>
    </w:p>
    <w:p w:rsidR="00E359D7" w:rsidRPr="006444DF" w:rsidRDefault="00E359D7" w:rsidP="00E359D7">
      <w:pPr>
        <w:pStyle w:val="Default"/>
        <w:ind w:left="851"/>
      </w:pPr>
      <w:r w:rsidRPr="006444DF">
        <w:t xml:space="preserve">Tenofovirdisoproxil var forbundet med signifikant større andele af patienter med HBV-dna, som ikke kunne måles (&lt;169 kopier/ml [&lt;29 IE/ml]; kvantificeringsgrænsen for Roche Cobas Taqman HBV-assayet), sammenlignet med adefovirdipivoxil (studie GS-US-174-0102; 91 %, 56 % henholdsvis studie GS-US-174-0103; 69 %, 9 %). </w:t>
      </w:r>
    </w:p>
    <w:p w:rsidR="00491918" w:rsidRPr="002645CF" w:rsidRDefault="00491918" w:rsidP="00491918">
      <w:pPr>
        <w:pStyle w:val="Default"/>
        <w:ind w:left="851"/>
      </w:pPr>
    </w:p>
    <w:p w:rsidR="00491918" w:rsidRDefault="00491918" w:rsidP="00491918">
      <w:pPr>
        <w:pStyle w:val="Default"/>
        <w:ind w:left="851"/>
      </w:pPr>
      <w:r>
        <w:t xml:space="preserve">Behandlingsresponsen med tenofovirdisoproxil var sammenlignelig hos de nukleosid-behandlede (n = 51) og nukleosid-naive (n = 375) patienter samt hos patienter med normal ALAT (n = 21) og unormal ALAT (n = 405) ved </w:t>
      </w:r>
      <w:r>
        <w:rPr>
          <w:iCs/>
        </w:rPr>
        <w:t>baseline</w:t>
      </w:r>
      <w:r>
        <w:t xml:space="preserve">, da studierne GS-US-174-0102 og GS-US-174-0103 blev kombineret. Der var 49 ud af de 51 nukleosid-behandlede patienter, der tidligere var blevet behandlet med lamivudin. Der var 73 % af de nukleosid-behandlede og 69 % af de nukleosid-naive patienter, der opnåede fuldkommen respons på behandlingen; 90 % af de nukleosidbehandlede og 88 % af de nukleosidnaive patienter opnåede HBV-dna-undertrykkelse &lt;400 kopier/ml. Alle patienter med normal ALAT ved </w:t>
      </w:r>
      <w:r>
        <w:rPr>
          <w:iCs/>
        </w:rPr>
        <w:t>baseline</w:t>
      </w:r>
      <w:r>
        <w:rPr>
          <w:i/>
          <w:iCs/>
        </w:rPr>
        <w:t xml:space="preserve"> </w:t>
      </w:r>
      <w:r>
        <w:t xml:space="preserve">og 88 % af patienterne med unormal ALAT ved </w:t>
      </w:r>
      <w:r>
        <w:rPr>
          <w:iCs/>
        </w:rPr>
        <w:t>baseline</w:t>
      </w:r>
      <w:r>
        <w:rPr>
          <w:i/>
          <w:iCs/>
        </w:rPr>
        <w:t xml:space="preserve"> </w:t>
      </w:r>
      <w:r>
        <w:t xml:space="preserve">opnåede HBV-dna-suppression &lt; 400 kopier/ml. </w:t>
      </w:r>
    </w:p>
    <w:p w:rsidR="00491918" w:rsidRDefault="00491918" w:rsidP="00491918">
      <w:pPr>
        <w:pStyle w:val="Default"/>
        <w:ind w:left="851"/>
      </w:pPr>
    </w:p>
    <w:p w:rsidR="00491918" w:rsidRDefault="00491918" w:rsidP="00DA0437">
      <w:pPr>
        <w:pStyle w:val="Default"/>
        <w:keepNext/>
        <w:ind w:left="851"/>
      </w:pPr>
      <w:r>
        <w:rPr>
          <w:i/>
          <w:iCs/>
        </w:rPr>
        <w:t xml:space="preserve">Erfaring ud over 48 uger i studie GS-US-174-0102 og GS-US-174-0103 </w:t>
      </w:r>
    </w:p>
    <w:p w:rsidR="00491918" w:rsidRDefault="00491918" w:rsidP="00491918">
      <w:pPr>
        <w:tabs>
          <w:tab w:val="left" w:pos="851"/>
        </w:tabs>
        <w:ind w:left="851" w:hanging="851"/>
        <w:rPr>
          <w:szCs w:val="24"/>
        </w:rPr>
      </w:pPr>
      <w:r>
        <w:rPr>
          <w:szCs w:val="24"/>
        </w:rPr>
        <w:tab/>
        <w:t xml:space="preserve">I studierne GS-US-174-0102 og GS-US-174-0103 skiftede patienterne uden behandlingsafbrydelse til </w:t>
      </w:r>
      <w:r>
        <w:rPr>
          <w:iCs/>
          <w:szCs w:val="24"/>
        </w:rPr>
        <w:t>open label</w:t>
      </w:r>
      <w:r>
        <w:rPr>
          <w:szCs w:val="24"/>
        </w:rPr>
        <w:t>-behandling med tenofovirdisoproxil efter at have fået dobbeltblind-behandling i 48 uger (enten 245 mg tenofovirdisoproxil eller 10 mg adefovirdipivoxil). I studierne GS-US-174-0102 og GS-US-174-0103 fortsatte henholdsvis 77 % og 61 % af patienterne i studiet til og med uge 384. Ved uge 96, 144, 192, 240, 288 og 384 blev viral suppression og biokemisk og serologisk respons opretholdt ved fortsat tenofovirdisoproxil-behandling (se tabel 4 og 5 nedenfor).</w:t>
      </w:r>
    </w:p>
    <w:p w:rsidR="00491918" w:rsidRDefault="00491918" w:rsidP="00491918">
      <w:pPr>
        <w:tabs>
          <w:tab w:val="left" w:pos="851"/>
        </w:tabs>
        <w:ind w:left="851" w:hanging="851"/>
        <w:rPr>
          <w:sz w:val="22"/>
          <w:szCs w:val="22"/>
        </w:rPr>
      </w:pPr>
    </w:p>
    <w:p w:rsidR="00491918" w:rsidRDefault="00491918" w:rsidP="00491918">
      <w:pPr>
        <w:tabs>
          <w:tab w:val="left" w:pos="851"/>
        </w:tabs>
        <w:ind w:left="851" w:hanging="851"/>
        <w:rPr>
          <w:b/>
          <w:bCs/>
          <w:sz w:val="24"/>
          <w:szCs w:val="24"/>
        </w:rPr>
      </w:pPr>
      <w:r>
        <w:rPr>
          <w:b/>
          <w:bCs/>
          <w:sz w:val="22"/>
          <w:szCs w:val="22"/>
        </w:rPr>
        <w:tab/>
      </w:r>
      <w:r>
        <w:rPr>
          <w:b/>
          <w:bCs/>
          <w:szCs w:val="24"/>
        </w:rPr>
        <w:t xml:space="preserve">Tabel 4: Virkningsparametre hos kompenserede HBeAg-negative patienter ved uge 96, 144, 192, 240, 288 og 384 </w:t>
      </w:r>
      <w:r>
        <w:rPr>
          <w:b/>
          <w:bCs/>
          <w:iCs/>
          <w:szCs w:val="24"/>
        </w:rPr>
        <w:t>open label</w:t>
      </w:r>
      <w:r>
        <w:rPr>
          <w:b/>
          <w:bCs/>
          <w:szCs w:val="24"/>
        </w:rPr>
        <w:t>-behandling</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50"/>
        <w:gridCol w:w="635"/>
        <w:gridCol w:w="641"/>
        <w:gridCol w:w="616"/>
        <w:gridCol w:w="616"/>
        <w:gridCol w:w="616"/>
        <w:gridCol w:w="544"/>
        <w:gridCol w:w="622"/>
        <w:gridCol w:w="641"/>
        <w:gridCol w:w="616"/>
        <w:gridCol w:w="673"/>
        <w:gridCol w:w="616"/>
      </w:tblGrid>
      <w:tr w:rsidR="00491918" w:rsidTr="00FE70EC">
        <w:tc>
          <w:tcPr>
            <w:tcW w:w="1390"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rPr>
                <w:sz w:val="22"/>
                <w:szCs w:val="22"/>
              </w:rPr>
            </w:pPr>
          </w:p>
        </w:tc>
        <w:tc>
          <w:tcPr>
            <w:tcW w:w="7613" w:type="dxa"/>
            <w:gridSpan w:val="12"/>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jc w:val="center"/>
              <w:rPr>
                <w:b/>
                <w:bCs/>
                <w:sz w:val="22"/>
                <w:szCs w:val="22"/>
              </w:rPr>
            </w:pPr>
            <w:r>
              <w:rPr>
                <w:b/>
                <w:bCs/>
                <w:sz w:val="22"/>
                <w:szCs w:val="22"/>
              </w:rPr>
              <w:t>Studie 174-0102 (HBeAg-negativ)</w:t>
            </w:r>
          </w:p>
        </w:tc>
      </w:tr>
      <w:tr w:rsidR="00491918" w:rsidTr="00FE70EC">
        <w:tc>
          <w:tcPr>
            <w:tcW w:w="139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rPr>
                <w:sz w:val="22"/>
                <w:szCs w:val="22"/>
              </w:rPr>
            </w:pPr>
            <w:r>
              <w:rPr>
                <w:sz w:val="22"/>
                <w:szCs w:val="22"/>
              </w:rPr>
              <w:t>Parameter</w:t>
            </w:r>
            <w:r>
              <w:rPr>
                <w:sz w:val="22"/>
                <w:szCs w:val="22"/>
                <w:vertAlign w:val="superscript"/>
              </w:rPr>
              <w:t>a</w:t>
            </w:r>
          </w:p>
        </w:tc>
        <w:tc>
          <w:tcPr>
            <w:tcW w:w="3790" w:type="dxa"/>
            <w:gridSpan w:val="6"/>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jc w:val="center"/>
              <w:rPr>
                <w:sz w:val="22"/>
                <w:szCs w:val="22"/>
              </w:rPr>
            </w:pPr>
            <w:r>
              <w:rPr>
                <w:sz w:val="22"/>
                <w:szCs w:val="22"/>
              </w:rPr>
              <w:t>245 mg tenofovirdisoproxil</w:t>
            </w:r>
          </w:p>
          <w:p w:rsidR="00491918" w:rsidRDefault="00491918" w:rsidP="00FE70EC">
            <w:pPr>
              <w:pStyle w:val="Default"/>
              <w:jc w:val="center"/>
              <w:rPr>
                <w:sz w:val="22"/>
                <w:szCs w:val="22"/>
              </w:rPr>
            </w:pPr>
            <w:r>
              <w:rPr>
                <w:sz w:val="22"/>
                <w:szCs w:val="22"/>
              </w:rPr>
              <w:t>n = 250</w:t>
            </w:r>
          </w:p>
        </w:tc>
        <w:tc>
          <w:tcPr>
            <w:tcW w:w="3823" w:type="dxa"/>
            <w:gridSpan w:val="6"/>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jc w:val="center"/>
              <w:rPr>
                <w:sz w:val="22"/>
                <w:szCs w:val="22"/>
              </w:rPr>
            </w:pPr>
            <w:r>
              <w:rPr>
                <w:sz w:val="22"/>
                <w:szCs w:val="22"/>
              </w:rPr>
              <w:t>10 mg adefovirdipivoxil skift til 245 mg tenofovirdisoproxil</w:t>
            </w:r>
          </w:p>
          <w:p w:rsidR="00491918" w:rsidRDefault="00491918" w:rsidP="00FE70EC">
            <w:pPr>
              <w:pStyle w:val="Default"/>
              <w:jc w:val="center"/>
              <w:rPr>
                <w:sz w:val="22"/>
                <w:szCs w:val="22"/>
              </w:rPr>
            </w:pPr>
            <w:r>
              <w:rPr>
                <w:sz w:val="22"/>
                <w:szCs w:val="22"/>
              </w:rPr>
              <w:t>n = 125</w:t>
            </w:r>
          </w:p>
        </w:tc>
      </w:tr>
      <w:tr w:rsidR="00491918" w:rsidTr="00FE70EC">
        <w:tc>
          <w:tcPr>
            <w:tcW w:w="139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rPr>
                <w:b/>
                <w:sz w:val="22"/>
                <w:szCs w:val="22"/>
              </w:rPr>
            </w:pPr>
            <w:r>
              <w:rPr>
                <w:b/>
                <w:sz w:val="22"/>
                <w:szCs w:val="22"/>
              </w:rPr>
              <w:t>Uge</w:t>
            </w:r>
          </w:p>
        </w:tc>
        <w:tc>
          <w:tcPr>
            <w:tcW w:w="582"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96</w:t>
            </w:r>
            <w:r>
              <w:rPr>
                <w:sz w:val="22"/>
                <w:szCs w:val="22"/>
                <w:vertAlign w:val="superscript"/>
              </w:rPr>
              <w:t>b</w:t>
            </w:r>
          </w:p>
        </w:tc>
        <w:tc>
          <w:tcPr>
            <w:tcW w:w="654"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144</w:t>
            </w:r>
            <w:r>
              <w:rPr>
                <w:sz w:val="22"/>
                <w:szCs w:val="22"/>
                <w:vertAlign w:val="superscript"/>
              </w:rPr>
              <w:t>e</w:t>
            </w:r>
          </w:p>
        </w:tc>
        <w:tc>
          <w:tcPr>
            <w:tcW w:w="66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192</w:t>
            </w:r>
            <w:r>
              <w:rPr>
                <w:sz w:val="22"/>
                <w:szCs w:val="22"/>
                <w:vertAlign w:val="superscript"/>
              </w:rPr>
              <w:t>g</w:t>
            </w:r>
          </w:p>
        </w:tc>
        <w:tc>
          <w:tcPr>
            <w:tcW w:w="639"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240</w:t>
            </w:r>
            <w:r>
              <w:rPr>
                <w:sz w:val="22"/>
                <w:szCs w:val="22"/>
                <w:vertAlign w:val="superscript"/>
              </w:rPr>
              <w:t>i</w:t>
            </w:r>
          </w:p>
        </w:tc>
        <w:tc>
          <w:tcPr>
            <w:tcW w:w="639"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288</w:t>
            </w:r>
            <w:r>
              <w:rPr>
                <w:sz w:val="22"/>
                <w:szCs w:val="22"/>
                <w:vertAlign w:val="superscript"/>
              </w:rPr>
              <w:t>l</w:t>
            </w:r>
          </w:p>
        </w:tc>
        <w:tc>
          <w:tcPr>
            <w:tcW w:w="616"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384</w:t>
            </w:r>
            <w:r>
              <w:rPr>
                <w:sz w:val="22"/>
                <w:szCs w:val="22"/>
                <w:vertAlign w:val="superscript"/>
              </w:rPr>
              <w:t>o</w:t>
            </w:r>
          </w:p>
        </w:tc>
        <w:tc>
          <w:tcPr>
            <w:tcW w:w="577"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96</w:t>
            </w:r>
            <w:r>
              <w:rPr>
                <w:sz w:val="22"/>
                <w:szCs w:val="22"/>
                <w:vertAlign w:val="superscript"/>
              </w:rPr>
              <w:t>c</w:t>
            </w:r>
          </w:p>
        </w:tc>
        <w:tc>
          <w:tcPr>
            <w:tcW w:w="644"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144</w:t>
            </w:r>
            <w:r>
              <w:rPr>
                <w:sz w:val="22"/>
                <w:szCs w:val="22"/>
                <w:vertAlign w:val="superscript"/>
              </w:rPr>
              <w:t>f</w:t>
            </w:r>
          </w:p>
        </w:tc>
        <w:tc>
          <w:tcPr>
            <w:tcW w:w="66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192</w:t>
            </w:r>
            <w:r>
              <w:rPr>
                <w:sz w:val="22"/>
                <w:szCs w:val="22"/>
                <w:vertAlign w:val="superscript"/>
              </w:rPr>
              <w:t>h</w:t>
            </w:r>
          </w:p>
        </w:tc>
        <w:tc>
          <w:tcPr>
            <w:tcW w:w="639"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240</w:t>
            </w:r>
            <w:r>
              <w:rPr>
                <w:sz w:val="22"/>
                <w:szCs w:val="22"/>
                <w:vertAlign w:val="superscript"/>
              </w:rPr>
              <w:t>j</w:t>
            </w:r>
          </w:p>
        </w:tc>
        <w:tc>
          <w:tcPr>
            <w:tcW w:w="687"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288</w:t>
            </w:r>
            <w:r>
              <w:rPr>
                <w:sz w:val="22"/>
                <w:szCs w:val="22"/>
                <w:vertAlign w:val="superscript"/>
              </w:rPr>
              <w:t>m</w:t>
            </w:r>
          </w:p>
        </w:tc>
        <w:tc>
          <w:tcPr>
            <w:tcW w:w="616"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384</w:t>
            </w:r>
            <w:r>
              <w:rPr>
                <w:sz w:val="22"/>
                <w:szCs w:val="22"/>
                <w:vertAlign w:val="superscript"/>
              </w:rPr>
              <w:t>p</w:t>
            </w:r>
          </w:p>
        </w:tc>
      </w:tr>
      <w:tr w:rsidR="00491918" w:rsidTr="00FE70EC">
        <w:tc>
          <w:tcPr>
            <w:tcW w:w="1390" w:type="dxa"/>
            <w:tcBorders>
              <w:top w:val="single" w:sz="4" w:space="0" w:color="auto"/>
              <w:left w:val="single" w:sz="4" w:space="0" w:color="auto"/>
              <w:bottom w:val="single" w:sz="4" w:space="0" w:color="auto"/>
              <w:right w:val="single" w:sz="4" w:space="0" w:color="auto"/>
            </w:tcBorders>
            <w:hideMark/>
          </w:tcPr>
          <w:p w:rsidR="00491918" w:rsidRPr="00C956F3" w:rsidRDefault="00491918" w:rsidP="00FE70EC">
            <w:pPr>
              <w:tabs>
                <w:tab w:val="left" w:pos="851"/>
              </w:tabs>
              <w:rPr>
                <w:b/>
                <w:sz w:val="22"/>
                <w:szCs w:val="22"/>
                <w:lang w:val="sv-SE"/>
              </w:rPr>
            </w:pPr>
            <w:r w:rsidRPr="00C956F3">
              <w:rPr>
                <w:b/>
                <w:sz w:val="22"/>
                <w:szCs w:val="22"/>
                <w:lang w:val="sv-SE"/>
              </w:rPr>
              <w:t>HBV-dna (%)</w:t>
            </w:r>
          </w:p>
          <w:p w:rsidR="00491918" w:rsidRPr="00C956F3" w:rsidRDefault="00491918" w:rsidP="00FE70EC">
            <w:pPr>
              <w:tabs>
                <w:tab w:val="left" w:pos="851"/>
              </w:tabs>
              <w:rPr>
                <w:sz w:val="22"/>
                <w:szCs w:val="22"/>
                <w:lang w:val="sv-SE"/>
              </w:rPr>
            </w:pPr>
            <w:r w:rsidRPr="00C956F3">
              <w:rPr>
                <w:sz w:val="22"/>
                <w:szCs w:val="22"/>
                <w:lang w:val="sv-SE"/>
              </w:rPr>
              <w:t>&lt;400 kopier/ml</w:t>
            </w:r>
          </w:p>
          <w:p w:rsidR="00491918" w:rsidRPr="00C956F3" w:rsidRDefault="00491918" w:rsidP="00FE70EC">
            <w:pPr>
              <w:tabs>
                <w:tab w:val="left" w:pos="851"/>
              </w:tabs>
              <w:rPr>
                <w:sz w:val="22"/>
                <w:szCs w:val="22"/>
                <w:lang w:val="sv-SE"/>
              </w:rPr>
            </w:pPr>
            <w:r w:rsidRPr="00C956F3">
              <w:rPr>
                <w:sz w:val="22"/>
                <w:szCs w:val="22"/>
                <w:lang w:val="sv-SE"/>
              </w:rPr>
              <w:t>(&lt;69 IE/ml)</w:t>
            </w:r>
          </w:p>
        </w:tc>
        <w:tc>
          <w:tcPr>
            <w:tcW w:w="582"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90</w:t>
            </w:r>
          </w:p>
        </w:tc>
        <w:tc>
          <w:tcPr>
            <w:tcW w:w="654"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87</w:t>
            </w:r>
          </w:p>
        </w:tc>
        <w:tc>
          <w:tcPr>
            <w:tcW w:w="66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84</w:t>
            </w:r>
          </w:p>
        </w:tc>
        <w:tc>
          <w:tcPr>
            <w:tcW w:w="639"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83</w:t>
            </w:r>
          </w:p>
        </w:tc>
        <w:tc>
          <w:tcPr>
            <w:tcW w:w="639"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80</w:t>
            </w:r>
          </w:p>
        </w:tc>
        <w:tc>
          <w:tcPr>
            <w:tcW w:w="616"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74</w:t>
            </w:r>
          </w:p>
        </w:tc>
        <w:tc>
          <w:tcPr>
            <w:tcW w:w="577"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89</w:t>
            </w:r>
          </w:p>
        </w:tc>
        <w:tc>
          <w:tcPr>
            <w:tcW w:w="644"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88</w:t>
            </w:r>
          </w:p>
        </w:tc>
        <w:tc>
          <w:tcPr>
            <w:tcW w:w="66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87</w:t>
            </w:r>
          </w:p>
        </w:tc>
        <w:tc>
          <w:tcPr>
            <w:tcW w:w="639"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84</w:t>
            </w:r>
          </w:p>
        </w:tc>
        <w:tc>
          <w:tcPr>
            <w:tcW w:w="687"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84</w:t>
            </w:r>
          </w:p>
        </w:tc>
        <w:tc>
          <w:tcPr>
            <w:tcW w:w="616"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76</w:t>
            </w:r>
          </w:p>
        </w:tc>
      </w:tr>
      <w:tr w:rsidR="00491918" w:rsidTr="00FE70EC">
        <w:tc>
          <w:tcPr>
            <w:tcW w:w="139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rPr>
                <w:b/>
                <w:sz w:val="22"/>
                <w:szCs w:val="22"/>
              </w:rPr>
            </w:pPr>
            <w:r>
              <w:rPr>
                <w:b/>
                <w:sz w:val="22"/>
                <w:szCs w:val="22"/>
              </w:rPr>
              <w:t>ALAT (%)</w:t>
            </w:r>
          </w:p>
          <w:p w:rsidR="00491918" w:rsidRDefault="00491918" w:rsidP="00FE70EC">
            <w:pPr>
              <w:tabs>
                <w:tab w:val="left" w:pos="851"/>
              </w:tabs>
              <w:rPr>
                <w:sz w:val="22"/>
                <w:szCs w:val="22"/>
              </w:rPr>
            </w:pPr>
            <w:r>
              <w:rPr>
                <w:sz w:val="22"/>
                <w:szCs w:val="22"/>
              </w:rPr>
              <w:t>Normaliseret ALAT</w:t>
            </w:r>
            <w:r>
              <w:rPr>
                <w:sz w:val="22"/>
                <w:szCs w:val="22"/>
                <w:vertAlign w:val="superscript"/>
              </w:rPr>
              <w:t>d</w:t>
            </w:r>
          </w:p>
        </w:tc>
        <w:tc>
          <w:tcPr>
            <w:tcW w:w="582"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72</w:t>
            </w:r>
          </w:p>
        </w:tc>
        <w:tc>
          <w:tcPr>
            <w:tcW w:w="654"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73</w:t>
            </w:r>
          </w:p>
        </w:tc>
        <w:tc>
          <w:tcPr>
            <w:tcW w:w="66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67</w:t>
            </w:r>
          </w:p>
        </w:tc>
        <w:tc>
          <w:tcPr>
            <w:tcW w:w="639"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70</w:t>
            </w:r>
          </w:p>
        </w:tc>
        <w:tc>
          <w:tcPr>
            <w:tcW w:w="639"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68</w:t>
            </w:r>
          </w:p>
        </w:tc>
        <w:tc>
          <w:tcPr>
            <w:tcW w:w="616"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64</w:t>
            </w:r>
          </w:p>
        </w:tc>
        <w:tc>
          <w:tcPr>
            <w:tcW w:w="577"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68</w:t>
            </w:r>
          </w:p>
        </w:tc>
        <w:tc>
          <w:tcPr>
            <w:tcW w:w="644"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70</w:t>
            </w:r>
          </w:p>
        </w:tc>
        <w:tc>
          <w:tcPr>
            <w:tcW w:w="66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77</w:t>
            </w:r>
          </w:p>
        </w:tc>
        <w:tc>
          <w:tcPr>
            <w:tcW w:w="639"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76</w:t>
            </w:r>
          </w:p>
        </w:tc>
        <w:tc>
          <w:tcPr>
            <w:tcW w:w="687"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74</w:t>
            </w:r>
          </w:p>
        </w:tc>
        <w:tc>
          <w:tcPr>
            <w:tcW w:w="616"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69</w:t>
            </w:r>
          </w:p>
        </w:tc>
      </w:tr>
      <w:tr w:rsidR="00491918" w:rsidTr="00FE70EC">
        <w:tc>
          <w:tcPr>
            <w:tcW w:w="1390"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rPr>
                <w:sz w:val="22"/>
                <w:szCs w:val="22"/>
              </w:rPr>
            </w:pPr>
            <w:r>
              <w:rPr>
                <w:b/>
                <w:sz w:val="22"/>
                <w:szCs w:val="22"/>
              </w:rPr>
              <w:t>Serologi</w:t>
            </w:r>
            <w:r>
              <w:rPr>
                <w:sz w:val="22"/>
                <w:szCs w:val="22"/>
              </w:rPr>
              <w:t xml:space="preserve"> (%)</w:t>
            </w:r>
          </w:p>
          <w:p w:rsidR="00491918" w:rsidRDefault="00491918" w:rsidP="00FE70EC">
            <w:pPr>
              <w:tabs>
                <w:tab w:val="left" w:pos="851"/>
              </w:tabs>
              <w:rPr>
                <w:sz w:val="22"/>
                <w:szCs w:val="22"/>
              </w:rPr>
            </w:pPr>
          </w:p>
          <w:p w:rsidR="00491918" w:rsidRDefault="00491918" w:rsidP="00FE70EC">
            <w:pPr>
              <w:tabs>
                <w:tab w:val="left" w:pos="851"/>
              </w:tabs>
              <w:rPr>
                <w:sz w:val="22"/>
                <w:szCs w:val="22"/>
              </w:rPr>
            </w:pPr>
            <w:r>
              <w:rPr>
                <w:sz w:val="22"/>
                <w:szCs w:val="22"/>
              </w:rPr>
              <w:t>Tab af HBeAg/sero-konversion</w:t>
            </w:r>
          </w:p>
          <w:p w:rsidR="00491918" w:rsidRDefault="00491918" w:rsidP="00FE70EC">
            <w:pPr>
              <w:tabs>
                <w:tab w:val="left" w:pos="851"/>
              </w:tabs>
              <w:rPr>
                <w:sz w:val="22"/>
                <w:szCs w:val="22"/>
              </w:rPr>
            </w:pPr>
          </w:p>
          <w:p w:rsidR="00491918" w:rsidRDefault="00491918" w:rsidP="00FE70EC">
            <w:pPr>
              <w:tabs>
                <w:tab w:val="left" w:pos="851"/>
              </w:tabs>
              <w:rPr>
                <w:sz w:val="22"/>
                <w:szCs w:val="22"/>
              </w:rPr>
            </w:pPr>
            <w:r>
              <w:rPr>
                <w:sz w:val="22"/>
                <w:szCs w:val="22"/>
              </w:rPr>
              <w:t>Tab af HBsAg/sero-</w:t>
            </w:r>
          </w:p>
          <w:p w:rsidR="00491918" w:rsidRDefault="00491918" w:rsidP="00FE70EC">
            <w:pPr>
              <w:tabs>
                <w:tab w:val="left" w:pos="851"/>
              </w:tabs>
              <w:rPr>
                <w:sz w:val="22"/>
                <w:szCs w:val="22"/>
              </w:rPr>
            </w:pPr>
            <w:r>
              <w:rPr>
                <w:sz w:val="22"/>
                <w:szCs w:val="22"/>
              </w:rPr>
              <w:t>konversion</w:t>
            </w:r>
          </w:p>
        </w:tc>
        <w:tc>
          <w:tcPr>
            <w:tcW w:w="582"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n/a</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0/0</w:t>
            </w:r>
          </w:p>
        </w:tc>
        <w:tc>
          <w:tcPr>
            <w:tcW w:w="654"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n/a</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0/0</w:t>
            </w:r>
          </w:p>
        </w:tc>
        <w:tc>
          <w:tcPr>
            <w:tcW w:w="660"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n/a</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0/0</w:t>
            </w:r>
          </w:p>
        </w:tc>
        <w:tc>
          <w:tcPr>
            <w:tcW w:w="639"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n/a</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0/0</w:t>
            </w:r>
          </w:p>
        </w:tc>
        <w:tc>
          <w:tcPr>
            <w:tcW w:w="639"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n/a</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0/0</w:t>
            </w:r>
          </w:p>
        </w:tc>
        <w:tc>
          <w:tcPr>
            <w:tcW w:w="616"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n/a</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1/1</w:t>
            </w:r>
            <w:r>
              <w:rPr>
                <w:sz w:val="22"/>
                <w:szCs w:val="22"/>
                <w:vertAlign w:val="superscript"/>
              </w:rPr>
              <w:t>n</w:t>
            </w:r>
          </w:p>
        </w:tc>
        <w:tc>
          <w:tcPr>
            <w:tcW w:w="577"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n/a</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0/0</w:t>
            </w:r>
          </w:p>
        </w:tc>
        <w:tc>
          <w:tcPr>
            <w:tcW w:w="644"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n/a</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0/0</w:t>
            </w:r>
          </w:p>
        </w:tc>
        <w:tc>
          <w:tcPr>
            <w:tcW w:w="660"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n/a</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0/0</w:t>
            </w:r>
          </w:p>
        </w:tc>
        <w:tc>
          <w:tcPr>
            <w:tcW w:w="639"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n/a</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0/0</w:t>
            </w:r>
            <w:r>
              <w:rPr>
                <w:sz w:val="22"/>
                <w:szCs w:val="22"/>
                <w:vertAlign w:val="superscript"/>
              </w:rPr>
              <w:t>k</w:t>
            </w:r>
          </w:p>
        </w:tc>
        <w:tc>
          <w:tcPr>
            <w:tcW w:w="687"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n/a</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0/0</w:t>
            </w:r>
            <w:r>
              <w:rPr>
                <w:sz w:val="22"/>
                <w:szCs w:val="22"/>
                <w:vertAlign w:val="superscript"/>
              </w:rPr>
              <w:t>n</w:t>
            </w:r>
          </w:p>
        </w:tc>
        <w:tc>
          <w:tcPr>
            <w:tcW w:w="616"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n/a</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1/1</w:t>
            </w:r>
            <w:r>
              <w:rPr>
                <w:sz w:val="22"/>
                <w:szCs w:val="22"/>
                <w:vertAlign w:val="superscript"/>
              </w:rPr>
              <w:t>n</w:t>
            </w:r>
          </w:p>
        </w:tc>
      </w:tr>
    </w:tbl>
    <w:p w:rsidR="00491918" w:rsidRDefault="00491918" w:rsidP="00491918">
      <w:pPr>
        <w:pStyle w:val="Default"/>
        <w:tabs>
          <w:tab w:val="left" w:pos="1134"/>
        </w:tabs>
        <w:ind w:left="1134" w:hanging="283"/>
      </w:pPr>
      <w:r>
        <w:rPr>
          <w:vertAlign w:val="superscript"/>
        </w:rPr>
        <w:t>a</w:t>
      </w:r>
      <w:r>
        <w:tab/>
        <w:t xml:space="preserve">Baseret på Long Term Evaluation algoritme (LTE-analyse) - Patienter, som afbrød studiet på et vilkårligt tidspunkt før uge 384 pga. et protokoldefineret endepunkt, såvel som dem, der fuldførte uge 384, inkluderes i nævneren. </w:t>
      </w:r>
    </w:p>
    <w:p w:rsidR="00491918" w:rsidRDefault="00491918" w:rsidP="00491918">
      <w:pPr>
        <w:pStyle w:val="Default"/>
        <w:tabs>
          <w:tab w:val="left" w:pos="1134"/>
        </w:tabs>
        <w:ind w:left="1134" w:hanging="283"/>
      </w:pPr>
      <w:r>
        <w:rPr>
          <w:vertAlign w:val="superscript"/>
        </w:rPr>
        <w:t>b</w:t>
      </w:r>
      <w:r>
        <w:tab/>
        <w:t xml:space="preserve">48 ugers dobbeltblind tenofovirdisoproxil, efterfulgt af 48 ugers open label. </w:t>
      </w:r>
    </w:p>
    <w:p w:rsidR="00491918" w:rsidRDefault="00491918" w:rsidP="00491918">
      <w:pPr>
        <w:pStyle w:val="Default"/>
        <w:tabs>
          <w:tab w:val="left" w:pos="1134"/>
        </w:tabs>
        <w:ind w:left="1134" w:hanging="283"/>
      </w:pPr>
      <w:r>
        <w:rPr>
          <w:vertAlign w:val="superscript"/>
        </w:rPr>
        <w:t>c</w:t>
      </w:r>
      <w:r>
        <w:tab/>
        <w:t xml:space="preserve">48 ugers dobbeltblind adefovirdipivoxil, efterfulgt af 48 ugers open label tenofovirdisoproxil. </w:t>
      </w:r>
    </w:p>
    <w:p w:rsidR="00491918" w:rsidRDefault="00491918" w:rsidP="00491918">
      <w:pPr>
        <w:pStyle w:val="Default"/>
        <w:tabs>
          <w:tab w:val="left" w:pos="1134"/>
        </w:tabs>
        <w:ind w:left="1134" w:hanging="283"/>
      </w:pPr>
      <w:r>
        <w:rPr>
          <w:vertAlign w:val="superscript"/>
        </w:rPr>
        <w:t>d</w:t>
      </w:r>
      <w:r>
        <w:tab/>
        <w:t xml:space="preserve">Populationen, som blev brugt til analyse af ALAT-normalisering, inkluderede kun patienter med ALAT over ULN ved baseline. </w:t>
      </w:r>
    </w:p>
    <w:p w:rsidR="00491918" w:rsidRDefault="00491918" w:rsidP="00491918">
      <w:pPr>
        <w:pStyle w:val="Default"/>
        <w:tabs>
          <w:tab w:val="left" w:pos="1134"/>
        </w:tabs>
        <w:ind w:left="1134" w:hanging="283"/>
      </w:pPr>
      <w:r>
        <w:rPr>
          <w:vertAlign w:val="superscript"/>
        </w:rPr>
        <w:t>e</w:t>
      </w:r>
      <w:r>
        <w:tab/>
        <w:t xml:space="preserve">48 ugers dobbeltblind tenofovirdisoproxil, efterfulgt af 96 ugers open label. </w:t>
      </w:r>
    </w:p>
    <w:p w:rsidR="00491918" w:rsidRDefault="00491918" w:rsidP="00491918">
      <w:pPr>
        <w:pStyle w:val="Default"/>
        <w:tabs>
          <w:tab w:val="left" w:pos="1134"/>
        </w:tabs>
        <w:ind w:left="1134" w:hanging="283"/>
      </w:pPr>
      <w:r>
        <w:rPr>
          <w:vertAlign w:val="superscript"/>
        </w:rPr>
        <w:t>f</w:t>
      </w:r>
      <w:r>
        <w:tab/>
        <w:t xml:space="preserve">48 ugers dobbeltblind adefovirdipivoxil, efterfulgt af 96 ugers open label tenofovirdisoproxil. </w:t>
      </w:r>
    </w:p>
    <w:p w:rsidR="00491918" w:rsidRDefault="00491918" w:rsidP="00491918">
      <w:pPr>
        <w:pStyle w:val="Default"/>
        <w:tabs>
          <w:tab w:val="left" w:pos="1134"/>
        </w:tabs>
        <w:ind w:left="1134" w:hanging="283"/>
      </w:pPr>
      <w:r>
        <w:rPr>
          <w:vertAlign w:val="superscript"/>
        </w:rPr>
        <w:t>g</w:t>
      </w:r>
      <w:r>
        <w:tab/>
        <w:t xml:space="preserve">48 ugers dobbeltblind tenofovirdisoproxil, efterfulgt af 144 ugers open label. </w:t>
      </w:r>
    </w:p>
    <w:p w:rsidR="00491918" w:rsidRDefault="00491918" w:rsidP="00491918">
      <w:pPr>
        <w:pStyle w:val="Default"/>
        <w:tabs>
          <w:tab w:val="left" w:pos="1134"/>
        </w:tabs>
        <w:ind w:left="1134" w:hanging="283"/>
      </w:pPr>
      <w:r>
        <w:rPr>
          <w:vertAlign w:val="superscript"/>
        </w:rPr>
        <w:t>h</w:t>
      </w:r>
      <w:r>
        <w:tab/>
        <w:t xml:space="preserve">48 ugers dobbeltblind adefovirdipivoxil, efterfulgt af 144 ugers open label tenofovirdisoproxil. </w:t>
      </w:r>
    </w:p>
    <w:p w:rsidR="00491918" w:rsidRDefault="00491918" w:rsidP="00491918">
      <w:pPr>
        <w:pStyle w:val="Default"/>
        <w:tabs>
          <w:tab w:val="left" w:pos="1134"/>
        </w:tabs>
        <w:ind w:left="1134" w:hanging="283"/>
      </w:pPr>
      <w:r>
        <w:rPr>
          <w:vertAlign w:val="superscript"/>
        </w:rPr>
        <w:t>i</w:t>
      </w:r>
      <w:r>
        <w:tab/>
        <w:t xml:space="preserve">48 ugers dobbeltblind tenofovirdisoproxil, efterfulgt af 192 ugers open label. </w:t>
      </w:r>
    </w:p>
    <w:p w:rsidR="00491918" w:rsidRDefault="00491918" w:rsidP="00491918">
      <w:pPr>
        <w:pStyle w:val="Default"/>
        <w:tabs>
          <w:tab w:val="left" w:pos="1134"/>
        </w:tabs>
        <w:ind w:left="1134" w:hanging="283"/>
      </w:pPr>
      <w:r>
        <w:rPr>
          <w:vertAlign w:val="superscript"/>
        </w:rPr>
        <w:t>j</w:t>
      </w:r>
      <w:r>
        <w:tab/>
        <w:t xml:space="preserve">48 ugers dobbeltblind adefovirdipivoxil, efterfulgt af 192 ugers open label tenofovirdisoproxil. </w:t>
      </w:r>
    </w:p>
    <w:p w:rsidR="00491918" w:rsidRDefault="00491918" w:rsidP="00491918">
      <w:pPr>
        <w:pStyle w:val="Default"/>
        <w:tabs>
          <w:tab w:val="left" w:pos="1134"/>
        </w:tabs>
        <w:ind w:left="1134" w:hanging="283"/>
      </w:pPr>
      <w:r>
        <w:rPr>
          <w:vertAlign w:val="superscript"/>
        </w:rPr>
        <w:t>k</w:t>
      </w:r>
      <w:r>
        <w:t xml:space="preserve"> </w:t>
      </w:r>
      <w:r>
        <w:tab/>
        <w:t xml:space="preserve">Én patient i denne gruppe blev HBsAg-negativ for første gang ved uge 240-besøget og var stadig i studiet på skæringsdagen for dataindsamling. Forsøgspersonens tab af HBsAg blev endeligt bekræftet ved det efterfølgende besøg. </w:t>
      </w:r>
    </w:p>
    <w:p w:rsidR="00491918" w:rsidRDefault="00491918" w:rsidP="00491918">
      <w:pPr>
        <w:pStyle w:val="Default"/>
        <w:tabs>
          <w:tab w:val="left" w:pos="1134"/>
        </w:tabs>
        <w:ind w:left="1134" w:hanging="283"/>
      </w:pPr>
      <w:r>
        <w:rPr>
          <w:vertAlign w:val="superscript"/>
        </w:rPr>
        <w:t>l</w:t>
      </w:r>
      <w:r>
        <w:tab/>
        <w:t xml:space="preserve">48 ugers dobbeltblind tenofovirdisoproxil, efterfulgt af 240 ugers open label. </w:t>
      </w:r>
    </w:p>
    <w:p w:rsidR="00491918" w:rsidRDefault="00491918" w:rsidP="00491918">
      <w:pPr>
        <w:pStyle w:val="Default"/>
        <w:tabs>
          <w:tab w:val="left" w:pos="1134"/>
        </w:tabs>
        <w:ind w:left="1134" w:hanging="283"/>
      </w:pPr>
      <w:r>
        <w:rPr>
          <w:vertAlign w:val="superscript"/>
        </w:rPr>
        <w:t>m</w:t>
      </w:r>
      <w:r>
        <w:tab/>
        <w:t xml:space="preserve">48 ugers dobbeltblind adefovirdipivoxil, efterfulgt af 240 ugers open label tenofovirdisoproxil. </w:t>
      </w:r>
    </w:p>
    <w:p w:rsidR="00491918" w:rsidRDefault="00491918" w:rsidP="00491918">
      <w:pPr>
        <w:pStyle w:val="Default"/>
        <w:tabs>
          <w:tab w:val="left" w:pos="1134"/>
        </w:tabs>
        <w:ind w:left="1134" w:hanging="283"/>
      </w:pPr>
      <w:r>
        <w:rPr>
          <w:vertAlign w:val="superscript"/>
        </w:rPr>
        <w:t>n</w:t>
      </w:r>
      <w:r>
        <w:tab/>
      </w:r>
      <w:r w:rsidR="00C04C62">
        <w:t>De viste tal er kumulative procenter baseret på en Kaplan Meier-analyse, som ekskluderer data indsamlet efter tillæg af emtricitabin til open label tenofovirdisoproxil (KM-tenofovir disoproxil).</w:t>
      </w:r>
    </w:p>
    <w:p w:rsidR="00491918" w:rsidRDefault="00491918" w:rsidP="00491918">
      <w:pPr>
        <w:pStyle w:val="Default"/>
        <w:tabs>
          <w:tab w:val="left" w:pos="1134"/>
        </w:tabs>
        <w:ind w:left="1134" w:hanging="283"/>
      </w:pPr>
      <w:r>
        <w:rPr>
          <w:vertAlign w:val="superscript"/>
        </w:rPr>
        <w:t>o</w:t>
      </w:r>
      <w:r>
        <w:tab/>
        <w:t>48 ugers dobbeltblind tenofovirdisoproxil, efterfulgt af 336 ugers open label.</w:t>
      </w:r>
    </w:p>
    <w:p w:rsidR="00491918" w:rsidRDefault="00491918" w:rsidP="00491918">
      <w:pPr>
        <w:pStyle w:val="Default"/>
        <w:tabs>
          <w:tab w:val="left" w:pos="1134"/>
        </w:tabs>
        <w:ind w:left="1134" w:hanging="283"/>
      </w:pPr>
      <w:r>
        <w:rPr>
          <w:vertAlign w:val="superscript"/>
        </w:rPr>
        <w:t>p</w:t>
      </w:r>
      <w:r>
        <w:tab/>
        <w:t>48 ugers dobbeltblind adefovirdipivoxil, efterfulgt af 336 ugers open label tenofovirdisoproxil.</w:t>
      </w:r>
    </w:p>
    <w:p w:rsidR="00491918" w:rsidRDefault="00491918" w:rsidP="00491918">
      <w:pPr>
        <w:tabs>
          <w:tab w:val="left" w:pos="851"/>
        </w:tabs>
        <w:ind w:left="851" w:hanging="851"/>
        <w:rPr>
          <w:szCs w:val="24"/>
          <w:lang w:val="en-US"/>
        </w:rPr>
      </w:pPr>
      <w:r>
        <w:rPr>
          <w:szCs w:val="24"/>
        </w:rPr>
        <w:tab/>
      </w:r>
      <w:r>
        <w:rPr>
          <w:szCs w:val="24"/>
          <w:lang w:val="en-US"/>
        </w:rPr>
        <w:t xml:space="preserve">n/a = </w:t>
      </w:r>
      <w:r>
        <w:rPr>
          <w:i/>
          <w:iCs/>
          <w:szCs w:val="24"/>
          <w:lang w:val="en-US"/>
        </w:rPr>
        <w:t xml:space="preserve">not applicable </w:t>
      </w:r>
      <w:r>
        <w:rPr>
          <w:szCs w:val="24"/>
          <w:lang w:val="en-US"/>
        </w:rPr>
        <w:t>- ikke relevant.</w:t>
      </w:r>
    </w:p>
    <w:p w:rsidR="00491918" w:rsidRDefault="00491918" w:rsidP="00491918">
      <w:pPr>
        <w:rPr>
          <w:sz w:val="18"/>
          <w:szCs w:val="18"/>
          <w:lang w:val="en-US"/>
        </w:rPr>
      </w:pPr>
    </w:p>
    <w:p w:rsidR="00491918" w:rsidRDefault="00491918" w:rsidP="00491918">
      <w:pPr>
        <w:tabs>
          <w:tab w:val="left" w:pos="851"/>
        </w:tabs>
        <w:ind w:left="851" w:hanging="851"/>
        <w:rPr>
          <w:sz w:val="18"/>
          <w:szCs w:val="18"/>
          <w:lang w:val="en-US"/>
        </w:rPr>
      </w:pPr>
    </w:p>
    <w:p w:rsidR="00491918" w:rsidRDefault="00491918" w:rsidP="00491918">
      <w:pPr>
        <w:tabs>
          <w:tab w:val="left" w:pos="851"/>
        </w:tabs>
        <w:ind w:left="851" w:hanging="851"/>
        <w:rPr>
          <w:sz w:val="24"/>
          <w:szCs w:val="24"/>
        </w:rPr>
      </w:pPr>
      <w:r>
        <w:rPr>
          <w:b/>
          <w:bCs/>
          <w:sz w:val="22"/>
          <w:szCs w:val="22"/>
          <w:lang w:val="en-US"/>
        </w:rPr>
        <w:tab/>
      </w:r>
      <w:r>
        <w:rPr>
          <w:b/>
          <w:bCs/>
          <w:szCs w:val="24"/>
        </w:rPr>
        <w:t xml:space="preserve">Tabel 5: Virkningsparametre hos kompenserede HBeAg-positive patienter ved uge 96, 144, 192, 240, 288 og 384 </w:t>
      </w:r>
      <w:r>
        <w:rPr>
          <w:b/>
          <w:bCs/>
          <w:iCs/>
          <w:szCs w:val="24"/>
        </w:rPr>
        <w:t>open label</w:t>
      </w:r>
      <w:r>
        <w:rPr>
          <w:b/>
          <w:bCs/>
          <w:szCs w:val="24"/>
        </w:rPr>
        <w:t>-behandling</w:t>
      </w:r>
    </w:p>
    <w:tbl>
      <w:tblPr>
        <w:tblW w:w="100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18"/>
        <w:gridCol w:w="718"/>
        <w:gridCol w:w="718"/>
        <w:gridCol w:w="718"/>
        <w:gridCol w:w="718"/>
        <w:gridCol w:w="788"/>
        <w:gridCol w:w="718"/>
        <w:gridCol w:w="718"/>
        <w:gridCol w:w="718"/>
        <w:gridCol w:w="757"/>
        <w:gridCol w:w="757"/>
        <w:gridCol w:w="788"/>
      </w:tblGrid>
      <w:tr w:rsidR="00491918" w:rsidTr="00FE70EC">
        <w:tc>
          <w:tcPr>
            <w:tcW w:w="1390"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rPr>
                <w:sz w:val="22"/>
                <w:szCs w:val="22"/>
              </w:rPr>
            </w:pPr>
          </w:p>
        </w:tc>
        <w:tc>
          <w:tcPr>
            <w:tcW w:w="8662" w:type="dxa"/>
            <w:gridSpan w:val="12"/>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jc w:val="center"/>
              <w:rPr>
                <w:b/>
                <w:bCs/>
                <w:sz w:val="20"/>
                <w:szCs w:val="20"/>
              </w:rPr>
            </w:pPr>
            <w:r>
              <w:rPr>
                <w:b/>
                <w:bCs/>
                <w:sz w:val="20"/>
                <w:szCs w:val="20"/>
              </w:rPr>
              <w:t xml:space="preserve">Studie 174-0103 (HBeAg-positiv) </w:t>
            </w:r>
          </w:p>
        </w:tc>
      </w:tr>
      <w:tr w:rsidR="00491918" w:rsidTr="00FE70EC">
        <w:tc>
          <w:tcPr>
            <w:tcW w:w="139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rPr>
                <w:sz w:val="22"/>
                <w:szCs w:val="22"/>
              </w:rPr>
            </w:pPr>
            <w:r>
              <w:rPr>
                <w:sz w:val="22"/>
                <w:szCs w:val="22"/>
              </w:rPr>
              <w:t>Parameter</w:t>
            </w:r>
            <w:r>
              <w:rPr>
                <w:sz w:val="22"/>
                <w:szCs w:val="22"/>
                <w:vertAlign w:val="superscript"/>
              </w:rPr>
              <w:t>a</w:t>
            </w:r>
          </w:p>
        </w:tc>
        <w:tc>
          <w:tcPr>
            <w:tcW w:w="4378" w:type="dxa"/>
            <w:gridSpan w:val="6"/>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jc w:val="center"/>
              <w:rPr>
                <w:sz w:val="22"/>
                <w:szCs w:val="22"/>
              </w:rPr>
            </w:pPr>
            <w:r>
              <w:rPr>
                <w:sz w:val="22"/>
                <w:szCs w:val="22"/>
              </w:rPr>
              <w:t xml:space="preserve">245 mg tenofovirdisoproxil </w:t>
            </w:r>
          </w:p>
          <w:p w:rsidR="00491918" w:rsidRDefault="00491918" w:rsidP="00FE70EC">
            <w:pPr>
              <w:pStyle w:val="Default"/>
              <w:jc w:val="center"/>
              <w:rPr>
                <w:sz w:val="22"/>
                <w:szCs w:val="22"/>
              </w:rPr>
            </w:pPr>
            <w:r>
              <w:rPr>
                <w:sz w:val="22"/>
                <w:szCs w:val="22"/>
              </w:rPr>
              <w:t>n = 176</w:t>
            </w:r>
          </w:p>
        </w:tc>
        <w:tc>
          <w:tcPr>
            <w:tcW w:w="4284" w:type="dxa"/>
            <w:gridSpan w:val="6"/>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jc w:val="center"/>
              <w:rPr>
                <w:sz w:val="22"/>
                <w:szCs w:val="22"/>
              </w:rPr>
            </w:pPr>
            <w:r>
              <w:rPr>
                <w:sz w:val="22"/>
                <w:szCs w:val="22"/>
              </w:rPr>
              <w:t xml:space="preserve">10 mg adefovirdipivoxil skift til 245 mg tenofovirdisoproxil </w:t>
            </w:r>
          </w:p>
          <w:p w:rsidR="00491918" w:rsidRDefault="00491918" w:rsidP="00FE70EC">
            <w:pPr>
              <w:pStyle w:val="Default"/>
              <w:jc w:val="center"/>
              <w:rPr>
                <w:sz w:val="22"/>
                <w:szCs w:val="22"/>
              </w:rPr>
            </w:pPr>
            <w:r>
              <w:rPr>
                <w:sz w:val="22"/>
                <w:szCs w:val="22"/>
              </w:rPr>
              <w:t>n = 90</w:t>
            </w:r>
          </w:p>
        </w:tc>
      </w:tr>
      <w:tr w:rsidR="00491918" w:rsidTr="00FE70EC">
        <w:tc>
          <w:tcPr>
            <w:tcW w:w="139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rPr>
                <w:b/>
                <w:sz w:val="22"/>
                <w:szCs w:val="22"/>
              </w:rPr>
            </w:pPr>
            <w:r>
              <w:rPr>
                <w:b/>
                <w:sz w:val="22"/>
                <w:szCs w:val="22"/>
              </w:rPr>
              <w:t>Uge</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96</w:t>
            </w:r>
            <w:r>
              <w:rPr>
                <w:sz w:val="22"/>
                <w:szCs w:val="22"/>
                <w:vertAlign w:val="superscript"/>
              </w:rPr>
              <w:t>b</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144</w:t>
            </w:r>
            <w:r>
              <w:rPr>
                <w:sz w:val="22"/>
                <w:szCs w:val="22"/>
                <w:vertAlign w:val="superscript"/>
              </w:rPr>
              <w:t>e</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192</w:t>
            </w:r>
            <w:r>
              <w:rPr>
                <w:sz w:val="22"/>
                <w:szCs w:val="22"/>
                <w:vertAlign w:val="superscript"/>
              </w:rPr>
              <w:t>h</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240</w:t>
            </w:r>
            <w:r>
              <w:rPr>
                <w:sz w:val="22"/>
                <w:szCs w:val="22"/>
                <w:vertAlign w:val="superscript"/>
              </w:rPr>
              <w:t>j</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288</w:t>
            </w:r>
            <w:r>
              <w:rPr>
                <w:sz w:val="22"/>
                <w:szCs w:val="22"/>
                <w:vertAlign w:val="superscript"/>
              </w:rPr>
              <w:t>m</w:t>
            </w:r>
          </w:p>
        </w:tc>
        <w:tc>
          <w:tcPr>
            <w:tcW w:w="78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384</w:t>
            </w:r>
            <w:r>
              <w:rPr>
                <w:sz w:val="22"/>
                <w:szCs w:val="22"/>
                <w:vertAlign w:val="superscript"/>
              </w:rPr>
              <w:t>o</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96</w:t>
            </w:r>
            <w:r>
              <w:rPr>
                <w:sz w:val="22"/>
                <w:szCs w:val="22"/>
                <w:vertAlign w:val="superscript"/>
              </w:rPr>
              <w:t>c</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144</w:t>
            </w:r>
            <w:r>
              <w:rPr>
                <w:sz w:val="22"/>
                <w:szCs w:val="22"/>
                <w:vertAlign w:val="superscript"/>
              </w:rPr>
              <w:t>f</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192</w:t>
            </w:r>
            <w:r>
              <w:rPr>
                <w:sz w:val="22"/>
                <w:szCs w:val="22"/>
                <w:vertAlign w:val="superscript"/>
              </w:rPr>
              <w:t>i</w:t>
            </w:r>
          </w:p>
        </w:tc>
        <w:tc>
          <w:tcPr>
            <w:tcW w:w="757"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240</w:t>
            </w:r>
            <w:r>
              <w:rPr>
                <w:sz w:val="22"/>
                <w:szCs w:val="22"/>
                <w:vertAlign w:val="superscript"/>
              </w:rPr>
              <w:t>k</w:t>
            </w:r>
          </w:p>
        </w:tc>
        <w:tc>
          <w:tcPr>
            <w:tcW w:w="757"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288</w:t>
            </w:r>
            <w:r>
              <w:rPr>
                <w:sz w:val="22"/>
                <w:szCs w:val="22"/>
                <w:vertAlign w:val="superscript"/>
              </w:rPr>
              <w:t>n</w:t>
            </w:r>
          </w:p>
        </w:tc>
        <w:tc>
          <w:tcPr>
            <w:tcW w:w="616"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384</w:t>
            </w:r>
            <w:r>
              <w:rPr>
                <w:sz w:val="22"/>
                <w:szCs w:val="22"/>
                <w:vertAlign w:val="superscript"/>
              </w:rPr>
              <w:t>p</w:t>
            </w:r>
          </w:p>
        </w:tc>
      </w:tr>
      <w:tr w:rsidR="00491918" w:rsidTr="00FE70EC">
        <w:tc>
          <w:tcPr>
            <w:tcW w:w="1390" w:type="dxa"/>
            <w:tcBorders>
              <w:top w:val="single" w:sz="4" w:space="0" w:color="auto"/>
              <w:left w:val="single" w:sz="4" w:space="0" w:color="auto"/>
              <w:bottom w:val="single" w:sz="4" w:space="0" w:color="auto"/>
              <w:right w:val="single" w:sz="4" w:space="0" w:color="auto"/>
            </w:tcBorders>
            <w:hideMark/>
          </w:tcPr>
          <w:p w:rsidR="00491918" w:rsidRPr="00C956F3" w:rsidRDefault="00491918" w:rsidP="00FE70EC">
            <w:pPr>
              <w:tabs>
                <w:tab w:val="left" w:pos="851"/>
              </w:tabs>
              <w:rPr>
                <w:b/>
                <w:sz w:val="22"/>
                <w:szCs w:val="22"/>
                <w:lang w:val="sv-SE"/>
              </w:rPr>
            </w:pPr>
            <w:r w:rsidRPr="00C956F3">
              <w:rPr>
                <w:b/>
                <w:sz w:val="22"/>
                <w:szCs w:val="22"/>
                <w:lang w:val="sv-SE"/>
              </w:rPr>
              <w:t>HBV-dna (%)</w:t>
            </w:r>
          </w:p>
          <w:p w:rsidR="00491918" w:rsidRPr="00C956F3" w:rsidRDefault="00491918" w:rsidP="00FE70EC">
            <w:pPr>
              <w:tabs>
                <w:tab w:val="left" w:pos="851"/>
              </w:tabs>
              <w:rPr>
                <w:sz w:val="22"/>
                <w:szCs w:val="22"/>
                <w:lang w:val="sv-SE"/>
              </w:rPr>
            </w:pPr>
            <w:r w:rsidRPr="00C956F3">
              <w:rPr>
                <w:sz w:val="22"/>
                <w:szCs w:val="22"/>
                <w:lang w:val="sv-SE"/>
              </w:rPr>
              <w:t>&lt;400 kopier/ml</w:t>
            </w:r>
          </w:p>
          <w:p w:rsidR="00491918" w:rsidRPr="00C956F3" w:rsidRDefault="00491918" w:rsidP="00FE70EC">
            <w:pPr>
              <w:tabs>
                <w:tab w:val="left" w:pos="851"/>
              </w:tabs>
              <w:rPr>
                <w:sz w:val="22"/>
                <w:szCs w:val="22"/>
                <w:lang w:val="sv-SE"/>
              </w:rPr>
            </w:pPr>
            <w:r w:rsidRPr="00C956F3">
              <w:rPr>
                <w:sz w:val="22"/>
                <w:szCs w:val="22"/>
                <w:lang w:val="sv-SE"/>
              </w:rPr>
              <w:t>(&lt;69 IE/ml)</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76</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72</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68</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64</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61</w:t>
            </w:r>
          </w:p>
        </w:tc>
        <w:tc>
          <w:tcPr>
            <w:tcW w:w="78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56</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74</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71</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72</w:t>
            </w:r>
          </w:p>
        </w:tc>
        <w:tc>
          <w:tcPr>
            <w:tcW w:w="757"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66</w:t>
            </w:r>
          </w:p>
        </w:tc>
        <w:tc>
          <w:tcPr>
            <w:tcW w:w="757"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65</w:t>
            </w:r>
          </w:p>
        </w:tc>
        <w:tc>
          <w:tcPr>
            <w:tcW w:w="616"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61</w:t>
            </w:r>
          </w:p>
        </w:tc>
      </w:tr>
      <w:tr w:rsidR="00491918" w:rsidTr="00FE70EC">
        <w:tc>
          <w:tcPr>
            <w:tcW w:w="139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rPr>
                <w:b/>
                <w:sz w:val="22"/>
                <w:szCs w:val="22"/>
              </w:rPr>
            </w:pPr>
            <w:r>
              <w:rPr>
                <w:b/>
                <w:sz w:val="22"/>
                <w:szCs w:val="22"/>
              </w:rPr>
              <w:t>ALAT (%)</w:t>
            </w:r>
          </w:p>
          <w:p w:rsidR="00491918" w:rsidRDefault="00491918" w:rsidP="00FE70EC">
            <w:pPr>
              <w:tabs>
                <w:tab w:val="left" w:pos="851"/>
              </w:tabs>
              <w:rPr>
                <w:sz w:val="22"/>
                <w:szCs w:val="22"/>
              </w:rPr>
            </w:pPr>
            <w:r>
              <w:rPr>
                <w:sz w:val="22"/>
                <w:szCs w:val="22"/>
              </w:rPr>
              <w:t>Normaliseret ALAT</w:t>
            </w:r>
            <w:r>
              <w:rPr>
                <w:sz w:val="22"/>
                <w:szCs w:val="22"/>
                <w:vertAlign w:val="superscript"/>
              </w:rPr>
              <w:t>d</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60</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55</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56</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46</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47</w:t>
            </w:r>
          </w:p>
        </w:tc>
        <w:tc>
          <w:tcPr>
            <w:tcW w:w="78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47</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65</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61</w:t>
            </w:r>
          </w:p>
        </w:tc>
        <w:tc>
          <w:tcPr>
            <w:tcW w:w="718"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59</w:t>
            </w:r>
          </w:p>
        </w:tc>
        <w:tc>
          <w:tcPr>
            <w:tcW w:w="757"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56</w:t>
            </w:r>
          </w:p>
        </w:tc>
        <w:tc>
          <w:tcPr>
            <w:tcW w:w="757"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57</w:t>
            </w:r>
          </w:p>
        </w:tc>
        <w:tc>
          <w:tcPr>
            <w:tcW w:w="616"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56</w:t>
            </w:r>
          </w:p>
        </w:tc>
      </w:tr>
      <w:tr w:rsidR="00491918" w:rsidTr="00FE70EC">
        <w:tc>
          <w:tcPr>
            <w:tcW w:w="1390"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rPr>
                <w:sz w:val="22"/>
                <w:szCs w:val="22"/>
              </w:rPr>
            </w:pPr>
            <w:r>
              <w:rPr>
                <w:b/>
                <w:sz w:val="22"/>
                <w:szCs w:val="22"/>
              </w:rPr>
              <w:t>Serologi</w:t>
            </w:r>
            <w:r>
              <w:rPr>
                <w:sz w:val="22"/>
                <w:szCs w:val="22"/>
              </w:rPr>
              <w:t xml:space="preserve"> (%)</w:t>
            </w:r>
          </w:p>
          <w:p w:rsidR="00491918" w:rsidRDefault="00491918" w:rsidP="00FE70EC">
            <w:pPr>
              <w:tabs>
                <w:tab w:val="left" w:pos="851"/>
              </w:tabs>
              <w:rPr>
                <w:sz w:val="22"/>
                <w:szCs w:val="22"/>
              </w:rPr>
            </w:pPr>
          </w:p>
          <w:p w:rsidR="00491918" w:rsidRDefault="00491918" w:rsidP="00FE70EC">
            <w:pPr>
              <w:tabs>
                <w:tab w:val="left" w:pos="851"/>
              </w:tabs>
              <w:rPr>
                <w:sz w:val="22"/>
                <w:szCs w:val="22"/>
              </w:rPr>
            </w:pPr>
            <w:r>
              <w:rPr>
                <w:sz w:val="22"/>
                <w:szCs w:val="22"/>
              </w:rPr>
              <w:t>Tab af HBeAg/sero-konversion</w:t>
            </w:r>
          </w:p>
          <w:p w:rsidR="00491918" w:rsidRDefault="00491918" w:rsidP="00FE70EC">
            <w:pPr>
              <w:tabs>
                <w:tab w:val="left" w:pos="851"/>
              </w:tabs>
              <w:rPr>
                <w:sz w:val="22"/>
                <w:szCs w:val="22"/>
              </w:rPr>
            </w:pPr>
          </w:p>
          <w:p w:rsidR="00491918" w:rsidRDefault="00491918" w:rsidP="00FE70EC">
            <w:pPr>
              <w:tabs>
                <w:tab w:val="left" w:pos="851"/>
              </w:tabs>
              <w:rPr>
                <w:sz w:val="22"/>
                <w:szCs w:val="22"/>
              </w:rPr>
            </w:pPr>
            <w:r>
              <w:rPr>
                <w:sz w:val="22"/>
                <w:szCs w:val="22"/>
              </w:rPr>
              <w:t>Tab af HBsAg/sero-</w:t>
            </w:r>
          </w:p>
          <w:p w:rsidR="00491918" w:rsidRDefault="00491918" w:rsidP="00FE70EC">
            <w:pPr>
              <w:tabs>
                <w:tab w:val="left" w:pos="851"/>
              </w:tabs>
              <w:rPr>
                <w:sz w:val="22"/>
                <w:szCs w:val="22"/>
              </w:rPr>
            </w:pPr>
            <w:r>
              <w:rPr>
                <w:sz w:val="22"/>
                <w:szCs w:val="22"/>
              </w:rPr>
              <w:t>konversion</w:t>
            </w:r>
          </w:p>
        </w:tc>
        <w:tc>
          <w:tcPr>
            <w:tcW w:w="718"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26/23</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5/4</w:t>
            </w:r>
          </w:p>
        </w:tc>
        <w:tc>
          <w:tcPr>
            <w:tcW w:w="718"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29/23</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8/6</w:t>
            </w:r>
            <w:r>
              <w:rPr>
                <w:sz w:val="22"/>
                <w:szCs w:val="22"/>
                <w:vertAlign w:val="superscript"/>
              </w:rPr>
              <w:t>g</w:t>
            </w:r>
          </w:p>
        </w:tc>
        <w:tc>
          <w:tcPr>
            <w:tcW w:w="718"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34/25</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11/8</w:t>
            </w:r>
            <w:r>
              <w:rPr>
                <w:sz w:val="22"/>
                <w:szCs w:val="22"/>
                <w:vertAlign w:val="superscript"/>
              </w:rPr>
              <w:t>g</w:t>
            </w:r>
          </w:p>
        </w:tc>
        <w:tc>
          <w:tcPr>
            <w:tcW w:w="718"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38/30</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11/8</w:t>
            </w:r>
            <w:r>
              <w:rPr>
                <w:sz w:val="22"/>
                <w:szCs w:val="22"/>
                <w:vertAlign w:val="superscript"/>
              </w:rPr>
              <w:t>l</w:t>
            </w:r>
          </w:p>
        </w:tc>
        <w:tc>
          <w:tcPr>
            <w:tcW w:w="718"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37/25</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12/8</w:t>
            </w:r>
            <w:r>
              <w:rPr>
                <w:sz w:val="22"/>
                <w:szCs w:val="22"/>
                <w:vertAlign w:val="superscript"/>
              </w:rPr>
              <w:t>l</w:t>
            </w:r>
          </w:p>
        </w:tc>
        <w:tc>
          <w:tcPr>
            <w:tcW w:w="788"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30/20</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15/12</w:t>
            </w:r>
            <w:r>
              <w:rPr>
                <w:sz w:val="22"/>
                <w:szCs w:val="22"/>
                <w:vertAlign w:val="superscript"/>
              </w:rPr>
              <w:t>1</w:t>
            </w:r>
          </w:p>
        </w:tc>
        <w:tc>
          <w:tcPr>
            <w:tcW w:w="718"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24/20</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6/5</w:t>
            </w:r>
          </w:p>
        </w:tc>
        <w:tc>
          <w:tcPr>
            <w:tcW w:w="718"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33/26</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8/7</w:t>
            </w:r>
            <w:r>
              <w:rPr>
                <w:sz w:val="22"/>
                <w:szCs w:val="22"/>
                <w:vertAlign w:val="superscript"/>
              </w:rPr>
              <w:t>g</w:t>
            </w:r>
          </w:p>
        </w:tc>
        <w:tc>
          <w:tcPr>
            <w:tcW w:w="718"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36/30</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8/7</w:t>
            </w:r>
            <w:r>
              <w:rPr>
                <w:sz w:val="22"/>
                <w:szCs w:val="22"/>
                <w:vertAlign w:val="superscript"/>
              </w:rPr>
              <w:t>g</w:t>
            </w:r>
          </w:p>
        </w:tc>
        <w:tc>
          <w:tcPr>
            <w:tcW w:w="757"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38/31</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10/10</w:t>
            </w:r>
            <w:r>
              <w:rPr>
                <w:sz w:val="22"/>
                <w:szCs w:val="22"/>
                <w:vertAlign w:val="superscript"/>
              </w:rPr>
              <w:t>l</w:t>
            </w:r>
          </w:p>
        </w:tc>
        <w:tc>
          <w:tcPr>
            <w:tcW w:w="757"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40/31</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11/10</w:t>
            </w:r>
            <w:r>
              <w:rPr>
                <w:sz w:val="22"/>
                <w:szCs w:val="22"/>
                <w:vertAlign w:val="superscript"/>
              </w:rPr>
              <w:t>l</w:t>
            </w:r>
          </w:p>
        </w:tc>
        <w:tc>
          <w:tcPr>
            <w:tcW w:w="616" w:type="dxa"/>
            <w:tcBorders>
              <w:top w:val="single" w:sz="4" w:space="0" w:color="auto"/>
              <w:left w:val="single" w:sz="4" w:space="0" w:color="auto"/>
              <w:bottom w:val="single" w:sz="4" w:space="0" w:color="auto"/>
              <w:right w:val="single" w:sz="4" w:space="0" w:color="auto"/>
            </w:tcBorders>
          </w:tcPr>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35/24</w:t>
            </w: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p>
          <w:p w:rsidR="00491918" w:rsidRDefault="00491918" w:rsidP="00FE70EC">
            <w:pPr>
              <w:tabs>
                <w:tab w:val="left" w:pos="851"/>
              </w:tabs>
              <w:jc w:val="center"/>
              <w:rPr>
                <w:sz w:val="22"/>
                <w:szCs w:val="22"/>
              </w:rPr>
            </w:pPr>
            <w:r>
              <w:rPr>
                <w:sz w:val="22"/>
                <w:szCs w:val="22"/>
              </w:rPr>
              <w:t>13/11</w:t>
            </w:r>
            <w:r>
              <w:rPr>
                <w:sz w:val="22"/>
                <w:szCs w:val="22"/>
                <w:vertAlign w:val="superscript"/>
              </w:rPr>
              <w:t>1</w:t>
            </w:r>
          </w:p>
        </w:tc>
      </w:tr>
    </w:tbl>
    <w:p w:rsidR="00491918" w:rsidRDefault="00491918" w:rsidP="00491918">
      <w:pPr>
        <w:pStyle w:val="Default"/>
        <w:tabs>
          <w:tab w:val="left" w:pos="1134"/>
        </w:tabs>
        <w:ind w:left="1134" w:hanging="283"/>
      </w:pPr>
      <w:r>
        <w:rPr>
          <w:vertAlign w:val="superscript"/>
        </w:rPr>
        <w:t>a</w:t>
      </w:r>
      <w:r>
        <w:t xml:space="preserve"> </w:t>
      </w:r>
      <w:r>
        <w:tab/>
        <w:t xml:space="preserve">Baseret på </w:t>
      </w:r>
      <w:r>
        <w:rPr>
          <w:iCs/>
        </w:rPr>
        <w:t>Long Term Evaluation</w:t>
      </w:r>
      <w:r>
        <w:rPr>
          <w:i/>
          <w:iCs/>
        </w:rPr>
        <w:t xml:space="preserve"> </w:t>
      </w:r>
      <w:r>
        <w:t xml:space="preserve">algoritme (LTE-analyse) - Patienter, som afbrød studiet på et vilkårligt tidspunkt før uge 384 pga. et protokoldefineret endepunkt, såvel som dem, der fuldførte uge 384, inkluderes i nævneren. </w:t>
      </w:r>
    </w:p>
    <w:p w:rsidR="00491918" w:rsidRDefault="00491918" w:rsidP="00491918">
      <w:pPr>
        <w:pStyle w:val="Default"/>
        <w:tabs>
          <w:tab w:val="left" w:pos="1134"/>
        </w:tabs>
        <w:ind w:left="1134" w:hanging="283"/>
      </w:pPr>
      <w:r>
        <w:rPr>
          <w:vertAlign w:val="superscript"/>
        </w:rPr>
        <w:t>b</w:t>
      </w:r>
      <w:r>
        <w:t xml:space="preserve"> </w:t>
      </w:r>
      <w:r>
        <w:tab/>
        <w:t xml:space="preserve">48 ugers dobbeltblind tenofovirdisoproxil, efterfulgt af 48 ugers open label. </w:t>
      </w:r>
    </w:p>
    <w:p w:rsidR="00491918" w:rsidRDefault="00491918" w:rsidP="00491918">
      <w:pPr>
        <w:pStyle w:val="Default"/>
        <w:tabs>
          <w:tab w:val="left" w:pos="1134"/>
        </w:tabs>
        <w:ind w:left="1134" w:hanging="283"/>
      </w:pPr>
      <w:r>
        <w:rPr>
          <w:vertAlign w:val="superscript"/>
        </w:rPr>
        <w:t>c</w:t>
      </w:r>
      <w:r>
        <w:t xml:space="preserve"> </w:t>
      </w:r>
      <w:r>
        <w:tab/>
        <w:t xml:space="preserve">48 ugers dobbeltblind adefovirdipivoxil, efterfulgt af 48 ugers open label tenofovirdisoproxil. </w:t>
      </w:r>
    </w:p>
    <w:p w:rsidR="00491918" w:rsidRDefault="00491918" w:rsidP="00491918">
      <w:pPr>
        <w:pStyle w:val="Default"/>
        <w:tabs>
          <w:tab w:val="left" w:pos="1134"/>
        </w:tabs>
        <w:ind w:left="1134" w:hanging="283"/>
      </w:pPr>
      <w:r>
        <w:rPr>
          <w:vertAlign w:val="superscript"/>
        </w:rPr>
        <w:t>d</w:t>
      </w:r>
      <w:r>
        <w:t xml:space="preserve"> </w:t>
      </w:r>
      <w:r>
        <w:tab/>
        <w:t xml:space="preserve">Populationen, som blev brugt til analyse af ALAT-normalisering, inkluderede kun patienter med ALAT over ULN ved baseline. </w:t>
      </w:r>
    </w:p>
    <w:p w:rsidR="00491918" w:rsidRDefault="00491918" w:rsidP="00491918">
      <w:pPr>
        <w:pStyle w:val="Default"/>
        <w:tabs>
          <w:tab w:val="left" w:pos="1134"/>
        </w:tabs>
        <w:ind w:left="1134" w:hanging="283"/>
      </w:pPr>
      <w:r>
        <w:rPr>
          <w:vertAlign w:val="superscript"/>
        </w:rPr>
        <w:t>e</w:t>
      </w:r>
      <w:r>
        <w:t xml:space="preserve"> </w:t>
      </w:r>
      <w:r>
        <w:tab/>
        <w:t xml:space="preserve">48 ugers dobbeltblind tenofovirdisoproxil, efterfulgt af 96 ugers open label. </w:t>
      </w:r>
    </w:p>
    <w:p w:rsidR="00491918" w:rsidRDefault="00491918" w:rsidP="00491918">
      <w:pPr>
        <w:pStyle w:val="Default"/>
        <w:tabs>
          <w:tab w:val="left" w:pos="1134"/>
        </w:tabs>
        <w:ind w:left="1134" w:hanging="283"/>
      </w:pPr>
      <w:r>
        <w:rPr>
          <w:vertAlign w:val="superscript"/>
        </w:rPr>
        <w:t>f</w:t>
      </w:r>
      <w:r>
        <w:t xml:space="preserve"> </w:t>
      </w:r>
      <w:r>
        <w:tab/>
        <w:t xml:space="preserve">48 ugers dobbeltblind adefovirdipivoxil, efterfulgt af 96 ugers open label tenofovirdisoproxil. </w:t>
      </w:r>
    </w:p>
    <w:p w:rsidR="00491918" w:rsidRDefault="00491918" w:rsidP="00491918">
      <w:pPr>
        <w:pStyle w:val="Default"/>
        <w:tabs>
          <w:tab w:val="left" w:pos="1134"/>
        </w:tabs>
        <w:ind w:left="1134" w:hanging="283"/>
      </w:pPr>
      <w:r>
        <w:rPr>
          <w:vertAlign w:val="superscript"/>
        </w:rPr>
        <w:t>g</w:t>
      </w:r>
      <w:r>
        <w:t xml:space="preserve"> </w:t>
      </w:r>
      <w:r>
        <w:tab/>
        <w:t xml:space="preserve">De viste tal er kumulative procentdele baseret på en Kaplan Meier-analyse, som inkluderer data indsamlet efter tillæg af emtricitabin til open label tenofovirdisoproxil (KM-ITT). </w:t>
      </w:r>
    </w:p>
    <w:p w:rsidR="00491918" w:rsidRDefault="00491918" w:rsidP="00491918">
      <w:pPr>
        <w:pStyle w:val="Default"/>
        <w:tabs>
          <w:tab w:val="left" w:pos="1134"/>
        </w:tabs>
        <w:ind w:left="1134" w:hanging="283"/>
      </w:pPr>
      <w:r>
        <w:rPr>
          <w:vertAlign w:val="superscript"/>
        </w:rPr>
        <w:t>h</w:t>
      </w:r>
      <w:r>
        <w:t xml:space="preserve"> </w:t>
      </w:r>
      <w:r>
        <w:tab/>
        <w:t xml:space="preserve">48 ugers dobbeltblind tenofovirdisoproxil, efterfulgt af 144 ugers open label. </w:t>
      </w:r>
    </w:p>
    <w:p w:rsidR="00491918" w:rsidRDefault="00491918" w:rsidP="00491918">
      <w:pPr>
        <w:pStyle w:val="Default"/>
        <w:tabs>
          <w:tab w:val="left" w:pos="1134"/>
        </w:tabs>
        <w:ind w:left="1134" w:hanging="283"/>
      </w:pPr>
      <w:r>
        <w:rPr>
          <w:vertAlign w:val="superscript"/>
        </w:rPr>
        <w:t>i</w:t>
      </w:r>
      <w:r>
        <w:t xml:space="preserve"> </w:t>
      </w:r>
      <w:r>
        <w:tab/>
        <w:t xml:space="preserve">48 ugers dobbeltblind adefovirdipivoxil, efterfulgt af 144 ugers open label tenofovirdisoproxil. </w:t>
      </w:r>
    </w:p>
    <w:p w:rsidR="00491918" w:rsidRDefault="00491918" w:rsidP="00491918">
      <w:pPr>
        <w:pStyle w:val="Default"/>
        <w:tabs>
          <w:tab w:val="left" w:pos="1134"/>
        </w:tabs>
        <w:ind w:left="1134" w:hanging="283"/>
      </w:pPr>
      <w:r>
        <w:rPr>
          <w:vertAlign w:val="superscript"/>
        </w:rPr>
        <w:t xml:space="preserve">j </w:t>
      </w:r>
      <w:r>
        <w:tab/>
        <w:t xml:space="preserve">48 ugers dobbeltblind tenofovirdisoproxil, efterfulgt af 192 ugers open label. </w:t>
      </w:r>
    </w:p>
    <w:p w:rsidR="00491918" w:rsidRDefault="00491918" w:rsidP="00491918">
      <w:pPr>
        <w:pStyle w:val="Default"/>
        <w:tabs>
          <w:tab w:val="left" w:pos="1134"/>
        </w:tabs>
        <w:ind w:left="1134" w:hanging="283"/>
      </w:pPr>
      <w:r>
        <w:rPr>
          <w:vertAlign w:val="superscript"/>
        </w:rPr>
        <w:t>k</w:t>
      </w:r>
      <w:r>
        <w:t xml:space="preserve"> </w:t>
      </w:r>
      <w:r>
        <w:tab/>
        <w:t xml:space="preserve">48 ugers dobbeltblind adefovirdipivoxil, efterfulgt af 192 ugers open label tenofovirdisoproxil. </w:t>
      </w:r>
    </w:p>
    <w:p w:rsidR="00491918" w:rsidRDefault="00491918" w:rsidP="00491918">
      <w:pPr>
        <w:pStyle w:val="Default"/>
        <w:tabs>
          <w:tab w:val="left" w:pos="1134"/>
        </w:tabs>
        <w:ind w:left="1134" w:hanging="283"/>
      </w:pPr>
      <w:r>
        <w:rPr>
          <w:vertAlign w:val="superscript"/>
        </w:rPr>
        <w:t>l</w:t>
      </w:r>
      <w:r>
        <w:t xml:space="preserve"> </w:t>
      </w:r>
      <w:r>
        <w:tab/>
        <w:t xml:space="preserve">De viste tal er kumulative procenter baseret på en Kaplan Meier-analyse, som ekskluderer data indsamlet efter tillæg af emtricitabin til open label tenofovirdisoproxil (KM-TDF). </w:t>
      </w:r>
    </w:p>
    <w:p w:rsidR="00491918" w:rsidRDefault="00491918" w:rsidP="00491918">
      <w:pPr>
        <w:pStyle w:val="Default"/>
        <w:tabs>
          <w:tab w:val="left" w:pos="1134"/>
        </w:tabs>
        <w:ind w:left="1134" w:hanging="283"/>
      </w:pPr>
      <w:r>
        <w:rPr>
          <w:vertAlign w:val="superscript"/>
        </w:rPr>
        <w:t>m</w:t>
      </w:r>
      <w:r>
        <w:tab/>
        <w:t xml:space="preserve">48 ugers dobbeltblind tenofovirdisoproxil, efterfulgt af 240 ugers open label. </w:t>
      </w:r>
    </w:p>
    <w:p w:rsidR="00491918" w:rsidRDefault="00491918" w:rsidP="00491918">
      <w:pPr>
        <w:pStyle w:val="Default"/>
        <w:tabs>
          <w:tab w:val="left" w:pos="1134"/>
        </w:tabs>
        <w:ind w:left="1134" w:hanging="283"/>
      </w:pPr>
      <w:r>
        <w:rPr>
          <w:vertAlign w:val="superscript"/>
        </w:rPr>
        <w:t>n</w:t>
      </w:r>
      <w:r>
        <w:t xml:space="preserve"> </w:t>
      </w:r>
      <w:r>
        <w:tab/>
        <w:t xml:space="preserve">48 ugers dobbeltblind adefovirdipivoxil, efterfulgt af 240 ugers open label tenofovirdisoproxil. </w:t>
      </w:r>
    </w:p>
    <w:p w:rsidR="00491918" w:rsidRDefault="00491918" w:rsidP="00491918">
      <w:pPr>
        <w:pStyle w:val="Default"/>
        <w:tabs>
          <w:tab w:val="left" w:pos="1134"/>
        </w:tabs>
        <w:ind w:left="1134" w:hanging="283"/>
      </w:pPr>
      <w:r>
        <w:rPr>
          <w:vertAlign w:val="superscript"/>
        </w:rPr>
        <w:t>o</w:t>
      </w:r>
      <w:r>
        <w:tab/>
        <w:t>48 ugers dobbeltblind tenofovirdisoproxil, efterfulgt af 336 ugers open label.</w:t>
      </w:r>
    </w:p>
    <w:p w:rsidR="00491918" w:rsidRDefault="00491918" w:rsidP="00491918">
      <w:pPr>
        <w:pStyle w:val="Default"/>
        <w:tabs>
          <w:tab w:val="left" w:pos="1134"/>
        </w:tabs>
        <w:ind w:left="1134" w:hanging="283"/>
      </w:pPr>
      <w:r>
        <w:rPr>
          <w:vertAlign w:val="superscript"/>
        </w:rPr>
        <w:t>p</w:t>
      </w:r>
      <w:r>
        <w:tab/>
        <w:t>48 ugers dobbeltblind adefovirdipivoxil, efterfulgt af 336 ugers open label tenofovirdisoproxil.</w:t>
      </w:r>
    </w:p>
    <w:p w:rsidR="00491918" w:rsidRDefault="00491918" w:rsidP="00491918">
      <w:pPr>
        <w:pStyle w:val="Default"/>
        <w:rPr>
          <w:sz w:val="18"/>
          <w:szCs w:val="18"/>
        </w:rPr>
      </w:pPr>
    </w:p>
    <w:p w:rsidR="00491918" w:rsidRDefault="00491918" w:rsidP="00491918">
      <w:pPr>
        <w:tabs>
          <w:tab w:val="left" w:pos="851"/>
        </w:tabs>
        <w:ind w:left="851" w:hanging="851"/>
        <w:rPr>
          <w:sz w:val="24"/>
          <w:szCs w:val="24"/>
        </w:rPr>
      </w:pPr>
      <w:r>
        <w:rPr>
          <w:sz w:val="22"/>
          <w:szCs w:val="22"/>
        </w:rPr>
        <w:tab/>
      </w:r>
      <w:r>
        <w:rPr>
          <w:szCs w:val="24"/>
        </w:rPr>
        <w:t xml:space="preserve">Data for leverbiopsi ved både </w:t>
      </w:r>
      <w:r>
        <w:rPr>
          <w:iCs/>
          <w:szCs w:val="24"/>
        </w:rPr>
        <w:t>baseline</w:t>
      </w:r>
      <w:r>
        <w:rPr>
          <w:i/>
          <w:iCs/>
          <w:szCs w:val="24"/>
        </w:rPr>
        <w:t xml:space="preserve"> </w:t>
      </w:r>
      <w:r>
        <w:rPr>
          <w:szCs w:val="24"/>
        </w:rPr>
        <w:t xml:space="preserve">og uge 240 var tilgængelige for 331/489 patienter, som forblev i studierne GS-US-174-0102 og GS-US-174-0103 ved uge 240 (se tabel 6 nedenfor). 95 % (225/237) af patienterne uden cirrose ved </w:t>
      </w:r>
      <w:r>
        <w:rPr>
          <w:iCs/>
          <w:szCs w:val="24"/>
        </w:rPr>
        <w:t>baseline</w:t>
      </w:r>
      <w:r>
        <w:rPr>
          <w:i/>
          <w:iCs/>
          <w:szCs w:val="24"/>
        </w:rPr>
        <w:t xml:space="preserve"> </w:t>
      </w:r>
      <w:r>
        <w:rPr>
          <w:szCs w:val="24"/>
        </w:rPr>
        <w:t xml:space="preserve">og 99 % (93/94) af patienterne med cirrose ved </w:t>
      </w:r>
      <w:r>
        <w:rPr>
          <w:i/>
          <w:iCs/>
          <w:szCs w:val="24"/>
        </w:rPr>
        <w:t xml:space="preserve">baseline </w:t>
      </w:r>
      <w:r>
        <w:rPr>
          <w:szCs w:val="24"/>
        </w:rPr>
        <w:t xml:space="preserve">havde enten ingen ændring eller en bedring af fibrosen (Ishaks fibrosescore). Ud af 94 patienter med cirrose ved </w:t>
      </w:r>
      <w:r>
        <w:rPr>
          <w:iCs/>
          <w:szCs w:val="24"/>
        </w:rPr>
        <w:t>baseline</w:t>
      </w:r>
      <w:r>
        <w:rPr>
          <w:i/>
          <w:iCs/>
          <w:szCs w:val="24"/>
        </w:rPr>
        <w:t xml:space="preserve"> </w:t>
      </w:r>
      <w:r>
        <w:rPr>
          <w:szCs w:val="24"/>
        </w:rPr>
        <w:t>(Ishaks fibrosescore 5-6) oplevede 26 % (24) ingen ændring i Ishaks fibrosescore, og 72 % (68) oplevede regression af cirrose ved uge 240 med en reduktion i Ishaks fibrosescore på mindst 2 point.</w:t>
      </w:r>
    </w:p>
    <w:p w:rsidR="00491918" w:rsidRDefault="00491918" w:rsidP="00491918">
      <w:pPr>
        <w:tabs>
          <w:tab w:val="left" w:pos="851"/>
        </w:tabs>
        <w:ind w:left="851" w:hanging="851"/>
        <w:rPr>
          <w:sz w:val="22"/>
          <w:szCs w:val="22"/>
        </w:rPr>
      </w:pPr>
    </w:p>
    <w:p w:rsidR="00491918" w:rsidRDefault="00491918" w:rsidP="00FE70EC">
      <w:pPr>
        <w:keepNext/>
        <w:tabs>
          <w:tab w:val="left" w:pos="851"/>
        </w:tabs>
        <w:ind w:left="851" w:hanging="851"/>
        <w:rPr>
          <w:sz w:val="24"/>
          <w:szCs w:val="24"/>
        </w:rPr>
      </w:pPr>
      <w:r>
        <w:rPr>
          <w:b/>
          <w:bCs/>
          <w:szCs w:val="24"/>
        </w:rPr>
        <w:tab/>
        <w:t xml:space="preserve">Tabel 6: Histologisk respons (%) hos kompenserede HBeAg-negative og HBeAg-positive forsøgspersoner ved uge 240 sammenlignet med </w:t>
      </w:r>
      <w:r>
        <w:rPr>
          <w:b/>
          <w:bCs/>
          <w:iCs/>
          <w:szCs w:val="24"/>
        </w:rPr>
        <w:t>baseline</w:t>
      </w:r>
    </w:p>
    <w:tbl>
      <w:tblPr>
        <w:tblW w:w="940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070"/>
        <w:gridCol w:w="2070"/>
        <w:gridCol w:w="2070"/>
        <w:gridCol w:w="2070"/>
      </w:tblGrid>
      <w:tr w:rsidR="00491918" w:rsidTr="00FE70EC">
        <w:tc>
          <w:tcPr>
            <w:tcW w:w="1496" w:type="dxa"/>
            <w:tcBorders>
              <w:top w:val="single" w:sz="4" w:space="0" w:color="auto"/>
              <w:left w:val="single" w:sz="4" w:space="0" w:color="auto"/>
              <w:bottom w:val="single" w:sz="4" w:space="0" w:color="auto"/>
              <w:right w:val="single" w:sz="4" w:space="0" w:color="auto"/>
            </w:tcBorders>
          </w:tcPr>
          <w:p w:rsidR="00491918" w:rsidRDefault="00491918" w:rsidP="00FE70EC">
            <w:pPr>
              <w:keepNext/>
              <w:tabs>
                <w:tab w:val="left" w:pos="851"/>
              </w:tabs>
              <w:rPr>
                <w:szCs w:val="24"/>
              </w:rPr>
            </w:pPr>
          </w:p>
        </w:tc>
        <w:tc>
          <w:tcPr>
            <w:tcW w:w="3953" w:type="dxa"/>
            <w:gridSpan w:val="2"/>
            <w:tcBorders>
              <w:top w:val="single" w:sz="4" w:space="0" w:color="auto"/>
              <w:left w:val="single" w:sz="4" w:space="0" w:color="auto"/>
              <w:bottom w:val="single" w:sz="4" w:space="0" w:color="auto"/>
              <w:right w:val="single" w:sz="4" w:space="0" w:color="auto"/>
            </w:tcBorders>
          </w:tcPr>
          <w:p w:rsidR="00491918" w:rsidRDefault="00491918" w:rsidP="00FE70EC">
            <w:pPr>
              <w:pStyle w:val="Default"/>
              <w:keepNext/>
              <w:jc w:val="center"/>
            </w:pPr>
            <w:r>
              <w:rPr>
                <w:b/>
                <w:bCs/>
              </w:rPr>
              <w:t>Studie 174-0102 (HBeAg-negativ)</w:t>
            </w:r>
          </w:p>
          <w:p w:rsidR="00491918" w:rsidRDefault="00491918" w:rsidP="00FE70EC">
            <w:pPr>
              <w:keepNext/>
              <w:tabs>
                <w:tab w:val="left" w:pos="851"/>
              </w:tabs>
              <w:jc w:val="center"/>
              <w:rPr>
                <w:szCs w:val="24"/>
              </w:rPr>
            </w:pPr>
          </w:p>
        </w:tc>
        <w:tc>
          <w:tcPr>
            <w:tcW w:w="3953" w:type="dxa"/>
            <w:gridSpan w:val="2"/>
            <w:tcBorders>
              <w:top w:val="single" w:sz="4" w:space="0" w:color="auto"/>
              <w:left w:val="single" w:sz="4" w:space="0" w:color="auto"/>
              <w:bottom w:val="single" w:sz="4" w:space="0" w:color="auto"/>
              <w:right w:val="single" w:sz="4" w:space="0" w:color="auto"/>
            </w:tcBorders>
          </w:tcPr>
          <w:p w:rsidR="00491918" w:rsidRDefault="00491918" w:rsidP="00FE70EC">
            <w:pPr>
              <w:pStyle w:val="Default"/>
              <w:keepNext/>
              <w:jc w:val="center"/>
            </w:pPr>
            <w:r>
              <w:rPr>
                <w:b/>
                <w:bCs/>
              </w:rPr>
              <w:t>Studie 174-0103 (HBeAg-positiv)</w:t>
            </w:r>
          </w:p>
          <w:p w:rsidR="00491918" w:rsidRDefault="00491918" w:rsidP="00FE70EC">
            <w:pPr>
              <w:keepNext/>
              <w:tabs>
                <w:tab w:val="left" w:pos="851"/>
              </w:tabs>
              <w:jc w:val="center"/>
              <w:rPr>
                <w:szCs w:val="24"/>
              </w:rPr>
            </w:pPr>
          </w:p>
        </w:tc>
      </w:tr>
      <w:tr w:rsidR="00491918" w:rsidTr="00FE70EC">
        <w:tc>
          <w:tcPr>
            <w:tcW w:w="1496" w:type="dxa"/>
            <w:tcBorders>
              <w:top w:val="single" w:sz="4" w:space="0" w:color="auto"/>
              <w:left w:val="single" w:sz="4" w:space="0" w:color="auto"/>
              <w:bottom w:val="single" w:sz="4" w:space="0" w:color="auto"/>
              <w:right w:val="single" w:sz="4" w:space="0" w:color="auto"/>
            </w:tcBorders>
          </w:tcPr>
          <w:p w:rsidR="00491918" w:rsidRDefault="00491918" w:rsidP="00FE70EC">
            <w:pPr>
              <w:keepNext/>
              <w:tabs>
                <w:tab w:val="left" w:pos="851"/>
              </w:tabs>
              <w:rPr>
                <w:szCs w:val="24"/>
              </w:rPr>
            </w:pPr>
          </w:p>
        </w:tc>
        <w:tc>
          <w:tcPr>
            <w:tcW w:w="2070" w:type="dxa"/>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keepNext/>
              <w:jc w:val="center"/>
            </w:pPr>
            <w:r>
              <w:t xml:space="preserve">245 mg tenofovirdisoproxil </w:t>
            </w:r>
          </w:p>
          <w:p w:rsidR="00491918" w:rsidRDefault="00491918" w:rsidP="00FE70EC">
            <w:pPr>
              <w:keepNext/>
              <w:tabs>
                <w:tab w:val="left" w:pos="851"/>
              </w:tabs>
              <w:jc w:val="center"/>
              <w:rPr>
                <w:szCs w:val="24"/>
              </w:rPr>
            </w:pPr>
            <w:r>
              <w:rPr>
                <w:szCs w:val="24"/>
              </w:rPr>
              <w:t>n = 250</w:t>
            </w:r>
            <w:r>
              <w:rPr>
                <w:szCs w:val="24"/>
                <w:vertAlign w:val="superscript"/>
              </w:rPr>
              <w:t>c</w:t>
            </w:r>
          </w:p>
        </w:tc>
        <w:tc>
          <w:tcPr>
            <w:tcW w:w="1883" w:type="dxa"/>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keepNext/>
              <w:jc w:val="center"/>
            </w:pPr>
            <w:r>
              <w:t>10 mg adefovirdipivoxil skiftet over til 245 mg tenofovirdisoproxil</w:t>
            </w:r>
          </w:p>
          <w:p w:rsidR="00491918" w:rsidRDefault="00491918" w:rsidP="00FE70EC">
            <w:pPr>
              <w:keepNext/>
              <w:tabs>
                <w:tab w:val="left" w:pos="851"/>
              </w:tabs>
              <w:jc w:val="center"/>
              <w:rPr>
                <w:szCs w:val="24"/>
              </w:rPr>
            </w:pPr>
            <w:r>
              <w:rPr>
                <w:szCs w:val="24"/>
              </w:rPr>
              <w:t>n = 125</w:t>
            </w:r>
            <w:r>
              <w:rPr>
                <w:szCs w:val="24"/>
                <w:vertAlign w:val="superscript"/>
              </w:rPr>
              <w:t>d</w:t>
            </w:r>
          </w:p>
        </w:tc>
        <w:tc>
          <w:tcPr>
            <w:tcW w:w="2070" w:type="dxa"/>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keepNext/>
              <w:jc w:val="center"/>
            </w:pPr>
            <w:r>
              <w:t xml:space="preserve">245 mg tenofovirdisoproxil </w:t>
            </w:r>
          </w:p>
          <w:p w:rsidR="00491918" w:rsidRDefault="00491918" w:rsidP="00FE70EC">
            <w:pPr>
              <w:keepNext/>
              <w:tabs>
                <w:tab w:val="left" w:pos="851"/>
              </w:tabs>
              <w:jc w:val="center"/>
              <w:rPr>
                <w:szCs w:val="24"/>
              </w:rPr>
            </w:pPr>
            <w:r>
              <w:rPr>
                <w:szCs w:val="24"/>
              </w:rPr>
              <w:t>n = 176</w:t>
            </w:r>
            <w:r>
              <w:rPr>
                <w:szCs w:val="24"/>
                <w:vertAlign w:val="superscript"/>
              </w:rPr>
              <w:t>c</w:t>
            </w:r>
          </w:p>
        </w:tc>
        <w:tc>
          <w:tcPr>
            <w:tcW w:w="1883" w:type="dxa"/>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keepNext/>
              <w:jc w:val="center"/>
            </w:pPr>
            <w:r>
              <w:t>10 mg adefovirdipivoxil skiftet over til 245 mg tenofovirdisoproxil</w:t>
            </w:r>
          </w:p>
          <w:p w:rsidR="00491918" w:rsidRDefault="00491918" w:rsidP="00FE70EC">
            <w:pPr>
              <w:keepNext/>
              <w:tabs>
                <w:tab w:val="left" w:pos="851"/>
              </w:tabs>
              <w:jc w:val="center"/>
              <w:rPr>
                <w:szCs w:val="24"/>
              </w:rPr>
            </w:pPr>
            <w:r>
              <w:rPr>
                <w:szCs w:val="24"/>
              </w:rPr>
              <w:t>n = 90</w:t>
            </w:r>
            <w:r>
              <w:rPr>
                <w:szCs w:val="24"/>
                <w:vertAlign w:val="superscript"/>
              </w:rPr>
              <w:t>d</w:t>
            </w:r>
          </w:p>
        </w:tc>
      </w:tr>
      <w:tr w:rsidR="00491918" w:rsidTr="00FE70EC">
        <w:tc>
          <w:tcPr>
            <w:tcW w:w="1496" w:type="dxa"/>
            <w:tcBorders>
              <w:top w:val="single" w:sz="4" w:space="0" w:color="auto"/>
              <w:left w:val="single" w:sz="4" w:space="0" w:color="auto"/>
              <w:bottom w:val="single" w:sz="4" w:space="0" w:color="auto"/>
              <w:right w:val="single" w:sz="4" w:space="0" w:color="auto"/>
            </w:tcBorders>
            <w:hideMark/>
          </w:tcPr>
          <w:p w:rsidR="00491918" w:rsidRDefault="00491918" w:rsidP="00FE70EC">
            <w:pPr>
              <w:keepNext/>
              <w:tabs>
                <w:tab w:val="left" w:pos="851"/>
              </w:tabs>
              <w:rPr>
                <w:b/>
                <w:szCs w:val="24"/>
              </w:rPr>
            </w:pPr>
            <w:r>
              <w:rPr>
                <w:b/>
                <w:szCs w:val="24"/>
              </w:rPr>
              <w:t>Histologi</w:t>
            </w:r>
          </w:p>
          <w:p w:rsidR="00491918" w:rsidRDefault="00491918" w:rsidP="00FE70EC">
            <w:pPr>
              <w:tabs>
                <w:tab w:val="left" w:pos="851"/>
              </w:tabs>
              <w:rPr>
                <w:szCs w:val="24"/>
              </w:rPr>
            </w:pPr>
            <w:r>
              <w:rPr>
                <w:szCs w:val="24"/>
              </w:rPr>
              <w:t xml:space="preserve">Histologisk </w:t>
            </w:r>
            <w:proofErr w:type="gramStart"/>
            <w:r>
              <w:rPr>
                <w:szCs w:val="24"/>
              </w:rPr>
              <w:t>respons</w:t>
            </w:r>
            <w:r>
              <w:rPr>
                <w:szCs w:val="24"/>
                <w:vertAlign w:val="superscript"/>
              </w:rPr>
              <w:t>a,b</w:t>
            </w:r>
            <w:proofErr w:type="gramEnd"/>
            <w:r>
              <w:rPr>
                <w:szCs w:val="24"/>
              </w:rPr>
              <w:t xml:space="preserve"> (%)</w:t>
            </w:r>
          </w:p>
        </w:tc>
        <w:tc>
          <w:tcPr>
            <w:tcW w:w="207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88</w:t>
            </w:r>
          </w:p>
          <w:p w:rsidR="00491918" w:rsidRDefault="00491918" w:rsidP="00FE70EC">
            <w:pPr>
              <w:tabs>
                <w:tab w:val="left" w:pos="851"/>
              </w:tabs>
              <w:jc w:val="center"/>
              <w:rPr>
                <w:szCs w:val="24"/>
              </w:rPr>
            </w:pPr>
            <w:r>
              <w:rPr>
                <w:szCs w:val="24"/>
              </w:rPr>
              <w:t>[130/148]</w:t>
            </w:r>
          </w:p>
        </w:tc>
        <w:tc>
          <w:tcPr>
            <w:tcW w:w="1883"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85</w:t>
            </w:r>
          </w:p>
          <w:p w:rsidR="00491918" w:rsidRDefault="00491918" w:rsidP="00FE70EC">
            <w:pPr>
              <w:tabs>
                <w:tab w:val="left" w:pos="851"/>
              </w:tabs>
              <w:jc w:val="center"/>
              <w:rPr>
                <w:szCs w:val="24"/>
              </w:rPr>
            </w:pPr>
            <w:r>
              <w:rPr>
                <w:szCs w:val="24"/>
              </w:rPr>
              <w:t>[63/74]</w:t>
            </w:r>
          </w:p>
        </w:tc>
        <w:tc>
          <w:tcPr>
            <w:tcW w:w="207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90</w:t>
            </w:r>
          </w:p>
          <w:p w:rsidR="00491918" w:rsidRDefault="00491918" w:rsidP="00FE70EC">
            <w:pPr>
              <w:tabs>
                <w:tab w:val="left" w:pos="851"/>
              </w:tabs>
              <w:jc w:val="center"/>
              <w:rPr>
                <w:szCs w:val="24"/>
              </w:rPr>
            </w:pPr>
            <w:r>
              <w:rPr>
                <w:szCs w:val="24"/>
              </w:rPr>
              <w:t>[63/70]</w:t>
            </w:r>
          </w:p>
        </w:tc>
        <w:tc>
          <w:tcPr>
            <w:tcW w:w="1883"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Cs w:val="24"/>
              </w:rPr>
            </w:pPr>
            <w:r>
              <w:rPr>
                <w:szCs w:val="24"/>
              </w:rPr>
              <w:t>92</w:t>
            </w:r>
          </w:p>
          <w:p w:rsidR="00491918" w:rsidRDefault="00491918" w:rsidP="00FE70EC">
            <w:pPr>
              <w:tabs>
                <w:tab w:val="left" w:pos="851"/>
              </w:tabs>
              <w:jc w:val="center"/>
              <w:rPr>
                <w:szCs w:val="24"/>
              </w:rPr>
            </w:pPr>
            <w:r>
              <w:rPr>
                <w:szCs w:val="24"/>
              </w:rPr>
              <w:t>[36/39]</w:t>
            </w:r>
          </w:p>
        </w:tc>
      </w:tr>
    </w:tbl>
    <w:p w:rsidR="00491918" w:rsidRDefault="00491918" w:rsidP="00491918">
      <w:pPr>
        <w:pStyle w:val="Default"/>
        <w:tabs>
          <w:tab w:val="left" w:pos="1134"/>
        </w:tabs>
        <w:ind w:left="1134" w:hanging="283"/>
      </w:pPr>
      <w:r>
        <w:rPr>
          <w:vertAlign w:val="superscript"/>
        </w:rPr>
        <w:t>a</w:t>
      </w:r>
      <w:r>
        <w:tab/>
        <w:t xml:space="preserve">Populationen, som blev analyseret histologisk, inkluderede kun patienter med tilgængelige data fra leverbiopsi (manglende = ekskluderet) ved uge 240. Respons efter tillæg af emtricitabin er ekskluderet (i alt 17 forsøgspersoner i begge studier). </w:t>
      </w:r>
    </w:p>
    <w:p w:rsidR="00491918" w:rsidRDefault="00491918" w:rsidP="00491918">
      <w:pPr>
        <w:pStyle w:val="Default"/>
        <w:tabs>
          <w:tab w:val="left" w:pos="1134"/>
        </w:tabs>
        <w:ind w:left="1134" w:hanging="283"/>
      </w:pPr>
      <w:r>
        <w:rPr>
          <w:vertAlign w:val="superscript"/>
        </w:rPr>
        <w:t>b</w:t>
      </w:r>
      <w:r>
        <w:tab/>
        <w:t xml:space="preserve">Forbedring af Knodells nekroinflammatoriske score på mindst 2 point uden forværring af Knodells fibrosescore. </w:t>
      </w:r>
    </w:p>
    <w:p w:rsidR="00491918" w:rsidRDefault="00491918" w:rsidP="00491918">
      <w:pPr>
        <w:pStyle w:val="Default"/>
        <w:tabs>
          <w:tab w:val="left" w:pos="1134"/>
        </w:tabs>
        <w:ind w:left="1134" w:hanging="283"/>
      </w:pPr>
      <w:r>
        <w:rPr>
          <w:vertAlign w:val="superscript"/>
        </w:rPr>
        <w:t>c</w:t>
      </w:r>
      <w:r>
        <w:tab/>
        <w:t xml:space="preserve">48 ugers dobbeltblind tenofovirdisoproxil, efterfulgt af op til 192 ugers </w:t>
      </w:r>
      <w:r>
        <w:rPr>
          <w:iCs/>
        </w:rPr>
        <w:t>open label</w:t>
      </w:r>
      <w:r>
        <w:t xml:space="preserve">. </w:t>
      </w:r>
    </w:p>
    <w:p w:rsidR="00491918" w:rsidRDefault="00491918" w:rsidP="00491918">
      <w:pPr>
        <w:pStyle w:val="Default"/>
        <w:tabs>
          <w:tab w:val="left" w:pos="1134"/>
        </w:tabs>
        <w:ind w:left="1134" w:hanging="283"/>
      </w:pPr>
      <w:r>
        <w:rPr>
          <w:vertAlign w:val="superscript"/>
        </w:rPr>
        <w:t>d</w:t>
      </w:r>
      <w:r>
        <w:tab/>
        <w:t xml:space="preserve">48 ugers dobbeltblind adefovirdipivoxil, efterfulgt af op til 192 ugers </w:t>
      </w:r>
      <w:r>
        <w:rPr>
          <w:iCs/>
        </w:rPr>
        <w:t>open label</w:t>
      </w:r>
      <w:r>
        <w:rPr>
          <w:i/>
          <w:iCs/>
        </w:rPr>
        <w:t xml:space="preserve"> </w:t>
      </w:r>
      <w:r>
        <w:t xml:space="preserve">tenofovirdisoproxil. </w:t>
      </w:r>
    </w:p>
    <w:p w:rsidR="00491918" w:rsidRDefault="00491918" w:rsidP="00491918">
      <w:pPr>
        <w:pStyle w:val="Default"/>
        <w:rPr>
          <w:sz w:val="18"/>
          <w:szCs w:val="18"/>
        </w:rPr>
      </w:pPr>
    </w:p>
    <w:p w:rsidR="00491918" w:rsidRDefault="00491918" w:rsidP="00491918">
      <w:pPr>
        <w:pStyle w:val="Default"/>
        <w:ind w:left="851"/>
      </w:pPr>
      <w:r>
        <w:rPr>
          <w:i/>
          <w:iCs/>
        </w:rPr>
        <w:t xml:space="preserve">Erfaring hos patienter med samtidig hiv-infektion og tidligere erfaring med lamivudin </w:t>
      </w:r>
    </w:p>
    <w:p w:rsidR="00491918" w:rsidRDefault="00491918" w:rsidP="00491918">
      <w:pPr>
        <w:pStyle w:val="Default"/>
        <w:ind w:left="851"/>
      </w:pPr>
      <w:r>
        <w:t xml:space="preserve">I et randomiseret 48-ugers dobbeltblindt, kontrolleret studie af 245 mg tenofovirdisoproxil hos voksne patienter med samtidig infektion med hiv 1 og kronisk hepatitis B, der tidligere blev behandlet med lamivudin (studie ACTG 5127), var de gennemsnitlige serum-HBV-dna-niveauer ved </w:t>
      </w:r>
      <w:r>
        <w:rPr>
          <w:iCs/>
        </w:rPr>
        <w:t>baseline</w:t>
      </w:r>
      <w:r>
        <w:rPr>
          <w:i/>
          <w:iCs/>
        </w:rPr>
        <w:t xml:space="preserve"> </w:t>
      </w:r>
      <w:r>
        <w:t>på 9,45 log</w:t>
      </w:r>
      <w:r>
        <w:rPr>
          <w:vertAlign w:val="subscript"/>
        </w:rPr>
        <w:t>10</w:t>
      </w:r>
      <w:r>
        <w:t xml:space="preserve"> kopier/ml (n = 27) hos de patienter, der var randomiseret til tenofovir-armen. Behandling med 245 mg tenofovirdisoproxil var forbundet med en gennemsnitlig ændring i serum-HBV-dna fra </w:t>
      </w:r>
      <w:r>
        <w:rPr>
          <w:iCs/>
        </w:rPr>
        <w:t>baseline</w:t>
      </w:r>
      <w:r>
        <w:rPr>
          <w:i/>
          <w:iCs/>
        </w:rPr>
        <w:t xml:space="preserve"> </w:t>
      </w:r>
      <w:r>
        <w:t>på -5,74 log</w:t>
      </w:r>
      <w:r>
        <w:rPr>
          <w:vertAlign w:val="subscript"/>
        </w:rPr>
        <w:t>10</w:t>
      </w:r>
      <w:r>
        <w:t xml:space="preserve"> kopier/ml (n = 18) hos de patienter, hvor der fandtes 48-ugers data. Ydermere havde 61 % af patienterne normale ALAT-værdier ved uge 48. </w:t>
      </w:r>
    </w:p>
    <w:p w:rsidR="00491918" w:rsidRDefault="00491918" w:rsidP="00491918">
      <w:pPr>
        <w:pStyle w:val="Default"/>
        <w:ind w:left="851"/>
      </w:pPr>
    </w:p>
    <w:p w:rsidR="00491918" w:rsidRDefault="00491918" w:rsidP="00491918">
      <w:pPr>
        <w:pStyle w:val="Default"/>
        <w:ind w:left="851"/>
      </w:pPr>
      <w:r>
        <w:rPr>
          <w:i/>
          <w:iCs/>
        </w:rPr>
        <w:t xml:space="preserve">Erfaring hos patienter med vedvarende viral replikation (studie GS-US-174-0106) </w:t>
      </w:r>
    </w:p>
    <w:p w:rsidR="00491918" w:rsidRDefault="00491918" w:rsidP="00491918">
      <w:pPr>
        <w:pStyle w:val="Default"/>
        <w:ind w:left="851"/>
      </w:pPr>
      <w:r>
        <w:t xml:space="preserve">Virkningen og sikkerheden af 245 mg tenofovirdisoproxil eller 245 mg tenofovirdisoproxil sammen med 200 mg emtricitabin er blevet evalueret i et randomiseret dobbelt-blindt studie (studie GS-US-174-0106) med HBeAg-positive og HBeAg-negative voksne patienter, som havde vedvarende viræmi (HBV-dna ≥1.000 kopier/ml), mens de fik 10 mg adefovirdipivoxil i mere end 24 uger. Ved </w:t>
      </w:r>
      <w:r>
        <w:rPr>
          <w:iCs/>
        </w:rPr>
        <w:t>baseline</w:t>
      </w:r>
      <w:r>
        <w:rPr>
          <w:i/>
          <w:iCs/>
        </w:rPr>
        <w:t xml:space="preserve"> </w:t>
      </w:r>
      <w:r>
        <w:t xml:space="preserve">var 57 % af de patienter, der var randomiseret til behandlingsgruppen med tenofovirdisoproxil, </w:t>
      </w:r>
      <w:r>
        <w:rPr>
          <w:iCs/>
        </w:rPr>
        <w:t>versus</w:t>
      </w:r>
      <w:r>
        <w:rPr>
          <w:i/>
          <w:iCs/>
        </w:rPr>
        <w:t xml:space="preserve"> </w:t>
      </w:r>
      <w:r>
        <w:t xml:space="preserve">60 % af de patienter, der var randomiseret til behandlingsgruppen med emtricitabin plus tenofovirdisoproxil, tidligere blevet behandlet med lamivudin. Ved uge 24 var det overordnede resultat, at 66 % (35/53) af patienterne behandlet med tenofovirdisoproxil havde HBV-dna &lt;400 kopier/ml (&lt;69 IE/ml) </w:t>
      </w:r>
      <w:r>
        <w:rPr>
          <w:iCs/>
        </w:rPr>
        <w:t>versus</w:t>
      </w:r>
      <w:r>
        <w:rPr>
          <w:i/>
          <w:iCs/>
        </w:rPr>
        <w:t xml:space="preserve"> </w:t>
      </w:r>
      <w:r>
        <w:t xml:space="preserve">69 % (36/52) af patienterne behandlet med emtricitabin plus tenofovirdisoproxil (p = 0,672). Ydermere havde 55 % (29/53) af patienterne behandlet med tenofovirdisoproxil HBV-dna, som ikke kunne måles (&lt;169 kopier/ml [&lt;29 IE/ml]; kvantificeringsgrænsen for Roche Cobas TaqMan HBV-assayet) </w:t>
      </w:r>
      <w:r>
        <w:rPr>
          <w:iCs/>
        </w:rPr>
        <w:t>versus</w:t>
      </w:r>
      <w:r>
        <w:rPr>
          <w:i/>
          <w:iCs/>
        </w:rPr>
        <w:t xml:space="preserve"> </w:t>
      </w:r>
      <w:r>
        <w:t xml:space="preserve">60 % (31/52) af patienterne behandlet med emtricitabin plus tenofovirdisoproxil (p = 0,504). Sammenligninger mellem behandlingsgrupperne ud over uge 24 er svære at fortolke, da investigatorerne havde muligheden for at intensivere behandlingen til </w:t>
      </w:r>
      <w:r>
        <w:rPr>
          <w:iCs/>
        </w:rPr>
        <w:t>open label</w:t>
      </w:r>
      <w:r>
        <w:rPr>
          <w:i/>
          <w:iCs/>
        </w:rPr>
        <w:t>-</w:t>
      </w:r>
      <w:r>
        <w:t xml:space="preserve">behandling med emtricitabin plus tenofovirdisoproxil. Langtidsstudier til evaluering af fordele/risici af samtidig behandling med emtricitabin plus tenofovirdisoproxil hos HBV-monoinficerede patienter er stadig i gang. </w:t>
      </w:r>
    </w:p>
    <w:p w:rsidR="00491918" w:rsidRDefault="00491918" w:rsidP="00491918">
      <w:pPr>
        <w:pStyle w:val="Default"/>
        <w:ind w:left="851"/>
      </w:pPr>
    </w:p>
    <w:p w:rsidR="00491918" w:rsidRDefault="00491918" w:rsidP="00491918">
      <w:pPr>
        <w:pStyle w:val="Default"/>
        <w:ind w:left="851"/>
      </w:pPr>
      <w:r>
        <w:rPr>
          <w:i/>
          <w:iCs/>
        </w:rPr>
        <w:t xml:space="preserve">Erfaring hos patienter med dekompenseret leversygdom ved uge 48 (studie GS-US-174-0108) </w:t>
      </w:r>
    </w:p>
    <w:p w:rsidR="00491918" w:rsidRDefault="00491918" w:rsidP="00491918">
      <w:pPr>
        <w:pStyle w:val="Default"/>
        <w:ind w:left="851"/>
      </w:pPr>
      <w:r>
        <w:t>Studie GS-US-174-0108 er et randomiseret, dobbeltblindt, aktivt kontrolleret studie, som evaluerer sikkerhed og virkning af tenofovirdisoproxil (n = 45), emtricitabin plus tenofovirdisoproxil (n = 45) og entecavir (n = 22) hos patienter med dekompenseret leversygdom. I behandlingsarmen med tenofovirdisoproxil havde patienterne en gennemsnitlig CPT-score på 7,2, en gennemsnitlig HBV-dna på 5,8 log</w:t>
      </w:r>
      <w:r>
        <w:rPr>
          <w:vertAlign w:val="subscript"/>
        </w:rPr>
        <w:t>10</w:t>
      </w:r>
      <w:r>
        <w:t xml:space="preserve"> kopier/ml og en gennemsnitlig serum-ALAT på 61 E/l ved </w:t>
      </w:r>
      <w:r>
        <w:rPr>
          <w:iCs/>
        </w:rPr>
        <w:t>baseline</w:t>
      </w:r>
      <w:r>
        <w:t xml:space="preserve">. 42 % (19/45) af patienterne havde mindst 6 måneders tidligere erfaring med lamivudin, 20 % (9/45) af patienterne havde tidligere erfaring med adefovirdipivoxil, og 9 ud af 45 patienter (20 %) havde lamivudin- og/eller adefovirdipivoxilresistens-mutationer ved </w:t>
      </w:r>
      <w:r>
        <w:rPr>
          <w:iCs/>
        </w:rPr>
        <w:t>baseline</w:t>
      </w:r>
      <w:r>
        <w:t xml:space="preserve">. De sammensatte primære sikkerhedsendepunkter var afbrydelse på grund af en bivirkning og en bekræftet forhøjelse af serumkreatinin ≥0,5 mg/dl eller bekræftet serumphosphat på &lt;2 mg/dl. </w:t>
      </w:r>
    </w:p>
    <w:p w:rsidR="00491918" w:rsidRDefault="00491918" w:rsidP="00491918">
      <w:pPr>
        <w:pStyle w:val="Default"/>
        <w:ind w:left="851"/>
      </w:pPr>
    </w:p>
    <w:p w:rsidR="00491918" w:rsidRDefault="00491918" w:rsidP="00491918">
      <w:pPr>
        <w:pStyle w:val="Default"/>
        <w:ind w:left="851"/>
      </w:pPr>
      <w:r>
        <w:t xml:space="preserve">Hos patienter med CPT-score ≤9 opnåede 74 % (29/39) i behandlingsgruppen med tenofovirdisoproxil og 94 % (33/35) i behandlingsgruppen med emtricitabin plus tenofovirdisoproxil HBV-dna &lt;400 kopier/ml efter 48 ugers behandling. </w:t>
      </w:r>
    </w:p>
    <w:p w:rsidR="00491918" w:rsidRDefault="00491918" w:rsidP="00491918">
      <w:pPr>
        <w:pStyle w:val="Default"/>
        <w:ind w:left="851"/>
      </w:pPr>
    </w:p>
    <w:p w:rsidR="00491918" w:rsidRPr="00EF4EB0" w:rsidRDefault="00491918" w:rsidP="00491918">
      <w:pPr>
        <w:tabs>
          <w:tab w:val="left" w:pos="851"/>
        </w:tabs>
        <w:ind w:left="851" w:hanging="851"/>
        <w:rPr>
          <w:sz w:val="24"/>
          <w:szCs w:val="24"/>
        </w:rPr>
      </w:pPr>
      <w:r>
        <w:rPr>
          <w:szCs w:val="24"/>
        </w:rPr>
        <w:tab/>
      </w:r>
      <w:r w:rsidRPr="00EF4EB0">
        <w:rPr>
          <w:sz w:val="24"/>
          <w:szCs w:val="24"/>
        </w:rPr>
        <w:t>Samlet er de afledte data fra denne studie for begrænsede til at drage definitive konklusioner om sammenligningen mellem emtricitabin plus tenofovirdisoproxil og tenofovirdisoproxil (se tabel 7 nedenunder).</w:t>
      </w:r>
    </w:p>
    <w:p w:rsidR="00491918" w:rsidRDefault="00491918" w:rsidP="00491918">
      <w:pPr>
        <w:tabs>
          <w:tab w:val="left" w:pos="851"/>
        </w:tabs>
        <w:ind w:left="851" w:hanging="851"/>
        <w:rPr>
          <w:szCs w:val="24"/>
        </w:rPr>
      </w:pPr>
    </w:p>
    <w:p w:rsidR="00491918" w:rsidRDefault="00491918" w:rsidP="00491918">
      <w:pPr>
        <w:keepNext/>
        <w:tabs>
          <w:tab w:val="left" w:pos="851"/>
        </w:tabs>
        <w:ind w:left="851" w:hanging="851"/>
        <w:rPr>
          <w:b/>
          <w:bCs/>
          <w:szCs w:val="24"/>
        </w:rPr>
      </w:pPr>
      <w:r>
        <w:rPr>
          <w:szCs w:val="24"/>
        </w:rPr>
        <w:tab/>
      </w:r>
      <w:r>
        <w:rPr>
          <w:b/>
          <w:bCs/>
          <w:szCs w:val="24"/>
        </w:rPr>
        <w:t>Tabel 7: Sikkerheds- og virkningsparametre hos dekompenserede patienter ved uge 48</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16"/>
        <w:gridCol w:w="2216"/>
        <w:gridCol w:w="2128"/>
      </w:tblGrid>
      <w:tr w:rsidR="00491918" w:rsidTr="00FE70EC">
        <w:tc>
          <w:tcPr>
            <w:tcW w:w="2251" w:type="dxa"/>
            <w:tcBorders>
              <w:top w:val="single" w:sz="4" w:space="0" w:color="auto"/>
              <w:left w:val="single" w:sz="4" w:space="0" w:color="auto"/>
              <w:bottom w:val="single" w:sz="4" w:space="0" w:color="auto"/>
              <w:right w:val="single" w:sz="4" w:space="0" w:color="auto"/>
            </w:tcBorders>
          </w:tcPr>
          <w:p w:rsidR="00491918" w:rsidRDefault="00491918" w:rsidP="00FE70EC">
            <w:pPr>
              <w:keepNext/>
              <w:tabs>
                <w:tab w:val="left" w:pos="851"/>
              </w:tabs>
              <w:rPr>
                <w:sz w:val="22"/>
                <w:szCs w:val="22"/>
              </w:rPr>
            </w:pPr>
          </w:p>
        </w:tc>
        <w:tc>
          <w:tcPr>
            <w:tcW w:w="6752" w:type="dxa"/>
            <w:gridSpan w:val="3"/>
            <w:tcBorders>
              <w:top w:val="single" w:sz="4" w:space="0" w:color="auto"/>
              <w:left w:val="single" w:sz="4" w:space="0" w:color="auto"/>
              <w:bottom w:val="single" w:sz="4" w:space="0" w:color="auto"/>
              <w:right w:val="single" w:sz="4" w:space="0" w:color="auto"/>
            </w:tcBorders>
            <w:hideMark/>
          </w:tcPr>
          <w:p w:rsidR="00491918" w:rsidRDefault="00491918" w:rsidP="00FE70EC">
            <w:pPr>
              <w:keepNext/>
              <w:tabs>
                <w:tab w:val="left" w:pos="851"/>
              </w:tabs>
              <w:jc w:val="center"/>
              <w:rPr>
                <w:b/>
                <w:sz w:val="22"/>
                <w:szCs w:val="22"/>
              </w:rPr>
            </w:pPr>
            <w:r>
              <w:rPr>
                <w:b/>
                <w:sz w:val="22"/>
                <w:szCs w:val="22"/>
              </w:rPr>
              <w:t>Studie 174-0108</w:t>
            </w:r>
          </w:p>
        </w:tc>
      </w:tr>
      <w:tr w:rsidR="00491918" w:rsidTr="00FE70E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rPr>
                <w:sz w:val="22"/>
                <w:szCs w:val="22"/>
              </w:rPr>
            </w:pPr>
            <w:r>
              <w:rPr>
                <w:sz w:val="22"/>
                <w:szCs w:val="22"/>
              </w:rPr>
              <w:t>Parameter</w:t>
            </w:r>
          </w:p>
        </w:tc>
        <w:tc>
          <w:tcPr>
            <w:tcW w:w="2250" w:type="dxa"/>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jc w:val="center"/>
              <w:rPr>
                <w:sz w:val="22"/>
                <w:szCs w:val="22"/>
              </w:rPr>
            </w:pPr>
            <w:r>
              <w:rPr>
                <w:sz w:val="22"/>
                <w:szCs w:val="22"/>
              </w:rPr>
              <w:t xml:space="preserve">245 mg tenofovirdisoproxil </w:t>
            </w:r>
          </w:p>
          <w:p w:rsidR="00491918" w:rsidRDefault="00491918" w:rsidP="00FE70EC">
            <w:pPr>
              <w:tabs>
                <w:tab w:val="left" w:pos="851"/>
              </w:tabs>
              <w:jc w:val="center"/>
              <w:rPr>
                <w:sz w:val="22"/>
                <w:szCs w:val="22"/>
              </w:rPr>
            </w:pPr>
            <w:r>
              <w:rPr>
                <w:sz w:val="22"/>
                <w:szCs w:val="22"/>
              </w:rPr>
              <w:t>(n = 45)</w:t>
            </w:r>
          </w:p>
        </w:tc>
        <w:tc>
          <w:tcPr>
            <w:tcW w:w="2251" w:type="dxa"/>
            <w:tcBorders>
              <w:top w:val="single" w:sz="4" w:space="0" w:color="auto"/>
              <w:left w:val="single" w:sz="4" w:space="0" w:color="auto"/>
              <w:bottom w:val="single" w:sz="4" w:space="0" w:color="auto"/>
              <w:right w:val="single" w:sz="4" w:space="0" w:color="auto"/>
            </w:tcBorders>
            <w:hideMark/>
          </w:tcPr>
          <w:p w:rsidR="00491918" w:rsidRPr="00C956F3" w:rsidRDefault="00491918" w:rsidP="00FE70EC">
            <w:pPr>
              <w:pStyle w:val="Default"/>
              <w:jc w:val="center"/>
              <w:rPr>
                <w:sz w:val="22"/>
                <w:szCs w:val="22"/>
                <w:lang w:val="es-ES"/>
              </w:rPr>
            </w:pPr>
            <w:r w:rsidRPr="00C956F3">
              <w:rPr>
                <w:sz w:val="22"/>
                <w:szCs w:val="22"/>
                <w:lang w:val="es-ES"/>
              </w:rPr>
              <w:t xml:space="preserve">200 mg emtricitabin/ 245 mg tenofovirdisoproxil </w:t>
            </w:r>
          </w:p>
          <w:p w:rsidR="00491918" w:rsidRPr="00C956F3" w:rsidRDefault="00491918" w:rsidP="00FE70EC">
            <w:pPr>
              <w:tabs>
                <w:tab w:val="left" w:pos="851"/>
              </w:tabs>
              <w:jc w:val="center"/>
              <w:rPr>
                <w:sz w:val="22"/>
                <w:szCs w:val="22"/>
                <w:lang w:val="es-ES"/>
              </w:rPr>
            </w:pPr>
            <w:r w:rsidRPr="00C956F3">
              <w:rPr>
                <w:sz w:val="22"/>
                <w:szCs w:val="22"/>
                <w:lang w:val="es-ES"/>
              </w:rPr>
              <w:t>(n = 45)</w:t>
            </w:r>
          </w:p>
        </w:t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jc w:val="center"/>
              <w:rPr>
                <w:sz w:val="22"/>
                <w:szCs w:val="22"/>
              </w:rPr>
            </w:pPr>
            <w:r>
              <w:rPr>
                <w:sz w:val="22"/>
                <w:szCs w:val="22"/>
              </w:rPr>
              <w:t>Entecavir</w:t>
            </w:r>
          </w:p>
          <w:p w:rsidR="00491918" w:rsidRDefault="00491918" w:rsidP="00FE70EC">
            <w:pPr>
              <w:pStyle w:val="Default"/>
              <w:jc w:val="center"/>
              <w:rPr>
                <w:sz w:val="22"/>
                <w:szCs w:val="22"/>
              </w:rPr>
            </w:pPr>
            <w:r>
              <w:rPr>
                <w:sz w:val="22"/>
                <w:szCs w:val="22"/>
              </w:rPr>
              <w:t>(0,5 mg eller 1 mg)</w:t>
            </w:r>
          </w:p>
          <w:p w:rsidR="00491918" w:rsidRDefault="00491918" w:rsidP="00FE70EC">
            <w:pPr>
              <w:tabs>
                <w:tab w:val="left" w:pos="851"/>
              </w:tabs>
              <w:jc w:val="center"/>
              <w:rPr>
                <w:sz w:val="22"/>
                <w:szCs w:val="22"/>
              </w:rPr>
            </w:pPr>
            <w:r>
              <w:rPr>
                <w:sz w:val="22"/>
                <w:szCs w:val="22"/>
              </w:rPr>
              <w:t>n = 22</w:t>
            </w:r>
          </w:p>
        </w:tc>
      </w:tr>
      <w:tr w:rsidR="00491918" w:rsidTr="00FE70E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rPr>
                <w:sz w:val="22"/>
                <w:szCs w:val="22"/>
              </w:rPr>
            </w:pPr>
            <w:r>
              <w:rPr>
                <w:b/>
                <w:bCs/>
                <w:sz w:val="22"/>
                <w:szCs w:val="22"/>
              </w:rPr>
              <w:t xml:space="preserve">Tolerabilitetssvigt (permanent seponering af studiemedicin på grund af en bivirkning, der opstod under behandlingen) </w:t>
            </w:r>
          </w:p>
          <w:p w:rsidR="00491918" w:rsidRDefault="00491918" w:rsidP="00FE70EC">
            <w:pPr>
              <w:tabs>
                <w:tab w:val="left" w:pos="851"/>
              </w:tabs>
              <w:rPr>
                <w:sz w:val="22"/>
                <w:szCs w:val="22"/>
              </w:rPr>
            </w:pPr>
            <w:r>
              <w:rPr>
                <w:sz w:val="22"/>
                <w:szCs w:val="22"/>
              </w:rPr>
              <w:t>n (</w:t>
            </w:r>
            <w:proofErr w:type="gramStart"/>
            <w:r>
              <w:rPr>
                <w:sz w:val="22"/>
                <w:szCs w:val="22"/>
              </w:rPr>
              <w:t>%)</w:t>
            </w:r>
            <w:r>
              <w:rPr>
                <w:sz w:val="22"/>
                <w:szCs w:val="22"/>
                <w:vertAlign w:val="superscript"/>
              </w:rPr>
              <w:t>a</w:t>
            </w:r>
            <w:proofErr w:type="gramEnd"/>
            <w:r>
              <w:rPr>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3 (7 %)</w:t>
            </w:r>
          </w:p>
        </w:t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2 (4 %)</w:t>
            </w:r>
          </w:p>
        </w:t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2 (9 %)</w:t>
            </w:r>
          </w:p>
        </w:tc>
      </w:tr>
      <w:tr w:rsidR="00491918" w:rsidTr="00FE70E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rPr>
                <w:sz w:val="22"/>
                <w:szCs w:val="22"/>
              </w:rPr>
            </w:pPr>
            <w:r>
              <w:rPr>
                <w:b/>
                <w:bCs/>
                <w:sz w:val="22"/>
                <w:szCs w:val="22"/>
              </w:rPr>
              <w:t xml:space="preserve">Bekræftet forhøjelse af serumkreatinin ≥ 0,5 mg/dl fra </w:t>
            </w:r>
            <w:r>
              <w:rPr>
                <w:b/>
                <w:bCs/>
                <w:iCs/>
                <w:sz w:val="22"/>
                <w:szCs w:val="22"/>
              </w:rPr>
              <w:t>baseline</w:t>
            </w:r>
            <w:r>
              <w:rPr>
                <w:b/>
                <w:bCs/>
                <w:i/>
                <w:iCs/>
                <w:sz w:val="22"/>
                <w:szCs w:val="22"/>
              </w:rPr>
              <w:t xml:space="preserve"> </w:t>
            </w:r>
            <w:r>
              <w:rPr>
                <w:b/>
                <w:bCs/>
                <w:sz w:val="22"/>
                <w:szCs w:val="22"/>
              </w:rPr>
              <w:t xml:space="preserve">eller bekræftet serumphosphat på &lt;2 mg/dl </w:t>
            </w:r>
          </w:p>
          <w:p w:rsidR="00491918" w:rsidRDefault="00491918" w:rsidP="00FE70EC">
            <w:pPr>
              <w:tabs>
                <w:tab w:val="left" w:pos="851"/>
              </w:tabs>
              <w:rPr>
                <w:sz w:val="22"/>
                <w:szCs w:val="22"/>
              </w:rPr>
            </w:pPr>
            <w:r>
              <w:rPr>
                <w:sz w:val="22"/>
                <w:szCs w:val="22"/>
              </w:rPr>
              <w:t>n (</w:t>
            </w:r>
            <w:proofErr w:type="gramStart"/>
            <w:r>
              <w:rPr>
                <w:sz w:val="22"/>
                <w:szCs w:val="22"/>
              </w:rPr>
              <w:t>%)</w:t>
            </w:r>
            <w:r>
              <w:rPr>
                <w:sz w:val="22"/>
                <w:szCs w:val="22"/>
                <w:vertAlign w:val="superscript"/>
              </w:rPr>
              <w:t>b</w:t>
            </w:r>
            <w:proofErr w:type="gramEnd"/>
            <w:r>
              <w:rPr>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4 (9 %)</w:t>
            </w:r>
          </w:p>
        </w:t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3 (7 %)</w:t>
            </w:r>
          </w:p>
        </w:t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1 (5 %)</w:t>
            </w:r>
          </w:p>
        </w:tc>
      </w:tr>
      <w:tr w:rsidR="00491918" w:rsidTr="00FE70EC">
        <w:tc>
          <w:tcPr>
            <w:tcW w:w="2251" w:type="dxa"/>
            <w:tcBorders>
              <w:top w:val="single" w:sz="4" w:space="0" w:color="auto"/>
              <w:left w:val="single" w:sz="4" w:space="0" w:color="auto"/>
              <w:bottom w:val="single" w:sz="4" w:space="0" w:color="auto"/>
              <w:right w:val="single" w:sz="4" w:space="0" w:color="auto"/>
            </w:tcBorders>
            <w:hideMark/>
          </w:tcPr>
          <w:p w:rsidR="00491918" w:rsidRPr="00C956F3" w:rsidRDefault="00491918" w:rsidP="00FE70EC">
            <w:pPr>
              <w:pStyle w:val="Default"/>
              <w:rPr>
                <w:sz w:val="22"/>
                <w:szCs w:val="22"/>
                <w:lang w:val="sv-SE"/>
              </w:rPr>
            </w:pPr>
            <w:r w:rsidRPr="00C956F3">
              <w:rPr>
                <w:b/>
                <w:bCs/>
                <w:sz w:val="22"/>
                <w:szCs w:val="22"/>
                <w:lang w:val="sv-SE"/>
              </w:rPr>
              <w:t xml:space="preserve">HBV-dna n (%) </w:t>
            </w:r>
            <w:r w:rsidRPr="00C956F3">
              <w:rPr>
                <w:sz w:val="22"/>
                <w:szCs w:val="22"/>
                <w:lang w:val="sv-SE"/>
              </w:rPr>
              <w:t xml:space="preserve">&lt;400 kopier/ml </w:t>
            </w:r>
          </w:p>
          <w:p w:rsidR="00491918" w:rsidRPr="00C956F3" w:rsidRDefault="00491918" w:rsidP="00FE70EC">
            <w:pPr>
              <w:tabs>
                <w:tab w:val="left" w:pos="851"/>
              </w:tabs>
              <w:rPr>
                <w:sz w:val="22"/>
                <w:szCs w:val="22"/>
                <w:lang w:val="sv-SE"/>
              </w:rPr>
            </w:pPr>
            <w:r w:rsidRPr="00C956F3">
              <w:rPr>
                <w:sz w:val="22"/>
                <w:szCs w:val="22"/>
                <w:lang w:val="sv-SE"/>
              </w:rPr>
              <w:t xml:space="preserve">n (%) </w:t>
            </w:r>
          </w:p>
        </w:tc>
        <w:tc>
          <w:tcPr>
            <w:tcW w:w="225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31/44 (70 %)</w:t>
            </w:r>
          </w:p>
        </w:t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36/41 (88 %)</w:t>
            </w:r>
          </w:p>
        </w:t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16/22 (73 %)</w:t>
            </w:r>
          </w:p>
        </w:tc>
      </w:tr>
      <w:tr w:rsidR="00491918" w:rsidTr="00FE70E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rPr>
                <w:sz w:val="22"/>
                <w:szCs w:val="22"/>
              </w:rPr>
            </w:pPr>
            <w:proofErr w:type="gramStart"/>
            <w:r>
              <w:rPr>
                <w:b/>
                <w:bCs/>
                <w:sz w:val="22"/>
                <w:szCs w:val="22"/>
              </w:rPr>
              <w:t>ALAT n</w:t>
            </w:r>
            <w:proofErr w:type="gramEnd"/>
            <w:r>
              <w:rPr>
                <w:b/>
                <w:bCs/>
                <w:sz w:val="22"/>
                <w:szCs w:val="22"/>
              </w:rPr>
              <w:t xml:space="preserve"> (%) </w:t>
            </w:r>
          </w:p>
          <w:p w:rsidR="00491918" w:rsidRDefault="00491918" w:rsidP="00FE70EC">
            <w:pPr>
              <w:tabs>
                <w:tab w:val="left" w:pos="851"/>
              </w:tabs>
              <w:rPr>
                <w:sz w:val="22"/>
                <w:szCs w:val="22"/>
              </w:rPr>
            </w:pPr>
            <w:r>
              <w:rPr>
                <w:sz w:val="22"/>
                <w:szCs w:val="22"/>
              </w:rPr>
              <w:t xml:space="preserve">Normal ALAT </w:t>
            </w:r>
          </w:p>
        </w:tc>
        <w:tc>
          <w:tcPr>
            <w:tcW w:w="225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25/44 (57 %)</w:t>
            </w:r>
          </w:p>
        </w:t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31/41 (76 %)</w:t>
            </w:r>
          </w:p>
        </w:t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12/22 (55 %)</w:t>
            </w:r>
          </w:p>
        </w:tc>
      </w:tr>
      <w:tr w:rsidR="00491918" w:rsidTr="00FE70E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rPr>
                <w:sz w:val="22"/>
                <w:szCs w:val="22"/>
              </w:rPr>
            </w:pPr>
            <w:r>
              <w:rPr>
                <w:b/>
                <w:bCs/>
                <w:sz w:val="22"/>
                <w:szCs w:val="22"/>
              </w:rPr>
              <w:t xml:space="preserve">≥2 point reduktion i CPT fra </w:t>
            </w:r>
            <w:r>
              <w:rPr>
                <w:b/>
                <w:bCs/>
                <w:iCs/>
                <w:sz w:val="22"/>
                <w:szCs w:val="22"/>
              </w:rPr>
              <w:t>baseline</w:t>
            </w:r>
            <w:r>
              <w:rPr>
                <w:b/>
                <w:bCs/>
                <w:i/>
                <w:iCs/>
                <w:sz w:val="22"/>
                <w:szCs w:val="22"/>
              </w:rPr>
              <w:t xml:space="preserve"> </w:t>
            </w:r>
          </w:p>
          <w:p w:rsidR="00491918" w:rsidRDefault="00491918" w:rsidP="00FE70EC">
            <w:pPr>
              <w:pStyle w:val="Default"/>
              <w:rPr>
                <w:b/>
                <w:bCs/>
                <w:sz w:val="22"/>
                <w:szCs w:val="22"/>
              </w:rPr>
            </w:pPr>
            <w:r>
              <w:rPr>
                <w:sz w:val="22"/>
                <w:szCs w:val="22"/>
              </w:rPr>
              <w:t xml:space="preserve">n (%) </w:t>
            </w:r>
          </w:p>
        </w:tc>
        <w:tc>
          <w:tcPr>
            <w:tcW w:w="225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7/27 (26 %)</w:t>
            </w:r>
          </w:p>
        </w:t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12/25 (48 %)</w:t>
            </w:r>
          </w:p>
        </w:t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5/12 (42 %)</w:t>
            </w:r>
          </w:p>
        </w:tc>
      </w:tr>
      <w:tr w:rsidR="00491918" w:rsidTr="00FE70E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rPr>
                <w:sz w:val="22"/>
                <w:szCs w:val="22"/>
              </w:rPr>
            </w:pPr>
            <w:r>
              <w:rPr>
                <w:b/>
                <w:bCs/>
                <w:sz w:val="22"/>
                <w:szCs w:val="22"/>
              </w:rPr>
              <w:t xml:space="preserve">Gennemsnitlig ændring fra </w:t>
            </w:r>
            <w:r>
              <w:rPr>
                <w:b/>
                <w:bCs/>
                <w:iCs/>
                <w:sz w:val="22"/>
                <w:szCs w:val="22"/>
              </w:rPr>
              <w:t>baseline</w:t>
            </w:r>
            <w:r>
              <w:rPr>
                <w:b/>
                <w:bCs/>
                <w:i/>
                <w:iCs/>
                <w:sz w:val="22"/>
                <w:szCs w:val="22"/>
              </w:rPr>
              <w:t xml:space="preserve"> </w:t>
            </w:r>
            <w:r>
              <w:rPr>
                <w:b/>
                <w:bCs/>
                <w:sz w:val="22"/>
                <w:szCs w:val="22"/>
              </w:rPr>
              <w:t xml:space="preserve">i CPT-score </w:t>
            </w:r>
          </w:p>
        </w:tc>
        <w:tc>
          <w:tcPr>
            <w:tcW w:w="225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-0,8</w:t>
            </w:r>
          </w:p>
        </w:t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-0,9</w:t>
            </w:r>
          </w:p>
        </w:t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-1,3</w:t>
            </w:r>
          </w:p>
        </w:tc>
      </w:tr>
      <w:tr w:rsidR="00491918" w:rsidTr="00FE70E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pStyle w:val="Default"/>
              <w:rPr>
                <w:b/>
                <w:bCs/>
                <w:sz w:val="22"/>
                <w:szCs w:val="22"/>
              </w:rPr>
            </w:pPr>
            <w:r>
              <w:rPr>
                <w:b/>
                <w:bCs/>
                <w:sz w:val="22"/>
                <w:szCs w:val="22"/>
              </w:rPr>
              <w:t xml:space="preserve">Gennemsnitlig ændring fra </w:t>
            </w:r>
            <w:r>
              <w:rPr>
                <w:b/>
                <w:bCs/>
                <w:iCs/>
                <w:sz w:val="22"/>
                <w:szCs w:val="22"/>
              </w:rPr>
              <w:t>baseline</w:t>
            </w:r>
            <w:r>
              <w:rPr>
                <w:b/>
                <w:bCs/>
                <w:i/>
                <w:iCs/>
                <w:sz w:val="22"/>
                <w:szCs w:val="22"/>
              </w:rPr>
              <w:t xml:space="preserve"> </w:t>
            </w:r>
            <w:r>
              <w:rPr>
                <w:b/>
                <w:bCs/>
                <w:sz w:val="22"/>
                <w:szCs w:val="22"/>
              </w:rPr>
              <w:t xml:space="preserve">i MELD-score </w:t>
            </w:r>
          </w:p>
        </w:tc>
        <w:tc>
          <w:tcPr>
            <w:tcW w:w="2250"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-1,8</w:t>
            </w:r>
          </w:p>
        </w:t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-2,3</w:t>
            </w:r>
          </w:p>
        </w:tc>
        <w:tc>
          <w:tcPr>
            <w:tcW w:w="2251" w:type="dxa"/>
            <w:tcBorders>
              <w:top w:val="single" w:sz="4" w:space="0" w:color="auto"/>
              <w:left w:val="single" w:sz="4" w:space="0" w:color="auto"/>
              <w:bottom w:val="single" w:sz="4" w:space="0" w:color="auto"/>
              <w:right w:val="single" w:sz="4" w:space="0" w:color="auto"/>
            </w:tcBorders>
            <w:hideMark/>
          </w:tcPr>
          <w:p w:rsidR="00491918" w:rsidRDefault="00491918" w:rsidP="00FE70EC">
            <w:pPr>
              <w:tabs>
                <w:tab w:val="left" w:pos="851"/>
              </w:tabs>
              <w:jc w:val="center"/>
              <w:rPr>
                <w:sz w:val="22"/>
                <w:szCs w:val="22"/>
              </w:rPr>
            </w:pPr>
            <w:r>
              <w:rPr>
                <w:sz w:val="22"/>
                <w:szCs w:val="22"/>
              </w:rPr>
              <w:t>-2,6</w:t>
            </w:r>
          </w:p>
        </w:tc>
      </w:tr>
    </w:tbl>
    <w:p w:rsidR="00491918" w:rsidRDefault="00491918" w:rsidP="00491918">
      <w:pPr>
        <w:pStyle w:val="Default"/>
        <w:tabs>
          <w:tab w:val="left" w:pos="1134"/>
        </w:tabs>
        <w:ind w:left="1134" w:hanging="283"/>
      </w:pPr>
      <w:r>
        <w:rPr>
          <w:vertAlign w:val="superscript"/>
        </w:rPr>
        <w:t>a</w:t>
      </w:r>
      <w:r>
        <w:tab/>
        <w:t xml:space="preserve">p-værdi ved sammenligning af de kombinerede tenofovirindeholdende arme </w:t>
      </w:r>
      <w:r>
        <w:rPr>
          <w:iCs/>
        </w:rPr>
        <w:t>versus</w:t>
      </w:r>
      <w:r>
        <w:rPr>
          <w:i/>
          <w:iCs/>
        </w:rPr>
        <w:t xml:space="preserve"> </w:t>
      </w:r>
      <w:r>
        <w:t xml:space="preserve">entecavirarmen = 0,622 </w:t>
      </w:r>
    </w:p>
    <w:p w:rsidR="00491918" w:rsidRDefault="00491918" w:rsidP="00491918">
      <w:pPr>
        <w:pStyle w:val="Default"/>
        <w:tabs>
          <w:tab w:val="left" w:pos="1134"/>
        </w:tabs>
        <w:ind w:left="1134" w:hanging="283"/>
      </w:pPr>
      <w:r>
        <w:rPr>
          <w:vertAlign w:val="superscript"/>
        </w:rPr>
        <w:t>b</w:t>
      </w:r>
      <w:r>
        <w:tab/>
        <w:t xml:space="preserve">p-værdi ved sammenligning af de kombinerede tenofovirindeholdende arme </w:t>
      </w:r>
      <w:r>
        <w:rPr>
          <w:iCs/>
        </w:rPr>
        <w:t>versus</w:t>
      </w:r>
      <w:r>
        <w:rPr>
          <w:i/>
          <w:iCs/>
        </w:rPr>
        <w:t xml:space="preserve"> </w:t>
      </w:r>
      <w:r>
        <w:t xml:space="preserve">entecavirarmen = 1,000. </w:t>
      </w:r>
    </w:p>
    <w:p w:rsidR="00491918" w:rsidRDefault="00491918" w:rsidP="00491918">
      <w:pPr>
        <w:pStyle w:val="Default"/>
        <w:rPr>
          <w:i/>
          <w:iCs/>
          <w:sz w:val="22"/>
          <w:szCs w:val="22"/>
        </w:rPr>
      </w:pPr>
    </w:p>
    <w:p w:rsidR="00491918" w:rsidRDefault="00491918" w:rsidP="00491918">
      <w:pPr>
        <w:pStyle w:val="Default"/>
        <w:ind w:left="851"/>
      </w:pPr>
      <w:r>
        <w:rPr>
          <w:i/>
          <w:iCs/>
        </w:rPr>
        <w:t xml:space="preserve">Erfaring ud over 48 uger i studie GS-US-174-0108 </w:t>
      </w:r>
    </w:p>
    <w:p w:rsidR="00491918" w:rsidRDefault="00491918" w:rsidP="00491918">
      <w:pPr>
        <w:pStyle w:val="Default"/>
        <w:ind w:left="851"/>
      </w:pPr>
      <w:r>
        <w:t xml:space="preserve">På basis af en analyse af personer, der ikke fuldfører/skifter = svigt, opnåede 50 % (21/42) af forsøgspersonerne, som fik tenofovirdisoproxil, 76 % (28/37) af forsøgspersonerne, som fik emtricitabin plus tenofovirdisoproxil, og 52 % (11/21) af forsøgspersonerne, som fik entecavir, HBV-dna &lt; 400 kopier/ml ved uge 168. </w:t>
      </w:r>
    </w:p>
    <w:p w:rsidR="00491918" w:rsidRDefault="00491918" w:rsidP="00491918">
      <w:pPr>
        <w:pStyle w:val="Default"/>
        <w:ind w:left="851"/>
      </w:pPr>
    </w:p>
    <w:p w:rsidR="00491918" w:rsidRDefault="00491918" w:rsidP="00491918">
      <w:pPr>
        <w:pStyle w:val="Default"/>
        <w:ind w:left="851"/>
      </w:pPr>
      <w:r>
        <w:rPr>
          <w:i/>
          <w:iCs/>
        </w:rPr>
        <w:t xml:space="preserve">Erfaring efter 240 uger hos patienter med lamivudin-resistent HBV (studie GS-US-174-0121) </w:t>
      </w:r>
    </w:p>
    <w:p w:rsidR="00491918" w:rsidRDefault="00491918" w:rsidP="00491918">
      <w:pPr>
        <w:pStyle w:val="Default"/>
        <w:ind w:left="851"/>
      </w:pPr>
      <w:r>
        <w:t xml:space="preserve">Virkningen og sikkerheden af 245 mg tenofovirdisoproxil blev evalueret i et randomiseret, dobbeltblindt studie (GS-US-174-0121) hos HBeAg-positive og HBeAg-negative patienter (n = 280) med kompenseret leversygdom, viræmi (HBV-dna ≥1.000 IE/ml) og genotype-evidens for lamivudinresistens (rtM204I/V +/- rtL180M). Kun fem patienter havde mutationer med relation til adefovirresistens ved </w:t>
      </w:r>
      <w:r>
        <w:rPr>
          <w:iCs/>
        </w:rPr>
        <w:t>baseline</w:t>
      </w:r>
      <w:r>
        <w:t xml:space="preserve">. 141 voksne forsøgspersoner blev randomiseret til en behandlingsarm med tenofovirdisoproxil, og 139 voksne forsøgspersoner blev randomiseret til en behandlingsarm med emtricitabin plus tenofovirdisoproxil. Demografien ved </w:t>
      </w:r>
      <w:r>
        <w:rPr>
          <w:iCs/>
        </w:rPr>
        <w:t>baseline</w:t>
      </w:r>
      <w:r>
        <w:rPr>
          <w:i/>
          <w:iCs/>
        </w:rPr>
        <w:t xml:space="preserve"> </w:t>
      </w:r>
      <w:r>
        <w:t xml:space="preserve">var sammenlignelig for de to behandlingsarme: ved </w:t>
      </w:r>
      <w:r>
        <w:rPr>
          <w:iCs/>
        </w:rPr>
        <w:t>baseline</w:t>
      </w:r>
      <w:r>
        <w:rPr>
          <w:i/>
          <w:iCs/>
        </w:rPr>
        <w:t xml:space="preserve"> </w:t>
      </w:r>
      <w:r>
        <w:t>var 52,5 % af forsøgspersonerne HBeAg-negative, 47,5 % var HBeAg-positive, det gennemsnitlige HBV-dna-niveau var 6,5 log</w:t>
      </w:r>
      <w:r>
        <w:rPr>
          <w:vertAlign w:val="subscript"/>
        </w:rPr>
        <w:t>10</w:t>
      </w:r>
      <w:r>
        <w:t xml:space="preserve"> kopier/ml, og det gennemsnitlige ALAT-niveau var 79 E/l. </w:t>
      </w:r>
    </w:p>
    <w:p w:rsidR="00491918" w:rsidRDefault="00491918" w:rsidP="00491918">
      <w:pPr>
        <w:pStyle w:val="Default"/>
        <w:ind w:left="851"/>
      </w:pPr>
    </w:p>
    <w:p w:rsidR="00491918" w:rsidRDefault="00491918" w:rsidP="00491918">
      <w:pPr>
        <w:pStyle w:val="Default"/>
        <w:ind w:left="851"/>
      </w:pPr>
      <w:r>
        <w:t xml:space="preserve">Efter 240 ugers behandling havde 117 ud af 141 forsøgspersoner (83 %), der var randomiseret til tenofovirdisoproxil, HBV-dna &lt;400 kopier/ml, og 51 ud af 79 forsøgspersoner (65 %) havde normalisering af ALAT. Efter 240 ugers behandling med emtricitabin plus tenofovirdisoproxil havde 115 ud af 139 forsøgspersoner (83 %) HBV-dna &lt;400 kopier/ml, og 59 ud af 83 forsøgspersoner (71 %) havde normalisering af ALAT. Blandt de HBeAg-positive forsøgspersoner, der var randomiseret til tenofovirdisoproxil, oplevede 16 ud af 65 forsøgspersoner (25 %) tab af HBeAg, og 8 ud af 65 forsøgspersoner (12 %) oplevede anti-HBe-serokonversion til og med uge 240. For de HBeAg-positive forsøgspersoner, der var randomiseret til emtricitabin plus tenofovirdisoproxil, oplevede 13 ud af 68 forsøgspersoner (19 %) tab af HBeAg, og 7 ud af 68 forsøgspersoner (10 %) oplevede anti-HBe-serokonversion til og med uge 240. To forsøgspersoner, der var randomiseret til tenofovirdisoproxil, oplevede HBsAg-tab ved uge 240, men ingen serokonversion til anti-HBs. Fem forsøgspersoner, der var randomiseret til emtricitabin plus tenofovirdisoproxil, oplevede tab af HBsAg, hvoraf 2 ud af disse 5 forsøgspersoner oplevede serokonversion til anti-HBs. </w:t>
      </w:r>
    </w:p>
    <w:p w:rsidR="00491918" w:rsidRDefault="00491918" w:rsidP="00491918">
      <w:pPr>
        <w:pStyle w:val="Default"/>
        <w:ind w:left="851"/>
      </w:pPr>
    </w:p>
    <w:p w:rsidR="00491918" w:rsidRDefault="00491918" w:rsidP="00FE70EC">
      <w:pPr>
        <w:pStyle w:val="Default"/>
        <w:keepNext/>
        <w:ind w:left="851"/>
      </w:pPr>
      <w:r>
        <w:rPr>
          <w:i/>
          <w:iCs/>
        </w:rPr>
        <w:t xml:space="preserve">Klinisk resistens </w:t>
      </w:r>
    </w:p>
    <w:p w:rsidR="00491918" w:rsidRDefault="00491918" w:rsidP="00491918">
      <w:pPr>
        <w:pStyle w:val="Default"/>
        <w:ind w:left="851"/>
      </w:pPr>
      <w:r>
        <w:t xml:space="preserve">426 HBeAg-negative (GS-US-174-0102, n = 250) og HBeAg-positive (GS-US-174-0103, n = 176) patienter, der initialt blev randomiseret til behandling med dobbelt-blind tenofovirdisoproxil og derefter skiftede til </w:t>
      </w:r>
      <w:r>
        <w:rPr>
          <w:iCs/>
        </w:rPr>
        <w:t>open label</w:t>
      </w:r>
      <w:r>
        <w:t xml:space="preserve">-behandling med tenofovirdisoproxil, blev undersøgt for genotype-ændringer i HBV-polymerase i forhold til </w:t>
      </w:r>
      <w:r>
        <w:rPr>
          <w:iCs/>
        </w:rPr>
        <w:t>baseline</w:t>
      </w:r>
      <w:r>
        <w:t xml:space="preserve">. Genotype-studier, udført på alle patienter med HBV-dna &gt;400 kopier/ml ved uge 48 (n = 39), 96 (n = 24), 144 (n = 6), 192 (n = 5), 240 (n = 4), 288 (n = 6) og 384 (n = 2) af tenofovirdisoproxil-monoterapi viste, at der ikke udvikledes mutationer associeret med tenofovirdisoproxil-resistens. </w:t>
      </w:r>
    </w:p>
    <w:p w:rsidR="00491918" w:rsidRDefault="00491918" w:rsidP="00491918">
      <w:pPr>
        <w:pStyle w:val="Default"/>
        <w:ind w:left="851"/>
      </w:pPr>
    </w:p>
    <w:p w:rsidR="00491918" w:rsidRDefault="00491918" w:rsidP="00491918">
      <w:pPr>
        <w:pStyle w:val="Default"/>
        <w:ind w:left="851"/>
      </w:pPr>
      <w:r>
        <w:t xml:space="preserve">215 HBeAg-negative (GS-US-174-0102, n = 125) og HBeAg-positive (GS-US-174-0103, n = 90) patienter, der initialt blev randomiseret til behandling med dobbelt-blind adefovirdipivoxil og derefter skiftede til </w:t>
      </w:r>
      <w:r>
        <w:rPr>
          <w:iCs/>
        </w:rPr>
        <w:t>open label</w:t>
      </w:r>
      <w:r>
        <w:t xml:space="preserve">-behandling med tenofovirdisoproxil, blev undersøgt for genotype-ændringer i HBV-polymerase i forhold til </w:t>
      </w:r>
      <w:r>
        <w:rPr>
          <w:iCs/>
        </w:rPr>
        <w:t>baseline</w:t>
      </w:r>
      <w:r>
        <w:t xml:space="preserve">. Genotype-studier, udført på alle patienter med HBV-dna &gt;400 kopier/ml ved uge 48 (n = 16), 96 (n = 5), 144 (n = 1), 192 (n = 2), 240 (n = 1), 288 (n = 1) og 384 (n = 2) af tenofovirdisoproxil-monoterapi viste, at der ikke udvikledes mutationer associeret med tenofovirdisoproxil-resistens. </w:t>
      </w:r>
    </w:p>
    <w:p w:rsidR="00491918" w:rsidRDefault="00491918" w:rsidP="00491918">
      <w:pPr>
        <w:pStyle w:val="Default"/>
        <w:ind w:left="851"/>
      </w:pPr>
    </w:p>
    <w:p w:rsidR="00491918" w:rsidRDefault="00491918" w:rsidP="00491918">
      <w:pPr>
        <w:pStyle w:val="Default"/>
        <w:ind w:left="851"/>
      </w:pPr>
      <w:r>
        <w:t xml:space="preserve">I studie GS-US-174-0108 fik 45 patienter (herunder 9 patienter med lamivudin- og/eller adefovirdipivoxilresistens-mutationer ved </w:t>
      </w:r>
      <w:r>
        <w:rPr>
          <w:iCs/>
        </w:rPr>
        <w:t>baseline</w:t>
      </w:r>
      <w:r>
        <w:t xml:space="preserve">) tenofovirdisoproxil i op til 168 uger. Genotypedata fra parrede HBV-isolater fra </w:t>
      </w:r>
      <w:r>
        <w:rPr>
          <w:iCs/>
        </w:rPr>
        <w:t>baseline</w:t>
      </w:r>
      <w:r>
        <w:rPr>
          <w:i/>
          <w:iCs/>
        </w:rPr>
        <w:t xml:space="preserve"> </w:t>
      </w:r>
      <w:r>
        <w:t xml:space="preserve">og under behandling var tilgængelige for 6/8 patienter med HBV-dna &gt;400 kopier/ml ved uge 48. Der blev ikke identificeret aminosyresubstitutioner forbundet med resistens over for tenofovirdisoproxil i disse isolater. Genotypeanalyse blev udført hos 5 forsøgspersoner i tenofovirdisoproxil-armen efter uge 48. Der blev ikke identificeret aminosyresubstitutioner forbundet med tenofovirdisoproxil-resistens hos nogen forsøgspersoner. </w:t>
      </w:r>
    </w:p>
    <w:p w:rsidR="00491918" w:rsidRDefault="00491918" w:rsidP="00491918">
      <w:pPr>
        <w:pStyle w:val="Default"/>
        <w:ind w:left="851"/>
      </w:pPr>
    </w:p>
    <w:p w:rsidR="00491918" w:rsidRDefault="00491918" w:rsidP="00491918">
      <w:pPr>
        <w:pStyle w:val="Default"/>
        <w:ind w:left="851"/>
      </w:pPr>
      <w:r>
        <w:t xml:space="preserve">I studie GS-US-174-0121 fik 141 patienter med lamivudinresistens-substitutioner ved </w:t>
      </w:r>
      <w:r>
        <w:rPr>
          <w:i/>
          <w:iCs/>
        </w:rPr>
        <w:t xml:space="preserve">baseline </w:t>
      </w:r>
      <w:r>
        <w:t xml:space="preserve">tenofovirdisoproxil i op til 240 uger. Kumulativt var der 4 patienter, som oplevede en viræmisk episode (HBV-dna &gt; 400 kopier/ml) på det sidste tidspunkt på tenofovirdisoproxil. Blandt dem var sekvensdata tilgængelige fra parrede HBV-isolater fra </w:t>
      </w:r>
      <w:r>
        <w:rPr>
          <w:i/>
          <w:iCs/>
        </w:rPr>
        <w:t xml:space="preserve">baseline </w:t>
      </w:r>
      <w:r>
        <w:t xml:space="preserve">og under behandling for 2 ud af 4 patienter. Der blev ikke identificeret aminosyresubstitutioner forbundet med resistens over for tenofovirdisoproxil i disse isolater. </w:t>
      </w:r>
    </w:p>
    <w:p w:rsidR="00491918" w:rsidRPr="002960BA" w:rsidRDefault="00491918" w:rsidP="00491918">
      <w:pPr>
        <w:pStyle w:val="Default"/>
        <w:ind w:left="851"/>
      </w:pPr>
    </w:p>
    <w:p w:rsidR="00491918" w:rsidRPr="002960BA" w:rsidRDefault="00491918" w:rsidP="00491918">
      <w:pPr>
        <w:ind w:left="851"/>
        <w:rPr>
          <w:color w:val="000000"/>
          <w:sz w:val="24"/>
          <w:szCs w:val="24"/>
          <w:lang w:eastAsia="da-DK"/>
        </w:rPr>
      </w:pPr>
      <w:r w:rsidRPr="00743892">
        <w:rPr>
          <w:sz w:val="24"/>
          <w:szCs w:val="24"/>
        </w:rPr>
        <w:t xml:space="preserve">I et pædiatrisk studie (GS-US-174-0115) fik 52 patienter (herunder 6 patienter med lamivudinresistente mutationer ved </w:t>
      </w:r>
      <w:r w:rsidRPr="00743892">
        <w:rPr>
          <w:iCs/>
          <w:sz w:val="24"/>
          <w:szCs w:val="24"/>
        </w:rPr>
        <w:t>baseline</w:t>
      </w:r>
      <w:r w:rsidRPr="00743892">
        <w:rPr>
          <w:sz w:val="24"/>
          <w:szCs w:val="24"/>
        </w:rPr>
        <w:t xml:space="preserve">) indledningsvist blindet tenofovirdisoproxil i op til 72 uger, og derefter skiftede 51/52 patienter over til </w:t>
      </w:r>
      <w:r w:rsidRPr="00743892">
        <w:rPr>
          <w:iCs/>
          <w:sz w:val="24"/>
          <w:szCs w:val="24"/>
        </w:rPr>
        <w:t>open-label</w:t>
      </w:r>
      <w:r w:rsidRPr="00743892">
        <w:rPr>
          <w:i/>
          <w:iCs/>
          <w:sz w:val="24"/>
          <w:szCs w:val="24"/>
        </w:rPr>
        <w:t xml:space="preserve"> </w:t>
      </w:r>
      <w:r w:rsidRPr="00743892">
        <w:rPr>
          <w:sz w:val="24"/>
          <w:szCs w:val="24"/>
        </w:rPr>
        <w:t xml:space="preserve">tenofovirdisoproxil (TDF-TDF-gruppen). Genotypeevaluering blev udført for alle patienter i denne gruppe med HBV-dna &gt; 400 kopier/ml ved uge 48 (n = 6), uge 72 (n = 5), uge 96 (n = 4), uge 144 (n = 2) samt uge 192 (n = 3). 54 patienter (herunder 2 patienter med lamivudinresistente mutationer ved </w:t>
      </w:r>
      <w:r w:rsidRPr="00743892">
        <w:rPr>
          <w:iCs/>
          <w:sz w:val="24"/>
          <w:szCs w:val="24"/>
        </w:rPr>
        <w:t>baseline</w:t>
      </w:r>
      <w:r w:rsidRPr="00743892">
        <w:rPr>
          <w:sz w:val="24"/>
          <w:szCs w:val="24"/>
        </w:rPr>
        <w:t xml:space="preserve">) fik indledningsvist blindet placebobehandling i 72 uger, og 52/54 patienter fik derefter tenofovirdisoproxil (PLB-TDF-gruppen). Genotypeevaluering blev udført for alle patienter i denne gruppe med HBV-dna &gt; 400 kopier/ml ved uge 96 (n = 17), uge 144 (n = 7) og uge 192 (n = 8). Der blev ikke identificeret aminosyresubstitutioner forbundet med resistens over for tenofovirdisoproxil i disse isolater. </w:t>
      </w:r>
    </w:p>
    <w:p w:rsidR="00491918" w:rsidRPr="002960BA" w:rsidRDefault="00491918" w:rsidP="00491918">
      <w:pPr>
        <w:pStyle w:val="Default"/>
        <w:ind w:left="851"/>
      </w:pPr>
    </w:p>
    <w:p w:rsidR="00E359D7" w:rsidRDefault="00E359D7" w:rsidP="00E359D7">
      <w:pPr>
        <w:ind w:left="851"/>
        <w:rPr>
          <w:sz w:val="24"/>
          <w:szCs w:val="24"/>
        </w:rPr>
      </w:pPr>
      <w:r>
        <w:rPr>
          <w:sz w:val="24"/>
          <w:szCs w:val="24"/>
        </w:rPr>
        <w:t xml:space="preserve">I et pædiatrisk studie (GS-US-174-0144) var genotypedata fra parrede HBV-isolater fra </w:t>
      </w:r>
      <w:r w:rsidRPr="006444DF">
        <w:rPr>
          <w:i/>
          <w:sz w:val="24"/>
          <w:szCs w:val="24"/>
        </w:rPr>
        <w:t>baseline</w:t>
      </w:r>
      <w:r>
        <w:rPr>
          <w:sz w:val="24"/>
          <w:szCs w:val="24"/>
        </w:rPr>
        <w:t xml:space="preserve"> og under behandling fra patienter, der fik blindet tenofovirdisoproxil, tilgængelige for 9 ud af 10 patienter ved uge 48, som havde plasma-HBV-dna &gt; 400 kopier/ml. </w:t>
      </w:r>
      <w:r w:rsidRPr="00770C1E">
        <w:rPr>
          <w:sz w:val="24"/>
          <w:szCs w:val="24"/>
        </w:rPr>
        <w:t xml:space="preserve">Genotypedata fra parrede HBV-isolater fra </w:t>
      </w:r>
      <w:r w:rsidRPr="00770C1E">
        <w:rPr>
          <w:i/>
          <w:iCs/>
          <w:sz w:val="24"/>
          <w:szCs w:val="24"/>
        </w:rPr>
        <w:t xml:space="preserve">baseline </w:t>
      </w:r>
      <w:r w:rsidRPr="00770C1E">
        <w:rPr>
          <w:sz w:val="24"/>
          <w:szCs w:val="24"/>
        </w:rPr>
        <w:t xml:space="preserve">og under behandling fra patienter, der skiftede til </w:t>
      </w:r>
      <w:r w:rsidRPr="00770C1E">
        <w:rPr>
          <w:i/>
          <w:iCs/>
          <w:sz w:val="24"/>
          <w:szCs w:val="24"/>
        </w:rPr>
        <w:t xml:space="preserve">open-label </w:t>
      </w:r>
      <w:r w:rsidRPr="00770C1E">
        <w:rPr>
          <w:sz w:val="24"/>
          <w:szCs w:val="24"/>
        </w:rPr>
        <w:t xml:space="preserve">tenofovirdisoproxil, fra blindet tenofovirdisoproxil (TDF-TDF-gruppen) eller fra placebo (PLB-TDF-gruppen) efter mindst 48 ugers blindet behandling, var tilgængelig for 12 ud af 16 patienter ved uge 96, for 4 ud af 6 patienter ved uge 144 og for 4 ud af 4 patienter ved uge 192, som havde plasma-HBV-dna &gt; 400 kopier/ml. Der blev ikke identificeret aminosyresubstitutioner forbundet med resistens over for tenofovirdisoproxil i disse isolater ved ugerne 48, 96, 144 eller 192. </w:t>
      </w:r>
    </w:p>
    <w:p w:rsidR="00C04C62" w:rsidRDefault="00C04C62" w:rsidP="00C04C62">
      <w:pPr>
        <w:pStyle w:val="Default"/>
        <w:ind w:left="851"/>
      </w:pPr>
    </w:p>
    <w:p w:rsidR="00C04C62" w:rsidRDefault="00C04C62" w:rsidP="00C04C62">
      <w:pPr>
        <w:pStyle w:val="Default"/>
        <w:ind w:left="851"/>
        <w:rPr>
          <w:u w:val="single"/>
        </w:rPr>
      </w:pPr>
      <w:r>
        <w:rPr>
          <w:u w:val="single"/>
        </w:rPr>
        <w:t xml:space="preserve">Pædiatrisk population </w:t>
      </w:r>
    </w:p>
    <w:p w:rsidR="00491918" w:rsidRDefault="00491918" w:rsidP="00491918">
      <w:pPr>
        <w:pStyle w:val="Default"/>
        <w:ind w:left="851"/>
        <w:rPr>
          <w:i/>
          <w:iCs/>
        </w:rPr>
      </w:pPr>
    </w:p>
    <w:p w:rsidR="00491918" w:rsidRDefault="00491918" w:rsidP="00491918">
      <w:pPr>
        <w:pStyle w:val="Default"/>
        <w:ind w:left="851"/>
        <w:rPr>
          <w:i/>
          <w:iCs/>
        </w:rPr>
      </w:pPr>
      <w:r>
        <w:rPr>
          <w:i/>
          <w:iCs/>
        </w:rPr>
        <w:t>Hiv 1</w:t>
      </w:r>
    </w:p>
    <w:p w:rsidR="00491918" w:rsidRDefault="00491918" w:rsidP="00491918">
      <w:pPr>
        <w:pStyle w:val="Default"/>
        <w:ind w:left="851"/>
      </w:pPr>
      <w:r>
        <w:t xml:space="preserve">I studie GS-US-104-0321 blev 87 hiv 1-inficerede behandlingserfarne patienter i alderen 12 til &lt; 18 år behandlet med tenofovirdisoproxil (n = 45) eller placebo (n = 42) i kombination med et optimeret baggrundsregime (OBR) i 48 uger. På grund af begrænsninger i studiet blev der ikke vist en gavnlig effekt ved tenofovirdisoproxil sammenlignet med placebo baseret på plasma-hiv 1-rna-niveauer ved uge 24. Der forventes imidlertid en gavnlig effekt for den unge population baseret på ekstrapolation af data fra voksne og sammenlignende farmakokinetiske data (se pkt. 5.2). </w:t>
      </w:r>
    </w:p>
    <w:p w:rsidR="00491918" w:rsidRDefault="00491918" w:rsidP="00491918">
      <w:pPr>
        <w:pStyle w:val="Default"/>
        <w:ind w:left="851"/>
      </w:pPr>
    </w:p>
    <w:p w:rsidR="00491918" w:rsidRDefault="00491918" w:rsidP="00491918">
      <w:pPr>
        <w:pStyle w:val="Default"/>
        <w:ind w:left="851"/>
      </w:pPr>
      <w:r>
        <w:t xml:space="preserve">Hos patienter, som fik behandling med tenofovirdisoproxil eller placebo, var den gennemsnitlige BMD Z-score for columna lumbalis ved </w:t>
      </w:r>
      <w:r>
        <w:rPr>
          <w:iCs/>
        </w:rPr>
        <w:t>baseline</w:t>
      </w:r>
      <w:r>
        <w:rPr>
          <w:i/>
          <w:iCs/>
        </w:rPr>
        <w:t xml:space="preserve"> </w:t>
      </w:r>
      <w:r>
        <w:t xml:space="preserve">henholdsvis -1,004 og </w:t>
      </w:r>
      <w:r>
        <w:noBreakHyphen/>
        <w:t xml:space="preserve">0,809, og den gennemsnitlige BMD Z-score for hele kroppen ved </w:t>
      </w:r>
      <w:r>
        <w:rPr>
          <w:iCs/>
        </w:rPr>
        <w:t>baseline</w:t>
      </w:r>
      <w:r>
        <w:rPr>
          <w:i/>
          <w:iCs/>
        </w:rPr>
        <w:t xml:space="preserve"> </w:t>
      </w:r>
      <w:r>
        <w:t xml:space="preserve">var henholdsvis -0,866 og -0,584. De gennemsnitlige ændringer ved uge 48 (afslutning på den dobbeltblinde fase) var -0,215 og -0,165 i BMD Z-score for columna lumbalis og -0,254 og -0,179 i BMD Z-score for hele kroppen for henholdsvis tenofovirdisoproxil- og placebogrupperne. Den gennemsnitlige hastighed for stigning i BMD var mindre i tenofovirdisoproxil-gruppen sammenlignet med placebogruppen. Ved uge 48 havde seks unge i tenofovirdisoproxilgruppen og én ung i placebogruppen signifikant tab i BMD i columna lumbalis (defineret som &gt;4 % tab). Blandt de 28 patienter, der blev behandlet i 96 uger med tenofovirdisoproxil, ændredes BMD Z-score med -0,341 for columna lumbalis og med -0,458 for hele kroppen. </w:t>
      </w:r>
    </w:p>
    <w:p w:rsidR="00491918" w:rsidRDefault="00491918" w:rsidP="00491918">
      <w:pPr>
        <w:pStyle w:val="Default"/>
        <w:ind w:left="851"/>
      </w:pPr>
    </w:p>
    <w:p w:rsidR="00491918" w:rsidRDefault="00491918" w:rsidP="00491918">
      <w:pPr>
        <w:pStyle w:val="Default"/>
        <w:ind w:left="851"/>
      </w:pPr>
      <w:r>
        <w:t xml:space="preserve">I studie GS-US-104-0352 blev 97 behandlingserfarne patienter i alderen 2 til &lt;12 år med stabil, virologisk suppression på stavudin- eller zidovudin-holdige behandlinger randomiseret til enten at erstatte stavudin eller zidovudin med tenofovirdisoproxil (n = 48) eller at fortsætte med den oprindelige behandling (n = 49) i 48 uger. Ved uge 48 havde 83 % af patienterne i behandlingsgruppen med tenofovirdisoproxil og 92 % af patienterne i behandlingsgruppen med stavudin eller zidovudin hiv-1 RNA-koncentrationer på &lt;400 kopier/ml. Forskellen i andelen af patienter, der </w:t>
      </w:r>
      <w:r w:rsidR="00E0577D">
        <w:t xml:space="preserve">bibeholdt </w:t>
      </w:r>
      <w:r>
        <w:t xml:space="preserve">&lt;400 kopier/ml ved uge 48 var hovedsageligt påvirket af det højere antal seponeringer i behandlingsgruppen med tenofovirdisoproxil. Når manglende data blev ekskluderet, havde 91 % af patienterne i behandlingsgruppen med tenofovirdisoproxil og 94 % af patienterne i behandlingsgruppen med stavudin eller zidovudin hiv-1 RNA-koncentrationer på &lt;400 kopier/ml ved uge 48. </w:t>
      </w:r>
    </w:p>
    <w:p w:rsidR="00491918" w:rsidRDefault="00491918" w:rsidP="00491918">
      <w:pPr>
        <w:tabs>
          <w:tab w:val="left" w:pos="851"/>
        </w:tabs>
        <w:ind w:left="851" w:hanging="851"/>
        <w:rPr>
          <w:szCs w:val="24"/>
        </w:rPr>
      </w:pPr>
    </w:p>
    <w:p w:rsidR="00491918" w:rsidRDefault="00491918" w:rsidP="00491918">
      <w:pPr>
        <w:tabs>
          <w:tab w:val="left" w:pos="851"/>
        </w:tabs>
        <w:ind w:left="851" w:hanging="851"/>
        <w:rPr>
          <w:szCs w:val="24"/>
        </w:rPr>
      </w:pPr>
      <w:r>
        <w:rPr>
          <w:szCs w:val="24"/>
        </w:rPr>
        <w:tab/>
        <w:t xml:space="preserve">Reduktioner i BMD er blevet rapporteret hos pædiatriske patienter. Hos patienter, der fik behandling med tenofovirdisoproxil, eller stavudin eller zidovudin, var den gennemsnitlige BMD Z-score -1,034 og -0,498 for columna lumbalis og den gennemsnitlige BMD Z-score var henholdsvis -0,471 og -0,386 ved </w:t>
      </w:r>
      <w:r>
        <w:rPr>
          <w:iCs/>
          <w:szCs w:val="24"/>
        </w:rPr>
        <w:t>baseline</w:t>
      </w:r>
      <w:r>
        <w:rPr>
          <w:i/>
          <w:iCs/>
          <w:szCs w:val="24"/>
        </w:rPr>
        <w:t xml:space="preserve"> </w:t>
      </w:r>
      <w:r>
        <w:rPr>
          <w:szCs w:val="24"/>
        </w:rPr>
        <w:t>for hele kroppen. Gennemsnitlige ændringer ved uge 48 (afslutning af den randomiserede fase) var 0,032 og 0,087 i BMD Z-scoren for columna lumbalis og -0,184 og -0,027 i BMD Z-scoren for hele kroppen for henholdsvis gruppen med tenofovirdisoproxil og gruppen med stavudin eller zidovudin. Den gennemsnitlige hastighed for knogleøgning i columna lumbalis ved uge 48 var sammenlignelig mellem behandlingsgruppen med tenofovirdisoproxil og behandlingsgruppen med stavudin eller zidovudin. Knogleøgning for hele kroppen var mindre i behandlingsgruppen med tenofovirdisoproxil sammenlignet med behandlingsgruppen med stavudin eller zidovudin. Én patient behandlet med tenofovirdisoproxil og ingen patienter behandlet med stavudin eller zidovudin havde signifikant (&gt;4 %) BMD-tab i columna lumbalis ved uge 48. BMD Z-scores faldt med -0,012 for columna lumbalis og med -0,338 for hele kroppen hos de 64 patienter, der blev behandlet med tenofovirdisoproxil i 96 uger. BMD Z-score blev ikke justeret for højde og vægt.</w:t>
      </w:r>
    </w:p>
    <w:p w:rsidR="00491918" w:rsidRDefault="00491918" w:rsidP="00491918">
      <w:pPr>
        <w:tabs>
          <w:tab w:val="left" w:pos="851"/>
        </w:tabs>
        <w:ind w:left="851" w:hanging="851"/>
        <w:rPr>
          <w:szCs w:val="24"/>
        </w:rPr>
      </w:pPr>
    </w:p>
    <w:p w:rsidR="00491918" w:rsidRDefault="00C04C62" w:rsidP="00491918">
      <w:pPr>
        <w:pStyle w:val="Default"/>
        <w:ind w:left="851"/>
      </w:pPr>
      <w:r>
        <w:t>I studie GS-US-104-0352 seponerede 8 ud af 89 pædiatriske patienter (9,0 %), der blev eksponeret for tenofovirdisoproxil, studiemedicinen på grund af nyrebivirkninger. Fem forsøgsdeltagere (5,6 %) havde laboratoriefund, der var klinisk overensstemmende med proksimal renal tubulopati, og 4 af disse seponerede behandlingen med tenofovirdisoproxil (gennemsnitlig eksponering for tenofovirdisoproxil 331 uger).</w:t>
      </w:r>
    </w:p>
    <w:p w:rsidR="00C04C62" w:rsidRDefault="00C04C62" w:rsidP="00491918">
      <w:pPr>
        <w:pStyle w:val="Default"/>
        <w:ind w:left="851"/>
      </w:pPr>
    </w:p>
    <w:p w:rsidR="00491918" w:rsidRDefault="00491918" w:rsidP="00491918">
      <w:pPr>
        <w:pStyle w:val="Default"/>
        <w:ind w:left="851"/>
        <w:rPr>
          <w:i/>
          <w:iCs/>
        </w:rPr>
      </w:pPr>
      <w:r>
        <w:rPr>
          <w:i/>
          <w:iCs/>
        </w:rPr>
        <w:t>Kronisk hepatitis B</w:t>
      </w:r>
    </w:p>
    <w:p w:rsidR="00491918" w:rsidRPr="002960BA" w:rsidRDefault="00491918" w:rsidP="00491918">
      <w:pPr>
        <w:pStyle w:val="Default"/>
        <w:ind w:left="851"/>
      </w:pPr>
      <w:r>
        <w:t>I studie GS-US-174-0115 blev 106 HBeAg-negative og HBeAg-positive patienter i alderen 12 til &lt;18 år med kronisk HBV-infektion [HBV-dna ≥10</w:t>
      </w:r>
      <w:r>
        <w:rPr>
          <w:vertAlign w:val="superscript"/>
        </w:rPr>
        <w:t>5</w:t>
      </w:r>
      <w:r>
        <w:t xml:space="preserve"> kopier/ml, forhøjet serum-ALAT (≥ 2 x ULN) eller en anamnese med forhøjede serum-ALAT-niveauer i løbet af de seneste 24 måneder] behandlet med tenofovirdisoproxil 245 mg (n = 52) eller placebo (n = 54) i 72 uger. Patienterne skulle være behandlingsnaive med hensyn til tenofovirdisoproxil, men kunne have fået interferon-baserede regimer (&gt;6 måneder før screening) eller anden anti-HBV nukleosid/nukleotid-behandling (&gt;16 uger før screening), der ikke indeholdt tenofovirdisoproxil. Ved uge 72 havde i alt 88 % (46/52) af patienterne i behandlingsgruppen med tenofovird</w:t>
      </w:r>
      <w:r w:rsidRPr="002960BA">
        <w:t>isoproxil og 0 % (0/54) af patienterne i placebogruppen HBV-dna &lt;400 kopier/ml. 74 % (26/35) af patienterne i gruppen med tenofovirdisoproxil havde normaliseret ALAT ved uge 72, sammenlignet med 31 % (13/42) i placebogruppen. Behandlingsresponset med tenofovirdisoproxil var sammenligneligt hos nukleos(t)id-naive (n = 20) og nukleos(t)idbehandlede (n = 32) patienter, herunder lamivudin-resistente patienter (n = 6). 95 % af de nukleos(t)id-naive patienter, 84 % af de nukleos(t)idbehandlede patienter og 83 % af de lamivudin-resistente patienter opnåede HBV-dna &lt;400 kopier/ml ved uge 72. 31 ud af de 32 nukleos(t)idbehandlede patienter havde tidligere erfaring med lamivudin. Ved uge 72 havde 96 % (27/28) af de immunaktive patienter (HBV-dna ≥10</w:t>
      </w:r>
      <w:r w:rsidRPr="002960BA">
        <w:rPr>
          <w:vertAlign w:val="superscript"/>
        </w:rPr>
        <w:t>5</w:t>
      </w:r>
      <w:r w:rsidRPr="002960BA">
        <w:t xml:space="preserve"> kopier/ml, serum-ALAT &gt;1,5 x ULN) i gruppen, der blev behandlet med tenofovirdisoproxil, og 0 % (0/32) af patienterne i placebogruppen HBV-dna &lt;400 kopier/ml. 75 % (21/28) af de immunaktive patienter i tenofovirdisoproxil-gruppen havde normal ALAT ved uge 72, sammenlignet med 34 % (11/32) i placebogruppen. </w:t>
      </w:r>
    </w:p>
    <w:p w:rsidR="00491918" w:rsidRPr="002960BA" w:rsidRDefault="00491918" w:rsidP="00491918">
      <w:pPr>
        <w:pStyle w:val="Default"/>
        <w:ind w:left="851"/>
      </w:pPr>
    </w:p>
    <w:p w:rsidR="00491918" w:rsidRPr="00743892" w:rsidRDefault="00491918" w:rsidP="00491918">
      <w:pPr>
        <w:pStyle w:val="Default"/>
        <w:ind w:left="851"/>
      </w:pPr>
      <w:r w:rsidRPr="00743892">
        <w:t xml:space="preserve">Efter 72 uger med blindet randomiseret behandling kunne hver patient skifte til </w:t>
      </w:r>
      <w:r w:rsidRPr="00743892">
        <w:rPr>
          <w:iCs/>
        </w:rPr>
        <w:t>open</w:t>
      </w:r>
      <w:r w:rsidRPr="00743892">
        <w:t>-</w:t>
      </w:r>
      <w:r w:rsidRPr="00743892">
        <w:rPr>
          <w:iCs/>
        </w:rPr>
        <w:t>label</w:t>
      </w:r>
      <w:r w:rsidRPr="00743892">
        <w:t xml:space="preserve">-behandling med tenofovirdisoproxil op til uge 192. Efter uge 72 blev virologisk suppression opretholdt hos de patienter, som fik dobbeltblindet tenofovirdisoproxil efterfulgt af </w:t>
      </w:r>
      <w:r w:rsidRPr="00743892">
        <w:rPr>
          <w:iCs/>
        </w:rPr>
        <w:t>open</w:t>
      </w:r>
      <w:r w:rsidRPr="00743892">
        <w:t>-</w:t>
      </w:r>
      <w:r w:rsidRPr="00743892">
        <w:rPr>
          <w:iCs/>
        </w:rPr>
        <w:t xml:space="preserve">label </w:t>
      </w:r>
      <w:r w:rsidRPr="00743892">
        <w:t xml:space="preserve">tenofovirdisoproxil (TDF-TDF-gruppen): 86,5 % (45/52) af patienterne i TDF-TDF-gruppen havde HBV-dna &lt; 400 kopier/ml ved uge 192. Blandt de patienter, som fik placebo i den dobbeltblinde periode, steg andelen af patienter med HBV-dna &lt; 400 kopier/ml skarpt efter påbegyndelse af behandling med </w:t>
      </w:r>
      <w:r w:rsidRPr="00743892">
        <w:rPr>
          <w:iCs/>
        </w:rPr>
        <w:t>open</w:t>
      </w:r>
      <w:r w:rsidRPr="00743892">
        <w:t>-</w:t>
      </w:r>
      <w:r w:rsidRPr="00743892">
        <w:rPr>
          <w:iCs/>
        </w:rPr>
        <w:t xml:space="preserve">label </w:t>
      </w:r>
      <w:r w:rsidRPr="00743892">
        <w:t xml:space="preserve">TDF (PLB-TDF-gruppen): 74,1 % (40/54) af patienterne i PLB-TDF-gruppen havde HBV-dna &lt; 400 kopier/ml ved uge 192. Andelen af patienter med ALAT-normalisering ved uge 192 i TDF-TDF-gruppen var 75,8 % (25/33) blandt de patienter, som var HBeAg-positive ved </w:t>
      </w:r>
      <w:r w:rsidRPr="00743892">
        <w:rPr>
          <w:iCs/>
        </w:rPr>
        <w:t>baseline</w:t>
      </w:r>
      <w:r w:rsidRPr="00743892">
        <w:t xml:space="preserve">, og 100,0 % (2 af 2 patienter) blandt dem, der var HBeAg-negative ved </w:t>
      </w:r>
      <w:r w:rsidRPr="00743892">
        <w:rPr>
          <w:iCs/>
        </w:rPr>
        <w:t>baseline</w:t>
      </w:r>
      <w:r w:rsidRPr="00743892">
        <w:t xml:space="preserve">. Sammenlignelige procentdele af patienterne i TDF-TDF- og PLB-TDF-grupperne (henholdsvis 37,5 % og 41,7 %) oplevede serokonversion til anti-HBe indtil uge 192. </w:t>
      </w:r>
    </w:p>
    <w:p w:rsidR="00491918" w:rsidRPr="002960BA" w:rsidRDefault="00491918" w:rsidP="00491918">
      <w:pPr>
        <w:pStyle w:val="Default"/>
        <w:ind w:left="851"/>
      </w:pPr>
      <w:r w:rsidRPr="00743892">
        <w:t xml:space="preserve">Data vedrørende knoglemineraltæthed (BMD) fra studiet GS-US-174-0115 er opsummeret i tabel 8: </w:t>
      </w:r>
    </w:p>
    <w:p w:rsidR="00491918" w:rsidRPr="00743892" w:rsidRDefault="00491918" w:rsidP="00491918">
      <w:pPr>
        <w:pStyle w:val="Default"/>
        <w:ind w:left="851"/>
      </w:pPr>
    </w:p>
    <w:p w:rsidR="00491918" w:rsidRPr="00743892" w:rsidRDefault="00491918" w:rsidP="00FE70EC">
      <w:pPr>
        <w:pStyle w:val="Default"/>
        <w:keepNext/>
        <w:ind w:left="851"/>
        <w:rPr>
          <w:b/>
          <w:bCs/>
        </w:rPr>
      </w:pPr>
      <w:r w:rsidRPr="00743892">
        <w:rPr>
          <w:b/>
          <w:bCs/>
        </w:rPr>
        <w:t xml:space="preserve">Tabel 8: Vurdering af knoglemineraltæthed ved </w:t>
      </w:r>
      <w:r w:rsidRPr="00743892">
        <w:rPr>
          <w:b/>
          <w:bCs/>
          <w:iCs/>
        </w:rPr>
        <w:t>baseline</w:t>
      </w:r>
      <w:r w:rsidRPr="00743892">
        <w:rPr>
          <w:b/>
          <w:bCs/>
        </w:rPr>
        <w:t>, uge 72 og uge 192</w:t>
      </w:r>
    </w:p>
    <w:p w:rsidR="00491918" w:rsidRPr="002960BA" w:rsidRDefault="00491918" w:rsidP="00FE70EC">
      <w:pPr>
        <w:pStyle w:val="Default"/>
        <w:keepNext/>
        <w:ind w:left="851"/>
        <w:rPr>
          <w:b/>
          <w:bCs/>
          <w:sz w:val="22"/>
          <w:szCs w:val="22"/>
        </w:rPr>
      </w:pPr>
    </w:p>
    <w:tbl>
      <w:tblPr>
        <w:tblW w:w="0" w:type="auto"/>
        <w:tblInd w:w="95" w:type="dxa"/>
        <w:tblLayout w:type="fixed"/>
        <w:tblCellMar>
          <w:left w:w="0" w:type="dxa"/>
          <w:right w:w="0" w:type="dxa"/>
        </w:tblCellMar>
        <w:tblLook w:val="01E0" w:firstRow="1" w:lastRow="1" w:firstColumn="1" w:lastColumn="1" w:noHBand="0" w:noVBand="0"/>
      </w:tblPr>
      <w:tblGrid>
        <w:gridCol w:w="2031"/>
        <w:gridCol w:w="1146"/>
        <w:gridCol w:w="1203"/>
        <w:gridCol w:w="1211"/>
        <w:gridCol w:w="1174"/>
        <w:gridCol w:w="1268"/>
        <w:gridCol w:w="1261"/>
      </w:tblGrid>
      <w:tr w:rsidR="00491918" w:rsidRPr="002960BA" w:rsidTr="00FE70EC">
        <w:trPr>
          <w:trHeight w:hRule="exact" w:val="245"/>
        </w:trPr>
        <w:tc>
          <w:tcPr>
            <w:tcW w:w="2031" w:type="dxa"/>
            <w:vMerge w:val="restart"/>
            <w:tcBorders>
              <w:top w:val="single" w:sz="8" w:space="0" w:color="000000"/>
              <w:left w:val="single" w:sz="6" w:space="0" w:color="000000"/>
              <w:bottom w:val="single" w:sz="8" w:space="0" w:color="000000"/>
              <w:right w:val="single" w:sz="6" w:space="0" w:color="000000"/>
            </w:tcBorders>
          </w:tcPr>
          <w:p w:rsidR="00491918" w:rsidRPr="002960BA" w:rsidRDefault="00491918" w:rsidP="00FE70EC">
            <w:pPr>
              <w:rPr>
                <w:rFonts w:eastAsia="Calibri"/>
                <w:sz w:val="22"/>
                <w:szCs w:val="22"/>
                <w:lang w:eastAsia="en-GB"/>
              </w:rPr>
            </w:pPr>
          </w:p>
        </w:tc>
        <w:tc>
          <w:tcPr>
            <w:tcW w:w="2349" w:type="dxa"/>
            <w:gridSpan w:val="2"/>
            <w:tcBorders>
              <w:top w:val="single" w:sz="8" w:space="0" w:color="000000"/>
              <w:left w:val="single" w:sz="6" w:space="0" w:color="000000"/>
              <w:bottom w:val="single" w:sz="8" w:space="0" w:color="000000"/>
              <w:right w:val="single" w:sz="6" w:space="0" w:color="000000"/>
            </w:tcBorders>
            <w:hideMark/>
          </w:tcPr>
          <w:p w:rsidR="00491918" w:rsidRPr="00743892" w:rsidRDefault="00491918" w:rsidP="00FE70EC">
            <w:pPr>
              <w:jc w:val="center"/>
              <w:rPr>
                <w:rFonts w:eastAsia="Calibri"/>
                <w:sz w:val="22"/>
                <w:szCs w:val="22"/>
                <w:lang w:val="en-US" w:eastAsia="en-GB"/>
              </w:rPr>
            </w:pPr>
            <w:r w:rsidRPr="00743892">
              <w:rPr>
                <w:rFonts w:eastAsia="Calibri"/>
                <w:b/>
                <w:bCs/>
                <w:sz w:val="22"/>
                <w:szCs w:val="22"/>
                <w:lang w:val="en-US" w:eastAsia="en-GB"/>
              </w:rPr>
              <w:t>Baseline</w:t>
            </w:r>
          </w:p>
        </w:tc>
        <w:tc>
          <w:tcPr>
            <w:tcW w:w="2385" w:type="dxa"/>
            <w:gridSpan w:val="2"/>
            <w:tcBorders>
              <w:top w:val="single" w:sz="8" w:space="0" w:color="000000"/>
              <w:left w:val="single" w:sz="6" w:space="0" w:color="000000"/>
              <w:bottom w:val="single" w:sz="8" w:space="0" w:color="000000"/>
              <w:right w:val="single" w:sz="6" w:space="0" w:color="000000"/>
            </w:tcBorders>
            <w:hideMark/>
          </w:tcPr>
          <w:p w:rsidR="00491918" w:rsidRPr="00743892" w:rsidRDefault="00491918" w:rsidP="00FE70EC">
            <w:pPr>
              <w:jc w:val="center"/>
              <w:rPr>
                <w:rFonts w:eastAsia="Calibri"/>
                <w:sz w:val="22"/>
                <w:szCs w:val="22"/>
                <w:lang w:val="en-US" w:eastAsia="en-GB"/>
              </w:rPr>
            </w:pPr>
            <w:r w:rsidRPr="002960BA">
              <w:rPr>
                <w:rFonts w:eastAsia="Calibri"/>
                <w:b/>
                <w:bCs/>
                <w:sz w:val="22"/>
                <w:szCs w:val="22"/>
                <w:lang w:val="en-US" w:eastAsia="en-GB"/>
              </w:rPr>
              <w:t>Uge</w:t>
            </w:r>
            <w:r w:rsidRPr="00743892">
              <w:rPr>
                <w:rFonts w:eastAsia="Calibri"/>
                <w:b/>
                <w:bCs/>
                <w:sz w:val="22"/>
                <w:szCs w:val="22"/>
                <w:lang w:val="en-US" w:eastAsia="en-GB"/>
              </w:rPr>
              <w:t xml:space="preserve"> 72</w:t>
            </w:r>
          </w:p>
        </w:tc>
        <w:tc>
          <w:tcPr>
            <w:tcW w:w="2529" w:type="dxa"/>
            <w:gridSpan w:val="2"/>
            <w:tcBorders>
              <w:top w:val="single" w:sz="8" w:space="0" w:color="000000"/>
              <w:left w:val="single" w:sz="6" w:space="0" w:color="000000"/>
              <w:bottom w:val="single" w:sz="8" w:space="0" w:color="000000"/>
              <w:right w:val="single" w:sz="6" w:space="0" w:color="000000"/>
            </w:tcBorders>
            <w:hideMark/>
          </w:tcPr>
          <w:p w:rsidR="00491918" w:rsidRPr="00743892" w:rsidRDefault="00491918" w:rsidP="00FE70EC">
            <w:pPr>
              <w:jc w:val="center"/>
              <w:rPr>
                <w:rFonts w:eastAsia="Calibri"/>
                <w:sz w:val="22"/>
                <w:szCs w:val="22"/>
                <w:lang w:val="en-US" w:eastAsia="en-GB"/>
              </w:rPr>
            </w:pPr>
            <w:r w:rsidRPr="002960BA">
              <w:rPr>
                <w:rFonts w:eastAsia="Calibri"/>
                <w:b/>
                <w:bCs/>
                <w:sz w:val="22"/>
                <w:szCs w:val="22"/>
                <w:lang w:val="en-US" w:eastAsia="en-GB"/>
              </w:rPr>
              <w:t>Uge</w:t>
            </w:r>
            <w:r w:rsidRPr="00743892">
              <w:rPr>
                <w:rFonts w:eastAsia="Calibri"/>
                <w:b/>
                <w:bCs/>
                <w:sz w:val="22"/>
                <w:szCs w:val="22"/>
                <w:lang w:val="en-US" w:eastAsia="en-GB"/>
              </w:rPr>
              <w:t xml:space="preserve"> 192</w:t>
            </w:r>
          </w:p>
        </w:tc>
      </w:tr>
      <w:tr w:rsidR="00491918" w:rsidRPr="002960BA" w:rsidTr="00FE70EC">
        <w:trPr>
          <w:trHeight w:hRule="exact" w:val="253"/>
        </w:trPr>
        <w:tc>
          <w:tcPr>
            <w:tcW w:w="2031" w:type="dxa"/>
            <w:vMerge/>
            <w:tcBorders>
              <w:top w:val="single" w:sz="8" w:space="0" w:color="000000"/>
              <w:left w:val="single" w:sz="6" w:space="0" w:color="000000"/>
              <w:bottom w:val="single" w:sz="8" w:space="0" w:color="000000"/>
              <w:right w:val="single" w:sz="6" w:space="0" w:color="000000"/>
            </w:tcBorders>
            <w:vAlign w:val="center"/>
            <w:hideMark/>
          </w:tcPr>
          <w:p w:rsidR="00491918" w:rsidRPr="002960BA" w:rsidRDefault="00491918" w:rsidP="00FE70EC">
            <w:pPr>
              <w:rPr>
                <w:rFonts w:eastAsia="Calibri"/>
                <w:sz w:val="22"/>
                <w:szCs w:val="22"/>
                <w:lang w:val="en-US" w:eastAsia="en-GB"/>
              </w:rPr>
            </w:pPr>
          </w:p>
        </w:tc>
        <w:tc>
          <w:tcPr>
            <w:tcW w:w="1146" w:type="dxa"/>
            <w:tcBorders>
              <w:top w:val="single" w:sz="8" w:space="0" w:color="000000"/>
              <w:left w:val="single" w:sz="6" w:space="0" w:color="000000"/>
              <w:bottom w:val="single" w:sz="8" w:space="0" w:color="000000"/>
              <w:right w:val="single" w:sz="6" w:space="0" w:color="000000"/>
            </w:tcBorders>
            <w:hideMark/>
          </w:tcPr>
          <w:p w:rsidR="00491918" w:rsidRPr="00743892" w:rsidRDefault="00491918" w:rsidP="00FE70EC">
            <w:pPr>
              <w:jc w:val="center"/>
              <w:rPr>
                <w:rFonts w:eastAsia="Calibri"/>
                <w:sz w:val="22"/>
                <w:szCs w:val="22"/>
                <w:lang w:val="en-US" w:eastAsia="en-GB"/>
              </w:rPr>
            </w:pPr>
            <w:r w:rsidRPr="00743892">
              <w:rPr>
                <w:rFonts w:eastAsia="Calibri"/>
                <w:b/>
                <w:bCs/>
                <w:sz w:val="22"/>
                <w:szCs w:val="22"/>
                <w:lang w:val="en-US" w:eastAsia="en-GB"/>
              </w:rPr>
              <w:t>TDF-TDF</w:t>
            </w:r>
          </w:p>
        </w:tc>
        <w:tc>
          <w:tcPr>
            <w:tcW w:w="1203" w:type="dxa"/>
            <w:tcBorders>
              <w:top w:val="single" w:sz="8" w:space="0" w:color="000000"/>
              <w:left w:val="single" w:sz="6" w:space="0" w:color="000000"/>
              <w:bottom w:val="single" w:sz="8" w:space="0" w:color="000000"/>
              <w:right w:val="single" w:sz="6" w:space="0" w:color="000000"/>
            </w:tcBorders>
            <w:hideMark/>
          </w:tcPr>
          <w:p w:rsidR="00491918" w:rsidRPr="00743892" w:rsidRDefault="00491918" w:rsidP="00FE70EC">
            <w:pPr>
              <w:jc w:val="center"/>
              <w:rPr>
                <w:rFonts w:eastAsia="Calibri"/>
                <w:sz w:val="22"/>
                <w:szCs w:val="22"/>
                <w:lang w:val="en-US" w:eastAsia="en-GB"/>
              </w:rPr>
            </w:pPr>
            <w:r w:rsidRPr="00743892">
              <w:rPr>
                <w:rFonts w:eastAsia="Calibri"/>
                <w:b/>
                <w:bCs/>
                <w:sz w:val="22"/>
                <w:szCs w:val="22"/>
                <w:lang w:val="en-US" w:eastAsia="en-GB"/>
              </w:rPr>
              <w:t>PLB-TDF</w:t>
            </w:r>
          </w:p>
        </w:tc>
        <w:tc>
          <w:tcPr>
            <w:tcW w:w="1211" w:type="dxa"/>
            <w:tcBorders>
              <w:top w:val="single" w:sz="8" w:space="0" w:color="000000"/>
              <w:left w:val="single" w:sz="6" w:space="0" w:color="000000"/>
              <w:bottom w:val="single" w:sz="8" w:space="0" w:color="000000"/>
              <w:right w:val="single" w:sz="6" w:space="0" w:color="000000"/>
            </w:tcBorders>
            <w:hideMark/>
          </w:tcPr>
          <w:p w:rsidR="00491918" w:rsidRPr="00743892" w:rsidRDefault="00491918" w:rsidP="00FE70EC">
            <w:pPr>
              <w:jc w:val="center"/>
              <w:rPr>
                <w:rFonts w:eastAsia="Calibri"/>
                <w:sz w:val="22"/>
                <w:szCs w:val="22"/>
                <w:lang w:val="en-US" w:eastAsia="en-GB"/>
              </w:rPr>
            </w:pPr>
            <w:r w:rsidRPr="00743892">
              <w:rPr>
                <w:rFonts w:eastAsia="Calibri"/>
                <w:b/>
                <w:bCs/>
                <w:sz w:val="22"/>
                <w:szCs w:val="22"/>
                <w:lang w:val="en-US" w:eastAsia="en-GB"/>
              </w:rPr>
              <w:t>TDF-TDF</w:t>
            </w:r>
          </w:p>
        </w:tc>
        <w:tc>
          <w:tcPr>
            <w:tcW w:w="1174" w:type="dxa"/>
            <w:tcBorders>
              <w:top w:val="single" w:sz="8" w:space="0" w:color="000000"/>
              <w:left w:val="single" w:sz="6" w:space="0" w:color="000000"/>
              <w:bottom w:val="single" w:sz="8" w:space="0" w:color="000000"/>
              <w:right w:val="single" w:sz="6" w:space="0" w:color="000000"/>
            </w:tcBorders>
            <w:hideMark/>
          </w:tcPr>
          <w:p w:rsidR="00491918" w:rsidRPr="00743892" w:rsidRDefault="00491918" w:rsidP="00FE70EC">
            <w:pPr>
              <w:jc w:val="center"/>
              <w:rPr>
                <w:rFonts w:eastAsia="Calibri"/>
                <w:sz w:val="22"/>
                <w:szCs w:val="22"/>
                <w:lang w:val="en-US" w:eastAsia="en-GB"/>
              </w:rPr>
            </w:pPr>
            <w:r w:rsidRPr="00743892">
              <w:rPr>
                <w:rFonts w:eastAsia="Calibri"/>
                <w:b/>
                <w:bCs/>
                <w:sz w:val="22"/>
                <w:szCs w:val="22"/>
                <w:lang w:val="en-US" w:eastAsia="en-GB"/>
              </w:rPr>
              <w:t>PLB-TDF</w:t>
            </w:r>
          </w:p>
        </w:tc>
        <w:tc>
          <w:tcPr>
            <w:tcW w:w="1268" w:type="dxa"/>
            <w:tcBorders>
              <w:top w:val="single" w:sz="8" w:space="0" w:color="000000"/>
              <w:left w:val="single" w:sz="6" w:space="0" w:color="000000"/>
              <w:bottom w:val="single" w:sz="8" w:space="0" w:color="000000"/>
              <w:right w:val="single" w:sz="6" w:space="0" w:color="000000"/>
            </w:tcBorders>
            <w:hideMark/>
          </w:tcPr>
          <w:p w:rsidR="00491918" w:rsidRPr="00743892" w:rsidRDefault="00491918" w:rsidP="00FE70EC">
            <w:pPr>
              <w:jc w:val="center"/>
              <w:rPr>
                <w:rFonts w:eastAsia="Calibri"/>
                <w:sz w:val="22"/>
                <w:szCs w:val="22"/>
                <w:lang w:val="en-US" w:eastAsia="en-GB"/>
              </w:rPr>
            </w:pPr>
            <w:r w:rsidRPr="00743892">
              <w:rPr>
                <w:rFonts w:eastAsia="Calibri"/>
                <w:b/>
                <w:bCs/>
                <w:sz w:val="22"/>
                <w:szCs w:val="22"/>
                <w:lang w:val="en-US" w:eastAsia="en-GB"/>
              </w:rPr>
              <w:t>TDF-TDF</w:t>
            </w:r>
          </w:p>
        </w:tc>
        <w:tc>
          <w:tcPr>
            <w:tcW w:w="1261" w:type="dxa"/>
            <w:tcBorders>
              <w:top w:val="single" w:sz="8" w:space="0" w:color="000000"/>
              <w:left w:val="single" w:sz="6" w:space="0" w:color="000000"/>
              <w:bottom w:val="single" w:sz="8" w:space="0" w:color="000000"/>
              <w:right w:val="single" w:sz="6" w:space="0" w:color="000000"/>
            </w:tcBorders>
            <w:hideMark/>
          </w:tcPr>
          <w:p w:rsidR="00491918" w:rsidRPr="00743892" w:rsidRDefault="00491918" w:rsidP="00FE70EC">
            <w:pPr>
              <w:jc w:val="center"/>
              <w:rPr>
                <w:rFonts w:eastAsia="Calibri"/>
                <w:sz w:val="22"/>
                <w:szCs w:val="22"/>
                <w:lang w:val="en-US" w:eastAsia="en-GB"/>
              </w:rPr>
            </w:pPr>
            <w:r w:rsidRPr="00743892">
              <w:rPr>
                <w:rFonts w:eastAsia="Calibri"/>
                <w:b/>
                <w:bCs/>
                <w:sz w:val="22"/>
                <w:szCs w:val="22"/>
                <w:lang w:val="en-US" w:eastAsia="en-GB"/>
              </w:rPr>
              <w:t>PLB-TDF</w:t>
            </w:r>
          </w:p>
        </w:tc>
      </w:tr>
      <w:tr w:rsidR="00491918" w:rsidRPr="002960BA" w:rsidTr="00FE70EC">
        <w:trPr>
          <w:trHeight w:hRule="exact" w:val="871"/>
        </w:trPr>
        <w:tc>
          <w:tcPr>
            <w:tcW w:w="2031" w:type="dxa"/>
            <w:tcBorders>
              <w:top w:val="single" w:sz="8" w:space="0" w:color="000000"/>
              <w:left w:val="single" w:sz="6" w:space="0" w:color="000000"/>
              <w:bottom w:val="single" w:sz="8" w:space="0" w:color="000000"/>
              <w:right w:val="single" w:sz="6" w:space="0" w:color="000000"/>
            </w:tcBorders>
            <w:hideMark/>
          </w:tcPr>
          <w:p w:rsidR="00491918" w:rsidRPr="00743892" w:rsidRDefault="00491918" w:rsidP="00FE70EC">
            <w:pPr>
              <w:rPr>
                <w:rFonts w:eastAsia="Calibri"/>
                <w:sz w:val="22"/>
                <w:szCs w:val="22"/>
                <w:lang w:eastAsia="en-GB"/>
              </w:rPr>
            </w:pPr>
            <w:r w:rsidRPr="00743892">
              <w:rPr>
                <w:rFonts w:eastAsia="Calibri"/>
                <w:sz w:val="22"/>
                <w:szCs w:val="22"/>
                <w:lang w:eastAsia="en-GB"/>
              </w:rPr>
              <w:t>Gennemsnitlig (SD) BMD Z-score</w:t>
            </w:r>
            <w:r w:rsidRPr="00743892">
              <w:rPr>
                <w:rFonts w:eastAsia="Calibri"/>
                <w:sz w:val="22"/>
                <w:szCs w:val="22"/>
                <w:vertAlign w:val="superscript"/>
                <w:lang w:eastAsia="en-GB"/>
              </w:rPr>
              <w:t>a</w:t>
            </w:r>
            <w:r w:rsidRPr="002960BA">
              <w:rPr>
                <w:rFonts w:eastAsia="Calibri"/>
                <w:sz w:val="22"/>
                <w:szCs w:val="22"/>
                <w:vertAlign w:val="superscript"/>
                <w:lang w:eastAsia="en-GB"/>
              </w:rPr>
              <w:t xml:space="preserve"> </w:t>
            </w:r>
            <w:r w:rsidRPr="002960BA">
              <w:rPr>
                <w:rFonts w:eastAsia="Calibri"/>
                <w:sz w:val="22"/>
                <w:szCs w:val="22"/>
                <w:lang w:eastAsia="en-GB"/>
              </w:rPr>
              <w:t>for columna lumbalis</w:t>
            </w:r>
          </w:p>
        </w:tc>
        <w:tc>
          <w:tcPr>
            <w:tcW w:w="1146"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w:t>
            </w:r>
            <w:r w:rsidRPr="002960BA">
              <w:rPr>
                <w:rFonts w:eastAsia="Calibri"/>
                <w:sz w:val="22"/>
                <w:szCs w:val="22"/>
                <w:lang w:val="en-US" w:eastAsia="en-GB"/>
              </w:rPr>
              <w:t>0,</w:t>
            </w:r>
            <w:r w:rsidRPr="00743892">
              <w:rPr>
                <w:rFonts w:eastAsia="Calibri"/>
                <w:sz w:val="22"/>
                <w:szCs w:val="22"/>
                <w:lang w:val="en-US" w:eastAsia="en-GB"/>
              </w:rPr>
              <w:t>42</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762)</w:t>
            </w:r>
          </w:p>
        </w:tc>
        <w:tc>
          <w:tcPr>
            <w:tcW w:w="1203"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26</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806)</w:t>
            </w:r>
          </w:p>
        </w:tc>
        <w:tc>
          <w:tcPr>
            <w:tcW w:w="1211"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49</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852)</w:t>
            </w:r>
          </w:p>
        </w:tc>
        <w:tc>
          <w:tcPr>
            <w:tcW w:w="1174"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23</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893)</w:t>
            </w:r>
          </w:p>
        </w:tc>
        <w:tc>
          <w:tcPr>
            <w:tcW w:w="1268"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37</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946)</w:t>
            </w:r>
          </w:p>
        </w:tc>
        <w:tc>
          <w:tcPr>
            <w:tcW w:w="1261" w:type="dxa"/>
            <w:tcBorders>
              <w:top w:val="single" w:sz="8" w:space="0" w:color="000000"/>
              <w:left w:val="single" w:sz="6" w:space="0" w:color="000000"/>
              <w:bottom w:val="single" w:sz="8" w:space="0" w:color="000000"/>
              <w:right w:val="single" w:sz="6" w:space="0" w:color="000000"/>
            </w:tcBorders>
            <w:vAlign w:val="center"/>
            <w:hideMark/>
          </w:tcPr>
          <w:p w:rsidR="00491918" w:rsidRPr="002960BA"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44</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920)</w:t>
            </w:r>
          </w:p>
        </w:tc>
      </w:tr>
      <w:tr w:rsidR="00491918" w:rsidRPr="002960BA" w:rsidTr="00FE70EC">
        <w:trPr>
          <w:trHeight w:hRule="exact" w:val="1126"/>
        </w:trPr>
        <w:tc>
          <w:tcPr>
            <w:tcW w:w="2031" w:type="dxa"/>
            <w:tcBorders>
              <w:top w:val="single" w:sz="8" w:space="0" w:color="000000"/>
              <w:left w:val="single" w:sz="6" w:space="0" w:color="000000"/>
              <w:bottom w:val="single" w:sz="8" w:space="0" w:color="000000"/>
              <w:right w:val="single" w:sz="6" w:space="0" w:color="000000"/>
            </w:tcBorders>
            <w:hideMark/>
          </w:tcPr>
          <w:p w:rsidR="00491918" w:rsidRPr="00743892" w:rsidRDefault="00491918" w:rsidP="00FE70EC">
            <w:pPr>
              <w:rPr>
                <w:rFonts w:eastAsia="Calibri"/>
                <w:sz w:val="22"/>
                <w:szCs w:val="22"/>
                <w:lang w:eastAsia="en-GB"/>
              </w:rPr>
            </w:pPr>
            <w:r w:rsidRPr="002960BA">
              <w:rPr>
                <w:rFonts w:eastAsia="Calibri"/>
                <w:sz w:val="22"/>
                <w:szCs w:val="22"/>
                <w:lang w:eastAsia="en-GB"/>
              </w:rPr>
              <w:t xml:space="preserve">Gennemsnitlig </w:t>
            </w:r>
            <w:r w:rsidRPr="00743892">
              <w:rPr>
                <w:rFonts w:eastAsia="Calibri"/>
                <w:sz w:val="22"/>
                <w:szCs w:val="22"/>
                <w:lang w:eastAsia="en-GB"/>
              </w:rPr>
              <w:t xml:space="preserve">(SD) </w:t>
            </w:r>
            <w:r w:rsidRPr="002960BA">
              <w:rPr>
                <w:rFonts w:eastAsia="Calibri"/>
                <w:sz w:val="22"/>
                <w:szCs w:val="22"/>
                <w:lang w:eastAsia="en-GB"/>
              </w:rPr>
              <w:t>ændring af</w:t>
            </w:r>
            <w:r w:rsidRPr="00743892">
              <w:rPr>
                <w:rFonts w:eastAsia="Calibri"/>
                <w:sz w:val="22"/>
                <w:szCs w:val="22"/>
                <w:lang w:eastAsia="en-GB"/>
              </w:rPr>
              <w:t xml:space="preserve"> BMD Z-score</w:t>
            </w:r>
            <w:r w:rsidRPr="00743892">
              <w:rPr>
                <w:rFonts w:eastAsia="Calibri"/>
                <w:sz w:val="22"/>
                <w:szCs w:val="22"/>
                <w:vertAlign w:val="superscript"/>
                <w:lang w:eastAsia="en-GB"/>
              </w:rPr>
              <w:t>a</w:t>
            </w:r>
            <w:r w:rsidRPr="002960BA">
              <w:rPr>
                <w:rFonts w:eastAsia="Calibri"/>
                <w:sz w:val="22"/>
                <w:szCs w:val="22"/>
                <w:vertAlign w:val="superscript"/>
                <w:lang w:eastAsia="en-GB"/>
              </w:rPr>
              <w:t xml:space="preserve"> </w:t>
            </w:r>
            <w:r w:rsidRPr="002960BA">
              <w:rPr>
                <w:rFonts w:eastAsia="Calibri"/>
                <w:sz w:val="22"/>
                <w:szCs w:val="22"/>
                <w:lang w:eastAsia="en-GB"/>
              </w:rPr>
              <w:t>for columna lumbalis fra baseline</w:t>
            </w:r>
          </w:p>
        </w:tc>
        <w:tc>
          <w:tcPr>
            <w:tcW w:w="1146"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NA</w:t>
            </w:r>
          </w:p>
        </w:tc>
        <w:tc>
          <w:tcPr>
            <w:tcW w:w="1203"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NA</w:t>
            </w:r>
          </w:p>
        </w:tc>
        <w:tc>
          <w:tcPr>
            <w:tcW w:w="1211" w:type="dxa"/>
            <w:tcBorders>
              <w:top w:val="single" w:sz="8" w:space="0" w:color="000000"/>
              <w:left w:val="single" w:sz="6" w:space="0" w:color="000000"/>
              <w:bottom w:val="single" w:sz="8" w:space="0" w:color="000000"/>
              <w:right w:val="single" w:sz="6" w:space="0" w:color="000000"/>
            </w:tcBorders>
            <w:vAlign w:val="center"/>
            <w:hideMark/>
          </w:tcPr>
          <w:p w:rsidR="00491918" w:rsidRPr="002960BA"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06</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320)</w:t>
            </w:r>
          </w:p>
        </w:tc>
        <w:tc>
          <w:tcPr>
            <w:tcW w:w="1174" w:type="dxa"/>
            <w:tcBorders>
              <w:top w:val="single" w:sz="8" w:space="0" w:color="000000"/>
              <w:left w:val="single" w:sz="6" w:space="0" w:color="000000"/>
              <w:bottom w:val="single" w:sz="8" w:space="0" w:color="000000"/>
              <w:right w:val="single" w:sz="6" w:space="0" w:color="000000"/>
            </w:tcBorders>
            <w:vAlign w:val="center"/>
            <w:hideMark/>
          </w:tcPr>
          <w:p w:rsidR="00491918" w:rsidRPr="002960BA"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10</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378)</w:t>
            </w:r>
          </w:p>
        </w:tc>
        <w:tc>
          <w:tcPr>
            <w:tcW w:w="1268" w:type="dxa"/>
            <w:tcBorders>
              <w:top w:val="single" w:sz="8" w:space="0" w:color="000000"/>
              <w:left w:val="single" w:sz="6" w:space="0" w:color="000000"/>
              <w:bottom w:val="single" w:sz="8" w:space="0" w:color="000000"/>
              <w:right w:val="single" w:sz="6" w:space="0" w:color="000000"/>
            </w:tcBorders>
            <w:vAlign w:val="center"/>
            <w:hideMark/>
          </w:tcPr>
          <w:p w:rsidR="00491918" w:rsidRPr="002960BA"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02</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548)</w:t>
            </w:r>
          </w:p>
        </w:tc>
        <w:tc>
          <w:tcPr>
            <w:tcW w:w="1261" w:type="dxa"/>
            <w:tcBorders>
              <w:top w:val="single" w:sz="8" w:space="0" w:color="000000"/>
              <w:left w:val="single" w:sz="6" w:space="0" w:color="000000"/>
              <w:bottom w:val="single" w:sz="8" w:space="0" w:color="000000"/>
              <w:right w:val="single" w:sz="6" w:space="0" w:color="000000"/>
            </w:tcBorders>
            <w:vAlign w:val="center"/>
            <w:hideMark/>
          </w:tcPr>
          <w:p w:rsidR="00491918" w:rsidRPr="002960BA"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10</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543)</w:t>
            </w:r>
          </w:p>
        </w:tc>
      </w:tr>
      <w:tr w:rsidR="00491918" w:rsidRPr="002960BA" w:rsidTr="00FE70EC">
        <w:trPr>
          <w:trHeight w:hRule="exact" w:val="858"/>
        </w:trPr>
        <w:tc>
          <w:tcPr>
            <w:tcW w:w="2031" w:type="dxa"/>
            <w:tcBorders>
              <w:top w:val="single" w:sz="8" w:space="0" w:color="000000"/>
              <w:left w:val="single" w:sz="6" w:space="0" w:color="000000"/>
              <w:bottom w:val="single" w:sz="8" w:space="0" w:color="000000"/>
              <w:right w:val="single" w:sz="6" w:space="0" w:color="000000"/>
            </w:tcBorders>
            <w:hideMark/>
          </w:tcPr>
          <w:p w:rsidR="00491918" w:rsidRPr="00743892" w:rsidRDefault="00491918" w:rsidP="00FE70EC">
            <w:pPr>
              <w:rPr>
                <w:rFonts w:eastAsia="Calibri"/>
                <w:sz w:val="22"/>
                <w:szCs w:val="22"/>
                <w:lang w:eastAsia="en-GB"/>
              </w:rPr>
            </w:pPr>
            <w:r w:rsidRPr="00743892">
              <w:rPr>
                <w:rFonts w:eastAsia="Calibri"/>
                <w:sz w:val="22"/>
                <w:szCs w:val="22"/>
                <w:lang w:eastAsia="en-GB"/>
              </w:rPr>
              <w:t>Gennemsnitlig (SD) BMD Z-score</w:t>
            </w:r>
            <w:r w:rsidRPr="00743892">
              <w:rPr>
                <w:rFonts w:eastAsia="Calibri"/>
                <w:sz w:val="22"/>
                <w:szCs w:val="22"/>
                <w:vertAlign w:val="superscript"/>
                <w:lang w:eastAsia="en-GB"/>
              </w:rPr>
              <w:t>a</w:t>
            </w:r>
            <w:r w:rsidRPr="002960BA">
              <w:rPr>
                <w:rFonts w:eastAsia="Calibri"/>
                <w:sz w:val="22"/>
                <w:szCs w:val="22"/>
                <w:vertAlign w:val="superscript"/>
                <w:lang w:eastAsia="en-GB"/>
              </w:rPr>
              <w:t xml:space="preserve"> </w:t>
            </w:r>
            <w:r w:rsidRPr="002960BA">
              <w:rPr>
                <w:rFonts w:eastAsia="Calibri"/>
                <w:sz w:val="22"/>
                <w:szCs w:val="22"/>
                <w:lang w:eastAsia="en-GB"/>
              </w:rPr>
              <w:t>for hele kroppen</w:t>
            </w:r>
          </w:p>
        </w:tc>
        <w:tc>
          <w:tcPr>
            <w:tcW w:w="1146"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19</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(1</w:t>
            </w:r>
            <w:r w:rsidRPr="002960BA">
              <w:rPr>
                <w:rFonts w:eastAsia="Calibri"/>
                <w:sz w:val="22"/>
                <w:szCs w:val="22"/>
                <w:lang w:val="en-US" w:eastAsia="en-GB"/>
              </w:rPr>
              <w:t>,</w:t>
            </w:r>
            <w:r w:rsidRPr="00743892">
              <w:rPr>
                <w:rFonts w:eastAsia="Calibri"/>
                <w:sz w:val="22"/>
                <w:szCs w:val="22"/>
                <w:lang w:val="en-US" w:eastAsia="en-GB"/>
              </w:rPr>
              <w:t>110)</w:t>
            </w:r>
          </w:p>
        </w:tc>
        <w:tc>
          <w:tcPr>
            <w:tcW w:w="1203"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23</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859)</w:t>
            </w:r>
          </w:p>
        </w:tc>
        <w:tc>
          <w:tcPr>
            <w:tcW w:w="1211"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36</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(1</w:t>
            </w:r>
            <w:r w:rsidRPr="002960BA">
              <w:rPr>
                <w:rFonts w:eastAsia="Calibri"/>
                <w:sz w:val="22"/>
                <w:szCs w:val="22"/>
                <w:lang w:val="en-US" w:eastAsia="en-GB"/>
              </w:rPr>
              <w:t>,</w:t>
            </w:r>
            <w:r w:rsidRPr="00743892">
              <w:rPr>
                <w:rFonts w:eastAsia="Calibri"/>
                <w:sz w:val="22"/>
                <w:szCs w:val="22"/>
                <w:lang w:val="en-US" w:eastAsia="en-GB"/>
              </w:rPr>
              <w:t>077)</w:t>
            </w:r>
          </w:p>
        </w:tc>
        <w:tc>
          <w:tcPr>
            <w:tcW w:w="1174"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12</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916)</w:t>
            </w:r>
          </w:p>
        </w:tc>
        <w:tc>
          <w:tcPr>
            <w:tcW w:w="1268"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38</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934)</w:t>
            </w:r>
          </w:p>
        </w:tc>
        <w:tc>
          <w:tcPr>
            <w:tcW w:w="1261"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42</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942)</w:t>
            </w:r>
          </w:p>
        </w:tc>
      </w:tr>
      <w:tr w:rsidR="00491918" w:rsidRPr="002960BA" w:rsidTr="00FE70EC">
        <w:trPr>
          <w:trHeight w:hRule="exact" w:val="1125"/>
        </w:trPr>
        <w:tc>
          <w:tcPr>
            <w:tcW w:w="2031" w:type="dxa"/>
            <w:tcBorders>
              <w:top w:val="single" w:sz="8" w:space="0" w:color="000000"/>
              <w:left w:val="single" w:sz="6" w:space="0" w:color="000000"/>
              <w:bottom w:val="single" w:sz="8" w:space="0" w:color="000000"/>
              <w:right w:val="single" w:sz="6" w:space="0" w:color="000000"/>
            </w:tcBorders>
            <w:hideMark/>
          </w:tcPr>
          <w:p w:rsidR="00491918" w:rsidRPr="00743892" w:rsidRDefault="00491918" w:rsidP="00FE70EC">
            <w:pPr>
              <w:rPr>
                <w:rFonts w:eastAsia="Calibri"/>
                <w:sz w:val="22"/>
                <w:szCs w:val="22"/>
                <w:lang w:eastAsia="en-GB"/>
              </w:rPr>
            </w:pPr>
            <w:r w:rsidRPr="00743892">
              <w:rPr>
                <w:rFonts w:eastAsia="Calibri"/>
                <w:sz w:val="22"/>
                <w:szCs w:val="22"/>
                <w:lang w:eastAsia="en-GB"/>
              </w:rPr>
              <w:t xml:space="preserve">Gennemsnitlig (SD) </w:t>
            </w:r>
            <w:r w:rsidRPr="002960BA">
              <w:rPr>
                <w:rFonts w:eastAsia="Calibri"/>
                <w:sz w:val="22"/>
                <w:szCs w:val="22"/>
                <w:lang w:eastAsia="en-GB"/>
              </w:rPr>
              <w:t>ændring af</w:t>
            </w:r>
            <w:r w:rsidRPr="00743892">
              <w:rPr>
                <w:rFonts w:eastAsia="Calibri"/>
                <w:sz w:val="22"/>
                <w:szCs w:val="22"/>
                <w:lang w:eastAsia="en-GB"/>
              </w:rPr>
              <w:t xml:space="preserve"> BMD Z-score</w:t>
            </w:r>
            <w:r w:rsidRPr="00743892">
              <w:rPr>
                <w:rFonts w:eastAsia="Calibri"/>
                <w:sz w:val="22"/>
                <w:szCs w:val="22"/>
                <w:vertAlign w:val="superscript"/>
                <w:lang w:eastAsia="en-GB"/>
              </w:rPr>
              <w:t>a</w:t>
            </w:r>
            <w:r w:rsidRPr="002960BA">
              <w:rPr>
                <w:rFonts w:eastAsia="Calibri"/>
                <w:sz w:val="22"/>
                <w:szCs w:val="22"/>
                <w:vertAlign w:val="superscript"/>
                <w:lang w:eastAsia="en-GB"/>
              </w:rPr>
              <w:t xml:space="preserve"> </w:t>
            </w:r>
            <w:r w:rsidRPr="002960BA">
              <w:rPr>
                <w:rFonts w:eastAsia="Calibri"/>
                <w:sz w:val="22"/>
                <w:szCs w:val="22"/>
                <w:lang w:eastAsia="en-GB"/>
              </w:rPr>
              <w:t>for hele kroppen fra baseline</w:t>
            </w:r>
          </w:p>
        </w:tc>
        <w:tc>
          <w:tcPr>
            <w:tcW w:w="1146"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NA</w:t>
            </w:r>
          </w:p>
        </w:tc>
        <w:tc>
          <w:tcPr>
            <w:tcW w:w="1203"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NA</w:t>
            </w:r>
          </w:p>
        </w:tc>
        <w:tc>
          <w:tcPr>
            <w:tcW w:w="1211" w:type="dxa"/>
            <w:tcBorders>
              <w:top w:val="single" w:sz="8" w:space="0" w:color="000000"/>
              <w:left w:val="single" w:sz="6" w:space="0" w:color="000000"/>
              <w:bottom w:val="single" w:sz="8" w:space="0" w:color="000000"/>
              <w:right w:val="single" w:sz="6" w:space="0" w:color="000000"/>
            </w:tcBorders>
            <w:vAlign w:val="center"/>
            <w:hideMark/>
          </w:tcPr>
          <w:p w:rsidR="00491918" w:rsidRPr="002960BA"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16</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355)</w:t>
            </w:r>
          </w:p>
        </w:tc>
        <w:tc>
          <w:tcPr>
            <w:tcW w:w="1174" w:type="dxa"/>
            <w:tcBorders>
              <w:top w:val="single" w:sz="8" w:space="0" w:color="000000"/>
              <w:left w:val="single" w:sz="6" w:space="0" w:color="000000"/>
              <w:bottom w:val="single" w:sz="8" w:space="0" w:color="000000"/>
              <w:right w:val="single" w:sz="6" w:space="0" w:color="000000"/>
            </w:tcBorders>
            <w:vAlign w:val="center"/>
            <w:hideMark/>
          </w:tcPr>
          <w:p w:rsidR="00491918" w:rsidRPr="002960BA"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09</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349)</w:t>
            </w:r>
          </w:p>
        </w:tc>
        <w:tc>
          <w:tcPr>
            <w:tcW w:w="1268" w:type="dxa"/>
            <w:tcBorders>
              <w:top w:val="single" w:sz="8" w:space="0" w:color="000000"/>
              <w:left w:val="single" w:sz="6" w:space="0" w:color="000000"/>
              <w:bottom w:val="single" w:sz="8" w:space="0" w:color="000000"/>
              <w:right w:val="single" w:sz="6" w:space="0" w:color="000000"/>
            </w:tcBorders>
            <w:vAlign w:val="center"/>
            <w:hideMark/>
          </w:tcPr>
          <w:p w:rsidR="00491918" w:rsidRPr="002960BA"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16</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521)</w:t>
            </w:r>
          </w:p>
        </w:tc>
        <w:tc>
          <w:tcPr>
            <w:tcW w:w="1261" w:type="dxa"/>
            <w:tcBorders>
              <w:top w:val="single" w:sz="8" w:space="0" w:color="000000"/>
              <w:left w:val="single" w:sz="6" w:space="0" w:color="000000"/>
              <w:bottom w:val="single" w:sz="8" w:space="0" w:color="000000"/>
              <w:right w:val="single" w:sz="6" w:space="0" w:color="000000"/>
            </w:tcBorders>
            <w:vAlign w:val="center"/>
            <w:hideMark/>
          </w:tcPr>
          <w:p w:rsidR="00491918" w:rsidRPr="002960BA"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19</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w:t>
            </w:r>
            <w:r w:rsidRPr="00743892">
              <w:rPr>
                <w:rFonts w:eastAsia="Calibri"/>
                <w:sz w:val="22"/>
                <w:szCs w:val="22"/>
                <w:lang w:val="en-US" w:eastAsia="en-GB"/>
              </w:rPr>
              <w:t>504)</w:t>
            </w:r>
          </w:p>
        </w:tc>
      </w:tr>
      <w:tr w:rsidR="00491918" w:rsidRPr="002960BA" w:rsidTr="00FE70EC">
        <w:trPr>
          <w:trHeight w:hRule="exact" w:val="858"/>
        </w:trPr>
        <w:tc>
          <w:tcPr>
            <w:tcW w:w="2031" w:type="dxa"/>
            <w:tcBorders>
              <w:top w:val="single" w:sz="8" w:space="0" w:color="000000"/>
              <w:left w:val="single" w:sz="6" w:space="0" w:color="000000"/>
              <w:bottom w:val="single" w:sz="8" w:space="0" w:color="000000"/>
              <w:right w:val="single" w:sz="6" w:space="0" w:color="000000"/>
            </w:tcBorders>
            <w:hideMark/>
          </w:tcPr>
          <w:p w:rsidR="00491918" w:rsidRPr="00743892" w:rsidRDefault="00491918" w:rsidP="00FE70EC">
            <w:pPr>
              <w:rPr>
                <w:rFonts w:eastAsia="Calibri"/>
                <w:sz w:val="22"/>
                <w:szCs w:val="22"/>
                <w:lang w:eastAsia="en-GB"/>
              </w:rPr>
            </w:pPr>
            <w:r w:rsidRPr="00743892">
              <w:rPr>
                <w:rFonts w:eastAsia="Calibri"/>
                <w:sz w:val="22"/>
                <w:szCs w:val="22"/>
                <w:lang w:eastAsia="en-GB"/>
              </w:rPr>
              <w:t>Mindst 6 % fald i BMD for hele kroppen</w:t>
            </w:r>
            <w:r w:rsidRPr="00743892">
              <w:rPr>
                <w:rFonts w:eastAsia="Calibri"/>
                <w:sz w:val="22"/>
                <w:szCs w:val="22"/>
                <w:vertAlign w:val="superscript"/>
                <w:lang w:eastAsia="en-GB"/>
              </w:rPr>
              <w:t>b</w:t>
            </w:r>
          </w:p>
        </w:tc>
        <w:tc>
          <w:tcPr>
            <w:tcW w:w="1146"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NA</w:t>
            </w:r>
          </w:p>
        </w:tc>
        <w:tc>
          <w:tcPr>
            <w:tcW w:w="1203"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NA</w:t>
            </w:r>
          </w:p>
        </w:tc>
        <w:tc>
          <w:tcPr>
            <w:tcW w:w="1211"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1</w:t>
            </w:r>
            <w:r w:rsidRPr="002960BA">
              <w:rPr>
                <w:rFonts w:eastAsia="Calibri"/>
                <w:sz w:val="22"/>
                <w:szCs w:val="22"/>
                <w:lang w:val="en-US" w:eastAsia="en-GB"/>
              </w:rPr>
              <w:t>,</w:t>
            </w:r>
            <w:r w:rsidRPr="00743892">
              <w:rPr>
                <w:rFonts w:eastAsia="Calibri"/>
                <w:sz w:val="22"/>
                <w:szCs w:val="22"/>
                <w:lang w:val="en-US" w:eastAsia="en-GB"/>
              </w:rPr>
              <w:t>9</w:t>
            </w:r>
            <w:r w:rsidRPr="002960BA">
              <w:rPr>
                <w:rFonts w:eastAsia="Calibri"/>
                <w:sz w:val="22"/>
                <w:szCs w:val="22"/>
                <w:lang w:val="en-US" w:eastAsia="en-GB"/>
              </w:rPr>
              <w:t xml:space="preserve"> </w:t>
            </w:r>
            <w:r w:rsidRPr="00743892">
              <w:rPr>
                <w:rFonts w:eastAsia="Calibri"/>
                <w:sz w:val="22"/>
                <w:szCs w:val="22"/>
                <w:lang w:val="en-US" w:eastAsia="en-GB"/>
              </w:rPr>
              <w:t>%</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 xml:space="preserve">(1 </w:t>
            </w:r>
            <w:r w:rsidRPr="002960BA">
              <w:rPr>
                <w:rFonts w:eastAsia="Calibri"/>
                <w:sz w:val="22"/>
                <w:szCs w:val="22"/>
                <w:lang w:val="en-US" w:eastAsia="en-GB"/>
              </w:rPr>
              <w:t>patient</w:t>
            </w:r>
            <w:r w:rsidRPr="00743892">
              <w:rPr>
                <w:rFonts w:eastAsia="Calibri"/>
                <w:sz w:val="22"/>
                <w:szCs w:val="22"/>
                <w:lang w:val="en-US" w:eastAsia="en-GB"/>
              </w:rPr>
              <w:t>)</w:t>
            </w:r>
          </w:p>
        </w:tc>
        <w:tc>
          <w:tcPr>
            <w:tcW w:w="1174"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 xml:space="preserve"> </w:t>
            </w:r>
            <w:r w:rsidRPr="00743892">
              <w:rPr>
                <w:rFonts w:eastAsia="Calibri"/>
                <w:sz w:val="22"/>
                <w:szCs w:val="22"/>
                <w:lang w:val="en-US" w:eastAsia="en-GB"/>
              </w:rPr>
              <w:t>%</w:t>
            </w:r>
          </w:p>
        </w:tc>
        <w:tc>
          <w:tcPr>
            <w:tcW w:w="1268"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3</w:t>
            </w:r>
            <w:r w:rsidRPr="002960BA">
              <w:rPr>
                <w:rFonts w:eastAsia="Calibri"/>
                <w:sz w:val="22"/>
                <w:szCs w:val="22"/>
                <w:lang w:val="en-US" w:eastAsia="en-GB"/>
              </w:rPr>
              <w:t>,</w:t>
            </w:r>
            <w:r w:rsidRPr="00743892">
              <w:rPr>
                <w:rFonts w:eastAsia="Calibri"/>
                <w:sz w:val="22"/>
                <w:szCs w:val="22"/>
                <w:lang w:val="en-US" w:eastAsia="en-GB"/>
              </w:rPr>
              <w:t>8</w:t>
            </w:r>
            <w:r w:rsidRPr="002960BA">
              <w:rPr>
                <w:rFonts w:eastAsia="Calibri"/>
                <w:sz w:val="22"/>
                <w:szCs w:val="22"/>
                <w:lang w:val="en-US" w:eastAsia="en-GB"/>
              </w:rPr>
              <w:t xml:space="preserve"> </w:t>
            </w:r>
            <w:r w:rsidRPr="00743892">
              <w:rPr>
                <w:rFonts w:eastAsia="Calibri"/>
                <w:sz w:val="22"/>
                <w:szCs w:val="22"/>
                <w:lang w:val="en-US" w:eastAsia="en-GB"/>
              </w:rPr>
              <w:t>%</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 xml:space="preserve">(2 </w:t>
            </w:r>
            <w:r w:rsidRPr="002960BA">
              <w:rPr>
                <w:rFonts w:eastAsia="Calibri"/>
                <w:sz w:val="22"/>
                <w:szCs w:val="22"/>
                <w:lang w:val="en-US" w:eastAsia="en-GB"/>
              </w:rPr>
              <w:t>patienter</w:t>
            </w:r>
            <w:r w:rsidRPr="00743892">
              <w:rPr>
                <w:rFonts w:eastAsia="Calibri"/>
                <w:sz w:val="22"/>
                <w:szCs w:val="22"/>
                <w:lang w:val="en-US" w:eastAsia="en-GB"/>
              </w:rPr>
              <w:t>)</w:t>
            </w:r>
          </w:p>
        </w:tc>
        <w:tc>
          <w:tcPr>
            <w:tcW w:w="1261"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3</w:t>
            </w:r>
            <w:r w:rsidRPr="002960BA">
              <w:rPr>
                <w:rFonts w:eastAsia="Calibri"/>
                <w:sz w:val="22"/>
                <w:szCs w:val="22"/>
                <w:lang w:val="en-US" w:eastAsia="en-GB"/>
              </w:rPr>
              <w:t>,</w:t>
            </w:r>
            <w:r w:rsidRPr="00743892">
              <w:rPr>
                <w:rFonts w:eastAsia="Calibri"/>
                <w:sz w:val="22"/>
                <w:szCs w:val="22"/>
                <w:lang w:val="en-US" w:eastAsia="en-GB"/>
              </w:rPr>
              <w:t>7</w:t>
            </w:r>
            <w:r w:rsidRPr="002960BA">
              <w:rPr>
                <w:rFonts w:eastAsia="Calibri"/>
                <w:sz w:val="22"/>
                <w:szCs w:val="22"/>
                <w:lang w:val="en-US" w:eastAsia="en-GB"/>
              </w:rPr>
              <w:t xml:space="preserve"> </w:t>
            </w:r>
            <w:r w:rsidRPr="00743892">
              <w:rPr>
                <w:rFonts w:eastAsia="Calibri"/>
                <w:sz w:val="22"/>
                <w:szCs w:val="22"/>
                <w:lang w:val="en-US" w:eastAsia="en-GB"/>
              </w:rPr>
              <w:t>%</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 xml:space="preserve">(2 </w:t>
            </w:r>
            <w:r w:rsidRPr="002960BA">
              <w:rPr>
                <w:rFonts w:eastAsia="Calibri"/>
                <w:sz w:val="22"/>
                <w:szCs w:val="22"/>
                <w:lang w:val="en-US" w:eastAsia="en-GB"/>
              </w:rPr>
              <w:t>patienter</w:t>
            </w:r>
            <w:r w:rsidRPr="00743892">
              <w:rPr>
                <w:rFonts w:eastAsia="Calibri"/>
                <w:sz w:val="22"/>
                <w:szCs w:val="22"/>
                <w:lang w:val="en-US" w:eastAsia="en-GB"/>
              </w:rPr>
              <w:t>)</w:t>
            </w:r>
          </w:p>
        </w:tc>
      </w:tr>
      <w:tr w:rsidR="00491918" w:rsidRPr="002960BA" w:rsidTr="00FE70EC">
        <w:trPr>
          <w:trHeight w:hRule="exact" w:val="573"/>
        </w:trPr>
        <w:tc>
          <w:tcPr>
            <w:tcW w:w="2031" w:type="dxa"/>
            <w:tcBorders>
              <w:top w:val="single" w:sz="8" w:space="0" w:color="000000"/>
              <w:left w:val="single" w:sz="6" w:space="0" w:color="000000"/>
              <w:bottom w:val="single" w:sz="8" w:space="0" w:color="000000"/>
              <w:right w:val="single" w:sz="6" w:space="0" w:color="000000"/>
            </w:tcBorders>
            <w:hideMark/>
          </w:tcPr>
          <w:p w:rsidR="00491918" w:rsidRPr="00743892" w:rsidRDefault="00491918" w:rsidP="00FE70EC">
            <w:pPr>
              <w:rPr>
                <w:rFonts w:eastAsia="Calibri"/>
                <w:sz w:val="22"/>
                <w:szCs w:val="22"/>
                <w:lang w:val="en-US" w:eastAsia="en-GB"/>
              </w:rPr>
            </w:pPr>
            <w:r w:rsidRPr="00743892">
              <w:rPr>
                <w:rFonts w:eastAsia="Calibri"/>
                <w:sz w:val="22"/>
                <w:szCs w:val="22"/>
                <w:lang w:val="en-US" w:eastAsia="en-GB"/>
              </w:rPr>
              <w:t>Whole body BMD at least 6% decrease</w:t>
            </w:r>
            <w:r w:rsidRPr="00743892">
              <w:rPr>
                <w:rFonts w:eastAsia="Calibri"/>
                <w:sz w:val="22"/>
                <w:szCs w:val="22"/>
                <w:vertAlign w:val="superscript"/>
                <w:lang w:val="en-US" w:eastAsia="en-GB"/>
              </w:rPr>
              <w:t>b</w:t>
            </w:r>
          </w:p>
        </w:tc>
        <w:tc>
          <w:tcPr>
            <w:tcW w:w="1146"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NA</w:t>
            </w:r>
          </w:p>
        </w:tc>
        <w:tc>
          <w:tcPr>
            <w:tcW w:w="1203"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NA</w:t>
            </w:r>
          </w:p>
        </w:tc>
        <w:tc>
          <w:tcPr>
            <w:tcW w:w="1211"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 xml:space="preserve"> </w:t>
            </w:r>
            <w:r w:rsidRPr="00743892">
              <w:rPr>
                <w:rFonts w:eastAsia="Calibri"/>
                <w:sz w:val="22"/>
                <w:szCs w:val="22"/>
                <w:lang w:val="en-US" w:eastAsia="en-GB"/>
              </w:rPr>
              <w:t>%</w:t>
            </w:r>
          </w:p>
        </w:tc>
        <w:tc>
          <w:tcPr>
            <w:tcW w:w="1174"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 xml:space="preserve"> </w:t>
            </w:r>
            <w:r w:rsidRPr="00743892">
              <w:rPr>
                <w:rFonts w:eastAsia="Calibri"/>
                <w:sz w:val="22"/>
                <w:szCs w:val="22"/>
                <w:lang w:val="en-US" w:eastAsia="en-GB"/>
              </w:rPr>
              <w:t>%</w:t>
            </w:r>
          </w:p>
        </w:tc>
        <w:tc>
          <w:tcPr>
            <w:tcW w:w="1268"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0</w:t>
            </w:r>
            <w:r w:rsidRPr="002960BA">
              <w:rPr>
                <w:rFonts w:eastAsia="Calibri"/>
                <w:sz w:val="22"/>
                <w:szCs w:val="22"/>
                <w:lang w:val="en-US" w:eastAsia="en-GB"/>
              </w:rPr>
              <w:t xml:space="preserve"> </w:t>
            </w:r>
            <w:r w:rsidRPr="00743892">
              <w:rPr>
                <w:rFonts w:eastAsia="Calibri"/>
                <w:sz w:val="22"/>
                <w:szCs w:val="22"/>
                <w:lang w:val="en-US" w:eastAsia="en-GB"/>
              </w:rPr>
              <w:t>%</w:t>
            </w:r>
          </w:p>
        </w:tc>
        <w:tc>
          <w:tcPr>
            <w:tcW w:w="1261"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1</w:t>
            </w:r>
            <w:r w:rsidRPr="002960BA">
              <w:rPr>
                <w:rFonts w:eastAsia="Calibri"/>
                <w:sz w:val="22"/>
                <w:szCs w:val="22"/>
                <w:lang w:val="en-US" w:eastAsia="en-GB"/>
              </w:rPr>
              <w:t>,</w:t>
            </w:r>
            <w:r w:rsidRPr="00743892">
              <w:rPr>
                <w:rFonts w:eastAsia="Calibri"/>
                <w:sz w:val="22"/>
                <w:szCs w:val="22"/>
                <w:lang w:val="en-US" w:eastAsia="en-GB"/>
              </w:rPr>
              <w:t>9</w:t>
            </w:r>
            <w:r w:rsidRPr="002960BA">
              <w:rPr>
                <w:rFonts w:eastAsia="Calibri"/>
                <w:sz w:val="22"/>
                <w:szCs w:val="22"/>
                <w:lang w:val="en-US" w:eastAsia="en-GB"/>
              </w:rPr>
              <w:t xml:space="preserve"> </w:t>
            </w:r>
            <w:r w:rsidRPr="00743892">
              <w:rPr>
                <w:rFonts w:eastAsia="Calibri"/>
                <w:sz w:val="22"/>
                <w:szCs w:val="22"/>
                <w:lang w:val="en-US" w:eastAsia="en-GB"/>
              </w:rPr>
              <w:t>%</w:t>
            </w:r>
          </w:p>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 xml:space="preserve">(1 </w:t>
            </w:r>
            <w:r w:rsidRPr="002960BA">
              <w:rPr>
                <w:rFonts w:eastAsia="Calibri"/>
                <w:sz w:val="22"/>
                <w:szCs w:val="22"/>
                <w:lang w:val="en-US" w:eastAsia="en-GB"/>
              </w:rPr>
              <w:t>patient</w:t>
            </w:r>
            <w:r w:rsidRPr="00743892">
              <w:rPr>
                <w:rFonts w:eastAsia="Calibri"/>
                <w:sz w:val="22"/>
                <w:szCs w:val="22"/>
                <w:lang w:val="en-US" w:eastAsia="en-GB"/>
              </w:rPr>
              <w:t>)</w:t>
            </w:r>
          </w:p>
        </w:tc>
      </w:tr>
      <w:tr w:rsidR="00491918" w:rsidRPr="002960BA" w:rsidTr="00FE70EC">
        <w:trPr>
          <w:trHeight w:hRule="exact" w:val="992"/>
        </w:trPr>
        <w:tc>
          <w:tcPr>
            <w:tcW w:w="2031" w:type="dxa"/>
            <w:tcBorders>
              <w:top w:val="single" w:sz="8" w:space="0" w:color="000000"/>
              <w:left w:val="single" w:sz="6" w:space="0" w:color="000000"/>
              <w:bottom w:val="single" w:sz="8" w:space="0" w:color="000000"/>
              <w:right w:val="single" w:sz="6" w:space="0" w:color="000000"/>
            </w:tcBorders>
            <w:hideMark/>
          </w:tcPr>
          <w:p w:rsidR="00491918" w:rsidRPr="00743892" w:rsidRDefault="00491918" w:rsidP="00FE70EC">
            <w:pPr>
              <w:rPr>
                <w:rFonts w:eastAsia="Calibri"/>
                <w:sz w:val="22"/>
                <w:szCs w:val="22"/>
                <w:lang w:eastAsia="en-GB"/>
              </w:rPr>
            </w:pPr>
            <w:r w:rsidRPr="00743892">
              <w:rPr>
                <w:rFonts w:eastAsia="Calibri"/>
                <w:sz w:val="22"/>
                <w:szCs w:val="22"/>
                <w:lang w:eastAsia="en-GB"/>
              </w:rPr>
              <w:t xml:space="preserve">Gennemsnitlig stigning (%) i BMD </w:t>
            </w:r>
            <w:r w:rsidRPr="002960BA">
              <w:rPr>
                <w:rFonts w:eastAsia="Calibri"/>
                <w:sz w:val="22"/>
                <w:szCs w:val="22"/>
                <w:lang w:eastAsia="en-GB"/>
              </w:rPr>
              <w:t>for columna lumbalis</w:t>
            </w:r>
          </w:p>
        </w:tc>
        <w:tc>
          <w:tcPr>
            <w:tcW w:w="1146"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NA</w:t>
            </w:r>
          </w:p>
        </w:tc>
        <w:tc>
          <w:tcPr>
            <w:tcW w:w="1203"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NA</w:t>
            </w:r>
          </w:p>
        </w:tc>
        <w:tc>
          <w:tcPr>
            <w:tcW w:w="1211"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5</w:t>
            </w:r>
            <w:r w:rsidRPr="002960BA">
              <w:rPr>
                <w:rFonts w:eastAsia="Calibri"/>
                <w:sz w:val="22"/>
                <w:szCs w:val="22"/>
                <w:lang w:val="en-US" w:eastAsia="en-GB"/>
              </w:rPr>
              <w:t>,</w:t>
            </w:r>
            <w:r w:rsidRPr="00743892">
              <w:rPr>
                <w:rFonts w:eastAsia="Calibri"/>
                <w:sz w:val="22"/>
                <w:szCs w:val="22"/>
                <w:lang w:val="en-US" w:eastAsia="en-GB"/>
              </w:rPr>
              <w:t>14</w:t>
            </w:r>
            <w:r w:rsidRPr="002960BA">
              <w:rPr>
                <w:rFonts w:eastAsia="Calibri"/>
                <w:sz w:val="22"/>
                <w:szCs w:val="22"/>
                <w:lang w:val="en-US" w:eastAsia="en-GB"/>
              </w:rPr>
              <w:t xml:space="preserve"> </w:t>
            </w:r>
            <w:r w:rsidRPr="00743892">
              <w:rPr>
                <w:rFonts w:eastAsia="Calibri"/>
                <w:sz w:val="22"/>
                <w:szCs w:val="22"/>
                <w:lang w:val="en-US" w:eastAsia="en-GB"/>
              </w:rPr>
              <w:t>%</w:t>
            </w:r>
          </w:p>
        </w:tc>
        <w:tc>
          <w:tcPr>
            <w:tcW w:w="1174"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8</w:t>
            </w:r>
            <w:r w:rsidRPr="002960BA">
              <w:rPr>
                <w:rFonts w:eastAsia="Calibri"/>
                <w:sz w:val="22"/>
                <w:szCs w:val="22"/>
                <w:lang w:val="en-US" w:eastAsia="en-GB"/>
              </w:rPr>
              <w:t>,</w:t>
            </w:r>
            <w:r w:rsidRPr="00743892">
              <w:rPr>
                <w:rFonts w:eastAsia="Calibri"/>
                <w:sz w:val="22"/>
                <w:szCs w:val="22"/>
                <w:lang w:val="en-US" w:eastAsia="en-GB"/>
              </w:rPr>
              <w:t>08</w:t>
            </w:r>
            <w:r w:rsidRPr="002960BA">
              <w:rPr>
                <w:rFonts w:eastAsia="Calibri"/>
                <w:sz w:val="22"/>
                <w:szCs w:val="22"/>
                <w:lang w:val="en-US" w:eastAsia="en-GB"/>
              </w:rPr>
              <w:t xml:space="preserve"> </w:t>
            </w:r>
            <w:r w:rsidRPr="00743892">
              <w:rPr>
                <w:rFonts w:eastAsia="Calibri"/>
                <w:sz w:val="22"/>
                <w:szCs w:val="22"/>
                <w:lang w:val="en-US" w:eastAsia="en-GB"/>
              </w:rPr>
              <w:t>%</w:t>
            </w:r>
          </w:p>
        </w:tc>
        <w:tc>
          <w:tcPr>
            <w:tcW w:w="1268"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10</w:t>
            </w:r>
            <w:r w:rsidRPr="002960BA">
              <w:rPr>
                <w:rFonts w:eastAsia="Calibri"/>
                <w:sz w:val="22"/>
                <w:szCs w:val="22"/>
                <w:lang w:val="en-US" w:eastAsia="en-GB"/>
              </w:rPr>
              <w:t>,</w:t>
            </w:r>
            <w:r w:rsidRPr="00743892">
              <w:rPr>
                <w:rFonts w:eastAsia="Calibri"/>
                <w:sz w:val="22"/>
                <w:szCs w:val="22"/>
                <w:lang w:val="en-US" w:eastAsia="en-GB"/>
              </w:rPr>
              <w:t>05</w:t>
            </w:r>
            <w:r w:rsidRPr="002960BA">
              <w:rPr>
                <w:rFonts w:eastAsia="Calibri"/>
                <w:sz w:val="22"/>
                <w:szCs w:val="22"/>
                <w:lang w:val="en-US" w:eastAsia="en-GB"/>
              </w:rPr>
              <w:t xml:space="preserve"> </w:t>
            </w:r>
            <w:r w:rsidRPr="00743892">
              <w:rPr>
                <w:rFonts w:eastAsia="Calibri"/>
                <w:sz w:val="22"/>
                <w:szCs w:val="22"/>
                <w:lang w:val="en-US" w:eastAsia="en-GB"/>
              </w:rPr>
              <w:t>%</w:t>
            </w:r>
          </w:p>
        </w:tc>
        <w:tc>
          <w:tcPr>
            <w:tcW w:w="1261" w:type="dxa"/>
            <w:tcBorders>
              <w:top w:val="single" w:sz="8" w:space="0" w:color="000000"/>
              <w:left w:val="single" w:sz="6" w:space="0" w:color="000000"/>
              <w:bottom w:val="single" w:sz="8"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11</w:t>
            </w:r>
            <w:r w:rsidRPr="002960BA">
              <w:rPr>
                <w:rFonts w:eastAsia="Calibri"/>
                <w:sz w:val="22"/>
                <w:szCs w:val="22"/>
                <w:lang w:val="en-US" w:eastAsia="en-GB"/>
              </w:rPr>
              <w:t>,</w:t>
            </w:r>
            <w:r w:rsidRPr="00743892">
              <w:rPr>
                <w:rFonts w:eastAsia="Calibri"/>
                <w:sz w:val="22"/>
                <w:szCs w:val="22"/>
                <w:lang w:val="en-US" w:eastAsia="en-GB"/>
              </w:rPr>
              <w:t>21</w:t>
            </w:r>
            <w:r w:rsidRPr="002960BA">
              <w:rPr>
                <w:rFonts w:eastAsia="Calibri"/>
                <w:sz w:val="22"/>
                <w:szCs w:val="22"/>
                <w:lang w:val="en-US" w:eastAsia="en-GB"/>
              </w:rPr>
              <w:t xml:space="preserve"> </w:t>
            </w:r>
            <w:r w:rsidRPr="00743892">
              <w:rPr>
                <w:rFonts w:eastAsia="Calibri"/>
                <w:sz w:val="22"/>
                <w:szCs w:val="22"/>
                <w:lang w:val="en-US" w:eastAsia="en-GB"/>
              </w:rPr>
              <w:t>%</w:t>
            </w:r>
          </w:p>
        </w:tc>
      </w:tr>
      <w:tr w:rsidR="00491918" w:rsidRPr="002960BA" w:rsidTr="00FE70EC">
        <w:trPr>
          <w:trHeight w:hRule="exact" w:val="850"/>
        </w:trPr>
        <w:tc>
          <w:tcPr>
            <w:tcW w:w="2031" w:type="dxa"/>
            <w:tcBorders>
              <w:top w:val="single" w:sz="8" w:space="0" w:color="000000"/>
              <w:left w:val="single" w:sz="6" w:space="0" w:color="000000"/>
              <w:bottom w:val="single" w:sz="6" w:space="0" w:color="000000"/>
              <w:right w:val="single" w:sz="6" w:space="0" w:color="000000"/>
            </w:tcBorders>
            <w:hideMark/>
          </w:tcPr>
          <w:p w:rsidR="00491918" w:rsidRPr="00743892" w:rsidRDefault="00491918" w:rsidP="00FE70EC">
            <w:pPr>
              <w:rPr>
                <w:rFonts w:eastAsia="Calibri"/>
                <w:sz w:val="22"/>
                <w:szCs w:val="22"/>
                <w:lang w:eastAsia="en-GB"/>
              </w:rPr>
            </w:pPr>
            <w:r w:rsidRPr="00743892">
              <w:rPr>
                <w:rFonts w:eastAsia="Calibri"/>
                <w:sz w:val="22"/>
                <w:szCs w:val="22"/>
                <w:lang w:eastAsia="en-GB"/>
              </w:rPr>
              <w:t xml:space="preserve">Gennemsnitlig stigning (%) i BMD </w:t>
            </w:r>
            <w:r w:rsidRPr="002960BA">
              <w:rPr>
                <w:rFonts w:eastAsia="Calibri"/>
                <w:sz w:val="22"/>
                <w:szCs w:val="22"/>
                <w:lang w:eastAsia="en-GB"/>
              </w:rPr>
              <w:t>for hele kroppen</w:t>
            </w:r>
          </w:p>
        </w:tc>
        <w:tc>
          <w:tcPr>
            <w:tcW w:w="1146" w:type="dxa"/>
            <w:tcBorders>
              <w:top w:val="single" w:sz="8" w:space="0" w:color="000000"/>
              <w:left w:val="single" w:sz="6" w:space="0" w:color="000000"/>
              <w:bottom w:val="single" w:sz="6"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NA</w:t>
            </w:r>
          </w:p>
        </w:tc>
        <w:tc>
          <w:tcPr>
            <w:tcW w:w="1203" w:type="dxa"/>
            <w:tcBorders>
              <w:top w:val="single" w:sz="8" w:space="0" w:color="000000"/>
              <w:left w:val="single" w:sz="6" w:space="0" w:color="000000"/>
              <w:bottom w:val="single" w:sz="6"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NA</w:t>
            </w:r>
          </w:p>
        </w:tc>
        <w:tc>
          <w:tcPr>
            <w:tcW w:w="1211" w:type="dxa"/>
            <w:tcBorders>
              <w:top w:val="single" w:sz="8" w:space="0" w:color="000000"/>
              <w:left w:val="single" w:sz="6" w:space="0" w:color="000000"/>
              <w:bottom w:val="single" w:sz="6"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3</w:t>
            </w:r>
            <w:r w:rsidRPr="002960BA">
              <w:rPr>
                <w:rFonts w:eastAsia="Calibri"/>
                <w:sz w:val="22"/>
                <w:szCs w:val="22"/>
                <w:lang w:val="en-US" w:eastAsia="en-GB"/>
              </w:rPr>
              <w:t>,</w:t>
            </w:r>
            <w:r w:rsidRPr="00743892">
              <w:rPr>
                <w:rFonts w:eastAsia="Calibri"/>
                <w:sz w:val="22"/>
                <w:szCs w:val="22"/>
                <w:lang w:val="en-US" w:eastAsia="en-GB"/>
              </w:rPr>
              <w:t>07</w:t>
            </w:r>
            <w:r w:rsidRPr="002960BA">
              <w:rPr>
                <w:rFonts w:eastAsia="Calibri"/>
                <w:sz w:val="22"/>
                <w:szCs w:val="22"/>
                <w:lang w:val="en-US" w:eastAsia="en-GB"/>
              </w:rPr>
              <w:t xml:space="preserve"> </w:t>
            </w:r>
            <w:r w:rsidRPr="00743892">
              <w:rPr>
                <w:rFonts w:eastAsia="Calibri"/>
                <w:sz w:val="22"/>
                <w:szCs w:val="22"/>
                <w:lang w:val="en-US" w:eastAsia="en-GB"/>
              </w:rPr>
              <w:t>%</w:t>
            </w:r>
          </w:p>
        </w:tc>
        <w:tc>
          <w:tcPr>
            <w:tcW w:w="1174" w:type="dxa"/>
            <w:tcBorders>
              <w:top w:val="single" w:sz="8" w:space="0" w:color="000000"/>
              <w:left w:val="single" w:sz="6" w:space="0" w:color="000000"/>
              <w:bottom w:val="single" w:sz="6"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5</w:t>
            </w:r>
            <w:r w:rsidRPr="002960BA">
              <w:rPr>
                <w:rFonts w:eastAsia="Calibri"/>
                <w:sz w:val="22"/>
                <w:szCs w:val="22"/>
                <w:lang w:val="en-US" w:eastAsia="en-GB"/>
              </w:rPr>
              <w:t>,</w:t>
            </w:r>
            <w:r w:rsidRPr="00743892">
              <w:rPr>
                <w:rFonts w:eastAsia="Calibri"/>
                <w:sz w:val="22"/>
                <w:szCs w:val="22"/>
                <w:lang w:val="en-US" w:eastAsia="en-GB"/>
              </w:rPr>
              <w:t>39</w:t>
            </w:r>
            <w:r w:rsidRPr="002960BA">
              <w:rPr>
                <w:rFonts w:eastAsia="Calibri"/>
                <w:sz w:val="22"/>
                <w:szCs w:val="22"/>
                <w:lang w:val="en-US" w:eastAsia="en-GB"/>
              </w:rPr>
              <w:t xml:space="preserve"> </w:t>
            </w:r>
            <w:r w:rsidRPr="00743892">
              <w:rPr>
                <w:rFonts w:eastAsia="Calibri"/>
                <w:sz w:val="22"/>
                <w:szCs w:val="22"/>
                <w:lang w:val="en-US" w:eastAsia="en-GB"/>
              </w:rPr>
              <w:t>%</w:t>
            </w:r>
          </w:p>
        </w:tc>
        <w:tc>
          <w:tcPr>
            <w:tcW w:w="1268" w:type="dxa"/>
            <w:tcBorders>
              <w:top w:val="single" w:sz="8" w:space="0" w:color="000000"/>
              <w:left w:val="single" w:sz="6" w:space="0" w:color="000000"/>
              <w:bottom w:val="single" w:sz="6" w:space="0" w:color="000000"/>
              <w:right w:val="single" w:sz="6" w:space="0" w:color="000000"/>
            </w:tcBorders>
            <w:vAlign w:val="center"/>
            <w:hideMark/>
          </w:tcPr>
          <w:p w:rsidR="00491918" w:rsidRPr="00743892" w:rsidRDefault="00491918" w:rsidP="00FE70EC">
            <w:pPr>
              <w:jc w:val="center"/>
              <w:rPr>
                <w:rFonts w:eastAsia="Calibri"/>
                <w:sz w:val="22"/>
                <w:szCs w:val="22"/>
                <w:lang w:val="en-US" w:eastAsia="en-GB"/>
              </w:rPr>
            </w:pPr>
            <w:r w:rsidRPr="00743892">
              <w:rPr>
                <w:rFonts w:eastAsia="Calibri"/>
                <w:sz w:val="22"/>
                <w:szCs w:val="22"/>
                <w:lang w:val="en-US" w:eastAsia="en-GB"/>
              </w:rPr>
              <w:t>6</w:t>
            </w:r>
            <w:r w:rsidRPr="002960BA">
              <w:rPr>
                <w:rFonts w:eastAsia="Calibri"/>
                <w:sz w:val="22"/>
                <w:szCs w:val="22"/>
                <w:lang w:val="en-US" w:eastAsia="en-GB"/>
              </w:rPr>
              <w:t>,</w:t>
            </w:r>
            <w:r w:rsidRPr="00743892">
              <w:rPr>
                <w:rFonts w:eastAsia="Calibri"/>
                <w:sz w:val="22"/>
                <w:szCs w:val="22"/>
                <w:lang w:val="en-US" w:eastAsia="en-GB"/>
              </w:rPr>
              <w:t>09</w:t>
            </w:r>
            <w:r w:rsidRPr="002960BA">
              <w:rPr>
                <w:rFonts w:eastAsia="Calibri"/>
                <w:sz w:val="22"/>
                <w:szCs w:val="22"/>
                <w:lang w:val="en-US" w:eastAsia="en-GB"/>
              </w:rPr>
              <w:t xml:space="preserve"> </w:t>
            </w:r>
            <w:r w:rsidRPr="00743892">
              <w:rPr>
                <w:rFonts w:eastAsia="Calibri"/>
                <w:sz w:val="22"/>
                <w:szCs w:val="22"/>
                <w:lang w:val="en-US" w:eastAsia="en-GB"/>
              </w:rPr>
              <w:t>%</w:t>
            </w:r>
          </w:p>
        </w:tc>
        <w:tc>
          <w:tcPr>
            <w:tcW w:w="1261" w:type="dxa"/>
            <w:tcBorders>
              <w:top w:val="single" w:sz="8" w:space="0" w:color="000000"/>
              <w:left w:val="single" w:sz="6" w:space="0" w:color="000000"/>
              <w:bottom w:val="single" w:sz="6" w:space="0" w:color="000000"/>
              <w:right w:val="single" w:sz="6" w:space="0" w:color="000000"/>
            </w:tcBorders>
            <w:vAlign w:val="center"/>
            <w:hideMark/>
          </w:tcPr>
          <w:p w:rsidR="00491918" w:rsidRPr="002960BA" w:rsidRDefault="00491918" w:rsidP="00FE70EC">
            <w:pPr>
              <w:jc w:val="center"/>
              <w:rPr>
                <w:rFonts w:eastAsia="Calibri"/>
                <w:sz w:val="22"/>
                <w:szCs w:val="22"/>
                <w:lang w:val="en-US" w:eastAsia="en-GB"/>
              </w:rPr>
            </w:pPr>
            <w:r w:rsidRPr="00743892">
              <w:rPr>
                <w:rFonts w:eastAsia="Calibri"/>
                <w:sz w:val="22"/>
                <w:szCs w:val="22"/>
                <w:lang w:val="en-US" w:eastAsia="en-GB"/>
              </w:rPr>
              <w:t>7</w:t>
            </w:r>
            <w:r w:rsidRPr="002960BA">
              <w:rPr>
                <w:rFonts w:eastAsia="Calibri"/>
                <w:sz w:val="22"/>
                <w:szCs w:val="22"/>
                <w:lang w:val="en-US" w:eastAsia="en-GB"/>
              </w:rPr>
              <w:t>,</w:t>
            </w:r>
            <w:r w:rsidRPr="00743892">
              <w:rPr>
                <w:rFonts w:eastAsia="Calibri"/>
                <w:sz w:val="22"/>
                <w:szCs w:val="22"/>
                <w:lang w:val="en-US" w:eastAsia="en-GB"/>
              </w:rPr>
              <w:t>22</w:t>
            </w:r>
            <w:r w:rsidRPr="002960BA">
              <w:rPr>
                <w:rFonts w:eastAsia="Calibri"/>
                <w:sz w:val="22"/>
                <w:szCs w:val="22"/>
                <w:lang w:val="en-US" w:eastAsia="en-GB"/>
              </w:rPr>
              <w:t xml:space="preserve"> </w:t>
            </w:r>
            <w:r w:rsidRPr="00743892">
              <w:rPr>
                <w:rFonts w:eastAsia="Calibri"/>
                <w:sz w:val="22"/>
                <w:szCs w:val="22"/>
                <w:lang w:val="en-US" w:eastAsia="en-GB"/>
              </w:rPr>
              <w:t>%</w:t>
            </w:r>
          </w:p>
        </w:tc>
      </w:tr>
    </w:tbl>
    <w:p w:rsidR="00491918" w:rsidRPr="002960BA" w:rsidRDefault="00491918" w:rsidP="00491918">
      <w:pPr>
        <w:pStyle w:val="Default"/>
        <w:ind w:left="851"/>
        <w:rPr>
          <w:sz w:val="18"/>
          <w:szCs w:val="18"/>
          <w:lang w:val="en-US"/>
        </w:rPr>
      </w:pPr>
      <w:r w:rsidRPr="002960BA">
        <w:rPr>
          <w:sz w:val="18"/>
          <w:szCs w:val="18"/>
          <w:lang w:val="en-US"/>
        </w:rPr>
        <w:t xml:space="preserve">n/a = </w:t>
      </w:r>
      <w:r w:rsidRPr="002960BA">
        <w:rPr>
          <w:i/>
          <w:iCs/>
          <w:sz w:val="18"/>
          <w:szCs w:val="18"/>
          <w:lang w:val="en-US"/>
        </w:rPr>
        <w:t xml:space="preserve">not applicable </w:t>
      </w:r>
      <w:r w:rsidRPr="002960BA">
        <w:rPr>
          <w:sz w:val="18"/>
          <w:szCs w:val="18"/>
          <w:lang w:val="en-US"/>
        </w:rPr>
        <w:t>- ikke relevant</w:t>
      </w:r>
      <w:r w:rsidRPr="00743892">
        <w:rPr>
          <w:sz w:val="18"/>
          <w:szCs w:val="18"/>
          <w:lang w:val="en-US"/>
        </w:rPr>
        <w:t>.</w:t>
      </w:r>
      <w:r w:rsidRPr="002960BA">
        <w:rPr>
          <w:sz w:val="18"/>
          <w:szCs w:val="18"/>
          <w:lang w:val="en-US"/>
        </w:rPr>
        <w:t xml:space="preserve"> </w:t>
      </w:r>
    </w:p>
    <w:p w:rsidR="00491918" w:rsidRDefault="00491918" w:rsidP="00491918">
      <w:pPr>
        <w:pStyle w:val="Default"/>
        <w:ind w:left="851"/>
        <w:rPr>
          <w:sz w:val="18"/>
          <w:szCs w:val="18"/>
        </w:rPr>
      </w:pPr>
      <w:r w:rsidRPr="002960BA">
        <w:rPr>
          <w:sz w:val="12"/>
          <w:szCs w:val="12"/>
        </w:rPr>
        <w:t xml:space="preserve">a </w:t>
      </w:r>
      <w:r w:rsidRPr="002960BA">
        <w:rPr>
          <w:sz w:val="18"/>
          <w:szCs w:val="18"/>
        </w:rPr>
        <w:t>BMD Z-score ikke justeret for højde og vægt.</w:t>
      </w:r>
      <w:r>
        <w:rPr>
          <w:sz w:val="18"/>
          <w:szCs w:val="18"/>
        </w:rPr>
        <w:t xml:space="preserve"> </w:t>
      </w:r>
    </w:p>
    <w:p w:rsidR="00491918" w:rsidRDefault="00491918" w:rsidP="00491918">
      <w:pPr>
        <w:pStyle w:val="Default"/>
        <w:ind w:left="851"/>
        <w:rPr>
          <w:sz w:val="18"/>
          <w:szCs w:val="18"/>
        </w:rPr>
      </w:pPr>
      <w:r>
        <w:rPr>
          <w:sz w:val="12"/>
          <w:szCs w:val="12"/>
        </w:rPr>
        <w:t xml:space="preserve">b </w:t>
      </w:r>
      <w:r>
        <w:rPr>
          <w:sz w:val="18"/>
          <w:szCs w:val="18"/>
        </w:rPr>
        <w:t>Primært sikkerhedsendepunkt indtil uge 72.</w:t>
      </w:r>
    </w:p>
    <w:p w:rsidR="00491918" w:rsidRDefault="00491918" w:rsidP="00491918">
      <w:pPr>
        <w:pStyle w:val="Default"/>
        <w:ind w:left="851"/>
      </w:pPr>
    </w:p>
    <w:p w:rsidR="00C04C62" w:rsidRDefault="00491918" w:rsidP="00C04C62">
      <w:pPr>
        <w:tabs>
          <w:tab w:val="left" w:pos="851"/>
        </w:tabs>
        <w:ind w:left="851" w:hanging="851"/>
      </w:pPr>
      <w:r>
        <w:tab/>
      </w:r>
      <w:r w:rsidR="00C04C62">
        <w:rPr>
          <w:sz w:val="24"/>
        </w:rPr>
        <w:t>I studie GS-US-174-0144 blev 89 HBeAg-negative og -positive patienter i alderen 2 til &lt; 12 år med kronisk hepatitis B behandlet med 6,5 mg/kg tenofovirdisoproxil op til en maksimal dosis på 245 mg (n = 60) eller placebo (n = 29) en gang dagligt i 48 uger. Forsøgspersonerne skulle være tenofovirdisoproxil-naive, have HBV-dna &gt;10</w:t>
      </w:r>
      <w:r w:rsidR="00C04C62">
        <w:rPr>
          <w:sz w:val="24"/>
          <w:vertAlign w:val="superscript"/>
        </w:rPr>
        <w:t>5</w:t>
      </w:r>
      <w:r w:rsidR="00C04C62">
        <w:rPr>
          <w:sz w:val="24"/>
        </w:rPr>
        <w:t xml:space="preserve"> kopier/ml (~ 4,2 log</w:t>
      </w:r>
      <w:r w:rsidR="00C04C62">
        <w:rPr>
          <w:sz w:val="24"/>
          <w:vertAlign w:val="subscript"/>
        </w:rPr>
        <w:t>10</w:t>
      </w:r>
      <w:r w:rsidR="00C04C62">
        <w:rPr>
          <w:sz w:val="24"/>
        </w:rPr>
        <w:t xml:space="preserve"> IE/ml) og ALAT &gt;1,5 × den øvre grænse af normalværdien (ULN) ved screening. </w:t>
      </w:r>
      <w:r w:rsidR="00E0577D">
        <w:rPr>
          <w:sz w:val="24"/>
        </w:rPr>
        <w:t xml:space="preserve">Ved uge 48 havde 77% (46 ud af 60) af patienterne i behandlingsgruppen med tenofovirdisoproxil og 7% (2 ud af 29) af patienterne i placebogruppen HBV-dna &lt; 400 kopier/ml (69 IE/ml). 66% (38 ud af 58) af patienterne i gruppen med tenofovirdisoproxil havde normaliseret ALAT ved uge 48, sammenlignet med 15% (4 ud af 27) i placebogruppen. </w:t>
      </w:r>
      <w:r w:rsidR="00C04C62">
        <w:rPr>
          <w:sz w:val="24"/>
        </w:rPr>
        <w:t xml:space="preserve">25% (14 ud af 56) af patienterne i tenofovirdisoproxil-gruppen og 24% (7 ud af 29) af patienterne i placebogruppen opnåede HBeAg-serokonversion ved uge 48. Behandlingsresponset med tenofovirdisoproxil var sammenligneligt hos behandlingsnaive og behandlingserfarne forsøgspersoner, hvor 76% (38/50) behandlingsnaive og 80% (8/10) behandlingserfarne forsøgspersoner opnåede HBV-dna &lt; 400 kopier/ml (69 IE/ml) ved uge 48. </w:t>
      </w:r>
    </w:p>
    <w:p w:rsidR="00C04C62" w:rsidRDefault="00C04C62" w:rsidP="00C04C62">
      <w:pPr>
        <w:tabs>
          <w:tab w:val="left" w:pos="851"/>
        </w:tabs>
        <w:ind w:left="851" w:hanging="851"/>
      </w:pPr>
    </w:p>
    <w:p w:rsidR="00C04C62" w:rsidRDefault="00C04C62" w:rsidP="00C04C62">
      <w:pPr>
        <w:tabs>
          <w:tab w:val="left" w:pos="851"/>
        </w:tabs>
        <w:ind w:left="851" w:hanging="851"/>
        <w:rPr>
          <w:sz w:val="24"/>
        </w:rPr>
      </w:pPr>
      <w:r>
        <w:rPr>
          <w:sz w:val="24"/>
        </w:rPr>
        <w:tab/>
        <w:t>Behandlingsresponset med tenofovirdisoproxil var også sammenligneligt hos forsøgspersoner, som var HBeAg-negative sammenlignet med dem, som var HBeAg-positive ved baseline, hvor 77% (43/56) HBeAg-positive og 75,0% (3/4) HBeAg-negative forsøgspersoner opnåede HBV-dna &lt; 400 kopier/ml (69 IE/ml) ved uge 48. Fordelingen af HBV-genotyper ved baseline var sammenlignelig tenofovirdisoproxil- og placebogruppen imellem. Størstedelen af forsøgspersonerne var enten genotype C (43,8%) eller D (41,6%) med en lavere og sammenlignelig hyppighed af genotype A og B (begge 6,7%). Der var kun 1 forsøgsperson, der var randomiseret til tenofovirdisoproxil-gruppen, der var genotype E ved baseline. Generelt var behandlingsresponset med tenofovirdisoproxil sammenligneligt for genotype A, B, C og E [75100% af forsøgspersonerne opnåede HBV-dna &lt;400 kopier/ml (69 IE/ml) ved uge 48] med en lavere responsrate hos forsøgspersoner med genotype Dinfektion (55%).</w:t>
      </w:r>
    </w:p>
    <w:p w:rsidR="00E359D7" w:rsidRDefault="00E359D7" w:rsidP="00C04C62">
      <w:pPr>
        <w:tabs>
          <w:tab w:val="left" w:pos="851"/>
        </w:tabs>
        <w:ind w:left="851" w:hanging="851"/>
      </w:pPr>
      <w:r>
        <w:tab/>
      </w:r>
    </w:p>
    <w:p w:rsidR="00E359D7" w:rsidRPr="00770C1E" w:rsidRDefault="00E359D7" w:rsidP="00E359D7">
      <w:pPr>
        <w:tabs>
          <w:tab w:val="left" w:pos="851"/>
        </w:tabs>
        <w:ind w:left="851" w:hanging="851"/>
        <w:rPr>
          <w:sz w:val="24"/>
          <w:szCs w:val="24"/>
        </w:rPr>
      </w:pPr>
      <w:r>
        <w:rPr>
          <w:sz w:val="24"/>
          <w:szCs w:val="24"/>
        </w:rPr>
        <w:tab/>
      </w:r>
      <w:r w:rsidRPr="006444DF">
        <w:rPr>
          <w:sz w:val="24"/>
          <w:szCs w:val="24"/>
        </w:rPr>
        <w:t xml:space="preserve">Efter mindst 48 ugers blindet, randomiseret behandling kunne hver forsøgsperson skifte til </w:t>
      </w:r>
      <w:r w:rsidRPr="006444DF">
        <w:rPr>
          <w:i/>
          <w:iCs/>
          <w:sz w:val="24"/>
          <w:szCs w:val="24"/>
        </w:rPr>
        <w:t xml:space="preserve">open-label </w:t>
      </w:r>
      <w:r w:rsidRPr="006444DF">
        <w:rPr>
          <w:sz w:val="24"/>
          <w:szCs w:val="24"/>
        </w:rPr>
        <w:t xml:space="preserve">tenofovirdisoproxil-behandling op til uge 192. </w:t>
      </w:r>
      <w:r w:rsidRPr="00641021">
        <w:rPr>
          <w:sz w:val="24"/>
          <w:szCs w:val="24"/>
        </w:rPr>
        <w:t xml:space="preserve">Efter uge 48 blev virologisk suppression opretholdt for dem, der fik dobbeltblindet tenofovirdisoproxil efterfulgt af </w:t>
      </w:r>
      <w:r w:rsidRPr="00641021">
        <w:rPr>
          <w:i/>
          <w:iCs/>
          <w:sz w:val="24"/>
          <w:szCs w:val="24"/>
        </w:rPr>
        <w:t xml:space="preserve">open-label </w:t>
      </w:r>
      <w:r w:rsidRPr="00641021">
        <w:rPr>
          <w:sz w:val="24"/>
          <w:szCs w:val="24"/>
        </w:rPr>
        <w:t xml:space="preserve">tenofovirdisoproxil (TDF-TDF-gruppen): 83,3 % (50/60) af forsøgspersonerne i TDF-TDF-gruppen havde HBV-dna &lt; 400 kopier/ml (69 IE/ml) ved uge 192. Blandt forsøgspersonerne, som fik placebo under den dobbeltblindede periode, steg andelen af forsøgspersoner med HBV-dna &lt; 400 kopier/ml stejlt efter behandling med </w:t>
      </w:r>
      <w:r w:rsidRPr="00641021">
        <w:rPr>
          <w:i/>
          <w:iCs/>
          <w:sz w:val="24"/>
          <w:szCs w:val="24"/>
        </w:rPr>
        <w:t xml:space="preserve">open-label </w:t>
      </w:r>
      <w:r w:rsidRPr="00641021">
        <w:rPr>
          <w:sz w:val="24"/>
          <w:szCs w:val="24"/>
        </w:rPr>
        <w:t>TDF (PLB-TDF-gruppen): 62,1 % (18/29) af forsøgspersonerne i PLB-TDF-gruppen havde HBV-dna &lt; 400 kopier/ml ved uge 192. Andelen af forsøgspersoner med normaliseret ALAT ved uge 192 i TDF-TDF- og PLB-TDF-grupperne var henholdsvis 79,3 % og 59,3 % (baseret på centrallaboratoriekriterier). Lignende procentdele af forsøgspersoner i TDF-TDF- og PLB-TDF-grupperne (henholdsvis 33,9 % og 34,5 %) havde HBeAg-serokonversion til og med uge 192. Ingen forsøgspersoner i nogen af behandlingsgrupperne havde HBsAg-serokonversion ved uge 192. Behandlingsresponsrater med tenofovirdisoproxil ved uge 192 blev opretholdt for alle genotyper A, B og C (80-100 %) i TDF-TDF-gruppen. Ved uge 192 blev der stadig set en lavere responsrate hos forsøgspersoner med genotype D-infektion (77 %), men med en forbedring sammenlignet med resultaterne ved uge 48 (55 %).</w:t>
      </w:r>
    </w:p>
    <w:p w:rsidR="00E359D7" w:rsidRDefault="00E359D7" w:rsidP="00C04C62">
      <w:pPr>
        <w:tabs>
          <w:tab w:val="left" w:pos="851"/>
        </w:tabs>
        <w:ind w:left="851" w:hanging="851"/>
      </w:pPr>
    </w:p>
    <w:p w:rsidR="00C04C62" w:rsidRDefault="00C04C62" w:rsidP="000E5DD8">
      <w:pPr>
        <w:tabs>
          <w:tab w:val="left" w:pos="851"/>
        </w:tabs>
        <w:ind w:left="851"/>
      </w:pPr>
    </w:p>
    <w:p w:rsidR="00C04C62" w:rsidRDefault="00C04C62" w:rsidP="000E5DD8">
      <w:pPr>
        <w:tabs>
          <w:tab w:val="left" w:pos="851"/>
        </w:tabs>
        <w:ind w:left="851"/>
      </w:pPr>
      <w:r>
        <w:rPr>
          <w:sz w:val="24"/>
        </w:rPr>
        <w:t>Data vedrørende knoglemineraltæthed (BMD) fra studiet GS-US-174-0144 er opsummeret i tabel 9:</w:t>
      </w:r>
    </w:p>
    <w:p w:rsidR="00C04C62" w:rsidRDefault="00C04C62" w:rsidP="000E5DD8">
      <w:pPr>
        <w:tabs>
          <w:tab w:val="left" w:pos="851"/>
        </w:tabs>
        <w:ind w:left="851"/>
      </w:pPr>
    </w:p>
    <w:p w:rsidR="00C04C62" w:rsidRDefault="00E0577D" w:rsidP="000E5DD8">
      <w:pPr>
        <w:tabs>
          <w:tab w:val="left" w:pos="851"/>
        </w:tabs>
        <w:ind w:left="851"/>
        <w:rPr>
          <w:b/>
          <w:bCs/>
          <w:sz w:val="22"/>
          <w:szCs w:val="22"/>
          <w:lang w:eastAsia="da-DK"/>
        </w:rPr>
      </w:pPr>
      <w:r>
        <w:rPr>
          <w:b/>
          <w:bCs/>
          <w:sz w:val="22"/>
          <w:szCs w:val="22"/>
          <w:lang w:eastAsia="da-DK"/>
        </w:rPr>
        <w:t xml:space="preserve">Tabel 9: Vurdering af knoglemineraltæthed ved </w:t>
      </w:r>
      <w:r>
        <w:rPr>
          <w:b/>
          <w:bCs/>
          <w:i/>
          <w:iCs/>
          <w:sz w:val="22"/>
          <w:szCs w:val="22"/>
          <w:lang w:eastAsia="da-DK"/>
        </w:rPr>
        <w:t>baseline,</w:t>
      </w:r>
      <w:r>
        <w:rPr>
          <w:b/>
          <w:bCs/>
          <w:sz w:val="22"/>
          <w:szCs w:val="22"/>
          <w:lang w:eastAsia="da-DK"/>
        </w:rPr>
        <w:t xml:space="preserve"> uge 48 og uge 192</w:t>
      </w:r>
    </w:p>
    <w:p w:rsidR="00E359D7" w:rsidRDefault="00E359D7" w:rsidP="000E5DD8">
      <w:pPr>
        <w:tabs>
          <w:tab w:val="left" w:pos="851"/>
        </w:tabs>
        <w:ind w:left="851"/>
      </w:pPr>
    </w:p>
    <w:tbl>
      <w:tblPr>
        <w:tblW w:w="9350" w:type="dxa"/>
        <w:tblInd w:w="851" w:type="dxa"/>
        <w:tblLayout w:type="fixed"/>
        <w:tblLook w:val="04A0" w:firstRow="1" w:lastRow="0" w:firstColumn="1" w:lastColumn="0" w:noHBand="0" w:noVBand="1"/>
      </w:tblPr>
      <w:tblGrid>
        <w:gridCol w:w="1838"/>
        <w:gridCol w:w="1134"/>
        <w:gridCol w:w="1275"/>
        <w:gridCol w:w="1276"/>
        <w:gridCol w:w="1276"/>
        <w:gridCol w:w="1276"/>
        <w:gridCol w:w="1275"/>
      </w:tblGrid>
      <w:tr w:rsidR="00E359D7" w:rsidTr="006444DF">
        <w:tc>
          <w:tcPr>
            <w:tcW w:w="1838" w:type="dxa"/>
            <w:tcBorders>
              <w:top w:val="single" w:sz="4" w:space="0" w:color="auto"/>
              <w:left w:val="single" w:sz="4" w:space="0" w:color="auto"/>
              <w:bottom w:val="single" w:sz="4" w:space="0" w:color="auto"/>
              <w:right w:val="single" w:sz="4" w:space="0" w:color="auto"/>
            </w:tcBorders>
          </w:tcPr>
          <w:p w:rsidR="00E359D7" w:rsidRDefault="00E359D7" w:rsidP="006444DF">
            <w:pPr>
              <w:tabs>
                <w:tab w:val="left" w:pos="851"/>
              </w:tabs>
              <w:ind w:left="851" w:hanging="851"/>
              <w:jc w:val="center"/>
              <w:rPr>
                <w:sz w:val="24"/>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E359D7" w:rsidRDefault="00E359D7" w:rsidP="006444DF">
            <w:pPr>
              <w:tabs>
                <w:tab w:val="left" w:pos="851"/>
              </w:tabs>
              <w:ind w:left="851" w:hanging="851"/>
              <w:jc w:val="center"/>
              <w:rPr>
                <w:i/>
                <w:sz w:val="24"/>
              </w:rPr>
            </w:pPr>
            <w:r>
              <w:rPr>
                <w:i/>
                <w:sz w:val="24"/>
              </w:rPr>
              <w:t>Baseline</w:t>
            </w:r>
          </w:p>
        </w:tc>
        <w:tc>
          <w:tcPr>
            <w:tcW w:w="2552" w:type="dxa"/>
            <w:gridSpan w:val="2"/>
            <w:tcBorders>
              <w:top w:val="single" w:sz="4" w:space="0" w:color="auto"/>
              <w:left w:val="single" w:sz="4" w:space="0" w:color="auto"/>
              <w:bottom w:val="single" w:sz="4" w:space="0" w:color="auto"/>
              <w:right w:val="single" w:sz="4" w:space="0" w:color="auto"/>
            </w:tcBorders>
            <w:hideMark/>
          </w:tcPr>
          <w:p w:rsidR="00E359D7" w:rsidRDefault="00E359D7" w:rsidP="006444DF">
            <w:pPr>
              <w:tabs>
                <w:tab w:val="left" w:pos="851"/>
              </w:tabs>
              <w:ind w:left="851" w:hanging="851"/>
              <w:jc w:val="center"/>
              <w:rPr>
                <w:sz w:val="24"/>
              </w:rPr>
            </w:pPr>
            <w:r>
              <w:rPr>
                <w:sz w:val="24"/>
              </w:rPr>
              <w:t>Uge 48</w:t>
            </w:r>
          </w:p>
        </w:tc>
        <w:tc>
          <w:tcPr>
            <w:tcW w:w="2551" w:type="dxa"/>
            <w:gridSpan w:val="2"/>
            <w:tcBorders>
              <w:top w:val="single" w:sz="4" w:space="0" w:color="auto"/>
              <w:left w:val="single" w:sz="4" w:space="0" w:color="auto"/>
              <w:bottom w:val="single" w:sz="4" w:space="0" w:color="auto"/>
              <w:right w:val="single" w:sz="4" w:space="0" w:color="auto"/>
            </w:tcBorders>
          </w:tcPr>
          <w:p w:rsidR="00E359D7" w:rsidRDefault="00E359D7" w:rsidP="006444DF">
            <w:pPr>
              <w:tabs>
                <w:tab w:val="left" w:pos="345"/>
                <w:tab w:val="left" w:pos="851"/>
                <w:tab w:val="center" w:pos="1648"/>
              </w:tabs>
              <w:ind w:left="851" w:right="-1527" w:hanging="851"/>
              <w:rPr>
                <w:sz w:val="24"/>
              </w:rPr>
            </w:pPr>
            <w:r>
              <w:rPr>
                <w:sz w:val="24"/>
              </w:rPr>
              <w:tab/>
              <w:t>Uge 192</w:t>
            </w:r>
          </w:p>
        </w:tc>
      </w:tr>
      <w:tr w:rsidR="00E359D7" w:rsidTr="006444DF">
        <w:tc>
          <w:tcPr>
            <w:tcW w:w="1838" w:type="dxa"/>
            <w:tcBorders>
              <w:top w:val="single" w:sz="4" w:space="0" w:color="auto"/>
              <w:left w:val="single" w:sz="4" w:space="0" w:color="auto"/>
              <w:bottom w:val="single" w:sz="4" w:space="0" w:color="auto"/>
              <w:right w:val="single" w:sz="4" w:space="0" w:color="auto"/>
            </w:tcBorders>
          </w:tcPr>
          <w:p w:rsidR="00E359D7" w:rsidRDefault="00E359D7" w:rsidP="006444DF">
            <w:pPr>
              <w:tabs>
                <w:tab w:val="left" w:pos="851"/>
              </w:tabs>
              <w:ind w:left="851" w:hanging="851"/>
              <w:jc w:val="center"/>
              <w:rPr>
                <w:sz w:val="24"/>
              </w:rPr>
            </w:pPr>
          </w:p>
        </w:tc>
        <w:tc>
          <w:tcPr>
            <w:tcW w:w="1134" w:type="dxa"/>
            <w:tcBorders>
              <w:top w:val="single" w:sz="4" w:space="0" w:color="auto"/>
              <w:left w:val="single" w:sz="4" w:space="0" w:color="auto"/>
              <w:bottom w:val="single" w:sz="4" w:space="0" w:color="auto"/>
              <w:right w:val="single" w:sz="4" w:space="0" w:color="auto"/>
            </w:tcBorders>
            <w:hideMark/>
          </w:tcPr>
          <w:p w:rsidR="00E359D7" w:rsidRDefault="00E359D7" w:rsidP="006444DF">
            <w:pPr>
              <w:tabs>
                <w:tab w:val="left" w:pos="851"/>
              </w:tabs>
              <w:ind w:left="851" w:hanging="851"/>
              <w:jc w:val="center"/>
              <w:rPr>
                <w:sz w:val="24"/>
              </w:rPr>
            </w:pPr>
            <w:r>
              <w:rPr>
                <w:sz w:val="24"/>
              </w:rPr>
              <w:t>TDF</w:t>
            </w:r>
          </w:p>
        </w:tc>
        <w:tc>
          <w:tcPr>
            <w:tcW w:w="1275" w:type="dxa"/>
            <w:tcBorders>
              <w:top w:val="single" w:sz="4" w:space="0" w:color="auto"/>
              <w:left w:val="single" w:sz="4" w:space="0" w:color="auto"/>
              <w:bottom w:val="single" w:sz="4" w:space="0" w:color="auto"/>
              <w:right w:val="single" w:sz="4" w:space="0" w:color="auto"/>
            </w:tcBorders>
            <w:hideMark/>
          </w:tcPr>
          <w:p w:rsidR="00E359D7" w:rsidRDefault="00E359D7" w:rsidP="006444DF">
            <w:pPr>
              <w:tabs>
                <w:tab w:val="left" w:pos="851"/>
              </w:tabs>
              <w:ind w:left="851" w:hanging="851"/>
              <w:jc w:val="center"/>
              <w:rPr>
                <w:sz w:val="24"/>
              </w:rPr>
            </w:pPr>
            <w:r>
              <w:rPr>
                <w:sz w:val="24"/>
              </w:rPr>
              <w:t>PLB</w:t>
            </w:r>
          </w:p>
        </w:tc>
        <w:tc>
          <w:tcPr>
            <w:tcW w:w="1276" w:type="dxa"/>
            <w:tcBorders>
              <w:top w:val="single" w:sz="4" w:space="0" w:color="auto"/>
              <w:left w:val="single" w:sz="4" w:space="0" w:color="auto"/>
              <w:bottom w:val="single" w:sz="4" w:space="0" w:color="auto"/>
              <w:right w:val="single" w:sz="4" w:space="0" w:color="auto"/>
            </w:tcBorders>
            <w:hideMark/>
          </w:tcPr>
          <w:p w:rsidR="00E359D7" w:rsidRDefault="00E359D7" w:rsidP="006444DF">
            <w:pPr>
              <w:tabs>
                <w:tab w:val="left" w:pos="851"/>
              </w:tabs>
              <w:ind w:left="851" w:hanging="851"/>
              <w:jc w:val="center"/>
              <w:rPr>
                <w:sz w:val="24"/>
              </w:rPr>
            </w:pPr>
            <w:r>
              <w:rPr>
                <w:sz w:val="24"/>
              </w:rPr>
              <w:t>TDF-TDF</w:t>
            </w:r>
          </w:p>
        </w:tc>
        <w:tc>
          <w:tcPr>
            <w:tcW w:w="1276" w:type="dxa"/>
            <w:tcBorders>
              <w:top w:val="single" w:sz="4" w:space="0" w:color="auto"/>
              <w:left w:val="single" w:sz="4" w:space="0" w:color="auto"/>
              <w:bottom w:val="single" w:sz="4" w:space="0" w:color="auto"/>
              <w:right w:val="single" w:sz="4" w:space="0" w:color="auto"/>
            </w:tcBorders>
            <w:hideMark/>
          </w:tcPr>
          <w:p w:rsidR="00E359D7" w:rsidRDefault="00E359D7" w:rsidP="006444DF">
            <w:pPr>
              <w:tabs>
                <w:tab w:val="left" w:pos="851"/>
              </w:tabs>
              <w:ind w:left="851" w:hanging="851"/>
              <w:jc w:val="center"/>
              <w:rPr>
                <w:sz w:val="24"/>
              </w:rPr>
            </w:pPr>
            <w:r>
              <w:rPr>
                <w:sz w:val="24"/>
              </w:rPr>
              <w:t>PLB-TDF</w:t>
            </w:r>
          </w:p>
        </w:tc>
        <w:tc>
          <w:tcPr>
            <w:tcW w:w="1276" w:type="dxa"/>
            <w:tcBorders>
              <w:top w:val="single" w:sz="4" w:space="0" w:color="auto"/>
              <w:left w:val="single" w:sz="4" w:space="0" w:color="auto"/>
              <w:bottom w:val="single" w:sz="4" w:space="0" w:color="auto"/>
              <w:right w:val="single" w:sz="4" w:space="0" w:color="auto"/>
            </w:tcBorders>
          </w:tcPr>
          <w:p w:rsidR="00E359D7" w:rsidRDefault="00E359D7" w:rsidP="006444DF">
            <w:pPr>
              <w:tabs>
                <w:tab w:val="left" w:pos="851"/>
              </w:tabs>
              <w:ind w:left="851" w:hanging="851"/>
              <w:jc w:val="center"/>
              <w:rPr>
                <w:sz w:val="24"/>
              </w:rPr>
            </w:pPr>
            <w:r>
              <w:rPr>
                <w:sz w:val="24"/>
              </w:rPr>
              <w:t>TDF-TDF</w:t>
            </w:r>
          </w:p>
        </w:tc>
        <w:tc>
          <w:tcPr>
            <w:tcW w:w="1275" w:type="dxa"/>
            <w:tcBorders>
              <w:top w:val="single" w:sz="4" w:space="0" w:color="auto"/>
              <w:left w:val="single" w:sz="4" w:space="0" w:color="auto"/>
              <w:bottom w:val="single" w:sz="4" w:space="0" w:color="auto"/>
              <w:right w:val="single" w:sz="4" w:space="0" w:color="auto"/>
            </w:tcBorders>
          </w:tcPr>
          <w:p w:rsidR="00E359D7" w:rsidRDefault="00E359D7" w:rsidP="006444DF">
            <w:pPr>
              <w:tabs>
                <w:tab w:val="left" w:pos="705"/>
                <w:tab w:val="left" w:pos="851"/>
              </w:tabs>
              <w:ind w:left="851" w:right="-1527" w:hanging="851"/>
              <w:jc w:val="both"/>
              <w:rPr>
                <w:sz w:val="24"/>
              </w:rPr>
            </w:pPr>
            <w:r>
              <w:rPr>
                <w:sz w:val="24"/>
              </w:rPr>
              <w:t>PLB-TDF</w:t>
            </w:r>
            <w:r>
              <w:rPr>
                <w:sz w:val="24"/>
              </w:rPr>
              <w:tab/>
            </w:r>
          </w:p>
        </w:tc>
      </w:tr>
      <w:tr w:rsidR="00E359D7" w:rsidTr="006444DF">
        <w:tc>
          <w:tcPr>
            <w:tcW w:w="1838" w:type="dxa"/>
            <w:tcBorders>
              <w:top w:val="single" w:sz="4" w:space="0" w:color="auto"/>
              <w:left w:val="single" w:sz="4" w:space="0" w:color="auto"/>
              <w:bottom w:val="single" w:sz="4" w:space="0" w:color="auto"/>
              <w:right w:val="single" w:sz="4" w:space="0" w:color="auto"/>
            </w:tcBorders>
            <w:hideMark/>
          </w:tcPr>
          <w:p w:rsidR="00E359D7" w:rsidRDefault="00E359D7" w:rsidP="006444DF">
            <w:pPr>
              <w:tabs>
                <w:tab w:val="left" w:pos="851"/>
              </w:tabs>
              <w:rPr>
                <w:sz w:val="24"/>
              </w:rPr>
            </w:pPr>
            <w:r>
              <w:rPr>
                <w:sz w:val="24"/>
              </w:rPr>
              <w:t>Gennemsnitlig (SD) BMD Z-resultat for columna lumbalis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right="-185" w:hanging="851"/>
              <w:jc w:val="center"/>
              <w:rPr>
                <w:sz w:val="24"/>
              </w:rPr>
            </w:pPr>
            <w:r>
              <w:rPr>
                <w:sz w:val="24"/>
              </w:rPr>
              <w:t>-0,08</w:t>
            </w:r>
          </w:p>
          <w:p w:rsidR="00E359D7" w:rsidRDefault="00E359D7" w:rsidP="006444DF">
            <w:pPr>
              <w:tabs>
                <w:tab w:val="left" w:pos="851"/>
              </w:tabs>
              <w:ind w:left="851" w:hanging="851"/>
              <w:jc w:val="center"/>
              <w:rPr>
                <w:sz w:val="24"/>
              </w:rPr>
            </w:pPr>
            <w:r>
              <w:rPr>
                <w:sz w:val="24"/>
              </w:rPr>
              <w:t>(1,044)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right="-185" w:hanging="851"/>
              <w:jc w:val="center"/>
              <w:rPr>
                <w:sz w:val="24"/>
              </w:rPr>
            </w:pPr>
            <w:r>
              <w:rPr>
                <w:sz w:val="24"/>
              </w:rPr>
              <w:t>-0,31</w:t>
            </w:r>
          </w:p>
          <w:p w:rsidR="00E359D7" w:rsidRDefault="00E359D7" w:rsidP="006444DF">
            <w:pPr>
              <w:tabs>
                <w:tab w:val="left" w:pos="851"/>
              </w:tabs>
              <w:ind w:left="851" w:hanging="851"/>
              <w:jc w:val="center"/>
              <w:rPr>
                <w:sz w:val="24"/>
              </w:rPr>
            </w:pPr>
            <w:r>
              <w:rPr>
                <w:sz w:val="24"/>
              </w:rPr>
              <w:t>(1,200)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right="-185" w:hanging="851"/>
              <w:jc w:val="center"/>
              <w:rPr>
                <w:sz w:val="24"/>
              </w:rPr>
            </w:pPr>
            <w:r>
              <w:rPr>
                <w:sz w:val="24"/>
              </w:rPr>
              <w:t>-0,09</w:t>
            </w:r>
          </w:p>
          <w:p w:rsidR="00E359D7" w:rsidRDefault="00E359D7" w:rsidP="006444DF">
            <w:pPr>
              <w:tabs>
                <w:tab w:val="left" w:pos="851"/>
              </w:tabs>
              <w:ind w:left="851" w:hanging="851"/>
              <w:jc w:val="center"/>
              <w:rPr>
                <w:sz w:val="24"/>
              </w:rPr>
            </w:pPr>
            <w:r>
              <w:rPr>
                <w:sz w:val="24"/>
              </w:rPr>
              <w:t>(1,056)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right="-185" w:hanging="851"/>
              <w:jc w:val="center"/>
              <w:rPr>
                <w:sz w:val="24"/>
              </w:rPr>
            </w:pPr>
            <w:r>
              <w:rPr>
                <w:sz w:val="24"/>
              </w:rPr>
              <w:t>-0,16</w:t>
            </w:r>
          </w:p>
          <w:p w:rsidR="00E359D7" w:rsidRDefault="00E359D7" w:rsidP="006444DF">
            <w:pPr>
              <w:tabs>
                <w:tab w:val="left" w:pos="851"/>
              </w:tabs>
              <w:ind w:left="851" w:hanging="851"/>
              <w:jc w:val="center"/>
              <w:rPr>
                <w:sz w:val="24"/>
              </w:rPr>
            </w:pPr>
            <w:r>
              <w:rPr>
                <w:sz w:val="24"/>
              </w:rPr>
              <w:t>(1,213)</w:t>
            </w:r>
          </w:p>
        </w:tc>
        <w:tc>
          <w:tcPr>
            <w:tcW w:w="1276" w:type="dxa"/>
            <w:tcBorders>
              <w:top w:val="single" w:sz="4" w:space="0" w:color="auto"/>
              <w:left w:val="single" w:sz="4" w:space="0" w:color="auto"/>
              <w:bottom w:val="single" w:sz="4" w:space="0" w:color="auto"/>
              <w:right w:val="single" w:sz="4" w:space="0" w:color="auto"/>
            </w:tcBorders>
          </w:tcPr>
          <w:p w:rsidR="00E359D7" w:rsidRDefault="00E359D7" w:rsidP="006444DF">
            <w:pPr>
              <w:tabs>
                <w:tab w:val="left" w:pos="851"/>
              </w:tabs>
              <w:ind w:left="851" w:right="-185" w:hanging="851"/>
              <w:jc w:val="center"/>
              <w:rPr>
                <w:sz w:val="24"/>
              </w:rPr>
            </w:pPr>
          </w:p>
          <w:p w:rsidR="00E359D7" w:rsidRDefault="00E359D7" w:rsidP="006444DF">
            <w:pPr>
              <w:tabs>
                <w:tab w:val="left" w:pos="851"/>
              </w:tabs>
              <w:ind w:left="851" w:right="-185" w:hanging="851"/>
              <w:jc w:val="center"/>
              <w:rPr>
                <w:sz w:val="24"/>
              </w:rPr>
            </w:pPr>
            <w:r>
              <w:rPr>
                <w:sz w:val="24"/>
              </w:rPr>
              <w:t>-0,20</w:t>
            </w:r>
          </w:p>
          <w:p w:rsidR="00E359D7" w:rsidRDefault="00E359D7" w:rsidP="006444DF">
            <w:pPr>
              <w:tabs>
                <w:tab w:val="left" w:pos="851"/>
              </w:tabs>
              <w:ind w:left="851" w:right="-185" w:hanging="851"/>
              <w:jc w:val="center"/>
              <w:rPr>
                <w:sz w:val="24"/>
              </w:rPr>
            </w:pPr>
            <w:r>
              <w:rPr>
                <w:sz w:val="24"/>
              </w:rPr>
              <w:t>(1,032)</w:t>
            </w:r>
          </w:p>
        </w:tc>
        <w:tc>
          <w:tcPr>
            <w:tcW w:w="1275" w:type="dxa"/>
            <w:tcBorders>
              <w:top w:val="single" w:sz="4" w:space="0" w:color="auto"/>
              <w:left w:val="single" w:sz="4" w:space="0" w:color="auto"/>
              <w:bottom w:val="single" w:sz="4" w:space="0" w:color="auto"/>
              <w:right w:val="single" w:sz="4" w:space="0" w:color="auto"/>
            </w:tcBorders>
          </w:tcPr>
          <w:p w:rsidR="00E359D7" w:rsidRDefault="00E359D7" w:rsidP="006444DF">
            <w:pPr>
              <w:tabs>
                <w:tab w:val="left" w:pos="851"/>
              </w:tabs>
              <w:ind w:left="851" w:right="-1527" w:hanging="851"/>
              <w:jc w:val="center"/>
              <w:rPr>
                <w:sz w:val="24"/>
              </w:rPr>
            </w:pPr>
          </w:p>
          <w:p w:rsidR="00E359D7" w:rsidRDefault="00E359D7" w:rsidP="006444DF">
            <w:pPr>
              <w:rPr>
                <w:sz w:val="24"/>
              </w:rPr>
            </w:pPr>
            <w:r>
              <w:rPr>
                <w:sz w:val="24"/>
              </w:rPr>
              <w:t>-0,38</w:t>
            </w:r>
          </w:p>
          <w:p w:rsidR="00E359D7" w:rsidRPr="00183E30" w:rsidRDefault="00E359D7" w:rsidP="006444DF">
            <w:pPr>
              <w:rPr>
                <w:sz w:val="24"/>
              </w:rPr>
            </w:pPr>
            <w:r>
              <w:rPr>
                <w:sz w:val="24"/>
              </w:rPr>
              <w:t>(1,344)</w:t>
            </w:r>
          </w:p>
        </w:tc>
      </w:tr>
      <w:tr w:rsidR="00E359D7" w:rsidTr="006444DF">
        <w:tc>
          <w:tcPr>
            <w:tcW w:w="1838" w:type="dxa"/>
            <w:tcBorders>
              <w:top w:val="single" w:sz="4" w:space="0" w:color="auto"/>
              <w:left w:val="single" w:sz="4" w:space="0" w:color="auto"/>
              <w:bottom w:val="single" w:sz="4" w:space="0" w:color="auto"/>
              <w:right w:val="single" w:sz="4" w:space="0" w:color="auto"/>
            </w:tcBorders>
            <w:hideMark/>
          </w:tcPr>
          <w:p w:rsidR="00E359D7" w:rsidRDefault="00E359D7" w:rsidP="006444DF">
            <w:pPr>
              <w:tabs>
                <w:tab w:val="left" w:pos="851"/>
              </w:tabs>
              <w:rPr>
                <w:sz w:val="24"/>
              </w:rPr>
            </w:pPr>
            <w:r>
              <w:rPr>
                <w:sz w:val="24"/>
              </w:rPr>
              <w:t>Gennemsnitlig (SD) ændring i BMD Z-resultat</w:t>
            </w:r>
          </w:p>
          <w:p w:rsidR="00E359D7" w:rsidRDefault="00E359D7" w:rsidP="006444DF">
            <w:pPr>
              <w:ind w:left="33"/>
              <w:rPr>
                <w:sz w:val="24"/>
                <w:lang w:val="en-US"/>
              </w:rPr>
            </w:pPr>
            <w:r w:rsidRPr="006444DF">
              <w:rPr>
                <w:sz w:val="24"/>
                <w:lang w:val="en-US"/>
              </w:rPr>
              <w:t xml:space="preserve">for columna lumbalis fra </w:t>
            </w:r>
            <w:r w:rsidRPr="006444DF">
              <w:rPr>
                <w:i/>
                <w:sz w:val="24"/>
                <w:lang w:val="en-US"/>
              </w:rPr>
              <w:t>b</w:t>
            </w:r>
            <w:r>
              <w:rPr>
                <w:i/>
                <w:sz w:val="24"/>
                <w:lang w:val="en-US"/>
              </w:rPr>
              <w:t>aseline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n/a</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right="-185" w:hanging="851"/>
              <w:jc w:val="center"/>
              <w:rPr>
                <w:sz w:val="24"/>
              </w:rPr>
            </w:pPr>
            <w:r>
              <w:rPr>
                <w:sz w:val="24"/>
              </w:rPr>
              <w:t>-0,03</w:t>
            </w:r>
          </w:p>
          <w:p w:rsidR="00E359D7" w:rsidRDefault="00E359D7" w:rsidP="006444DF">
            <w:pPr>
              <w:tabs>
                <w:tab w:val="left" w:pos="851"/>
              </w:tabs>
              <w:ind w:left="851" w:hanging="851"/>
              <w:jc w:val="center"/>
              <w:rPr>
                <w:sz w:val="24"/>
              </w:rPr>
            </w:pPr>
            <w:r>
              <w:rPr>
                <w:sz w:val="24"/>
              </w:rPr>
              <w:t>(0,464)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right="-185" w:hanging="851"/>
              <w:jc w:val="center"/>
              <w:rPr>
                <w:sz w:val="24"/>
              </w:rPr>
            </w:pPr>
            <w:r>
              <w:rPr>
                <w:sz w:val="24"/>
              </w:rPr>
              <w:t>0,23</w:t>
            </w:r>
          </w:p>
          <w:p w:rsidR="00E359D7" w:rsidRDefault="00E359D7" w:rsidP="006444DF">
            <w:pPr>
              <w:tabs>
                <w:tab w:val="left" w:pos="851"/>
              </w:tabs>
              <w:ind w:left="851" w:hanging="851"/>
              <w:jc w:val="center"/>
              <w:rPr>
                <w:sz w:val="24"/>
              </w:rPr>
            </w:pPr>
            <w:r>
              <w:rPr>
                <w:sz w:val="24"/>
              </w:rPr>
              <w:t>(0,409)</w:t>
            </w:r>
          </w:p>
        </w:tc>
        <w:tc>
          <w:tcPr>
            <w:tcW w:w="1276" w:type="dxa"/>
            <w:tcBorders>
              <w:top w:val="single" w:sz="4" w:space="0" w:color="auto"/>
              <w:left w:val="single" w:sz="4" w:space="0" w:color="auto"/>
              <w:bottom w:val="single" w:sz="4" w:space="0" w:color="auto"/>
              <w:right w:val="single" w:sz="4" w:space="0" w:color="auto"/>
            </w:tcBorders>
          </w:tcPr>
          <w:p w:rsidR="00E359D7" w:rsidRDefault="00E359D7" w:rsidP="006444DF">
            <w:pPr>
              <w:tabs>
                <w:tab w:val="left" w:pos="851"/>
              </w:tabs>
              <w:ind w:left="851" w:right="-185" w:hanging="851"/>
              <w:jc w:val="center"/>
              <w:rPr>
                <w:sz w:val="24"/>
              </w:rPr>
            </w:pPr>
          </w:p>
          <w:p w:rsidR="00E359D7" w:rsidRDefault="00E359D7" w:rsidP="006444DF">
            <w:pPr>
              <w:tabs>
                <w:tab w:val="left" w:pos="851"/>
              </w:tabs>
              <w:ind w:left="851" w:right="-185" w:hanging="851"/>
              <w:jc w:val="center"/>
              <w:rPr>
                <w:sz w:val="24"/>
              </w:rPr>
            </w:pPr>
          </w:p>
          <w:p w:rsidR="00E359D7" w:rsidRDefault="00E359D7" w:rsidP="006444DF">
            <w:pPr>
              <w:tabs>
                <w:tab w:val="left" w:pos="851"/>
              </w:tabs>
              <w:ind w:left="851" w:right="-185" w:hanging="851"/>
              <w:jc w:val="center"/>
              <w:rPr>
                <w:sz w:val="24"/>
              </w:rPr>
            </w:pPr>
            <w:r>
              <w:rPr>
                <w:sz w:val="24"/>
              </w:rPr>
              <w:t>-0,15</w:t>
            </w:r>
          </w:p>
          <w:p w:rsidR="00E359D7" w:rsidRDefault="00E359D7" w:rsidP="006444DF">
            <w:pPr>
              <w:tabs>
                <w:tab w:val="left" w:pos="851"/>
              </w:tabs>
              <w:ind w:left="851" w:right="-185" w:hanging="851"/>
              <w:jc w:val="center"/>
              <w:rPr>
                <w:sz w:val="24"/>
              </w:rPr>
            </w:pPr>
            <w:r>
              <w:rPr>
                <w:sz w:val="24"/>
              </w:rPr>
              <w:t>(0,661)</w:t>
            </w:r>
          </w:p>
        </w:tc>
        <w:tc>
          <w:tcPr>
            <w:tcW w:w="1275" w:type="dxa"/>
            <w:tcBorders>
              <w:top w:val="single" w:sz="4" w:space="0" w:color="auto"/>
              <w:left w:val="single" w:sz="4" w:space="0" w:color="auto"/>
              <w:bottom w:val="single" w:sz="4" w:space="0" w:color="auto"/>
              <w:right w:val="single" w:sz="4" w:space="0" w:color="auto"/>
            </w:tcBorders>
          </w:tcPr>
          <w:p w:rsidR="00E359D7" w:rsidRDefault="00E359D7" w:rsidP="006444DF">
            <w:pPr>
              <w:tabs>
                <w:tab w:val="left" w:pos="851"/>
              </w:tabs>
              <w:ind w:left="851" w:right="-1527" w:hanging="851"/>
              <w:jc w:val="center"/>
              <w:rPr>
                <w:sz w:val="24"/>
              </w:rPr>
            </w:pPr>
          </w:p>
          <w:p w:rsidR="00E359D7" w:rsidRDefault="00E359D7" w:rsidP="006444DF">
            <w:pPr>
              <w:rPr>
                <w:sz w:val="24"/>
              </w:rPr>
            </w:pPr>
          </w:p>
          <w:p w:rsidR="00E359D7" w:rsidRDefault="00E359D7" w:rsidP="006444DF">
            <w:pPr>
              <w:ind w:left="170"/>
              <w:rPr>
                <w:sz w:val="24"/>
              </w:rPr>
            </w:pPr>
            <w:r>
              <w:rPr>
                <w:sz w:val="24"/>
              </w:rPr>
              <w:t>0,21</w:t>
            </w:r>
          </w:p>
          <w:p w:rsidR="00E359D7" w:rsidRPr="00183E30" w:rsidRDefault="00E359D7" w:rsidP="006444DF">
            <w:pPr>
              <w:rPr>
                <w:sz w:val="24"/>
              </w:rPr>
            </w:pPr>
            <w:r>
              <w:rPr>
                <w:sz w:val="24"/>
              </w:rPr>
              <w:t>(0,812)</w:t>
            </w:r>
          </w:p>
        </w:tc>
      </w:tr>
      <w:tr w:rsidR="00E359D7" w:rsidTr="006444DF">
        <w:tc>
          <w:tcPr>
            <w:tcW w:w="1838" w:type="dxa"/>
            <w:tcBorders>
              <w:top w:val="single" w:sz="4" w:space="0" w:color="auto"/>
              <w:left w:val="single" w:sz="4" w:space="0" w:color="auto"/>
              <w:bottom w:val="single" w:sz="4" w:space="0" w:color="auto"/>
              <w:right w:val="single" w:sz="4" w:space="0" w:color="auto"/>
            </w:tcBorders>
            <w:hideMark/>
          </w:tcPr>
          <w:p w:rsidR="00E359D7" w:rsidRDefault="00E359D7" w:rsidP="006444DF">
            <w:pPr>
              <w:ind w:left="33"/>
              <w:rPr>
                <w:sz w:val="24"/>
              </w:rPr>
            </w:pPr>
            <w:r>
              <w:rPr>
                <w:sz w:val="24"/>
              </w:rPr>
              <w:t>Gennemsnitlig (SD) BMD Z-resultat for</w:t>
            </w:r>
          </w:p>
          <w:p w:rsidR="00E359D7" w:rsidRDefault="00E359D7" w:rsidP="006444DF">
            <w:pPr>
              <w:tabs>
                <w:tab w:val="left" w:pos="851"/>
              </w:tabs>
              <w:ind w:left="851" w:hanging="851"/>
              <w:rPr>
                <w:sz w:val="24"/>
              </w:rPr>
            </w:pPr>
            <w:r>
              <w:rPr>
                <w:sz w:val="24"/>
              </w:rPr>
              <w:t>hele kroppen</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-0,46</w:t>
            </w:r>
          </w:p>
          <w:p w:rsidR="00E359D7" w:rsidRDefault="00E359D7" w:rsidP="006444DF">
            <w:pPr>
              <w:tabs>
                <w:tab w:val="left" w:pos="851"/>
              </w:tabs>
              <w:ind w:left="851" w:hanging="851"/>
              <w:jc w:val="center"/>
              <w:rPr>
                <w:sz w:val="24"/>
              </w:rPr>
            </w:pPr>
            <w:r>
              <w:rPr>
                <w:sz w:val="24"/>
              </w:rPr>
              <w:t>(1,113)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−0,34</w:t>
            </w:r>
          </w:p>
          <w:p w:rsidR="00E359D7" w:rsidRDefault="00E359D7" w:rsidP="006444DF">
            <w:pPr>
              <w:tabs>
                <w:tab w:val="left" w:pos="851"/>
              </w:tabs>
              <w:ind w:left="851" w:hanging="851"/>
              <w:jc w:val="center"/>
              <w:rPr>
                <w:sz w:val="24"/>
              </w:rPr>
            </w:pPr>
            <w:r>
              <w:rPr>
                <w:sz w:val="24"/>
              </w:rPr>
              <w:t>(1,468)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-0,57</w:t>
            </w:r>
          </w:p>
          <w:p w:rsidR="00E359D7" w:rsidRDefault="00E359D7" w:rsidP="006444DF">
            <w:pPr>
              <w:tabs>
                <w:tab w:val="left" w:pos="851"/>
              </w:tabs>
              <w:ind w:left="851" w:hanging="851"/>
              <w:jc w:val="center"/>
              <w:rPr>
                <w:sz w:val="24"/>
              </w:rPr>
            </w:pPr>
            <w:r>
              <w:rPr>
                <w:sz w:val="24"/>
              </w:rPr>
              <w:t>(0,978)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-0,05</w:t>
            </w:r>
          </w:p>
          <w:p w:rsidR="00E359D7" w:rsidRDefault="00E359D7" w:rsidP="006444DF">
            <w:pPr>
              <w:tabs>
                <w:tab w:val="left" w:pos="851"/>
              </w:tabs>
              <w:ind w:left="851" w:hanging="851"/>
              <w:jc w:val="center"/>
              <w:rPr>
                <w:sz w:val="24"/>
              </w:rPr>
            </w:pPr>
            <w:r>
              <w:rPr>
                <w:sz w:val="24"/>
              </w:rPr>
              <w:t>(1,360)</w:t>
            </w:r>
          </w:p>
        </w:tc>
        <w:tc>
          <w:tcPr>
            <w:tcW w:w="1276" w:type="dxa"/>
            <w:tcBorders>
              <w:top w:val="single" w:sz="4" w:space="0" w:color="auto"/>
              <w:left w:val="single" w:sz="4" w:space="0" w:color="auto"/>
              <w:bottom w:val="single" w:sz="4" w:space="0" w:color="auto"/>
              <w:right w:val="single" w:sz="4" w:space="0" w:color="auto"/>
            </w:tcBorders>
          </w:tcPr>
          <w:p w:rsidR="00E359D7" w:rsidRDefault="00E359D7" w:rsidP="006444DF">
            <w:pPr>
              <w:tabs>
                <w:tab w:val="left" w:pos="851"/>
              </w:tabs>
              <w:ind w:left="851" w:hanging="851"/>
              <w:jc w:val="center"/>
              <w:rPr>
                <w:sz w:val="24"/>
              </w:rPr>
            </w:pPr>
          </w:p>
          <w:p w:rsidR="00E359D7" w:rsidRDefault="00E359D7" w:rsidP="006444DF">
            <w:pPr>
              <w:tabs>
                <w:tab w:val="left" w:pos="851"/>
              </w:tabs>
              <w:ind w:left="851" w:hanging="851"/>
              <w:jc w:val="center"/>
              <w:rPr>
                <w:sz w:val="24"/>
              </w:rPr>
            </w:pPr>
            <w:r>
              <w:rPr>
                <w:sz w:val="24"/>
              </w:rPr>
              <w:t>-0,56</w:t>
            </w:r>
          </w:p>
          <w:p w:rsidR="00E359D7" w:rsidRDefault="00E359D7" w:rsidP="006444DF">
            <w:pPr>
              <w:tabs>
                <w:tab w:val="left" w:pos="851"/>
              </w:tabs>
              <w:ind w:left="851" w:hanging="851"/>
              <w:jc w:val="center"/>
              <w:rPr>
                <w:sz w:val="24"/>
              </w:rPr>
            </w:pPr>
            <w:r>
              <w:rPr>
                <w:sz w:val="24"/>
              </w:rPr>
              <w:t>(1,082)</w:t>
            </w:r>
          </w:p>
        </w:tc>
        <w:tc>
          <w:tcPr>
            <w:tcW w:w="1275" w:type="dxa"/>
            <w:tcBorders>
              <w:top w:val="single" w:sz="4" w:space="0" w:color="auto"/>
              <w:left w:val="single" w:sz="4" w:space="0" w:color="auto"/>
              <w:bottom w:val="single" w:sz="4" w:space="0" w:color="auto"/>
              <w:right w:val="single" w:sz="4" w:space="0" w:color="auto"/>
            </w:tcBorders>
          </w:tcPr>
          <w:p w:rsidR="00E359D7" w:rsidRDefault="00E359D7" w:rsidP="006444DF">
            <w:pPr>
              <w:tabs>
                <w:tab w:val="left" w:pos="851"/>
              </w:tabs>
              <w:ind w:left="851" w:right="-1527" w:hanging="851"/>
              <w:jc w:val="center"/>
              <w:rPr>
                <w:sz w:val="24"/>
              </w:rPr>
            </w:pPr>
          </w:p>
          <w:p w:rsidR="00E359D7" w:rsidRDefault="00E359D7" w:rsidP="006444DF">
            <w:pPr>
              <w:rPr>
                <w:sz w:val="24"/>
              </w:rPr>
            </w:pPr>
            <w:r>
              <w:rPr>
                <w:sz w:val="24"/>
              </w:rPr>
              <w:t>-0,31</w:t>
            </w:r>
          </w:p>
          <w:p w:rsidR="00E359D7" w:rsidRPr="00183E30" w:rsidRDefault="00E359D7" w:rsidP="006444DF">
            <w:pPr>
              <w:rPr>
                <w:sz w:val="24"/>
              </w:rPr>
            </w:pPr>
            <w:r>
              <w:rPr>
                <w:sz w:val="24"/>
              </w:rPr>
              <w:t>(1,418)</w:t>
            </w:r>
          </w:p>
        </w:tc>
      </w:tr>
      <w:tr w:rsidR="00E359D7" w:rsidTr="006444DF">
        <w:tc>
          <w:tcPr>
            <w:tcW w:w="1838" w:type="dxa"/>
            <w:tcBorders>
              <w:top w:val="single" w:sz="4" w:space="0" w:color="auto"/>
              <w:left w:val="single" w:sz="4" w:space="0" w:color="auto"/>
              <w:bottom w:val="single" w:sz="4" w:space="0" w:color="auto"/>
              <w:right w:val="single" w:sz="4" w:space="0" w:color="auto"/>
            </w:tcBorders>
            <w:hideMark/>
          </w:tcPr>
          <w:p w:rsidR="00E359D7" w:rsidRDefault="00E359D7" w:rsidP="006444DF">
            <w:pPr>
              <w:tabs>
                <w:tab w:val="left" w:pos="851"/>
              </w:tabs>
              <w:rPr>
                <w:i/>
                <w:sz w:val="24"/>
              </w:rPr>
            </w:pPr>
            <w:r>
              <w:rPr>
                <w:sz w:val="24"/>
              </w:rPr>
              <w:t>Gennemsnitlig (SD) ændring i BMD Z-resultat for hele kroppen fra</w:t>
            </w:r>
            <w:r>
              <w:rPr>
                <w:i/>
                <w:sz w:val="24"/>
              </w:rPr>
              <w:t xml:space="preserve"> baseline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n/a</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pStyle w:val="Default"/>
              <w:tabs>
                <w:tab w:val="left" w:pos="851"/>
              </w:tabs>
              <w:ind w:left="851" w:hanging="851"/>
              <w:jc w:val="center"/>
              <w:rPr>
                <w:color w:val="auto"/>
                <w:szCs w:val="20"/>
                <w:lang w:eastAsia="en-US"/>
              </w:rPr>
            </w:pPr>
            <w:r>
              <w:rPr>
                <w:color w:val="auto"/>
                <w:szCs w:val="20"/>
                <w:lang w:eastAsia="en-US"/>
              </w:rPr>
              <w:t>−0,18</w:t>
            </w:r>
          </w:p>
          <w:p w:rsidR="00E359D7" w:rsidRDefault="00E359D7" w:rsidP="006444DF">
            <w:pPr>
              <w:tabs>
                <w:tab w:val="left" w:pos="851"/>
              </w:tabs>
              <w:ind w:left="851" w:hanging="851"/>
              <w:jc w:val="center"/>
              <w:rPr>
                <w:sz w:val="24"/>
              </w:rPr>
            </w:pPr>
            <w:r>
              <w:rPr>
                <w:sz w:val="24"/>
              </w:rPr>
              <w:t>(0,514)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pStyle w:val="Default"/>
              <w:tabs>
                <w:tab w:val="left" w:pos="851"/>
              </w:tabs>
              <w:ind w:left="851" w:hanging="851"/>
              <w:jc w:val="center"/>
              <w:rPr>
                <w:color w:val="auto"/>
                <w:szCs w:val="20"/>
                <w:lang w:eastAsia="en-US"/>
              </w:rPr>
            </w:pPr>
            <w:r>
              <w:rPr>
                <w:color w:val="auto"/>
                <w:szCs w:val="20"/>
                <w:lang w:eastAsia="en-US"/>
              </w:rPr>
              <w:t>0,26</w:t>
            </w:r>
          </w:p>
          <w:p w:rsidR="00E359D7" w:rsidRDefault="00E359D7" w:rsidP="006444DF">
            <w:pPr>
              <w:tabs>
                <w:tab w:val="left" w:pos="851"/>
              </w:tabs>
              <w:ind w:left="851" w:hanging="851"/>
              <w:jc w:val="center"/>
              <w:rPr>
                <w:sz w:val="24"/>
              </w:rPr>
            </w:pPr>
            <w:r>
              <w:rPr>
                <w:sz w:val="24"/>
              </w:rPr>
              <w:t>(0,516)</w:t>
            </w:r>
          </w:p>
        </w:tc>
        <w:tc>
          <w:tcPr>
            <w:tcW w:w="1276" w:type="dxa"/>
            <w:tcBorders>
              <w:top w:val="single" w:sz="4" w:space="0" w:color="auto"/>
              <w:left w:val="single" w:sz="4" w:space="0" w:color="auto"/>
              <w:bottom w:val="single" w:sz="4" w:space="0" w:color="auto"/>
              <w:right w:val="single" w:sz="4" w:space="0" w:color="auto"/>
            </w:tcBorders>
          </w:tcPr>
          <w:p w:rsidR="00E359D7" w:rsidRDefault="00E359D7" w:rsidP="006444DF">
            <w:pPr>
              <w:pStyle w:val="Default"/>
              <w:tabs>
                <w:tab w:val="left" w:pos="851"/>
              </w:tabs>
              <w:ind w:left="851" w:hanging="851"/>
              <w:jc w:val="center"/>
              <w:rPr>
                <w:color w:val="auto"/>
                <w:szCs w:val="20"/>
                <w:lang w:eastAsia="en-US"/>
              </w:rPr>
            </w:pPr>
          </w:p>
          <w:p w:rsidR="00E359D7" w:rsidRDefault="00E359D7" w:rsidP="006444DF">
            <w:pPr>
              <w:pStyle w:val="Default"/>
              <w:tabs>
                <w:tab w:val="left" w:pos="851"/>
              </w:tabs>
              <w:ind w:left="851" w:hanging="851"/>
              <w:jc w:val="center"/>
              <w:rPr>
                <w:color w:val="auto"/>
                <w:szCs w:val="20"/>
                <w:lang w:eastAsia="en-US"/>
              </w:rPr>
            </w:pPr>
          </w:p>
          <w:p w:rsidR="00E359D7" w:rsidRDefault="00E359D7" w:rsidP="006444DF">
            <w:pPr>
              <w:pStyle w:val="Default"/>
              <w:tabs>
                <w:tab w:val="left" w:pos="851"/>
              </w:tabs>
              <w:ind w:left="851" w:hanging="851"/>
              <w:jc w:val="center"/>
              <w:rPr>
                <w:color w:val="auto"/>
                <w:szCs w:val="20"/>
                <w:lang w:eastAsia="en-US"/>
              </w:rPr>
            </w:pPr>
            <w:r>
              <w:rPr>
                <w:color w:val="auto"/>
                <w:szCs w:val="20"/>
                <w:lang w:eastAsia="en-US"/>
              </w:rPr>
              <w:t>-0,18</w:t>
            </w:r>
          </w:p>
          <w:p w:rsidR="00E359D7" w:rsidRDefault="00E359D7" w:rsidP="006444DF">
            <w:pPr>
              <w:pStyle w:val="Default"/>
              <w:tabs>
                <w:tab w:val="left" w:pos="851"/>
              </w:tabs>
              <w:ind w:left="851" w:hanging="851"/>
              <w:jc w:val="center"/>
              <w:rPr>
                <w:color w:val="auto"/>
                <w:szCs w:val="20"/>
                <w:lang w:eastAsia="en-US"/>
              </w:rPr>
            </w:pPr>
            <w:r>
              <w:rPr>
                <w:color w:val="auto"/>
                <w:szCs w:val="20"/>
                <w:lang w:eastAsia="en-US"/>
              </w:rPr>
              <w:t>(1,020)</w:t>
            </w:r>
          </w:p>
        </w:tc>
        <w:tc>
          <w:tcPr>
            <w:tcW w:w="1275" w:type="dxa"/>
            <w:tcBorders>
              <w:top w:val="single" w:sz="4" w:space="0" w:color="auto"/>
              <w:left w:val="single" w:sz="4" w:space="0" w:color="auto"/>
              <w:bottom w:val="single" w:sz="4" w:space="0" w:color="auto"/>
              <w:right w:val="single" w:sz="4" w:space="0" w:color="auto"/>
            </w:tcBorders>
          </w:tcPr>
          <w:p w:rsidR="00E359D7" w:rsidRDefault="00E359D7" w:rsidP="006444DF">
            <w:pPr>
              <w:pStyle w:val="Default"/>
              <w:tabs>
                <w:tab w:val="left" w:pos="851"/>
              </w:tabs>
              <w:ind w:left="851" w:right="-1527" w:hanging="851"/>
              <w:jc w:val="center"/>
              <w:rPr>
                <w:color w:val="auto"/>
                <w:szCs w:val="20"/>
                <w:lang w:eastAsia="en-US"/>
              </w:rPr>
            </w:pPr>
          </w:p>
          <w:p w:rsidR="00E359D7" w:rsidRDefault="00E359D7" w:rsidP="006444DF"/>
          <w:p w:rsidR="00E359D7" w:rsidRDefault="00E359D7" w:rsidP="006444DF">
            <w:pPr>
              <w:ind w:left="170"/>
            </w:pPr>
            <w:r>
              <w:t>0,38</w:t>
            </w:r>
          </w:p>
          <w:p w:rsidR="00E359D7" w:rsidRPr="00183E30" w:rsidRDefault="00E359D7" w:rsidP="006444DF">
            <w:r>
              <w:t>(0,934)</w:t>
            </w:r>
          </w:p>
        </w:tc>
      </w:tr>
      <w:tr w:rsidR="00E359D7" w:rsidTr="006444DF">
        <w:tc>
          <w:tcPr>
            <w:tcW w:w="1838" w:type="dxa"/>
            <w:tcBorders>
              <w:top w:val="single" w:sz="4" w:space="0" w:color="auto"/>
              <w:left w:val="single" w:sz="4" w:space="0" w:color="auto"/>
              <w:bottom w:val="single" w:sz="4" w:space="0" w:color="auto"/>
              <w:right w:val="single" w:sz="4" w:space="0" w:color="auto"/>
            </w:tcBorders>
            <w:hideMark/>
          </w:tcPr>
          <w:p w:rsidR="00E359D7" w:rsidRDefault="00E359D7" w:rsidP="006444DF">
            <w:pPr>
              <w:ind w:left="33"/>
              <w:rPr>
                <w:sz w:val="24"/>
              </w:rPr>
            </w:pPr>
            <w:r>
              <w:rPr>
                <w:sz w:val="24"/>
              </w:rPr>
              <w:t>Kumulativ incidens ≥ 4% fald i BMD for columna lumbalis</w:t>
            </w:r>
            <w:r>
              <w:rPr>
                <w:sz w:val="24"/>
                <w:vertAlign w:val="superscript"/>
              </w:rPr>
              <w: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n/a</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9D7" w:rsidRPr="00183E30" w:rsidRDefault="00E359D7" w:rsidP="006444DF">
            <w:pPr>
              <w:tabs>
                <w:tab w:val="left" w:pos="851"/>
              </w:tabs>
              <w:ind w:left="851" w:hanging="851"/>
              <w:jc w:val="center"/>
              <w:rPr>
                <w:sz w:val="24"/>
              </w:rPr>
            </w:pPr>
            <w:r w:rsidRPr="00183E30">
              <w:rPr>
                <w:sz w:val="24"/>
              </w:rPr>
              <w:t>18</w:t>
            </w:r>
            <w:r>
              <w:rPr>
                <w:sz w:val="24"/>
              </w:rPr>
              <w:t>,</w:t>
            </w:r>
            <w:r w:rsidRPr="00183E30">
              <w:rPr>
                <w:sz w:val="24"/>
              </w:rPr>
              <w:t>3 %</w:t>
            </w:r>
          </w:p>
          <w:p w:rsidR="00E359D7" w:rsidRDefault="00E359D7" w:rsidP="006444DF">
            <w:pPr>
              <w:tabs>
                <w:tab w:val="left" w:pos="851"/>
              </w:tabs>
              <w:ind w:left="851" w:hanging="851"/>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359D7" w:rsidRPr="00183E30" w:rsidRDefault="00E359D7" w:rsidP="006444DF">
            <w:pPr>
              <w:tabs>
                <w:tab w:val="left" w:pos="851"/>
              </w:tabs>
              <w:ind w:left="851" w:hanging="851"/>
              <w:jc w:val="center"/>
              <w:rPr>
                <w:sz w:val="24"/>
              </w:rPr>
            </w:pPr>
            <w:r w:rsidRPr="00183E30">
              <w:rPr>
                <w:sz w:val="24"/>
              </w:rPr>
              <w:t>6</w:t>
            </w:r>
            <w:r>
              <w:rPr>
                <w:sz w:val="24"/>
              </w:rPr>
              <w:t>,</w:t>
            </w:r>
            <w:r w:rsidRPr="00183E30">
              <w:rPr>
                <w:sz w:val="24"/>
              </w:rPr>
              <w:t>9 %</w:t>
            </w:r>
          </w:p>
          <w:p w:rsidR="00E359D7" w:rsidRDefault="00E359D7" w:rsidP="006444DF">
            <w:pPr>
              <w:tabs>
                <w:tab w:val="left" w:pos="851"/>
              </w:tabs>
              <w:ind w:left="851" w:hanging="851"/>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E359D7" w:rsidRPr="00183E30" w:rsidRDefault="00E359D7" w:rsidP="006444DF">
            <w:pPr>
              <w:tabs>
                <w:tab w:val="left" w:pos="851"/>
              </w:tabs>
              <w:ind w:left="851" w:hanging="851"/>
              <w:jc w:val="center"/>
              <w:rPr>
                <w:sz w:val="24"/>
              </w:rPr>
            </w:pPr>
          </w:p>
          <w:p w:rsidR="00E359D7" w:rsidRPr="00183E30" w:rsidRDefault="00E359D7" w:rsidP="006444DF">
            <w:pPr>
              <w:tabs>
                <w:tab w:val="left" w:pos="851"/>
              </w:tabs>
              <w:ind w:left="851" w:hanging="851"/>
              <w:jc w:val="center"/>
              <w:rPr>
                <w:sz w:val="24"/>
              </w:rPr>
            </w:pPr>
            <w:r w:rsidRPr="00183E30">
              <w:rPr>
                <w:sz w:val="24"/>
              </w:rPr>
              <w:t>18,3 %</w:t>
            </w:r>
          </w:p>
          <w:p w:rsidR="00E359D7" w:rsidRPr="00183E30" w:rsidRDefault="00E359D7" w:rsidP="006444DF">
            <w:pPr>
              <w:tabs>
                <w:tab w:val="left" w:pos="851"/>
              </w:tabs>
              <w:ind w:left="851" w:hanging="851"/>
              <w:jc w:val="center"/>
              <w:rPr>
                <w:sz w:val="24"/>
              </w:rPr>
            </w:pPr>
          </w:p>
        </w:tc>
        <w:tc>
          <w:tcPr>
            <w:tcW w:w="1275" w:type="dxa"/>
            <w:tcBorders>
              <w:top w:val="single" w:sz="4" w:space="0" w:color="auto"/>
              <w:left w:val="single" w:sz="4" w:space="0" w:color="auto"/>
              <w:bottom w:val="single" w:sz="4" w:space="0" w:color="auto"/>
              <w:right w:val="single" w:sz="4" w:space="0" w:color="auto"/>
            </w:tcBorders>
          </w:tcPr>
          <w:p w:rsidR="00E359D7" w:rsidRPr="00183E30" w:rsidRDefault="00E359D7" w:rsidP="006444DF">
            <w:pPr>
              <w:tabs>
                <w:tab w:val="left" w:pos="851"/>
              </w:tabs>
              <w:ind w:left="851" w:hanging="851"/>
              <w:jc w:val="center"/>
              <w:rPr>
                <w:sz w:val="24"/>
              </w:rPr>
            </w:pPr>
          </w:p>
          <w:p w:rsidR="00E359D7" w:rsidRPr="00183E30" w:rsidRDefault="00E359D7" w:rsidP="006444DF">
            <w:pPr>
              <w:tabs>
                <w:tab w:val="left" w:pos="851"/>
              </w:tabs>
              <w:ind w:left="851" w:hanging="851"/>
              <w:jc w:val="center"/>
              <w:rPr>
                <w:sz w:val="24"/>
              </w:rPr>
            </w:pPr>
            <w:r w:rsidRPr="00183E30">
              <w:rPr>
                <w:sz w:val="24"/>
              </w:rPr>
              <w:t>6,9 %</w:t>
            </w:r>
          </w:p>
        </w:tc>
      </w:tr>
      <w:tr w:rsidR="00E359D7" w:rsidTr="006444DF">
        <w:tc>
          <w:tcPr>
            <w:tcW w:w="1838" w:type="dxa"/>
            <w:tcBorders>
              <w:top w:val="single" w:sz="4" w:space="0" w:color="auto"/>
              <w:left w:val="single" w:sz="4" w:space="0" w:color="auto"/>
              <w:bottom w:val="single" w:sz="4" w:space="0" w:color="auto"/>
              <w:right w:val="single" w:sz="4" w:space="0" w:color="auto"/>
            </w:tcBorders>
            <w:hideMark/>
          </w:tcPr>
          <w:p w:rsidR="00E359D7" w:rsidRDefault="00E359D7" w:rsidP="006444DF">
            <w:pPr>
              <w:tabs>
                <w:tab w:val="left" w:pos="851"/>
              </w:tabs>
              <w:rPr>
                <w:sz w:val="24"/>
              </w:rPr>
            </w:pPr>
            <w:r>
              <w:rPr>
                <w:sz w:val="24"/>
              </w:rPr>
              <w:t>Kumulativ incidens ≥ 4% fald i BMD for hele kroppen</w:t>
            </w:r>
            <w:r>
              <w:rPr>
                <w:sz w:val="24"/>
                <w:vertAlign w:val="superscript"/>
              </w:rPr>
              <w: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n/a</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pStyle w:val="Default"/>
              <w:tabs>
                <w:tab w:val="left" w:pos="851"/>
              </w:tabs>
              <w:ind w:left="851" w:hanging="851"/>
              <w:jc w:val="center"/>
              <w:rPr>
                <w:color w:val="auto"/>
                <w:szCs w:val="20"/>
                <w:lang w:eastAsia="en-US"/>
              </w:rPr>
            </w:pPr>
            <w:r>
              <w:rPr>
                <w:color w:val="auto"/>
                <w:szCs w:val="20"/>
                <w:lang w:eastAsia="en-US"/>
              </w:rPr>
              <w:t>6,7 %</w:t>
            </w:r>
          </w:p>
          <w:p w:rsidR="00E359D7" w:rsidRDefault="00E359D7" w:rsidP="006444DF">
            <w:pPr>
              <w:tabs>
                <w:tab w:val="left" w:pos="851"/>
              </w:tabs>
              <w:ind w:left="851" w:hanging="851"/>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0 %</w:t>
            </w:r>
          </w:p>
        </w:tc>
        <w:tc>
          <w:tcPr>
            <w:tcW w:w="1276" w:type="dxa"/>
            <w:tcBorders>
              <w:top w:val="single" w:sz="4" w:space="0" w:color="auto"/>
              <w:left w:val="single" w:sz="4" w:space="0" w:color="auto"/>
              <w:bottom w:val="single" w:sz="4" w:space="0" w:color="auto"/>
              <w:right w:val="single" w:sz="4" w:space="0" w:color="auto"/>
            </w:tcBorders>
          </w:tcPr>
          <w:p w:rsidR="00E359D7" w:rsidRDefault="00E359D7" w:rsidP="006444DF">
            <w:pPr>
              <w:tabs>
                <w:tab w:val="left" w:pos="851"/>
              </w:tabs>
              <w:ind w:left="851" w:hanging="851"/>
              <w:jc w:val="center"/>
              <w:rPr>
                <w:sz w:val="24"/>
              </w:rPr>
            </w:pPr>
          </w:p>
          <w:p w:rsidR="00E359D7" w:rsidRDefault="00E359D7" w:rsidP="006444DF">
            <w:pPr>
              <w:tabs>
                <w:tab w:val="left" w:pos="851"/>
              </w:tabs>
              <w:ind w:left="851" w:hanging="851"/>
              <w:jc w:val="center"/>
              <w:rPr>
                <w:sz w:val="24"/>
              </w:rPr>
            </w:pPr>
            <w:r>
              <w:rPr>
                <w:sz w:val="24"/>
              </w:rPr>
              <w:t>6,7 %</w:t>
            </w:r>
          </w:p>
        </w:tc>
        <w:tc>
          <w:tcPr>
            <w:tcW w:w="1275" w:type="dxa"/>
            <w:tcBorders>
              <w:top w:val="single" w:sz="4" w:space="0" w:color="auto"/>
              <w:left w:val="single" w:sz="4" w:space="0" w:color="auto"/>
              <w:bottom w:val="single" w:sz="4" w:space="0" w:color="auto"/>
              <w:right w:val="single" w:sz="4" w:space="0" w:color="auto"/>
            </w:tcBorders>
          </w:tcPr>
          <w:p w:rsidR="00E359D7" w:rsidRDefault="00E359D7" w:rsidP="006444DF">
            <w:pPr>
              <w:tabs>
                <w:tab w:val="left" w:pos="851"/>
              </w:tabs>
              <w:ind w:left="851" w:right="-1527" w:hanging="851"/>
              <w:jc w:val="center"/>
              <w:rPr>
                <w:sz w:val="24"/>
              </w:rPr>
            </w:pPr>
          </w:p>
          <w:p w:rsidR="00E359D7" w:rsidRPr="00183E30" w:rsidRDefault="00E359D7" w:rsidP="006444DF">
            <w:pPr>
              <w:rPr>
                <w:sz w:val="24"/>
              </w:rPr>
            </w:pPr>
            <w:r>
              <w:rPr>
                <w:sz w:val="24"/>
              </w:rPr>
              <w:t xml:space="preserve">   0 %</w:t>
            </w:r>
          </w:p>
        </w:tc>
      </w:tr>
      <w:tr w:rsidR="00E359D7" w:rsidTr="006444DF">
        <w:tc>
          <w:tcPr>
            <w:tcW w:w="1838" w:type="dxa"/>
            <w:tcBorders>
              <w:top w:val="single" w:sz="4" w:space="0" w:color="auto"/>
              <w:left w:val="single" w:sz="4" w:space="0" w:color="auto"/>
              <w:bottom w:val="single" w:sz="4" w:space="0" w:color="auto"/>
              <w:right w:val="single" w:sz="4" w:space="0" w:color="auto"/>
            </w:tcBorders>
            <w:hideMark/>
          </w:tcPr>
          <w:p w:rsidR="00E359D7" w:rsidRDefault="00E359D7" w:rsidP="006444DF">
            <w:pPr>
              <w:tabs>
                <w:tab w:val="left" w:pos="851"/>
              </w:tabs>
              <w:rPr>
                <w:sz w:val="24"/>
              </w:rPr>
            </w:pPr>
            <w:r>
              <w:rPr>
                <w:sz w:val="24"/>
              </w:rPr>
              <w:t>Gennemsnitlig</w:t>
            </w:r>
          </w:p>
          <w:p w:rsidR="00E359D7" w:rsidRDefault="00E359D7" w:rsidP="006444DF">
            <w:pPr>
              <w:ind w:left="33"/>
              <w:rPr>
                <w:sz w:val="24"/>
              </w:rPr>
            </w:pPr>
            <w:r>
              <w:rPr>
                <w:sz w:val="24"/>
              </w:rPr>
              <w:t>stigning (%) i BMD for columna lumbalis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n/a</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3,9 %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7,6 %</w:t>
            </w:r>
          </w:p>
        </w:tc>
        <w:tc>
          <w:tcPr>
            <w:tcW w:w="1276" w:type="dxa"/>
            <w:tcBorders>
              <w:top w:val="single" w:sz="4" w:space="0" w:color="auto"/>
              <w:left w:val="single" w:sz="4" w:space="0" w:color="auto"/>
              <w:bottom w:val="single" w:sz="4" w:space="0" w:color="auto"/>
              <w:right w:val="single" w:sz="4" w:space="0" w:color="auto"/>
            </w:tcBorders>
          </w:tcPr>
          <w:p w:rsidR="00E359D7" w:rsidRDefault="00E359D7" w:rsidP="006444DF">
            <w:pPr>
              <w:tabs>
                <w:tab w:val="left" w:pos="851"/>
              </w:tabs>
              <w:ind w:left="851" w:hanging="851"/>
              <w:jc w:val="center"/>
              <w:rPr>
                <w:sz w:val="24"/>
              </w:rPr>
            </w:pPr>
          </w:p>
          <w:p w:rsidR="00E359D7" w:rsidRDefault="00E359D7" w:rsidP="006444DF">
            <w:pPr>
              <w:tabs>
                <w:tab w:val="left" w:pos="851"/>
              </w:tabs>
              <w:ind w:left="851" w:hanging="851"/>
              <w:jc w:val="center"/>
              <w:rPr>
                <w:sz w:val="24"/>
              </w:rPr>
            </w:pPr>
          </w:p>
          <w:p w:rsidR="00E359D7" w:rsidRDefault="00E359D7" w:rsidP="006444DF">
            <w:pPr>
              <w:tabs>
                <w:tab w:val="left" w:pos="851"/>
              </w:tabs>
              <w:ind w:left="851" w:hanging="851"/>
              <w:jc w:val="center"/>
              <w:rPr>
                <w:sz w:val="24"/>
              </w:rPr>
            </w:pPr>
            <w:r>
              <w:rPr>
                <w:sz w:val="24"/>
              </w:rPr>
              <w:t>19,2 %</w:t>
            </w:r>
          </w:p>
          <w:p w:rsidR="00E359D7" w:rsidRDefault="00E359D7" w:rsidP="006444DF">
            <w:pPr>
              <w:tabs>
                <w:tab w:val="left" w:pos="851"/>
              </w:tabs>
              <w:ind w:left="851" w:hanging="851"/>
              <w:jc w:val="center"/>
              <w:rPr>
                <w:sz w:val="24"/>
              </w:rPr>
            </w:pPr>
          </w:p>
        </w:tc>
        <w:tc>
          <w:tcPr>
            <w:tcW w:w="1275" w:type="dxa"/>
            <w:tcBorders>
              <w:top w:val="single" w:sz="4" w:space="0" w:color="auto"/>
              <w:left w:val="single" w:sz="4" w:space="0" w:color="auto"/>
              <w:bottom w:val="single" w:sz="4" w:space="0" w:color="auto"/>
              <w:right w:val="single" w:sz="4" w:space="0" w:color="auto"/>
            </w:tcBorders>
          </w:tcPr>
          <w:p w:rsidR="00E359D7" w:rsidRDefault="00E359D7" w:rsidP="006444DF">
            <w:pPr>
              <w:tabs>
                <w:tab w:val="left" w:pos="851"/>
              </w:tabs>
              <w:ind w:left="851" w:right="-1527" w:hanging="851"/>
              <w:jc w:val="center"/>
              <w:rPr>
                <w:sz w:val="24"/>
              </w:rPr>
            </w:pPr>
          </w:p>
          <w:p w:rsidR="00E359D7" w:rsidRDefault="00E359D7" w:rsidP="006444DF">
            <w:pPr>
              <w:rPr>
                <w:sz w:val="24"/>
              </w:rPr>
            </w:pPr>
          </w:p>
          <w:p w:rsidR="00E359D7" w:rsidRPr="00183E30" w:rsidRDefault="00E359D7" w:rsidP="006444DF">
            <w:pPr>
              <w:rPr>
                <w:sz w:val="24"/>
              </w:rPr>
            </w:pPr>
            <w:r>
              <w:rPr>
                <w:sz w:val="24"/>
              </w:rPr>
              <w:t>26,1 %</w:t>
            </w:r>
          </w:p>
        </w:tc>
      </w:tr>
      <w:tr w:rsidR="00E359D7" w:rsidTr="006444DF">
        <w:tc>
          <w:tcPr>
            <w:tcW w:w="1838" w:type="dxa"/>
            <w:tcBorders>
              <w:top w:val="single" w:sz="4" w:space="0" w:color="auto"/>
              <w:left w:val="single" w:sz="4" w:space="0" w:color="auto"/>
              <w:bottom w:val="single" w:sz="4" w:space="0" w:color="auto"/>
              <w:right w:val="single" w:sz="4" w:space="0" w:color="auto"/>
            </w:tcBorders>
            <w:hideMark/>
          </w:tcPr>
          <w:p w:rsidR="00E359D7" w:rsidRDefault="00E359D7" w:rsidP="006444DF">
            <w:pPr>
              <w:ind w:left="33"/>
              <w:rPr>
                <w:sz w:val="24"/>
              </w:rPr>
            </w:pPr>
            <w:r>
              <w:rPr>
                <w:sz w:val="24"/>
              </w:rPr>
              <w:t>Gennemsnitlig stigning (%) i BMD for hele kroppen</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n/a</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4,6 %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9D7" w:rsidRDefault="00E359D7" w:rsidP="006444DF">
            <w:pPr>
              <w:tabs>
                <w:tab w:val="left" w:pos="851"/>
              </w:tabs>
              <w:ind w:left="851" w:hanging="851"/>
              <w:jc w:val="center"/>
              <w:rPr>
                <w:sz w:val="24"/>
              </w:rPr>
            </w:pPr>
            <w:r>
              <w:rPr>
                <w:sz w:val="24"/>
              </w:rPr>
              <w:t>8,7 %</w:t>
            </w:r>
          </w:p>
        </w:tc>
        <w:tc>
          <w:tcPr>
            <w:tcW w:w="1276" w:type="dxa"/>
            <w:tcBorders>
              <w:top w:val="single" w:sz="4" w:space="0" w:color="auto"/>
              <w:left w:val="single" w:sz="4" w:space="0" w:color="auto"/>
              <w:bottom w:val="single" w:sz="4" w:space="0" w:color="auto"/>
              <w:right w:val="single" w:sz="4" w:space="0" w:color="auto"/>
            </w:tcBorders>
          </w:tcPr>
          <w:p w:rsidR="00E359D7" w:rsidRDefault="00E359D7" w:rsidP="006444DF">
            <w:pPr>
              <w:tabs>
                <w:tab w:val="left" w:pos="851"/>
              </w:tabs>
              <w:ind w:left="851" w:hanging="851"/>
              <w:jc w:val="center"/>
              <w:rPr>
                <w:sz w:val="24"/>
              </w:rPr>
            </w:pPr>
          </w:p>
          <w:p w:rsidR="00E359D7" w:rsidRDefault="00E359D7" w:rsidP="006444DF">
            <w:pPr>
              <w:tabs>
                <w:tab w:val="left" w:pos="851"/>
              </w:tabs>
              <w:ind w:left="851" w:hanging="851"/>
              <w:jc w:val="center"/>
              <w:rPr>
                <w:sz w:val="24"/>
              </w:rPr>
            </w:pPr>
            <w:r>
              <w:rPr>
                <w:sz w:val="24"/>
              </w:rPr>
              <w:t>23,7 %</w:t>
            </w:r>
          </w:p>
          <w:p w:rsidR="00E359D7" w:rsidRDefault="00E359D7" w:rsidP="006444DF">
            <w:pPr>
              <w:rPr>
                <w:sz w:val="24"/>
              </w:rPr>
            </w:pPr>
          </w:p>
          <w:p w:rsidR="00E359D7" w:rsidRPr="00183E30" w:rsidRDefault="00E359D7" w:rsidP="006444DF">
            <w:pPr>
              <w:rPr>
                <w:sz w:val="24"/>
              </w:rPr>
            </w:pPr>
          </w:p>
        </w:tc>
        <w:tc>
          <w:tcPr>
            <w:tcW w:w="1275" w:type="dxa"/>
            <w:tcBorders>
              <w:top w:val="single" w:sz="4" w:space="0" w:color="auto"/>
              <w:left w:val="single" w:sz="4" w:space="0" w:color="auto"/>
              <w:bottom w:val="single" w:sz="4" w:space="0" w:color="auto"/>
              <w:right w:val="single" w:sz="4" w:space="0" w:color="auto"/>
            </w:tcBorders>
          </w:tcPr>
          <w:p w:rsidR="00E359D7" w:rsidRDefault="00E359D7" w:rsidP="006444DF">
            <w:pPr>
              <w:tabs>
                <w:tab w:val="left" w:pos="851"/>
              </w:tabs>
              <w:ind w:left="851" w:right="-1527" w:hanging="851"/>
              <w:jc w:val="center"/>
              <w:rPr>
                <w:sz w:val="24"/>
              </w:rPr>
            </w:pPr>
          </w:p>
          <w:p w:rsidR="00E359D7" w:rsidRPr="00183E30" w:rsidRDefault="00E359D7" w:rsidP="006444DF">
            <w:pPr>
              <w:rPr>
                <w:sz w:val="24"/>
              </w:rPr>
            </w:pPr>
            <w:r>
              <w:rPr>
                <w:sz w:val="24"/>
              </w:rPr>
              <w:t>27,7 %</w:t>
            </w:r>
          </w:p>
        </w:tc>
      </w:tr>
    </w:tbl>
    <w:p w:rsidR="00E359D7" w:rsidRDefault="00E359D7" w:rsidP="00E359D7">
      <w:pPr>
        <w:autoSpaceDE w:val="0"/>
        <w:autoSpaceDN w:val="0"/>
        <w:adjustRightInd w:val="0"/>
        <w:ind w:left="851"/>
        <w:rPr>
          <w:sz w:val="18"/>
          <w:szCs w:val="18"/>
          <w:lang w:val="en-US" w:eastAsia="da-DK"/>
        </w:rPr>
      </w:pPr>
    </w:p>
    <w:p w:rsidR="00E359D7" w:rsidRDefault="00E359D7" w:rsidP="00E359D7">
      <w:pPr>
        <w:autoSpaceDE w:val="0"/>
        <w:autoSpaceDN w:val="0"/>
        <w:adjustRightInd w:val="0"/>
        <w:ind w:left="851"/>
        <w:rPr>
          <w:sz w:val="18"/>
          <w:szCs w:val="18"/>
          <w:lang w:val="en-US" w:eastAsia="da-DK"/>
        </w:rPr>
      </w:pPr>
      <w:r>
        <w:rPr>
          <w:sz w:val="18"/>
          <w:szCs w:val="18"/>
          <w:lang w:val="en-US" w:eastAsia="da-DK"/>
        </w:rPr>
        <w:t>n/a = not applicable - ikke relevant</w:t>
      </w:r>
    </w:p>
    <w:p w:rsidR="00E359D7" w:rsidRDefault="00E359D7" w:rsidP="00E359D7">
      <w:pPr>
        <w:autoSpaceDE w:val="0"/>
        <w:autoSpaceDN w:val="0"/>
        <w:adjustRightInd w:val="0"/>
        <w:ind w:left="851"/>
        <w:rPr>
          <w:sz w:val="24"/>
        </w:rPr>
      </w:pPr>
      <w:r w:rsidRPr="00183E30">
        <w:rPr>
          <w:sz w:val="18"/>
          <w:szCs w:val="18"/>
          <w:vertAlign w:val="superscript"/>
        </w:rPr>
        <w:t>a</w:t>
      </w:r>
      <w:r>
        <w:rPr>
          <w:sz w:val="18"/>
          <w:szCs w:val="18"/>
        </w:rPr>
        <w:t xml:space="preserve"> Ingen yderligere forsøgspersoner havde ≥ 4 % fald i BMD efter uge 48</w:t>
      </w:r>
    </w:p>
    <w:p w:rsidR="00C04C62" w:rsidRDefault="00C04C62" w:rsidP="00C04C62">
      <w:pPr>
        <w:pStyle w:val="Default"/>
        <w:ind w:left="851"/>
      </w:pPr>
    </w:p>
    <w:p w:rsidR="00C04C62" w:rsidRDefault="00C04C62" w:rsidP="00C04C62">
      <w:pPr>
        <w:tabs>
          <w:tab w:val="left" w:pos="851"/>
        </w:tabs>
        <w:ind w:left="851" w:hanging="851"/>
        <w:rPr>
          <w:sz w:val="24"/>
          <w:szCs w:val="24"/>
        </w:rPr>
      </w:pPr>
      <w:r>
        <w:tab/>
      </w:r>
      <w:r>
        <w:rPr>
          <w:sz w:val="24"/>
        </w:rPr>
        <w:t>Det Europæiske Lægemiddelagentur har udsat forpligtelsen til at fremlægge resultaterne af studier med tenofovirdisoproxil i en eller flere undergrupper af den pædiatriske population med hiv og kronisk hepatitis B (se pkt. 4.2 for oplysninger om pædiatrisk anvendelse).</w:t>
      </w:r>
    </w:p>
    <w:p w:rsidR="00491918" w:rsidRDefault="00491918" w:rsidP="00491918">
      <w:pPr>
        <w:tabs>
          <w:tab w:val="left" w:pos="851"/>
        </w:tabs>
      </w:pPr>
    </w:p>
    <w:p w:rsidR="00491918" w:rsidRPr="00C84483" w:rsidRDefault="00491918" w:rsidP="00491918">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491918" w:rsidRPr="00ED364E" w:rsidRDefault="00491918" w:rsidP="00491918">
      <w:pPr>
        <w:tabs>
          <w:tab w:val="left" w:pos="851"/>
        </w:tabs>
        <w:autoSpaceDE w:val="0"/>
        <w:autoSpaceDN w:val="0"/>
        <w:adjustRightInd w:val="0"/>
        <w:ind w:left="851"/>
        <w:rPr>
          <w:color w:val="000000"/>
          <w:sz w:val="24"/>
          <w:szCs w:val="24"/>
          <w:lang w:eastAsia="da-DK"/>
        </w:rPr>
      </w:pPr>
      <w:r w:rsidRPr="00ED364E">
        <w:rPr>
          <w:color w:val="000000"/>
          <w:sz w:val="24"/>
          <w:szCs w:val="24"/>
          <w:lang w:eastAsia="da-DK"/>
        </w:rPr>
        <w:t xml:space="preserve">Tenofovirdisoproxil er et vandopløseligt ester-prodrug, som </w:t>
      </w:r>
      <w:r w:rsidRPr="00ED364E">
        <w:rPr>
          <w:i/>
          <w:iCs/>
          <w:color w:val="000000"/>
          <w:sz w:val="24"/>
          <w:szCs w:val="24"/>
          <w:lang w:eastAsia="da-DK"/>
        </w:rPr>
        <w:t xml:space="preserve">in vivo </w:t>
      </w:r>
      <w:r w:rsidRPr="00ED364E">
        <w:rPr>
          <w:color w:val="000000"/>
          <w:sz w:val="24"/>
          <w:szCs w:val="24"/>
          <w:lang w:eastAsia="da-DK"/>
        </w:rPr>
        <w:t xml:space="preserve">hurtigt omdannes til tenofovir og formaldehyd. </w:t>
      </w:r>
    </w:p>
    <w:p w:rsidR="00491918" w:rsidRPr="00ED364E" w:rsidRDefault="00491918" w:rsidP="00491918">
      <w:pPr>
        <w:tabs>
          <w:tab w:val="left" w:pos="851"/>
        </w:tabs>
        <w:autoSpaceDE w:val="0"/>
        <w:autoSpaceDN w:val="0"/>
        <w:adjustRightInd w:val="0"/>
        <w:ind w:left="851"/>
        <w:rPr>
          <w:color w:val="000000"/>
          <w:sz w:val="24"/>
          <w:szCs w:val="24"/>
          <w:lang w:eastAsia="da-DK"/>
        </w:rPr>
      </w:pPr>
    </w:p>
    <w:p w:rsidR="00491918" w:rsidRPr="00ED364E" w:rsidRDefault="00491918" w:rsidP="00491918">
      <w:pPr>
        <w:tabs>
          <w:tab w:val="left" w:pos="851"/>
        </w:tabs>
        <w:autoSpaceDE w:val="0"/>
        <w:autoSpaceDN w:val="0"/>
        <w:adjustRightInd w:val="0"/>
        <w:ind w:left="851"/>
        <w:rPr>
          <w:color w:val="000000"/>
          <w:sz w:val="24"/>
          <w:szCs w:val="24"/>
          <w:lang w:eastAsia="da-DK"/>
        </w:rPr>
      </w:pPr>
      <w:r w:rsidRPr="00ED364E">
        <w:rPr>
          <w:color w:val="000000"/>
          <w:sz w:val="24"/>
          <w:szCs w:val="24"/>
          <w:lang w:eastAsia="da-DK"/>
        </w:rPr>
        <w:t xml:space="preserve">Tenofovir omdannes intracellulært til tenofovirmonophosphat og til det aktive stof tenofovirdiphosphat. </w:t>
      </w:r>
    </w:p>
    <w:p w:rsidR="00491918" w:rsidRPr="00ED364E" w:rsidRDefault="00491918" w:rsidP="00491918">
      <w:pPr>
        <w:tabs>
          <w:tab w:val="left" w:pos="851"/>
        </w:tabs>
        <w:autoSpaceDE w:val="0"/>
        <w:autoSpaceDN w:val="0"/>
        <w:adjustRightInd w:val="0"/>
        <w:ind w:left="851"/>
        <w:rPr>
          <w:color w:val="000000"/>
          <w:sz w:val="24"/>
          <w:szCs w:val="24"/>
          <w:lang w:eastAsia="da-DK"/>
        </w:rPr>
      </w:pPr>
    </w:p>
    <w:p w:rsidR="00491918" w:rsidRPr="00ED364E" w:rsidRDefault="00491918" w:rsidP="00491918">
      <w:pPr>
        <w:tabs>
          <w:tab w:val="left" w:pos="851"/>
        </w:tabs>
        <w:autoSpaceDE w:val="0"/>
        <w:autoSpaceDN w:val="0"/>
        <w:adjustRightInd w:val="0"/>
        <w:ind w:left="851"/>
        <w:rPr>
          <w:color w:val="000000"/>
          <w:sz w:val="24"/>
          <w:szCs w:val="24"/>
          <w:u w:val="single"/>
          <w:lang w:eastAsia="da-DK"/>
        </w:rPr>
      </w:pPr>
      <w:r w:rsidRPr="00ED364E">
        <w:rPr>
          <w:color w:val="000000"/>
          <w:sz w:val="24"/>
          <w:szCs w:val="24"/>
          <w:u w:val="single"/>
          <w:lang w:eastAsia="da-DK"/>
        </w:rPr>
        <w:t xml:space="preserve">Absorption </w:t>
      </w:r>
    </w:p>
    <w:p w:rsidR="00491918" w:rsidRPr="00ED364E" w:rsidRDefault="00491918" w:rsidP="00491918">
      <w:pPr>
        <w:tabs>
          <w:tab w:val="left" w:pos="851"/>
        </w:tabs>
        <w:autoSpaceDE w:val="0"/>
        <w:autoSpaceDN w:val="0"/>
        <w:adjustRightInd w:val="0"/>
        <w:ind w:left="851"/>
        <w:rPr>
          <w:color w:val="000000"/>
          <w:sz w:val="24"/>
          <w:szCs w:val="24"/>
          <w:lang w:eastAsia="da-DK"/>
        </w:rPr>
      </w:pPr>
      <w:r w:rsidRPr="00ED364E">
        <w:rPr>
          <w:color w:val="000000"/>
          <w:sz w:val="24"/>
          <w:szCs w:val="24"/>
          <w:lang w:eastAsia="da-DK"/>
        </w:rPr>
        <w:t>Efter oral indgivelse af tenofovirdisoproxil til hiv-inficerede patienter absorberes tenofovirdisoproxil hurtigt og omdannes til tenofovir. Indgivelse af flere doser af tenofovirdisoproxil sammen med et måltid til hiv-inficerede patienter resulterede i gennemsnitlige værdier (% variationskoefficient) af tenofovir C</w:t>
      </w:r>
      <w:r w:rsidRPr="00ED364E">
        <w:rPr>
          <w:color w:val="000000"/>
          <w:sz w:val="24"/>
          <w:szCs w:val="24"/>
          <w:vertAlign w:val="subscript"/>
          <w:lang w:eastAsia="da-DK"/>
        </w:rPr>
        <w:t>max</w:t>
      </w:r>
      <w:r w:rsidRPr="00ED364E">
        <w:rPr>
          <w:color w:val="000000"/>
          <w:sz w:val="24"/>
          <w:szCs w:val="24"/>
          <w:lang w:eastAsia="da-DK"/>
        </w:rPr>
        <w:t>, AUC og C</w:t>
      </w:r>
      <w:r w:rsidRPr="00ED364E">
        <w:rPr>
          <w:color w:val="000000"/>
          <w:sz w:val="24"/>
          <w:szCs w:val="24"/>
          <w:vertAlign w:val="subscript"/>
          <w:lang w:eastAsia="da-DK"/>
        </w:rPr>
        <w:t>min</w:t>
      </w:r>
      <w:r w:rsidRPr="00ED364E">
        <w:rPr>
          <w:color w:val="000000"/>
          <w:sz w:val="24"/>
          <w:szCs w:val="24"/>
          <w:lang w:eastAsia="da-DK"/>
        </w:rPr>
        <w:t xml:space="preserve"> på henholdsvis 326 (36,6 %) ng/ml, 3.324 (41,2 %) ng·t/ml og 64,4 (39,4 %) ng/ml. Maksimale tenofovirkoncentrationer ses i serum inden for 1 time efter dosering i den fastende tilstand og inden for 2 timer efter indgivelse sammen med mad. Den orale biotilgængelighed af tenofovir fra tenofovirdisoproxil var ca. 25 % hos fastende patienter. Indgivelse af tenofovirdisoproxil sammen med et fedtholdigt måltid forstærkede den orale biotilgængelighed med en forøgelse i tenofovir AUC med ca. 40 % og C</w:t>
      </w:r>
      <w:r w:rsidRPr="00ED364E">
        <w:rPr>
          <w:color w:val="000000"/>
          <w:sz w:val="24"/>
          <w:szCs w:val="24"/>
          <w:vertAlign w:val="subscript"/>
          <w:lang w:eastAsia="da-DK"/>
        </w:rPr>
        <w:t>max</w:t>
      </w:r>
      <w:r w:rsidRPr="00ED364E">
        <w:rPr>
          <w:color w:val="000000"/>
          <w:sz w:val="24"/>
          <w:szCs w:val="24"/>
          <w:lang w:eastAsia="da-DK"/>
        </w:rPr>
        <w:t xml:space="preserve"> med ca. 14 %. Efter den første dosis tenofovirdisoproxil varierede medianværdien C</w:t>
      </w:r>
      <w:r w:rsidRPr="00ED364E">
        <w:rPr>
          <w:color w:val="000000"/>
          <w:sz w:val="24"/>
          <w:szCs w:val="24"/>
          <w:vertAlign w:val="subscript"/>
          <w:lang w:eastAsia="da-DK"/>
        </w:rPr>
        <w:t>max</w:t>
      </w:r>
      <w:r w:rsidRPr="00ED364E">
        <w:rPr>
          <w:color w:val="000000"/>
          <w:sz w:val="24"/>
          <w:szCs w:val="24"/>
          <w:lang w:eastAsia="da-DK"/>
        </w:rPr>
        <w:t xml:space="preserve"> i serum fra 213 til 375 ng/ml hos patienter, der havde indtaget et måltid. Indgivelse af tenofovirdisoproxil sammen med et let måltid havde derimod ingen signifikant indvirkning på tenofovirs farmakokinetik. </w:t>
      </w:r>
    </w:p>
    <w:p w:rsidR="00491918" w:rsidRPr="00ED364E" w:rsidRDefault="00491918" w:rsidP="00491918">
      <w:pPr>
        <w:tabs>
          <w:tab w:val="left" w:pos="851"/>
        </w:tabs>
        <w:autoSpaceDE w:val="0"/>
        <w:autoSpaceDN w:val="0"/>
        <w:adjustRightInd w:val="0"/>
        <w:ind w:left="851"/>
        <w:rPr>
          <w:color w:val="000000"/>
          <w:sz w:val="24"/>
          <w:szCs w:val="24"/>
          <w:lang w:eastAsia="da-DK"/>
        </w:rPr>
      </w:pPr>
    </w:p>
    <w:p w:rsidR="00491918" w:rsidRPr="00ED364E" w:rsidRDefault="00491918" w:rsidP="00491918">
      <w:pPr>
        <w:tabs>
          <w:tab w:val="left" w:pos="851"/>
        </w:tabs>
        <w:autoSpaceDE w:val="0"/>
        <w:autoSpaceDN w:val="0"/>
        <w:adjustRightInd w:val="0"/>
        <w:ind w:left="851"/>
        <w:rPr>
          <w:color w:val="000000"/>
          <w:sz w:val="24"/>
          <w:szCs w:val="24"/>
          <w:u w:val="single"/>
          <w:lang w:eastAsia="da-DK"/>
        </w:rPr>
      </w:pPr>
      <w:r w:rsidRPr="00ED364E">
        <w:rPr>
          <w:color w:val="000000"/>
          <w:sz w:val="24"/>
          <w:szCs w:val="24"/>
          <w:u w:val="single"/>
          <w:lang w:eastAsia="da-DK"/>
        </w:rPr>
        <w:t xml:space="preserve">Fordeling </w:t>
      </w:r>
    </w:p>
    <w:p w:rsidR="00491918" w:rsidRPr="00ED364E" w:rsidRDefault="00491918" w:rsidP="00491918">
      <w:pPr>
        <w:tabs>
          <w:tab w:val="left" w:pos="851"/>
        </w:tabs>
        <w:autoSpaceDE w:val="0"/>
        <w:autoSpaceDN w:val="0"/>
        <w:adjustRightInd w:val="0"/>
        <w:ind w:left="851"/>
        <w:rPr>
          <w:color w:val="000000"/>
          <w:sz w:val="24"/>
          <w:szCs w:val="24"/>
          <w:lang w:eastAsia="da-DK"/>
        </w:rPr>
      </w:pPr>
      <w:r w:rsidRPr="00ED364E">
        <w:rPr>
          <w:color w:val="000000"/>
          <w:sz w:val="24"/>
          <w:szCs w:val="24"/>
          <w:lang w:eastAsia="da-DK"/>
        </w:rPr>
        <w:t xml:space="preserve">Efter intravenøs indgivelse blev steady state distributionsvolumenet af tenofovir vurderet til at være ca. 800 ml/kg. Efter oral indgivelse af tenofovirdisoproxil fordeles tenofovir til de fleste væv, hvor de højeste koncentrationer forekommer i nyrer, lever og tarmindhold (prækliniske studier). </w:t>
      </w:r>
      <w:r w:rsidRPr="00ED364E">
        <w:rPr>
          <w:i/>
          <w:iCs/>
          <w:color w:val="000000"/>
          <w:sz w:val="24"/>
          <w:szCs w:val="24"/>
          <w:lang w:eastAsia="da-DK"/>
        </w:rPr>
        <w:t>In vitro</w:t>
      </w:r>
      <w:r w:rsidRPr="00ED364E">
        <w:rPr>
          <w:color w:val="000000"/>
          <w:sz w:val="24"/>
          <w:szCs w:val="24"/>
          <w:lang w:eastAsia="da-DK"/>
        </w:rPr>
        <w:t xml:space="preserve">-proteinbinding af tenofovir til plasma- eller serumprotein var under henholdsvis 0,7 og 7,2 % gennem tenofovirs koncentrationsområde 0,01 til 25 μg/ml. </w:t>
      </w:r>
    </w:p>
    <w:p w:rsidR="00491918" w:rsidRPr="00ED364E" w:rsidRDefault="00491918" w:rsidP="00491918">
      <w:pPr>
        <w:tabs>
          <w:tab w:val="left" w:pos="851"/>
        </w:tabs>
        <w:autoSpaceDE w:val="0"/>
        <w:autoSpaceDN w:val="0"/>
        <w:adjustRightInd w:val="0"/>
        <w:ind w:left="851"/>
        <w:rPr>
          <w:color w:val="000000"/>
          <w:sz w:val="24"/>
          <w:szCs w:val="24"/>
          <w:lang w:eastAsia="da-DK"/>
        </w:rPr>
      </w:pPr>
    </w:p>
    <w:p w:rsidR="00491918" w:rsidRPr="00ED364E" w:rsidRDefault="00491918" w:rsidP="00491918">
      <w:pPr>
        <w:tabs>
          <w:tab w:val="left" w:pos="851"/>
        </w:tabs>
        <w:autoSpaceDE w:val="0"/>
        <w:autoSpaceDN w:val="0"/>
        <w:adjustRightInd w:val="0"/>
        <w:ind w:left="851"/>
        <w:rPr>
          <w:color w:val="000000"/>
          <w:sz w:val="24"/>
          <w:szCs w:val="24"/>
          <w:u w:val="single"/>
          <w:lang w:eastAsia="da-DK"/>
        </w:rPr>
      </w:pPr>
      <w:r w:rsidRPr="00ED364E">
        <w:rPr>
          <w:color w:val="000000"/>
          <w:sz w:val="24"/>
          <w:szCs w:val="24"/>
          <w:u w:val="single"/>
          <w:lang w:eastAsia="da-DK"/>
        </w:rPr>
        <w:t xml:space="preserve">Biotransformation </w:t>
      </w:r>
    </w:p>
    <w:p w:rsidR="00491918" w:rsidRPr="00ED364E" w:rsidRDefault="00491918" w:rsidP="00491918">
      <w:pPr>
        <w:tabs>
          <w:tab w:val="left" w:pos="851"/>
        </w:tabs>
        <w:autoSpaceDE w:val="0"/>
        <w:autoSpaceDN w:val="0"/>
        <w:adjustRightInd w:val="0"/>
        <w:ind w:left="851"/>
        <w:rPr>
          <w:color w:val="000000"/>
          <w:sz w:val="24"/>
          <w:szCs w:val="24"/>
          <w:lang w:eastAsia="da-DK"/>
        </w:rPr>
      </w:pPr>
      <w:r w:rsidRPr="00ED364E">
        <w:rPr>
          <w:i/>
          <w:iCs/>
          <w:color w:val="000000"/>
          <w:sz w:val="24"/>
          <w:szCs w:val="24"/>
          <w:lang w:eastAsia="da-DK"/>
        </w:rPr>
        <w:t>In vitro</w:t>
      </w:r>
      <w:r w:rsidRPr="00ED364E">
        <w:rPr>
          <w:color w:val="000000"/>
          <w:sz w:val="24"/>
          <w:szCs w:val="24"/>
          <w:lang w:eastAsia="da-DK"/>
        </w:rPr>
        <w:t xml:space="preserve">-studier har afgjort, at hverken tenofovirdisoproxil eller tenofovir er substrater for CYP450-enzymerne. Hertil kommer, at ved koncentrationer væsentligt højere (ca. 300 gange) end dem, der sås </w:t>
      </w:r>
      <w:r w:rsidRPr="00ED364E">
        <w:rPr>
          <w:i/>
          <w:iCs/>
          <w:color w:val="000000"/>
          <w:sz w:val="24"/>
          <w:szCs w:val="24"/>
          <w:lang w:eastAsia="da-DK"/>
        </w:rPr>
        <w:t>in vivo</w:t>
      </w:r>
      <w:r w:rsidRPr="00ED364E">
        <w:rPr>
          <w:color w:val="000000"/>
          <w:sz w:val="24"/>
          <w:szCs w:val="24"/>
          <w:lang w:eastAsia="da-DK"/>
        </w:rPr>
        <w:t xml:space="preserve">, hæmmede tenofovir ikke </w:t>
      </w:r>
      <w:r w:rsidRPr="00ED364E">
        <w:rPr>
          <w:i/>
          <w:iCs/>
          <w:color w:val="000000"/>
          <w:sz w:val="24"/>
          <w:szCs w:val="24"/>
          <w:lang w:eastAsia="da-DK"/>
        </w:rPr>
        <w:t>in vitro</w:t>
      </w:r>
      <w:r w:rsidRPr="00ED364E">
        <w:rPr>
          <w:color w:val="000000"/>
          <w:sz w:val="24"/>
          <w:szCs w:val="24"/>
          <w:lang w:eastAsia="da-DK"/>
        </w:rPr>
        <w:t xml:space="preserve">-lægemiddelmetabolisering medieret af en hvilken som helst af de vigtige, humane CYP450-isoformer, der er involveret i lægemiddelbiotransformation (CYP3A4, CYP2D6, CYP2C9, CYP2E1 eller CYP1A1/2). Tenofovirdisoproxil i en koncentration på 100 μmol/l havde ingen effekt på nogen af CYP450-isoformerne undtagen CYP1A1/2, hvor der sås en lille (6 %), men statistisk signifikant reduktion i metaboliseringen af CYP1A1/2-substrat. På baggrund af disse data er det usandsynligt, at der skulle forekomme klinisk betydende interaktioner, der involverer tenofovirdisoproxil og lægemidler, der metaboliseres af CYP450. </w:t>
      </w:r>
    </w:p>
    <w:p w:rsidR="00491918" w:rsidRPr="00ED364E" w:rsidRDefault="00491918" w:rsidP="00491918">
      <w:pPr>
        <w:tabs>
          <w:tab w:val="left" w:pos="851"/>
        </w:tabs>
        <w:autoSpaceDE w:val="0"/>
        <w:autoSpaceDN w:val="0"/>
        <w:adjustRightInd w:val="0"/>
        <w:ind w:left="851"/>
        <w:rPr>
          <w:color w:val="000000"/>
          <w:sz w:val="24"/>
          <w:szCs w:val="24"/>
          <w:lang w:eastAsia="da-DK"/>
        </w:rPr>
      </w:pPr>
    </w:p>
    <w:p w:rsidR="00491918" w:rsidRPr="00ED364E" w:rsidRDefault="00491918" w:rsidP="00491918">
      <w:pPr>
        <w:tabs>
          <w:tab w:val="left" w:pos="851"/>
        </w:tabs>
        <w:autoSpaceDE w:val="0"/>
        <w:autoSpaceDN w:val="0"/>
        <w:adjustRightInd w:val="0"/>
        <w:ind w:left="851"/>
        <w:rPr>
          <w:color w:val="000000"/>
          <w:sz w:val="24"/>
          <w:szCs w:val="24"/>
          <w:u w:val="single"/>
          <w:lang w:eastAsia="da-DK"/>
        </w:rPr>
      </w:pPr>
      <w:r w:rsidRPr="00ED364E">
        <w:rPr>
          <w:color w:val="000000"/>
          <w:sz w:val="24"/>
          <w:szCs w:val="24"/>
          <w:u w:val="single"/>
          <w:lang w:eastAsia="da-DK"/>
        </w:rPr>
        <w:t xml:space="preserve">Elimination </w:t>
      </w:r>
    </w:p>
    <w:p w:rsidR="00491918" w:rsidRPr="00ED364E" w:rsidRDefault="00491918" w:rsidP="00491918">
      <w:pPr>
        <w:tabs>
          <w:tab w:val="left" w:pos="851"/>
        </w:tabs>
        <w:autoSpaceDE w:val="0"/>
        <w:autoSpaceDN w:val="0"/>
        <w:adjustRightInd w:val="0"/>
        <w:ind w:left="851"/>
        <w:rPr>
          <w:color w:val="000000"/>
          <w:sz w:val="24"/>
          <w:szCs w:val="24"/>
          <w:lang w:eastAsia="da-DK"/>
        </w:rPr>
      </w:pPr>
      <w:r w:rsidRPr="00ED364E">
        <w:rPr>
          <w:color w:val="000000"/>
          <w:sz w:val="24"/>
          <w:szCs w:val="24"/>
          <w:lang w:eastAsia="da-DK"/>
        </w:rPr>
        <w:t xml:space="preserve">Tenofovir udskilles primært af nyrerne ved både filtrering og et aktivt tubulært transportsystem, hvor ca. 70-80 % af dosen udskilles uomdannet i urinen efter intravenøs indgivelse. Total clearance er beregnet til at være ca. 230 ml/t/kg (ca. 300 ml/min). Renal clearance er beregnet til at være ca. 160 ml/t/kg (ca. 210 ml/min), hvilket er over den glomerulære filtreringshastighed. Dette angiver, at aktiv tubulær sekretion udgør en vigtig del af eliminationen af tenofovir. Efter oral indgivelse er den terminale halveringstid af tenofovir ca. 12 til 18 timer. </w:t>
      </w:r>
    </w:p>
    <w:p w:rsidR="00491918" w:rsidRPr="00ED364E" w:rsidRDefault="00491918" w:rsidP="00491918">
      <w:pPr>
        <w:tabs>
          <w:tab w:val="left" w:pos="851"/>
        </w:tabs>
        <w:autoSpaceDE w:val="0"/>
        <w:autoSpaceDN w:val="0"/>
        <w:adjustRightInd w:val="0"/>
        <w:ind w:left="851"/>
        <w:rPr>
          <w:color w:val="000000"/>
          <w:sz w:val="24"/>
          <w:szCs w:val="24"/>
          <w:lang w:eastAsia="da-DK"/>
        </w:rPr>
      </w:pPr>
    </w:p>
    <w:p w:rsidR="00491918" w:rsidRPr="00ED364E" w:rsidRDefault="00491918" w:rsidP="00491918">
      <w:pPr>
        <w:tabs>
          <w:tab w:val="left" w:pos="851"/>
        </w:tabs>
        <w:autoSpaceDE w:val="0"/>
        <w:autoSpaceDN w:val="0"/>
        <w:adjustRightInd w:val="0"/>
        <w:ind w:left="851"/>
        <w:rPr>
          <w:color w:val="000000"/>
          <w:sz w:val="24"/>
          <w:szCs w:val="24"/>
          <w:lang w:eastAsia="da-DK"/>
        </w:rPr>
      </w:pPr>
      <w:r w:rsidRPr="00ED364E">
        <w:rPr>
          <w:color w:val="000000"/>
          <w:sz w:val="24"/>
          <w:szCs w:val="24"/>
          <w:lang w:eastAsia="da-DK"/>
        </w:rPr>
        <w:t xml:space="preserve">Studier har vist, at tenofovir secerneres aktivt tubulært af human organisk aniontransporter (hOAT) 1 og 3 ind i de proksimale tubulusceller (influx) og ud i urinen (efflux) af det multidrug-resistente protein 4 (MRP 4). </w:t>
      </w:r>
    </w:p>
    <w:p w:rsidR="00491918" w:rsidRPr="00ED364E" w:rsidRDefault="00491918" w:rsidP="00491918">
      <w:pPr>
        <w:tabs>
          <w:tab w:val="left" w:pos="851"/>
        </w:tabs>
        <w:autoSpaceDE w:val="0"/>
        <w:autoSpaceDN w:val="0"/>
        <w:adjustRightInd w:val="0"/>
        <w:ind w:left="851"/>
        <w:rPr>
          <w:color w:val="000000"/>
          <w:sz w:val="24"/>
          <w:szCs w:val="24"/>
          <w:lang w:eastAsia="da-DK"/>
        </w:rPr>
      </w:pPr>
    </w:p>
    <w:p w:rsidR="00491918" w:rsidRPr="00ED364E" w:rsidRDefault="00491918" w:rsidP="00491918">
      <w:pPr>
        <w:tabs>
          <w:tab w:val="left" w:pos="851"/>
        </w:tabs>
        <w:autoSpaceDE w:val="0"/>
        <w:autoSpaceDN w:val="0"/>
        <w:adjustRightInd w:val="0"/>
        <w:ind w:left="851"/>
        <w:rPr>
          <w:color w:val="000000"/>
          <w:sz w:val="24"/>
          <w:szCs w:val="24"/>
          <w:u w:val="single"/>
          <w:lang w:eastAsia="da-DK"/>
        </w:rPr>
      </w:pPr>
      <w:r w:rsidRPr="00ED364E">
        <w:rPr>
          <w:color w:val="000000"/>
          <w:sz w:val="24"/>
          <w:szCs w:val="24"/>
          <w:u w:val="single"/>
          <w:lang w:eastAsia="da-DK"/>
        </w:rPr>
        <w:t xml:space="preserve">Linearitet/non-linearitet </w:t>
      </w:r>
    </w:p>
    <w:p w:rsidR="00491918" w:rsidRPr="00ED364E" w:rsidRDefault="00491918" w:rsidP="00491918">
      <w:pPr>
        <w:tabs>
          <w:tab w:val="left" w:pos="851"/>
        </w:tabs>
        <w:autoSpaceDE w:val="0"/>
        <w:autoSpaceDN w:val="0"/>
        <w:adjustRightInd w:val="0"/>
        <w:ind w:left="851"/>
        <w:rPr>
          <w:color w:val="000000"/>
          <w:sz w:val="24"/>
          <w:szCs w:val="24"/>
          <w:lang w:eastAsia="da-DK"/>
        </w:rPr>
      </w:pPr>
      <w:r w:rsidRPr="00ED364E">
        <w:rPr>
          <w:color w:val="000000"/>
          <w:sz w:val="24"/>
          <w:szCs w:val="24"/>
          <w:lang w:eastAsia="da-DK"/>
        </w:rPr>
        <w:t xml:space="preserve">Tenofovirs farmakokinetik var uafhængig af tenofovirdisoproxildosis gennem dosisområdet 75-600 mg og påvirkedes ikke af gentagen dosering på noget som helst dosisniveau. </w:t>
      </w:r>
    </w:p>
    <w:p w:rsidR="00491918" w:rsidRPr="00ED364E" w:rsidRDefault="00491918" w:rsidP="00491918">
      <w:pPr>
        <w:tabs>
          <w:tab w:val="left" w:pos="851"/>
        </w:tabs>
        <w:autoSpaceDE w:val="0"/>
        <w:autoSpaceDN w:val="0"/>
        <w:adjustRightInd w:val="0"/>
        <w:ind w:left="851"/>
        <w:rPr>
          <w:color w:val="000000"/>
          <w:sz w:val="24"/>
          <w:szCs w:val="24"/>
          <w:lang w:eastAsia="da-DK"/>
        </w:rPr>
      </w:pPr>
    </w:p>
    <w:p w:rsidR="00491918" w:rsidRPr="00ED364E" w:rsidRDefault="00491918" w:rsidP="00491918">
      <w:pPr>
        <w:tabs>
          <w:tab w:val="left" w:pos="851"/>
        </w:tabs>
        <w:autoSpaceDE w:val="0"/>
        <w:autoSpaceDN w:val="0"/>
        <w:adjustRightInd w:val="0"/>
        <w:ind w:left="851"/>
        <w:rPr>
          <w:color w:val="000000"/>
          <w:sz w:val="24"/>
          <w:szCs w:val="24"/>
          <w:u w:val="single"/>
          <w:lang w:eastAsia="da-DK"/>
        </w:rPr>
      </w:pPr>
      <w:r w:rsidRPr="00ED364E">
        <w:rPr>
          <w:color w:val="000000"/>
          <w:sz w:val="24"/>
          <w:szCs w:val="24"/>
          <w:u w:val="single"/>
          <w:lang w:eastAsia="da-DK"/>
        </w:rPr>
        <w:t xml:space="preserve">Alder </w:t>
      </w:r>
    </w:p>
    <w:p w:rsidR="00491918" w:rsidRPr="00ED364E" w:rsidRDefault="00491918" w:rsidP="00491918">
      <w:pPr>
        <w:tabs>
          <w:tab w:val="left" w:pos="851"/>
        </w:tabs>
        <w:autoSpaceDE w:val="0"/>
        <w:autoSpaceDN w:val="0"/>
        <w:adjustRightInd w:val="0"/>
        <w:ind w:left="851"/>
        <w:rPr>
          <w:color w:val="000000"/>
          <w:sz w:val="24"/>
          <w:szCs w:val="24"/>
          <w:lang w:eastAsia="da-DK"/>
        </w:rPr>
      </w:pPr>
      <w:r w:rsidRPr="00ED364E">
        <w:rPr>
          <w:color w:val="000000"/>
          <w:sz w:val="24"/>
          <w:szCs w:val="24"/>
          <w:lang w:eastAsia="da-DK"/>
        </w:rPr>
        <w:t xml:space="preserve">Der er ikke foretaget farmakokinetiske studier hos ældre (over 65 år). </w:t>
      </w:r>
    </w:p>
    <w:p w:rsidR="00491918" w:rsidRPr="00ED364E" w:rsidRDefault="00491918" w:rsidP="00491918">
      <w:pPr>
        <w:tabs>
          <w:tab w:val="left" w:pos="851"/>
        </w:tabs>
        <w:autoSpaceDE w:val="0"/>
        <w:autoSpaceDN w:val="0"/>
        <w:adjustRightInd w:val="0"/>
        <w:ind w:left="851"/>
        <w:rPr>
          <w:color w:val="000000"/>
          <w:sz w:val="24"/>
          <w:szCs w:val="24"/>
          <w:lang w:eastAsia="da-DK"/>
        </w:rPr>
      </w:pPr>
    </w:p>
    <w:p w:rsidR="00491918" w:rsidRPr="00ED364E" w:rsidRDefault="00491918" w:rsidP="00491918">
      <w:pPr>
        <w:tabs>
          <w:tab w:val="left" w:pos="851"/>
        </w:tabs>
        <w:autoSpaceDE w:val="0"/>
        <w:autoSpaceDN w:val="0"/>
        <w:adjustRightInd w:val="0"/>
        <w:ind w:left="851"/>
        <w:rPr>
          <w:color w:val="000000"/>
          <w:sz w:val="24"/>
          <w:szCs w:val="24"/>
          <w:u w:val="single"/>
          <w:lang w:eastAsia="da-DK"/>
        </w:rPr>
      </w:pPr>
      <w:r w:rsidRPr="00ED364E">
        <w:rPr>
          <w:color w:val="000000"/>
          <w:sz w:val="24"/>
          <w:szCs w:val="24"/>
          <w:u w:val="single"/>
          <w:lang w:eastAsia="da-DK"/>
        </w:rPr>
        <w:t xml:space="preserve">Køn </w:t>
      </w:r>
    </w:p>
    <w:p w:rsidR="00491918" w:rsidRPr="00ED364E" w:rsidRDefault="00491918" w:rsidP="00491918">
      <w:pPr>
        <w:tabs>
          <w:tab w:val="left" w:pos="851"/>
        </w:tabs>
        <w:autoSpaceDE w:val="0"/>
        <w:autoSpaceDN w:val="0"/>
        <w:adjustRightInd w:val="0"/>
        <w:ind w:left="851"/>
        <w:rPr>
          <w:color w:val="000000"/>
          <w:sz w:val="24"/>
          <w:szCs w:val="24"/>
          <w:lang w:eastAsia="da-DK"/>
        </w:rPr>
      </w:pPr>
      <w:r w:rsidRPr="00ED364E">
        <w:rPr>
          <w:color w:val="000000"/>
          <w:sz w:val="24"/>
          <w:szCs w:val="24"/>
          <w:lang w:eastAsia="da-DK"/>
        </w:rPr>
        <w:t xml:space="preserve">Begrænset materiale om tenofovirs farmakokinetik hos kvinder angiver ingen større kønseffekt. </w:t>
      </w:r>
    </w:p>
    <w:p w:rsidR="00491918" w:rsidRPr="00ED364E" w:rsidRDefault="00491918" w:rsidP="00491918">
      <w:pPr>
        <w:tabs>
          <w:tab w:val="left" w:pos="851"/>
        </w:tabs>
        <w:autoSpaceDE w:val="0"/>
        <w:autoSpaceDN w:val="0"/>
        <w:adjustRightInd w:val="0"/>
        <w:ind w:left="851"/>
        <w:rPr>
          <w:color w:val="000000"/>
          <w:sz w:val="24"/>
          <w:szCs w:val="24"/>
          <w:lang w:eastAsia="da-DK"/>
        </w:rPr>
      </w:pPr>
    </w:p>
    <w:p w:rsidR="00491918" w:rsidRPr="00ED364E" w:rsidRDefault="00491918" w:rsidP="00491918">
      <w:pPr>
        <w:tabs>
          <w:tab w:val="left" w:pos="851"/>
        </w:tabs>
        <w:autoSpaceDE w:val="0"/>
        <w:autoSpaceDN w:val="0"/>
        <w:adjustRightInd w:val="0"/>
        <w:ind w:left="851"/>
        <w:rPr>
          <w:color w:val="000000"/>
          <w:sz w:val="24"/>
          <w:szCs w:val="24"/>
          <w:u w:val="single"/>
          <w:lang w:eastAsia="da-DK"/>
        </w:rPr>
      </w:pPr>
      <w:r w:rsidRPr="00ED364E">
        <w:rPr>
          <w:color w:val="000000"/>
          <w:sz w:val="24"/>
          <w:szCs w:val="24"/>
          <w:u w:val="single"/>
          <w:lang w:eastAsia="da-DK"/>
        </w:rPr>
        <w:t xml:space="preserve">Etnisk oprindelse </w:t>
      </w:r>
    </w:p>
    <w:p w:rsidR="00491918" w:rsidRPr="00ED364E" w:rsidRDefault="00491918" w:rsidP="00491918">
      <w:pPr>
        <w:tabs>
          <w:tab w:val="left" w:pos="851"/>
        </w:tabs>
        <w:ind w:left="851" w:hanging="851"/>
        <w:rPr>
          <w:sz w:val="24"/>
          <w:szCs w:val="24"/>
          <w:lang w:eastAsia="da-DK"/>
        </w:rPr>
      </w:pPr>
      <w:r w:rsidRPr="00ED364E">
        <w:rPr>
          <w:sz w:val="24"/>
          <w:szCs w:val="24"/>
          <w:lang w:eastAsia="da-DK"/>
        </w:rPr>
        <w:tab/>
        <w:t>Farmakokinetik er ikke blevet specifikt undersøgt hos forskellige etniske grupper.</w:t>
      </w:r>
    </w:p>
    <w:p w:rsidR="00491918" w:rsidRPr="00ED364E" w:rsidRDefault="00491918" w:rsidP="00491918">
      <w:pPr>
        <w:tabs>
          <w:tab w:val="left" w:pos="851"/>
        </w:tabs>
        <w:ind w:left="851" w:hanging="851"/>
        <w:rPr>
          <w:sz w:val="24"/>
          <w:szCs w:val="24"/>
          <w:lang w:eastAsia="da-DK"/>
        </w:rPr>
      </w:pPr>
    </w:p>
    <w:p w:rsidR="00491918" w:rsidRPr="00ED364E" w:rsidRDefault="00491918" w:rsidP="00491918">
      <w:pPr>
        <w:tabs>
          <w:tab w:val="left" w:pos="851"/>
        </w:tabs>
        <w:autoSpaceDE w:val="0"/>
        <w:autoSpaceDN w:val="0"/>
        <w:adjustRightInd w:val="0"/>
        <w:ind w:left="851"/>
        <w:rPr>
          <w:color w:val="000000"/>
          <w:sz w:val="24"/>
          <w:szCs w:val="24"/>
          <w:u w:val="single"/>
          <w:lang w:eastAsia="da-DK"/>
        </w:rPr>
      </w:pPr>
      <w:r w:rsidRPr="00ED364E">
        <w:rPr>
          <w:color w:val="000000"/>
          <w:sz w:val="24"/>
          <w:szCs w:val="24"/>
          <w:u w:val="single"/>
          <w:lang w:eastAsia="da-DK"/>
        </w:rPr>
        <w:t xml:space="preserve">Pædiatrisk population </w:t>
      </w:r>
    </w:p>
    <w:p w:rsidR="00491918" w:rsidRDefault="00491918" w:rsidP="00491918">
      <w:pPr>
        <w:tabs>
          <w:tab w:val="left" w:pos="851"/>
        </w:tabs>
        <w:autoSpaceDE w:val="0"/>
        <w:autoSpaceDN w:val="0"/>
        <w:adjustRightInd w:val="0"/>
        <w:ind w:left="851"/>
        <w:rPr>
          <w:i/>
          <w:iCs/>
          <w:color w:val="000000"/>
          <w:sz w:val="24"/>
          <w:szCs w:val="24"/>
          <w:lang w:eastAsia="da-DK"/>
        </w:rPr>
      </w:pPr>
    </w:p>
    <w:p w:rsidR="00491918" w:rsidRDefault="00491918" w:rsidP="00491918">
      <w:pPr>
        <w:tabs>
          <w:tab w:val="left" w:pos="851"/>
        </w:tabs>
        <w:autoSpaceDE w:val="0"/>
        <w:autoSpaceDN w:val="0"/>
        <w:adjustRightInd w:val="0"/>
        <w:ind w:left="851"/>
        <w:rPr>
          <w:i/>
          <w:iCs/>
          <w:color w:val="000000"/>
          <w:sz w:val="24"/>
          <w:szCs w:val="24"/>
          <w:lang w:eastAsia="da-DK"/>
        </w:rPr>
      </w:pPr>
      <w:r>
        <w:rPr>
          <w:i/>
          <w:iCs/>
          <w:color w:val="000000"/>
          <w:sz w:val="24"/>
          <w:szCs w:val="24"/>
          <w:lang w:eastAsia="da-DK"/>
        </w:rPr>
        <w:t>Hiv 1</w:t>
      </w:r>
    </w:p>
    <w:p w:rsidR="00491918" w:rsidRPr="00ED364E" w:rsidRDefault="00491918" w:rsidP="00491918">
      <w:pPr>
        <w:tabs>
          <w:tab w:val="left" w:pos="851"/>
        </w:tabs>
        <w:autoSpaceDE w:val="0"/>
        <w:autoSpaceDN w:val="0"/>
        <w:adjustRightInd w:val="0"/>
        <w:ind w:left="851"/>
        <w:rPr>
          <w:color w:val="000000"/>
          <w:sz w:val="24"/>
          <w:szCs w:val="24"/>
          <w:lang w:eastAsia="da-DK"/>
        </w:rPr>
      </w:pPr>
      <w:r w:rsidRPr="00ED364E">
        <w:rPr>
          <w:color w:val="000000"/>
          <w:sz w:val="24"/>
          <w:szCs w:val="24"/>
          <w:lang w:eastAsia="da-DK"/>
        </w:rPr>
        <w:t>Tenofovir steady state farmakokinetik blev evalueret hos 8 hiv 1-inficerede unge patienter (i alderen 12 til &lt;18 år) med kropsvægt ≥35 kg. Gennemsnitlig (± SD) C</w:t>
      </w:r>
      <w:r w:rsidRPr="00ED364E">
        <w:rPr>
          <w:color w:val="000000"/>
          <w:sz w:val="24"/>
          <w:szCs w:val="24"/>
          <w:vertAlign w:val="subscript"/>
          <w:lang w:eastAsia="da-DK"/>
        </w:rPr>
        <w:t>max</w:t>
      </w:r>
      <w:r w:rsidRPr="00ED364E">
        <w:rPr>
          <w:color w:val="000000"/>
          <w:sz w:val="24"/>
          <w:szCs w:val="24"/>
          <w:lang w:eastAsia="da-DK"/>
        </w:rPr>
        <w:t xml:space="preserve"> og AUC</w:t>
      </w:r>
      <w:r w:rsidRPr="00ED364E">
        <w:rPr>
          <w:color w:val="000000"/>
          <w:sz w:val="24"/>
          <w:szCs w:val="24"/>
          <w:vertAlign w:val="subscript"/>
          <w:lang w:eastAsia="da-DK"/>
        </w:rPr>
        <w:t>tau</w:t>
      </w:r>
      <w:r w:rsidRPr="00ED364E">
        <w:rPr>
          <w:color w:val="000000"/>
          <w:sz w:val="24"/>
          <w:szCs w:val="24"/>
          <w:lang w:eastAsia="da-DK"/>
        </w:rPr>
        <w:t xml:space="preserve"> er henholdsvis 0,38 ± 0,13 μg/ml og 3,39 ± 1,22 μg·t/ml. Den tenofovir-eksponering, der blev opnået hos unge patienter, som fik daglige orale doser på 245 mg tenofovirdisoproxil, svarede til de eksponeringer, der blev opnået hos voksne, som fik 245 mg tenofovirdisoproxil en gang daglig. </w:t>
      </w:r>
    </w:p>
    <w:p w:rsidR="00491918" w:rsidRPr="00ED364E" w:rsidRDefault="00491918" w:rsidP="00491918">
      <w:pPr>
        <w:tabs>
          <w:tab w:val="left" w:pos="851"/>
        </w:tabs>
        <w:autoSpaceDE w:val="0"/>
        <w:autoSpaceDN w:val="0"/>
        <w:adjustRightInd w:val="0"/>
        <w:ind w:left="851"/>
        <w:rPr>
          <w:i/>
          <w:iCs/>
          <w:color w:val="000000"/>
          <w:sz w:val="24"/>
          <w:szCs w:val="24"/>
          <w:lang w:eastAsia="da-DK"/>
        </w:rPr>
      </w:pPr>
    </w:p>
    <w:p w:rsidR="00491918" w:rsidRDefault="00491918" w:rsidP="00491918">
      <w:pPr>
        <w:tabs>
          <w:tab w:val="left" w:pos="851"/>
        </w:tabs>
        <w:autoSpaceDE w:val="0"/>
        <w:autoSpaceDN w:val="0"/>
        <w:adjustRightInd w:val="0"/>
        <w:ind w:left="851"/>
        <w:rPr>
          <w:i/>
          <w:iCs/>
          <w:color w:val="000000"/>
          <w:sz w:val="24"/>
          <w:szCs w:val="24"/>
          <w:lang w:eastAsia="da-DK"/>
        </w:rPr>
      </w:pPr>
      <w:r w:rsidRPr="00ED364E">
        <w:rPr>
          <w:i/>
          <w:iCs/>
          <w:color w:val="000000"/>
          <w:sz w:val="24"/>
          <w:szCs w:val="24"/>
          <w:lang w:eastAsia="da-DK"/>
        </w:rPr>
        <w:t>Kronisk hepatitis B</w:t>
      </w:r>
    </w:p>
    <w:p w:rsidR="00C04C62" w:rsidRDefault="00C04C62" w:rsidP="00C04C62">
      <w:pPr>
        <w:tabs>
          <w:tab w:val="left" w:pos="851"/>
        </w:tabs>
        <w:autoSpaceDE w:val="0"/>
        <w:autoSpaceDN w:val="0"/>
        <w:adjustRightInd w:val="0"/>
        <w:ind w:left="851"/>
        <w:rPr>
          <w:color w:val="000000"/>
          <w:sz w:val="24"/>
          <w:szCs w:val="24"/>
          <w:lang w:eastAsia="da-DK"/>
        </w:rPr>
      </w:pPr>
      <w:r>
        <w:rPr>
          <w:color w:val="000000"/>
          <w:sz w:val="24"/>
          <w:szCs w:val="24"/>
          <w:lang w:eastAsia="da-DK"/>
        </w:rPr>
        <w:t xml:space="preserve">Steady state tenofovir-eksponering hos HBV-inficerede unge patienter (i alderen 12 til &lt;18 år), som fik daglige orale doser på 245 mg tenofovirdisoproxil, svarede til de eksponeringer, der blev opnået hos voksne, som fik 245 mg tenofovirdisoproxil en gang dagligt. </w:t>
      </w:r>
    </w:p>
    <w:p w:rsidR="00C04C62" w:rsidRDefault="00C04C62" w:rsidP="00C04C62">
      <w:pPr>
        <w:tabs>
          <w:tab w:val="left" w:pos="851"/>
        </w:tabs>
        <w:autoSpaceDE w:val="0"/>
        <w:autoSpaceDN w:val="0"/>
        <w:adjustRightInd w:val="0"/>
        <w:ind w:left="851"/>
        <w:rPr>
          <w:color w:val="000000"/>
          <w:sz w:val="24"/>
          <w:szCs w:val="24"/>
          <w:lang w:eastAsia="da-DK"/>
        </w:rPr>
      </w:pPr>
    </w:p>
    <w:p w:rsidR="00C04C62" w:rsidRDefault="00C04C62" w:rsidP="00C04C62">
      <w:pPr>
        <w:tabs>
          <w:tab w:val="left" w:pos="851"/>
        </w:tabs>
        <w:autoSpaceDE w:val="0"/>
        <w:autoSpaceDN w:val="0"/>
        <w:adjustRightInd w:val="0"/>
        <w:ind w:left="851"/>
        <w:rPr>
          <w:color w:val="000000"/>
          <w:sz w:val="24"/>
          <w:szCs w:val="24"/>
          <w:lang w:eastAsia="da-DK"/>
        </w:rPr>
      </w:pPr>
      <w:r>
        <w:rPr>
          <w:color w:val="000000"/>
          <w:sz w:val="24"/>
          <w:szCs w:val="24"/>
          <w:lang w:eastAsia="da-DK"/>
        </w:rPr>
        <w:t>Tenofovir-eksponeringen hos HBV-inficerede pædiatriske patienter i alderen 2 til &lt; 12 år i behandling med en oral, daglig dosis tenofovirdisoproxil på 6,5 mg/kg af kropsvægten (tablet eller granulat) op til en maksimal dosis på 245 mg var sammenlignelig med de eksponeringer, der blev opnået hos hiv 1-inficerede pædiatriske patienter i alderen 2 til &lt; 12 år i behandling med tenofovirdisoproxil 6,5 mg/kg en gang dagligt op til en maksimal dosis tenofovirdisoproxil på 245 mg.</w:t>
      </w:r>
    </w:p>
    <w:p w:rsidR="00C04C62" w:rsidRDefault="00C04C62" w:rsidP="00C04C62">
      <w:pPr>
        <w:tabs>
          <w:tab w:val="left" w:pos="851"/>
        </w:tabs>
        <w:autoSpaceDE w:val="0"/>
        <w:autoSpaceDN w:val="0"/>
        <w:adjustRightInd w:val="0"/>
        <w:ind w:left="851"/>
        <w:rPr>
          <w:color w:val="000000"/>
          <w:sz w:val="24"/>
          <w:szCs w:val="24"/>
          <w:lang w:eastAsia="da-DK"/>
        </w:rPr>
      </w:pPr>
    </w:p>
    <w:p w:rsidR="00C04C62" w:rsidRDefault="00C04C62" w:rsidP="00C04C62">
      <w:pPr>
        <w:tabs>
          <w:tab w:val="left" w:pos="851"/>
        </w:tabs>
        <w:autoSpaceDE w:val="0"/>
        <w:autoSpaceDN w:val="0"/>
        <w:adjustRightInd w:val="0"/>
        <w:ind w:left="851"/>
        <w:rPr>
          <w:color w:val="000000"/>
          <w:sz w:val="24"/>
          <w:szCs w:val="24"/>
          <w:lang w:eastAsia="da-DK"/>
        </w:rPr>
      </w:pPr>
      <w:r>
        <w:rPr>
          <w:color w:val="000000"/>
          <w:sz w:val="24"/>
          <w:szCs w:val="24"/>
          <w:lang w:eastAsia="da-DK"/>
        </w:rPr>
        <w:t xml:space="preserve">Der er ikke foretaget farmakokinetiske studier med tenofovirdisoproxil 245 mg tabletter hos børn under 12 år eller børn med nedsat nyrefunktion. </w:t>
      </w:r>
    </w:p>
    <w:p w:rsidR="00491918" w:rsidRPr="00ED364E" w:rsidRDefault="00491918" w:rsidP="00491918">
      <w:pPr>
        <w:tabs>
          <w:tab w:val="left" w:pos="851"/>
        </w:tabs>
        <w:autoSpaceDE w:val="0"/>
        <w:autoSpaceDN w:val="0"/>
        <w:adjustRightInd w:val="0"/>
        <w:ind w:left="851"/>
        <w:rPr>
          <w:color w:val="000000"/>
          <w:sz w:val="24"/>
          <w:szCs w:val="24"/>
          <w:lang w:eastAsia="da-DK"/>
        </w:rPr>
      </w:pPr>
    </w:p>
    <w:p w:rsidR="00491918" w:rsidRPr="00ED364E" w:rsidRDefault="00491918" w:rsidP="00491918">
      <w:pPr>
        <w:tabs>
          <w:tab w:val="left" w:pos="851"/>
        </w:tabs>
        <w:autoSpaceDE w:val="0"/>
        <w:autoSpaceDN w:val="0"/>
        <w:adjustRightInd w:val="0"/>
        <w:ind w:left="851"/>
        <w:rPr>
          <w:color w:val="000000"/>
          <w:sz w:val="24"/>
          <w:szCs w:val="24"/>
          <w:u w:val="single"/>
          <w:lang w:eastAsia="da-DK"/>
        </w:rPr>
      </w:pPr>
      <w:r w:rsidRPr="00ED364E">
        <w:rPr>
          <w:color w:val="000000"/>
          <w:sz w:val="24"/>
          <w:szCs w:val="24"/>
          <w:u w:val="single"/>
          <w:lang w:eastAsia="da-DK"/>
        </w:rPr>
        <w:t xml:space="preserve">Nedsat nyrefunktion </w:t>
      </w:r>
    </w:p>
    <w:p w:rsidR="00491918" w:rsidRPr="00ED364E" w:rsidRDefault="00491918" w:rsidP="00491918">
      <w:pPr>
        <w:tabs>
          <w:tab w:val="left" w:pos="851"/>
        </w:tabs>
        <w:autoSpaceDE w:val="0"/>
        <w:autoSpaceDN w:val="0"/>
        <w:adjustRightInd w:val="0"/>
        <w:ind w:left="851"/>
        <w:rPr>
          <w:color w:val="000000"/>
          <w:sz w:val="24"/>
          <w:szCs w:val="24"/>
          <w:lang w:eastAsia="da-DK"/>
        </w:rPr>
      </w:pPr>
      <w:r w:rsidRPr="00ED364E">
        <w:rPr>
          <w:color w:val="000000"/>
          <w:sz w:val="24"/>
          <w:szCs w:val="24"/>
          <w:lang w:eastAsia="da-DK"/>
        </w:rPr>
        <w:t xml:space="preserve">Farmakokinetiske parametre af tenofovir blev bestemt efter administration af en enkelt dosis af 245 mg tenofovirdisoproxil til 40 voksne patienter uden hiv- eller HBV-infektion med forskellige grader af nedsat nyrefunktion defineret i henhold til kreatininclearance (CrCl) ved </w:t>
      </w:r>
      <w:r w:rsidRPr="00ED364E">
        <w:rPr>
          <w:iCs/>
          <w:color w:val="000000"/>
          <w:sz w:val="24"/>
          <w:szCs w:val="24"/>
          <w:lang w:eastAsia="da-DK"/>
        </w:rPr>
        <w:t>baseline</w:t>
      </w:r>
      <w:r w:rsidRPr="00ED364E">
        <w:rPr>
          <w:i/>
          <w:iCs/>
          <w:color w:val="000000"/>
          <w:sz w:val="24"/>
          <w:szCs w:val="24"/>
          <w:lang w:eastAsia="da-DK"/>
        </w:rPr>
        <w:t xml:space="preserve"> </w:t>
      </w:r>
      <w:r w:rsidRPr="00ED364E">
        <w:rPr>
          <w:color w:val="000000"/>
          <w:sz w:val="24"/>
          <w:szCs w:val="24"/>
          <w:lang w:eastAsia="da-DK"/>
        </w:rPr>
        <w:t>(normal nyrefunktion med CrCl &gt;80 ml/min; mild nedsat nyrefunktion med CrCl = 50-79 ml/min; moderat nedsat nyrefunktion med CrCl = 30-49 ml/min og svær nedsat nyrefunktion med CrCl = 10-29 ml/min). Sammenlignet med patienter med normal nyrefunktion steg den gennemsnitlige (% variationskoefficient) eksponering af tenofovir fra 2.185 (12 %) ng·t/ml hos forsøgspersoner med CrCl &gt;80 ml/min til henholdsvis 3.064 (30 %) ng·t/ml, 6.009 (42 %) ng·t/ml og 15.985 (45 %) ng·t/ml hos patienter med mild, moderat og svær nedsat nyrefunktion. Dosisanbefalingerne til patienter med nedsat nyrefunktion, med øget doseringsinterval, forventes at resultere i højere peak-plasmakoncentrationer og lavere C</w:t>
      </w:r>
      <w:r w:rsidRPr="00ED364E">
        <w:rPr>
          <w:color w:val="000000"/>
          <w:sz w:val="24"/>
          <w:szCs w:val="24"/>
          <w:vertAlign w:val="subscript"/>
          <w:lang w:eastAsia="da-DK"/>
        </w:rPr>
        <w:t>min</w:t>
      </w:r>
      <w:r w:rsidRPr="00ED364E">
        <w:rPr>
          <w:color w:val="000000"/>
          <w:sz w:val="24"/>
          <w:szCs w:val="24"/>
          <w:lang w:eastAsia="da-DK"/>
        </w:rPr>
        <w:t xml:space="preserve">-niveauer hos patienter med nedsat nyrefunktion sammenlignet med patienter med normal nyrefunktion. De kliniske konsekvenser heraf er ukendte. </w:t>
      </w:r>
    </w:p>
    <w:p w:rsidR="00491918" w:rsidRPr="00ED364E" w:rsidRDefault="00491918" w:rsidP="00491918">
      <w:pPr>
        <w:tabs>
          <w:tab w:val="left" w:pos="851"/>
        </w:tabs>
        <w:autoSpaceDE w:val="0"/>
        <w:autoSpaceDN w:val="0"/>
        <w:adjustRightInd w:val="0"/>
        <w:ind w:left="851"/>
        <w:rPr>
          <w:color w:val="000000"/>
          <w:sz w:val="24"/>
          <w:szCs w:val="24"/>
          <w:lang w:eastAsia="da-DK"/>
        </w:rPr>
      </w:pPr>
    </w:p>
    <w:p w:rsidR="00491918" w:rsidRPr="00ED364E" w:rsidRDefault="00491918" w:rsidP="00491918">
      <w:pPr>
        <w:tabs>
          <w:tab w:val="left" w:pos="851"/>
        </w:tabs>
        <w:autoSpaceDE w:val="0"/>
        <w:autoSpaceDN w:val="0"/>
        <w:adjustRightInd w:val="0"/>
        <w:ind w:left="851"/>
        <w:rPr>
          <w:color w:val="000000"/>
          <w:sz w:val="24"/>
          <w:szCs w:val="24"/>
          <w:lang w:eastAsia="da-DK"/>
        </w:rPr>
      </w:pPr>
      <w:r w:rsidRPr="00ED364E">
        <w:rPr>
          <w:color w:val="000000"/>
          <w:sz w:val="24"/>
          <w:szCs w:val="24"/>
          <w:lang w:eastAsia="da-DK"/>
        </w:rPr>
        <w:t xml:space="preserve">Hos patienter med nyresygdom i slutstadiet </w:t>
      </w:r>
      <w:r w:rsidRPr="00ED364E">
        <w:rPr>
          <w:i/>
          <w:iCs/>
          <w:color w:val="000000"/>
          <w:sz w:val="24"/>
          <w:szCs w:val="24"/>
          <w:lang w:eastAsia="da-DK"/>
        </w:rPr>
        <w:t>(</w:t>
      </w:r>
      <w:r w:rsidRPr="00ED364E">
        <w:rPr>
          <w:iCs/>
          <w:color w:val="000000"/>
          <w:sz w:val="24"/>
          <w:szCs w:val="24"/>
          <w:lang w:eastAsia="da-DK"/>
        </w:rPr>
        <w:t>End Stage Renal Disease, ESRD</w:t>
      </w:r>
      <w:r w:rsidRPr="00ED364E">
        <w:rPr>
          <w:i/>
          <w:iCs/>
          <w:color w:val="000000"/>
          <w:sz w:val="24"/>
          <w:szCs w:val="24"/>
          <w:lang w:eastAsia="da-DK"/>
        </w:rPr>
        <w:t xml:space="preserve">) </w:t>
      </w:r>
      <w:r w:rsidRPr="00ED364E">
        <w:rPr>
          <w:color w:val="000000"/>
          <w:sz w:val="24"/>
          <w:szCs w:val="24"/>
          <w:lang w:eastAsia="da-DK"/>
        </w:rPr>
        <w:t>(CrCl &lt;10 ml/min), som havde behov for hæmodialyse, steg tenofovirkoncentrationerne mellem dialyser betydeligt over 48 timer, hvilket gav en gennemsnitlig C</w:t>
      </w:r>
      <w:r w:rsidRPr="00ED364E">
        <w:rPr>
          <w:color w:val="000000"/>
          <w:sz w:val="24"/>
          <w:szCs w:val="24"/>
          <w:vertAlign w:val="subscript"/>
          <w:lang w:eastAsia="da-DK"/>
        </w:rPr>
        <w:t>max</w:t>
      </w:r>
      <w:r w:rsidRPr="00ED364E">
        <w:rPr>
          <w:color w:val="000000"/>
          <w:sz w:val="24"/>
          <w:szCs w:val="24"/>
          <w:lang w:eastAsia="da-DK"/>
        </w:rPr>
        <w:t xml:space="preserve"> på 1.032 ng/ml og en gennemsnitlig AUC</w:t>
      </w:r>
      <w:r w:rsidRPr="00ED364E">
        <w:rPr>
          <w:color w:val="000000"/>
          <w:sz w:val="24"/>
          <w:szCs w:val="24"/>
          <w:vertAlign w:val="subscript"/>
          <w:lang w:eastAsia="da-DK"/>
        </w:rPr>
        <w:t xml:space="preserve">0-48t </w:t>
      </w:r>
      <w:r w:rsidRPr="00ED364E">
        <w:rPr>
          <w:color w:val="000000"/>
          <w:sz w:val="24"/>
          <w:szCs w:val="24"/>
          <w:lang w:eastAsia="da-DK"/>
        </w:rPr>
        <w:t xml:space="preserve">på 42.857 ng·t/ml. </w:t>
      </w:r>
    </w:p>
    <w:p w:rsidR="00491918" w:rsidRPr="00ED364E" w:rsidRDefault="00491918" w:rsidP="00491918">
      <w:pPr>
        <w:tabs>
          <w:tab w:val="left" w:pos="851"/>
        </w:tabs>
        <w:autoSpaceDE w:val="0"/>
        <w:autoSpaceDN w:val="0"/>
        <w:adjustRightInd w:val="0"/>
        <w:ind w:left="851"/>
        <w:rPr>
          <w:color w:val="000000"/>
          <w:sz w:val="24"/>
          <w:szCs w:val="24"/>
          <w:lang w:eastAsia="da-DK"/>
        </w:rPr>
      </w:pPr>
    </w:p>
    <w:p w:rsidR="00491918" w:rsidRPr="00ED364E" w:rsidRDefault="00491918" w:rsidP="00491918">
      <w:pPr>
        <w:tabs>
          <w:tab w:val="left" w:pos="851"/>
        </w:tabs>
        <w:autoSpaceDE w:val="0"/>
        <w:autoSpaceDN w:val="0"/>
        <w:adjustRightInd w:val="0"/>
        <w:ind w:left="851"/>
        <w:rPr>
          <w:color w:val="000000"/>
          <w:sz w:val="24"/>
          <w:szCs w:val="24"/>
          <w:lang w:eastAsia="da-DK"/>
        </w:rPr>
      </w:pPr>
      <w:r w:rsidRPr="00ED364E">
        <w:rPr>
          <w:color w:val="000000"/>
          <w:sz w:val="24"/>
          <w:szCs w:val="24"/>
          <w:lang w:eastAsia="da-DK"/>
        </w:rPr>
        <w:t xml:space="preserve">Det anbefales, at doseringsintervallet for 245 mg tenofovirdisoproxil modificeres hos voksne patienter med kreatininclearance &lt;50 ml/min eller hos patienter, som allerede har ESRD og har behov for dialyse (se pkt. 4.2). </w:t>
      </w:r>
    </w:p>
    <w:p w:rsidR="00491918" w:rsidRPr="00ED364E" w:rsidRDefault="00491918" w:rsidP="00491918">
      <w:pPr>
        <w:tabs>
          <w:tab w:val="left" w:pos="851"/>
        </w:tabs>
        <w:autoSpaceDE w:val="0"/>
        <w:autoSpaceDN w:val="0"/>
        <w:adjustRightInd w:val="0"/>
        <w:ind w:left="851"/>
        <w:rPr>
          <w:color w:val="000000"/>
          <w:sz w:val="24"/>
          <w:szCs w:val="24"/>
          <w:lang w:eastAsia="da-DK"/>
        </w:rPr>
      </w:pPr>
    </w:p>
    <w:p w:rsidR="00491918" w:rsidRPr="00ED364E" w:rsidRDefault="00491918" w:rsidP="00491918">
      <w:pPr>
        <w:tabs>
          <w:tab w:val="left" w:pos="851"/>
        </w:tabs>
        <w:autoSpaceDE w:val="0"/>
        <w:autoSpaceDN w:val="0"/>
        <w:adjustRightInd w:val="0"/>
        <w:ind w:left="851"/>
        <w:rPr>
          <w:color w:val="000000"/>
          <w:sz w:val="24"/>
          <w:szCs w:val="24"/>
          <w:lang w:eastAsia="da-DK"/>
        </w:rPr>
      </w:pPr>
      <w:r w:rsidRPr="00ED364E">
        <w:rPr>
          <w:color w:val="000000"/>
          <w:sz w:val="24"/>
          <w:szCs w:val="24"/>
          <w:lang w:eastAsia="da-DK"/>
        </w:rPr>
        <w:t xml:space="preserve">Tenofovirs farmakokinetik hos ikke-hæmodialyse-patienter med kreatininclearance &lt;10 ml/min og hos patienter med ESRD kontrolleret af peritonealdialyse eller andre former for dialyse er ikke blevet undersøgt. </w:t>
      </w:r>
    </w:p>
    <w:p w:rsidR="00491918" w:rsidRPr="00ED364E" w:rsidRDefault="00491918" w:rsidP="00491918">
      <w:pPr>
        <w:tabs>
          <w:tab w:val="left" w:pos="851"/>
        </w:tabs>
        <w:autoSpaceDE w:val="0"/>
        <w:autoSpaceDN w:val="0"/>
        <w:adjustRightInd w:val="0"/>
        <w:ind w:left="851"/>
        <w:rPr>
          <w:color w:val="000000"/>
          <w:sz w:val="24"/>
          <w:szCs w:val="24"/>
          <w:lang w:eastAsia="da-DK"/>
        </w:rPr>
      </w:pPr>
    </w:p>
    <w:p w:rsidR="00491918" w:rsidRPr="00ED364E" w:rsidRDefault="00491918" w:rsidP="00491918">
      <w:pPr>
        <w:tabs>
          <w:tab w:val="left" w:pos="851"/>
        </w:tabs>
        <w:autoSpaceDE w:val="0"/>
        <w:autoSpaceDN w:val="0"/>
        <w:adjustRightInd w:val="0"/>
        <w:ind w:left="851"/>
        <w:rPr>
          <w:color w:val="000000"/>
          <w:sz w:val="24"/>
          <w:szCs w:val="24"/>
          <w:lang w:eastAsia="da-DK"/>
        </w:rPr>
      </w:pPr>
      <w:r w:rsidRPr="00ED364E">
        <w:rPr>
          <w:color w:val="000000"/>
          <w:sz w:val="24"/>
          <w:szCs w:val="24"/>
          <w:lang w:eastAsia="da-DK"/>
        </w:rPr>
        <w:t xml:space="preserve">Tenofovirs farmakokinetik hos pædiatriske patienter med nedsat nyrefunktion er ikke undersøgt. Der foreligger ingen data for dosisanbefalinger (se pkt. 4.2 og 4.4). </w:t>
      </w:r>
    </w:p>
    <w:p w:rsidR="00491918" w:rsidRPr="00ED364E" w:rsidRDefault="00491918" w:rsidP="00491918">
      <w:pPr>
        <w:tabs>
          <w:tab w:val="left" w:pos="851"/>
        </w:tabs>
        <w:autoSpaceDE w:val="0"/>
        <w:autoSpaceDN w:val="0"/>
        <w:adjustRightInd w:val="0"/>
        <w:ind w:left="851"/>
        <w:rPr>
          <w:color w:val="000000"/>
          <w:sz w:val="24"/>
          <w:szCs w:val="24"/>
          <w:lang w:eastAsia="da-DK"/>
        </w:rPr>
      </w:pPr>
    </w:p>
    <w:p w:rsidR="00491918" w:rsidRPr="00ED364E" w:rsidRDefault="00491918" w:rsidP="00491918">
      <w:pPr>
        <w:tabs>
          <w:tab w:val="left" w:pos="851"/>
        </w:tabs>
        <w:autoSpaceDE w:val="0"/>
        <w:autoSpaceDN w:val="0"/>
        <w:adjustRightInd w:val="0"/>
        <w:ind w:left="851"/>
        <w:rPr>
          <w:color w:val="000000"/>
          <w:sz w:val="24"/>
          <w:szCs w:val="24"/>
          <w:u w:val="single"/>
          <w:lang w:eastAsia="da-DK"/>
        </w:rPr>
      </w:pPr>
      <w:r w:rsidRPr="00ED364E">
        <w:rPr>
          <w:color w:val="000000"/>
          <w:sz w:val="24"/>
          <w:szCs w:val="24"/>
          <w:u w:val="single"/>
          <w:lang w:eastAsia="da-DK"/>
        </w:rPr>
        <w:t xml:space="preserve">Nedsat leverfunktion </w:t>
      </w:r>
    </w:p>
    <w:p w:rsidR="00491918" w:rsidRPr="00ED364E" w:rsidRDefault="00491918" w:rsidP="00491918">
      <w:pPr>
        <w:tabs>
          <w:tab w:val="left" w:pos="851"/>
        </w:tabs>
        <w:ind w:left="851" w:hanging="851"/>
        <w:rPr>
          <w:sz w:val="24"/>
          <w:szCs w:val="24"/>
          <w:lang w:eastAsia="da-DK"/>
        </w:rPr>
      </w:pPr>
      <w:r w:rsidRPr="00ED364E">
        <w:rPr>
          <w:sz w:val="24"/>
          <w:szCs w:val="24"/>
          <w:lang w:eastAsia="da-DK"/>
        </w:rPr>
        <w:tab/>
        <w:t>En enkelt dosis af 245 mg tenofovirdisoproxil blev indgivet til voksne patienter uden hiv- eller HBV-infektion med forskellige grader af nedsat leverfunktion defineret i henhold til Child-Pugh-Turcotte (CPT) klassifikationen. Der skete ingen betydelig ændring i tenofovirs farmakokinetik hos forsøgspersoner med nedsat leverfunktion, hvilket tyder på, at det ikke er nødvendigt at justere dosis hos disse personer. De gennemsnitlige (% variationskoefficient) tenofovir C</w:t>
      </w:r>
      <w:r w:rsidRPr="00ED364E">
        <w:rPr>
          <w:sz w:val="24"/>
          <w:szCs w:val="24"/>
          <w:vertAlign w:val="subscript"/>
          <w:lang w:eastAsia="da-DK"/>
        </w:rPr>
        <w:t>max</w:t>
      </w:r>
      <w:r w:rsidRPr="00ED364E">
        <w:rPr>
          <w:sz w:val="24"/>
          <w:szCs w:val="24"/>
          <w:lang w:eastAsia="da-DK"/>
        </w:rPr>
        <w:t>- og AUC</w:t>
      </w:r>
      <w:r w:rsidRPr="00ED364E">
        <w:rPr>
          <w:sz w:val="24"/>
          <w:szCs w:val="24"/>
          <w:vertAlign w:val="subscript"/>
          <w:lang w:eastAsia="da-DK"/>
        </w:rPr>
        <w:t>0-∞-</w:t>
      </w:r>
      <w:r w:rsidRPr="00ED364E">
        <w:rPr>
          <w:sz w:val="24"/>
          <w:szCs w:val="24"/>
          <w:lang w:eastAsia="da-DK"/>
        </w:rPr>
        <w:t>værdier var henholdsvis 223 (34,8 %) ng/ml og 2.050 (50,8 %) ng·t/ml hos forsøgspersoner med normal leverfunktion sammenlignet med 289 (46,0 %) ng/ml og 2.310 (43,5 %) ng·t/ml hos forsøgspersoner med moderat nedsat leverfunktion og 305 (24,8 %) ng/ml og 2.740 (44,0 %) ng·t/ml hos forsøgspersoner med svær nedsat leverfunktion.</w:t>
      </w:r>
    </w:p>
    <w:p w:rsidR="00491918" w:rsidRPr="00ED364E" w:rsidRDefault="00491918" w:rsidP="00491918">
      <w:pPr>
        <w:tabs>
          <w:tab w:val="left" w:pos="851"/>
        </w:tabs>
        <w:ind w:left="851" w:hanging="851"/>
        <w:rPr>
          <w:sz w:val="24"/>
          <w:szCs w:val="24"/>
          <w:lang w:eastAsia="da-DK"/>
        </w:rPr>
      </w:pPr>
    </w:p>
    <w:p w:rsidR="00491918" w:rsidRPr="00ED364E" w:rsidRDefault="00491918" w:rsidP="00E0577D">
      <w:pPr>
        <w:keepNext/>
        <w:tabs>
          <w:tab w:val="left" w:pos="851"/>
        </w:tabs>
        <w:autoSpaceDE w:val="0"/>
        <w:autoSpaceDN w:val="0"/>
        <w:adjustRightInd w:val="0"/>
        <w:ind w:left="851"/>
        <w:rPr>
          <w:color w:val="000000"/>
          <w:sz w:val="24"/>
          <w:szCs w:val="24"/>
          <w:u w:val="single"/>
          <w:lang w:eastAsia="da-DK"/>
        </w:rPr>
      </w:pPr>
      <w:r w:rsidRPr="00ED364E">
        <w:rPr>
          <w:color w:val="000000"/>
          <w:sz w:val="24"/>
          <w:szCs w:val="24"/>
          <w:u w:val="single"/>
          <w:lang w:eastAsia="da-DK"/>
        </w:rPr>
        <w:t>Intracellulær</w:t>
      </w:r>
      <w:bookmarkStart w:id="0" w:name="_GoBack"/>
      <w:bookmarkEnd w:id="0"/>
      <w:r w:rsidRPr="00ED364E">
        <w:rPr>
          <w:color w:val="000000"/>
          <w:sz w:val="24"/>
          <w:szCs w:val="24"/>
          <w:u w:val="single"/>
          <w:lang w:eastAsia="da-DK"/>
        </w:rPr>
        <w:t xml:space="preserve"> farmakokinetik </w:t>
      </w:r>
    </w:p>
    <w:p w:rsidR="00491918" w:rsidRPr="0084334F" w:rsidRDefault="00491918" w:rsidP="00491918">
      <w:pPr>
        <w:tabs>
          <w:tab w:val="left" w:pos="851"/>
        </w:tabs>
        <w:ind w:left="851" w:hanging="851"/>
        <w:rPr>
          <w:sz w:val="24"/>
          <w:lang w:eastAsia="da-DK"/>
        </w:rPr>
      </w:pPr>
      <w:r w:rsidRPr="00ED364E">
        <w:rPr>
          <w:sz w:val="24"/>
          <w:szCs w:val="24"/>
          <w:lang w:eastAsia="da-DK"/>
        </w:rPr>
        <w:tab/>
        <w:t>I ikke-proliferende mononukleære celler i humant perifert blod (PBMC'er) konstateredes det, at tenofovirdiphosphats halveringstid var ca. 50 timer, hvorimod halveringstiden i phytohæmagglutinin-stimulerede PBMC'er var ca. 10 timer.</w:t>
      </w:r>
    </w:p>
    <w:p w:rsidR="00491918" w:rsidRPr="00C84483" w:rsidRDefault="00491918" w:rsidP="00491918">
      <w:pPr>
        <w:tabs>
          <w:tab w:val="left" w:pos="851"/>
        </w:tabs>
        <w:rPr>
          <w:sz w:val="24"/>
          <w:szCs w:val="24"/>
        </w:rPr>
      </w:pPr>
    </w:p>
    <w:p w:rsidR="00491918" w:rsidRPr="00C84483" w:rsidRDefault="00491918" w:rsidP="000E5DD8">
      <w:pPr>
        <w:keepNext/>
        <w:tabs>
          <w:tab w:val="left" w:pos="851"/>
        </w:tabs>
        <w:ind w:left="851" w:hanging="851"/>
        <w:rPr>
          <w:b/>
          <w:sz w:val="24"/>
          <w:szCs w:val="24"/>
        </w:rPr>
      </w:pPr>
      <w:r w:rsidRPr="00C84483">
        <w:rPr>
          <w:b/>
          <w:sz w:val="24"/>
          <w:szCs w:val="24"/>
        </w:rPr>
        <w:t>5.3</w:t>
      </w:r>
      <w:r w:rsidRPr="00C84483">
        <w:rPr>
          <w:b/>
          <w:sz w:val="24"/>
          <w:szCs w:val="24"/>
        </w:rPr>
        <w:tab/>
      </w:r>
      <w:r w:rsidR="00E359D7">
        <w:rPr>
          <w:b/>
          <w:sz w:val="24"/>
          <w:szCs w:val="24"/>
        </w:rPr>
        <w:t>Non-</w:t>
      </w:r>
      <w:r w:rsidRPr="00C84483">
        <w:rPr>
          <w:b/>
          <w:sz w:val="24"/>
          <w:szCs w:val="24"/>
        </w:rPr>
        <w:t>kliniske sikkerhedsdata</w:t>
      </w:r>
    </w:p>
    <w:p w:rsidR="00491918" w:rsidRPr="00EB1114" w:rsidRDefault="00491918" w:rsidP="00491918">
      <w:pPr>
        <w:autoSpaceDE w:val="0"/>
        <w:autoSpaceDN w:val="0"/>
        <w:adjustRightInd w:val="0"/>
        <w:ind w:left="851"/>
        <w:rPr>
          <w:sz w:val="24"/>
          <w:szCs w:val="24"/>
          <w:lang w:eastAsia="da-DK"/>
        </w:rPr>
      </w:pPr>
      <w:r w:rsidRPr="00EB1114">
        <w:rPr>
          <w:sz w:val="24"/>
          <w:szCs w:val="24"/>
          <w:lang w:eastAsia="da-DK"/>
        </w:rPr>
        <w:t xml:space="preserve">De </w:t>
      </w:r>
      <w:r w:rsidR="00E359D7">
        <w:rPr>
          <w:sz w:val="24"/>
          <w:szCs w:val="24"/>
          <w:lang w:eastAsia="da-DK"/>
        </w:rPr>
        <w:t>non-</w:t>
      </w:r>
      <w:r w:rsidRPr="00EB1114">
        <w:rPr>
          <w:sz w:val="24"/>
          <w:szCs w:val="24"/>
          <w:lang w:eastAsia="da-DK"/>
        </w:rPr>
        <w:t>kliniske studier af sikkerhedsfarmakologi viser ingen særlig risiko for mennesker. Resultater fra toksicitetsstudier efter gentagne doser hos rotter, hunde og aber ved eksponeringsniveauer højere end eller lig med kliniske eksponeringsniveauer og med mulig klinisk relevans omfatter nyre- og knogletoksicitet og et fald i serum-phosphat-koncentrationen. Knogletoksicitet blev diagnosticeret som osteomalaci (aber) og nedsat knoglemineraltæthed (BMD) (rotter og hunde). Knogletoksicitet hos unge voksne rotter og hunde forekom ved eksponeringer ≥</w:t>
      </w:r>
      <w:r>
        <w:rPr>
          <w:sz w:val="24"/>
          <w:szCs w:val="24"/>
          <w:lang w:eastAsia="da-DK"/>
        </w:rPr>
        <w:t xml:space="preserve"> </w:t>
      </w:r>
      <w:r w:rsidRPr="00EB1114">
        <w:rPr>
          <w:sz w:val="24"/>
          <w:szCs w:val="24"/>
          <w:lang w:eastAsia="da-DK"/>
        </w:rPr>
        <w:t>5 gange eksponeringen hos pædiatriske eller voksne patienter; knogletoksicitet forekom hos unge inficerede aber ved meget høje eksponeringer efter subkutan dosering (≥</w:t>
      </w:r>
      <w:r>
        <w:rPr>
          <w:sz w:val="24"/>
          <w:szCs w:val="24"/>
          <w:lang w:eastAsia="da-DK"/>
        </w:rPr>
        <w:t xml:space="preserve"> </w:t>
      </w:r>
      <w:r w:rsidRPr="00EB1114">
        <w:rPr>
          <w:sz w:val="24"/>
          <w:szCs w:val="24"/>
          <w:lang w:eastAsia="da-DK"/>
        </w:rPr>
        <w:t xml:space="preserve">40 gange eksponeringen hos patienter). Fund ved studier med rotter og aber viste, at der var en stofrelateret reduktion i den intestinale absorption af phosphat med potentiel, sekundær reduktion af BMD. </w:t>
      </w:r>
    </w:p>
    <w:p w:rsidR="00491918" w:rsidRPr="00EB1114" w:rsidRDefault="00491918" w:rsidP="00491918">
      <w:pPr>
        <w:autoSpaceDE w:val="0"/>
        <w:autoSpaceDN w:val="0"/>
        <w:adjustRightInd w:val="0"/>
        <w:ind w:left="851"/>
        <w:rPr>
          <w:sz w:val="24"/>
          <w:szCs w:val="24"/>
          <w:lang w:eastAsia="da-DK"/>
        </w:rPr>
      </w:pPr>
    </w:p>
    <w:p w:rsidR="00491918" w:rsidRPr="00EB1114" w:rsidRDefault="00491918" w:rsidP="00491918">
      <w:pPr>
        <w:autoSpaceDE w:val="0"/>
        <w:autoSpaceDN w:val="0"/>
        <w:adjustRightInd w:val="0"/>
        <w:ind w:left="851"/>
        <w:rPr>
          <w:sz w:val="24"/>
          <w:szCs w:val="24"/>
          <w:lang w:eastAsia="da-DK"/>
        </w:rPr>
      </w:pPr>
      <w:r w:rsidRPr="00EB1114">
        <w:rPr>
          <w:sz w:val="24"/>
          <w:szCs w:val="24"/>
          <w:lang w:eastAsia="da-DK"/>
        </w:rPr>
        <w:t xml:space="preserve">Genotoksicitetsstudier viste positive resultater i </w:t>
      </w:r>
      <w:r w:rsidRPr="00EB1114">
        <w:rPr>
          <w:i/>
          <w:sz w:val="24"/>
          <w:szCs w:val="24"/>
          <w:lang w:eastAsia="da-DK"/>
        </w:rPr>
        <w:t>in vitro</w:t>
      </w:r>
      <w:r w:rsidRPr="00EB1114">
        <w:rPr>
          <w:sz w:val="24"/>
          <w:szCs w:val="24"/>
          <w:lang w:eastAsia="da-DK"/>
        </w:rPr>
        <w:t xml:space="preserve">-muselymfomanalysen, uklare resultater for en af de stammer, der blev anvendt i Ames-testen, og svagt positive resultater i UDS-testen i primære rottehepatocytter. Resultaterne var imidlertid negative i en </w:t>
      </w:r>
      <w:r w:rsidRPr="00EB1114">
        <w:rPr>
          <w:i/>
          <w:sz w:val="24"/>
          <w:szCs w:val="24"/>
          <w:lang w:eastAsia="da-DK"/>
        </w:rPr>
        <w:t>in vivo</w:t>
      </w:r>
      <w:r w:rsidRPr="00EB1114">
        <w:rPr>
          <w:sz w:val="24"/>
          <w:szCs w:val="24"/>
          <w:lang w:eastAsia="da-DK"/>
        </w:rPr>
        <w:t xml:space="preserve">-mikronukleusanalyse med museknoglemarv. </w:t>
      </w:r>
    </w:p>
    <w:p w:rsidR="00491918" w:rsidRPr="00EB1114" w:rsidRDefault="00491918" w:rsidP="00491918">
      <w:pPr>
        <w:autoSpaceDE w:val="0"/>
        <w:autoSpaceDN w:val="0"/>
        <w:adjustRightInd w:val="0"/>
        <w:ind w:left="851"/>
        <w:rPr>
          <w:sz w:val="24"/>
          <w:szCs w:val="24"/>
          <w:lang w:eastAsia="da-DK"/>
        </w:rPr>
      </w:pPr>
    </w:p>
    <w:p w:rsidR="00491918" w:rsidRPr="00EB1114" w:rsidRDefault="00491918" w:rsidP="00491918">
      <w:pPr>
        <w:autoSpaceDE w:val="0"/>
        <w:autoSpaceDN w:val="0"/>
        <w:adjustRightInd w:val="0"/>
        <w:ind w:left="851"/>
        <w:rPr>
          <w:sz w:val="24"/>
          <w:szCs w:val="24"/>
          <w:lang w:eastAsia="da-DK"/>
        </w:rPr>
      </w:pPr>
      <w:r w:rsidRPr="00EB1114">
        <w:rPr>
          <w:sz w:val="24"/>
          <w:szCs w:val="24"/>
          <w:lang w:eastAsia="da-DK"/>
        </w:rPr>
        <w:t xml:space="preserve">Orale karcinogenicitetsstudier hos rotter og mus viste kun en lav forekomst af duodenaltumorer ved en ekstremt høj dosis givet til mus. Disse tumorer har sandsynligvis ingen relevans for mennesker. </w:t>
      </w:r>
    </w:p>
    <w:p w:rsidR="00491918" w:rsidRPr="00EB1114" w:rsidRDefault="00491918" w:rsidP="00491918">
      <w:pPr>
        <w:autoSpaceDE w:val="0"/>
        <w:autoSpaceDN w:val="0"/>
        <w:adjustRightInd w:val="0"/>
        <w:ind w:left="851"/>
        <w:rPr>
          <w:sz w:val="24"/>
          <w:szCs w:val="24"/>
          <w:lang w:eastAsia="da-DK"/>
        </w:rPr>
      </w:pPr>
    </w:p>
    <w:p w:rsidR="00491918" w:rsidRPr="00EB1114" w:rsidRDefault="00491918" w:rsidP="00491918">
      <w:pPr>
        <w:autoSpaceDE w:val="0"/>
        <w:autoSpaceDN w:val="0"/>
        <w:adjustRightInd w:val="0"/>
        <w:ind w:left="851"/>
        <w:rPr>
          <w:sz w:val="24"/>
          <w:szCs w:val="24"/>
          <w:lang w:eastAsia="da-DK"/>
        </w:rPr>
      </w:pPr>
      <w:r w:rsidRPr="00EB1114">
        <w:rPr>
          <w:sz w:val="24"/>
          <w:szCs w:val="24"/>
          <w:lang w:eastAsia="da-DK"/>
        </w:rPr>
        <w:t xml:space="preserve">Studier af reproduktionstoksicitet udført hos rotter og kaniner viste ingen virkninger hverken på parrings-, fertilitets-, graviditets- eller fosterparametre. Tenofovirdisoproxil reducerede imidlertid afkommets levedygtighed og vægt i peri-postnatale toksicitetsstudier ved doser, der var toksiske for moderen. </w:t>
      </w:r>
    </w:p>
    <w:p w:rsidR="00491918" w:rsidRPr="00EB1114" w:rsidRDefault="00491918" w:rsidP="00491918">
      <w:pPr>
        <w:autoSpaceDE w:val="0"/>
        <w:autoSpaceDN w:val="0"/>
        <w:adjustRightInd w:val="0"/>
        <w:ind w:left="851"/>
        <w:rPr>
          <w:sz w:val="24"/>
          <w:szCs w:val="24"/>
          <w:lang w:eastAsia="da-DK"/>
        </w:rPr>
      </w:pPr>
    </w:p>
    <w:p w:rsidR="00C04C62" w:rsidRDefault="00C04C62" w:rsidP="00C04C62">
      <w:pPr>
        <w:autoSpaceDE w:val="0"/>
        <w:autoSpaceDN w:val="0"/>
        <w:adjustRightInd w:val="0"/>
        <w:ind w:left="851"/>
        <w:rPr>
          <w:sz w:val="24"/>
          <w:szCs w:val="24"/>
          <w:u w:val="single"/>
          <w:lang w:eastAsia="da-DK"/>
        </w:rPr>
      </w:pPr>
      <w:r>
        <w:rPr>
          <w:sz w:val="24"/>
          <w:szCs w:val="24"/>
          <w:u w:val="single"/>
          <w:lang w:eastAsia="da-DK"/>
        </w:rPr>
        <w:t>Miljørisikovurdering</w:t>
      </w:r>
      <w:r>
        <w:rPr>
          <w:sz w:val="24"/>
          <w:szCs w:val="24"/>
          <w:lang w:eastAsia="da-DK"/>
        </w:rPr>
        <w:tab/>
      </w:r>
    </w:p>
    <w:p w:rsidR="00C04C62" w:rsidRDefault="00C04C62" w:rsidP="00C04C62">
      <w:pPr>
        <w:autoSpaceDE w:val="0"/>
        <w:autoSpaceDN w:val="0"/>
        <w:adjustRightInd w:val="0"/>
        <w:ind w:left="851"/>
        <w:rPr>
          <w:sz w:val="24"/>
          <w:szCs w:val="24"/>
          <w:lang w:eastAsia="da-DK"/>
        </w:rPr>
      </w:pPr>
      <w:r>
        <w:rPr>
          <w:sz w:val="24"/>
          <w:szCs w:val="24"/>
          <w:lang w:eastAsia="da-DK"/>
        </w:rPr>
        <w:t>Det aktive stof tenofovirdisoproxil og dets primære omdannelsesprodukter er persistente i miljøet.</w:t>
      </w:r>
    </w:p>
    <w:p w:rsidR="00491918" w:rsidRPr="00C84483" w:rsidRDefault="00491918" w:rsidP="00491918">
      <w:pPr>
        <w:tabs>
          <w:tab w:val="left" w:pos="851"/>
        </w:tabs>
        <w:ind w:left="851" w:hanging="851"/>
        <w:rPr>
          <w:sz w:val="24"/>
          <w:szCs w:val="24"/>
          <w:lang w:eastAsia="da-DK"/>
        </w:rPr>
      </w:pPr>
    </w:p>
    <w:p w:rsidR="00491918" w:rsidRPr="00C84483" w:rsidRDefault="00491918" w:rsidP="00491918">
      <w:pPr>
        <w:tabs>
          <w:tab w:val="left" w:pos="851"/>
        </w:tabs>
        <w:rPr>
          <w:sz w:val="24"/>
          <w:szCs w:val="24"/>
        </w:rPr>
      </w:pPr>
    </w:p>
    <w:p w:rsidR="00491918" w:rsidRPr="00C84483" w:rsidRDefault="00491918" w:rsidP="00DA0437">
      <w:pPr>
        <w:keepNext/>
        <w:tabs>
          <w:tab w:val="left" w:pos="851"/>
        </w:tabs>
        <w:ind w:left="851" w:hanging="851"/>
        <w:rPr>
          <w:b/>
          <w:sz w:val="24"/>
          <w:szCs w:val="24"/>
        </w:rPr>
      </w:pPr>
      <w:r w:rsidRPr="00C84483">
        <w:rPr>
          <w:b/>
          <w:sz w:val="24"/>
          <w:szCs w:val="24"/>
        </w:rPr>
        <w:t>6.</w:t>
      </w:r>
      <w:r w:rsidRPr="00C84483">
        <w:rPr>
          <w:b/>
          <w:sz w:val="24"/>
          <w:szCs w:val="24"/>
        </w:rPr>
        <w:tab/>
        <w:t>FARMACEUTISKE OPLYSNINGER</w:t>
      </w:r>
    </w:p>
    <w:p w:rsidR="00491918" w:rsidRPr="00C84483" w:rsidRDefault="00491918" w:rsidP="00491918">
      <w:pPr>
        <w:tabs>
          <w:tab w:val="left" w:pos="851"/>
        </w:tabs>
        <w:rPr>
          <w:b/>
          <w:sz w:val="24"/>
          <w:szCs w:val="24"/>
        </w:rPr>
      </w:pPr>
    </w:p>
    <w:p w:rsidR="00491918" w:rsidRPr="000E5DD8" w:rsidRDefault="00491918" w:rsidP="000E5DD8">
      <w:pPr>
        <w:tabs>
          <w:tab w:val="left" w:pos="851"/>
        </w:tabs>
        <w:ind w:left="851" w:hanging="851"/>
        <w:rPr>
          <w:b/>
          <w:sz w:val="24"/>
          <w:szCs w:val="24"/>
        </w:rPr>
      </w:pPr>
      <w:r w:rsidRPr="00C84483">
        <w:rPr>
          <w:b/>
          <w:sz w:val="24"/>
          <w:szCs w:val="24"/>
        </w:rPr>
        <w:t>6.1</w:t>
      </w:r>
      <w:r w:rsidRPr="00C84483">
        <w:rPr>
          <w:b/>
          <w:sz w:val="24"/>
          <w:szCs w:val="24"/>
        </w:rPr>
        <w:tab/>
        <w:t>Hjælpestoffer</w:t>
      </w:r>
    </w:p>
    <w:p w:rsidR="00491918" w:rsidRPr="00B37CC1" w:rsidRDefault="00491918" w:rsidP="00491918">
      <w:pPr>
        <w:tabs>
          <w:tab w:val="left" w:pos="851"/>
        </w:tabs>
        <w:ind w:left="851"/>
        <w:rPr>
          <w:sz w:val="24"/>
          <w:u w:val="single"/>
          <w:lang w:eastAsia="da-DK"/>
        </w:rPr>
      </w:pPr>
      <w:r w:rsidRPr="00B37CC1">
        <w:rPr>
          <w:sz w:val="24"/>
          <w:u w:val="single"/>
          <w:lang w:eastAsia="da-DK"/>
        </w:rPr>
        <w:t>Tabletkerne</w:t>
      </w:r>
    </w:p>
    <w:p w:rsidR="00491918" w:rsidRPr="00B37CC1" w:rsidRDefault="00491918" w:rsidP="00491918">
      <w:pPr>
        <w:tabs>
          <w:tab w:val="left" w:pos="851"/>
        </w:tabs>
        <w:ind w:left="851"/>
        <w:rPr>
          <w:sz w:val="24"/>
          <w:lang w:eastAsia="da-DK"/>
        </w:rPr>
      </w:pPr>
      <w:r w:rsidRPr="00B37CC1">
        <w:rPr>
          <w:sz w:val="24"/>
          <w:lang w:eastAsia="da-DK"/>
        </w:rPr>
        <w:t>Mikrokrystallinsk cellulose</w:t>
      </w:r>
    </w:p>
    <w:p w:rsidR="00491918" w:rsidRPr="00B37CC1" w:rsidRDefault="00491918" w:rsidP="00491918">
      <w:pPr>
        <w:tabs>
          <w:tab w:val="left" w:pos="851"/>
        </w:tabs>
        <w:ind w:left="851"/>
        <w:rPr>
          <w:sz w:val="24"/>
          <w:lang w:eastAsia="da-DK"/>
        </w:rPr>
      </w:pPr>
      <w:r w:rsidRPr="00B37CC1">
        <w:rPr>
          <w:sz w:val="24"/>
          <w:lang w:eastAsia="da-DK"/>
        </w:rPr>
        <w:t>Lactosemonohydrat</w:t>
      </w:r>
    </w:p>
    <w:p w:rsidR="00491918" w:rsidRPr="00B37CC1" w:rsidRDefault="00491918" w:rsidP="00491918">
      <w:pPr>
        <w:tabs>
          <w:tab w:val="left" w:pos="851"/>
        </w:tabs>
        <w:ind w:left="851"/>
        <w:rPr>
          <w:sz w:val="24"/>
          <w:lang w:eastAsia="da-DK"/>
        </w:rPr>
      </w:pPr>
      <w:r w:rsidRPr="00B37CC1">
        <w:rPr>
          <w:sz w:val="24"/>
          <w:lang w:eastAsia="da-DK"/>
        </w:rPr>
        <w:t>Prægelatiniseret stivelse</w:t>
      </w:r>
    </w:p>
    <w:p w:rsidR="00491918" w:rsidRPr="00B37CC1" w:rsidRDefault="00491918" w:rsidP="00491918">
      <w:pPr>
        <w:tabs>
          <w:tab w:val="left" w:pos="851"/>
        </w:tabs>
        <w:ind w:left="851"/>
        <w:rPr>
          <w:sz w:val="24"/>
          <w:lang w:eastAsia="da-DK"/>
        </w:rPr>
      </w:pPr>
      <w:r w:rsidRPr="00B37CC1">
        <w:rPr>
          <w:sz w:val="24"/>
          <w:lang w:eastAsia="da-DK"/>
        </w:rPr>
        <w:t>Hydrogeneret vegetabilsk olie</w:t>
      </w:r>
    </w:p>
    <w:p w:rsidR="00491918" w:rsidRPr="00B37CC1" w:rsidRDefault="00491918" w:rsidP="00491918">
      <w:pPr>
        <w:tabs>
          <w:tab w:val="left" w:pos="851"/>
        </w:tabs>
        <w:ind w:left="851"/>
        <w:rPr>
          <w:sz w:val="24"/>
          <w:lang w:eastAsia="da-DK"/>
        </w:rPr>
      </w:pPr>
      <w:r w:rsidRPr="00B37CC1">
        <w:rPr>
          <w:sz w:val="24"/>
          <w:lang w:eastAsia="da-DK"/>
        </w:rPr>
        <w:t>Natriumlaurilsulfat</w:t>
      </w:r>
    </w:p>
    <w:p w:rsidR="00491918" w:rsidRPr="00B37CC1" w:rsidRDefault="00491918" w:rsidP="00491918">
      <w:pPr>
        <w:tabs>
          <w:tab w:val="left" w:pos="851"/>
        </w:tabs>
        <w:ind w:left="851"/>
        <w:rPr>
          <w:sz w:val="24"/>
          <w:lang w:eastAsia="da-DK"/>
        </w:rPr>
      </w:pPr>
    </w:p>
    <w:p w:rsidR="00491918" w:rsidRPr="00B37CC1" w:rsidRDefault="00491918" w:rsidP="00491918">
      <w:pPr>
        <w:tabs>
          <w:tab w:val="left" w:pos="851"/>
        </w:tabs>
        <w:ind w:left="851"/>
        <w:rPr>
          <w:sz w:val="24"/>
          <w:u w:val="single"/>
          <w:lang w:eastAsia="da-DK"/>
        </w:rPr>
      </w:pPr>
      <w:r w:rsidRPr="00B37CC1">
        <w:rPr>
          <w:sz w:val="24"/>
          <w:u w:val="single"/>
          <w:lang w:eastAsia="da-DK"/>
        </w:rPr>
        <w:t>Filmovertræk</w:t>
      </w:r>
    </w:p>
    <w:p w:rsidR="00491918" w:rsidRPr="00B37CC1" w:rsidRDefault="00491918" w:rsidP="00491918">
      <w:pPr>
        <w:tabs>
          <w:tab w:val="left" w:pos="851"/>
        </w:tabs>
        <w:ind w:left="851"/>
        <w:rPr>
          <w:sz w:val="24"/>
          <w:lang w:eastAsia="da-DK"/>
        </w:rPr>
      </w:pPr>
      <w:r w:rsidRPr="00B37CC1">
        <w:rPr>
          <w:sz w:val="24"/>
          <w:lang w:eastAsia="da-DK"/>
        </w:rPr>
        <w:t>Polyvinylalkohol, delvist hydrolyseret (E1203)</w:t>
      </w:r>
    </w:p>
    <w:p w:rsidR="00491918" w:rsidRPr="00C956F3" w:rsidRDefault="00491918" w:rsidP="00491918">
      <w:pPr>
        <w:tabs>
          <w:tab w:val="left" w:pos="851"/>
        </w:tabs>
        <w:ind w:left="851"/>
        <w:rPr>
          <w:sz w:val="24"/>
          <w:lang w:val="es-ES" w:eastAsia="da-DK"/>
        </w:rPr>
      </w:pPr>
      <w:r w:rsidRPr="00C956F3">
        <w:rPr>
          <w:sz w:val="24"/>
          <w:lang w:val="es-ES" w:eastAsia="da-DK"/>
        </w:rPr>
        <w:t>Titandixoid (E171)</w:t>
      </w:r>
    </w:p>
    <w:p w:rsidR="00491918" w:rsidRPr="00C956F3" w:rsidRDefault="00491918" w:rsidP="00491918">
      <w:pPr>
        <w:tabs>
          <w:tab w:val="left" w:pos="851"/>
        </w:tabs>
        <w:ind w:left="851"/>
        <w:rPr>
          <w:sz w:val="24"/>
          <w:lang w:val="es-ES" w:eastAsia="da-DK"/>
        </w:rPr>
      </w:pPr>
      <w:r w:rsidRPr="00C956F3">
        <w:rPr>
          <w:sz w:val="24"/>
          <w:lang w:val="es-ES" w:eastAsia="da-DK"/>
        </w:rPr>
        <w:t>Macrogol (E1521)</w:t>
      </w:r>
    </w:p>
    <w:p w:rsidR="00491918" w:rsidRPr="00C956F3" w:rsidRDefault="00491918" w:rsidP="00491918">
      <w:pPr>
        <w:tabs>
          <w:tab w:val="left" w:pos="851"/>
        </w:tabs>
        <w:ind w:left="851"/>
        <w:rPr>
          <w:sz w:val="24"/>
          <w:lang w:val="es-ES" w:eastAsia="da-DK"/>
        </w:rPr>
      </w:pPr>
      <w:r w:rsidRPr="00C956F3">
        <w:rPr>
          <w:sz w:val="24"/>
          <w:lang w:val="es-ES" w:eastAsia="da-DK"/>
        </w:rPr>
        <w:t>Talcum (E553b)</w:t>
      </w:r>
    </w:p>
    <w:p w:rsidR="00491918" w:rsidRPr="00C956F3" w:rsidRDefault="00491918" w:rsidP="00491918">
      <w:pPr>
        <w:tabs>
          <w:tab w:val="left" w:pos="851"/>
        </w:tabs>
        <w:ind w:left="851"/>
        <w:rPr>
          <w:sz w:val="24"/>
          <w:lang w:val="es-ES" w:eastAsia="da-DK"/>
        </w:rPr>
      </w:pPr>
      <w:r w:rsidRPr="00C956F3">
        <w:rPr>
          <w:sz w:val="24"/>
          <w:lang w:val="es-ES" w:eastAsia="da-DK"/>
        </w:rPr>
        <w:t>Indigo carmine Aluminium Lake (E132)</w:t>
      </w:r>
    </w:p>
    <w:p w:rsidR="00491918" w:rsidRPr="00B37CC1" w:rsidRDefault="00491918" w:rsidP="00491918">
      <w:pPr>
        <w:tabs>
          <w:tab w:val="left" w:pos="851"/>
        </w:tabs>
        <w:ind w:left="851"/>
        <w:rPr>
          <w:sz w:val="24"/>
          <w:lang w:eastAsia="da-DK"/>
        </w:rPr>
      </w:pPr>
      <w:r w:rsidRPr="00B37CC1">
        <w:rPr>
          <w:sz w:val="24"/>
          <w:lang w:eastAsia="da-DK"/>
        </w:rPr>
        <w:t>Carminsyre (E120)</w:t>
      </w:r>
    </w:p>
    <w:p w:rsidR="00491918" w:rsidRPr="00C84483" w:rsidRDefault="00491918" w:rsidP="00491918">
      <w:pPr>
        <w:tabs>
          <w:tab w:val="left" w:pos="851"/>
        </w:tabs>
        <w:ind w:left="851" w:hanging="851"/>
        <w:rPr>
          <w:sz w:val="24"/>
          <w:szCs w:val="24"/>
        </w:rPr>
      </w:pPr>
      <w:r w:rsidRPr="00C84483">
        <w:rPr>
          <w:sz w:val="24"/>
          <w:szCs w:val="24"/>
        </w:rPr>
        <w:tab/>
      </w:r>
    </w:p>
    <w:p w:rsidR="00491918" w:rsidRPr="00C84483" w:rsidRDefault="00491918" w:rsidP="000E5DD8">
      <w:pPr>
        <w:keepNext/>
        <w:tabs>
          <w:tab w:val="left" w:pos="851"/>
        </w:tabs>
        <w:ind w:left="851" w:hanging="851"/>
        <w:rPr>
          <w:b/>
          <w:sz w:val="24"/>
          <w:szCs w:val="24"/>
        </w:rPr>
      </w:pPr>
      <w:r w:rsidRPr="00C84483">
        <w:rPr>
          <w:b/>
          <w:sz w:val="24"/>
          <w:szCs w:val="24"/>
        </w:rPr>
        <w:t>6.2</w:t>
      </w:r>
      <w:r w:rsidRPr="00C84483">
        <w:rPr>
          <w:b/>
          <w:sz w:val="24"/>
          <w:szCs w:val="24"/>
        </w:rPr>
        <w:tab/>
        <w:t>Uforligeligheder</w:t>
      </w:r>
    </w:p>
    <w:p w:rsidR="00491918" w:rsidRPr="00C84483" w:rsidRDefault="00491918" w:rsidP="00491918">
      <w:pPr>
        <w:tabs>
          <w:tab w:val="left" w:pos="851"/>
        </w:tabs>
        <w:ind w:left="851" w:hanging="851"/>
        <w:rPr>
          <w:sz w:val="24"/>
          <w:szCs w:val="24"/>
        </w:rPr>
      </w:pPr>
      <w:r w:rsidRPr="00C84483">
        <w:rPr>
          <w:sz w:val="24"/>
          <w:szCs w:val="24"/>
        </w:rPr>
        <w:tab/>
      </w:r>
      <w:r>
        <w:rPr>
          <w:sz w:val="24"/>
          <w:szCs w:val="24"/>
        </w:rPr>
        <w:t>Ikke relevant.</w:t>
      </w:r>
    </w:p>
    <w:p w:rsidR="00491918" w:rsidRPr="00C84483" w:rsidRDefault="00491918" w:rsidP="00491918">
      <w:pPr>
        <w:tabs>
          <w:tab w:val="left" w:pos="851"/>
        </w:tabs>
        <w:rPr>
          <w:sz w:val="24"/>
          <w:szCs w:val="24"/>
        </w:rPr>
      </w:pPr>
    </w:p>
    <w:p w:rsidR="00491918" w:rsidRPr="00C84483" w:rsidRDefault="00491918" w:rsidP="00491918">
      <w:pPr>
        <w:tabs>
          <w:tab w:val="left" w:pos="851"/>
        </w:tabs>
        <w:ind w:left="851" w:hanging="851"/>
        <w:rPr>
          <w:b/>
          <w:sz w:val="24"/>
          <w:szCs w:val="24"/>
        </w:rPr>
      </w:pPr>
      <w:r w:rsidRPr="00C84483">
        <w:rPr>
          <w:b/>
          <w:sz w:val="24"/>
          <w:szCs w:val="24"/>
        </w:rPr>
        <w:t>6.3</w:t>
      </w:r>
      <w:r w:rsidRPr="00C84483">
        <w:rPr>
          <w:b/>
          <w:sz w:val="24"/>
          <w:szCs w:val="24"/>
        </w:rPr>
        <w:tab/>
        <w:t>Opbevaringstid</w:t>
      </w:r>
    </w:p>
    <w:p w:rsidR="00491918" w:rsidRPr="00C84483" w:rsidRDefault="00491918" w:rsidP="00491918">
      <w:pPr>
        <w:tabs>
          <w:tab w:val="left" w:pos="851"/>
        </w:tabs>
        <w:ind w:left="851" w:hanging="851"/>
        <w:rPr>
          <w:sz w:val="24"/>
          <w:szCs w:val="24"/>
        </w:rPr>
      </w:pPr>
      <w:r w:rsidRPr="00C84483">
        <w:rPr>
          <w:sz w:val="24"/>
          <w:szCs w:val="24"/>
        </w:rPr>
        <w:tab/>
      </w:r>
      <w:r>
        <w:rPr>
          <w:sz w:val="24"/>
          <w:szCs w:val="24"/>
        </w:rPr>
        <w:t>2 år.</w:t>
      </w:r>
    </w:p>
    <w:p w:rsidR="00491918" w:rsidRPr="00C84483" w:rsidRDefault="00491918" w:rsidP="00491918">
      <w:pPr>
        <w:tabs>
          <w:tab w:val="left" w:pos="851"/>
        </w:tabs>
        <w:rPr>
          <w:sz w:val="24"/>
          <w:szCs w:val="24"/>
        </w:rPr>
      </w:pPr>
    </w:p>
    <w:p w:rsidR="00491918" w:rsidRPr="00C84483" w:rsidRDefault="00491918" w:rsidP="0049191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491918" w:rsidRDefault="00491918" w:rsidP="00491918">
      <w:pPr>
        <w:tabs>
          <w:tab w:val="left" w:pos="851"/>
        </w:tabs>
        <w:ind w:left="851"/>
        <w:rPr>
          <w:sz w:val="24"/>
          <w:lang w:eastAsia="da-DK"/>
        </w:rPr>
      </w:pPr>
      <w:r>
        <w:t>Dette lægemiddel kræver ikke særlige opbevaringsforhold.</w:t>
      </w:r>
    </w:p>
    <w:p w:rsidR="00491918" w:rsidRPr="00C84483" w:rsidRDefault="00491918" w:rsidP="00491918">
      <w:pPr>
        <w:tabs>
          <w:tab w:val="left" w:pos="851"/>
        </w:tabs>
        <w:ind w:left="851" w:hanging="851"/>
        <w:rPr>
          <w:sz w:val="24"/>
          <w:szCs w:val="24"/>
        </w:rPr>
      </w:pPr>
    </w:p>
    <w:p w:rsidR="00491918" w:rsidRPr="000E5DD8" w:rsidRDefault="00491918" w:rsidP="000E5DD8">
      <w:pPr>
        <w:keepNext/>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491918" w:rsidRPr="00D1342F" w:rsidRDefault="00491918" w:rsidP="00491918">
      <w:pPr>
        <w:tabs>
          <w:tab w:val="left" w:pos="851"/>
        </w:tabs>
        <w:ind w:left="851"/>
        <w:rPr>
          <w:sz w:val="24"/>
          <w:u w:val="single"/>
          <w:lang w:eastAsia="da-DK"/>
        </w:rPr>
      </w:pPr>
      <w:r w:rsidRPr="00B37CC1">
        <w:rPr>
          <w:sz w:val="24"/>
          <w:u w:val="single"/>
          <w:lang w:eastAsia="da-DK"/>
        </w:rPr>
        <w:t>Aluminium-aluminium-blister</w:t>
      </w:r>
    </w:p>
    <w:p w:rsidR="00491918" w:rsidRDefault="00491918" w:rsidP="00491918">
      <w:pPr>
        <w:tabs>
          <w:tab w:val="left" w:pos="851"/>
        </w:tabs>
        <w:ind w:left="851"/>
        <w:rPr>
          <w:sz w:val="24"/>
          <w:lang w:eastAsia="da-DK"/>
        </w:rPr>
      </w:pPr>
      <w:r>
        <w:rPr>
          <w:sz w:val="24"/>
          <w:lang w:eastAsia="da-DK"/>
        </w:rPr>
        <w:t>Pakningsstørrelser</w:t>
      </w:r>
      <w:r w:rsidRPr="00B37CC1">
        <w:rPr>
          <w:sz w:val="24"/>
          <w:lang w:eastAsia="da-DK"/>
        </w:rPr>
        <w:t>: 30, 30</w:t>
      </w:r>
      <w:r>
        <w:rPr>
          <w:sz w:val="24"/>
          <w:lang w:eastAsia="da-DK"/>
        </w:rPr>
        <w:t>×</w:t>
      </w:r>
      <w:r w:rsidRPr="00B37CC1">
        <w:rPr>
          <w:sz w:val="24"/>
          <w:lang w:eastAsia="da-DK"/>
        </w:rPr>
        <w:t>1, 90 og 90</w:t>
      </w:r>
      <w:r>
        <w:rPr>
          <w:sz w:val="24"/>
          <w:lang w:eastAsia="da-DK"/>
        </w:rPr>
        <w:t>×</w:t>
      </w:r>
      <w:r w:rsidRPr="00B37CC1">
        <w:rPr>
          <w:sz w:val="24"/>
          <w:lang w:eastAsia="da-DK"/>
        </w:rPr>
        <w:t xml:space="preserve">1 </w:t>
      </w:r>
      <w:r>
        <w:rPr>
          <w:sz w:val="24"/>
          <w:lang w:eastAsia="da-DK"/>
        </w:rPr>
        <w:t>tabletter, 10 x 1 tabletter (hospitalspakning)</w:t>
      </w:r>
    </w:p>
    <w:p w:rsidR="00491918" w:rsidRPr="00B37CC1" w:rsidRDefault="00491918" w:rsidP="00491918">
      <w:pPr>
        <w:tabs>
          <w:tab w:val="left" w:pos="851"/>
        </w:tabs>
        <w:ind w:left="851"/>
        <w:rPr>
          <w:sz w:val="24"/>
          <w:lang w:eastAsia="da-DK"/>
        </w:rPr>
      </w:pPr>
    </w:p>
    <w:p w:rsidR="00491918" w:rsidRPr="006B3BB5" w:rsidRDefault="00491918" w:rsidP="00491918">
      <w:pPr>
        <w:tabs>
          <w:tab w:val="left" w:pos="851"/>
        </w:tabs>
        <w:ind w:left="851"/>
        <w:rPr>
          <w:sz w:val="24"/>
          <w:u w:val="single"/>
          <w:lang w:eastAsia="da-DK"/>
        </w:rPr>
      </w:pPr>
      <w:r w:rsidRPr="00B37CC1">
        <w:rPr>
          <w:sz w:val="24"/>
          <w:u w:val="single"/>
          <w:lang w:eastAsia="da-DK"/>
        </w:rPr>
        <w:t>Hvid HDPE-beholder med børnesikret, polypropylen-tætningslukning og et eller to tørremidler</w:t>
      </w:r>
      <w:r w:rsidRPr="006B3BB5">
        <w:rPr>
          <w:sz w:val="24"/>
          <w:u w:val="single"/>
          <w:lang w:eastAsia="da-DK"/>
        </w:rPr>
        <w:t>.</w:t>
      </w:r>
    </w:p>
    <w:p w:rsidR="00491918" w:rsidRPr="00B37CC1" w:rsidRDefault="00491918" w:rsidP="00491918">
      <w:pPr>
        <w:tabs>
          <w:tab w:val="left" w:pos="851"/>
        </w:tabs>
        <w:ind w:left="851"/>
        <w:rPr>
          <w:sz w:val="24"/>
          <w:lang w:eastAsia="da-DK"/>
        </w:rPr>
      </w:pPr>
      <w:r>
        <w:rPr>
          <w:sz w:val="24"/>
          <w:lang w:eastAsia="da-DK"/>
        </w:rPr>
        <w:t xml:space="preserve">Pakningsstørrelser: </w:t>
      </w:r>
      <w:r w:rsidRPr="00B37CC1">
        <w:rPr>
          <w:sz w:val="24"/>
          <w:lang w:eastAsia="da-DK"/>
        </w:rPr>
        <w:t xml:space="preserve">30 og 90 </w:t>
      </w:r>
      <w:r>
        <w:rPr>
          <w:sz w:val="24"/>
          <w:lang w:eastAsia="da-DK"/>
        </w:rPr>
        <w:t>tabletter</w:t>
      </w:r>
      <w:r w:rsidRPr="00B37CC1">
        <w:rPr>
          <w:sz w:val="24"/>
          <w:lang w:eastAsia="da-DK"/>
        </w:rPr>
        <w:t xml:space="preserve"> (3</w:t>
      </w:r>
      <w:r>
        <w:rPr>
          <w:sz w:val="24"/>
          <w:lang w:eastAsia="da-DK"/>
        </w:rPr>
        <w:t>×</w:t>
      </w:r>
      <w:r w:rsidRPr="00B37CC1">
        <w:rPr>
          <w:sz w:val="24"/>
          <w:lang w:eastAsia="da-DK"/>
        </w:rPr>
        <w:t>30).</w:t>
      </w:r>
    </w:p>
    <w:p w:rsidR="00491918" w:rsidRPr="00B37CC1" w:rsidRDefault="00491918" w:rsidP="00491918">
      <w:pPr>
        <w:tabs>
          <w:tab w:val="left" w:pos="851"/>
        </w:tabs>
        <w:ind w:left="851"/>
        <w:rPr>
          <w:sz w:val="24"/>
          <w:lang w:eastAsia="da-DK"/>
        </w:rPr>
      </w:pPr>
    </w:p>
    <w:p w:rsidR="00491918" w:rsidRPr="006B3BB5" w:rsidRDefault="00491918" w:rsidP="00491918">
      <w:pPr>
        <w:tabs>
          <w:tab w:val="left" w:pos="851"/>
        </w:tabs>
        <w:ind w:left="851"/>
        <w:rPr>
          <w:sz w:val="24"/>
          <w:lang w:eastAsia="da-DK"/>
        </w:rPr>
      </w:pPr>
      <w:r w:rsidRPr="00B37CC1">
        <w:rPr>
          <w:sz w:val="24"/>
          <w:lang w:eastAsia="da-DK"/>
        </w:rPr>
        <w:t>Ikke alle pakningsstørrelser er nødvendigvis markedsført.</w:t>
      </w:r>
    </w:p>
    <w:p w:rsidR="00491918" w:rsidRPr="00C84483" w:rsidRDefault="00491918" w:rsidP="00491918">
      <w:pPr>
        <w:tabs>
          <w:tab w:val="left" w:pos="851"/>
        </w:tabs>
        <w:rPr>
          <w:sz w:val="24"/>
          <w:szCs w:val="24"/>
        </w:rPr>
      </w:pPr>
    </w:p>
    <w:p w:rsidR="00491918" w:rsidRPr="00C84483" w:rsidRDefault="00491918" w:rsidP="00491918">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E359D7">
        <w:rPr>
          <w:b/>
          <w:sz w:val="24"/>
          <w:szCs w:val="24"/>
        </w:rPr>
        <w:t>bortskaffelse</w:t>
      </w:r>
      <w:r w:rsidRPr="00C84483">
        <w:rPr>
          <w:b/>
          <w:sz w:val="24"/>
          <w:szCs w:val="24"/>
        </w:rPr>
        <w:t xml:space="preserve"> og anden håndtering</w:t>
      </w:r>
    </w:p>
    <w:p w:rsidR="00491918" w:rsidRPr="006B3BB5" w:rsidRDefault="00491918" w:rsidP="00491918">
      <w:pPr>
        <w:tabs>
          <w:tab w:val="left" w:pos="851"/>
        </w:tabs>
        <w:ind w:left="851"/>
        <w:rPr>
          <w:sz w:val="24"/>
          <w:lang w:eastAsia="da-DK"/>
        </w:rPr>
      </w:pPr>
      <w:r w:rsidRPr="006B3BB5">
        <w:rPr>
          <w:sz w:val="24"/>
          <w:lang w:eastAsia="da-DK"/>
        </w:rPr>
        <w:t>Ikke anvendt lægemiddel samt affald heraf skal destrueres i henhold til lokale retningslinjer.</w:t>
      </w:r>
    </w:p>
    <w:p w:rsidR="00491918" w:rsidRPr="00C84483" w:rsidRDefault="00491918" w:rsidP="00491918">
      <w:pPr>
        <w:tabs>
          <w:tab w:val="left" w:pos="851"/>
        </w:tabs>
        <w:jc w:val="both"/>
        <w:rPr>
          <w:sz w:val="24"/>
          <w:szCs w:val="24"/>
        </w:rPr>
      </w:pPr>
    </w:p>
    <w:p w:rsidR="00491918" w:rsidRPr="00C84483" w:rsidRDefault="00491918" w:rsidP="00491918">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91918" w:rsidRPr="007E3DC8" w:rsidRDefault="00491918" w:rsidP="00491918">
      <w:pPr>
        <w:ind w:firstLine="855"/>
        <w:rPr>
          <w:spacing w:val="-3"/>
          <w:sz w:val="24"/>
          <w:szCs w:val="24"/>
        </w:rPr>
      </w:pPr>
      <w:r w:rsidRPr="007E3DC8">
        <w:rPr>
          <w:spacing w:val="-3"/>
          <w:sz w:val="24"/>
          <w:szCs w:val="24"/>
        </w:rPr>
        <w:t>Teva B.V.</w:t>
      </w:r>
    </w:p>
    <w:p w:rsidR="00491918" w:rsidRPr="007E3DC8" w:rsidRDefault="00491918" w:rsidP="00491918">
      <w:pPr>
        <w:ind w:firstLine="855"/>
        <w:rPr>
          <w:spacing w:val="-3"/>
          <w:sz w:val="24"/>
          <w:szCs w:val="24"/>
        </w:rPr>
      </w:pPr>
      <w:r w:rsidRPr="007E3DC8">
        <w:rPr>
          <w:spacing w:val="-3"/>
          <w:sz w:val="24"/>
          <w:szCs w:val="24"/>
        </w:rPr>
        <w:t>Swensweg 5</w:t>
      </w:r>
    </w:p>
    <w:p w:rsidR="00491918" w:rsidRPr="007E3DC8" w:rsidRDefault="00491918" w:rsidP="00491918">
      <w:pPr>
        <w:ind w:firstLine="855"/>
        <w:rPr>
          <w:spacing w:val="-3"/>
          <w:sz w:val="24"/>
          <w:szCs w:val="24"/>
        </w:rPr>
      </w:pPr>
      <w:r w:rsidRPr="007E3DC8">
        <w:rPr>
          <w:spacing w:val="-3"/>
          <w:szCs w:val="24"/>
        </w:rPr>
        <w:t xml:space="preserve">2031 GA </w:t>
      </w:r>
      <w:r w:rsidRPr="007E3DC8">
        <w:rPr>
          <w:spacing w:val="-3"/>
          <w:sz w:val="24"/>
          <w:szCs w:val="24"/>
        </w:rPr>
        <w:t>Haarlem</w:t>
      </w:r>
    </w:p>
    <w:p w:rsidR="00491918" w:rsidRPr="007E3DC8" w:rsidRDefault="00491918" w:rsidP="00491918">
      <w:pPr>
        <w:ind w:left="855"/>
        <w:rPr>
          <w:spacing w:val="-3"/>
          <w:sz w:val="24"/>
          <w:szCs w:val="24"/>
        </w:rPr>
      </w:pPr>
      <w:r w:rsidRPr="007E3DC8">
        <w:rPr>
          <w:spacing w:val="-3"/>
          <w:sz w:val="24"/>
          <w:szCs w:val="24"/>
        </w:rPr>
        <w:t>Holland</w:t>
      </w:r>
    </w:p>
    <w:p w:rsidR="00491918" w:rsidRPr="007E3DC8" w:rsidRDefault="00491918" w:rsidP="00491918">
      <w:pPr>
        <w:rPr>
          <w:spacing w:val="-3"/>
          <w:sz w:val="24"/>
          <w:szCs w:val="24"/>
        </w:rPr>
      </w:pPr>
    </w:p>
    <w:p w:rsidR="00491918" w:rsidRPr="007E3DC8" w:rsidRDefault="00491918" w:rsidP="00491918">
      <w:pPr>
        <w:ind w:firstLine="855"/>
        <w:rPr>
          <w:b/>
          <w:spacing w:val="-3"/>
          <w:sz w:val="24"/>
          <w:szCs w:val="24"/>
        </w:rPr>
      </w:pPr>
      <w:r w:rsidRPr="007E3DC8">
        <w:rPr>
          <w:b/>
          <w:spacing w:val="-3"/>
          <w:sz w:val="24"/>
          <w:szCs w:val="24"/>
        </w:rPr>
        <w:t>Repræsentant</w:t>
      </w:r>
    </w:p>
    <w:p w:rsidR="00491918" w:rsidRPr="007E3DC8" w:rsidRDefault="00491918" w:rsidP="00491918">
      <w:pPr>
        <w:ind w:firstLine="855"/>
        <w:rPr>
          <w:spacing w:val="-3"/>
          <w:sz w:val="24"/>
          <w:szCs w:val="24"/>
        </w:rPr>
      </w:pPr>
      <w:r w:rsidRPr="007E3DC8">
        <w:rPr>
          <w:spacing w:val="-3"/>
          <w:sz w:val="24"/>
          <w:szCs w:val="24"/>
        </w:rPr>
        <w:t>Teva Denmark A/S</w:t>
      </w:r>
    </w:p>
    <w:p w:rsidR="00491918" w:rsidRDefault="00491918" w:rsidP="00491918">
      <w:pPr>
        <w:ind w:firstLine="855"/>
        <w:rPr>
          <w:spacing w:val="-3"/>
          <w:sz w:val="24"/>
          <w:szCs w:val="24"/>
        </w:rPr>
      </w:pPr>
      <w:r>
        <w:rPr>
          <w:spacing w:val="-3"/>
          <w:sz w:val="24"/>
          <w:szCs w:val="24"/>
        </w:rPr>
        <w:t>Vandtårnsvej 83a</w:t>
      </w:r>
    </w:p>
    <w:p w:rsidR="00491918" w:rsidRPr="005341E2" w:rsidRDefault="00491918" w:rsidP="00491918">
      <w:pPr>
        <w:ind w:firstLine="855"/>
      </w:pPr>
      <w:r>
        <w:rPr>
          <w:spacing w:val="-3"/>
          <w:sz w:val="24"/>
          <w:szCs w:val="24"/>
        </w:rPr>
        <w:t>2860 Søborg</w:t>
      </w:r>
    </w:p>
    <w:p w:rsidR="00491918" w:rsidRPr="00C84483" w:rsidRDefault="00491918" w:rsidP="00491918">
      <w:pPr>
        <w:tabs>
          <w:tab w:val="left" w:pos="851"/>
        </w:tabs>
        <w:ind w:left="851" w:hanging="851"/>
        <w:rPr>
          <w:sz w:val="24"/>
          <w:szCs w:val="24"/>
        </w:rPr>
      </w:pPr>
      <w:r w:rsidRPr="00C84483">
        <w:rPr>
          <w:sz w:val="24"/>
          <w:szCs w:val="24"/>
        </w:rPr>
        <w:tab/>
      </w:r>
    </w:p>
    <w:p w:rsidR="00491918" w:rsidRPr="00C84483" w:rsidRDefault="00491918" w:rsidP="0049191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E359D7">
        <w:rPr>
          <w:b/>
          <w:sz w:val="24"/>
          <w:szCs w:val="24"/>
        </w:rPr>
        <w:t>-</w:t>
      </w:r>
      <w:r w:rsidRPr="00C84483">
        <w:rPr>
          <w:b/>
          <w:sz w:val="24"/>
          <w:szCs w:val="24"/>
        </w:rPr>
        <w:t>NUMRE)</w:t>
      </w:r>
    </w:p>
    <w:p w:rsidR="00491918" w:rsidRPr="00C84483" w:rsidRDefault="00491918" w:rsidP="00491918">
      <w:pPr>
        <w:tabs>
          <w:tab w:val="left" w:pos="851"/>
        </w:tabs>
        <w:ind w:left="851" w:hanging="851"/>
        <w:rPr>
          <w:sz w:val="24"/>
          <w:szCs w:val="24"/>
        </w:rPr>
      </w:pPr>
      <w:r w:rsidRPr="00C84483">
        <w:rPr>
          <w:sz w:val="24"/>
          <w:szCs w:val="24"/>
        </w:rPr>
        <w:tab/>
      </w:r>
      <w:r>
        <w:rPr>
          <w:sz w:val="24"/>
          <w:szCs w:val="24"/>
        </w:rPr>
        <w:t>54585</w:t>
      </w:r>
    </w:p>
    <w:p w:rsidR="00491918" w:rsidRPr="00C84483" w:rsidRDefault="00491918" w:rsidP="00491918">
      <w:pPr>
        <w:tabs>
          <w:tab w:val="left" w:pos="851"/>
        </w:tabs>
        <w:jc w:val="both"/>
        <w:rPr>
          <w:sz w:val="24"/>
          <w:szCs w:val="24"/>
        </w:rPr>
      </w:pPr>
    </w:p>
    <w:p w:rsidR="00491918" w:rsidRPr="00C84483" w:rsidRDefault="00491918" w:rsidP="0049191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491918" w:rsidRPr="00C84483" w:rsidRDefault="00491918" w:rsidP="00491918">
      <w:pPr>
        <w:tabs>
          <w:tab w:val="left" w:pos="851"/>
        </w:tabs>
        <w:rPr>
          <w:sz w:val="24"/>
          <w:szCs w:val="24"/>
        </w:rPr>
      </w:pPr>
      <w:r w:rsidRPr="00C84483">
        <w:rPr>
          <w:sz w:val="24"/>
          <w:szCs w:val="24"/>
        </w:rPr>
        <w:tab/>
      </w:r>
      <w:r>
        <w:rPr>
          <w:sz w:val="24"/>
          <w:szCs w:val="24"/>
        </w:rPr>
        <w:t>11. august 2015</w:t>
      </w:r>
    </w:p>
    <w:p w:rsidR="00491918" w:rsidRPr="00C84483" w:rsidRDefault="00491918" w:rsidP="00491918">
      <w:pPr>
        <w:tabs>
          <w:tab w:val="left" w:pos="851"/>
        </w:tabs>
        <w:rPr>
          <w:sz w:val="24"/>
          <w:szCs w:val="24"/>
        </w:rPr>
      </w:pPr>
    </w:p>
    <w:p w:rsidR="00491918" w:rsidRPr="00C84483" w:rsidRDefault="00491918" w:rsidP="00491918">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491918" w:rsidRPr="00B40D07" w:rsidRDefault="00491918" w:rsidP="00491918">
      <w:pPr>
        <w:tabs>
          <w:tab w:val="left" w:pos="851"/>
        </w:tabs>
        <w:rPr>
          <w:sz w:val="24"/>
          <w:szCs w:val="24"/>
        </w:rPr>
      </w:pPr>
      <w:r w:rsidRPr="00B40D07">
        <w:rPr>
          <w:sz w:val="24"/>
          <w:szCs w:val="24"/>
        </w:rPr>
        <w:tab/>
      </w:r>
      <w:r w:rsidR="00E0577D">
        <w:rPr>
          <w:sz w:val="24"/>
          <w:szCs w:val="24"/>
        </w:rPr>
        <w:t>18. december 2024</w:t>
      </w:r>
    </w:p>
    <w:p w:rsidR="009260DE" w:rsidRPr="00491918" w:rsidRDefault="009260DE" w:rsidP="00491918"/>
    <w:sectPr w:rsidR="009260DE" w:rsidRPr="0049191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0EC" w:rsidRDefault="00FE70EC">
      <w:r>
        <w:separator/>
      </w:r>
    </w:p>
  </w:endnote>
  <w:endnote w:type="continuationSeparator" w:id="0">
    <w:p w:rsidR="00FE70EC" w:rsidRDefault="00FE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0EC" w:rsidRDefault="00FE70EC">
    <w:pPr>
      <w:pStyle w:val="Sidefod"/>
      <w:pBdr>
        <w:bottom w:val="single" w:sz="6" w:space="1" w:color="auto"/>
      </w:pBdr>
    </w:pPr>
  </w:p>
  <w:p w:rsidR="00FE70EC" w:rsidRDefault="00FE70EC" w:rsidP="00C42586">
    <w:pPr>
      <w:pStyle w:val="Sidefod"/>
      <w:tabs>
        <w:tab w:val="clear" w:pos="4819"/>
        <w:tab w:val="left" w:pos="8505"/>
      </w:tabs>
      <w:rPr>
        <w:i/>
        <w:sz w:val="18"/>
        <w:szCs w:val="18"/>
      </w:rPr>
    </w:pPr>
  </w:p>
  <w:p w:rsidR="00FE70EC" w:rsidRPr="00B373D7" w:rsidRDefault="00FE70E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Tenofovir disoproxil Teva, filmovertrukne tabletter 245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0EC" w:rsidRDefault="00FE70EC">
      <w:r>
        <w:separator/>
      </w:r>
    </w:p>
  </w:footnote>
  <w:footnote w:type="continuationSeparator" w:id="0">
    <w:p w:rsidR="00FE70EC" w:rsidRDefault="00FE7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97E0CAB"/>
    <w:multiLevelType w:val="hybridMultilevel"/>
    <w:tmpl w:val="1970224A"/>
    <w:lvl w:ilvl="0" w:tplc="1984477A">
      <w:numFmt w:val="bullet"/>
      <w:lvlText w:val="-"/>
      <w:lvlJc w:val="left"/>
      <w:pPr>
        <w:ind w:left="1211" w:hanging="360"/>
      </w:pPr>
      <w:rPr>
        <w:rFonts w:ascii="Times New Roman" w:eastAsia="Times New Roman" w:hAnsi="Times New Roman" w:hint="default"/>
      </w:rPr>
    </w:lvl>
    <w:lvl w:ilvl="1" w:tplc="04060003" w:tentative="1">
      <w:start w:val="1"/>
      <w:numFmt w:val="bullet"/>
      <w:lvlText w:val="o"/>
      <w:lvlJc w:val="left"/>
      <w:pPr>
        <w:ind w:left="1931" w:hanging="360"/>
      </w:pPr>
      <w:rPr>
        <w:rFonts w:ascii="Courier New" w:hAnsi="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E7B01E6"/>
    <w:multiLevelType w:val="hybridMultilevel"/>
    <w:tmpl w:val="FB741D36"/>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1"/>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18"/>
    <w:rsid w:val="000259B9"/>
    <w:rsid w:val="00041491"/>
    <w:rsid w:val="00050D16"/>
    <w:rsid w:val="00074F2A"/>
    <w:rsid w:val="000A1CA8"/>
    <w:rsid w:val="000A466B"/>
    <w:rsid w:val="000B058C"/>
    <w:rsid w:val="000E4EE6"/>
    <w:rsid w:val="000E5DD8"/>
    <w:rsid w:val="001454E2"/>
    <w:rsid w:val="00206CE8"/>
    <w:rsid w:val="0021526C"/>
    <w:rsid w:val="002645CF"/>
    <w:rsid w:val="0027257E"/>
    <w:rsid w:val="00283A2B"/>
    <w:rsid w:val="002B30AD"/>
    <w:rsid w:val="002C2C01"/>
    <w:rsid w:val="003407E4"/>
    <w:rsid w:val="00360DF2"/>
    <w:rsid w:val="00370655"/>
    <w:rsid w:val="003A29AE"/>
    <w:rsid w:val="003A32D7"/>
    <w:rsid w:val="003B4074"/>
    <w:rsid w:val="003C769A"/>
    <w:rsid w:val="003F1838"/>
    <w:rsid w:val="0045746C"/>
    <w:rsid w:val="0049104B"/>
    <w:rsid w:val="00491918"/>
    <w:rsid w:val="004E3B12"/>
    <w:rsid w:val="00532310"/>
    <w:rsid w:val="00560ECC"/>
    <w:rsid w:val="00565F0F"/>
    <w:rsid w:val="00594A86"/>
    <w:rsid w:val="00596D86"/>
    <w:rsid w:val="00637F5A"/>
    <w:rsid w:val="006560B1"/>
    <w:rsid w:val="006756DD"/>
    <w:rsid w:val="006B5C7B"/>
    <w:rsid w:val="00710D4D"/>
    <w:rsid w:val="00737275"/>
    <w:rsid w:val="00740EEC"/>
    <w:rsid w:val="0078011A"/>
    <w:rsid w:val="00782AF4"/>
    <w:rsid w:val="00790EE7"/>
    <w:rsid w:val="007B6649"/>
    <w:rsid w:val="0081546F"/>
    <w:rsid w:val="0082576E"/>
    <w:rsid w:val="008E5D5D"/>
    <w:rsid w:val="00907F75"/>
    <w:rsid w:val="009260DE"/>
    <w:rsid w:val="0093258A"/>
    <w:rsid w:val="00960E23"/>
    <w:rsid w:val="0096487B"/>
    <w:rsid w:val="009C5B29"/>
    <w:rsid w:val="009C7BA3"/>
    <w:rsid w:val="009D1F5A"/>
    <w:rsid w:val="00B003BF"/>
    <w:rsid w:val="00B373D7"/>
    <w:rsid w:val="00C04C62"/>
    <w:rsid w:val="00C36276"/>
    <w:rsid w:val="00C42586"/>
    <w:rsid w:val="00C60CCD"/>
    <w:rsid w:val="00C84483"/>
    <w:rsid w:val="00C95551"/>
    <w:rsid w:val="00C956F3"/>
    <w:rsid w:val="00CB20D7"/>
    <w:rsid w:val="00D020B0"/>
    <w:rsid w:val="00D11748"/>
    <w:rsid w:val="00D366CF"/>
    <w:rsid w:val="00D744E2"/>
    <w:rsid w:val="00DA0437"/>
    <w:rsid w:val="00DA213B"/>
    <w:rsid w:val="00E0577D"/>
    <w:rsid w:val="00E108AA"/>
    <w:rsid w:val="00E31812"/>
    <w:rsid w:val="00E359D7"/>
    <w:rsid w:val="00E3749A"/>
    <w:rsid w:val="00E7437F"/>
    <w:rsid w:val="00E84530"/>
    <w:rsid w:val="00E865B8"/>
    <w:rsid w:val="00EC0B9B"/>
    <w:rsid w:val="00ED5E9F"/>
    <w:rsid w:val="00F66D4F"/>
    <w:rsid w:val="00FB6D01"/>
    <w:rsid w:val="00FE70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D225B"/>
  <w15:chartTrackingRefBased/>
  <w15:docId w15:val="{D04417D6-3CB7-49B9-8E0F-E383D9C1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91918"/>
    <w:rPr>
      <w:rFonts w:ascii="Arial" w:hAnsi="Arial"/>
      <w:b/>
      <w:kern w:val="28"/>
      <w:sz w:val="28"/>
      <w:lang w:eastAsia="en-US"/>
    </w:rPr>
  </w:style>
  <w:style w:type="character" w:customStyle="1" w:styleId="Overskrift3Tegn">
    <w:name w:val="Overskrift 3 Tegn"/>
    <w:basedOn w:val="Standardskrifttypeiafsnit"/>
    <w:link w:val="Overskrift3"/>
    <w:rsid w:val="00491918"/>
    <w:rPr>
      <w:rFonts w:ascii="Arial" w:hAnsi="Arial"/>
      <w:sz w:val="24"/>
      <w:lang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91918"/>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491918"/>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491918"/>
    <w:rPr>
      <w:color w:val="808080"/>
    </w:rPr>
  </w:style>
  <w:style w:type="paragraph" w:customStyle="1" w:styleId="Default">
    <w:name w:val="Default"/>
    <w:rsid w:val="00491918"/>
    <w:pPr>
      <w:autoSpaceDE w:val="0"/>
      <w:autoSpaceDN w:val="0"/>
      <w:adjustRightInd w:val="0"/>
    </w:pPr>
    <w:rPr>
      <w:color w:val="000000"/>
      <w:sz w:val="24"/>
      <w:szCs w:val="24"/>
    </w:rPr>
  </w:style>
  <w:style w:type="character" w:styleId="Hyperlink">
    <w:name w:val="Hyperlink"/>
    <w:basedOn w:val="Standardskrifttypeiafsnit"/>
    <w:uiPriority w:val="99"/>
    <w:semiHidden/>
    <w:unhideWhenUsed/>
    <w:rsid w:val="00491918"/>
    <w:rPr>
      <w:color w:val="0000FF"/>
      <w:u w:val="single"/>
    </w:rPr>
  </w:style>
  <w:style w:type="character" w:styleId="BesgtLink">
    <w:name w:val="FollowedHyperlink"/>
    <w:basedOn w:val="Standardskrifttypeiafsnit"/>
    <w:uiPriority w:val="99"/>
    <w:semiHidden/>
    <w:unhideWhenUsed/>
    <w:rsid w:val="00491918"/>
    <w:rPr>
      <w:color w:val="954F72" w:themeColor="followedHyperlink"/>
      <w:u w:val="single"/>
    </w:rPr>
  </w:style>
  <w:style w:type="paragraph" w:styleId="Listeafsnit">
    <w:name w:val="List Paragraph"/>
    <w:basedOn w:val="Normal"/>
    <w:uiPriority w:val="34"/>
    <w:qFormat/>
    <w:rsid w:val="00C04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1422468">
      <w:bodyDiv w:val="1"/>
      <w:marLeft w:val="0"/>
      <w:marRight w:val="0"/>
      <w:marTop w:val="0"/>
      <w:marBottom w:val="0"/>
      <w:divBdr>
        <w:top w:val="none" w:sz="0" w:space="0" w:color="auto"/>
        <w:left w:val="none" w:sz="0" w:space="0" w:color="auto"/>
        <w:bottom w:val="none" w:sz="0" w:space="0" w:color="auto"/>
        <w:right w:val="none" w:sz="0" w:space="0" w:color="auto"/>
      </w:divBdr>
    </w:div>
    <w:div w:id="405762271">
      <w:bodyDiv w:val="1"/>
      <w:marLeft w:val="0"/>
      <w:marRight w:val="0"/>
      <w:marTop w:val="0"/>
      <w:marBottom w:val="0"/>
      <w:divBdr>
        <w:top w:val="none" w:sz="0" w:space="0" w:color="auto"/>
        <w:left w:val="none" w:sz="0" w:space="0" w:color="auto"/>
        <w:bottom w:val="none" w:sz="0" w:space="0" w:color="auto"/>
        <w:right w:val="none" w:sz="0" w:space="0" w:color="auto"/>
      </w:divBdr>
    </w:div>
    <w:div w:id="637802039">
      <w:bodyDiv w:val="1"/>
      <w:marLeft w:val="0"/>
      <w:marRight w:val="0"/>
      <w:marTop w:val="0"/>
      <w:marBottom w:val="0"/>
      <w:divBdr>
        <w:top w:val="none" w:sz="0" w:space="0" w:color="auto"/>
        <w:left w:val="none" w:sz="0" w:space="0" w:color="auto"/>
        <w:bottom w:val="none" w:sz="0" w:space="0" w:color="auto"/>
        <w:right w:val="none" w:sz="0" w:space="0" w:color="auto"/>
      </w:divBdr>
    </w:div>
    <w:div w:id="697047722">
      <w:bodyDiv w:val="1"/>
      <w:marLeft w:val="0"/>
      <w:marRight w:val="0"/>
      <w:marTop w:val="0"/>
      <w:marBottom w:val="0"/>
      <w:divBdr>
        <w:top w:val="none" w:sz="0" w:space="0" w:color="auto"/>
        <w:left w:val="none" w:sz="0" w:space="0" w:color="auto"/>
        <w:bottom w:val="none" w:sz="0" w:space="0" w:color="auto"/>
        <w:right w:val="none" w:sz="0" w:space="0" w:color="auto"/>
      </w:divBdr>
    </w:div>
    <w:div w:id="735278579">
      <w:bodyDiv w:val="1"/>
      <w:marLeft w:val="0"/>
      <w:marRight w:val="0"/>
      <w:marTop w:val="0"/>
      <w:marBottom w:val="0"/>
      <w:divBdr>
        <w:top w:val="none" w:sz="0" w:space="0" w:color="auto"/>
        <w:left w:val="none" w:sz="0" w:space="0" w:color="auto"/>
        <w:bottom w:val="none" w:sz="0" w:space="0" w:color="auto"/>
        <w:right w:val="none" w:sz="0" w:space="0" w:color="auto"/>
      </w:divBdr>
    </w:div>
    <w:div w:id="1205866978">
      <w:bodyDiv w:val="1"/>
      <w:marLeft w:val="0"/>
      <w:marRight w:val="0"/>
      <w:marTop w:val="0"/>
      <w:marBottom w:val="0"/>
      <w:divBdr>
        <w:top w:val="none" w:sz="0" w:space="0" w:color="auto"/>
        <w:left w:val="none" w:sz="0" w:space="0" w:color="auto"/>
        <w:bottom w:val="none" w:sz="0" w:space="0" w:color="auto"/>
        <w:right w:val="none" w:sz="0" w:space="0" w:color="auto"/>
      </w:divBdr>
    </w:div>
    <w:div w:id="1303346473">
      <w:bodyDiv w:val="1"/>
      <w:marLeft w:val="0"/>
      <w:marRight w:val="0"/>
      <w:marTop w:val="0"/>
      <w:marBottom w:val="0"/>
      <w:divBdr>
        <w:top w:val="none" w:sz="0" w:space="0" w:color="auto"/>
        <w:left w:val="none" w:sz="0" w:space="0" w:color="auto"/>
        <w:bottom w:val="none" w:sz="0" w:space="0" w:color="auto"/>
        <w:right w:val="none" w:sz="0" w:space="0" w:color="auto"/>
      </w:divBdr>
    </w:div>
    <w:div w:id="1327781237">
      <w:bodyDiv w:val="1"/>
      <w:marLeft w:val="0"/>
      <w:marRight w:val="0"/>
      <w:marTop w:val="0"/>
      <w:marBottom w:val="0"/>
      <w:divBdr>
        <w:top w:val="none" w:sz="0" w:space="0" w:color="auto"/>
        <w:left w:val="none" w:sz="0" w:space="0" w:color="auto"/>
        <w:bottom w:val="none" w:sz="0" w:space="0" w:color="auto"/>
        <w:right w:val="none" w:sz="0" w:space="0" w:color="auto"/>
      </w:divBdr>
    </w:div>
    <w:div w:id="1488546452">
      <w:bodyDiv w:val="1"/>
      <w:marLeft w:val="0"/>
      <w:marRight w:val="0"/>
      <w:marTop w:val="0"/>
      <w:marBottom w:val="0"/>
      <w:divBdr>
        <w:top w:val="none" w:sz="0" w:space="0" w:color="auto"/>
        <w:left w:val="none" w:sz="0" w:space="0" w:color="auto"/>
        <w:bottom w:val="none" w:sz="0" w:space="0" w:color="auto"/>
        <w:right w:val="none" w:sz="0" w:space="0" w:color="auto"/>
      </w:divBdr>
    </w:div>
    <w:div w:id="1584951807">
      <w:bodyDiv w:val="1"/>
      <w:marLeft w:val="0"/>
      <w:marRight w:val="0"/>
      <w:marTop w:val="0"/>
      <w:marBottom w:val="0"/>
      <w:divBdr>
        <w:top w:val="none" w:sz="0" w:space="0" w:color="auto"/>
        <w:left w:val="none" w:sz="0" w:space="0" w:color="auto"/>
        <w:bottom w:val="none" w:sz="0" w:space="0" w:color="auto"/>
        <w:right w:val="none" w:sz="0" w:space="0" w:color="auto"/>
      </w:divBdr>
    </w:div>
    <w:div w:id="1690252670">
      <w:bodyDiv w:val="1"/>
      <w:marLeft w:val="0"/>
      <w:marRight w:val="0"/>
      <w:marTop w:val="0"/>
      <w:marBottom w:val="0"/>
      <w:divBdr>
        <w:top w:val="none" w:sz="0" w:space="0" w:color="auto"/>
        <w:left w:val="none" w:sz="0" w:space="0" w:color="auto"/>
        <w:bottom w:val="none" w:sz="0" w:space="0" w:color="auto"/>
        <w:right w:val="none" w:sz="0" w:space="0" w:color="auto"/>
      </w:divBdr>
    </w:div>
    <w:div w:id="1782534024">
      <w:bodyDiv w:val="1"/>
      <w:marLeft w:val="0"/>
      <w:marRight w:val="0"/>
      <w:marTop w:val="0"/>
      <w:marBottom w:val="0"/>
      <w:divBdr>
        <w:top w:val="none" w:sz="0" w:space="0" w:color="auto"/>
        <w:left w:val="none" w:sz="0" w:space="0" w:color="auto"/>
        <w:bottom w:val="none" w:sz="0" w:space="0" w:color="auto"/>
        <w:right w:val="none" w:sz="0" w:space="0" w:color="auto"/>
      </w:divBdr>
    </w:div>
    <w:div w:id="1875076580">
      <w:bodyDiv w:val="1"/>
      <w:marLeft w:val="0"/>
      <w:marRight w:val="0"/>
      <w:marTop w:val="0"/>
      <w:marBottom w:val="0"/>
      <w:divBdr>
        <w:top w:val="none" w:sz="0" w:space="0" w:color="auto"/>
        <w:left w:val="none" w:sz="0" w:space="0" w:color="auto"/>
        <w:bottom w:val="none" w:sz="0" w:space="0" w:color="auto"/>
        <w:right w:val="none" w:sz="0" w:space="0" w:color="auto"/>
      </w:divBdr>
    </w:div>
    <w:div w:id="192317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42</Pages>
  <Words>15014</Words>
  <Characters>96173</Characters>
  <Application>Microsoft Office Word</Application>
  <DocSecurity>0</DocSecurity>
  <Lines>801</Lines>
  <Paragraphs>221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2024042955 + 2023072514 - pkt. _x000d_
4.4, 4.6, 4.8, 5.1</dc:description>
  <cp:lastModifiedBy>Line Aaboe Würtz</cp:lastModifiedBy>
  <cp:revision>3</cp:revision>
  <cp:lastPrinted>2012-08-22T08:53:00Z</cp:lastPrinted>
  <dcterms:created xsi:type="dcterms:W3CDTF">2024-12-16T09:24:00Z</dcterms:created>
  <dcterms:modified xsi:type="dcterms:W3CDTF">2024-12-16T09:32:00Z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