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E02" w:rsidRDefault="001A5E02" w:rsidP="001A5E02">
      <w:pPr>
        <w:pStyle w:val="Titel"/>
        <w:tabs>
          <w:tab w:val="left" w:pos="6804"/>
        </w:tabs>
        <w:jc w:val="left"/>
        <w:rPr>
          <w:b w:val="0"/>
        </w:rPr>
      </w:pPr>
      <w:r>
        <w:rPr>
          <w:b w:val="0"/>
          <w:noProof/>
        </w:rPr>
        <w:drawing>
          <wp:inline distT="0" distB="0" distL="0" distR="0" wp14:anchorId="25BD1ADE" wp14:editId="62BC8CD0">
            <wp:extent cx="2560443" cy="710772"/>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 logo.png"/>
                    <pic:cNvPicPr/>
                  </pic:nvPicPr>
                  <pic:blipFill>
                    <a:blip r:embed="rId7">
                      <a:extLst>
                        <a:ext uri="{28A0092B-C50C-407E-A947-70E740481C1C}">
                          <a14:useLocalDpi xmlns:a14="http://schemas.microsoft.com/office/drawing/2010/main" val="0"/>
                        </a:ext>
                      </a:extLst>
                    </a:blip>
                    <a:stretch>
                      <a:fillRect/>
                    </a:stretch>
                  </pic:blipFill>
                  <pic:spPr>
                    <a:xfrm>
                      <a:off x="0" y="0"/>
                      <a:ext cx="2560443" cy="710772"/>
                    </a:xfrm>
                    <a:prstGeom prst="rect">
                      <a:avLst/>
                    </a:prstGeom>
                  </pic:spPr>
                </pic:pic>
              </a:graphicData>
            </a:graphic>
          </wp:inline>
        </w:drawing>
      </w:r>
    </w:p>
    <w:p w:rsidR="001A5E02" w:rsidRDefault="00D05C25" w:rsidP="001A5E02">
      <w:pPr>
        <w:pStyle w:val="Titel"/>
        <w:tabs>
          <w:tab w:val="left" w:pos="6804"/>
        </w:tabs>
        <w:jc w:val="right"/>
      </w:pPr>
      <w:r>
        <w:t>10</w:t>
      </w:r>
      <w:r w:rsidR="00057648">
        <w:t xml:space="preserve">. </w:t>
      </w:r>
      <w:r>
        <w:t>april</w:t>
      </w:r>
      <w:r w:rsidR="00057648">
        <w:t xml:space="preserve"> 202</w:t>
      </w:r>
      <w:r>
        <w:t>4</w:t>
      </w:r>
    </w:p>
    <w:p w:rsidR="001A5E02" w:rsidRDefault="001A5E02" w:rsidP="001A5E02">
      <w:pPr>
        <w:pStyle w:val="Titel"/>
        <w:tabs>
          <w:tab w:val="left" w:pos="8222"/>
        </w:tabs>
        <w:jc w:val="left"/>
        <w:rPr>
          <w:b w:val="0"/>
        </w:rPr>
      </w:pPr>
    </w:p>
    <w:p w:rsidR="001A5E02" w:rsidRDefault="001A5E02" w:rsidP="001A5E02">
      <w:pPr>
        <w:pStyle w:val="Titel"/>
        <w:jc w:val="left"/>
        <w:rPr>
          <w:b w:val="0"/>
        </w:rPr>
      </w:pPr>
    </w:p>
    <w:p w:rsidR="001A5E02" w:rsidRDefault="001A5E02" w:rsidP="001A5E02">
      <w:pPr>
        <w:jc w:val="center"/>
        <w:rPr>
          <w:b/>
        </w:rPr>
      </w:pPr>
      <w:r>
        <w:rPr>
          <w:b/>
        </w:rPr>
        <w:t>PRODUKTRESUMÉ</w:t>
      </w:r>
    </w:p>
    <w:p w:rsidR="001A5E02" w:rsidRDefault="001A5E02" w:rsidP="001A5E02">
      <w:pPr>
        <w:jc w:val="center"/>
        <w:rPr>
          <w:b/>
        </w:rPr>
      </w:pPr>
    </w:p>
    <w:p w:rsidR="001A5E02" w:rsidRDefault="001A5E02" w:rsidP="001A5E02">
      <w:pPr>
        <w:jc w:val="center"/>
        <w:rPr>
          <w:b/>
        </w:rPr>
      </w:pPr>
      <w:r>
        <w:rPr>
          <w:b/>
        </w:rPr>
        <w:t>for</w:t>
      </w:r>
    </w:p>
    <w:p w:rsidR="001A5E02" w:rsidRDefault="001A5E02" w:rsidP="001A5E02">
      <w:pPr>
        <w:jc w:val="center"/>
        <w:rPr>
          <w:b/>
        </w:rPr>
      </w:pPr>
    </w:p>
    <w:p w:rsidR="001A5E02" w:rsidRDefault="001A5E02" w:rsidP="001A5E02">
      <w:pPr>
        <w:jc w:val="center"/>
        <w:rPr>
          <w:b/>
        </w:rPr>
      </w:pPr>
      <w:proofErr w:type="spellStart"/>
      <w:r>
        <w:rPr>
          <w:b/>
        </w:rPr>
        <w:t>Terbinafin</w:t>
      </w:r>
      <w:proofErr w:type="spellEnd"/>
      <w:r>
        <w:rPr>
          <w:b/>
        </w:rPr>
        <w:t xml:space="preserve"> ”</w:t>
      </w:r>
      <w:proofErr w:type="spellStart"/>
      <w:r>
        <w:rPr>
          <w:b/>
        </w:rPr>
        <w:t>Hexal</w:t>
      </w:r>
      <w:proofErr w:type="spellEnd"/>
      <w:r>
        <w:rPr>
          <w:b/>
        </w:rPr>
        <w:t>”</w:t>
      </w:r>
    </w:p>
    <w:p w:rsidR="001A5E02" w:rsidRDefault="001A5E02" w:rsidP="001A5E02"/>
    <w:p w:rsidR="001A5E02" w:rsidRDefault="001A5E02" w:rsidP="001A5E02">
      <w:pPr>
        <w:jc w:val="both"/>
      </w:pPr>
    </w:p>
    <w:p w:rsidR="001A5E02" w:rsidRDefault="001A5E02" w:rsidP="001A5E02">
      <w:pPr>
        <w:numPr>
          <w:ilvl w:val="0"/>
          <w:numId w:val="6"/>
        </w:numPr>
        <w:tabs>
          <w:tab w:val="clear" w:pos="855"/>
          <w:tab w:val="left" w:pos="851"/>
        </w:tabs>
        <w:jc w:val="both"/>
        <w:rPr>
          <w:b/>
        </w:rPr>
      </w:pPr>
      <w:r>
        <w:rPr>
          <w:b/>
        </w:rPr>
        <w:t>D.SP.NR.</w:t>
      </w:r>
    </w:p>
    <w:p w:rsidR="001A5E02" w:rsidRDefault="001A5E02" w:rsidP="001A5E02">
      <w:pPr>
        <w:tabs>
          <w:tab w:val="left" w:pos="851"/>
        </w:tabs>
        <w:jc w:val="both"/>
      </w:pPr>
      <w:r>
        <w:tab/>
        <w:t>22607</w:t>
      </w:r>
    </w:p>
    <w:p w:rsidR="001A5E02" w:rsidRDefault="001A5E02" w:rsidP="001A5E02">
      <w:pPr>
        <w:tabs>
          <w:tab w:val="left" w:pos="851"/>
        </w:tabs>
        <w:jc w:val="both"/>
      </w:pPr>
    </w:p>
    <w:p w:rsidR="001A5E02" w:rsidRDefault="001A5E02" w:rsidP="001A5E02">
      <w:pPr>
        <w:numPr>
          <w:ilvl w:val="0"/>
          <w:numId w:val="6"/>
        </w:numPr>
        <w:jc w:val="both"/>
        <w:rPr>
          <w:b/>
        </w:rPr>
      </w:pPr>
      <w:r>
        <w:rPr>
          <w:b/>
        </w:rPr>
        <w:t>LÆGEMIDLETS NAVN</w:t>
      </w:r>
    </w:p>
    <w:p w:rsidR="001A5E02" w:rsidRDefault="001A5E02" w:rsidP="001A5E02">
      <w:pPr>
        <w:tabs>
          <w:tab w:val="left" w:pos="851"/>
        </w:tabs>
        <w:ind w:left="855"/>
        <w:jc w:val="both"/>
      </w:pPr>
      <w:proofErr w:type="spellStart"/>
      <w:r>
        <w:t>Terbinafin</w:t>
      </w:r>
      <w:proofErr w:type="spellEnd"/>
      <w:r>
        <w:t xml:space="preserve"> ”</w:t>
      </w:r>
      <w:proofErr w:type="spellStart"/>
      <w:r>
        <w:t>Hexal</w:t>
      </w:r>
      <w:proofErr w:type="spellEnd"/>
      <w:r>
        <w:t>”</w:t>
      </w:r>
    </w:p>
    <w:p w:rsidR="001A5E02" w:rsidRDefault="001A5E02" w:rsidP="001A5E02">
      <w:pPr>
        <w:tabs>
          <w:tab w:val="left" w:pos="851"/>
        </w:tabs>
        <w:jc w:val="both"/>
      </w:pPr>
      <w:r>
        <w:tab/>
      </w:r>
    </w:p>
    <w:p w:rsidR="001A5E02" w:rsidRDefault="001A5E02" w:rsidP="001A5E02">
      <w:pPr>
        <w:numPr>
          <w:ilvl w:val="0"/>
          <w:numId w:val="6"/>
        </w:numPr>
        <w:jc w:val="both"/>
        <w:rPr>
          <w:b/>
        </w:rPr>
      </w:pPr>
      <w:r>
        <w:rPr>
          <w:b/>
        </w:rPr>
        <w:t>KVALITATIV OG KVANTITATIV SAMMENSÆTNING</w:t>
      </w:r>
    </w:p>
    <w:p w:rsidR="001A5E02" w:rsidRDefault="001A5E02" w:rsidP="001A5E02">
      <w:pPr>
        <w:pStyle w:val="Brdtekst"/>
        <w:tabs>
          <w:tab w:val="left" w:pos="1701"/>
        </w:tabs>
        <w:ind w:left="0"/>
        <w:rPr>
          <w:noProof/>
        </w:rPr>
      </w:pPr>
      <w:r>
        <w:rPr>
          <w:noProof/>
        </w:rPr>
        <w:tab/>
        <w:t xml:space="preserve">Hver tablet indeholder 250 mg terbinafin som terbinafinhydrochlorid. </w:t>
      </w:r>
    </w:p>
    <w:p w:rsidR="001A5E02" w:rsidRDefault="001A5E02" w:rsidP="001A5E02">
      <w:pPr>
        <w:pStyle w:val="Brdtekst"/>
        <w:tabs>
          <w:tab w:val="left" w:pos="2835"/>
        </w:tabs>
        <w:ind w:left="0"/>
      </w:pPr>
    </w:p>
    <w:p w:rsidR="001A5E02" w:rsidRDefault="001A5E02" w:rsidP="001A5E02">
      <w:pPr>
        <w:pStyle w:val="Brdtekst"/>
        <w:ind w:left="0"/>
      </w:pPr>
      <w:r>
        <w:tab/>
        <w:t>Alle hjælpestoffer er anført under pkt. 6.1.</w:t>
      </w:r>
    </w:p>
    <w:p w:rsidR="001A5E02" w:rsidRDefault="001A5E02" w:rsidP="001A5E02">
      <w:pPr>
        <w:tabs>
          <w:tab w:val="left" w:pos="851"/>
        </w:tabs>
        <w:jc w:val="both"/>
      </w:pPr>
    </w:p>
    <w:p w:rsidR="001A5E02" w:rsidRDefault="001A5E02" w:rsidP="001A5E02">
      <w:pPr>
        <w:numPr>
          <w:ilvl w:val="0"/>
          <w:numId w:val="6"/>
        </w:numPr>
        <w:jc w:val="both"/>
        <w:rPr>
          <w:b/>
        </w:rPr>
      </w:pPr>
      <w:r>
        <w:rPr>
          <w:b/>
        </w:rPr>
        <w:t>LÆGEMIDDELFORM</w:t>
      </w:r>
    </w:p>
    <w:p w:rsidR="001A5E02" w:rsidRDefault="001A5E02" w:rsidP="001A5E02">
      <w:pPr>
        <w:pStyle w:val="Brdtekst"/>
      </w:pPr>
      <w:r>
        <w:rPr>
          <w:noProof/>
        </w:rPr>
        <w:t>Tablet.</w:t>
      </w:r>
    </w:p>
    <w:p w:rsidR="001A5E02" w:rsidRDefault="001A5E02" w:rsidP="001A5E02">
      <w:pPr>
        <w:pStyle w:val="Brdtekst"/>
      </w:pPr>
    </w:p>
    <w:p w:rsidR="001A5E02" w:rsidRDefault="001A5E02" w:rsidP="001A5E02">
      <w:pPr>
        <w:pStyle w:val="Brdtekst"/>
        <w:tabs>
          <w:tab w:val="clear" w:pos="851"/>
          <w:tab w:val="left" w:pos="2835"/>
        </w:tabs>
      </w:pPr>
      <w:r>
        <w:rPr>
          <w:noProof/>
        </w:rPr>
        <w:t xml:space="preserve">Hvide eller næsten hvide, runde, konvekse tabletter med delekærv på begge sider og </w:t>
      </w:r>
      <w:r w:rsidR="00D05C25">
        <w:rPr>
          <w:noProof/>
        </w:rPr>
        <w:t>mærket</w:t>
      </w:r>
      <w:r>
        <w:rPr>
          <w:noProof/>
        </w:rPr>
        <w:t xml:space="preserve"> TER 250 på den ene side.</w:t>
      </w:r>
    </w:p>
    <w:p w:rsidR="001A5E02" w:rsidRDefault="001A5E02" w:rsidP="001A5E02">
      <w:pPr>
        <w:tabs>
          <w:tab w:val="left" w:pos="851"/>
        </w:tabs>
        <w:jc w:val="both"/>
      </w:pPr>
      <w:r>
        <w:tab/>
      </w:r>
    </w:p>
    <w:p w:rsidR="001A5E02" w:rsidRDefault="001A5E02" w:rsidP="001A5E02">
      <w:pPr>
        <w:pStyle w:val="Brdtekst"/>
        <w:tabs>
          <w:tab w:val="clear" w:pos="851"/>
          <w:tab w:val="left" w:pos="2835"/>
        </w:tabs>
        <w:ind w:left="1701" w:hanging="850"/>
      </w:pPr>
      <w:r>
        <w:rPr>
          <w:noProof/>
        </w:rPr>
        <w:t>Tabletten kan deles i to lige store doser.</w:t>
      </w:r>
    </w:p>
    <w:p w:rsidR="001A5E02" w:rsidRDefault="001A5E02" w:rsidP="001A5E02">
      <w:pPr>
        <w:tabs>
          <w:tab w:val="left" w:pos="851"/>
        </w:tabs>
        <w:jc w:val="both"/>
      </w:pPr>
    </w:p>
    <w:p w:rsidR="001A5E02" w:rsidRDefault="001A5E02" w:rsidP="001A5E02">
      <w:pPr>
        <w:tabs>
          <w:tab w:val="left" w:pos="851"/>
        </w:tabs>
        <w:jc w:val="both"/>
      </w:pPr>
    </w:p>
    <w:p w:rsidR="001A5E02" w:rsidRDefault="001A5E02" w:rsidP="001A5E02">
      <w:pPr>
        <w:numPr>
          <w:ilvl w:val="0"/>
          <w:numId w:val="6"/>
        </w:numPr>
        <w:jc w:val="both"/>
        <w:rPr>
          <w:b/>
        </w:rPr>
      </w:pPr>
      <w:r>
        <w:rPr>
          <w:b/>
        </w:rPr>
        <w:t>KLINISKE OPLYSNINGER</w:t>
      </w:r>
    </w:p>
    <w:p w:rsidR="001A5E02" w:rsidRDefault="001A5E02" w:rsidP="001A5E02">
      <w:pPr>
        <w:tabs>
          <w:tab w:val="left" w:pos="851"/>
        </w:tabs>
        <w:jc w:val="both"/>
        <w:rPr>
          <w:b/>
        </w:rPr>
      </w:pPr>
    </w:p>
    <w:p w:rsidR="001A5E02" w:rsidRDefault="001A5E02" w:rsidP="001A5E02">
      <w:pPr>
        <w:numPr>
          <w:ilvl w:val="1"/>
          <w:numId w:val="6"/>
        </w:numPr>
        <w:jc w:val="both"/>
        <w:rPr>
          <w:b/>
          <w:u w:val="single"/>
        </w:rPr>
      </w:pPr>
      <w:r>
        <w:rPr>
          <w:b/>
        </w:rPr>
        <w:t>Terapeutiske indikationer</w:t>
      </w:r>
    </w:p>
    <w:p w:rsidR="001A5E02" w:rsidRDefault="001A5E02" w:rsidP="001A5E02">
      <w:pPr>
        <w:pStyle w:val="Brdtekst"/>
      </w:pPr>
      <w:r>
        <w:t xml:space="preserve">Behandling af </w:t>
      </w:r>
      <w:proofErr w:type="spellStart"/>
      <w:r>
        <w:t>terbinafin</w:t>
      </w:r>
      <w:proofErr w:type="spellEnd"/>
      <w:r>
        <w:t xml:space="preserve">-følsomme svampeinfektioner som </w:t>
      </w:r>
      <w:proofErr w:type="spellStart"/>
      <w:r>
        <w:t>tinea</w:t>
      </w:r>
      <w:proofErr w:type="spellEnd"/>
      <w:r>
        <w:t xml:space="preserve"> </w:t>
      </w:r>
      <w:proofErr w:type="spellStart"/>
      <w:r>
        <w:t>corporis</w:t>
      </w:r>
      <w:proofErr w:type="spellEnd"/>
      <w:r>
        <w:t xml:space="preserve">, </w:t>
      </w:r>
      <w:proofErr w:type="spellStart"/>
      <w:r>
        <w:t>tinea</w:t>
      </w:r>
      <w:proofErr w:type="spellEnd"/>
      <w:r>
        <w:t xml:space="preserve"> </w:t>
      </w:r>
      <w:proofErr w:type="spellStart"/>
      <w:r>
        <w:t>cruris</w:t>
      </w:r>
      <w:proofErr w:type="spellEnd"/>
      <w:r>
        <w:t xml:space="preserve"> og </w:t>
      </w:r>
      <w:proofErr w:type="spellStart"/>
      <w:r>
        <w:t>tinea</w:t>
      </w:r>
      <w:proofErr w:type="spellEnd"/>
      <w:r>
        <w:t xml:space="preserve"> </w:t>
      </w:r>
      <w:proofErr w:type="spellStart"/>
      <w:r>
        <w:t>pedis</w:t>
      </w:r>
      <w:proofErr w:type="spellEnd"/>
      <w:r>
        <w:t xml:space="preserve"> (forårsaget af </w:t>
      </w:r>
      <w:proofErr w:type="spellStart"/>
      <w:r>
        <w:t>dermatofytter</w:t>
      </w:r>
      <w:proofErr w:type="spellEnd"/>
      <w:r>
        <w:t>, se pkt. 5.1) som anses for at være passende på grund af infektionens placering, sværhedsgrad eller omfang.</w:t>
      </w:r>
    </w:p>
    <w:p w:rsidR="001A5E02" w:rsidRDefault="001A5E02" w:rsidP="001A5E02">
      <w:pPr>
        <w:ind w:left="851"/>
      </w:pPr>
    </w:p>
    <w:p w:rsidR="001A5E02" w:rsidRDefault="001A5E02" w:rsidP="001A5E02">
      <w:pPr>
        <w:pStyle w:val="Brdtekst"/>
      </w:pPr>
      <w:r>
        <w:t xml:space="preserve">Behandling af </w:t>
      </w:r>
      <w:proofErr w:type="spellStart"/>
      <w:r>
        <w:t>onykomykose</w:t>
      </w:r>
      <w:proofErr w:type="spellEnd"/>
      <w:r>
        <w:t xml:space="preserve"> (</w:t>
      </w:r>
      <w:proofErr w:type="spellStart"/>
      <w:r>
        <w:t>terbinafin</w:t>
      </w:r>
      <w:proofErr w:type="spellEnd"/>
      <w:r>
        <w:t xml:space="preserve">-følsom svampeinfektion i neglene) forårsaget af </w:t>
      </w:r>
      <w:proofErr w:type="spellStart"/>
      <w:r>
        <w:t>dermatofytter</w:t>
      </w:r>
      <w:proofErr w:type="spellEnd"/>
      <w:r>
        <w:t>.</w:t>
      </w:r>
    </w:p>
    <w:p w:rsidR="001A5E02" w:rsidRDefault="001A5E02" w:rsidP="001A5E02">
      <w:pPr>
        <w:ind w:left="851"/>
      </w:pPr>
    </w:p>
    <w:p w:rsidR="001A5E02" w:rsidRDefault="001A5E02" w:rsidP="001A5E02">
      <w:pPr>
        <w:pStyle w:val="Brdtekst"/>
      </w:pPr>
      <w:r>
        <w:t xml:space="preserve">Nationale anbefalinger vedrørende passende anvendelse og ordinering af </w:t>
      </w:r>
      <w:proofErr w:type="spellStart"/>
      <w:r>
        <w:t>antimykotiske</w:t>
      </w:r>
      <w:proofErr w:type="spellEnd"/>
      <w:r>
        <w:t xml:space="preserve"> midler bør tages i betragtning</w:t>
      </w:r>
      <w:r>
        <w:rPr>
          <w:sz w:val="20"/>
        </w:rPr>
        <w:t>.</w:t>
      </w:r>
    </w:p>
    <w:p w:rsidR="001A5E02" w:rsidRDefault="001A5E02" w:rsidP="001A5E02">
      <w:pPr>
        <w:tabs>
          <w:tab w:val="left" w:pos="851"/>
        </w:tabs>
        <w:ind w:left="851"/>
        <w:jc w:val="both"/>
      </w:pPr>
    </w:p>
    <w:p w:rsidR="001A5E02" w:rsidRDefault="001A5E02" w:rsidP="001A5E02">
      <w:pPr>
        <w:tabs>
          <w:tab w:val="left" w:pos="851"/>
        </w:tabs>
        <w:ind w:left="851"/>
        <w:jc w:val="both"/>
      </w:pPr>
      <w:r>
        <w:t xml:space="preserve">Bemærk! I modsætning til </w:t>
      </w:r>
      <w:proofErr w:type="spellStart"/>
      <w:r>
        <w:t>topikalt</w:t>
      </w:r>
      <w:proofErr w:type="spellEnd"/>
      <w:r>
        <w:t xml:space="preserve"> administreret </w:t>
      </w:r>
      <w:proofErr w:type="spellStart"/>
      <w:r>
        <w:t>terbinafin</w:t>
      </w:r>
      <w:proofErr w:type="spellEnd"/>
      <w:r>
        <w:t xml:space="preserve"> er oralt administreret </w:t>
      </w:r>
      <w:proofErr w:type="spellStart"/>
      <w:r>
        <w:t>terbinafin</w:t>
      </w:r>
      <w:proofErr w:type="spellEnd"/>
      <w:r>
        <w:t xml:space="preserve"> ikke effektivt mod </w:t>
      </w:r>
      <w:proofErr w:type="spellStart"/>
      <w:r>
        <w:t>pityriasis</w:t>
      </w:r>
      <w:proofErr w:type="spellEnd"/>
      <w:r>
        <w:t xml:space="preserve"> </w:t>
      </w:r>
      <w:proofErr w:type="spellStart"/>
      <w:r>
        <w:t>versicolor</w:t>
      </w:r>
      <w:proofErr w:type="spellEnd"/>
      <w:r>
        <w:t xml:space="preserve"> og vaginal </w:t>
      </w:r>
      <w:proofErr w:type="spellStart"/>
      <w:r>
        <w:t>candidiasis</w:t>
      </w:r>
      <w:proofErr w:type="spellEnd"/>
      <w:r>
        <w:t>.</w:t>
      </w:r>
    </w:p>
    <w:p w:rsidR="001A5E02" w:rsidRDefault="001A5E02" w:rsidP="001A5E02">
      <w:pPr>
        <w:tabs>
          <w:tab w:val="left" w:pos="851"/>
        </w:tabs>
        <w:jc w:val="both"/>
      </w:pPr>
    </w:p>
    <w:p w:rsidR="001A5E02" w:rsidRPr="00A14FF1" w:rsidRDefault="001A5E02" w:rsidP="00A14FF1">
      <w:pPr>
        <w:pStyle w:val="Listeafsnit"/>
        <w:keepNext/>
        <w:numPr>
          <w:ilvl w:val="1"/>
          <w:numId w:val="6"/>
        </w:numPr>
        <w:ind w:left="856" w:hanging="856"/>
        <w:jc w:val="both"/>
        <w:rPr>
          <w:b/>
        </w:rPr>
      </w:pPr>
      <w:r w:rsidRPr="00BD0374">
        <w:rPr>
          <w:b/>
        </w:rPr>
        <w:t>Dosering og administration</w:t>
      </w:r>
    </w:p>
    <w:p w:rsidR="001A5E02" w:rsidRDefault="001A5E02" w:rsidP="001A5E02">
      <w:pPr>
        <w:tabs>
          <w:tab w:val="left" w:pos="851"/>
        </w:tabs>
        <w:jc w:val="both"/>
        <w:rPr>
          <w:bCs/>
          <w:u w:val="single"/>
        </w:rPr>
      </w:pPr>
      <w:r w:rsidRPr="00B107C2">
        <w:rPr>
          <w:bCs/>
        </w:rPr>
        <w:tab/>
      </w:r>
      <w:r>
        <w:rPr>
          <w:bCs/>
          <w:u w:val="single"/>
        </w:rPr>
        <w:t>Dosering</w:t>
      </w:r>
    </w:p>
    <w:p w:rsidR="001A5E02" w:rsidRDefault="001A5E02" w:rsidP="001A5E02">
      <w:pPr>
        <w:jc w:val="both"/>
        <w:rPr>
          <w:b/>
        </w:rPr>
      </w:pPr>
    </w:p>
    <w:p w:rsidR="001A5E02" w:rsidRDefault="001A5E02" w:rsidP="001A5E02">
      <w:pPr>
        <w:pStyle w:val="Brdtekst"/>
        <w:rPr>
          <w:u w:val="single"/>
        </w:rPr>
      </w:pPr>
      <w:r>
        <w:rPr>
          <w:i/>
        </w:rPr>
        <w:t>Voksne:</w:t>
      </w:r>
    </w:p>
    <w:p w:rsidR="001A5E02" w:rsidRDefault="001A5E02" w:rsidP="001A5E02">
      <w:pPr>
        <w:pStyle w:val="Brdtekst"/>
      </w:pPr>
      <w:r>
        <w:t>250 mg én gang dagligt.</w:t>
      </w:r>
    </w:p>
    <w:p w:rsidR="001A5E02" w:rsidRDefault="001A5E02" w:rsidP="001A5E02">
      <w:pPr>
        <w:ind w:left="1134"/>
      </w:pPr>
    </w:p>
    <w:p w:rsidR="001A5E02" w:rsidRDefault="001A5E02" w:rsidP="001A5E02">
      <w:pPr>
        <w:pStyle w:val="Brdtekst"/>
      </w:pPr>
      <w:r>
        <w:t>Behandlingens varighed afhænger af indikationen og infektionens sværhedsgrad.</w:t>
      </w:r>
    </w:p>
    <w:p w:rsidR="001A5E02" w:rsidRDefault="001A5E02" w:rsidP="001A5E02">
      <w:pPr>
        <w:ind w:left="1134"/>
      </w:pPr>
    </w:p>
    <w:p w:rsidR="001A5E02" w:rsidRDefault="001A5E02" w:rsidP="001A5E02">
      <w:pPr>
        <w:pStyle w:val="Brdtekst"/>
        <w:rPr>
          <w:u w:val="single"/>
        </w:rPr>
      </w:pPr>
      <w:r>
        <w:rPr>
          <w:i/>
        </w:rPr>
        <w:t>Hudinfektioner:</w:t>
      </w:r>
    </w:p>
    <w:p w:rsidR="001A5E02" w:rsidRDefault="001A5E02" w:rsidP="001A5E02">
      <w:pPr>
        <w:pStyle w:val="Brdtekst"/>
      </w:pPr>
      <w:r>
        <w:t xml:space="preserve">Den sandsynlige varighed af behandlingen af </w:t>
      </w:r>
      <w:proofErr w:type="spellStart"/>
      <w:r>
        <w:t>tinea</w:t>
      </w:r>
      <w:proofErr w:type="spellEnd"/>
      <w:r>
        <w:t xml:space="preserve"> </w:t>
      </w:r>
      <w:proofErr w:type="spellStart"/>
      <w:r>
        <w:t>corporis</w:t>
      </w:r>
      <w:proofErr w:type="spellEnd"/>
      <w:r>
        <w:t xml:space="preserve"> og </w:t>
      </w:r>
      <w:proofErr w:type="spellStart"/>
      <w:r>
        <w:t>tinea</w:t>
      </w:r>
      <w:proofErr w:type="spellEnd"/>
      <w:r>
        <w:t xml:space="preserve"> </w:t>
      </w:r>
      <w:proofErr w:type="spellStart"/>
      <w:r>
        <w:t>cruris</w:t>
      </w:r>
      <w:proofErr w:type="spellEnd"/>
      <w:r>
        <w:t xml:space="preserve"> er 2-4 uger. Til </w:t>
      </w:r>
      <w:proofErr w:type="spellStart"/>
      <w:r>
        <w:t>tinea</w:t>
      </w:r>
      <w:proofErr w:type="spellEnd"/>
      <w:r>
        <w:t xml:space="preserve"> </w:t>
      </w:r>
      <w:proofErr w:type="spellStart"/>
      <w:r>
        <w:t>pedis</w:t>
      </w:r>
      <w:proofErr w:type="spellEnd"/>
      <w:r>
        <w:t xml:space="preserve"> (</w:t>
      </w:r>
      <w:proofErr w:type="spellStart"/>
      <w:r>
        <w:t>interdigital</w:t>
      </w:r>
      <w:proofErr w:type="spellEnd"/>
      <w:r>
        <w:t xml:space="preserve">, </w:t>
      </w:r>
      <w:proofErr w:type="spellStart"/>
      <w:r>
        <w:t>plantar</w:t>
      </w:r>
      <w:proofErr w:type="spellEnd"/>
      <w:r>
        <w:t>-/mokkasintype) kan den anbefalede behandlingsperiode være op til 6 uger.</w:t>
      </w:r>
    </w:p>
    <w:p w:rsidR="001A5E02" w:rsidRDefault="001A5E02" w:rsidP="001A5E02">
      <w:pPr>
        <w:ind w:left="1134"/>
      </w:pPr>
    </w:p>
    <w:p w:rsidR="001A5E02" w:rsidRDefault="001A5E02" w:rsidP="001A5E02">
      <w:pPr>
        <w:pStyle w:val="Brdtekst"/>
        <w:rPr>
          <w:i/>
          <w:u w:val="single"/>
        </w:rPr>
      </w:pPr>
      <w:proofErr w:type="spellStart"/>
      <w:r>
        <w:rPr>
          <w:i/>
        </w:rPr>
        <w:t>Onykomykose</w:t>
      </w:r>
      <w:proofErr w:type="spellEnd"/>
      <w:r>
        <w:rPr>
          <w:i/>
        </w:rPr>
        <w:t>:</w:t>
      </w:r>
    </w:p>
    <w:p w:rsidR="001A5E02" w:rsidRDefault="001A5E02" w:rsidP="001A5E02">
      <w:pPr>
        <w:pStyle w:val="Brdtekst"/>
      </w:pPr>
      <w:r>
        <w:t>Behandlingens varighed (finger- og tånegle) er for de fleste patienter mellem seks uger og tre måneder. Ved behandling af infektioner i tåneglene er tre måneder normalt tilstrækkeligt, selv om nogle få patienter kan have behov for behandling i seks måneder eller længere. Nedsat neglevækst i de første uger af behandlingen kan give et godt fingerpeg om, hvilke patienter der har behov for længere behandling.</w:t>
      </w:r>
    </w:p>
    <w:p w:rsidR="001A5E02" w:rsidRDefault="001A5E02" w:rsidP="001A5E02">
      <w:pPr>
        <w:ind w:left="1134"/>
      </w:pPr>
    </w:p>
    <w:p w:rsidR="001A5E02" w:rsidRDefault="001A5E02" w:rsidP="001A5E02">
      <w:pPr>
        <w:pStyle w:val="Brdtekst"/>
      </w:pPr>
      <w:r>
        <w:t>Fuldstændigt ophør af tegn og symptomer på infektionen indtræder muligvis ikke før flere uger efter mykologisk helbredelse og ses først flere måneder efter behandlingens ophør, som er den tid, det tager for udvækst af en rask negl.</w:t>
      </w:r>
    </w:p>
    <w:p w:rsidR="001A5E02" w:rsidRDefault="001A5E02" w:rsidP="001A5E02">
      <w:pPr>
        <w:pStyle w:val="Brdtekst"/>
      </w:pPr>
    </w:p>
    <w:p w:rsidR="001A5E02" w:rsidRDefault="001A5E02" w:rsidP="001A5E02">
      <w:pPr>
        <w:ind w:left="1134" w:hanging="283"/>
        <w:rPr>
          <w:rStyle w:val="tw4winMark"/>
          <w:b/>
          <w:vanish w:val="0"/>
          <w:color w:val="000000"/>
        </w:rPr>
      </w:pPr>
      <w:r>
        <w:rPr>
          <w:b/>
          <w:color w:val="000000"/>
        </w:rPr>
        <w:t>Yderligere oplysninger om særlige populationer</w:t>
      </w:r>
    </w:p>
    <w:p w:rsidR="001A5E02" w:rsidRDefault="001A5E02" w:rsidP="001A5E02">
      <w:pPr>
        <w:ind w:left="1134"/>
      </w:pPr>
    </w:p>
    <w:p w:rsidR="00D05C25" w:rsidRDefault="00D05C25" w:rsidP="00D05C25">
      <w:pPr>
        <w:ind w:left="851"/>
        <w:rPr>
          <w:i/>
        </w:rPr>
      </w:pPr>
      <w:r>
        <w:rPr>
          <w:i/>
        </w:rPr>
        <w:t>Patienter med nedsat leverfunktion</w:t>
      </w:r>
    </w:p>
    <w:p w:rsidR="001A5E02" w:rsidRDefault="001A5E02" w:rsidP="001A5E02">
      <w:pPr>
        <w:ind w:left="851"/>
      </w:pPr>
      <w:proofErr w:type="spellStart"/>
      <w:r>
        <w:t>Terbinafin</w:t>
      </w:r>
      <w:proofErr w:type="spellEnd"/>
      <w:r>
        <w:t>-tabletter anbefales ikke hos patienter med kronisk eller aktiv leversygdom (se pkt. 4.3 og 4.4).</w:t>
      </w:r>
    </w:p>
    <w:p w:rsidR="001A5E02" w:rsidRDefault="001A5E02" w:rsidP="001A5E02">
      <w:pPr>
        <w:ind w:left="851"/>
      </w:pPr>
    </w:p>
    <w:p w:rsidR="00D05C25" w:rsidRDefault="00D05C25" w:rsidP="00D05C25">
      <w:pPr>
        <w:pStyle w:val="Brdtekst"/>
        <w:rPr>
          <w:u w:val="single"/>
        </w:rPr>
      </w:pPr>
      <w:r>
        <w:rPr>
          <w:i/>
        </w:rPr>
        <w:t>Patienter med nedsat nyrefunktion</w:t>
      </w:r>
    </w:p>
    <w:p w:rsidR="001A5E02" w:rsidRDefault="001A5E02" w:rsidP="001A5E02">
      <w:pPr>
        <w:pStyle w:val="Brdtekst"/>
      </w:pPr>
      <w:r>
        <w:t xml:space="preserve">Der er ikke udført tilstrækkelige undersøgelser af brugen af </w:t>
      </w:r>
      <w:proofErr w:type="spellStart"/>
      <w:r>
        <w:t>terbinafin</w:t>
      </w:r>
      <w:proofErr w:type="spellEnd"/>
      <w:r>
        <w:t>-tabletter til patienter med nedsat nyrefunktion. Derfor kan brug i denne patientpopulation ikke anbefales (se pkt. 4.4 og 5.2).</w:t>
      </w:r>
    </w:p>
    <w:p w:rsidR="001A5E02" w:rsidRDefault="001A5E02" w:rsidP="001A5E02">
      <w:pPr>
        <w:pStyle w:val="Brdtekst"/>
      </w:pPr>
    </w:p>
    <w:p w:rsidR="00D05C25" w:rsidRDefault="00D05C25" w:rsidP="00D05C25">
      <w:pPr>
        <w:ind w:left="851"/>
        <w:rPr>
          <w:rStyle w:val="tw4winMark"/>
          <w:i/>
          <w:vanish w:val="0"/>
          <w:color w:val="000000"/>
        </w:rPr>
      </w:pPr>
      <w:r>
        <w:rPr>
          <w:i/>
          <w:color w:val="000000"/>
        </w:rPr>
        <w:t>Ældre</w:t>
      </w:r>
      <w:r>
        <w:rPr>
          <w:rFonts w:cs="Mangal"/>
          <w:i/>
          <w:color w:val="000000"/>
          <w:szCs w:val="24"/>
          <w:lang w:bidi="ne-NP"/>
        </w:rPr>
        <w:t xml:space="preserve"> population</w:t>
      </w:r>
    </w:p>
    <w:p w:rsidR="001A5E02" w:rsidRDefault="001A5E02" w:rsidP="001A5E02">
      <w:pPr>
        <w:ind w:left="851"/>
        <w:rPr>
          <w:rFonts w:cs="Mangal"/>
          <w:szCs w:val="24"/>
          <w:lang w:bidi="ne-NP"/>
        </w:rPr>
      </w:pPr>
      <w:r>
        <w:rPr>
          <w:color w:val="000000"/>
        </w:rPr>
        <w:t>Der er intet, der tyder på, at ældre</w:t>
      </w:r>
      <w:r>
        <w:rPr>
          <w:rFonts w:cs="Mangal"/>
          <w:color w:val="000000"/>
          <w:szCs w:val="24"/>
          <w:lang w:bidi="ne-NP"/>
        </w:rPr>
        <w:t xml:space="preserve"> personer (på 65 år og derover)</w:t>
      </w:r>
      <w:r>
        <w:rPr>
          <w:color w:val="000000"/>
        </w:rPr>
        <w:t xml:space="preserve"> kræver andre doser eller får andre bivirkninger end yngre patienter. Når der ordineres </w:t>
      </w:r>
      <w:proofErr w:type="spellStart"/>
      <w:r>
        <w:rPr>
          <w:color w:val="000000"/>
        </w:rPr>
        <w:t>terbinafin</w:t>
      </w:r>
      <w:proofErr w:type="spellEnd"/>
      <w:r>
        <w:rPr>
          <w:color w:val="000000"/>
        </w:rPr>
        <w:t>-tabletter til patienter i denne aldersgruppe, skal der tages højde for muligheden for allerede eksisterende nedsat lever- eller nyrefunktion (se pkt. 4.3, 4.4 og 4.8).</w:t>
      </w:r>
    </w:p>
    <w:p w:rsidR="001A5E02" w:rsidRDefault="001A5E02" w:rsidP="001A5E02">
      <w:pPr>
        <w:ind w:left="851"/>
        <w:rPr>
          <w:color w:val="000000"/>
          <w:u w:val="single"/>
        </w:rPr>
      </w:pPr>
    </w:p>
    <w:p w:rsidR="00D05C25" w:rsidRDefault="00D05C25" w:rsidP="00D05C25">
      <w:pPr>
        <w:ind w:left="851"/>
        <w:rPr>
          <w:rStyle w:val="tw4winMark"/>
          <w:rFonts w:cs="Mangal"/>
          <w:i/>
          <w:vanish w:val="0"/>
          <w:color w:val="000000"/>
          <w:szCs w:val="24"/>
          <w:lang w:bidi="ne-NP"/>
        </w:rPr>
      </w:pPr>
      <w:r>
        <w:rPr>
          <w:rFonts w:cs="Mangal"/>
          <w:i/>
          <w:color w:val="000000"/>
          <w:szCs w:val="24"/>
          <w:lang w:bidi="ne-NP"/>
        </w:rPr>
        <w:t>Pædiatrisk population</w:t>
      </w:r>
    </w:p>
    <w:p w:rsidR="001A5E02" w:rsidRDefault="001A5E02" w:rsidP="001A5E02">
      <w:pPr>
        <w:pStyle w:val="Brdtekst"/>
        <w:rPr>
          <w:rFonts w:cs="Mangal"/>
          <w:color w:val="000000"/>
          <w:sz w:val="22"/>
          <w:lang w:bidi="ne-NP"/>
        </w:rPr>
      </w:pPr>
      <w:r>
        <w:rPr>
          <w:color w:val="000000"/>
        </w:rPr>
        <w:t xml:space="preserve">Der er ingen erfaring med brug af </w:t>
      </w:r>
      <w:proofErr w:type="spellStart"/>
      <w:r>
        <w:rPr>
          <w:color w:val="000000"/>
        </w:rPr>
        <w:t>terbinafin</w:t>
      </w:r>
      <w:proofErr w:type="spellEnd"/>
      <w:r>
        <w:rPr>
          <w:color w:val="000000"/>
        </w:rPr>
        <w:t xml:space="preserve"> hos børn, og det frarådes derfor at anvende det i denne population</w:t>
      </w:r>
      <w:r>
        <w:rPr>
          <w:rFonts w:cs="Mangal"/>
          <w:color w:val="000000"/>
          <w:sz w:val="22"/>
          <w:lang w:bidi="ne-NP"/>
        </w:rPr>
        <w:t>.</w:t>
      </w:r>
    </w:p>
    <w:p w:rsidR="001A5E02" w:rsidRDefault="001A5E02" w:rsidP="001A5E02">
      <w:pPr>
        <w:ind w:left="1134"/>
      </w:pPr>
    </w:p>
    <w:p w:rsidR="00D05C25" w:rsidRDefault="00D05C25" w:rsidP="00D05C25">
      <w:pPr>
        <w:pStyle w:val="Brdtekst"/>
      </w:pPr>
      <w:r>
        <w:rPr>
          <w:u w:val="single"/>
        </w:rPr>
        <w:t>Administration</w:t>
      </w:r>
    </w:p>
    <w:p w:rsidR="001A5E02" w:rsidRDefault="001A5E02" w:rsidP="001A5E02">
      <w:pPr>
        <w:pStyle w:val="Brdtekst"/>
      </w:pPr>
      <w:r>
        <w:t>Oral anvendelse.</w:t>
      </w:r>
    </w:p>
    <w:p w:rsidR="001A5E02" w:rsidRDefault="001A5E02" w:rsidP="001A5E02">
      <w:pPr>
        <w:pStyle w:val="Brdtekst"/>
      </w:pPr>
    </w:p>
    <w:p w:rsidR="001A5E02" w:rsidRDefault="001A5E02" w:rsidP="001A5E02">
      <w:pPr>
        <w:pStyle w:val="Brdtekst"/>
      </w:pPr>
      <w:r>
        <w:t xml:space="preserve">Tabletterne tages oralt med vand. De skal helst tages på samme tidspunkt hver dag og kan tages på tom mave eller efter et måltid. Fødeindtag påvirker ikke biotilgængeligheden af </w:t>
      </w:r>
      <w:proofErr w:type="spellStart"/>
      <w:r>
        <w:t>terbinafin</w:t>
      </w:r>
      <w:proofErr w:type="spellEnd"/>
      <w:r>
        <w:t>.</w:t>
      </w:r>
    </w:p>
    <w:p w:rsidR="001A5E02" w:rsidRDefault="001A5E02" w:rsidP="001A5E02">
      <w:pPr>
        <w:tabs>
          <w:tab w:val="left" w:pos="851"/>
        </w:tabs>
        <w:jc w:val="both"/>
      </w:pPr>
    </w:p>
    <w:p w:rsidR="00D05C25" w:rsidRPr="0002733C" w:rsidRDefault="001A5E02" w:rsidP="006E7462">
      <w:pPr>
        <w:pStyle w:val="Listeafsnit"/>
        <w:numPr>
          <w:ilvl w:val="1"/>
          <w:numId w:val="6"/>
        </w:numPr>
        <w:tabs>
          <w:tab w:val="clear" w:pos="1139"/>
          <w:tab w:val="num" w:pos="851"/>
        </w:tabs>
        <w:jc w:val="both"/>
        <w:rPr>
          <w:b/>
        </w:rPr>
      </w:pPr>
      <w:r w:rsidRPr="0002733C">
        <w:rPr>
          <w:b/>
        </w:rPr>
        <w:t>K</w:t>
      </w:r>
      <w:r w:rsidR="00D05C25" w:rsidRPr="0002733C">
        <w:rPr>
          <w:b/>
        </w:rPr>
        <w:t>ontraindikationer</w:t>
      </w:r>
    </w:p>
    <w:p w:rsidR="00D05C25" w:rsidRDefault="00D05C25" w:rsidP="006E7462">
      <w:pPr>
        <w:pStyle w:val="Brdtekst"/>
        <w:numPr>
          <w:ilvl w:val="0"/>
          <w:numId w:val="14"/>
        </w:numPr>
        <w:ind w:left="1134"/>
      </w:pPr>
      <w:r>
        <w:t xml:space="preserve">Overfølsomhed over for det aktive stof eller over for et eller flere af hjælpestofferne </w:t>
      </w:r>
      <w:r>
        <w:lastRenderedPageBreak/>
        <w:t>anført i pkt. 6.1.</w:t>
      </w:r>
    </w:p>
    <w:p w:rsidR="00D05C25" w:rsidRDefault="00D05C25" w:rsidP="00D05C25">
      <w:pPr>
        <w:pStyle w:val="Brdtekst"/>
        <w:numPr>
          <w:ilvl w:val="0"/>
          <w:numId w:val="14"/>
        </w:numPr>
        <w:ind w:left="1276"/>
      </w:pPr>
      <w:proofErr w:type="spellStart"/>
      <w:r>
        <w:t>Terbinafin</w:t>
      </w:r>
      <w:proofErr w:type="spellEnd"/>
      <w:r>
        <w:t xml:space="preserve"> er kontraindiceret hos patienter med svært nedsat leverfunktion.</w:t>
      </w:r>
    </w:p>
    <w:p w:rsidR="00D05C25" w:rsidRDefault="00D05C25" w:rsidP="00D05C25">
      <w:pPr>
        <w:pStyle w:val="Brdtekst"/>
      </w:pPr>
    </w:p>
    <w:p w:rsidR="00D05C25" w:rsidRDefault="00D05C25" w:rsidP="00D05C25">
      <w:pPr>
        <w:pStyle w:val="Listeafsnit"/>
        <w:ind w:left="855"/>
        <w:jc w:val="both"/>
      </w:pPr>
    </w:p>
    <w:p w:rsidR="001A5E02" w:rsidRPr="006E7462" w:rsidRDefault="001A5E02" w:rsidP="006E7462">
      <w:pPr>
        <w:pStyle w:val="Listeafsnit"/>
        <w:numPr>
          <w:ilvl w:val="1"/>
          <w:numId w:val="6"/>
        </w:numPr>
        <w:tabs>
          <w:tab w:val="clear" w:pos="1139"/>
          <w:tab w:val="num" w:pos="851"/>
        </w:tabs>
        <w:jc w:val="both"/>
        <w:rPr>
          <w:b/>
        </w:rPr>
      </w:pPr>
      <w:r w:rsidRPr="006E7462">
        <w:rPr>
          <w:b/>
        </w:rPr>
        <w:t>Særlige advarsler og forsigtighedsregler vedrørende brugen</w:t>
      </w:r>
    </w:p>
    <w:p w:rsidR="001A5E02" w:rsidRPr="00D05C25" w:rsidRDefault="001A5E02" w:rsidP="001A5E02">
      <w:pPr>
        <w:pStyle w:val="Brdtekst"/>
        <w:ind w:left="0"/>
        <w:rPr>
          <w:u w:val="single"/>
        </w:rPr>
      </w:pPr>
      <w:r>
        <w:rPr>
          <w:i/>
        </w:rPr>
        <w:tab/>
      </w:r>
      <w:r w:rsidRPr="00D05C25">
        <w:t>Leverfunktion</w:t>
      </w:r>
    </w:p>
    <w:p w:rsidR="001A5E02" w:rsidRDefault="001A5E02" w:rsidP="006E7462">
      <w:pPr>
        <w:pStyle w:val="Brdtekst"/>
      </w:pPr>
      <w:r>
        <w:t xml:space="preserve">Brug af </w:t>
      </w:r>
      <w:proofErr w:type="spellStart"/>
      <w:r>
        <w:t>terbinafin</w:t>
      </w:r>
      <w:proofErr w:type="spellEnd"/>
      <w:r>
        <w:t xml:space="preserve">-tabletter er ikke anbefalet til patienter med kronisk eller aktiv leversygdom. Inden der ordineres </w:t>
      </w:r>
      <w:proofErr w:type="spellStart"/>
      <w:r>
        <w:t>terbinafin</w:t>
      </w:r>
      <w:proofErr w:type="spellEnd"/>
      <w:r>
        <w:t xml:space="preserve">-tabletter, skal der foretages leverfunktionsundersøgelser, da der kan opstå </w:t>
      </w:r>
      <w:proofErr w:type="spellStart"/>
      <w:r>
        <w:t>hepatotoksicitet</w:t>
      </w:r>
      <w:proofErr w:type="spellEnd"/>
      <w:r>
        <w:t xml:space="preserve"> hos patienter både med og uden allerede eksisterende leversygdom. Det anbefales derfor at overvåge leverfunktionsværdierne regelmæssigt (efter 4-6 ugers behandling). </w:t>
      </w:r>
      <w:proofErr w:type="spellStart"/>
      <w:r>
        <w:t>Terbinafin</w:t>
      </w:r>
      <w:proofErr w:type="spellEnd"/>
      <w:r>
        <w:t xml:space="preserve"> skal straks seponeres i tilfælde af forhøjede leverfunktionsværdier.</w:t>
      </w:r>
      <w:r>
        <w:rPr>
          <w:rFonts w:cs="Mangal"/>
          <w:color w:val="000000"/>
          <w:sz w:val="22"/>
          <w:lang w:bidi="ne-NP"/>
        </w:rPr>
        <w:t xml:space="preserve"> </w:t>
      </w:r>
      <w:r>
        <w:t xml:space="preserve">Der er rapporteret om meget sjældne tilfælde af leversvigt (hvoraf nogle var med fatalt udfald eller krævede levertransplantation) hos patienter i behandling med </w:t>
      </w:r>
      <w:proofErr w:type="spellStart"/>
      <w:r>
        <w:t>terbinafin</w:t>
      </w:r>
      <w:proofErr w:type="spellEnd"/>
      <w:r>
        <w:t xml:space="preserve">-tabletter. I de fleste tilfælde af leversvigt havde patienterne alvorlige underliggende systemiske sygdomme (se pkt. 4.3 og 4.8). </w:t>
      </w:r>
    </w:p>
    <w:p w:rsidR="001A5E02" w:rsidRDefault="001A5E02" w:rsidP="001A5E02">
      <w:pPr>
        <w:pStyle w:val="Brdtekst"/>
        <w:ind w:left="0"/>
      </w:pPr>
    </w:p>
    <w:p w:rsidR="001A5E02" w:rsidRDefault="001A5E02" w:rsidP="001A5E02">
      <w:pPr>
        <w:pStyle w:val="Brdtekst"/>
        <w:rPr>
          <w:szCs w:val="24"/>
        </w:rPr>
      </w:pPr>
      <w:r>
        <w:t xml:space="preserve">Patienter, der får ordineret </w:t>
      </w:r>
      <w:proofErr w:type="spellStart"/>
      <w:r>
        <w:t>terbinafin</w:t>
      </w:r>
      <w:proofErr w:type="spellEnd"/>
      <w:r>
        <w:t xml:space="preserve">-tabletter, skal advares om straks at indberette ethvert tegn og symptom på uforklarlig og vedvarende kvalme, nedsat appetit, træthed, opkastning, smerte i højre side i øvre maveregion, eller gulsot, mørkfarvet urin eller lys afføring. </w:t>
      </w:r>
      <w:r>
        <w:rPr>
          <w:color w:val="000000"/>
        </w:rPr>
        <w:t xml:space="preserve">Patienter med disse symptomer skal ophøre med at tage peroral </w:t>
      </w:r>
      <w:proofErr w:type="spellStart"/>
      <w:r>
        <w:rPr>
          <w:color w:val="000000"/>
        </w:rPr>
        <w:t>terbinafin</w:t>
      </w:r>
      <w:proofErr w:type="spellEnd"/>
      <w:r>
        <w:rPr>
          <w:color w:val="000000"/>
        </w:rPr>
        <w:t>, og patientens leverfunktion skal straks evalueres</w:t>
      </w:r>
      <w:r>
        <w:rPr>
          <w:szCs w:val="24"/>
        </w:rPr>
        <w:t>.</w:t>
      </w:r>
    </w:p>
    <w:p w:rsidR="001A5E02" w:rsidRPr="00490ABF" w:rsidRDefault="001A5E02" w:rsidP="001A5E02">
      <w:pPr>
        <w:pStyle w:val="Brdtekst"/>
        <w:ind w:left="0"/>
      </w:pPr>
      <w:r w:rsidRPr="00490ABF">
        <w:tab/>
      </w:r>
    </w:p>
    <w:p w:rsidR="001A5E02" w:rsidRPr="00490ABF" w:rsidRDefault="001A5E02" w:rsidP="001A5E02">
      <w:pPr>
        <w:pStyle w:val="Brdtekst"/>
        <w:ind w:left="0"/>
        <w:rPr>
          <w:u w:val="single"/>
        </w:rPr>
      </w:pPr>
      <w:r w:rsidRPr="00490ABF">
        <w:tab/>
      </w:r>
      <w:r w:rsidRPr="00490ABF">
        <w:rPr>
          <w:u w:val="single"/>
        </w:rPr>
        <w:t>Dermatologiske effekter</w:t>
      </w:r>
    </w:p>
    <w:p w:rsidR="001A5E02" w:rsidRDefault="001A5E02" w:rsidP="001A5E02">
      <w:pPr>
        <w:pStyle w:val="Brdtekst"/>
      </w:pPr>
      <w:r>
        <w:t xml:space="preserve">Der er i meget sjældne tilfælde rapporteret om alvorlige hudreaktioner (f.eks. Stevens-Johnsons syndrom, toksisk </w:t>
      </w:r>
      <w:proofErr w:type="spellStart"/>
      <w:r>
        <w:t>epidermal</w:t>
      </w:r>
      <w:proofErr w:type="spellEnd"/>
      <w:r>
        <w:t xml:space="preserve"> </w:t>
      </w:r>
      <w:proofErr w:type="spellStart"/>
      <w:r>
        <w:t>nekrolyse</w:t>
      </w:r>
      <w:proofErr w:type="spellEnd"/>
      <w:r>
        <w:t xml:space="preserve">, lægemiddeludslæt med </w:t>
      </w:r>
      <w:proofErr w:type="spellStart"/>
      <w:r>
        <w:t>eosinofili</w:t>
      </w:r>
      <w:proofErr w:type="spellEnd"/>
      <w:r>
        <w:t xml:space="preserve"> og systemiske symptomer [DRESS]) hos patienter, der tog </w:t>
      </w:r>
      <w:proofErr w:type="spellStart"/>
      <w:r>
        <w:t>terbinafin</w:t>
      </w:r>
      <w:proofErr w:type="spellEnd"/>
      <w:r>
        <w:t xml:space="preserve">-tabletter. I tilfælde af progredierende hududslæt skal behandlingen med </w:t>
      </w:r>
      <w:proofErr w:type="spellStart"/>
      <w:r>
        <w:t>terbinafin</w:t>
      </w:r>
      <w:proofErr w:type="spellEnd"/>
      <w:r>
        <w:t>-tabletter seponeres.</w:t>
      </w:r>
    </w:p>
    <w:p w:rsidR="001A5E02" w:rsidRDefault="001A5E02" w:rsidP="001A5E02">
      <w:pPr>
        <w:pStyle w:val="Brdtekst"/>
        <w:ind w:left="0"/>
      </w:pPr>
    </w:p>
    <w:p w:rsidR="001A5E02" w:rsidRDefault="001A5E02" w:rsidP="001A5E02">
      <w:pPr>
        <w:pStyle w:val="Brdtekst"/>
        <w:rPr>
          <w:szCs w:val="24"/>
        </w:rPr>
      </w:pPr>
      <w:proofErr w:type="spellStart"/>
      <w:r>
        <w:rPr>
          <w:color w:val="000000"/>
          <w:szCs w:val="24"/>
        </w:rPr>
        <w:t>Terbinafin</w:t>
      </w:r>
      <w:proofErr w:type="spellEnd"/>
      <w:r>
        <w:rPr>
          <w:color w:val="000000"/>
          <w:szCs w:val="24"/>
        </w:rPr>
        <w:t xml:space="preserve"> bør anvendes med forsigtighed hos patienter med psoriasis eller lupus </w:t>
      </w:r>
      <w:proofErr w:type="spellStart"/>
      <w:r>
        <w:rPr>
          <w:color w:val="000000"/>
          <w:szCs w:val="24"/>
        </w:rPr>
        <w:t>erythematosus</w:t>
      </w:r>
      <w:proofErr w:type="spellEnd"/>
      <w:r>
        <w:rPr>
          <w:color w:val="000000"/>
          <w:szCs w:val="24"/>
        </w:rPr>
        <w:t xml:space="preserve">, da der er rapporteret om fremskyndet eller forværret psoriasis og </w:t>
      </w:r>
      <w:proofErr w:type="spellStart"/>
      <w:r>
        <w:rPr>
          <w:color w:val="000000"/>
          <w:szCs w:val="24"/>
        </w:rPr>
        <w:t>kutan</w:t>
      </w:r>
      <w:proofErr w:type="spellEnd"/>
      <w:r>
        <w:rPr>
          <w:color w:val="000000"/>
          <w:szCs w:val="24"/>
        </w:rPr>
        <w:t xml:space="preserve"> og systemisk lupus </w:t>
      </w:r>
      <w:proofErr w:type="spellStart"/>
      <w:r>
        <w:rPr>
          <w:color w:val="000000"/>
          <w:szCs w:val="24"/>
        </w:rPr>
        <w:t>erythematosus</w:t>
      </w:r>
      <w:proofErr w:type="spellEnd"/>
      <w:r>
        <w:rPr>
          <w:color w:val="000000"/>
          <w:szCs w:val="24"/>
        </w:rPr>
        <w:t xml:space="preserve"> efter markedsføringen. </w:t>
      </w:r>
    </w:p>
    <w:p w:rsidR="001A5E02" w:rsidRDefault="001A5E02" w:rsidP="001A5E02">
      <w:pPr>
        <w:pStyle w:val="Brdtekst"/>
        <w:ind w:left="0"/>
        <w:rPr>
          <w:szCs w:val="24"/>
        </w:rPr>
      </w:pPr>
    </w:p>
    <w:p w:rsidR="001A5E02" w:rsidRPr="00490ABF" w:rsidRDefault="001A5E02" w:rsidP="001A5E02">
      <w:pPr>
        <w:pStyle w:val="Brdtekst"/>
        <w:ind w:left="0"/>
        <w:rPr>
          <w:u w:val="single"/>
        </w:rPr>
      </w:pPr>
      <w:r w:rsidRPr="00490ABF">
        <w:tab/>
      </w:r>
      <w:r w:rsidRPr="00490ABF">
        <w:rPr>
          <w:u w:val="single"/>
        </w:rPr>
        <w:t>Hæmatologiske effekter</w:t>
      </w:r>
    </w:p>
    <w:p w:rsidR="001A5E02" w:rsidRDefault="001A5E02" w:rsidP="001A5E02">
      <w:pPr>
        <w:ind w:left="855"/>
      </w:pPr>
      <w:r>
        <w:t>Der er i meget sjældne tilfælde rapporteret om blodsygdomme (</w:t>
      </w:r>
      <w:proofErr w:type="spellStart"/>
      <w:r>
        <w:t>neutropeni</w:t>
      </w:r>
      <w:proofErr w:type="spellEnd"/>
      <w:r>
        <w:t xml:space="preserve">, </w:t>
      </w:r>
      <w:proofErr w:type="spellStart"/>
      <w:r>
        <w:t>agranulocytose</w:t>
      </w:r>
      <w:proofErr w:type="spellEnd"/>
      <w:r>
        <w:t xml:space="preserve">, </w:t>
      </w:r>
      <w:proofErr w:type="spellStart"/>
      <w:r>
        <w:t>trombocytopeni</w:t>
      </w:r>
      <w:proofErr w:type="spellEnd"/>
      <w:r>
        <w:t xml:space="preserve">, </w:t>
      </w:r>
      <w:proofErr w:type="spellStart"/>
      <w:r>
        <w:t>pancytopeni</w:t>
      </w:r>
      <w:proofErr w:type="spellEnd"/>
      <w:r>
        <w:t xml:space="preserve">) hos patienter i behandling med </w:t>
      </w:r>
      <w:proofErr w:type="spellStart"/>
      <w:r>
        <w:t>terbinafin</w:t>
      </w:r>
      <w:proofErr w:type="spellEnd"/>
      <w:r>
        <w:t xml:space="preserve">-tabletter. Der skal foretages en vurdering af ætiologien bag enhver blodsygdom, der måtte opstå hos patienter i behandling med </w:t>
      </w:r>
      <w:proofErr w:type="spellStart"/>
      <w:r>
        <w:t>terbinafin</w:t>
      </w:r>
      <w:proofErr w:type="spellEnd"/>
      <w:r>
        <w:t xml:space="preserve">-tabletter, og det bør overvejes at ændre behandlingsregimet og at seponere behandlingen med </w:t>
      </w:r>
      <w:proofErr w:type="spellStart"/>
      <w:r>
        <w:t>terbinafin</w:t>
      </w:r>
      <w:proofErr w:type="spellEnd"/>
      <w:r>
        <w:t>-tabletter.</w:t>
      </w:r>
    </w:p>
    <w:p w:rsidR="001A5E02" w:rsidRDefault="001A5E02" w:rsidP="001A5E02"/>
    <w:p w:rsidR="001A5E02" w:rsidRPr="00680B3E" w:rsidRDefault="001A5E02" w:rsidP="001A5E02">
      <w:pPr>
        <w:pStyle w:val="Brdtekst"/>
        <w:ind w:left="0"/>
        <w:rPr>
          <w:u w:val="single"/>
        </w:rPr>
      </w:pPr>
      <w:r>
        <w:rPr>
          <w:i/>
        </w:rPr>
        <w:tab/>
      </w:r>
      <w:r w:rsidRPr="00680B3E">
        <w:rPr>
          <w:u w:val="single"/>
        </w:rPr>
        <w:t>Nyrefunktion</w:t>
      </w:r>
    </w:p>
    <w:p w:rsidR="00680B3E" w:rsidRDefault="001A5E02" w:rsidP="00680B3E">
      <w:pPr>
        <w:pStyle w:val="Brdtekst"/>
      </w:pPr>
      <w:r>
        <w:t xml:space="preserve">Der er ikke udført tilstrækkelige undersøgelser af brug af </w:t>
      </w:r>
      <w:proofErr w:type="spellStart"/>
      <w:r>
        <w:t>terbinafin</w:t>
      </w:r>
      <w:proofErr w:type="spellEnd"/>
      <w:r>
        <w:t xml:space="preserve">-tabletter til patienter med nedsat nyrefunktion </w:t>
      </w:r>
      <w:r w:rsidR="00680B3E">
        <w:t>(</w:t>
      </w:r>
      <w:proofErr w:type="spellStart"/>
      <w:r w:rsidR="00680B3E">
        <w:t>kreatinin-clearance</w:t>
      </w:r>
      <w:proofErr w:type="spellEnd"/>
      <w:r w:rsidR="00680B3E">
        <w:t xml:space="preserve"> &lt; 50 ml/min eller serum-</w:t>
      </w:r>
      <w:proofErr w:type="spellStart"/>
      <w:r w:rsidR="00680B3E">
        <w:t>kreatinin</w:t>
      </w:r>
      <w:proofErr w:type="spellEnd"/>
      <w:r w:rsidR="00680B3E">
        <w:t xml:space="preserve"> &gt; 300 mikromol/l). Brug i denne patientpopulation kan derfor ikke anbefales (se pkt. 5.2). </w:t>
      </w:r>
    </w:p>
    <w:p w:rsidR="001A5E02" w:rsidRDefault="001A5E02" w:rsidP="00680B3E">
      <w:pPr>
        <w:pStyle w:val="Brdtekst"/>
      </w:pPr>
      <w:r>
        <w:tab/>
      </w:r>
    </w:p>
    <w:p w:rsidR="00425145" w:rsidRDefault="00425145" w:rsidP="00425145">
      <w:pPr>
        <w:ind w:firstLine="855"/>
        <w:rPr>
          <w:bCs/>
          <w:sz w:val="24"/>
          <w:szCs w:val="24"/>
          <w:lang w:eastAsia="da-DK"/>
        </w:rPr>
      </w:pPr>
      <w:r>
        <w:rPr>
          <w:bCs/>
          <w:szCs w:val="24"/>
          <w:u w:val="single"/>
        </w:rPr>
        <w:t xml:space="preserve">Interaktioner </w:t>
      </w:r>
    </w:p>
    <w:p w:rsidR="00425145" w:rsidRDefault="00425145" w:rsidP="00425145">
      <w:pPr>
        <w:ind w:left="855"/>
        <w:rPr>
          <w:szCs w:val="24"/>
        </w:rPr>
      </w:pPr>
      <w:r>
        <w:rPr>
          <w:i/>
          <w:iCs/>
          <w:szCs w:val="24"/>
        </w:rPr>
        <w:t xml:space="preserve">In </w:t>
      </w:r>
      <w:proofErr w:type="spellStart"/>
      <w:r>
        <w:rPr>
          <w:i/>
          <w:iCs/>
          <w:szCs w:val="24"/>
        </w:rPr>
        <w:t>vitro</w:t>
      </w:r>
      <w:proofErr w:type="spellEnd"/>
      <w:r>
        <w:rPr>
          <w:szCs w:val="24"/>
        </w:rPr>
        <w:t xml:space="preserve">- og </w:t>
      </w:r>
      <w:r>
        <w:rPr>
          <w:i/>
          <w:iCs/>
          <w:szCs w:val="24"/>
        </w:rPr>
        <w:t xml:space="preserve">in </w:t>
      </w:r>
      <w:proofErr w:type="spellStart"/>
      <w:r>
        <w:rPr>
          <w:i/>
          <w:iCs/>
          <w:szCs w:val="24"/>
        </w:rPr>
        <w:t>vivo</w:t>
      </w:r>
      <w:proofErr w:type="spellEnd"/>
      <w:r>
        <w:rPr>
          <w:szCs w:val="24"/>
        </w:rPr>
        <w:t xml:space="preserve">-studier har vist, at </w:t>
      </w:r>
      <w:proofErr w:type="spellStart"/>
      <w:r>
        <w:rPr>
          <w:szCs w:val="24"/>
        </w:rPr>
        <w:t>terbinafin</w:t>
      </w:r>
      <w:proofErr w:type="spellEnd"/>
      <w:r>
        <w:rPr>
          <w:szCs w:val="24"/>
        </w:rPr>
        <w:t xml:space="preserve"> hæmmer CYP2D6-metabolismen (se pkt. 4.5).</w:t>
      </w:r>
    </w:p>
    <w:p w:rsidR="00425145" w:rsidRDefault="00425145" w:rsidP="00425145">
      <w:pPr>
        <w:jc w:val="both"/>
        <w:rPr>
          <w:u w:val="single"/>
        </w:rPr>
      </w:pPr>
    </w:p>
    <w:p w:rsidR="00425145" w:rsidRPr="00680B3E" w:rsidRDefault="00425145" w:rsidP="00425145">
      <w:pPr>
        <w:ind w:firstLine="855"/>
        <w:jc w:val="both"/>
        <w:rPr>
          <w:u w:val="single"/>
        </w:rPr>
      </w:pPr>
      <w:proofErr w:type="spellStart"/>
      <w:r w:rsidRPr="00680B3E">
        <w:rPr>
          <w:u w:val="single"/>
        </w:rPr>
        <w:t>Terbinafin</w:t>
      </w:r>
      <w:proofErr w:type="spellEnd"/>
      <w:r w:rsidRPr="00680B3E">
        <w:rPr>
          <w:u w:val="single"/>
        </w:rPr>
        <w:t xml:space="preserve"> ”</w:t>
      </w:r>
      <w:proofErr w:type="spellStart"/>
      <w:r w:rsidRPr="00680B3E">
        <w:rPr>
          <w:u w:val="single"/>
        </w:rPr>
        <w:t>Hexal</w:t>
      </w:r>
      <w:proofErr w:type="spellEnd"/>
      <w:r w:rsidRPr="00680B3E">
        <w:rPr>
          <w:u w:val="single"/>
        </w:rPr>
        <w:t>” indeholder natrium</w:t>
      </w:r>
    </w:p>
    <w:p w:rsidR="00425145" w:rsidRDefault="00425145" w:rsidP="00425145">
      <w:pPr>
        <w:ind w:left="855"/>
        <w:jc w:val="both"/>
      </w:pPr>
      <w:r>
        <w:t>Dette lægemiddel indeholder mindre end 1 mmol (23 mg) natrium pr. tablet, dvs. den er i det væsentlige natrium-fri.</w:t>
      </w:r>
    </w:p>
    <w:p w:rsidR="001A5E02" w:rsidRDefault="001A5E02" w:rsidP="001A5E02">
      <w:pPr>
        <w:jc w:val="both"/>
        <w:rPr>
          <w:b/>
        </w:rPr>
      </w:pPr>
    </w:p>
    <w:p w:rsidR="001A5E02" w:rsidRPr="00A14FF1" w:rsidRDefault="001A5E02" w:rsidP="006E7462">
      <w:pPr>
        <w:numPr>
          <w:ilvl w:val="1"/>
          <w:numId w:val="6"/>
        </w:numPr>
        <w:tabs>
          <w:tab w:val="clear" w:pos="1139"/>
          <w:tab w:val="num" w:pos="851"/>
        </w:tabs>
        <w:jc w:val="both"/>
        <w:rPr>
          <w:b/>
        </w:rPr>
      </w:pPr>
      <w:r>
        <w:rPr>
          <w:b/>
        </w:rPr>
        <w:lastRenderedPageBreak/>
        <w:t>Interaktion med andre lægemidler og andre former for interaktion</w:t>
      </w:r>
    </w:p>
    <w:p w:rsidR="001A5E02" w:rsidRDefault="001A5E02" w:rsidP="001A5E02">
      <w:pPr>
        <w:pStyle w:val="Brdtekst"/>
        <w:rPr>
          <w:b/>
        </w:rPr>
      </w:pPr>
      <w:r>
        <w:rPr>
          <w:b/>
        </w:rPr>
        <w:t xml:space="preserve">Andre lægemidlers effekt på </w:t>
      </w:r>
      <w:proofErr w:type="spellStart"/>
      <w:r>
        <w:rPr>
          <w:b/>
        </w:rPr>
        <w:t>terbinafin</w:t>
      </w:r>
      <w:proofErr w:type="spellEnd"/>
    </w:p>
    <w:p w:rsidR="006E7462" w:rsidRDefault="006E7462" w:rsidP="006E7462">
      <w:pPr>
        <w:pStyle w:val="Brdtekst"/>
      </w:pPr>
      <w:r>
        <w:t>Plasma-</w:t>
      </w:r>
      <w:proofErr w:type="spellStart"/>
      <w:r>
        <w:t>clearance</w:t>
      </w:r>
      <w:proofErr w:type="spellEnd"/>
      <w:r>
        <w:t xml:space="preserve"> af </w:t>
      </w:r>
      <w:proofErr w:type="spellStart"/>
      <w:r>
        <w:t>terbinafin</w:t>
      </w:r>
      <w:proofErr w:type="spellEnd"/>
      <w:r>
        <w:t xml:space="preserve"> kan øges, hvis lægemidler, der inducerer metabolismen, administreres samtidig. </w:t>
      </w:r>
      <w:proofErr w:type="spellStart"/>
      <w:r>
        <w:rPr>
          <w:b/>
          <w:bCs/>
        </w:rPr>
        <w:t>Rifampicin</w:t>
      </w:r>
      <w:proofErr w:type="spellEnd"/>
      <w:r>
        <w:t xml:space="preserve"> øgede </w:t>
      </w:r>
      <w:proofErr w:type="spellStart"/>
      <w:r>
        <w:t>plasmaclearance</w:t>
      </w:r>
      <w:proofErr w:type="spellEnd"/>
      <w:r>
        <w:t xml:space="preserve"> af </w:t>
      </w:r>
      <w:proofErr w:type="spellStart"/>
      <w:r>
        <w:t>terbinafin</w:t>
      </w:r>
      <w:proofErr w:type="spellEnd"/>
      <w:r>
        <w:t xml:space="preserve"> med 100 %. Ved samtidig brug af lægemidler, der hæmmer </w:t>
      </w:r>
      <w:proofErr w:type="spellStart"/>
      <w:r>
        <w:t>cytochrom</w:t>
      </w:r>
      <w:proofErr w:type="spellEnd"/>
      <w:r>
        <w:t xml:space="preserve"> P450,</w:t>
      </w:r>
      <w:r>
        <w:rPr>
          <w:color w:val="000000"/>
          <w:sz w:val="23"/>
          <w:szCs w:val="24"/>
          <w:lang w:eastAsia="en-US"/>
        </w:rPr>
        <w:t xml:space="preserve"> </w:t>
      </w:r>
      <w:r>
        <w:t xml:space="preserve">kan </w:t>
      </w:r>
      <w:proofErr w:type="spellStart"/>
      <w:r>
        <w:t>plasmaclearance</w:t>
      </w:r>
      <w:proofErr w:type="spellEnd"/>
      <w:r>
        <w:t xml:space="preserve"> af </w:t>
      </w:r>
      <w:proofErr w:type="spellStart"/>
      <w:r>
        <w:t>terbinafin</w:t>
      </w:r>
      <w:proofErr w:type="spellEnd"/>
      <w:r>
        <w:t xml:space="preserve"> hæmmes. </w:t>
      </w:r>
      <w:proofErr w:type="spellStart"/>
      <w:r>
        <w:rPr>
          <w:b/>
          <w:bCs/>
        </w:rPr>
        <w:t>Cimetidin</w:t>
      </w:r>
      <w:proofErr w:type="spellEnd"/>
      <w:r>
        <w:t xml:space="preserve"> nedsatte </w:t>
      </w:r>
      <w:proofErr w:type="spellStart"/>
      <w:r>
        <w:t>plasmaclearance</w:t>
      </w:r>
      <w:proofErr w:type="spellEnd"/>
      <w:r>
        <w:t xml:space="preserve"> af </w:t>
      </w:r>
      <w:proofErr w:type="spellStart"/>
      <w:r>
        <w:t>terbinafin</w:t>
      </w:r>
      <w:proofErr w:type="spellEnd"/>
      <w:r>
        <w:t xml:space="preserve"> med 33 %.</w:t>
      </w:r>
    </w:p>
    <w:p w:rsidR="006E7462" w:rsidRDefault="006E7462" w:rsidP="006E7462">
      <w:pPr>
        <w:pStyle w:val="Brdtekst"/>
      </w:pPr>
      <w:r>
        <w:t xml:space="preserve">Når det er nødvendigt at administrere </w:t>
      </w:r>
      <w:proofErr w:type="spellStart"/>
      <w:r>
        <w:t>terbinafin</w:t>
      </w:r>
      <w:proofErr w:type="spellEnd"/>
      <w:r>
        <w:t xml:space="preserve"> sammen med sådanne lægemidler, skal dosis af </w:t>
      </w:r>
      <w:proofErr w:type="spellStart"/>
      <w:r>
        <w:t>terbinafin</w:t>
      </w:r>
      <w:proofErr w:type="spellEnd"/>
      <w:r>
        <w:t xml:space="preserve"> justeres derefter. </w:t>
      </w:r>
    </w:p>
    <w:p w:rsidR="006E7462" w:rsidRDefault="006E7462" w:rsidP="006E7462">
      <w:pPr>
        <w:pStyle w:val="Brdtekst"/>
      </w:pPr>
    </w:p>
    <w:p w:rsidR="006E7462" w:rsidRDefault="006E7462" w:rsidP="006E7462">
      <w:pPr>
        <w:pStyle w:val="Brdtekst"/>
      </w:pPr>
      <w:proofErr w:type="spellStart"/>
      <w:r>
        <w:rPr>
          <w:b/>
        </w:rPr>
        <w:t>Fluconazol</w:t>
      </w:r>
      <w:proofErr w:type="spellEnd"/>
      <w:r>
        <w:rPr>
          <w:b/>
        </w:rPr>
        <w:t xml:space="preserve"> </w:t>
      </w:r>
      <w:r>
        <w:t xml:space="preserve">øgede </w:t>
      </w:r>
      <w:proofErr w:type="spellStart"/>
      <w:r>
        <w:t>C</w:t>
      </w:r>
      <w:r>
        <w:rPr>
          <w:vertAlign w:val="subscript"/>
        </w:rPr>
        <w:t>max</w:t>
      </w:r>
      <w:proofErr w:type="spellEnd"/>
      <w:r>
        <w:t xml:space="preserve"> og AUC af </w:t>
      </w:r>
      <w:proofErr w:type="spellStart"/>
      <w:r>
        <w:t>terbinafin</w:t>
      </w:r>
      <w:proofErr w:type="spellEnd"/>
      <w:r>
        <w:t xml:space="preserve"> med henholdsvis 52 % og 69 % på grund af hæmning af både CYP2C9- og CYP3A4-enzymer. </w:t>
      </w:r>
      <w:r>
        <w:rPr>
          <w:vanish/>
          <w:vertAlign w:val="subscript"/>
        </w:rPr>
        <w:t xml:space="preserve">. </w:t>
      </w:r>
      <w:r>
        <w:t xml:space="preserve">Der kan opstå en lignende stigning i eksponeringen, når </w:t>
      </w:r>
      <w:proofErr w:type="spellStart"/>
      <w:r>
        <w:t>terbinafin</w:t>
      </w:r>
      <w:proofErr w:type="spellEnd"/>
      <w:r>
        <w:t xml:space="preserve"> administreres samtidig med andre lægemidler, som hæmmer både CYP2C9 og CYP3A4, såsom </w:t>
      </w:r>
      <w:proofErr w:type="spellStart"/>
      <w:r>
        <w:rPr>
          <w:b/>
        </w:rPr>
        <w:t>ketoconazol</w:t>
      </w:r>
      <w:proofErr w:type="spellEnd"/>
      <w:r>
        <w:rPr>
          <w:b/>
        </w:rPr>
        <w:t xml:space="preserve"> </w:t>
      </w:r>
      <w:r>
        <w:t xml:space="preserve">og </w:t>
      </w:r>
      <w:proofErr w:type="spellStart"/>
      <w:r>
        <w:rPr>
          <w:b/>
        </w:rPr>
        <w:t>amiodaron</w:t>
      </w:r>
      <w:proofErr w:type="spellEnd"/>
      <w:r>
        <w:t>.</w:t>
      </w:r>
    </w:p>
    <w:p w:rsidR="006E7462" w:rsidRDefault="006E7462" w:rsidP="006E7462">
      <w:pPr>
        <w:pStyle w:val="Brdtekst"/>
      </w:pPr>
    </w:p>
    <w:p w:rsidR="001A5E02" w:rsidRDefault="001A5E02" w:rsidP="001A5E02">
      <w:pPr>
        <w:pStyle w:val="Brdtekst"/>
        <w:rPr>
          <w:b/>
        </w:rPr>
      </w:pPr>
      <w:proofErr w:type="spellStart"/>
      <w:r>
        <w:rPr>
          <w:b/>
        </w:rPr>
        <w:t>Terbinafins</w:t>
      </w:r>
      <w:proofErr w:type="spellEnd"/>
      <w:r>
        <w:rPr>
          <w:b/>
        </w:rPr>
        <w:t xml:space="preserve"> effekt på andre lægemidler</w:t>
      </w:r>
    </w:p>
    <w:p w:rsidR="006E7462" w:rsidRDefault="006E7462" w:rsidP="006E7462">
      <w:pPr>
        <w:pStyle w:val="Brdtekst"/>
        <w:rPr>
          <w:i/>
        </w:rPr>
      </w:pPr>
      <w:proofErr w:type="spellStart"/>
      <w:r>
        <w:rPr>
          <w:i/>
        </w:rPr>
        <w:t>Terbinafin</w:t>
      </w:r>
      <w:proofErr w:type="spellEnd"/>
      <w:r>
        <w:rPr>
          <w:i/>
        </w:rPr>
        <w:t xml:space="preserve"> kan forstærke effekten eller øge plasmakoncentrationen af følgende lægemidler</w:t>
      </w:r>
    </w:p>
    <w:p w:rsidR="006E7462" w:rsidRDefault="006E7462" w:rsidP="006E7462">
      <w:pPr>
        <w:pStyle w:val="Brdtekst"/>
        <w:ind w:left="0"/>
      </w:pPr>
      <w:r>
        <w:tab/>
      </w:r>
      <w:proofErr w:type="spellStart"/>
      <w:r>
        <w:t>Terbinafin</w:t>
      </w:r>
      <w:proofErr w:type="spellEnd"/>
      <w:r>
        <w:t xml:space="preserve"> nedsætter </w:t>
      </w:r>
      <w:proofErr w:type="spellStart"/>
      <w:r>
        <w:t>clearance</w:t>
      </w:r>
      <w:proofErr w:type="spellEnd"/>
      <w:r>
        <w:t xml:space="preserve"> af intravenøs </w:t>
      </w:r>
      <w:proofErr w:type="spellStart"/>
      <w:r>
        <w:rPr>
          <w:b/>
        </w:rPr>
        <w:t>caffein</w:t>
      </w:r>
      <w:proofErr w:type="spellEnd"/>
      <w:r>
        <w:rPr>
          <w:b/>
        </w:rPr>
        <w:t xml:space="preserve"> </w:t>
      </w:r>
      <w:r>
        <w:t>med 19 %.</w:t>
      </w:r>
    </w:p>
    <w:p w:rsidR="006E7462" w:rsidRDefault="006E7462" w:rsidP="006E7462">
      <w:pPr>
        <w:pStyle w:val="Brdtekst"/>
      </w:pPr>
    </w:p>
    <w:p w:rsidR="006E7462" w:rsidRDefault="006E7462" w:rsidP="006E7462">
      <w:pPr>
        <w:pStyle w:val="Brdtekst"/>
      </w:pPr>
      <w:r>
        <w:rPr>
          <w:b/>
        </w:rPr>
        <w:t xml:space="preserve">Lægemidler, der hovedsageligt </w:t>
      </w:r>
      <w:proofErr w:type="spellStart"/>
      <w:r>
        <w:rPr>
          <w:b/>
        </w:rPr>
        <w:t>metaboliseres</w:t>
      </w:r>
      <w:proofErr w:type="spellEnd"/>
      <w:r>
        <w:rPr>
          <w:b/>
        </w:rPr>
        <w:t xml:space="preserve"> via CYP2D6</w:t>
      </w:r>
    </w:p>
    <w:p w:rsidR="006E7462" w:rsidRDefault="006E7462" w:rsidP="006E7462">
      <w:pPr>
        <w:pStyle w:val="Brdtekst"/>
        <w:tabs>
          <w:tab w:val="clear" w:pos="851"/>
          <w:tab w:val="left" w:pos="1304"/>
        </w:tabs>
      </w:pPr>
      <w:r>
        <w:t xml:space="preserve">Det er påvist i </w:t>
      </w:r>
      <w:r>
        <w:rPr>
          <w:i/>
        </w:rPr>
        <w:t xml:space="preserve">in </w:t>
      </w:r>
      <w:proofErr w:type="spellStart"/>
      <w:r>
        <w:rPr>
          <w:i/>
        </w:rPr>
        <w:t>vitro</w:t>
      </w:r>
      <w:proofErr w:type="spellEnd"/>
      <w:r>
        <w:t xml:space="preserve">- og </w:t>
      </w:r>
      <w:r>
        <w:rPr>
          <w:i/>
        </w:rPr>
        <w:t xml:space="preserve">in </w:t>
      </w:r>
      <w:proofErr w:type="spellStart"/>
      <w:r>
        <w:rPr>
          <w:i/>
        </w:rPr>
        <w:t>vivo</w:t>
      </w:r>
      <w:proofErr w:type="spellEnd"/>
      <w:r>
        <w:t xml:space="preserve">-forsøg, at </w:t>
      </w:r>
      <w:proofErr w:type="spellStart"/>
      <w:r>
        <w:t>terbinafin</w:t>
      </w:r>
      <w:proofErr w:type="spellEnd"/>
      <w:r>
        <w:t xml:space="preserve"> hæmmer CYP2D6-medieret </w:t>
      </w:r>
      <w:proofErr w:type="spellStart"/>
      <w:r>
        <w:t>metabolisering</w:t>
      </w:r>
      <w:proofErr w:type="spellEnd"/>
      <w:r>
        <w:t xml:space="preserve">. Dette fund kan være af klinisk relevans for lægemidler, der hovedsageligt </w:t>
      </w:r>
      <w:proofErr w:type="spellStart"/>
      <w:r>
        <w:t>metaboliseres</w:t>
      </w:r>
      <w:proofErr w:type="spellEnd"/>
      <w:r>
        <w:t xml:space="preserve"> via CYP2D6, særligt hvis de også har et snævert terapeutisk vindue, f.eks. visse medlemmer af følgende lægemiddelklasser: tricykliske </w:t>
      </w:r>
      <w:proofErr w:type="spellStart"/>
      <w:r>
        <w:t>antidepressiva</w:t>
      </w:r>
      <w:proofErr w:type="spellEnd"/>
      <w:r>
        <w:t xml:space="preserve"> (</w:t>
      </w:r>
      <w:proofErr w:type="spellStart"/>
      <w:r>
        <w:t>TCA’er</w:t>
      </w:r>
      <w:proofErr w:type="spellEnd"/>
      <w:r>
        <w:t xml:space="preserve">), selektive </w:t>
      </w:r>
      <w:proofErr w:type="spellStart"/>
      <w:r>
        <w:t>serotoningenoptagshæmmere</w:t>
      </w:r>
      <w:proofErr w:type="spellEnd"/>
      <w:r>
        <w:t xml:space="preserve"> (</w:t>
      </w:r>
      <w:proofErr w:type="spellStart"/>
      <w:r>
        <w:t>SSRI’er</w:t>
      </w:r>
      <w:proofErr w:type="spellEnd"/>
      <w:r>
        <w:t xml:space="preserve">), </w:t>
      </w:r>
      <w:proofErr w:type="spellStart"/>
      <w:r>
        <w:t>monoaminooxidasehæmmere</w:t>
      </w:r>
      <w:proofErr w:type="spellEnd"/>
      <w:r>
        <w:t xml:space="preserve"> (MAO-</w:t>
      </w:r>
      <w:proofErr w:type="spellStart"/>
      <w:r>
        <w:t>hæmmere</w:t>
      </w:r>
      <w:proofErr w:type="spellEnd"/>
      <w:r>
        <w:t xml:space="preserve">) type B, </w:t>
      </w:r>
      <w:proofErr w:type="spellStart"/>
      <w:r>
        <w:t>antiarytmika</w:t>
      </w:r>
      <w:proofErr w:type="spellEnd"/>
      <w:r>
        <w:t xml:space="preserve"> (inklusive klasse 1A, 1B og 1C) og beta-receptorblokkere (se pkt. 4.4).</w:t>
      </w:r>
    </w:p>
    <w:p w:rsidR="001A5E02" w:rsidRDefault="001A5E02" w:rsidP="001A5E02">
      <w:pPr>
        <w:pStyle w:val="Brdtekst"/>
        <w:tabs>
          <w:tab w:val="clear" w:pos="851"/>
          <w:tab w:val="left" w:pos="1304"/>
        </w:tabs>
        <w:ind w:left="1276"/>
      </w:pPr>
    </w:p>
    <w:p w:rsidR="001A5E02" w:rsidRDefault="001A5E02" w:rsidP="001A5E02">
      <w:pPr>
        <w:pStyle w:val="Brdtekst"/>
        <w:tabs>
          <w:tab w:val="clear" w:pos="851"/>
          <w:tab w:val="left" w:pos="1560"/>
        </w:tabs>
      </w:pPr>
      <w:proofErr w:type="spellStart"/>
      <w:r>
        <w:t>Terbinafin</w:t>
      </w:r>
      <w:proofErr w:type="spellEnd"/>
      <w:r>
        <w:t xml:space="preserve"> nedsætter </w:t>
      </w:r>
      <w:proofErr w:type="spellStart"/>
      <w:r>
        <w:t>clearance</w:t>
      </w:r>
      <w:proofErr w:type="spellEnd"/>
      <w:r>
        <w:t xml:space="preserve"> af </w:t>
      </w:r>
      <w:proofErr w:type="spellStart"/>
      <w:r>
        <w:rPr>
          <w:b/>
        </w:rPr>
        <w:t>desipramin</w:t>
      </w:r>
      <w:proofErr w:type="spellEnd"/>
      <w:r>
        <w:rPr>
          <w:b/>
        </w:rPr>
        <w:t xml:space="preserve"> </w:t>
      </w:r>
      <w:r>
        <w:t>med 82 % (se pkt. 4.4).</w:t>
      </w:r>
    </w:p>
    <w:p w:rsidR="001A5E02" w:rsidRDefault="001A5E02" w:rsidP="001A5E02">
      <w:pPr>
        <w:pStyle w:val="Brdtekst"/>
        <w:tabs>
          <w:tab w:val="clear" w:pos="851"/>
          <w:tab w:val="left" w:pos="1560"/>
        </w:tabs>
      </w:pPr>
    </w:p>
    <w:p w:rsidR="006E7462" w:rsidRDefault="006E7462" w:rsidP="006E7462">
      <w:pPr>
        <w:pStyle w:val="Brdtekst"/>
        <w:tabs>
          <w:tab w:val="clear" w:pos="851"/>
          <w:tab w:val="left" w:pos="1560"/>
        </w:tabs>
      </w:pPr>
      <w:r>
        <w:t xml:space="preserve">I forsøg med raske frivillige, der blev identificeret som normal omsætter af </w:t>
      </w:r>
      <w:proofErr w:type="spellStart"/>
      <w:r>
        <w:rPr>
          <w:b/>
        </w:rPr>
        <w:t>dextromethorphan</w:t>
      </w:r>
      <w:proofErr w:type="spellEnd"/>
      <w:r>
        <w:t xml:space="preserve"> (et middel mod hoste og et CYP2D6-substrat), medførte administration af </w:t>
      </w:r>
      <w:proofErr w:type="spellStart"/>
      <w:r>
        <w:t>terbinafin</w:t>
      </w:r>
      <w:proofErr w:type="spellEnd"/>
      <w:r>
        <w:t xml:space="preserve">, at den metaboliske ratio af </w:t>
      </w:r>
      <w:proofErr w:type="spellStart"/>
      <w:r>
        <w:t>dextromethorphan</w:t>
      </w:r>
      <w:proofErr w:type="spellEnd"/>
      <w:r>
        <w:t>/</w:t>
      </w:r>
      <w:proofErr w:type="spellStart"/>
      <w:r>
        <w:t>dextrorphan</w:t>
      </w:r>
      <w:proofErr w:type="spellEnd"/>
      <w:r>
        <w:t xml:space="preserve"> i urin blev gennemsnitligt 16 til 97 gange højere. </w:t>
      </w:r>
      <w:proofErr w:type="spellStart"/>
      <w:r>
        <w:t>Terbinafin</w:t>
      </w:r>
      <w:proofErr w:type="spellEnd"/>
      <w:r>
        <w:t xml:space="preserve"> kan altså resultere i, at personer, der er normal omsætter af CYP2D6 skifter til langsom omsætter.</w:t>
      </w:r>
    </w:p>
    <w:p w:rsidR="006E7462" w:rsidRDefault="006E7462" w:rsidP="006E7462">
      <w:pPr>
        <w:tabs>
          <w:tab w:val="left" w:pos="1560"/>
        </w:tabs>
        <w:autoSpaceDE w:val="0"/>
        <w:autoSpaceDN w:val="0"/>
        <w:adjustRightInd w:val="0"/>
        <w:ind w:left="851"/>
        <w:rPr>
          <w:b/>
          <w:color w:val="000000"/>
          <w:sz w:val="22"/>
          <w:u w:val="single"/>
        </w:rPr>
      </w:pPr>
    </w:p>
    <w:p w:rsidR="006E7462" w:rsidRDefault="006E7462" w:rsidP="006E7462">
      <w:pPr>
        <w:tabs>
          <w:tab w:val="left" w:pos="1560"/>
        </w:tabs>
        <w:autoSpaceDE w:val="0"/>
        <w:autoSpaceDN w:val="0"/>
        <w:adjustRightInd w:val="0"/>
        <w:ind w:left="851"/>
        <w:rPr>
          <w:b/>
          <w:color w:val="000000"/>
          <w:szCs w:val="24"/>
        </w:rPr>
      </w:pPr>
      <w:r>
        <w:rPr>
          <w:b/>
          <w:color w:val="000000"/>
          <w:szCs w:val="24"/>
        </w:rPr>
        <w:t xml:space="preserve">Information om andre lægemidler med ingen eller kun ubetydelig interaktion med </w:t>
      </w:r>
      <w:proofErr w:type="spellStart"/>
      <w:r>
        <w:rPr>
          <w:b/>
          <w:color w:val="000000"/>
          <w:szCs w:val="24"/>
        </w:rPr>
        <w:t>terbinafin</w:t>
      </w:r>
      <w:proofErr w:type="spellEnd"/>
    </w:p>
    <w:p w:rsidR="006E7462" w:rsidRDefault="006E7462" w:rsidP="006E7462">
      <w:pPr>
        <w:autoSpaceDE w:val="0"/>
        <w:autoSpaceDN w:val="0"/>
        <w:adjustRightInd w:val="0"/>
        <w:ind w:left="851"/>
        <w:rPr>
          <w:color w:val="000000"/>
          <w:szCs w:val="24"/>
        </w:rPr>
      </w:pPr>
      <w:r>
        <w:rPr>
          <w:color w:val="000000"/>
          <w:szCs w:val="24"/>
        </w:rPr>
        <w:t xml:space="preserve">Ifølge resultaterne fra studier udført </w:t>
      </w:r>
      <w:r>
        <w:rPr>
          <w:i/>
          <w:iCs/>
          <w:color w:val="000000"/>
          <w:szCs w:val="24"/>
        </w:rPr>
        <w:t xml:space="preserve">in </w:t>
      </w:r>
      <w:proofErr w:type="spellStart"/>
      <w:r>
        <w:rPr>
          <w:i/>
          <w:iCs/>
          <w:color w:val="000000"/>
          <w:szCs w:val="24"/>
        </w:rPr>
        <w:t>vitro</w:t>
      </w:r>
      <w:proofErr w:type="spellEnd"/>
      <w:r>
        <w:rPr>
          <w:color w:val="000000"/>
          <w:szCs w:val="24"/>
        </w:rPr>
        <w:t xml:space="preserve"> og studier hos raske frivillige har </w:t>
      </w:r>
      <w:proofErr w:type="spellStart"/>
      <w:r>
        <w:rPr>
          <w:color w:val="000000"/>
          <w:szCs w:val="24"/>
        </w:rPr>
        <w:t>terbinafin</w:t>
      </w:r>
      <w:proofErr w:type="spellEnd"/>
      <w:r>
        <w:rPr>
          <w:color w:val="000000"/>
          <w:szCs w:val="24"/>
        </w:rPr>
        <w:t xml:space="preserve"> kun et ubetydeligt potentiale for at hæmme eller forstærke </w:t>
      </w:r>
      <w:proofErr w:type="spellStart"/>
      <w:r>
        <w:rPr>
          <w:color w:val="000000"/>
          <w:szCs w:val="24"/>
        </w:rPr>
        <w:t>clearance</w:t>
      </w:r>
      <w:proofErr w:type="spellEnd"/>
      <w:r>
        <w:rPr>
          <w:color w:val="000000"/>
          <w:szCs w:val="24"/>
        </w:rPr>
        <w:t xml:space="preserve"> af lægemidler, der </w:t>
      </w:r>
      <w:proofErr w:type="spellStart"/>
      <w:r>
        <w:rPr>
          <w:color w:val="000000"/>
          <w:szCs w:val="24"/>
        </w:rPr>
        <w:t>metaboliseres</w:t>
      </w:r>
      <w:proofErr w:type="spellEnd"/>
      <w:r>
        <w:rPr>
          <w:color w:val="000000"/>
          <w:szCs w:val="24"/>
        </w:rPr>
        <w:t xml:space="preserve"> via </w:t>
      </w:r>
      <w:proofErr w:type="spellStart"/>
      <w:r>
        <w:rPr>
          <w:color w:val="000000"/>
          <w:szCs w:val="24"/>
        </w:rPr>
        <w:t>cytochrom</w:t>
      </w:r>
      <w:proofErr w:type="spellEnd"/>
      <w:r>
        <w:rPr>
          <w:color w:val="000000"/>
          <w:szCs w:val="24"/>
        </w:rPr>
        <w:t xml:space="preserve"> P450-systemet (f.eks. </w:t>
      </w:r>
      <w:proofErr w:type="spellStart"/>
      <w:r>
        <w:rPr>
          <w:color w:val="000000"/>
          <w:szCs w:val="24"/>
        </w:rPr>
        <w:t>terfenadin</w:t>
      </w:r>
      <w:proofErr w:type="spellEnd"/>
      <w:r>
        <w:rPr>
          <w:color w:val="000000"/>
          <w:szCs w:val="24"/>
        </w:rPr>
        <w:t xml:space="preserve">, </w:t>
      </w:r>
      <w:proofErr w:type="spellStart"/>
      <w:r>
        <w:rPr>
          <w:color w:val="000000"/>
          <w:szCs w:val="24"/>
        </w:rPr>
        <w:t>triazolam</w:t>
      </w:r>
      <w:proofErr w:type="spellEnd"/>
      <w:r>
        <w:rPr>
          <w:color w:val="000000"/>
          <w:szCs w:val="24"/>
        </w:rPr>
        <w:t xml:space="preserve">, </w:t>
      </w:r>
      <w:proofErr w:type="spellStart"/>
      <w:r>
        <w:rPr>
          <w:color w:val="000000"/>
          <w:szCs w:val="24"/>
        </w:rPr>
        <w:t>tolbutamid</w:t>
      </w:r>
      <w:proofErr w:type="spellEnd"/>
      <w:r>
        <w:rPr>
          <w:color w:val="000000"/>
          <w:szCs w:val="24"/>
        </w:rPr>
        <w:t xml:space="preserve">, </w:t>
      </w:r>
      <w:proofErr w:type="spellStart"/>
      <w:r>
        <w:rPr>
          <w:color w:val="000000"/>
          <w:szCs w:val="24"/>
        </w:rPr>
        <w:t>ethinylestradiol</w:t>
      </w:r>
      <w:proofErr w:type="spellEnd"/>
      <w:r>
        <w:rPr>
          <w:color w:val="000000"/>
          <w:szCs w:val="24"/>
        </w:rPr>
        <w:t xml:space="preserve"> [f.eks. i p-piller]), med undtagelse af de lægemidler, der </w:t>
      </w:r>
      <w:proofErr w:type="spellStart"/>
      <w:r>
        <w:rPr>
          <w:color w:val="000000"/>
          <w:szCs w:val="24"/>
        </w:rPr>
        <w:t>metaboliseres</w:t>
      </w:r>
      <w:proofErr w:type="spellEnd"/>
      <w:r>
        <w:rPr>
          <w:color w:val="000000"/>
          <w:szCs w:val="24"/>
        </w:rPr>
        <w:t xml:space="preserve"> via CYP2D6 (se ovenfor).</w:t>
      </w:r>
    </w:p>
    <w:p w:rsidR="006E7462" w:rsidRDefault="006E7462" w:rsidP="006E7462">
      <w:pPr>
        <w:autoSpaceDE w:val="0"/>
        <w:autoSpaceDN w:val="0"/>
        <w:adjustRightInd w:val="0"/>
        <w:ind w:left="851"/>
        <w:rPr>
          <w:color w:val="000000"/>
        </w:rPr>
      </w:pPr>
    </w:p>
    <w:p w:rsidR="006E7462" w:rsidRDefault="006E7462" w:rsidP="006E7462">
      <w:pPr>
        <w:autoSpaceDE w:val="0"/>
        <w:autoSpaceDN w:val="0"/>
        <w:adjustRightInd w:val="0"/>
        <w:ind w:left="851"/>
        <w:rPr>
          <w:color w:val="000000"/>
          <w:sz w:val="22"/>
          <w:szCs w:val="24"/>
        </w:rPr>
      </w:pPr>
      <w:proofErr w:type="spellStart"/>
      <w:r>
        <w:rPr>
          <w:color w:val="000000"/>
        </w:rPr>
        <w:t>Terbinafin</w:t>
      </w:r>
      <w:proofErr w:type="spellEnd"/>
      <w:r>
        <w:rPr>
          <w:color w:val="000000"/>
        </w:rPr>
        <w:t xml:space="preserve"> har ingen indvirkning på </w:t>
      </w:r>
      <w:proofErr w:type="spellStart"/>
      <w:r>
        <w:rPr>
          <w:color w:val="000000"/>
        </w:rPr>
        <w:t>clearance</w:t>
      </w:r>
      <w:proofErr w:type="spellEnd"/>
      <w:r>
        <w:rPr>
          <w:color w:val="000000"/>
        </w:rPr>
        <w:t xml:space="preserve"> af </w:t>
      </w:r>
      <w:proofErr w:type="spellStart"/>
      <w:r>
        <w:rPr>
          <w:color w:val="000000"/>
        </w:rPr>
        <w:t>phenazon</w:t>
      </w:r>
      <w:proofErr w:type="spellEnd"/>
      <w:r>
        <w:rPr>
          <w:color w:val="000000"/>
        </w:rPr>
        <w:t xml:space="preserve"> </w:t>
      </w:r>
      <w:r>
        <w:rPr>
          <w:color w:val="000000"/>
          <w:szCs w:val="24"/>
        </w:rPr>
        <w:t xml:space="preserve">eller </w:t>
      </w:r>
      <w:proofErr w:type="spellStart"/>
      <w:r>
        <w:rPr>
          <w:color w:val="000000"/>
          <w:szCs w:val="24"/>
        </w:rPr>
        <w:t>digoxin</w:t>
      </w:r>
      <w:proofErr w:type="spellEnd"/>
      <w:r>
        <w:rPr>
          <w:color w:val="000000"/>
          <w:sz w:val="22"/>
          <w:szCs w:val="24"/>
        </w:rPr>
        <w:t>.</w:t>
      </w:r>
    </w:p>
    <w:p w:rsidR="006E7462" w:rsidRDefault="006E7462" w:rsidP="006E7462">
      <w:pPr>
        <w:autoSpaceDE w:val="0"/>
        <w:autoSpaceDN w:val="0"/>
        <w:adjustRightInd w:val="0"/>
        <w:ind w:left="851"/>
        <w:rPr>
          <w:color w:val="000000"/>
          <w:sz w:val="22"/>
          <w:szCs w:val="22"/>
        </w:rPr>
      </w:pPr>
    </w:p>
    <w:p w:rsidR="006E7462" w:rsidRDefault="006E7462" w:rsidP="006E7462">
      <w:pPr>
        <w:autoSpaceDE w:val="0"/>
        <w:autoSpaceDN w:val="0"/>
        <w:adjustRightInd w:val="0"/>
        <w:ind w:left="851"/>
        <w:rPr>
          <w:bCs/>
          <w:szCs w:val="24"/>
        </w:rPr>
      </w:pPr>
      <w:proofErr w:type="spellStart"/>
      <w:r>
        <w:rPr>
          <w:color w:val="000000"/>
          <w:szCs w:val="24"/>
        </w:rPr>
        <w:t>Terbinafin</w:t>
      </w:r>
      <w:proofErr w:type="spellEnd"/>
      <w:r>
        <w:rPr>
          <w:color w:val="000000"/>
          <w:szCs w:val="24"/>
        </w:rPr>
        <w:t xml:space="preserve"> har ingen indvirkning på farmakokinetikken af </w:t>
      </w:r>
      <w:proofErr w:type="spellStart"/>
      <w:r>
        <w:rPr>
          <w:bCs/>
          <w:color w:val="000000"/>
          <w:szCs w:val="24"/>
        </w:rPr>
        <w:t>fluconazol</w:t>
      </w:r>
      <w:proofErr w:type="spellEnd"/>
      <w:r>
        <w:rPr>
          <w:bCs/>
          <w:color w:val="000000"/>
          <w:szCs w:val="24"/>
        </w:rPr>
        <w:t xml:space="preserve">. Der var desuden ingen klinisk relevante interaktioner mellem </w:t>
      </w:r>
      <w:proofErr w:type="spellStart"/>
      <w:r>
        <w:rPr>
          <w:bCs/>
          <w:color w:val="000000"/>
          <w:szCs w:val="24"/>
        </w:rPr>
        <w:t>terbinafin</w:t>
      </w:r>
      <w:proofErr w:type="spellEnd"/>
      <w:r>
        <w:rPr>
          <w:bCs/>
          <w:color w:val="000000"/>
          <w:szCs w:val="24"/>
        </w:rPr>
        <w:t xml:space="preserve"> og de potentielle samtidige medicineringer </w:t>
      </w:r>
      <w:proofErr w:type="spellStart"/>
      <w:r>
        <w:rPr>
          <w:bCs/>
          <w:color w:val="000000"/>
          <w:szCs w:val="24"/>
        </w:rPr>
        <w:t>co-trimoxazol</w:t>
      </w:r>
      <w:proofErr w:type="spellEnd"/>
      <w:r>
        <w:rPr>
          <w:bCs/>
          <w:color w:val="000000"/>
          <w:szCs w:val="24"/>
        </w:rPr>
        <w:t xml:space="preserve"> (</w:t>
      </w:r>
      <w:proofErr w:type="spellStart"/>
      <w:r>
        <w:rPr>
          <w:bCs/>
          <w:color w:val="000000"/>
          <w:szCs w:val="24"/>
        </w:rPr>
        <w:t>trimethoprim</w:t>
      </w:r>
      <w:proofErr w:type="spellEnd"/>
      <w:r>
        <w:rPr>
          <w:bCs/>
          <w:color w:val="000000"/>
          <w:szCs w:val="24"/>
        </w:rPr>
        <w:t xml:space="preserve"> og </w:t>
      </w:r>
      <w:proofErr w:type="spellStart"/>
      <w:r>
        <w:rPr>
          <w:bCs/>
          <w:color w:val="000000"/>
          <w:szCs w:val="24"/>
        </w:rPr>
        <w:t>sulfamethoxazol</w:t>
      </w:r>
      <w:proofErr w:type="spellEnd"/>
      <w:r>
        <w:rPr>
          <w:bCs/>
          <w:color w:val="000000"/>
          <w:szCs w:val="24"/>
        </w:rPr>
        <w:t xml:space="preserve">), </w:t>
      </w:r>
      <w:proofErr w:type="spellStart"/>
      <w:r>
        <w:rPr>
          <w:bCs/>
          <w:color w:val="000000"/>
          <w:szCs w:val="24"/>
        </w:rPr>
        <w:t>zidovudin</w:t>
      </w:r>
      <w:proofErr w:type="spellEnd"/>
      <w:r>
        <w:rPr>
          <w:bCs/>
          <w:color w:val="000000"/>
          <w:szCs w:val="24"/>
        </w:rPr>
        <w:t xml:space="preserve"> eller </w:t>
      </w:r>
      <w:proofErr w:type="spellStart"/>
      <w:r>
        <w:rPr>
          <w:bCs/>
          <w:color w:val="000000"/>
          <w:szCs w:val="24"/>
        </w:rPr>
        <w:t>theophyllin</w:t>
      </w:r>
      <w:proofErr w:type="spellEnd"/>
      <w:r>
        <w:rPr>
          <w:bCs/>
          <w:color w:val="000000"/>
          <w:szCs w:val="24"/>
        </w:rPr>
        <w:t>.</w:t>
      </w:r>
    </w:p>
    <w:p w:rsidR="006E7462" w:rsidRDefault="006E7462" w:rsidP="006E7462">
      <w:pPr>
        <w:autoSpaceDE w:val="0"/>
        <w:autoSpaceDN w:val="0"/>
        <w:adjustRightInd w:val="0"/>
        <w:ind w:left="851"/>
        <w:rPr>
          <w:color w:val="000000"/>
        </w:rPr>
      </w:pPr>
    </w:p>
    <w:p w:rsidR="006E7462" w:rsidRDefault="006E7462" w:rsidP="006E7462">
      <w:pPr>
        <w:autoSpaceDE w:val="0"/>
        <w:autoSpaceDN w:val="0"/>
        <w:adjustRightInd w:val="0"/>
        <w:ind w:left="851"/>
        <w:rPr>
          <w:color w:val="000000"/>
        </w:rPr>
      </w:pPr>
      <w:r>
        <w:rPr>
          <w:color w:val="000000"/>
        </w:rPr>
        <w:t>Kvinder i den fertile alder</w:t>
      </w:r>
    </w:p>
    <w:p w:rsidR="006E7462" w:rsidRDefault="006E7462" w:rsidP="006E7462">
      <w:pPr>
        <w:autoSpaceDE w:val="0"/>
        <w:autoSpaceDN w:val="0"/>
        <w:adjustRightInd w:val="0"/>
        <w:ind w:left="851"/>
        <w:rPr>
          <w:color w:val="000000"/>
          <w:szCs w:val="24"/>
        </w:rPr>
      </w:pPr>
      <w:r>
        <w:rPr>
          <w:color w:val="000000"/>
        </w:rPr>
        <w:t xml:space="preserve">Blødningsforstyrrelser (f.eks. </w:t>
      </w:r>
      <w:r>
        <w:rPr>
          <w:color w:val="000000"/>
          <w:szCs w:val="24"/>
        </w:rPr>
        <w:t xml:space="preserve">uregelmæssig menstruation, gennembrudsblødning, </w:t>
      </w:r>
      <w:proofErr w:type="spellStart"/>
      <w:r>
        <w:rPr>
          <w:color w:val="000000"/>
          <w:szCs w:val="24"/>
        </w:rPr>
        <w:t>intermenstruel</w:t>
      </w:r>
      <w:proofErr w:type="spellEnd"/>
      <w:r>
        <w:rPr>
          <w:color w:val="000000"/>
          <w:szCs w:val="24"/>
        </w:rPr>
        <w:t xml:space="preserve"> blødning og </w:t>
      </w:r>
      <w:proofErr w:type="spellStart"/>
      <w:r>
        <w:rPr>
          <w:color w:val="000000"/>
          <w:szCs w:val="24"/>
        </w:rPr>
        <w:t>amenorré</w:t>
      </w:r>
      <w:proofErr w:type="spellEnd"/>
      <w:r>
        <w:rPr>
          <w:color w:val="000000"/>
          <w:szCs w:val="24"/>
        </w:rPr>
        <w:t xml:space="preserve">) er observeret hos nogle patienter, der tog </w:t>
      </w:r>
      <w:proofErr w:type="spellStart"/>
      <w:r>
        <w:rPr>
          <w:color w:val="000000"/>
          <w:szCs w:val="24"/>
        </w:rPr>
        <w:t>terbinafin</w:t>
      </w:r>
      <w:proofErr w:type="spellEnd"/>
      <w:r>
        <w:rPr>
          <w:color w:val="000000"/>
          <w:szCs w:val="24"/>
        </w:rPr>
        <w:t>-</w:t>
      </w:r>
      <w:r>
        <w:rPr>
          <w:color w:val="000000"/>
          <w:szCs w:val="24"/>
        </w:rPr>
        <w:lastRenderedPageBreak/>
        <w:t xml:space="preserve">tabletter sammen med </w:t>
      </w:r>
      <w:r>
        <w:rPr>
          <w:b/>
          <w:bCs/>
          <w:color w:val="000000"/>
          <w:szCs w:val="24"/>
        </w:rPr>
        <w:t>p-piller</w:t>
      </w:r>
      <w:r>
        <w:rPr>
          <w:color w:val="000000"/>
          <w:szCs w:val="24"/>
        </w:rPr>
        <w:t>. Disse hændelser er dog ikke forekommet hyppigere end hos kvinder, der tager p-piller alene.</w:t>
      </w:r>
    </w:p>
    <w:p w:rsidR="006E7462" w:rsidRDefault="006E7462" w:rsidP="006E7462">
      <w:pPr>
        <w:autoSpaceDE w:val="0"/>
        <w:autoSpaceDN w:val="0"/>
        <w:adjustRightInd w:val="0"/>
        <w:ind w:left="851"/>
        <w:rPr>
          <w:color w:val="000000"/>
          <w:szCs w:val="24"/>
        </w:rPr>
      </w:pPr>
    </w:p>
    <w:p w:rsidR="006E7462" w:rsidRDefault="006E7462" w:rsidP="006E7462">
      <w:pPr>
        <w:autoSpaceDE w:val="0"/>
        <w:autoSpaceDN w:val="0"/>
        <w:adjustRightInd w:val="0"/>
        <w:ind w:left="851"/>
        <w:rPr>
          <w:color w:val="000000"/>
          <w:szCs w:val="24"/>
        </w:rPr>
      </w:pPr>
      <w:r>
        <w:rPr>
          <w:color w:val="000000"/>
          <w:szCs w:val="24"/>
        </w:rPr>
        <w:t>Der foreligger ingen data, der understøtter særlige anbefalinger for kvinder i den fertile alder.</w:t>
      </w:r>
    </w:p>
    <w:p w:rsidR="006E7462" w:rsidRDefault="006E7462" w:rsidP="006E7462">
      <w:pPr>
        <w:pStyle w:val="Brdtekst"/>
        <w:tabs>
          <w:tab w:val="clear" w:pos="851"/>
          <w:tab w:val="left" w:pos="1304"/>
        </w:tabs>
      </w:pPr>
    </w:p>
    <w:p w:rsidR="006E7462" w:rsidRDefault="006E7462" w:rsidP="006E7462">
      <w:pPr>
        <w:pStyle w:val="Brdtekst"/>
        <w:tabs>
          <w:tab w:val="clear" w:pos="851"/>
          <w:tab w:val="left" w:pos="1304"/>
        </w:tabs>
        <w:rPr>
          <w:i/>
        </w:rPr>
      </w:pPr>
      <w:proofErr w:type="spellStart"/>
      <w:r>
        <w:rPr>
          <w:i/>
        </w:rPr>
        <w:t>Terbinafin</w:t>
      </w:r>
      <w:proofErr w:type="spellEnd"/>
      <w:r>
        <w:rPr>
          <w:i/>
        </w:rPr>
        <w:t xml:space="preserve"> kan forstærke effekten eller nedsætte plasmakoncentrationen af følgende lægemidler</w:t>
      </w:r>
    </w:p>
    <w:p w:rsidR="006E7462" w:rsidRDefault="006E7462" w:rsidP="006E7462">
      <w:pPr>
        <w:pStyle w:val="Brdtekst"/>
      </w:pPr>
      <w:proofErr w:type="spellStart"/>
      <w:r>
        <w:t>Terbinafin</w:t>
      </w:r>
      <w:proofErr w:type="spellEnd"/>
      <w:r>
        <w:t xml:space="preserve"> øger </w:t>
      </w:r>
      <w:proofErr w:type="spellStart"/>
      <w:r>
        <w:t>plasmaclearance</w:t>
      </w:r>
      <w:proofErr w:type="spellEnd"/>
      <w:r>
        <w:t xml:space="preserve"> af </w:t>
      </w:r>
      <w:proofErr w:type="spellStart"/>
      <w:r>
        <w:rPr>
          <w:b/>
        </w:rPr>
        <w:t>ciclosporin</w:t>
      </w:r>
      <w:proofErr w:type="spellEnd"/>
      <w:r>
        <w:rPr>
          <w:b/>
        </w:rPr>
        <w:t xml:space="preserve"> </w:t>
      </w:r>
      <w:r>
        <w:t>med 15 %.</w:t>
      </w:r>
    </w:p>
    <w:p w:rsidR="006E7462" w:rsidRDefault="006E7462" w:rsidP="006E7462">
      <w:pPr>
        <w:pStyle w:val="Brdtekst"/>
        <w:tabs>
          <w:tab w:val="clear" w:pos="851"/>
          <w:tab w:val="left" w:pos="1304"/>
        </w:tabs>
      </w:pPr>
    </w:p>
    <w:p w:rsidR="006E7462" w:rsidRDefault="006E7462" w:rsidP="006E7462">
      <w:pPr>
        <w:pStyle w:val="Brdtekst"/>
        <w:tabs>
          <w:tab w:val="left" w:pos="1304"/>
        </w:tabs>
      </w:pPr>
      <w:r>
        <w:t xml:space="preserve">Der er spontane indberetninger om en stigning eller et fald i </w:t>
      </w:r>
      <w:proofErr w:type="spellStart"/>
      <w:r>
        <w:t>protrombintiden</w:t>
      </w:r>
      <w:proofErr w:type="spellEnd"/>
      <w:r>
        <w:t xml:space="preserve"> hos patienter, der tog </w:t>
      </w:r>
      <w:proofErr w:type="spellStart"/>
      <w:r>
        <w:t>terbinafin</w:t>
      </w:r>
      <w:proofErr w:type="spellEnd"/>
      <w:r>
        <w:t xml:space="preserve"> samtidig med </w:t>
      </w:r>
      <w:proofErr w:type="spellStart"/>
      <w:r>
        <w:rPr>
          <w:b/>
        </w:rPr>
        <w:t>warfarin</w:t>
      </w:r>
      <w:proofErr w:type="spellEnd"/>
      <w:r>
        <w:t xml:space="preserve">. Der er dog ikke bevist nogen årsagssammenhæng mellem indtagelsen af </w:t>
      </w:r>
      <w:proofErr w:type="spellStart"/>
      <w:r>
        <w:t>terbinafin</w:t>
      </w:r>
      <w:proofErr w:type="spellEnd"/>
      <w:r>
        <w:t xml:space="preserve"> og de ændringer, der er set.</w:t>
      </w:r>
    </w:p>
    <w:p w:rsidR="001A5E02" w:rsidRPr="00FE43AE" w:rsidRDefault="001A5E02" w:rsidP="001A5E02">
      <w:pPr>
        <w:pStyle w:val="Brdtekst"/>
        <w:tabs>
          <w:tab w:val="clear" w:pos="851"/>
        </w:tabs>
      </w:pPr>
    </w:p>
    <w:p w:rsidR="001A5E02" w:rsidRDefault="006E7462" w:rsidP="006E7462">
      <w:pPr>
        <w:pStyle w:val="Listeafsnit"/>
        <w:numPr>
          <w:ilvl w:val="1"/>
          <w:numId w:val="6"/>
        </w:numPr>
        <w:tabs>
          <w:tab w:val="clear" w:pos="1139"/>
        </w:tabs>
        <w:ind w:left="851" w:hanging="567"/>
        <w:jc w:val="both"/>
        <w:rPr>
          <w:b/>
        </w:rPr>
      </w:pPr>
      <w:r>
        <w:rPr>
          <w:b/>
        </w:rPr>
        <w:t>Fertilitet, g</w:t>
      </w:r>
      <w:r w:rsidR="001A5E02" w:rsidRPr="00BD7284">
        <w:rPr>
          <w:b/>
        </w:rPr>
        <w:t>raviditet og amning</w:t>
      </w:r>
    </w:p>
    <w:p w:rsidR="006E7462" w:rsidRPr="006E7462" w:rsidRDefault="006E7462" w:rsidP="006E7462">
      <w:pPr>
        <w:pStyle w:val="Listeafsnit"/>
        <w:ind w:left="855"/>
        <w:jc w:val="both"/>
        <w:rPr>
          <w:sz w:val="23"/>
          <w:u w:val="single"/>
          <w:lang w:eastAsia="en-US"/>
        </w:rPr>
      </w:pPr>
      <w:r w:rsidRPr="006E7462">
        <w:rPr>
          <w:u w:val="single"/>
        </w:rPr>
        <w:t>Fertilitet</w:t>
      </w:r>
    </w:p>
    <w:p w:rsidR="006E7462" w:rsidRPr="006E7462" w:rsidRDefault="006E7462" w:rsidP="006E7462">
      <w:pPr>
        <w:ind w:left="851"/>
        <w:jc w:val="both"/>
        <w:rPr>
          <w:u w:val="single"/>
        </w:rPr>
      </w:pPr>
      <w:r w:rsidRPr="006E7462">
        <w:rPr>
          <w:color w:val="000000"/>
          <w:szCs w:val="24"/>
        </w:rPr>
        <w:t>Der er ingen kliniske data vedrørende brug hos mennesker. Forsøg med rotter</w:t>
      </w:r>
      <w:r w:rsidRPr="006E7462">
        <w:rPr>
          <w:color w:val="000000"/>
          <w:sz w:val="22"/>
        </w:rPr>
        <w:t xml:space="preserve"> </w:t>
      </w:r>
      <w:r>
        <w:t>har ikke påvist bivirkninger på hanners eller hunners fertilitet (se pkt. 5.3).</w:t>
      </w:r>
    </w:p>
    <w:p w:rsidR="006E7462" w:rsidRDefault="006E7462" w:rsidP="006E7462">
      <w:pPr>
        <w:pStyle w:val="Listeafsnit"/>
        <w:ind w:left="855"/>
        <w:jc w:val="both"/>
      </w:pPr>
    </w:p>
    <w:p w:rsidR="006E7462" w:rsidRDefault="006E7462" w:rsidP="006E7462">
      <w:pPr>
        <w:pStyle w:val="Brdtekst"/>
        <w:ind w:left="855"/>
        <w:rPr>
          <w:u w:val="single"/>
        </w:rPr>
      </w:pPr>
      <w:r>
        <w:rPr>
          <w:u w:val="single"/>
        </w:rPr>
        <w:t>Graviditet</w:t>
      </w:r>
    </w:p>
    <w:p w:rsidR="006E7462" w:rsidRDefault="006E7462" w:rsidP="006E7462">
      <w:pPr>
        <w:pStyle w:val="Brdtekst"/>
        <w:ind w:left="855"/>
      </w:pPr>
      <w:r>
        <w:t xml:space="preserve">Der er ingen tilstrækkelige eller velkontrollerede kliniske forsøg med </w:t>
      </w:r>
      <w:proofErr w:type="spellStart"/>
      <w:r>
        <w:t>terbinafin</w:t>
      </w:r>
      <w:proofErr w:type="spellEnd"/>
      <w:r>
        <w:t xml:space="preserve"> til gravide. </w:t>
      </w:r>
    </w:p>
    <w:p w:rsidR="006E7462" w:rsidRDefault="006E7462" w:rsidP="006E7462">
      <w:pPr>
        <w:pStyle w:val="Brdtekst"/>
        <w:ind w:left="855"/>
      </w:pPr>
    </w:p>
    <w:p w:rsidR="006E7462" w:rsidRDefault="006E7462" w:rsidP="006E7462">
      <w:pPr>
        <w:pStyle w:val="Brdtekst"/>
        <w:ind w:left="855"/>
      </w:pPr>
      <w:r>
        <w:t xml:space="preserve">Dyreforsøg har ikke påvist reproduktionstoksicitet (se pkt. 5.3). </w:t>
      </w:r>
    </w:p>
    <w:p w:rsidR="006E7462" w:rsidRDefault="006E7462" w:rsidP="006E7462">
      <w:pPr>
        <w:pStyle w:val="Brdtekst"/>
        <w:ind w:left="855"/>
      </w:pPr>
    </w:p>
    <w:p w:rsidR="006E7462" w:rsidRDefault="006E7462" w:rsidP="006E7462">
      <w:pPr>
        <w:pStyle w:val="Brdtekst"/>
        <w:ind w:left="855"/>
      </w:pPr>
      <w:r>
        <w:t xml:space="preserve">På grund af den begrænsede kliniske erfaring hos gravide og behandlingens lange varighed må </w:t>
      </w:r>
      <w:proofErr w:type="spellStart"/>
      <w:r>
        <w:t>terbinafin</w:t>
      </w:r>
      <w:proofErr w:type="spellEnd"/>
      <w:r>
        <w:t>-tabletter kun anvendes under graviditet efter en nøje benefit/</w:t>
      </w:r>
      <w:proofErr w:type="spellStart"/>
      <w:r>
        <w:t>risk</w:t>
      </w:r>
      <w:proofErr w:type="spellEnd"/>
      <w:r>
        <w:t>-vurdering.</w:t>
      </w:r>
    </w:p>
    <w:p w:rsidR="006E7462" w:rsidRDefault="006E7462" w:rsidP="006E7462">
      <w:pPr>
        <w:pStyle w:val="Brdtekst"/>
        <w:ind w:left="855"/>
      </w:pPr>
    </w:p>
    <w:p w:rsidR="006E7462" w:rsidRDefault="006E7462" w:rsidP="006E7462">
      <w:pPr>
        <w:pStyle w:val="Brdtekst"/>
        <w:ind w:left="855"/>
        <w:rPr>
          <w:u w:val="single"/>
        </w:rPr>
      </w:pPr>
      <w:r>
        <w:rPr>
          <w:u w:val="single"/>
        </w:rPr>
        <w:t>Amning</w:t>
      </w:r>
    </w:p>
    <w:p w:rsidR="006E7462" w:rsidRDefault="006E7462" w:rsidP="006E7462">
      <w:pPr>
        <w:pStyle w:val="Brdtekst"/>
        <w:ind w:left="855"/>
      </w:pPr>
      <w:proofErr w:type="spellStart"/>
      <w:r>
        <w:t>Terbinafin</w:t>
      </w:r>
      <w:proofErr w:type="spellEnd"/>
      <w:r>
        <w:t xml:space="preserve"> udskilles i modermælk og kan ophobes der. Eftersom det ikke vides, om </w:t>
      </w:r>
      <w:proofErr w:type="spellStart"/>
      <w:r>
        <w:t>terbinafin</w:t>
      </w:r>
      <w:proofErr w:type="spellEnd"/>
      <w:r>
        <w:t xml:space="preserve"> har bivirkninger hos det diende barn, må ammende mødre ikke behandles med </w:t>
      </w:r>
      <w:proofErr w:type="spellStart"/>
      <w:r>
        <w:t>terbinafin</w:t>
      </w:r>
      <w:proofErr w:type="spellEnd"/>
      <w:r>
        <w:t>-tabletter. Hvis det er nødvendigt med behandling, skal amningen ophøre.</w:t>
      </w:r>
    </w:p>
    <w:p w:rsidR="006E7462" w:rsidRDefault="006E7462" w:rsidP="006E7462">
      <w:pPr>
        <w:pStyle w:val="Listeafsnit"/>
        <w:tabs>
          <w:tab w:val="left" w:pos="851"/>
        </w:tabs>
        <w:ind w:left="855"/>
        <w:jc w:val="both"/>
      </w:pPr>
    </w:p>
    <w:p w:rsidR="001A5E02" w:rsidRDefault="001A5E02" w:rsidP="001A5E02">
      <w:pPr>
        <w:tabs>
          <w:tab w:val="left" w:pos="851"/>
        </w:tabs>
        <w:jc w:val="both"/>
      </w:pPr>
    </w:p>
    <w:p w:rsidR="001A5E02" w:rsidRDefault="001A5E02" w:rsidP="001A5E02">
      <w:pPr>
        <w:numPr>
          <w:ilvl w:val="1"/>
          <w:numId w:val="6"/>
        </w:numPr>
        <w:jc w:val="both"/>
        <w:rPr>
          <w:b/>
        </w:rPr>
      </w:pPr>
      <w:r>
        <w:rPr>
          <w:b/>
        </w:rPr>
        <w:t>Virkning på evnen til at føre motorkøretøj og betjene maskiner</w:t>
      </w:r>
    </w:p>
    <w:p w:rsidR="001A5E02" w:rsidRDefault="001A5E02" w:rsidP="001A5E02">
      <w:pPr>
        <w:tabs>
          <w:tab w:val="left" w:pos="851"/>
        </w:tabs>
        <w:ind w:left="855"/>
        <w:jc w:val="both"/>
      </w:pPr>
      <w:r>
        <w:t>Ingen mærkning.</w:t>
      </w:r>
    </w:p>
    <w:p w:rsidR="001A5E02" w:rsidRDefault="001A5E02" w:rsidP="001A5E02">
      <w:pPr>
        <w:pStyle w:val="Brdtekst"/>
      </w:pPr>
      <w:r>
        <w:t xml:space="preserve">Der er ikke foretaget undersøgelser af virkningen på evnen til at føre motorkøretøj eller betjene maskiner. Patienter, der oplever svimmelhed, skal undgå at føre motorkøretøj og betjene maskiner. </w:t>
      </w:r>
    </w:p>
    <w:p w:rsidR="001A5E02" w:rsidRDefault="001A5E02" w:rsidP="001A5E02">
      <w:pPr>
        <w:tabs>
          <w:tab w:val="left" w:pos="851"/>
        </w:tabs>
        <w:jc w:val="both"/>
      </w:pPr>
    </w:p>
    <w:p w:rsidR="001A5E02" w:rsidRDefault="001A5E02" w:rsidP="001A5E02">
      <w:pPr>
        <w:numPr>
          <w:ilvl w:val="1"/>
          <w:numId w:val="6"/>
        </w:numPr>
        <w:jc w:val="both"/>
        <w:rPr>
          <w:b/>
        </w:rPr>
      </w:pPr>
      <w:r>
        <w:rPr>
          <w:b/>
        </w:rPr>
        <w:t>Bivirkninger</w:t>
      </w:r>
    </w:p>
    <w:p w:rsidR="001A5E02" w:rsidRPr="007F04D9" w:rsidRDefault="001A5E02" w:rsidP="001A5E02">
      <w:pPr>
        <w:autoSpaceDE w:val="0"/>
        <w:autoSpaceDN w:val="0"/>
        <w:adjustRightInd w:val="0"/>
        <w:ind w:left="855"/>
        <w:rPr>
          <w:szCs w:val="24"/>
        </w:rPr>
      </w:pPr>
      <w:r w:rsidRPr="007F04D9">
        <w:rPr>
          <w:szCs w:val="24"/>
        </w:rPr>
        <w:t>Bivirkninger indberettet under kliniske forsøg eller efter markedsføringen</w:t>
      </w:r>
      <w:r>
        <w:t xml:space="preserve"> er angivet efter </w:t>
      </w:r>
      <w:proofErr w:type="spellStart"/>
      <w:r w:rsidRPr="007F04D9">
        <w:rPr>
          <w:szCs w:val="24"/>
        </w:rPr>
        <w:t>MedDRA</w:t>
      </w:r>
      <w:proofErr w:type="spellEnd"/>
      <w:r w:rsidRPr="007F04D9">
        <w:rPr>
          <w:szCs w:val="24"/>
        </w:rPr>
        <w:t xml:space="preserve">-systemorganklasse. Inden for hver enkelt systemorganklasse er bivirkningerne inddelt efter </w:t>
      </w:r>
      <w:r>
        <w:t>frekvens, med de hyppigste først</w:t>
      </w:r>
      <w:r w:rsidRPr="007F04D9">
        <w:rPr>
          <w:szCs w:val="24"/>
        </w:rPr>
        <w:t xml:space="preserve">. Inden for hver frekvensgruppe er bivirkningerne opstillet efter, hvor alvorlige de er. De alvorligste bivirkninger er anført først. </w:t>
      </w:r>
    </w:p>
    <w:p w:rsidR="006E7462" w:rsidRDefault="001A5E02" w:rsidP="006E7462">
      <w:pPr>
        <w:autoSpaceDE w:val="0"/>
        <w:autoSpaceDN w:val="0"/>
        <w:adjustRightInd w:val="0"/>
        <w:ind w:left="855"/>
      </w:pPr>
      <w:r w:rsidRPr="007F04D9">
        <w:rPr>
          <w:szCs w:val="24"/>
        </w:rPr>
        <w:t>Hyppighedskategorierne for de enkelte bivirkninger er baseret på følgende konvention</w:t>
      </w:r>
      <w:r>
        <w:t xml:space="preserve">: </w:t>
      </w:r>
    </w:p>
    <w:p w:rsidR="006E7462" w:rsidRDefault="006E7462" w:rsidP="006E7462">
      <w:pPr>
        <w:autoSpaceDE w:val="0"/>
        <w:autoSpaceDN w:val="0"/>
        <w:adjustRightInd w:val="0"/>
        <w:ind w:left="855"/>
      </w:pPr>
      <w:r>
        <w:t>Meget almindelig (≥ 1/10)</w:t>
      </w:r>
    </w:p>
    <w:p w:rsidR="006E7462" w:rsidRDefault="006E7462" w:rsidP="006E7462">
      <w:pPr>
        <w:autoSpaceDE w:val="0"/>
        <w:autoSpaceDN w:val="0"/>
        <w:adjustRightInd w:val="0"/>
        <w:ind w:left="855"/>
      </w:pPr>
      <w:r>
        <w:t>Almindelig (≥ 1/100 til &lt; 1/10)</w:t>
      </w:r>
    </w:p>
    <w:p w:rsidR="006E7462" w:rsidRDefault="006E7462" w:rsidP="006E7462">
      <w:pPr>
        <w:autoSpaceDE w:val="0"/>
        <w:autoSpaceDN w:val="0"/>
        <w:adjustRightInd w:val="0"/>
        <w:ind w:left="855"/>
      </w:pPr>
      <w:r>
        <w:t>Ikke almindelig (≥ 1/1.000 til &lt; 1/100)</w:t>
      </w:r>
    </w:p>
    <w:p w:rsidR="006E7462" w:rsidRDefault="006E7462" w:rsidP="006E7462">
      <w:pPr>
        <w:autoSpaceDE w:val="0"/>
        <w:autoSpaceDN w:val="0"/>
        <w:adjustRightInd w:val="0"/>
        <w:ind w:left="855"/>
      </w:pPr>
      <w:r>
        <w:t>Sjælden (≥ 1/10.000 til &lt; 1/1.000)</w:t>
      </w:r>
    </w:p>
    <w:p w:rsidR="006E7462" w:rsidRDefault="006E7462" w:rsidP="006E7462">
      <w:pPr>
        <w:autoSpaceDE w:val="0"/>
        <w:autoSpaceDN w:val="0"/>
        <w:adjustRightInd w:val="0"/>
        <w:ind w:left="855"/>
      </w:pPr>
      <w:r>
        <w:t>Meget sjælden (&lt; 1/10.000)</w:t>
      </w:r>
    </w:p>
    <w:p w:rsidR="006E7462" w:rsidRDefault="006E7462" w:rsidP="006E7462">
      <w:pPr>
        <w:autoSpaceDE w:val="0"/>
        <w:autoSpaceDN w:val="0"/>
        <w:adjustRightInd w:val="0"/>
        <w:ind w:left="855"/>
        <w:rPr>
          <w:rFonts w:cs="Mangal"/>
          <w:szCs w:val="24"/>
          <w:lang w:bidi="ne-NP"/>
        </w:rPr>
      </w:pPr>
      <w:r>
        <w:t>Hyppighed ikke kendt (kan ikke estimeres ud fra forhåndenværende data).</w:t>
      </w:r>
    </w:p>
    <w:p w:rsidR="001A5E02" w:rsidRPr="007F04D9" w:rsidRDefault="001A5E02" w:rsidP="006E7462">
      <w:pPr>
        <w:autoSpaceDE w:val="0"/>
        <w:autoSpaceDN w:val="0"/>
        <w:adjustRightInd w:val="0"/>
        <w:ind w:left="855"/>
        <w:rPr>
          <w:color w:val="000000"/>
        </w:rPr>
      </w:pPr>
    </w:p>
    <w:tbl>
      <w:tblPr>
        <w:tblW w:w="0" w:type="auto"/>
        <w:tblLayout w:type="fixed"/>
        <w:tblCellMar>
          <w:left w:w="0" w:type="dxa"/>
          <w:right w:w="0" w:type="dxa"/>
        </w:tblCellMar>
        <w:tblLook w:val="04A0" w:firstRow="1" w:lastRow="0" w:firstColumn="1" w:lastColumn="0" w:noHBand="0" w:noVBand="1"/>
      </w:tblPr>
      <w:tblGrid>
        <w:gridCol w:w="1381"/>
        <w:gridCol w:w="1381"/>
        <w:gridCol w:w="1381"/>
        <w:gridCol w:w="1382"/>
        <w:gridCol w:w="1381"/>
        <w:gridCol w:w="1381"/>
        <w:gridCol w:w="1382"/>
      </w:tblGrid>
      <w:tr w:rsidR="001A5E02" w:rsidTr="003B4BCE">
        <w:trPr>
          <w:cantSplit/>
          <w:trHeight w:val="980"/>
          <w:tblHeader/>
        </w:trPr>
        <w:tc>
          <w:tcPr>
            <w:tcW w:w="1381" w:type="dxa"/>
            <w:tcBorders>
              <w:top w:val="double" w:sz="6" w:space="0" w:color="000000"/>
              <w:left w:val="double" w:sz="6" w:space="0" w:color="000000"/>
              <w:bottom w:val="single" w:sz="6" w:space="0" w:color="000000"/>
              <w:right w:val="single" w:sz="6" w:space="0" w:color="000000"/>
            </w:tcBorders>
            <w:hideMark/>
          </w:tcPr>
          <w:p w:rsidR="001A5E02" w:rsidRDefault="001A5E02" w:rsidP="003B4BCE">
            <w:pPr>
              <w:pStyle w:val="Normalindrykning"/>
              <w:spacing w:line="180" w:lineRule="atLeast"/>
              <w:rPr>
                <w:rFonts w:ascii="Times New Roman" w:hAnsi="Times New Roman"/>
                <w:b/>
                <w:caps/>
                <w:color w:val="000000"/>
                <w:sz w:val="20"/>
                <w:lang w:val="en-US" w:eastAsia="zh-CN"/>
              </w:rPr>
            </w:pPr>
            <w:r>
              <w:rPr>
                <w:rFonts w:ascii="Times New Roman" w:hAnsi="Times New Roman"/>
                <w:b/>
                <w:color w:val="000000"/>
                <w:sz w:val="20"/>
                <w:lang w:val="en-US" w:eastAsia="zh-CN"/>
              </w:rPr>
              <w:lastRenderedPageBreak/>
              <w:t>System</w:t>
            </w:r>
            <w:r>
              <w:rPr>
                <w:rFonts w:ascii="Times New Roman" w:hAnsi="Times New Roman"/>
                <w:b/>
                <w:caps/>
                <w:color w:val="000000"/>
                <w:sz w:val="20"/>
                <w:lang w:val="en-US" w:eastAsia="zh-CN"/>
              </w:rPr>
              <w:t>-</w:t>
            </w:r>
            <w:proofErr w:type="spellStart"/>
            <w:r>
              <w:rPr>
                <w:rFonts w:ascii="Times New Roman" w:hAnsi="Times New Roman"/>
                <w:b/>
                <w:color w:val="000000"/>
                <w:sz w:val="20"/>
                <w:lang w:val="en-US" w:eastAsia="zh-CN"/>
              </w:rPr>
              <w:t>organklasse</w:t>
            </w:r>
            <w:proofErr w:type="spellEnd"/>
          </w:p>
        </w:tc>
        <w:tc>
          <w:tcPr>
            <w:tcW w:w="1381" w:type="dxa"/>
            <w:tcBorders>
              <w:top w:val="double" w:sz="6" w:space="0" w:color="000000"/>
              <w:left w:val="single" w:sz="6" w:space="0" w:color="000000"/>
              <w:bottom w:val="single" w:sz="6" w:space="0" w:color="000000"/>
              <w:right w:val="single" w:sz="6" w:space="0" w:color="000000"/>
            </w:tcBorders>
            <w:hideMark/>
          </w:tcPr>
          <w:p w:rsidR="001A5E02" w:rsidRDefault="001A5E02" w:rsidP="003B4BCE">
            <w:pPr>
              <w:pStyle w:val="Normalindrykning"/>
              <w:spacing w:line="180" w:lineRule="atLeast"/>
              <w:jc w:val="left"/>
              <w:rPr>
                <w:rFonts w:ascii="Times New Roman" w:hAnsi="Times New Roman"/>
                <w:b/>
                <w:color w:val="000000"/>
                <w:sz w:val="20"/>
                <w:lang w:val="en-US" w:eastAsia="zh-CN"/>
              </w:rPr>
            </w:pPr>
            <w:proofErr w:type="spellStart"/>
            <w:r>
              <w:rPr>
                <w:rFonts w:ascii="Times New Roman" w:hAnsi="Times New Roman"/>
                <w:b/>
                <w:color w:val="000000"/>
                <w:sz w:val="20"/>
                <w:lang w:val="en-US" w:eastAsia="zh-CN"/>
              </w:rPr>
              <w:t>Meget</w:t>
            </w:r>
            <w:proofErr w:type="spellEnd"/>
            <w:r>
              <w:rPr>
                <w:rFonts w:ascii="Times New Roman" w:hAnsi="Times New Roman"/>
                <w:b/>
                <w:color w:val="000000"/>
                <w:sz w:val="20"/>
                <w:lang w:val="en-US" w:eastAsia="zh-CN"/>
              </w:rPr>
              <w:t xml:space="preserve"> </w:t>
            </w:r>
            <w:proofErr w:type="spellStart"/>
            <w:r>
              <w:rPr>
                <w:rFonts w:ascii="Times New Roman" w:hAnsi="Times New Roman"/>
                <w:b/>
                <w:color w:val="000000"/>
                <w:sz w:val="20"/>
                <w:lang w:val="en-US" w:eastAsia="zh-CN"/>
              </w:rPr>
              <w:t>almindelig</w:t>
            </w:r>
            <w:proofErr w:type="spellEnd"/>
          </w:p>
          <w:p w:rsidR="001A5E02" w:rsidRDefault="001A5E02" w:rsidP="003B4BCE">
            <w:pPr>
              <w:pStyle w:val="Normalindrykning"/>
              <w:spacing w:line="180" w:lineRule="atLeast"/>
              <w:jc w:val="left"/>
              <w:rPr>
                <w:rFonts w:ascii="Times New Roman" w:hAnsi="Times New Roman"/>
                <w:lang w:val="en-US" w:eastAsia="zh-CN"/>
              </w:rPr>
            </w:pPr>
            <w:r>
              <w:rPr>
                <w:rFonts w:ascii="Times New Roman" w:hAnsi="Times New Roman"/>
                <w:color w:val="000000"/>
                <w:sz w:val="20"/>
                <w:lang w:val="en-US" w:eastAsia="zh-CN"/>
              </w:rPr>
              <w:t>(≥ 1/10)</w:t>
            </w:r>
          </w:p>
        </w:tc>
        <w:tc>
          <w:tcPr>
            <w:tcW w:w="1381" w:type="dxa"/>
            <w:tcBorders>
              <w:top w:val="double" w:sz="6" w:space="0" w:color="000000"/>
              <w:left w:val="single" w:sz="6" w:space="0" w:color="000000"/>
              <w:bottom w:val="single" w:sz="6" w:space="0" w:color="000000"/>
              <w:right w:val="single" w:sz="6" w:space="0" w:color="000000"/>
            </w:tcBorders>
            <w:hideMark/>
          </w:tcPr>
          <w:p w:rsidR="001A5E02" w:rsidRDefault="001A5E02" w:rsidP="003B4BCE">
            <w:pPr>
              <w:pStyle w:val="Normalindrykning"/>
              <w:spacing w:line="180" w:lineRule="atLeast"/>
              <w:jc w:val="left"/>
              <w:rPr>
                <w:rFonts w:ascii="Times New Roman" w:hAnsi="Times New Roman"/>
                <w:b/>
                <w:color w:val="000000"/>
                <w:sz w:val="20"/>
                <w:lang w:val="en-US" w:eastAsia="zh-CN"/>
              </w:rPr>
            </w:pPr>
            <w:proofErr w:type="spellStart"/>
            <w:r>
              <w:rPr>
                <w:rFonts w:ascii="Times New Roman" w:hAnsi="Times New Roman"/>
                <w:b/>
                <w:color w:val="000000"/>
                <w:sz w:val="20"/>
                <w:lang w:val="en-US" w:eastAsia="zh-CN"/>
              </w:rPr>
              <w:t>Almindelig</w:t>
            </w:r>
            <w:proofErr w:type="spellEnd"/>
          </w:p>
          <w:p w:rsidR="001A5E02" w:rsidRDefault="001A5E02" w:rsidP="003B4BCE">
            <w:pPr>
              <w:rPr>
                <w:sz w:val="20"/>
                <w:lang w:val="en-US" w:eastAsia="zh-CN"/>
              </w:rPr>
            </w:pPr>
            <w:r>
              <w:rPr>
                <w:sz w:val="20"/>
                <w:lang w:val="en-US" w:eastAsia="zh-CN"/>
              </w:rPr>
              <w:t xml:space="preserve">(≥ 1/100 </w:t>
            </w:r>
            <w:proofErr w:type="spellStart"/>
            <w:r>
              <w:rPr>
                <w:sz w:val="20"/>
                <w:lang w:val="en-US" w:eastAsia="zh-CN"/>
              </w:rPr>
              <w:t>til</w:t>
            </w:r>
            <w:proofErr w:type="spellEnd"/>
          </w:p>
          <w:p w:rsidR="001A5E02" w:rsidRDefault="001A5E02" w:rsidP="003B4BCE">
            <w:pPr>
              <w:rPr>
                <w:sz w:val="20"/>
                <w:lang w:val="en-US" w:eastAsia="zh-CN"/>
              </w:rPr>
            </w:pPr>
            <w:r>
              <w:rPr>
                <w:sz w:val="20"/>
                <w:lang w:val="en-US" w:eastAsia="zh-CN"/>
              </w:rPr>
              <w:t xml:space="preserve"> &lt; 1/10)</w:t>
            </w:r>
          </w:p>
        </w:tc>
        <w:tc>
          <w:tcPr>
            <w:tcW w:w="1382" w:type="dxa"/>
            <w:tcBorders>
              <w:top w:val="double" w:sz="6" w:space="0" w:color="000000"/>
              <w:left w:val="single" w:sz="6" w:space="0" w:color="000000"/>
              <w:bottom w:val="single" w:sz="6" w:space="0" w:color="000000"/>
              <w:right w:val="single" w:sz="6" w:space="0" w:color="000000"/>
            </w:tcBorders>
            <w:hideMark/>
          </w:tcPr>
          <w:p w:rsidR="001A5E02" w:rsidRDefault="001A5E02" w:rsidP="003B4BCE">
            <w:pPr>
              <w:spacing w:line="180" w:lineRule="atLeast"/>
              <w:rPr>
                <w:b/>
                <w:color w:val="000000"/>
                <w:sz w:val="20"/>
                <w:lang w:val="en-US" w:eastAsia="zh-CN"/>
              </w:rPr>
            </w:pPr>
            <w:proofErr w:type="spellStart"/>
            <w:r>
              <w:rPr>
                <w:b/>
                <w:color w:val="000000"/>
                <w:sz w:val="20"/>
                <w:lang w:val="en-US" w:eastAsia="zh-CN"/>
              </w:rPr>
              <w:t>Ikke</w:t>
            </w:r>
            <w:proofErr w:type="spellEnd"/>
            <w:r>
              <w:rPr>
                <w:b/>
                <w:color w:val="000000"/>
                <w:sz w:val="20"/>
                <w:lang w:val="en-US" w:eastAsia="zh-CN"/>
              </w:rPr>
              <w:t xml:space="preserve"> </w:t>
            </w:r>
            <w:proofErr w:type="spellStart"/>
            <w:r>
              <w:rPr>
                <w:b/>
                <w:color w:val="000000"/>
                <w:sz w:val="20"/>
                <w:lang w:val="en-US" w:eastAsia="zh-CN"/>
              </w:rPr>
              <w:t>almindelig</w:t>
            </w:r>
            <w:proofErr w:type="spellEnd"/>
          </w:p>
          <w:p w:rsidR="001A5E02" w:rsidRDefault="001A5E02" w:rsidP="003B4BCE">
            <w:pPr>
              <w:spacing w:line="180" w:lineRule="atLeast"/>
              <w:rPr>
                <w:color w:val="000000"/>
                <w:sz w:val="20"/>
                <w:lang w:val="en-US" w:eastAsia="zh-CN"/>
              </w:rPr>
            </w:pPr>
            <w:r>
              <w:rPr>
                <w:color w:val="000000"/>
                <w:sz w:val="20"/>
                <w:lang w:val="en-US" w:eastAsia="zh-CN"/>
              </w:rPr>
              <w:t xml:space="preserve">(≥ 1/1.000 </w:t>
            </w:r>
            <w:proofErr w:type="spellStart"/>
            <w:r>
              <w:rPr>
                <w:color w:val="000000"/>
                <w:sz w:val="20"/>
                <w:lang w:val="en-US" w:eastAsia="zh-CN"/>
              </w:rPr>
              <w:t>til</w:t>
            </w:r>
            <w:proofErr w:type="spellEnd"/>
            <w:r>
              <w:rPr>
                <w:color w:val="000000"/>
                <w:sz w:val="20"/>
                <w:lang w:val="en-US" w:eastAsia="zh-CN"/>
              </w:rPr>
              <w:t xml:space="preserve"> </w:t>
            </w:r>
          </w:p>
          <w:p w:rsidR="001A5E02" w:rsidRDefault="001A5E02" w:rsidP="003B4BCE">
            <w:pPr>
              <w:spacing w:line="180" w:lineRule="atLeast"/>
              <w:rPr>
                <w:color w:val="000000"/>
                <w:sz w:val="20"/>
                <w:lang w:val="en-US" w:eastAsia="zh-CN"/>
              </w:rPr>
            </w:pPr>
            <w:r>
              <w:rPr>
                <w:color w:val="000000"/>
                <w:sz w:val="20"/>
                <w:lang w:val="en-US" w:eastAsia="zh-CN"/>
              </w:rPr>
              <w:t>&lt; 1/100)</w:t>
            </w:r>
          </w:p>
        </w:tc>
        <w:tc>
          <w:tcPr>
            <w:tcW w:w="1381" w:type="dxa"/>
            <w:tcBorders>
              <w:top w:val="double" w:sz="6" w:space="0" w:color="000000"/>
              <w:left w:val="single" w:sz="6" w:space="0" w:color="000000"/>
              <w:bottom w:val="single" w:sz="6" w:space="0" w:color="000000"/>
              <w:right w:val="single" w:sz="6" w:space="0" w:color="000000"/>
            </w:tcBorders>
            <w:hideMark/>
          </w:tcPr>
          <w:p w:rsidR="001A5E02" w:rsidRDefault="001A5E02" w:rsidP="003B4BCE">
            <w:pPr>
              <w:spacing w:line="180" w:lineRule="atLeast"/>
              <w:rPr>
                <w:b/>
                <w:color w:val="000000"/>
                <w:sz w:val="20"/>
                <w:lang w:val="en-US" w:eastAsia="zh-CN"/>
              </w:rPr>
            </w:pPr>
            <w:proofErr w:type="spellStart"/>
            <w:r>
              <w:rPr>
                <w:b/>
                <w:color w:val="000000"/>
                <w:sz w:val="20"/>
                <w:lang w:val="en-US" w:eastAsia="zh-CN"/>
              </w:rPr>
              <w:t>Sjælden</w:t>
            </w:r>
            <w:proofErr w:type="spellEnd"/>
          </w:p>
          <w:p w:rsidR="001A5E02" w:rsidRDefault="001A5E02" w:rsidP="003B4BCE">
            <w:pPr>
              <w:spacing w:line="180" w:lineRule="atLeast"/>
              <w:rPr>
                <w:color w:val="000000"/>
                <w:sz w:val="20"/>
                <w:lang w:val="en-US" w:eastAsia="zh-CN"/>
              </w:rPr>
            </w:pPr>
            <w:r>
              <w:rPr>
                <w:color w:val="000000"/>
                <w:sz w:val="20"/>
                <w:lang w:val="en-US" w:eastAsia="zh-CN"/>
              </w:rPr>
              <w:t xml:space="preserve">(≥ 1/10.000 </w:t>
            </w:r>
            <w:proofErr w:type="spellStart"/>
            <w:r>
              <w:rPr>
                <w:color w:val="000000"/>
                <w:sz w:val="20"/>
                <w:lang w:val="en-US" w:eastAsia="zh-CN"/>
              </w:rPr>
              <w:t>til</w:t>
            </w:r>
            <w:proofErr w:type="spellEnd"/>
            <w:r>
              <w:rPr>
                <w:color w:val="000000"/>
                <w:sz w:val="20"/>
                <w:lang w:val="en-US" w:eastAsia="zh-CN"/>
              </w:rPr>
              <w:t xml:space="preserve"> </w:t>
            </w:r>
          </w:p>
          <w:p w:rsidR="001A5E02" w:rsidRDefault="001A5E02" w:rsidP="003B4BCE">
            <w:pPr>
              <w:spacing w:line="180" w:lineRule="atLeast"/>
              <w:rPr>
                <w:color w:val="000000"/>
                <w:sz w:val="20"/>
                <w:lang w:val="en-US" w:eastAsia="zh-CN"/>
              </w:rPr>
            </w:pPr>
            <w:r>
              <w:rPr>
                <w:color w:val="000000"/>
                <w:sz w:val="20"/>
                <w:lang w:val="en-US" w:eastAsia="zh-CN"/>
              </w:rPr>
              <w:t>&lt; 1/1.000)</w:t>
            </w:r>
          </w:p>
        </w:tc>
        <w:tc>
          <w:tcPr>
            <w:tcW w:w="1381" w:type="dxa"/>
            <w:tcBorders>
              <w:top w:val="double" w:sz="6" w:space="0" w:color="000000"/>
              <w:left w:val="single" w:sz="6" w:space="0" w:color="000000"/>
              <w:bottom w:val="single" w:sz="6" w:space="0" w:color="000000"/>
              <w:right w:val="single" w:sz="6" w:space="0" w:color="000000"/>
            </w:tcBorders>
            <w:hideMark/>
          </w:tcPr>
          <w:p w:rsidR="001A5E02" w:rsidRDefault="001A5E02" w:rsidP="003B4BCE">
            <w:pPr>
              <w:spacing w:line="180" w:lineRule="atLeast"/>
              <w:rPr>
                <w:b/>
                <w:color w:val="000000"/>
                <w:sz w:val="20"/>
                <w:lang w:val="en-US" w:eastAsia="zh-CN"/>
              </w:rPr>
            </w:pPr>
            <w:proofErr w:type="spellStart"/>
            <w:r>
              <w:rPr>
                <w:b/>
                <w:color w:val="000000"/>
                <w:sz w:val="20"/>
                <w:lang w:val="en-US" w:eastAsia="zh-CN"/>
              </w:rPr>
              <w:t>Meget</w:t>
            </w:r>
            <w:proofErr w:type="spellEnd"/>
            <w:r>
              <w:rPr>
                <w:b/>
                <w:color w:val="000000"/>
                <w:sz w:val="20"/>
                <w:lang w:val="en-US" w:eastAsia="zh-CN"/>
              </w:rPr>
              <w:t xml:space="preserve"> </w:t>
            </w:r>
            <w:proofErr w:type="spellStart"/>
            <w:r>
              <w:rPr>
                <w:b/>
                <w:color w:val="000000"/>
                <w:sz w:val="20"/>
                <w:lang w:val="en-US" w:eastAsia="zh-CN"/>
              </w:rPr>
              <w:t>sjælden</w:t>
            </w:r>
            <w:proofErr w:type="spellEnd"/>
          </w:p>
          <w:p w:rsidR="001A5E02" w:rsidRDefault="001A5E02" w:rsidP="003B4BCE">
            <w:pPr>
              <w:spacing w:line="180" w:lineRule="atLeast"/>
              <w:rPr>
                <w:color w:val="000000"/>
                <w:sz w:val="20"/>
                <w:lang w:val="en-US" w:eastAsia="zh-CN"/>
              </w:rPr>
            </w:pPr>
            <w:r>
              <w:rPr>
                <w:color w:val="000000"/>
                <w:sz w:val="20"/>
                <w:lang w:val="en-US" w:eastAsia="zh-CN"/>
              </w:rPr>
              <w:t>(&lt; 1/10.</w:t>
            </w:r>
            <w:proofErr w:type="gramStart"/>
            <w:r>
              <w:rPr>
                <w:color w:val="000000"/>
                <w:sz w:val="20"/>
                <w:lang w:val="en-US" w:eastAsia="zh-CN"/>
              </w:rPr>
              <w:t>000 )</w:t>
            </w:r>
            <w:proofErr w:type="gramEnd"/>
          </w:p>
        </w:tc>
        <w:tc>
          <w:tcPr>
            <w:tcW w:w="1382" w:type="dxa"/>
            <w:tcBorders>
              <w:top w:val="double" w:sz="6" w:space="0" w:color="000000"/>
              <w:left w:val="single" w:sz="6" w:space="0" w:color="000000"/>
              <w:bottom w:val="single" w:sz="6" w:space="0" w:color="000000"/>
              <w:right w:val="single" w:sz="6" w:space="0" w:color="000000"/>
            </w:tcBorders>
            <w:hideMark/>
          </w:tcPr>
          <w:p w:rsidR="001A5E02" w:rsidRPr="007F04D9" w:rsidRDefault="001A5E02" w:rsidP="003B4BCE">
            <w:pPr>
              <w:spacing w:line="180" w:lineRule="atLeast"/>
              <w:rPr>
                <w:b/>
                <w:color w:val="000000"/>
                <w:sz w:val="20"/>
                <w:lang w:eastAsia="zh-CN"/>
              </w:rPr>
            </w:pPr>
            <w:r w:rsidRPr="007F04D9">
              <w:rPr>
                <w:b/>
                <w:sz w:val="20"/>
                <w:lang w:eastAsia="zh-CN"/>
              </w:rPr>
              <w:t>Ikke kendt</w:t>
            </w:r>
            <w:r w:rsidRPr="007F04D9">
              <w:rPr>
                <w:sz w:val="20"/>
                <w:lang w:eastAsia="zh-CN"/>
              </w:rPr>
              <w:t xml:space="preserve"> (kan ikke estimeres ud fra forhåndenværende </w:t>
            </w:r>
            <w:proofErr w:type="gramStart"/>
            <w:r w:rsidRPr="007F04D9">
              <w:rPr>
                <w:sz w:val="20"/>
                <w:lang w:eastAsia="zh-CN"/>
              </w:rPr>
              <w:t>data)*</w:t>
            </w:r>
            <w:proofErr w:type="gramEnd"/>
          </w:p>
        </w:tc>
      </w:tr>
      <w:tr w:rsidR="001A5E02" w:rsidTr="003B4BCE">
        <w:trPr>
          <w:cantSplit/>
          <w:trHeight w:val="735"/>
        </w:trPr>
        <w:tc>
          <w:tcPr>
            <w:tcW w:w="1381" w:type="dxa"/>
            <w:tcBorders>
              <w:top w:val="single" w:sz="6" w:space="0" w:color="000000"/>
              <w:left w:val="double" w:sz="6" w:space="0" w:color="000000"/>
              <w:bottom w:val="single" w:sz="6" w:space="0" w:color="000000"/>
              <w:right w:val="single" w:sz="6" w:space="0" w:color="000000"/>
            </w:tcBorders>
          </w:tcPr>
          <w:p w:rsidR="001A5E02" w:rsidRPr="007F04D9" w:rsidRDefault="001A5E02" w:rsidP="003B4BCE">
            <w:pPr>
              <w:pStyle w:val="Normalindrykning"/>
              <w:spacing w:line="180" w:lineRule="atLeast"/>
              <w:jc w:val="left"/>
              <w:rPr>
                <w:rFonts w:ascii="Times New Roman" w:hAnsi="Times New Roman"/>
                <w:b/>
                <w:color w:val="000000"/>
                <w:sz w:val="20"/>
                <w:lang w:eastAsia="zh-CN"/>
              </w:rPr>
            </w:pPr>
          </w:p>
          <w:p w:rsidR="001A5E02" w:rsidRDefault="001A5E02" w:rsidP="003B4BCE">
            <w:pPr>
              <w:spacing w:line="180" w:lineRule="atLeast"/>
              <w:rPr>
                <w:b/>
                <w:color w:val="000000"/>
                <w:sz w:val="20"/>
                <w:lang w:val="en-US" w:eastAsia="zh-CN"/>
              </w:rPr>
            </w:pPr>
            <w:proofErr w:type="spellStart"/>
            <w:r>
              <w:rPr>
                <w:b/>
                <w:color w:val="000000"/>
                <w:sz w:val="20"/>
                <w:lang w:val="en-US" w:eastAsia="zh-CN"/>
              </w:rPr>
              <w:t>Blod</w:t>
            </w:r>
            <w:proofErr w:type="spellEnd"/>
            <w:r>
              <w:rPr>
                <w:b/>
                <w:color w:val="000000"/>
                <w:sz w:val="20"/>
                <w:lang w:val="en-US" w:eastAsia="zh-CN"/>
              </w:rPr>
              <w:t xml:space="preserve"> </w:t>
            </w:r>
            <w:proofErr w:type="spellStart"/>
            <w:r>
              <w:rPr>
                <w:b/>
                <w:color w:val="000000"/>
                <w:sz w:val="20"/>
                <w:lang w:val="en-US" w:eastAsia="zh-CN"/>
              </w:rPr>
              <w:t>og</w:t>
            </w:r>
            <w:proofErr w:type="spellEnd"/>
            <w:r>
              <w:rPr>
                <w:b/>
                <w:color w:val="000000"/>
                <w:sz w:val="20"/>
                <w:lang w:val="en-US" w:eastAsia="zh-CN"/>
              </w:rPr>
              <w:t xml:space="preserve"> </w:t>
            </w:r>
            <w:proofErr w:type="spellStart"/>
            <w:r>
              <w:rPr>
                <w:b/>
                <w:color w:val="000000"/>
                <w:sz w:val="20"/>
                <w:lang w:val="en-US" w:eastAsia="zh-CN"/>
              </w:rPr>
              <w:t>lymfesystem</w:t>
            </w:r>
            <w:proofErr w:type="spellEnd"/>
          </w:p>
        </w:tc>
        <w:tc>
          <w:tcPr>
            <w:tcW w:w="1381" w:type="dxa"/>
            <w:tcBorders>
              <w:top w:val="single" w:sz="6" w:space="0" w:color="000000"/>
              <w:left w:val="single" w:sz="6" w:space="0" w:color="000000"/>
              <w:bottom w:val="single" w:sz="6" w:space="0" w:color="000000"/>
              <w:right w:val="single" w:sz="6" w:space="0" w:color="000000"/>
            </w:tcBorders>
          </w:tcPr>
          <w:p w:rsidR="001A5E02" w:rsidRDefault="001A5E02" w:rsidP="003B4BCE">
            <w:pPr>
              <w:spacing w:line="180" w:lineRule="atLeast"/>
              <w:rPr>
                <w:color w:val="000000"/>
                <w:sz w:val="20"/>
                <w:lang w:val="en-US" w:eastAsia="zh-CN"/>
              </w:rPr>
            </w:pPr>
          </w:p>
        </w:tc>
        <w:tc>
          <w:tcPr>
            <w:tcW w:w="1381" w:type="dxa"/>
            <w:tcBorders>
              <w:top w:val="single" w:sz="6" w:space="0" w:color="000000"/>
              <w:left w:val="single" w:sz="6" w:space="0" w:color="000000"/>
              <w:bottom w:val="single" w:sz="6" w:space="0" w:color="000000"/>
              <w:right w:val="single" w:sz="6" w:space="0" w:color="000000"/>
            </w:tcBorders>
          </w:tcPr>
          <w:p w:rsidR="001A5E02" w:rsidRDefault="001A5E02" w:rsidP="003B4BCE">
            <w:pPr>
              <w:spacing w:line="180" w:lineRule="atLeast"/>
              <w:rPr>
                <w:color w:val="000000"/>
                <w:sz w:val="20"/>
                <w:lang w:val="en-US" w:eastAsia="zh-CN"/>
              </w:rPr>
            </w:pPr>
          </w:p>
        </w:tc>
        <w:tc>
          <w:tcPr>
            <w:tcW w:w="1382" w:type="dxa"/>
            <w:tcBorders>
              <w:top w:val="single" w:sz="6" w:space="0" w:color="000000"/>
              <w:left w:val="single" w:sz="6" w:space="0" w:color="000000"/>
              <w:bottom w:val="single" w:sz="6" w:space="0" w:color="000000"/>
              <w:right w:val="single" w:sz="6" w:space="0" w:color="000000"/>
            </w:tcBorders>
            <w:hideMark/>
          </w:tcPr>
          <w:p w:rsidR="001A5E02" w:rsidRDefault="001A5E02" w:rsidP="003B4BCE">
            <w:pPr>
              <w:spacing w:line="180" w:lineRule="atLeast"/>
              <w:rPr>
                <w:color w:val="000000"/>
                <w:sz w:val="20"/>
                <w:lang w:val="en-US" w:eastAsia="zh-CN"/>
              </w:rPr>
            </w:pPr>
            <w:proofErr w:type="spellStart"/>
            <w:r>
              <w:rPr>
                <w:color w:val="000000"/>
                <w:sz w:val="20"/>
                <w:lang w:val="en-US" w:eastAsia="zh-CN"/>
              </w:rPr>
              <w:t>Anæmi</w:t>
            </w:r>
            <w:proofErr w:type="spellEnd"/>
          </w:p>
        </w:tc>
        <w:tc>
          <w:tcPr>
            <w:tcW w:w="1381" w:type="dxa"/>
            <w:tcBorders>
              <w:top w:val="single" w:sz="6" w:space="0" w:color="000000"/>
              <w:left w:val="single" w:sz="6" w:space="0" w:color="000000"/>
              <w:bottom w:val="single" w:sz="6" w:space="0" w:color="000000"/>
              <w:right w:val="single" w:sz="6" w:space="0" w:color="000000"/>
            </w:tcBorders>
          </w:tcPr>
          <w:p w:rsidR="001A5E02" w:rsidRDefault="001A5E02" w:rsidP="003B4BCE">
            <w:pPr>
              <w:spacing w:line="180" w:lineRule="atLeast"/>
              <w:rPr>
                <w:color w:val="000000"/>
                <w:sz w:val="20"/>
                <w:lang w:val="en-US" w:eastAsia="zh-CN"/>
              </w:rPr>
            </w:pPr>
          </w:p>
        </w:tc>
        <w:tc>
          <w:tcPr>
            <w:tcW w:w="1381" w:type="dxa"/>
            <w:tcBorders>
              <w:top w:val="single" w:sz="6" w:space="0" w:color="000000"/>
              <w:left w:val="single" w:sz="6" w:space="0" w:color="000000"/>
              <w:bottom w:val="single" w:sz="6" w:space="0" w:color="000000"/>
              <w:right w:val="single" w:sz="6" w:space="0" w:color="000000"/>
            </w:tcBorders>
          </w:tcPr>
          <w:p w:rsidR="001A5E02" w:rsidRDefault="001A5E02" w:rsidP="003B4BCE">
            <w:pPr>
              <w:spacing w:line="180" w:lineRule="atLeast"/>
              <w:rPr>
                <w:color w:val="000000"/>
                <w:sz w:val="20"/>
                <w:lang w:val="it-IT" w:eastAsia="zh-CN"/>
              </w:rPr>
            </w:pPr>
            <w:r>
              <w:rPr>
                <w:color w:val="000000"/>
                <w:sz w:val="20"/>
                <w:lang w:val="it-IT" w:eastAsia="zh-CN"/>
              </w:rPr>
              <w:t>Neutropeni</w:t>
            </w:r>
          </w:p>
          <w:p w:rsidR="001A5E02" w:rsidRDefault="001A5E02" w:rsidP="003B4BCE">
            <w:pPr>
              <w:spacing w:line="180" w:lineRule="atLeast"/>
              <w:rPr>
                <w:color w:val="000000"/>
                <w:sz w:val="20"/>
                <w:lang w:val="it-IT" w:eastAsia="zh-CN"/>
              </w:rPr>
            </w:pPr>
            <w:r>
              <w:rPr>
                <w:color w:val="000000"/>
                <w:sz w:val="20"/>
                <w:lang w:val="it-IT" w:eastAsia="zh-CN"/>
              </w:rPr>
              <w:t>Agranulocytose</w:t>
            </w:r>
          </w:p>
          <w:p w:rsidR="001A5E02" w:rsidRDefault="001A5E02" w:rsidP="003B4BCE">
            <w:pPr>
              <w:spacing w:line="180" w:lineRule="atLeast"/>
              <w:rPr>
                <w:color w:val="000000"/>
                <w:sz w:val="20"/>
                <w:lang w:val="it-IT" w:eastAsia="zh-CN"/>
              </w:rPr>
            </w:pPr>
            <w:r>
              <w:rPr>
                <w:color w:val="000000"/>
                <w:sz w:val="20"/>
                <w:lang w:val="it-IT" w:eastAsia="zh-CN"/>
              </w:rPr>
              <w:t>Trombocytopeni</w:t>
            </w:r>
          </w:p>
          <w:p w:rsidR="001A5E02" w:rsidRDefault="001A5E02" w:rsidP="003B4BCE">
            <w:pPr>
              <w:spacing w:line="180" w:lineRule="atLeast"/>
              <w:rPr>
                <w:color w:val="000000"/>
                <w:sz w:val="20"/>
                <w:lang w:val="it-IT" w:eastAsia="zh-CN"/>
              </w:rPr>
            </w:pPr>
            <w:r>
              <w:rPr>
                <w:color w:val="000000"/>
                <w:sz w:val="20"/>
                <w:lang w:val="it-IT" w:eastAsia="zh-CN"/>
              </w:rPr>
              <w:t>Pancytopeni</w:t>
            </w:r>
          </w:p>
          <w:p w:rsidR="001A5E02" w:rsidRPr="00BD0374" w:rsidRDefault="001A5E02" w:rsidP="003B4BCE">
            <w:pPr>
              <w:spacing w:line="180" w:lineRule="atLeast"/>
              <w:rPr>
                <w:sz w:val="20"/>
                <w:lang w:val="it-IT" w:eastAsia="zh-CN"/>
              </w:rPr>
            </w:pPr>
            <w:r>
              <w:rPr>
                <w:sz w:val="20"/>
                <w:lang w:val="it-IT" w:eastAsia="zh-CN"/>
              </w:rPr>
              <w:t>(Se pkt. 4.4).</w:t>
            </w:r>
          </w:p>
        </w:tc>
        <w:tc>
          <w:tcPr>
            <w:tcW w:w="1382" w:type="dxa"/>
            <w:tcBorders>
              <w:top w:val="single" w:sz="6" w:space="0" w:color="000000"/>
              <w:left w:val="single" w:sz="6" w:space="0" w:color="000000"/>
              <w:bottom w:val="single" w:sz="6" w:space="0" w:color="000000"/>
              <w:right w:val="single" w:sz="6" w:space="0" w:color="000000"/>
            </w:tcBorders>
            <w:hideMark/>
          </w:tcPr>
          <w:p w:rsidR="001A5E02" w:rsidRDefault="001A5E02" w:rsidP="003B4BCE">
            <w:pPr>
              <w:spacing w:line="180" w:lineRule="atLeast"/>
              <w:rPr>
                <w:color w:val="000000"/>
                <w:sz w:val="20"/>
                <w:lang w:val="en-US" w:eastAsia="zh-CN"/>
              </w:rPr>
            </w:pPr>
          </w:p>
        </w:tc>
      </w:tr>
      <w:tr w:rsidR="001A5E02" w:rsidTr="003B4BCE">
        <w:trPr>
          <w:cantSplit/>
          <w:trHeight w:val="360"/>
        </w:trPr>
        <w:tc>
          <w:tcPr>
            <w:tcW w:w="1381" w:type="dxa"/>
            <w:tcBorders>
              <w:top w:val="single" w:sz="6" w:space="0" w:color="000000"/>
              <w:left w:val="double" w:sz="6" w:space="0" w:color="000000"/>
              <w:bottom w:val="single" w:sz="6" w:space="0" w:color="000000"/>
              <w:right w:val="single" w:sz="6" w:space="0" w:color="000000"/>
            </w:tcBorders>
          </w:tcPr>
          <w:p w:rsidR="001A5E02" w:rsidRDefault="001A5E02" w:rsidP="003B4BCE">
            <w:pPr>
              <w:spacing w:line="180" w:lineRule="atLeast"/>
              <w:rPr>
                <w:b/>
                <w:color w:val="000000"/>
                <w:sz w:val="20"/>
                <w:lang w:val="en-US" w:eastAsia="zh-CN"/>
              </w:rPr>
            </w:pPr>
            <w:proofErr w:type="spellStart"/>
            <w:r>
              <w:rPr>
                <w:b/>
                <w:color w:val="000000"/>
                <w:sz w:val="20"/>
                <w:lang w:val="en-US" w:eastAsia="zh-CN"/>
              </w:rPr>
              <w:t>Immun</w:t>
            </w:r>
            <w:r w:rsidR="00A14FF1">
              <w:rPr>
                <w:b/>
                <w:color w:val="000000"/>
                <w:sz w:val="20"/>
                <w:lang w:val="en-US" w:eastAsia="zh-CN"/>
              </w:rPr>
              <w:t>-</w:t>
            </w:r>
            <w:r>
              <w:rPr>
                <w:b/>
                <w:color w:val="000000"/>
                <w:sz w:val="20"/>
                <w:lang w:val="en-US" w:eastAsia="zh-CN"/>
              </w:rPr>
              <w:t>systemet</w:t>
            </w:r>
            <w:proofErr w:type="spellEnd"/>
          </w:p>
          <w:p w:rsidR="001A5E02" w:rsidRDefault="001A5E02" w:rsidP="003B4BCE">
            <w:pPr>
              <w:spacing w:line="180" w:lineRule="atLeast"/>
              <w:rPr>
                <w:b/>
                <w:color w:val="000000"/>
                <w:sz w:val="20"/>
                <w:lang w:val="en-US" w:eastAsia="zh-CN"/>
              </w:rPr>
            </w:pPr>
          </w:p>
        </w:tc>
        <w:tc>
          <w:tcPr>
            <w:tcW w:w="1381" w:type="dxa"/>
            <w:tcBorders>
              <w:top w:val="single" w:sz="6" w:space="0" w:color="000000"/>
              <w:left w:val="single" w:sz="6" w:space="0" w:color="000000"/>
              <w:bottom w:val="single" w:sz="6" w:space="0" w:color="000000"/>
              <w:right w:val="single" w:sz="6" w:space="0" w:color="000000"/>
            </w:tcBorders>
          </w:tcPr>
          <w:p w:rsidR="001A5E02" w:rsidRDefault="001A5E02" w:rsidP="003B4BCE">
            <w:pPr>
              <w:spacing w:line="180" w:lineRule="atLeast"/>
              <w:rPr>
                <w:color w:val="000000"/>
                <w:sz w:val="20"/>
                <w:lang w:val="en-US" w:eastAsia="zh-CN"/>
              </w:rPr>
            </w:pPr>
          </w:p>
        </w:tc>
        <w:tc>
          <w:tcPr>
            <w:tcW w:w="1381" w:type="dxa"/>
            <w:tcBorders>
              <w:top w:val="single" w:sz="6" w:space="0" w:color="000000"/>
              <w:left w:val="single" w:sz="6" w:space="0" w:color="000000"/>
              <w:bottom w:val="single" w:sz="6" w:space="0" w:color="000000"/>
              <w:right w:val="single" w:sz="6" w:space="0" w:color="000000"/>
            </w:tcBorders>
          </w:tcPr>
          <w:p w:rsidR="001A5E02" w:rsidRDefault="001A5E02" w:rsidP="003B4BCE">
            <w:pPr>
              <w:spacing w:line="180" w:lineRule="atLeast"/>
              <w:rPr>
                <w:color w:val="000000"/>
                <w:sz w:val="20"/>
                <w:lang w:val="en-US" w:eastAsia="zh-CN"/>
              </w:rPr>
            </w:pPr>
          </w:p>
        </w:tc>
        <w:tc>
          <w:tcPr>
            <w:tcW w:w="1382" w:type="dxa"/>
            <w:tcBorders>
              <w:top w:val="single" w:sz="6" w:space="0" w:color="000000"/>
              <w:left w:val="single" w:sz="6" w:space="0" w:color="000000"/>
              <w:bottom w:val="single" w:sz="6" w:space="0" w:color="000000"/>
              <w:right w:val="single" w:sz="6" w:space="0" w:color="000000"/>
            </w:tcBorders>
          </w:tcPr>
          <w:p w:rsidR="001A5E02" w:rsidRDefault="001A5E02" w:rsidP="003B4BCE">
            <w:pPr>
              <w:spacing w:line="180" w:lineRule="atLeast"/>
              <w:rPr>
                <w:color w:val="000000"/>
                <w:sz w:val="20"/>
                <w:lang w:val="en-US" w:eastAsia="zh-CN"/>
              </w:rPr>
            </w:pPr>
          </w:p>
        </w:tc>
        <w:tc>
          <w:tcPr>
            <w:tcW w:w="1381" w:type="dxa"/>
            <w:tcBorders>
              <w:top w:val="single" w:sz="6" w:space="0" w:color="000000"/>
              <w:left w:val="single" w:sz="6" w:space="0" w:color="000000"/>
              <w:bottom w:val="single" w:sz="6" w:space="0" w:color="000000"/>
              <w:right w:val="single" w:sz="6" w:space="0" w:color="000000"/>
            </w:tcBorders>
          </w:tcPr>
          <w:p w:rsidR="001A5E02" w:rsidRDefault="001A5E02" w:rsidP="003B4BCE">
            <w:pPr>
              <w:spacing w:line="180" w:lineRule="atLeast"/>
              <w:rPr>
                <w:color w:val="000000"/>
                <w:sz w:val="20"/>
                <w:lang w:val="en-US" w:eastAsia="zh-CN"/>
              </w:rPr>
            </w:pPr>
          </w:p>
        </w:tc>
        <w:tc>
          <w:tcPr>
            <w:tcW w:w="1381" w:type="dxa"/>
            <w:tcBorders>
              <w:top w:val="single" w:sz="6" w:space="0" w:color="000000"/>
              <w:left w:val="single" w:sz="6" w:space="0" w:color="000000"/>
              <w:bottom w:val="single" w:sz="6" w:space="0" w:color="000000"/>
              <w:right w:val="single" w:sz="6" w:space="0" w:color="000000"/>
            </w:tcBorders>
            <w:hideMark/>
          </w:tcPr>
          <w:p w:rsidR="001A5E02" w:rsidRPr="007F04D9" w:rsidRDefault="001A5E02" w:rsidP="003B4BCE">
            <w:pPr>
              <w:spacing w:line="180" w:lineRule="atLeast"/>
              <w:rPr>
                <w:color w:val="000000"/>
                <w:sz w:val="20"/>
                <w:lang w:eastAsia="zh-CN"/>
              </w:rPr>
            </w:pPr>
            <w:proofErr w:type="spellStart"/>
            <w:r w:rsidRPr="007F04D9">
              <w:rPr>
                <w:color w:val="000000"/>
                <w:sz w:val="20"/>
                <w:lang w:eastAsia="zh-CN"/>
              </w:rPr>
              <w:t>Anafylaktoid</w:t>
            </w:r>
            <w:proofErr w:type="spellEnd"/>
            <w:r w:rsidRPr="007F04D9">
              <w:rPr>
                <w:color w:val="000000"/>
                <w:sz w:val="20"/>
                <w:lang w:eastAsia="zh-CN"/>
              </w:rPr>
              <w:t xml:space="preserve"> reaktion</w:t>
            </w:r>
          </w:p>
          <w:p w:rsidR="001A5E02" w:rsidRPr="007F04D9" w:rsidRDefault="001A5E02" w:rsidP="003B4BCE">
            <w:pPr>
              <w:spacing w:line="180" w:lineRule="atLeast"/>
              <w:rPr>
                <w:color w:val="000000"/>
                <w:sz w:val="20"/>
                <w:lang w:eastAsia="zh-CN"/>
              </w:rPr>
            </w:pPr>
            <w:proofErr w:type="spellStart"/>
            <w:r w:rsidRPr="007F04D9">
              <w:rPr>
                <w:color w:val="000000"/>
                <w:sz w:val="20"/>
                <w:lang w:eastAsia="zh-CN"/>
              </w:rPr>
              <w:t>Angioødem</w:t>
            </w:r>
            <w:proofErr w:type="spellEnd"/>
            <w:r w:rsidRPr="007F04D9">
              <w:rPr>
                <w:color w:val="000000"/>
                <w:sz w:val="20"/>
                <w:lang w:eastAsia="zh-CN"/>
              </w:rPr>
              <w:t xml:space="preserve"> </w:t>
            </w:r>
            <w:proofErr w:type="spellStart"/>
            <w:r w:rsidRPr="007F04D9">
              <w:rPr>
                <w:color w:val="000000"/>
                <w:sz w:val="20"/>
                <w:lang w:eastAsia="zh-CN"/>
              </w:rPr>
              <w:t>Kutan</w:t>
            </w:r>
            <w:proofErr w:type="spellEnd"/>
            <w:r w:rsidRPr="007F04D9">
              <w:rPr>
                <w:color w:val="000000"/>
                <w:sz w:val="20"/>
                <w:lang w:eastAsia="zh-CN"/>
              </w:rPr>
              <w:t xml:space="preserve"> og systemisk lupus </w:t>
            </w:r>
            <w:proofErr w:type="spellStart"/>
            <w:r w:rsidRPr="007F04D9">
              <w:rPr>
                <w:color w:val="000000"/>
                <w:sz w:val="20"/>
                <w:lang w:eastAsia="zh-CN"/>
              </w:rPr>
              <w:t>erythematosus</w:t>
            </w:r>
            <w:proofErr w:type="spellEnd"/>
          </w:p>
        </w:tc>
        <w:tc>
          <w:tcPr>
            <w:tcW w:w="1382" w:type="dxa"/>
            <w:tcBorders>
              <w:top w:val="single" w:sz="6" w:space="0" w:color="000000"/>
              <w:left w:val="single" w:sz="6" w:space="0" w:color="000000"/>
              <w:bottom w:val="single" w:sz="6" w:space="0" w:color="000000"/>
              <w:right w:val="single" w:sz="6" w:space="0" w:color="000000"/>
            </w:tcBorders>
            <w:hideMark/>
          </w:tcPr>
          <w:p w:rsidR="001A5E02" w:rsidRPr="007F04D9" w:rsidRDefault="001A5E02" w:rsidP="003B4BCE">
            <w:pPr>
              <w:spacing w:line="180" w:lineRule="atLeast"/>
              <w:rPr>
                <w:color w:val="000000"/>
                <w:sz w:val="20"/>
                <w:lang w:eastAsia="zh-CN"/>
              </w:rPr>
            </w:pPr>
            <w:proofErr w:type="spellStart"/>
            <w:r w:rsidRPr="007F04D9">
              <w:rPr>
                <w:color w:val="000000"/>
                <w:sz w:val="20"/>
                <w:lang w:eastAsia="zh-CN"/>
              </w:rPr>
              <w:t>Anafylaktisk</w:t>
            </w:r>
            <w:proofErr w:type="spellEnd"/>
            <w:r w:rsidRPr="007F04D9">
              <w:rPr>
                <w:color w:val="000000"/>
                <w:sz w:val="20"/>
                <w:lang w:eastAsia="zh-CN"/>
              </w:rPr>
              <w:t xml:space="preserve"> reaktion Serumsygdoms-lignende reaktion</w:t>
            </w:r>
          </w:p>
        </w:tc>
      </w:tr>
      <w:tr w:rsidR="001A5E02" w:rsidTr="003B4BCE">
        <w:trPr>
          <w:cantSplit/>
          <w:trHeight w:val="689"/>
        </w:trPr>
        <w:tc>
          <w:tcPr>
            <w:tcW w:w="1381" w:type="dxa"/>
            <w:tcBorders>
              <w:top w:val="single" w:sz="6" w:space="0" w:color="000000"/>
              <w:left w:val="double" w:sz="6" w:space="0" w:color="000000"/>
              <w:bottom w:val="single" w:sz="6" w:space="0" w:color="000000"/>
              <w:right w:val="single" w:sz="6" w:space="0" w:color="000000"/>
            </w:tcBorders>
            <w:hideMark/>
          </w:tcPr>
          <w:p w:rsidR="001A5E02" w:rsidRDefault="001A5E02" w:rsidP="003B4BCE">
            <w:pPr>
              <w:spacing w:line="180" w:lineRule="atLeast"/>
              <w:rPr>
                <w:b/>
                <w:color w:val="000000"/>
                <w:sz w:val="20"/>
                <w:lang w:val="en-US" w:eastAsia="zh-CN"/>
              </w:rPr>
            </w:pPr>
            <w:proofErr w:type="spellStart"/>
            <w:r>
              <w:rPr>
                <w:b/>
                <w:color w:val="000000"/>
                <w:sz w:val="20"/>
                <w:lang w:val="en-US" w:eastAsia="zh-CN"/>
              </w:rPr>
              <w:t>Metabolisme</w:t>
            </w:r>
            <w:proofErr w:type="spellEnd"/>
            <w:r>
              <w:rPr>
                <w:b/>
                <w:color w:val="000000"/>
                <w:sz w:val="20"/>
                <w:lang w:val="en-US" w:eastAsia="zh-CN"/>
              </w:rPr>
              <w:t xml:space="preserve"> </w:t>
            </w:r>
            <w:proofErr w:type="spellStart"/>
            <w:r>
              <w:rPr>
                <w:b/>
                <w:color w:val="000000"/>
                <w:sz w:val="20"/>
                <w:lang w:val="en-US" w:eastAsia="zh-CN"/>
              </w:rPr>
              <w:t>og</w:t>
            </w:r>
            <w:proofErr w:type="spellEnd"/>
            <w:r>
              <w:rPr>
                <w:b/>
                <w:color w:val="000000"/>
                <w:sz w:val="20"/>
                <w:lang w:val="en-US" w:eastAsia="zh-CN"/>
              </w:rPr>
              <w:t xml:space="preserve"> </w:t>
            </w:r>
            <w:proofErr w:type="spellStart"/>
            <w:r>
              <w:rPr>
                <w:b/>
                <w:color w:val="000000"/>
                <w:sz w:val="20"/>
                <w:lang w:val="en-US" w:eastAsia="zh-CN"/>
              </w:rPr>
              <w:t>ernæring</w:t>
            </w:r>
            <w:proofErr w:type="spellEnd"/>
          </w:p>
        </w:tc>
        <w:tc>
          <w:tcPr>
            <w:tcW w:w="1381" w:type="dxa"/>
            <w:tcBorders>
              <w:top w:val="single" w:sz="6" w:space="0" w:color="000000"/>
              <w:left w:val="single" w:sz="6" w:space="0" w:color="000000"/>
              <w:bottom w:val="single" w:sz="6" w:space="0" w:color="000000"/>
              <w:right w:val="single" w:sz="6" w:space="0" w:color="000000"/>
            </w:tcBorders>
            <w:hideMark/>
          </w:tcPr>
          <w:p w:rsidR="001A5E02" w:rsidRDefault="001A5E02" w:rsidP="003B4BCE">
            <w:pPr>
              <w:spacing w:line="180" w:lineRule="atLeast"/>
              <w:rPr>
                <w:color w:val="000000"/>
                <w:sz w:val="20"/>
                <w:lang w:val="en-US" w:eastAsia="zh-CN"/>
              </w:rPr>
            </w:pPr>
            <w:proofErr w:type="spellStart"/>
            <w:r>
              <w:rPr>
                <w:color w:val="000000"/>
                <w:sz w:val="20"/>
                <w:lang w:val="en-US" w:eastAsia="zh-CN"/>
              </w:rPr>
              <w:t>Nedsat</w:t>
            </w:r>
            <w:proofErr w:type="spellEnd"/>
            <w:r>
              <w:rPr>
                <w:color w:val="000000"/>
                <w:sz w:val="20"/>
                <w:lang w:val="en-US" w:eastAsia="zh-CN"/>
              </w:rPr>
              <w:t xml:space="preserve"> </w:t>
            </w:r>
            <w:proofErr w:type="spellStart"/>
            <w:r>
              <w:rPr>
                <w:color w:val="000000"/>
                <w:sz w:val="20"/>
                <w:lang w:val="en-US" w:eastAsia="zh-CN"/>
              </w:rPr>
              <w:t>appetit</w:t>
            </w:r>
            <w:proofErr w:type="spellEnd"/>
          </w:p>
        </w:tc>
        <w:tc>
          <w:tcPr>
            <w:tcW w:w="1381" w:type="dxa"/>
            <w:tcBorders>
              <w:top w:val="single" w:sz="6" w:space="0" w:color="000000"/>
              <w:left w:val="single" w:sz="6" w:space="0" w:color="000000"/>
              <w:bottom w:val="single" w:sz="6" w:space="0" w:color="000000"/>
              <w:right w:val="single" w:sz="6" w:space="0" w:color="000000"/>
            </w:tcBorders>
          </w:tcPr>
          <w:p w:rsidR="001A5E02" w:rsidRDefault="001A5E02" w:rsidP="003B4BCE">
            <w:pPr>
              <w:spacing w:line="180" w:lineRule="atLeast"/>
              <w:rPr>
                <w:color w:val="000000"/>
                <w:sz w:val="20"/>
                <w:lang w:val="en-US" w:eastAsia="zh-CN"/>
              </w:rPr>
            </w:pPr>
          </w:p>
        </w:tc>
        <w:tc>
          <w:tcPr>
            <w:tcW w:w="1382" w:type="dxa"/>
            <w:tcBorders>
              <w:top w:val="single" w:sz="6" w:space="0" w:color="000000"/>
              <w:left w:val="single" w:sz="6" w:space="0" w:color="000000"/>
              <w:bottom w:val="single" w:sz="6" w:space="0" w:color="000000"/>
              <w:right w:val="single" w:sz="6" w:space="0" w:color="000000"/>
            </w:tcBorders>
          </w:tcPr>
          <w:p w:rsidR="001A5E02" w:rsidRDefault="001A5E02" w:rsidP="003B4BCE">
            <w:pPr>
              <w:spacing w:line="180" w:lineRule="atLeast"/>
              <w:rPr>
                <w:color w:val="000000"/>
                <w:sz w:val="20"/>
                <w:lang w:val="en-US" w:eastAsia="zh-CN"/>
              </w:rPr>
            </w:pPr>
          </w:p>
        </w:tc>
        <w:tc>
          <w:tcPr>
            <w:tcW w:w="1381" w:type="dxa"/>
            <w:tcBorders>
              <w:top w:val="single" w:sz="6" w:space="0" w:color="000000"/>
              <w:left w:val="single" w:sz="6" w:space="0" w:color="000000"/>
              <w:bottom w:val="single" w:sz="6" w:space="0" w:color="000000"/>
              <w:right w:val="single" w:sz="6" w:space="0" w:color="000000"/>
            </w:tcBorders>
          </w:tcPr>
          <w:p w:rsidR="001A5E02" w:rsidRDefault="001A5E02" w:rsidP="003B4BCE">
            <w:pPr>
              <w:spacing w:line="180" w:lineRule="atLeast"/>
              <w:rPr>
                <w:color w:val="000000"/>
                <w:sz w:val="20"/>
                <w:lang w:val="en-US" w:eastAsia="zh-CN"/>
              </w:rPr>
            </w:pPr>
          </w:p>
        </w:tc>
        <w:tc>
          <w:tcPr>
            <w:tcW w:w="1381" w:type="dxa"/>
            <w:tcBorders>
              <w:top w:val="single" w:sz="6" w:space="0" w:color="000000"/>
              <w:left w:val="single" w:sz="6" w:space="0" w:color="000000"/>
              <w:bottom w:val="single" w:sz="6" w:space="0" w:color="000000"/>
              <w:right w:val="single" w:sz="6" w:space="0" w:color="000000"/>
            </w:tcBorders>
          </w:tcPr>
          <w:p w:rsidR="001A5E02" w:rsidRDefault="001A5E02" w:rsidP="003B4BCE">
            <w:pPr>
              <w:spacing w:line="180" w:lineRule="atLeast"/>
              <w:rPr>
                <w:color w:val="000000"/>
                <w:sz w:val="20"/>
                <w:lang w:val="en-US" w:eastAsia="zh-CN"/>
              </w:rPr>
            </w:pPr>
          </w:p>
        </w:tc>
        <w:tc>
          <w:tcPr>
            <w:tcW w:w="1382" w:type="dxa"/>
            <w:tcBorders>
              <w:top w:val="single" w:sz="6" w:space="0" w:color="000000"/>
              <w:left w:val="single" w:sz="6" w:space="0" w:color="000000"/>
              <w:bottom w:val="single" w:sz="6" w:space="0" w:color="000000"/>
              <w:right w:val="single" w:sz="6" w:space="0" w:color="000000"/>
            </w:tcBorders>
          </w:tcPr>
          <w:p w:rsidR="001A5E02" w:rsidRDefault="001A5E02" w:rsidP="003B4BCE">
            <w:pPr>
              <w:spacing w:line="180" w:lineRule="atLeast"/>
              <w:rPr>
                <w:color w:val="000000"/>
                <w:sz w:val="20"/>
                <w:lang w:val="en-US" w:eastAsia="zh-CN"/>
              </w:rPr>
            </w:pPr>
          </w:p>
        </w:tc>
      </w:tr>
      <w:tr w:rsidR="001A5E02" w:rsidTr="003B4BCE">
        <w:trPr>
          <w:cantSplit/>
          <w:trHeight w:val="403"/>
        </w:trPr>
        <w:tc>
          <w:tcPr>
            <w:tcW w:w="1381" w:type="dxa"/>
            <w:tcBorders>
              <w:top w:val="single" w:sz="6" w:space="0" w:color="000000"/>
              <w:left w:val="double" w:sz="6" w:space="0" w:color="000000"/>
              <w:bottom w:val="single" w:sz="6" w:space="0" w:color="000000"/>
              <w:right w:val="single" w:sz="6" w:space="0" w:color="000000"/>
            </w:tcBorders>
          </w:tcPr>
          <w:p w:rsidR="001A5E02" w:rsidRDefault="001A5E02" w:rsidP="003B4BCE">
            <w:pPr>
              <w:spacing w:line="180" w:lineRule="atLeast"/>
              <w:rPr>
                <w:b/>
                <w:color w:val="000000"/>
                <w:sz w:val="20"/>
                <w:lang w:val="en-US" w:eastAsia="zh-CN"/>
              </w:rPr>
            </w:pPr>
            <w:proofErr w:type="spellStart"/>
            <w:r>
              <w:rPr>
                <w:b/>
                <w:color w:val="000000"/>
                <w:sz w:val="20"/>
                <w:lang w:val="en-US" w:eastAsia="zh-CN"/>
              </w:rPr>
              <w:t>Psykiske</w:t>
            </w:r>
            <w:proofErr w:type="spellEnd"/>
            <w:r>
              <w:rPr>
                <w:b/>
                <w:color w:val="000000"/>
                <w:sz w:val="20"/>
                <w:lang w:val="en-US" w:eastAsia="zh-CN"/>
              </w:rPr>
              <w:t xml:space="preserve"> </w:t>
            </w:r>
            <w:proofErr w:type="spellStart"/>
            <w:r>
              <w:rPr>
                <w:b/>
                <w:color w:val="000000"/>
                <w:sz w:val="20"/>
                <w:lang w:val="en-US" w:eastAsia="zh-CN"/>
              </w:rPr>
              <w:t>forstyrrelser</w:t>
            </w:r>
            <w:proofErr w:type="spellEnd"/>
          </w:p>
          <w:p w:rsidR="001A5E02" w:rsidRDefault="001A5E02" w:rsidP="003B4BCE">
            <w:pPr>
              <w:spacing w:line="180" w:lineRule="atLeast"/>
              <w:rPr>
                <w:b/>
                <w:color w:val="000000"/>
                <w:sz w:val="20"/>
                <w:lang w:val="en-US" w:eastAsia="zh-CN"/>
              </w:rPr>
            </w:pPr>
          </w:p>
        </w:tc>
        <w:tc>
          <w:tcPr>
            <w:tcW w:w="1381" w:type="dxa"/>
            <w:tcBorders>
              <w:top w:val="single" w:sz="6" w:space="0" w:color="000000"/>
              <w:left w:val="single" w:sz="6" w:space="0" w:color="000000"/>
              <w:bottom w:val="single" w:sz="6" w:space="0" w:color="000000"/>
              <w:right w:val="single" w:sz="6" w:space="0" w:color="000000"/>
            </w:tcBorders>
          </w:tcPr>
          <w:p w:rsidR="001A5E02" w:rsidRDefault="001A5E02" w:rsidP="003B4BCE">
            <w:pPr>
              <w:spacing w:line="180" w:lineRule="atLeast"/>
              <w:rPr>
                <w:color w:val="000000"/>
                <w:sz w:val="20"/>
                <w:lang w:val="en-US" w:eastAsia="zh-CN"/>
              </w:rPr>
            </w:pPr>
          </w:p>
        </w:tc>
        <w:tc>
          <w:tcPr>
            <w:tcW w:w="1381" w:type="dxa"/>
            <w:tcBorders>
              <w:top w:val="single" w:sz="6" w:space="0" w:color="000000"/>
              <w:left w:val="single" w:sz="6" w:space="0" w:color="000000"/>
              <w:bottom w:val="single" w:sz="6" w:space="0" w:color="000000"/>
              <w:right w:val="single" w:sz="6" w:space="0" w:color="000000"/>
            </w:tcBorders>
            <w:hideMark/>
          </w:tcPr>
          <w:p w:rsidR="001A5E02" w:rsidRDefault="001A5E02" w:rsidP="003B4BCE">
            <w:pPr>
              <w:spacing w:line="180" w:lineRule="atLeast"/>
              <w:rPr>
                <w:color w:val="000000"/>
                <w:sz w:val="20"/>
                <w:lang w:val="en-US" w:eastAsia="zh-CN"/>
              </w:rPr>
            </w:pPr>
            <w:r>
              <w:rPr>
                <w:color w:val="000000"/>
                <w:sz w:val="20"/>
                <w:lang w:val="en-US" w:eastAsia="zh-CN"/>
              </w:rPr>
              <w:t>Depression</w:t>
            </w:r>
          </w:p>
        </w:tc>
        <w:tc>
          <w:tcPr>
            <w:tcW w:w="1382" w:type="dxa"/>
            <w:tcBorders>
              <w:top w:val="single" w:sz="6" w:space="0" w:color="000000"/>
              <w:left w:val="single" w:sz="6" w:space="0" w:color="000000"/>
              <w:bottom w:val="single" w:sz="6" w:space="0" w:color="000000"/>
              <w:right w:val="single" w:sz="6" w:space="0" w:color="000000"/>
            </w:tcBorders>
            <w:hideMark/>
          </w:tcPr>
          <w:p w:rsidR="001A5E02" w:rsidRDefault="001A5E02" w:rsidP="003B4BCE">
            <w:pPr>
              <w:spacing w:line="180" w:lineRule="atLeast"/>
              <w:rPr>
                <w:color w:val="000000"/>
                <w:sz w:val="20"/>
                <w:lang w:val="en-US" w:eastAsia="zh-CN"/>
              </w:rPr>
            </w:pPr>
            <w:r>
              <w:rPr>
                <w:color w:val="000000"/>
                <w:sz w:val="20"/>
                <w:lang w:val="en-US" w:eastAsia="zh-CN"/>
              </w:rPr>
              <w:t>Angst</w:t>
            </w:r>
          </w:p>
        </w:tc>
        <w:tc>
          <w:tcPr>
            <w:tcW w:w="1381" w:type="dxa"/>
            <w:tcBorders>
              <w:top w:val="single" w:sz="6" w:space="0" w:color="000000"/>
              <w:left w:val="single" w:sz="6" w:space="0" w:color="000000"/>
              <w:bottom w:val="single" w:sz="6" w:space="0" w:color="000000"/>
              <w:right w:val="single" w:sz="6" w:space="0" w:color="000000"/>
            </w:tcBorders>
          </w:tcPr>
          <w:p w:rsidR="001A5E02" w:rsidRDefault="001A5E02" w:rsidP="003B4BCE">
            <w:pPr>
              <w:spacing w:line="180" w:lineRule="atLeast"/>
              <w:rPr>
                <w:color w:val="000000"/>
                <w:sz w:val="20"/>
                <w:lang w:val="en-US" w:eastAsia="zh-CN"/>
              </w:rPr>
            </w:pPr>
          </w:p>
        </w:tc>
        <w:tc>
          <w:tcPr>
            <w:tcW w:w="1381" w:type="dxa"/>
            <w:tcBorders>
              <w:top w:val="single" w:sz="6" w:space="0" w:color="000000"/>
              <w:left w:val="single" w:sz="6" w:space="0" w:color="000000"/>
              <w:bottom w:val="single" w:sz="6" w:space="0" w:color="000000"/>
              <w:right w:val="single" w:sz="6" w:space="0" w:color="000000"/>
            </w:tcBorders>
          </w:tcPr>
          <w:p w:rsidR="001A5E02" w:rsidRDefault="001A5E02" w:rsidP="003B4BCE">
            <w:pPr>
              <w:spacing w:line="180" w:lineRule="atLeast"/>
              <w:rPr>
                <w:color w:val="000000"/>
                <w:sz w:val="20"/>
                <w:lang w:val="en-US" w:eastAsia="zh-CN"/>
              </w:rPr>
            </w:pPr>
          </w:p>
        </w:tc>
        <w:tc>
          <w:tcPr>
            <w:tcW w:w="1382" w:type="dxa"/>
            <w:tcBorders>
              <w:top w:val="single" w:sz="6" w:space="0" w:color="000000"/>
              <w:left w:val="single" w:sz="6" w:space="0" w:color="000000"/>
              <w:bottom w:val="single" w:sz="6" w:space="0" w:color="000000"/>
              <w:right w:val="single" w:sz="6" w:space="0" w:color="000000"/>
            </w:tcBorders>
            <w:hideMark/>
          </w:tcPr>
          <w:p w:rsidR="001A5E02" w:rsidRPr="007F04D9" w:rsidRDefault="001A5E02" w:rsidP="003B4BCE">
            <w:pPr>
              <w:spacing w:line="180" w:lineRule="atLeast"/>
              <w:rPr>
                <w:color w:val="000000"/>
                <w:sz w:val="20"/>
                <w:lang w:eastAsia="zh-CN"/>
              </w:rPr>
            </w:pPr>
            <w:r w:rsidRPr="007F04D9">
              <w:rPr>
                <w:color w:val="000000"/>
                <w:sz w:val="20"/>
                <w:lang w:eastAsia="zh-CN"/>
              </w:rPr>
              <w:t xml:space="preserve">Depressive symptomer, der er sekundære til </w:t>
            </w:r>
            <w:proofErr w:type="spellStart"/>
            <w:r w:rsidRPr="007F04D9">
              <w:rPr>
                <w:color w:val="000000"/>
                <w:sz w:val="20"/>
                <w:lang w:eastAsia="zh-CN"/>
              </w:rPr>
              <w:t>dysgeusi</w:t>
            </w:r>
            <w:proofErr w:type="spellEnd"/>
          </w:p>
        </w:tc>
      </w:tr>
      <w:tr w:rsidR="001A5E02" w:rsidTr="003B4BCE">
        <w:trPr>
          <w:cantSplit/>
          <w:trHeight w:val="550"/>
        </w:trPr>
        <w:tc>
          <w:tcPr>
            <w:tcW w:w="1381" w:type="dxa"/>
            <w:tcBorders>
              <w:top w:val="single" w:sz="6" w:space="0" w:color="000000"/>
              <w:left w:val="double" w:sz="6" w:space="0" w:color="000000"/>
              <w:bottom w:val="single" w:sz="6" w:space="0" w:color="000000"/>
              <w:right w:val="single" w:sz="6" w:space="0" w:color="000000"/>
            </w:tcBorders>
          </w:tcPr>
          <w:p w:rsidR="001A5E02" w:rsidRDefault="001A5E02" w:rsidP="003B4BCE">
            <w:pPr>
              <w:spacing w:line="180" w:lineRule="atLeast"/>
              <w:rPr>
                <w:b/>
                <w:color w:val="000000"/>
                <w:sz w:val="20"/>
                <w:lang w:val="en-US" w:eastAsia="zh-CN"/>
              </w:rPr>
            </w:pPr>
            <w:proofErr w:type="spellStart"/>
            <w:r>
              <w:rPr>
                <w:b/>
                <w:color w:val="000000"/>
                <w:sz w:val="20"/>
                <w:lang w:val="en-US" w:eastAsia="zh-CN"/>
              </w:rPr>
              <w:t>Nervesystemet</w:t>
            </w:r>
            <w:proofErr w:type="spellEnd"/>
          </w:p>
          <w:p w:rsidR="001A5E02" w:rsidRDefault="001A5E02" w:rsidP="003B4BCE">
            <w:pPr>
              <w:spacing w:line="180" w:lineRule="atLeast"/>
              <w:rPr>
                <w:b/>
                <w:color w:val="000000"/>
                <w:sz w:val="20"/>
                <w:lang w:val="en-US" w:eastAsia="zh-CN"/>
              </w:rPr>
            </w:pPr>
          </w:p>
          <w:p w:rsidR="001A5E02" w:rsidRDefault="001A5E02" w:rsidP="003B4BCE">
            <w:pPr>
              <w:spacing w:line="180" w:lineRule="atLeast"/>
              <w:rPr>
                <w:b/>
                <w:color w:val="000000"/>
                <w:sz w:val="20"/>
                <w:lang w:val="en-US" w:eastAsia="zh-CN"/>
              </w:rPr>
            </w:pPr>
          </w:p>
        </w:tc>
        <w:tc>
          <w:tcPr>
            <w:tcW w:w="1381" w:type="dxa"/>
            <w:tcBorders>
              <w:top w:val="single" w:sz="6" w:space="0" w:color="000000"/>
              <w:left w:val="single" w:sz="6" w:space="0" w:color="000000"/>
              <w:bottom w:val="single" w:sz="6" w:space="0" w:color="000000"/>
              <w:right w:val="single" w:sz="6" w:space="0" w:color="000000"/>
            </w:tcBorders>
            <w:hideMark/>
          </w:tcPr>
          <w:p w:rsidR="001A5E02" w:rsidRDefault="001A5E02" w:rsidP="003B4BCE">
            <w:pPr>
              <w:pStyle w:val="Normalindrykning"/>
              <w:spacing w:line="180" w:lineRule="atLeast"/>
              <w:jc w:val="left"/>
              <w:rPr>
                <w:rFonts w:ascii="Times New Roman" w:hAnsi="Times New Roman"/>
                <w:sz w:val="20"/>
                <w:lang w:val="en-US" w:eastAsia="zh-CN"/>
              </w:rPr>
            </w:pPr>
            <w:proofErr w:type="spellStart"/>
            <w:r>
              <w:rPr>
                <w:rFonts w:ascii="Times New Roman" w:hAnsi="Times New Roman"/>
                <w:sz w:val="20"/>
                <w:lang w:val="en-US" w:eastAsia="zh-CN"/>
              </w:rPr>
              <w:t>Hovedpine</w:t>
            </w:r>
            <w:proofErr w:type="spellEnd"/>
          </w:p>
        </w:tc>
        <w:tc>
          <w:tcPr>
            <w:tcW w:w="1381" w:type="dxa"/>
            <w:tcBorders>
              <w:top w:val="single" w:sz="6" w:space="0" w:color="000000"/>
              <w:left w:val="single" w:sz="6" w:space="0" w:color="000000"/>
              <w:bottom w:val="single" w:sz="6" w:space="0" w:color="000000"/>
              <w:right w:val="single" w:sz="6" w:space="0" w:color="000000"/>
            </w:tcBorders>
            <w:hideMark/>
          </w:tcPr>
          <w:p w:rsidR="001A5E02" w:rsidRDefault="001A5E02" w:rsidP="003B4BCE">
            <w:pPr>
              <w:pStyle w:val="Normalindrykning"/>
              <w:spacing w:line="180" w:lineRule="atLeast"/>
              <w:jc w:val="left"/>
              <w:rPr>
                <w:rFonts w:ascii="Times New Roman" w:hAnsi="Times New Roman"/>
                <w:sz w:val="20"/>
                <w:lang w:val="en-US" w:eastAsia="zh-CN"/>
              </w:rPr>
            </w:pPr>
            <w:proofErr w:type="spellStart"/>
            <w:r>
              <w:rPr>
                <w:rFonts w:ascii="Times New Roman" w:hAnsi="Times New Roman"/>
                <w:sz w:val="20"/>
                <w:lang w:val="en-US" w:eastAsia="zh-CN"/>
              </w:rPr>
              <w:t>Dysgeusi</w:t>
            </w:r>
            <w:proofErr w:type="spellEnd"/>
            <w:r>
              <w:rPr>
                <w:rFonts w:ascii="Times New Roman" w:hAnsi="Times New Roman"/>
                <w:sz w:val="20"/>
                <w:lang w:val="en-US" w:eastAsia="zh-CN"/>
              </w:rPr>
              <w:t xml:space="preserve"> </w:t>
            </w:r>
            <w:proofErr w:type="spellStart"/>
            <w:r>
              <w:rPr>
                <w:rFonts w:ascii="Times New Roman" w:hAnsi="Times New Roman"/>
                <w:sz w:val="20"/>
                <w:lang w:val="en-US" w:eastAsia="zh-CN"/>
              </w:rPr>
              <w:t>inklusive</w:t>
            </w:r>
            <w:proofErr w:type="spellEnd"/>
            <w:r>
              <w:rPr>
                <w:rFonts w:ascii="Times New Roman" w:hAnsi="Times New Roman"/>
                <w:sz w:val="20"/>
                <w:lang w:val="en-US" w:eastAsia="zh-CN"/>
              </w:rPr>
              <w:t xml:space="preserve"> </w:t>
            </w:r>
            <w:proofErr w:type="spellStart"/>
            <w:r>
              <w:rPr>
                <w:rFonts w:ascii="Times New Roman" w:hAnsi="Times New Roman"/>
                <w:sz w:val="20"/>
                <w:lang w:val="en-US" w:eastAsia="zh-CN"/>
              </w:rPr>
              <w:t>ageusi</w:t>
            </w:r>
            <w:proofErr w:type="spellEnd"/>
            <w:r>
              <w:rPr>
                <w:rFonts w:ascii="Times New Roman" w:hAnsi="Times New Roman"/>
                <w:sz w:val="20"/>
                <w:lang w:val="en-US" w:eastAsia="zh-CN"/>
              </w:rPr>
              <w:t>**</w:t>
            </w:r>
          </w:p>
          <w:p w:rsidR="001A5E02" w:rsidRDefault="001A5E02" w:rsidP="003B4BCE">
            <w:pPr>
              <w:rPr>
                <w:lang w:val="en-US" w:eastAsia="zh-CN"/>
              </w:rPr>
            </w:pPr>
            <w:proofErr w:type="spellStart"/>
            <w:r>
              <w:rPr>
                <w:sz w:val="20"/>
                <w:lang w:val="en-US" w:eastAsia="zh-CN"/>
              </w:rPr>
              <w:t>Svimmelhed</w:t>
            </w:r>
            <w:proofErr w:type="spellEnd"/>
          </w:p>
        </w:tc>
        <w:tc>
          <w:tcPr>
            <w:tcW w:w="1382" w:type="dxa"/>
            <w:tcBorders>
              <w:top w:val="single" w:sz="6" w:space="0" w:color="000000"/>
              <w:left w:val="single" w:sz="6" w:space="0" w:color="000000"/>
              <w:bottom w:val="single" w:sz="6" w:space="0" w:color="000000"/>
              <w:right w:val="single" w:sz="6" w:space="0" w:color="000000"/>
            </w:tcBorders>
            <w:hideMark/>
          </w:tcPr>
          <w:p w:rsidR="001A5E02" w:rsidRDefault="001A5E02" w:rsidP="003B4BCE">
            <w:pPr>
              <w:rPr>
                <w:sz w:val="20"/>
                <w:lang w:val="en-US" w:eastAsia="zh-CN"/>
              </w:rPr>
            </w:pPr>
            <w:proofErr w:type="spellStart"/>
            <w:r>
              <w:rPr>
                <w:sz w:val="20"/>
                <w:lang w:val="en-US" w:eastAsia="zh-CN"/>
              </w:rPr>
              <w:t>Paræstesi</w:t>
            </w:r>
            <w:proofErr w:type="spellEnd"/>
          </w:p>
          <w:p w:rsidR="001A5E02" w:rsidRDefault="001A5E02" w:rsidP="003B4BCE">
            <w:pPr>
              <w:rPr>
                <w:sz w:val="20"/>
                <w:lang w:val="en-US" w:eastAsia="zh-CN"/>
              </w:rPr>
            </w:pPr>
            <w:proofErr w:type="spellStart"/>
            <w:r>
              <w:rPr>
                <w:sz w:val="20"/>
                <w:lang w:val="en-US" w:eastAsia="zh-CN"/>
              </w:rPr>
              <w:t>Hypoæstesi</w:t>
            </w:r>
            <w:proofErr w:type="spellEnd"/>
          </w:p>
        </w:tc>
        <w:tc>
          <w:tcPr>
            <w:tcW w:w="1381" w:type="dxa"/>
            <w:tcBorders>
              <w:top w:val="single" w:sz="6" w:space="0" w:color="000000"/>
              <w:left w:val="single" w:sz="6" w:space="0" w:color="000000"/>
              <w:bottom w:val="single" w:sz="6" w:space="0" w:color="000000"/>
              <w:right w:val="single" w:sz="6" w:space="0" w:color="000000"/>
            </w:tcBorders>
          </w:tcPr>
          <w:p w:rsidR="001A5E02" w:rsidRDefault="001A5E02" w:rsidP="003B4BCE">
            <w:pPr>
              <w:rPr>
                <w:sz w:val="20"/>
                <w:lang w:val="en-US" w:eastAsia="zh-CN"/>
              </w:rPr>
            </w:pPr>
          </w:p>
        </w:tc>
        <w:tc>
          <w:tcPr>
            <w:tcW w:w="1381" w:type="dxa"/>
            <w:tcBorders>
              <w:top w:val="single" w:sz="6" w:space="0" w:color="000000"/>
              <w:left w:val="single" w:sz="6" w:space="0" w:color="000000"/>
              <w:bottom w:val="single" w:sz="6" w:space="0" w:color="000000"/>
              <w:right w:val="single" w:sz="6" w:space="0" w:color="000000"/>
            </w:tcBorders>
          </w:tcPr>
          <w:p w:rsidR="001A5E02" w:rsidRDefault="001A5E02" w:rsidP="003B4BCE">
            <w:pPr>
              <w:rPr>
                <w:sz w:val="20"/>
                <w:lang w:val="en-US" w:eastAsia="zh-CN"/>
              </w:rPr>
            </w:pPr>
          </w:p>
        </w:tc>
        <w:tc>
          <w:tcPr>
            <w:tcW w:w="1382" w:type="dxa"/>
            <w:tcBorders>
              <w:top w:val="single" w:sz="6" w:space="0" w:color="000000"/>
              <w:left w:val="single" w:sz="6" w:space="0" w:color="000000"/>
              <w:bottom w:val="single" w:sz="6" w:space="0" w:color="000000"/>
              <w:right w:val="single" w:sz="6" w:space="0" w:color="000000"/>
            </w:tcBorders>
            <w:hideMark/>
          </w:tcPr>
          <w:p w:rsidR="001A5E02" w:rsidRDefault="001A5E02" w:rsidP="003B4BCE">
            <w:pPr>
              <w:rPr>
                <w:sz w:val="20"/>
                <w:lang w:val="it-IT" w:eastAsia="zh-CN"/>
              </w:rPr>
            </w:pPr>
            <w:r>
              <w:rPr>
                <w:sz w:val="20"/>
                <w:lang w:val="it-IT" w:eastAsia="zh-CN"/>
              </w:rPr>
              <w:t>Anosmi inklusive permanent anosmi</w:t>
            </w:r>
          </w:p>
          <w:p w:rsidR="001A5E02" w:rsidRDefault="001A5E02" w:rsidP="003B4BCE">
            <w:pPr>
              <w:rPr>
                <w:sz w:val="20"/>
                <w:lang w:val="it-IT" w:eastAsia="zh-CN"/>
              </w:rPr>
            </w:pPr>
            <w:r>
              <w:rPr>
                <w:sz w:val="20"/>
                <w:lang w:val="it-IT" w:eastAsia="zh-CN"/>
              </w:rPr>
              <w:t>Hyposmi</w:t>
            </w:r>
          </w:p>
        </w:tc>
      </w:tr>
      <w:tr w:rsidR="001A5E02" w:rsidTr="003B4BCE">
        <w:trPr>
          <w:cantSplit/>
          <w:trHeight w:val="842"/>
        </w:trPr>
        <w:tc>
          <w:tcPr>
            <w:tcW w:w="1381" w:type="dxa"/>
            <w:tcBorders>
              <w:top w:val="single" w:sz="6" w:space="0" w:color="000000"/>
              <w:left w:val="double" w:sz="6" w:space="0" w:color="000000"/>
              <w:bottom w:val="single" w:sz="6" w:space="0" w:color="000000"/>
              <w:right w:val="single" w:sz="6" w:space="0" w:color="000000"/>
            </w:tcBorders>
            <w:hideMark/>
          </w:tcPr>
          <w:p w:rsidR="001A5E02" w:rsidRDefault="001A5E02" w:rsidP="003B4BCE">
            <w:pPr>
              <w:spacing w:line="180" w:lineRule="atLeast"/>
              <w:jc w:val="both"/>
              <w:rPr>
                <w:b/>
                <w:bCs/>
                <w:color w:val="000000"/>
                <w:sz w:val="20"/>
                <w:lang w:val="en-US" w:eastAsia="zh-CN"/>
              </w:rPr>
            </w:pPr>
            <w:proofErr w:type="spellStart"/>
            <w:r>
              <w:rPr>
                <w:b/>
                <w:bCs/>
                <w:color w:val="000000"/>
                <w:sz w:val="20"/>
                <w:lang w:val="en-US" w:eastAsia="zh-CN"/>
              </w:rPr>
              <w:t>Øjne</w:t>
            </w:r>
            <w:proofErr w:type="spellEnd"/>
          </w:p>
        </w:tc>
        <w:tc>
          <w:tcPr>
            <w:tcW w:w="1381" w:type="dxa"/>
            <w:tcBorders>
              <w:top w:val="single" w:sz="6" w:space="0" w:color="000000"/>
              <w:left w:val="single" w:sz="6" w:space="0" w:color="000000"/>
              <w:bottom w:val="single" w:sz="6" w:space="0" w:color="000000"/>
              <w:right w:val="single" w:sz="6" w:space="0" w:color="000000"/>
            </w:tcBorders>
          </w:tcPr>
          <w:p w:rsidR="001A5E02" w:rsidRDefault="001A5E02" w:rsidP="003B4BCE">
            <w:pPr>
              <w:spacing w:line="180" w:lineRule="atLeast"/>
              <w:rPr>
                <w:color w:val="000000"/>
                <w:sz w:val="20"/>
                <w:lang w:val="nb-NO" w:eastAsia="zh-CN"/>
              </w:rPr>
            </w:pPr>
          </w:p>
        </w:tc>
        <w:tc>
          <w:tcPr>
            <w:tcW w:w="1381" w:type="dxa"/>
            <w:tcBorders>
              <w:top w:val="single" w:sz="6" w:space="0" w:color="000000"/>
              <w:left w:val="single" w:sz="6" w:space="0" w:color="000000"/>
              <w:bottom w:val="single" w:sz="6" w:space="0" w:color="000000"/>
              <w:right w:val="single" w:sz="6" w:space="0" w:color="000000"/>
            </w:tcBorders>
            <w:hideMark/>
          </w:tcPr>
          <w:p w:rsidR="001A5E02" w:rsidRDefault="001A5E02" w:rsidP="003B4BCE">
            <w:pPr>
              <w:spacing w:line="180" w:lineRule="atLeast"/>
              <w:rPr>
                <w:color w:val="000000"/>
                <w:sz w:val="20"/>
                <w:lang w:val="nb-NO" w:eastAsia="zh-CN"/>
              </w:rPr>
            </w:pPr>
            <w:r>
              <w:rPr>
                <w:color w:val="000000"/>
                <w:sz w:val="20"/>
                <w:lang w:val="nb-NO" w:eastAsia="zh-CN"/>
              </w:rPr>
              <w:t xml:space="preserve">Synsnedsættelse </w:t>
            </w:r>
          </w:p>
        </w:tc>
        <w:tc>
          <w:tcPr>
            <w:tcW w:w="1382" w:type="dxa"/>
            <w:tcBorders>
              <w:top w:val="single" w:sz="6" w:space="0" w:color="000000"/>
              <w:left w:val="single" w:sz="6" w:space="0" w:color="000000"/>
              <w:bottom w:val="single" w:sz="6" w:space="0" w:color="000000"/>
              <w:right w:val="single" w:sz="6" w:space="0" w:color="000000"/>
            </w:tcBorders>
          </w:tcPr>
          <w:p w:rsidR="001A5E02" w:rsidRDefault="001A5E02" w:rsidP="003B4BCE">
            <w:pPr>
              <w:rPr>
                <w:color w:val="000000"/>
                <w:sz w:val="20"/>
                <w:lang w:val="en-US" w:eastAsia="zh-CN"/>
              </w:rPr>
            </w:pPr>
          </w:p>
        </w:tc>
        <w:tc>
          <w:tcPr>
            <w:tcW w:w="1381" w:type="dxa"/>
            <w:tcBorders>
              <w:top w:val="single" w:sz="6" w:space="0" w:color="000000"/>
              <w:left w:val="single" w:sz="6" w:space="0" w:color="000000"/>
              <w:bottom w:val="single" w:sz="6" w:space="0" w:color="000000"/>
              <w:right w:val="single" w:sz="6" w:space="0" w:color="000000"/>
            </w:tcBorders>
          </w:tcPr>
          <w:p w:rsidR="001A5E02" w:rsidRDefault="001A5E02" w:rsidP="003B4BCE">
            <w:pPr>
              <w:spacing w:line="180" w:lineRule="atLeast"/>
              <w:rPr>
                <w:color w:val="000000"/>
                <w:sz w:val="20"/>
                <w:lang w:val="en-US" w:eastAsia="zh-CN"/>
              </w:rPr>
            </w:pPr>
          </w:p>
        </w:tc>
        <w:tc>
          <w:tcPr>
            <w:tcW w:w="1381" w:type="dxa"/>
            <w:tcBorders>
              <w:top w:val="single" w:sz="6" w:space="0" w:color="000000"/>
              <w:left w:val="single" w:sz="6" w:space="0" w:color="000000"/>
              <w:bottom w:val="single" w:sz="6" w:space="0" w:color="000000"/>
              <w:right w:val="single" w:sz="6" w:space="0" w:color="000000"/>
            </w:tcBorders>
          </w:tcPr>
          <w:p w:rsidR="001A5E02" w:rsidRDefault="001A5E02" w:rsidP="003B4BCE">
            <w:pPr>
              <w:spacing w:line="180" w:lineRule="atLeast"/>
              <w:rPr>
                <w:color w:val="000000"/>
                <w:sz w:val="20"/>
                <w:lang w:val="en-US" w:eastAsia="zh-CN"/>
              </w:rPr>
            </w:pPr>
          </w:p>
        </w:tc>
        <w:tc>
          <w:tcPr>
            <w:tcW w:w="1382" w:type="dxa"/>
            <w:tcBorders>
              <w:top w:val="single" w:sz="6" w:space="0" w:color="000000"/>
              <w:left w:val="single" w:sz="6" w:space="0" w:color="000000"/>
              <w:bottom w:val="single" w:sz="6" w:space="0" w:color="000000"/>
              <w:right w:val="single" w:sz="6" w:space="0" w:color="000000"/>
            </w:tcBorders>
            <w:hideMark/>
          </w:tcPr>
          <w:p w:rsidR="001A5E02" w:rsidRDefault="001A5E02" w:rsidP="003B4BCE">
            <w:pPr>
              <w:spacing w:line="180" w:lineRule="atLeast"/>
              <w:rPr>
                <w:color w:val="000000"/>
                <w:sz w:val="20"/>
                <w:lang w:val="en-US" w:eastAsia="zh-CN"/>
              </w:rPr>
            </w:pPr>
            <w:proofErr w:type="spellStart"/>
            <w:r>
              <w:rPr>
                <w:color w:val="000000"/>
                <w:sz w:val="20"/>
                <w:lang w:val="en-US" w:eastAsia="zh-CN"/>
              </w:rPr>
              <w:t>Sløret</w:t>
            </w:r>
            <w:proofErr w:type="spellEnd"/>
            <w:r>
              <w:rPr>
                <w:color w:val="000000"/>
                <w:sz w:val="20"/>
                <w:lang w:val="en-US" w:eastAsia="zh-CN"/>
              </w:rPr>
              <w:t xml:space="preserve"> syn</w:t>
            </w:r>
          </w:p>
          <w:p w:rsidR="001A5E02" w:rsidRDefault="001A5E02" w:rsidP="003B4BCE">
            <w:pPr>
              <w:spacing w:line="180" w:lineRule="atLeast"/>
              <w:rPr>
                <w:color w:val="000000"/>
                <w:sz w:val="20"/>
                <w:lang w:val="en-US" w:eastAsia="zh-CN"/>
              </w:rPr>
            </w:pPr>
            <w:proofErr w:type="spellStart"/>
            <w:r>
              <w:rPr>
                <w:color w:val="000000"/>
                <w:sz w:val="20"/>
                <w:lang w:val="en-US" w:eastAsia="zh-CN"/>
              </w:rPr>
              <w:t>Nedsat</w:t>
            </w:r>
            <w:proofErr w:type="spellEnd"/>
            <w:r>
              <w:rPr>
                <w:color w:val="000000"/>
                <w:sz w:val="20"/>
                <w:lang w:val="en-US" w:eastAsia="zh-CN"/>
              </w:rPr>
              <w:t xml:space="preserve"> </w:t>
            </w:r>
            <w:proofErr w:type="spellStart"/>
            <w:r>
              <w:rPr>
                <w:color w:val="000000"/>
                <w:sz w:val="20"/>
                <w:lang w:val="en-US" w:eastAsia="zh-CN"/>
              </w:rPr>
              <w:t>synsskarphed</w:t>
            </w:r>
            <w:proofErr w:type="spellEnd"/>
          </w:p>
        </w:tc>
      </w:tr>
      <w:tr w:rsidR="001A5E02" w:rsidTr="003B4BCE">
        <w:trPr>
          <w:cantSplit/>
          <w:trHeight w:val="842"/>
        </w:trPr>
        <w:tc>
          <w:tcPr>
            <w:tcW w:w="1381" w:type="dxa"/>
            <w:tcBorders>
              <w:top w:val="single" w:sz="6" w:space="0" w:color="000000"/>
              <w:left w:val="double" w:sz="6" w:space="0" w:color="000000"/>
              <w:bottom w:val="single" w:sz="6" w:space="0" w:color="000000"/>
              <w:right w:val="single" w:sz="6" w:space="0" w:color="000000"/>
            </w:tcBorders>
            <w:hideMark/>
          </w:tcPr>
          <w:p w:rsidR="001A5E02" w:rsidRDefault="001A5E02" w:rsidP="003B4BCE">
            <w:pPr>
              <w:spacing w:line="180" w:lineRule="atLeast"/>
              <w:jc w:val="both"/>
              <w:rPr>
                <w:b/>
                <w:color w:val="000000"/>
                <w:sz w:val="20"/>
                <w:lang w:val="en-US" w:eastAsia="zh-CN"/>
              </w:rPr>
            </w:pPr>
            <w:proofErr w:type="spellStart"/>
            <w:r>
              <w:rPr>
                <w:b/>
                <w:color w:val="000000"/>
                <w:sz w:val="20"/>
                <w:lang w:val="en-US" w:eastAsia="zh-CN"/>
              </w:rPr>
              <w:t>Øre</w:t>
            </w:r>
            <w:proofErr w:type="spellEnd"/>
            <w:r>
              <w:rPr>
                <w:b/>
                <w:color w:val="000000"/>
                <w:sz w:val="20"/>
                <w:lang w:val="en-US" w:eastAsia="zh-CN"/>
              </w:rPr>
              <w:t xml:space="preserve"> </w:t>
            </w:r>
            <w:proofErr w:type="spellStart"/>
            <w:r>
              <w:rPr>
                <w:b/>
                <w:color w:val="000000"/>
                <w:sz w:val="20"/>
                <w:lang w:val="en-US" w:eastAsia="zh-CN"/>
              </w:rPr>
              <w:t>og</w:t>
            </w:r>
            <w:proofErr w:type="spellEnd"/>
            <w:r>
              <w:rPr>
                <w:b/>
                <w:color w:val="000000"/>
                <w:sz w:val="20"/>
                <w:lang w:val="en-US" w:eastAsia="zh-CN"/>
              </w:rPr>
              <w:t xml:space="preserve"> </w:t>
            </w:r>
            <w:proofErr w:type="spellStart"/>
            <w:r>
              <w:rPr>
                <w:b/>
                <w:color w:val="000000"/>
                <w:sz w:val="20"/>
                <w:lang w:val="en-US" w:eastAsia="zh-CN"/>
              </w:rPr>
              <w:t>labyrint</w:t>
            </w:r>
            <w:proofErr w:type="spellEnd"/>
          </w:p>
        </w:tc>
        <w:tc>
          <w:tcPr>
            <w:tcW w:w="1381" w:type="dxa"/>
            <w:tcBorders>
              <w:top w:val="single" w:sz="6" w:space="0" w:color="000000"/>
              <w:left w:val="single" w:sz="6" w:space="0" w:color="000000"/>
              <w:bottom w:val="single" w:sz="6" w:space="0" w:color="000000"/>
              <w:right w:val="single" w:sz="6" w:space="0" w:color="000000"/>
            </w:tcBorders>
          </w:tcPr>
          <w:p w:rsidR="001A5E02" w:rsidRDefault="001A5E02" w:rsidP="003B4BCE">
            <w:pPr>
              <w:spacing w:line="180" w:lineRule="atLeast"/>
              <w:rPr>
                <w:color w:val="000000"/>
                <w:sz w:val="20"/>
                <w:lang w:val="nb-NO" w:eastAsia="zh-CN"/>
              </w:rPr>
            </w:pPr>
          </w:p>
        </w:tc>
        <w:tc>
          <w:tcPr>
            <w:tcW w:w="1381" w:type="dxa"/>
            <w:tcBorders>
              <w:top w:val="single" w:sz="6" w:space="0" w:color="000000"/>
              <w:left w:val="single" w:sz="6" w:space="0" w:color="000000"/>
              <w:bottom w:val="single" w:sz="6" w:space="0" w:color="000000"/>
              <w:right w:val="single" w:sz="6" w:space="0" w:color="000000"/>
            </w:tcBorders>
          </w:tcPr>
          <w:p w:rsidR="001A5E02" w:rsidRDefault="001A5E02" w:rsidP="003B4BCE">
            <w:pPr>
              <w:spacing w:line="180" w:lineRule="atLeast"/>
              <w:rPr>
                <w:color w:val="000000"/>
                <w:sz w:val="20"/>
                <w:lang w:val="nb-NO" w:eastAsia="zh-CN"/>
              </w:rPr>
            </w:pPr>
          </w:p>
        </w:tc>
        <w:tc>
          <w:tcPr>
            <w:tcW w:w="1382" w:type="dxa"/>
            <w:tcBorders>
              <w:top w:val="single" w:sz="6" w:space="0" w:color="000000"/>
              <w:left w:val="single" w:sz="6" w:space="0" w:color="000000"/>
              <w:bottom w:val="single" w:sz="6" w:space="0" w:color="000000"/>
              <w:right w:val="single" w:sz="6" w:space="0" w:color="000000"/>
            </w:tcBorders>
            <w:hideMark/>
          </w:tcPr>
          <w:p w:rsidR="001A5E02" w:rsidRDefault="001A5E02" w:rsidP="003B4BCE">
            <w:pPr>
              <w:rPr>
                <w:color w:val="000000"/>
                <w:sz w:val="20"/>
                <w:lang w:val="en-US" w:eastAsia="zh-CN"/>
              </w:rPr>
            </w:pPr>
            <w:r>
              <w:rPr>
                <w:color w:val="000000"/>
                <w:sz w:val="20"/>
                <w:lang w:val="en-US" w:eastAsia="zh-CN"/>
              </w:rPr>
              <w:t>Tinnitus</w:t>
            </w:r>
          </w:p>
        </w:tc>
        <w:tc>
          <w:tcPr>
            <w:tcW w:w="1381" w:type="dxa"/>
            <w:tcBorders>
              <w:top w:val="single" w:sz="6" w:space="0" w:color="000000"/>
              <w:left w:val="single" w:sz="6" w:space="0" w:color="000000"/>
              <w:bottom w:val="single" w:sz="6" w:space="0" w:color="000000"/>
              <w:right w:val="single" w:sz="6" w:space="0" w:color="000000"/>
            </w:tcBorders>
          </w:tcPr>
          <w:p w:rsidR="001A5E02" w:rsidRDefault="001A5E02" w:rsidP="003B4BCE">
            <w:pPr>
              <w:spacing w:line="180" w:lineRule="atLeast"/>
              <w:rPr>
                <w:color w:val="000000"/>
                <w:sz w:val="20"/>
                <w:lang w:val="en-US" w:eastAsia="zh-CN"/>
              </w:rPr>
            </w:pPr>
          </w:p>
        </w:tc>
        <w:tc>
          <w:tcPr>
            <w:tcW w:w="1381" w:type="dxa"/>
            <w:tcBorders>
              <w:top w:val="single" w:sz="6" w:space="0" w:color="000000"/>
              <w:left w:val="single" w:sz="6" w:space="0" w:color="000000"/>
              <w:bottom w:val="single" w:sz="6" w:space="0" w:color="000000"/>
              <w:right w:val="single" w:sz="6" w:space="0" w:color="000000"/>
            </w:tcBorders>
          </w:tcPr>
          <w:p w:rsidR="001A5E02" w:rsidRDefault="001A5E02" w:rsidP="003B4BCE">
            <w:pPr>
              <w:spacing w:line="180" w:lineRule="atLeast"/>
              <w:rPr>
                <w:color w:val="000000"/>
                <w:sz w:val="20"/>
                <w:lang w:val="en-US" w:eastAsia="zh-CN"/>
              </w:rPr>
            </w:pPr>
          </w:p>
        </w:tc>
        <w:tc>
          <w:tcPr>
            <w:tcW w:w="1382" w:type="dxa"/>
            <w:tcBorders>
              <w:top w:val="single" w:sz="6" w:space="0" w:color="000000"/>
              <w:left w:val="single" w:sz="6" w:space="0" w:color="000000"/>
              <w:bottom w:val="single" w:sz="6" w:space="0" w:color="000000"/>
              <w:right w:val="single" w:sz="6" w:space="0" w:color="000000"/>
            </w:tcBorders>
          </w:tcPr>
          <w:p w:rsidR="001A5E02" w:rsidRDefault="001A5E02" w:rsidP="003B4BCE">
            <w:pPr>
              <w:spacing w:line="180" w:lineRule="atLeast"/>
              <w:rPr>
                <w:color w:val="000000"/>
                <w:sz w:val="20"/>
                <w:lang w:val="en-US" w:eastAsia="zh-CN"/>
              </w:rPr>
            </w:pPr>
            <w:proofErr w:type="spellStart"/>
            <w:r>
              <w:rPr>
                <w:color w:val="000000"/>
                <w:sz w:val="20"/>
                <w:lang w:val="en-US" w:eastAsia="zh-CN"/>
              </w:rPr>
              <w:t>Hypakusi</w:t>
            </w:r>
            <w:proofErr w:type="spellEnd"/>
          </w:p>
          <w:p w:rsidR="001A5E02" w:rsidRDefault="001A5E02" w:rsidP="003B4BCE">
            <w:pPr>
              <w:spacing w:line="180" w:lineRule="atLeast"/>
              <w:rPr>
                <w:color w:val="000000"/>
                <w:sz w:val="20"/>
                <w:lang w:val="en-US" w:eastAsia="zh-CN"/>
              </w:rPr>
            </w:pPr>
            <w:proofErr w:type="spellStart"/>
            <w:r>
              <w:rPr>
                <w:color w:val="000000"/>
                <w:sz w:val="20"/>
                <w:lang w:val="en-US" w:eastAsia="zh-CN"/>
              </w:rPr>
              <w:t>Nedsat</w:t>
            </w:r>
            <w:proofErr w:type="spellEnd"/>
            <w:r>
              <w:rPr>
                <w:color w:val="000000"/>
                <w:sz w:val="20"/>
                <w:lang w:val="en-US" w:eastAsia="zh-CN"/>
              </w:rPr>
              <w:t xml:space="preserve"> </w:t>
            </w:r>
            <w:proofErr w:type="spellStart"/>
            <w:r>
              <w:rPr>
                <w:color w:val="000000"/>
                <w:sz w:val="20"/>
                <w:lang w:val="en-US" w:eastAsia="zh-CN"/>
              </w:rPr>
              <w:t>hørelse</w:t>
            </w:r>
            <w:proofErr w:type="spellEnd"/>
          </w:p>
        </w:tc>
      </w:tr>
      <w:tr w:rsidR="001A5E02" w:rsidTr="003B4BCE">
        <w:trPr>
          <w:cantSplit/>
          <w:trHeight w:val="842"/>
        </w:trPr>
        <w:tc>
          <w:tcPr>
            <w:tcW w:w="1381" w:type="dxa"/>
            <w:tcBorders>
              <w:top w:val="single" w:sz="6" w:space="0" w:color="000000"/>
              <w:left w:val="double" w:sz="6" w:space="0" w:color="000000"/>
              <w:bottom w:val="single" w:sz="6" w:space="0" w:color="000000"/>
              <w:right w:val="single" w:sz="6" w:space="0" w:color="000000"/>
            </w:tcBorders>
            <w:hideMark/>
          </w:tcPr>
          <w:p w:rsidR="001A5E02" w:rsidRDefault="001A5E02" w:rsidP="003B4BCE">
            <w:pPr>
              <w:spacing w:line="180" w:lineRule="atLeast"/>
              <w:jc w:val="both"/>
              <w:rPr>
                <w:b/>
                <w:color w:val="000000"/>
                <w:sz w:val="20"/>
                <w:lang w:val="en-US" w:eastAsia="zh-CN"/>
              </w:rPr>
            </w:pPr>
            <w:proofErr w:type="spellStart"/>
            <w:r>
              <w:rPr>
                <w:b/>
                <w:color w:val="000000"/>
                <w:sz w:val="20"/>
                <w:lang w:val="en-US" w:eastAsia="zh-CN"/>
              </w:rPr>
              <w:t>Vaskulære</w:t>
            </w:r>
            <w:proofErr w:type="spellEnd"/>
            <w:r>
              <w:rPr>
                <w:b/>
                <w:color w:val="000000"/>
                <w:sz w:val="20"/>
                <w:lang w:val="en-US" w:eastAsia="zh-CN"/>
              </w:rPr>
              <w:t xml:space="preserve"> </w:t>
            </w:r>
            <w:proofErr w:type="spellStart"/>
            <w:r>
              <w:rPr>
                <w:b/>
                <w:color w:val="000000"/>
                <w:sz w:val="20"/>
                <w:lang w:val="en-US" w:eastAsia="zh-CN"/>
              </w:rPr>
              <w:t>sygdomme</w:t>
            </w:r>
            <w:proofErr w:type="spellEnd"/>
          </w:p>
        </w:tc>
        <w:tc>
          <w:tcPr>
            <w:tcW w:w="1381" w:type="dxa"/>
            <w:tcBorders>
              <w:top w:val="single" w:sz="6" w:space="0" w:color="000000"/>
              <w:left w:val="single" w:sz="6" w:space="0" w:color="000000"/>
              <w:bottom w:val="single" w:sz="6" w:space="0" w:color="000000"/>
              <w:right w:val="single" w:sz="6" w:space="0" w:color="000000"/>
            </w:tcBorders>
          </w:tcPr>
          <w:p w:rsidR="001A5E02" w:rsidRDefault="001A5E02" w:rsidP="003B4BCE">
            <w:pPr>
              <w:spacing w:line="180" w:lineRule="atLeast"/>
              <w:rPr>
                <w:color w:val="000000"/>
                <w:sz w:val="20"/>
                <w:lang w:val="nb-NO" w:eastAsia="zh-CN"/>
              </w:rPr>
            </w:pPr>
          </w:p>
        </w:tc>
        <w:tc>
          <w:tcPr>
            <w:tcW w:w="1381" w:type="dxa"/>
            <w:tcBorders>
              <w:top w:val="single" w:sz="6" w:space="0" w:color="000000"/>
              <w:left w:val="single" w:sz="6" w:space="0" w:color="000000"/>
              <w:bottom w:val="single" w:sz="6" w:space="0" w:color="000000"/>
              <w:right w:val="single" w:sz="6" w:space="0" w:color="000000"/>
            </w:tcBorders>
          </w:tcPr>
          <w:p w:rsidR="001A5E02" w:rsidRDefault="001A5E02" w:rsidP="003B4BCE">
            <w:pPr>
              <w:spacing w:line="180" w:lineRule="atLeast"/>
              <w:rPr>
                <w:color w:val="000000"/>
                <w:sz w:val="20"/>
                <w:lang w:val="nb-NO" w:eastAsia="zh-CN"/>
              </w:rPr>
            </w:pPr>
          </w:p>
        </w:tc>
        <w:tc>
          <w:tcPr>
            <w:tcW w:w="1382" w:type="dxa"/>
            <w:tcBorders>
              <w:top w:val="single" w:sz="6" w:space="0" w:color="000000"/>
              <w:left w:val="single" w:sz="6" w:space="0" w:color="000000"/>
              <w:bottom w:val="single" w:sz="6" w:space="0" w:color="000000"/>
              <w:right w:val="single" w:sz="6" w:space="0" w:color="000000"/>
            </w:tcBorders>
          </w:tcPr>
          <w:p w:rsidR="001A5E02" w:rsidRDefault="001A5E02" w:rsidP="003B4BCE">
            <w:pPr>
              <w:rPr>
                <w:color w:val="000000"/>
                <w:sz w:val="20"/>
                <w:lang w:val="en-US" w:eastAsia="zh-CN"/>
              </w:rPr>
            </w:pPr>
          </w:p>
        </w:tc>
        <w:tc>
          <w:tcPr>
            <w:tcW w:w="1381" w:type="dxa"/>
            <w:tcBorders>
              <w:top w:val="single" w:sz="6" w:space="0" w:color="000000"/>
              <w:left w:val="single" w:sz="6" w:space="0" w:color="000000"/>
              <w:bottom w:val="single" w:sz="6" w:space="0" w:color="000000"/>
              <w:right w:val="single" w:sz="6" w:space="0" w:color="000000"/>
            </w:tcBorders>
          </w:tcPr>
          <w:p w:rsidR="001A5E02" w:rsidRDefault="001A5E02" w:rsidP="003B4BCE">
            <w:pPr>
              <w:spacing w:line="180" w:lineRule="atLeast"/>
              <w:rPr>
                <w:color w:val="000000"/>
                <w:sz w:val="20"/>
                <w:lang w:val="en-US" w:eastAsia="zh-CN"/>
              </w:rPr>
            </w:pPr>
          </w:p>
        </w:tc>
        <w:tc>
          <w:tcPr>
            <w:tcW w:w="1381" w:type="dxa"/>
            <w:tcBorders>
              <w:top w:val="single" w:sz="6" w:space="0" w:color="000000"/>
              <w:left w:val="single" w:sz="6" w:space="0" w:color="000000"/>
              <w:bottom w:val="single" w:sz="6" w:space="0" w:color="000000"/>
              <w:right w:val="single" w:sz="6" w:space="0" w:color="000000"/>
            </w:tcBorders>
          </w:tcPr>
          <w:p w:rsidR="001A5E02" w:rsidRDefault="001A5E02" w:rsidP="003B4BCE">
            <w:pPr>
              <w:spacing w:line="180" w:lineRule="atLeast"/>
              <w:rPr>
                <w:color w:val="000000"/>
                <w:sz w:val="20"/>
                <w:lang w:val="en-US" w:eastAsia="zh-CN"/>
              </w:rPr>
            </w:pPr>
          </w:p>
        </w:tc>
        <w:tc>
          <w:tcPr>
            <w:tcW w:w="1382" w:type="dxa"/>
            <w:tcBorders>
              <w:top w:val="single" w:sz="6" w:space="0" w:color="000000"/>
              <w:left w:val="single" w:sz="6" w:space="0" w:color="000000"/>
              <w:bottom w:val="single" w:sz="6" w:space="0" w:color="000000"/>
              <w:right w:val="single" w:sz="6" w:space="0" w:color="000000"/>
            </w:tcBorders>
            <w:hideMark/>
          </w:tcPr>
          <w:p w:rsidR="001A5E02" w:rsidRDefault="001A5E02" w:rsidP="003B4BCE">
            <w:pPr>
              <w:spacing w:line="180" w:lineRule="atLeast"/>
              <w:rPr>
                <w:color w:val="000000"/>
                <w:sz w:val="20"/>
                <w:lang w:val="en-US" w:eastAsia="zh-CN"/>
              </w:rPr>
            </w:pPr>
            <w:r>
              <w:rPr>
                <w:color w:val="000000"/>
                <w:sz w:val="20"/>
                <w:lang w:val="en-US" w:eastAsia="zh-CN"/>
              </w:rPr>
              <w:t>Vasculitis</w:t>
            </w:r>
          </w:p>
        </w:tc>
      </w:tr>
      <w:tr w:rsidR="001A5E02" w:rsidTr="003B4BCE">
        <w:trPr>
          <w:cantSplit/>
          <w:trHeight w:val="842"/>
        </w:trPr>
        <w:tc>
          <w:tcPr>
            <w:tcW w:w="1381" w:type="dxa"/>
            <w:tcBorders>
              <w:top w:val="single" w:sz="6" w:space="0" w:color="000000"/>
              <w:left w:val="double" w:sz="6" w:space="0" w:color="000000"/>
              <w:bottom w:val="single" w:sz="6" w:space="0" w:color="000000"/>
              <w:right w:val="single" w:sz="6" w:space="0" w:color="000000"/>
            </w:tcBorders>
            <w:hideMark/>
          </w:tcPr>
          <w:p w:rsidR="001A5E02" w:rsidRDefault="001A5E02" w:rsidP="003B4BCE">
            <w:pPr>
              <w:spacing w:line="180" w:lineRule="atLeast"/>
              <w:jc w:val="both"/>
              <w:rPr>
                <w:b/>
                <w:color w:val="000000"/>
                <w:sz w:val="20"/>
                <w:lang w:val="en-US" w:eastAsia="zh-CN"/>
              </w:rPr>
            </w:pPr>
            <w:proofErr w:type="spellStart"/>
            <w:r>
              <w:rPr>
                <w:b/>
                <w:color w:val="000000"/>
                <w:sz w:val="20"/>
                <w:lang w:val="en-US" w:eastAsia="zh-CN"/>
              </w:rPr>
              <w:t>Mave-tarm-kanalen</w:t>
            </w:r>
            <w:proofErr w:type="spellEnd"/>
          </w:p>
        </w:tc>
        <w:tc>
          <w:tcPr>
            <w:tcW w:w="1381" w:type="dxa"/>
            <w:tcBorders>
              <w:top w:val="single" w:sz="6" w:space="0" w:color="000000"/>
              <w:left w:val="single" w:sz="6" w:space="0" w:color="000000"/>
              <w:bottom w:val="single" w:sz="6" w:space="0" w:color="000000"/>
              <w:right w:val="single" w:sz="6" w:space="0" w:color="000000"/>
            </w:tcBorders>
          </w:tcPr>
          <w:p w:rsidR="001A5E02" w:rsidRDefault="001A5E02" w:rsidP="003B4BCE">
            <w:pPr>
              <w:spacing w:line="180" w:lineRule="atLeast"/>
              <w:rPr>
                <w:color w:val="000000"/>
                <w:sz w:val="20"/>
                <w:lang w:val="nb-NO" w:eastAsia="zh-CN"/>
              </w:rPr>
            </w:pPr>
            <w:r>
              <w:rPr>
                <w:color w:val="000000"/>
                <w:sz w:val="20"/>
                <w:lang w:val="nb-NO" w:eastAsia="zh-CN"/>
              </w:rPr>
              <w:t>Abdominal oppustethed</w:t>
            </w:r>
          </w:p>
          <w:p w:rsidR="001A5E02" w:rsidRDefault="001A5E02" w:rsidP="003B4BCE">
            <w:pPr>
              <w:spacing w:line="180" w:lineRule="atLeast"/>
              <w:rPr>
                <w:color w:val="000000"/>
                <w:sz w:val="20"/>
                <w:lang w:val="nb-NO" w:eastAsia="zh-CN"/>
              </w:rPr>
            </w:pPr>
            <w:r>
              <w:rPr>
                <w:color w:val="000000"/>
                <w:sz w:val="20"/>
                <w:lang w:val="nb-NO" w:eastAsia="zh-CN"/>
              </w:rPr>
              <w:t>Dyspepsi</w:t>
            </w:r>
          </w:p>
          <w:p w:rsidR="001A5E02" w:rsidRDefault="001A5E02" w:rsidP="003B4BCE">
            <w:pPr>
              <w:spacing w:line="180" w:lineRule="atLeast"/>
              <w:rPr>
                <w:color w:val="000000"/>
                <w:sz w:val="20"/>
                <w:lang w:val="nb-NO" w:eastAsia="zh-CN"/>
              </w:rPr>
            </w:pPr>
            <w:r>
              <w:rPr>
                <w:color w:val="000000"/>
                <w:sz w:val="20"/>
                <w:lang w:val="nb-NO" w:eastAsia="zh-CN"/>
              </w:rPr>
              <w:t>Kvalme</w:t>
            </w:r>
          </w:p>
          <w:p w:rsidR="001A5E02" w:rsidRDefault="001A5E02" w:rsidP="003B4BCE">
            <w:pPr>
              <w:spacing w:line="180" w:lineRule="atLeast"/>
              <w:rPr>
                <w:color w:val="000000"/>
                <w:sz w:val="20"/>
                <w:lang w:val="nb-NO" w:eastAsia="zh-CN"/>
              </w:rPr>
            </w:pPr>
            <w:r>
              <w:rPr>
                <w:color w:val="000000"/>
                <w:sz w:val="20"/>
                <w:lang w:val="nb-NO" w:eastAsia="zh-CN"/>
              </w:rPr>
              <w:t>Abdominal-smerter</w:t>
            </w:r>
          </w:p>
          <w:p w:rsidR="001A5E02" w:rsidRDefault="001A5E02" w:rsidP="003B4BCE">
            <w:pPr>
              <w:spacing w:line="180" w:lineRule="atLeast"/>
              <w:rPr>
                <w:color w:val="000000"/>
                <w:sz w:val="20"/>
                <w:lang w:val="nb-NO" w:eastAsia="zh-CN"/>
              </w:rPr>
            </w:pPr>
            <w:r>
              <w:rPr>
                <w:color w:val="000000"/>
                <w:sz w:val="20"/>
                <w:lang w:val="nb-NO" w:eastAsia="zh-CN"/>
              </w:rPr>
              <w:t>Diarré</w:t>
            </w:r>
          </w:p>
        </w:tc>
        <w:tc>
          <w:tcPr>
            <w:tcW w:w="1381" w:type="dxa"/>
            <w:tcBorders>
              <w:top w:val="single" w:sz="6" w:space="0" w:color="000000"/>
              <w:left w:val="single" w:sz="6" w:space="0" w:color="000000"/>
              <w:bottom w:val="single" w:sz="6" w:space="0" w:color="000000"/>
              <w:right w:val="single" w:sz="6" w:space="0" w:color="000000"/>
            </w:tcBorders>
          </w:tcPr>
          <w:p w:rsidR="001A5E02" w:rsidRDefault="001A5E02" w:rsidP="003B4BCE">
            <w:pPr>
              <w:spacing w:line="180" w:lineRule="atLeast"/>
              <w:rPr>
                <w:color w:val="000000"/>
                <w:sz w:val="20"/>
                <w:lang w:val="nb-NO" w:eastAsia="zh-CN"/>
              </w:rPr>
            </w:pPr>
          </w:p>
          <w:p w:rsidR="001A5E02" w:rsidRDefault="001A5E02" w:rsidP="003B4BCE">
            <w:pPr>
              <w:spacing w:line="180" w:lineRule="atLeast"/>
              <w:rPr>
                <w:color w:val="000000"/>
                <w:sz w:val="20"/>
                <w:lang w:val="nb-NO" w:eastAsia="zh-CN"/>
              </w:rPr>
            </w:pPr>
          </w:p>
          <w:p w:rsidR="001A5E02" w:rsidRDefault="001A5E02" w:rsidP="003B4BCE">
            <w:pPr>
              <w:spacing w:line="180" w:lineRule="atLeast"/>
              <w:rPr>
                <w:color w:val="000000"/>
                <w:sz w:val="20"/>
                <w:lang w:val="nb-NO" w:eastAsia="zh-CN"/>
              </w:rPr>
            </w:pPr>
          </w:p>
        </w:tc>
        <w:tc>
          <w:tcPr>
            <w:tcW w:w="1382" w:type="dxa"/>
            <w:tcBorders>
              <w:top w:val="single" w:sz="6" w:space="0" w:color="000000"/>
              <w:left w:val="single" w:sz="6" w:space="0" w:color="000000"/>
              <w:bottom w:val="single" w:sz="6" w:space="0" w:color="000000"/>
              <w:right w:val="single" w:sz="6" w:space="0" w:color="000000"/>
            </w:tcBorders>
          </w:tcPr>
          <w:p w:rsidR="001A5E02" w:rsidRDefault="001A5E02" w:rsidP="003B4BCE">
            <w:pPr>
              <w:rPr>
                <w:color w:val="000000"/>
                <w:sz w:val="20"/>
                <w:lang w:val="en-US" w:eastAsia="zh-CN"/>
              </w:rPr>
            </w:pPr>
          </w:p>
        </w:tc>
        <w:tc>
          <w:tcPr>
            <w:tcW w:w="1381" w:type="dxa"/>
            <w:tcBorders>
              <w:top w:val="single" w:sz="6" w:space="0" w:color="000000"/>
              <w:left w:val="single" w:sz="6" w:space="0" w:color="000000"/>
              <w:bottom w:val="single" w:sz="6" w:space="0" w:color="000000"/>
              <w:right w:val="single" w:sz="6" w:space="0" w:color="000000"/>
            </w:tcBorders>
          </w:tcPr>
          <w:p w:rsidR="001A5E02" w:rsidRDefault="001A5E02" w:rsidP="003B4BCE">
            <w:pPr>
              <w:spacing w:line="180" w:lineRule="atLeast"/>
              <w:rPr>
                <w:color w:val="000000"/>
                <w:sz w:val="20"/>
                <w:lang w:val="en-US" w:eastAsia="zh-CN"/>
              </w:rPr>
            </w:pPr>
          </w:p>
          <w:p w:rsidR="001A5E02" w:rsidRDefault="001A5E02" w:rsidP="003B4BCE">
            <w:pPr>
              <w:spacing w:line="180" w:lineRule="atLeast"/>
              <w:rPr>
                <w:color w:val="000000"/>
                <w:sz w:val="20"/>
                <w:lang w:val="en-US" w:eastAsia="zh-CN"/>
              </w:rPr>
            </w:pPr>
          </w:p>
          <w:p w:rsidR="001A5E02" w:rsidRDefault="001A5E02" w:rsidP="003B4BCE">
            <w:pPr>
              <w:spacing w:line="180" w:lineRule="atLeast"/>
              <w:rPr>
                <w:color w:val="000000"/>
                <w:sz w:val="20"/>
                <w:lang w:val="en-US" w:eastAsia="zh-CN"/>
              </w:rPr>
            </w:pPr>
          </w:p>
          <w:p w:rsidR="001A5E02" w:rsidRDefault="001A5E02" w:rsidP="003B4BCE">
            <w:pPr>
              <w:spacing w:line="180" w:lineRule="atLeast"/>
              <w:rPr>
                <w:color w:val="000000"/>
                <w:sz w:val="20"/>
                <w:lang w:val="en-US" w:eastAsia="zh-CN"/>
              </w:rPr>
            </w:pPr>
          </w:p>
        </w:tc>
        <w:tc>
          <w:tcPr>
            <w:tcW w:w="1381" w:type="dxa"/>
            <w:tcBorders>
              <w:top w:val="single" w:sz="6" w:space="0" w:color="000000"/>
              <w:left w:val="single" w:sz="6" w:space="0" w:color="000000"/>
              <w:bottom w:val="single" w:sz="6" w:space="0" w:color="000000"/>
              <w:right w:val="single" w:sz="6" w:space="0" w:color="000000"/>
            </w:tcBorders>
          </w:tcPr>
          <w:p w:rsidR="001A5E02" w:rsidRDefault="001A5E02" w:rsidP="003B4BCE">
            <w:pPr>
              <w:spacing w:line="180" w:lineRule="atLeast"/>
              <w:rPr>
                <w:color w:val="000000"/>
                <w:sz w:val="20"/>
                <w:lang w:val="en-US" w:eastAsia="zh-CN"/>
              </w:rPr>
            </w:pPr>
          </w:p>
        </w:tc>
        <w:tc>
          <w:tcPr>
            <w:tcW w:w="1382" w:type="dxa"/>
            <w:tcBorders>
              <w:top w:val="single" w:sz="6" w:space="0" w:color="000000"/>
              <w:left w:val="single" w:sz="6" w:space="0" w:color="000000"/>
              <w:bottom w:val="single" w:sz="6" w:space="0" w:color="000000"/>
              <w:right w:val="single" w:sz="6" w:space="0" w:color="000000"/>
            </w:tcBorders>
            <w:hideMark/>
          </w:tcPr>
          <w:p w:rsidR="001A5E02" w:rsidRDefault="001A5E02" w:rsidP="003B4BCE">
            <w:pPr>
              <w:spacing w:line="180" w:lineRule="atLeast"/>
              <w:rPr>
                <w:color w:val="000000"/>
                <w:sz w:val="20"/>
                <w:lang w:val="en-US" w:eastAsia="zh-CN"/>
              </w:rPr>
            </w:pPr>
            <w:r>
              <w:rPr>
                <w:color w:val="000000"/>
                <w:sz w:val="20"/>
                <w:lang w:val="en-US" w:eastAsia="zh-CN"/>
              </w:rPr>
              <w:t>Pancreatitis</w:t>
            </w:r>
          </w:p>
        </w:tc>
      </w:tr>
      <w:tr w:rsidR="001A5E02" w:rsidTr="003B4BCE">
        <w:trPr>
          <w:cantSplit/>
          <w:trHeight w:val="514"/>
        </w:trPr>
        <w:tc>
          <w:tcPr>
            <w:tcW w:w="1381" w:type="dxa"/>
            <w:tcBorders>
              <w:top w:val="single" w:sz="6" w:space="0" w:color="000000"/>
              <w:left w:val="double" w:sz="6" w:space="0" w:color="000000"/>
              <w:bottom w:val="single" w:sz="6" w:space="0" w:color="000000"/>
              <w:right w:val="single" w:sz="6" w:space="0" w:color="000000"/>
            </w:tcBorders>
            <w:hideMark/>
          </w:tcPr>
          <w:p w:rsidR="001A5E02" w:rsidRDefault="001A5E02" w:rsidP="003B4BCE">
            <w:pPr>
              <w:spacing w:line="180" w:lineRule="atLeast"/>
              <w:jc w:val="both"/>
              <w:rPr>
                <w:b/>
                <w:color w:val="000000"/>
                <w:sz w:val="20"/>
                <w:lang w:val="en-US" w:eastAsia="zh-CN"/>
              </w:rPr>
            </w:pPr>
            <w:r>
              <w:rPr>
                <w:b/>
                <w:color w:val="000000"/>
                <w:sz w:val="20"/>
                <w:lang w:val="en-US" w:eastAsia="zh-CN"/>
              </w:rPr>
              <w:t>Lever</w:t>
            </w:r>
          </w:p>
          <w:p w:rsidR="001A5E02" w:rsidRDefault="001A5E02" w:rsidP="003B4BCE">
            <w:pPr>
              <w:spacing w:line="180" w:lineRule="atLeast"/>
              <w:jc w:val="both"/>
              <w:rPr>
                <w:b/>
                <w:color w:val="000000"/>
                <w:sz w:val="20"/>
                <w:lang w:val="en-US" w:eastAsia="zh-CN"/>
              </w:rPr>
            </w:pPr>
            <w:proofErr w:type="spellStart"/>
            <w:r>
              <w:rPr>
                <w:b/>
                <w:color w:val="000000"/>
                <w:sz w:val="20"/>
                <w:lang w:val="en-US" w:eastAsia="zh-CN"/>
              </w:rPr>
              <w:t>og</w:t>
            </w:r>
            <w:proofErr w:type="spellEnd"/>
            <w:r>
              <w:rPr>
                <w:b/>
                <w:color w:val="000000"/>
                <w:sz w:val="20"/>
                <w:lang w:val="en-US" w:eastAsia="zh-CN"/>
              </w:rPr>
              <w:t xml:space="preserve"> </w:t>
            </w:r>
            <w:proofErr w:type="spellStart"/>
            <w:r>
              <w:rPr>
                <w:b/>
                <w:color w:val="000000"/>
                <w:sz w:val="20"/>
                <w:lang w:val="en-US" w:eastAsia="zh-CN"/>
              </w:rPr>
              <w:t>galdeveje</w:t>
            </w:r>
            <w:proofErr w:type="spellEnd"/>
          </w:p>
        </w:tc>
        <w:tc>
          <w:tcPr>
            <w:tcW w:w="1381" w:type="dxa"/>
            <w:tcBorders>
              <w:top w:val="single" w:sz="6" w:space="0" w:color="000000"/>
              <w:left w:val="single" w:sz="6" w:space="0" w:color="000000"/>
              <w:bottom w:val="single" w:sz="6" w:space="0" w:color="000000"/>
              <w:right w:val="single" w:sz="6" w:space="0" w:color="000000"/>
            </w:tcBorders>
          </w:tcPr>
          <w:p w:rsidR="001A5E02" w:rsidRDefault="001A5E02" w:rsidP="003B4BCE">
            <w:pPr>
              <w:pStyle w:val="Normalindrykning"/>
              <w:spacing w:line="180" w:lineRule="atLeast"/>
              <w:jc w:val="left"/>
              <w:rPr>
                <w:rFonts w:ascii="Times New Roman" w:hAnsi="Times New Roman"/>
                <w:color w:val="000000"/>
                <w:sz w:val="20"/>
                <w:lang w:val="en-US" w:eastAsia="zh-CN"/>
              </w:rPr>
            </w:pPr>
          </w:p>
        </w:tc>
        <w:tc>
          <w:tcPr>
            <w:tcW w:w="1381" w:type="dxa"/>
            <w:tcBorders>
              <w:top w:val="single" w:sz="6" w:space="0" w:color="000000"/>
              <w:left w:val="single" w:sz="6" w:space="0" w:color="000000"/>
              <w:bottom w:val="single" w:sz="6" w:space="0" w:color="000000"/>
              <w:right w:val="single" w:sz="6" w:space="0" w:color="000000"/>
            </w:tcBorders>
          </w:tcPr>
          <w:p w:rsidR="001A5E02" w:rsidRDefault="001A5E02" w:rsidP="003B4BCE">
            <w:pPr>
              <w:pStyle w:val="Normalindrykning"/>
              <w:spacing w:line="180" w:lineRule="atLeast"/>
              <w:jc w:val="left"/>
              <w:rPr>
                <w:rFonts w:ascii="Times New Roman" w:hAnsi="Times New Roman"/>
                <w:color w:val="000000"/>
                <w:sz w:val="20"/>
                <w:lang w:val="en-US" w:eastAsia="zh-CN"/>
              </w:rPr>
            </w:pPr>
          </w:p>
        </w:tc>
        <w:tc>
          <w:tcPr>
            <w:tcW w:w="1382" w:type="dxa"/>
            <w:tcBorders>
              <w:top w:val="single" w:sz="6" w:space="0" w:color="000000"/>
              <w:left w:val="single" w:sz="6" w:space="0" w:color="000000"/>
              <w:bottom w:val="single" w:sz="6" w:space="0" w:color="000000"/>
              <w:right w:val="single" w:sz="6" w:space="0" w:color="000000"/>
            </w:tcBorders>
          </w:tcPr>
          <w:p w:rsidR="001A5E02" w:rsidRDefault="001A5E02" w:rsidP="003B4BCE">
            <w:pPr>
              <w:pStyle w:val="Normalindrykning"/>
              <w:spacing w:line="180" w:lineRule="atLeast"/>
              <w:jc w:val="left"/>
              <w:rPr>
                <w:rFonts w:ascii="Times New Roman" w:hAnsi="Times New Roman"/>
                <w:color w:val="000000"/>
                <w:sz w:val="20"/>
                <w:lang w:val="en-US" w:eastAsia="zh-CN"/>
              </w:rPr>
            </w:pPr>
          </w:p>
        </w:tc>
        <w:tc>
          <w:tcPr>
            <w:tcW w:w="1381" w:type="dxa"/>
            <w:tcBorders>
              <w:top w:val="single" w:sz="6" w:space="0" w:color="000000"/>
              <w:left w:val="single" w:sz="6" w:space="0" w:color="000000"/>
              <w:bottom w:val="single" w:sz="6" w:space="0" w:color="000000"/>
              <w:right w:val="single" w:sz="6" w:space="0" w:color="000000"/>
            </w:tcBorders>
            <w:hideMark/>
          </w:tcPr>
          <w:p w:rsidR="001A5E02" w:rsidRPr="007F04D9" w:rsidRDefault="001A5E02" w:rsidP="003B4BCE">
            <w:pPr>
              <w:spacing w:line="180" w:lineRule="atLeast"/>
              <w:rPr>
                <w:color w:val="000000"/>
                <w:sz w:val="20"/>
                <w:lang w:eastAsia="zh-CN"/>
              </w:rPr>
            </w:pPr>
            <w:r w:rsidRPr="007F04D9">
              <w:rPr>
                <w:color w:val="000000"/>
                <w:sz w:val="20"/>
                <w:lang w:eastAsia="zh-CN"/>
              </w:rPr>
              <w:t>Hepatitis</w:t>
            </w:r>
          </w:p>
          <w:p w:rsidR="001A5E02" w:rsidRPr="007F04D9" w:rsidRDefault="001A5E02" w:rsidP="003B4BCE">
            <w:pPr>
              <w:spacing w:line="180" w:lineRule="atLeast"/>
              <w:rPr>
                <w:color w:val="000000"/>
                <w:sz w:val="20"/>
                <w:lang w:eastAsia="zh-CN"/>
              </w:rPr>
            </w:pPr>
            <w:r w:rsidRPr="007F04D9">
              <w:rPr>
                <w:color w:val="000000"/>
                <w:sz w:val="20"/>
                <w:lang w:eastAsia="zh-CN"/>
              </w:rPr>
              <w:t>Gulsot</w:t>
            </w:r>
          </w:p>
          <w:p w:rsidR="001A5E02" w:rsidRPr="007F04D9" w:rsidRDefault="001A5E02" w:rsidP="003B4BCE">
            <w:pPr>
              <w:spacing w:line="180" w:lineRule="atLeast"/>
              <w:rPr>
                <w:color w:val="000000"/>
                <w:sz w:val="20"/>
                <w:lang w:eastAsia="zh-CN"/>
              </w:rPr>
            </w:pPr>
            <w:proofErr w:type="spellStart"/>
            <w:r w:rsidRPr="007F04D9">
              <w:rPr>
                <w:color w:val="000000"/>
                <w:sz w:val="20"/>
                <w:lang w:eastAsia="zh-CN"/>
              </w:rPr>
              <w:t>Kolestase</w:t>
            </w:r>
            <w:proofErr w:type="spellEnd"/>
          </w:p>
          <w:p w:rsidR="001A5E02" w:rsidRPr="007F04D9" w:rsidRDefault="001A5E02" w:rsidP="003B4BCE">
            <w:pPr>
              <w:spacing w:line="180" w:lineRule="atLeast"/>
              <w:rPr>
                <w:color w:val="000000"/>
                <w:sz w:val="20"/>
                <w:lang w:eastAsia="zh-CN"/>
              </w:rPr>
            </w:pPr>
            <w:r w:rsidRPr="007F04D9">
              <w:rPr>
                <w:color w:val="000000"/>
                <w:sz w:val="20"/>
                <w:lang w:eastAsia="zh-CN"/>
              </w:rPr>
              <w:t>Forhøjede leverenzymer (se pkt. 4.4)</w:t>
            </w:r>
          </w:p>
        </w:tc>
        <w:tc>
          <w:tcPr>
            <w:tcW w:w="1381" w:type="dxa"/>
            <w:tcBorders>
              <w:top w:val="single" w:sz="6" w:space="0" w:color="000000"/>
              <w:left w:val="single" w:sz="6" w:space="0" w:color="000000"/>
              <w:bottom w:val="single" w:sz="6" w:space="0" w:color="000000"/>
              <w:right w:val="single" w:sz="6" w:space="0" w:color="000000"/>
            </w:tcBorders>
          </w:tcPr>
          <w:p w:rsidR="001A5E02" w:rsidRPr="007F04D9" w:rsidRDefault="001A5E02" w:rsidP="003B4BCE">
            <w:pPr>
              <w:spacing w:line="180" w:lineRule="atLeast"/>
              <w:rPr>
                <w:color w:val="000000"/>
                <w:sz w:val="20"/>
                <w:lang w:eastAsia="zh-CN"/>
              </w:rPr>
            </w:pPr>
            <w:r w:rsidRPr="007F04D9">
              <w:rPr>
                <w:color w:val="000000"/>
                <w:sz w:val="20"/>
                <w:lang w:eastAsia="zh-CN"/>
              </w:rPr>
              <w:t>Leversvigt</w:t>
            </w:r>
            <w:r>
              <w:rPr>
                <w:color w:val="000000"/>
                <w:sz w:val="20"/>
                <w:lang w:eastAsia="zh-CN"/>
              </w:rPr>
              <w:t xml:space="preserve"> efterfulgt af </w:t>
            </w:r>
            <w:proofErr w:type="spellStart"/>
            <w:r>
              <w:rPr>
                <w:color w:val="000000"/>
                <w:sz w:val="20"/>
                <w:lang w:eastAsia="zh-CN"/>
              </w:rPr>
              <w:t>lever-t</w:t>
            </w:r>
            <w:r w:rsidRPr="008137E3">
              <w:rPr>
                <w:color w:val="000000"/>
                <w:sz w:val="20"/>
                <w:lang w:eastAsia="zh-CN"/>
              </w:rPr>
              <w:t>ransplantation</w:t>
            </w:r>
            <w:proofErr w:type="spellEnd"/>
            <w:r w:rsidRPr="008137E3">
              <w:rPr>
                <w:color w:val="000000"/>
                <w:sz w:val="20"/>
                <w:lang w:eastAsia="zh-CN"/>
              </w:rPr>
              <w:t xml:space="preserve"> eller død. I </w:t>
            </w:r>
            <w:r>
              <w:rPr>
                <w:color w:val="000000"/>
                <w:sz w:val="20"/>
                <w:lang w:eastAsia="zh-CN"/>
              </w:rPr>
              <w:t>de fleste af disse tilfælde</w:t>
            </w:r>
            <w:r w:rsidRPr="008137E3">
              <w:rPr>
                <w:color w:val="000000"/>
                <w:sz w:val="20"/>
                <w:lang w:eastAsia="zh-CN"/>
              </w:rPr>
              <w:t xml:space="preserve"> led patienterne af en alvorlig </w:t>
            </w:r>
            <w:proofErr w:type="spellStart"/>
            <w:r w:rsidRPr="008137E3">
              <w:rPr>
                <w:color w:val="000000"/>
                <w:sz w:val="20"/>
                <w:lang w:eastAsia="zh-CN"/>
              </w:rPr>
              <w:t>under-liggende</w:t>
            </w:r>
            <w:proofErr w:type="spellEnd"/>
            <w:r w:rsidRPr="008137E3">
              <w:rPr>
                <w:color w:val="000000"/>
                <w:sz w:val="20"/>
                <w:lang w:eastAsia="zh-CN"/>
              </w:rPr>
              <w:t xml:space="preserve"> sygdom.</w:t>
            </w:r>
          </w:p>
          <w:p w:rsidR="001A5E02" w:rsidRPr="007F04D9" w:rsidRDefault="001A5E02" w:rsidP="003B4BCE">
            <w:pPr>
              <w:spacing w:line="180" w:lineRule="atLeast"/>
              <w:rPr>
                <w:color w:val="000000"/>
                <w:sz w:val="20"/>
                <w:lang w:eastAsia="zh-CN"/>
              </w:rPr>
            </w:pPr>
          </w:p>
        </w:tc>
        <w:tc>
          <w:tcPr>
            <w:tcW w:w="1382" w:type="dxa"/>
            <w:tcBorders>
              <w:top w:val="single" w:sz="6" w:space="0" w:color="000000"/>
              <w:left w:val="single" w:sz="6" w:space="0" w:color="000000"/>
              <w:bottom w:val="single" w:sz="6" w:space="0" w:color="000000"/>
              <w:right w:val="single" w:sz="6" w:space="0" w:color="000000"/>
            </w:tcBorders>
          </w:tcPr>
          <w:p w:rsidR="001A5E02" w:rsidRPr="007F04D9" w:rsidRDefault="001A5E02" w:rsidP="003B4BCE">
            <w:pPr>
              <w:spacing w:line="180" w:lineRule="atLeast"/>
              <w:rPr>
                <w:color w:val="000000"/>
                <w:sz w:val="20"/>
                <w:lang w:eastAsia="zh-CN"/>
              </w:rPr>
            </w:pPr>
          </w:p>
        </w:tc>
      </w:tr>
      <w:tr w:rsidR="001A5E02" w:rsidTr="003B4BCE">
        <w:trPr>
          <w:cantSplit/>
          <w:trHeight w:val="340"/>
        </w:trPr>
        <w:tc>
          <w:tcPr>
            <w:tcW w:w="1381" w:type="dxa"/>
            <w:tcBorders>
              <w:top w:val="single" w:sz="6" w:space="0" w:color="000000"/>
              <w:left w:val="double" w:sz="6" w:space="0" w:color="000000"/>
              <w:bottom w:val="single" w:sz="6" w:space="0" w:color="000000"/>
              <w:right w:val="single" w:sz="6" w:space="0" w:color="000000"/>
            </w:tcBorders>
          </w:tcPr>
          <w:p w:rsidR="001A5E02" w:rsidRDefault="001A5E02" w:rsidP="003B4BCE">
            <w:pPr>
              <w:spacing w:line="180" w:lineRule="atLeast"/>
              <w:rPr>
                <w:b/>
                <w:color w:val="000000"/>
                <w:sz w:val="20"/>
                <w:lang w:val="en-US" w:eastAsia="zh-CN"/>
              </w:rPr>
            </w:pPr>
            <w:r>
              <w:rPr>
                <w:b/>
                <w:color w:val="000000"/>
                <w:sz w:val="20"/>
                <w:lang w:val="en-US" w:eastAsia="zh-CN"/>
              </w:rPr>
              <w:lastRenderedPageBreak/>
              <w:t xml:space="preserve">Hud </w:t>
            </w:r>
            <w:proofErr w:type="spellStart"/>
            <w:r>
              <w:rPr>
                <w:b/>
                <w:color w:val="000000"/>
                <w:sz w:val="20"/>
                <w:lang w:val="en-US" w:eastAsia="zh-CN"/>
              </w:rPr>
              <w:t>og</w:t>
            </w:r>
            <w:proofErr w:type="spellEnd"/>
            <w:r>
              <w:rPr>
                <w:b/>
                <w:color w:val="000000"/>
                <w:sz w:val="20"/>
                <w:lang w:val="en-US" w:eastAsia="zh-CN"/>
              </w:rPr>
              <w:t xml:space="preserve"> </w:t>
            </w:r>
            <w:proofErr w:type="spellStart"/>
            <w:r>
              <w:rPr>
                <w:b/>
                <w:color w:val="000000"/>
                <w:sz w:val="20"/>
                <w:lang w:val="en-US" w:eastAsia="zh-CN"/>
              </w:rPr>
              <w:t>subkutane</w:t>
            </w:r>
            <w:proofErr w:type="spellEnd"/>
            <w:r>
              <w:rPr>
                <w:b/>
                <w:color w:val="000000"/>
                <w:sz w:val="20"/>
                <w:lang w:val="en-US" w:eastAsia="zh-CN"/>
              </w:rPr>
              <w:t xml:space="preserve"> </w:t>
            </w:r>
            <w:proofErr w:type="spellStart"/>
            <w:r>
              <w:rPr>
                <w:b/>
                <w:color w:val="000000"/>
                <w:sz w:val="20"/>
                <w:lang w:val="en-US" w:eastAsia="zh-CN"/>
              </w:rPr>
              <w:t>væv</w:t>
            </w:r>
            <w:proofErr w:type="spellEnd"/>
          </w:p>
          <w:p w:rsidR="001A5E02" w:rsidRDefault="001A5E02" w:rsidP="003B4BCE">
            <w:pPr>
              <w:spacing w:line="180" w:lineRule="atLeast"/>
              <w:rPr>
                <w:b/>
                <w:color w:val="000000"/>
                <w:sz w:val="20"/>
                <w:lang w:val="en-US" w:eastAsia="zh-CN"/>
              </w:rPr>
            </w:pPr>
          </w:p>
          <w:p w:rsidR="001A5E02" w:rsidRDefault="001A5E02" w:rsidP="003B4BCE">
            <w:pPr>
              <w:spacing w:line="180" w:lineRule="atLeast"/>
              <w:rPr>
                <w:b/>
                <w:color w:val="000000"/>
                <w:sz w:val="20"/>
                <w:lang w:val="en-US" w:eastAsia="zh-CN"/>
              </w:rPr>
            </w:pPr>
          </w:p>
        </w:tc>
        <w:tc>
          <w:tcPr>
            <w:tcW w:w="1381" w:type="dxa"/>
            <w:tcBorders>
              <w:top w:val="single" w:sz="6" w:space="0" w:color="000000"/>
              <w:left w:val="single" w:sz="6" w:space="0" w:color="000000"/>
              <w:bottom w:val="single" w:sz="6" w:space="0" w:color="000000"/>
              <w:right w:val="single" w:sz="6" w:space="0" w:color="000000"/>
            </w:tcBorders>
            <w:hideMark/>
          </w:tcPr>
          <w:p w:rsidR="001A5E02" w:rsidRDefault="001A5E02" w:rsidP="003B4BCE">
            <w:pPr>
              <w:rPr>
                <w:color w:val="000000"/>
                <w:sz w:val="20"/>
                <w:lang w:val="en-US" w:eastAsia="zh-CN"/>
              </w:rPr>
            </w:pPr>
            <w:proofErr w:type="spellStart"/>
            <w:r>
              <w:rPr>
                <w:color w:val="000000"/>
                <w:sz w:val="20"/>
                <w:lang w:val="en-US" w:eastAsia="zh-CN"/>
              </w:rPr>
              <w:t>Udslæt</w:t>
            </w:r>
            <w:proofErr w:type="spellEnd"/>
          </w:p>
          <w:p w:rsidR="001A5E02" w:rsidRDefault="001A5E02" w:rsidP="003B4BCE">
            <w:pPr>
              <w:rPr>
                <w:color w:val="000000"/>
                <w:sz w:val="20"/>
                <w:lang w:val="en-US" w:eastAsia="zh-CN"/>
              </w:rPr>
            </w:pPr>
            <w:r>
              <w:rPr>
                <w:color w:val="000000"/>
                <w:sz w:val="20"/>
                <w:lang w:val="en-US" w:eastAsia="zh-CN"/>
              </w:rPr>
              <w:t>Urticaria</w:t>
            </w:r>
          </w:p>
        </w:tc>
        <w:tc>
          <w:tcPr>
            <w:tcW w:w="1381" w:type="dxa"/>
            <w:tcBorders>
              <w:top w:val="single" w:sz="6" w:space="0" w:color="000000"/>
              <w:left w:val="single" w:sz="6" w:space="0" w:color="000000"/>
              <w:bottom w:val="single" w:sz="6" w:space="0" w:color="000000"/>
              <w:right w:val="single" w:sz="6" w:space="0" w:color="000000"/>
            </w:tcBorders>
          </w:tcPr>
          <w:p w:rsidR="001A5E02" w:rsidRDefault="001A5E02" w:rsidP="003B4BCE">
            <w:pPr>
              <w:rPr>
                <w:color w:val="000000"/>
                <w:sz w:val="20"/>
                <w:lang w:val="en-US" w:eastAsia="zh-CN"/>
              </w:rPr>
            </w:pPr>
          </w:p>
        </w:tc>
        <w:tc>
          <w:tcPr>
            <w:tcW w:w="1382" w:type="dxa"/>
            <w:tcBorders>
              <w:top w:val="single" w:sz="6" w:space="0" w:color="000000"/>
              <w:left w:val="single" w:sz="6" w:space="0" w:color="000000"/>
              <w:bottom w:val="single" w:sz="6" w:space="0" w:color="000000"/>
              <w:right w:val="single" w:sz="6" w:space="0" w:color="000000"/>
            </w:tcBorders>
            <w:hideMark/>
          </w:tcPr>
          <w:p w:rsidR="001A5E02" w:rsidRPr="007F04D9" w:rsidRDefault="001A5E02" w:rsidP="003B4BCE">
            <w:pPr>
              <w:rPr>
                <w:color w:val="000000"/>
                <w:sz w:val="20"/>
                <w:lang w:eastAsia="zh-CN"/>
              </w:rPr>
            </w:pPr>
            <w:r w:rsidRPr="007F04D9">
              <w:rPr>
                <w:color w:val="000000"/>
                <w:sz w:val="20"/>
                <w:lang w:eastAsia="zh-CN"/>
              </w:rPr>
              <w:t xml:space="preserve">Lysoverfølsomhedsreaktioner (f.eks. </w:t>
            </w:r>
            <w:proofErr w:type="spellStart"/>
            <w:r w:rsidRPr="007F04D9">
              <w:rPr>
                <w:color w:val="000000"/>
                <w:sz w:val="20"/>
                <w:lang w:eastAsia="zh-CN"/>
              </w:rPr>
              <w:t>fotodermatose</w:t>
            </w:r>
            <w:proofErr w:type="spellEnd"/>
            <w:r w:rsidRPr="007F04D9">
              <w:rPr>
                <w:color w:val="000000"/>
                <w:sz w:val="20"/>
                <w:lang w:eastAsia="zh-CN"/>
              </w:rPr>
              <w:t>, lysoverfølsomhed, allergisk reaktion og polymorft lysudslæt)</w:t>
            </w:r>
          </w:p>
        </w:tc>
        <w:tc>
          <w:tcPr>
            <w:tcW w:w="1381" w:type="dxa"/>
            <w:tcBorders>
              <w:top w:val="single" w:sz="6" w:space="0" w:color="000000"/>
              <w:left w:val="single" w:sz="6" w:space="0" w:color="000000"/>
              <w:bottom w:val="single" w:sz="6" w:space="0" w:color="000000"/>
              <w:right w:val="single" w:sz="6" w:space="0" w:color="000000"/>
            </w:tcBorders>
          </w:tcPr>
          <w:p w:rsidR="001A5E02" w:rsidRPr="007F04D9" w:rsidRDefault="001A5E02" w:rsidP="003B4BCE">
            <w:pPr>
              <w:rPr>
                <w:sz w:val="20"/>
                <w:lang w:eastAsia="zh-CN"/>
              </w:rPr>
            </w:pPr>
          </w:p>
        </w:tc>
        <w:tc>
          <w:tcPr>
            <w:tcW w:w="1381" w:type="dxa"/>
            <w:tcBorders>
              <w:top w:val="single" w:sz="6" w:space="0" w:color="000000"/>
              <w:left w:val="single" w:sz="6" w:space="0" w:color="000000"/>
              <w:bottom w:val="single" w:sz="6" w:space="0" w:color="000000"/>
              <w:right w:val="single" w:sz="6" w:space="0" w:color="000000"/>
            </w:tcBorders>
            <w:hideMark/>
          </w:tcPr>
          <w:p w:rsidR="001A5E02" w:rsidRPr="007F04D9" w:rsidRDefault="001A5E02" w:rsidP="003B4BCE">
            <w:pPr>
              <w:rPr>
                <w:sz w:val="20"/>
                <w:lang w:eastAsia="zh-CN"/>
              </w:rPr>
            </w:pPr>
            <w:proofErr w:type="spellStart"/>
            <w:r w:rsidRPr="007F04D9">
              <w:rPr>
                <w:sz w:val="20"/>
                <w:lang w:eastAsia="zh-CN"/>
              </w:rPr>
              <w:t>Erythema</w:t>
            </w:r>
            <w:proofErr w:type="spellEnd"/>
            <w:r w:rsidRPr="007F04D9">
              <w:rPr>
                <w:sz w:val="20"/>
                <w:lang w:eastAsia="zh-CN"/>
              </w:rPr>
              <w:t xml:space="preserve"> multiforme</w:t>
            </w:r>
          </w:p>
          <w:p w:rsidR="001A5E02" w:rsidRPr="007F04D9" w:rsidRDefault="001A5E02" w:rsidP="003B4BCE">
            <w:pPr>
              <w:pStyle w:val="Normalindrykning"/>
              <w:spacing w:line="180" w:lineRule="atLeast"/>
              <w:jc w:val="left"/>
              <w:rPr>
                <w:rFonts w:ascii="Times New Roman" w:hAnsi="Times New Roman"/>
                <w:sz w:val="20"/>
                <w:lang w:eastAsia="zh-CN"/>
              </w:rPr>
            </w:pPr>
            <w:r w:rsidRPr="007F04D9">
              <w:rPr>
                <w:rFonts w:ascii="Times New Roman" w:hAnsi="Times New Roman"/>
                <w:sz w:val="20"/>
                <w:lang w:eastAsia="zh-CN"/>
              </w:rPr>
              <w:t>Stevens Johnson-syndrom</w:t>
            </w:r>
          </w:p>
          <w:p w:rsidR="001A5E02" w:rsidRPr="007F04D9" w:rsidRDefault="001A5E02" w:rsidP="003B4BCE">
            <w:pPr>
              <w:pStyle w:val="Normalindrykning"/>
              <w:spacing w:line="180" w:lineRule="atLeast"/>
              <w:jc w:val="left"/>
              <w:rPr>
                <w:rFonts w:ascii="Times New Roman" w:hAnsi="Times New Roman"/>
                <w:sz w:val="20"/>
                <w:lang w:eastAsia="zh-CN"/>
              </w:rPr>
            </w:pPr>
            <w:r w:rsidRPr="007F04D9">
              <w:rPr>
                <w:rFonts w:ascii="Times New Roman" w:hAnsi="Times New Roman"/>
                <w:sz w:val="20"/>
                <w:lang w:eastAsia="zh-CN"/>
              </w:rPr>
              <w:t xml:space="preserve">Toksisk </w:t>
            </w:r>
            <w:proofErr w:type="spellStart"/>
            <w:r w:rsidRPr="007F04D9">
              <w:rPr>
                <w:rFonts w:ascii="Times New Roman" w:hAnsi="Times New Roman"/>
                <w:sz w:val="20"/>
                <w:lang w:eastAsia="zh-CN"/>
              </w:rPr>
              <w:t>epidermal</w:t>
            </w:r>
            <w:proofErr w:type="spellEnd"/>
            <w:r w:rsidRPr="007F04D9">
              <w:rPr>
                <w:rFonts w:ascii="Times New Roman" w:hAnsi="Times New Roman"/>
                <w:sz w:val="20"/>
                <w:lang w:eastAsia="zh-CN"/>
              </w:rPr>
              <w:t xml:space="preserve"> </w:t>
            </w:r>
            <w:proofErr w:type="spellStart"/>
            <w:r w:rsidRPr="007F04D9">
              <w:rPr>
                <w:rFonts w:ascii="Times New Roman" w:hAnsi="Times New Roman"/>
                <w:sz w:val="20"/>
                <w:lang w:eastAsia="zh-CN"/>
              </w:rPr>
              <w:t>nekrolyse</w:t>
            </w:r>
            <w:proofErr w:type="spellEnd"/>
          </w:p>
          <w:p w:rsidR="001A5E02" w:rsidRPr="007F04D9" w:rsidRDefault="001A5E02" w:rsidP="003B4BCE">
            <w:pPr>
              <w:pStyle w:val="Normalindrykning"/>
              <w:spacing w:line="180" w:lineRule="atLeast"/>
              <w:jc w:val="left"/>
              <w:rPr>
                <w:rFonts w:ascii="Times New Roman" w:hAnsi="Times New Roman"/>
                <w:sz w:val="20"/>
                <w:lang w:eastAsia="zh-CN"/>
              </w:rPr>
            </w:pPr>
            <w:r w:rsidRPr="007F04D9">
              <w:rPr>
                <w:rFonts w:ascii="Times New Roman" w:hAnsi="Times New Roman"/>
                <w:sz w:val="20"/>
                <w:lang w:eastAsia="zh-CN"/>
              </w:rPr>
              <w:t xml:space="preserve">Akut generaliseret </w:t>
            </w:r>
            <w:proofErr w:type="spellStart"/>
            <w:r w:rsidRPr="007F04D9">
              <w:rPr>
                <w:rFonts w:ascii="Times New Roman" w:hAnsi="Times New Roman"/>
                <w:sz w:val="20"/>
                <w:lang w:eastAsia="zh-CN"/>
              </w:rPr>
              <w:t>eksantematøs</w:t>
            </w:r>
            <w:proofErr w:type="spellEnd"/>
            <w:r w:rsidRPr="007F04D9">
              <w:rPr>
                <w:rFonts w:ascii="Times New Roman" w:hAnsi="Times New Roman"/>
                <w:sz w:val="20"/>
                <w:lang w:eastAsia="zh-CN"/>
              </w:rPr>
              <w:t xml:space="preserve"> </w:t>
            </w:r>
            <w:proofErr w:type="spellStart"/>
            <w:r w:rsidRPr="007F04D9">
              <w:rPr>
                <w:rFonts w:ascii="Times New Roman" w:hAnsi="Times New Roman"/>
                <w:sz w:val="20"/>
                <w:lang w:eastAsia="zh-CN"/>
              </w:rPr>
              <w:t>pustulose</w:t>
            </w:r>
            <w:proofErr w:type="spellEnd"/>
            <w:r w:rsidRPr="007F04D9">
              <w:rPr>
                <w:rFonts w:ascii="Times New Roman" w:hAnsi="Times New Roman"/>
                <w:sz w:val="20"/>
                <w:lang w:eastAsia="zh-CN"/>
              </w:rPr>
              <w:t xml:space="preserve"> (AGEP)</w:t>
            </w:r>
          </w:p>
          <w:p w:rsidR="001A5E02" w:rsidRPr="007F04D9" w:rsidRDefault="001A5E02" w:rsidP="003B4BCE">
            <w:pPr>
              <w:rPr>
                <w:sz w:val="20"/>
                <w:lang w:eastAsia="zh-CN"/>
              </w:rPr>
            </w:pPr>
            <w:r w:rsidRPr="007F04D9">
              <w:rPr>
                <w:sz w:val="20"/>
                <w:lang w:eastAsia="zh-CN"/>
              </w:rPr>
              <w:t>Toksisk huderuption</w:t>
            </w:r>
          </w:p>
          <w:p w:rsidR="001A5E02" w:rsidRPr="007F04D9" w:rsidRDefault="001A5E02" w:rsidP="003B4BCE">
            <w:pPr>
              <w:rPr>
                <w:sz w:val="20"/>
                <w:lang w:eastAsia="zh-CN"/>
              </w:rPr>
            </w:pPr>
            <w:proofErr w:type="spellStart"/>
            <w:r w:rsidRPr="007F04D9">
              <w:rPr>
                <w:sz w:val="20"/>
                <w:lang w:eastAsia="zh-CN"/>
              </w:rPr>
              <w:t>Eksfoliativ</w:t>
            </w:r>
            <w:proofErr w:type="spellEnd"/>
            <w:r w:rsidRPr="007F04D9">
              <w:rPr>
                <w:sz w:val="20"/>
                <w:lang w:eastAsia="zh-CN"/>
              </w:rPr>
              <w:t xml:space="preserve"> </w:t>
            </w:r>
            <w:proofErr w:type="spellStart"/>
            <w:r w:rsidRPr="007F04D9">
              <w:rPr>
                <w:sz w:val="20"/>
                <w:lang w:eastAsia="zh-CN"/>
              </w:rPr>
              <w:t>dermatitis</w:t>
            </w:r>
            <w:proofErr w:type="spellEnd"/>
          </w:p>
          <w:p w:rsidR="001A5E02" w:rsidRPr="007F04D9" w:rsidRDefault="001A5E02" w:rsidP="003B4BCE">
            <w:pPr>
              <w:rPr>
                <w:sz w:val="20"/>
                <w:lang w:eastAsia="zh-CN"/>
              </w:rPr>
            </w:pPr>
            <w:proofErr w:type="spellStart"/>
            <w:r w:rsidRPr="007F04D9">
              <w:rPr>
                <w:sz w:val="20"/>
                <w:lang w:eastAsia="zh-CN"/>
              </w:rPr>
              <w:t>Bulløs</w:t>
            </w:r>
            <w:proofErr w:type="spellEnd"/>
            <w:r w:rsidRPr="007F04D9">
              <w:rPr>
                <w:sz w:val="20"/>
                <w:lang w:eastAsia="zh-CN"/>
              </w:rPr>
              <w:t xml:space="preserve"> </w:t>
            </w:r>
            <w:proofErr w:type="spellStart"/>
            <w:r w:rsidRPr="007F04D9">
              <w:rPr>
                <w:sz w:val="20"/>
                <w:lang w:eastAsia="zh-CN"/>
              </w:rPr>
              <w:t>dermatitis</w:t>
            </w:r>
            <w:proofErr w:type="spellEnd"/>
          </w:p>
          <w:p w:rsidR="001A5E02" w:rsidRPr="007F04D9" w:rsidRDefault="001A5E02" w:rsidP="003B4BCE">
            <w:pPr>
              <w:pStyle w:val="Normalindrykning"/>
              <w:spacing w:line="180" w:lineRule="atLeast"/>
              <w:jc w:val="left"/>
              <w:rPr>
                <w:rFonts w:ascii="Times New Roman" w:hAnsi="Times New Roman"/>
                <w:sz w:val="20"/>
                <w:lang w:eastAsia="zh-CN"/>
              </w:rPr>
            </w:pPr>
            <w:r w:rsidRPr="007F04D9">
              <w:rPr>
                <w:rFonts w:ascii="Times New Roman" w:hAnsi="Times New Roman"/>
                <w:sz w:val="20"/>
                <w:lang w:eastAsia="zh-CN"/>
              </w:rPr>
              <w:t xml:space="preserve">Psoriasislignende eruptioner eller forværring af psoriasis, </w:t>
            </w:r>
          </w:p>
          <w:p w:rsidR="001A5E02" w:rsidRDefault="001A5E02" w:rsidP="003B4BCE">
            <w:pPr>
              <w:spacing w:line="180" w:lineRule="atLeast"/>
              <w:rPr>
                <w:sz w:val="20"/>
                <w:lang w:val="en-US" w:eastAsia="zh-CN"/>
              </w:rPr>
            </w:pPr>
            <w:proofErr w:type="spellStart"/>
            <w:r>
              <w:rPr>
                <w:sz w:val="20"/>
                <w:lang w:val="en-US" w:eastAsia="zh-CN"/>
              </w:rPr>
              <w:t>Alopeci</w:t>
            </w:r>
            <w:proofErr w:type="spellEnd"/>
          </w:p>
        </w:tc>
        <w:tc>
          <w:tcPr>
            <w:tcW w:w="1382" w:type="dxa"/>
            <w:tcBorders>
              <w:top w:val="single" w:sz="6" w:space="0" w:color="000000"/>
              <w:left w:val="single" w:sz="6" w:space="0" w:color="000000"/>
              <w:bottom w:val="single" w:sz="6" w:space="0" w:color="000000"/>
              <w:right w:val="single" w:sz="6" w:space="0" w:color="000000"/>
            </w:tcBorders>
            <w:hideMark/>
          </w:tcPr>
          <w:p w:rsidR="001A5E02" w:rsidRPr="007F04D9" w:rsidRDefault="001A5E02" w:rsidP="003B4BCE">
            <w:pPr>
              <w:rPr>
                <w:sz w:val="20"/>
                <w:lang w:eastAsia="zh-CN"/>
              </w:rPr>
            </w:pPr>
            <w:r w:rsidRPr="007F04D9">
              <w:rPr>
                <w:sz w:val="20"/>
                <w:lang w:eastAsia="zh-CN"/>
              </w:rPr>
              <w:t xml:space="preserve">Lægemiddeludslæt med </w:t>
            </w:r>
            <w:proofErr w:type="spellStart"/>
            <w:r w:rsidRPr="007F04D9">
              <w:rPr>
                <w:sz w:val="20"/>
                <w:lang w:eastAsia="zh-CN"/>
              </w:rPr>
              <w:t>eosinofili</w:t>
            </w:r>
            <w:proofErr w:type="spellEnd"/>
            <w:r w:rsidRPr="007F04D9">
              <w:rPr>
                <w:sz w:val="20"/>
                <w:lang w:eastAsia="zh-CN"/>
              </w:rPr>
              <w:t xml:space="preserve"> og systemiske symptomer (DRESS)</w:t>
            </w:r>
          </w:p>
        </w:tc>
      </w:tr>
      <w:tr w:rsidR="001A5E02" w:rsidTr="003B4BCE">
        <w:trPr>
          <w:cantSplit/>
          <w:trHeight w:val="476"/>
        </w:trPr>
        <w:tc>
          <w:tcPr>
            <w:tcW w:w="1381" w:type="dxa"/>
            <w:tcBorders>
              <w:top w:val="single" w:sz="6" w:space="0" w:color="000000"/>
              <w:left w:val="double" w:sz="6" w:space="0" w:color="000000"/>
              <w:bottom w:val="single" w:sz="6" w:space="0" w:color="000000"/>
              <w:right w:val="single" w:sz="6" w:space="0" w:color="000000"/>
            </w:tcBorders>
          </w:tcPr>
          <w:p w:rsidR="001A5E02" w:rsidRDefault="001A5E02" w:rsidP="003B4BCE">
            <w:pPr>
              <w:spacing w:line="180" w:lineRule="atLeast"/>
              <w:rPr>
                <w:b/>
                <w:color w:val="000000"/>
                <w:sz w:val="20"/>
                <w:lang w:val="en-US" w:eastAsia="zh-CN"/>
              </w:rPr>
            </w:pPr>
            <w:proofErr w:type="spellStart"/>
            <w:r>
              <w:rPr>
                <w:b/>
                <w:color w:val="000000"/>
                <w:sz w:val="20"/>
                <w:lang w:val="en-US" w:eastAsia="zh-CN"/>
              </w:rPr>
              <w:t>Knogler</w:t>
            </w:r>
            <w:proofErr w:type="spellEnd"/>
            <w:r>
              <w:rPr>
                <w:b/>
                <w:color w:val="000000"/>
                <w:sz w:val="20"/>
                <w:lang w:val="en-US" w:eastAsia="zh-CN"/>
              </w:rPr>
              <w:t xml:space="preserve">, led, </w:t>
            </w:r>
            <w:proofErr w:type="spellStart"/>
            <w:r>
              <w:rPr>
                <w:b/>
                <w:color w:val="000000"/>
                <w:sz w:val="20"/>
                <w:lang w:val="en-US" w:eastAsia="zh-CN"/>
              </w:rPr>
              <w:t>muskler</w:t>
            </w:r>
            <w:proofErr w:type="spellEnd"/>
            <w:r>
              <w:rPr>
                <w:b/>
                <w:color w:val="000000"/>
                <w:sz w:val="20"/>
                <w:lang w:val="en-US" w:eastAsia="zh-CN"/>
              </w:rPr>
              <w:t xml:space="preserve"> </w:t>
            </w:r>
            <w:proofErr w:type="spellStart"/>
            <w:r>
              <w:rPr>
                <w:b/>
                <w:color w:val="000000"/>
                <w:sz w:val="20"/>
                <w:lang w:val="en-US" w:eastAsia="zh-CN"/>
              </w:rPr>
              <w:t>og</w:t>
            </w:r>
            <w:proofErr w:type="spellEnd"/>
            <w:r>
              <w:rPr>
                <w:b/>
                <w:color w:val="000000"/>
                <w:sz w:val="20"/>
                <w:lang w:val="en-US" w:eastAsia="zh-CN"/>
              </w:rPr>
              <w:t xml:space="preserve"> </w:t>
            </w:r>
            <w:proofErr w:type="spellStart"/>
            <w:r>
              <w:rPr>
                <w:b/>
                <w:color w:val="000000"/>
                <w:sz w:val="20"/>
                <w:lang w:val="en-US" w:eastAsia="zh-CN"/>
              </w:rPr>
              <w:t>bindevæv</w:t>
            </w:r>
            <w:proofErr w:type="spellEnd"/>
          </w:p>
          <w:p w:rsidR="001A5E02" w:rsidRDefault="001A5E02" w:rsidP="003B4BCE">
            <w:pPr>
              <w:spacing w:line="180" w:lineRule="atLeast"/>
              <w:rPr>
                <w:b/>
                <w:color w:val="000000"/>
                <w:sz w:val="20"/>
                <w:lang w:val="en-US" w:eastAsia="zh-CN"/>
              </w:rPr>
            </w:pPr>
          </w:p>
        </w:tc>
        <w:tc>
          <w:tcPr>
            <w:tcW w:w="1381" w:type="dxa"/>
            <w:tcBorders>
              <w:top w:val="single" w:sz="6" w:space="0" w:color="000000"/>
              <w:left w:val="single" w:sz="6" w:space="0" w:color="000000"/>
              <w:bottom w:val="single" w:sz="6" w:space="0" w:color="000000"/>
              <w:right w:val="single" w:sz="6" w:space="0" w:color="000000"/>
            </w:tcBorders>
            <w:hideMark/>
          </w:tcPr>
          <w:p w:rsidR="001A5E02" w:rsidRDefault="001A5E02" w:rsidP="003B4BCE">
            <w:pPr>
              <w:spacing w:line="180" w:lineRule="atLeast"/>
              <w:rPr>
                <w:color w:val="000000"/>
                <w:sz w:val="20"/>
                <w:lang w:val="en-US" w:eastAsia="zh-CN"/>
              </w:rPr>
            </w:pPr>
            <w:proofErr w:type="spellStart"/>
            <w:r>
              <w:rPr>
                <w:color w:val="000000"/>
                <w:sz w:val="20"/>
                <w:lang w:val="en-US" w:eastAsia="zh-CN"/>
              </w:rPr>
              <w:t>Artralgi</w:t>
            </w:r>
            <w:proofErr w:type="spellEnd"/>
          </w:p>
          <w:p w:rsidR="001A5E02" w:rsidRDefault="001A5E02" w:rsidP="003B4BCE">
            <w:pPr>
              <w:spacing w:line="180" w:lineRule="atLeast"/>
              <w:rPr>
                <w:color w:val="000000"/>
                <w:sz w:val="20"/>
                <w:lang w:val="en-US" w:eastAsia="zh-CN"/>
              </w:rPr>
            </w:pPr>
            <w:proofErr w:type="spellStart"/>
            <w:r>
              <w:rPr>
                <w:color w:val="000000"/>
                <w:sz w:val="20"/>
                <w:lang w:val="en-US" w:eastAsia="zh-CN"/>
              </w:rPr>
              <w:t>Myalgi</w:t>
            </w:r>
            <w:proofErr w:type="spellEnd"/>
          </w:p>
        </w:tc>
        <w:tc>
          <w:tcPr>
            <w:tcW w:w="1381" w:type="dxa"/>
            <w:tcBorders>
              <w:top w:val="single" w:sz="6" w:space="0" w:color="000000"/>
              <w:left w:val="single" w:sz="6" w:space="0" w:color="000000"/>
              <w:bottom w:val="single" w:sz="6" w:space="0" w:color="000000"/>
              <w:right w:val="single" w:sz="6" w:space="0" w:color="000000"/>
            </w:tcBorders>
          </w:tcPr>
          <w:p w:rsidR="001A5E02" w:rsidRDefault="001A5E02" w:rsidP="003B4BCE">
            <w:pPr>
              <w:spacing w:line="180" w:lineRule="atLeast"/>
              <w:rPr>
                <w:color w:val="000000"/>
                <w:sz w:val="20"/>
                <w:lang w:val="en-US" w:eastAsia="zh-CN"/>
              </w:rPr>
            </w:pPr>
          </w:p>
        </w:tc>
        <w:tc>
          <w:tcPr>
            <w:tcW w:w="1382" w:type="dxa"/>
            <w:tcBorders>
              <w:top w:val="single" w:sz="6" w:space="0" w:color="000000"/>
              <w:left w:val="single" w:sz="6" w:space="0" w:color="000000"/>
              <w:bottom w:val="single" w:sz="6" w:space="0" w:color="000000"/>
              <w:right w:val="single" w:sz="6" w:space="0" w:color="000000"/>
            </w:tcBorders>
          </w:tcPr>
          <w:p w:rsidR="001A5E02" w:rsidRDefault="001A5E02" w:rsidP="003B4BCE">
            <w:pPr>
              <w:spacing w:line="180" w:lineRule="atLeast"/>
              <w:rPr>
                <w:color w:val="000000"/>
                <w:sz w:val="20"/>
                <w:lang w:val="en-US" w:eastAsia="zh-CN"/>
              </w:rPr>
            </w:pPr>
          </w:p>
        </w:tc>
        <w:tc>
          <w:tcPr>
            <w:tcW w:w="1381" w:type="dxa"/>
            <w:tcBorders>
              <w:top w:val="single" w:sz="6" w:space="0" w:color="000000"/>
              <w:left w:val="single" w:sz="6" w:space="0" w:color="000000"/>
              <w:bottom w:val="single" w:sz="6" w:space="0" w:color="000000"/>
              <w:right w:val="single" w:sz="6" w:space="0" w:color="000000"/>
            </w:tcBorders>
          </w:tcPr>
          <w:p w:rsidR="001A5E02" w:rsidRDefault="001A5E02" w:rsidP="003B4BCE">
            <w:pPr>
              <w:spacing w:line="180" w:lineRule="atLeast"/>
              <w:rPr>
                <w:color w:val="000000"/>
                <w:sz w:val="20"/>
                <w:lang w:val="en-US" w:eastAsia="zh-CN"/>
              </w:rPr>
            </w:pPr>
          </w:p>
        </w:tc>
        <w:tc>
          <w:tcPr>
            <w:tcW w:w="1381" w:type="dxa"/>
            <w:tcBorders>
              <w:top w:val="single" w:sz="6" w:space="0" w:color="000000"/>
              <w:left w:val="single" w:sz="6" w:space="0" w:color="000000"/>
              <w:bottom w:val="single" w:sz="6" w:space="0" w:color="000000"/>
              <w:right w:val="single" w:sz="6" w:space="0" w:color="000000"/>
            </w:tcBorders>
          </w:tcPr>
          <w:p w:rsidR="001A5E02" w:rsidRDefault="001A5E02" w:rsidP="003B4BCE">
            <w:pPr>
              <w:spacing w:line="180" w:lineRule="atLeast"/>
              <w:rPr>
                <w:color w:val="000000"/>
                <w:sz w:val="20"/>
                <w:lang w:val="en-US" w:eastAsia="zh-CN"/>
              </w:rPr>
            </w:pPr>
          </w:p>
        </w:tc>
        <w:tc>
          <w:tcPr>
            <w:tcW w:w="1382" w:type="dxa"/>
            <w:tcBorders>
              <w:top w:val="single" w:sz="6" w:space="0" w:color="000000"/>
              <w:left w:val="single" w:sz="6" w:space="0" w:color="000000"/>
              <w:bottom w:val="single" w:sz="6" w:space="0" w:color="000000"/>
              <w:right w:val="single" w:sz="6" w:space="0" w:color="000000"/>
            </w:tcBorders>
          </w:tcPr>
          <w:p w:rsidR="001A5E02" w:rsidRDefault="001A5E02" w:rsidP="003B4BCE">
            <w:pPr>
              <w:spacing w:line="180" w:lineRule="atLeast"/>
              <w:rPr>
                <w:color w:val="000000"/>
                <w:sz w:val="20"/>
                <w:lang w:val="en-US" w:eastAsia="zh-CN"/>
              </w:rPr>
            </w:pPr>
            <w:proofErr w:type="spellStart"/>
            <w:r>
              <w:rPr>
                <w:color w:val="000000"/>
                <w:sz w:val="20"/>
                <w:lang w:val="en-US" w:eastAsia="zh-CN"/>
              </w:rPr>
              <w:t>Rhabdomyolyse</w:t>
            </w:r>
            <w:proofErr w:type="spellEnd"/>
          </w:p>
          <w:p w:rsidR="001A5E02" w:rsidRDefault="001A5E02" w:rsidP="003B4BCE">
            <w:pPr>
              <w:spacing w:line="180" w:lineRule="atLeast"/>
              <w:rPr>
                <w:color w:val="000000"/>
                <w:sz w:val="20"/>
                <w:lang w:val="en-US" w:eastAsia="zh-CN"/>
              </w:rPr>
            </w:pPr>
          </w:p>
        </w:tc>
      </w:tr>
      <w:tr w:rsidR="001A5E02" w:rsidTr="003B4BCE">
        <w:trPr>
          <w:cantSplit/>
          <w:trHeight w:val="632"/>
        </w:trPr>
        <w:tc>
          <w:tcPr>
            <w:tcW w:w="1381" w:type="dxa"/>
            <w:tcBorders>
              <w:top w:val="single" w:sz="6" w:space="0" w:color="000000"/>
              <w:left w:val="double" w:sz="6" w:space="0" w:color="000000"/>
              <w:bottom w:val="single" w:sz="6" w:space="0" w:color="000000"/>
              <w:right w:val="single" w:sz="6" w:space="0" w:color="000000"/>
            </w:tcBorders>
            <w:hideMark/>
          </w:tcPr>
          <w:p w:rsidR="001A5E02" w:rsidRPr="007F04D9" w:rsidRDefault="001A5E02" w:rsidP="003B4BCE">
            <w:pPr>
              <w:spacing w:line="180" w:lineRule="atLeast"/>
              <w:rPr>
                <w:b/>
                <w:color w:val="000000"/>
                <w:sz w:val="20"/>
                <w:lang w:eastAsia="zh-CN"/>
              </w:rPr>
            </w:pPr>
            <w:r w:rsidRPr="007F04D9">
              <w:rPr>
                <w:b/>
                <w:color w:val="000000"/>
                <w:sz w:val="20"/>
                <w:lang w:eastAsia="zh-CN"/>
              </w:rPr>
              <w:t>Almene symptomer og reaktioner på administrations-stedet</w:t>
            </w:r>
            <w:r w:rsidRPr="007F04D9">
              <w:rPr>
                <w:b/>
                <w:bCs/>
                <w:noProof/>
                <w:lang w:eastAsia="zh-CN"/>
              </w:rPr>
              <w:t xml:space="preserve"> </w:t>
            </w:r>
          </w:p>
        </w:tc>
        <w:tc>
          <w:tcPr>
            <w:tcW w:w="1381" w:type="dxa"/>
            <w:tcBorders>
              <w:top w:val="single" w:sz="6" w:space="0" w:color="000000"/>
              <w:left w:val="single" w:sz="6" w:space="0" w:color="000000"/>
              <w:bottom w:val="single" w:sz="6" w:space="0" w:color="000000"/>
              <w:right w:val="single" w:sz="6" w:space="0" w:color="000000"/>
            </w:tcBorders>
          </w:tcPr>
          <w:p w:rsidR="001A5E02" w:rsidRPr="007F04D9" w:rsidRDefault="001A5E02" w:rsidP="003B4BCE">
            <w:pPr>
              <w:spacing w:line="180" w:lineRule="atLeast"/>
              <w:rPr>
                <w:color w:val="000000"/>
                <w:sz w:val="20"/>
                <w:lang w:eastAsia="zh-CN"/>
              </w:rPr>
            </w:pPr>
          </w:p>
        </w:tc>
        <w:tc>
          <w:tcPr>
            <w:tcW w:w="1381" w:type="dxa"/>
            <w:tcBorders>
              <w:top w:val="single" w:sz="6" w:space="0" w:color="000000"/>
              <w:left w:val="single" w:sz="6" w:space="0" w:color="000000"/>
              <w:bottom w:val="single" w:sz="6" w:space="0" w:color="000000"/>
              <w:right w:val="single" w:sz="6" w:space="0" w:color="000000"/>
            </w:tcBorders>
            <w:hideMark/>
          </w:tcPr>
          <w:p w:rsidR="001A5E02" w:rsidRDefault="001A5E02" w:rsidP="003B4BCE">
            <w:pPr>
              <w:spacing w:line="180" w:lineRule="atLeast"/>
              <w:rPr>
                <w:color w:val="000000"/>
                <w:sz w:val="20"/>
                <w:lang w:val="en-US" w:eastAsia="zh-CN"/>
              </w:rPr>
            </w:pPr>
            <w:proofErr w:type="spellStart"/>
            <w:r>
              <w:rPr>
                <w:color w:val="000000"/>
                <w:sz w:val="20"/>
                <w:lang w:val="en-US" w:eastAsia="zh-CN"/>
              </w:rPr>
              <w:t>Træthed</w:t>
            </w:r>
            <w:proofErr w:type="spellEnd"/>
          </w:p>
        </w:tc>
        <w:tc>
          <w:tcPr>
            <w:tcW w:w="1382" w:type="dxa"/>
            <w:tcBorders>
              <w:top w:val="single" w:sz="6" w:space="0" w:color="000000"/>
              <w:left w:val="single" w:sz="6" w:space="0" w:color="000000"/>
              <w:bottom w:val="single" w:sz="6" w:space="0" w:color="000000"/>
              <w:right w:val="single" w:sz="6" w:space="0" w:color="000000"/>
            </w:tcBorders>
            <w:hideMark/>
          </w:tcPr>
          <w:p w:rsidR="001A5E02" w:rsidRDefault="001A5E02" w:rsidP="003B4BCE">
            <w:pPr>
              <w:spacing w:line="180" w:lineRule="atLeast"/>
              <w:rPr>
                <w:color w:val="000000"/>
                <w:sz w:val="20"/>
                <w:lang w:val="en-US" w:eastAsia="zh-CN"/>
              </w:rPr>
            </w:pPr>
            <w:proofErr w:type="spellStart"/>
            <w:r>
              <w:rPr>
                <w:color w:val="000000"/>
                <w:sz w:val="20"/>
                <w:lang w:val="en-US" w:eastAsia="zh-CN"/>
              </w:rPr>
              <w:t>Pyreksi</w:t>
            </w:r>
            <w:proofErr w:type="spellEnd"/>
          </w:p>
        </w:tc>
        <w:tc>
          <w:tcPr>
            <w:tcW w:w="1381" w:type="dxa"/>
            <w:tcBorders>
              <w:top w:val="single" w:sz="6" w:space="0" w:color="000000"/>
              <w:left w:val="single" w:sz="6" w:space="0" w:color="000000"/>
              <w:bottom w:val="single" w:sz="6" w:space="0" w:color="000000"/>
              <w:right w:val="single" w:sz="6" w:space="0" w:color="000000"/>
            </w:tcBorders>
          </w:tcPr>
          <w:p w:rsidR="001A5E02" w:rsidRDefault="001A5E02" w:rsidP="003B4BCE">
            <w:pPr>
              <w:spacing w:line="180" w:lineRule="atLeast"/>
              <w:rPr>
                <w:color w:val="000000"/>
                <w:sz w:val="20"/>
                <w:lang w:val="en-US" w:eastAsia="zh-CN"/>
              </w:rPr>
            </w:pPr>
          </w:p>
        </w:tc>
        <w:tc>
          <w:tcPr>
            <w:tcW w:w="1381" w:type="dxa"/>
            <w:tcBorders>
              <w:top w:val="single" w:sz="6" w:space="0" w:color="000000"/>
              <w:left w:val="single" w:sz="6" w:space="0" w:color="000000"/>
              <w:bottom w:val="single" w:sz="6" w:space="0" w:color="000000"/>
              <w:right w:val="single" w:sz="6" w:space="0" w:color="000000"/>
            </w:tcBorders>
          </w:tcPr>
          <w:p w:rsidR="001A5E02" w:rsidRDefault="001A5E02" w:rsidP="003B4BCE">
            <w:pPr>
              <w:spacing w:line="180" w:lineRule="atLeast"/>
              <w:rPr>
                <w:color w:val="000000"/>
                <w:sz w:val="20"/>
                <w:lang w:val="en-US" w:eastAsia="zh-CN"/>
              </w:rPr>
            </w:pPr>
          </w:p>
        </w:tc>
        <w:tc>
          <w:tcPr>
            <w:tcW w:w="1382" w:type="dxa"/>
            <w:tcBorders>
              <w:top w:val="single" w:sz="6" w:space="0" w:color="000000"/>
              <w:left w:val="single" w:sz="6" w:space="0" w:color="000000"/>
              <w:bottom w:val="single" w:sz="6" w:space="0" w:color="000000"/>
              <w:right w:val="single" w:sz="6" w:space="0" w:color="000000"/>
            </w:tcBorders>
          </w:tcPr>
          <w:p w:rsidR="001A5E02" w:rsidRDefault="001A5E02" w:rsidP="003B4BCE">
            <w:pPr>
              <w:spacing w:line="180" w:lineRule="atLeast"/>
              <w:rPr>
                <w:color w:val="000000"/>
                <w:sz w:val="20"/>
                <w:lang w:val="en-US" w:eastAsia="zh-CN"/>
              </w:rPr>
            </w:pPr>
            <w:r>
              <w:rPr>
                <w:color w:val="000000"/>
                <w:sz w:val="20"/>
                <w:lang w:val="en-US" w:eastAsia="zh-CN"/>
              </w:rPr>
              <w:t>Influenza-</w:t>
            </w:r>
          </w:p>
          <w:p w:rsidR="001A5E02" w:rsidRDefault="001A5E02" w:rsidP="003B4BCE">
            <w:pPr>
              <w:spacing w:line="180" w:lineRule="atLeast"/>
              <w:rPr>
                <w:color w:val="000000"/>
                <w:sz w:val="20"/>
                <w:lang w:val="en-US" w:eastAsia="zh-CN"/>
              </w:rPr>
            </w:pPr>
            <w:proofErr w:type="spellStart"/>
            <w:r>
              <w:rPr>
                <w:color w:val="000000"/>
                <w:sz w:val="20"/>
                <w:lang w:val="en-US" w:eastAsia="zh-CN"/>
              </w:rPr>
              <w:t>lignende</w:t>
            </w:r>
            <w:proofErr w:type="spellEnd"/>
            <w:r>
              <w:rPr>
                <w:color w:val="000000"/>
                <w:sz w:val="20"/>
                <w:lang w:val="en-US" w:eastAsia="zh-CN"/>
              </w:rPr>
              <w:t xml:space="preserve"> </w:t>
            </w:r>
            <w:proofErr w:type="spellStart"/>
            <w:r>
              <w:rPr>
                <w:color w:val="000000"/>
                <w:sz w:val="20"/>
                <w:lang w:val="en-US" w:eastAsia="zh-CN"/>
              </w:rPr>
              <w:t>sygdom</w:t>
            </w:r>
            <w:proofErr w:type="spellEnd"/>
          </w:p>
          <w:p w:rsidR="001A5E02" w:rsidRDefault="001A5E02" w:rsidP="003B4BCE">
            <w:pPr>
              <w:spacing w:line="180" w:lineRule="atLeast"/>
              <w:rPr>
                <w:color w:val="000000"/>
                <w:sz w:val="20"/>
                <w:lang w:val="en-US" w:eastAsia="zh-CN"/>
              </w:rPr>
            </w:pPr>
          </w:p>
        </w:tc>
      </w:tr>
      <w:tr w:rsidR="001A5E02" w:rsidTr="003B4BCE">
        <w:trPr>
          <w:cantSplit/>
          <w:trHeight w:val="632"/>
        </w:trPr>
        <w:tc>
          <w:tcPr>
            <w:tcW w:w="1381" w:type="dxa"/>
            <w:tcBorders>
              <w:top w:val="single" w:sz="6" w:space="0" w:color="000000"/>
              <w:left w:val="double" w:sz="6" w:space="0" w:color="000000"/>
              <w:bottom w:val="single" w:sz="6" w:space="0" w:color="000000"/>
              <w:right w:val="single" w:sz="6" w:space="0" w:color="000000"/>
            </w:tcBorders>
            <w:hideMark/>
          </w:tcPr>
          <w:p w:rsidR="001A5E02" w:rsidRDefault="001A5E02" w:rsidP="003B4BCE">
            <w:pPr>
              <w:spacing w:line="180" w:lineRule="atLeast"/>
              <w:rPr>
                <w:b/>
                <w:color w:val="000000"/>
                <w:sz w:val="20"/>
                <w:lang w:val="en-US" w:eastAsia="zh-CN"/>
              </w:rPr>
            </w:pPr>
            <w:proofErr w:type="spellStart"/>
            <w:r>
              <w:rPr>
                <w:b/>
                <w:color w:val="000000"/>
                <w:sz w:val="20"/>
                <w:lang w:val="en-US" w:eastAsia="zh-CN"/>
              </w:rPr>
              <w:t>Undersøgelser</w:t>
            </w:r>
            <w:proofErr w:type="spellEnd"/>
          </w:p>
        </w:tc>
        <w:tc>
          <w:tcPr>
            <w:tcW w:w="1381" w:type="dxa"/>
            <w:tcBorders>
              <w:top w:val="single" w:sz="6" w:space="0" w:color="000000"/>
              <w:left w:val="single" w:sz="6" w:space="0" w:color="000000"/>
              <w:bottom w:val="single" w:sz="6" w:space="0" w:color="000000"/>
              <w:right w:val="single" w:sz="6" w:space="0" w:color="000000"/>
            </w:tcBorders>
          </w:tcPr>
          <w:p w:rsidR="001A5E02" w:rsidRDefault="001A5E02" w:rsidP="003B4BCE">
            <w:pPr>
              <w:spacing w:line="180" w:lineRule="atLeast"/>
              <w:rPr>
                <w:color w:val="000000"/>
                <w:sz w:val="20"/>
                <w:lang w:val="en-US" w:eastAsia="zh-CN"/>
              </w:rPr>
            </w:pPr>
          </w:p>
        </w:tc>
        <w:tc>
          <w:tcPr>
            <w:tcW w:w="1381" w:type="dxa"/>
            <w:tcBorders>
              <w:top w:val="single" w:sz="6" w:space="0" w:color="000000"/>
              <w:left w:val="single" w:sz="6" w:space="0" w:color="000000"/>
              <w:bottom w:val="single" w:sz="6" w:space="0" w:color="000000"/>
              <w:right w:val="single" w:sz="6" w:space="0" w:color="000000"/>
            </w:tcBorders>
          </w:tcPr>
          <w:p w:rsidR="001A5E02" w:rsidRDefault="001A5E02" w:rsidP="003B4BCE">
            <w:pPr>
              <w:spacing w:line="180" w:lineRule="atLeast"/>
              <w:rPr>
                <w:color w:val="000000"/>
                <w:sz w:val="20"/>
                <w:lang w:val="en-US" w:eastAsia="zh-CN"/>
              </w:rPr>
            </w:pPr>
          </w:p>
        </w:tc>
        <w:tc>
          <w:tcPr>
            <w:tcW w:w="1382" w:type="dxa"/>
            <w:tcBorders>
              <w:top w:val="single" w:sz="6" w:space="0" w:color="000000"/>
              <w:left w:val="single" w:sz="6" w:space="0" w:color="000000"/>
              <w:bottom w:val="single" w:sz="6" w:space="0" w:color="000000"/>
              <w:right w:val="single" w:sz="6" w:space="0" w:color="000000"/>
            </w:tcBorders>
            <w:hideMark/>
          </w:tcPr>
          <w:p w:rsidR="001A5E02" w:rsidRDefault="001A5E02" w:rsidP="003B4BCE">
            <w:pPr>
              <w:spacing w:line="180" w:lineRule="atLeast"/>
              <w:rPr>
                <w:color w:val="000000"/>
                <w:sz w:val="20"/>
                <w:lang w:val="en-US" w:eastAsia="zh-CN"/>
              </w:rPr>
            </w:pPr>
            <w:proofErr w:type="spellStart"/>
            <w:r>
              <w:rPr>
                <w:color w:val="000000"/>
                <w:sz w:val="20"/>
                <w:lang w:val="en-US" w:eastAsia="zh-CN"/>
              </w:rPr>
              <w:t>Vægttab</w:t>
            </w:r>
            <w:proofErr w:type="spellEnd"/>
            <w:r>
              <w:rPr>
                <w:color w:val="000000"/>
                <w:sz w:val="20"/>
                <w:lang w:val="en-US" w:eastAsia="zh-CN"/>
              </w:rPr>
              <w:t>***</w:t>
            </w:r>
          </w:p>
        </w:tc>
        <w:tc>
          <w:tcPr>
            <w:tcW w:w="1381" w:type="dxa"/>
            <w:tcBorders>
              <w:top w:val="single" w:sz="6" w:space="0" w:color="000000"/>
              <w:left w:val="single" w:sz="6" w:space="0" w:color="000000"/>
              <w:bottom w:val="single" w:sz="6" w:space="0" w:color="000000"/>
              <w:right w:val="single" w:sz="6" w:space="0" w:color="000000"/>
            </w:tcBorders>
          </w:tcPr>
          <w:p w:rsidR="001A5E02" w:rsidRDefault="001A5E02" w:rsidP="003B4BCE">
            <w:pPr>
              <w:spacing w:line="180" w:lineRule="atLeast"/>
              <w:rPr>
                <w:color w:val="000000"/>
                <w:sz w:val="20"/>
                <w:lang w:val="en-US" w:eastAsia="zh-CN"/>
              </w:rPr>
            </w:pPr>
          </w:p>
        </w:tc>
        <w:tc>
          <w:tcPr>
            <w:tcW w:w="1381" w:type="dxa"/>
            <w:tcBorders>
              <w:top w:val="single" w:sz="6" w:space="0" w:color="000000"/>
              <w:left w:val="single" w:sz="6" w:space="0" w:color="000000"/>
              <w:bottom w:val="single" w:sz="6" w:space="0" w:color="000000"/>
              <w:right w:val="single" w:sz="6" w:space="0" w:color="000000"/>
            </w:tcBorders>
          </w:tcPr>
          <w:p w:rsidR="001A5E02" w:rsidRDefault="001A5E02" w:rsidP="003B4BCE">
            <w:pPr>
              <w:spacing w:line="180" w:lineRule="atLeast"/>
              <w:rPr>
                <w:color w:val="000000"/>
                <w:sz w:val="20"/>
                <w:lang w:val="en-US" w:eastAsia="zh-CN"/>
              </w:rPr>
            </w:pPr>
          </w:p>
        </w:tc>
        <w:tc>
          <w:tcPr>
            <w:tcW w:w="1382" w:type="dxa"/>
            <w:tcBorders>
              <w:top w:val="single" w:sz="6" w:space="0" w:color="000000"/>
              <w:left w:val="single" w:sz="6" w:space="0" w:color="000000"/>
              <w:bottom w:val="single" w:sz="6" w:space="0" w:color="000000"/>
              <w:right w:val="single" w:sz="6" w:space="0" w:color="000000"/>
            </w:tcBorders>
            <w:hideMark/>
          </w:tcPr>
          <w:p w:rsidR="001A5E02" w:rsidRPr="007F04D9" w:rsidRDefault="001A5E02" w:rsidP="003B4BCE">
            <w:pPr>
              <w:spacing w:line="180" w:lineRule="atLeast"/>
              <w:rPr>
                <w:color w:val="000000"/>
                <w:sz w:val="20"/>
                <w:lang w:eastAsia="zh-CN"/>
              </w:rPr>
            </w:pPr>
            <w:r w:rsidRPr="007F04D9">
              <w:rPr>
                <w:color w:val="000000"/>
                <w:sz w:val="20"/>
                <w:lang w:eastAsia="zh-CN"/>
              </w:rPr>
              <w:t xml:space="preserve">Øget </w:t>
            </w:r>
            <w:proofErr w:type="spellStart"/>
            <w:r w:rsidRPr="007F04D9">
              <w:rPr>
                <w:color w:val="000000"/>
                <w:sz w:val="20"/>
                <w:lang w:eastAsia="zh-CN"/>
              </w:rPr>
              <w:t>kreatin-fosfokinase</w:t>
            </w:r>
            <w:proofErr w:type="spellEnd"/>
            <w:r w:rsidRPr="007F04D9">
              <w:rPr>
                <w:color w:val="000000"/>
                <w:sz w:val="20"/>
                <w:lang w:eastAsia="zh-CN"/>
              </w:rPr>
              <w:t xml:space="preserve"> i blodet</w:t>
            </w:r>
          </w:p>
        </w:tc>
      </w:tr>
    </w:tbl>
    <w:p w:rsidR="001A5E02" w:rsidRPr="007F04D9" w:rsidRDefault="001A5E02" w:rsidP="001A5E02">
      <w:pPr>
        <w:ind w:left="855"/>
        <w:rPr>
          <w:rFonts w:cs="Mangal"/>
          <w:color w:val="000000"/>
          <w:sz w:val="22"/>
          <w:lang w:bidi="ne-NP"/>
        </w:rPr>
      </w:pPr>
      <w:r w:rsidRPr="007F04D9">
        <w:rPr>
          <w:rFonts w:cs="Mangal"/>
          <w:color w:val="000000"/>
          <w:sz w:val="22"/>
          <w:lang w:bidi="ne-NP"/>
        </w:rPr>
        <w:t>*</w:t>
      </w:r>
      <w:r w:rsidRPr="007F04D9">
        <w:rPr>
          <w:rFonts w:cs="Mangal"/>
          <w:sz w:val="22"/>
          <w:lang w:bidi="ne-NP"/>
        </w:rPr>
        <w:t xml:space="preserve"> </w:t>
      </w:r>
      <w:r w:rsidRPr="007F04D9">
        <w:rPr>
          <w:rFonts w:cs="Mangal"/>
          <w:sz w:val="22"/>
          <w:lang w:bidi="ne-NP"/>
        </w:rPr>
        <w:tab/>
        <w:t xml:space="preserve">Følgende bivirkninger er udledt af erfaringer med </w:t>
      </w:r>
      <w:proofErr w:type="spellStart"/>
      <w:r w:rsidRPr="007F04D9">
        <w:rPr>
          <w:rFonts w:cs="Mangal"/>
          <w:sz w:val="22"/>
          <w:lang w:bidi="ne-NP"/>
        </w:rPr>
        <w:t>terbinafin</w:t>
      </w:r>
      <w:proofErr w:type="spellEnd"/>
      <w:r w:rsidRPr="007F04D9">
        <w:rPr>
          <w:rFonts w:cs="Mangal"/>
          <w:sz w:val="22"/>
          <w:lang w:bidi="ne-NP"/>
        </w:rPr>
        <w:t xml:space="preserve"> via spontane indberetninger og litteratur efter markedsføring. Da disse bivirkninger er indberettet frivilligt fra en population af ukendt størrelse, er det ikke muligt på pålidelig vis at vurdere deres hyppighed, hvorfor de er angivet med hyppigheden ”ikke kendt”.</w:t>
      </w:r>
    </w:p>
    <w:p w:rsidR="001A5E02" w:rsidRPr="007F04D9" w:rsidRDefault="001A5E02" w:rsidP="001A5E02">
      <w:pPr>
        <w:ind w:left="855"/>
        <w:rPr>
          <w:rFonts w:cs="Mangal"/>
          <w:lang w:bidi="ne-NP"/>
        </w:rPr>
      </w:pPr>
      <w:r w:rsidRPr="007F04D9">
        <w:rPr>
          <w:rFonts w:cs="Mangal"/>
          <w:color w:val="000000"/>
          <w:sz w:val="22"/>
          <w:lang w:bidi="ne-NP"/>
        </w:rPr>
        <w:t>**</w:t>
      </w:r>
      <w:r w:rsidRPr="007F04D9">
        <w:rPr>
          <w:rFonts w:cs="Mangal"/>
          <w:sz w:val="22"/>
          <w:lang w:bidi="ne-NP"/>
        </w:rPr>
        <w:t xml:space="preserve"> </w:t>
      </w:r>
      <w:r w:rsidRPr="007F04D9">
        <w:rPr>
          <w:rFonts w:cs="Mangal"/>
          <w:sz w:val="22"/>
          <w:lang w:bidi="ne-NP"/>
        </w:rPr>
        <w:tab/>
      </w:r>
      <w:proofErr w:type="spellStart"/>
      <w:r w:rsidRPr="007F04D9">
        <w:rPr>
          <w:rFonts w:cs="Mangal"/>
          <w:sz w:val="22"/>
          <w:lang w:bidi="ne-NP"/>
        </w:rPr>
        <w:t>Dysgeusi</w:t>
      </w:r>
      <w:proofErr w:type="spellEnd"/>
      <w:r w:rsidRPr="007F04D9">
        <w:rPr>
          <w:rFonts w:cs="Mangal"/>
          <w:sz w:val="22"/>
          <w:lang w:bidi="ne-NP"/>
        </w:rPr>
        <w:t xml:space="preserve">, inklusive </w:t>
      </w:r>
      <w:proofErr w:type="spellStart"/>
      <w:r w:rsidRPr="007F04D9">
        <w:rPr>
          <w:rFonts w:cs="Mangal"/>
          <w:sz w:val="22"/>
          <w:lang w:bidi="ne-NP"/>
        </w:rPr>
        <w:t>ageusi</w:t>
      </w:r>
      <w:proofErr w:type="spellEnd"/>
      <w:r w:rsidRPr="007F04D9">
        <w:rPr>
          <w:rFonts w:cs="Mangal"/>
          <w:sz w:val="22"/>
          <w:lang w:bidi="ne-NP"/>
        </w:rPr>
        <w:t xml:space="preserve">, som normalt ophører i løbet af nogle uger efter </w:t>
      </w:r>
      <w:proofErr w:type="spellStart"/>
      <w:r w:rsidRPr="007F04D9">
        <w:rPr>
          <w:rFonts w:cs="Mangal"/>
          <w:sz w:val="22"/>
          <w:lang w:bidi="ne-NP"/>
        </w:rPr>
        <w:t>seponering</w:t>
      </w:r>
      <w:proofErr w:type="spellEnd"/>
      <w:r w:rsidRPr="007F04D9">
        <w:rPr>
          <w:rFonts w:cs="Mangal"/>
          <w:sz w:val="22"/>
          <w:lang w:bidi="ne-NP"/>
        </w:rPr>
        <w:t xml:space="preserve"> af lægemidlet. Der er rapporteret om enkeltstående tilfælde af langvarig </w:t>
      </w:r>
      <w:proofErr w:type="spellStart"/>
      <w:r w:rsidRPr="007F04D9">
        <w:rPr>
          <w:rFonts w:cs="Mangal"/>
          <w:sz w:val="22"/>
          <w:lang w:bidi="ne-NP"/>
        </w:rPr>
        <w:t>hypogeusi</w:t>
      </w:r>
      <w:proofErr w:type="spellEnd"/>
      <w:r w:rsidRPr="007F04D9">
        <w:rPr>
          <w:rFonts w:cs="Mangal"/>
          <w:sz w:val="22"/>
          <w:lang w:bidi="ne-NP"/>
        </w:rPr>
        <w:t>.</w:t>
      </w:r>
    </w:p>
    <w:p w:rsidR="001A5E02" w:rsidRDefault="001A5E02" w:rsidP="001A5E02">
      <w:pPr>
        <w:tabs>
          <w:tab w:val="left" w:pos="567"/>
        </w:tabs>
        <w:rPr>
          <w:rFonts w:cs="Mangal"/>
          <w:sz w:val="22"/>
          <w:lang w:bidi="ne-NP"/>
        </w:rPr>
      </w:pPr>
      <w:r>
        <w:rPr>
          <w:rFonts w:cs="Mangal"/>
          <w:sz w:val="22"/>
          <w:lang w:bidi="ne-NP"/>
        </w:rPr>
        <w:tab/>
        <w:t xml:space="preserve">     </w:t>
      </w:r>
      <w:r w:rsidRPr="007F04D9">
        <w:rPr>
          <w:rFonts w:cs="Mangal"/>
          <w:sz w:val="22"/>
          <w:lang w:bidi="ne-NP"/>
        </w:rPr>
        <w:t>***</w:t>
      </w:r>
      <w:r w:rsidRPr="007F04D9">
        <w:rPr>
          <w:rFonts w:cs="Mangal"/>
          <w:sz w:val="22"/>
          <w:lang w:bidi="ne-NP"/>
        </w:rPr>
        <w:tab/>
        <w:t xml:space="preserve">Vægttab sekundært til </w:t>
      </w:r>
      <w:proofErr w:type="spellStart"/>
      <w:r w:rsidRPr="007F04D9">
        <w:rPr>
          <w:rFonts w:cs="Mangal"/>
          <w:sz w:val="22"/>
          <w:lang w:bidi="ne-NP"/>
        </w:rPr>
        <w:t>dysgeusi</w:t>
      </w:r>
      <w:proofErr w:type="spellEnd"/>
      <w:r w:rsidRPr="007F04D9">
        <w:rPr>
          <w:rFonts w:cs="Mangal"/>
          <w:sz w:val="22"/>
          <w:lang w:bidi="ne-NP"/>
        </w:rPr>
        <w:t>.</w:t>
      </w:r>
    </w:p>
    <w:p w:rsidR="001A5E02" w:rsidRPr="007F04D9" w:rsidRDefault="001A5E02" w:rsidP="001A5E02">
      <w:pPr>
        <w:tabs>
          <w:tab w:val="left" w:pos="567"/>
        </w:tabs>
        <w:rPr>
          <w:rFonts w:cs="Mangal"/>
          <w:sz w:val="22"/>
          <w:lang w:bidi="ne-NP"/>
        </w:rPr>
      </w:pPr>
    </w:p>
    <w:p w:rsidR="001A5E02" w:rsidRDefault="001A5E02" w:rsidP="001A5E02">
      <w:pPr>
        <w:autoSpaceDE w:val="0"/>
        <w:autoSpaceDN w:val="0"/>
        <w:adjustRightInd w:val="0"/>
        <w:ind w:firstLine="855"/>
        <w:rPr>
          <w:szCs w:val="22"/>
          <w:u w:val="single"/>
        </w:rPr>
      </w:pPr>
      <w:r>
        <w:rPr>
          <w:noProof/>
          <w:szCs w:val="22"/>
          <w:u w:val="single"/>
        </w:rPr>
        <w:t>Indberetning af formodede bivirkninger</w:t>
      </w:r>
    </w:p>
    <w:p w:rsidR="001A5E02" w:rsidRDefault="001A5E02" w:rsidP="001A5E02">
      <w:pPr>
        <w:autoSpaceDE w:val="0"/>
        <w:autoSpaceDN w:val="0"/>
        <w:adjustRightInd w:val="0"/>
        <w:ind w:left="855"/>
        <w:rPr>
          <w:noProof/>
          <w:szCs w:val="22"/>
        </w:rPr>
      </w:pPr>
      <w:r>
        <w:rPr>
          <w:noProof/>
          <w:szCs w:val="22"/>
        </w:rPr>
        <w:t>Når lægemidlet er godkendt, er indberetning af formodede bivirkninger vigtig.</w:t>
      </w:r>
      <w:r>
        <w:rPr>
          <w:szCs w:val="22"/>
        </w:rPr>
        <w:t xml:space="preserve"> </w:t>
      </w:r>
      <w:r>
        <w:rPr>
          <w:noProof/>
          <w:szCs w:val="22"/>
        </w:rPr>
        <w:t>Det muliggør løbende overvågning af benefit/risk-forholdet for lægemidlet.</w:t>
      </w:r>
      <w:r>
        <w:rPr>
          <w:szCs w:val="22"/>
        </w:rPr>
        <w:t xml:space="preserve"> </w:t>
      </w:r>
      <w:r w:rsidR="006E7462">
        <w:rPr>
          <w:noProof/>
          <w:szCs w:val="22"/>
        </w:rPr>
        <w:t xml:space="preserve">Sundhedspersoner </w:t>
      </w:r>
      <w:r>
        <w:rPr>
          <w:noProof/>
          <w:szCs w:val="22"/>
        </w:rPr>
        <w:t>anmodes om at indberette alle formodede bivirkninger via:</w:t>
      </w:r>
    </w:p>
    <w:p w:rsidR="001A5E02" w:rsidRDefault="001A5E02" w:rsidP="001A5E02">
      <w:pPr>
        <w:autoSpaceDE w:val="0"/>
        <w:autoSpaceDN w:val="0"/>
        <w:adjustRightInd w:val="0"/>
        <w:ind w:left="855"/>
        <w:rPr>
          <w:noProof/>
          <w:szCs w:val="22"/>
        </w:rPr>
      </w:pPr>
    </w:p>
    <w:p w:rsidR="001A5E02" w:rsidRDefault="001A5E02" w:rsidP="001A5E02">
      <w:pPr>
        <w:autoSpaceDE w:val="0"/>
        <w:autoSpaceDN w:val="0"/>
        <w:adjustRightInd w:val="0"/>
        <w:ind w:left="855"/>
        <w:rPr>
          <w:noProof/>
          <w:szCs w:val="22"/>
        </w:rPr>
      </w:pPr>
      <w:r>
        <w:rPr>
          <w:noProof/>
          <w:szCs w:val="22"/>
        </w:rPr>
        <w:t>Lægemiddelstyrelsen</w:t>
      </w:r>
    </w:p>
    <w:p w:rsidR="001A5E02" w:rsidRDefault="001A5E02" w:rsidP="001A5E02">
      <w:pPr>
        <w:autoSpaceDE w:val="0"/>
        <w:autoSpaceDN w:val="0"/>
        <w:adjustRightInd w:val="0"/>
        <w:ind w:left="855"/>
        <w:rPr>
          <w:noProof/>
          <w:szCs w:val="22"/>
        </w:rPr>
      </w:pPr>
      <w:r>
        <w:rPr>
          <w:noProof/>
          <w:szCs w:val="22"/>
        </w:rPr>
        <w:t>Axel Heides Gade 1</w:t>
      </w:r>
    </w:p>
    <w:p w:rsidR="001A5E02" w:rsidRDefault="001A5E02" w:rsidP="001A5E02">
      <w:pPr>
        <w:autoSpaceDE w:val="0"/>
        <w:autoSpaceDN w:val="0"/>
        <w:adjustRightInd w:val="0"/>
        <w:ind w:left="855"/>
        <w:rPr>
          <w:noProof/>
          <w:szCs w:val="22"/>
        </w:rPr>
      </w:pPr>
      <w:r>
        <w:rPr>
          <w:noProof/>
          <w:szCs w:val="22"/>
        </w:rPr>
        <w:t>DK-2300 København S</w:t>
      </w:r>
    </w:p>
    <w:p w:rsidR="001A5E02" w:rsidRPr="0057230D" w:rsidRDefault="001A5E02" w:rsidP="001A5E02">
      <w:pPr>
        <w:autoSpaceDE w:val="0"/>
        <w:autoSpaceDN w:val="0"/>
        <w:adjustRightInd w:val="0"/>
        <w:ind w:left="855"/>
        <w:rPr>
          <w:noProof/>
          <w:szCs w:val="22"/>
        </w:rPr>
      </w:pPr>
      <w:r w:rsidRPr="0057230D">
        <w:rPr>
          <w:noProof/>
          <w:szCs w:val="22"/>
        </w:rPr>
        <w:t xml:space="preserve">Websted: </w:t>
      </w:r>
      <w:hyperlink r:id="rId8" w:history="1">
        <w:r w:rsidRPr="0057230D">
          <w:rPr>
            <w:rStyle w:val="Hyperlink"/>
            <w:noProof/>
            <w:szCs w:val="22"/>
          </w:rPr>
          <w:t>www.meldenbivirkning.dk</w:t>
        </w:r>
      </w:hyperlink>
    </w:p>
    <w:p w:rsidR="001A5E02" w:rsidRPr="0057230D" w:rsidRDefault="001A5E02" w:rsidP="001A5E02">
      <w:pPr>
        <w:ind w:left="851"/>
        <w:rPr>
          <w:u w:val="single"/>
        </w:rPr>
      </w:pPr>
    </w:p>
    <w:p w:rsidR="001A5E02" w:rsidRDefault="001A5E02" w:rsidP="006E7462">
      <w:pPr>
        <w:numPr>
          <w:ilvl w:val="1"/>
          <w:numId w:val="6"/>
        </w:numPr>
        <w:tabs>
          <w:tab w:val="clear" w:pos="1139"/>
          <w:tab w:val="num" w:pos="851"/>
        </w:tabs>
        <w:ind w:hanging="1139"/>
        <w:jc w:val="both"/>
        <w:rPr>
          <w:b/>
        </w:rPr>
      </w:pPr>
      <w:r>
        <w:rPr>
          <w:b/>
        </w:rPr>
        <w:lastRenderedPageBreak/>
        <w:t>Overdosering</w:t>
      </w:r>
    </w:p>
    <w:p w:rsidR="006E7462" w:rsidRDefault="006E7462" w:rsidP="006E7462">
      <w:pPr>
        <w:pStyle w:val="Listeafsnit"/>
        <w:ind w:left="855"/>
        <w:rPr>
          <w:color w:val="000000"/>
          <w:szCs w:val="24"/>
        </w:rPr>
      </w:pPr>
      <w:r>
        <w:rPr>
          <w:color w:val="000000"/>
          <w:szCs w:val="24"/>
        </w:rPr>
        <w:t xml:space="preserve">a) </w:t>
      </w:r>
      <w:r>
        <w:rPr>
          <w:color w:val="000000"/>
          <w:szCs w:val="24"/>
          <w:u w:val="single"/>
        </w:rPr>
        <w:t>Symptomer på forgiftning</w:t>
      </w:r>
    </w:p>
    <w:p w:rsidR="006E7462" w:rsidRDefault="006E7462" w:rsidP="006E7462">
      <w:pPr>
        <w:pStyle w:val="Brdtekst"/>
        <w:ind w:left="855"/>
      </w:pPr>
      <w:r>
        <w:t xml:space="preserve">Der er rapporteret få tilfælde af overdosering (op til 5 g </w:t>
      </w:r>
      <w:proofErr w:type="spellStart"/>
      <w:r>
        <w:t>terbinafin</w:t>
      </w:r>
      <w:proofErr w:type="spellEnd"/>
      <w:r>
        <w:t xml:space="preserve">), der har medført hovedpine, kvalme, smerter i øverste del af maven og svimmelhed. </w:t>
      </w:r>
    </w:p>
    <w:p w:rsidR="0057230D" w:rsidRDefault="0057230D" w:rsidP="001A5E02">
      <w:pPr>
        <w:tabs>
          <w:tab w:val="left" w:pos="851"/>
        </w:tabs>
        <w:ind w:left="851"/>
        <w:jc w:val="both"/>
      </w:pPr>
    </w:p>
    <w:p w:rsidR="006E7462" w:rsidRDefault="006E7462" w:rsidP="006E7462">
      <w:pPr>
        <w:tabs>
          <w:tab w:val="left" w:pos="851"/>
        </w:tabs>
        <w:ind w:left="851"/>
        <w:jc w:val="both"/>
      </w:pPr>
      <w:r>
        <w:t xml:space="preserve">b) </w:t>
      </w:r>
      <w:r>
        <w:rPr>
          <w:u w:val="single"/>
        </w:rPr>
        <w:t>Behandling af forgiftning</w:t>
      </w:r>
    </w:p>
    <w:p w:rsidR="006E7462" w:rsidRDefault="006E7462" w:rsidP="006E7462">
      <w:pPr>
        <w:tabs>
          <w:tab w:val="left" w:pos="851"/>
        </w:tabs>
        <w:ind w:left="851"/>
        <w:jc w:val="both"/>
      </w:pPr>
      <w:r>
        <w:t xml:space="preserve">I starten skal der gives aktivt kul for at eliminere det aktive stof. Der skal gives symptomatisk behandling, hvis det er nødvendigt. Der er ingen kendt, specifik </w:t>
      </w:r>
      <w:proofErr w:type="spellStart"/>
      <w:r>
        <w:t>antidot</w:t>
      </w:r>
      <w:proofErr w:type="spellEnd"/>
      <w:r>
        <w:t>.</w:t>
      </w:r>
    </w:p>
    <w:p w:rsidR="001A5E02" w:rsidRDefault="001A5E02" w:rsidP="001A5E02">
      <w:pPr>
        <w:tabs>
          <w:tab w:val="left" w:pos="851"/>
        </w:tabs>
        <w:jc w:val="both"/>
      </w:pPr>
    </w:p>
    <w:p w:rsidR="001A5E02" w:rsidRDefault="001A5E02" w:rsidP="006E7462">
      <w:pPr>
        <w:numPr>
          <w:ilvl w:val="1"/>
          <w:numId w:val="6"/>
        </w:numPr>
        <w:tabs>
          <w:tab w:val="clear" w:pos="1139"/>
          <w:tab w:val="num" w:pos="851"/>
        </w:tabs>
        <w:ind w:hanging="1139"/>
        <w:jc w:val="both"/>
        <w:rPr>
          <w:b/>
        </w:rPr>
      </w:pPr>
      <w:r>
        <w:rPr>
          <w:b/>
        </w:rPr>
        <w:t>Udlevering</w:t>
      </w:r>
    </w:p>
    <w:p w:rsidR="001A5E02" w:rsidRDefault="001A5E02" w:rsidP="001A5E02">
      <w:pPr>
        <w:tabs>
          <w:tab w:val="left" w:pos="851"/>
        </w:tabs>
        <w:ind w:left="851"/>
        <w:jc w:val="both"/>
      </w:pPr>
      <w:r>
        <w:t>B</w:t>
      </w:r>
    </w:p>
    <w:p w:rsidR="001A5E02" w:rsidRDefault="001A5E02" w:rsidP="001A5E02">
      <w:pPr>
        <w:tabs>
          <w:tab w:val="left" w:pos="851"/>
        </w:tabs>
        <w:jc w:val="both"/>
      </w:pPr>
    </w:p>
    <w:p w:rsidR="001A5E02" w:rsidRDefault="001A5E02" w:rsidP="001A5E02">
      <w:pPr>
        <w:tabs>
          <w:tab w:val="left" w:pos="851"/>
        </w:tabs>
        <w:jc w:val="both"/>
      </w:pPr>
    </w:p>
    <w:p w:rsidR="001A5E02" w:rsidRDefault="001A5E02" w:rsidP="001A5E02">
      <w:pPr>
        <w:numPr>
          <w:ilvl w:val="0"/>
          <w:numId w:val="6"/>
        </w:numPr>
        <w:jc w:val="both"/>
        <w:rPr>
          <w:b/>
        </w:rPr>
      </w:pPr>
      <w:r>
        <w:rPr>
          <w:b/>
        </w:rPr>
        <w:t>FARMAKOLOGISKE EGENSKABER</w:t>
      </w:r>
    </w:p>
    <w:p w:rsidR="001A5E02" w:rsidRDefault="001A5E02" w:rsidP="001A5E02">
      <w:pPr>
        <w:tabs>
          <w:tab w:val="left" w:pos="851"/>
        </w:tabs>
        <w:jc w:val="both"/>
      </w:pPr>
    </w:p>
    <w:p w:rsidR="001A5E02" w:rsidRDefault="001A5E02" w:rsidP="001A5E02">
      <w:pPr>
        <w:tabs>
          <w:tab w:val="left" w:pos="851"/>
        </w:tabs>
        <w:jc w:val="both"/>
        <w:rPr>
          <w:b/>
        </w:rPr>
      </w:pPr>
      <w:bookmarkStart w:id="0" w:name="_GoBack"/>
      <w:bookmarkEnd w:id="0"/>
      <w:r>
        <w:rPr>
          <w:b/>
        </w:rPr>
        <w:t>5.1</w:t>
      </w:r>
      <w:r>
        <w:rPr>
          <w:b/>
        </w:rPr>
        <w:tab/>
      </w:r>
      <w:proofErr w:type="spellStart"/>
      <w:r>
        <w:rPr>
          <w:b/>
        </w:rPr>
        <w:t>Farmakodynamiske</w:t>
      </w:r>
      <w:proofErr w:type="spellEnd"/>
      <w:r>
        <w:rPr>
          <w:b/>
        </w:rPr>
        <w:t xml:space="preserve"> egenskaber</w:t>
      </w:r>
    </w:p>
    <w:p w:rsidR="0065060E" w:rsidRDefault="0065060E" w:rsidP="0065060E">
      <w:pPr>
        <w:pStyle w:val="Brdtekst"/>
      </w:pPr>
      <w:proofErr w:type="spellStart"/>
      <w:r>
        <w:t>Farmakoterapeutisk</w:t>
      </w:r>
      <w:proofErr w:type="spellEnd"/>
      <w:r>
        <w:t xml:space="preserve"> klassifikation: dermatologiske </w:t>
      </w:r>
      <w:proofErr w:type="spellStart"/>
      <w:r>
        <w:t>antimykotika</w:t>
      </w:r>
      <w:proofErr w:type="spellEnd"/>
      <w:r>
        <w:t xml:space="preserve"> til systemisk brug. ATC-kode: D01B A02</w:t>
      </w:r>
    </w:p>
    <w:p w:rsidR="006E7462" w:rsidRDefault="006E7462" w:rsidP="001A5E02">
      <w:pPr>
        <w:tabs>
          <w:tab w:val="left" w:pos="851"/>
        </w:tabs>
        <w:jc w:val="both"/>
        <w:rPr>
          <w:b/>
        </w:rPr>
      </w:pPr>
    </w:p>
    <w:p w:rsidR="001A5E02" w:rsidRDefault="001A5E02" w:rsidP="001A5E02">
      <w:pPr>
        <w:pStyle w:val="Brdtekst"/>
        <w:rPr>
          <w:u w:val="single"/>
        </w:rPr>
      </w:pPr>
      <w:r>
        <w:rPr>
          <w:u w:val="single"/>
        </w:rPr>
        <w:t>Virkningsmekanisme</w:t>
      </w:r>
    </w:p>
    <w:p w:rsidR="0065060E" w:rsidRDefault="0065060E" w:rsidP="0065060E">
      <w:pPr>
        <w:pStyle w:val="Brdtekst"/>
      </w:pPr>
      <w:proofErr w:type="spellStart"/>
      <w:r>
        <w:t>Terbinafin</w:t>
      </w:r>
      <w:proofErr w:type="spellEnd"/>
      <w:r>
        <w:t xml:space="preserve"> påvirker højst specifikt svampens </w:t>
      </w:r>
      <w:proofErr w:type="spellStart"/>
      <w:r>
        <w:t>sterolbiosyntese</w:t>
      </w:r>
      <w:proofErr w:type="spellEnd"/>
      <w:r>
        <w:t xml:space="preserve"> i en tidlig fase. Dette medfører </w:t>
      </w:r>
      <w:proofErr w:type="spellStart"/>
      <w:r>
        <w:t>ergosterolmangel</w:t>
      </w:r>
      <w:proofErr w:type="spellEnd"/>
      <w:r>
        <w:t xml:space="preserve">, intracellulær akkumulation af </w:t>
      </w:r>
      <w:proofErr w:type="spellStart"/>
      <w:r>
        <w:t>squalen</w:t>
      </w:r>
      <w:proofErr w:type="spellEnd"/>
      <w:r>
        <w:t xml:space="preserve"> og til slut svampecellens død. </w:t>
      </w:r>
      <w:proofErr w:type="spellStart"/>
      <w:r>
        <w:t>Terbinafin</w:t>
      </w:r>
      <w:proofErr w:type="spellEnd"/>
      <w:r>
        <w:t xml:space="preserve"> virker ved at hæmme </w:t>
      </w:r>
      <w:proofErr w:type="spellStart"/>
      <w:r>
        <w:t>squalen</w:t>
      </w:r>
      <w:proofErr w:type="spellEnd"/>
      <w:r>
        <w:t xml:space="preserve"> </w:t>
      </w:r>
      <w:proofErr w:type="spellStart"/>
      <w:r>
        <w:t>epoxidase</w:t>
      </w:r>
      <w:proofErr w:type="spellEnd"/>
      <w:r>
        <w:t xml:space="preserve"> i svampens cellemembran</w:t>
      </w:r>
      <w:r>
        <w:rPr>
          <w:sz w:val="20"/>
        </w:rPr>
        <w:t>.</w:t>
      </w:r>
      <w:r>
        <w:rPr>
          <w:color w:val="000000"/>
          <w:szCs w:val="24"/>
        </w:rPr>
        <w:t xml:space="preserve"> </w:t>
      </w:r>
      <w:proofErr w:type="spellStart"/>
      <w:r>
        <w:rPr>
          <w:color w:val="000000"/>
          <w:szCs w:val="24"/>
        </w:rPr>
        <w:t>Squalen</w:t>
      </w:r>
      <w:proofErr w:type="spellEnd"/>
      <w:r>
        <w:rPr>
          <w:color w:val="000000"/>
          <w:szCs w:val="24"/>
        </w:rPr>
        <w:t xml:space="preserve"> </w:t>
      </w:r>
      <w:proofErr w:type="spellStart"/>
      <w:r>
        <w:rPr>
          <w:color w:val="000000"/>
          <w:szCs w:val="24"/>
        </w:rPr>
        <w:t>epoxidase</w:t>
      </w:r>
      <w:proofErr w:type="spellEnd"/>
      <w:r>
        <w:rPr>
          <w:color w:val="000000"/>
          <w:szCs w:val="24"/>
        </w:rPr>
        <w:t xml:space="preserve"> er ikke knyttet til </w:t>
      </w:r>
      <w:proofErr w:type="spellStart"/>
      <w:r>
        <w:rPr>
          <w:color w:val="000000"/>
          <w:szCs w:val="24"/>
        </w:rPr>
        <w:t>cytochrom</w:t>
      </w:r>
      <w:proofErr w:type="spellEnd"/>
      <w:r>
        <w:rPr>
          <w:color w:val="000000"/>
          <w:szCs w:val="24"/>
        </w:rPr>
        <w:t xml:space="preserve"> P450-enzymsystemet.</w:t>
      </w:r>
    </w:p>
    <w:p w:rsidR="001A5E02" w:rsidRDefault="001A5E02" w:rsidP="001A5E02"/>
    <w:p w:rsidR="001A5E02" w:rsidRDefault="001A5E02" w:rsidP="001A5E02">
      <w:pPr>
        <w:pStyle w:val="Brdtekst"/>
        <w:rPr>
          <w:u w:val="single"/>
        </w:rPr>
      </w:pPr>
      <w:proofErr w:type="spellStart"/>
      <w:r>
        <w:rPr>
          <w:u w:val="single"/>
        </w:rPr>
        <w:t>Farmakodynamisk</w:t>
      </w:r>
      <w:proofErr w:type="spellEnd"/>
      <w:r>
        <w:rPr>
          <w:u w:val="single"/>
        </w:rPr>
        <w:t xml:space="preserve"> virkning</w:t>
      </w:r>
    </w:p>
    <w:p w:rsidR="001A5E02" w:rsidRDefault="001A5E02" w:rsidP="001A5E02">
      <w:pPr>
        <w:ind w:left="851"/>
      </w:pPr>
      <w:proofErr w:type="spellStart"/>
      <w:r>
        <w:t>Terbinafin</w:t>
      </w:r>
      <w:proofErr w:type="spellEnd"/>
      <w:r>
        <w:t xml:space="preserve"> er et </w:t>
      </w:r>
      <w:proofErr w:type="spellStart"/>
      <w:r>
        <w:t>allylamin</w:t>
      </w:r>
      <w:proofErr w:type="spellEnd"/>
      <w:r>
        <w:t xml:space="preserve">, der har en bredspektret virkning mod </w:t>
      </w:r>
      <w:proofErr w:type="spellStart"/>
      <w:r>
        <w:t>svampepatogener</w:t>
      </w:r>
      <w:proofErr w:type="spellEnd"/>
      <w:r>
        <w:t xml:space="preserve"> i hud, hår og negle, herunder </w:t>
      </w:r>
      <w:proofErr w:type="spellStart"/>
      <w:r>
        <w:t>dermatofytter</w:t>
      </w:r>
      <w:proofErr w:type="spellEnd"/>
      <w:r>
        <w:t xml:space="preserve"> såsom </w:t>
      </w:r>
      <w:proofErr w:type="spellStart"/>
      <w:r>
        <w:rPr>
          <w:i/>
        </w:rPr>
        <w:t>Trichophyton</w:t>
      </w:r>
      <w:proofErr w:type="spellEnd"/>
      <w:r>
        <w:t xml:space="preserve"> (f.eks. </w:t>
      </w:r>
      <w:r>
        <w:rPr>
          <w:i/>
          <w:color w:val="000000"/>
          <w:szCs w:val="24"/>
        </w:rPr>
        <w:t xml:space="preserve">T. </w:t>
      </w:r>
      <w:proofErr w:type="spellStart"/>
      <w:r>
        <w:rPr>
          <w:i/>
          <w:color w:val="000000"/>
          <w:szCs w:val="24"/>
        </w:rPr>
        <w:t>rubrum</w:t>
      </w:r>
      <w:proofErr w:type="spellEnd"/>
      <w:r>
        <w:rPr>
          <w:i/>
          <w:color w:val="000000"/>
          <w:szCs w:val="24"/>
        </w:rPr>
        <w:t xml:space="preserve">, T. </w:t>
      </w:r>
      <w:proofErr w:type="spellStart"/>
      <w:r>
        <w:rPr>
          <w:i/>
          <w:color w:val="000000"/>
          <w:szCs w:val="24"/>
        </w:rPr>
        <w:t>mentagrophytes</w:t>
      </w:r>
      <w:proofErr w:type="spellEnd"/>
      <w:r>
        <w:rPr>
          <w:i/>
          <w:color w:val="000000"/>
          <w:szCs w:val="24"/>
        </w:rPr>
        <w:t xml:space="preserve">, T. </w:t>
      </w:r>
      <w:proofErr w:type="spellStart"/>
      <w:r>
        <w:rPr>
          <w:i/>
          <w:color w:val="000000"/>
          <w:szCs w:val="24"/>
        </w:rPr>
        <w:t>verrucosum</w:t>
      </w:r>
      <w:proofErr w:type="spellEnd"/>
      <w:r>
        <w:rPr>
          <w:i/>
          <w:color w:val="000000"/>
          <w:szCs w:val="24"/>
        </w:rPr>
        <w:t xml:space="preserve">, T. </w:t>
      </w:r>
      <w:proofErr w:type="spellStart"/>
      <w:r>
        <w:rPr>
          <w:i/>
          <w:color w:val="000000"/>
          <w:szCs w:val="24"/>
        </w:rPr>
        <w:t>tonsurans</w:t>
      </w:r>
      <w:proofErr w:type="spellEnd"/>
      <w:r>
        <w:rPr>
          <w:i/>
          <w:color w:val="000000"/>
          <w:szCs w:val="24"/>
        </w:rPr>
        <w:t xml:space="preserve">, T. </w:t>
      </w:r>
      <w:proofErr w:type="spellStart"/>
      <w:r>
        <w:rPr>
          <w:i/>
          <w:color w:val="000000"/>
          <w:szCs w:val="24"/>
        </w:rPr>
        <w:t>violaceum</w:t>
      </w:r>
      <w:proofErr w:type="spellEnd"/>
      <w:r>
        <w:rPr>
          <w:color w:val="000000"/>
          <w:szCs w:val="24"/>
        </w:rPr>
        <w:t xml:space="preserve">), </w:t>
      </w:r>
      <w:proofErr w:type="spellStart"/>
      <w:r>
        <w:rPr>
          <w:i/>
          <w:color w:val="000000"/>
          <w:szCs w:val="24"/>
        </w:rPr>
        <w:t>Microsporum</w:t>
      </w:r>
      <w:proofErr w:type="spellEnd"/>
      <w:r>
        <w:rPr>
          <w:color w:val="000000"/>
          <w:szCs w:val="24"/>
        </w:rPr>
        <w:t xml:space="preserve"> (f.eks. </w:t>
      </w:r>
      <w:r>
        <w:rPr>
          <w:i/>
          <w:color w:val="000000"/>
          <w:szCs w:val="24"/>
        </w:rPr>
        <w:t xml:space="preserve">M. </w:t>
      </w:r>
      <w:proofErr w:type="spellStart"/>
      <w:r>
        <w:rPr>
          <w:i/>
          <w:color w:val="000000"/>
          <w:szCs w:val="24"/>
        </w:rPr>
        <w:t>canis</w:t>
      </w:r>
      <w:proofErr w:type="spellEnd"/>
      <w:r>
        <w:rPr>
          <w:color w:val="000000"/>
          <w:szCs w:val="24"/>
        </w:rPr>
        <w:t xml:space="preserve">), </w:t>
      </w:r>
      <w:proofErr w:type="spellStart"/>
      <w:r>
        <w:rPr>
          <w:i/>
          <w:color w:val="000000"/>
          <w:szCs w:val="24"/>
        </w:rPr>
        <w:t>Epidermophyton</w:t>
      </w:r>
      <w:proofErr w:type="spellEnd"/>
      <w:r>
        <w:rPr>
          <w:i/>
          <w:color w:val="000000"/>
          <w:szCs w:val="24"/>
        </w:rPr>
        <w:t xml:space="preserve"> </w:t>
      </w:r>
      <w:proofErr w:type="spellStart"/>
      <w:r>
        <w:rPr>
          <w:i/>
          <w:color w:val="000000"/>
          <w:szCs w:val="24"/>
        </w:rPr>
        <w:t>floccosum</w:t>
      </w:r>
      <w:proofErr w:type="spellEnd"/>
      <w:r>
        <w:rPr>
          <w:color w:val="000000"/>
          <w:szCs w:val="24"/>
        </w:rPr>
        <w:t xml:space="preserve"> og gærceller af </w:t>
      </w:r>
      <w:proofErr w:type="spellStart"/>
      <w:r>
        <w:rPr>
          <w:i/>
          <w:color w:val="000000"/>
          <w:szCs w:val="24"/>
        </w:rPr>
        <w:t>Candida</w:t>
      </w:r>
      <w:proofErr w:type="spellEnd"/>
      <w:r>
        <w:rPr>
          <w:color w:val="000000"/>
          <w:szCs w:val="24"/>
        </w:rPr>
        <w:t xml:space="preserve">-slægten (f.eks. </w:t>
      </w:r>
      <w:r>
        <w:rPr>
          <w:i/>
          <w:color w:val="000000"/>
          <w:szCs w:val="24"/>
        </w:rPr>
        <w:t xml:space="preserve">C. </w:t>
      </w:r>
      <w:proofErr w:type="spellStart"/>
      <w:r>
        <w:rPr>
          <w:i/>
          <w:color w:val="000000"/>
          <w:szCs w:val="24"/>
        </w:rPr>
        <w:t>albicans</w:t>
      </w:r>
      <w:proofErr w:type="spellEnd"/>
      <w:r>
        <w:rPr>
          <w:color w:val="000000"/>
          <w:szCs w:val="24"/>
        </w:rPr>
        <w:t xml:space="preserve">) og </w:t>
      </w:r>
      <w:proofErr w:type="spellStart"/>
      <w:r>
        <w:rPr>
          <w:i/>
          <w:color w:val="000000"/>
          <w:szCs w:val="24"/>
        </w:rPr>
        <w:t>Malassezia</w:t>
      </w:r>
      <w:proofErr w:type="spellEnd"/>
      <w:r>
        <w:rPr>
          <w:color w:val="000000"/>
          <w:sz w:val="22"/>
          <w:szCs w:val="22"/>
        </w:rPr>
        <w:t>.</w:t>
      </w:r>
      <w:r>
        <w:t xml:space="preserve"> Ved lave koncentrationer er </w:t>
      </w:r>
      <w:proofErr w:type="spellStart"/>
      <w:r>
        <w:t>terbinafin</w:t>
      </w:r>
      <w:proofErr w:type="spellEnd"/>
      <w:r>
        <w:t xml:space="preserve"> fungicid over for </w:t>
      </w:r>
      <w:proofErr w:type="spellStart"/>
      <w:r>
        <w:t>dermatofytter</w:t>
      </w:r>
      <w:proofErr w:type="spellEnd"/>
      <w:r>
        <w:t xml:space="preserve">, skimmelsvampe og nogle dimorfe svampe. Virkningen på gærceller er </w:t>
      </w:r>
      <w:r>
        <w:rPr>
          <w:szCs w:val="24"/>
        </w:rPr>
        <w:t>fungicid (</w:t>
      </w:r>
      <w:proofErr w:type="spellStart"/>
      <w:r>
        <w:rPr>
          <w:i/>
          <w:color w:val="000000"/>
          <w:szCs w:val="24"/>
        </w:rPr>
        <w:t>Malassezia</w:t>
      </w:r>
      <w:proofErr w:type="spellEnd"/>
      <w:r>
        <w:rPr>
          <w:i/>
          <w:color w:val="000000"/>
          <w:szCs w:val="24"/>
        </w:rPr>
        <w:t xml:space="preserve"> </w:t>
      </w:r>
      <w:proofErr w:type="spellStart"/>
      <w:r>
        <w:rPr>
          <w:i/>
          <w:color w:val="000000"/>
          <w:szCs w:val="24"/>
        </w:rPr>
        <w:t>furfur</w:t>
      </w:r>
      <w:proofErr w:type="spellEnd"/>
      <w:r>
        <w:rPr>
          <w:color w:val="000000"/>
          <w:szCs w:val="24"/>
        </w:rPr>
        <w:t xml:space="preserve"> [ældre navn: </w:t>
      </w:r>
      <w:proofErr w:type="spellStart"/>
      <w:r>
        <w:rPr>
          <w:i/>
          <w:color w:val="000000"/>
          <w:szCs w:val="24"/>
        </w:rPr>
        <w:t>Pityrosporum</w:t>
      </w:r>
      <w:proofErr w:type="spellEnd"/>
      <w:r>
        <w:rPr>
          <w:i/>
          <w:color w:val="000000"/>
          <w:szCs w:val="24"/>
        </w:rPr>
        <w:t xml:space="preserve"> </w:t>
      </w:r>
      <w:proofErr w:type="spellStart"/>
      <w:r>
        <w:rPr>
          <w:i/>
          <w:color w:val="000000"/>
          <w:szCs w:val="24"/>
        </w:rPr>
        <w:t>orbiculare</w:t>
      </w:r>
      <w:proofErr w:type="spellEnd"/>
      <w:r>
        <w:rPr>
          <w:color w:val="000000"/>
          <w:szCs w:val="24"/>
        </w:rPr>
        <w:t>])</w:t>
      </w:r>
      <w:r>
        <w:t xml:space="preserve"> eller </w:t>
      </w:r>
      <w:proofErr w:type="spellStart"/>
      <w:r>
        <w:t>fungistatisk</w:t>
      </w:r>
      <w:proofErr w:type="spellEnd"/>
      <w:r>
        <w:t>, afhængigt af arten.</w:t>
      </w:r>
    </w:p>
    <w:p w:rsidR="001A5E02" w:rsidRDefault="001A5E02" w:rsidP="001A5E02">
      <w:pPr>
        <w:ind w:left="1134"/>
      </w:pPr>
    </w:p>
    <w:p w:rsidR="001A5E02" w:rsidRDefault="001A5E02" w:rsidP="001A5E02">
      <w:pPr>
        <w:pStyle w:val="Brdtekst"/>
      </w:pPr>
      <w:r>
        <w:t xml:space="preserve">Ved peroral administration koncentreres lægemidlet i hud, hår og negle på niveauer associeret med fungicid aktivitet. Det findes stadig der 15 til 20 dage efter </w:t>
      </w:r>
      <w:proofErr w:type="spellStart"/>
      <w:r>
        <w:t>seponering</w:t>
      </w:r>
      <w:proofErr w:type="spellEnd"/>
      <w:r>
        <w:t xml:space="preserve"> af behandlingen.</w:t>
      </w:r>
    </w:p>
    <w:p w:rsidR="001A5E02" w:rsidRDefault="001A5E02" w:rsidP="001A5E02">
      <w:pPr>
        <w:pStyle w:val="Brdtekst"/>
      </w:pPr>
    </w:p>
    <w:p w:rsidR="001A5E02" w:rsidRDefault="001A5E02" w:rsidP="001A5E02">
      <w:pPr>
        <w:pStyle w:val="Brdtekst"/>
        <w:rPr>
          <w:b/>
          <w:i/>
        </w:rPr>
      </w:pPr>
      <w:proofErr w:type="spellStart"/>
      <w:r>
        <w:t>Terbinafin</w:t>
      </w:r>
      <w:proofErr w:type="spellEnd"/>
      <w:r>
        <w:t xml:space="preserve"> anvendes til behandling af svampeinfektioner i hud og negle, forårsaget af </w:t>
      </w:r>
      <w:proofErr w:type="spellStart"/>
      <w:r>
        <w:rPr>
          <w:i/>
        </w:rPr>
        <w:t>Trichophyton</w:t>
      </w:r>
      <w:proofErr w:type="spellEnd"/>
      <w:r>
        <w:t xml:space="preserve"> (f.eks. </w:t>
      </w:r>
      <w:r>
        <w:rPr>
          <w:i/>
        </w:rPr>
        <w:t xml:space="preserve">T. </w:t>
      </w:r>
      <w:proofErr w:type="spellStart"/>
      <w:r>
        <w:rPr>
          <w:i/>
        </w:rPr>
        <w:t>rubrum</w:t>
      </w:r>
      <w:proofErr w:type="spellEnd"/>
      <w:r>
        <w:t xml:space="preserve">, </w:t>
      </w:r>
      <w:r>
        <w:rPr>
          <w:i/>
        </w:rPr>
        <w:t xml:space="preserve">T. </w:t>
      </w:r>
      <w:proofErr w:type="spellStart"/>
      <w:r>
        <w:rPr>
          <w:i/>
        </w:rPr>
        <w:t>mentagrophytes</w:t>
      </w:r>
      <w:proofErr w:type="spellEnd"/>
      <w:r>
        <w:t xml:space="preserve">, </w:t>
      </w:r>
      <w:r>
        <w:rPr>
          <w:i/>
        </w:rPr>
        <w:t xml:space="preserve">T. </w:t>
      </w:r>
      <w:proofErr w:type="spellStart"/>
      <w:r>
        <w:rPr>
          <w:i/>
        </w:rPr>
        <w:t>verrucosum</w:t>
      </w:r>
      <w:proofErr w:type="spellEnd"/>
      <w:r>
        <w:t xml:space="preserve">, </w:t>
      </w:r>
      <w:r>
        <w:rPr>
          <w:i/>
        </w:rPr>
        <w:t xml:space="preserve">T. </w:t>
      </w:r>
      <w:proofErr w:type="spellStart"/>
      <w:r>
        <w:rPr>
          <w:i/>
        </w:rPr>
        <w:t>violaceum</w:t>
      </w:r>
      <w:proofErr w:type="spellEnd"/>
      <w:r>
        <w:t xml:space="preserve">), </w:t>
      </w:r>
      <w:proofErr w:type="spellStart"/>
      <w:r>
        <w:rPr>
          <w:i/>
        </w:rPr>
        <w:t>Microsporum</w:t>
      </w:r>
      <w:proofErr w:type="spellEnd"/>
      <w:r>
        <w:rPr>
          <w:i/>
        </w:rPr>
        <w:t xml:space="preserve"> </w:t>
      </w:r>
      <w:proofErr w:type="spellStart"/>
      <w:r>
        <w:rPr>
          <w:i/>
        </w:rPr>
        <w:t>canis</w:t>
      </w:r>
      <w:proofErr w:type="spellEnd"/>
      <w:r>
        <w:t xml:space="preserve"> og </w:t>
      </w:r>
      <w:proofErr w:type="spellStart"/>
      <w:r>
        <w:rPr>
          <w:i/>
        </w:rPr>
        <w:t>Epidermophyton</w:t>
      </w:r>
      <w:proofErr w:type="spellEnd"/>
      <w:r>
        <w:rPr>
          <w:i/>
        </w:rPr>
        <w:t xml:space="preserve"> </w:t>
      </w:r>
      <w:proofErr w:type="spellStart"/>
      <w:r>
        <w:rPr>
          <w:i/>
        </w:rPr>
        <w:t>floccosum</w:t>
      </w:r>
      <w:proofErr w:type="spellEnd"/>
      <w:r>
        <w:t xml:space="preserve">. </w:t>
      </w:r>
    </w:p>
    <w:p w:rsidR="001A5E02" w:rsidRDefault="001A5E02" w:rsidP="001A5E02">
      <w:pPr>
        <w:pStyle w:val="Brdtekst"/>
      </w:pPr>
      <w:proofErr w:type="spellStart"/>
      <w:r>
        <w:t>Terbinafin</w:t>
      </w:r>
      <w:proofErr w:type="spellEnd"/>
      <w:r>
        <w:t xml:space="preserve"> udviser ringe virkning over for mange </w:t>
      </w:r>
      <w:proofErr w:type="spellStart"/>
      <w:r>
        <w:t>Candida</w:t>
      </w:r>
      <w:proofErr w:type="spellEnd"/>
      <w:r>
        <w:t xml:space="preserve">-svampe og </w:t>
      </w:r>
      <w:proofErr w:type="spellStart"/>
      <w:r>
        <w:rPr>
          <w:i/>
        </w:rPr>
        <w:t>Malassezia</w:t>
      </w:r>
      <w:proofErr w:type="spellEnd"/>
      <w:r>
        <w:t xml:space="preserve">. </w:t>
      </w:r>
    </w:p>
    <w:p w:rsidR="001A5E02" w:rsidRDefault="001A5E02" w:rsidP="001A5E02">
      <w:pPr>
        <w:ind w:left="1134"/>
      </w:pPr>
    </w:p>
    <w:p w:rsidR="001A5E02" w:rsidRDefault="001A5E02" w:rsidP="001A5E02">
      <w:pPr>
        <w:pStyle w:val="Brdtekst"/>
      </w:pPr>
      <w:r>
        <w:t xml:space="preserve">I modsætning til lokalt administreret </w:t>
      </w:r>
      <w:proofErr w:type="spellStart"/>
      <w:r>
        <w:t>terbinafin</w:t>
      </w:r>
      <w:proofErr w:type="spellEnd"/>
      <w:r>
        <w:t xml:space="preserve"> har </w:t>
      </w:r>
      <w:proofErr w:type="spellStart"/>
      <w:r>
        <w:t>terbinafin</w:t>
      </w:r>
      <w:proofErr w:type="spellEnd"/>
      <w:r>
        <w:t xml:space="preserve">-tabletter ingen virkning i behandlingen af </w:t>
      </w:r>
      <w:proofErr w:type="spellStart"/>
      <w:r>
        <w:rPr>
          <w:i/>
        </w:rPr>
        <w:t>pityriasis</w:t>
      </w:r>
      <w:proofErr w:type="spellEnd"/>
      <w:r>
        <w:rPr>
          <w:i/>
        </w:rPr>
        <w:t xml:space="preserve"> (</w:t>
      </w:r>
      <w:proofErr w:type="spellStart"/>
      <w:r>
        <w:rPr>
          <w:i/>
        </w:rPr>
        <w:t>tinea</w:t>
      </w:r>
      <w:proofErr w:type="spellEnd"/>
      <w:r>
        <w:rPr>
          <w:i/>
        </w:rPr>
        <w:t xml:space="preserve">) </w:t>
      </w:r>
      <w:proofErr w:type="spellStart"/>
      <w:r>
        <w:rPr>
          <w:i/>
        </w:rPr>
        <w:t>versicolor</w:t>
      </w:r>
      <w:proofErr w:type="spellEnd"/>
      <w:r>
        <w:t>.</w:t>
      </w:r>
    </w:p>
    <w:p w:rsidR="001A5E02" w:rsidRDefault="001A5E02" w:rsidP="001A5E02">
      <w:pPr>
        <w:ind w:left="1134"/>
      </w:pPr>
    </w:p>
    <w:p w:rsidR="001A5E02" w:rsidRDefault="001A5E02" w:rsidP="001A5E02">
      <w:pPr>
        <w:pStyle w:val="Brdtekst"/>
      </w:pPr>
      <w:r>
        <w:t xml:space="preserve">Enzymet </w:t>
      </w:r>
      <w:proofErr w:type="spellStart"/>
      <w:r>
        <w:t>squalen</w:t>
      </w:r>
      <w:proofErr w:type="spellEnd"/>
      <w:r>
        <w:t xml:space="preserve"> </w:t>
      </w:r>
      <w:proofErr w:type="spellStart"/>
      <w:r>
        <w:t>epoxidase</w:t>
      </w:r>
      <w:proofErr w:type="spellEnd"/>
      <w:r>
        <w:t xml:space="preserve"> er ikke knyttet til </w:t>
      </w:r>
      <w:proofErr w:type="spellStart"/>
      <w:r>
        <w:t>cytokrom</w:t>
      </w:r>
      <w:proofErr w:type="spellEnd"/>
      <w:r>
        <w:t xml:space="preserve"> P450-systemet.  </w:t>
      </w:r>
    </w:p>
    <w:p w:rsidR="001A5E02" w:rsidRDefault="001A5E02" w:rsidP="001A5E02">
      <w:pPr>
        <w:pStyle w:val="Brdtekst"/>
      </w:pPr>
    </w:p>
    <w:p w:rsidR="001A5E02" w:rsidRDefault="001A5E02" w:rsidP="001A5E02">
      <w:pPr>
        <w:ind w:left="851"/>
        <w:rPr>
          <w:szCs w:val="24"/>
          <w:u w:val="single"/>
        </w:rPr>
      </w:pPr>
      <w:bookmarkStart w:id="1" w:name="_Toc342651619"/>
      <w:r>
        <w:rPr>
          <w:szCs w:val="24"/>
          <w:u w:val="single"/>
        </w:rPr>
        <w:t>Klinisk virkning og sikkerhed</w:t>
      </w:r>
    </w:p>
    <w:p w:rsidR="001A5E02" w:rsidRDefault="001A5E02" w:rsidP="001A5E02">
      <w:pPr>
        <w:ind w:left="851"/>
        <w:rPr>
          <w:szCs w:val="24"/>
          <w:u w:val="single"/>
        </w:rPr>
      </w:pPr>
      <w:bookmarkStart w:id="2" w:name="_1358198Onychomycosis"/>
      <w:bookmarkStart w:id="3" w:name="_1358212Onychomycosis"/>
      <w:bookmarkStart w:id="4" w:name="_1358219Onychomycosis"/>
      <w:bookmarkStart w:id="5" w:name="_1358737Onychomycosis"/>
      <w:bookmarkStart w:id="6" w:name="_1358793Onychomycosis"/>
      <w:bookmarkStart w:id="7" w:name="_1358849Onychomycosis"/>
      <w:bookmarkStart w:id="8" w:name="_1358905Onychomycosis"/>
      <w:bookmarkStart w:id="9" w:name="_620002Onychomycosis"/>
      <w:bookmarkEnd w:id="1"/>
      <w:proofErr w:type="spellStart"/>
      <w:r>
        <w:rPr>
          <w:szCs w:val="24"/>
          <w:u w:val="single"/>
        </w:rPr>
        <w:t>Onykomykose</w:t>
      </w:r>
      <w:proofErr w:type="spellEnd"/>
    </w:p>
    <w:bookmarkEnd w:id="2"/>
    <w:bookmarkEnd w:id="3"/>
    <w:bookmarkEnd w:id="4"/>
    <w:bookmarkEnd w:id="5"/>
    <w:bookmarkEnd w:id="6"/>
    <w:bookmarkEnd w:id="7"/>
    <w:bookmarkEnd w:id="8"/>
    <w:bookmarkEnd w:id="9"/>
    <w:p w:rsidR="001A5E02" w:rsidRDefault="001A5E02" w:rsidP="001A5E02">
      <w:pPr>
        <w:ind w:left="851"/>
        <w:rPr>
          <w:szCs w:val="24"/>
        </w:rPr>
      </w:pPr>
      <w:r>
        <w:rPr>
          <w:szCs w:val="24"/>
        </w:rPr>
        <w:t xml:space="preserve">Virkningen af </w:t>
      </w:r>
      <w:proofErr w:type="spellStart"/>
      <w:r>
        <w:rPr>
          <w:szCs w:val="24"/>
        </w:rPr>
        <w:t>terbinafin</w:t>
      </w:r>
      <w:proofErr w:type="spellEnd"/>
      <w:r>
        <w:rPr>
          <w:szCs w:val="24"/>
        </w:rPr>
        <w:t xml:space="preserve">-tabletter til behandling af </w:t>
      </w:r>
      <w:proofErr w:type="spellStart"/>
      <w:r>
        <w:rPr>
          <w:szCs w:val="24"/>
        </w:rPr>
        <w:t>onykomykose</w:t>
      </w:r>
      <w:proofErr w:type="spellEnd"/>
      <w:r>
        <w:rPr>
          <w:szCs w:val="24"/>
        </w:rPr>
        <w:t xml:space="preserve"> er blevet illustreret af responset hos patienter med infektioner i tånegle og/eller fingernegle, der deltog i tre amerikanske/canadiske placebokontrollerede kliniske studier (SFD301, SF5 og SF1508). </w:t>
      </w:r>
    </w:p>
    <w:p w:rsidR="001A5E02" w:rsidRDefault="001A5E02" w:rsidP="001A5E02">
      <w:pPr>
        <w:ind w:left="851"/>
        <w:rPr>
          <w:szCs w:val="24"/>
        </w:rPr>
      </w:pPr>
    </w:p>
    <w:p w:rsidR="0065060E" w:rsidRDefault="0065060E" w:rsidP="0065060E">
      <w:pPr>
        <w:ind w:left="851"/>
        <w:rPr>
          <w:szCs w:val="24"/>
        </w:rPr>
      </w:pPr>
      <w:r>
        <w:rPr>
          <w:szCs w:val="24"/>
        </w:rPr>
        <w:t xml:space="preserve">Resultaterne af det første tånegleforsøg, baseret på vurderingen efter uge 48 (12 ugers behandling og 36 ugers opfølgning efter ophør af behandlingen), påviste mykologisk helbredelse hos 70 % af patienterne, hvilket var defineret som samtidig forekomst af et negativt mikroskopisk testresultat med </w:t>
      </w:r>
      <w:proofErr w:type="spellStart"/>
      <w:r>
        <w:rPr>
          <w:szCs w:val="24"/>
        </w:rPr>
        <w:t>native</w:t>
      </w:r>
      <w:proofErr w:type="spellEnd"/>
      <w:r>
        <w:rPr>
          <w:szCs w:val="24"/>
        </w:rPr>
        <w:t xml:space="preserve"> præparater fra de berørte hudområder (KOH-test) plus negativ kultur. 59 % af patienterne oplevede effektiv behandling (mykologisk helbredelse plus 0 % neglepåvirkning eller &gt; 5 mm vækst af ny rask negl). 38 % af patienterne udviste mykologisk helbredelse plus klinisk helbredelse (0 % neglepåvirkning). </w:t>
      </w:r>
    </w:p>
    <w:p w:rsidR="0065060E" w:rsidRDefault="0065060E" w:rsidP="0065060E">
      <w:pPr>
        <w:ind w:left="851"/>
        <w:rPr>
          <w:szCs w:val="24"/>
        </w:rPr>
      </w:pPr>
    </w:p>
    <w:p w:rsidR="0065060E" w:rsidRDefault="0065060E" w:rsidP="0065060E">
      <w:pPr>
        <w:ind w:left="851"/>
        <w:rPr>
          <w:szCs w:val="24"/>
        </w:rPr>
      </w:pPr>
      <w:r>
        <w:rPr>
          <w:szCs w:val="24"/>
        </w:rPr>
        <w:t xml:space="preserve">I et andet tåneglestudie berørende </w:t>
      </w:r>
      <w:proofErr w:type="spellStart"/>
      <w:r>
        <w:rPr>
          <w:szCs w:val="24"/>
        </w:rPr>
        <w:t>dermatofytisk</w:t>
      </w:r>
      <w:proofErr w:type="spellEnd"/>
      <w:r>
        <w:rPr>
          <w:szCs w:val="24"/>
        </w:rPr>
        <w:t xml:space="preserve"> </w:t>
      </w:r>
      <w:proofErr w:type="spellStart"/>
      <w:r>
        <w:rPr>
          <w:szCs w:val="24"/>
        </w:rPr>
        <w:t>onykomykose</w:t>
      </w:r>
      <w:proofErr w:type="spellEnd"/>
      <w:r>
        <w:rPr>
          <w:szCs w:val="24"/>
        </w:rPr>
        <w:t>, hvor der også blev dyrket ikke-</w:t>
      </w:r>
      <w:proofErr w:type="spellStart"/>
      <w:r>
        <w:rPr>
          <w:szCs w:val="24"/>
        </w:rPr>
        <w:t>dermatofytter</w:t>
      </w:r>
      <w:proofErr w:type="spellEnd"/>
      <w:r>
        <w:rPr>
          <w:szCs w:val="24"/>
        </w:rPr>
        <w:t xml:space="preserve">, blev der påvist en lignende virkning mod </w:t>
      </w:r>
      <w:proofErr w:type="spellStart"/>
      <w:r>
        <w:rPr>
          <w:szCs w:val="24"/>
        </w:rPr>
        <w:t>dermatofytterne</w:t>
      </w:r>
      <w:proofErr w:type="spellEnd"/>
      <w:r>
        <w:rPr>
          <w:szCs w:val="24"/>
        </w:rPr>
        <w:t>. Det er ikke klarlagt, hvilken patogen rolle de ikke-</w:t>
      </w:r>
      <w:proofErr w:type="spellStart"/>
      <w:r>
        <w:rPr>
          <w:szCs w:val="24"/>
        </w:rPr>
        <w:t>dermatofytter</w:t>
      </w:r>
      <w:proofErr w:type="spellEnd"/>
      <w:r>
        <w:rPr>
          <w:szCs w:val="24"/>
        </w:rPr>
        <w:t xml:space="preserve">, der blev dyrket under tilstedeværelse af </w:t>
      </w:r>
      <w:proofErr w:type="spellStart"/>
      <w:r>
        <w:rPr>
          <w:szCs w:val="24"/>
        </w:rPr>
        <w:t>dermatofytisk</w:t>
      </w:r>
      <w:proofErr w:type="spellEnd"/>
      <w:r>
        <w:rPr>
          <w:szCs w:val="24"/>
        </w:rPr>
        <w:t xml:space="preserve"> </w:t>
      </w:r>
      <w:proofErr w:type="spellStart"/>
      <w:r>
        <w:rPr>
          <w:szCs w:val="24"/>
        </w:rPr>
        <w:t>onykomykose</w:t>
      </w:r>
      <w:proofErr w:type="spellEnd"/>
      <w:r>
        <w:rPr>
          <w:szCs w:val="24"/>
        </w:rPr>
        <w:t xml:space="preserve">, spillede. Den kliniske signifikans af denne interaktion er ukendt. </w:t>
      </w:r>
    </w:p>
    <w:p w:rsidR="0065060E" w:rsidRDefault="0065060E" w:rsidP="0065060E">
      <w:pPr>
        <w:ind w:left="851"/>
        <w:rPr>
          <w:szCs w:val="24"/>
        </w:rPr>
      </w:pPr>
    </w:p>
    <w:p w:rsidR="0065060E" w:rsidRDefault="0065060E" w:rsidP="0065060E">
      <w:pPr>
        <w:ind w:left="851"/>
        <w:rPr>
          <w:szCs w:val="24"/>
        </w:rPr>
      </w:pPr>
      <w:r>
        <w:rPr>
          <w:szCs w:val="24"/>
        </w:rPr>
        <w:t xml:space="preserve">Resultaterne af fingerneglestudiet, baseret på vurderingen efter uge 24 (6 ugers behandling og 18 ugers opfølgning efter ophør af behandlingen), påviste mykologisk helbredelse hos 79 % af patienterne, effektiv behandling hos 75 % af patienterne og mykologisk helbredelse plus klinisk helbredelse hos 59 % af patienterne. </w:t>
      </w:r>
    </w:p>
    <w:p w:rsidR="0065060E" w:rsidRDefault="0065060E" w:rsidP="0065060E">
      <w:pPr>
        <w:ind w:left="851"/>
        <w:rPr>
          <w:szCs w:val="24"/>
        </w:rPr>
      </w:pPr>
    </w:p>
    <w:p w:rsidR="0065060E" w:rsidRDefault="0065060E" w:rsidP="0065060E">
      <w:pPr>
        <w:ind w:left="851"/>
        <w:rPr>
          <w:szCs w:val="24"/>
        </w:rPr>
      </w:pPr>
      <w:bookmarkStart w:id="10" w:name="_721747Tinea_capitis"/>
      <w:bookmarkStart w:id="11" w:name="_1561959Tinea_capitis"/>
      <w:bookmarkStart w:id="12" w:name="_1561903Tinea_capitis"/>
      <w:bookmarkStart w:id="13" w:name="_1561847Tinea_capitis"/>
      <w:bookmarkStart w:id="14" w:name="_1561791Tinea_capitis"/>
      <w:bookmarkStart w:id="15" w:name="_1561273Tinea_capitis"/>
      <w:bookmarkStart w:id="16" w:name="_1561266Tinea_capitis"/>
      <w:bookmarkStart w:id="17" w:name="_1561252Tinea_capitis"/>
      <w:r>
        <w:rPr>
          <w:szCs w:val="24"/>
        </w:rPr>
        <w:t xml:space="preserve">Den gennemsnitlige tid indtil terapeutisk respons ved </w:t>
      </w:r>
      <w:proofErr w:type="spellStart"/>
      <w:r>
        <w:rPr>
          <w:szCs w:val="24"/>
        </w:rPr>
        <w:t>onykomykose</w:t>
      </w:r>
      <w:proofErr w:type="spellEnd"/>
      <w:r>
        <w:rPr>
          <w:szCs w:val="24"/>
        </w:rPr>
        <w:t xml:space="preserve"> var cirka 10 måneder i det første tåneglestudie og fire måneder i fingerneglestudiet. I det første tåneglestudie var den kliniske recidivrate cirka 15 % hos de patienter, der blev vurderet mindst seks måneder efter opnåelse af klinisk helbredelse og mindst et år efter afslutning af </w:t>
      </w:r>
      <w:proofErr w:type="spellStart"/>
      <w:r>
        <w:rPr>
          <w:szCs w:val="24"/>
        </w:rPr>
        <w:t>terbinafinbehandlingen</w:t>
      </w:r>
      <w:proofErr w:type="spellEnd"/>
      <w:r>
        <w:rPr>
          <w:szCs w:val="24"/>
        </w:rPr>
        <w:t xml:space="preserve">. </w:t>
      </w:r>
      <w:bookmarkEnd w:id="10"/>
      <w:bookmarkEnd w:id="11"/>
      <w:bookmarkEnd w:id="12"/>
      <w:bookmarkEnd w:id="13"/>
      <w:bookmarkEnd w:id="14"/>
      <w:bookmarkEnd w:id="15"/>
      <w:bookmarkEnd w:id="16"/>
      <w:bookmarkEnd w:id="17"/>
    </w:p>
    <w:p w:rsidR="001A5E02" w:rsidRDefault="001A5E02" w:rsidP="001A5E02">
      <w:pPr>
        <w:ind w:left="851"/>
        <w:rPr>
          <w:szCs w:val="24"/>
        </w:rPr>
      </w:pPr>
    </w:p>
    <w:p w:rsidR="001A5E02" w:rsidRDefault="001A5E02" w:rsidP="001A5E02">
      <w:pPr>
        <w:ind w:left="851"/>
        <w:rPr>
          <w:szCs w:val="24"/>
          <w:u w:val="single"/>
        </w:rPr>
      </w:pPr>
      <w:bookmarkStart w:id="18" w:name="_1664589Fungal_infections_of_the_s"/>
      <w:bookmarkStart w:id="19" w:name="_1664603Fungal_infections_of_the_s"/>
      <w:bookmarkStart w:id="20" w:name="_1664610Fungal_infections_of_the_s"/>
      <w:bookmarkStart w:id="21" w:name="_1665128Fungal_infections_of_the_s"/>
      <w:bookmarkStart w:id="22" w:name="_1665184Fungal_infections_of_the_s"/>
      <w:bookmarkStart w:id="23" w:name="_1665240Fungal_infections_of_the_s"/>
      <w:bookmarkStart w:id="24" w:name="_1665296Fungal_infections_of_the_s"/>
      <w:bookmarkStart w:id="25" w:name="_825084Fungal_infections_of_the_sk"/>
      <w:r>
        <w:rPr>
          <w:szCs w:val="24"/>
          <w:u w:val="single"/>
        </w:rPr>
        <w:t>Svampeinfektioner i huden (</w:t>
      </w:r>
      <w:proofErr w:type="spellStart"/>
      <w:r>
        <w:rPr>
          <w:i/>
          <w:szCs w:val="24"/>
          <w:u w:val="single"/>
        </w:rPr>
        <w:t>tinea</w:t>
      </w:r>
      <w:proofErr w:type="spellEnd"/>
      <w:r>
        <w:rPr>
          <w:i/>
          <w:szCs w:val="24"/>
          <w:u w:val="single"/>
        </w:rPr>
        <w:t xml:space="preserve"> </w:t>
      </w:r>
      <w:proofErr w:type="spellStart"/>
      <w:r>
        <w:rPr>
          <w:i/>
          <w:szCs w:val="24"/>
          <w:u w:val="single"/>
        </w:rPr>
        <w:t>corporis</w:t>
      </w:r>
      <w:proofErr w:type="spellEnd"/>
      <w:r>
        <w:rPr>
          <w:i/>
          <w:szCs w:val="24"/>
          <w:u w:val="single"/>
        </w:rPr>
        <w:t xml:space="preserve">, </w:t>
      </w:r>
      <w:proofErr w:type="spellStart"/>
      <w:r>
        <w:rPr>
          <w:i/>
          <w:szCs w:val="24"/>
          <w:u w:val="single"/>
        </w:rPr>
        <w:t>tinea</w:t>
      </w:r>
      <w:proofErr w:type="spellEnd"/>
      <w:r>
        <w:rPr>
          <w:i/>
          <w:szCs w:val="24"/>
          <w:u w:val="single"/>
        </w:rPr>
        <w:t xml:space="preserve"> </w:t>
      </w:r>
      <w:proofErr w:type="spellStart"/>
      <w:r>
        <w:rPr>
          <w:i/>
          <w:szCs w:val="24"/>
          <w:u w:val="single"/>
        </w:rPr>
        <w:t>cruris</w:t>
      </w:r>
      <w:proofErr w:type="spellEnd"/>
      <w:r>
        <w:rPr>
          <w:i/>
          <w:szCs w:val="24"/>
          <w:u w:val="single"/>
        </w:rPr>
        <w:t xml:space="preserve">, </w:t>
      </w:r>
      <w:proofErr w:type="spellStart"/>
      <w:r>
        <w:rPr>
          <w:i/>
          <w:szCs w:val="24"/>
          <w:u w:val="single"/>
        </w:rPr>
        <w:t>tinea</w:t>
      </w:r>
      <w:proofErr w:type="spellEnd"/>
      <w:r>
        <w:rPr>
          <w:i/>
          <w:szCs w:val="24"/>
          <w:u w:val="single"/>
        </w:rPr>
        <w:t xml:space="preserve"> </w:t>
      </w:r>
      <w:proofErr w:type="spellStart"/>
      <w:r>
        <w:rPr>
          <w:i/>
          <w:szCs w:val="24"/>
          <w:u w:val="single"/>
        </w:rPr>
        <w:t>pedis</w:t>
      </w:r>
      <w:proofErr w:type="spellEnd"/>
      <w:r>
        <w:rPr>
          <w:szCs w:val="24"/>
          <w:u w:val="single"/>
        </w:rPr>
        <w:t xml:space="preserve">) og gærsvampeinfektioner i huden forårsaget af </w:t>
      </w:r>
      <w:proofErr w:type="spellStart"/>
      <w:r>
        <w:rPr>
          <w:i/>
          <w:szCs w:val="24"/>
          <w:u w:val="single"/>
        </w:rPr>
        <w:t>Candida</w:t>
      </w:r>
      <w:proofErr w:type="spellEnd"/>
      <w:r>
        <w:rPr>
          <w:szCs w:val="24"/>
          <w:u w:val="single"/>
        </w:rPr>
        <w:t xml:space="preserve">-slægten (f.eks. </w:t>
      </w:r>
      <w:proofErr w:type="spellStart"/>
      <w:r>
        <w:rPr>
          <w:i/>
          <w:szCs w:val="24"/>
          <w:u w:val="single"/>
        </w:rPr>
        <w:t>Candida</w:t>
      </w:r>
      <w:proofErr w:type="spellEnd"/>
      <w:r>
        <w:rPr>
          <w:i/>
          <w:szCs w:val="24"/>
          <w:u w:val="single"/>
        </w:rPr>
        <w:t xml:space="preserve"> </w:t>
      </w:r>
      <w:proofErr w:type="spellStart"/>
      <w:r>
        <w:rPr>
          <w:i/>
          <w:szCs w:val="24"/>
          <w:u w:val="single"/>
        </w:rPr>
        <w:t>albicans</w:t>
      </w:r>
      <w:proofErr w:type="spellEnd"/>
      <w:r>
        <w:rPr>
          <w:szCs w:val="24"/>
          <w:u w:val="single"/>
        </w:rPr>
        <w:t>), hvor oral behandling generelt anses for at være velegnet grundet infektionens placering, alvorlighedsgrad eller omfang.</w:t>
      </w:r>
    </w:p>
    <w:p w:rsidR="001A5E02" w:rsidRDefault="001A5E02" w:rsidP="001A5E02">
      <w:pPr>
        <w:ind w:left="851"/>
        <w:rPr>
          <w:szCs w:val="24"/>
          <w:u w:val="single"/>
        </w:rPr>
      </w:pPr>
    </w:p>
    <w:bookmarkEnd w:id="18"/>
    <w:bookmarkEnd w:id="19"/>
    <w:bookmarkEnd w:id="20"/>
    <w:bookmarkEnd w:id="21"/>
    <w:bookmarkEnd w:id="22"/>
    <w:bookmarkEnd w:id="23"/>
    <w:bookmarkEnd w:id="24"/>
    <w:bookmarkEnd w:id="25"/>
    <w:p w:rsidR="001A5E02" w:rsidRDefault="001A5E02" w:rsidP="001A5E02">
      <w:pPr>
        <w:ind w:left="851"/>
        <w:rPr>
          <w:i/>
          <w:szCs w:val="24"/>
          <w:u w:val="single"/>
        </w:rPr>
      </w:pPr>
      <w:r>
        <w:rPr>
          <w:i/>
          <w:szCs w:val="24"/>
          <w:u w:val="single"/>
        </w:rPr>
        <w:t xml:space="preserve">Tinea </w:t>
      </w:r>
      <w:proofErr w:type="spellStart"/>
      <w:r>
        <w:rPr>
          <w:i/>
          <w:szCs w:val="24"/>
          <w:u w:val="single"/>
        </w:rPr>
        <w:t>corporis</w:t>
      </w:r>
      <w:proofErr w:type="spellEnd"/>
      <w:r>
        <w:rPr>
          <w:i/>
          <w:szCs w:val="24"/>
          <w:u w:val="single"/>
        </w:rPr>
        <w:t xml:space="preserve">, </w:t>
      </w:r>
      <w:proofErr w:type="spellStart"/>
      <w:r>
        <w:rPr>
          <w:i/>
          <w:szCs w:val="24"/>
          <w:u w:val="single"/>
        </w:rPr>
        <w:t>tinea</w:t>
      </w:r>
      <w:proofErr w:type="spellEnd"/>
      <w:r>
        <w:rPr>
          <w:i/>
          <w:szCs w:val="24"/>
          <w:u w:val="single"/>
        </w:rPr>
        <w:t xml:space="preserve"> </w:t>
      </w:r>
      <w:proofErr w:type="spellStart"/>
      <w:r>
        <w:rPr>
          <w:i/>
          <w:szCs w:val="24"/>
          <w:u w:val="single"/>
        </w:rPr>
        <w:t>cruris</w:t>
      </w:r>
      <w:proofErr w:type="spellEnd"/>
    </w:p>
    <w:p w:rsidR="0065060E" w:rsidRDefault="0065060E" w:rsidP="0065060E">
      <w:pPr>
        <w:ind w:left="851"/>
        <w:rPr>
          <w:szCs w:val="24"/>
        </w:rPr>
      </w:pPr>
      <w:r>
        <w:rPr>
          <w:szCs w:val="24"/>
        </w:rPr>
        <w:t xml:space="preserve">Virkningen og sikkerheden af </w:t>
      </w:r>
      <w:proofErr w:type="spellStart"/>
      <w:r>
        <w:rPr>
          <w:szCs w:val="24"/>
        </w:rPr>
        <w:t>terbinafin</w:t>
      </w:r>
      <w:proofErr w:type="spellEnd"/>
      <w:r>
        <w:rPr>
          <w:szCs w:val="24"/>
        </w:rPr>
        <w:t xml:space="preserve">-tabletter til behandling af </w:t>
      </w:r>
      <w:proofErr w:type="spellStart"/>
      <w:r>
        <w:rPr>
          <w:i/>
          <w:szCs w:val="24"/>
        </w:rPr>
        <w:t>tinea</w:t>
      </w:r>
      <w:proofErr w:type="spellEnd"/>
      <w:r>
        <w:rPr>
          <w:i/>
          <w:szCs w:val="24"/>
        </w:rPr>
        <w:t xml:space="preserve"> </w:t>
      </w:r>
      <w:proofErr w:type="spellStart"/>
      <w:r>
        <w:rPr>
          <w:i/>
          <w:szCs w:val="24"/>
        </w:rPr>
        <w:t>corporis</w:t>
      </w:r>
      <w:proofErr w:type="spellEnd"/>
      <w:r>
        <w:rPr>
          <w:i/>
          <w:szCs w:val="24"/>
        </w:rPr>
        <w:t xml:space="preserve"> </w:t>
      </w:r>
      <w:r>
        <w:rPr>
          <w:szCs w:val="24"/>
        </w:rPr>
        <w:t xml:space="preserve">og </w:t>
      </w:r>
      <w:proofErr w:type="spellStart"/>
      <w:r>
        <w:rPr>
          <w:i/>
          <w:szCs w:val="24"/>
        </w:rPr>
        <w:t>cruris</w:t>
      </w:r>
      <w:proofErr w:type="spellEnd"/>
      <w:r>
        <w:rPr>
          <w:i/>
          <w:szCs w:val="24"/>
        </w:rPr>
        <w:t xml:space="preserve"> </w:t>
      </w:r>
      <w:r>
        <w:rPr>
          <w:szCs w:val="24"/>
        </w:rPr>
        <w:t>er blevet vurderet i tre kontrollerede, dobbeltblindede, randomiserede multicenterstudier: 5 OR (4-ugers studie), 6-7OR (4-ugers studie) og 11-21OR (6-ugers studie).</w:t>
      </w:r>
    </w:p>
    <w:p w:rsidR="001A5E02" w:rsidRDefault="001A5E02" w:rsidP="001A5E02">
      <w:pPr>
        <w:ind w:left="851"/>
        <w:rPr>
          <w:szCs w:val="24"/>
        </w:rPr>
      </w:pPr>
    </w:p>
    <w:p w:rsidR="0065060E" w:rsidRDefault="0065060E" w:rsidP="0065060E">
      <w:pPr>
        <w:ind w:left="851"/>
        <w:rPr>
          <w:szCs w:val="24"/>
        </w:rPr>
      </w:pPr>
      <w:r>
        <w:rPr>
          <w:szCs w:val="24"/>
        </w:rPr>
        <w:t xml:space="preserve">Virkningen af </w:t>
      </w:r>
      <w:proofErr w:type="spellStart"/>
      <w:r>
        <w:rPr>
          <w:szCs w:val="24"/>
        </w:rPr>
        <w:t>terbinafin</w:t>
      </w:r>
      <w:proofErr w:type="spellEnd"/>
      <w:r>
        <w:rPr>
          <w:szCs w:val="24"/>
        </w:rPr>
        <w:t xml:space="preserve"> 125 mg to gange dagligt hos patienter diagnosticeret med </w:t>
      </w:r>
      <w:r>
        <w:rPr>
          <w:i/>
          <w:szCs w:val="24"/>
        </w:rPr>
        <w:t xml:space="preserve">Tinea </w:t>
      </w:r>
      <w:proofErr w:type="spellStart"/>
      <w:r>
        <w:rPr>
          <w:i/>
          <w:szCs w:val="24"/>
        </w:rPr>
        <w:t>corporis</w:t>
      </w:r>
      <w:proofErr w:type="spellEnd"/>
      <w:r>
        <w:rPr>
          <w:i/>
          <w:szCs w:val="24"/>
        </w:rPr>
        <w:t>/</w:t>
      </w:r>
      <w:proofErr w:type="spellStart"/>
      <w:r>
        <w:rPr>
          <w:i/>
          <w:szCs w:val="24"/>
        </w:rPr>
        <w:t>cruris</w:t>
      </w:r>
      <w:proofErr w:type="spellEnd"/>
      <w:r>
        <w:rPr>
          <w:szCs w:val="24"/>
        </w:rPr>
        <w:t xml:space="preserve"> er blevet vurderet i to dobbeltblindede, placebokontrollerede studier (5OR og 6-7OR). Studierne omfattede i alt 46 patienter, der blev randomiseret til </w:t>
      </w:r>
      <w:proofErr w:type="spellStart"/>
      <w:r>
        <w:rPr>
          <w:szCs w:val="24"/>
        </w:rPr>
        <w:t>terbinafin</w:t>
      </w:r>
      <w:proofErr w:type="spellEnd"/>
      <w:r>
        <w:rPr>
          <w:szCs w:val="24"/>
        </w:rPr>
        <w:t xml:space="preserve">, og 49 patienter, der blev randomiseret til placebo. Inden for grupperne var der ingen signifikante forskelle i de demografiske og </w:t>
      </w:r>
      <w:proofErr w:type="spellStart"/>
      <w:r>
        <w:rPr>
          <w:szCs w:val="24"/>
        </w:rPr>
        <w:t>anamnestiske</w:t>
      </w:r>
      <w:proofErr w:type="spellEnd"/>
      <w:r>
        <w:rPr>
          <w:szCs w:val="24"/>
        </w:rPr>
        <w:t xml:space="preserve"> </w:t>
      </w:r>
      <w:proofErr w:type="gramStart"/>
      <w:r>
        <w:rPr>
          <w:szCs w:val="24"/>
        </w:rPr>
        <w:t>data .</w:t>
      </w:r>
      <w:proofErr w:type="gramEnd"/>
      <w:r>
        <w:rPr>
          <w:szCs w:val="24"/>
        </w:rPr>
        <w:t xml:space="preserve"> Virkningen blev påvist- ved negative mykologiske test og færre kliniske symptomer og blev vurderet efter 4 uger og ved den opfølgende undersøgelse. De mykologiske test blev udført ved direkte mikroskopi (forekomst af svampemycelium i </w:t>
      </w:r>
      <w:proofErr w:type="spellStart"/>
      <w:r>
        <w:rPr>
          <w:szCs w:val="24"/>
        </w:rPr>
        <w:t>nativpræparatet</w:t>
      </w:r>
      <w:proofErr w:type="spellEnd"/>
      <w:r>
        <w:rPr>
          <w:szCs w:val="24"/>
        </w:rPr>
        <w:t xml:space="preserve">) og dyrkning af svampemycelium fra </w:t>
      </w:r>
      <w:proofErr w:type="spellStart"/>
      <w:r>
        <w:rPr>
          <w:szCs w:val="24"/>
        </w:rPr>
        <w:t>nativpræparatet</w:t>
      </w:r>
      <w:proofErr w:type="spellEnd"/>
      <w:r>
        <w:rPr>
          <w:szCs w:val="24"/>
        </w:rPr>
        <w:t xml:space="preserve"> (forekomst af svampevækst). Ved afslutningen af behandlingen og ved opfølgningen blev der i begge studier påvist minimal virkning hos de placebobehandlede patienter sammenlignet med virkningen af oralt administreret </w:t>
      </w:r>
      <w:proofErr w:type="spellStart"/>
      <w:r>
        <w:rPr>
          <w:szCs w:val="24"/>
        </w:rPr>
        <w:t>terbinafin</w:t>
      </w:r>
      <w:proofErr w:type="spellEnd"/>
      <w:r>
        <w:rPr>
          <w:szCs w:val="24"/>
        </w:rPr>
        <w:t xml:space="preserve">. I studie 5OR var der opnået mykologisk helbredelse og færre kliniske symptomer hos hhv. 73 % og 54 % af de patienter, der blev behandlet med </w:t>
      </w:r>
      <w:proofErr w:type="spellStart"/>
      <w:r>
        <w:rPr>
          <w:szCs w:val="24"/>
        </w:rPr>
        <w:t>terbinafin</w:t>
      </w:r>
      <w:proofErr w:type="spellEnd"/>
      <w:r>
        <w:rPr>
          <w:szCs w:val="24"/>
        </w:rPr>
        <w:t xml:space="preserve"> 125 mg to gange dagligt, ved afslutningen af behandlingen, og hos hhv. 89 % og 62 % ved opfølgningen, sammenlignet med 0 % hos de placebobehandlede patienter. </w:t>
      </w:r>
    </w:p>
    <w:p w:rsidR="0065060E" w:rsidRDefault="0065060E" w:rsidP="0065060E">
      <w:pPr>
        <w:ind w:left="851"/>
        <w:rPr>
          <w:szCs w:val="24"/>
        </w:rPr>
      </w:pPr>
      <w:r>
        <w:rPr>
          <w:szCs w:val="24"/>
        </w:rPr>
        <w:t xml:space="preserve">I studie 6-7OR var der opnået mykologisk helbredelse og færre kliniske symptomer hos hhv. 97 % og 89 % af de patienter, der blev behandlet med </w:t>
      </w:r>
      <w:proofErr w:type="spellStart"/>
      <w:r>
        <w:rPr>
          <w:szCs w:val="24"/>
        </w:rPr>
        <w:t>terbinafin</w:t>
      </w:r>
      <w:proofErr w:type="spellEnd"/>
      <w:r>
        <w:rPr>
          <w:szCs w:val="24"/>
        </w:rPr>
        <w:t xml:space="preserve"> 125 mg to gange dagligt, ved behandlingens afslutning, sammenlignet med hhv. 29 % og 12 % hos de placebobehandlede patienter. Ved opfølgningen var der opnået mykologisk helbredelse og færre kliniske symptomer hos hhv. 97 % og 91 % af de patienter, der blev behandlet med </w:t>
      </w:r>
      <w:proofErr w:type="spellStart"/>
      <w:r>
        <w:rPr>
          <w:szCs w:val="24"/>
        </w:rPr>
        <w:t>terbinafin</w:t>
      </w:r>
      <w:proofErr w:type="spellEnd"/>
      <w:r>
        <w:rPr>
          <w:szCs w:val="24"/>
        </w:rPr>
        <w:t xml:space="preserve"> 125 mg to gange dagligt, sammenlignet med 37 % og 21 % hos de placebobehandlede patienter.</w:t>
      </w:r>
    </w:p>
    <w:p w:rsidR="001A5E02" w:rsidRDefault="001A5E02" w:rsidP="001A5E02">
      <w:pPr>
        <w:ind w:left="851"/>
        <w:rPr>
          <w:szCs w:val="24"/>
        </w:rPr>
      </w:pPr>
    </w:p>
    <w:p w:rsidR="0065060E" w:rsidRDefault="0065060E" w:rsidP="0065060E">
      <w:pPr>
        <w:ind w:left="851"/>
        <w:rPr>
          <w:szCs w:val="24"/>
        </w:rPr>
      </w:pPr>
      <w:r>
        <w:rPr>
          <w:szCs w:val="24"/>
        </w:rPr>
        <w:t xml:space="preserve">I det tredje studie (11-21OR), der var et 6-ugers dobbeltblindet, randomiseret multicenterstudie, blev der foretaget en sammenligning af virkningen og sikkerheden af </w:t>
      </w:r>
      <w:proofErr w:type="spellStart"/>
      <w:r>
        <w:rPr>
          <w:szCs w:val="24"/>
        </w:rPr>
        <w:t>terbinafin</w:t>
      </w:r>
      <w:proofErr w:type="spellEnd"/>
      <w:r>
        <w:rPr>
          <w:szCs w:val="24"/>
        </w:rPr>
        <w:t xml:space="preserve"> 125 mg to gange dagligt over for </w:t>
      </w:r>
      <w:proofErr w:type="spellStart"/>
      <w:r>
        <w:rPr>
          <w:szCs w:val="24"/>
        </w:rPr>
        <w:t>griseofulvin</w:t>
      </w:r>
      <w:proofErr w:type="spellEnd"/>
      <w:r>
        <w:rPr>
          <w:szCs w:val="24"/>
        </w:rPr>
        <w:t xml:space="preserve"> 250 mg to gange dagligt. 126 patienter fra hver gruppe blev inkluderet i effektanalysen. Studiet vise, at </w:t>
      </w:r>
      <w:proofErr w:type="spellStart"/>
      <w:r>
        <w:rPr>
          <w:szCs w:val="24"/>
        </w:rPr>
        <w:t>terbinafin</w:t>
      </w:r>
      <w:proofErr w:type="spellEnd"/>
      <w:r>
        <w:rPr>
          <w:szCs w:val="24"/>
        </w:rPr>
        <w:t xml:space="preserve"> 125 mg to gange dagligt medførte en højere forekomst af mykologisk helbredelse (hhv. 97 % og 100 % af patienterne ved behandlingens afslutning og ved opfølgningen, sammenlignet med hhv. 90 % og 94 % hos de patienter, der blev behandlet med </w:t>
      </w:r>
      <w:proofErr w:type="spellStart"/>
      <w:r>
        <w:rPr>
          <w:szCs w:val="24"/>
        </w:rPr>
        <w:t>griseofulvin</w:t>
      </w:r>
      <w:proofErr w:type="spellEnd"/>
      <w:r>
        <w:rPr>
          <w:szCs w:val="24"/>
        </w:rPr>
        <w:t xml:space="preserve">) og en signifikant større reduktion i tegn og symptomer i den </w:t>
      </w:r>
      <w:proofErr w:type="spellStart"/>
      <w:r>
        <w:rPr>
          <w:szCs w:val="24"/>
        </w:rPr>
        <w:t>terbinafinbehandlede</w:t>
      </w:r>
      <w:proofErr w:type="spellEnd"/>
      <w:r>
        <w:rPr>
          <w:szCs w:val="24"/>
        </w:rPr>
        <w:t xml:space="preserve"> gruppe ved behandlingens afslutning (93 %) og ved opfølgningen (94 %), sammenlignet med </w:t>
      </w:r>
      <w:proofErr w:type="spellStart"/>
      <w:r>
        <w:rPr>
          <w:szCs w:val="24"/>
        </w:rPr>
        <w:t>komparatoren</w:t>
      </w:r>
      <w:proofErr w:type="spellEnd"/>
      <w:r>
        <w:rPr>
          <w:szCs w:val="24"/>
        </w:rPr>
        <w:t xml:space="preserve"> (hhv. 86 % og 87 %). </w:t>
      </w:r>
    </w:p>
    <w:p w:rsidR="0065060E" w:rsidRDefault="0065060E" w:rsidP="0065060E">
      <w:pPr>
        <w:ind w:left="851"/>
        <w:rPr>
          <w:szCs w:val="24"/>
        </w:rPr>
      </w:pPr>
    </w:p>
    <w:p w:rsidR="0065060E" w:rsidRDefault="0065060E" w:rsidP="0065060E">
      <w:pPr>
        <w:ind w:left="851"/>
        <w:rPr>
          <w:i/>
          <w:szCs w:val="24"/>
          <w:u w:val="single"/>
        </w:rPr>
      </w:pPr>
      <w:r>
        <w:rPr>
          <w:i/>
          <w:szCs w:val="24"/>
          <w:u w:val="single"/>
        </w:rPr>
        <w:t xml:space="preserve">Tinea </w:t>
      </w:r>
      <w:proofErr w:type="spellStart"/>
      <w:r>
        <w:rPr>
          <w:i/>
          <w:szCs w:val="24"/>
          <w:u w:val="single"/>
        </w:rPr>
        <w:t>pedis</w:t>
      </w:r>
      <w:proofErr w:type="spellEnd"/>
    </w:p>
    <w:p w:rsidR="0065060E" w:rsidRDefault="0065060E" w:rsidP="0065060E">
      <w:pPr>
        <w:ind w:left="851"/>
        <w:rPr>
          <w:szCs w:val="24"/>
        </w:rPr>
      </w:pPr>
      <w:bookmarkStart w:id="26" w:name="_3517909Table_44529Major_efficacy_"/>
      <w:bookmarkStart w:id="27" w:name="_6155467Table_44579Major_efficacy_"/>
      <w:bookmarkStart w:id="28" w:name="_6155411Table_44579Major_efficacy_"/>
      <w:bookmarkStart w:id="29" w:name="_6155355Table_44579Major_efficacy_"/>
      <w:bookmarkStart w:id="30" w:name="_6155299Table_44579Major_efficacy_"/>
      <w:bookmarkStart w:id="31" w:name="_6154781Table_44579Major_efficacy_"/>
      <w:bookmarkStart w:id="32" w:name="_6154774Table_44579Major_efficacy_"/>
      <w:bookmarkStart w:id="33" w:name="_6154760Table_44579Major_efficacy_"/>
      <w:r>
        <w:rPr>
          <w:szCs w:val="24"/>
        </w:rPr>
        <w:t xml:space="preserve">I to dobbeltblindede, kontrollerede studier er </w:t>
      </w:r>
      <w:proofErr w:type="spellStart"/>
      <w:r>
        <w:rPr>
          <w:szCs w:val="24"/>
        </w:rPr>
        <w:t>terbinafin</w:t>
      </w:r>
      <w:proofErr w:type="spellEnd"/>
      <w:r>
        <w:rPr>
          <w:szCs w:val="24"/>
        </w:rPr>
        <w:t xml:space="preserve"> 125 mg to gange dagligt blevet sammenlignet med placebo (39-40OR) og med </w:t>
      </w:r>
      <w:proofErr w:type="spellStart"/>
      <w:r>
        <w:rPr>
          <w:szCs w:val="24"/>
        </w:rPr>
        <w:t>griseofulvin</w:t>
      </w:r>
      <w:proofErr w:type="spellEnd"/>
      <w:r>
        <w:rPr>
          <w:szCs w:val="24"/>
        </w:rPr>
        <w:t xml:space="preserve"> 250 mg to gange dagligt (20OR) til behandling af </w:t>
      </w:r>
      <w:proofErr w:type="spellStart"/>
      <w:r>
        <w:rPr>
          <w:i/>
          <w:szCs w:val="24"/>
        </w:rPr>
        <w:t>tinea</w:t>
      </w:r>
      <w:proofErr w:type="spellEnd"/>
      <w:r>
        <w:rPr>
          <w:i/>
          <w:szCs w:val="24"/>
        </w:rPr>
        <w:t xml:space="preserve"> </w:t>
      </w:r>
      <w:proofErr w:type="spellStart"/>
      <w:r>
        <w:rPr>
          <w:i/>
          <w:szCs w:val="24"/>
        </w:rPr>
        <w:t>pedis</w:t>
      </w:r>
      <w:proofErr w:type="spellEnd"/>
      <w:r>
        <w:rPr>
          <w:szCs w:val="24"/>
        </w:rPr>
        <w:t xml:space="preserve">. I begge studier blev der rekrutteret patienter med kronisk, recidiverende sygdom. I studie 39-40OR rapporterede 65 % af de patienter, der fik </w:t>
      </w:r>
      <w:proofErr w:type="spellStart"/>
      <w:r>
        <w:rPr>
          <w:szCs w:val="24"/>
        </w:rPr>
        <w:t>terbinafin</w:t>
      </w:r>
      <w:proofErr w:type="spellEnd"/>
      <w:r>
        <w:rPr>
          <w:szCs w:val="24"/>
        </w:rPr>
        <w:t xml:space="preserve">, om mykologisk helbredelse ved opfølgningen, hvorimod ingen af de placebobehandlede patienter responderede. I studie 20OR blev der efter 6 ugers behandling med </w:t>
      </w:r>
      <w:proofErr w:type="spellStart"/>
      <w:r>
        <w:rPr>
          <w:szCs w:val="24"/>
        </w:rPr>
        <w:t>terbinafin</w:t>
      </w:r>
      <w:proofErr w:type="spellEnd"/>
      <w:r>
        <w:rPr>
          <w:szCs w:val="24"/>
        </w:rPr>
        <w:t xml:space="preserve"> opnået helbredelse hos 88 % ved opfølgningen, sammenlignet med 45 % hos de patienter, der fik </w:t>
      </w:r>
      <w:proofErr w:type="spellStart"/>
      <w:r>
        <w:rPr>
          <w:szCs w:val="24"/>
        </w:rPr>
        <w:t>griseofulvin</w:t>
      </w:r>
      <w:proofErr w:type="spellEnd"/>
      <w:r>
        <w:rPr>
          <w:szCs w:val="24"/>
        </w:rPr>
        <w:t xml:space="preserve">. I en undersøgelse efter 10 måneder var helbredelsesraten hos disse patienter 94 % sammenlignet med en helbredelsesrate på 30 % med </w:t>
      </w:r>
      <w:proofErr w:type="spellStart"/>
      <w:r>
        <w:rPr>
          <w:szCs w:val="24"/>
        </w:rPr>
        <w:t>griseofulvin</w:t>
      </w:r>
      <w:proofErr w:type="spellEnd"/>
      <w:r>
        <w:rPr>
          <w:szCs w:val="24"/>
        </w:rPr>
        <w:t xml:space="preserve"> i samme patientpopulation.</w:t>
      </w:r>
      <w:bookmarkEnd w:id="26"/>
      <w:bookmarkEnd w:id="27"/>
      <w:bookmarkEnd w:id="28"/>
      <w:bookmarkEnd w:id="29"/>
      <w:bookmarkEnd w:id="30"/>
      <w:bookmarkEnd w:id="31"/>
      <w:bookmarkEnd w:id="32"/>
      <w:bookmarkEnd w:id="33"/>
    </w:p>
    <w:p w:rsidR="001A5E02" w:rsidRDefault="001A5E02" w:rsidP="001A5E02">
      <w:pPr>
        <w:ind w:left="851"/>
        <w:rPr>
          <w:szCs w:val="24"/>
        </w:rPr>
      </w:pPr>
    </w:p>
    <w:p w:rsidR="001A5E02" w:rsidRDefault="001A5E02" w:rsidP="001A5E02">
      <w:pPr>
        <w:numPr>
          <w:ilvl w:val="1"/>
          <w:numId w:val="8"/>
        </w:numPr>
        <w:jc w:val="both"/>
        <w:rPr>
          <w:b/>
        </w:rPr>
      </w:pPr>
      <w:proofErr w:type="spellStart"/>
      <w:r>
        <w:rPr>
          <w:b/>
        </w:rPr>
        <w:t>Farmakokinetiske</w:t>
      </w:r>
      <w:proofErr w:type="spellEnd"/>
      <w:r>
        <w:rPr>
          <w:b/>
        </w:rPr>
        <w:t xml:space="preserve"> egenskaber</w:t>
      </w:r>
    </w:p>
    <w:p w:rsidR="0065060E" w:rsidRDefault="001A5E02" w:rsidP="0065060E">
      <w:pPr>
        <w:pStyle w:val="Brdtekst"/>
        <w:ind w:left="0"/>
      </w:pPr>
      <w:r>
        <w:tab/>
      </w:r>
      <w:r w:rsidR="0065060E">
        <w:rPr>
          <w:u w:val="single"/>
        </w:rPr>
        <w:t>Absorption</w:t>
      </w:r>
      <w:r w:rsidR="0065060E">
        <w:t xml:space="preserve"> </w:t>
      </w:r>
    </w:p>
    <w:p w:rsidR="0065060E" w:rsidRDefault="0065060E" w:rsidP="0065060E">
      <w:pPr>
        <w:pStyle w:val="Brdtekst"/>
      </w:pPr>
      <w:proofErr w:type="spellStart"/>
      <w:r>
        <w:rPr>
          <w:rFonts w:eastAsia="SimSun"/>
          <w:szCs w:val="24"/>
        </w:rPr>
        <w:t>Terbinafin</w:t>
      </w:r>
      <w:proofErr w:type="spellEnd"/>
      <w:r>
        <w:rPr>
          <w:rFonts w:eastAsia="SimSun"/>
          <w:szCs w:val="24"/>
        </w:rPr>
        <w:t xml:space="preserve"> absorberes godt (&gt; 70 %) efter oral administration.</w:t>
      </w:r>
      <w:r>
        <w:rPr>
          <w:rFonts w:eastAsia="SimSun"/>
          <w:sz w:val="22"/>
          <w:szCs w:val="24"/>
        </w:rPr>
        <w:t xml:space="preserve"> </w:t>
      </w:r>
      <w:r>
        <w:t xml:space="preserve">Efter indtagelse af 250 mg </w:t>
      </w:r>
      <w:proofErr w:type="spellStart"/>
      <w:r>
        <w:t>terbinafin</w:t>
      </w:r>
      <w:proofErr w:type="spellEnd"/>
      <w:r>
        <w:t xml:space="preserve"> blev der opnået maksimale plasmakoncentrationer på 1,3 mikrogram/ml efter 1,5 time. </w:t>
      </w:r>
      <w:r>
        <w:rPr>
          <w:szCs w:val="24"/>
        </w:rPr>
        <w:t xml:space="preserve">Ved </w:t>
      </w:r>
      <w:proofErr w:type="spellStart"/>
      <w:r>
        <w:rPr>
          <w:szCs w:val="24"/>
        </w:rPr>
        <w:t>steady</w:t>
      </w:r>
      <w:proofErr w:type="spellEnd"/>
      <w:r>
        <w:rPr>
          <w:szCs w:val="24"/>
        </w:rPr>
        <w:t xml:space="preserve"> </w:t>
      </w:r>
      <w:proofErr w:type="spellStart"/>
      <w:r>
        <w:rPr>
          <w:szCs w:val="24"/>
        </w:rPr>
        <w:t>state</w:t>
      </w:r>
      <w:proofErr w:type="spellEnd"/>
      <w:r>
        <w:rPr>
          <w:szCs w:val="24"/>
        </w:rPr>
        <w:t xml:space="preserve"> (70 % </w:t>
      </w:r>
      <w:proofErr w:type="spellStart"/>
      <w:r>
        <w:rPr>
          <w:szCs w:val="24"/>
        </w:rPr>
        <w:t>steady</w:t>
      </w:r>
      <w:proofErr w:type="spellEnd"/>
      <w:r>
        <w:rPr>
          <w:szCs w:val="24"/>
        </w:rPr>
        <w:t xml:space="preserve"> </w:t>
      </w:r>
      <w:proofErr w:type="spellStart"/>
      <w:r>
        <w:rPr>
          <w:szCs w:val="24"/>
        </w:rPr>
        <w:t>state</w:t>
      </w:r>
      <w:proofErr w:type="spellEnd"/>
      <w:r>
        <w:rPr>
          <w:szCs w:val="24"/>
        </w:rPr>
        <w:t xml:space="preserve"> opnås efter cirka 28 dage) var den maksimale plasmakoncentration i gennemsnit 25 % højere end efter en enkelt dosis, og plasma-AUC var 2,3 gange højere. </w:t>
      </w:r>
      <w:r>
        <w:rPr>
          <w:rFonts w:eastAsia="SimSun"/>
          <w:szCs w:val="24"/>
        </w:rPr>
        <w:t>På baggrund af stigningen i AUC er den beregnede effektive halveringstid ca. 30 timer.</w:t>
      </w:r>
      <w:r>
        <w:rPr>
          <w:sz w:val="22"/>
        </w:rPr>
        <w:t xml:space="preserve"> </w:t>
      </w:r>
      <w:proofErr w:type="spellStart"/>
      <w:r>
        <w:t>Terbinafins</w:t>
      </w:r>
      <w:proofErr w:type="spellEnd"/>
      <w:r>
        <w:t xml:space="preserve"> biotilgængelighed påvirkes kun i moderat grad af fødeindtagelse (stigning i AUC på under 20 %). Dosisjustering er ikke nødvendig. </w:t>
      </w:r>
    </w:p>
    <w:p w:rsidR="0065060E" w:rsidRDefault="0065060E" w:rsidP="0065060E">
      <w:pPr>
        <w:pStyle w:val="Brdtekst"/>
        <w:ind w:left="0"/>
      </w:pPr>
    </w:p>
    <w:p w:rsidR="0065060E" w:rsidRDefault="0065060E" w:rsidP="0065060E">
      <w:pPr>
        <w:pStyle w:val="Brdtekst"/>
        <w:ind w:left="0"/>
      </w:pPr>
      <w:r>
        <w:tab/>
      </w:r>
      <w:r>
        <w:rPr>
          <w:u w:val="single"/>
        </w:rPr>
        <w:t>Fordeling</w:t>
      </w:r>
      <w:r>
        <w:t xml:space="preserve"> </w:t>
      </w:r>
    </w:p>
    <w:p w:rsidR="0065060E" w:rsidRDefault="0065060E" w:rsidP="0065060E">
      <w:pPr>
        <w:pStyle w:val="Brdtekst"/>
      </w:pPr>
      <w:proofErr w:type="spellStart"/>
      <w:r>
        <w:t>Terbinafin</w:t>
      </w:r>
      <w:proofErr w:type="spellEnd"/>
      <w:r>
        <w:t xml:space="preserve"> binder stærkt til plasmaproteiner (99 %). Det diffunderer hurtigt gennem </w:t>
      </w:r>
      <w:proofErr w:type="spellStart"/>
      <w:r>
        <w:t>dermis</w:t>
      </w:r>
      <w:proofErr w:type="spellEnd"/>
      <w:r>
        <w:t xml:space="preserve"> og koncentreres i det </w:t>
      </w:r>
      <w:proofErr w:type="spellStart"/>
      <w:r>
        <w:t>lipofile</w:t>
      </w:r>
      <w:proofErr w:type="spellEnd"/>
      <w:r>
        <w:t xml:space="preserve"> stratum </w:t>
      </w:r>
      <w:proofErr w:type="spellStart"/>
      <w:r>
        <w:t>corneum</w:t>
      </w:r>
      <w:proofErr w:type="spellEnd"/>
      <w:r>
        <w:t xml:space="preserve">. </w:t>
      </w:r>
      <w:proofErr w:type="spellStart"/>
      <w:r>
        <w:t>Terbinafin</w:t>
      </w:r>
      <w:proofErr w:type="spellEnd"/>
      <w:r>
        <w:t xml:space="preserve"> udskilles også i </w:t>
      </w:r>
      <w:proofErr w:type="spellStart"/>
      <w:r>
        <w:t>sebum</w:t>
      </w:r>
      <w:proofErr w:type="spellEnd"/>
      <w:r>
        <w:t xml:space="preserve">, hvilket medfører høje koncentrationer i hårfollikler, hår og </w:t>
      </w:r>
      <w:proofErr w:type="spellStart"/>
      <w:r>
        <w:t>sebum</w:t>
      </w:r>
      <w:proofErr w:type="spellEnd"/>
      <w:r>
        <w:t xml:space="preserve">-rig hud. Der er desuden tegn på, at </w:t>
      </w:r>
      <w:proofErr w:type="spellStart"/>
      <w:r>
        <w:t>terbinafin</w:t>
      </w:r>
      <w:proofErr w:type="spellEnd"/>
      <w:r>
        <w:t xml:space="preserve"> fordeles ud i </w:t>
      </w:r>
      <w:r>
        <w:rPr>
          <w:rStyle w:val="Dokument2"/>
        </w:rPr>
        <w:t xml:space="preserve">corpus </w:t>
      </w:r>
      <w:proofErr w:type="spellStart"/>
      <w:r>
        <w:rPr>
          <w:rStyle w:val="Dokument2"/>
        </w:rPr>
        <w:t>unguis</w:t>
      </w:r>
      <w:proofErr w:type="spellEnd"/>
      <w:r>
        <w:t xml:space="preserve"> i løbet af de første uger efter iværksættelse af behandlingen.</w:t>
      </w:r>
    </w:p>
    <w:p w:rsidR="001A5E02" w:rsidRDefault="001A5E02" w:rsidP="0065060E">
      <w:pPr>
        <w:pStyle w:val="Brdtekst"/>
        <w:ind w:left="0"/>
      </w:pPr>
    </w:p>
    <w:p w:rsidR="001A5E02" w:rsidRDefault="001A5E02" w:rsidP="001A5E02">
      <w:pPr>
        <w:pStyle w:val="Brdtekst"/>
        <w:ind w:left="0"/>
      </w:pPr>
      <w:r>
        <w:tab/>
      </w:r>
      <w:r>
        <w:rPr>
          <w:u w:val="single"/>
        </w:rPr>
        <w:t>Biotransformation</w:t>
      </w:r>
      <w:r>
        <w:t xml:space="preserve"> </w:t>
      </w:r>
    </w:p>
    <w:p w:rsidR="0065060E" w:rsidRDefault="0065060E" w:rsidP="0065060E">
      <w:pPr>
        <w:pStyle w:val="Brdtekst"/>
      </w:pPr>
      <w:proofErr w:type="spellStart"/>
      <w:r>
        <w:t>Terbinafin</w:t>
      </w:r>
      <w:proofErr w:type="spellEnd"/>
      <w:r>
        <w:t xml:space="preserve"> </w:t>
      </w:r>
      <w:proofErr w:type="spellStart"/>
      <w:r>
        <w:t>metaboliseres</w:t>
      </w:r>
      <w:proofErr w:type="spellEnd"/>
      <w:r>
        <w:t xml:space="preserve"> hurtigt og omfattende af mindst syv </w:t>
      </w:r>
      <w:proofErr w:type="spellStart"/>
      <w:r>
        <w:t>isoenzymer</w:t>
      </w:r>
      <w:proofErr w:type="spellEnd"/>
      <w:r>
        <w:t xml:space="preserve"> i </w:t>
      </w:r>
      <w:proofErr w:type="spellStart"/>
      <w:r>
        <w:t>cytochrom</w:t>
      </w:r>
      <w:proofErr w:type="spellEnd"/>
      <w:r>
        <w:t xml:space="preserve"> P450-systemet, med store bidrag fra CYP2C9, CYP1A2, CYP3A4, CYP2C8 og CYP2C19. </w:t>
      </w:r>
    </w:p>
    <w:p w:rsidR="001A5E02" w:rsidRDefault="001A5E02" w:rsidP="001A5E02">
      <w:pPr>
        <w:pStyle w:val="Brdtekst"/>
        <w:ind w:left="0"/>
      </w:pPr>
    </w:p>
    <w:p w:rsidR="001A5E02" w:rsidRDefault="001A5E02" w:rsidP="001A5E02">
      <w:pPr>
        <w:pStyle w:val="Brdtekst"/>
        <w:ind w:left="0"/>
        <w:rPr>
          <w:u w:val="single"/>
        </w:rPr>
      </w:pPr>
      <w:r>
        <w:tab/>
      </w:r>
      <w:r>
        <w:rPr>
          <w:u w:val="single"/>
        </w:rPr>
        <w:t>Elimination</w:t>
      </w:r>
    </w:p>
    <w:p w:rsidR="001A5E02" w:rsidRDefault="001A5E02" w:rsidP="001A5E02">
      <w:pPr>
        <w:pStyle w:val="Brdtekst"/>
        <w:rPr>
          <w:rFonts w:eastAsia="SimSun"/>
          <w:sz w:val="22"/>
          <w:szCs w:val="24"/>
        </w:rPr>
      </w:pPr>
      <w:r>
        <w:t xml:space="preserve">Biotransformationen resulterer i metabolitter, der er uden </w:t>
      </w:r>
      <w:proofErr w:type="spellStart"/>
      <w:r>
        <w:t>antimykotisk</w:t>
      </w:r>
      <w:proofErr w:type="spellEnd"/>
      <w:r>
        <w:t xml:space="preserve"> aktivitet, og som overvejende udskilles i urinen. </w:t>
      </w:r>
      <w:r>
        <w:rPr>
          <w:rFonts w:eastAsia="SimSun"/>
          <w:szCs w:val="24"/>
        </w:rPr>
        <w:t xml:space="preserve">Administration af flere doser efterfulgt af omfattende blodprøver viste en </w:t>
      </w:r>
      <w:proofErr w:type="spellStart"/>
      <w:r>
        <w:rPr>
          <w:rFonts w:eastAsia="SimSun"/>
          <w:szCs w:val="24"/>
        </w:rPr>
        <w:t>trifasisk</w:t>
      </w:r>
      <w:proofErr w:type="spellEnd"/>
      <w:r>
        <w:rPr>
          <w:rFonts w:eastAsia="SimSun"/>
          <w:szCs w:val="24"/>
        </w:rPr>
        <w:t xml:space="preserve"> elimination med en terminal halveringstid på cirka 16,5 dage.</w:t>
      </w:r>
    </w:p>
    <w:p w:rsidR="001A5E02" w:rsidRDefault="001A5E02" w:rsidP="001A5E02">
      <w:pPr>
        <w:pStyle w:val="Brdtekst"/>
        <w:ind w:left="0"/>
      </w:pPr>
    </w:p>
    <w:p w:rsidR="001A5E02" w:rsidRDefault="001A5E02" w:rsidP="001A5E02">
      <w:pPr>
        <w:pStyle w:val="NormaaliWeb"/>
        <w:spacing w:after="0"/>
        <w:ind w:firstLine="851"/>
        <w:rPr>
          <w:rFonts w:ascii="SimSun" w:eastAsia="SimSun" w:hAnsi="Times New Roman"/>
          <w:szCs w:val="24"/>
          <w:u w:val="single"/>
        </w:rPr>
      </w:pPr>
      <w:r>
        <w:rPr>
          <w:rFonts w:ascii="Times New Roman" w:eastAsia="SimSun" w:hAnsi="Times New Roman"/>
          <w:szCs w:val="24"/>
          <w:u w:val="single"/>
          <w:lang w:val="da-DK"/>
        </w:rPr>
        <w:t>Biotilgængelighed</w:t>
      </w:r>
    </w:p>
    <w:p w:rsidR="0065060E" w:rsidRDefault="0065060E" w:rsidP="0065060E">
      <w:pPr>
        <w:pStyle w:val="NormaaliWeb"/>
        <w:spacing w:after="0"/>
        <w:ind w:left="851"/>
        <w:rPr>
          <w:szCs w:val="24"/>
          <w:lang w:val="da-DK"/>
        </w:rPr>
      </w:pPr>
      <w:r>
        <w:rPr>
          <w:rFonts w:ascii="Times New Roman" w:eastAsia="SimSun" w:hAnsi="Times New Roman"/>
          <w:szCs w:val="24"/>
          <w:lang w:val="da-DK"/>
        </w:rPr>
        <w:lastRenderedPageBreak/>
        <w:t xml:space="preserve">Som følge af </w:t>
      </w:r>
      <w:proofErr w:type="spellStart"/>
      <w:r>
        <w:rPr>
          <w:rFonts w:ascii="Times New Roman" w:eastAsia="SimSun" w:hAnsi="Times New Roman"/>
          <w:szCs w:val="24"/>
          <w:lang w:val="da-DK"/>
        </w:rPr>
        <w:t>first</w:t>
      </w:r>
      <w:proofErr w:type="spellEnd"/>
      <w:r>
        <w:rPr>
          <w:rFonts w:ascii="Times New Roman" w:eastAsia="SimSun" w:hAnsi="Times New Roman"/>
          <w:szCs w:val="24"/>
          <w:lang w:val="da-DK"/>
        </w:rPr>
        <w:t xml:space="preserve"> </w:t>
      </w:r>
      <w:proofErr w:type="spellStart"/>
      <w:r>
        <w:rPr>
          <w:rFonts w:ascii="Times New Roman" w:eastAsia="SimSun" w:hAnsi="Times New Roman"/>
          <w:szCs w:val="24"/>
          <w:lang w:val="da-DK"/>
        </w:rPr>
        <w:t>pass</w:t>
      </w:r>
      <w:proofErr w:type="spellEnd"/>
      <w:r>
        <w:rPr>
          <w:rFonts w:ascii="Times New Roman" w:eastAsia="SimSun" w:hAnsi="Times New Roman"/>
          <w:szCs w:val="24"/>
          <w:lang w:val="da-DK"/>
        </w:rPr>
        <w:t xml:space="preserve">-metabolismen er den absolutte biotilgængelighed af </w:t>
      </w:r>
      <w:proofErr w:type="spellStart"/>
      <w:r>
        <w:rPr>
          <w:rFonts w:ascii="Times New Roman" w:eastAsia="SimSun" w:hAnsi="Times New Roman"/>
          <w:szCs w:val="24"/>
          <w:lang w:val="da-DK"/>
        </w:rPr>
        <w:t>terbinafin</w:t>
      </w:r>
      <w:proofErr w:type="spellEnd"/>
      <w:r>
        <w:rPr>
          <w:rFonts w:ascii="Times New Roman" w:eastAsia="SimSun" w:hAnsi="Times New Roman"/>
          <w:szCs w:val="24"/>
          <w:lang w:val="da-DK"/>
        </w:rPr>
        <w:t xml:space="preserve"> fra </w:t>
      </w:r>
      <w:proofErr w:type="spellStart"/>
      <w:r>
        <w:rPr>
          <w:rFonts w:ascii="Times New Roman" w:eastAsia="SimSun" w:hAnsi="Times New Roman"/>
          <w:szCs w:val="24"/>
          <w:lang w:val="da-DK"/>
        </w:rPr>
        <w:t>terbinafin</w:t>
      </w:r>
      <w:proofErr w:type="spellEnd"/>
      <w:r>
        <w:rPr>
          <w:rFonts w:ascii="Times New Roman" w:eastAsia="SimSun" w:hAnsi="Times New Roman"/>
          <w:szCs w:val="24"/>
          <w:lang w:val="da-DK"/>
        </w:rPr>
        <w:t xml:space="preserve">-tabletter cirka 50 %. </w:t>
      </w:r>
    </w:p>
    <w:p w:rsidR="0065060E" w:rsidRDefault="0065060E" w:rsidP="0065060E">
      <w:pPr>
        <w:pStyle w:val="Brdtekst"/>
        <w:ind w:left="0"/>
      </w:pPr>
    </w:p>
    <w:p w:rsidR="0065060E" w:rsidRDefault="0065060E" w:rsidP="0065060E">
      <w:pPr>
        <w:pStyle w:val="Brdtekst"/>
        <w:ind w:left="0"/>
        <w:rPr>
          <w:u w:val="single"/>
        </w:rPr>
      </w:pPr>
      <w:r>
        <w:tab/>
      </w:r>
      <w:r>
        <w:rPr>
          <w:u w:val="single"/>
        </w:rPr>
        <w:t xml:space="preserve">Særlige patientgrupper </w:t>
      </w:r>
    </w:p>
    <w:p w:rsidR="0065060E" w:rsidRDefault="0065060E" w:rsidP="0065060E">
      <w:pPr>
        <w:pStyle w:val="Brdtekst"/>
      </w:pPr>
      <w:r>
        <w:t xml:space="preserve">Der er ikke observeret nogen klinisk relevante aldersbetingede ændringer i </w:t>
      </w:r>
      <w:proofErr w:type="spellStart"/>
      <w:r>
        <w:t>steady</w:t>
      </w:r>
      <w:proofErr w:type="spellEnd"/>
      <w:r>
        <w:t xml:space="preserve"> </w:t>
      </w:r>
      <w:proofErr w:type="spellStart"/>
      <w:r>
        <w:t>state</w:t>
      </w:r>
      <w:proofErr w:type="spellEnd"/>
      <w:r>
        <w:t xml:space="preserve">-plasmakoncentrationer af </w:t>
      </w:r>
      <w:proofErr w:type="spellStart"/>
      <w:r>
        <w:t>terbinafin</w:t>
      </w:r>
      <w:proofErr w:type="spellEnd"/>
      <w:r>
        <w:t xml:space="preserve">. </w:t>
      </w:r>
    </w:p>
    <w:p w:rsidR="0065060E" w:rsidRDefault="0065060E" w:rsidP="0065060E">
      <w:pPr>
        <w:pStyle w:val="Brdtekst"/>
        <w:ind w:left="0"/>
      </w:pPr>
    </w:p>
    <w:p w:rsidR="0065060E" w:rsidRDefault="0065060E" w:rsidP="0065060E">
      <w:pPr>
        <w:pStyle w:val="Brdtekst"/>
      </w:pPr>
      <w:proofErr w:type="spellStart"/>
      <w:r>
        <w:t>Farmakokinetiske</w:t>
      </w:r>
      <w:proofErr w:type="spellEnd"/>
      <w:r>
        <w:t xml:space="preserve"> forsøg med enkeltdoser har vist, at </w:t>
      </w:r>
      <w:proofErr w:type="spellStart"/>
      <w:r>
        <w:t>terbinafins</w:t>
      </w:r>
      <w:proofErr w:type="spellEnd"/>
      <w:r>
        <w:t xml:space="preserve"> </w:t>
      </w:r>
      <w:proofErr w:type="spellStart"/>
      <w:r>
        <w:t>clearance</w:t>
      </w:r>
      <w:proofErr w:type="spellEnd"/>
      <w:r>
        <w:t xml:space="preserve"> kan være reduceret med cirka 50 % hos patienter med nyreinsufficiens (</w:t>
      </w:r>
      <w:proofErr w:type="spellStart"/>
      <w:r>
        <w:t>kreatinin-clearance</w:t>
      </w:r>
      <w:proofErr w:type="spellEnd"/>
      <w:r>
        <w:t xml:space="preserve"> &lt; 50 ml/min) eller med eksisterende leversygdom.</w:t>
      </w:r>
    </w:p>
    <w:p w:rsidR="001A5E02" w:rsidRDefault="001A5E02" w:rsidP="001A5E02">
      <w:pPr>
        <w:tabs>
          <w:tab w:val="left" w:pos="851"/>
        </w:tabs>
        <w:jc w:val="both"/>
      </w:pPr>
    </w:p>
    <w:p w:rsidR="001A5E02" w:rsidRDefault="0065060E" w:rsidP="001A5E02">
      <w:pPr>
        <w:numPr>
          <w:ilvl w:val="1"/>
          <w:numId w:val="4"/>
        </w:numPr>
        <w:jc w:val="both"/>
        <w:rPr>
          <w:b/>
        </w:rPr>
      </w:pPr>
      <w:r>
        <w:rPr>
          <w:b/>
        </w:rPr>
        <w:t>Non-</w:t>
      </w:r>
      <w:r w:rsidR="001A5E02">
        <w:rPr>
          <w:b/>
        </w:rPr>
        <w:t xml:space="preserve">kliniske sikkerhedsdata </w:t>
      </w:r>
    </w:p>
    <w:p w:rsidR="0065060E" w:rsidRDefault="0065060E" w:rsidP="0065060E">
      <w:pPr>
        <w:pStyle w:val="Brdtekst"/>
        <w:ind w:left="855"/>
        <w:rPr>
          <w:u w:val="single"/>
        </w:rPr>
      </w:pPr>
      <w:r>
        <w:rPr>
          <w:u w:val="single"/>
        </w:rPr>
        <w:t>Akut toksicitet</w:t>
      </w:r>
    </w:p>
    <w:p w:rsidR="0065060E" w:rsidRDefault="0065060E" w:rsidP="0065060E">
      <w:pPr>
        <w:pStyle w:val="Brdtekst"/>
        <w:ind w:left="855"/>
      </w:pPr>
      <w:r>
        <w:t xml:space="preserve">De vigtigste symptomer på en akut overdosering består af </w:t>
      </w:r>
      <w:proofErr w:type="spellStart"/>
      <w:r>
        <w:t>gastrointestinale</w:t>
      </w:r>
      <w:proofErr w:type="spellEnd"/>
      <w:r>
        <w:t xml:space="preserve"> gener, f.eks. kvalme eller opkastning.</w:t>
      </w:r>
    </w:p>
    <w:p w:rsidR="0065060E" w:rsidRDefault="0065060E" w:rsidP="0065060E">
      <w:pPr>
        <w:pStyle w:val="Brdtekst"/>
        <w:ind w:left="855"/>
      </w:pPr>
    </w:p>
    <w:p w:rsidR="0065060E" w:rsidRDefault="0065060E" w:rsidP="0065060E">
      <w:pPr>
        <w:pStyle w:val="Brdtekst"/>
        <w:ind w:left="855"/>
        <w:rPr>
          <w:u w:val="single"/>
        </w:rPr>
      </w:pPr>
      <w:r>
        <w:rPr>
          <w:u w:val="single"/>
        </w:rPr>
        <w:t>Toksicitet efter gentagne doser</w:t>
      </w:r>
    </w:p>
    <w:p w:rsidR="001A5E02" w:rsidRDefault="001A5E02" w:rsidP="001A5E02">
      <w:pPr>
        <w:pStyle w:val="Brdtekst"/>
      </w:pPr>
      <w:r>
        <w:t xml:space="preserve">Langtidsforsøg (op til 1 år) med rotter og hunde viser ingen markant toksisk effekt hos nogen af dyrearterne ved perorale doser på op til ca. </w:t>
      </w:r>
      <w:r w:rsidR="0065060E">
        <w:t>100 mg/kg pr. dag</w:t>
      </w:r>
      <w:r>
        <w:t>. Ved høje perorale doser blev leveren og muligvis også nyrerne identificeret som mulige målorganer.</w:t>
      </w:r>
    </w:p>
    <w:p w:rsidR="001A5E02" w:rsidRDefault="001A5E02" w:rsidP="001A5E02"/>
    <w:p w:rsidR="0065060E" w:rsidRDefault="0065060E" w:rsidP="0065060E">
      <w:pPr>
        <w:pStyle w:val="Brdtekst"/>
      </w:pPr>
      <w:r>
        <w:t xml:space="preserve">På den anden side blev der set stigninger i leverens vægt og den aktiverede </w:t>
      </w:r>
      <w:proofErr w:type="spellStart"/>
      <w:r>
        <w:t>plasmatrombintid</w:t>
      </w:r>
      <w:proofErr w:type="spellEnd"/>
      <w:r>
        <w:t xml:space="preserve"> (</w:t>
      </w:r>
      <w:proofErr w:type="spellStart"/>
      <w:r>
        <w:t>aPTT</w:t>
      </w:r>
      <w:proofErr w:type="spellEnd"/>
      <w:r>
        <w:t xml:space="preserve">) hos hunde og aber. Disse virkninger forekom hos dyr ved sådanne doser, der resulterede i </w:t>
      </w:r>
      <w:proofErr w:type="spellStart"/>
      <w:r>
        <w:t>steady</w:t>
      </w:r>
      <w:proofErr w:type="spellEnd"/>
      <w:r>
        <w:t xml:space="preserve"> state-koncentrationer af </w:t>
      </w:r>
      <w:proofErr w:type="spellStart"/>
      <w:r>
        <w:t>terbinafin</w:t>
      </w:r>
      <w:proofErr w:type="spellEnd"/>
      <w:r>
        <w:t xml:space="preserve"> i plasma. Disse plasmaniveauer var 2-3 gange højere end plasmaniveauer, der medfører virkninger hos mennesker efter den minimale dosis. Højere doser blev ikke undersøgt.</w:t>
      </w:r>
    </w:p>
    <w:p w:rsidR="0065060E" w:rsidRDefault="0065060E" w:rsidP="0065060E">
      <w:pPr>
        <w:pStyle w:val="Brdtekst"/>
        <w:rPr>
          <w:rStyle w:val="Dokument2"/>
          <w:lang w:eastAsia="en-US"/>
        </w:rPr>
      </w:pPr>
    </w:p>
    <w:p w:rsidR="0065060E" w:rsidRDefault="0065060E" w:rsidP="0065060E">
      <w:pPr>
        <w:pStyle w:val="Brdtekst"/>
      </w:pPr>
      <w:r>
        <w:rPr>
          <w:rStyle w:val="Dokument2"/>
        </w:rPr>
        <w:t xml:space="preserve">I et 32-ugers studie af toksicitet efter gentagne doser hos aber, der fik høje orale doser </w:t>
      </w:r>
      <w:proofErr w:type="spellStart"/>
      <w:r>
        <w:rPr>
          <w:rStyle w:val="Dokument2"/>
        </w:rPr>
        <w:t>terbinafin</w:t>
      </w:r>
      <w:proofErr w:type="spellEnd"/>
      <w:r>
        <w:rPr>
          <w:rStyle w:val="Dokument2"/>
        </w:rPr>
        <w:t xml:space="preserve">, kunne der observeres refraktile uregelmæssigheder i </w:t>
      </w:r>
      <w:proofErr w:type="spellStart"/>
      <w:r>
        <w:rPr>
          <w:rStyle w:val="Dokument2"/>
        </w:rPr>
        <w:t>retina</w:t>
      </w:r>
      <w:proofErr w:type="spellEnd"/>
      <w:r>
        <w:rPr>
          <w:rStyle w:val="Dokument2"/>
        </w:rPr>
        <w:t xml:space="preserve"> (ikke-toksisk virkningsniveau = 50 mg/kg/dag). Disse uregelmæssigheder var forbundet med forekomsten af </w:t>
      </w:r>
      <w:proofErr w:type="spellStart"/>
      <w:r>
        <w:rPr>
          <w:rStyle w:val="Dokument2"/>
        </w:rPr>
        <w:t>terbinafin</w:t>
      </w:r>
      <w:proofErr w:type="spellEnd"/>
      <w:r>
        <w:rPr>
          <w:rStyle w:val="Dokument2"/>
        </w:rPr>
        <w:t xml:space="preserve">-metabolitter i </w:t>
      </w:r>
      <w:proofErr w:type="spellStart"/>
      <w:r>
        <w:rPr>
          <w:rStyle w:val="Dokument2"/>
        </w:rPr>
        <w:t>okulært</w:t>
      </w:r>
      <w:proofErr w:type="spellEnd"/>
      <w:r>
        <w:rPr>
          <w:rStyle w:val="Dokument2"/>
        </w:rPr>
        <w:t xml:space="preserve"> væv og forsvandt ved </w:t>
      </w:r>
      <w:proofErr w:type="spellStart"/>
      <w:r>
        <w:rPr>
          <w:rStyle w:val="Dokument2"/>
        </w:rPr>
        <w:t>seponering</w:t>
      </w:r>
      <w:proofErr w:type="spellEnd"/>
      <w:r>
        <w:rPr>
          <w:rStyle w:val="Dokument2"/>
        </w:rPr>
        <w:t xml:space="preserve"> af lægemidlet. </w:t>
      </w:r>
      <w:r>
        <w:t>De var ikke forbundet med histologiske ændringer.</w:t>
      </w:r>
    </w:p>
    <w:p w:rsidR="0065060E" w:rsidRDefault="0065060E" w:rsidP="0065060E"/>
    <w:p w:rsidR="0065060E" w:rsidRDefault="0065060E" w:rsidP="0065060E">
      <w:pPr>
        <w:pStyle w:val="Brdtekst"/>
      </w:pPr>
      <w:r>
        <w:t xml:space="preserve">I 4-ugers forsøg resulterede intravenøs administration af </w:t>
      </w:r>
      <w:proofErr w:type="spellStart"/>
      <w:r>
        <w:t>terbinafin</w:t>
      </w:r>
      <w:proofErr w:type="spellEnd"/>
      <w:r>
        <w:t xml:space="preserve"> hos rotter (&gt; 30 mg/kg/dag) og aber (75 mg/kg/dag) i lidelser i centralnervesystemet, herunder </w:t>
      </w:r>
      <w:proofErr w:type="spellStart"/>
      <w:r>
        <w:t>hypoaktivitet</w:t>
      </w:r>
      <w:proofErr w:type="spellEnd"/>
      <w:r>
        <w:t xml:space="preserve">, </w:t>
      </w:r>
      <w:proofErr w:type="spellStart"/>
      <w:r>
        <w:t>ataksi</w:t>
      </w:r>
      <w:proofErr w:type="spellEnd"/>
      <w:r>
        <w:t xml:space="preserve"> og kramper.</w:t>
      </w:r>
    </w:p>
    <w:p w:rsidR="0065060E" w:rsidRDefault="0065060E" w:rsidP="0065060E">
      <w:pPr>
        <w:pStyle w:val="Brdtekst"/>
      </w:pPr>
    </w:p>
    <w:p w:rsidR="0065060E" w:rsidRDefault="0065060E" w:rsidP="0065060E">
      <w:pPr>
        <w:pStyle w:val="Brdtekst"/>
        <w:rPr>
          <w:u w:val="single"/>
        </w:rPr>
      </w:pPr>
      <w:r>
        <w:rPr>
          <w:u w:val="single"/>
        </w:rPr>
        <w:t>Reproduktions- og udviklingstoksicitet</w:t>
      </w:r>
    </w:p>
    <w:p w:rsidR="0065060E" w:rsidRDefault="0065060E" w:rsidP="0065060E">
      <w:pPr>
        <w:pStyle w:val="Brdtekst"/>
      </w:pPr>
      <w:r>
        <w:t>Der blev ikke observeret bivirkninger i forbindelse med fertilitet og andre reproduktionsparametre i studier med rotter eller kaniner.</w:t>
      </w:r>
    </w:p>
    <w:p w:rsidR="0065060E" w:rsidRDefault="0065060E" w:rsidP="0065060E">
      <w:pPr>
        <w:pStyle w:val="Brdtekst"/>
      </w:pPr>
    </w:p>
    <w:p w:rsidR="0065060E" w:rsidRDefault="0065060E" w:rsidP="0065060E">
      <w:pPr>
        <w:pStyle w:val="Brdtekst"/>
        <w:rPr>
          <w:u w:val="single"/>
        </w:rPr>
      </w:pPr>
      <w:r>
        <w:rPr>
          <w:u w:val="single"/>
        </w:rPr>
        <w:t>Studier hos unge dyr</w:t>
      </w:r>
    </w:p>
    <w:p w:rsidR="0065060E" w:rsidRDefault="0065060E" w:rsidP="0065060E">
      <w:pPr>
        <w:pStyle w:val="Brdtekst"/>
      </w:pPr>
      <w:r>
        <w:t xml:space="preserve">I et 8-ugers studie med oral administration hos unge rotter blev der beregnet et </w:t>
      </w:r>
      <w:r>
        <w:rPr>
          <w:i/>
          <w:iCs/>
        </w:rPr>
        <w:t>ikke-toksisk-effektniveau</w:t>
      </w:r>
      <w:r>
        <w:t xml:space="preserve"> (NTEL) på næsten 100 mg/kg/dag, og det eneste fund var forhøjet levervægt. Hos modnende hunde ved doser på ≥ 100 mg/kg/dag (AUC-værdier på cirka 13x (hanner) og 6x (hunner) værdien hos børn) blev der observeret tegn på forstyrrelser af centralnervesystemet (CNS) med enkeltepisoder af kramper hos enkelte dyr. Tilsvarende fund er observeret ved høj systemisk eksponering efter intravenøs administration af </w:t>
      </w:r>
      <w:proofErr w:type="spellStart"/>
      <w:r>
        <w:t>terbinafin</w:t>
      </w:r>
      <w:proofErr w:type="spellEnd"/>
      <w:r>
        <w:t xml:space="preserve"> til voksne rotter og aber.</w:t>
      </w:r>
    </w:p>
    <w:p w:rsidR="0065060E" w:rsidRDefault="0065060E" w:rsidP="0065060E">
      <w:pPr>
        <w:pStyle w:val="Brdtekst"/>
      </w:pPr>
    </w:p>
    <w:p w:rsidR="0065060E" w:rsidRDefault="0065060E" w:rsidP="0065060E">
      <w:pPr>
        <w:pStyle w:val="Brdtekst"/>
        <w:rPr>
          <w:u w:val="single"/>
        </w:rPr>
      </w:pPr>
      <w:r>
        <w:rPr>
          <w:u w:val="single"/>
        </w:rPr>
        <w:t>Genotoksicitet</w:t>
      </w:r>
    </w:p>
    <w:p w:rsidR="0065060E" w:rsidRDefault="0065060E" w:rsidP="0065060E">
      <w:pPr>
        <w:pStyle w:val="Brdtekst"/>
      </w:pPr>
      <w:r>
        <w:lastRenderedPageBreak/>
        <w:t xml:space="preserve">I en række standardtest af genotoksiciteten </w:t>
      </w:r>
      <w:r>
        <w:rPr>
          <w:i/>
          <w:iCs/>
        </w:rPr>
        <w:t xml:space="preserve">in </w:t>
      </w:r>
      <w:proofErr w:type="spellStart"/>
      <w:r>
        <w:rPr>
          <w:i/>
          <w:iCs/>
        </w:rPr>
        <w:t>vitro</w:t>
      </w:r>
      <w:proofErr w:type="spellEnd"/>
      <w:r>
        <w:t xml:space="preserve"> og </w:t>
      </w:r>
      <w:r>
        <w:rPr>
          <w:i/>
          <w:iCs/>
        </w:rPr>
        <w:t xml:space="preserve">in </w:t>
      </w:r>
      <w:proofErr w:type="spellStart"/>
      <w:r>
        <w:rPr>
          <w:i/>
          <w:iCs/>
        </w:rPr>
        <w:t>vivo</w:t>
      </w:r>
      <w:proofErr w:type="spellEnd"/>
      <w:r>
        <w:t xml:space="preserve"> var der ingen tegn på mutagent eller </w:t>
      </w:r>
      <w:proofErr w:type="spellStart"/>
      <w:r>
        <w:t>klastogent</w:t>
      </w:r>
      <w:proofErr w:type="spellEnd"/>
      <w:r>
        <w:t xml:space="preserve"> potentiale for produktet.</w:t>
      </w:r>
    </w:p>
    <w:p w:rsidR="0065060E" w:rsidRDefault="0065060E" w:rsidP="0065060E">
      <w:pPr>
        <w:pStyle w:val="Brdtekst"/>
      </w:pPr>
    </w:p>
    <w:p w:rsidR="0065060E" w:rsidRDefault="0065060E" w:rsidP="0065060E">
      <w:pPr>
        <w:pStyle w:val="Brdtekst"/>
        <w:rPr>
          <w:u w:val="single"/>
        </w:rPr>
      </w:pPr>
      <w:proofErr w:type="spellStart"/>
      <w:r>
        <w:rPr>
          <w:u w:val="single"/>
        </w:rPr>
        <w:t>Karcinogent</w:t>
      </w:r>
      <w:proofErr w:type="spellEnd"/>
      <w:r>
        <w:rPr>
          <w:u w:val="single"/>
        </w:rPr>
        <w:t xml:space="preserve"> potentiale</w:t>
      </w:r>
    </w:p>
    <w:p w:rsidR="0065060E" w:rsidRDefault="0065060E" w:rsidP="0065060E">
      <w:pPr>
        <w:pStyle w:val="Brdtekst"/>
      </w:pPr>
      <w:r>
        <w:t xml:space="preserve">Der blev i et 2-årigt oralt </w:t>
      </w:r>
      <w:proofErr w:type="spellStart"/>
      <w:r>
        <w:t>karcinogenicitetsstudie</w:t>
      </w:r>
      <w:proofErr w:type="spellEnd"/>
      <w:r>
        <w:t xml:space="preserve"> med mus ikke observeret neoplastiske eller andre abnorme fund under behandling ved doser på op til 130 mg/kg (hanner) og 156 mg/kg (hunner) dagligt. Der blev i et 2-årigt </w:t>
      </w:r>
      <w:proofErr w:type="spellStart"/>
      <w:r>
        <w:t>karcinogenicitetsstudie</w:t>
      </w:r>
      <w:proofErr w:type="spellEnd"/>
      <w:r>
        <w:t xml:space="preserve"> med rotter observeret en øget forekomst af levertumorer hos hanner ved den højeste dosis på 69 mg/kg dagligt. Disse ændringer, der kan være forbundet med </w:t>
      </w:r>
      <w:proofErr w:type="spellStart"/>
      <w:r>
        <w:t>peroxisomal</w:t>
      </w:r>
      <w:proofErr w:type="spellEnd"/>
      <w:r>
        <w:t xml:space="preserve"> </w:t>
      </w:r>
      <w:proofErr w:type="spellStart"/>
      <w:r>
        <w:t>proliferation</w:t>
      </w:r>
      <w:proofErr w:type="spellEnd"/>
      <w:r>
        <w:t xml:space="preserve">, skal anses som specifikke for den pågældende art, eftersom de ikke blev set i </w:t>
      </w:r>
      <w:proofErr w:type="spellStart"/>
      <w:r>
        <w:t>karcinogenicitetsstudiet</w:t>
      </w:r>
      <w:proofErr w:type="spellEnd"/>
      <w:r>
        <w:t xml:space="preserve"> med mus eller i andre studier med mus, hunde eller aber.</w:t>
      </w:r>
    </w:p>
    <w:p w:rsidR="001A5E02" w:rsidRDefault="001A5E02" w:rsidP="001A5E02">
      <w:pPr>
        <w:tabs>
          <w:tab w:val="left" w:pos="851"/>
        </w:tabs>
        <w:jc w:val="both"/>
      </w:pPr>
    </w:p>
    <w:p w:rsidR="001A5E02" w:rsidRDefault="001A5E02" w:rsidP="001A5E02">
      <w:pPr>
        <w:tabs>
          <w:tab w:val="left" w:pos="851"/>
        </w:tabs>
        <w:jc w:val="both"/>
      </w:pPr>
    </w:p>
    <w:p w:rsidR="001A5E02" w:rsidRDefault="001A5E02" w:rsidP="001A5E02">
      <w:pPr>
        <w:numPr>
          <w:ilvl w:val="0"/>
          <w:numId w:val="8"/>
        </w:numPr>
        <w:jc w:val="both"/>
        <w:rPr>
          <w:b/>
        </w:rPr>
      </w:pPr>
      <w:r>
        <w:rPr>
          <w:b/>
        </w:rPr>
        <w:t>FARMACEUTISKE OPLYSNINGER</w:t>
      </w:r>
    </w:p>
    <w:p w:rsidR="001A5E02" w:rsidRDefault="001A5E02" w:rsidP="001A5E02">
      <w:pPr>
        <w:tabs>
          <w:tab w:val="left" w:pos="851"/>
        </w:tabs>
        <w:jc w:val="both"/>
        <w:rPr>
          <w:b/>
        </w:rPr>
      </w:pPr>
    </w:p>
    <w:p w:rsidR="001A5E02" w:rsidRDefault="001A5E02" w:rsidP="001A5E02">
      <w:pPr>
        <w:numPr>
          <w:ilvl w:val="1"/>
          <w:numId w:val="9"/>
        </w:numPr>
        <w:jc w:val="both"/>
        <w:rPr>
          <w:b/>
        </w:rPr>
      </w:pPr>
      <w:r>
        <w:rPr>
          <w:b/>
        </w:rPr>
        <w:t>Hjælpestoffer</w:t>
      </w:r>
    </w:p>
    <w:p w:rsidR="001A5E02" w:rsidRDefault="001A5E02" w:rsidP="001A5E02">
      <w:pPr>
        <w:pStyle w:val="Brdtekst"/>
        <w:rPr>
          <w:lang w:val="en-GB"/>
        </w:rPr>
      </w:pPr>
      <w:proofErr w:type="spellStart"/>
      <w:r>
        <w:t>Natriumstivelsesglycolat</w:t>
      </w:r>
      <w:proofErr w:type="spellEnd"/>
      <w:r>
        <w:t xml:space="preserve"> (type A)</w:t>
      </w:r>
    </w:p>
    <w:p w:rsidR="001A5E02" w:rsidRDefault="001A5E02" w:rsidP="001A5E02">
      <w:pPr>
        <w:pStyle w:val="Brdtekst"/>
      </w:pPr>
      <w:proofErr w:type="spellStart"/>
      <w:r>
        <w:t>Hypromellose</w:t>
      </w:r>
      <w:proofErr w:type="spellEnd"/>
    </w:p>
    <w:p w:rsidR="001A5E02" w:rsidRDefault="001A5E02" w:rsidP="001A5E02">
      <w:pPr>
        <w:pStyle w:val="Brdtekst"/>
      </w:pPr>
      <w:proofErr w:type="spellStart"/>
      <w:r>
        <w:t>Silica</w:t>
      </w:r>
      <w:proofErr w:type="spellEnd"/>
      <w:r>
        <w:t>, kolloid vandfri</w:t>
      </w:r>
    </w:p>
    <w:p w:rsidR="001A5E02" w:rsidRDefault="001A5E02" w:rsidP="001A5E02">
      <w:pPr>
        <w:pStyle w:val="Brdtekst"/>
      </w:pPr>
      <w:r>
        <w:t>Kartoffelstivelse</w:t>
      </w:r>
    </w:p>
    <w:p w:rsidR="001A5E02" w:rsidRDefault="001A5E02" w:rsidP="001A5E02">
      <w:pPr>
        <w:pStyle w:val="Brdtekst"/>
      </w:pPr>
      <w:proofErr w:type="spellStart"/>
      <w:r>
        <w:t>Magnesiumstearat</w:t>
      </w:r>
      <w:proofErr w:type="spellEnd"/>
    </w:p>
    <w:p w:rsidR="001A5E02" w:rsidRDefault="001A5E02" w:rsidP="001A5E02">
      <w:pPr>
        <w:tabs>
          <w:tab w:val="left" w:pos="851"/>
        </w:tabs>
        <w:jc w:val="both"/>
      </w:pPr>
    </w:p>
    <w:p w:rsidR="001A5E02" w:rsidRDefault="001A5E02" w:rsidP="001A5E02">
      <w:pPr>
        <w:numPr>
          <w:ilvl w:val="1"/>
          <w:numId w:val="9"/>
        </w:numPr>
        <w:jc w:val="both"/>
        <w:rPr>
          <w:b/>
        </w:rPr>
      </w:pPr>
      <w:r>
        <w:rPr>
          <w:b/>
        </w:rPr>
        <w:t>Uforligeligheder</w:t>
      </w:r>
    </w:p>
    <w:p w:rsidR="001A5E02" w:rsidRDefault="001A5E02" w:rsidP="001A5E02">
      <w:pPr>
        <w:pStyle w:val="Brdtekst"/>
      </w:pPr>
      <w:r>
        <w:t>Ikke relevant.</w:t>
      </w:r>
    </w:p>
    <w:p w:rsidR="001A5E02" w:rsidRDefault="001A5E02" w:rsidP="001A5E02">
      <w:pPr>
        <w:tabs>
          <w:tab w:val="left" w:pos="851"/>
        </w:tabs>
        <w:jc w:val="both"/>
      </w:pPr>
    </w:p>
    <w:p w:rsidR="001A5E02" w:rsidRDefault="001A5E02" w:rsidP="00A14FF1">
      <w:pPr>
        <w:keepNext/>
        <w:numPr>
          <w:ilvl w:val="1"/>
          <w:numId w:val="9"/>
        </w:numPr>
        <w:ind w:left="856" w:hanging="856"/>
        <w:jc w:val="both"/>
        <w:rPr>
          <w:b/>
        </w:rPr>
      </w:pPr>
      <w:r>
        <w:rPr>
          <w:b/>
        </w:rPr>
        <w:t>Opbevaringstid</w:t>
      </w:r>
    </w:p>
    <w:p w:rsidR="001A5E02" w:rsidRDefault="001A5E02" w:rsidP="001A5E02">
      <w:pPr>
        <w:pStyle w:val="Brdtekst"/>
      </w:pPr>
      <w:r>
        <w:t>4 år.</w:t>
      </w:r>
    </w:p>
    <w:p w:rsidR="001A5E02" w:rsidRDefault="001A5E02" w:rsidP="001A5E02">
      <w:pPr>
        <w:tabs>
          <w:tab w:val="left" w:pos="851"/>
        </w:tabs>
        <w:jc w:val="both"/>
      </w:pPr>
    </w:p>
    <w:p w:rsidR="001A5E02" w:rsidRDefault="001A5E02" w:rsidP="001A5E02">
      <w:pPr>
        <w:numPr>
          <w:ilvl w:val="1"/>
          <w:numId w:val="9"/>
        </w:numPr>
        <w:jc w:val="both"/>
        <w:rPr>
          <w:b/>
        </w:rPr>
      </w:pPr>
      <w:r>
        <w:rPr>
          <w:b/>
        </w:rPr>
        <w:t>Særlige opbevaringsforhold</w:t>
      </w:r>
    </w:p>
    <w:p w:rsidR="0065060E" w:rsidRDefault="001A5E02" w:rsidP="0065060E">
      <w:pPr>
        <w:pStyle w:val="Brdtekst"/>
      </w:pPr>
      <w:r>
        <w:t xml:space="preserve">Tabletbeholder: </w:t>
      </w:r>
      <w:r w:rsidR="0065060E">
        <w:t>Opbevares i den originale yderpakning for at beskytte mod lys.</w:t>
      </w:r>
    </w:p>
    <w:p w:rsidR="001A5E02" w:rsidRDefault="0065060E" w:rsidP="0065060E">
      <w:pPr>
        <w:pStyle w:val="Brdtekst"/>
      </w:pPr>
      <w:r>
        <w:t>Blister: Opbevares i den ydre karton for at beskytte mod lys.</w:t>
      </w:r>
      <w:r>
        <w:br/>
      </w:r>
    </w:p>
    <w:p w:rsidR="001A5E02" w:rsidRPr="009266E3" w:rsidRDefault="001A5E02" w:rsidP="001A5E02">
      <w:pPr>
        <w:numPr>
          <w:ilvl w:val="1"/>
          <w:numId w:val="9"/>
        </w:numPr>
        <w:jc w:val="both"/>
        <w:rPr>
          <w:b/>
        </w:rPr>
      </w:pPr>
      <w:r>
        <w:rPr>
          <w:b/>
        </w:rPr>
        <w:t>Emballagetype og pakningsstørrelser</w:t>
      </w:r>
    </w:p>
    <w:p w:rsidR="001A5E02" w:rsidRDefault="001A5E02" w:rsidP="001A5E02">
      <w:pPr>
        <w:pStyle w:val="Brdtekst"/>
        <w:ind w:left="0"/>
      </w:pPr>
      <w:r>
        <w:tab/>
        <w:t xml:space="preserve">Blister (Al/PVC) eller </w:t>
      </w:r>
      <w:proofErr w:type="spellStart"/>
      <w:r>
        <w:t>polyethylentabletbeholder</w:t>
      </w:r>
      <w:proofErr w:type="spellEnd"/>
      <w:r>
        <w:t xml:space="preserve"> (HDPE) (åbningssikret). </w:t>
      </w:r>
    </w:p>
    <w:p w:rsidR="001A5E02" w:rsidRDefault="001A5E02" w:rsidP="001A5E02">
      <w:pPr>
        <w:ind w:right="-220"/>
        <w:jc w:val="both"/>
      </w:pPr>
    </w:p>
    <w:p w:rsidR="001A5E02" w:rsidRDefault="001A5E02" w:rsidP="001A5E02">
      <w:pPr>
        <w:pStyle w:val="Brdtekst"/>
        <w:ind w:left="0"/>
      </w:pPr>
      <w:r>
        <w:tab/>
        <w:t xml:space="preserve">Pakningsstørrelser: </w:t>
      </w:r>
    </w:p>
    <w:p w:rsidR="001A5E02" w:rsidRDefault="001A5E02" w:rsidP="001A5E02">
      <w:pPr>
        <w:pStyle w:val="Brdtekst"/>
        <w:ind w:left="0"/>
        <w:rPr>
          <w:lang w:val="nb-NO"/>
        </w:rPr>
      </w:pPr>
      <w:r>
        <w:tab/>
        <w:t>8, 10, 14, 20, 28, 30, 42, 56, 98 og 100 tabletter.</w:t>
      </w:r>
      <w:r>
        <w:rPr>
          <w:lang w:val="nb-NO"/>
        </w:rPr>
        <w:t xml:space="preserve"> </w:t>
      </w:r>
    </w:p>
    <w:p w:rsidR="001A5E02" w:rsidRPr="00C61F9F" w:rsidRDefault="001A5E02" w:rsidP="001A5E02">
      <w:pPr>
        <w:ind w:right="-220"/>
        <w:rPr>
          <w:lang w:val="nb-NO"/>
        </w:rPr>
      </w:pPr>
    </w:p>
    <w:p w:rsidR="001A5E02" w:rsidRDefault="001A5E02" w:rsidP="001A5E02">
      <w:pPr>
        <w:pStyle w:val="Brdtekst"/>
        <w:ind w:left="0"/>
      </w:pPr>
      <w:r>
        <w:tab/>
        <w:t>Ikke alle pakningsstørrelser er nødvendigvis markedsført.</w:t>
      </w:r>
    </w:p>
    <w:p w:rsidR="001A5E02" w:rsidRDefault="001A5E02" w:rsidP="001A5E02">
      <w:pPr>
        <w:tabs>
          <w:tab w:val="left" w:pos="851"/>
        </w:tabs>
        <w:jc w:val="both"/>
      </w:pPr>
    </w:p>
    <w:p w:rsidR="001A5E02" w:rsidRPr="00490ABF" w:rsidRDefault="001A5E02" w:rsidP="001A5E02">
      <w:pPr>
        <w:pStyle w:val="Listeafsnit"/>
        <w:numPr>
          <w:ilvl w:val="1"/>
          <w:numId w:val="9"/>
        </w:numPr>
        <w:jc w:val="both"/>
        <w:rPr>
          <w:b/>
        </w:rPr>
      </w:pPr>
      <w:r w:rsidRPr="00490ABF">
        <w:rPr>
          <w:b/>
        </w:rPr>
        <w:t xml:space="preserve">Regler for bortskaffelse </w:t>
      </w:r>
      <w:r w:rsidR="0065060E">
        <w:rPr>
          <w:b/>
        </w:rPr>
        <w:t>og anden håndtering</w:t>
      </w:r>
    </w:p>
    <w:p w:rsidR="001A5E02" w:rsidRDefault="001A5E02" w:rsidP="001A5E02">
      <w:pPr>
        <w:pStyle w:val="Brdtekst"/>
      </w:pPr>
      <w:r>
        <w:t>Ingen særlige forholdsregler for bortskaffelse.</w:t>
      </w:r>
    </w:p>
    <w:p w:rsidR="001A5E02" w:rsidRDefault="001A5E02" w:rsidP="001A5E02">
      <w:pPr>
        <w:pStyle w:val="Brdtekst"/>
      </w:pPr>
    </w:p>
    <w:p w:rsidR="001A5E02" w:rsidRDefault="001A5E02" w:rsidP="001A5E02">
      <w:pPr>
        <w:pStyle w:val="Brdtekst"/>
      </w:pPr>
      <w:r>
        <w:t>Ikke anvendt lægemiddel samt affald heraf skal bortskaffes i henhold til lokale retningslinjer.</w:t>
      </w:r>
    </w:p>
    <w:p w:rsidR="001A5E02" w:rsidRDefault="001A5E02" w:rsidP="001A5E02">
      <w:pPr>
        <w:pStyle w:val="Brdtekst"/>
      </w:pPr>
    </w:p>
    <w:p w:rsidR="001A5E02" w:rsidRDefault="001A5E02" w:rsidP="001A5E02">
      <w:pPr>
        <w:tabs>
          <w:tab w:val="left" w:pos="851"/>
        </w:tabs>
        <w:jc w:val="both"/>
        <w:rPr>
          <w:b/>
        </w:rPr>
      </w:pPr>
      <w:r>
        <w:rPr>
          <w:b/>
        </w:rPr>
        <w:t>7.</w:t>
      </w:r>
      <w:r>
        <w:rPr>
          <w:b/>
        </w:rPr>
        <w:tab/>
        <w:t>INDEHAVER AF MARKEDSFØRINGSTILLADELSEN</w:t>
      </w:r>
    </w:p>
    <w:p w:rsidR="001A5E02" w:rsidRDefault="001A5E02" w:rsidP="001A5E02">
      <w:pPr>
        <w:pStyle w:val="Brdtekst"/>
        <w:rPr>
          <w:noProof/>
        </w:rPr>
      </w:pPr>
      <w:r>
        <w:rPr>
          <w:noProof/>
        </w:rPr>
        <w:t>HEXAL A/S</w:t>
      </w:r>
    </w:p>
    <w:p w:rsidR="001A5E02" w:rsidRDefault="001A5E02" w:rsidP="001A5E02">
      <w:pPr>
        <w:pStyle w:val="Brdtekst"/>
        <w:rPr>
          <w:noProof/>
        </w:rPr>
      </w:pPr>
      <w:r>
        <w:rPr>
          <w:noProof/>
        </w:rPr>
        <w:t>Edvard Thomsens Vej 14</w:t>
      </w:r>
      <w:r>
        <w:rPr>
          <w:noProof/>
        </w:rPr>
        <w:tab/>
      </w:r>
    </w:p>
    <w:p w:rsidR="001A5E02" w:rsidRDefault="001A5E02" w:rsidP="001A5E02">
      <w:pPr>
        <w:pStyle w:val="Brdtekst"/>
        <w:rPr>
          <w:noProof/>
        </w:rPr>
      </w:pPr>
      <w:r>
        <w:rPr>
          <w:noProof/>
        </w:rPr>
        <w:t>2300 København S</w:t>
      </w:r>
    </w:p>
    <w:p w:rsidR="001A5E02" w:rsidRDefault="001A5E02" w:rsidP="001A5E02">
      <w:pPr>
        <w:pStyle w:val="Brdtekst"/>
      </w:pPr>
      <w:r>
        <w:rPr>
          <w:noProof/>
        </w:rPr>
        <w:t>Danmark</w:t>
      </w:r>
    </w:p>
    <w:p w:rsidR="001A5E02" w:rsidRDefault="001A5E02" w:rsidP="001A5E02">
      <w:pPr>
        <w:tabs>
          <w:tab w:val="left" w:pos="851"/>
        </w:tabs>
        <w:jc w:val="both"/>
      </w:pPr>
    </w:p>
    <w:p w:rsidR="001A5E02" w:rsidRDefault="001A5E02" w:rsidP="001A5E02">
      <w:pPr>
        <w:tabs>
          <w:tab w:val="left" w:pos="851"/>
        </w:tabs>
        <w:jc w:val="both"/>
        <w:rPr>
          <w:b/>
        </w:rPr>
      </w:pPr>
      <w:r>
        <w:rPr>
          <w:b/>
        </w:rPr>
        <w:lastRenderedPageBreak/>
        <w:t>8.</w:t>
      </w:r>
      <w:r>
        <w:rPr>
          <w:b/>
        </w:rPr>
        <w:tab/>
        <w:t>MARKEDSFØRINGSTILLADELSESNUMMER/NUMRE</w:t>
      </w:r>
    </w:p>
    <w:p w:rsidR="001A5E02" w:rsidRDefault="001A5E02" w:rsidP="001A5E02">
      <w:pPr>
        <w:tabs>
          <w:tab w:val="left" w:pos="851"/>
          <w:tab w:val="left" w:pos="1701"/>
        </w:tabs>
        <w:ind w:left="851" w:hanging="851"/>
        <w:jc w:val="both"/>
      </w:pPr>
      <w:r>
        <w:tab/>
        <w:t>37183</w:t>
      </w:r>
    </w:p>
    <w:p w:rsidR="001A5E02" w:rsidRDefault="001A5E02" w:rsidP="001A5E02">
      <w:pPr>
        <w:tabs>
          <w:tab w:val="left" w:pos="851"/>
        </w:tabs>
        <w:jc w:val="both"/>
      </w:pPr>
    </w:p>
    <w:p w:rsidR="001A5E02" w:rsidRDefault="001A5E02" w:rsidP="00A14FF1">
      <w:pPr>
        <w:tabs>
          <w:tab w:val="left" w:pos="851"/>
        </w:tabs>
        <w:rPr>
          <w:b/>
        </w:rPr>
      </w:pPr>
      <w:r>
        <w:rPr>
          <w:b/>
        </w:rPr>
        <w:t>9.</w:t>
      </w:r>
      <w:r>
        <w:rPr>
          <w:b/>
        </w:rPr>
        <w:tab/>
        <w:t xml:space="preserve">DATO FOR FØRSTE MARKEDSFØRINGSTILLADELSE/FORNYELSE AF </w:t>
      </w:r>
      <w:r>
        <w:rPr>
          <w:b/>
        </w:rPr>
        <w:tab/>
        <w:t>TILLADELSEN</w:t>
      </w:r>
    </w:p>
    <w:p w:rsidR="001A5E02" w:rsidRDefault="001A5E02" w:rsidP="001A5E02">
      <w:pPr>
        <w:tabs>
          <w:tab w:val="left" w:pos="851"/>
        </w:tabs>
        <w:jc w:val="both"/>
      </w:pPr>
      <w:r>
        <w:tab/>
        <w:t>Dato for første markedsføringstilladelse: 24. januar 2005</w:t>
      </w:r>
    </w:p>
    <w:p w:rsidR="001A5E02" w:rsidRDefault="001A5E02" w:rsidP="001A5E02">
      <w:pPr>
        <w:tabs>
          <w:tab w:val="left" w:pos="851"/>
        </w:tabs>
        <w:jc w:val="both"/>
      </w:pPr>
      <w:r>
        <w:tab/>
        <w:t>Dato for seneste fornyelse: 16. juni 2009</w:t>
      </w:r>
    </w:p>
    <w:p w:rsidR="001A5E02" w:rsidRDefault="001A5E02" w:rsidP="001A5E02">
      <w:pPr>
        <w:tabs>
          <w:tab w:val="left" w:pos="851"/>
        </w:tabs>
        <w:jc w:val="both"/>
      </w:pPr>
    </w:p>
    <w:p w:rsidR="001A5E02" w:rsidRDefault="001A5E02" w:rsidP="001A5E02">
      <w:pPr>
        <w:tabs>
          <w:tab w:val="left" w:pos="851"/>
        </w:tabs>
        <w:jc w:val="both"/>
        <w:rPr>
          <w:b/>
        </w:rPr>
      </w:pPr>
      <w:r>
        <w:rPr>
          <w:b/>
        </w:rPr>
        <w:t>10.</w:t>
      </w:r>
      <w:r>
        <w:rPr>
          <w:b/>
        </w:rPr>
        <w:tab/>
        <w:t>DATO FOR ÆNDRING AF TEKSTEN</w:t>
      </w:r>
    </w:p>
    <w:p w:rsidR="001A5E02" w:rsidRDefault="001A5E02" w:rsidP="001A5E02">
      <w:pPr>
        <w:tabs>
          <w:tab w:val="left" w:pos="851"/>
        </w:tabs>
        <w:jc w:val="both"/>
      </w:pPr>
      <w:r>
        <w:tab/>
      </w:r>
      <w:r w:rsidR="0065060E">
        <w:t>10</w:t>
      </w:r>
      <w:r w:rsidR="00057648">
        <w:t xml:space="preserve">. </w:t>
      </w:r>
      <w:r w:rsidR="0065060E">
        <w:t>april 2024</w:t>
      </w:r>
    </w:p>
    <w:p w:rsidR="001A5E02" w:rsidRDefault="001A5E02" w:rsidP="001A5E02">
      <w:pPr>
        <w:tabs>
          <w:tab w:val="left" w:pos="851"/>
        </w:tabs>
        <w:jc w:val="both"/>
      </w:pPr>
    </w:p>
    <w:p w:rsidR="001A5E02" w:rsidRPr="00E571A2" w:rsidRDefault="001A5E02" w:rsidP="001A5E02"/>
    <w:p w:rsidR="001A5E02" w:rsidRPr="00312410" w:rsidRDefault="001A5E02" w:rsidP="001A5E02"/>
    <w:p w:rsidR="009260DE" w:rsidRPr="001A5E02" w:rsidRDefault="009260DE" w:rsidP="001A5E02"/>
    <w:sectPr w:rsidR="009260DE" w:rsidRPr="001A5E0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5E02" w:rsidRDefault="001A5E02">
      <w:r>
        <w:separator/>
      </w:r>
    </w:p>
  </w:endnote>
  <w:endnote w:type="continuationSeparator" w:id="0">
    <w:p w:rsidR="001A5E02" w:rsidRDefault="001A5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B3140">
      <w:rPr>
        <w:i/>
        <w:noProof/>
        <w:sz w:val="18"/>
        <w:szCs w:val="18"/>
      </w:rPr>
      <w:t>Terbinafin Hexal, tabletter 250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5E02" w:rsidRDefault="001A5E02">
      <w:r>
        <w:separator/>
      </w:r>
    </w:p>
  </w:footnote>
  <w:footnote w:type="continuationSeparator" w:id="0">
    <w:p w:rsidR="001A5E02" w:rsidRDefault="001A5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B5D58"/>
    <w:multiLevelType w:val="hybridMultilevel"/>
    <w:tmpl w:val="8528E408"/>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1" w15:restartNumberingAfterBreak="0">
    <w:nsid w:val="10BA71BE"/>
    <w:multiLevelType w:val="hybridMultilevel"/>
    <w:tmpl w:val="30D6082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D2C32FB"/>
    <w:multiLevelType w:val="hybridMultilevel"/>
    <w:tmpl w:val="2D4C28E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1139"/>
        </w:tabs>
        <w:ind w:left="1139"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6465B60"/>
    <w:multiLevelType w:val="hybridMultilevel"/>
    <w:tmpl w:val="50FC503A"/>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num w:numId="1">
    <w:abstractNumId w:val="6"/>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7"/>
  </w:num>
  <w:num w:numId="9">
    <w:abstractNumId w:val="2"/>
  </w:num>
  <w:num w:numId="10">
    <w:abstractNumId w:val="8"/>
  </w:num>
  <w:num w:numId="11">
    <w:abstractNumId w:val="1"/>
  </w:num>
  <w:num w:numId="12">
    <w:abstractNumId w:val="3"/>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02"/>
    <w:rsid w:val="000259B9"/>
    <w:rsid w:val="0002733C"/>
    <w:rsid w:val="00041491"/>
    <w:rsid w:val="00050D16"/>
    <w:rsid w:val="00057648"/>
    <w:rsid w:val="00074F2A"/>
    <w:rsid w:val="000A1CA8"/>
    <w:rsid w:val="000A466B"/>
    <w:rsid w:val="000B058C"/>
    <w:rsid w:val="000E4EE6"/>
    <w:rsid w:val="001454E2"/>
    <w:rsid w:val="001A5E02"/>
    <w:rsid w:val="001B3140"/>
    <w:rsid w:val="00206CE8"/>
    <w:rsid w:val="0021526C"/>
    <w:rsid w:val="00283A2B"/>
    <w:rsid w:val="002B30AD"/>
    <w:rsid w:val="002C2C01"/>
    <w:rsid w:val="003A29AE"/>
    <w:rsid w:val="003A32D7"/>
    <w:rsid w:val="003B4074"/>
    <w:rsid w:val="003C769A"/>
    <w:rsid w:val="003F1838"/>
    <w:rsid w:val="00425145"/>
    <w:rsid w:val="0045746C"/>
    <w:rsid w:val="0049104B"/>
    <w:rsid w:val="004934FB"/>
    <w:rsid w:val="004E3B12"/>
    <w:rsid w:val="00532310"/>
    <w:rsid w:val="00560ECC"/>
    <w:rsid w:val="00565F0F"/>
    <w:rsid w:val="0057230D"/>
    <w:rsid w:val="00594A86"/>
    <w:rsid w:val="00596D86"/>
    <w:rsid w:val="00637F5A"/>
    <w:rsid w:val="0065060E"/>
    <w:rsid w:val="006560B1"/>
    <w:rsid w:val="006756DD"/>
    <w:rsid w:val="00680B3E"/>
    <w:rsid w:val="006E7462"/>
    <w:rsid w:val="00737275"/>
    <w:rsid w:val="00740EEC"/>
    <w:rsid w:val="0078011A"/>
    <w:rsid w:val="00782AF4"/>
    <w:rsid w:val="00790EE7"/>
    <w:rsid w:val="007B6649"/>
    <w:rsid w:val="0081546F"/>
    <w:rsid w:val="0082576E"/>
    <w:rsid w:val="00907F75"/>
    <w:rsid w:val="009260DE"/>
    <w:rsid w:val="0093258A"/>
    <w:rsid w:val="009604C2"/>
    <w:rsid w:val="0098793D"/>
    <w:rsid w:val="009C7BA3"/>
    <w:rsid w:val="009D1F5A"/>
    <w:rsid w:val="00A14FF1"/>
    <w:rsid w:val="00B003BF"/>
    <w:rsid w:val="00B373D7"/>
    <w:rsid w:val="00BD6EA9"/>
    <w:rsid w:val="00C36276"/>
    <w:rsid w:val="00C42586"/>
    <w:rsid w:val="00C60CCD"/>
    <w:rsid w:val="00C84483"/>
    <w:rsid w:val="00C95551"/>
    <w:rsid w:val="00CB20D7"/>
    <w:rsid w:val="00D020B0"/>
    <w:rsid w:val="00D05C25"/>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A49971"/>
  <w15:chartTrackingRefBased/>
  <w15:docId w15:val="{F6925DD4-CD7F-4E8C-90E9-3B0922677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rsid w:val="001A5E02"/>
    <w:pPr>
      <w:widowControl w:val="0"/>
      <w:tabs>
        <w:tab w:val="left" w:pos="851"/>
      </w:tabs>
      <w:ind w:left="851"/>
    </w:pPr>
    <w:rPr>
      <w:sz w:val="24"/>
      <w:lang w:eastAsia="da-DK"/>
    </w:rPr>
  </w:style>
  <w:style w:type="character" w:customStyle="1" w:styleId="BrdtekstTegn">
    <w:name w:val="Brødtekst Tegn"/>
    <w:basedOn w:val="Standardskrifttypeiafsnit"/>
    <w:link w:val="Brdtekst"/>
    <w:rsid w:val="001A5E02"/>
    <w:rPr>
      <w:sz w:val="24"/>
    </w:rPr>
  </w:style>
  <w:style w:type="paragraph" w:styleId="Normalindrykning">
    <w:name w:val="Normal Indent"/>
    <w:basedOn w:val="Normal"/>
    <w:next w:val="Normal"/>
    <w:rsid w:val="001A5E02"/>
    <w:pPr>
      <w:jc w:val="both"/>
    </w:pPr>
    <w:rPr>
      <w:rFonts w:ascii="Arial" w:hAnsi="Arial"/>
      <w:sz w:val="24"/>
      <w:lang w:eastAsia="da-DK"/>
    </w:rPr>
  </w:style>
  <w:style w:type="character" w:customStyle="1" w:styleId="Dokument2">
    <w:name w:val="Dokument 2"/>
    <w:rsid w:val="001A5E02"/>
    <w:rPr>
      <w:rFonts w:ascii="Times New Roman" w:hAnsi="Times New Roman"/>
      <w:sz w:val="24"/>
    </w:rPr>
  </w:style>
  <w:style w:type="character" w:customStyle="1" w:styleId="tw4winMark">
    <w:name w:val="tw4winMark"/>
    <w:rsid w:val="001A5E02"/>
    <w:rPr>
      <w:rFonts w:ascii="Courier New" w:hAnsi="Courier New"/>
      <w:vanish/>
      <w:color w:val="800080"/>
      <w:sz w:val="24"/>
      <w:vertAlign w:val="subscript"/>
    </w:rPr>
  </w:style>
  <w:style w:type="paragraph" w:styleId="Listeafsnit">
    <w:name w:val="List Paragraph"/>
    <w:basedOn w:val="Normal"/>
    <w:uiPriority w:val="34"/>
    <w:qFormat/>
    <w:rsid w:val="001A5E02"/>
    <w:pPr>
      <w:ind w:left="720"/>
      <w:contextualSpacing/>
    </w:pPr>
    <w:rPr>
      <w:sz w:val="24"/>
      <w:lang w:eastAsia="da-DK"/>
    </w:rPr>
  </w:style>
  <w:style w:type="character" w:styleId="Hyperlink">
    <w:name w:val="Hyperlink"/>
    <w:basedOn w:val="Standardskrifttypeiafsnit"/>
    <w:uiPriority w:val="99"/>
    <w:semiHidden/>
    <w:unhideWhenUsed/>
    <w:rsid w:val="001A5E02"/>
    <w:rPr>
      <w:color w:val="0000FF"/>
      <w:u w:val="single"/>
    </w:rPr>
  </w:style>
  <w:style w:type="paragraph" w:customStyle="1" w:styleId="NormaaliWeb">
    <w:name w:val="Normaali (Web)"/>
    <w:basedOn w:val="Normal"/>
    <w:rsid w:val="001A5E02"/>
    <w:pPr>
      <w:spacing w:after="240"/>
    </w:pPr>
    <w:rPr>
      <w:rFonts w:ascii="Arial Unicode MS" w:eastAsia="Arial Unicode MS" w:hAnsi="Arial Unicode MS"/>
      <w:color w:val="000000"/>
      <w:sz w:val="24"/>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4310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6554140">
      <w:bodyDiv w:val="1"/>
      <w:marLeft w:val="0"/>
      <w:marRight w:val="0"/>
      <w:marTop w:val="0"/>
      <w:marBottom w:val="0"/>
      <w:divBdr>
        <w:top w:val="none" w:sz="0" w:space="0" w:color="auto"/>
        <w:left w:val="none" w:sz="0" w:space="0" w:color="auto"/>
        <w:bottom w:val="none" w:sz="0" w:space="0" w:color="auto"/>
        <w:right w:val="none" w:sz="0" w:space="0" w:color="auto"/>
      </w:divBdr>
    </w:div>
    <w:div w:id="312178467">
      <w:bodyDiv w:val="1"/>
      <w:marLeft w:val="0"/>
      <w:marRight w:val="0"/>
      <w:marTop w:val="0"/>
      <w:marBottom w:val="0"/>
      <w:divBdr>
        <w:top w:val="none" w:sz="0" w:space="0" w:color="auto"/>
        <w:left w:val="none" w:sz="0" w:space="0" w:color="auto"/>
        <w:bottom w:val="none" w:sz="0" w:space="0" w:color="auto"/>
        <w:right w:val="none" w:sz="0" w:space="0" w:color="auto"/>
      </w:divBdr>
    </w:div>
    <w:div w:id="349071673">
      <w:bodyDiv w:val="1"/>
      <w:marLeft w:val="0"/>
      <w:marRight w:val="0"/>
      <w:marTop w:val="0"/>
      <w:marBottom w:val="0"/>
      <w:divBdr>
        <w:top w:val="none" w:sz="0" w:space="0" w:color="auto"/>
        <w:left w:val="none" w:sz="0" w:space="0" w:color="auto"/>
        <w:bottom w:val="none" w:sz="0" w:space="0" w:color="auto"/>
        <w:right w:val="none" w:sz="0" w:space="0" w:color="auto"/>
      </w:divBdr>
    </w:div>
    <w:div w:id="398676926">
      <w:bodyDiv w:val="1"/>
      <w:marLeft w:val="0"/>
      <w:marRight w:val="0"/>
      <w:marTop w:val="0"/>
      <w:marBottom w:val="0"/>
      <w:divBdr>
        <w:top w:val="none" w:sz="0" w:space="0" w:color="auto"/>
        <w:left w:val="none" w:sz="0" w:space="0" w:color="auto"/>
        <w:bottom w:val="none" w:sz="0" w:space="0" w:color="auto"/>
        <w:right w:val="none" w:sz="0" w:space="0" w:color="auto"/>
      </w:divBdr>
    </w:div>
    <w:div w:id="426343615">
      <w:bodyDiv w:val="1"/>
      <w:marLeft w:val="0"/>
      <w:marRight w:val="0"/>
      <w:marTop w:val="0"/>
      <w:marBottom w:val="0"/>
      <w:divBdr>
        <w:top w:val="none" w:sz="0" w:space="0" w:color="auto"/>
        <w:left w:val="none" w:sz="0" w:space="0" w:color="auto"/>
        <w:bottom w:val="none" w:sz="0" w:space="0" w:color="auto"/>
        <w:right w:val="none" w:sz="0" w:space="0" w:color="auto"/>
      </w:divBdr>
    </w:div>
    <w:div w:id="435060170">
      <w:bodyDiv w:val="1"/>
      <w:marLeft w:val="0"/>
      <w:marRight w:val="0"/>
      <w:marTop w:val="0"/>
      <w:marBottom w:val="0"/>
      <w:divBdr>
        <w:top w:val="none" w:sz="0" w:space="0" w:color="auto"/>
        <w:left w:val="none" w:sz="0" w:space="0" w:color="auto"/>
        <w:bottom w:val="none" w:sz="0" w:space="0" w:color="auto"/>
        <w:right w:val="none" w:sz="0" w:space="0" w:color="auto"/>
      </w:divBdr>
    </w:div>
    <w:div w:id="639265049">
      <w:bodyDiv w:val="1"/>
      <w:marLeft w:val="0"/>
      <w:marRight w:val="0"/>
      <w:marTop w:val="0"/>
      <w:marBottom w:val="0"/>
      <w:divBdr>
        <w:top w:val="none" w:sz="0" w:space="0" w:color="auto"/>
        <w:left w:val="none" w:sz="0" w:space="0" w:color="auto"/>
        <w:bottom w:val="none" w:sz="0" w:space="0" w:color="auto"/>
        <w:right w:val="none" w:sz="0" w:space="0" w:color="auto"/>
      </w:divBdr>
    </w:div>
    <w:div w:id="676612041">
      <w:bodyDiv w:val="1"/>
      <w:marLeft w:val="0"/>
      <w:marRight w:val="0"/>
      <w:marTop w:val="0"/>
      <w:marBottom w:val="0"/>
      <w:divBdr>
        <w:top w:val="none" w:sz="0" w:space="0" w:color="auto"/>
        <w:left w:val="none" w:sz="0" w:space="0" w:color="auto"/>
        <w:bottom w:val="none" w:sz="0" w:space="0" w:color="auto"/>
        <w:right w:val="none" w:sz="0" w:space="0" w:color="auto"/>
      </w:divBdr>
    </w:div>
    <w:div w:id="729308062">
      <w:bodyDiv w:val="1"/>
      <w:marLeft w:val="0"/>
      <w:marRight w:val="0"/>
      <w:marTop w:val="0"/>
      <w:marBottom w:val="0"/>
      <w:divBdr>
        <w:top w:val="none" w:sz="0" w:space="0" w:color="auto"/>
        <w:left w:val="none" w:sz="0" w:space="0" w:color="auto"/>
        <w:bottom w:val="none" w:sz="0" w:space="0" w:color="auto"/>
        <w:right w:val="none" w:sz="0" w:space="0" w:color="auto"/>
      </w:divBdr>
    </w:div>
    <w:div w:id="777913808">
      <w:bodyDiv w:val="1"/>
      <w:marLeft w:val="0"/>
      <w:marRight w:val="0"/>
      <w:marTop w:val="0"/>
      <w:marBottom w:val="0"/>
      <w:divBdr>
        <w:top w:val="none" w:sz="0" w:space="0" w:color="auto"/>
        <w:left w:val="none" w:sz="0" w:space="0" w:color="auto"/>
        <w:bottom w:val="none" w:sz="0" w:space="0" w:color="auto"/>
        <w:right w:val="none" w:sz="0" w:space="0" w:color="auto"/>
      </w:divBdr>
    </w:div>
    <w:div w:id="797794936">
      <w:bodyDiv w:val="1"/>
      <w:marLeft w:val="0"/>
      <w:marRight w:val="0"/>
      <w:marTop w:val="0"/>
      <w:marBottom w:val="0"/>
      <w:divBdr>
        <w:top w:val="none" w:sz="0" w:space="0" w:color="auto"/>
        <w:left w:val="none" w:sz="0" w:space="0" w:color="auto"/>
        <w:bottom w:val="none" w:sz="0" w:space="0" w:color="auto"/>
        <w:right w:val="none" w:sz="0" w:space="0" w:color="auto"/>
      </w:divBdr>
    </w:div>
    <w:div w:id="808475222">
      <w:bodyDiv w:val="1"/>
      <w:marLeft w:val="0"/>
      <w:marRight w:val="0"/>
      <w:marTop w:val="0"/>
      <w:marBottom w:val="0"/>
      <w:divBdr>
        <w:top w:val="none" w:sz="0" w:space="0" w:color="auto"/>
        <w:left w:val="none" w:sz="0" w:space="0" w:color="auto"/>
        <w:bottom w:val="none" w:sz="0" w:space="0" w:color="auto"/>
        <w:right w:val="none" w:sz="0" w:space="0" w:color="auto"/>
      </w:divBdr>
    </w:div>
    <w:div w:id="834565859">
      <w:bodyDiv w:val="1"/>
      <w:marLeft w:val="0"/>
      <w:marRight w:val="0"/>
      <w:marTop w:val="0"/>
      <w:marBottom w:val="0"/>
      <w:divBdr>
        <w:top w:val="none" w:sz="0" w:space="0" w:color="auto"/>
        <w:left w:val="none" w:sz="0" w:space="0" w:color="auto"/>
        <w:bottom w:val="none" w:sz="0" w:space="0" w:color="auto"/>
        <w:right w:val="none" w:sz="0" w:space="0" w:color="auto"/>
      </w:divBdr>
    </w:div>
    <w:div w:id="978732898">
      <w:bodyDiv w:val="1"/>
      <w:marLeft w:val="0"/>
      <w:marRight w:val="0"/>
      <w:marTop w:val="0"/>
      <w:marBottom w:val="0"/>
      <w:divBdr>
        <w:top w:val="none" w:sz="0" w:space="0" w:color="auto"/>
        <w:left w:val="none" w:sz="0" w:space="0" w:color="auto"/>
        <w:bottom w:val="none" w:sz="0" w:space="0" w:color="auto"/>
        <w:right w:val="none" w:sz="0" w:space="0" w:color="auto"/>
      </w:divBdr>
    </w:div>
    <w:div w:id="997155317">
      <w:bodyDiv w:val="1"/>
      <w:marLeft w:val="0"/>
      <w:marRight w:val="0"/>
      <w:marTop w:val="0"/>
      <w:marBottom w:val="0"/>
      <w:divBdr>
        <w:top w:val="none" w:sz="0" w:space="0" w:color="auto"/>
        <w:left w:val="none" w:sz="0" w:space="0" w:color="auto"/>
        <w:bottom w:val="none" w:sz="0" w:space="0" w:color="auto"/>
        <w:right w:val="none" w:sz="0" w:space="0" w:color="auto"/>
      </w:divBdr>
    </w:div>
    <w:div w:id="1037507963">
      <w:bodyDiv w:val="1"/>
      <w:marLeft w:val="0"/>
      <w:marRight w:val="0"/>
      <w:marTop w:val="0"/>
      <w:marBottom w:val="0"/>
      <w:divBdr>
        <w:top w:val="none" w:sz="0" w:space="0" w:color="auto"/>
        <w:left w:val="none" w:sz="0" w:space="0" w:color="auto"/>
        <w:bottom w:val="none" w:sz="0" w:space="0" w:color="auto"/>
        <w:right w:val="none" w:sz="0" w:space="0" w:color="auto"/>
      </w:divBdr>
    </w:div>
    <w:div w:id="1110734446">
      <w:bodyDiv w:val="1"/>
      <w:marLeft w:val="0"/>
      <w:marRight w:val="0"/>
      <w:marTop w:val="0"/>
      <w:marBottom w:val="0"/>
      <w:divBdr>
        <w:top w:val="none" w:sz="0" w:space="0" w:color="auto"/>
        <w:left w:val="none" w:sz="0" w:space="0" w:color="auto"/>
        <w:bottom w:val="none" w:sz="0" w:space="0" w:color="auto"/>
        <w:right w:val="none" w:sz="0" w:space="0" w:color="auto"/>
      </w:divBdr>
    </w:div>
    <w:div w:id="1318610961">
      <w:bodyDiv w:val="1"/>
      <w:marLeft w:val="0"/>
      <w:marRight w:val="0"/>
      <w:marTop w:val="0"/>
      <w:marBottom w:val="0"/>
      <w:divBdr>
        <w:top w:val="none" w:sz="0" w:space="0" w:color="auto"/>
        <w:left w:val="none" w:sz="0" w:space="0" w:color="auto"/>
        <w:bottom w:val="none" w:sz="0" w:space="0" w:color="auto"/>
        <w:right w:val="none" w:sz="0" w:space="0" w:color="auto"/>
      </w:divBdr>
    </w:div>
    <w:div w:id="1322194724">
      <w:bodyDiv w:val="1"/>
      <w:marLeft w:val="0"/>
      <w:marRight w:val="0"/>
      <w:marTop w:val="0"/>
      <w:marBottom w:val="0"/>
      <w:divBdr>
        <w:top w:val="none" w:sz="0" w:space="0" w:color="auto"/>
        <w:left w:val="none" w:sz="0" w:space="0" w:color="auto"/>
        <w:bottom w:val="none" w:sz="0" w:space="0" w:color="auto"/>
        <w:right w:val="none" w:sz="0" w:space="0" w:color="auto"/>
      </w:divBdr>
    </w:div>
    <w:div w:id="1333987646">
      <w:bodyDiv w:val="1"/>
      <w:marLeft w:val="0"/>
      <w:marRight w:val="0"/>
      <w:marTop w:val="0"/>
      <w:marBottom w:val="0"/>
      <w:divBdr>
        <w:top w:val="none" w:sz="0" w:space="0" w:color="auto"/>
        <w:left w:val="none" w:sz="0" w:space="0" w:color="auto"/>
        <w:bottom w:val="none" w:sz="0" w:space="0" w:color="auto"/>
        <w:right w:val="none" w:sz="0" w:space="0" w:color="auto"/>
      </w:divBdr>
    </w:div>
    <w:div w:id="1358190069">
      <w:bodyDiv w:val="1"/>
      <w:marLeft w:val="0"/>
      <w:marRight w:val="0"/>
      <w:marTop w:val="0"/>
      <w:marBottom w:val="0"/>
      <w:divBdr>
        <w:top w:val="none" w:sz="0" w:space="0" w:color="auto"/>
        <w:left w:val="none" w:sz="0" w:space="0" w:color="auto"/>
        <w:bottom w:val="none" w:sz="0" w:space="0" w:color="auto"/>
        <w:right w:val="none" w:sz="0" w:space="0" w:color="auto"/>
      </w:divBdr>
    </w:div>
    <w:div w:id="1447194249">
      <w:bodyDiv w:val="1"/>
      <w:marLeft w:val="0"/>
      <w:marRight w:val="0"/>
      <w:marTop w:val="0"/>
      <w:marBottom w:val="0"/>
      <w:divBdr>
        <w:top w:val="none" w:sz="0" w:space="0" w:color="auto"/>
        <w:left w:val="none" w:sz="0" w:space="0" w:color="auto"/>
        <w:bottom w:val="none" w:sz="0" w:space="0" w:color="auto"/>
        <w:right w:val="none" w:sz="0" w:space="0" w:color="auto"/>
      </w:divBdr>
    </w:div>
    <w:div w:id="1609511391">
      <w:bodyDiv w:val="1"/>
      <w:marLeft w:val="0"/>
      <w:marRight w:val="0"/>
      <w:marTop w:val="0"/>
      <w:marBottom w:val="0"/>
      <w:divBdr>
        <w:top w:val="none" w:sz="0" w:space="0" w:color="auto"/>
        <w:left w:val="none" w:sz="0" w:space="0" w:color="auto"/>
        <w:bottom w:val="none" w:sz="0" w:space="0" w:color="auto"/>
        <w:right w:val="none" w:sz="0" w:space="0" w:color="auto"/>
      </w:divBdr>
    </w:div>
    <w:div w:id="1674844386">
      <w:bodyDiv w:val="1"/>
      <w:marLeft w:val="0"/>
      <w:marRight w:val="0"/>
      <w:marTop w:val="0"/>
      <w:marBottom w:val="0"/>
      <w:divBdr>
        <w:top w:val="none" w:sz="0" w:space="0" w:color="auto"/>
        <w:left w:val="none" w:sz="0" w:space="0" w:color="auto"/>
        <w:bottom w:val="none" w:sz="0" w:space="0" w:color="auto"/>
        <w:right w:val="none" w:sz="0" w:space="0" w:color="auto"/>
      </w:divBdr>
    </w:div>
    <w:div w:id="1707213057">
      <w:bodyDiv w:val="1"/>
      <w:marLeft w:val="0"/>
      <w:marRight w:val="0"/>
      <w:marTop w:val="0"/>
      <w:marBottom w:val="0"/>
      <w:divBdr>
        <w:top w:val="none" w:sz="0" w:space="0" w:color="auto"/>
        <w:left w:val="none" w:sz="0" w:space="0" w:color="auto"/>
        <w:bottom w:val="none" w:sz="0" w:space="0" w:color="auto"/>
        <w:right w:val="none" w:sz="0" w:space="0" w:color="auto"/>
      </w:divBdr>
    </w:div>
    <w:div w:id="1834446791">
      <w:bodyDiv w:val="1"/>
      <w:marLeft w:val="0"/>
      <w:marRight w:val="0"/>
      <w:marTop w:val="0"/>
      <w:marBottom w:val="0"/>
      <w:divBdr>
        <w:top w:val="none" w:sz="0" w:space="0" w:color="auto"/>
        <w:left w:val="none" w:sz="0" w:space="0" w:color="auto"/>
        <w:bottom w:val="none" w:sz="0" w:space="0" w:color="auto"/>
        <w:right w:val="none" w:sz="0" w:space="0" w:color="auto"/>
      </w:divBdr>
    </w:div>
    <w:div w:id="1856654785">
      <w:bodyDiv w:val="1"/>
      <w:marLeft w:val="0"/>
      <w:marRight w:val="0"/>
      <w:marTop w:val="0"/>
      <w:marBottom w:val="0"/>
      <w:divBdr>
        <w:top w:val="none" w:sz="0" w:space="0" w:color="auto"/>
        <w:left w:val="none" w:sz="0" w:space="0" w:color="auto"/>
        <w:bottom w:val="none" w:sz="0" w:space="0" w:color="auto"/>
        <w:right w:val="none" w:sz="0" w:space="0" w:color="auto"/>
      </w:divBdr>
    </w:div>
    <w:div w:id="1892571498">
      <w:bodyDiv w:val="1"/>
      <w:marLeft w:val="0"/>
      <w:marRight w:val="0"/>
      <w:marTop w:val="0"/>
      <w:marBottom w:val="0"/>
      <w:divBdr>
        <w:top w:val="none" w:sz="0" w:space="0" w:color="auto"/>
        <w:left w:val="none" w:sz="0" w:space="0" w:color="auto"/>
        <w:bottom w:val="none" w:sz="0" w:space="0" w:color="auto"/>
        <w:right w:val="none" w:sz="0" w:space="0" w:color="auto"/>
      </w:divBdr>
    </w:div>
    <w:div w:id="1963266180">
      <w:bodyDiv w:val="1"/>
      <w:marLeft w:val="0"/>
      <w:marRight w:val="0"/>
      <w:marTop w:val="0"/>
      <w:marBottom w:val="0"/>
      <w:divBdr>
        <w:top w:val="none" w:sz="0" w:space="0" w:color="auto"/>
        <w:left w:val="none" w:sz="0" w:space="0" w:color="auto"/>
        <w:bottom w:val="none" w:sz="0" w:space="0" w:color="auto"/>
        <w:right w:val="none" w:sz="0" w:space="0" w:color="auto"/>
      </w:divBdr>
    </w:div>
    <w:div w:id="1974828545">
      <w:bodyDiv w:val="1"/>
      <w:marLeft w:val="0"/>
      <w:marRight w:val="0"/>
      <w:marTop w:val="0"/>
      <w:marBottom w:val="0"/>
      <w:divBdr>
        <w:top w:val="none" w:sz="0" w:space="0" w:color="auto"/>
        <w:left w:val="none" w:sz="0" w:space="0" w:color="auto"/>
        <w:bottom w:val="none" w:sz="0" w:space="0" w:color="auto"/>
        <w:right w:val="none" w:sz="0" w:space="0" w:color="auto"/>
      </w:divBdr>
    </w:div>
    <w:div w:id="1994679786">
      <w:bodyDiv w:val="1"/>
      <w:marLeft w:val="0"/>
      <w:marRight w:val="0"/>
      <w:marTop w:val="0"/>
      <w:marBottom w:val="0"/>
      <w:divBdr>
        <w:top w:val="none" w:sz="0" w:space="0" w:color="auto"/>
        <w:left w:val="none" w:sz="0" w:space="0" w:color="auto"/>
        <w:bottom w:val="none" w:sz="0" w:space="0" w:color="auto"/>
        <w:right w:val="none" w:sz="0" w:space="0" w:color="auto"/>
      </w:divBdr>
    </w:div>
    <w:div w:id="2036804172">
      <w:bodyDiv w:val="1"/>
      <w:marLeft w:val="0"/>
      <w:marRight w:val="0"/>
      <w:marTop w:val="0"/>
      <w:marBottom w:val="0"/>
      <w:divBdr>
        <w:top w:val="none" w:sz="0" w:space="0" w:color="auto"/>
        <w:left w:val="none" w:sz="0" w:space="0" w:color="auto"/>
        <w:bottom w:val="none" w:sz="0" w:space="0" w:color="auto"/>
        <w:right w:val="none" w:sz="0" w:space="0" w:color="auto"/>
      </w:divBdr>
    </w:div>
    <w:div w:id="2136486215">
      <w:bodyDiv w:val="1"/>
      <w:marLeft w:val="0"/>
      <w:marRight w:val="0"/>
      <w:marTop w:val="0"/>
      <w:marBottom w:val="0"/>
      <w:divBdr>
        <w:top w:val="none" w:sz="0" w:space="0" w:color="auto"/>
        <w:left w:val="none" w:sz="0" w:space="0" w:color="auto"/>
        <w:bottom w:val="none" w:sz="0" w:space="0" w:color="auto"/>
        <w:right w:val="none" w:sz="0" w:space="0" w:color="auto"/>
      </w:divBdr>
    </w:div>
    <w:div w:id="214692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13</Pages>
  <Words>3914</Words>
  <Characters>25205</Characters>
  <Application>Microsoft Office Word</Application>
  <DocSecurity>0</DocSecurity>
  <Lines>210</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Rettelser: 3., 4.2, 4.3, 4.4, 4.5, 4.6, 4.8, 4.9, 5.1, 5.2, 5.3, 6.4, 6.5, 6.6, QRD</dc:description>
  <cp:lastModifiedBy>Gitte Ronnovius</cp:lastModifiedBy>
  <cp:revision>5</cp:revision>
  <cp:lastPrinted>2012-08-22T08:53:00Z</cp:lastPrinted>
  <dcterms:created xsi:type="dcterms:W3CDTF">2024-04-08T07:18:00Z</dcterms:created>
  <dcterms:modified xsi:type="dcterms:W3CDTF">2024-04-10T11:50:00Z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