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D161A" w14:textId="1BA04F11" w:rsidR="009260DE" w:rsidRPr="00B02BF3" w:rsidRDefault="0021526C" w:rsidP="00B02BF3">
      <w:pPr>
        <w:rPr>
          <w:sz w:val="24"/>
          <w:szCs w:val="24"/>
        </w:rPr>
      </w:pPr>
      <w:r w:rsidRPr="00B02BF3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5ADA5C76" wp14:editId="0619F2EA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B02BF3">
        <w:rPr>
          <w:sz w:val="24"/>
          <w:szCs w:val="24"/>
        </w:rPr>
        <w:br w:type="textWrapping" w:clear="all"/>
      </w:r>
    </w:p>
    <w:p w14:paraId="7D25B8C9" w14:textId="10E5E52E" w:rsidR="009260DE" w:rsidRPr="00B02BF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B02BF3">
        <w:rPr>
          <w:b w:val="0"/>
          <w:szCs w:val="24"/>
          <w:lang w:eastAsia="en-US"/>
        </w:rPr>
        <w:tab/>
      </w:r>
      <w:r w:rsidR="00DE0C2A">
        <w:rPr>
          <w:szCs w:val="24"/>
        </w:rPr>
        <w:t>14. oktober</w:t>
      </w:r>
      <w:r w:rsidR="00F53A3F">
        <w:rPr>
          <w:szCs w:val="24"/>
        </w:rPr>
        <w:t xml:space="preserve"> 202</w:t>
      </w:r>
      <w:r w:rsidR="00DE0C2A">
        <w:rPr>
          <w:szCs w:val="24"/>
        </w:rPr>
        <w:t>4</w:t>
      </w:r>
    </w:p>
    <w:p w14:paraId="2B2EF2F4" w14:textId="045376EF" w:rsidR="009260DE" w:rsidRPr="00B02BF3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432B3EE7" w14:textId="77777777" w:rsidR="009260DE" w:rsidRPr="00B02BF3" w:rsidRDefault="009260DE" w:rsidP="009260DE">
      <w:pPr>
        <w:pStyle w:val="Titel"/>
        <w:jc w:val="left"/>
        <w:rPr>
          <w:b w:val="0"/>
          <w:szCs w:val="24"/>
        </w:rPr>
      </w:pPr>
    </w:p>
    <w:p w14:paraId="6D18E999" w14:textId="77777777" w:rsidR="009260DE" w:rsidRPr="00B02BF3" w:rsidRDefault="009260DE" w:rsidP="009260DE">
      <w:pPr>
        <w:pStyle w:val="Titel"/>
        <w:jc w:val="left"/>
        <w:rPr>
          <w:b w:val="0"/>
          <w:szCs w:val="24"/>
        </w:rPr>
      </w:pPr>
    </w:p>
    <w:p w14:paraId="6FC68FEF" w14:textId="77777777" w:rsidR="009260DE" w:rsidRPr="00B02BF3" w:rsidRDefault="009260DE" w:rsidP="009260DE">
      <w:pPr>
        <w:jc w:val="center"/>
        <w:rPr>
          <w:b/>
          <w:sz w:val="24"/>
          <w:szCs w:val="24"/>
        </w:rPr>
      </w:pPr>
      <w:r w:rsidRPr="00B02BF3">
        <w:rPr>
          <w:b/>
          <w:sz w:val="24"/>
          <w:szCs w:val="24"/>
        </w:rPr>
        <w:t>PRODUKTRESUMÉ</w:t>
      </w:r>
    </w:p>
    <w:p w14:paraId="2F8CBFAF" w14:textId="77777777" w:rsidR="009260DE" w:rsidRPr="00B02BF3" w:rsidRDefault="009260DE" w:rsidP="009260DE">
      <w:pPr>
        <w:jc w:val="center"/>
        <w:rPr>
          <w:b/>
          <w:sz w:val="24"/>
          <w:szCs w:val="24"/>
        </w:rPr>
      </w:pPr>
    </w:p>
    <w:p w14:paraId="45A259CA" w14:textId="77777777" w:rsidR="009260DE" w:rsidRPr="00B02BF3" w:rsidRDefault="009260DE" w:rsidP="009260DE">
      <w:pPr>
        <w:jc w:val="center"/>
        <w:rPr>
          <w:b/>
          <w:sz w:val="24"/>
          <w:szCs w:val="24"/>
        </w:rPr>
      </w:pPr>
      <w:r w:rsidRPr="00B02BF3">
        <w:rPr>
          <w:b/>
          <w:sz w:val="24"/>
          <w:szCs w:val="24"/>
        </w:rPr>
        <w:t>for</w:t>
      </w:r>
    </w:p>
    <w:p w14:paraId="005B8396" w14:textId="77777777" w:rsidR="000B058C" w:rsidRPr="00B02BF3" w:rsidRDefault="000B058C" w:rsidP="009260DE">
      <w:pPr>
        <w:jc w:val="center"/>
        <w:rPr>
          <w:b/>
          <w:sz w:val="24"/>
          <w:szCs w:val="24"/>
        </w:rPr>
      </w:pPr>
    </w:p>
    <w:p w14:paraId="51D3C5DE" w14:textId="6C81C202" w:rsidR="009260DE" w:rsidRPr="00B02BF3" w:rsidRDefault="004A726B" w:rsidP="009260DE">
      <w:pPr>
        <w:jc w:val="center"/>
        <w:rPr>
          <w:b/>
          <w:sz w:val="24"/>
          <w:szCs w:val="24"/>
        </w:rPr>
      </w:pPr>
      <w:proofErr w:type="spellStart"/>
      <w:r w:rsidRPr="00B02BF3">
        <w:rPr>
          <w:b/>
          <w:sz w:val="24"/>
          <w:szCs w:val="24"/>
        </w:rPr>
        <w:t>Terbinafin</w:t>
      </w:r>
      <w:proofErr w:type="spellEnd"/>
      <w:r w:rsidRPr="00B02BF3">
        <w:rPr>
          <w:b/>
          <w:sz w:val="24"/>
          <w:szCs w:val="24"/>
        </w:rPr>
        <w:t xml:space="preserve"> "Moberg Pharma", </w:t>
      </w:r>
      <w:proofErr w:type="spellStart"/>
      <w:r w:rsidRPr="00B02BF3">
        <w:rPr>
          <w:b/>
          <w:sz w:val="24"/>
          <w:szCs w:val="24"/>
        </w:rPr>
        <w:t>kutanopløsning</w:t>
      </w:r>
      <w:proofErr w:type="spellEnd"/>
    </w:p>
    <w:p w14:paraId="445AAE37" w14:textId="77777777" w:rsidR="009260DE" w:rsidRPr="00B02BF3" w:rsidRDefault="009260DE" w:rsidP="009260DE">
      <w:pPr>
        <w:jc w:val="both"/>
        <w:rPr>
          <w:sz w:val="24"/>
          <w:szCs w:val="24"/>
        </w:rPr>
      </w:pPr>
    </w:p>
    <w:p w14:paraId="65DA50AA" w14:textId="77777777" w:rsidR="009260DE" w:rsidRPr="00B02BF3" w:rsidRDefault="009260DE" w:rsidP="009260DE">
      <w:pPr>
        <w:jc w:val="both"/>
        <w:rPr>
          <w:sz w:val="24"/>
          <w:szCs w:val="24"/>
        </w:rPr>
      </w:pPr>
    </w:p>
    <w:p w14:paraId="03557E0D" w14:textId="77777777" w:rsidR="009260DE" w:rsidRPr="00B02B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02BF3">
        <w:rPr>
          <w:b/>
          <w:sz w:val="24"/>
          <w:szCs w:val="24"/>
        </w:rPr>
        <w:t>0.</w:t>
      </w:r>
      <w:r w:rsidRPr="00B02BF3">
        <w:rPr>
          <w:b/>
          <w:sz w:val="24"/>
          <w:szCs w:val="24"/>
        </w:rPr>
        <w:tab/>
        <w:t>D.SP.NR.</w:t>
      </w:r>
    </w:p>
    <w:p w14:paraId="01D1689B" w14:textId="41840AC7" w:rsidR="009260DE" w:rsidRPr="00B02BF3" w:rsidRDefault="004A726B" w:rsidP="009260DE">
      <w:pPr>
        <w:tabs>
          <w:tab w:val="left" w:pos="851"/>
        </w:tabs>
        <w:ind w:left="851"/>
        <w:rPr>
          <w:sz w:val="24"/>
          <w:szCs w:val="24"/>
        </w:rPr>
      </w:pPr>
      <w:r w:rsidRPr="00B02BF3">
        <w:rPr>
          <w:sz w:val="24"/>
          <w:szCs w:val="24"/>
        </w:rPr>
        <w:t>32954</w:t>
      </w:r>
    </w:p>
    <w:p w14:paraId="59A6B868" w14:textId="77777777" w:rsidR="009260DE" w:rsidRPr="00B02B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BFD4D2A" w14:textId="77777777" w:rsidR="009260DE" w:rsidRPr="00B02B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02BF3">
        <w:rPr>
          <w:b/>
          <w:sz w:val="24"/>
          <w:szCs w:val="24"/>
        </w:rPr>
        <w:t>1.</w:t>
      </w:r>
      <w:r w:rsidRPr="00B02BF3">
        <w:rPr>
          <w:b/>
          <w:sz w:val="24"/>
          <w:szCs w:val="24"/>
        </w:rPr>
        <w:tab/>
        <w:t>LÆGEMIDLETS NAVN</w:t>
      </w:r>
    </w:p>
    <w:p w14:paraId="6F863DDD" w14:textId="496640E3" w:rsidR="009260DE" w:rsidRPr="00B02BF3" w:rsidRDefault="004A726B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 "Moberg Pharma"</w:t>
      </w:r>
    </w:p>
    <w:p w14:paraId="0C004000" w14:textId="77777777" w:rsidR="009260DE" w:rsidRPr="00B02B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0A3E518" w14:textId="77777777" w:rsidR="009260DE" w:rsidRPr="00B02B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02BF3">
        <w:rPr>
          <w:b/>
          <w:sz w:val="24"/>
          <w:szCs w:val="24"/>
        </w:rPr>
        <w:t>2.</w:t>
      </w:r>
      <w:r w:rsidRPr="00B02BF3">
        <w:rPr>
          <w:b/>
          <w:sz w:val="24"/>
          <w:szCs w:val="24"/>
        </w:rPr>
        <w:tab/>
        <w:t>KVALITATIV OG KVANTITATIV SAMMENSÆTNING</w:t>
      </w:r>
    </w:p>
    <w:p w14:paraId="177204AC" w14:textId="77777777" w:rsidR="003E11F5" w:rsidRPr="00B02BF3" w:rsidRDefault="003E11F5" w:rsidP="00B02BF3">
      <w:pPr>
        <w:ind w:left="851"/>
        <w:rPr>
          <w:sz w:val="24"/>
          <w:szCs w:val="24"/>
        </w:rPr>
      </w:pPr>
      <w:proofErr w:type="spellStart"/>
      <w:r w:rsidRPr="00B02BF3">
        <w:rPr>
          <w:sz w:val="24"/>
          <w:szCs w:val="24"/>
        </w:rPr>
        <w:t>Terbinafinhydrochlorid</w:t>
      </w:r>
      <w:proofErr w:type="spellEnd"/>
      <w:r w:rsidRPr="00B02BF3">
        <w:rPr>
          <w:sz w:val="24"/>
          <w:szCs w:val="24"/>
        </w:rPr>
        <w:t xml:space="preserve"> svarende til 98 mg/ml </w:t>
      </w: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>.</w:t>
      </w:r>
    </w:p>
    <w:p w14:paraId="0C2A0A10" w14:textId="77777777" w:rsidR="003E11F5" w:rsidRPr="00B02BF3" w:rsidRDefault="003E11F5" w:rsidP="00B02BF3">
      <w:pPr>
        <w:ind w:left="851"/>
        <w:rPr>
          <w:sz w:val="24"/>
          <w:szCs w:val="24"/>
        </w:rPr>
      </w:pPr>
    </w:p>
    <w:p w14:paraId="43D0B78B" w14:textId="77777777" w:rsidR="003E11F5" w:rsidRPr="00B02BF3" w:rsidRDefault="003E11F5" w:rsidP="00B02BF3">
      <w:pPr>
        <w:ind w:left="851"/>
        <w:rPr>
          <w:sz w:val="24"/>
          <w:szCs w:val="24"/>
          <w:u w:val="single"/>
          <w:lang w:eastAsia="da-DK"/>
        </w:rPr>
      </w:pPr>
      <w:r w:rsidRPr="00B02BF3">
        <w:rPr>
          <w:sz w:val="24"/>
          <w:szCs w:val="24"/>
          <w:u w:val="single"/>
          <w:lang w:eastAsia="da-DK"/>
        </w:rPr>
        <w:t>Hjælpestof, som behandleren skal være opmærksom på</w:t>
      </w:r>
    </w:p>
    <w:p w14:paraId="391E1E06" w14:textId="77777777" w:rsidR="003E11F5" w:rsidRPr="00B02BF3" w:rsidRDefault="003E11F5" w:rsidP="00B02BF3">
      <w:pPr>
        <w:ind w:left="851"/>
        <w:rPr>
          <w:sz w:val="24"/>
          <w:szCs w:val="24"/>
          <w:lang w:eastAsia="da-DK"/>
        </w:rPr>
      </w:pPr>
      <w:bookmarkStart w:id="0" w:name="_Hlk83389216"/>
      <w:r w:rsidRPr="00B02BF3">
        <w:rPr>
          <w:sz w:val="24"/>
          <w:szCs w:val="24"/>
          <w:lang w:eastAsia="da-DK"/>
        </w:rPr>
        <w:t>En ml opløsning indeholder 0,7 g propylenglycol</w:t>
      </w:r>
      <w:bookmarkEnd w:id="0"/>
      <w:r w:rsidRPr="00B02BF3">
        <w:rPr>
          <w:sz w:val="24"/>
          <w:szCs w:val="24"/>
          <w:lang w:eastAsia="da-DK"/>
        </w:rPr>
        <w:t>.</w:t>
      </w:r>
    </w:p>
    <w:p w14:paraId="53728D71" w14:textId="77777777" w:rsidR="003E11F5" w:rsidRPr="00B02BF3" w:rsidRDefault="003E11F5" w:rsidP="00B02BF3">
      <w:pPr>
        <w:ind w:left="851"/>
        <w:rPr>
          <w:sz w:val="24"/>
          <w:szCs w:val="24"/>
          <w:lang w:eastAsia="da-DK"/>
        </w:rPr>
      </w:pPr>
      <w:r w:rsidRPr="00B02BF3">
        <w:rPr>
          <w:sz w:val="24"/>
          <w:szCs w:val="24"/>
          <w:lang w:eastAsia="da-DK"/>
        </w:rPr>
        <w:t>Alle hjælpestoffer er anført under pkt. 6.1.</w:t>
      </w:r>
    </w:p>
    <w:p w14:paraId="36865EA8" w14:textId="77777777" w:rsidR="009260DE" w:rsidRPr="00B02B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BEA318D" w14:textId="77777777" w:rsidR="009260DE" w:rsidRPr="00B02B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02BF3">
        <w:rPr>
          <w:b/>
          <w:sz w:val="24"/>
          <w:szCs w:val="24"/>
        </w:rPr>
        <w:t>3.</w:t>
      </w:r>
      <w:r w:rsidRPr="00B02BF3">
        <w:rPr>
          <w:b/>
          <w:sz w:val="24"/>
          <w:szCs w:val="24"/>
        </w:rPr>
        <w:tab/>
        <w:t>LÆGEMIDDELFORM</w:t>
      </w:r>
    </w:p>
    <w:p w14:paraId="09563ACB" w14:textId="7E05770F" w:rsidR="003E11F5" w:rsidRPr="00B02BF3" w:rsidRDefault="003E11F5" w:rsidP="00B02BF3">
      <w:pPr>
        <w:suppressAutoHyphens/>
        <w:ind w:left="851"/>
        <w:rPr>
          <w:sz w:val="24"/>
          <w:szCs w:val="24"/>
        </w:rPr>
      </w:pPr>
      <w:proofErr w:type="spellStart"/>
      <w:r w:rsidRPr="00B02BF3">
        <w:rPr>
          <w:spacing w:val="-3"/>
          <w:sz w:val="24"/>
          <w:szCs w:val="24"/>
        </w:rPr>
        <w:t>Kutanopløsning</w:t>
      </w:r>
      <w:proofErr w:type="spellEnd"/>
    </w:p>
    <w:p w14:paraId="4C1A2156" w14:textId="77777777" w:rsidR="003E11F5" w:rsidRPr="00B02BF3" w:rsidRDefault="003E11F5" w:rsidP="00B02BF3">
      <w:pPr>
        <w:suppressAutoHyphens/>
        <w:ind w:left="851"/>
        <w:rPr>
          <w:sz w:val="24"/>
          <w:szCs w:val="24"/>
        </w:rPr>
      </w:pPr>
      <w:r w:rsidRPr="00B02BF3">
        <w:rPr>
          <w:sz w:val="24"/>
          <w:szCs w:val="24"/>
        </w:rPr>
        <w:t>Klar, farveløs opløsning.</w:t>
      </w:r>
    </w:p>
    <w:p w14:paraId="2562D532" w14:textId="77777777" w:rsidR="009260DE" w:rsidRPr="00B02B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B99B3AF" w14:textId="77777777" w:rsidR="009260DE" w:rsidRPr="00B02B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28F1638" w14:textId="77777777" w:rsidR="009260DE" w:rsidRPr="00B02B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02BF3">
        <w:rPr>
          <w:b/>
          <w:sz w:val="24"/>
          <w:szCs w:val="24"/>
        </w:rPr>
        <w:t>4.</w:t>
      </w:r>
      <w:r w:rsidRPr="00B02BF3">
        <w:rPr>
          <w:b/>
          <w:sz w:val="24"/>
          <w:szCs w:val="24"/>
        </w:rPr>
        <w:tab/>
        <w:t>KLINISKE OPLYSNINGER</w:t>
      </w:r>
    </w:p>
    <w:p w14:paraId="36542D6C" w14:textId="77777777" w:rsidR="009260DE" w:rsidRPr="00B02BF3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565F6239" w14:textId="77777777" w:rsidR="009260DE" w:rsidRPr="00B02B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B02BF3">
        <w:rPr>
          <w:b/>
          <w:sz w:val="24"/>
          <w:szCs w:val="24"/>
        </w:rPr>
        <w:t>4.1</w:t>
      </w:r>
      <w:r w:rsidRPr="00B02BF3">
        <w:rPr>
          <w:b/>
          <w:sz w:val="24"/>
          <w:szCs w:val="24"/>
        </w:rPr>
        <w:tab/>
        <w:t>Terapeutiske indikationer</w:t>
      </w:r>
    </w:p>
    <w:p w14:paraId="3AEE8422" w14:textId="77872723" w:rsidR="003E11F5" w:rsidRPr="00B02BF3" w:rsidRDefault="003E11F5" w:rsidP="00B02BF3">
      <w:pPr>
        <w:ind w:left="851"/>
        <w:rPr>
          <w:sz w:val="24"/>
          <w:szCs w:val="24"/>
        </w:rPr>
      </w:pPr>
      <w:r w:rsidRPr="00B02BF3">
        <w:rPr>
          <w:sz w:val="24"/>
          <w:szCs w:val="24"/>
        </w:rPr>
        <w:t xml:space="preserve">Milde til moderate svampeinfektioner i neglene, der er forårsaget af </w:t>
      </w:r>
      <w:proofErr w:type="spellStart"/>
      <w:r w:rsidRPr="00B02BF3">
        <w:rPr>
          <w:sz w:val="24"/>
          <w:szCs w:val="24"/>
        </w:rPr>
        <w:t>dermatofytter</w:t>
      </w:r>
      <w:proofErr w:type="spellEnd"/>
      <w:r w:rsidRPr="00B02BF3">
        <w:rPr>
          <w:sz w:val="24"/>
          <w:szCs w:val="24"/>
        </w:rPr>
        <w:t xml:space="preserve"> og/eller andre </w:t>
      </w:r>
      <w:proofErr w:type="spellStart"/>
      <w:r w:rsidRPr="00B02BF3">
        <w:rPr>
          <w:sz w:val="24"/>
          <w:szCs w:val="24"/>
        </w:rPr>
        <w:t>terbinafinfølsomme</w:t>
      </w:r>
      <w:proofErr w:type="spellEnd"/>
      <w:r w:rsidRPr="00B02BF3">
        <w:rPr>
          <w:sz w:val="24"/>
          <w:szCs w:val="24"/>
        </w:rPr>
        <w:t xml:space="preserve"> svampe. </w:t>
      </w: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 </w:t>
      </w:r>
      <w:r w:rsidR="00B02BF3" w:rsidRPr="00B02BF3">
        <w:rPr>
          <w:sz w:val="24"/>
          <w:szCs w:val="24"/>
        </w:rPr>
        <w:t>"Moberg Pharma"</w:t>
      </w:r>
      <w:r w:rsidRPr="00B02BF3">
        <w:rPr>
          <w:sz w:val="24"/>
          <w:szCs w:val="24"/>
        </w:rPr>
        <w:t xml:space="preserve"> er indiceret til voksne.</w:t>
      </w:r>
    </w:p>
    <w:p w14:paraId="79DA6892" w14:textId="77777777" w:rsidR="009260DE" w:rsidRPr="00B02B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AEA9E60" w14:textId="77777777" w:rsidR="009260DE" w:rsidRPr="00B02B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02BF3">
        <w:rPr>
          <w:b/>
          <w:sz w:val="24"/>
          <w:szCs w:val="24"/>
        </w:rPr>
        <w:t>4.2</w:t>
      </w:r>
      <w:r w:rsidRPr="00B02BF3">
        <w:rPr>
          <w:b/>
          <w:sz w:val="24"/>
          <w:szCs w:val="24"/>
        </w:rPr>
        <w:tab/>
        <w:t xml:space="preserve">Dosering og </w:t>
      </w:r>
      <w:r w:rsidR="002C1EC0" w:rsidRPr="00B02BF3">
        <w:rPr>
          <w:b/>
          <w:sz w:val="24"/>
          <w:szCs w:val="24"/>
        </w:rPr>
        <w:t>administration</w:t>
      </w:r>
    </w:p>
    <w:p w14:paraId="07DF31BD" w14:textId="77777777" w:rsidR="003E11F5" w:rsidRPr="00B02BF3" w:rsidRDefault="003E11F5" w:rsidP="00B02BF3">
      <w:pPr>
        <w:ind w:left="851"/>
        <w:rPr>
          <w:sz w:val="24"/>
          <w:szCs w:val="24"/>
        </w:rPr>
      </w:pPr>
      <w:r w:rsidRPr="00B02BF3">
        <w:rPr>
          <w:sz w:val="24"/>
          <w:szCs w:val="24"/>
        </w:rPr>
        <w:t>Dette lægemiddel er udelukkende beregnet til brug på fingernegle og tånegle.</w:t>
      </w:r>
    </w:p>
    <w:p w14:paraId="1883C5E0" w14:textId="77777777" w:rsidR="003E11F5" w:rsidRPr="00B02BF3" w:rsidRDefault="003E11F5" w:rsidP="00B02BF3">
      <w:pPr>
        <w:ind w:left="851"/>
        <w:rPr>
          <w:sz w:val="24"/>
          <w:szCs w:val="24"/>
        </w:rPr>
      </w:pPr>
    </w:p>
    <w:p w14:paraId="124AEE48" w14:textId="77777777" w:rsidR="003E11F5" w:rsidRPr="00B02BF3" w:rsidRDefault="003E11F5" w:rsidP="00B02BF3">
      <w:pPr>
        <w:ind w:left="851"/>
        <w:rPr>
          <w:sz w:val="24"/>
          <w:szCs w:val="24"/>
          <w:u w:val="single"/>
        </w:rPr>
      </w:pPr>
      <w:r w:rsidRPr="00B02BF3">
        <w:rPr>
          <w:sz w:val="24"/>
          <w:szCs w:val="24"/>
          <w:u w:val="single"/>
        </w:rPr>
        <w:t>Dosering</w:t>
      </w:r>
    </w:p>
    <w:p w14:paraId="5FA3F3B5" w14:textId="5EF8D92F" w:rsidR="003E11F5" w:rsidRPr="00B02BF3" w:rsidRDefault="003E11F5" w:rsidP="00B02BF3">
      <w:pPr>
        <w:widowControl w:val="0"/>
        <w:tabs>
          <w:tab w:val="left" w:pos="567"/>
        </w:tabs>
        <w:ind w:left="851"/>
        <w:rPr>
          <w:sz w:val="24"/>
          <w:szCs w:val="24"/>
        </w:rPr>
      </w:pPr>
      <w:bookmarkStart w:id="1" w:name="_Hlk115958926"/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 </w:t>
      </w:r>
      <w:r w:rsidR="00B02BF3" w:rsidRPr="00B02BF3">
        <w:rPr>
          <w:sz w:val="24"/>
          <w:szCs w:val="24"/>
        </w:rPr>
        <w:t>"Moberg Pharma"</w:t>
      </w:r>
      <w:r w:rsidRPr="00B02BF3">
        <w:rPr>
          <w:sz w:val="24"/>
          <w:szCs w:val="24"/>
        </w:rPr>
        <w:t xml:space="preserve"> skal påføres de berørte negle én gang dagligt.</w:t>
      </w:r>
      <w:bookmarkEnd w:id="1"/>
    </w:p>
    <w:p w14:paraId="2FC93F65" w14:textId="77777777" w:rsidR="003E11F5" w:rsidRPr="00B02BF3" w:rsidRDefault="003E11F5" w:rsidP="00B02BF3">
      <w:pPr>
        <w:ind w:left="851"/>
        <w:rPr>
          <w:sz w:val="24"/>
          <w:szCs w:val="24"/>
        </w:rPr>
      </w:pPr>
      <w:r w:rsidRPr="00B02BF3">
        <w:rPr>
          <w:sz w:val="24"/>
          <w:szCs w:val="24"/>
        </w:rPr>
        <w:t>Generelt er behandlingsvarigheden ca. 6 måneder for fingernegle og ca. 9 til 12 måneder for tånegle.</w:t>
      </w:r>
    </w:p>
    <w:p w14:paraId="5691DAF5" w14:textId="77777777" w:rsidR="003E11F5" w:rsidRPr="00B02BF3" w:rsidRDefault="003E11F5" w:rsidP="00B02BF3">
      <w:pPr>
        <w:ind w:left="851"/>
        <w:rPr>
          <w:sz w:val="24"/>
          <w:szCs w:val="24"/>
        </w:rPr>
      </w:pPr>
      <w:r w:rsidRPr="00B02BF3">
        <w:rPr>
          <w:sz w:val="24"/>
          <w:szCs w:val="24"/>
        </w:rPr>
        <w:t>Andre behandlinger, herunder oral behandling, bør overvejes i tilfælde af utilstrækkeligt respons ved behandlingsperiodens slutning.</w:t>
      </w:r>
    </w:p>
    <w:p w14:paraId="3489DDF8" w14:textId="58646D9E" w:rsidR="00D07846" w:rsidRDefault="00D0784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FCE214A" w14:textId="77777777" w:rsidR="003E11F5" w:rsidRPr="00B02BF3" w:rsidRDefault="003E11F5" w:rsidP="00B02BF3">
      <w:pPr>
        <w:ind w:left="851"/>
        <w:rPr>
          <w:sz w:val="24"/>
          <w:szCs w:val="24"/>
        </w:rPr>
      </w:pPr>
    </w:p>
    <w:p w14:paraId="28153B54" w14:textId="77777777" w:rsidR="003E11F5" w:rsidRPr="00B02BF3" w:rsidRDefault="003E11F5" w:rsidP="00B02BF3">
      <w:pPr>
        <w:ind w:left="851"/>
        <w:rPr>
          <w:sz w:val="24"/>
          <w:szCs w:val="24"/>
        </w:rPr>
      </w:pPr>
      <w:r w:rsidRPr="00B02BF3">
        <w:rPr>
          <w:i/>
          <w:sz w:val="24"/>
          <w:szCs w:val="24"/>
        </w:rPr>
        <w:t>Pædiatrisk population</w:t>
      </w:r>
    </w:p>
    <w:p w14:paraId="5191BCE3" w14:textId="189F17BD" w:rsidR="003E11F5" w:rsidRPr="00B02BF3" w:rsidRDefault="003E11F5" w:rsidP="00B02BF3">
      <w:pPr>
        <w:ind w:left="851"/>
        <w:rPr>
          <w:sz w:val="24"/>
          <w:szCs w:val="24"/>
        </w:rPr>
      </w:pP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 </w:t>
      </w:r>
      <w:r w:rsidR="00B02BF3" w:rsidRPr="00B02BF3">
        <w:rPr>
          <w:sz w:val="24"/>
          <w:szCs w:val="24"/>
        </w:rPr>
        <w:t xml:space="preserve">"Moberg </w:t>
      </w:r>
      <w:proofErr w:type="spellStart"/>
      <w:r w:rsidR="00B02BF3" w:rsidRPr="00B02BF3">
        <w:rPr>
          <w:sz w:val="24"/>
          <w:szCs w:val="24"/>
        </w:rPr>
        <w:t>Pharma"</w:t>
      </w:r>
      <w:r w:rsidRPr="00B02BF3">
        <w:rPr>
          <w:sz w:val="24"/>
          <w:szCs w:val="24"/>
        </w:rPr>
        <w:t>s</w:t>
      </w:r>
      <w:proofErr w:type="spellEnd"/>
      <w:r w:rsidRPr="00B02BF3">
        <w:rPr>
          <w:sz w:val="24"/>
          <w:szCs w:val="24"/>
        </w:rPr>
        <w:t xml:space="preserve"> sikkerhed og virkning hos børn og unge under 18 år er endnu ikke klarlagt.</w:t>
      </w:r>
    </w:p>
    <w:p w14:paraId="5F083338" w14:textId="77777777" w:rsidR="003E11F5" w:rsidRPr="00B02BF3" w:rsidRDefault="003E11F5" w:rsidP="00B02BF3">
      <w:pPr>
        <w:ind w:left="851"/>
        <w:rPr>
          <w:sz w:val="24"/>
          <w:szCs w:val="24"/>
        </w:rPr>
      </w:pPr>
      <w:r w:rsidRPr="00B02BF3">
        <w:rPr>
          <w:sz w:val="24"/>
          <w:szCs w:val="24"/>
        </w:rPr>
        <w:t>Der foreligger ingen data.</w:t>
      </w:r>
    </w:p>
    <w:p w14:paraId="58A1D49E" w14:textId="77777777" w:rsidR="003E11F5" w:rsidRPr="00B02BF3" w:rsidRDefault="003E11F5" w:rsidP="00B02BF3">
      <w:pPr>
        <w:ind w:left="851"/>
        <w:rPr>
          <w:sz w:val="24"/>
          <w:szCs w:val="24"/>
        </w:rPr>
      </w:pPr>
    </w:p>
    <w:p w14:paraId="5366931B" w14:textId="77777777" w:rsidR="003E11F5" w:rsidRPr="00B02BF3" w:rsidRDefault="003E11F5" w:rsidP="00B02BF3">
      <w:pPr>
        <w:ind w:left="851"/>
        <w:rPr>
          <w:sz w:val="24"/>
          <w:szCs w:val="24"/>
          <w:u w:val="single"/>
        </w:rPr>
      </w:pPr>
      <w:r w:rsidRPr="00B02BF3">
        <w:rPr>
          <w:sz w:val="24"/>
          <w:szCs w:val="24"/>
          <w:u w:val="single"/>
        </w:rPr>
        <w:t>Administration</w:t>
      </w:r>
    </w:p>
    <w:p w14:paraId="21264741" w14:textId="77777777" w:rsidR="003E11F5" w:rsidRPr="00B02BF3" w:rsidRDefault="003E11F5" w:rsidP="00B02BF3">
      <w:pPr>
        <w:ind w:left="851"/>
        <w:rPr>
          <w:sz w:val="24"/>
          <w:szCs w:val="24"/>
        </w:rPr>
      </w:pPr>
      <w:r w:rsidRPr="00B02BF3">
        <w:rPr>
          <w:sz w:val="24"/>
          <w:szCs w:val="24"/>
        </w:rPr>
        <w:t xml:space="preserve">Kun til </w:t>
      </w:r>
      <w:proofErr w:type="spellStart"/>
      <w:r w:rsidRPr="00B02BF3">
        <w:rPr>
          <w:sz w:val="24"/>
          <w:szCs w:val="24"/>
        </w:rPr>
        <w:t>kutan</w:t>
      </w:r>
      <w:proofErr w:type="spellEnd"/>
      <w:r w:rsidRPr="00B02BF3">
        <w:rPr>
          <w:sz w:val="24"/>
          <w:szCs w:val="24"/>
        </w:rPr>
        <w:t xml:space="preserve"> anvendelse (til påføring på neglene).</w:t>
      </w:r>
    </w:p>
    <w:p w14:paraId="54885749" w14:textId="77777777" w:rsidR="003E11F5" w:rsidRPr="00B02BF3" w:rsidRDefault="003E11F5" w:rsidP="00B02BF3">
      <w:pPr>
        <w:ind w:left="851"/>
        <w:rPr>
          <w:iCs/>
          <w:sz w:val="24"/>
          <w:szCs w:val="24"/>
        </w:rPr>
      </w:pPr>
    </w:p>
    <w:p w14:paraId="0D898116" w14:textId="045F0F42" w:rsidR="003E11F5" w:rsidRPr="00B02BF3" w:rsidRDefault="003E11F5" w:rsidP="00B02BF3">
      <w:pPr>
        <w:ind w:left="851"/>
        <w:rPr>
          <w:sz w:val="24"/>
          <w:szCs w:val="24"/>
        </w:rPr>
      </w:pPr>
      <w:r w:rsidRPr="00B02BF3">
        <w:rPr>
          <w:sz w:val="24"/>
          <w:szCs w:val="24"/>
        </w:rPr>
        <w:t xml:space="preserve">Inden påføring af </w:t>
      </w: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 </w:t>
      </w:r>
      <w:r w:rsidR="00B02BF3" w:rsidRPr="00B02BF3">
        <w:rPr>
          <w:sz w:val="24"/>
          <w:szCs w:val="24"/>
        </w:rPr>
        <w:t>"Moberg Pharma"</w:t>
      </w:r>
      <w:r w:rsidRPr="00B02BF3">
        <w:rPr>
          <w:sz w:val="24"/>
          <w:szCs w:val="24"/>
        </w:rPr>
        <w:t xml:space="preserve"> skal neglelak eller andre kosmetiske produkter fjernes fra neglene og den omkringliggende hud.</w:t>
      </w:r>
    </w:p>
    <w:p w14:paraId="6F29DC3E" w14:textId="77777777" w:rsidR="003E11F5" w:rsidRPr="00B02BF3" w:rsidRDefault="003E11F5" w:rsidP="00B02BF3">
      <w:pPr>
        <w:ind w:left="851"/>
        <w:rPr>
          <w:sz w:val="24"/>
          <w:szCs w:val="24"/>
        </w:rPr>
      </w:pPr>
    </w:p>
    <w:p w14:paraId="33F319A8" w14:textId="33EE7B9C" w:rsidR="003E11F5" w:rsidRPr="00B02BF3" w:rsidRDefault="003E11F5" w:rsidP="00B02BF3">
      <w:pPr>
        <w:ind w:left="851"/>
        <w:rPr>
          <w:sz w:val="24"/>
          <w:szCs w:val="24"/>
        </w:rPr>
      </w:pP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 </w:t>
      </w:r>
      <w:r w:rsidR="00B02BF3" w:rsidRPr="00B02BF3">
        <w:rPr>
          <w:sz w:val="24"/>
          <w:szCs w:val="24"/>
        </w:rPr>
        <w:t>"Moberg Pharma"</w:t>
      </w:r>
      <w:r w:rsidRPr="00B02BF3">
        <w:rPr>
          <w:sz w:val="24"/>
          <w:szCs w:val="24"/>
        </w:rPr>
        <w:t xml:space="preserve"> påføres i et tyndt lag én gang dagligt på hele den berørte negleoverflade og under den frie neglekant med spidsen af tuben. Påfør ikke </w:t>
      </w: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 </w:t>
      </w:r>
      <w:r w:rsidR="00B02BF3" w:rsidRPr="00B02BF3">
        <w:rPr>
          <w:sz w:val="24"/>
          <w:szCs w:val="24"/>
        </w:rPr>
        <w:t>"Moberg Pharma"</w:t>
      </w:r>
      <w:r w:rsidRPr="00B02BF3">
        <w:rPr>
          <w:sz w:val="24"/>
          <w:szCs w:val="24"/>
        </w:rPr>
        <w:t xml:space="preserve"> på den omkringliggende hud. Vent cirka 5 minutter, indtil opløsningen er helt tør. De behandlede negle bør ikke vaskes eller blive våde i mindst 8 timer. Det anbefales derfor, at opløsningen påføres om aftenen inden sengetid og efter bruse- eller karbad.</w:t>
      </w:r>
    </w:p>
    <w:p w14:paraId="102C0180" w14:textId="77777777" w:rsidR="003E11F5" w:rsidRPr="00B02BF3" w:rsidRDefault="003E11F5" w:rsidP="00B02BF3">
      <w:pPr>
        <w:ind w:left="851"/>
        <w:rPr>
          <w:sz w:val="24"/>
          <w:szCs w:val="24"/>
        </w:rPr>
      </w:pPr>
    </w:p>
    <w:p w14:paraId="03423936" w14:textId="716C555B" w:rsidR="003E11F5" w:rsidRPr="00B02BF3" w:rsidRDefault="003E11F5" w:rsidP="00B02BF3">
      <w:pPr>
        <w:ind w:left="851"/>
        <w:rPr>
          <w:sz w:val="24"/>
          <w:szCs w:val="24"/>
        </w:rPr>
      </w:pPr>
      <w:r w:rsidRPr="00B02BF3">
        <w:rPr>
          <w:sz w:val="24"/>
          <w:szCs w:val="24"/>
        </w:rPr>
        <w:t xml:space="preserve">Det er ikke nødvendigt at fjerne </w:t>
      </w: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 </w:t>
      </w:r>
      <w:r w:rsidR="00B02BF3" w:rsidRPr="00B02BF3">
        <w:rPr>
          <w:sz w:val="24"/>
          <w:szCs w:val="24"/>
        </w:rPr>
        <w:t>"Moberg Pharma"</w:t>
      </w:r>
      <w:r w:rsidRPr="00B02BF3">
        <w:rPr>
          <w:sz w:val="24"/>
          <w:szCs w:val="24"/>
        </w:rPr>
        <w:t xml:space="preserve"> med opløsningsmiddel eller andet slibemiddel (f.eks. neglefiling).</w:t>
      </w:r>
    </w:p>
    <w:p w14:paraId="1E997874" w14:textId="77777777" w:rsidR="003E11F5" w:rsidRPr="00B02BF3" w:rsidRDefault="003E11F5" w:rsidP="00B02BF3">
      <w:pPr>
        <w:ind w:left="851"/>
        <w:rPr>
          <w:sz w:val="24"/>
          <w:szCs w:val="24"/>
        </w:rPr>
      </w:pPr>
    </w:p>
    <w:p w14:paraId="00AEB797" w14:textId="5CAEA589" w:rsidR="003E11F5" w:rsidRPr="00B02BF3" w:rsidRDefault="003E11F5" w:rsidP="00B02BF3">
      <w:pPr>
        <w:autoSpaceDE w:val="0"/>
        <w:autoSpaceDN w:val="0"/>
        <w:adjustRightInd w:val="0"/>
        <w:ind w:left="851"/>
        <w:rPr>
          <w:rFonts w:eastAsia="Calibri"/>
          <w:color w:val="000000"/>
          <w:sz w:val="24"/>
          <w:szCs w:val="24"/>
        </w:rPr>
      </w:pPr>
      <w:proofErr w:type="spellStart"/>
      <w:r w:rsidRPr="00B02BF3">
        <w:rPr>
          <w:rFonts w:eastAsia="Calibri"/>
          <w:color w:val="000000"/>
          <w:sz w:val="24"/>
          <w:szCs w:val="24"/>
        </w:rPr>
        <w:t>Terbinafin</w:t>
      </w:r>
      <w:proofErr w:type="spellEnd"/>
      <w:r w:rsidRPr="00B02BF3">
        <w:rPr>
          <w:rFonts w:eastAsia="Calibri"/>
          <w:color w:val="000000"/>
          <w:sz w:val="24"/>
          <w:szCs w:val="24"/>
        </w:rPr>
        <w:t xml:space="preserve"> </w:t>
      </w:r>
      <w:r w:rsidR="00B02BF3" w:rsidRPr="00B02BF3">
        <w:rPr>
          <w:rFonts w:eastAsia="Calibri"/>
          <w:color w:val="000000"/>
          <w:sz w:val="24"/>
          <w:szCs w:val="24"/>
        </w:rPr>
        <w:t>"Moberg Pharma"</w:t>
      </w:r>
      <w:r w:rsidRPr="00B02BF3">
        <w:rPr>
          <w:rFonts w:eastAsia="Calibri"/>
          <w:color w:val="000000"/>
          <w:sz w:val="24"/>
          <w:szCs w:val="24"/>
        </w:rPr>
        <w:t xml:space="preserve"> må ikke anvendes på neglelejet, hvis den angrebne negl helt eller delvist har løsnet sig fra det underliggende negleleje.</w:t>
      </w:r>
    </w:p>
    <w:p w14:paraId="6C6BFA25" w14:textId="77777777" w:rsidR="009260DE" w:rsidRPr="00B02B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5686032" w14:textId="77777777" w:rsidR="009260DE" w:rsidRPr="00B02B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02BF3">
        <w:rPr>
          <w:b/>
          <w:sz w:val="24"/>
          <w:szCs w:val="24"/>
        </w:rPr>
        <w:t>4.3</w:t>
      </w:r>
      <w:r w:rsidRPr="00B02BF3">
        <w:rPr>
          <w:b/>
          <w:sz w:val="24"/>
          <w:szCs w:val="24"/>
        </w:rPr>
        <w:tab/>
        <w:t>Kontraindikationer</w:t>
      </w:r>
    </w:p>
    <w:p w14:paraId="2D7F03FC" w14:textId="77777777" w:rsidR="003E11F5" w:rsidRPr="00B02BF3" w:rsidRDefault="003E11F5" w:rsidP="00B02BF3">
      <w:pPr>
        <w:ind w:left="851"/>
        <w:rPr>
          <w:sz w:val="24"/>
          <w:szCs w:val="24"/>
        </w:rPr>
      </w:pPr>
      <w:r w:rsidRPr="00B02BF3">
        <w:rPr>
          <w:sz w:val="24"/>
          <w:szCs w:val="24"/>
        </w:rPr>
        <w:t>Overfølsomhed over for det aktive stof eller over for et eller flere af hjælpestofferne anført i pkt. 6.1.</w:t>
      </w:r>
    </w:p>
    <w:p w14:paraId="5E60D494" w14:textId="77777777" w:rsidR="009260DE" w:rsidRPr="00B02B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3C8089C" w14:textId="77777777" w:rsidR="009260DE" w:rsidRPr="00B02B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02BF3">
        <w:rPr>
          <w:b/>
          <w:sz w:val="24"/>
          <w:szCs w:val="24"/>
        </w:rPr>
        <w:t>4.4</w:t>
      </w:r>
      <w:r w:rsidRPr="00B02BF3">
        <w:rPr>
          <w:b/>
          <w:sz w:val="24"/>
          <w:szCs w:val="24"/>
        </w:rPr>
        <w:tab/>
        <w:t>Særlige advarsler og forsigtighedsregler vedrørende brugen</w:t>
      </w:r>
    </w:p>
    <w:p w14:paraId="6AF216EE" w14:textId="77777777" w:rsidR="003E11F5" w:rsidRPr="00B02BF3" w:rsidRDefault="003E11F5" w:rsidP="00B02BF3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B02BF3">
        <w:rPr>
          <w:sz w:val="24"/>
          <w:szCs w:val="24"/>
          <w:lang w:eastAsia="en-GB"/>
        </w:rPr>
        <w:t>Kun til udvortes brug. Kontakt med øjne og slimhinder bør undgås. I tilfælde af utilsigtet kontakt med øjne eller slimhinder skylles der grundigt med rindende vand.</w:t>
      </w:r>
    </w:p>
    <w:p w14:paraId="646692B5" w14:textId="77777777" w:rsidR="003E11F5" w:rsidRPr="00B02BF3" w:rsidRDefault="003E11F5" w:rsidP="00B02BF3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4E171979" w14:textId="77777777" w:rsidR="003E11F5" w:rsidRPr="00B02BF3" w:rsidRDefault="003E11F5" w:rsidP="00B02BF3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B02BF3">
        <w:rPr>
          <w:sz w:val="24"/>
          <w:szCs w:val="24"/>
        </w:rPr>
        <w:t xml:space="preserve">Ved prædisponerende faktorer, såsom diabetes og immunsygdomme, bør tillæg af systemisk behandling overvejes. </w:t>
      </w:r>
      <w:r w:rsidRPr="00B02BF3">
        <w:rPr>
          <w:sz w:val="24"/>
          <w:szCs w:val="24"/>
          <w:lang w:eastAsia="en-GB"/>
        </w:rPr>
        <w:t xml:space="preserve">Patienter med kendt diabetes, immunsygdom, perifer </w:t>
      </w:r>
      <w:proofErr w:type="spellStart"/>
      <w:r w:rsidRPr="00B02BF3">
        <w:rPr>
          <w:sz w:val="24"/>
          <w:szCs w:val="24"/>
          <w:lang w:eastAsia="en-GB"/>
        </w:rPr>
        <w:t>vaskulær</w:t>
      </w:r>
      <w:proofErr w:type="spellEnd"/>
      <w:r w:rsidRPr="00B02BF3">
        <w:rPr>
          <w:sz w:val="24"/>
          <w:szCs w:val="24"/>
          <w:lang w:eastAsia="en-GB"/>
        </w:rPr>
        <w:t xml:space="preserve"> sygdom, beskadigede, smertefulde eller alvorligt medtagne negle, hudsygdomme såsom psoriasis eller andre kroniske hudsygdomme og gule-negle-syndrom (ødem i nedre ekstremiteter, vejrtrækningsforstyrrelser og gul misfarvning af neglene) bør søge lægerådgivning inden opstart af behandlingen.</w:t>
      </w:r>
    </w:p>
    <w:p w14:paraId="67390A20" w14:textId="77777777" w:rsidR="003E11F5" w:rsidRPr="00B02BF3" w:rsidRDefault="003E11F5" w:rsidP="00B02BF3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12465F4B" w14:textId="3C418955" w:rsidR="003E11F5" w:rsidRPr="00B02BF3" w:rsidRDefault="003E11F5" w:rsidP="00B02BF3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proofErr w:type="spellStart"/>
      <w:r w:rsidRPr="00B02BF3">
        <w:rPr>
          <w:sz w:val="24"/>
          <w:szCs w:val="24"/>
          <w:lang w:eastAsia="en-GB"/>
        </w:rPr>
        <w:t>Terbinafin</w:t>
      </w:r>
      <w:proofErr w:type="spellEnd"/>
      <w:r w:rsidRPr="00B02BF3">
        <w:rPr>
          <w:sz w:val="24"/>
          <w:szCs w:val="24"/>
          <w:lang w:eastAsia="en-GB"/>
        </w:rPr>
        <w:t xml:space="preserve"> </w:t>
      </w:r>
      <w:r w:rsidR="00B02BF3" w:rsidRPr="00B02BF3">
        <w:rPr>
          <w:sz w:val="24"/>
          <w:szCs w:val="24"/>
          <w:lang w:eastAsia="en-GB"/>
        </w:rPr>
        <w:t>"Moberg Pharma"</w:t>
      </w:r>
      <w:r w:rsidRPr="00B02BF3">
        <w:rPr>
          <w:sz w:val="24"/>
          <w:szCs w:val="24"/>
          <w:lang w:eastAsia="en-GB"/>
        </w:rPr>
        <w:t xml:space="preserve"> indeholder 0,7 g propylenglycol pr. ml opløsning.</w:t>
      </w:r>
    </w:p>
    <w:p w14:paraId="30C288C7" w14:textId="77777777" w:rsidR="003E11F5" w:rsidRPr="00B02BF3" w:rsidRDefault="003E11F5" w:rsidP="00B02BF3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32060D8A" w14:textId="77777777" w:rsidR="003E11F5" w:rsidRPr="00B02BF3" w:rsidRDefault="003E11F5" w:rsidP="00B02BF3">
      <w:pPr>
        <w:ind w:left="851"/>
        <w:rPr>
          <w:sz w:val="24"/>
          <w:szCs w:val="24"/>
          <w:u w:val="single"/>
        </w:rPr>
      </w:pPr>
      <w:r w:rsidRPr="00B02BF3">
        <w:rPr>
          <w:sz w:val="24"/>
          <w:szCs w:val="24"/>
          <w:u w:val="single"/>
        </w:rPr>
        <w:t>Pædiatrisk population</w:t>
      </w:r>
    </w:p>
    <w:p w14:paraId="2D423968" w14:textId="2973C675" w:rsidR="003E11F5" w:rsidRPr="00B02BF3" w:rsidRDefault="003E11F5" w:rsidP="00B02BF3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 </w:t>
      </w:r>
      <w:r w:rsidR="00B02BF3" w:rsidRPr="00B02BF3">
        <w:rPr>
          <w:sz w:val="24"/>
          <w:szCs w:val="24"/>
        </w:rPr>
        <w:t>"Moberg Pharma"</w:t>
      </w:r>
      <w:r w:rsidRPr="00B02BF3">
        <w:rPr>
          <w:sz w:val="24"/>
          <w:szCs w:val="24"/>
        </w:rPr>
        <w:t xml:space="preserve"> bør ikke anvendes hos børn og unge under 18 år på grund af manglende klinisk erfaring i denne aldersgruppe.</w:t>
      </w:r>
    </w:p>
    <w:p w14:paraId="331B8CF3" w14:textId="77777777" w:rsidR="009260DE" w:rsidRPr="00B02B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2FB0598" w14:textId="77777777" w:rsidR="009260DE" w:rsidRPr="00B02B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02BF3">
        <w:rPr>
          <w:b/>
          <w:sz w:val="24"/>
          <w:szCs w:val="24"/>
        </w:rPr>
        <w:t>4.5</w:t>
      </w:r>
      <w:r w:rsidRPr="00B02BF3">
        <w:rPr>
          <w:b/>
          <w:sz w:val="24"/>
          <w:szCs w:val="24"/>
        </w:rPr>
        <w:tab/>
        <w:t>Interaktion med andre lægemidler og andre former for interaktion</w:t>
      </w:r>
    </w:p>
    <w:p w14:paraId="42BD1F99" w14:textId="31D06AAD" w:rsidR="003E11F5" w:rsidRPr="00B02BF3" w:rsidRDefault="003E11F5" w:rsidP="00B02BF3">
      <w:pPr>
        <w:ind w:left="851"/>
        <w:rPr>
          <w:sz w:val="24"/>
          <w:szCs w:val="24"/>
        </w:rPr>
      </w:pPr>
      <w:r w:rsidRPr="00B02BF3">
        <w:rPr>
          <w:sz w:val="24"/>
          <w:szCs w:val="24"/>
        </w:rPr>
        <w:t xml:space="preserve">Der er ikke udført interaktionsstudier med </w:t>
      </w: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 </w:t>
      </w:r>
      <w:r w:rsidR="00B02BF3" w:rsidRPr="00B02BF3">
        <w:rPr>
          <w:sz w:val="24"/>
          <w:szCs w:val="24"/>
        </w:rPr>
        <w:t>"Moberg Pharma"</w:t>
      </w:r>
      <w:r w:rsidRPr="00B02BF3">
        <w:rPr>
          <w:sz w:val="24"/>
          <w:szCs w:val="24"/>
        </w:rPr>
        <w:t xml:space="preserve"> på grund af meget lav systemisk absorption.</w:t>
      </w:r>
    </w:p>
    <w:p w14:paraId="62BA7D22" w14:textId="41DFD406" w:rsidR="00D07846" w:rsidRDefault="00D0784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2D5B03D" w14:textId="77777777" w:rsidR="009260DE" w:rsidRPr="00B02B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75F6469" w14:textId="77777777" w:rsidR="009260DE" w:rsidRPr="00B02B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02BF3">
        <w:rPr>
          <w:b/>
          <w:sz w:val="24"/>
          <w:szCs w:val="24"/>
        </w:rPr>
        <w:t>4.6</w:t>
      </w:r>
      <w:r w:rsidRPr="00B02BF3">
        <w:rPr>
          <w:b/>
          <w:sz w:val="24"/>
          <w:szCs w:val="24"/>
        </w:rPr>
        <w:tab/>
      </w:r>
      <w:r w:rsidR="0071241E" w:rsidRPr="00B02BF3">
        <w:rPr>
          <w:b/>
          <w:sz w:val="24"/>
          <w:szCs w:val="24"/>
        </w:rPr>
        <w:t>Fertilitet, g</w:t>
      </w:r>
      <w:r w:rsidRPr="00B02BF3">
        <w:rPr>
          <w:b/>
          <w:sz w:val="24"/>
          <w:szCs w:val="24"/>
        </w:rPr>
        <w:t>raviditet og amning</w:t>
      </w:r>
    </w:p>
    <w:p w14:paraId="7418ADE7" w14:textId="77777777" w:rsidR="0038348F" w:rsidRDefault="0038348F" w:rsidP="00B02BF3">
      <w:pPr>
        <w:ind w:left="851"/>
        <w:rPr>
          <w:sz w:val="24"/>
          <w:szCs w:val="24"/>
          <w:u w:val="single"/>
        </w:rPr>
      </w:pPr>
    </w:p>
    <w:p w14:paraId="321D2B26" w14:textId="32B5660C" w:rsidR="003E11F5" w:rsidRPr="00B02BF3" w:rsidRDefault="003E11F5" w:rsidP="00B02BF3">
      <w:pPr>
        <w:ind w:left="851"/>
        <w:rPr>
          <w:sz w:val="24"/>
          <w:szCs w:val="24"/>
          <w:u w:val="single"/>
        </w:rPr>
      </w:pPr>
      <w:r w:rsidRPr="00B02BF3">
        <w:rPr>
          <w:sz w:val="24"/>
          <w:szCs w:val="24"/>
          <w:u w:val="single"/>
        </w:rPr>
        <w:t>Graviditet</w:t>
      </w:r>
    </w:p>
    <w:p w14:paraId="240D29D2" w14:textId="46DA63E6" w:rsidR="003E11F5" w:rsidRPr="00B02BF3" w:rsidRDefault="003E11F5" w:rsidP="00B02BF3">
      <w:pPr>
        <w:widowControl w:val="0"/>
        <w:tabs>
          <w:tab w:val="left" w:pos="567"/>
        </w:tabs>
        <w:ind w:left="851"/>
        <w:rPr>
          <w:sz w:val="24"/>
          <w:szCs w:val="24"/>
        </w:rPr>
      </w:pPr>
      <w:bookmarkStart w:id="2" w:name="_Hlk96969628"/>
      <w:r w:rsidRPr="00B02BF3">
        <w:rPr>
          <w:sz w:val="24"/>
          <w:szCs w:val="24"/>
        </w:rPr>
        <w:t xml:space="preserve">Der forventes ingen bivirkning på graviditeten, da systemisk eksponering af </w:t>
      </w: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 er ubetydelig. Hvis det er indiceret, kan anvendelse af </w:t>
      </w: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 </w:t>
      </w:r>
      <w:r w:rsidR="00B02BF3" w:rsidRPr="00B02BF3">
        <w:rPr>
          <w:sz w:val="24"/>
          <w:szCs w:val="24"/>
        </w:rPr>
        <w:t>"Moberg Pharma"</w:t>
      </w:r>
      <w:r w:rsidRPr="00B02BF3">
        <w:rPr>
          <w:sz w:val="24"/>
          <w:szCs w:val="24"/>
        </w:rPr>
        <w:t xml:space="preserve"> overvejes under graviditeten.</w:t>
      </w:r>
    </w:p>
    <w:p w14:paraId="280A2F0A" w14:textId="77777777" w:rsidR="003E11F5" w:rsidRPr="00B02BF3" w:rsidRDefault="003E11F5" w:rsidP="00B02BF3">
      <w:pPr>
        <w:widowControl w:val="0"/>
        <w:tabs>
          <w:tab w:val="left" w:pos="567"/>
        </w:tabs>
        <w:ind w:left="851"/>
        <w:rPr>
          <w:sz w:val="24"/>
          <w:szCs w:val="24"/>
        </w:rPr>
      </w:pPr>
      <w:r w:rsidRPr="00B02BF3">
        <w:rPr>
          <w:sz w:val="24"/>
          <w:szCs w:val="24"/>
        </w:rPr>
        <w:t xml:space="preserve">I et </w:t>
      </w:r>
      <w:proofErr w:type="spellStart"/>
      <w:r w:rsidRPr="00B02BF3">
        <w:rPr>
          <w:rStyle w:val="Fremhv"/>
          <w:sz w:val="24"/>
          <w:szCs w:val="24"/>
        </w:rPr>
        <w:t>propensity</w:t>
      </w:r>
      <w:proofErr w:type="spellEnd"/>
      <w:r w:rsidRPr="00B02BF3">
        <w:rPr>
          <w:i/>
          <w:iCs/>
          <w:sz w:val="24"/>
          <w:szCs w:val="24"/>
        </w:rPr>
        <w:t xml:space="preserve"> score matching</w:t>
      </w:r>
      <w:r w:rsidRPr="00B02BF3">
        <w:rPr>
          <w:sz w:val="24"/>
          <w:szCs w:val="24"/>
        </w:rPr>
        <w:t xml:space="preserve"> sammenligningsstudie udført i Danmark med 4.065 </w:t>
      </w: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-eksponerede graviditeter samt 40.650 ikke-eksponerede graviditeter blev der ikke påvist nogen signifikant forskel i risikoen for alvorlige misdannelser eller spontane aborter mellem oral </w:t>
      </w: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-eksponerede, </w:t>
      </w:r>
      <w:proofErr w:type="spellStart"/>
      <w:r w:rsidRPr="00B02BF3">
        <w:rPr>
          <w:sz w:val="24"/>
          <w:szCs w:val="24"/>
        </w:rPr>
        <w:t>topikal</w:t>
      </w:r>
      <w:proofErr w:type="spellEnd"/>
      <w:r w:rsidRPr="00B02BF3">
        <w:rPr>
          <w:sz w:val="24"/>
          <w:szCs w:val="24"/>
        </w:rPr>
        <w:t xml:space="preserve"> </w:t>
      </w: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>-eksponerede og ikke-eksponerede graviditeter.</w:t>
      </w:r>
      <w:bookmarkEnd w:id="2"/>
    </w:p>
    <w:p w14:paraId="29BB4CA1" w14:textId="77777777" w:rsidR="003E11F5" w:rsidRPr="00B02BF3" w:rsidRDefault="003E11F5" w:rsidP="00B02BF3">
      <w:pPr>
        <w:ind w:left="851"/>
        <w:rPr>
          <w:sz w:val="24"/>
          <w:szCs w:val="24"/>
        </w:rPr>
      </w:pPr>
    </w:p>
    <w:p w14:paraId="11778698" w14:textId="77777777" w:rsidR="003E11F5" w:rsidRPr="00B02BF3" w:rsidRDefault="003E11F5" w:rsidP="00B02BF3">
      <w:pPr>
        <w:ind w:left="851"/>
        <w:rPr>
          <w:sz w:val="24"/>
          <w:szCs w:val="24"/>
          <w:u w:val="single"/>
        </w:rPr>
      </w:pPr>
      <w:r w:rsidRPr="00B02BF3">
        <w:rPr>
          <w:sz w:val="24"/>
          <w:szCs w:val="24"/>
          <w:u w:val="single"/>
        </w:rPr>
        <w:t>Amning</w:t>
      </w:r>
    </w:p>
    <w:p w14:paraId="31734159" w14:textId="77777777" w:rsidR="003E11F5" w:rsidRPr="00B02BF3" w:rsidRDefault="003E11F5" w:rsidP="00B02BF3">
      <w:pPr>
        <w:ind w:left="851"/>
        <w:rPr>
          <w:sz w:val="24"/>
          <w:szCs w:val="24"/>
        </w:rPr>
      </w:pP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 udskilles i modermælk. Efter </w:t>
      </w:r>
      <w:proofErr w:type="spellStart"/>
      <w:r w:rsidRPr="00B02BF3">
        <w:rPr>
          <w:sz w:val="24"/>
          <w:szCs w:val="24"/>
        </w:rPr>
        <w:t>topikal</w:t>
      </w:r>
      <w:proofErr w:type="spellEnd"/>
      <w:r w:rsidRPr="00B02BF3">
        <w:rPr>
          <w:sz w:val="24"/>
          <w:szCs w:val="24"/>
        </w:rPr>
        <w:t xml:space="preserve"> anvendelse forventes kun lav systemisk eksponering.</w:t>
      </w:r>
    </w:p>
    <w:p w14:paraId="2D9EBBCA" w14:textId="77777777" w:rsidR="003E11F5" w:rsidRPr="00B02BF3" w:rsidRDefault="003E11F5" w:rsidP="00B02BF3">
      <w:pPr>
        <w:ind w:left="851"/>
        <w:rPr>
          <w:sz w:val="24"/>
          <w:szCs w:val="24"/>
        </w:rPr>
      </w:pP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 bør kun anvendes af ammende mødre, hvis de terapeutiske fordele for moderen retfærdiggør risikoen for spædbarnet. </w:t>
      </w:r>
    </w:p>
    <w:p w14:paraId="3D9700A9" w14:textId="77777777" w:rsidR="003E11F5" w:rsidRPr="00B02BF3" w:rsidRDefault="003E11F5" w:rsidP="00B02BF3">
      <w:pPr>
        <w:ind w:left="851"/>
        <w:rPr>
          <w:sz w:val="24"/>
          <w:szCs w:val="24"/>
        </w:rPr>
      </w:pPr>
      <w:r w:rsidRPr="00B02BF3">
        <w:rPr>
          <w:sz w:val="24"/>
          <w:szCs w:val="24"/>
        </w:rPr>
        <w:t>Spædbarnet må desuden ikke komme i kontakt med behandlede hudområder.</w:t>
      </w:r>
    </w:p>
    <w:p w14:paraId="650129C9" w14:textId="77777777" w:rsidR="003E11F5" w:rsidRPr="00B02BF3" w:rsidRDefault="003E11F5" w:rsidP="00B02BF3">
      <w:pPr>
        <w:ind w:left="851"/>
        <w:rPr>
          <w:sz w:val="24"/>
          <w:szCs w:val="24"/>
        </w:rPr>
      </w:pPr>
    </w:p>
    <w:p w14:paraId="78ACEE6A" w14:textId="77777777" w:rsidR="003E11F5" w:rsidRPr="00B02BF3" w:rsidRDefault="003E11F5" w:rsidP="00B02BF3">
      <w:pPr>
        <w:ind w:left="851"/>
        <w:rPr>
          <w:sz w:val="24"/>
          <w:szCs w:val="24"/>
          <w:u w:val="single"/>
        </w:rPr>
      </w:pPr>
      <w:r w:rsidRPr="00B02BF3">
        <w:rPr>
          <w:sz w:val="24"/>
          <w:szCs w:val="24"/>
          <w:u w:val="single"/>
        </w:rPr>
        <w:t>Fertilitet</w:t>
      </w:r>
    </w:p>
    <w:p w14:paraId="1D435604" w14:textId="77777777" w:rsidR="003E11F5" w:rsidRPr="00B02BF3" w:rsidRDefault="003E11F5" w:rsidP="00B02BF3">
      <w:pPr>
        <w:ind w:left="851"/>
        <w:rPr>
          <w:sz w:val="24"/>
          <w:szCs w:val="24"/>
        </w:rPr>
      </w:pPr>
      <w:r w:rsidRPr="00B02BF3">
        <w:rPr>
          <w:sz w:val="24"/>
          <w:szCs w:val="24"/>
        </w:rPr>
        <w:t xml:space="preserve">Dyrestudier viser ingen effekt af </w:t>
      </w: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 på fertiliteten (se pkt. 5.3).</w:t>
      </w:r>
    </w:p>
    <w:p w14:paraId="206A33E6" w14:textId="77777777" w:rsidR="009260DE" w:rsidRPr="00B02B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555D480" w14:textId="77777777" w:rsidR="009260DE" w:rsidRPr="00B02B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02BF3">
        <w:rPr>
          <w:b/>
          <w:sz w:val="24"/>
          <w:szCs w:val="24"/>
        </w:rPr>
        <w:t>4.7</w:t>
      </w:r>
      <w:r w:rsidRPr="00B02BF3">
        <w:rPr>
          <w:b/>
          <w:sz w:val="24"/>
          <w:szCs w:val="24"/>
        </w:rPr>
        <w:tab/>
        <w:t xml:space="preserve">Virkning på evnen til at føre motorkøretøj </w:t>
      </w:r>
      <w:r w:rsidR="0071241E" w:rsidRPr="00B02BF3">
        <w:rPr>
          <w:b/>
          <w:sz w:val="24"/>
          <w:szCs w:val="24"/>
        </w:rPr>
        <w:t>og</w:t>
      </w:r>
      <w:r w:rsidRPr="00B02BF3">
        <w:rPr>
          <w:b/>
          <w:sz w:val="24"/>
          <w:szCs w:val="24"/>
        </w:rPr>
        <w:t xml:space="preserve"> betjene maskiner</w:t>
      </w:r>
    </w:p>
    <w:p w14:paraId="16AA0D69" w14:textId="77777777" w:rsidR="00D07846" w:rsidRDefault="00D07846" w:rsidP="00B02BF3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76B70D41" w14:textId="58502BB8" w:rsidR="003E11F5" w:rsidRPr="00B02BF3" w:rsidRDefault="003E11F5" w:rsidP="00B02BF3">
      <w:pPr>
        <w:ind w:left="851"/>
        <w:rPr>
          <w:sz w:val="24"/>
          <w:szCs w:val="24"/>
        </w:rPr>
      </w:pP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 </w:t>
      </w:r>
      <w:r w:rsidR="00B02BF3" w:rsidRPr="00B02BF3">
        <w:rPr>
          <w:sz w:val="24"/>
          <w:szCs w:val="24"/>
        </w:rPr>
        <w:t>"Moberg Pharma"</w:t>
      </w:r>
      <w:r w:rsidRPr="00B02BF3">
        <w:rPr>
          <w:sz w:val="24"/>
          <w:szCs w:val="24"/>
        </w:rPr>
        <w:t xml:space="preserve"> påvirker ikke eller kun i ubetydelig grad evnen til at føre motorkøretøj og betjene maskiner.</w:t>
      </w:r>
    </w:p>
    <w:p w14:paraId="0D0B82DD" w14:textId="77777777" w:rsidR="009260DE" w:rsidRPr="00B02B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DA81308" w14:textId="77777777" w:rsidR="009260DE" w:rsidRPr="00B02B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02BF3">
        <w:rPr>
          <w:b/>
          <w:sz w:val="24"/>
          <w:szCs w:val="24"/>
        </w:rPr>
        <w:t>4.8</w:t>
      </w:r>
      <w:r w:rsidRPr="00B02BF3">
        <w:rPr>
          <w:b/>
          <w:sz w:val="24"/>
          <w:szCs w:val="24"/>
        </w:rPr>
        <w:tab/>
        <w:t>Bivirkninger</w:t>
      </w:r>
    </w:p>
    <w:p w14:paraId="7C35F13F" w14:textId="77777777" w:rsidR="0038348F" w:rsidRDefault="0038348F" w:rsidP="00B02BF3">
      <w:pPr>
        <w:ind w:left="851"/>
        <w:rPr>
          <w:sz w:val="24"/>
          <w:szCs w:val="24"/>
          <w:u w:val="single"/>
        </w:rPr>
      </w:pPr>
    </w:p>
    <w:p w14:paraId="14359754" w14:textId="71D4650F" w:rsidR="003E11F5" w:rsidRPr="00B02BF3" w:rsidRDefault="003E11F5" w:rsidP="00B02BF3">
      <w:pPr>
        <w:ind w:left="851"/>
        <w:rPr>
          <w:sz w:val="24"/>
          <w:szCs w:val="24"/>
          <w:u w:val="single"/>
        </w:rPr>
      </w:pPr>
      <w:r w:rsidRPr="00B02BF3">
        <w:rPr>
          <w:sz w:val="24"/>
          <w:szCs w:val="24"/>
          <w:u w:val="single"/>
        </w:rPr>
        <w:t>Opsummering af sikkerhedsprofilen</w:t>
      </w:r>
    </w:p>
    <w:p w14:paraId="66FB3E3D" w14:textId="77777777" w:rsidR="003E11F5" w:rsidRPr="00B02BF3" w:rsidRDefault="003E11F5" w:rsidP="00B02BF3">
      <w:pPr>
        <w:widowControl w:val="0"/>
        <w:ind w:left="851"/>
        <w:rPr>
          <w:sz w:val="24"/>
          <w:szCs w:val="24"/>
        </w:rPr>
      </w:pPr>
      <w:r w:rsidRPr="00B02BF3">
        <w:rPr>
          <w:sz w:val="24"/>
          <w:szCs w:val="24"/>
        </w:rPr>
        <w:t xml:space="preserve">De behandlingsrelaterede bivirkninger, der blev rapporteret hos flere end 1 % af forsøgspersonerne i to randomiserede, kontrollerede studier var misfarvning af neglene, </w:t>
      </w:r>
      <w:proofErr w:type="spellStart"/>
      <w:r w:rsidRPr="00B02BF3">
        <w:rPr>
          <w:sz w:val="24"/>
          <w:szCs w:val="24"/>
        </w:rPr>
        <w:t>onykolyse</w:t>
      </w:r>
      <w:proofErr w:type="spellEnd"/>
      <w:r w:rsidRPr="00B02BF3">
        <w:rPr>
          <w:sz w:val="24"/>
          <w:szCs w:val="24"/>
        </w:rPr>
        <w:t xml:space="preserve">, </w:t>
      </w:r>
      <w:proofErr w:type="spellStart"/>
      <w:r w:rsidRPr="00B02BF3">
        <w:rPr>
          <w:sz w:val="24"/>
          <w:szCs w:val="24"/>
        </w:rPr>
        <w:t>onykomadese</w:t>
      </w:r>
      <w:proofErr w:type="spellEnd"/>
      <w:r w:rsidRPr="00B02BF3">
        <w:rPr>
          <w:sz w:val="24"/>
          <w:szCs w:val="24"/>
        </w:rPr>
        <w:t xml:space="preserve">, </w:t>
      </w:r>
      <w:proofErr w:type="spellStart"/>
      <w:r w:rsidRPr="00B02BF3">
        <w:rPr>
          <w:sz w:val="24"/>
          <w:szCs w:val="24"/>
        </w:rPr>
        <w:t>paronykie</w:t>
      </w:r>
      <w:proofErr w:type="spellEnd"/>
      <w:r w:rsidRPr="00B02BF3">
        <w:rPr>
          <w:sz w:val="24"/>
          <w:szCs w:val="24"/>
        </w:rPr>
        <w:t xml:space="preserve">, </w:t>
      </w:r>
      <w:proofErr w:type="spellStart"/>
      <w:r w:rsidRPr="00B02BF3">
        <w:rPr>
          <w:sz w:val="24"/>
          <w:szCs w:val="24"/>
        </w:rPr>
        <w:t>kontaktdermatitis</w:t>
      </w:r>
      <w:proofErr w:type="spellEnd"/>
      <w:r w:rsidRPr="00B02BF3">
        <w:rPr>
          <w:sz w:val="24"/>
          <w:szCs w:val="24"/>
        </w:rPr>
        <w:t xml:space="preserve"> og </w:t>
      </w:r>
      <w:proofErr w:type="spellStart"/>
      <w:r w:rsidRPr="00B02BF3">
        <w:rPr>
          <w:sz w:val="24"/>
          <w:szCs w:val="24"/>
        </w:rPr>
        <w:t>erytem</w:t>
      </w:r>
      <w:proofErr w:type="spellEnd"/>
      <w:r w:rsidRPr="00B02BF3">
        <w:rPr>
          <w:sz w:val="24"/>
          <w:szCs w:val="24"/>
        </w:rPr>
        <w:t xml:space="preserve">. </w:t>
      </w:r>
    </w:p>
    <w:p w14:paraId="4F8FAA5D" w14:textId="77777777" w:rsidR="003E11F5" w:rsidRPr="00B02BF3" w:rsidRDefault="003E11F5" w:rsidP="00B02BF3">
      <w:pPr>
        <w:ind w:left="851"/>
        <w:rPr>
          <w:sz w:val="24"/>
          <w:szCs w:val="24"/>
        </w:rPr>
      </w:pPr>
    </w:p>
    <w:p w14:paraId="55878375" w14:textId="77777777" w:rsidR="003E11F5" w:rsidRPr="00B02BF3" w:rsidRDefault="003E11F5" w:rsidP="00B02BF3">
      <w:pPr>
        <w:ind w:left="851"/>
        <w:rPr>
          <w:sz w:val="24"/>
          <w:szCs w:val="24"/>
          <w:u w:val="single"/>
        </w:rPr>
      </w:pPr>
      <w:r w:rsidRPr="00B02BF3">
        <w:rPr>
          <w:sz w:val="24"/>
          <w:szCs w:val="24"/>
          <w:u w:val="single"/>
        </w:rPr>
        <w:t>Tabel over bivirkninger</w:t>
      </w:r>
    </w:p>
    <w:p w14:paraId="4ACAF8E5" w14:textId="77777777" w:rsidR="003E11F5" w:rsidRPr="00B02BF3" w:rsidRDefault="003E11F5" w:rsidP="00B02BF3">
      <w:pPr>
        <w:widowControl w:val="0"/>
        <w:tabs>
          <w:tab w:val="left" w:pos="567"/>
        </w:tabs>
        <w:ind w:left="851"/>
        <w:rPr>
          <w:sz w:val="24"/>
          <w:szCs w:val="24"/>
        </w:rPr>
      </w:pPr>
      <w:r w:rsidRPr="00B02BF3">
        <w:rPr>
          <w:sz w:val="24"/>
          <w:szCs w:val="24"/>
        </w:rPr>
        <w:t xml:space="preserve">Bivirkninger er opstillet efter </w:t>
      </w:r>
      <w:proofErr w:type="spellStart"/>
      <w:r w:rsidRPr="00B02BF3">
        <w:rPr>
          <w:sz w:val="24"/>
          <w:szCs w:val="24"/>
        </w:rPr>
        <w:t>MedDRAs</w:t>
      </w:r>
      <w:proofErr w:type="spellEnd"/>
      <w:r w:rsidRPr="00B02BF3">
        <w:rPr>
          <w:sz w:val="24"/>
          <w:szCs w:val="24"/>
        </w:rPr>
        <w:t xml:space="preserve"> organklassesystem og hyppighed. Hyppighed er defineret på følgende måde:</w:t>
      </w:r>
      <w:r w:rsidRPr="00B02BF3">
        <w:rPr>
          <w:i/>
          <w:sz w:val="24"/>
          <w:szCs w:val="24"/>
        </w:rPr>
        <w:t xml:space="preserve"> </w:t>
      </w:r>
      <w:r w:rsidRPr="00B02BF3">
        <w:rPr>
          <w:sz w:val="24"/>
          <w:szCs w:val="24"/>
        </w:rPr>
        <w:t>Meget almindelig (≥ 1/10), almindelig (≥ 1/100 til &lt; 1/10), ikke almindelig (≥ 1/1.000 til &lt; 1/100), sjælden (≥ 1/10.000 til &lt; 1/1.000), meget sjælden (&lt; 1/10.000), ikke kendt (kan ikke estimeres ud fra forhåndenværende data).</w:t>
      </w:r>
    </w:p>
    <w:p w14:paraId="67BB376A" w14:textId="77777777" w:rsidR="003E11F5" w:rsidRPr="00B02BF3" w:rsidRDefault="003E11F5" w:rsidP="003E11F5">
      <w:pPr>
        <w:rPr>
          <w:sz w:val="24"/>
          <w:szCs w:val="24"/>
        </w:rPr>
      </w:pPr>
    </w:p>
    <w:p w14:paraId="1449CFA0" w14:textId="286605F9" w:rsidR="003E11F5" w:rsidRPr="00B02BF3" w:rsidRDefault="003E11F5" w:rsidP="00B02BF3">
      <w:pPr>
        <w:ind w:left="851"/>
        <w:rPr>
          <w:b/>
          <w:sz w:val="24"/>
          <w:szCs w:val="24"/>
        </w:rPr>
      </w:pPr>
      <w:r w:rsidRPr="00B02BF3">
        <w:rPr>
          <w:b/>
          <w:sz w:val="24"/>
          <w:szCs w:val="24"/>
        </w:rPr>
        <w:t>Tabel 1:</w:t>
      </w:r>
      <w:r w:rsidR="00B02BF3" w:rsidRPr="00B02BF3">
        <w:rPr>
          <w:b/>
          <w:sz w:val="24"/>
          <w:szCs w:val="24"/>
        </w:rPr>
        <w:t xml:space="preserve"> </w:t>
      </w:r>
      <w:r w:rsidRPr="00B02BF3">
        <w:rPr>
          <w:b/>
          <w:sz w:val="24"/>
          <w:szCs w:val="24"/>
        </w:rPr>
        <w:t>Bivirkninger</w:t>
      </w:r>
    </w:p>
    <w:tbl>
      <w:tblPr>
        <w:tblW w:w="875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2153"/>
        <w:gridCol w:w="3969"/>
      </w:tblGrid>
      <w:tr w:rsidR="003E11F5" w:rsidRPr="00B02BF3" w14:paraId="2C7B40C9" w14:textId="77777777" w:rsidTr="00B02BF3">
        <w:trPr>
          <w:cantSplit/>
          <w:tblHeader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AEF91A" w14:textId="77777777" w:rsidR="003E11F5" w:rsidRPr="00B02BF3" w:rsidRDefault="003E11F5" w:rsidP="00F53A3F">
            <w:pPr>
              <w:ind w:left="141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B02BF3">
              <w:rPr>
                <w:b/>
                <w:sz w:val="24"/>
                <w:szCs w:val="24"/>
                <w:lang w:val="en-GB"/>
              </w:rPr>
              <w:t>Organklassesystem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973B54" w14:textId="77777777" w:rsidR="003E11F5" w:rsidRPr="00B02BF3" w:rsidRDefault="003E11F5" w:rsidP="00F53A3F">
            <w:pPr>
              <w:ind w:left="141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B02BF3">
              <w:rPr>
                <w:b/>
                <w:sz w:val="24"/>
                <w:szCs w:val="24"/>
                <w:lang w:val="en-GB"/>
              </w:rPr>
              <w:t>Hyppighed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CBDA1C" w14:textId="77777777" w:rsidR="003E11F5" w:rsidRPr="00B02BF3" w:rsidRDefault="003E11F5" w:rsidP="00F53A3F">
            <w:pPr>
              <w:ind w:left="141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B02BF3">
              <w:rPr>
                <w:b/>
                <w:sz w:val="24"/>
                <w:szCs w:val="24"/>
                <w:lang w:val="en-GB"/>
              </w:rPr>
              <w:t>Bivirkning</w:t>
            </w:r>
            <w:proofErr w:type="spellEnd"/>
            <w:r w:rsidRPr="00B02BF3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3E11F5" w:rsidRPr="00B02BF3" w14:paraId="0E2EFCC7" w14:textId="77777777" w:rsidTr="00B02BF3">
        <w:trPr>
          <w:cantSplit/>
        </w:trPr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125FB" w14:textId="77777777" w:rsidR="003E11F5" w:rsidRPr="00B02BF3" w:rsidRDefault="003E11F5" w:rsidP="00F53A3F">
            <w:pPr>
              <w:ind w:left="141"/>
              <w:rPr>
                <w:sz w:val="24"/>
                <w:szCs w:val="24"/>
                <w:lang w:val="en-GB"/>
              </w:rPr>
            </w:pPr>
            <w:r w:rsidRPr="00B02BF3">
              <w:rPr>
                <w:sz w:val="24"/>
                <w:szCs w:val="24"/>
                <w:lang w:val="en-GB"/>
              </w:rPr>
              <w:t xml:space="preserve">Hud </w:t>
            </w:r>
            <w:proofErr w:type="spellStart"/>
            <w:r w:rsidRPr="00B02BF3">
              <w:rPr>
                <w:sz w:val="24"/>
                <w:szCs w:val="24"/>
                <w:lang w:val="en-GB"/>
              </w:rPr>
              <w:t>og</w:t>
            </w:r>
            <w:proofErr w:type="spellEnd"/>
            <w:r w:rsidRPr="00B02BF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02BF3">
              <w:rPr>
                <w:sz w:val="24"/>
                <w:szCs w:val="24"/>
                <w:lang w:val="en-GB"/>
              </w:rPr>
              <w:t>subkutane</w:t>
            </w:r>
            <w:proofErr w:type="spellEnd"/>
            <w:r w:rsidRPr="00B02BF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02BF3">
              <w:rPr>
                <w:sz w:val="24"/>
                <w:szCs w:val="24"/>
                <w:lang w:val="en-GB"/>
              </w:rPr>
              <w:t>væv</w:t>
            </w:r>
            <w:proofErr w:type="spellEnd"/>
            <w:r w:rsidRPr="00B02BF3">
              <w:rPr>
                <w:sz w:val="24"/>
                <w:szCs w:val="24"/>
                <w:lang w:val="en-GB"/>
              </w:rPr>
              <w:t> 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CAC230" w14:textId="77777777" w:rsidR="003E11F5" w:rsidRPr="00B02BF3" w:rsidRDefault="003E11F5" w:rsidP="00F53A3F">
            <w:pPr>
              <w:ind w:left="141"/>
              <w:rPr>
                <w:sz w:val="24"/>
                <w:szCs w:val="24"/>
                <w:lang w:val="en-GB"/>
              </w:rPr>
            </w:pPr>
            <w:proofErr w:type="spellStart"/>
            <w:r w:rsidRPr="00B02BF3">
              <w:rPr>
                <w:sz w:val="24"/>
                <w:szCs w:val="24"/>
                <w:lang w:val="en-GB"/>
              </w:rPr>
              <w:t>Almindelig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886129" w14:textId="77777777" w:rsidR="003E11F5" w:rsidRPr="00B02BF3" w:rsidRDefault="003E11F5" w:rsidP="00F53A3F">
            <w:pPr>
              <w:ind w:left="141"/>
              <w:rPr>
                <w:sz w:val="24"/>
                <w:szCs w:val="24"/>
              </w:rPr>
            </w:pPr>
            <w:r w:rsidRPr="00B02BF3">
              <w:rPr>
                <w:sz w:val="24"/>
                <w:szCs w:val="24"/>
              </w:rPr>
              <w:t xml:space="preserve">Misfarvning af neglene, </w:t>
            </w:r>
          </w:p>
          <w:p w14:paraId="060444CE" w14:textId="77777777" w:rsidR="003E11F5" w:rsidRPr="00B02BF3" w:rsidRDefault="003E11F5" w:rsidP="00F53A3F">
            <w:pPr>
              <w:ind w:left="141"/>
              <w:rPr>
                <w:sz w:val="24"/>
                <w:szCs w:val="24"/>
              </w:rPr>
            </w:pPr>
            <w:proofErr w:type="spellStart"/>
            <w:r w:rsidRPr="00B02BF3">
              <w:rPr>
                <w:sz w:val="24"/>
                <w:szCs w:val="24"/>
              </w:rPr>
              <w:t>onykolyse</w:t>
            </w:r>
            <w:proofErr w:type="spellEnd"/>
            <w:r w:rsidRPr="00B02BF3">
              <w:rPr>
                <w:sz w:val="24"/>
                <w:szCs w:val="24"/>
              </w:rPr>
              <w:t xml:space="preserve">, </w:t>
            </w:r>
          </w:p>
          <w:p w14:paraId="6CD05452" w14:textId="77777777" w:rsidR="003E11F5" w:rsidRPr="00B02BF3" w:rsidRDefault="003E11F5" w:rsidP="00F53A3F">
            <w:pPr>
              <w:ind w:left="141"/>
              <w:rPr>
                <w:sz w:val="24"/>
                <w:szCs w:val="24"/>
              </w:rPr>
            </w:pPr>
            <w:proofErr w:type="spellStart"/>
            <w:r w:rsidRPr="00B02BF3">
              <w:rPr>
                <w:sz w:val="24"/>
                <w:szCs w:val="24"/>
              </w:rPr>
              <w:t>onykomadese</w:t>
            </w:r>
            <w:proofErr w:type="spellEnd"/>
            <w:r w:rsidRPr="00B02BF3">
              <w:rPr>
                <w:sz w:val="24"/>
                <w:szCs w:val="24"/>
              </w:rPr>
              <w:t>,</w:t>
            </w:r>
          </w:p>
          <w:p w14:paraId="0F3FC48E" w14:textId="77777777" w:rsidR="003E11F5" w:rsidRPr="00B02BF3" w:rsidRDefault="003E11F5" w:rsidP="00F53A3F">
            <w:pPr>
              <w:ind w:left="141"/>
              <w:rPr>
                <w:sz w:val="24"/>
                <w:szCs w:val="24"/>
                <w:lang w:val="en-GB"/>
              </w:rPr>
            </w:pPr>
            <w:proofErr w:type="spellStart"/>
            <w:r w:rsidRPr="00B02BF3">
              <w:rPr>
                <w:sz w:val="24"/>
                <w:szCs w:val="24"/>
                <w:lang w:val="en-GB"/>
              </w:rPr>
              <w:t>paronykie</w:t>
            </w:r>
            <w:proofErr w:type="spellEnd"/>
            <w:r w:rsidRPr="00B02BF3">
              <w:rPr>
                <w:sz w:val="24"/>
                <w:szCs w:val="24"/>
                <w:lang w:val="en-GB"/>
              </w:rPr>
              <w:t>,</w:t>
            </w:r>
          </w:p>
          <w:p w14:paraId="1C642B51" w14:textId="77777777" w:rsidR="003E11F5" w:rsidRPr="00B02BF3" w:rsidRDefault="003E11F5" w:rsidP="00F53A3F">
            <w:pPr>
              <w:ind w:left="141"/>
              <w:rPr>
                <w:sz w:val="24"/>
                <w:szCs w:val="24"/>
                <w:lang w:val="en-GB"/>
              </w:rPr>
            </w:pPr>
            <w:proofErr w:type="spellStart"/>
            <w:r w:rsidRPr="00B02BF3">
              <w:rPr>
                <w:sz w:val="24"/>
                <w:szCs w:val="24"/>
                <w:lang w:val="en-GB"/>
              </w:rPr>
              <w:t>kontaktdermatitis</w:t>
            </w:r>
            <w:proofErr w:type="spellEnd"/>
            <w:r w:rsidRPr="00B02BF3">
              <w:rPr>
                <w:sz w:val="24"/>
                <w:szCs w:val="24"/>
                <w:lang w:val="en-GB"/>
              </w:rPr>
              <w:t xml:space="preserve">, </w:t>
            </w:r>
          </w:p>
          <w:p w14:paraId="49DE90F3" w14:textId="77777777" w:rsidR="003E11F5" w:rsidRPr="00B02BF3" w:rsidRDefault="003E11F5" w:rsidP="00F53A3F">
            <w:pPr>
              <w:ind w:left="141"/>
              <w:rPr>
                <w:sz w:val="24"/>
                <w:szCs w:val="24"/>
                <w:lang w:val="en-GB"/>
              </w:rPr>
            </w:pPr>
            <w:proofErr w:type="spellStart"/>
            <w:r w:rsidRPr="00B02BF3">
              <w:rPr>
                <w:sz w:val="24"/>
                <w:szCs w:val="24"/>
                <w:lang w:val="en-GB"/>
              </w:rPr>
              <w:t>erythem</w:t>
            </w:r>
            <w:proofErr w:type="spellEnd"/>
          </w:p>
          <w:p w14:paraId="7A6BA1E6" w14:textId="77777777" w:rsidR="003E11F5" w:rsidRPr="00B02BF3" w:rsidRDefault="003E11F5" w:rsidP="00F53A3F">
            <w:pPr>
              <w:ind w:left="141"/>
              <w:rPr>
                <w:sz w:val="24"/>
                <w:szCs w:val="24"/>
                <w:lang w:val="en-GB"/>
              </w:rPr>
            </w:pPr>
          </w:p>
        </w:tc>
      </w:tr>
      <w:tr w:rsidR="003E11F5" w:rsidRPr="00B02BF3" w14:paraId="4A08E667" w14:textId="77777777" w:rsidTr="00B02B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1A76" w14:textId="77777777" w:rsidR="003E11F5" w:rsidRPr="00B02BF3" w:rsidRDefault="003E11F5" w:rsidP="00F53A3F">
            <w:pPr>
              <w:ind w:left="141"/>
              <w:rPr>
                <w:sz w:val="24"/>
                <w:szCs w:val="24"/>
                <w:lang w:val="en-GB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97F53D" w14:textId="77777777" w:rsidR="003E11F5" w:rsidRPr="00B02BF3" w:rsidRDefault="003E11F5" w:rsidP="00F53A3F">
            <w:pPr>
              <w:ind w:left="141"/>
              <w:rPr>
                <w:sz w:val="24"/>
                <w:szCs w:val="24"/>
                <w:lang w:val="en-GB"/>
              </w:rPr>
            </w:pPr>
            <w:proofErr w:type="spellStart"/>
            <w:r w:rsidRPr="00B02BF3">
              <w:rPr>
                <w:sz w:val="24"/>
                <w:szCs w:val="24"/>
                <w:lang w:val="en-GB"/>
              </w:rPr>
              <w:t>Ikke</w:t>
            </w:r>
            <w:proofErr w:type="spellEnd"/>
            <w:r w:rsidRPr="00B02BF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02BF3">
              <w:rPr>
                <w:sz w:val="24"/>
                <w:szCs w:val="24"/>
                <w:lang w:val="en-GB"/>
              </w:rPr>
              <w:t>almindelig</w:t>
            </w:r>
            <w:proofErr w:type="spellEnd"/>
            <w:r w:rsidRPr="00B02BF3">
              <w:rPr>
                <w:sz w:val="24"/>
                <w:szCs w:val="24"/>
                <w:lang w:val="en-GB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A7ECDD" w14:textId="77777777" w:rsidR="003E11F5" w:rsidRPr="00B02BF3" w:rsidRDefault="003E11F5" w:rsidP="00F53A3F">
            <w:pPr>
              <w:ind w:left="141"/>
              <w:rPr>
                <w:sz w:val="24"/>
                <w:szCs w:val="24"/>
                <w:lang w:val="en-GB"/>
              </w:rPr>
            </w:pPr>
            <w:proofErr w:type="spellStart"/>
            <w:r w:rsidRPr="00B02BF3">
              <w:rPr>
                <w:sz w:val="24"/>
                <w:szCs w:val="24"/>
                <w:lang w:val="en-GB"/>
              </w:rPr>
              <w:t>Hudirritation</w:t>
            </w:r>
            <w:proofErr w:type="spellEnd"/>
            <w:r w:rsidRPr="00B02BF3">
              <w:rPr>
                <w:sz w:val="24"/>
                <w:szCs w:val="24"/>
                <w:lang w:val="en-GB"/>
              </w:rPr>
              <w:t xml:space="preserve">, </w:t>
            </w:r>
          </w:p>
          <w:p w14:paraId="0E36D3F9" w14:textId="77777777" w:rsidR="003E11F5" w:rsidRPr="00B02BF3" w:rsidRDefault="003E11F5" w:rsidP="00F53A3F">
            <w:pPr>
              <w:ind w:left="141"/>
              <w:rPr>
                <w:sz w:val="24"/>
                <w:szCs w:val="24"/>
                <w:lang w:val="en-GB"/>
              </w:rPr>
            </w:pPr>
            <w:r w:rsidRPr="00B02BF3">
              <w:rPr>
                <w:sz w:val="24"/>
                <w:szCs w:val="24"/>
                <w:lang w:val="en-GB"/>
              </w:rPr>
              <w:t>dermatitis,</w:t>
            </w:r>
          </w:p>
          <w:p w14:paraId="686EAA55" w14:textId="77777777" w:rsidR="003E11F5" w:rsidRPr="00B02BF3" w:rsidRDefault="003E11F5" w:rsidP="00F53A3F">
            <w:pPr>
              <w:ind w:left="141"/>
              <w:rPr>
                <w:sz w:val="24"/>
                <w:szCs w:val="24"/>
                <w:lang w:val="en-GB"/>
              </w:rPr>
            </w:pPr>
            <w:proofErr w:type="spellStart"/>
            <w:r w:rsidRPr="00B02BF3">
              <w:rPr>
                <w:sz w:val="24"/>
                <w:szCs w:val="24"/>
                <w:lang w:val="en-GB"/>
              </w:rPr>
              <w:t>neglelidelser</w:t>
            </w:r>
            <w:proofErr w:type="spellEnd"/>
            <w:r w:rsidRPr="00B02BF3">
              <w:rPr>
                <w:sz w:val="24"/>
                <w:szCs w:val="24"/>
                <w:lang w:val="en-GB"/>
              </w:rPr>
              <w:t>,</w:t>
            </w:r>
          </w:p>
          <w:p w14:paraId="78896587" w14:textId="77777777" w:rsidR="003E11F5" w:rsidRPr="00B02BF3" w:rsidRDefault="003E11F5" w:rsidP="00F53A3F">
            <w:pPr>
              <w:ind w:left="141"/>
              <w:rPr>
                <w:sz w:val="24"/>
                <w:szCs w:val="24"/>
                <w:lang w:val="en-GB"/>
              </w:rPr>
            </w:pPr>
            <w:r w:rsidRPr="00B02BF3">
              <w:rPr>
                <w:sz w:val="24"/>
                <w:szCs w:val="24"/>
                <w:lang w:val="en-GB"/>
              </w:rPr>
              <w:t>pruritis</w:t>
            </w:r>
          </w:p>
        </w:tc>
      </w:tr>
    </w:tbl>
    <w:p w14:paraId="527BC8B8" w14:textId="77777777" w:rsidR="003E11F5" w:rsidRPr="00B02BF3" w:rsidRDefault="003E11F5" w:rsidP="00B02BF3">
      <w:pPr>
        <w:widowControl w:val="0"/>
        <w:ind w:left="851"/>
        <w:rPr>
          <w:sz w:val="24"/>
          <w:szCs w:val="24"/>
        </w:rPr>
      </w:pPr>
      <w:r w:rsidRPr="00B02BF3">
        <w:rPr>
          <w:sz w:val="24"/>
          <w:szCs w:val="24"/>
        </w:rPr>
        <w:t xml:space="preserve">*Ikke almindelige bivirkninger påvirkede enten de behandlede negle eller den omkringliggende hud. Disse reaktioner lignede de almindelige bivirkninger, der er anført i tabellen, eller kan beskrives som hudirritation, </w:t>
      </w:r>
      <w:proofErr w:type="spellStart"/>
      <w:r w:rsidRPr="00B02BF3">
        <w:rPr>
          <w:sz w:val="24"/>
          <w:szCs w:val="24"/>
        </w:rPr>
        <w:t>dermatitis</w:t>
      </w:r>
      <w:proofErr w:type="spellEnd"/>
      <w:r w:rsidRPr="00B02BF3">
        <w:rPr>
          <w:sz w:val="24"/>
          <w:szCs w:val="24"/>
        </w:rPr>
        <w:t xml:space="preserve"> eller neglelidelser.</w:t>
      </w:r>
    </w:p>
    <w:p w14:paraId="71D029BC" w14:textId="77777777" w:rsidR="003E11F5" w:rsidRPr="00B02BF3" w:rsidRDefault="003E11F5" w:rsidP="00B02BF3">
      <w:pPr>
        <w:ind w:left="851"/>
        <w:rPr>
          <w:sz w:val="24"/>
          <w:szCs w:val="24"/>
        </w:rPr>
      </w:pPr>
    </w:p>
    <w:p w14:paraId="59DE0AE7" w14:textId="77777777" w:rsidR="003E11F5" w:rsidRPr="00B02BF3" w:rsidRDefault="003E11F5" w:rsidP="00B02BF3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B02BF3">
        <w:rPr>
          <w:sz w:val="24"/>
          <w:szCs w:val="24"/>
          <w:u w:val="single"/>
        </w:rPr>
        <w:t>Indberetning af formodede bivirkninger</w:t>
      </w:r>
    </w:p>
    <w:p w14:paraId="365538A1" w14:textId="77777777" w:rsidR="003E11F5" w:rsidRPr="00B02BF3" w:rsidRDefault="003E11F5" w:rsidP="00B02BF3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02BF3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B02BF3">
        <w:rPr>
          <w:sz w:val="24"/>
          <w:szCs w:val="24"/>
        </w:rPr>
        <w:t>risk</w:t>
      </w:r>
      <w:proofErr w:type="spellEnd"/>
      <w:r w:rsidRPr="00B02BF3">
        <w:rPr>
          <w:sz w:val="24"/>
          <w:szCs w:val="24"/>
        </w:rPr>
        <w:t>-forholdet for lægemidlet. Sundhedspersoner anmodes om at indberette alle formodede bivirkninger via</w:t>
      </w:r>
    </w:p>
    <w:p w14:paraId="7E6A43DD" w14:textId="77777777" w:rsidR="003E11F5" w:rsidRPr="00B02BF3" w:rsidRDefault="003E11F5" w:rsidP="00B02BF3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4DBA6B26" w14:textId="77777777" w:rsidR="003E11F5" w:rsidRPr="00B02BF3" w:rsidRDefault="003E11F5" w:rsidP="00B02BF3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02BF3">
        <w:rPr>
          <w:sz w:val="24"/>
          <w:szCs w:val="24"/>
        </w:rPr>
        <w:t>Lægemiddelstyrelsen</w:t>
      </w:r>
    </w:p>
    <w:p w14:paraId="03AD6002" w14:textId="77777777" w:rsidR="003E11F5" w:rsidRPr="00B02BF3" w:rsidRDefault="003E11F5" w:rsidP="00B02BF3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02BF3">
        <w:rPr>
          <w:sz w:val="24"/>
          <w:szCs w:val="24"/>
        </w:rPr>
        <w:t>Axel Heides Gade 1</w:t>
      </w:r>
    </w:p>
    <w:p w14:paraId="2D48DFFB" w14:textId="77777777" w:rsidR="003E11F5" w:rsidRPr="00B02BF3" w:rsidRDefault="003E11F5" w:rsidP="00B02BF3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02BF3">
        <w:rPr>
          <w:sz w:val="24"/>
          <w:szCs w:val="24"/>
        </w:rPr>
        <w:t>DK-2300 København S</w:t>
      </w:r>
    </w:p>
    <w:p w14:paraId="5FC55CF3" w14:textId="77777777" w:rsidR="003E11F5" w:rsidRPr="00B02BF3" w:rsidRDefault="003E11F5" w:rsidP="00B02BF3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02BF3">
        <w:rPr>
          <w:sz w:val="24"/>
          <w:szCs w:val="24"/>
        </w:rPr>
        <w:t xml:space="preserve">Websted: </w:t>
      </w:r>
      <w:hyperlink r:id="rId8" w:history="1">
        <w:r w:rsidRPr="00B02BF3">
          <w:rPr>
            <w:rStyle w:val="Hyperlink"/>
            <w:sz w:val="24"/>
            <w:szCs w:val="24"/>
          </w:rPr>
          <w:t>www.meldenbivirkning.dk</w:t>
        </w:r>
      </w:hyperlink>
    </w:p>
    <w:p w14:paraId="7D9FDF5F" w14:textId="77777777" w:rsidR="009260DE" w:rsidRPr="00B02BF3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79493213" w14:textId="77777777" w:rsidR="009260DE" w:rsidRPr="00B02B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02BF3">
        <w:rPr>
          <w:b/>
          <w:sz w:val="24"/>
          <w:szCs w:val="24"/>
        </w:rPr>
        <w:t>4.9</w:t>
      </w:r>
      <w:r w:rsidRPr="00B02BF3">
        <w:rPr>
          <w:b/>
          <w:sz w:val="24"/>
          <w:szCs w:val="24"/>
        </w:rPr>
        <w:tab/>
        <w:t>Overdosering</w:t>
      </w:r>
    </w:p>
    <w:p w14:paraId="017B48A5" w14:textId="00A6098A" w:rsidR="003E11F5" w:rsidRPr="00B02BF3" w:rsidRDefault="003E11F5" w:rsidP="00B02BF3">
      <w:pPr>
        <w:ind w:left="851"/>
        <w:rPr>
          <w:sz w:val="24"/>
          <w:szCs w:val="24"/>
        </w:rPr>
      </w:pPr>
      <w:r w:rsidRPr="00B02BF3">
        <w:rPr>
          <w:sz w:val="24"/>
          <w:szCs w:val="24"/>
        </w:rPr>
        <w:t xml:space="preserve">Overdosering er meget usandsynligt som følge af administrationsvejen. Der forventes ingen systemiske tegn på overdosering efter administration af </w:t>
      </w: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 </w:t>
      </w:r>
      <w:r w:rsidR="00B02BF3" w:rsidRPr="00B02BF3">
        <w:rPr>
          <w:sz w:val="24"/>
          <w:szCs w:val="24"/>
        </w:rPr>
        <w:t>"Moberg Pharma"</w:t>
      </w:r>
      <w:r w:rsidRPr="00B02BF3">
        <w:rPr>
          <w:sz w:val="24"/>
          <w:szCs w:val="24"/>
        </w:rPr>
        <w:t xml:space="preserve">, da den systemiske absorption af </w:t>
      </w:r>
      <w:proofErr w:type="spellStart"/>
      <w:r w:rsidRPr="00B02BF3">
        <w:rPr>
          <w:sz w:val="24"/>
          <w:szCs w:val="24"/>
        </w:rPr>
        <w:t>topikal</w:t>
      </w:r>
      <w:proofErr w:type="spellEnd"/>
      <w:r w:rsidRPr="00B02BF3">
        <w:rPr>
          <w:sz w:val="24"/>
          <w:szCs w:val="24"/>
        </w:rPr>
        <w:t xml:space="preserve"> </w:t>
      </w: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 er meget lav. I tilfælde af utilsigtet oral indtagelse bør der gives passende symptomatisk behandling.</w:t>
      </w:r>
    </w:p>
    <w:p w14:paraId="5ADE4667" w14:textId="77777777" w:rsidR="009260DE" w:rsidRPr="00B02B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C3FB709" w14:textId="77777777" w:rsidR="009260DE" w:rsidRPr="00B02B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02BF3">
        <w:rPr>
          <w:b/>
          <w:sz w:val="24"/>
          <w:szCs w:val="24"/>
        </w:rPr>
        <w:t>4.10</w:t>
      </w:r>
      <w:r w:rsidRPr="00B02BF3">
        <w:rPr>
          <w:b/>
          <w:sz w:val="24"/>
          <w:szCs w:val="24"/>
        </w:rPr>
        <w:tab/>
        <w:t>Udlevering</w:t>
      </w:r>
    </w:p>
    <w:p w14:paraId="535D9109" w14:textId="7F77181B" w:rsidR="009260DE" w:rsidRPr="00B02BF3" w:rsidRDefault="00B02BF3" w:rsidP="009260DE">
      <w:pPr>
        <w:tabs>
          <w:tab w:val="left" w:pos="851"/>
        </w:tabs>
        <w:ind w:left="851"/>
        <w:rPr>
          <w:sz w:val="24"/>
          <w:szCs w:val="24"/>
        </w:rPr>
      </w:pPr>
      <w:r w:rsidRPr="00B02BF3">
        <w:rPr>
          <w:sz w:val="24"/>
          <w:szCs w:val="24"/>
        </w:rPr>
        <w:t>B</w:t>
      </w:r>
    </w:p>
    <w:p w14:paraId="4791EC06" w14:textId="77777777" w:rsidR="009260DE" w:rsidRPr="00B02B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4186F48" w14:textId="77777777" w:rsidR="009260DE" w:rsidRPr="00B02B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871F378" w14:textId="77777777" w:rsidR="009260DE" w:rsidRPr="00B02B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02BF3">
        <w:rPr>
          <w:b/>
          <w:sz w:val="24"/>
          <w:szCs w:val="24"/>
        </w:rPr>
        <w:t>5.</w:t>
      </w:r>
      <w:r w:rsidRPr="00B02BF3">
        <w:rPr>
          <w:b/>
          <w:sz w:val="24"/>
          <w:szCs w:val="24"/>
        </w:rPr>
        <w:tab/>
        <w:t>FARMAKOLOGISKE EGENSKABER</w:t>
      </w:r>
    </w:p>
    <w:p w14:paraId="46964C63" w14:textId="77777777" w:rsidR="009260DE" w:rsidRPr="00B02B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EFD4D4E" w14:textId="77777777" w:rsidR="009260DE" w:rsidRPr="00B02BF3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B02BF3">
        <w:rPr>
          <w:b/>
          <w:sz w:val="24"/>
          <w:szCs w:val="24"/>
        </w:rPr>
        <w:t>5.1</w:t>
      </w:r>
      <w:r w:rsidRPr="00B02BF3">
        <w:rPr>
          <w:b/>
          <w:sz w:val="24"/>
          <w:szCs w:val="24"/>
        </w:rPr>
        <w:tab/>
      </w:r>
      <w:proofErr w:type="spellStart"/>
      <w:r w:rsidRPr="00B02BF3">
        <w:rPr>
          <w:b/>
          <w:sz w:val="24"/>
          <w:szCs w:val="24"/>
        </w:rPr>
        <w:t>Farmakodynamiske</w:t>
      </w:r>
      <w:proofErr w:type="spellEnd"/>
      <w:r w:rsidRPr="00B02BF3">
        <w:rPr>
          <w:b/>
          <w:sz w:val="24"/>
          <w:szCs w:val="24"/>
        </w:rPr>
        <w:t xml:space="preserve"> egenskaber</w:t>
      </w:r>
    </w:p>
    <w:p w14:paraId="78F4B4E6" w14:textId="77777777" w:rsidR="003E11F5" w:rsidRPr="00B02BF3" w:rsidRDefault="003E11F5" w:rsidP="00B02BF3">
      <w:pPr>
        <w:suppressAutoHyphens/>
        <w:ind w:left="851"/>
        <w:rPr>
          <w:sz w:val="24"/>
          <w:szCs w:val="24"/>
        </w:rPr>
      </w:pPr>
      <w:proofErr w:type="spellStart"/>
      <w:r w:rsidRPr="00B02BF3">
        <w:rPr>
          <w:sz w:val="24"/>
          <w:szCs w:val="24"/>
        </w:rPr>
        <w:t>Farmakoterapeutisk</w:t>
      </w:r>
      <w:proofErr w:type="spellEnd"/>
      <w:r w:rsidRPr="00B02BF3">
        <w:rPr>
          <w:sz w:val="24"/>
          <w:szCs w:val="24"/>
        </w:rPr>
        <w:t xml:space="preserve"> klassifikation: Andre fungicider til udvortes brug; ATC-kode: D01AE15.</w:t>
      </w:r>
    </w:p>
    <w:p w14:paraId="5ECCCBDF" w14:textId="77777777" w:rsidR="003E11F5" w:rsidRPr="00B02BF3" w:rsidRDefault="003E11F5" w:rsidP="00B02BF3">
      <w:pPr>
        <w:suppressAutoHyphens/>
        <w:ind w:left="851"/>
        <w:rPr>
          <w:sz w:val="24"/>
          <w:szCs w:val="24"/>
        </w:rPr>
      </w:pPr>
    </w:p>
    <w:p w14:paraId="71B60EA3" w14:textId="77777777" w:rsidR="003E11F5" w:rsidRPr="00B02BF3" w:rsidRDefault="003E11F5" w:rsidP="00B02BF3">
      <w:pPr>
        <w:suppressAutoHyphens/>
        <w:ind w:left="851"/>
        <w:rPr>
          <w:sz w:val="24"/>
          <w:szCs w:val="24"/>
        </w:rPr>
      </w:pP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 er et </w:t>
      </w:r>
      <w:proofErr w:type="spellStart"/>
      <w:r w:rsidRPr="00B02BF3">
        <w:rPr>
          <w:sz w:val="24"/>
          <w:szCs w:val="24"/>
        </w:rPr>
        <w:t>allylamin</w:t>
      </w:r>
      <w:proofErr w:type="spellEnd"/>
      <w:r w:rsidRPr="00B02BF3">
        <w:rPr>
          <w:sz w:val="24"/>
          <w:szCs w:val="24"/>
        </w:rPr>
        <w:t xml:space="preserve"> med bredspektret </w:t>
      </w:r>
      <w:proofErr w:type="spellStart"/>
      <w:r w:rsidRPr="00B02BF3">
        <w:rPr>
          <w:sz w:val="24"/>
          <w:szCs w:val="24"/>
        </w:rPr>
        <w:t>antimykotisk</w:t>
      </w:r>
      <w:proofErr w:type="spellEnd"/>
      <w:r w:rsidRPr="00B02BF3">
        <w:rPr>
          <w:sz w:val="24"/>
          <w:szCs w:val="24"/>
        </w:rPr>
        <w:t xml:space="preserve"> virkning mod svampeinfektioner, der er forårsaget af </w:t>
      </w:r>
      <w:proofErr w:type="spellStart"/>
      <w:r w:rsidRPr="00B02BF3">
        <w:rPr>
          <w:sz w:val="24"/>
          <w:szCs w:val="24"/>
        </w:rPr>
        <w:t>dermatofytter</w:t>
      </w:r>
      <w:proofErr w:type="spellEnd"/>
      <w:r w:rsidRPr="00B02BF3">
        <w:rPr>
          <w:sz w:val="24"/>
          <w:szCs w:val="24"/>
        </w:rPr>
        <w:t xml:space="preserve">, såsom </w:t>
      </w:r>
      <w:proofErr w:type="spellStart"/>
      <w:r w:rsidRPr="00B02BF3">
        <w:rPr>
          <w:i/>
          <w:iCs/>
          <w:sz w:val="24"/>
          <w:szCs w:val="24"/>
        </w:rPr>
        <w:t>Trichophyton</w:t>
      </w:r>
      <w:proofErr w:type="spellEnd"/>
      <w:r w:rsidRPr="00B02BF3">
        <w:rPr>
          <w:sz w:val="24"/>
          <w:szCs w:val="24"/>
        </w:rPr>
        <w:t xml:space="preserve"> (f.eks. </w:t>
      </w:r>
      <w:r w:rsidRPr="00B02BF3">
        <w:rPr>
          <w:i/>
          <w:iCs/>
          <w:sz w:val="24"/>
          <w:szCs w:val="24"/>
        </w:rPr>
        <w:t xml:space="preserve">T. </w:t>
      </w:r>
      <w:proofErr w:type="spellStart"/>
      <w:r w:rsidRPr="00B02BF3">
        <w:rPr>
          <w:i/>
          <w:iCs/>
          <w:sz w:val="24"/>
          <w:szCs w:val="24"/>
        </w:rPr>
        <w:t>rubrum</w:t>
      </w:r>
      <w:proofErr w:type="spellEnd"/>
      <w:r w:rsidRPr="00B02BF3">
        <w:rPr>
          <w:sz w:val="24"/>
          <w:szCs w:val="24"/>
        </w:rPr>
        <w:t>, </w:t>
      </w:r>
      <w:r w:rsidRPr="00B02BF3">
        <w:rPr>
          <w:i/>
          <w:iCs/>
          <w:sz w:val="24"/>
          <w:szCs w:val="24"/>
        </w:rPr>
        <w:t xml:space="preserve">T. </w:t>
      </w:r>
      <w:proofErr w:type="spellStart"/>
      <w:r w:rsidRPr="00B02BF3">
        <w:rPr>
          <w:i/>
          <w:iCs/>
          <w:sz w:val="24"/>
          <w:szCs w:val="24"/>
        </w:rPr>
        <w:t>mentagrophytes</w:t>
      </w:r>
      <w:proofErr w:type="spellEnd"/>
      <w:r w:rsidRPr="00B02BF3">
        <w:rPr>
          <w:sz w:val="24"/>
          <w:szCs w:val="24"/>
        </w:rPr>
        <w:t>, </w:t>
      </w:r>
      <w:r w:rsidRPr="00B02BF3">
        <w:rPr>
          <w:i/>
          <w:iCs/>
          <w:sz w:val="24"/>
          <w:szCs w:val="24"/>
        </w:rPr>
        <w:t xml:space="preserve">T. </w:t>
      </w:r>
      <w:proofErr w:type="spellStart"/>
      <w:r w:rsidRPr="00B02BF3">
        <w:rPr>
          <w:i/>
          <w:iCs/>
          <w:sz w:val="24"/>
          <w:szCs w:val="24"/>
        </w:rPr>
        <w:t>verrucosum</w:t>
      </w:r>
      <w:proofErr w:type="spellEnd"/>
      <w:r w:rsidRPr="00B02BF3">
        <w:rPr>
          <w:sz w:val="24"/>
          <w:szCs w:val="24"/>
        </w:rPr>
        <w:t>, </w:t>
      </w:r>
      <w:r w:rsidRPr="00B02BF3">
        <w:rPr>
          <w:i/>
          <w:iCs/>
          <w:sz w:val="24"/>
          <w:szCs w:val="24"/>
        </w:rPr>
        <w:t xml:space="preserve">T. </w:t>
      </w:r>
      <w:proofErr w:type="spellStart"/>
      <w:r w:rsidRPr="00B02BF3">
        <w:rPr>
          <w:i/>
          <w:iCs/>
          <w:sz w:val="24"/>
          <w:szCs w:val="24"/>
        </w:rPr>
        <w:t>violaceum</w:t>
      </w:r>
      <w:proofErr w:type="spellEnd"/>
      <w:r w:rsidRPr="00B02BF3">
        <w:rPr>
          <w:sz w:val="24"/>
          <w:szCs w:val="24"/>
        </w:rPr>
        <w:t>), </w:t>
      </w:r>
      <w:proofErr w:type="spellStart"/>
      <w:r w:rsidRPr="00B02BF3">
        <w:rPr>
          <w:i/>
          <w:iCs/>
          <w:sz w:val="24"/>
          <w:szCs w:val="24"/>
        </w:rPr>
        <w:t>Microsporum</w:t>
      </w:r>
      <w:proofErr w:type="spellEnd"/>
      <w:r w:rsidRPr="00B02BF3">
        <w:rPr>
          <w:i/>
          <w:iCs/>
          <w:sz w:val="24"/>
          <w:szCs w:val="24"/>
        </w:rPr>
        <w:t xml:space="preserve"> </w:t>
      </w:r>
      <w:proofErr w:type="spellStart"/>
      <w:r w:rsidRPr="00B02BF3">
        <w:rPr>
          <w:i/>
          <w:iCs/>
          <w:sz w:val="24"/>
          <w:szCs w:val="24"/>
        </w:rPr>
        <w:t>canis</w:t>
      </w:r>
      <w:proofErr w:type="spellEnd"/>
      <w:r w:rsidRPr="00B02BF3">
        <w:rPr>
          <w:sz w:val="24"/>
          <w:szCs w:val="24"/>
        </w:rPr>
        <w:t> og </w:t>
      </w:r>
      <w:proofErr w:type="spellStart"/>
      <w:r w:rsidRPr="00B02BF3">
        <w:rPr>
          <w:i/>
          <w:iCs/>
          <w:sz w:val="24"/>
          <w:szCs w:val="24"/>
        </w:rPr>
        <w:t>Epidermophyton</w:t>
      </w:r>
      <w:proofErr w:type="spellEnd"/>
      <w:r w:rsidRPr="00B02BF3">
        <w:rPr>
          <w:i/>
          <w:iCs/>
          <w:sz w:val="24"/>
          <w:szCs w:val="24"/>
        </w:rPr>
        <w:t xml:space="preserve"> </w:t>
      </w:r>
      <w:proofErr w:type="spellStart"/>
      <w:r w:rsidRPr="00B02BF3">
        <w:rPr>
          <w:i/>
          <w:iCs/>
          <w:sz w:val="24"/>
          <w:szCs w:val="24"/>
        </w:rPr>
        <w:t>floccosum</w:t>
      </w:r>
      <w:proofErr w:type="spellEnd"/>
      <w:r w:rsidRPr="00B02BF3">
        <w:rPr>
          <w:sz w:val="24"/>
          <w:szCs w:val="24"/>
        </w:rPr>
        <w:t xml:space="preserve">. Ved lave koncentrationer er </w:t>
      </w: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 fungicidt over for </w:t>
      </w:r>
      <w:proofErr w:type="spellStart"/>
      <w:r w:rsidRPr="00B02BF3">
        <w:rPr>
          <w:sz w:val="24"/>
          <w:szCs w:val="24"/>
        </w:rPr>
        <w:t>dermatofytter</w:t>
      </w:r>
      <w:proofErr w:type="spellEnd"/>
      <w:r w:rsidRPr="00B02BF3">
        <w:rPr>
          <w:sz w:val="24"/>
          <w:szCs w:val="24"/>
        </w:rPr>
        <w:t xml:space="preserve"> og skimmelsvampe. Virkningen på gærsvampe er fungicid (f.eks. </w:t>
      </w:r>
      <w:proofErr w:type="spellStart"/>
      <w:r w:rsidRPr="00B02BF3">
        <w:rPr>
          <w:i/>
          <w:iCs/>
          <w:sz w:val="24"/>
          <w:szCs w:val="24"/>
        </w:rPr>
        <w:t>Pityrosporum</w:t>
      </w:r>
      <w:proofErr w:type="spellEnd"/>
      <w:r w:rsidRPr="00B02BF3">
        <w:rPr>
          <w:i/>
          <w:iCs/>
          <w:sz w:val="24"/>
          <w:szCs w:val="24"/>
        </w:rPr>
        <w:t xml:space="preserve"> </w:t>
      </w:r>
      <w:proofErr w:type="spellStart"/>
      <w:r w:rsidRPr="00B02BF3">
        <w:rPr>
          <w:i/>
          <w:iCs/>
          <w:sz w:val="24"/>
          <w:szCs w:val="24"/>
        </w:rPr>
        <w:t>orbiculare</w:t>
      </w:r>
      <w:proofErr w:type="spellEnd"/>
      <w:r w:rsidRPr="00B02BF3">
        <w:rPr>
          <w:sz w:val="24"/>
          <w:szCs w:val="24"/>
        </w:rPr>
        <w:t> eller </w:t>
      </w:r>
      <w:proofErr w:type="spellStart"/>
      <w:r w:rsidRPr="00B02BF3">
        <w:rPr>
          <w:i/>
          <w:iCs/>
          <w:sz w:val="24"/>
          <w:szCs w:val="24"/>
        </w:rPr>
        <w:t>Malassezia</w:t>
      </w:r>
      <w:proofErr w:type="spellEnd"/>
      <w:r w:rsidRPr="00B02BF3">
        <w:rPr>
          <w:i/>
          <w:iCs/>
          <w:sz w:val="24"/>
          <w:szCs w:val="24"/>
        </w:rPr>
        <w:t xml:space="preserve"> </w:t>
      </w:r>
      <w:proofErr w:type="spellStart"/>
      <w:r w:rsidRPr="00B02BF3">
        <w:rPr>
          <w:i/>
          <w:iCs/>
          <w:sz w:val="24"/>
          <w:szCs w:val="24"/>
        </w:rPr>
        <w:t>furfur</w:t>
      </w:r>
      <w:proofErr w:type="spellEnd"/>
      <w:r w:rsidRPr="00B02BF3">
        <w:rPr>
          <w:sz w:val="24"/>
          <w:szCs w:val="24"/>
        </w:rPr>
        <w:t xml:space="preserve">) eller </w:t>
      </w:r>
      <w:proofErr w:type="spellStart"/>
      <w:r w:rsidRPr="00B02BF3">
        <w:rPr>
          <w:sz w:val="24"/>
          <w:szCs w:val="24"/>
        </w:rPr>
        <w:t>fungistatisk</w:t>
      </w:r>
      <w:proofErr w:type="spellEnd"/>
      <w:r w:rsidRPr="00B02BF3">
        <w:rPr>
          <w:sz w:val="24"/>
          <w:szCs w:val="24"/>
        </w:rPr>
        <w:t>, afhængigt af arten.</w:t>
      </w:r>
    </w:p>
    <w:p w14:paraId="705C813E" w14:textId="77777777" w:rsidR="003E11F5" w:rsidRPr="00B02BF3" w:rsidRDefault="003E11F5" w:rsidP="00B02BF3">
      <w:pPr>
        <w:suppressAutoHyphens/>
        <w:ind w:left="851"/>
        <w:rPr>
          <w:sz w:val="24"/>
          <w:szCs w:val="24"/>
        </w:rPr>
      </w:pP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 hæmmer specifikt svampenes </w:t>
      </w:r>
      <w:proofErr w:type="spellStart"/>
      <w:r w:rsidRPr="00B02BF3">
        <w:rPr>
          <w:sz w:val="24"/>
          <w:szCs w:val="24"/>
        </w:rPr>
        <w:t>sterolbiosyntese</w:t>
      </w:r>
      <w:proofErr w:type="spellEnd"/>
      <w:r w:rsidRPr="00B02BF3">
        <w:rPr>
          <w:sz w:val="24"/>
          <w:szCs w:val="24"/>
        </w:rPr>
        <w:t xml:space="preserve"> på et tidligt trin. Dette medfører en mangel på </w:t>
      </w:r>
      <w:proofErr w:type="spellStart"/>
      <w:r w:rsidRPr="00B02BF3">
        <w:rPr>
          <w:sz w:val="24"/>
          <w:szCs w:val="24"/>
        </w:rPr>
        <w:t>ergosterol</w:t>
      </w:r>
      <w:proofErr w:type="spellEnd"/>
      <w:r w:rsidRPr="00B02BF3">
        <w:rPr>
          <w:sz w:val="24"/>
          <w:szCs w:val="24"/>
        </w:rPr>
        <w:t xml:space="preserve"> og en intracellulær akkumulation af </w:t>
      </w:r>
      <w:proofErr w:type="spellStart"/>
      <w:r w:rsidRPr="00B02BF3">
        <w:rPr>
          <w:sz w:val="24"/>
          <w:szCs w:val="24"/>
        </w:rPr>
        <w:t>squalen</w:t>
      </w:r>
      <w:proofErr w:type="spellEnd"/>
      <w:r w:rsidRPr="00B02BF3">
        <w:rPr>
          <w:sz w:val="24"/>
          <w:szCs w:val="24"/>
        </w:rPr>
        <w:t xml:space="preserve">, hvilket fører til svampecellens død. </w:t>
      </w: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 virker ved at hæmme </w:t>
      </w:r>
      <w:proofErr w:type="spellStart"/>
      <w:r w:rsidRPr="00B02BF3">
        <w:rPr>
          <w:sz w:val="24"/>
          <w:szCs w:val="24"/>
        </w:rPr>
        <w:t>squalen</w:t>
      </w:r>
      <w:proofErr w:type="spellEnd"/>
      <w:r w:rsidRPr="00B02BF3">
        <w:rPr>
          <w:sz w:val="24"/>
          <w:szCs w:val="24"/>
        </w:rPr>
        <w:t xml:space="preserve"> </w:t>
      </w:r>
      <w:proofErr w:type="spellStart"/>
      <w:r w:rsidRPr="00B02BF3">
        <w:rPr>
          <w:sz w:val="24"/>
          <w:szCs w:val="24"/>
        </w:rPr>
        <w:t>epoxidase</w:t>
      </w:r>
      <w:proofErr w:type="spellEnd"/>
      <w:r w:rsidRPr="00B02BF3">
        <w:rPr>
          <w:sz w:val="24"/>
          <w:szCs w:val="24"/>
        </w:rPr>
        <w:t xml:space="preserve"> i svampens cellemembran.</w:t>
      </w:r>
    </w:p>
    <w:p w14:paraId="27D71572" w14:textId="77777777" w:rsidR="003E11F5" w:rsidRPr="00B02BF3" w:rsidRDefault="003E11F5" w:rsidP="00B02BF3">
      <w:pPr>
        <w:suppressAutoHyphens/>
        <w:ind w:left="851"/>
        <w:rPr>
          <w:sz w:val="24"/>
          <w:szCs w:val="24"/>
        </w:rPr>
      </w:pPr>
    </w:p>
    <w:p w14:paraId="015E7BE0" w14:textId="77777777" w:rsidR="003E11F5" w:rsidRPr="00B02BF3" w:rsidRDefault="003E11F5" w:rsidP="00B02BF3">
      <w:pPr>
        <w:suppressAutoHyphens/>
        <w:ind w:left="851"/>
        <w:rPr>
          <w:bCs/>
          <w:sz w:val="24"/>
          <w:szCs w:val="24"/>
          <w:u w:val="single"/>
        </w:rPr>
      </w:pPr>
      <w:r w:rsidRPr="00B02BF3">
        <w:rPr>
          <w:bCs/>
          <w:sz w:val="24"/>
          <w:szCs w:val="24"/>
          <w:u w:val="single"/>
        </w:rPr>
        <w:t>Klinisk virkning og sikkerhed</w:t>
      </w:r>
    </w:p>
    <w:p w14:paraId="20C30277" w14:textId="39EB91FE" w:rsidR="003E11F5" w:rsidRPr="00B02BF3" w:rsidRDefault="003E11F5" w:rsidP="00B02BF3">
      <w:pPr>
        <w:suppressAutoHyphens/>
        <w:ind w:left="851"/>
        <w:rPr>
          <w:bCs/>
          <w:sz w:val="24"/>
          <w:szCs w:val="24"/>
        </w:rPr>
      </w:pPr>
      <w:r w:rsidRPr="00B02BF3">
        <w:rPr>
          <w:bCs/>
          <w:sz w:val="24"/>
          <w:szCs w:val="24"/>
        </w:rPr>
        <w:t xml:space="preserve">I alt 953 forsøgspersoner fik </w:t>
      </w:r>
      <w:proofErr w:type="spellStart"/>
      <w:r w:rsidRPr="00B02BF3">
        <w:rPr>
          <w:bCs/>
          <w:sz w:val="24"/>
          <w:szCs w:val="24"/>
        </w:rPr>
        <w:t>Terbinafin</w:t>
      </w:r>
      <w:proofErr w:type="spellEnd"/>
      <w:r w:rsidRPr="00B02BF3">
        <w:rPr>
          <w:bCs/>
          <w:sz w:val="24"/>
          <w:szCs w:val="24"/>
        </w:rPr>
        <w:t xml:space="preserve"> </w:t>
      </w:r>
      <w:r w:rsidR="00B02BF3" w:rsidRPr="00B02BF3">
        <w:rPr>
          <w:bCs/>
          <w:sz w:val="24"/>
          <w:szCs w:val="24"/>
        </w:rPr>
        <w:t>"Moberg Pharma"</w:t>
      </w:r>
      <w:r w:rsidRPr="00B02BF3">
        <w:rPr>
          <w:bCs/>
          <w:sz w:val="24"/>
          <w:szCs w:val="24"/>
        </w:rPr>
        <w:t xml:space="preserve"> på tværs af syv studier som led i det kliniske udviklingsprogram. </w:t>
      </w:r>
    </w:p>
    <w:p w14:paraId="74424AA6" w14:textId="1AAAAF1C" w:rsidR="003E11F5" w:rsidRPr="00B02BF3" w:rsidRDefault="003E11F5" w:rsidP="00B02BF3">
      <w:pPr>
        <w:suppressAutoHyphens/>
        <w:ind w:left="851"/>
        <w:rPr>
          <w:bCs/>
          <w:sz w:val="24"/>
          <w:szCs w:val="24"/>
        </w:rPr>
      </w:pPr>
      <w:r w:rsidRPr="00B02BF3">
        <w:rPr>
          <w:bCs/>
          <w:sz w:val="24"/>
          <w:szCs w:val="24"/>
        </w:rPr>
        <w:t xml:space="preserve">Sikkerhed og virkning blev undersøgt i to randomiserede, kontrollerede, internationale fase III-multicenterstudier hos patienter med </w:t>
      </w:r>
      <w:proofErr w:type="spellStart"/>
      <w:r w:rsidRPr="00B02BF3">
        <w:rPr>
          <w:bCs/>
          <w:sz w:val="24"/>
          <w:szCs w:val="24"/>
        </w:rPr>
        <w:t>onykomykose</w:t>
      </w:r>
      <w:proofErr w:type="spellEnd"/>
      <w:r w:rsidRPr="00B02BF3">
        <w:rPr>
          <w:bCs/>
          <w:sz w:val="24"/>
          <w:szCs w:val="24"/>
        </w:rPr>
        <w:t xml:space="preserve"> i tåneglene. </w:t>
      </w:r>
      <w:proofErr w:type="spellStart"/>
      <w:r w:rsidRPr="00B02BF3">
        <w:rPr>
          <w:bCs/>
          <w:sz w:val="24"/>
          <w:szCs w:val="24"/>
        </w:rPr>
        <w:t>Terbinafin</w:t>
      </w:r>
      <w:proofErr w:type="spellEnd"/>
      <w:r w:rsidRPr="00B02BF3">
        <w:rPr>
          <w:bCs/>
          <w:sz w:val="24"/>
          <w:szCs w:val="24"/>
        </w:rPr>
        <w:t xml:space="preserve"> </w:t>
      </w:r>
      <w:r w:rsidR="00B02BF3" w:rsidRPr="00B02BF3">
        <w:rPr>
          <w:bCs/>
          <w:sz w:val="24"/>
          <w:szCs w:val="24"/>
        </w:rPr>
        <w:t xml:space="preserve">"Moberg </w:t>
      </w:r>
      <w:r w:rsidR="00B02BF3" w:rsidRPr="00B02BF3">
        <w:rPr>
          <w:bCs/>
          <w:sz w:val="24"/>
          <w:szCs w:val="24"/>
        </w:rPr>
        <w:lastRenderedPageBreak/>
        <w:t>Pharma"</w:t>
      </w:r>
      <w:r w:rsidRPr="00B02BF3">
        <w:rPr>
          <w:bCs/>
          <w:sz w:val="24"/>
          <w:szCs w:val="24"/>
        </w:rPr>
        <w:t xml:space="preserve"> har vist sig at have en overlegen virkning sammenlignet med vehiklet (studie MOB015B-IV).</w:t>
      </w:r>
    </w:p>
    <w:p w14:paraId="2E36A938" w14:textId="2D86793E" w:rsidR="003E11F5" w:rsidRPr="00B02BF3" w:rsidRDefault="003E11F5" w:rsidP="00B02BF3">
      <w:pPr>
        <w:suppressAutoHyphens/>
        <w:ind w:left="851"/>
        <w:rPr>
          <w:bCs/>
          <w:sz w:val="24"/>
          <w:szCs w:val="24"/>
        </w:rPr>
      </w:pPr>
      <w:r w:rsidRPr="00B02BF3">
        <w:rPr>
          <w:bCs/>
          <w:sz w:val="24"/>
          <w:szCs w:val="24"/>
        </w:rPr>
        <w:t xml:space="preserve">Studie MOB015B-III omfattede 452 forsøgspersoner i alderen 19-76 år (gennemsnit 56,3) og sammenlignede </w:t>
      </w:r>
      <w:proofErr w:type="spellStart"/>
      <w:r w:rsidRPr="00B02BF3">
        <w:rPr>
          <w:bCs/>
          <w:sz w:val="24"/>
          <w:szCs w:val="24"/>
        </w:rPr>
        <w:t>Terbinafin</w:t>
      </w:r>
      <w:proofErr w:type="spellEnd"/>
      <w:r w:rsidRPr="00B02BF3">
        <w:rPr>
          <w:bCs/>
          <w:sz w:val="24"/>
          <w:szCs w:val="24"/>
        </w:rPr>
        <w:t xml:space="preserve"> </w:t>
      </w:r>
      <w:r w:rsidR="00B02BF3" w:rsidRPr="00B02BF3">
        <w:rPr>
          <w:bCs/>
          <w:sz w:val="24"/>
          <w:szCs w:val="24"/>
        </w:rPr>
        <w:t>"Moberg Pharma"</w:t>
      </w:r>
      <w:r w:rsidRPr="00B02BF3">
        <w:rPr>
          <w:bCs/>
          <w:sz w:val="24"/>
          <w:szCs w:val="24"/>
        </w:rPr>
        <w:t xml:space="preserve"> med en kommercielt tilgængelig formulering af </w:t>
      </w:r>
      <w:proofErr w:type="spellStart"/>
      <w:r w:rsidRPr="00B02BF3">
        <w:rPr>
          <w:bCs/>
          <w:sz w:val="24"/>
          <w:szCs w:val="24"/>
        </w:rPr>
        <w:t>ciclopirox</w:t>
      </w:r>
      <w:proofErr w:type="spellEnd"/>
      <w:r w:rsidRPr="00B02BF3">
        <w:rPr>
          <w:bCs/>
          <w:sz w:val="24"/>
          <w:szCs w:val="24"/>
        </w:rPr>
        <w:t xml:space="preserve"> 8 % medicinsk neglelak (N = henholdsvis 296 og 156). Studie MOB015B-IV omfattede 365 forsøgspersoner i alderen 12-74 år (gennemsnit 55,0) og sammenlignede </w:t>
      </w:r>
      <w:proofErr w:type="spellStart"/>
      <w:r w:rsidRPr="00B02BF3">
        <w:rPr>
          <w:bCs/>
          <w:sz w:val="24"/>
          <w:szCs w:val="24"/>
        </w:rPr>
        <w:t>Terbinafin</w:t>
      </w:r>
      <w:proofErr w:type="spellEnd"/>
      <w:r w:rsidRPr="00B02BF3">
        <w:rPr>
          <w:bCs/>
          <w:sz w:val="24"/>
          <w:szCs w:val="24"/>
        </w:rPr>
        <w:t xml:space="preserve"> </w:t>
      </w:r>
      <w:r w:rsidR="00B02BF3" w:rsidRPr="00B02BF3">
        <w:rPr>
          <w:bCs/>
          <w:sz w:val="24"/>
          <w:szCs w:val="24"/>
        </w:rPr>
        <w:t>"Moberg Pharma"</w:t>
      </w:r>
      <w:r w:rsidRPr="00B02BF3">
        <w:rPr>
          <w:bCs/>
          <w:sz w:val="24"/>
          <w:szCs w:val="24"/>
        </w:rPr>
        <w:t xml:space="preserve"> med dets vehikel (N = henholdsvis 246 og 119).</w:t>
      </w:r>
    </w:p>
    <w:p w14:paraId="0206A296" w14:textId="77777777" w:rsidR="003E11F5" w:rsidRPr="00B02BF3" w:rsidRDefault="003E11F5" w:rsidP="00B02BF3">
      <w:pPr>
        <w:suppressAutoHyphens/>
        <w:ind w:left="851"/>
        <w:rPr>
          <w:bCs/>
          <w:sz w:val="24"/>
          <w:szCs w:val="24"/>
        </w:rPr>
      </w:pPr>
      <w:r w:rsidRPr="00B02BF3">
        <w:rPr>
          <w:bCs/>
          <w:sz w:val="24"/>
          <w:szCs w:val="24"/>
        </w:rPr>
        <w:t xml:space="preserve">Alle behandlinger blev påført alle de berørte negle hver dag i 48 uger. Forsøgspersonerne blev fulgt i yderligere 4 uger efter afsluttet behandling, som var det tidspunkt, hvor den endelige vurdering af effekten blev udført i uge 52. Alle effektvurderinger blev foretaget på </w:t>
      </w:r>
      <w:proofErr w:type="spellStart"/>
      <w:r w:rsidRPr="00B02BF3">
        <w:rPr>
          <w:bCs/>
          <w:sz w:val="24"/>
          <w:szCs w:val="24"/>
        </w:rPr>
        <w:t>målområdet</w:t>
      </w:r>
      <w:proofErr w:type="spellEnd"/>
      <w:r w:rsidRPr="00B02BF3">
        <w:rPr>
          <w:bCs/>
          <w:sz w:val="24"/>
          <w:szCs w:val="24"/>
        </w:rPr>
        <w:t xml:space="preserve">, som var storetåneglen. Resultaterne for de vigtigste endepunkter ved uge 52 er vist i nedenstående tabel og viser en klinisk fordel.  </w:t>
      </w:r>
    </w:p>
    <w:p w14:paraId="539814C8" w14:textId="77777777" w:rsidR="003E11F5" w:rsidRPr="00B02BF3" w:rsidRDefault="003E11F5" w:rsidP="003E11F5">
      <w:pPr>
        <w:suppressAutoHyphens/>
        <w:rPr>
          <w:bCs/>
          <w:sz w:val="24"/>
          <w:szCs w:val="24"/>
        </w:rPr>
      </w:pPr>
    </w:p>
    <w:p w14:paraId="0C6210A8" w14:textId="3385DA7C" w:rsidR="003E11F5" w:rsidRPr="00B02BF3" w:rsidRDefault="003E11F5" w:rsidP="00B02BF3">
      <w:pPr>
        <w:rPr>
          <w:b/>
          <w:sz w:val="24"/>
          <w:szCs w:val="24"/>
        </w:rPr>
      </w:pPr>
      <w:bookmarkStart w:id="3" w:name="_Ref76751234"/>
      <w:bookmarkStart w:id="4" w:name="_Toc79496732"/>
      <w:bookmarkStart w:id="5" w:name="_Toc77290103"/>
      <w:bookmarkStart w:id="6" w:name="_Hlk94172698"/>
      <w:r w:rsidRPr="00B02BF3">
        <w:rPr>
          <w:b/>
          <w:sz w:val="24"/>
          <w:szCs w:val="24"/>
        </w:rPr>
        <w:t>Tabel </w:t>
      </w:r>
      <w:bookmarkEnd w:id="3"/>
      <w:r w:rsidRPr="00B02BF3">
        <w:rPr>
          <w:b/>
          <w:sz w:val="24"/>
          <w:szCs w:val="24"/>
        </w:rPr>
        <w:t>2:</w:t>
      </w:r>
      <w:r w:rsidR="00B02BF3" w:rsidRPr="00B02BF3">
        <w:rPr>
          <w:b/>
          <w:sz w:val="24"/>
          <w:szCs w:val="24"/>
        </w:rPr>
        <w:t xml:space="preserve"> </w:t>
      </w:r>
      <w:r w:rsidRPr="00B02BF3">
        <w:rPr>
          <w:b/>
          <w:sz w:val="24"/>
          <w:szCs w:val="24"/>
        </w:rPr>
        <w:t xml:space="preserve">Samlet analyse af studie MOB015B-III og MOB015B-IV: </w:t>
      </w:r>
      <w:bookmarkEnd w:id="4"/>
      <w:bookmarkEnd w:id="5"/>
      <w:r w:rsidRPr="00B02BF3">
        <w:rPr>
          <w:b/>
          <w:sz w:val="24"/>
          <w:szCs w:val="24"/>
        </w:rPr>
        <w:t>Resultater ved studiets afslutning (uge 52)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395"/>
        <w:gridCol w:w="1335"/>
        <w:gridCol w:w="1331"/>
        <w:gridCol w:w="1154"/>
        <w:gridCol w:w="2310"/>
      </w:tblGrid>
      <w:tr w:rsidR="003E11F5" w:rsidRPr="00B02BF3" w14:paraId="49BBF028" w14:textId="77777777" w:rsidTr="00B02BF3"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5B8E7" w14:textId="77777777" w:rsidR="003E11F5" w:rsidRPr="00B02BF3" w:rsidRDefault="003E11F5">
            <w:pPr>
              <w:suppressAutoHyphens/>
              <w:rPr>
                <w:b/>
                <w:bCs/>
                <w:sz w:val="24"/>
                <w:szCs w:val="24"/>
              </w:rPr>
            </w:pPr>
            <w:r w:rsidRPr="00B02BF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32E6A" w14:textId="77777777" w:rsidR="003E11F5" w:rsidRPr="00B02BF3" w:rsidRDefault="003E11F5">
            <w:pPr>
              <w:suppressAutoHyphens/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B02BF3">
              <w:rPr>
                <w:b/>
                <w:bCs/>
                <w:sz w:val="24"/>
                <w:szCs w:val="24"/>
                <w:lang w:val="en-GB"/>
              </w:rPr>
              <w:t>Studie</w:t>
            </w:r>
            <w:proofErr w:type="spellEnd"/>
            <w:r w:rsidRPr="00B02BF3">
              <w:rPr>
                <w:b/>
                <w:bCs/>
                <w:sz w:val="24"/>
                <w:szCs w:val="24"/>
                <w:lang w:val="en-GB"/>
              </w:rPr>
              <w:t xml:space="preserve"> MOB015B-III</w:t>
            </w:r>
          </w:p>
        </w:tc>
        <w:tc>
          <w:tcPr>
            <w:tcW w:w="12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870B2" w14:textId="77777777" w:rsidR="003E11F5" w:rsidRPr="00B02BF3" w:rsidRDefault="003E11F5">
            <w:pPr>
              <w:suppressAutoHyphens/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B02BF3">
              <w:rPr>
                <w:b/>
                <w:bCs/>
                <w:sz w:val="24"/>
                <w:szCs w:val="24"/>
                <w:lang w:val="en-GB"/>
              </w:rPr>
              <w:t>Studie</w:t>
            </w:r>
            <w:proofErr w:type="spellEnd"/>
            <w:r w:rsidRPr="00B02BF3">
              <w:rPr>
                <w:b/>
                <w:bCs/>
                <w:sz w:val="24"/>
                <w:szCs w:val="24"/>
                <w:lang w:val="en-GB"/>
              </w:rPr>
              <w:t xml:space="preserve"> MOB015B-IV</w:t>
            </w:r>
          </w:p>
        </w:tc>
        <w:tc>
          <w:tcPr>
            <w:tcW w:w="12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854DA" w14:textId="77777777" w:rsidR="003E11F5" w:rsidRPr="00B02BF3" w:rsidRDefault="003E11F5">
            <w:pPr>
              <w:suppressAutoHyphens/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B02BF3">
              <w:rPr>
                <w:b/>
                <w:bCs/>
                <w:sz w:val="24"/>
                <w:szCs w:val="24"/>
                <w:lang w:val="en-GB"/>
              </w:rPr>
              <w:t>Samlede</w:t>
            </w:r>
            <w:proofErr w:type="spellEnd"/>
            <w:r w:rsidRPr="00B02BF3">
              <w:rPr>
                <w:b/>
                <w:bCs/>
                <w:sz w:val="24"/>
                <w:szCs w:val="24"/>
                <w:lang w:val="en-GB"/>
              </w:rPr>
              <w:t xml:space="preserve"> data</w:t>
            </w:r>
          </w:p>
        </w:tc>
      </w:tr>
      <w:tr w:rsidR="003E11F5" w:rsidRPr="00B02BF3" w14:paraId="616A3B51" w14:textId="77777777" w:rsidTr="00B02BF3"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91AE1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B02BF3">
              <w:rPr>
                <w:bCs/>
                <w:sz w:val="24"/>
                <w:szCs w:val="24"/>
                <w:lang w:val="en-GB"/>
              </w:rPr>
              <w:t>Endepunkt</w:t>
            </w:r>
            <w:proofErr w:type="spellEnd"/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8F63D" w14:textId="05CA1498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B02BF3">
              <w:rPr>
                <w:bCs/>
                <w:sz w:val="24"/>
                <w:szCs w:val="24"/>
                <w:lang w:val="en-GB"/>
              </w:rPr>
              <w:t>Terbinafin</w:t>
            </w:r>
            <w:proofErr w:type="spellEnd"/>
            <w:r w:rsidRPr="00B02BF3">
              <w:rPr>
                <w:bCs/>
                <w:sz w:val="24"/>
                <w:szCs w:val="24"/>
                <w:lang w:val="en-GB"/>
              </w:rPr>
              <w:t xml:space="preserve"> </w:t>
            </w:r>
            <w:r w:rsidR="00B02BF3" w:rsidRPr="00B02BF3">
              <w:rPr>
                <w:bCs/>
                <w:sz w:val="24"/>
                <w:szCs w:val="24"/>
                <w:lang w:val="en-GB"/>
              </w:rPr>
              <w:t>"Moberg Pharma"</w:t>
            </w:r>
          </w:p>
          <w:p w14:paraId="455B6D75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r w:rsidRPr="00B02BF3">
              <w:rPr>
                <w:bCs/>
                <w:sz w:val="24"/>
                <w:szCs w:val="24"/>
                <w:lang w:val="en-GB"/>
              </w:rPr>
              <w:t>n = 296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2FF8A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r w:rsidRPr="00B02BF3">
              <w:rPr>
                <w:bCs/>
                <w:sz w:val="24"/>
                <w:szCs w:val="24"/>
                <w:lang w:val="en-GB"/>
              </w:rPr>
              <w:t>Ciclopirox</w:t>
            </w:r>
          </w:p>
          <w:p w14:paraId="3F922966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r w:rsidRPr="00B02BF3">
              <w:rPr>
                <w:bCs/>
                <w:sz w:val="24"/>
                <w:szCs w:val="24"/>
                <w:lang w:val="en-GB"/>
              </w:rPr>
              <w:t>n = 156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B06D8" w14:textId="63AE632C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B02BF3">
              <w:rPr>
                <w:bCs/>
                <w:sz w:val="24"/>
                <w:szCs w:val="24"/>
                <w:lang w:val="en-GB"/>
              </w:rPr>
              <w:t>Terbinafin</w:t>
            </w:r>
            <w:proofErr w:type="spellEnd"/>
            <w:r w:rsidRPr="00B02BF3">
              <w:rPr>
                <w:bCs/>
                <w:sz w:val="24"/>
                <w:szCs w:val="24"/>
                <w:lang w:val="en-GB"/>
              </w:rPr>
              <w:t xml:space="preserve"> </w:t>
            </w:r>
            <w:r w:rsidR="00B02BF3" w:rsidRPr="00B02BF3">
              <w:rPr>
                <w:bCs/>
                <w:sz w:val="24"/>
                <w:szCs w:val="24"/>
                <w:lang w:val="en-GB"/>
              </w:rPr>
              <w:t>"Moberg Pharma"</w:t>
            </w:r>
          </w:p>
          <w:p w14:paraId="0A526FAD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r w:rsidRPr="00B02BF3">
              <w:rPr>
                <w:bCs/>
                <w:sz w:val="24"/>
                <w:szCs w:val="24"/>
                <w:lang w:val="en-GB"/>
              </w:rPr>
              <w:t>n = 246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30635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B02BF3">
              <w:rPr>
                <w:bCs/>
                <w:sz w:val="24"/>
                <w:szCs w:val="24"/>
                <w:lang w:val="en-GB"/>
              </w:rPr>
              <w:t>Vehikel</w:t>
            </w:r>
            <w:proofErr w:type="spellEnd"/>
          </w:p>
          <w:p w14:paraId="7E61E83B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r w:rsidRPr="00B02BF3">
              <w:rPr>
                <w:bCs/>
                <w:sz w:val="24"/>
                <w:szCs w:val="24"/>
                <w:lang w:val="en-GB"/>
              </w:rPr>
              <w:t>n = 119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71C7E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B02BF3">
              <w:rPr>
                <w:bCs/>
                <w:sz w:val="24"/>
                <w:szCs w:val="24"/>
                <w:lang w:val="en-GB"/>
              </w:rPr>
              <w:t>Terbinafin</w:t>
            </w:r>
            <w:proofErr w:type="spellEnd"/>
            <w:r w:rsidRPr="00B02BF3">
              <w:rPr>
                <w:bCs/>
                <w:sz w:val="24"/>
                <w:szCs w:val="24"/>
                <w:lang w:val="en-GB"/>
              </w:rPr>
              <w:t xml:space="preserve"> </w:t>
            </w:r>
            <w:r w:rsidRPr="00B02BF3">
              <w:rPr>
                <w:bCs/>
                <w:sz w:val="24"/>
                <w:szCs w:val="24"/>
                <w:lang w:val="en-GB"/>
              </w:rPr>
              <w:br/>
              <w:t xml:space="preserve">Moberg </w:t>
            </w:r>
            <w:r w:rsidRPr="00B02BF3">
              <w:rPr>
                <w:bCs/>
                <w:sz w:val="24"/>
                <w:szCs w:val="24"/>
                <w:lang w:val="en-GB"/>
              </w:rPr>
              <w:br/>
              <w:t>Pharma</w:t>
            </w:r>
          </w:p>
          <w:p w14:paraId="4AACC765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r w:rsidRPr="00B02BF3">
              <w:rPr>
                <w:bCs/>
                <w:sz w:val="24"/>
                <w:szCs w:val="24"/>
                <w:lang w:val="en-GB"/>
              </w:rPr>
              <w:t>n = 542</w:t>
            </w:r>
          </w:p>
        </w:tc>
      </w:tr>
      <w:tr w:rsidR="003E11F5" w:rsidRPr="00B02BF3" w14:paraId="3FA2E7AD" w14:textId="77777777" w:rsidTr="00B02BF3"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27329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B02BF3">
              <w:rPr>
                <w:bCs/>
                <w:sz w:val="24"/>
                <w:szCs w:val="24"/>
                <w:lang w:val="en-GB"/>
              </w:rPr>
              <w:t>Komplet</w:t>
            </w:r>
            <w:proofErr w:type="spellEnd"/>
            <w:r w:rsidRPr="00B02BF3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02BF3">
              <w:rPr>
                <w:bCs/>
                <w:sz w:val="24"/>
                <w:szCs w:val="24"/>
                <w:lang w:val="en-GB"/>
              </w:rPr>
              <w:t>helbredelse</w:t>
            </w:r>
            <w:proofErr w:type="spellEnd"/>
            <w:r w:rsidRPr="00B02BF3">
              <w:rPr>
                <w:bCs/>
                <w:sz w:val="24"/>
                <w:szCs w:val="24"/>
                <w:lang w:val="en-GB"/>
              </w:rPr>
              <w:t xml:space="preserve"> [1]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8B27B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r w:rsidRPr="00B02BF3">
              <w:rPr>
                <w:bCs/>
                <w:sz w:val="24"/>
                <w:szCs w:val="24"/>
                <w:lang w:val="en-GB"/>
              </w:rPr>
              <w:t>6 (2,0 %)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3D036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r w:rsidRPr="00B02BF3">
              <w:rPr>
                <w:bCs/>
                <w:sz w:val="24"/>
                <w:szCs w:val="24"/>
                <w:lang w:val="en-GB"/>
              </w:rPr>
              <w:t>2 (1,3 %)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74B96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r w:rsidRPr="00B02BF3">
              <w:rPr>
                <w:bCs/>
                <w:sz w:val="24"/>
                <w:szCs w:val="24"/>
                <w:lang w:val="en-GB"/>
              </w:rPr>
              <w:t xml:space="preserve">11 </w:t>
            </w:r>
          </w:p>
          <w:p w14:paraId="269B742A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r w:rsidRPr="00B02BF3">
              <w:rPr>
                <w:bCs/>
                <w:sz w:val="24"/>
                <w:szCs w:val="24"/>
                <w:lang w:val="en-GB"/>
              </w:rPr>
              <w:t>(4,5 %)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36DA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r w:rsidRPr="00B02BF3">
              <w:rPr>
                <w:bCs/>
                <w:sz w:val="24"/>
                <w:szCs w:val="24"/>
                <w:lang w:val="en-GB"/>
              </w:rPr>
              <w:t xml:space="preserve">0 </w:t>
            </w:r>
          </w:p>
          <w:p w14:paraId="6679253E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r w:rsidRPr="00B02BF3">
              <w:rPr>
                <w:bCs/>
                <w:sz w:val="24"/>
                <w:szCs w:val="24"/>
                <w:lang w:val="en-GB"/>
              </w:rPr>
              <w:t>(0,0 %)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6AE20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r w:rsidRPr="00B02BF3">
              <w:rPr>
                <w:bCs/>
                <w:sz w:val="24"/>
                <w:szCs w:val="24"/>
                <w:lang w:val="en-GB"/>
              </w:rPr>
              <w:t>17 (3,1 %) </w:t>
            </w:r>
          </w:p>
        </w:tc>
      </w:tr>
      <w:tr w:rsidR="003E11F5" w:rsidRPr="00B02BF3" w14:paraId="41B4C778" w14:textId="77777777" w:rsidTr="00B02BF3"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EC0D2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B02BF3">
              <w:rPr>
                <w:bCs/>
                <w:sz w:val="24"/>
                <w:szCs w:val="24"/>
                <w:lang w:val="en-GB"/>
              </w:rPr>
              <w:t>Mykologisk</w:t>
            </w:r>
            <w:proofErr w:type="spellEnd"/>
            <w:r w:rsidRPr="00B02BF3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02BF3">
              <w:rPr>
                <w:bCs/>
                <w:sz w:val="24"/>
                <w:szCs w:val="24"/>
                <w:lang w:val="en-GB"/>
              </w:rPr>
              <w:t>helbredelse</w:t>
            </w:r>
            <w:proofErr w:type="spellEnd"/>
            <w:r w:rsidRPr="00B02BF3">
              <w:rPr>
                <w:bCs/>
                <w:sz w:val="24"/>
                <w:szCs w:val="24"/>
                <w:lang w:val="en-GB"/>
              </w:rPr>
              <w:t xml:space="preserve"> [2]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8247C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r w:rsidRPr="00B02BF3">
              <w:rPr>
                <w:bCs/>
                <w:sz w:val="24"/>
                <w:szCs w:val="24"/>
                <w:lang w:val="en-GB"/>
              </w:rPr>
              <w:t xml:space="preserve">238 </w:t>
            </w:r>
          </w:p>
          <w:p w14:paraId="607C8DF9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r w:rsidRPr="00B02BF3">
              <w:rPr>
                <w:bCs/>
                <w:sz w:val="24"/>
                <w:szCs w:val="24"/>
                <w:lang w:val="en-GB"/>
              </w:rPr>
              <w:t>(80,4 %)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F7D00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r w:rsidRPr="00B02BF3">
              <w:rPr>
                <w:bCs/>
                <w:sz w:val="24"/>
                <w:szCs w:val="24"/>
                <w:lang w:val="en-GB"/>
              </w:rPr>
              <w:t xml:space="preserve">64 </w:t>
            </w:r>
          </w:p>
          <w:p w14:paraId="5B4B1FEC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r w:rsidRPr="00B02BF3">
              <w:rPr>
                <w:bCs/>
                <w:sz w:val="24"/>
                <w:szCs w:val="24"/>
                <w:lang w:val="en-GB"/>
              </w:rPr>
              <w:t>(41,0 %) 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4800A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r w:rsidRPr="00B02BF3">
              <w:rPr>
                <w:bCs/>
                <w:sz w:val="24"/>
                <w:szCs w:val="24"/>
                <w:lang w:val="en-GB"/>
              </w:rPr>
              <w:t xml:space="preserve">172 </w:t>
            </w:r>
          </w:p>
          <w:p w14:paraId="698101A2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r w:rsidRPr="00B02BF3">
              <w:rPr>
                <w:bCs/>
                <w:sz w:val="24"/>
                <w:szCs w:val="24"/>
                <w:lang w:val="en-GB"/>
              </w:rPr>
              <w:t>(69,9 %)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88363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r w:rsidRPr="00B02BF3">
              <w:rPr>
                <w:bCs/>
                <w:sz w:val="24"/>
                <w:szCs w:val="24"/>
                <w:lang w:val="en-GB"/>
              </w:rPr>
              <w:t xml:space="preserve">33 </w:t>
            </w:r>
          </w:p>
          <w:p w14:paraId="4E453725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r w:rsidRPr="00B02BF3">
              <w:rPr>
                <w:bCs/>
                <w:sz w:val="24"/>
                <w:szCs w:val="24"/>
                <w:lang w:val="en-GB"/>
              </w:rPr>
              <w:t>(27,7 %)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15989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r w:rsidRPr="00B02BF3">
              <w:rPr>
                <w:bCs/>
                <w:sz w:val="24"/>
                <w:szCs w:val="24"/>
                <w:lang w:val="en-GB"/>
              </w:rPr>
              <w:t>410 (75,6 %) </w:t>
            </w:r>
          </w:p>
        </w:tc>
      </w:tr>
      <w:tr w:rsidR="003E11F5" w:rsidRPr="00B02BF3" w14:paraId="5BF1C448" w14:textId="77777777" w:rsidTr="00B02BF3"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5133F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B02BF3">
              <w:rPr>
                <w:bCs/>
                <w:sz w:val="24"/>
                <w:szCs w:val="24"/>
                <w:lang w:val="en-GB"/>
              </w:rPr>
              <w:t>Behandlingssucces</w:t>
            </w:r>
            <w:proofErr w:type="spellEnd"/>
            <w:r w:rsidRPr="00B02BF3">
              <w:rPr>
                <w:bCs/>
                <w:sz w:val="24"/>
                <w:szCs w:val="24"/>
                <w:lang w:val="en-GB"/>
              </w:rPr>
              <w:t xml:space="preserve"> [3]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02AC3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r w:rsidRPr="00B02BF3">
              <w:rPr>
                <w:bCs/>
                <w:sz w:val="24"/>
                <w:szCs w:val="24"/>
                <w:lang w:val="en-GB"/>
              </w:rPr>
              <w:t xml:space="preserve">57 </w:t>
            </w:r>
          </w:p>
          <w:p w14:paraId="06052A46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r w:rsidRPr="00B02BF3">
              <w:rPr>
                <w:bCs/>
                <w:sz w:val="24"/>
                <w:szCs w:val="24"/>
                <w:lang w:val="en-GB"/>
              </w:rPr>
              <w:t>(19,3 %)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37216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r w:rsidRPr="00B02BF3">
              <w:rPr>
                <w:bCs/>
                <w:sz w:val="24"/>
                <w:szCs w:val="24"/>
                <w:lang w:val="en-GB"/>
              </w:rPr>
              <w:t xml:space="preserve">25 </w:t>
            </w:r>
          </w:p>
          <w:p w14:paraId="43AC6160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r w:rsidRPr="00B02BF3">
              <w:rPr>
                <w:bCs/>
                <w:sz w:val="24"/>
                <w:szCs w:val="24"/>
                <w:lang w:val="en-GB"/>
              </w:rPr>
              <w:t>(16,0 %) 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0803C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r w:rsidRPr="00B02BF3">
              <w:rPr>
                <w:bCs/>
                <w:sz w:val="24"/>
                <w:szCs w:val="24"/>
                <w:lang w:val="en-GB"/>
              </w:rPr>
              <w:t xml:space="preserve">38 </w:t>
            </w:r>
          </w:p>
          <w:p w14:paraId="44E447E7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r w:rsidRPr="00B02BF3">
              <w:rPr>
                <w:bCs/>
                <w:sz w:val="24"/>
                <w:szCs w:val="24"/>
                <w:lang w:val="en-GB"/>
              </w:rPr>
              <w:t>(15,4 %)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7350D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r w:rsidRPr="00B02BF3">
              <w:rPr>
                <w:bCs/>
                <w:sz w:val="24"/>
                <w:szCs w:val="24"/>
                <w:lang w:val="en-GB"/>
              </w:rPr>
              <w:t xml:space="preserve">5 </w:t>
            </w:r>
          </w:p>
          <w:p w14:paraId="1DAAD5D1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r w:rsidRPr="00B02BF3">
              <w:rPr>
                <w:bCs/>
                <w:sz w:val="24"/>
                <w:szCs w:val="24"/>
                <w:lang w:val="en-GB"/>
              </w:rPr>
              <w:t>(4,2 %)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97F34" w14:textId="77777777" w:rsidR="003E11F5" w:rsidRPr="00B02BF3" w:rsidRDefault="003E11F5">
            <w:pPr>
              <w:suppressAutoHyphens/>
              <w:rPr>
                <w:bCs/>
                <w:sz w:val="24"/>
                <w:szCs w:val="24"/>
                <w:lang w:val="en-GB"/>
              </w:rPr>
            </w:pPr>
            <w:r w:rsidRPr="00B02BF3">
              <w:rPr>
                <w:bCs/>
                <w:sz w:val="24"/>
                <w:szCs w:val="24"/>
                <w:lang w:val="en-GB"/>
              </w:rPr>
              <w:t>95 (17,5 %) </w:t>
            </w:r>
          </w:p>
        </w:tc>
      </w:tr>
      <w:tr w:rsidR="003E11F5" w:rsidRPr="0038348F" w14:paraId="44992B6E" w14:textId="77777777" w:rsidTr="00B02BF3">
        <w:tc>
          <w:tcPr>
            <w:tcW w:w="5000" w:type="pct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503E88D" w14:textId="0E23DCD5" w:rsidR="003E11F5" w:rsidRPr="0038348F" w:rsidRDefault="003E11F5" w:rsidP="0038348F">
            <w:pPr>
              <w:tabs>
                <w:tab w:val="left" w:pos="417"/>
              </w:tabs>
              <w:suppressAutoHyphens/>
              <w:rPr>
                <w:bCs/>
                <w:sz w:val="20"/>
              </w:rPr>
            </w:pPr>
            <w:r w:rsidRPr="0038348F">
              <w:rPr>
                <w:bCs/>
                <w:sz w:val="20"/>
              </w:rPr>
              <w:t>[1]</w:t>
            </w:r>
            <w:r w:rsidRPr="0038348F">
              <w:rPr>
                <w:bCs/>
                <w:sz w:val="20"/>
              </w:rPr>
              <w:tab/>
              <w:t xml:space="preserve">Komplet helbredelse af </w:t>
            </w:r>
            <w:proofErr w:type="spellStart"/>
            <w:r w:rsidRPr="0038348F">
              <w:rPr>
                <w:bCs/>
                <w:i/>
                <w:iCs/>
                <w:sz w:val="20"/>
              </w:rPr>
              <w:t>target</w:t>
            </w:r>
            <w:proofErr w:type="spellEnd"/>
            <w:r w:rsidRPr="0038348F">
              <w:rPr>
                <w:bCs/>
                <w:i/>
                <w:iCs/>
                <w:sz w:val="20"/>
              </w:rPr>
              <w:t xml:space="preserve"> </w:t>
            </w:r>
            <w:r w:rsidRPr="0038348F">
              <w:rPr>
                <w:bCs/>
                <w:sz w:val="20"/>
              </w:rPr>
              <w:t xml:space="preserve">tånegl; ændring til negativ svampepodning af </w:t>
            </w:r>
            <w:proofErr w:type="spellStart"/>
            <w:r w:rsidRPr="0038348F">
              <w:rPr>
                <w:bCs/>
                <w:sz w:val="20"/>
              </w:rPr>
              <w:t>dermatofytter</w:t>
            </w:r>
            <w:proofErr w:type="spellEnd"/>
            <w:r w:rsidRPr="0038348F">
              <w:rPr>
                <w:bCs/>
                <w:sz w:val="20"/>
              </w:rPr>
              <w:t xml:space="preserve"> og negativ direkte </w:t>
            </w:r>
            <w:r w:rsidR="0038348F">
              <w:rPr>
                <w:bCs/>
                <w:sz w:val="20"/>
              </w:rPr>
              <w:tab/>
            </w:r>
            <w:r w:rsidRPr="0038348F">
              <w:rPr>
                <w:bCs/>
                <w:sz w:val="20"/>
              </w:rPr>
              <w:t xml:space="preserve">kaliumhydroxid (KOH) mikroskopi og 0 % klinisk sygdomspåvirkning af </w:t>
            </w:r>
            <w:proofErr w:type="spellStart"/>
            <w:r w:rsidRPr="0038348F">
              <w:rPr>
                <w:bCs/>
                <w:i/>
                <w:iCs/>
                <w:sz w:val="20"/>
              </w:rPr>
              <w:t>target</w:t>
            </w:r>
            <w:proofErr w:type="spellEnd"/>
            <w:r w:rsidRPr="0038348F">
              <w:rPr>
                <w:bCs/>
                <w:sz w:val="20"/>
              </w:rPr>
              <w:t xml:space="preserve"> tåneglen</w:t>
            </w:r>
          </w:p>
          <w:p w14:paraId="61FD66BA" w14:textId="10DB9F50" w:rsidR="003E11F5" w:rsidRPr="0038348F" w:rsidRDefault="003E11F5" w:rsidP="0038348F">
            <w:pPr>
              <w:tabs>
                <w:tab w:val="left" w:pos="417"/>
              </w:tabs>
              <w:suppressAutoHyphens/>
              <w:rPr>
                <w:bCs/>
                <w:sz w:val="20"/>
              </w:rPr>
            </w:pPr>
            <w:r w:rsidRPr="0038348F">
              <w:rPr>
                <w:bCs/>
                <w:sz w:val="20"/>
              </w:rPr>
              <w:t>[2]</w:t>
            </w:r>
            <w:r w:rsidRPr="0038348F">
              <w:rPr>
                <w:bCs/>
                <w:sz w:val="20"/>
              </w:rPr>
              <w:tab/>
              <w:t xml:space="preserve">Mykologisk helbredelse; ændring til negativ svampepodning af </w:t>
            </w:r>
            <w:proofErr w:type="spellStart"/>
            <w:r w:rsidRPr="0038348F">
              <w:rPr>
                <w:bCs/>
                <w:sz w:val="20"/>
              </w:rPr>
              <w:t>dermatofytter</w:t>
            </w:r>
            <w:proofErr w:type="spellEnd"/>
            <w:r w:rsidRPr="0038348F">
              <w:rPr>
                <w:bCs/>
                <w:sz w:val="20"/>
              </w:rPr>
              <w:t xml:space="preserve"> og negativ direkte kaliumhydroxid </w:t>
            </w:r>
            <w:r w:rsidR="0038348F">
              <w:rPr>
                <w:bCs/>
                <w:sz w:val="20"/>
              </w:rPr>
              <w:tab/>
            </w:r>
            <w:r w:rsidRPr="0038348F">
              <w:rPr>
                <w:bCs/>
                <w:sz w:val="20"/>
              </w:rPr>
              <w:t>(KOH) mikroskopi</w:t>
            </w:r>
          </w:p>
          <w:p w14:paraId="515AD0ED" w14:textId="547B81EC" w:rsidR="003E11F5" w:rsidRPr="0038348F" w:rsidRDefault="003E11F5" w:rsidP="0038348F">
            <w:pPr>
              <w:tabs>
                <w:tab w:val="left" w:pos="417"/>
              </w:tabs>
              <w:suppressAutoHyphens/>
              <w:rPr>
                <w:bCs/>
                <w:sz w:val="20"/>
              </w:rPr>
            </w:pPr>
            <w:r w:rsidRPr="0038348F">
              <w:rPr>
                <w:bCs/>
                <w:sz w:val="20"/>
              </w:rPr>
              <w:t>[3]</w:t>
            </w:r>
            <w:r w:rsidRPr="0038348F">
              <w:rPr>
                <w:bCs/>
                <w:sz w:val="20"/>
              </w:rPr>
              <w:tab/>
              <w:t xml:space="preserve">Behandlingssucces defineres som klinisk sygdomspåvirkning vurderet til 'slet ingen' (0 %) eller 'næsten ingen' </w:t>
            </w:r>
            <w:r w:rsidR="0038348F">
              <w:rPr>
                <w:bCs/>
                <w:sz w:val="20"/>
              </w:rPr>
              <w:tab/>
            </w:r>
            <w:r w:rsidRPr="0038348F">
              <w:rPr>
                <w:bCs/>
                <w:sz w:val="20"/>
              </w:rPr>
              <w:t>(mindre end eller lig med 10 %) og mykologisk helbredelse</w:t>
            </w:r>
          </w:p>
          <w:p w14:paraId="240DE865" w14:textId="77777777" w:rsidR="003E11F5" w:rsidRPr="0038348F" w:rsidRDefault="003E11F5" w:rsidP="00B02BF3">
            <w:pPr>
              <w:tabs>
                <w:tab w:val="left" w:pos="462"/>
              </w:tabs>
              <w:suppressAutoHyphens/>
              <w:rPr>
                <w:bCs/>
                <w:sz w:val="20"/>
                <w:lang w:val="en-GB"/>
              </w:rPr>
            </w:pPr>
            <w:r w:rsidRPr="0038348F">
              <w:rPr>
                <w:bCs/>
                <w:sz w:val="20"/>
                <w:lang w:val="en-GB"/>
              </w:rPr>
              <w:t xml:space="preserve">n = </w:t>
            </w:r>
            <w:proofErr w:type="spellStart"/>
            <w:r w:rsidRPr="0038348F">
              <w:rPr>
                <w:bCs/>
                <w:sz w:val="20"/>
                <w:lang w:val="en-GB"/>
              </w:rPr>
              <w:t>antal</w:t>
            </w:r>
            <w:proofErr w:type="spellEnd"/>
            <w:r w:rsidRPr="0038348F">
              <w:rPr>
                <w:bCs/>
                <w:sz w:val="20"/>
                <w:lang w:val="en-GB"/>
              </w:rPr>
              <w:t xml:space="preserve"> </w:t>
            </w:r>
            <w:proofErr w:type="spellStart"/>
            <w:r w:rsidRPr="0038348F">
              <w:rPr>
                <w:bCs/>
                <w:sz w:val="20"/>
                <w:lang w:val="en-GB"/>
              </w:rPr>
              <w:t>forsøgspersoner</w:t>
            </w:r>
            <w:proofErr w:type="spellEnd"/>
            <w:r w:rsidRPr="0038348F">
              <w:rPr>
                <w:bCs/>
                <w:sz w:val="20"/>
                <w:lang w:val="en-GB"/>
              </w:rPr>
              <w:t xml:space="preserve"> </w:t>
            </w:r>
          </w:p>
        </w:tc>
      </w:tr>
      <w:bookmarkEnd w:id="6"/>
    </w:tbl>
    <w:p w14:paraId="4323F267" w14:textId="77777777" w:rsidR="003E11F5" w:rsidRPr="00B02BF3" w:rsidRDefault="003E11F5" w:rsidP="003E11F5">
      <w:pPr>
        <w:suppressAutoHyphens/>
        <w:rPr>
          <w:bCs/>
          <w:sz w:val="24"/>
          <w:szCs w:val="24"/>
        </w:rPr>
      </w:pPr>
    </w:p>
    <w:p w14:paraId="55173248" w14:textId="3424D6E7" w:rsidR="003E11F5" w:rsidRPr="00B02BF3" w:rsidRDefault="003E11F5" w:rsidP="00B02BF3">
      <w:pPr>
        <w:suppressAutoHyphens/>
        <w:ind w:left="851"/>
        <w:rPr>
          <w:bCs/>
          <w:sz w:val="24"/>
          <w:szCs w:val="24"/>
        </w:rPr>
      </w:pPr>
      <w:bookmarkStart w:id="7" w:name="_Hlk87269562"/>
      <w:bookmarkStart w:id="8" w:name="_Hlk93503032"/>
      <w:r w:rsidRPr="00B02BF3">
        <w:rPr>
          <w:bCs/>
          <w:sz w:val="24"/>
          <w:szCs w:val="24"/>
        </w:rPr>
        <w:t xml:space="preserve">Ved uge 12 blev der påvist mykologisk helbredelse hos 42,8 % af forsøgspersonerne i </w:t>
      </w:r>
      <w:proofErr w:type="spellStart"/>
      <w:r w:rsidRPr="00B02BF3">
        <w:rPr>
          <w:bCs/>
          <w:sz w:val="24"/>
          <w:szCs w:val="24"/>
        </w:rPr>
        <w:t>Terbinafin</w:t>
      </w:r>
      <w:proofErr w:type="spellEnd"/>
      <w:r w:rsidRPr="00B02BF3">
        <w:rPr>
          <w:bCs/>
          <w:sz w:val="24"/>
          <w:szCs w:val="24"/>
        </w:rPr>
        <w:t xml:space="preserve"> </w:t>
      </w:r>
      <w:r w:rsidR="00B02BF3" w:rsidRPr="00B02BF3">
        <w:rPr>
          <w:bCs/>
          <w:sz w:val="24"/>
          <w:szCs w:val="24"/>
        </w:rPr>
        <w:t xml:space="preserve">"Moberg </w:t>
      </w:r>
      <w:proofErr w:type="spellStart"/>
      <w:r w:rsidR="00B02BF3" w:rsidRPr="00B02BF3">
        <w:rPr>
          <w:bCs/>
          <w:sz w:val="24"/>
          <w:szCs w:val="24"/>
        </w:rPr>
        <w:t>Pharma"</w:t>
      </w:r>
      <w:r w:rsidRPr="00B02BF3">
        <w:rPr>
          <w:bCs/>
          <w:sz w:val="24"/>
          <w:szCs w:val="24"/>
        </w:rPr>
        <w:t>-gruppen</w:t>
      </w:r>
      <w:proofErr w:type="spellEnd"/>
      <w:r w:rsidRPr="00B02BF3">
        <w:rPr>
          <w:bCs/>
          <w:sz w:val="24"/>
          <w:szCs w:val="24"/>
        </w:rPr>
        <w:t>, hvilket steg til 75,6 % i uge 52.</w:t>
      </w:r>
    </w:p>
    <w:p w14:paraId="75F0DE54" w14:textId="52DF91F3" w:rsidR="003E11F5" w:rsidRPr="00B02BF3" w:rsidRDefault="003E11F5" w:rsidP="00B02BF3">
      <w:pPr>
        <w:suppressAutoHyphens/>
        <w:ind w:left="851"/>
        <w:rPr>
          <w:bCs/>
          <w:sz w:val="24"/>
          <w:szCs w:val="24"/>
        </w:rPr>
      </w:pPr>
      <w:r w:rsidRPr="00B02BF3">
        <w:rPr>
          <w:bCs/>
          <w:sz w:val="24"/>
          <w:szCs w:val="24"/>
        </w:rPr>
        <w:t xml:space="preserve">I de to fase III-studier fik 542 forsøgspersoner behandling med </w:t>
      </w:r>
      <w:proofErr w:type="spellStart"/>
      <w:r w:rsidRPr="00B02BF3">
        <w:rPr>
          <w:bCs/>
          <w:sz w:val="24"/>
          <w:szCs w:val="24"/>
        </w:rPr>
        <w:t>Terbinafin</w:t>
      </w:r>
      <w:proofErr w:type="spellEnd"/>
      <w:r w:rsidRPr="00B02BF3">
        <w:rPr>
          <w:bCs/>
          <w:sz w:val="24"/>
          <w:szCs w:val="24"/>
        </w:rPr>
        <w:t xml:space="preserve"> </w:t>
      </w:r>
      <w:r w:rsidR="00B02BF3" w:rsidRPr="00B02BF3">
        <w:rPr>
          <w:bCs/>
          <w:sz w:val="24"/>
          <w:szCs w:val="24"/>
        </w:rPr>
        <w:t>"Moberg Pharma"</w:t>
      </w:r>
      <w:r w:rsidRPr="00B02BF3">
        <w:rPr>
          <w:bCs/>
          <w:sz w:val="24"/>
          <w:szCs w:val="24"/>
        </w:rPr>
        <w:t xml:space="preserve"> i 48 uger efterfulgt af 4 ugers opfølgning. 100 forsøgspersoner (18,5%) rapporterede behandlingsrelaterede bivirkninger; der sås ingen behandlingsrelaterede alvorlige bivirkninger (se pkt. 4.8 vedr. bivirkninger).</w:t>
      </w:r>
      <w:bookmarkEnd w:id="7"/>
      <w:bookmarkEnd w:id="8"/>
    </w:p>
    <w:p w14:paraId="348E251E" w14:textId="77777777" w:rsidR="003E11F5" w:rsidRPr="00B02BF3" w:rsidRDefault="003E11F5" w:rsidP="00B02BF3">
      <w:pPr>
        <w:suppressAutoHyphens/>
        <w:ind w:left="851"/>
        <w:rPr>
          <w:bCs/>
          <w:sz w:val="24"/>
          <w:szCs w:val="24"/>
          <w:u w:val="single"/>
        </w:rPr>
      </w:pPr>
    </w:p>
    <w:p w14:paraId="4C32B941" w14:textId="77777777" w:rsidR="003E11F5" w:rsidRPr="00B02BF3" w:rsidRDefault="003E11F5" w:rsidP="00B02BF3">
      <w:pPr>
        <w:suppressAutoHyphens/>
        <w:ind w:left="851"/>
        <w:rPr>
          <w:sz w:val="24"/>
          <w:szCs w:val="24"/>
          <w:u w:val="single"/>
        </w:rPr>
      </w:pPr>
      <w:r w:rsidRPr="00B02BF3">
        <w:rPr>
          <w:bCs/>
          <w:sz w:val="24"/>
          <w:szCs w:val="24"/>
          <w:u w:val="single"/>
        </w:rPr>
        <w:t>Pædiatrisk population</w:t>
      </w:r>
    </w:p>
    <w:p w14:paraId="50F9C5C8" w14:textId="1E39D451" w:rsidR="003E11F5" w:rsidRPr="00B02BF3" w:rsidRDefault="003E11F5" w:rsidP="00B02BF3">
      <w:pPr>
        <w:widowControl w:val="0"/>
        <w:ind w:left="851"/>
        <w:rPr>
          <w:sz w:val="24"/>
          <w:szCs w:val="24"/>
        </w:rPr>
      </w:pP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 </w:t>
      </w:r>
      <w:r w:rsidR="00B02BF3" w:rsidRPr="00B02BF3">
        <w:rPr>
          <w:sz w:val="24"/>
          <w:szCs w:val="24"/>
        </w:rPr>
        <w:t xml:space="preserve">"Moberg </w:t>
      </w:r>
      <w:proofErr w:type="spellStart"/>
      <w:r w:rsidR="00B02BF3" w:rsidRPr="00B02BF3">
        <w:rPr>
          <w:sz w:val="24"/>
          <w:szCs w:val="24"/>
        </w:rPr>
        <w:t>Pharma"</w:t>
      </w:r>
      <w:r w:rsidRPr="00B02BF3">
        <w:rPr>
          <w:sz w:val="24"/>
          <w:szCs w:val="24"/>
        </w:rPr>
        <w:t>s</w:t>
      </w:r>
      <w:proofErr w:type="spellEnd"/>
      <w:r w:rsidRPr="00B02BF3">
        <w:rPr>
          <w:sz w:val="24"/>
          <w:szCs w:val="24"/>
        </w:rPr>
        <w:t xml:space="preserve"> sikkerhed og virkning er ikke klarlagt hos pædiatriske patienter med </w:t>
      </w:r>
      <w:proofErr w:type="spellStart"/>
      <w:r w:rsidRPr="00B02BF3">
        <w:rPr>
          <w:sz w:val="24"/>
          <w:szCs w:val="24"/>
        </w:rPr>
        <w:t>onykomykose</w:t>
      </w:r>
      <w:proofErr w:type="spellEnd"/>
      <w:r w:rsidRPr="00B02BF3">
        <w:rPr>
          <w:sz w:val="24"/>
          <w:szCs w:val="24"/>
        </w:rPr>
        <w:t>.</w:t>
      </w:r>
    </w:p>
    <w:p w14:paraId="19257B53" w14:textId="77777777" w:rsidR="003E11F5" w:rsidRPr="00B02BF3" w:rsidRDefault="003E11F5" w:rsidP="00B02BF3">
      <w:pPr>
        <w:ind w:left="851"/>
        <w:rPr>
          <w:rFonts w:eastAsia="SimSun"/>
          <w:sz w:val="24"/>
          <w:szCs w:val="24"/>
          <w:lang w:eastAsia="zh-CN"/>
        </w:rPr>
      </w:pPr>
    </w:p>
    <w:p w14:paraId="4DF8E7AF" w14:textId="400951DE" w:rsidR="003E11F5" w:rsidRPr="00B02BF3" w:rsidRDefault="003E11F5" w:rsidP="00B02BF3">
      <w:pPr>
        <w:ind w:left="851"/>
        <w:outlineLvl w:val="0"/>
        <w:rPr>
          <w:rFonts w:eastAsia="SimSun"/>
          <w:sz w:val="24"/>
          <w:szCs w:val="24"/>
          <w:lang w:eastAsia="zh-CN"/>
        </w:rPr>
      </w:pPr>
      <w:r w:rsidRPr="00B02BF3">
        <w:rPr>
          <w:sz w:val="24"/>
          <w:szCs w:val="24"/>
        </w:rPr>
        <w:t xml:space="preserve">Det Europæiske Lægemiddelagentur </w:t>
      </w:r>
      <w:r w:rsidRPr="00B02BF3">
        <w:rPr>
          <w:rFonts w:eastAsia="SimSun"/>
          <w:sz w:val="24"/>
          <w:szCs w:val="24"/>
          <w:lang w:eastAsia="zh-CN"/>
        </w:rPr>
        <w:t xml:space="preserve">har udsat forpligtelsen til at fremlægge resultaterne af studier med </w:t>
      </w:r>
      <w:proofErr w:type="spellStart"/>
      <w:r w:rsidRPr="00B02BF3">
        <w:rPr>
          <w:rFonts w:eastAsia="SimSun"/>
          <w:sz w:val="24"/>
          <w:szCs w:val="24"/>
          <w:lang w:eastAsia="zh-CN"/>
        </w:rPr>
        <w:t>Terbinafin</w:t>
      </w:r>
      <w:proofErr w:type="spellEnd"/>
      <w:r w:rsidRPr="00B02BF3">
        <w:rPr>
          <w:rFonts w:eastAsia="SimSun"/>
          <w:sz w:val="24"/>
          <w:szCs w:val="24"/>
          <w:lang w:eastAsia="zh-CN"/>
        </w:rPr>
        <w:t xml:space="preserve"> </w:t>
      </w:r>
      <w:r w:rsidR="00B02BF3" w:rsidRPr="00B02BF3">
        <w:rPr>
          <w:rFonts w:eastAsia="SimSun"/>
          <w:sz w:val="24"/>
          <w:szCs w:val="24"/>
          <w:lang w:eastAsia="zh-CN"/>
        </w:rPr>
        <w:t>"Moberg Pharma"</w:t>
      </w:r>
      <w:r w:rsidRPr="00B02BF3">
        <w:rPr>
          <w:rFonts w:eastAsia="SimSun"/>
          <w:sz w:val="24"/>
          <w:szCs w:val="24"/>
          <w:lang w:eastAsia="zh-CN"/>
        </w:rPr>
        <w:t xml:space="preserve"> i en eller flere undergrupper af den pædiatriske population med </w:t>
      </w:r>
      <w:proofErr w:type="spellStart"/>
      <w:r w:rsidRPr="00B02BF3">
        <w:rPr>
          <w:sz w:val="24"/>
          <w:szCs w:val="24"/>
        </w:rPr>
        <w:t>onykomykose</w:t>
      </w:r>
      <w:proofErr w:type="spellEnd"/>
      <w:r w:rsidRPr="00B02BF3">
        <w:rPr>
          <w:rFonts w:eastAsia="SimSun"/>
          <w:sz w:val="24"/>
          <w:szCs w:val="24"/>
          <w:lang w:eastAsia="zh-CN"/>
        </w:rPr>
        <w:t xml:space="preserve"> (se pkt. 4.2 for </w:t>
      </w:r>
      <w:r w:rsidRPr="00B02BF3">
        <w:rPr>
          <w:sz w:val="24"/>
          <w:szCs w:val="24"/>
        </w:rPr>
        <w:t>oplysninger</w:t>
      </w:r>
      <w:r w:rsidRPr="00B02BF3">
        <w:rPr>
          <w:rFonts w:eastAsia="SimSun"/>
          <w:sz w:val="24"/>
          <w:szCs w:val="24"/>
          <w:lang w:eastAsia="zh-CN"/>
        </w:rPr>
        <w:t xml:space="preserve"> om pædiatrisk anvendelse).</w:t>
      </w:r>
    </w:p>
    <w:p w14:paraId="60DCF7D1" w14:textId="14D12746" w:rsidR="00D07846" w:rsidRDefault="00D07846">
      <w:pPr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br w:type="page"/>
      </w:r>
    </w:p>
    <w:p w14:paraId="36DC6FC3" w14:textId="77777777" w:rsidR="003E11F5" w:rsidRPr="00B02BF3" w:rsidRDefault="003E11F5" w:rsidP="00B02BF3">
      <w:pPr>
        <w:ind w:left="851"/>
        <w:jc w:val="both"/>
        <w:outlineLvl w:val="0"/>
        <w:rPr>
          <w:rFonts w:eastAsia="SimSun"/>
          <w:sz w:val="24"/>
          <w:szCs w:val="24"/>
          <w:lang w:eastAsia="zh-CN"/>
        </w:rPr>
      </w:pPr>
    </w:p>
    <w:p w14:paraId="181C0590" w14:textId="77777777" w:rsidR="003E11F5" w:rsidRPr="00B02BF3" w:rsidRDefault="003E11F5" w:rsidP="00B02BF3">
      <w:pPr>
        <w:suppressAutoHyphens/>
        <w:ind w:left="851"/>
        <w:rPr>
          <w:bCs/>
          <w:i/>
          <w:iCs/>
          <w:sz w:val="24"/>
          <w:szCs w:val="24"/>
          <w:u w:val="single"/>
        </w:rPr>
      </w:pPr>
      <w:r w:rsidRPr="00B02BF3">
        <w:rPr>
          <w:bCs/>
          <w:sz w:val="24"/>
          <w:szCs w:val="24"/>
          <w:u w:val="single"/>
        </w:rPr>
        <w:t>Ældre</w:t>
      </w:r>
    </w:p>
    <w:p w14:paraId="060E29BA" w14:textId="6C7494EE" w:rsidR="003E11F5" w:rsidRPr="00B02BF3" w:rsidRDefault="003E11F5" w:rsidP="00B02BF3">
      <w:pPr>
        <w:suppressAutoHyphens/>
        <w:ind w:left="851"/>
        <w:rPr>
          <w:bCs/>
          <w:sz w:val="24"/>
          <w:szCs w:val="24"/>
        </w:rPr>
      </w:pPr>
      <w:r w:rsidRPr="00B02BF3">
        <w:rPr>
          <w:bCs/>
          <w:sz w:val="24"/>
          <w:szCs w:val="24"/>
        </w:rPr>
        <w:t xml:space="preserve">De to pivotale studier omfattede i alt 134 forsøgspersoner i alderen ≥ 65 år, som blev behandlet med </w:t>
      </w:r>
      <w:proofErr w:type="spellStart"/>
      <w:r w:rsidRPr="00B02BF3">
        <w:rPr>
          <w:bCs/>
          <w:sz w:val="24"/>
          <w:szCs w:val="24"/>
        </w:rPr>
        <w:t>Terbinafin</w:t>
      </w:r>
      <w:proofErr w:type="spellEnd"/>
      <w:r w:rsidRPr="00B02BF3">
        <w:rPr>
          <w:bCs/>
          <w:sz w:val="24"/>
          <w:szCs w:val="24"/>
        </w:rPr>
        <w:t xml:space="preserve"> </w:t>
      </w:r>
      <w:r w:rsidR="00B02BF3" w:rsidRPr="00B02BF3">
        <w:rPr>
          <w:bCs/>
          <w:sz w:val="24"/>
          <w:szCs w:val="24"/>
        </w:rPr>
        <w:t>"Moberg Pharma"</w:t>
      </w:r>
      <w:r w:rsidRPr="00B02BF3">
        <w:rPr>
          <w:bCs/>
          <w:sz w:val="24"/>
          <w:szCs w:val="24"/>
        </w:rPr>
        <w:t xml:space="preserve"> i det samme behandlingsregime. Der var ingen overordnede forskelle med hensyn til virkning af behandlingen i ≥ 65 år-gruppen sammenlignet med gruppen under 65 år.</w:t>
      </w:r>
    </w:p>
    <w:p w14:paraId="4DDE6D6E" w14:textId="77777777" w:rsidR="009260DE" w:rsidRPr="00B02B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918EAAD" w14:textId="77777777" w:rsidR="009260DE" w:rsidRPr="00B02B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02BF3">
        <w:rPr>
          <w:b/>
          <w:sz w:val="24"/>
          <w:szCs w:val="24"/>
        </w:rPr>
        <w:t>5.2</w:t>
      </w:r>
      <w:r w:rsidRPr="00B02BF3">
        <w:rPr>
          <w:b/>
          <w:sz w:val="24"/>
          <w:szCs w:val="24"/>
        </w:rPr>
        <w:tab/>
      </w:r>
      <w:proofErr w:type="spellStart"/>
      <w:r w:rsidRPr="00B02BF3">
        <w:rPr>
          <w:b/>
          <w:sz w:val="24"/>
          <w:szCs w:val="24"/>
        </w:rPr>
        <w:t>Farmakokinetiske</w:t>
      </w:r>
      <w:proofErr w:type="spellEnd"/>
      <w:r w:rsidRPr="00B02BF3">
        <w:rPr>
          <w:b/>
          <w:sz w:val="24"/>
          <w:szCs w:val="24"/>
        </w:rPr>
        <w:t xml:space="preserve"> egenskaber</w:t>
      </w:r>
    </w:p>
    <w:p w14:paraId="64C533E6" w14:textId="62A1ABFA" w:rsidR="003E11F5" w:rsidRPr="00B02BF3" w:rsidRDefault="003E11F5" w:rsidP="00B02BF3">
      <w:pPr>
        <w:widowControl w:val="0"/>
        <w:ind w:left="851"/>
        <w:rPr>
          <w:sz w:val="24"/>
          <w:szCs w:val="24"/>
        </w:rPr>
      </w:pPr>
      <w:r w:rsidRPr="00B02BF3">
        <w:rPr>
          <w:sz w:val="24"/>
          <w:szCs w:val="24"/>
        </w:rPr>
        <w:t xml:space="preserve">Systemisk absorption af </w:t>
      </w:r>
      <w:proofErr w:type="spellStart"/>
      <w:r w:rsidRPr="00B02BF3">
        <w:rPr>
          <w:sz w:val="24"/>
          <w:szCs w:val="24"/>
        </w:rPr>
        <w:t>topikal</w:t>
      </w:r>
      <w:proofErr w:type="spellEnd"/>
      <w:r w:rsidRPr="00B02BF3">
        <w:rPr>
          <w:sz w:val="24"/>
          <w:szCs w:val="24"/>
        </w:rPr>
        <w:t xml:space="preserve"> </w:t>
      </w: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 er adskillige størrelsesordener lavere end for oralt administreret </w:t>
      </w: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. Den systemiske eksponering for </w:t>
      </w: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 blev undersøgt i et fase I systemisk absorptionsstudie under maksimale anvendelsesbetingelser hos forsøgspersoner med </w:t>
      </w:r>
      <w:proofErr w:type="spellStart"/>
      <w:r w:rsidRPr="00B02BF3">
        <w:rPr>
          <w:sz w:val="24"/>
          <w:szCs w:val="24"/>
        </w:rPr>
        <w:t>onykomykose</w:t>
      </w:r>
      <w:proofErr w:type="spellEnd"/>
      <w:r w:rsidRPr="00B02BF3">
        <w:rPr>
          <w:sz w:val="24"/>
          <w:szCs w:val="24"/>
        </w:rPr>
        <w:t xml:space="preserve">. I dette studie blev alle tånegle behandlet med </w:t>
      </w: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 </w:t>
      </w:r>
      <w:r w:rsidR="00B02BF3" w:rsidRPr="00B02BF3">
        <w:rPr>
          <w:sz w:val="24"/>
          <w:szCs w:val="24"/>
        </w:rPr>
        <w:t>"Moberg Pharma"</w:t>
      </w:r>
      <w:r w:rsidRPr="00B02BF3">
        <w:rPr>
          <w:sz w:val="24"/>
          <w:szCs w:val="24"/>
        </w:rPr>
        <w:t xml:space="preserve"> en gang dagligt i 28 dage. Hos alle forsøgspersoner sås eksponering med middelværdi for </w:t>
      </w:r>
      <w:proofErr w:type="spellStart"/>
      <w:r w:rsidRPr="00B02BF3">
        <w:rPr>
          <w:sz w:val="24"/>
          <w:szCs w:val="24"/>
        </w:rPr>
        <w:t>C</w:t>
      </w:r>
      <w:r w:rsidRPr="00B02BF3">
        <w:rPr>
          <w:sz w:val="24"/>
          <w:szCs w:val="24"/>
          <w:vertAlign w:val="subscript"/>
        </w:rPr>
        <w:t>max</w:t>
      </w:r>
      <w:proofErr w:type="spellEnd"/>
      <w:r w:rsidRPr="00B02BF3">
        <w:rPr>
          <w:sz w:val="24"/>
          <w:szCs w:val="24"/>
        </w:rPr>
        <w:t xml:space="preserve"> på dag 28 på 718 </w:t>
      </w:r>
      <w:proofErr w:type="spellStart"/>
      <w:r w:rsidRPr="00B02BF3">
        <w:rPr>
          <w:sz w:val="24"/>
          <w:szCs w:val="24"/>
        </w:rPr>
        <w:t>pg</w:t>
      </w:r>
      <w:proofErr w:type="spellEnd"/>
      <w:r w:rsidRPr="00B02BF3">
        <w:rPr>
          <w:sz w:val="24"/>
          <w:szCs w:val="24"/>
        </w:rPr>
        <w:t>/ml (median 733 </w:t>
      </w:r>
      <w:proofErr w:type="spellStart"/>
      <w:r w:rsidRPr="00B02BF3">
        <w:rPr>
          <w:sz w:val="24"/>
          <w:szCs w:val="24"/>
        </w:rPr>
        <w:t>pg</w:t>
      </w:r>
      <w:proofErr w:type="spellEnd"/>
      <w:r w:rsidRPr="00B02BF3">
        <w:rPr>
          <w:sz w:val="24"/>
          <w:szCs w:val="24"/>
        </w:rPr>
        <w:t xml:space="preserve">/ml). Middelværdien for plasmakoncentrationen af </w:t>
      </w: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 efter 4 ugers behandling var ca. 2.000 gange lavere end middelværdien for plasmakoncentration (1,39 µg/ml), der blev observeret efter oral administration af 250 mg </w:t>
      </w: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 en gang dagligt i 28 dage. </w:t>
      </w:r>
      <w:proofErr w:type="spellStart"/>
      <w:r w:rsidRPr="00B02BF3">
        <w:rPr>
          <w:sz w:val="24"/>
          <w:szCs w:val="24"/>
        </w:rPr>
        <w:t>Terbinafins</w:t>
      </w:r>
      <w:proofErr w:type="spellEnd"/>
      <w:r w:rsidRPr="00B02BF3">
        <w:rPr>
          <w:sz w:val="24"/>
          <w:szCs w:val="24"/>
        </w:rPr>
        <w:t xml:space="preserve"> systemiske biotilgængelighed ved </w:t>
      </w:r>
      <w:proofErr w:type="spellStart"/>
      <w:r w:rsidRPr="00B02BF3">
        <w:rPr>
          <w:sz w:val="24"/>
          <w:szCs w:val="24"/>
        </w:rPr>
        <w:t>topikal</w:t>
      </w:r>
      <w:proofErr w:type="spellEnd"/>
      <w:r w:rsidRPr="00B02BF3">
        <w:rPr>
          <w:sz w:val="24"/>
          <w:szCs w:val="24"/>
        </w:rPr>
        <w:t xml:space="preserve"> administration af </w:t>
      </w: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 </w:t>
      </w:r>
      <w:r w:rsidR="00B02BF3" w:rsidRPr="00B02BF3">
        <w:rPr>
          <w:sz w:val="24"/>
          <w:szCs w:val="24"/>
        </w:rPr>
        <w:t>"Moberg Pharma"</w:t>
      </w:r>
      <w:r w:rsidRPr="00B02BF3">
        <w:rPr>
          <w:sz w:val="24"/>
          <w:szCs w:val="24"/>
        </w:rPr>
        <w:t xml:space="preserve"> anses derfor som ubetydelig. </w:t>
      </w:r>
    </w:p>
    <w:p w14:paraId="3D87A4D8" w14:textId="77777777" w:rsidR="009260DE" w:rsidRPr="00B02B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7CBD29B" w14:textId="77777777" w:rsidR="009260DE" w:rsidRPr="00B02B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02BF3">
        <w:rPr>
          <w:b/>
          <w:sz w:val="24"/>
          <w:szCs w:val="24"/>
        </w:rPr>
        <w:t>5.3</w:t>
      </w:r>
      <w:r w:rsidRPr="00B02BF3">
        <w:rPr>
          <w:b/>
          <w:sz w:val="24"/>
          <w:szCs w:val="24"/>
        </w:rPr>
        <w:tab/>
      </w:r>
      <w:r w:rsidR="00BD7931" w:rsidRPr="00B02BF3">
        <w:rPr>
          <w:b/>
          <w:sz w:val="24"/>
          <w:szCs w:val="24"/>
        </w:rPr>
        <w:t>Non-</w:t>
      </w:r>
      <w:r w:rsidRPr="00B02BF3">
        <w:rPr>
          <w:b/>
          <w:sz w:val="24"/>
          <w:szCs w:val="24"/>
        </w:rPr>
        <w:t>kliniske sikkerhedsdata</w:t>
      </w:r>
    </w:p>
    <w:p w14:paraId="050BBA77" w14:textId="77777777" w:rsidR="003E11F5" w:rsidRPr="00B02BF3" w:rsidRDefault="003E11F5" w:rsidP="00B02BF3">
      <w:pPr>
        <w:ind w:left="851"/>
        <w:rPr>
          <w:sz w:val="24"/>
          <w:szCs w:val="24"/>
        </w:rPr>
      </w:pP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, der blev administreret på huden hos rotter og minigrise, forårsagede ubetydeligt </w:t>
      </w:r>
      <w:proofErr w:type="spellStart"/>
      <w:r w:rsidRPr="00B02BF3">
        <w:rPr>
          <w:sz w:val="24"/>
          <w:szCs w:val="24"/>
        </w:rPr>
        <w:t>erytem</w:t>
      </w:r>
      <w:proofErr w:type="spellEnd"/>
      <w:r w:rsidRPr="00B02BF3">
        <w:rPr>
          <w:sz w:val="24"/>
          <w:szCs w:val="24"/>
        </w:rPr>
        <w:t xml:space="preserve"> og/eller ødem hos nogle af dyrene</w:t>
      </w:r>
      <w:bookmarkStart w:id="9" w:name="_Hlk69486761"/>
      <w:r w:rsidRPr="00B02BF3">
        <w:rPr>
          <w:sz w:val="24"/>
          <w:szCs w:val="24"/>
        </w:rPr>
        <w:t xml:space="preserve">. De samme fund blev observeret hos nogle ubehandlede dyr. Forekomsten øgedes imidlertid i takt med stigende </w:t>
      </w: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-koncentrationer, og effekten blev mere udtalt. Ved 10 % </w:t>
      </w: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 (samme koncentration som i produktet) blev der observeret moderat ødem og der blev i meget sjældne tilfælde observeret moderat til svært </w:t>
      </w:r>
      <w:proofErr w:type="spellStart"/>
      <w:r w:rsidRPr="00B02BF3">
        <w:rPr>
          <w:sz w:val="24"/>
          <w:szCs w:val="24"/>
        </w:rPr>
        <w:t>erytem</w:t>
      </w:r>
      <w:proofErr w:type="spellEnd"/>
      <w:r w:rsidRPr="00B02BF3">
        <w:rPr>
          <w:sz w:val="24"/>
          <w:szCs w:val="24"/>
        </w:rPr>
        <w:t xml:space="preserve"> hos rotter, men ikke hos minigrise.</w:t>
      </w:r>
      <w:bookmarkEnd w:id="9"/>
    </w:p>
    <w:p w14:paraId="2DFD2B31" w14:textId="77777777" w:rsidR="003E11F5" w:rsidRPr="00B02BF3" w:rsidRDefault="003E11F5" w:rsidP="00B02BF3">
      <w:pPr>
        <w:ind w:left="851"/>
        <w:rPr>
          <w:sz w:val="24"/>
          <w:szCs w:val="24"/>
        </w:rPr>
      </w:pPr>
    </w:p>
    <w:p w14:paraId="646EC6F9" w14:textId="77777777" w:rsidR="003E11F5" w:rsidRPr="00B02BF3" w:rsidRDefault="003E11F5" w:rsidP="00B02BF3">
      <w:pPr>
        <w:ind w:left="851"/>
        <w:rPr>
          <w:sz w:val="24"/>
          <w:szCs w:val="24"/>
        </w:rPr>
      </w:pPr>
      <w:r w:rsidRPr="00B02BF3">
        <w:rPr>
          <w:sz w:val="24"/>
          <w:szCs w:val="24"/>
        </w:rPr>
        <w:t xml:space="preserve">En række standard </w:t>
      </w:r>
      <w:r w:rsidRPr="00B02BF3">
        <w:rPr>
          <w:i/>
          <w:iCs/>
          <w:sz w:val="24"/>
          <w:szCs w:val="24"/>
        </w:rPr>
        <w:t xml:space="preserve">in </w:t>
      </w:r>
      <w:proofErr w:type="spellStart"/>
      <w:r w:rsidRPr="00B02BF3">
        <w:rPr>
          <w:i/>
          <w:iCs/>
          <w:sz w:val="24"/>
          <w:szCs w:val="24"/>
        </w:rPr>
        <w:t>vitro</w:t>
      </w:r>
      <w:proofErr w:type="spellEnd"/>
      <w:r w:rsidRPr="00B02BF3">
        <w:rPr>
          <w:sz w:val="24"/>
          <w:szCs w:val="24"/>
        </w:rPr>
        <w:t xml:space="preserve"> og </w:t>
      </w:r>
      <w:r w:rsidRPr="00B02BF3">
        <w:rPr>
          <w:i/>
          <w:iCs/>
          <w:sz w:val="24"/>
          <w:szCs w:val="24"/>
        </w:rPr>
        <w:t xml:space="preserve">in </w:t>
      </w:r>
      <w:proofErr w:type="spellStart"/>
      <w:r w:rsidRPr="00B02BF3">
        <w:rPr>
          <w:i/>
          <w:iCs/>
          <w:sz w:val="24"/>
          <w:szCs w:val="24"/>
        </w:rPr>
        <w:t>vivo</w:t>
      </w:r>
      <w:proofErr w:type="spellEnd"/>
      <w:r w:rsidRPr="00B02BF3">
        <w:rPr>
          <w:sz w:val="24"/>
          <w:szCs w:val="24"/>
        </w:rPr>
        <w:t xml:space="preserve"> genotoksiske undersøgelser viste ingen tilstedeværelse af mutagent eller </w:t>
      </w:r>
      <w:proofErr w:type="spellStart"/>
      <w:r w:rsidRPr="00B02BF3">
        <w:rPr>
          <w:sz w:val="24"/>
          <w:szCs w:val="24"/>
        </w:rPr>
        <w:t>klastogent</w:t>
      </w:r>
      <w:proofErr w:type="spellEnd"/>
      <w:r w:rsidRPr="00B02BF3">
        <w:rPr>
          <w:sz w:val="24"/>
          <w:szCs w:val="24"/>
        </w:rPr>
        <w:t xml:space="preserve"> potentiale.</w:t>
      </w:r>
    </w:p>
    <w:p w14:paraId="08D425F0" w14:textId="77777777" w:rsidR="003E11F5" w:rsidRPr="00B02BF3" w:rsidRDefault="003E11F5" w:rsidP="00B02BF3">
      <w:pPr>
        <w:ind w:left="851"/>
        <w:rPr>
          <w:sz w:val="24"/>
          <w:szCs w:val="24"/>
        </w:rPr>
      </w:pPr>
    </w:p>
    <w:p w14:paraId="4DC015BE" w14:textId="77777777" w:rsidR="003E11F5" w:rsidRPr="00B02BF3" w:rsidRDefault="003E11F5" w:rsidP="00B02BF3">
      <w:pPr>
        <w:ind w:left="851"/>
        <w:rPr>
          <w:sz w:val="24"/>
          <w:szCs w:val="24"/>
        </w:rPr>
      </w:pPr>
      <w:r w:rsidRPr="00B02BF3">
        <w:rPr>
          <w:sz w:val="24"/>
          <w:szCs w:val="24"/>
        </w:rPr>
        <w:t>Der blev ikke observeret bivirkninger med påvirkning af fertilitet eller andre reproduktionsparametre i studier med rotter og kaniner.</w:t>
      </w:r>
    </w:p>
    <w:p w14:paraId="5D0F04A5" w14:textId="77777777" w:rsidR="003E11F5" w:rsidRPr="00B02BF3" w:rsidRDefault="003E11F5" w:rsidP="00B02BF3">
      <w:pPr>
        <w:ind w:left="851"/>
        <w:rPr>
          <w:sz w:val="24"/>
          <w:szCs w:val="24"/>
        </w:rPr>
      </w:pPr>
    </w:p>
    <w:p w14:paraId="243219FD" w14:textId="5ACDFAC4" w:rsidR="003E11F5" w:rsidRPr="00B02BF3" w:rsidRDefault="003E11F5" w:rsidP="00B02BF3">
      <w:pPr>
        <w:ind w:left="851"/>
        <w:rPr>
          <w:sz w:val="24"/>
          <w:szCs w:val="24"/>
        </w:rPr>
      </w:pPr>
      <w:proofErr w:type="spellStart"/>
      <w:r w:rsidRPr="00B02BF3">
        <w:rPr>
          <w:sz w:val="24"/>
          <w:szCs w:val="24"/>
        </w:rPr>
        <w:t>Topikal</w:t>
      </w:r>
      <w:proofErr w:type="spellEnd"/>
      <w:r w:rsidRPr="00B02BF3">
        <w:rPr>
          <w:sz w:val="24"/>
          <w:szCs w:val="24"/>
        </w:rPr>
        <w:t xml:space="preserve"> administration af </w:t>
      </w:r>
      <w:proofErr w:type="spellStart"/>
      <w:r w:rsidRPr="00B02BF3">
        <w:rPr>
          <w:sz w:val="24"/>
          <w:szCs w:val="24"/>
        </w:rPr>
        <w:t>Terbinafin</w:t>
      </w:r>
      <w:proofErr w:type="spellEnd"/>
      <w:r w:rsidRPr="00B02BF3">
        <w:rPr>
          <w:sz w:val="24"/>
          <w:szCs w:val="24"/>
        </w:rPr>
        <w:t xml:space="preserve"> </w:t>
      </w:r>
      <w:r w:rsidR="00B02BF3" w:rsidRPr="00B02BF3">
        <w:rPr>
          <w:sz w:val="24"/>
          <w:szCs w:val="24"/>
        </w:rPr>
        <w:t>"Moberg Pharma"</w:t>
      </w:r>
      <w:r w:rsidRPr="00B02BF3">
        <w:rPr>
          <w:sz w:val="24"/>
          <w:szCs w:val="24"/>
        </w:rPr>
        <w:t xml:space="preserve"> medfører meget lav systemisk eksponering. Risikoen for systemisk toksicitet er derfor minimal.</w:t>
      </w:r>
    </w:p>
    <w:p w14:paraId="23BA08B8" w14:textId="77777777" w:rsidR="009260DE" w:rsidRPr="00B02B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2ED422E" w14:textId="77777777" w:rsidR="009260DE" w:rsidRPr="00B02B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3109AB1" w14:textId="77777777" w:rsidR="009260DE" w:rsidRPr="00B02B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02BF3">
        <w:rPr>
          <w:b/>
          <w:sz w:val="24"/>
          <w:szCs w:val="24"/>
        </w:rPr>
        <w:t>6.</w:t>
      </w:r>
      <w:r w:rsidRPr="00B02BF3">
        <w:rPr>
          <w:b/>
          <w:sz w:val="24"/>
          <w:szCs w:val="24"/>
        </w:rPr>
        <w:tab/>
        <w:t>FARMACEUTISKE OPLYSNINGER</w:t>
      </w:r>
    </w:p>
    <w:p w14:paraId="3F0B4E6E" w14:textId="77777777" w:rsidR="009260DE" w:rsidRPr="00B02B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FCCB71E" w14:textId="77777777" w:rsidR="009260DE" w:rsidRPr="00B02B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02BF3">
        <w:rPr>
          <w:b/>
          <w:sz w:val="24"/>
          <w:szCs w:val="24"/>
        </w:rPr>
        <w:t>6.1</w:t>
      </w:r>
      <w:r w:rsidRPr="00B02BF3">
        <w:rPr>
          <w:b/>
          <w:sz w:val="24"/>
          <w:szCs w:val="24"/>
        </w:rPr>
        <w:tab/>
        <w:t>Hjælpestoffer</w:t>
      </w:r>
    </w:p>
    <w:p w14:paraId="4A38AE6D" w14:textId="77777777" w:rsidR="003E11F5" w:rsidRPr="00B02BF3" w:rsidRDefault="003E11F5" w:rsidP="00B02BF3">
      <w:pPr>
        <w:widowControl w:val="0"/>
        <w:ind w:left="851"/>
        <w:rPr>
          <w:sz w:val="24"/>
          <w:szCs w:val="24"/>
        </w:rPr>
      </w:pPr>
      <w:r w:rsidRPr="00B02BF3">
        <w:rPr>
          <w:sz w:val="24"/>
          <w:szCs w:val="24"/>
        </w:rPr>
        <w:t>Propylenglycol (E 1520)</w:t>
      </w:r>
    </w:p>
    <w:p w14:paraId="7B887AA3" w14:textId="77777777" w:rsidR="003E11F5" w:rsidRPr="00B02BF3" w:rsidRDefault="003E11F5" w:rsidP="00B02BF3">
      <w:pPr>
        <w:widowControl w:val="0"/>
        <w:ind w:left="851"/>
        <w:rPr>
          <w:sz w:val="24"/>
          <w:szCs w:val="24"/>
        </w:rPr>
      </w:pPr>
      <w:proofErr w:type="spellStart"/>
      <w:r w:rsidRPr="00B02BF3">
        <w:rPr>
          <w:sz w:val="24"/>
          <w:szCs w:val="24"/>
        </w:rPr>
        <w:t>Urea</w:t>
      </w:r>
      <w:proofErr w:type="spellEnd"/>
    </w:p>
    <w:p w14:paraId="3DD5C6C3" w14:textId="77777777" w:rsidR="003E11F5" w:rsidRPr="00B02BF3" w:rsidRDefault="003E11F5" w:rsidP="00B02BF3">
      <w:pPr>
        <w:widowControl w:val="0"/>
        <w:ind w:left="851"/>
        <w:rPr>
          <w:sz w:val="24"/>
          <w:szCs w:val="24"/>
        </w:rPr>
      </w:pPr>
      <w:r w:rsidRPr="00B02BF3">
        <w:rPr>
          <w:sz w:val="24"/>
          <w:szCs w:val="24"/>
        </w:rPr>
        <w:t>Mælkesyre</w:t>
      </w:r>
    </w:p>
    <w:p w14:paraId="4D36F0F2" w14:textId="77777777" w:rsidR="003E11F5" w:rsidRPr="00B02BF3" w:rsidRDefault="003E11F5" w:rsidP="00B02BF3">
      <w:pPr>
        <w:widowControl w:val="0"/>
        <w:ind w:left="851"/>
        <w:rPr>
          <w:sz w:val="24"/>
          <w:szCs w:val="24"/>
        </w:rPr>
      </w:pPr>
      <w:proofErr w:type="spellStart"/>
      <w:r w:rsidRPr="00B02BF3">
        <w:rPr>
          <w:sz w:val="24"/>
          <w:szCs w:val="24"/>
        </w:rPr>
        <w:t>Dinatriumedetat</w:t>
      </w:r>
      <w:proofErr w:type="spellEnd"/>
      <w:r w:rsidRPr="00B02BF3">
        <w:rPr>
          <w:sz w:val="24"/>
          <w:szCs w:val="24"/>
        </w:rPr>
        <w:t xml:space="preserve"> (EDTA)</w:t>
      </w:r>
    </w:p>
    <w:p w14:paraId="4FC6400A" w14:textId="77777777" w:rsidR="003E11F5" w:rsidRPr="00B02BF3" w:rsidRDefault="003E11F5" w:rsidP="00B02BF3">
      <w:pPr>
        <w:widowControl w:val="0"/>
        <w:ind w:left="851"/>
        <w:rPr>
          <w:sz w:val="24"/>
          <w:szCs w:val="24"/>
        </w:rPr>
      </w:pPr>
      <w:r w:rsidRPr="00B02BF3">
        <w:rPr>
          <w:sz w:val="24"/>
          <w:szCs w:val="24"/>
        </w:rPr>
        <w:t>Natriumhydroxid (til pH-justering)</w:t>
      </w:r>
    </w:p>
    <w:p w14:paraId="0393AE75" w14:textId="77777777" w:rsidR="003E11F5" w:rsidRPr="00B02BF3" w:rsidRDefault="003E11F5" w:rsidP="00B02BF3">
      <w:pPr>
        <w:ind w:left="851"/>
        <w:rPr>
          <w:sz w:val="24"/>
          <w:szCs w:val="24"/>
        </w:rPr>
      </w:pPr>
      <w:r w:rsidRPr="00B02BF3">
        <w:rPr>
          <w:sz w:val="24"/>
          <w:szCs w:val="24"/>
        </w:rPr>
        <w:t>Vand, renset</w:t>
      </w:r>
    </w:p>
    <w:p w14:paraId="32D93F52" w14:textId="77777777" w:rsidR="009260DE" w:rsidRPr="00B02B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35F0D39" w14:textId="77777777" w:rsidR="009260DE" w:rsidRPr="00B02B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02BF3">
        <w:rPr>
          <w:b/>
          <w:sz w:val="24"/>
          <w:szCs w:val="24"/>
        </w:rPr>
        <w:t>6.2</w:t>
      </w:r>
      <w:r w:rsidRPr="00B02BF3">
        <w:rPr>
          <w:b/>
          <w:sz w:val="24"/>
          <w:szCs w:val="24"/>
        </w:rPr>
        <w:tab/>
        <w:t>Uforligeligheder</w:t>
      </w:r>
    </w:p>
    <w:p w14:paraId="509B7302" w14:textId="77777777" w:rsidR="003E11F5" w:rsidRPr="00B02BF3" w:rsidRDefault="003E11F5" w:rsidP="00B02BF3">
      <w:pPr>
        <w:ind w:left="851"/>
        <w:rPr>
          <w:sz w:val="24"/>
          <w:szCs w:val="24"/>
        </w:rPr>
      </w:pPr>
      <w:r w:rsidRPr="00B02BF3">
        <w:rPr>
          <w:sz w:val="24"/>
          <w:szCs w:val="24"/>
        </w:rPr>
        <w:t>Ikke relevant.</w:t>
      </w:r>
    </w:p>
    <w:p w14:paraId="72A904A9" w14:textId="77777777" w:rsidR="009260DE" w:rsidRPr="00B02B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924B697" w14:textId="77777777" w:rsidR="009260DE" w:rsidRPr="00B02B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02BF3">
        <w:rPr>
          <w:b/>
          <w:sz w:val="24"/>
          <w:szCs w:val="24"/>
        </w:rPr>
        <w:t>6.3</w:t>
      </w:r>
      <w:r w:rsidRPr="00B02BF3">
        <w:rPr>
          <w:b/>
          <w:sz w:val="24"/>
          <w:szCs w:val="24"/>
        </w:rPr>
        <w:tab/>
        <w:t>Opbevaringstid</w:t>
      </w:r>
    </w:p>
    <w:p w14:paraId="40E7667E" w14:textId="1AFD71CD" w:rsidR="003E11F5" w:rsidRPr="00B02BF3" w:rsidRDefault="003E11F5" w:rsidP="00D4637A">
      <w:pPr>
        <w:ind w:firstLine="851"/>
        <w:rPr>
          <w:sz w:val="24"/>
          <w:szCs w:val="24"/>
        </w:rPr>
      </w:pPr>
      <w:r w:rsidRPr="00B02BF3">
        <w:rPr>
          <w:sz w:val="24"/>
          <w:szCs w:val="24"/>
        </w:rPr>
        <w:t>2 år.</w:t>
      </w:r>
    </w:p>
    <w:p w14:paraId="1C82FFE9" w14:textId="77777777" w:rsidR="009260DE" w:rsidRPr="00B02B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8A03EB8" w14:textId="77777777" w:rsidR="009260DE" w:rsidRPr="00B02B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02BF3">
        <w:rPr>
          <w:b/>
          <w:sz w:val="24"/>
          <w:szCs w:val="24"/>
        </w:rPr>
        <w:t>6.4</w:t>
      </w:r>
      <w:r w:rsidRPr="00B02BF3">
        <w:rPr>
          <w:b/>
          <w:sz w:val="24"/>
          <w:szCs w:val="24"/>
        </w:rPr>
        <w:tab/>
        <w:t>Særlige opbevaringsforhold</w:t>
      </w:r>
    </w:p>
    <w:p w14:paraId="1F57CB61" w14:textId="77777777" w:rsidR="003E11F5" w:rsidRPr="00B02BF3" w:rsidRDefault="003E11F5" w:rsidP="00B02BF3">
      <w:pPr>
        <w:ind w:left="851"/>
        <w:rPr>
          <w:sz w:val="24"/>
          <w:szCs w:val="24"/>
        </w:rPr>
      </w:pPr>
      <w:r w:rsidRPr="00B02BF3">
        <w:rPr>
          <w:sz w:val="24"/>
          <w:szCs w:val="24"/>
        </w:rPr>
        <w:t>Opbevares ved temperaturer under 25 °C. Må ikke nedfryses.</w:t>
      </w:r>
    </w:p>
    <w:p w14:paraId="340F54B7" w14:textId="77777777" w:rsidR="009260DE" w:rsidRPr="00B02B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B31B2B7" w14:textId="77777777" w:rsidR="009260DE" w:rsidRPr="00B02B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02BF3">
        <w:rPr>
          <w:b/>
          <w:sz w:val="24"/>
          <w:szCs w:val="24"/>
        </w:rPr>
        <w:t>6.5</w:t>
      </w:r>
      <w:r w:rsidRPr="00B02BF3">
        <w:rPr>
          <w:b/>
          <w:sz w:val="24"/>
          <w:szCs w:val="24"/>
        </w:rPr>
        <w:tab/>
        <w:t>Emballagetype og pakningsstørrelser</w:t>
      </w:r>
    </w:p>
    <w:p w14:paraId="5E0A998D" w14:textId="77777777" w:rsidR="00DE0C2A" w:rsidRPr="0056199D" w:rsidRDefault="00DE0C2A" w:rsidP="00DE0C2A">
      <w:pPr>
        <w:widowControl w:val="0"/>
        <w:ind w:left="851"/>
        <w:rPr>
          <w:sz w:val="24"/>
          <w:szCs w:val="24"/>
        </w:rPr>
      </w:pPr>
      <w:r w:rsidRPr="0056199D">
        <w:rPr>
          <w:sz w:val="24"/>
          <w:szCs w:val="24"/>
        </w:rPr>
        <w:t>Plastiktube (</w:t>
      </w:r>
      <w:proofErr w:type="spellStart"/>
      <w:r w:rsidRPr="0056199D">
        <w:rPr>
          <w:sz w:val="24"/>
          <w:szCs w:val="24"/>
        </w:rPr>
        <w:t>polyethylen</w:t>
      </w:r>
      <w:proofErr w:type="spellEnd"/>
      <w:r w:rsidRPr="0056199D">
        <w:rPr>
          <w:sz w:val="24"/>
          <w:szCs w:val="24"/>
        </w:rPr>
        <w:t xml:space="preserve"> eller </w:t>
      </w:r>
      <w:proofErr w:type="spellStart"/>
      <w:r w:rsidRPr="0056199D">
        <w:rPr>
          <w:sz w:val="24"/>
          <w:szCs w:val="24"/>
        </w:rPr>
        <w:t>polyethylenlaminat</w:t>
      </w:r>
      <w:proofErr w:type="spellEnd"/>
      <w:r w:rsidRPr="0056199D">
        <w:rPr>
          <w:sz w:val="24"/>
          <w:szCs w:val="24"/>
        </w:rPr>
        <w:t xml:space="preserve"> med aluminium eller monomateriale barrierelag) med en påføringsspids af silikone og lukket med en hætte af polypropylen.</w:t>
      </w:r>
    </w:p>
    <w:p w14:paraId="57B1A231" w14:textId="77777777" w:rsidR="00DE0C2A" w:rsidRPr="0056199D" w:rsidRDefault="00DE0C2A" w:rsidP="00DE0C2A">
      <w:pPr>
        <w:widowControl w:val="0"/>
        <w:ind w:left="851"/>
        <w:rPr>
          <w:sz w:val="24"/>
          <w:szCs w:val="24"/>
        </w:rPr>
      </w:pPr>
      <w:r w:rsidRPr="0056199D">
        <w:rPr>
          <w:sz w:val="24"/>
          <w:szCs w:val="24"/>
        </w:rPr>
        <w:t>Pakningsstørrelser: 5 ml (</w:t>
      </w:r>
      <w:proofErr w:type="spellStart"/>
      <w:r w:rsidRPr="0056199D">
        <w:rPr>
          <w:sz w:val="24"/>
          <w:szCs w:val="24"/>
        </w:rPr>
        <w:t>polyethylenlaminat</w:t>
      </w:r>
      <w:proofErr w:type="spellEnd"/>
      <w:r w:rsidRPr="0056199D">
        <w:rPr>
          <w:sz w:val="24"/>
          <w:szCs w:val="24"/>
        </w:rPr>
        <w:t>), 5 eller 10 ml (</w:t>
      </w:r>
      <w:proofErr w:type="spellStart"/>
      <w:r w:rsidRPr="0056199D">
        <w:rPr>
          <w:sz w:val="24"/>
          <w:szCs w:val="24"/>
        </w:rPr>
        <w:t>polyethylen</w:t>
      </w:r>
      <w:proofErr w:type="spellEnd"/>
      <w:r w:rsidRPr="0056199D">
        <w:rPr>
          <w:sz w:val="24"/>
          <w:szCs w:val="24"/>
        </w:rPr>
        <w:t>).</w:t>
      </w:r>
    </w:p>
    <w:p w14:paraId="54A82830" w14:textId="77777777" w:rsidR="00DE0C2A" w:rsidRPr="0056199D" w:rsidRDefault="00DE0C2A" w:rsidP="00DE0C2A">
      <w:pPr>
        <w:suppressAutoHyphens/>
        <w:ind w:left="851"/>
        <w:rPr>
          <w:sz w:val="24"/>
          <w:szCs w:val="24"/>
        </w:rPr>
      </w:pPr>
      <w:r w:rsidRPr="0056199D">
        <w:rPr>
          <w:sz w:val="24"/>
          <w:szCs w:val="24"/>
        </w:rPr>
        <w:t>Ikke alle pakningsstørrelser er nødvendigvis markedsført.</w:t>
      </w:r>
    </w:p>
    <w:p w14:paraId="7ED4A5B2" w14:textId="77777777" w:rsidR="009260DE" w:rsidRPr="00B02B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EE58F55" w14:textId="77777777" w:rsidR="009260DE" w:rsidRPr="00B02B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02BF3">
        <w:rPr>
          <w:b/>
          <w:sz w:val="24"/>
          <w:szCs w:val="24"/>
        </w:rPr>
        <w:t>6.6</w:t>
      </w:r>
      <w:r w:rsidRPr="00B02BF3">
        <w:rPr>
          <w:b/>
          <w:sz w:val="24"/>
          <w:szCs w:val="24"/>
        </w:rPr>
        <w:tab/>
        <w:t xml:space="preserve">Regler for </w:t>
      </w:r>
      <w:r w:rsidR="00BD7931" w:rsidRPr="00B02BF3">
        <w:rPr>
          <w:b/>
          <w:sz w:val="24"/>
          <w:szCs w:val="24"/>
        </w:rPr>
        <w:t>bortskaffelse</w:t>
      </w:r>
      <w:r w:rsidRPr="00B02BF3">
        <w:rPr>
          <w:b/>
          <w:sz w:val="24"/>
          <w:szCs w:val="24"/>
        </w:rPr>
        <w:t xml:space="preserve"> og anden håndtering</w:t>
      </w:r>
    </w:p>
    <w:p w14:paraId="19752ED6" w14:textId="77777777" w:rsidR="003E11F5" w:rsidRPr="00B02BF3" w:rsidRDefault="003E11F5" w:rsidP="00B02BF3">
      <w:pPr>
        <w:ind w:left="851"/>
        <w:rPr>
          <w:sz w:val="24"/>
          <w:szCs w:val="24"/>
        </w:rPr>
      </w:pPr>
      <w:r w:rsidRPr="00B02BF3">
        <w:rPr>
          <w:sz w:val="24"/>
          <w:szCs w:val="24"/>
        </w:rPr>
        <w:t>Ikke anvendt lægemiddel samt affald heraf skal bortskaffes i henhold til lokale retningslinjer.</w:t>
      </w:r>
    </w:p>
    <w:p w14:paraId="4AF30743" w14:textId="77777777" w:rsidR="009260DE" w:rsidRPr="00B02BF3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686A637D" w14:textId="77777777" w:rsidR="009260DE" w:rsidRPr="00B02B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02BF3">
        <w:rPr>
          <w:b/>
          <w:sz w:val="24"/>
          <w:szCs w:val="24"/>
        </w:rPr>
        <w:t>7.</w:t>
      </w:r>
      <w:r w:rsidRPr="00B02BF3">
        <w:rPr>
          <w:b/>
          <w:sz w:val="24"/>
          <w:szCs w:val="24"/>
        </w:rPr>
        <w:tab/>
        <w:t>INDEHAVER AF MARKEDSFØRINGSTILLADELSEN</w:t>
      </w:r>
    </w:p>
    <w:p w14:paraId="010DCCCC" w14:textId="77777777" w:rsidR="003E11F5" w:rsidRPr="00B02BF3" w:rsidRDefault="003E11F5" w:rsidP="00B02BF3">
      <w:pPr>
        <w:ind w:left="851"/>
        <w:rPr>
          <w:sz w:val="24"/>
          <w:szCs w:val="24"/>
        </w:rPr>
      </w:pPr>
      <w:r w:rsidRPr="00B02BF3">
        <w:rPr>
          <w:sz w:val="24"/>
          <w:szCs w:val="24"/>
        </w:rPr>
        <w:t>Moberg Pharma AB</w:t>
      </w:r>
    </w:p>
    <w:p w14:paraId="097666D5" w14:textId="77777777" w:rsidR="003E11F5" w:rsidRPr="00B02BF3" w:rsidRDefault="003E11F5" w:rsidP="00B02BF3">
      <w:pPr>
        <w:ind w:left="851"/>
        <w:rPr>
          <w:sz w:val="24"/>
          <w:szCs w:val="24"/>
        </w:rPr>
      </w:pPr>
      <w:proofErr w:type="spellStart"/>
      <w:r w:rsidRPr="00B02BF3">
        <w:rPr>
          <w:sz w:val="24"/>
          <w:szCs w:val="24"/>
        </w:rPr>
        <w:t>Gustavslundsvägen</w:t>
      </w:r>
      <w:proofErr w:type="spellEnd"/>
      <w:r w:rsidRPr="00B02BF3">
        <w:rPr>
          <w:sz w:val="24"/>
          <w:szCs w:val="24"/>
        </w:rPr>
        <w:t xml:space="preserve"> 42</w:t>
      </w:r>
    </w:p>
    <w:p w14:paraId="1E53C01D" w14:textId="77777777" w:rsidR="003E11F5" w:rsidRPr="00B02BF3" w:rsidRDefault="003E11F5" w:rsidP="00B02BF3">
      <w:pPr>
        <w:ind w:left="851"/>
        <w:rPr>
          <w:sz w:val="24"/>
          <w:szCs w:val="24"/>
        </w:rPr>
      </w:pPr>
      <w:r w:rsidRPr="00B02BF3">
        <w:rPr>
          <w:sz w:val="24"/>
          <w:szCs w:val="24"/>
        </w:rPr>
        <w:t xml:space="preserve">167 51 </w:t>
      </w:r>
      <w:proofErr w:type="spellStart"/>
      <w:r w:rsidRPr="00B02BF3">
        <w:rPr>
          <w:sz w:val="24"/>
          <w:szCs w:val="24"/>
        </w:rPr>
        <w:t>Bromma</w:t>
      </w:r>
      <w:proofErr w:type="spellEnd"/>
    </w:p>
    <w:p w14:paraId="0DFDE980" w14:textId="77777777" w:rsidR="003E11F5" w:rsidRPr="00B02BF3" w:rsidRDefault="003E11F5" w:rsidP="00B02BF3">
      <w:pPr>
        <w:ind w:left="851"/>
        <w:rPr>
          <w:sz w:val="24"/>
          <w:szCs w:val="24"/>
        </w:rPr>
      </w:pPr>
      <w:r w:rsidRPr="00B02BF3">
        <w:rPr>
          <w:sz w:val="24"/>
          <w:szCs w:val="24"/>
        </w:rPr>
        <w:t>Sverige</w:t>
      </w:r>
    </w:p>
    <w:p w14:paraId="54779D8F" w14:textId="2B6C9E9E" w:rsidR="009260DE" w:rsidRPr="00B02B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2CE2BCB" w14:textId="77777777" w:rsidR="009260DE" w:rsidRPr="00B02B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02BF3">
        <w:rPr>
          <w:b/>
          <w:sz w:val="24"/>
          <w:szCs w:val="24"/>
        </w:rPr>
        <w:t>8.</w:t>
      </w:r>
      <w:r w:rsidRPr="00B02BF3">
        <w:rPr>
          <w:b/>
          <w:sz w:val="24"/>
          <w:szCs w:val="24"/>
        </w:rPr>
        <w:tab/>
        <w:t>MARKEDSFØRINGSTILLADELSESNUMMER (</w:t>
      </w:r>
      <w:r w:rsidR="00BF6243" w:rsidRPr="00B02BF3">
        <w:rPr>
          <w:b/>
          <w:sz w:val="24"/>
          <w:szCs w:val="24"/>
        </w:rPr>
        <w:t>-</w:t>
      </w:r>
      <w:r w:rsidRPr="00B02BF3">
        <w:rPr>
          <w:b/>
          <w:sz w:val="24"/>
          <w:szCs w:val="24"/>
        </w:rPr>
        <w:t>NUMRE)</w:t>
      </w:r>
    </w:p>
    <w:p w14:paraId="7A72DDEA" w14:textId="12FBC94B" w:rsidR="009260DE" w:rsidRPr="00B02BF3" w:rsidRDefault="003E11F5" w:rsidP="009260DE">
      <w:pPr>
        <w:tabs>
          <w:tab w:val="left" w:pos="851"/>
        </w:tabs>
        <w:ind w:left="851"/>
        <w:rPr>
          <w:sz w:val="24"/>
          <w:szCs w:val="24"/>
        </w:rPr>
      </w:pPr>
      <w:r w:rsidRPr="00B02BF3">
        <w:rPr>
          <w:sz w:val="24"/>
          <w:szCs w:val="24"/>
        </w:rPr>
        <w:t>67637</w:t>
      </w:r>
    </w:p>
    <w:p w14:paraId="23B84BAD" w14:textId="77777777" w:rsidR="009260DE" w:rsidRPr="00B02BF3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703BF473" w14:textId="77777777" w:rsidR="009260DE" w:rsidRPr="00B02B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02BF3">
        <w:rPr>
          <w:b/>
          <w:sz w:val="24"/>
          <w:szCs w:val="24"/>
        </w:rPr>
        <w:t>9.</w:t>
      </w:r>
      <w:r w:rsidRPr="00B02BF3">
        <w:rPr>
          <w:b/>
          <w:sz w:val="24"/>
          <w:szCs w:val="24"/>
        </w:rPr>
        <w:tab/>
        <w:t>DATO FOR FØRSTE MARKEDSFØRINGSTILLADELSE</w:t>
      </w:r>
    </w:p>
    <w:p w14:paraId="72652023" w14:textId="342928C3" w:rsidR="00F53A3F" w:rsidRPr="00B02BF3" w:rsidRDefault="00F53A3F" w:rsidP="00F53A3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8. august 2023</w:t>
      </w:r>
    </w:p>
    <w:p w14:paraId="6034D135" w14:textId="77777777" w:rsidR="009260DE" w:rsidRPr="00B02B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54AC966" w14:textId="77777777" w:rsidR="009260DE" w:rsidRPr="00B02B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02BF3">
        <w:rPr>
          <w:b/>
          <w:sz w:val="24"/>
          <w:szCs w:val="24"/>
        </w:rPr>
        <w:t>10.</w:t>
      </w:r>
      <w:r w:rsidRPr="00B02BF3">
        <w:rPr>
          <w:b/>
          <w:sz w:val="24"/>
          <w:szCs w:val="24"/>
        </w:rPr>
        <w:tab/>
        <w:t>DATO FOR ÆNDRING AF TEKSTEN</w:t>
      </w:r>
    </w:p>
    <w:p w14:paraId="011D4485" w14:textId="6C313325" w:rsidR="009260DE" w:rsidRPr="00B02BF3" w:rsidRDefault="00DE0C2A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14. oktober 2024</w:t>
      </w:r>
      <w:bookmarkStart w:id="10" w:name="_GoBack"/>
      <w:bookmarkEnd w:id="10"/>
    </w:p>
    <w:sectPr w:rsidR="009260DE" w:rsidRPr="00B02BF3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34A0D" w14:textId="77777777" w:rsidR="003E567B" w:rsidRDefault="003E567B">
      <w:r>
        <w:separator/>
      </w:r>
    </w:p>
  </w:endnote>
  <w:endnote w:type="continuationSeparator" w:id="0">
    <w:p w14:paraId="14701AA0" w14:textId="77777777" w:rsidR="003E567B" w:rsidRDefault="003E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A14E8" w14:textId="77777777" w:rsidR="000259B9" w:rsidRDefault="000259B9">
    <w:pPr>
      <w:pStyle w:val="Sidefod"/>
      <w:pBdr>
        <w:bottom w:val="single" w:sz="6" w:space="1" w:color="auto"/>
      </w:pBdr>
    </w:pPr>
  </w:p>
  <w:p w14:paraId="3E10C32D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241C6659" w14:textId="701F7B67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F53A3F">
      <w:rPr>
        <w:i/>
        <w:noProof/>
        <w:sz w:val="18"/>
        <w:szCs w:val="18"/>
      </w:rPr>
      <w:t>Terbinafin Moberg Pharma, kutanopløsning 98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D2CC6" w14:textId="77777777" w:rsidR="003E567B" w:rsidRDefault="003E567B">
      <w:r>
        <w:separator/>
      </w:r>
    </w:p>
  </w:footnote>
  <w:footnote w:type="continuationSeparator" w:id="0">
    <w:p w14:paraId="63779B18" w14:textId="77777777" w:rsidR="003E567B" w:rsidRDefault="003E5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7B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454E2"/>
    <w:rsid w:val="00206CE8"/>
    <w:rsid w:val="0021526C"/>
    <w:rsid w:val="00283A2B"/>
    <w:rsid w:val="002B30AD"/>
    <w:rsid w:val="002C1EC0"/>
    <w:rsid w:val="002C2C01"/>
    <w:rsid w:val="00320EE0"/>
    <w:rsid w:val="0038348F"/>
    <w:rsid w:val="003A29AE"/>
    <w:rsid w:val="003A32D7"/>
    <w:rsid w:val="003B4074"/>
    <w:rsid w:val="003C769A"/>
    <w:rsid w:val="003D3A90"/>
    <w:rsid w:val="003E11F5"/>
    <w:rsid w:val="003E567B"/>
    <w:rsid w:val="003F1838"/>
    <w:rsid w:val="0045746C"/>
    <w:rsid w:val="0049104B"/>
    <w:rsid w:val="004A726B"/>
    <w:rsid w:val="004E3B12"/>
    <w:rsid w:val="00532310"/>
    <w:rsid w:val="00565F0F"/>
    <w:rsid w:val="00594A86"/>
    <w:rsid w:val="00596D86"/>
    <w:rsid w:val="00637F5A"/>
    <w:rsid w:val="00641C65"/>
    <w:rsid w:val="006560B1"/>
    <w:rsid w:val="006756DD"/>
    <w:rsid w:val="0071241E"/>
    <w:rsid w:val="00737275"/>
    <w:rsid w:val="00740EEC"/>
    <w:rsid w:val="0078011A"/>
    <w:rsid w:val="00782AF4"/>
    <w:rsid w:val="00790EE7"/>
    <w:rsid w:val="007B6649"/>
    <w:rsid w:val="0082576E"/>
    <w:rsid w:val="00907F75"/>
    <w:rsid w:val="009260DE"/>
    <w:rsid w:val="0093258A"/>
    <w:rsid w:val="009C7BA3"/>
    <w:rsid w:val="009D1F5A"/>
    <w:rsid w:val="00A10294"/>
    <w:rsid w:val="00B003BF"/>
    <w:rsid w:val="00B02BF3"/>
    <w:rsid w:val="00B373D7"/>
    <w:rsid w:val="00B44C66"/>
    <w:rsid w:val="00B55271"/>
    <w:rsid w:val="00BD7931"/>
    <w:rsid w:val="00BF6243"/>
    <w:rsid w:val="00C36276"/>
    <w:rsid w:val="00C42586"/>
    <w:rsid w:val="00C45F6B"/>
    <w:rsid w:val="00C60CCD"/>
    <w:rsid w:val="00C84483"/>
    <w:rsid w:val="00C95551"/>
    <w:rsid w:val="00CB20D7"/>
    <w:rsid w:val="00D020B0"/>
    <w:rsid w:val="00D07846"/>
    <w:rsid w:val="00D11748"/>
    <w:rsid w:val="00D237F6"/>
    <w:rsid w:val="00D34D98"/>
    <w:rsid w:val="00D366CF"/>
    <w:rsid w:val="00D4637A"/>
    <w:rsid w:val="00D93992"/>
    <w:rsid w:val="00DE0C2A"/>
    <w:rsid w:val="00E108AA"/>
    <w:rsid w:val="00E3749A"/>
    <w:rsid w:val="00E7437F"/>
    <w:rsid w:val="00E865B8"/>
    <w:rsid w:val="00EC0B9B"/>
    <w:rsid w:val="00ED5E9F"/>
    <w:rsid w:val="00F53A3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6FF36"/>
  <w15:chartTrackingRefBased/>
  <w15:docId w15:val="{C50DE647-DBD9-4F3F-8458-5770A744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EMEAEnBodyText">
    <w:name w:val="EMEA En Body Text"/>
    <w:basedOn w:val="Normal"/>
    <w:rsid w:val="003E11F5"/>
    <w:pPr>
      <w:spacing w:before="120" w:after="120"/>
      <w:jc w:val="both"/>
    </w:pPr>
    <w:rPr>
      <w:sz w:val="22"/>
      <w:lang w:val="en-US"/>
    </w:rPr>
  </w:style>
  <w:style w:type="character" w:styleId="Fremhv">
    <w:name w:val="Emphasis"/>
    <w:basedOn w:val="Standardskrifttypeiafsnit"/>
    <w:uiPriority w:val="20"/>
    <w:qFormat/>
    <w:rsid w:val="003E11F5"/>
    <w:rPr>
      <w:i/>
      <w:iCs/>
    </w:rPr>
  </w:style>
  <w:style w:type="character" w:styleId="Hyperlink">
    <w:name w:val="Hyperlink"/>
    <w:uiPriority w:val="99"/>
    <w:semiHidden/>
    <w:unhideWhenUsed/>
    <w:rsid w:val="003E1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</Template>
  <TotalTime>0</TotalTime>
  <Pages>7</Pages>
  <Words>1858</Words>
  <Characters>12121</Characters>
  <Application>Microsoft Office Word</Application>
  <DocSecurity>0</DocSecurity>
  <Lines>101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2024012532 punkt 6.5</dc:description>
  <cp:lastModifiedBy>Alexandra Wæver</cp:lastModifiedBy>
  <cp:revision>2</cp:revision>
  <cp:lastPrinted>2012-08-22T08:53:00Z</cp:lastPrinted>
  <dcterms:created xsi:type="dcterms:W3CDTF">2024-10-14T12:10:00Z</dcterms:created>
  <dcterms:modified xsi:type="dcterms:W3CDTF">2024-10-14T12:10:00Z</dcterms:modified>
</cp:coreProperties>
</file>