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CA7" w:rsidRPr="008F49E1" w:rsidRDefault="00807CA7" w:rsidP="00807CA7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5B0E1F54" wp14:editId="47D4C27D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07CA7" w:rsidRPr="00C84483" w:rsidRDefault="00807CA7" w:rsidP="00807CA7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>
        <w:rPr>
          <w:szCs w:val="24"/>
        </w:rPr>
        <w:t>2</w:t>
      </w:r>
      <w:r w:rsidR="00582F6F">
        <w:rPr>
          <w:szCs w:val="24"/>
        </w:rPr>
        <w:t>2</w:t>
      </w:r>
      <w:r>
        <w:rPr>
          <w:szCs w:val="24"/>
        </w:rPr>
        <w:t xml:space="preserve">. </w:t>
      </w:r>
      <w:r w:rsidR="00582F6F">
        <w:rPr>
          <w:szCs w:val="24"/>
        </w:rPr>
        <w:t>april</w:t>
      </w:r>
      <w:r>
        <w:rPr>
          <w:szCs w:val="24"/>
        </w:rPr>
        <w:t xml:space="preserve"> 20</w:t>
      </w:r>
      <w:r w:rsidR="00AB0536">
        <w:rPr>
          <w:szCs w:val="24"/>
        </w:rPr>
        <w:t>2</w:t>
      </w:r>
      <w:r w:rsidR="00582F6F">
        <w:rPr>
          <w:szCs w:val="24"/>
        </w:rPr>
        <w:t>5</w:t>
      </w:r>
    </w:p>
    <w:p w:rsidR="00807CA7" w:rsidRDefault="00807CA7" w:rsidP="00807CA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07CA7" w:rsidRPr="00C84483" w:rsidRDefault="00807CA7" w:rsidP="00807CA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07CA7" w:rsidRPr="00C84483" w:rsidRDefault="00807CA7" w:rsidP="00807CA7">
      <w:pPr>
        <w:pStyle w:val="Titel"/>
        <w:jc w:val="left"/>
        <w:rPr>
          <w:b w:val="0"/>
          <w:szCs w:val="24"/>
        </w:rPr>
      </w:pPr>
    </w:p>
    <w:p w:rsidR="00807CA7" w:rsidRPr="00C84483" w:rsidRDefault="00807CA7" w:rsidP="00807CA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07CA7" w:rsidRPr="00C84483" w:rsidRDefault="00807CA7" w:rsidP="00807CA7">
      <w:pPr>
        <w:jc w:val="center"/>
        <w:rPr>
          <w:b/>
          <w:sz w:val="24"/>
          <w:szCs w:val="24"/>
        </w:rPr>
      </w:pPr>
    </w:p>
    <w:p w:rsidR="00807CA7" w:rsidRDefault="00807CA7" w:rsidP="00807CA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07CA7" w:rsidRPr="00C84483" w:rsidRDefault="00807CA7" w:rsidP="00807CA7">
      <w:pPr>
        <w:jc w:val="center"/>
        <w:rPr>
          <w:b/>
          <w:sz w:val="24"/>
          <w:szCs w:val="24"/>
        </w:rPr>
      </w:pPr>
    </w:p>
    <w:p w:rsidR="00807CA7" w:rsidRPr="00C84483" w:rsidRDefault="00807CA7" w:rsidP="00807CA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Tetridar</w:t>
      </w:r>
      <w:proofErr w:type="spellEnd"/>
      <w:r>
        <w:rPr>
          <w:b/>
          <w:sz w:val="24"/>
          <w:szCs w:val="24"/>
        </w:rPr>
        <w:t>, injektionsvæske, opløsning i fyldt pen</w:t>
      </w:r>
    </w:p>
    <w:p w:rsidR="00807CA7" w:rsidRPr="00C84483" w:rsidRDefault="00807CA7" w:rsidP="00807CA7">
      <w:pPr>
        <w:jc w:val="both"/>
        <w:rPr>
          <w:sz w:val="24"/>
          <w:szCs w:val="24"/>
        </w:rPr>
      </w:pPr>
    </w:p>
    <w:p w:rsidR="00807CA7" w:rsidRPr="00C84483" w:rsidRDefault="00807CA7" w:rsidP="00807CA7">
      <w:pPr>
        <w:jc w:val="both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30860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807CA7" w:rsidRPr="00112A1F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112A1F">
        <w:rPr>
          <w:sz w:val="24"/>
          <w:szCs w:val="24"/>
        </w:rPr>
        <w:t xml:space="preserve">Hver dosis på 80 mikroliter indeholder 20 mikrogram </w:t>
      </w:r>
      <w:proofErr w:type="spellStart"/>
      <w:r w:rsidRPr="00112A1F">
        <w:rPr>
          <w:sz w:val="24"/>
          <w:szCs w:val="24"/>
        </w:rPr>
        <w:t>teriparatid</w:t>
      </w:r>
      <w:proofErr w:type="spellEnd"/>
      <w:r w:rsidRPr="00112A1F">
        <w:rPr>
          <w:sz w:val="24"/>
          <w:szCs w:val="24"/>
        </w:rPr>
        <w:t>*.</w:t>
      </w:r>
    </w:p>
    <w:p w:rsidR="00807CA7" w:rsidRPr="00112A1F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112A1F">
        <w:rPr>
          <w:sz w:val="24"/>
          <w:szCs w:val="24"/>
        </w:rPr>
        <w:t xml:space="preserve">En fyldt pen med 2,4 ml indeholder 600 mikrogram </w:t>
      </w:r>
      <w:proofErr w:type="spellStart"/>
      <w:r w:rsidRPr="00112A1F">
        <w:rPr>
          <w:sz w:val="24"/>
          <w:szCs w:val="24"/>
        </w:rPr>
        <w:t>teriparatid</w:t>
      </w:r>
      <w:proofErr w:type="spellEnd"/>
      <w:r w:rsidRPr="00112A1F">
        <w:rPr>
          <w:sz w:val="24"/>
          <w:szCs w:val="24"/>
        </w:rPr>
        <w:t xml:space="preserve"> (svarende til 250 mikrogram pr. ml).</w:t>
      </w:r>
    </w:p>
    <w:p w:rsidR="00807CA7" w:rsidRPr="00112A1F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112A1F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112A1F">
        <w:rPr>
          <w:sz w:val="24"/>
          <w:szCs w:val="24"/>
        </w:rPr>
        <w:t>*</w:t>
      </w:r>
      <w:proofErr w:type="spellStart"/>
      <w:r w:rsidRPr="00112A1F">
        <w:rPr>
          <w:sz w:val="24"/>
          <w:szCs w:val="24"/>
        </w:rPr>
        <w:t>Teriparatid</w:t>
      </w:r>
      <w:proofErr w:type="spellEnd"/>
      <w:r w:rsidRPr="00112A1F">
        <w:rPr>
          <w:sz w:val="24"/>
          <w:szCs w:val="24"/>
        </w:rPr>
        <w:t xml:space="preserve"> (1-34) er identisk med den 34 N-terminale aminosyresekvens af det endogene humane </w:t>
      </w:r>
      <w:proofErr w:type="spellStart"/>
      <w:r w:rsidRPr="00112A1F">
        <w:rPr>
          <w:sz w:val="24"/>
          <w:szCs w:val="24"/>
        </w:rPr>
        <w:t>parathyroideahormon</w:t>
      </w:r>
      <w:proofErr w:type="spellEnd"/>
      <w:r w:rsidRPr="00112A1F">
        <w:rPr>
          <w:sz w:val="24"/>
          <w:szCs w:val="24"/>
        </w:rPr>
        <w:t>.</w:t>
      </w:r>
    </w:p>
    <w:p w:rsidR="00807CA7" w:rsidRPr="00112A1F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112A1F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112A1F">
        <w:rPr>
          <w:sz w:val="24"/>
          <w:szCs w:val="24"/>
        </w:rPr>
        <w:t>Alle hjælpestoffer er anført under pkt. 6.1.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Injektionsvæske, opløsning </w:t>
      </w:r>
      <w:r>
        <w:rPr>
          <w:sz w:val="24"/>
          <w:szCs w:val="24"/>
        </w:rPr>
        <w:t>(injektion)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Farveløs, klar opløsning.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07CA7" w:rsidRPr="00C84483" w:rsidRDefault="00807CA7" w:rsidP="00807CA7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er indiceret til voksne.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Behandling af osteoporose hos </w:t>
      </w:r>
      <w:proofErr w:type="spellStart"/>
      <w:r w:rsidRPr="00B04D38">
        <w:rPr>
          <w:sz w:val="24"/>
          <w:szCs w:val="24"/>
        </w:rPr>
        <w:t>postmenopausale</w:t>
      </w:r>
      <w:proofErr w:type="spellEnd"/>
      <w:r w:rsidRPr="00B04D38">
        <w:rPr>
          <w:sz w:val="24"/>
          <w:szCs w:val="24"/>
        </w:rPr>
        <w:t xml:space="preserve"> kvinder og hos mænd, der har forhøjet risiko for frakturer (se pkt. 5.1). Hos </w:t>
      </w:r>
      <w:proofErr w:type="spellStart"/>
      <w:r w:rsidRPr="00B04D38">
        <w:rPr>
          <w:sz w:val="24"/>
          <w:szCs w:val="24"/>
        </w:rPr>
        <w:t>postmenopausale</w:t>
      </w:r>
      <w:proofErr w:type="spellEnd"/>
      <w:r w:rsidRPr="00B04D38">
        <w:rPr>
          <w:sz w:val="24"/>
          <w:szCs w:val="24"/>
        </w:rPr>
        <w:t xml:space="preserve"> kvinder er der påvist en signifikant reduktion i forekomsten af </w:t>
      </w:r>
      <w:proofErr w:type="spellStart"/>
      <w:r w:rsidRPr="00B04D38">
        <w:rPr>
          <w:sz w:val="24"/>
          <w:szCs w:val="24"/>
        </w:rPr>
        <w:t>vertebrale</w:t>
      </w:r>
      <w:proofErr w:type="spellEnd"/>
      <w:r w:rsidRPr="00B04D38">
        <w:rPr>
          <w:sz w:val="24"/>
          <w:szCs w:val="24"/>
        </w:rPr>
        <w:t xml:space="preserve"> og ikke-</w:t>
      </w:r>
      <w:proofErr w:type="spellStart"/>
      <w:r w:rsidRPr="00B04D38">
        <w:rPr>
          <w:sz w:val="24"/>
          <w:szCs w:val="24"/>
        </w:rPr>
        <w:t>vertebrale</w:t>
      </w:r>
      <w:proofErr w:type="spellEnd"/>
      <w:r w:rsidRPr="00B04D38">
        <w:rPr>
          <w:sz w:val="24"/>
          <w:szCs w:val="24"/>
        </w:rPr>
        <w:t xml:space="preserve"> frakturer, men ikke hoftefrakturer.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Behandling af osteoporose, der ses i forbindelse med langvarig systemisk </w:t>
      </w:r>
      <w:proofErr w:type="spellStart"/>
      <w:r w:rsidRPr="00B04D38">
        <w:rPr>
          <w:sz w:val="24"/>
          <w:szCs w:val="24"/>
        </w:rPr>
        <w:t>glukokortikoidbehandling</w:t>
      </w:r>
      <w:proofErr w:type="spellEnd"/>
      <w:r w:rsidRPr="00B04D38">
        <w:rPr>
          <w:sz w:val="24"/>
          <w:szCs w:val="24"/>
        </w:rPr>
        <w:t xml:space="preserve"> hos kvinder og mænd med forøget risiko for frakturer (se pkt. 5.1).</w:t>
      </w:r>
    </w:p>
    <w:p w:rsidR="00807CA7" w:rsidRDefault="00807CA7" w:rsidP="00807C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</w:t>
      </w:r>
      <w:r w:rsidR="00582F6F">
        <w:rPr>
          <w:b/>
          <w:sz w:val="24"/>
          <w:szCs w:val="24"/>
        </w:rPr>
        <w:t xml:space="preserve"> administration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8B2391" w:rsidRDefault="00807CA7" w:rsidP="00807CA7">
      <w:pPr>
        <w:tabs>
          <w:tab w:val="left" w:pos="851"/>
        </w:tabs>
        <w:ind w:left="851"/>
        <w:rPr>
          <w:b/>
          <w:sz w:val="24"/>
          <w:szCs w:val="24"/>
        </w:rPr>
      </w:pPr>
      <w:r w:rsidRPr="008B2391">
        <w:rPr>
          <w:b/>
          <w:sz w:val="24"/>
          <w:szCs w:val="24"/>
        </w:rPr>
        <w:t>Dosering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Den anbefalede dosis af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er 20 mikrogram administreret en gang daglig.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Den maksimale totale behandlingsvarighed med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bør være 24 måneder (se pkt. 4.4). Forløbet med 24 måneders behandling med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bør ikke gentages i patientens levetid.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Det anbefales at give tilskud af calcium- og D-vitamin til patienter, som ikke får tilstrækkeligt af disse i deres kost.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Patienterne kan fortsætte med andre osteoporosebehandlinger efter afslutning af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behandlingen.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Særlige populationer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8B2391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8B2391">
        <w:rPr>
          <w:i/>
          <w:sz w:val="24"/>
          <w:szCs w:val="24"/>
        </w:rPr>
        <w:t>Patienter med nedsat nyrefunktion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må ikke bruges til patienter med svært nedsat nyrefunktion (se pkt. 4.3).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bør anvendes med forsigtighed til patienter med moderat nedsat nyrefunktion. For patienter med let nedsat nyrefunktion er der ingen særlige forbehold.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8B2391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8B2391">
        <w:rPr>
          <w:i/>
          <w:sz w:val="24"/>
          <w:szCs w:val="24"/>
        </w:rPr>
        <w:t>Patienter med nedsat leverfunktion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Der foreligger ingen data for patienter med nedsat leverfunktion (se pkt. 5.3). Derfor skal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anvendes med forsigtighed.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8B2391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8B2391">
        <w:rPr>
          <w:i/>
          <w:sz w:val="24"/>
          <w:szCs w:val="24"/>
        </w:rPr>
        <w:t xml:space="preserve">Pædiatrisk population og unge med åbne </w:t>
      </w:r>
      <w:proofErr w:type="spellStart"/>
      <w:r w:rsidRPr="008B2391">
        <w:rPr>
          <w:i/>
          <w:sz w:val="24"/>
          <w:szCs w:val="24"/>
        </w:rPr>
        <w:t>epifyser</w:t>
      </w:r>
      <w:proofErr w:type="spellEnd"/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Teriparatid</w:t>
      </w:r>
      <w:r>
        <w:rPr>
          <w:sz w:val="24"/>
          <w:szCs w:val="24"/>
        </w:rPr>
        <w:t>s</w:t>
      </w:r>
      <w:proofErr w:type="spellEnd"/>
      <w:r w:rsidRPr="00B04D38">
        <w:rPr>
          <w:sz w:val="24"/>
          <w:szCs w:val="24"/>
        </w:rPr>
        <w:t xml:space="preserve"> sikkerhed og virkning hos børn og unge under 18 år er ikke klarlagt.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frarådes til pædiatriske patienter (under 18 år) børn eller unge med åbne </w:t>
      </w:r>
      <w:proofErr w:type="spellStart"/>
      <w:r w:rsidRPr="00B04D38">
        <w:rPr>
          <w:sz w:val="24"/>
          <w:szCs w:val="24"/>
        </w:rPr>
        <w:t>epifyser</w:t>
      </w:r>
      <w:proofErr w:type="spellEnd"/>
      <w:r w:rsidRPr="00B04D38">
        <w:rPr>
          <w:sz w:val="24"/>
          <w:szCs w:val="24"/>
        </w:rPr>
        <w:t>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8B2391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8B2391">
        <w:rPr>
          <w:i/>
          <w:sz w:val="24"/>
          <w:szCs w:val="24"/>
        </w:rPr>
        <w:t xml:space="preserve">Ældre patienter 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Dosisjustering på baggrund af alder er ikke nødvendig (se pkt. 5.2).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8B2391" w:rsidRDefault="00807CA7" w:rsidP="00807CA7">
      <w:pPr>
        <w:tabs>
          <w:tab w:val="left" w:pos="851"/>
        </w:tabs>
        <w:ind w:left="851"/>
        <w:rPr>
          <w:b/>
          <w:sz w:val="24"/>
          <w:szCs w:val="24"/>
        </w:rPr>
      </w:pPr>
      <w:r w:rsidRPr="008B2391">
        <w:rPr>
          <w:b/>
          <w:sz w:val="24"/>
          <w:szCs w:val="24"/>
        </w:rPr>
        <w:t>Administration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skal administreres en gang daglig ved subkutan injektion i lår eller abdomen.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Patienter skal undervises i at bruge korrekte injektionsteknikker (se pkt. 6.6). Der henvises desuden til instruktionerne i brugervejledningen til pennen.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>Overfølsomhed over for det aktive stof eller over for et eller flere af hjælpestofferne anført i pkt. 6.1.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>Graviditet og amning (se pkt. 4.4 og 4.6).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 xml:space="preserve">Præeksisterende </w:t>
      </w:r>
      <w:proofErr w:type="spellStart"/>
      <w:r w:rsidRPr="00B04D38">
        <w:rPr>
          <w:sz w:val="24"/>
          <w:szCs w:val="24"/>
        </w:rPr>
        <w:t>hyperkalcæmi</w:t>
      </w:r>
      <w:proofErr w:type="spellEnd"/>
      <w:r w:rsidRPr="00B04D38">
        <w:rPr>
          <w:sz w:val="24"/>
          <w:szCs w:val="24"/>
        </w:rPr>
        <w:t>.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>Svært nedsat nyrefunktion.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 xml:space="preserve">Andre metaboliske knoglesygdomme (inklusive </w:t>
      </w:r>
      <w:proofErr w:type="spellStart"/>
      <w:r w:rsidRPr="00B04D38">
        <w:rPr>
          <w:sz w:val="24"/>
          <w:szCs w:val="24"/>
        </w:rPr>
        <w:t>hyperparatyreoidisme</w:t>
      </w:r>
      <w:proofErr w:type="spellEnd"/>
      <w:r w:rsidRPr="00B04D38">
        <w:rPr>
          <w:sz w:val="24"/>
          <w:szCs w:val="24"/>
        </w:rPr>
        <w:t xml:space="preserve"> og </w:t>
      </w:r>
      <w:proofErr w:type="spellStart"/>
      <w:r w:rsidRPr="00B04D38">
        <w:rPr>
          <w:sz w:val="24"/>
          <w:szCs w:val="24"/>
        </w:rPr>
        <w:t>Pagets</w:t>
      </w:r>
      <w:proofErr w:type="spellEnd"/>
      <w:r w:rsidRPr="00B04D38">
        <w:rPr>
          <w:sz w:val="24"/>
          <w:szCs w:val="24"/>
        </w:rPr>
        <w:t xml:space="preserve"> knoglesygdom) end primær osteoporose eller </w:t>
      </w:r>
      <w:proofErr w:type="spellStart"/>
      <w:r w:rsidRPr="00B04D38">
        <w:rPr>
          <w:sz w:val="24"/>
          <w:szCs w:val="24"/>
        </w:rPr>
        <w:t>glukokortikoidinduceret</w:t>
      </w:r>
      <w:proofErr w:type="spellEnd"/>
      <w:r w:rsidRPr="00B04D38">
        <w:rPr>
          <w:sz w:val="24"/>
          <w:szCs w:val="24"/>
        </w:rPr>
        <w:t xml:space="preserve"> osteoporose.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>Uforklarlig, forhøjet alkalisk fosfatase.</w:t>
      </w:r>
    </w:p>
    <w:p w:rsidR="00807CA7" w:rsidRPr="00B04D3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t xml:space="preserve">Tidligere ekstern strålebehandling eller </w:t>
      </w:r>
      <w:proofErr w:type="spellStart"/>
      <w:r w:rsidRPr="00B04D38">
        <w:rPr>
          <w:sz w:val="24"/>
          <w:szCs w:val="24"/>
        </w:rPr>
        <w:t>brachyterapi</w:t>
      </w:r>
      <w:proofErr w:type="spellEnd"/>
      <w:r w:rsidRPr="00B04D38">
        <w:rPr>
          <w:sz w:val="24"/>
          <w:szCs w:val="24"/>
        </w:rPr>
        <w:t xml:space="preserve"> af skelettet.</w:t>
      </w:r>
    </w:p>
    <w:p w:rsidR="00807CA7" w:rsidRPr="002D48B8" w:rsidRDefault="00807CA7" w:rsidP="00807CA7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B04D38">
        <w:rPr>
          <w:sz w:val="24"/>
          <w:szCs w:val="24"/>
        </w:rPr>
        <w:lastRenderedPageBreak/>
        <w:t xml:space="preserve">Patienter med maligne lidelser i skelettet eller knoglemetastaser frarådes behandling med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>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Serum- og urincalcium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Der er iagttaget små og forbigående stigninger i serumcalciumkoncentrationerne efter injektion af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hos patienter med normalt calciumniveau. De maksimale serumcalciumkoncentrationer opnås mellem 4 og 6 timer efter hver </w:t>
      </w:r>
      <w:proofErr w:type="spellStart"/>
      <w:r w:rsidRPr="00B04D38">
        <w:rPr>
          <w:sz w:val="24"/>
          <w:szCs w:val="24"/>
        </w:rPr>
        <w:t>teriparatiddosis</w:t>
      </w:r>
      <w:proofErr w:type="spellEnd"/>
      <w:r w:rsidRPr="00B04D38">
        <w:rPr>
          <w:sz w:val="24"/>
          <w:szCs w:val="24"/>
        </w:rPr>
        <w:t xml:space="preserve"> og normaliseres igen efter 16 til 24 timer. Hvis der skal tages blodprøver for serumcalcium fra en patient, bør dette derfor gøres mindst 16 timer efter den seneste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>-injektion. Rutinemæssig monitorering af calcium er ikke nødvendig under behandlingen.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kan medføre mindre stigninger i udskillelsen af calcium i urinen, men forekomsten af </w:t>
      </w:r>
      <w:proofErr w:type="spellStart"/>
      <w:r w:rsidRPr="00B04D38">
        <w:rPr>
          <w:sz w:val="24"/>
          <w:szCs w:val="24"/>
        </w:rPr>
        <w:t>hypercalcuri</w:t>
      </w:r>
      <w:proofErr w:type="spellEnd"/>
      <w:r w:rsidRPr="00B04D38">
        <w:rPr>
          <w:sz w:val="24"/>
          <w:szCs w:val="24"/>
        </w:rPr>
        <w:t xml:space="preserve"> viste sig i de kliniske forsøg ikke at adskille sig fra den, som observeredes hos placebo-behandlede patienter.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  <w:u w:val="single"/>
        </w:rPr>
        <w:t>Urolithiasis</w:t>
      </w:r>
      <w:proofErr w:type="spellEnd"/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er ikke undersøgt hos patienter med aktiv </w:t>
      </w:r>
      <w:proofErr w:type="spellStart"/>
      <w:r w:rsidRPr="00B04D38">
        <w:rPr>
          <w:sz w:val="24"/>
          <w:szCs w:val="24"/>
        </w:rPr>
        <w:t>urolithiasis</w:t>
      </w:r>
      <w:proofErr w:type="spellEnd"/>
      <w:r w:rsidRPr="00B04D38"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bør anvendes med forsigtighed hos patienter med aktiv eller nylig </w:t>
      </w:r>
      <w:proofErr w:type="spellStart"/>
      <w:r w:rsidRPr="00B04D38">
        <w:rPr>
          <w:sz w:val="24"/>
          <w:szCs w:val="24"/>
        </w:rPr>
        <w:t>urolithiasis</w:t>
      </w:r>
      <w:proofErr w:type="spellEnd"/>
      <w:r w:rsidRPr="00B04D38">
        <w:rPr>
          <w:sz w:val="24"/>
          <w:szCs w:val="24"/>
        </w:rPr>
        <w:t>, da det muligvis kan forværre tilstanden.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  <w:u w:val="single"/>
        </w:rPr>
        <w:t>Ortostatisk</w:t>
      </w:r>
      <w:proofErr w:type="spellEnd"/>
      <w:r w:rsidRPr="00B04D38">
        <w:rPr>
          <w:sz w:val="24"/>
          <w:szCs w:val="24"/>
          <w:u w:val="single"/>
        </w:rPr>
        <w:t xml:space="preserve"> hypotension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I kortvarige kliniske forsøg med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er der set isolerede tilfælde af forbigående </w:t>
      </w:r>
      <w:proofErr w:type="spellStart"/>
      <w:r w:rsidRPr="00B04D38">
        <w:rPr>
          <w:sz w:val="24"/>
          <w:szCs w:val="24"/>
        </w:rPr>
        <w:t>ortostatisk</w:t>
      </w:r>
      <w:proofErr w:type="spellEnd"/>
      <w:r w:rsidRPr="00B04D38">
        <w:rPr>
          <w:sz w:val="24"/>
          <w:szCs w:val="24"/>
        </w:rPr>
        <w:t xml:space="preserve"> hypotension. Et tilfælde begyndte typisk inden for 4 timer efter doseringen og forsvandt spontant i løbet af få minutter til få timer. Hos de forsøgspersoner, som fik forbigående </w:t>
      </w:r>
      <w:proofErr w:type="spellStart"/>
      <w:r w:rsidRPr="00B04D38">
        <w:rPr>
          <w:sz w:val="24"/>
          <w:szCs w:val="24"/>
        </w:rPr>
        <w:t>ortostatisk</w:t>
      </w:r>
      <w:proofErr w:type="spellEnd"/>
      <w:r w:rsidRPr="00B04D38">
        <w:rPr>
          <w:sz w:val="24"/>
          <w:szCs w:val="24"/>
        </w:rPr>
        <w:t xml:space="preserve"> hypotension, forekom det i løbet af de første doser og kunne afhjælpes ved at forsøgspersonerne blev anbragt i en hvilende stilling. Forekomsten af forbigående </w:t>
      </w:r>
      <w:proofErr w:type="spellStart"/>
      <w:r w:rsidRPr="00B04D38">
        <w:rPr>
          <w:sz w:val="24"/>
          <w:szCs w:val="24"/>
        </w:rPr>
        <w:t>ortostatisk</w:t>
      </w:r>
      <w:proofErr w:type="spellEnd"/>
      <w:r w:rsidRPr="00B04D38">
        <w:rPr>
          <w:sz w:val="24"/>
          <w:szCs w:val="24"/>
        </w:rPr>
        <w:t xml:space="preserve"> hypotension udelukkede ikke fortsat behandling.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Nedsat nyrefunktion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Der bør udvises forsigtighed hos patienter med moderat nedsat nyrefunktion.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Den yngre, voksne population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Der er begrænset erfaring med den yngre, voksne population, inklusive </w:t>
      </w:r>
      <w:proofErr w:type="spellStart"/>
      <w:r w:rsidRPr="00B04D38">
        <w:rPr>
          <w:sz w:val="24"/>
          <w:szCs w:val="24"/>
        </w:rPr>
        <w:t>præmenopausale</w:t>
      </w:r>
      <w:proofErr w:type="spellEnd"/>
      <w:r w:rsidRPr="00B04D38">
        <w:rPr>
          <w:sz w:val="24"/>
          <w:szCs w:val="24"/>
        </w:rPr>
        <w:t xml:space="preserve"> kvinder (se pkt. 5.1). Behandlingen af denne patientgruppe bør kun påbegyndes, hvis fordelene klart opvejer risici.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Kvinder i den fertile alder bør anvende en sikker præventionsmetode under behandling med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. I tilfælde af graviditet bør behandlingen med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ophøre.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Behandlingsvarighed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Forsøg med rotter har vist tegn på en øget forekomst af osteosarkomer ved langvarig administration af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viste studier (se pkt. 5.3). Indtil yderligere kliniske data foreligger, bør den anbefalede behandlingsvarighed på 24 måneder ikke overskrides.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Vigtig information om nogle af indholdsstofferne i </w:t>
      </w:r>
      <w:proofErr w:type="spellStart"/>
      <w:r>
        <w:rPr>
          <w:sz w:val="24"/>
          <w:szCs w:val="24"/>
          <w:u w:val="single"/>
        </w:rPr>
        <w:t>Tetridar</w:t>
      </w:r>
      <w:proofErr w:type="spellEnd"/>
      <w:r>
        <w:rPr>
          <w:sz w:val="24"/>
          <w:szCs w:val="24"/>
          <w:u w:val="single"/>
        </w:rPr>
        <w:t>: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Denne medicin indeholder mindre end 1 mmol natrium (23 mg) pr. dosis, dvs. den er i det væsentlige natrium-fri.</w:t>
      </w:r>
    </w:p>
    <w:p w:rsidR="00807CA7" w:rsidRDefault="00807CA7" w:rsidP="00807CA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studie med 15 raske forsøgspersoner, der fik </w:t>
      </w:r>
      <w:proofErr w:type="spellStart"/>
      <w:r>
        <w:rPr>
          <w:sz w:val="24"/>
          <w:szCs w:val="24"/>
        </w:rPr>
        <w:t>digoxin</w:t>
      </w:r>
      <w:proofErr w:type="spellEnd"/>
      <w:r>
        <w:rPr>
          <w:sz w:val="24"/>
          <w:szCs w:val="24"/>
        </w:rPr>
        <w:t xml:space="preserve"> daglig, indtil </w:t>
      </w:r>
      <w:proofErr w:type="spellStart"/>
      <w:r>
        <w:rPr>
          <w:sz w:val="24"/>
          <w:szCs w:val="24"/>
        </w:rPr>
        <w:t>steady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state</w:t>
      </w:r>
      <w:proofErr w:type="spellEnd"/>
      <w:r>
        <w:rPr>
          <w:sz w:val="24"/>
          <w:szCs w:val="24"/>
        </w:rPr>
        <w:t xml:space="preserve"> var nået, påvirkede en enkelt dosis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ikke effekten af </w:t>
      </w:r>
      <w:proofErr w:type="spellStart"/>
      <w:r>
        <w:rPr>
          <w:sz w:val="24"/>
          <w:szCs w:val="24"/>
        </w:rPr>
        <w:t>digoxin</w:t>
      </w:r>
      <w:proofErr w:type="spellEnd"/>
      <w:r>
        <w:rPr>
          <w:sz w:val="24"/>
          <w:szCs w:val="24"/>
        </w:rPr>
        <w:t xml:space="preserve"> på hjertet. Sporadiske rapporter har imidlertid antydet, at </w:t>
      </w:r>
      <w:proofErr w:type="spellStart"/>
      <w:r>
        <w:rPr>
          <w:sz w:val="24"/>
          <w:szCs w:val="24"/>
        </w:rPr>
        <w:t>hyperkalcæmi</w:t>
      </w:r>
      <w:proofErr w:type="spellEnd"/>
      <w:r>
        <w:rPr>
          <w:sz w:val="24"/>
          <w:szCs w:val="24"/>
        </w:rPr>
        <w:t xml:space="preserve"> kan prædisponere patienter for digitalistoksicitet. Da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forbigående øger serumcalcium, bør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anvendes med forsigtighed hos patienter i samtidig behandling med digitalis.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er undersøgt i </w:t>
      </w:r>
      <w:proofErr w:type="spellStart"/>
      <w:r w:rsidRPr="00B04D38">
        <w:rPr>
          <w:sz w:val="24"/>
          <w:szCs w:val="24"/>
        </w:rPr>
        <w:t>farmakodynamiske</w:t>
      </w:r>
      <w:proofErr w:type="spellEnd"/>
      <w:r w:rsidRPr="00B04D38">
        <w:rPr>
          <w:sz w:val="24"/>
          <w:szCs w:val="24"/>
        </w:rPr>
        <w:t xml:space="preserve"> interaktionsstudier med </w:t>
      </w:r>
      <w:proofErr w:type="spellStart"/>
      <w:r w:rsidRPr="00B04D38">
        <w:rPr>
          <w:sz w:val="24"/>
          <w:szCs w:val="24"/>
        </w:rPr>
        <w:t>hydrochlorthiazid</w:t>
      </w:r>
      <w:proofErr w:type="spellEnd"/>
      <w:r w:rsidRPr="00B04D38">
        <w:rPr>
          <w:sz w:val="24"/>
          <w:szCs w:val="24"/>
        </w:rPr>
        <w:t>. Der blev ikke fundet nogen klinisk signifikante interaktioner.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Samtidig administration af </w:t>
      </w:r>
      <w:proofErr w:type="spellStart"/>
      <w:r w:rsidRPr="00B04D38">
        <w:rPr>
          <w:sz w:val="24"/>
          <w:szCs w:val="24"/>
        </w:rPr>
        <w:t>raloxifen</w:t>
      </w:r>
      <w:proofErr w:type="spellEnd"/>
      <w:r w:rsidRPr="00B04D38">
        <w:rPr>
          <w:sz w:val="24"/>
          <w:szCs w:val="24"/>
        </w:rPr>
        <w:t xml:space="preserve"> eller hormonal substitutionsterapi og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påvirkede hverken </w:t>
      </w:r>
      <w:proofErr w:type="spellStart"/>
      <w:r w:rsidRPr="00B04D38">
        <w:rPr>
          <w:sz w:val="24"/>
          <w:szCs w:val="24"/>
        </w:rPr>
        <w:t>teriparatids</w:t>
      </w:r>
      <w:proofErr w:type="spellEnd"/>
      <w:r w:rsidRPr="00B04D38">
        <w:rPr>
          <w:sz w:val="24"/>
          <w:szCs w:val="24"/>
        </w:rPr>
        <w:t xml:space="preserve"> effekt på serum- eller urincalcium eller de kliniske bivirkninger.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582F6F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Kvinder i den fertile alder/</w:t>
      </w:r>
      <w:r>
        <w:rPr>
          <w:sz w:val="24"/>
          <w:szCs w:val="24"/>
          <w:u w:val="single"/>
        </w:rPr>
        <w:t>a</w:t>
      </w:r>
      <w:r w:rsidRPr="00B04D38">
        <w:rPr>
          <w:sz w:val="24"/>
          <w:szCs w:val="24"/>
          <w:u w:val="single"/>
        </w:rPr>
        <w:t>ntikonception hos kvinder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Kvinder i den fertile alder bør anvende effektiv prævention, hvis de behandles med </w:t>
      </w:r>
      <w:proofErr w:type="spellStart"/>
      <w:r>
        <w:rPr>
          <w:sz w:val="24"/>
          <w:szCs w:val="24"/>
        </w:rPr>
        <w:t>Tetridar</w:t>
      </w:r>
      <w:proofErr w:type="spellEnd"/>
      <w:r>
        <w:rPr>
          <w:sz w:val="24"/>
          <w:szCs w:val="24"/>
        </w:rPr>
        <w:t>. I tilfælde af graviditet</w:t>
      </w:r>
      <w:r w:rsidRPr="00B04D38">
        <w:rPr>
          <w:sz w:val="24"/>
          <w:szCs w:val="24"/>
        </w:rPr>
        <w:t xml:space="preserve"> bør brugen af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ophøre.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Graviditet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er kontraindiceret under graviditet (se pkt. 4.3).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Amning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er kontraindiceret ved amning. Det vides ikke</w:t>
      </w:r>
      <w:r>
        <w:rPr>
          <w:sz w:val="24"/>
          <w:szCs w:val="24"/>
        </w:rPr>
        <w:t>,</w:t>
      </w:r>
      <w:r w:rsidRPr="00B04D38">
        <w:rPr>
          <w:sz w:val="24"/>
          <w:szCs w:val="24"/>
        </w:rPr>
        <w:t xml:space="preserve"> om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udskilles i modermælken.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Fertilitet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Forsøg med kaniner har påvist reproduktionstoksicitet (se pkt. 5.3). </w:t>
      </w:r>
      <w:proofErr w:type="spellStart"/>
      <w:r w:rsidRPr="00B04D38">
        <w:rPr>
          <w:sz w:val="24"/>
          <w:szCs w:val="24"/>
        </w:rPr>
        <w:t>Teriparatids</w:t>
      </w:r>
      <w:proofErr w:type="spellEnd"/>
      <w:r w:rsidRPr="00B04D38">
        <w:rPr>
          <w:sz w:val="24"/>
          <w:szCs w:val="24"/>
        </w:rPr>
        <w:t xml:space="preserve"> påvirkning af fostrets udvikling er ikke undersøgt hos mennesker. Den potentielle risiko hos mennesker er ukendt.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Virkninger på evnen til at føre motorkøretøj </w:t>
      </w:r>
      <w:r w:rsidR="00582F6F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påvirker ikke eller kun i ubetydelig grad evnen til at føre mo</w:t>
      </w:r>
      <w:r>
        <w:rPr>
          <w:sz w:val="24"/>
          <w:szCs w:val="24"/>
        </w:rPr>
        <w:t>torkøretøj og betjene maskiner.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Forbigående </w:t>
      </w:r>
      <w:proofErr w:type="spellStart"/>
      <w:r w:rsidRPr="00B04D38">
        <w:rPr>
          <w:sz w:val="24"/>
          <w:szCs w:val="24"/>
        </w:rPr>
        <w:t>ortostatisk</w:t>
      </w:r>
      <w:proofErr w:type="spellEnd"/>
      <w:r w:rsidRPr="00B04D38">
        <w:rPr>
          <w:sz w:val="24"/>
          <w:szCs w:val="24"/>
        </w:rPr>
        <w:t xml:space="preserve"> hypotension eller svimmelhed er observeret hos nogle patienter. Disse patienter bør ikke føre motorkøretøj og betjene maskiner, før symptomerne er aftaget.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52CF7">
        <w:rPr>
          <w:sz w:val="24"/>
          <w:szCs w:val="24"/>
          <w:u w:val="single"/>
        </w:rPr>
        <w:t>Resume af sikkerhedsprofilen</w:t>
      </w: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t xml:space="preserve">De mest almindelige bivirkninger hos patienter, der behandles med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>, er kvalme, smerter i ekstremiteterne, hovedpine og svimmelhed.</w:t>
      </w: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52CF7">
        <w:rPr>
          <w:sz w:val="24"/>
          <w:szCs w:val="24"/>
          <w:u w:val="single"/>
        </w:rPr>
        <w:t>Resume af bivirkninger i tabelform</w:t>
      </w: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t xml:space="preserve">Af de patienter, som deltog i de kliniske forsøg med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 xml:space="preserve">, indberettede 82,8 % af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>-patienterne og 84,5 % af placebo-patienterne mindst et tilfælde af bivirkninger.</w:t>
      </w: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lastRenderedPageBreak/>
        <w:t xml:space="preserve">De bivirkninger, som i kliniske forsøg og ved postmarketing eksponering er blevet forbundet med brugen af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 xml:space="preserve"> mod osteoporose, er opsummeret i nedenstående tabel. Følgende konvention er anvendt til at klassificere bivirkningerne: </w:t>
      </w:r>
      <w:r>
        <w:rPr>
          <w:sz w:val="24"/>
          <w:szCs w:val="24"/>
        </w:rPr>
        <w:t>M</w:t>
      </w:r>
      <w:r w:rsidRPr="00052CF7">
        <w:rPr>
          <w:sz w:val="24"/>
          <w:szCs w:val="24"/>
        </w:rPr>
        <w:t>eget almindelig (≥1/10), almindelig (≥1/100 til &lt;1/10), ikke almindelig (≥1/1000 til &lt;1/100), sjælden (≥1/10.000 til &lt;1/1.000) meget sjælden (&lt;1/10.000).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tbl>
      <w:tblPr>
        <w:tblW w:w="822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1"/>
      </w:tblGrid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Blod og lymfesystem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r>
              <w:rPr>
                <w:color w:val="000000"/>
                <w:sz w:val="24"/>
                <w:szCs w:val="24"/>
                <w:lang w:eastAsia="en-GB"/>
              </w:rPr>
              <w:t>A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næmi</w:t>
            </w:r>
          </w:p>
        </w:tc>
      </w:tr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Immunsystemet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Sjælden</w:t>
            </w:r>
            <w:r>
              <w:rPr>
                <w:color w:val="000000"/>
                <w:sz w:val="24"/>
                <w:szCs w:val="24"/>
                <w:lang w:eastAsia="en-GB"/>
              </w:rPr>
              <w:t>: A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nafylaksi</w:t>
            </w:r>
          </w:p>
        </w:tc>
      </w:tr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Metabolisme og ernæring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H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yperkolesterolæmi</w:t>
            </w:r>
            <w:proofErr w:type="spellEnd"/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H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yperkalcæmi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over 2,76 mmol/l,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hyperurikæmi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Sjælden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H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yperkalcæmi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over 3,25 mmol/l</w:t>
            </w:r>
          </w:p>
        </w:tc>
      </w:tr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Psykiske forstyrrelser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D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epression</w:t>
            </w:r>
          </w:p>
        </w:tc>
      </w:tr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>Nervesystemet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S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vimmelhed, hovedpine, iskias, synkope</w:t>
            </w:r>
          </w:p>
        </w:tc>
      </w:tr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>Øre og labyrint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V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ertigo</w:t>
            </w:r>
            <w:proofErr w:type="spellEnd"/>
          </w:p>
        </w:tc>
      </w:tr>
      <w:tr w:rsidR="00807CA7" w:rsidRPr="00052CF7" w:rsidTr="003B4BCE"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Hjerte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P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alpitationer</w:t>
            </w:r>
            <w:proofErr w:type="spellEnd"/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T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akykardi</w:t>
            </w:r>
            <w:proofErr w:type="spellEnd"/>
          </w:p>
        </w:tc>
      </w:tr>
      <w:tr w:rsidR="00807CA7" w:rsidRPr="00052CF7" w:rsidTr="003B4BCE">
        <w:trPr>
          <w:trHeight w:val="309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>Vaskulære</w:t>
            </w:r>
            <w:proofErr w:type="spellEnd"/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sygdomme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H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ypotension</w:t>
            </w:r>
          </w:p>
        </w:tc>
      </w:tr>
      <w:tr w:rsidR="00807CA7" w:rsidRPr="00052CF7" w:rsidTr="003B4BCE">
        <w:trPr>
          <w:trHeight w:val="280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Luftveje, thorax og </w:t>
            </w:r>
            <w:proofErr w:type="spellStart"/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>mediastinum</w:t>
            </w:r>
            <w:proofErr w:type="spellEnd"/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D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yspnø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E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mfysem</w:t>
            </w:r>
            <w:proofErr w:type="spellEnd"/>
          </w:p>
        </w:tc>
      </w:tr>
      <w:tr w:rsidR="00807CA7" w:rsidRPr="00052CF7" w:rsidTr="003B4BCE">
        <w:trPr>
          <w:trHeight w:val="318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Mave-tarm-kanalen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K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valme, opkastning,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hernie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hiatus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gastroøsofageal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refluks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>: H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æmorroider</w:t>
            </w:r>
          </w:p>
        </w:tc>
      </w:tr>
      <w:tr w:rsidR="00807CA7" w:rsidRPr="00052CF7" w:rsidTr="003B4BCE">
        <w:trPr>
          <w:trHeight w:val="288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Hud og subkutane væv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F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orøget svedtendens</w:t>
            </w:r>
          </w:p>
        </w:tc>
      </w:tr>
      <w:tr w:rsidR="00807CA7" w:rsidRPr="00052CF7" w:rsidTr="003B4BCE">
        <w:trPr>
          <w:trHeight w:val="275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Knogler, led, muskler og bindevæv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Meget almindelig</w:t>
            </w:r>
            <w:r>
              <w:rPr>
                <w:color w:val="000000"/>
                <w:sz w:val="24"/>
                <w:szCs w:val="24"/>
                <w:lang w:eastAsia="en-GB"/>
              </w:rPr>
              <w:t>: S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merter i ekstremiteter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Almindelig</w:t>
            </w:r>
            <w:r>
              <w:rPr>
                <w:color w:val="000000"/>
                <w:sz w:val="24"/>
                <w:szCs w:val="24"/>
                <w:lang w:eastAsia="en-GB"/>
              </w:rPr>
              <w:t>: M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uskelkramper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>: M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yalgi,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artralgi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>, rygkramper/smerter*</w:t>
            </w:r>
          </w:p>
        </w:tc>
      </w:tr>
      <w:tr w:rsidR="00807CA7" w:rsidRPr="00052CF7" w:rsidTr="003B4BCE">
        <w:trPr>
          <w:trHeight w:val="262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>Nyrer og urinveje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>: U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rininkontinens,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polyuri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imperiøs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vandladning,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nefrolitiasis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Sjælden</w:t>
            </w:r>
            <w:r>
              <w:rPr>
                <w:color w:val="000000"/>
                <w:sz w:val="24"/>
                <w:szCs w:val="24"/>
                <w:lang w:eastAsia="en-GB"/>
              </w:rPr>
              <w:t>: N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yresvigt/nedsat nyrefunktion</w:t>
            </w:r>
          </w:p>
        </w:tc>
      </w:tr>
      <w:tr w:rsidR="00807CA7" w:rsidRPr="00052CF7" w:rsidTr="003B4BCE">
        <w:trPr>
          <w:trHeight w:val="274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>Almene symptomer og reaktioner på administrationsstedet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 xml:space="preserve">Almindelig: </w:t>
            </w:r>
            <w:r>
              <w:rPr>
                <w:color w:val="000000"/>
                <w:sz w:val="24"/>
                <w:szCs w:val="24"/>
                <w:lang w:eastAsia="en-GB"/>
              </w:rPr>
              <w:t>T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ræthed, brystsmerter, asteni, lette og forbigående reaktioner ved injektionsstedet, inklusive smerter, hævelse,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erytem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, lokaliseret blodudtrædning, kløe og mindre blødning ved injektionsstedet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 xml:space="preserve">: </w:t>
            </w:r>
            <w:proofErr w:type="spellStart"/>
            <w:r>
              <w:rPr>
                <w:color w:val="000000"/>
                <w:sz w:val="24"/>
                <w:szCs w:val="24"/>
                <w:lang w:eastAsia="en-GB"/>
              </w:rPr>
              <w:t>E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rytem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 på injektionsstedet, reaktion på injektionsstedet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Sjælden</w:t>
            </w:r>
            <w:r>
              <w:rPr>
                <w:color w:val="000000"/>
                <w:sz w:val="24"/>
                <w:szCs w:val="24"/>
                <w:lang w:eastAsia="en-GB"/>
              </w:rPr>
              <w:t>: M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ulige allergiske re</w:t>
            </w:r>
            <w:r>
              <w:rPr>
                <w:color w:val="000000"/>
                <w:sz w:val="24"/>
                <w:szCs w:val="24"/>
                <w:lang w:eastAsia="en-GB"/>
              </w:rPr>
              <w:t>aktioner lige efter injektion: A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 xml:space="preserve">kut dyspnø, mund/ansigtsødem, generaliseret </w:t>
            </w:r>
            <w:proofErr w:type="spellStart"/>
            <w:r w:rsidRPr="00052CF7">
              <w:rPr>
                <w:color w:val="000000"/>
                <w:sz w:val="24"/>
                <w:szCs w:val="24"/>
                <w:lang w:eastAsia="en-GB"/>
              </w:rPr>
              <w:t>urticaria</w:t>
            </w:r>
            <w:proofErr w:type="spellEnd"/>
            <w:r w:rsidRPr="00052CF7">
              <w:rPr>
                <w:color w:val="000000"/>
                <w:sz w:val="24"/>
                <w:szCs w:val="24"/>
                <w:lang w:eastAsia="en-GB"/>
              </w:rPr>
              <w:t>, smerter i thorax, ødem (hovedsageligt perifer)</w:t>
            </w:r>
          </w:p>
        </w:tc>
      </w:tr>
      <w:tr w:rsidR="00807CA7" w:rsidRPr="00052CF7" w:rsidTr="003B4BCE">
        <w:trPr>
          <w:trHeight w:val="215"/>
        </w:trPr>
        <w:tc>
          <w:tcPr>
            <w:tcW w:w="8221" w:type="dxa"/>
          </w:tcPr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b/>
                <w:bCs/>
                <w:color w:val="000000"/>
                <w:sz w:val="24"/>
                <w:szCs w:val="24"/>
                <w:lang w:eastAsia="en-GB"/>
              </w:rPr>
              <w:t xml:space="preserve">Undersøgelser </w:t>
            </w:r>
          </w:p>
          <w:p w:rsidR="00807CA7" w:rsidRPr="00052CF7" w:rsidRDefault="00807CA7" w:rsidP="003B4BCE">
            <w:pPr>
              <w:autoSpaceDE w:val="0"/>
              <w:autoSpaceDN w:val="0"/>
              <w:adjustRightInd w:val="0"/>
              <w:ind w:left="34"/>
              <w:rPr>
                <w:color w:val="000000"/>
                <w:sz w:val="24"/>
                <w:szCs w:val="24"/>
                <w:lang w:eastAsia="en-GB"/>
              </w:rPr>
            </w:pPr>
            <w:r w:rsidRPr="00052CF7">
              <w:rPr>
                <w:i/>
                <w:iCs/>
                <w:color w:val="000000"/>
                <w:sz w:val="24"/>
                <w:szCs w:val="24"/>
                <w:lang w:eastAsia="en-GB"/>
              </w:rPr>
              <w:t>Ikke almindelig</w:t>
            </w:r>
            <w:r>
              <w:rPr>
                <w:color w:val="000000"/>
                <w:sz w:val="24"/>
                <w:szCs w:val="24"/>
                <w:lang w:eastAsia="en-GB"/>
              </w:rPr>
              <w:t>: V</w:t>
            </w:r>
            <w:r w:rsidRPr="00052CF7">
              <w:rPr>
                <w:color w:val="000000"/>
                <w:sz w:val="24"/>
                <w:szCs w:val="24"/>
                <w:lang w:eastAsia="en-GB"/>
              </w:rPr>
              <w:t>ægtøgning, hjertemislyd, forøget basisk fosfatase</w:t>
            </w:r>
          </w:p>
        </w:tc>
      </w:tr>
    </w:tbl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052CF7">
        <w:rPr>
          <w:sz w:val="24"/>
          <w:szCs w:val="24"/>
        </w:rPr>
        <w:t>Der er set alvorlige tilfælde af rygkramper eller -smerter få minutter efter injektionen.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p w:rsidR="00807CA7" w:rsidRPr="00052CF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052CF7">
        <w:rPr>
          <w:sz w:val="24"/>
          <w:szCs w:val="24"/>
          <w:u w:val="single"/>
        </w:rPr>
        <w:t>Beskrivelse af udvalgte bivirkninger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t xml:space="preserve">I kliniske forsøg blev følgende reaktioner rapporteret med en frekvensforskel på ≥ 1 % forskel i frekvensen i forhold til placebo: </w:t>
      </w:r>
      <w:proofErr w:type="spellStart"/>
      <w:r w:rsidRPr="00052CF7">
        <w:rPr>
          <w:sz w:val="24"/>
          <w:szCs w:val="24"/>
        </w:rPr>
        <w:t>vertigo</w:t>
      </w:r>
      <w:proofErr w:type="spellEnd"/>
      <w:r w:rsidRPr="00052CF7">
        <w:rPr>
          <w:sz w:val="24"/>
          <w:szCs w:val="24"/>
        </w:rPr>
        <w:t>, kvalme, smerter i ekstremiteter, svimmelhed, depression og dyspnø.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 xml:space="preserve"> øger serumurinstofkoncentrationen. I kliniske forsøg havde 2,8 % af de patienter, der blev behandlet med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 xml:space="preserve">, serumurinstofkoncentrationer over normalområdets øvre grænse, hvilket til sammenligning gjaldt 0,7 % af placebopatienterne. Denne </w:t>
      </w:r>
      <w:proofErr w:type="spellStart"/>
      <w:r w:rsidRPr="00052CF7">
        <w:rPr>
          <w:sz w:val="24"/>
          <w:szCs w:val="24"/>
        </w:rPr>
        <w:t>hyperurikæmi</w:t>
      </w:r>
      <w:proofErr w:type="spellEnd"/>
      <w:r w:rsidRPr="00052CF7">
        <w:rPr>
          <w:sz w:val="24"/>
          <w:szCs w:val="24"/>
        </w:rPr>
        <w:t xml:space="preserve"> resulterede dog hverken i en forøgelse af </w:t>
      </w:r>
      <w:proofErr w:type="spellStart"/>
      <w:r w:rsidRPr="00052CF7">
        <w:rPr>
          <w:sz w:val="24"/>
          <w:szCs w:val="24"/>
        </w:rPr>
        <w:t>arthritis</w:t>
      </w:r>
      <w:proofErr w:type="spellEnd"/>
      <w:r w:rsidRPr="00052CF7">
        <w:rPr>
          <w:sz w:val="24"/>
          <w:szCs w:val="24"/>
        </w:rPr>
        <w:t xml:space="preserve"> </w:t>
      </w:r>
      <w:proofErr w:type="spellStart"/>
      <w:r w:rsidRPr="00052CF7">
        <w:rPr>
          <w:sz w:val="24"/>
          <w:szCs w:val="24"/>
        </w:rPr>
        <w:t>urica</w:t>
      </w:r>
      <w:proofErr w:type="spellEnd"/>
      <w:r w:rsidRPr="00052CF7">
        <w:rPr>
          <w:sz w:val="24"/>
          <w:szCs w:val="24"/>
        </w:rPr>
        <w:t xml:space="preserve">, ledsmerter eller </w:t>
      </w:r>
      <w:proofErr w:type="spellStart"/>
      <w:r w:rsidRPr="00052CF7">
        <w:rPr>
          <w:sz w:val="24"/>
          <w:szCs w:val="24"/>
        </w:rPr>
        <w:t>urolithiasis</w:t>
      </w:r>
      <w:proofErr w:type="spellEnd"/>
      <w:r w:rsidRPr="00052CF7">
        <w:rPr>
          <w:sz w:val="24"/>
          <w:szCs w:val="24"/>
        </w:rPr>
        <w:t>.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t xml:space="preserve"> 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et stort klinisk studie</w:t>
      </w:r>
      <w:r w:rsidRPr="00052CF7">
        <w:rPr>
          <w:sz w:val="24"/>
          <w:szCs w:val="24"/>
        </w:rPr>
        <w:t xml:space="preserve"> blev der hos 2,8 % af de kvinder, der fik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 xml:space="preserve">, fundet antistoffer, der krydsreagerede med </w:t>
      </w:r>
      <w:proofErr w:type="spellStart"/>
      <w:r w:rsidRPr="00052CF7">
        <w:rPr>
          <w:sz w:val="24"/>
          <w:szCs w:val="24"/>
        </w:rPr>
        <w:t>teriparatid</w:t>
      </w:r>
      <w:proofErr w:type="spellEnd"/>
      <w:r w:rsidRPr="00052CF7">
        <w:rPr>
          <w:sz w:val="24"/>
          <w:szCs w:val="24"/>
        </w:rPr>
        <w:t xml:space="preserve">. Generelt blev disse antistoffer først påvist efter 12 måneders behandling, og de aftog efter </w:t>
      </w:r>
      <w:proofErr w:type="spellStart"/>
      <w:r w:rsidRPr="00052CF7">
        <w:rPr>
          <w:sz w:val="24"/>
          <w:szCs w:val="24"/>
        </w:rPr>
        <w:t>seponering</w:t>
      </w:r>
      <w:proofErr w:type="spellEnd"/>
      <w:r w:rsidRPr="00052CF7">
        <w:rPr>
          <w:sz w:val="24"/>
          <w:szCs w:val="24"/>
        </w:rPr>
        <w:t xml:space="preserve"> af behandlingen. Der var ingen tegn på overfølsomhedsreaktioner, allergiske reaktioner, effekt på serumcalcium eller effekt på knoglemineraltætheden (BMD).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  <w:u w:val="single"/>
        </w:rPr>
      </w:pPr>
      <w:r w:rsidRPr="00052CF7">
        <w:rPr>
          <w:sz w:val="24"/>
          <w:szCs w:val="24"/>
          <w:u w:val="single"/>
        </w:rPr>
        <w:t>Indberetning af formodede bivirkninger</w:t>
      </w:r>
    </w:p>
    <w:p w:rsidR="00807CA7" w:rsidRPr="00052CF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052CF7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052CF7">
        <w:rPr>
          <w:sz w:val="24"/>
          <w:szCs w:val="24"/>
        </w:rPr>
        <w:t>risk</w:t>
      </w:r>
      <w:proofErr w:type="spellEnd"/>
      <w:r w:rsidRPr="00052CF7">
        <w:rPr>
          <w:sz w:val="24"/>
          <w:szCs w:val="24"/>
        </w:rPr>
        <w:t>-forholdet for lægemidlet. Læger og sundhedspersonale anmodes om at indberette alle formodede bivirkninger via</w:t>
      </w:r>
      <w:r>
        <w:rPr>
          <w:sz w:val="24"/>
          <w:szCs w:val="24"/>
        </w:rPr>
        <w:t>:</w:t>
      </w:r>
    </w:p>
    <w:p w:rsidR="00807CA7" w:rsidRPr="00052CF7" w:rsidRDefault="00807CA7" w:rsidP="00807CA7">
      <w:pPr>
        <w:ind w:left="851"/>
        <w:jc w:val="both"/>
        <w:rPr>
          <w:sz w:val="24"/>
          <w:szCs w:val="24"/>
        </w:rPr>
      </w:pPr>
    </w:p>
    <w:p w:rsidR="00807CA7" w:rsidRPr="00052CF7" w:rsidRDefault="00807CA7" w:rsidP="00807CA7">
      <w:pPr>
        <w:ind w:left="851"/>
        <w:jc w:val="both"/>
        <w:rPr>
          <w:sz w:val="24"/>
          <w:szCs w:val="24"/>
        </w:rPr>
      </w:pPr>
      <w:r w:rsidRPr="00052CF7">
        <w:rPr>
          <w:sz w:val="24"/>
          <w:szCs w:val="24"/>
        </w:rPr>
        <w:t>Lægemiddelstyrelsen</w:t>
      </w:r>
    </w:p>
    <w:p w:rsidR="00807CA7" w:rsidRPr="00052CF7" w:rsidRDefault="00807CA7" w:rsidP="00807CA7">
      <w:pPr>
        <w:ind w:left="851"/>
        <w:jc w:val="both"/>
        <w:rPr>
          <w:sz w:val="24"/>
          <w:szCs w:val="24"/>
        </w:rPr>
      </w:pPr>
      <w:r w:rsidRPr="00052CF7">
        <w:rPr>
          <w:sz w:val="24"/>
          <w:szCs w:val="24"/>
        </w:rPr>
        <w:t>Axel Heides Gade 1</w:t>
      </w:r>
    </w:p>
    <w:p w:rsidR="00807CA7" w:rsidRPr="00052CF7" w:rsidRDefault="00807CA7" w:rsidP="00807CA7">
      <w:pPr>
        <w:ind w:left="851"/>
        <w:jc w:val="both"/>
        <w:rPr>
          <w:sz w:val="24"/>
          <w:szCs w:val="24"/>
        </w:rPr>
      </w:pPr>
      <w:r w:rsidRPr="00052CF7">
        <w:rPr>
          <w:sz w:val="24"/>
          <w:szCs w:val="24"/>
        </w:rPr>
        <w:t>DK-2300 København S</w:t>
      </w:r>
    </w:p>
    <w:p w:rsidR="00807CA7" w:rsidRPr="00052CF7" w:rsidRDefault="00807CA7" w:rsidP="00807CA7">
      <w:pPr>
        <w:ind w:left="851"/>
        <w:jc w:val="both"/>
        <w:rPr>
          <w:sz w:val="24"/>
          <w:szCs w:val="24"/>
          <w:lang w:val="en-US"/>
        </w:rPr>
      </w:pPr>
      <w:proofErr w:type="spellStart"/>
      <w:r w:rsidRPr="00052CF7">
        <w:rPr>
          <w:sz w:val="24"/>
          <w:szCs w:val="24"/>
          <w:lang w:val="en-US"/>
        </w:rPr>
        <w:t>Websted</w:t>
      </w:r>
      <w:proofErr w:type="spellEnd"/>
      <w:r w:rsidRPr="00052CF7">
        <w:rPr>
          <w:sz w:val="24"/>
          <w:szCs w:val="24"/>
          <w:lang w:val="en-US"/>
        </w:rPr>
        <w:t xml:space="preserve">: </w:t>
      </w:r>
      <w:hyperlink r:id="rId8" w:tooltip="http://www.meldenbivirkning.dk/" w:history="1">
        <w:r w:rsidRPr="00052CF7">
          <w:rPr>
            <w:color w:val="0000FF"/>
            <w:sz w:val="24"/>
            <w:szCs w:val="24"/>
            <w:u w:val="single"/>
            <w:lang w:val="en-US"/>
          </w:rPr>
          <w:t>www.meldenbivirkning.dk</w:t>
        </w:r>
      </w:hyperlink>
    </w:p>
    <w:p w:rsidR="00807CA7" w:rsidRPr="00B416F0" w:rsidRDefault="00807CA7" w:rsidP="00807CA7">
      <w:pPr>
        <w:ind w:left="851"/>
        <w:jc w:val="both"/>
        <w:rPr>
          <w:sz w:val="24"/>
          <w:szCs w:val="24"/>
          <w:lang w:val="en-US"/>
        </w:rPr>
      </w:pPr>
      <w:r w:rsidRPr="00052CF7">
        <w:rPr>
          <w:sz w:val="24"/>
          <w:szCs w:val="24"/>
          <w:lang w:val="en-US"/>
        </w:rPr>
        <w:t>E-mail: dkma@dkma.dk</w:t>
      </w:r>
    </w:p>
    <w:p w:rsidR="00807CA7" w:rsidRPr="00CB6FCD" w:rsidRDefault="00807CA7" w:rsidP="00807CA7">
      <w:pPr>
        <w:pStyle w:val="Sidehoved"/>
        <w:tabs>
          <w:tab w:val="left" w:pos="851"/>
        </w:tabs>
        <w:ind w:left="851"/>
        <w:rPr>
          <w:szCs w:val="24"/>
          <w:lang w:val="en-US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807CA7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  <w:u w:val="single"/>
        </w:rPr>
      </w:pP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Tegn og symptomer</w:t>
      </w: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blev administreret i enkeltdoser på op til 100 mikrogram samt i gentagne doser på op til 60 mikrogram/dag i 6 uger.</w:t>
      </w: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 bivirkninger, som kan forventes ved overdosering, er forsinket </w:t>
      </w:r>
      <w:proofErr w:type="spellStart"/>
      <w:r w:rsidRPr="00B04D38">
        <w:rPr>
          <w:sz w:val="24"/>
          <w:szCs w:val="24"/>
        </w:rPr>
        <w:t>hyperkalcæmi</w:t>
      </w:r>
      <w:proofErr w:type="spellEnd"/>
      <w:r w:rsidRPr="00B04D38">
        <w:rPr>
          <w:sz w:val="24"/>
          <w:szCs w:val="24"/>
        </w:rPr>
        <w:t xml:space="preserve"> og risiko for </w:t>
      </w:r>
      <w:proofErr w:type="spellStart"/>
      <w:r w:rsidRPr="00B04D38">
        <w:rPr>
          <w:sz w:val="24"/>
          <w:szCs w:val="24"/>
        </w:rPr>
        <w:t>ortostatisk</w:t>
      </w:r>
      <w:proofErr w:type="spellEnd"/>
      <w:r w:rsidRPr="00B04D38">
        <w:rPr>
          <w:sz w:val="24"/>
          <w:szCs w:val="24"/>
        </w:rPr>
        <w:t xml:space="preserve"> hypotension. Kvalme, opkastning, svimmelhed og hovedpine kan også forekomme.</w:t>
      </w: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Erfaring med overdosering baseret på spontane indberetninger efter markedsføringen af præparatet</w:t>
      </w: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Efter markedsføringen har der været tilfælde af medicineringsfejl, hvor hele indholdet af pennen med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(op til 800 mikrogram) blev administreret som en enkelt dosis. De rapporterede bivirkninger, som var forbigående, inkluderede kvalme, slaphed/letargi og hypotension. I nogle tilfælde blev der ikke observeret bivirkninger som resultat af overdoseringen. Der er ikke rapporteret om dødsfald i forbindelse med overdosering.</w:t>
      </w: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Behandling af overdosering</w:t>
      </w:r>
    </w:p>
    <w:p w:rsidR="00807CA7" w:rsidRPr="00C84483" w:rsidRDefault="00807CA7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Der findes ingen specifik </w:t>
      </w:r>
      <w:proofErr w:type="spellStart"/>
      <w:r w:rsidRPr="00B04D38">
        <w:rPr>
          <w:sz w:val="24"/>
          <w:szCs w:val="24"/>
        </w:rPr>
        <w:t>antidot</w:t>
      </w:r>
      <w:proofErr w:type="spellEnd"/>
      <w:r w:rsidRPr="00B04D38">
        <w:rPr>
          <w:sz w:val="24"/>
          <w:szCs w:val="24"/>
        </w:rPr>
        <w:t xml:space="preserve"> til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. Behandling af en formodet overdosis bør inkludere midlertidig </w:t>
      </w:r>
      <w:proofErr w:type="spellStart"/>
      <w:r w:rsidRPr="00B04D38">
        <w:rPr>
          <w:sz w:val="24"/>
          <w:szCs w:val="24"/>
        </w:rPr>
        <w:t>seponering</w:t>
      </w:r>
      <w:proofErr w:type="spellEnd"/>
      <w:r w:rsidRPr="00B04D38"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>, monitorering af serumcalcium og indledning af relevante støttende foranstaltninger, som f.eks. hydrering.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NBS (kun til sygehuse og speciallæger i e</w:t>
      </w:r>
      <w:r>
        <w:t>ndokrinologi, geriatri, reumatologi og intern medicin)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07CA7" w:rsidRDefault="00582F6F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B04D38">
        <w:rPr>
          <w:sz w:val="24"/>
          <w:szCs w:val="24"/>
        </w:rPr>
        <w:t>Calciumhomeostase</w:t>
      </w:r>
      <w:proofErr w:type="spellEnd"/>
      <w:r w:rsidRPr="00B04D38">
        <w:rPr>
          <w:sz w:val="24"/>
          <w:szCs w:val="24"/>
        </w:rPr>
        <w:t xml:space="preserve">, </w:t>
      </w:r>
      <w:proofErr w:type="spellStart"/>
      <w:r w:rsidRPr="00B04D38">
        <w:rPr>
          <w:sz w:val="24"/>
          <w:szCs w:val="24"/>
        </w:rPr>
        <w:t>Parathyreoideahormoner</w:t>
      </w:r>
      <w:proofErr w:type="spellEnd"/>
      <w:r w:rsidRPr="00B04D38">
        <w:rPr>
          <w:sz w:val="24"/>
          <w:szCs w:val="24"/>
        </w:rPr>
        <w:t xml:space="preserve"> og -</w:t>
      </w:r>
      <w:proofErr w:type="spellStart"/>
      <w:r w:rsidRPr="00B04D38">
        <w:rPr>
          <w:sz w:val="24"/>
          <w:szCs w:val="24"/>
        </w:rPr>
        <w:t>analoger</w:t>
      </w:r>
      <w:proofErr w:type="spellEnd"/>
      <w:r w:rsidRPr="00B04D38">
        <w:rPr>
          <w:sz w:val="24"/>
          <w:szCs w:val="24"/>
        </w:rPr>
        <w:t>.</w:t>
      </w:r>
    </w:p>
    <w:p w:rsidR="00582F6F" w:rsidRDefault="00582F6F" w:rsidP="00807CA7">
      <w:pPr>
        <w:tabs>
          <w:tab w:val="left" w:pos="851"/>
          <w:tab w:val="left" w:pos="1305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ATC-kode: H 05 AA 02.</w:t>
      </w:r>
    </w:p>
    <w:p w:rsidR="00582F6F" w:rsidRPr="00B04D38" w:rsidRDefault="00582F6F" w:rsidP="00807CA7">
      <w:pPr>
        <w:tabs>
          <w:tab w:val="left" w:pos="851"/>
          <w:tab w:val="left" w:pos="1305"/>
        </w:tabs>
        <w:ind w:left="851"/>
        <w:rPr>
          <w:sz w:val="24"/>
          <w:szCs w:val="24"/>
          <w:u w:val="single"/>
        </w:rPr>
      </w:pPr>
    </w:p>
    <w:p w:rsidR="00807CA7" w:rsidRPr="00B04D38" w:rsidRDefault="00807CA7" w:rsidP="00807CA7">
      <w:pPr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>Virkningsmekanisme</w:t>
      </w:r>
    </w:p>
    <w:p w:rsidR="00807CA7" w:rsidRDefault="00807CA7" w:rsidP="00807CA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endogene </w:t>
      </w:r>
      <w:proofErr w:type="spellStart"/>
      <w:r>
        <w:rPr>
          <w:sz w:val="24"/>
          <w:szCs w:val="24"/>
        </w:rPr>
        <w:t>parathyreoideahormon</w:t>
      </w:r>
      <w:proofErr w:type="spellEnd"/>
      <w:r>
        <w:rPr>
          <w:sz w:val="24"/>
          <w:szCs w:val="24"/>
        </w:rPr>
        <w:t xml:space="preserve"> (PTH), som består af 84 aminosyrer, er den primære regulator af calcium- og </w:t>
      </w:r>
      <w:proofErr w:type="spellStart"/>
      <w:r>
        <w:rPr>
          <w:sz w:val="24"/>
          <w:szCs w:val="24"/>
        </w:rPr>
        <w:t>phosphatmetabolismen</w:t>
      </w:r>
      <w:proofErr w:type="spellEnd"/>
      <w:r>
        <w:rPr>
          <w:sz w:val="24"/>
          <w:szCs w:val="24"/>
        </w:rPr>
        <w:t xml:space="preserve"> i knogler og nyrer. </w:t>
      </w:r>
      <w:proofErr w:type="spellStart"/>
      <w:r>
        <w:rPr>
          <w:sz w:val="24"/>
          <w:szCs w:val="24"/>
        </w:rPr>
        <w:t>Tetridar</w:t>
      </w:r>
      <w:proofErr w:type="spellEnd"/>
      <w:r>
        <w:rPr>
          <w:sz w:val="24"/>
          <w:szCs w:val="24"/>
        </w:rPr>
        <w:t xml:space="preserve"> er den aktive del (1-34) af det endogene humane </w:t>
      </w:r>
      <w:proofErr w:type="spellStart"/>
      <w:r>
        <w:rPr>
          <w:sz w:val="24"/>
          <w:szCs w:val="24"/>
        </w:rPr>
        <w:t>parathyreoideahormon</w:t>
      </w:r>
      <w:proofErr w:type="spellEnd"/>
      <w:r>
        <w:rPr>
          <w:sz w:val="24"/>
          <w:szCs w:val="24"/>
        </w:rPr>
        <w:t xml:space="preserve">. De fysiologiske virkninger af PTH omfatter stimulation af knogledannelsen gennem en direkte påvirkning af de knogledannende celler (osteoblaster), indirekte forøgelse af calciumabsorptionen fra tarmen og øget </w:t>
      </w:r>
      <w:proofErr w:type="spellStart"/>
      <w:r>
        <w:rPr>
          <w:sz w:val="24"/>
          <w:szCs w:val="24"/>
        </w:rPr>
        <w:t>tubulær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reabsorption</w:t>
      </w:r>
      <w:proofErr w:type="spellEnd"/>
      <w:r>
        <w:rPr>
          <w:sz w:val="24"/>
          <w:szCs w:val="24"/>
        </w:rPr>
        <w:t xml:space="preserve"> af calcium og udskillelse af fosfat via nyrerne.</w:t>
      </w:r>
    </w:p>
    <w:p w:rsidR="00807CA7" w:rsidRDefault="00807CA7" w:rsidP="00807CA7">
      <w:pPr>
        <w:ind w:left="851"/>
        <w:rPr>
          <w:sz w:val="24"/>
          <w:szCs w:val="24"/>
        </w:rPr>
      </w:pPr>
    </w:p>
    <w:p w:rsidR="00807CA7" w:rsidRDefault="00807CA7" w:rsidP="00807CA7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Farmakodynamisk</w:t>
      </w:r>
      <w:proofErr w:type="spellEnd"/>
      <w:r>
        <w:rPr>
          <w:sz w:val="24"/>
          <w:szCs w:val="24"/>
          <w:u w:val="single"/>
        </w:rPr>
        <w:t xml:space="preserve"> virkning</w:t>
      </w:r>
    </w:p>
    <w:p w:rsidR="00807CA7" w:rsidRDefault="00807CA7" w:rsidP="00807CA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er et knogledannende stof til behandling af osteoporose. </w:t>
      </w:r>
      <w:proofErr w:type="spellStart"/>
      <w:r>
        <w:rPr>
          <w:sz w:val="24"/>
          <w:szCs w:val="24"/>
        </w:rPr>
        <w:t>Teriparatids</w:t>
      </w:r>
      <w:proofErr w:type="spellEnd"/>
      <w:r>
        <w:rPr>
          <w:sz w:val="24"/>
          <w:szCs w:val="24"/>
        </w:rPr>
        <w:t xml:space="preserve"> virkninger på skelettet afhænger af, hvordan den systemiske eksponering tilrettelægges. Ved administration af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en gang daglig øges </w:t>
      </w:r>
      <w:proofErr w:type="spellStart"/>
      <w:r>
        <w:rPr>
          <w:sz w:val="24"/>
          <w:szCs w:val="24"/>
        </w:rPr>
        <w:t>remodelleringen</w:t>
      </w:r>
      <w:proofErr w:type="spellEnd"/>
      <w:r>
        <w:rPr>
          <w:sz w:val="24"/>
          <w:szCs w:val="24"/>
        </w:rPr>
        <w:t xml:space="preserve"> af nyt knoglevæv på </w:t>
      </w:r>
      <w:proofErr w:type="spellStart"/>
      <w:r>
        <w:rPr>
          <w:sz w:val="24"/>
          <w:szCs w:val="24"/>
        </w:rPr>
        <w:t>trabekulære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kortikale</w:t>
      </w:r>
      <w:proofErr w:type="spellEnd"/>
      <w:r>
        <w:rPr>
          <w:sz w:val="24"/>
          <w:szCs w:val="24"/>
        </w:rPr>
        <w:t xml:space="preserve"> knogleoverflader ved fortrinsvist at stimulere osteoblastaktivitet frem for </w:t>
      </w:r>
      <w:proofErr w:type="spellStart"/>
      <w:r>
        <w:rPr>
          <w:sz w:val="24"/>
          <w:szCs w:val="24"/>
        </w:rPr>
        <w:t>osteoklastaktivitet</w:t>
      </w:r>
      <w:proofErr w:type="spellEnd"/>
      <w:r>
        <w:rPr>
          <w:sz w:val="24"/>
          <w:szCs w:val="24"/>
        </w:rPr>
        <w:t>.</w:t>
      </w:r>
    </w:p>
    <w:p w:rsidR="00807CA7" w:rsidRPr="00B04D38" w:rsidRDefault="00807CA7" w:rsidP="00807CA7">
      <w:pPr>
        <w:ind w:left="851"/>
        <w:rPr>
          <w:sz w:val="24"/>
          <w:szCs w:val="24"/>
        </w:rPr>
      </w:pPr>
    </w:p>
    <w:p w:rsidR="00807CA7" w:rsidRPr="00B04D38" w:rsidRDefault="00807CA7" w:rsidP="00807CA7">
      <w:pPr>
        <w:ind w:left="851"/>
        <w:rPr>
          <w:sz w:val="24"/>
          <w:szCs w:val="24"/>
        </w:rPr>
      </w:pPr>
      <w:r w:rsidRPr="00B04D38">
        <w:rPr>
          <w:sz w:val="24"/>
          <w:szCs w:val="24"/>
          <w:u w:val="single"/>
        </w:rPr>
        <w:t xml:space="preserve">Klinisk virkning og sikkerhed 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B04D38">
        <w:rPr>
          <w:i/>
          <w:iCs/>
          <w:sz w:val="24"/>
          <w:szCs w:val="24"/>
        </w:rPr>
        <w:t>Risikofaktorer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Uafhængige risikofaktorer, f.eks. lav BMD (knoglemineraltæthed), alder, tidligere frakturer, hoftefrakturer i familien, høj knogleomsætning og lavt BMI, bør tages i betragtning for at identificere de kvinder og mænd, der har forhøjet risiko for </w:t>
      </w:r>
      <w:proofErr w:type="spellStart"/>
      <w:r w:rsidRPr="00B04D38">
        <w:rPr>
          <w:sz w:val="24"/>
          <w:szCs w:val="24"/>
        </w:rPr>
        <w:t>osteoporotiske</w:t>
      </w:r>
      <w:proofErr w:type="spellEnd"/>
      <w:r w:rsidRPr="00B04D38">
        <w:rPr>
          <w:sz w:val="24"/>
          <w:szCs w:val="24"/>
        </w:rPr>
        <w:t xml:space="preserve"> frakturer, og som kan have gavn af behandlingen. 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Præmenopausale</w:t>
      </w:r>
      <w:proofErr w:type="spellEnd"/>
      <w:r w:rsidRPr="00B04D38">
        <w:rPr>
          <w:sz w:val="24"/>
          <w:szCs w:val="24"/>
        </w:rPr>
        <w:t xml:space="preserve"> kvinder med </w:t>
      </w:r>
      <w:proofErr w:type="spellStart"/>
      <w:r w:rsidRPr="00B04D38">
        <w:rPr>
          <w:sz w:val="24"/>
          <w:szCs w:val="24"/>
        </w:rPr>
        <w:t>glukokortikoidinduceret</w:t>
      </w:r>
      <w:proofErr w:type="spellEnd"/>
      <w:r w:rsidRPr="00B04D38">
        <w:rPr>
          <w:sz w:val="24"/>
          <w:szCs w:val="24"/>
        </w:rPr>
        <w:t xml:space="preserve"> osteoporose bør vurderes at have en høj risiko for at få fraktur, hvis de har en almindelig fraktur eller en kombination af risikofaktorer, som placerer dem i gruppen med høj risiko for at få fraktur (f.eks. lav knogletæthed [f.eks. T-score ≤ -2], langvarig behandling med høj dosis af </w:t>
      </w:r>
      <w:proofErr w:type="spellStart"/>
      <w:r w:rsidRPr="00B04D38">
        <w:rPr>
          <w:sz w:val="24"/>
          <w:szCs w:val="24"/>
        </w:rPr>
        <w:t>glukokortikoid</w:t>
      </w:r>
      <w:proofErr w:type="spellEnd"/>
      <w:r w:rsidRPr="00B04D38">
        <w:rPr>
          <w:sz w:val="24"/>
          <w:szCs w:val="24"/>
        </w:rPr>
        <w:t xml:space="preserve"> [f.eks. ≥ 7,5 mg daglig i mindst 6 måneder], høj tilgrundliggende sygdomsaktivitet eller lave koncentrationer af kønshormoner).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proofErr w:type="spellStart"/>
      <w:r w:rsidRPr="00B04D38">
        <w:rPr>
          <w:i/>
          <w:iCs/>
          <w:sz w:val="24"/>
          <w:szCs w:val="24"/>
        </w:rPr>
        <w:t>Postmenopausal</w:t>
      </w:r>
      <w:proofErr w:type="spellEnd"/>
      <w:r w:rsidRPr="00B04D38">
        <w:rPr>
          <w:i/>
          <w:iCs/>
          <w:sz w:val="24"/>
          <w:szCs w:val="24"/>
        </w:rPr>
        <w:t xml:space="preserve"> osteoporose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Det primære studie</w:t>
      </w:r>
      <w:r>
        <w:rPr>
          <w:sz w:val="24"/>
          <w:szCs w:val="24"/>
        </w:rPr>
        <w:t xml:space="preserve"> omfattede 1.637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(gennemsnitsalder: 69,5 år). Ved baseline havde 90 % af patienterne en eller flere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frakturer, og i gennemsnit var 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BMD 0,82 g/cm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(ækvivalent med en T-score = -2,6 SD). Alle patienterne fik 1.000 mg calcium daglig og mindst 400 </w:t>
      </w:r>
      <w:proofErr w:type="gramStart"/>
      <w:r>
        <w:rPr>
          <w:sz w:val="24"/>
          <w:szCs w:val="24"/>
        </w:rPr>
        <w:t>IE D-vitamin</w:t>
      </w:r>
      <w:proofErr w:type="gramEnd"/>
      <w:r>
        <w:rPr>
          <w:sz w:val="24"/>
          <w:szCs w:val="24"/>
        </w:rPr>
        <w:t xml:space="preserve"> daglig. Resultaterne af behandling med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i op til 24 måneder (median: 19 måneder) viste en statistisk signifikant reduktion af frakturer (se tabel 1). For at forebygge en eller flere nye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 var det nødvendigt at behandle 11 kvinder i en medianperiode på 19 måneder</w:t>
      </w:r>
    </w:p>
    <w:p w:rsidR="00807CA7" w:rsidRPr="00B04D38" w:rsidRDefault="00807CA7" w:rsidP="00807CA7">
      <w:pPr>
        <w:pStyle w:val="Default"/>
        <w:ind w:left="851"/>
        <w:rPr>
          <w:b/>
          <w:bCs/>
          <w:lang w:val="da-DK"/>
        </w:rPr>
      </w:pPr>
      <w:r w:rsidRPr="00B04D38">
        <w:rPr>
          <w:b/>
          <w:bCs/>
          <w:lang w:val="da-DK"/>
        </w:rPr>
        <w:lastRenderedPageBreak/>
        <w:t xml:space="preserve">Tabel 1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2553"/>
        <w:gridCol w:w="2455"/>
        <w:gridCol w:w="2519"/>
      </w:tblGrid>
      <w:tr w:rsidR="00807CA7" w:rsidRPr="00B04D38" w:rsidTr="003B4BCE">
        <w:tc>
          <w:tcPr>
            <w:tcW w:w="5000" w:type="pct"/>
            <w:gridSpan w:val="4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Forekomsten af frakturer hos </w:t>
            </w:r>
            <w:proofErr w:type="spellStart"/>
            <w:r w:rsidRPr="00B04D38">
              <w:rPr>
                <w:sz w:val="24"/>
                <w:szCs w:val="24"/>
              </w:rPr>
              <w:t>postmenopausale</w:t>
            </w:r>
            <w:proofErr w:type="spellEnd"/>
            <w:r w:rsidRPr="00B04D38">
              <w:rPr>
                <w:sz w:val="24"/>
                <w:szCs w:val="24"/>
              </w:rPr>
              <w:t xml:space="preserve"> kvinder:</w:t>
            </w:r>
          </w:p>
        </w:tc>
      </w:tr>
      <w:tr w:rsidR="00807CA7" w:rsidRPr="00B04D38" w:rsidTr="003B4BCE">
        <w:tc>
          <w:tcPr>
            <w:tcW w:w="1091" w:type="pct"/>
          </w:tcPr>
          <w:p w:rsidR="00807CA7" w:rsidRPr="00B04D38" w:rsidRDefault="00807CA7" w:rsidP="003B4B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26" w:type="pct"/>
          </w:tcPr>
          <w:p w:rsidR="00807CA7" w:rsidRPr="00B04D38" w:rsidRDefault="00807CA7" w:rsidP="003B4BCE">
            <w:pPr>
              <w:jc w:val="center"/>
              <w:rPr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Placebo</w:t>
            </w:r>
          </w:p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(N = 544) (%)</w:t>
            </w:r>
          </w:p>
        </w:tc>
        <w:tc>
          <w:tcPr>
            <w:tcW w:w="1275" w:type="pct"/>
          </w:tcPr>
          <w:p w:rsidR="00807CA7" w:rsidRPr="00B04D38" w:rsidRDefault="00807CA7" w:rsidP="003B4BCE">
            <w:pPr>
              <w:jc w:val="center"/>
              <w:rPr>
                <w:sz w:val="24"/>
                <w:szCs w:val="24"/>
              </w:rPr>
            </w:pPr>
            <w:proofErr w:type="spellStart"/>
            <w:r w:rsidRPr="00B04D38">
              <w:rPr>
                <w:sz w:val="24"/>
                <w:szCs w:val="24"/>
              </w:rPr>
              <w:t>Teriparatid</w:t>
            </w:r>
            <w:proofErr w:type="spellEnd"/>
            <w:r w:rsidRPr="00B04D38">
              <w:rPr>
                <w:sz w:val="24"/>
                <w:szCs w:val="24"/>
              </w:rPr>
              <w:t xml:space="preserve"> </w:t>
            </w:r>
          </w:p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(N = 541) (%)</w:t>
            </w:r>
          </w:p>
        </w:tc>
        <w:tc>
          <w:tcPr>
            <w:tcW w:w="1309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Relativ risiko </w:t>
            </w:r>
            <w:proofErr w:type="spellStart"/>
            <w:r w:rsidRPr="00B04D38">
              <w:rPr>
                <w:sz w:val="24"/>
                <w:szCs w:val="24"/>
              </w:rPr>
              <w:t>vs</w:t>
            </w:r>
            <w:proofErr w:type="spellEnd"/>
            <w:r w:rsidRPr="00B04D38">
              <w:rPr>
                <w:sz w:val="24"/>
                <w:szCs w:val="24"/>
              </w:rPr>
              <w:t xml:space="preserve"> placebo (95 % KI)</w:t>
            </w:r>
          </w:p>
        </w:tc>
      </w:tr>
      <w:tr w:rsidR="00807CA7" w:rsidRPr="00B04D38" w:rsidTr="003B4BCE">
        <w:tc>
          <w:tcPr>
            <w:tcW w:w="1091" w:type="pct"/>
          </w:tcPr>
          <w:p w:rsidR="00807CA7" w:rsidRPr="00B04D38" w:rsidRDefault="00807CA7" w:rsidP="003B4BCE">
            <w:pPr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Ny </w:t>
            </w:r>
            <w:proofErr w:type="spellStart"/>
            <w:r w:rsidRPr="00B04D38">
              <w:rPr>
                <w:sz w:val="24"/>
                <w:szCs w:val="24"/>
              </w:rPr>
              <w:t>vertebral</w:t>
            </w:r>
            <w:proofErr w:type="spellEnd"/>
            <w:r w:rsidRPr="00B04D38">
              <w:rPr>
                <w:sz w:val="24"/>
                <w:szCs w:val="24"/>
              </w:rPr>
              <w:t xml:space="preserve"> fraktur (≥1)</w:t>
            </w:r>
            <w:r w:rsidRPr="00B04D38">
              <w:rPr>
                <w:sz w:val="24"/>
                <w:szCs w:val="24"/>
                <w:vertAlign w:val="superscript"/>
              </w:rPr>
              <w:t xml:space="preserve"> a</w:t>
            </w:r>
          </w:p>
        </w:tc>
        <w:tc>
          <w:tcPr>
            <w:tcW w:w="1326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14,3</w:t>
            </w:r>
          </w:p>
        </w:tc>
        <w:tc>
          <w:tcPr>
            <w:tcW w:w="1275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5,0 </w:t>
            </w:r>
            <w:r w:rsidRPr="00B04D38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09" w:type="pct"/>
          </w:tcPr>
          <w:p w:rsidR="00807CA7" w:rsidRPr="00B04D38" w:rsidRDefault="00807CA7" w:rsidP="003B4BCE">
            <w:pPr>
              <w:jc w:val="center"/>
              <w:rPr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0,35</w:t>
            </w:r>
          </w:p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(0,22, 0,55)</w:t>
            </w:r>
          </w:p>
        </w:tc>
      </w:tr>
      <w:tr w:rsidR="00807CA7" w:rsidRPr="00B04D38" w:rsidTr="003B4BCE">
        <w:tc>
          <w:tcPr>
            <w:tcW w:w="1091" w:type="pct"/>
          </w:tcPr>
          <w:p w:rsidR="00807CA7" w:rsidRPr="00B04D38" w:rsidRDefault="00807CA7" w:rsidP="003B4BCE">
            <w:pPr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Multiple </w:t>
            </w:r>
            <w:proofErr w:type="spellStart"/>
            <w:r w:rsidRPr="00B04D38">
              <w:rPr>
                <w:sz w:val="24"/>
                <w:szCs w:val="24"/>
              </w:rPr>
              <w:t>vertebrale</w:t>
            </w:r>
            <w:proofErr w:type="spellEnd"/>
            <w:r w:rsidRPr="00B04D38">
              <w:rPr>
                <w:sz w:val="24"/>
                <w:szCs w:val="24"/>
              </w:rPr>
              <w:t xml:space="preserve"> frakturer (≥2) </w:t>
            </w:r>
            <w:r w:rsidRPr="00B04D38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326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4,9</w:t>
            </w:r>
          </w:p>
        </w:tc>
        <w:tc>
          <w:tcPr>
            <w:tcW w:w="1275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1,1 </w:t>
            </w:r>
            <w:r w:rsidRPr="00B04D38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309" w:type="pct"/>
          </w:tcPr>
          <w:p w:rsidR="00807CA7" w:rsidRPr="00B04D38" w:rsidRDefault="00807CA7" w:rsidP="003B4BCE">
            <w:pPr>
              <w:jc w:val="center"/>
              <w:rPr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0,23</w:t>
            </w:r>
          </w:p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(0,09, 0,60)</w:t>
            </w:r>
          </w:p>
        </w:tc>
      </w:tr>
      <w:tr w:rsidR="00807CA7" w:rsidRPr="00B04D38" w:rsidTr="003B4BCE">
        <w:tc>
          <w:tcPr>
            <w:tcW w:w="1091" w:type="pct"/>
          </w:tcPr>
          <w:p w:rsidR="00807CA7" w:rsidRPr="00B04D38" w:rsidRDefault="00807CA7" w:rsidP="003B4BCE">
            <w:pPr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Ikke-</w:t>
            </w:r>
            <w:proofErr w:type="spellStart"/>
            <w:r w:rsidRPr="00B04D38">
              <w:rPr>
                <w:sz w:val="24"/>
                <w:szCs w:val="24"/>
              </w:rPr>
              <w:t>vertebrale</w:t>
            </w:r>
            <w:proofErr w:type="spellEnd"/>
            <w:r w:rsidRPr="00B04D38">
              <w:rPr>
                <w:sz w:val="24"/>
                <w:szCs w:val="24"/>
              </w:rPr>
              <w:t xml:space="preserve"> lavenergifrakturer </w:t>
            </w:r>
            <w:r w:rsidRPr="00B04D38">
              <w:rPr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326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5,5 %</w:t>
            </w:r>
          </w:p>
        </w:tc>
        <w:tc>
          <w:tcPr>
            <w:tcW w:w="1275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2,6 % </w:t>
            </w:r>
            <w:r w:rsidRPr="00B04D38">
              <w:rPr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9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0,47 (0,25, 0,87)</w:t>
            </w:r>
          </w:p>
        </w:tc>
      </w:tr>
      <w:tr w:rsidR="00807CA7" w:rsidRPr="00B04D38" w:rsidTr="003B4BCE">
        <w:tc>
          <w:tcPr>
            <w:tcW w:w="1091" w:type="pct"/>
          </w:tcPr>
          <w:p w:rsidR="00807CA7" w:rsidRPr="00B04D38" w:rsidRDefault="00807CA7" w:rsidP="003B4BCE">
            <w:pPr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Store ikke-</w:t>
            </w:r>
            <w:proofErr w:type="spellStart"/>
            <w:r w:rsidRPr="00B04D38">
              <w:rPr>
                <w:sz w:val="24"/>
                <w:szCs w:val="24"/>
              </w:rPr>
              <w:t>vertebrale</w:t>
            </w:r>
            <w:proofErr w:type="spellEnd"/>
            <w:r w:rsidRPr="00B04D38">
              <w:rPr>
                <w:sz w:val="24"/>
                <w:szCs w:val="24"/>
              </w:rPr>
              <w:t xml:space="preserve"> lavenergi-</w:t>
            </w:r>
            <w:proofErr w:type="spellStart"/>
            <w:r w:rsidRPr="00B04D38">
              <w:rPr>
                <w:sz w:val="24"/>
                <w:szCs w:val="24"/>
              </w:rPr>
              <w:t>frakturer</w:t>
            </w:r>
            <w:r w:rsidRPr="00B04D38">
              <w:rPr>
                <w:sz w:val="24"/>
                <w:szCs w:val="24"/>
                <w:vertAlign w:val="superscript"/>
              </w:rPr>
              <w:t>c</w:t>
            </w:r>
            <w:proofErr w:type="spellEnd"/>
            <w:r w:rsidRPr="00B04D38">
              <w:rPr>
                <w:sz w:val="24"/>
                <w:szCs w:val="24"/>
                <w:vertAlign w:val="superscript"/>
              </w:rPr>
              <w:t xml:space="preserve"> </w:t>
            </w:r>
            <w:r w:rsidRPr="00B04D38">
              <w:rPr>
                <w:sz w:val="24"/>
                <w:szCs w:val="24"/>
              </w:rPr>
              <w:t>(hofte, radius, humerus, ribben og bækken)</w:t>
            </w:r>
          </w:p>
        </w:tc>
        <w:tc>
          <w:tcPr>
            <w:tcW w:w="1326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3,9 %</w:t>
            </w:r>
          </w:p>
        </w:tc>
        <w:tc>
          <w:tcPr>
            <w:tcW w:w="1275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 xml:space="preserve">1,5 % </w:t>
            </w:r>
            <w:r w:rsidRPr="00B04D38">
              <w:rPr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309" w:type="pct"/>
          </w:tcPr>
          <w:p w:rsidR="00807CA7" w:rsidRPr="00B04D38" w:rsidRDefault="00807CA7" w:rsidP="003B4BCE">
            <w:pPr>
              <w:jc w:val="center"/>
              <w:rPr>
                <w:b/>
                <w:bCs/>
                <w:sz w:val="24"/>
                <w:szCs w:val="24"/>
              </w:rPr>
            </w:pPr>
            <w:r w:rsidRPr="00B04D38">
              <w:rPr>
                <w:sz w:val="24"/>
                <w:szCs w:val="24"/>
              </w:rPr>
              <w:t>0,38 (0,17, 0,86)</w:t>
            </w:r>
          </w:p>
        </w:tc>
      </w:tr>
    </w:tbl>
    <w:p w:rsidR="00807CA7" w:rsidRPr="00B04D38" w:rsidRDefault="00807CA7" w:rsidP="00807CA7">
      <w:pPr>
        <w:pStyle w:val="Default"/>
        <w:ind w:left="851"/>
        <w:rPr>
          <w:lang w:val="da-DK"/>
        </w:rPr>
      </w:pPr>
      <w:r w:rsidRPr="00B04D38">
        <w:rPr>
          <w:lang w:val="da-DK"/>
        </w:rPr>
        <w:t>Forkortelser: N = Antal patienter randomiseret til hver behandlingsgruppe; KI = Konfidensinterval.</w:t>
      </w:r>
    </w:p>
    <w:p w:rsidR="00807CA7" w:rsidRPr="00B04D38" w:rsidRDefault="00807CA7" w:rsidP="00807CA7">
      <w:pPr>
        <w:pStyle w:val="Default"/>
        <w:ind w:left="851"/>
        <w:rPr>
          <w:lang w:val="da-DK"/>
        </w:rPr>
      </w:pPr>
    </w:p>
    <w:p w:rsidR="00807CA7" w:rsidRPr="00B04D38" w:rsidRDefault="00807CA7" w:rsidP="00807CA7">
      <w:pPr>
        <w:pStyle w:val="Default"/>
        <w:ind w:left="851"/>
        <w:rPr>
          <w:lang w:val="da-DK"/>
        </w:rPr>
      </w:pPr>
      <w:r w:rsidRPr="00B04D38">
        <w:rPr>
          <w:vertAlign w:val="superscript"/>
          <w:lang w:val="da-DK"/>
        </w:rPr>
        <w:t xml:space="preserve">a </w:t>
      </w:r>
      <w:r w:rsidRPr="00B04D38">
        <w:rPr>
          <w:lang w:val="da-DK"/>
        </w:rPr>
        <w:t xml:space="preserve">Hyppigheden af </w:t>
      </w:r>
      <w:proofErr w:type="spellStart"/>
      <w:r w:rsidRPr="00B04D38">
        <w:rPr>
          <w:lang w:val="da-DK"/>
        </w:rPr>
        <w:t>vertebrale</w:t>
      </w:r>
      <w:proofErr w:type="spellEnd"/>
      <w:r w:rsidRPr="00B04D38">
        <w:rPr>
          <w:lang w:val="da-DK"/>
        </w:rPr>
        <w:t xml:space="preserve"> frakturer blev vurderet hos 448 placebo- og 444 </w:t>
      </w:r>
      <w:proofErr w:type="spellStart"/>
      <w:r w:rsidRPr="00B04D38">
        <w:rPr>
          <w:lang w:val="da-DK"/>
        </w:rPr>
        <w:t>teriparatid</w:t>
      </w:r>
      <w:proofErr w:type="spellEnd"/>
      <w:r w:rsidRPr="00B04D38">
        <w:rPr>
          <w:lang w:val="da-DK"/>
        </w:rPr>
        <w:t xml:space="preserve">-patienter, der havde fået taget røntgenbillede af rygsøjlen ved baseline og som opfølgning. </w:t>
      </w:r>
    </w:p>
    <w:p w:rsidR="00807CA7" w:rsidRPr="00B04D38" w:rsidRDefault="00807CA7" w:rsidP="00807CA7">
      <w:pPr>
        <w:pStyle w:val="Default"/>
        <w:ind w:left="851"/>
        <w:rPr>
          <w:lang w:val="da-DK"/>
        </w:rPr>
      </w:pPr>
      <w:r w:rsidRPr="00B04D38">
        <w:rPr>
          <w:vertAlign w:val="superscript"/>
          <w:lang w:val="da-DK"/>
        </w:rPr>
        <w:t>b</w:t>
      </w:r>
      <w:r w:rsidRPr="00B04D38">
        <w:rPr>
          <w:lang w:val="da-DK"/>
        </w:rPr>
        <w:t xml:space="preserve"> p≤0,001 sammenlignet med placebo </w:t>
      </w:r>
    </w:p>
    <w:p w:rsidR="00807CA7" w:rsidRPr="00B04D38" w:rsidRDefault="00807CA7" w:rsidP="00807CA7">
      <w:pPr>
        <w:pStyle w:val="Default"/>
        <w:ind w:left="851"/>
        <w:rPr>
          <w:lang w:val="da-DK"/>
        </w:rPr>
      </w:pPr>
      <w:r w:rsidRPr="00B04D38">
        <w:rPr>
          <w:vertAlign w:val="superscript"/>
          <w:lang w:val="da-DK"/>
        </w:rPr>
        <w:t xml:space="preserve">c </w:t>
      </w:r>
      <w:r w:rsidRPr="00B04D38">
        <w:rPr>
          <w:lang w:val="da-DK"/>
        </w:rPr>
        <w:t xml:space="preserve">Der er ikke set en signifikant nedsættelse af hyppigheden af hoftefrakturer </w:t>
      </w:r>
    </w:p>
    <w:p w:rsidR="00807CA7" w:rsidRPr="00B04D38" w:rsidRDefault="00807CA7" w:rsidP="00807CA7">
      <w:pPr>
        <w:pStyle w:val="Default"/>
        <w:ind w:left="851"/>
        <w:rPr>
          <w:lang w:val="da-DK"/>
        </w:rPr>
      </w:pPr>
      <w:r w:rsidRPr="00B04D38">
        <w:rPr>
          <w:vertAlign w:val="superscript"/>
          <w:lang w:val="da-DK"/>
        </w:rPr>
        <w:t>d</w:t>
      </w:r>
      <w:r w:rsidRPr="00B04D38">
        <w:rPr>
          <w:lang w:val="da-DK"/>
        </w:rPr>
        <w:t xml:space="preserve"> p≤0,025 sammenlignet med placebo. 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color w:val="000000"/>
          <w:sz w:val="24"/>
          <w:szCs w:val="24"/>
          <w:lang w:eastAsia="en-GB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>Efter en median-behandlingsperiode på 19 måneder var knoglemineraltætheden (BMD) øget med henholdsvis 9 % og 4 % i lænderygsøjlen og hoften sammenlignet med placebo (p&lt;0,001).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Effekten på frakturer efter behandlingens ophør: Efter behandlingen med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indgik 1.262 af de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fra det primære forsøg i et opfølgningsforsøg. Det primære formål med forsøget var at indsamle sikkerhedsdata vedrørende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. I denne observationsperiode var anden osteoporosebehandling tilladt, og yderligere vurdering af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 blev foretaget. Med en median på 18 måneder efter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 med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sås en reduktion på 41 % (p=0,004) i antallet af patienter med mindst en ny 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fraktur sammenlignet med placebo.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et åbent forsøg blev 503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med svær osteoporose og en lavenergifraktur inden for de foregående 3 år (83 % havde tidligere fået osteoporose</w:t>
      </w:r>
      <w:r>
        <w:rPr>
          <w:sz w:val="24"/>
          <w:szCs w:val="24"/>
        </w:rPr>
        <w:softHyphen/>
        <w:t xml:space="preserve">behandling) behandlet med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i op til 24 måneder. Ved 24 måneder var den gennemsnitlige stigning i BMD fra baseline i lænderygsøjle, hofte og lårbenshals henholdsvis 10,5 %, 2,6 % og 3,9 %. Den gennemsnitlige stigning i BMD fra 18 til 24 måneder var 1,4 %, 1,2 % og 1,6 % for henholdsvis rygsøjle, hofte og lårbenshals.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Et 24-måneder, randomiseret, dobbeltblindet </w:t>
      </w:r>
      <w:proofErr w:type="spellStart"/>
      <w:r>
        <w:rPr>
          <w:sz w:val="24"/>
          <w:szCs w:val="24"/>
        </w:rPr>
        <w:t>comparator</w:t>
      </w:r>
      <w:proofErr w:type="spellEnd"/>
      <w:r>
        <w:rPr>
          <w:sz w:val="24"/>
          <w:szCs w:val="24"/>
        </w:rPr>
        <w:t xml:space="preserve">-kontrolleret fase 4-studie inkluderede 1.360 </w:t>
      </w:r>
      <w:proofErr w:type="spellStart"/>
      <w:r>
        <w:rPr>
          <w:sz w:val="24"/>
          <w:szCs w:val="24"/>
        </w:rPr>
        <w:t>postmenopausale</w:t>
      </w:r>
      <w:proofErr w:type="spellEnd"/>
      <w:r>
        <w:rPr>
          <w:sz w:val="24"/>
          <w:szCs w:val="24"/>
        </w:rPr>
        <w:t xml:space="preserve"> kvinder med konstateret osteoporose. 680 patienter blev randomiseret til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og 680 patienter blev randomiseret til oral </w:t>
      </w:r>
      <w:proofErr w:type="spellStart"/>
      <w:r>
        <w:rPr>
          <w:sz w:val="24"/>
          <w:szCs w:val="24"/>
        </w:rPr>
        <w:t>risedronat</w:t>
      </w:r>
      <w:proofErr w:type="spellEnd"/>
      <w:r>
        <w:rPr>
          <w:sz w:val="24"/>
          <w:szCs w:val="24"/>
        </w:rPr>
        <w:t xml:space="preserve"> 35 mg/uge. Ved baseline havde kvinderne en gennemsnitsalder på 72,1 år, og en median på 2 gængse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frakturer; 57,9 % af patienterne havde tidligere fået </w:t>
      </w:r>
      <w:proofErr w:type="spellStart"/>
      <w:r>
        <w:rPr>
          <w:sz w:val="24"/>
          <w:szCs w:val="24"/>
        </w:rPr>
        <w:t>bisphosphonat</w:t>
      </w:r>
      <w:proofErr w:type="spellEnd"/>
      <w:r>
        <w:rPr>
          <w:sz w:val="24"/>
          <w:szCs w:val="24"/>
        </w:rPr>
        <w:t xml:space="preserve"> og 18,8 % modtog samtidig </w:t>
      </w:r>
      <w:proofErr w:type="spellStart"/>
      <w:r>
        <w:rPr>
          <w:sz w:val="24"/>
          <w:szCs w:val="24"/>
        </w:rPr>
        <w:t>glukokortikoidbehandling</w:t>
      </w:r>
      <w:proofErr w:type="spellEnd"/>
      <w:r>
        <w:rPr>
          <w:sz w:val="24"/>
          <w:szCs w:val="24"/>
        </w:rPr>
        <w:t xml:space="preserve"> under studiet. 1.013 (74,5 %) patienter afsluttede 24 måneders opfølgning. Den akkumulerende middelværdi (median) af </w:t>
      </w:r>
      <w:proofErr w:type="spellStart"/>
      <w:r>
        <w:rPr>
          <w:sz w:val="24"/>
          <w:szCs w:val="24"/>
        </w:rPr>
        <w:t>glukokortikoiddosis</w:t>
      </w:r>
      <w:proofErr w:type="spellEnd"/>
      <w:r>
        <w:rPr>
          <w:sz w:val="24"/>
          <w:szCs w:val="24"/>
        </w:rPr>
        <w:t xml:space="preserve"> var 474,3 (66,2) mg i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-armen og 898,0 (100,0) mg i </w:t>
      </w:r>
      <w:proofErr w:type="spellStart"/>
      <w:r>
        <w:rPr>
          <w:sz w:val="24"/>
          <w:szCs w:val="24"/>
        </w:rPr>
        <w:lastRenderedPageBreak/>
        <w:t>risedronat</w:t>
      </w:r>
      <w:proofErr w:type="spellEnd"/>
      <w:r>
        <w:rPr>
          <w:sz w:val="24"/>
          <w:szCs w:val="24"/>
        </w:rPr>
        <w:t xml:space="preserve">-armen. Middelindtag (median) D-vitamin for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-armen var 1433 IE/dag (1400 IE/dag) og for </w:t>
      </w:r>
      <w:proofErr w:type="spellStart"/>
      <w:r>
        <w:rPr>
          <w:sz w:val="24"/>
          <w:szCs w:val="24"/>
        </w:rPr>
        <w:t>risedronat</w:t>
      </w:r>
      <w:proofErr w:type="spellEnd"/>
      <w:r>
        <w:rPr>
          <w:sz w:val="24"/>
          <w:szCs w:val="24"/>
        </w:rPr>
        <w:t xml:space="preserve">-armen var det 1191 IE/dag (900 IE/dag). For de patienter der havde fået taget røntgenbillede af rygsøjlen ved baseline og som opfølgning, var hyppigheden af nye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 28/516 (5,4 %) hos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 og 64/533 (12,0 %) hos </w:t>
      </w:r>
      <w:proofErr w:type="spellStart"/>
      <w:r>
        <w:rPr>
          <w:sz w:val="24"/>
          <w:szCs w:val="24"/>
        </w:rPr>
        <w:t>risedronatbehandlede</w:t>
      </w:r>
      <w:proofErr w:type="spellEnd"/>
      <w:r>
        <w:rPr>
          <w:sz w:val="24"/>
          <w:szCs w:val="24"/>
        </w:rPr>
        <w:t xml:space="preserve"> patienter, relativ risiko (95 % CI) = 0,44 (0,29-0,68), P&lt;0,0001. Den akkumulerende hyppighed for samlede kliniske frakturer (kliniske 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og non-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frakturer) var 4,8 % hos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 og 9,8 % hos </w:t>
      </w:r>
      <w:proofErr w:type="spellStart"/>
      <w:r>
        <w:rPr>
          <w:sz w:val="24"/>
          <w:szCs w:val="24"/>
        </w:rPr>
        <w:t>risedronatbehandlede</w:t>
      </w:r>
      <w:proofErr w:type="spellEnd"/>
      <w:r>
        <w:rPr>
          <w:sz w:val="24"/>
          <w:szCs w:val="24"/>
        </w:rPr>
        <w:t xml:space="preserve"> patienter, </w:t>
      </w:r>
      <w:proofErr w:type="spellStart"/>
      <w:r>
        <w:rPr>
          <w:sz w:val="24"/>
          <w:szCs w:val="24"/>
        </w:rPr>
        <w:t>hazard</w:t>
      </w:r>
      <w:proofErr w:type="spellEnd"/>
      <w:r>
        <w:rPr>
          <w:sz w:val="24"/>
          <w:szCs w:val="24"/>
        </w:rPr>
        <w:t>-ratioen (95 % CI) = 0,48 (0,32-0,74), P=0,0009.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r w:rsidRPr="00B04D38">
        <w:rPr>
          <w:i/>
          <w:sz w:val="24"/>
          <w:szCs w:val="24"/>
        </w:rPr>
        <w:t>Osteoporose hos mænd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437 patienter (gennemsnitsalder: 58,7 år) indgik i et forsøg med mænd med </w:t>
      </w:r>
      <w:proofErr w:type="spellStart"/>
      <w:r w:rsidRPr="00B04D38">
        <w:rPr>
          <w:sz w:val="24"/>
          <w:szCs w:val="24"/>
        </w:rPr>
        <w:t>hypogonadisk</w:t>
      </w:r>
      <w:proofErr w:type="spellEnd"/>
      <w:r w:rsidRPr="00B04D38">
        <w:rPr>
          <w:sz w:val="24"/>
          <w:szCs w:val="24"/>
        </w:rPr>
        <w:t xml:space="preserve"> (defineret ved lavt niveau af fri testosteron om morgenen eller forhøjet FSH eller LH) eller idiopatisk osteoporose. Den gennemsnitlige T-score ved baseline for rygradens og lårbenshalsens knoglemineraltæthed var henholdsvis -2,2 og -2,1. Ved baseline havde 35 % af patienterne haft en </w:t>
      </w:r>
      <w:proofErr w:type="spellStart"/>
      <w:r w:rsidRPr="00B04D38">
        <w:rPr>
          <w:sz w:val="24"/>
          <w:szCs w:val="24"/>
        </w:rPr>
        <w:t>vertebral</w:t>
      </w:r>
      <w:proofErr w:type="spellEnd"/>
      <w:r w:rsidRPr="00B04D38">
        <w:rPr>
          <w:sz w:val="24"/>
          <w:szCs w:val="24"/>
        </w:rPr>
        <w:t xml:space="preserve"> fraktur, og 59 % af patienterne havde haft en ikke-</w:t>
      </w:r>
      <w:proofErr w:type="spellStart"/>
      <w:r w:rsidRPr="00B04D38">
        <w:rPr>
          <w:sz w:val="24"/>
          <w:szCs w:val="24"/>
        </w:rPr>
        <w:t>vertebral</w:t>
      </w:r>
      <w:proofErr w:type="spellEnd"/>
      <w:r w:rsidRPr="00B04D38">
        <w:rPr>
          <w:sz w:val="24"/>
          <w:szCs w:val="24"/>
        </w:rPr>
        <w:t xml:space="preserve"> fraktur.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Alle patienter fik tilbudt 1.000 mg calcium daglig og mindst 400 </w:t>
      </w:r>
      <w:proofErr w:type="gramStart"/>
      <w:r w:rsidRPr="00B04D38">
        <w:rPr>
          <w:sz w:val="24"/>
          <w:szCs w:val="24"/>
        </w:rPr>
        <w:t>IE D-vitamin</w:t>
      </w:r>
      <w:proofErr w:type="gramEnd"/>
      <w:r w:rsidRPr="00B04D38">
        <w:rPr>
          <w:sz w:val="24"/>
          <w:szCs w:val="24"/>
        </w:rPr>
        <w:t xml:space="preserve"> daglig. BMD i lænderygsøjlen var steget signifikant efter 3 måneder. Efter 12 måneder var BMD i lænderygsøjlen og i hoften steget med henholdsvis 5 % og 1 % sammenlignet med placebo. Der blev imidlertid ikke påvist nogen signifikant effekt på forekomsten af frakturer.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  <w:proofErr w:type="spellStart"/>
      <w:r w:rsidRPr="00B04D38">
        <w:rPr>
          <w:i/>
          <w:sz w:val="24"/>
          <w:szCs w:val="24"/>
        </w:rPr>
        <w:t>Glukokokortikoidinduceret</w:t>
      </w:r>
      <w:proofErr w:type="spellEnd"/>
      <w:r w:rsidRPr="00B04D38">
        <w:rPr>
          <w:i/>
          <w:sz w:val="24"/>
          <w:szCs w:val="24"/>
        </w:rPr>
        <w:t xml:space="preserve"> osteoporose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Effekten af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hos mænd og kvinder (N=428), der fik langvarig systemisk </w:t>
      </w:r>
      <w:proofErr w:type="spellStart"/>
      <w:r>
        <w:rPr>
          <w:sz w:val="24"/>
          <w:szCs w:val="24"/>
        </w:rPr>
        <w:t>glukokortikoidbehandling</w:t>
      </w:r>
      <w:proofErr w:type="spellEnd"/>
      <w:r>
        <w:rPr>
          <w:sz w:val="24"/>
          <w:szCs w:val="24"/>
        </w:rPr>
        <w:t xml:space="preserve"> (ækvivalent med 5 mg eller mere </w:t>
      </w:r>
      <w:proofErr w:type="spellStart"/>
      <w:r>
        <w:rPr>
          <w:sz w:val="24"/>
          <w:szCs w:val="24"/>
        </w:rPr>
        <w:t>prednison</w:t>
      </w:r>
      <w:proofErr w:type="spellEnd"/>
      <w:r>
        <w:rPr>
          <w:sz w:val="24"/>
          <w:szCs w:val="24"/>
        </w:rPr>
        <w:t xml:space="preserve"> i mindst 3 måneder) blev vist i den 18 måneder primære fase i et 36 måneder, randomiseret, dobbeltblindet, </w:t>
      </w:r>
      <w:proofErr w:type="spellStart"/>
      <w:r>
        <w:rPr>
          <w:sz w:val="24"/>
          <w:szCs w:val="24"/>
        </w:rPr>
        <w:t>comparator</w:t>
      </w:r>
      <w:proofErr w:type="spellEnd"/>
      <w:r>
        <w:rPr>
          <w:sz w:val="24"/>
          <w:szCs w:val="24"/>
        </w:rPr>
        <w:t>-kontrolleret forsøg (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10 mg/dag). 28 % af patienterne havde en eller flere </w:t>
      </w:r>
      <w:proofErr w:type="spellStart"/>
      <w:r>
        <w:rPr>
          <w:sz w:val="24"/>
          <w:szCs w:val="24"/>
        </w:rPr>
        <w:t>vertebrale</w:t>
      </w:r>
      <w:proofErr w:type="spellEnd"/>
      <w:r>
        <w:rPr>
          <w:sz w:val="24"/>
          <w:szCs w:val="24"/>
        </w:rPr>
        <w:t xml:space="preserve"> frakturer ved baseline. Alle patienter fik tilbudt 1.000 mg calcium og 800 </w:t>
      </w:r>
      <w:proofErr w:type="gramStart"/>
      <w:r>
        <w:rPr>
          <w:sz w:val="24"/>
          <w:szCs w:val="24"/>
        </w:rPr>
        <w:t>IE D-vitamin</w:t>
      </w:r>
      <w:proofErr w:type="gramEnd"/>
      <w:r>
        <w:rPr>
          <w:sz w:val="24"/>
          <w:szCs w:val="24"/>
        </w:rPr>
        <w:t xml:space="preserve"> daglig.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Dette studie inkluderede </w:t>
      </w:r>
      <w:proofErr w:type="spellStart"/>
      <w:r w:rsidRPr="00B04D38">
        <w:rPr>
          <w:sz w:val="24"/>
          <w:szCs w:val="24"/>
        </w:rPr>
        <w:t>postmenopausale</w:t>
      </w:r>
      <w:proofErr w:type="spellEnd"/>
      <w:r w:rsidRPr="00B04D38">
        <w:rPr>
          <w:sz w:val="24"/>
          <w:szCs w:val="24"/>
        </w:rPr>
        <w:t xml:space="preserve"> kvinder (N=277), </w:t>
      </w:r>
      <w:proofErr w:type="spellStart"/>
      <w:r w:rsidRPr="00B04D38">
        <w:rPr>
          <w:sz w:val="24"/>
          <w:szCs w:val="24"/>
        </w:rPr>
        <w:t>præmenopausale</w:t>
      </w:r>
      <w:proofErr w:type="spellEnd"/>
      <w:r w:rsidRPr="00B04D38">
        <w:rPr>
          <w:sz w:val="24"/>
          <w:szCs w:val="24"/>
        </w:rPr>
        <w:t xml:space="preserve"> kvinder (N=67) og mænd (N=83). Ved baseline havde de </w:t>
      </w:r>
      <w:proofErr w:type="spellStart"/>
      <w:r w:rsidRPr="00B04D38">
        <w:rPr>
          <w:sz w:val="24"/>
          <w:szCs w:val="24"/>
        </w:rPr>
        <w:t>postmenopausale</w:t>
      </w:r>
      <w:proofErr w:type="spellEnd"/>
      <w:r w:rsidRPr="00B04D38">
        <w:rPr>
          <w:sz w:val="24"/>
          <w:szCs w:val="24"/>
        </w:rPr>
        <w:t xml:space="preserve"> kvinder en gennemsnitsalder på 61 år, en gennemsnitlig T-score på -2,7 for BMD i lænderygsøjlen, en middel </w:t>
      </w:r>
      <w:proofErr w:type="spellStart"/>
      <w:r w:rsidRPr="00B04D38">
        <w:rPr>
          <w:sz w:val="24"/>
          <w:szCs w:val="24"/>
        </w:rPr>
        <w:t>prednisondosis</w:t>
      </w:r>
      <w:proofErr w:type="spellEnd"/>
      <w:r w:rsidRPr="00B04D38">
        <w:rPr>
          <w:sz w:val="24"/>
          <w:szCs w:val="24"/>
        </w:rPr>
        <w:t xml:space="preserve"> ækvivalent med 7,5 mg daglig og 34 % havde en eller flere </w:t>
      </w:r>
      <w:proofErr w:type="spellStart"/>
      <w:r w:rsidRPr="00B04D38">
        <w:rPr>
          <w:sz w:val="24"/>
          <w:szCs w:val="24"/>
        </w:rPr>
        <w:t>vertebrale</w:t>
      </w:r>
      <w:proofErr w:type="spellEnd"/>
      <w:r w:rsidRPr="00B04D38">
        <w:rPr>
          <w:sz w:val="24"/>
          <w:szCs w:val="24"/>
        </w:rPr>
        <w:t xml:space="preserve"> frakturer. De </w:t>
      </w:r>
      <w:proofErr w:type="spellStart"/>
      <w:r w:rsidRPr="00B04D38">
        <w:rPr>
          <w:sz w:val="24"/>
          <w:szCs w:val="24"/>
        </w:rPr>
        <w:t>præmenopausale</w:t>
      </w:r>
      <w:proofErr w:type="spellEnd"/>
      <w:r w:rsidRPr="00B04D38">
        <w:rPr>
          <w:sz w:val="24"/>
          <w:szCs w:val="24"/>
        </w:rPr>
        <w:t xml:space="preserve"> kvinder havde en gennemsnitsalder på 37 år, en gennemsnitlig T-score på -2,5 for BMD i lænderygsøjlen, en middel </w:t>
      </w:r>
      <w:proofErr w:type="spellStart"/>
      <w:r w:rsidRPr="00B04D38">
        <w:rPr>
          <w:sz w:val="24"/>
          <w:szCs w:val="24"/>
        </w:rPr>
        <w:t>prednisondosis</w:t>
      </w:r>
      <w:proofErr w:type="spellEnd"/>
      <w:r w:rsidRPr="00B04D38">
        <w:rPr>
          <w:sz w:val="24"/>
          <w:szCs w:val="24"/>
        </w:rPr>
        <w:t xml:space="preserve"> ækvivalent med 10 mg daglig og 9 % havde en eller flere </w:t>
      </w:r>
      <w:proofErr w:type="spellStart"/>
      <w:r w:rsidRPr="00B04D38">
        <w:rPr>
          <w:sz w:val="24"/>
          <w:szCs w:val="24"/>
        </w:rPr>
        <w:t>vertebrale</w:t>
      </w:r>
      <w:proofErr w:type="spellEnd"/>
      <w:r w:rsidRPr="00B04D38">
        <w:rPr>
          <w:sz w:val="24"/>
          <w:szCs w:val="24"/>
        </w:rPr>
        <w:t xml:space="preserve"> frakturer. Mændene havde en gennemsnitsalder på 57 år, en gennemsnitlig T-score på -2,2 for BMD i lænderygsøjlen, en middel </w:t>
      </w:r>
      <w:proofErr w:type="spellStart"/>
      <w:r w:rsidRPr="00B04D38">
        <w:rPr>
          <w:sz w:val="24"/>
          <w:szCs w:val="24"/>
        </w:rPr>
        <w:t>prednisondosis</w:t>
      </w:r>
      <w:proofErr w:type="spellEnd"/>
      <w:r w:rsidRPr="00B04D38">
        <w:rPr>
          <w:sz w:val="24"/>
          <w:szCs w:val="24"/>
        </w:rPr>
        <w:t xml:space="preserve"> ækvivalent med 10 mg daglig og 24 % havde en eller flere </w:t>
      </w:r>
      <w:proofErr w:type="spellStart"/>
      <w:r w:rsidRPr="00B04D38">
        <w:rPr>
          <w:sz w:val="24"/>
          <w:szCs w:val="24"/>
        </w:rPr>
        <w:t>vertebrale</w:t>
      </w:r>
      <w:proofErr w:type="spellEnd"/>
      <w:r w:rsidRPr="00B04D38">
        <w:rPr>
          <w:sz w:val="24"/>
          <w:szCs w:val="24"/>
        </w:rPr>
        <w:t xml:space="preserve"> frakturer.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69 % af patienterne gennemførte den 18 måneder lange primære fase. Ved 18 måneders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havde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signifikant forøget BMD i lænderygsøjlen (7,2 %) sammenlignet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(3,4 %) (p&lt;0,001).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øgede BMD i hoften (3,6 %) sammenlignet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(2,2 %) (p&lt;0,01), såvel som i lårbenshalsen (3,7 %) sammenlignet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 (2,1%) (p&lt;0,05). Hos patienter, som blev behandlet med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>, blev BMD for lænderygsøjle, hofte og lårbenshals mellem 18 og 24 måneder øget yderligere med henholdsvis 1,7 %, 0,9 % og 0,4 %.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Ved 36 måneder viste en analyse af rygsøjlerøntgenbilleder af 169 </w:t>
      </w:r>
      <w:proofErr w:type="spellStart"/>
      <w:r>
        <w:rPr>
          <w:sz w:val="24"/>
          <w:szCs w:val="24"/>
        </w:rPr>
        <w:t>alendronatpatienter</w:t>
      </w:r>
      <w:proofErr w:type="spellEnd"/>
      <w:r>
        <w:rPr>
          <w:sz w:val="24"/>
          <w:szCs w:val="24"/>
        </w:rPr>
        <w:t xml:space="preserve"> og 173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-patienter, at 13 patienter i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 xml:space="preserve">-gruppen (7,7 %) havde oplevet en ny </w:t>
      </w:r>
      <w:proofErr w:type="spellStart"/>
      <w:r>
        <w:rPr>
          <w:sz w:val="24"/>
          <w:szCs w:val="24"/>
        </w:rPr>
        <w:lastRenderedPageBreak/>
        <w:t>vertebral</w:t>
      </w:r>
      <w:proofErr w:type="spellEnd"/>
      <w:r>
        <w:rPr>
          <w:sz w:val="24"/>
          <w:szCs w:val="24"/>
        </w:rPr>
        <w:t xml:space="preserve"> fraktur sammenlignet med 3 patienter i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-gruppen (1,7 %) (p=0,01). Derudover havde 15 af 214 patienter i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-gruppen (7,0 %) oplevet en non-</w:t>
      </w:r>
      <w:proofErr w:type="spellStart"/>
      <w:r>
        <w:rPr>
          <w:sz w:val="24"/>
          <w:szCs w:val="24"/>
        </w:rPr>
        <w:t>vertebral</w:t>
      </w:r>
      <w:proofErr w:type="spellEnd"/>
      <w:r>
        <w:rPr>
          <w:sz w:val="24"/>
          <w:szCs w:val="24"/>
        </w:rPr>
        <w:t xml:space="preserve"> fraktur sammenlignet med 16 af 214 patienter i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>-gruppen (7,5 %) (p=0,84).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Hos </w:t>
      </w:r>
      <w:proofErr w:type="spellStart"/>
      <w:r>
        <w:rPr>
          <w:sz w:val="24"/>
          <w:szCs w:val="24"/>
        </w:rPr>
        <w:t>præmenopausale</w:t>
      </w:r>
      <w:proofErr w:type="spellEnd"/>
      <w:r>
        <w:rPr>
          <w:sz w:val="24"/>
          <w:szCs w:val="24"/>
        </w:rPr>
        <w:t xml:space="preserve"> kvinder var forøgelsen i BMD fra baseline til 18 måneders </w:t>
      </w:r>
      <w:proofErr w:type="spellStart"/>
      <w:r>
        <w:rPr>
          <w:sz w:val="24"/>
          <w:szCs w:val="24"/>
        </w:rPr>
        <w:t>endpoint</w:t>
      </w:r>
      <w:proofErr w:type="spellEnd"/>
      <w:r>
        <w:rPr>
          <w:sz w:val="24"/>
          <w:szCs w:val="24"/>
        </w:rPr>
        <w:t xml:space="preserve"> signifikant større i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-gruppen – i lænderygsøjlen (4,2 % versus -1,9 %; p&lt;0,001) og hoften (3,8 % versus 0,9 %; p=0,005) – sammenlignet med </w:t>
      </w:r>
      <w:proofErr w:type="spellStart"/>
      <w:r>
        <w:rPr>
          <w:sz w:val="24"/>
          <w:szCs w:val="24"/>
        </w:rPr>
        <w:t>alendronat</w:t>
      </w:r>
      <w:proofErr w:type="spellEnd"/>
      <w:r>
        <w:rPr>
          <w:sz w:val="24"/>
          <w:szCs w:val="24"/>
        </w:rPr>
        <w:t>-gruppen. Der blev ikke påvist nogen signifikant effekt på hyppigheden af frakturer.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B04D38">
        <w:rPr>
          <w:sz w:val="24"/>
          <w:szCs w:val="24"/>
          <w:u w:val="single"/>
        </w:rPr>
        <w:t>Fordeling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Fordelingsvolumenet er ca. 1,7 l/kg. Halveringstiden for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er ca. 1 time ved subkutan administration, hvilket svarer til den tid, absorptionen fra injektionsstedet tager.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Biotransformation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udført undersøgelser af metabolismen eller udskillelsen af </w:t>
      </w: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, men den perifere metabolisme af </w:t>
      </w:r>
      <w:proofErr w:type="spellStart"/>
      <w:r>
        <w:rPr>
          <w:sz w:val="24"/>
          <w:szCs w:val="24"/>
        </w:rPr>
        <w:t>parathyreoideahormon</w:t>
      </w:r>
      <w:proofErr w:type="spellEnd"/>
      <w:r>
        <w:rPr>
          <w:sz w:val="24"/>
          <w:szCs w:val="24"/>
        </w:rPr>
        <w:t xml:space="preserve"> menes at foregå fortrinsvist i lever og nyrer.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Elimination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Teriparatid</w:t>
      </w:r>
      <w:proofErr w:type="spellEnd"/>
      <w:r>
        <w:rPr>
          <w:sz w:val="24"/>
          <w:szCs w:val="24"/>
        </w:rPr>
        <w:t xml:space="preserve"> elimineres ved </w:t>
      </w:r>
      <w:proofErr w:type="spellStart"/>
      <w:r>
        <w:rPr>
          <w:sz w:val="24"/>
          <w:szCs w:val="24"/>
        </w:rPr>
        <w:t>hepatisk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ekstrahepatisk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clearance</w:t>
      </w:r>
      <w:proofErr w:type="spellEnd"/>
      <w:r>
        <w:rPr>
          <w:sz w:val="24"/>
          <w:szCs w:val="24"/>
        </w:rPr>
        <w:t xml:space="preserve"> (ca. 62 l/time hos kvinder og 94 l/time hos mænd).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Ældre</w:t>
      </w:r>
    </w:p>
    <w:p w:rsidR="00807CA7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Der er ikke fundet aldersrelaterede (fra 31 til 85 år) forskelle i </w:t>
      </w:r>
      <w:proofErr w:type="spellStart"/>
      <w:r>
        <w:rPr>
          <w:sz w:val="24"/>
          <w:szCs w:val="24"/>
        </w:rPr>
        <w:t>teriparatids</w:t>
      </w:r>
      <w:proofErr w:type="spellEnd"/>
      <w:r>
        <w:rPr>
          <w:sz w:val="24"/>
          <w:szCs w:val="24"/>
        </w:rPr>
        <w:t xml:space="preserve"> farmakokinetik. Det er ikke nødvendigt at justere dosis på baggrund af alder.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582F6F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udviste ikke gentoksicitet i en række standardtests. Der sås ingen </w:t>
      </w:r>
      <w:proofErr w:type="spellStart"/>
      <w:r w:rsidRPr="00B04D38">
        <w:rPr>
          <w:sz w:val="24"/>
          <w:szCs w:val="24"/>
        </w:rPr>
        <w:t>teratogen</w:t>
      </w:r>
      <w:proofErr w:type="spellEnd"/>
      <w:r w:rsidRPr="00B04D38">
        <w:rPr>
          <w:sz w:val="24"/>
          <w:szCs w:val="24"/>
        </w:rPr>
        <w:t xml:space="preserve"> effekt på rotter, mus eller kaniner. Der blev ikke set nogen vigtige virkninger hos drægtige rotter eller mus, som fik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i daglige doser på 30 til 1.000 mikrogram/kg. Hos kaniner forekom dog fosterresorption og nedsat kuldstørrelse ved daglige doser på 3 til 100 mikrogram/kg. Embryotoksiciteten, som blev set hos kaniner, kan muligvis være relateret til deres meget større følsomhed over for virkningerne af PTH på calciumioniseret blod sammenlignet med gnavere.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Rotter, som var i næsten livsvarig behandling med daglige injektioner, fik dosisafhængig overdreven knogledannelse og havde øget forekomst af osteosarkom, der højst sandsynligt skyldes en </w:t>
      </w:r>
      <w:proofErr w:type="spellStart"/>
      <w:r w:rsidRPr="00B04D38">
        <w:rPr>
          <w:sz w:val="24"/>
          <w:szCs w:val="24"/>
        </w:rPr>
        <w:t>epigenetisk</w:t>
      </w:r>
      <w:proofErr w:type="spellEnd"/>
      <w:r w:rsidRPr="00B04D38">
        <w:rPr>
          <w:sz w:val="24"/>
          <w:szCs w:val="24"/>
        </w:rPr>
        <w:t xml:space="preserve"> mekanisme. </w:t>
      </w:r>
      <w:proofErr w:type="spellStart"/>
      <w:r w:rsidRPr="00B04D38">
        <w:rPr>
          <w:sz w:val="24"/>
          <w:szCs w:val="24"/>
        </w:rPr>
        <w:t>Teriparatid</w:t>
      </w:r>
      <w:proofErr w:type="spellEnd"/>
      <w:r w:rsidRPr="00B04D38">
        <w:rPr>
          <w:sz w:val="24"/>
          <w:szCs w:val="24"/>
        </w:rPr>
        <w:t xml:space="preserve"> øgede ikke forekomsten af nogen anden form for </w:t>
      </w:r>
      <w:proofErr w:type="spellStart"/>
      <w:r w:rsidRPr="00B04D38">
        <w:rPr>
          <w:sz w:val="24"/>
          <w:szCs w:val="24"/>
        </w:rPr>
        <w:t>neoplasi</w:t>
      </w:r>
      <w:proofErr w:type="spellEnd"/>
      <w:r w:rsidRPr="00B04D38">
        <w:rPr>
          <w:sz w:val="24"/>
          <w:szCs w:val="24"/>
        </w:rPr>
        <w:t xml:space="preserve"> hos rotter. Med baggrund i de knoglefysiologiske forskelle mellem rotter og mennesker er den kliniske relevans af disse fund sandsynligvis lille. Der observeredes ingen knogletumorer hos </w:t>
      </w:r>
      <w:proofErr w:type="spellStart"/>
      <w:r w:rsidRPr="00B04D38">
        <w:rPr>
          <w:sz w:val="24"/>
          <w:szCs w:val="24"/>
        </w:rPr>
        <w:t>ovariektomerede</w:t>
      </w:r>
      <w:proofErr w:type="spellEnd"/>
      <w:r w:rsidRPr="00B04D38">
        <w:rPr>
          <w:sz w:val="24"/>
          <w:szCs w:val="24"/>
        </w:rPr>
        <w:t xml:space="preserve"> aber efter 18 måneders behandling eller i løbet af en 3 års opfølgningsperiode efter behandlingsophør. Yderligere er der hverken observeret osteosarkomer i kliniske forsøg eller under det senere opfølgningsforsøg.</w:t>
      </w:r>
    </w:p>
    <w:p w:rsidR="00807CA7" w:rsidRPr="00B04D38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807CA7" w:rsidRPr="00C84483" w:rsidRDefault="00807CA7" w:rsidP="00807CA7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Dyreforsøg har vist, at svært nedsat </w:t>
      </w:r>
      <w:proofErr w:type="spellStart"/>
      <w:r w:rsidRPr="00B04D38">
        <w:rPr>
          <w:sz w:val="24"/>
          <w:szCs w:val="24"/>
        </w:rPr>
        <w:t>hepatisk</w:t>
      </w:r>
      <w:proofErr w:type="spellEnd"/>
      <w:r w:rsidRPr="00B04D38">
        <w:rPr>
          <w:sz w:val="24"/>
          <w:szCs w:val="24"/>
        </w:rPr>
        <w:t xml:space="preserve"> blodomløb nedsætter eksponeringen af PTH til det primære nedbrydningssystem (</w:t>
      </w:r>
      <w:proofErr w:type="spellStart"/>
      <w:r w:rsidRPr="00B04D38">
        <w:rPr>
          <w:sz w:val="24"/>
          <w:szCs w:val="24"/>
        </w:rPr>
        <w:t>Kupffers</w:t>
      </w:r>
      <w:proofErr w:type="spellEnd"/>
      <w:r w:rsidRPr="00B04D38">
        <w:rPr>
          <w:sz w:val="24"/>
          <w:szCs w:val="24"/>
        </w:rPr>
        <w:t xml:space="preserve"> stjerneceller) og dermed </w:t>
      </w:r>
      <w:proofErr w:type="spellStart"/>
      <w:r w:rsidRPr="00B04D38">
        <w:rPr>
          <w:sz w:val="24"/>
          <w:szCs w:val="24"/>
        </w:rPr>
        <w:t>clearance</w:t>
      </w:r>
      <w:proofErr w:type="spellEnd"/>
      <w:r w:rsidRPr="00B04D38">
        <w:rPr>
          <w:sz w:val="24"/>
          <w:szCs w:val="24"/>
        </w:rPr>
        <w:t xml:space="preserve"> af </w:t>
      </w:r>
      <w:proofErr w:type="gramStart"/>
      <w:r w:rsidRPr="00B04D38">
        <w:rPr>
          <w:sz w:val="24"/>
          <w:szCs w:val="24"/>
        </w:rPr>
        <w:t>PTH(</w:t>
      </w:r>
      <w:proofErr w:type="gramEnd"/>
      <w:r w:rsidRPr="00B04D38">
        <w:rPr>
          <w:sz w:val="24"/>
          <w:szCs w:val="24"/>
        </w:rPr>
        <w:t>1-84).</w:t>
      </w:r>
    </w:p>
    <w:p w:rsidR="00807CA7" w:rsidRDefault="00807CA7" w:rsidP="00807CA7">
      <w:pPr>
        <w:tabs>
          <w:tab w:val="left" w:pos="851"/>
        </w:tabs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07CA7" w:rsidRPr="00BA09F1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Koncentreret eddikesyre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Natriumacetattrihydrat</w:t>
      </w:r>
      <w:proofErr w:type="spellEnd"/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B04D38">
        <w:rPr>
          <w:sz w:val="24"/>
          <w:szCs w:val="24"/>
          <w:lang w:val="nb-NO"/>
        </w:rPr>
        <w:t>Mannitol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B04D38">
        <w:rPr>
          <w:sz w:val="24"/>
          <w:szCs w:val="24"/>
          <w:lang w:val="nb-NO"/>
        </w:rPr>
        <w:t>Metacresol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B04D38">
        <w:rPr>
          <w:sz w:val="24"/>
          <w:szCs w:val="24"/>
          <w:lang w:val="nb-NO"/>
        </w:rPr>
        <w:t>Saltsyreopløsning (til pH justering)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Natriumhydroxidopløsning (til pH justering)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Vand til injektionsvæsker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Da der ikke foreligger studier af eventuelle uforligeligheder, må dette lægemiddel ikke blandes med andre lægemidler.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07CA7" w:rsidRPr="00B04D38" w:rsidRDefault="00AB0536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807CA7" w:rsidRPr="00B04D38">
        <w:rPr>
          <w:sz w:val="24"/>
          <w:szCs w:val="24"/>
        </w:rPr>
        <w:t xml:space="preserve"> år.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Kemisk, fysisk og mikrobiologisk stabilitet efter ibrugtagning er bevist i 28 dage ved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 °C-8 °C. Efter åbning kan lægemidlet opbevares i op til 28 dage ved 2 °C-8 °C. Andre opbevaringstider og opbevaringsforhold under brug er på brugerens eget ansvar.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Opbevares i køleskab (2 °C-8 °C). Pennen skal tilbage i køleskabet umiddelbart efter brug. 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Må ikke nedfryses.</w:t>
      </w:r>
    </w:p>
    <w:p w:rsidR="00582F6F" w:rsidRPr="00B04D38" w:rsidRDefault="00582F6F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Opbevar ikke pennen med påsat nål.</w:t>
      </w:r>
    </w:p>
    <w:p w:rsidR="00582F6F" w:rsidRDefault="00582F6F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582F6F" w:rsidRPr="00881C7A" w:rsidRDefault="00582F6F" w:rsidP="00582F6F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881C7A">
        <w:rPr>
          <w:sz w:val="24"/>
          <w:szCs w:val="24"/>
          <w:u w:val="single"/>
        </w:rPr>
        <w:t>Uåbnet lægemiddel</w:t>
      </w:r>
    </w:p>
    <w:p w:rsidR="00582F6F" w:rsidRPr="00B04D38" w:rsidRDefault="00582F6F" w:rsidP="00582F6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Det uåbnede lægemiddel kan tages ud af køleskabet og opbevares ved en temperatur på op til 25 °C i en enkelt periode på op til 5 dage. Herefter skal det tilbage i køleskabet </w:t>
      </w:r>
      <w:r w:rsidRPr="00B04D38">
        <w:rPr>
          <w:sz w:val="24"/>
          <w:szCs w:val="24"/>
        </w:rPr>
        <w:t>(2 °C-8</w:t>
      </w:r>
      <w:r>
        <w:rPr>
          <w:sz w:val="24"/>
          <w:szCs w:val="24"/>
        </w:rPr>
        <w:t> </w:t>
      </w:r>
      <w:r w:rsidRPr="00B04D38">
        <w:rPr>
          <w:sz w:val="24"/>
          <w:szCs w:val="24"/>
        </w:rPr>
        <w:t>°C)</w:t>
      </w:r>
      <w:r>
        <w:rPr>
          <w:sz w:val="24"/>
          <w:szCs w:val="24"/>
        </w:rPr>
        <w:t>. Kassér det uåbnede lægemiddel, hvis det har været opbevaret ved temperaturer over 8 °C i mere end 5 dage.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2,4 ml opløsning i cylinderampul (silikonebehandlet type I-glas) med stempel (</w:t>
      </w:r>
      <w:proofErr w:type="spellStart"/>
      <w:r w:rsidRPr="00B04D38">
        <w:rPr>
          <w:sz w:val="24"/>
          <w:szCs w:val="24"/>
        </w:rPr>
        <w:t>halobutylgummi</w:t>
      </w:r>
      <w:proofErr w:type="spellEnd"/>
      <w:r w:rsidRPr="00B04D38">
        <w:rPr>
          <w:sz w:val="24"/>
          <w:szCs w:val="24"/>
        </w:rPr>
        <w:t>), forsegling (</w:t>
      </w:r>
      <w:proofErr w:type="spellStart"/>
      <w:r w:rsidRPr="00B04D38">
        <w:rPr>
          <w:sz w:val="24"/>
          <w:szCs w:val="24"/>
        </w:rPr>
        <w:t>polyisopren</w:t>
      </w:r>
      <w:proofErr w:type="spellEnd"/>
      <w:r w:rsidRPr="00B04D38">
        <w:rPr>
          <w:sz w:val="24"/>
          <w:szCs w:val="24"/>
        </w:rPr>
        <w:t>/</w:t>
      </w:r>
      <w:proofErr w:type="spellStart"/>
      <w:proofErr w:type="gramStart"/>
      <w:r w:rsidRPr="00B04D38">
        <w:rPr>
          <w:sz w:val="24"/>
          <w:szCs w:val="24"/>
        </w:rPr>
        <w:t>brombutylgummilaminat</w:t>
      </w:r>
      <w:proofErr w:type="spellEnd"/>
      <w:r w:rsidRPr="00B04D38">
        <w:rPr>
          <w:sz w:val="24"/>
          <w:szCs w:val="24"/>
        </w:rPr>
        <w:t>)/</w:t>
      </w:r>
      <w:proofErr w:type="gramEnd"/>
      <w:r w:rsidRPr="00B04D38">
        <w:rPr>
          <w:sz w:val="24"/>
          <w:szCs w:val="24"/>
        </w:rPr>
        <w:t>aluminium</w:t>
      </w:r>
      <w:r>
        <w:rPr>
          <w:sz w:val="24"/>
          <w:szCs w:val="24"/>
        </w:rPr>
        <w:t>)</w:t>
      </w:r>
      <w:r w:rsidRPr="00B04D38">
        <w:rPr>
          <w:sz w:val="24"/>
          <w:szCs w:val="24"/>
        </w:rPr>
        <w:t xml:space="preserve"> anbragt i en pen.</w:t>
      </w:r>
    </w:p>
    <w:p w:rsidR="00807CA7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Hver pen indeholder 28 doser med 20 mikrogram (pr. 80 mikroliter).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Pakningsstørrelser: 1 og</w:t>
      </w:r>
      <w:r w:rsidRPr="00B04D38">
        <w:rPr>
          <w:sz w:val="24"/>
          <w:szCs w:val="24"/>
        </w:rPr>
        <w:t xml:space="preserve"> 3 penne.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Ikke alle pakningsstørrelser er nødvendigvis markedsført.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582F6F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leveres i en fyldt pen. Hver pen er beregnet til brug af kun én patient. Der skal anvendes en ny steril nål til hver injektion. Hver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-pakning indeholder en brugervejledning, der udførligt beskriver brugen af pennen. Der medfølger ikke nåle med produktet. Pennen kan anvendes med nåle beregnet til insulinpenne. Efter hver injektion skal </w:t>
      </w: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>-pennen tilbage i køleskabet.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Tetridar</w:t>
      </w:r>
      <w:proofErr w:type="spellEnd"/>
      <w:r w:rsidRPr="00B04D38">
        <w:rPr>
          <w:sz w:val="24"/>
          <w:szCs w:val="24"/>
        </w:rPr>
        <w:t xml:space="preserve"> må ikke bruges, hvis opløsningen er uklar, farvet eller indeholder partikler.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 xml:space="preserve">Se desuden brugervejledningen for instruktioner i håndtering af </w:t>
      </w:r>
      <w:bookmarkStart w:id="0" w:name="_GoBack"/>
      <w:bookmarkEnd w:id="0"/>
      <w:r w:rsidRPr="00B04D38">
        <w:rPr>
          <w:sz w:val="24"/>
          <w:szCs w:val="24"/>
        </w:rPr>
        <w:t>pennen.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Ikke anvendt lægemiddel samt affald heraf skal bortskaffes i henhold til lokale retningslinjer.</w:t>
      </w:r>
    </w:p>
    <w:p w:rsidR="00807CA7" w:rsidRPr="00C84483" w:rsidRDefault="00807CA7" w:rsidP="00807CA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807CA7" w:rsidRPr="00847B4C" w:rsidRDefault="00807CA7" w:rsidP="00807CA7">
      <w:pPr>
        <w:tabs>
          <w:tab w:val="left" w:pos="-720"/>
        </w:tabs>
        <w:suppressAutoHyphens/>
        <w:ind w:left="851"/>
        <w:rPr>
          <w:sz w:val="24"/>
          <w:szCs w:val="24"/>
        </w:rPr>
      </w:pPr>
      <w:proofErr w:type="spellStart"/>
      <w:r w:rsidRPr="00847B4C">
        <w:rPr>
          <w:sz w:val="24"/>
          <w:szCs w:val="24"/>
        </w:rPr>
        <w:t>Teva</w:t>
      </w:r>
      <w:proofErr w:type="spellEnd"/>
      <w:r w:rsidRPr="00847B4C">
        <w:rPr>
          <w:sz w:val="24"/>
          <w:szCs w:val="24"/>
        </w:rPr>
        <w:t xml:space="preserve"> B.V.</w:t>
      </w:r>
    </w:p>
    <w:p w:rsidR="00807CA7" w:rsidRPr="00847B4C" w:rsidRDefault="00807CA7" w:rsidP="00807CA7">
      <w:pPr>
        <w:tabs>
          <w:tab w:val="left" w:pos="-720"/>
        </w:tabs>
        <w:suppressAutoHyphens/>
        <w:ind w:left="851"/>
        <w:rPr>
          <w:spacing w:val="-3"/>
          <w:sz w:val="24"/>
          <w:szCs w:val="24"/>
        </w:rPr>
      </w:pPr>
      <w:proofErr w:type="spellStart"/>
      <w:r w:rsidRPr="00847B4C">
        <w:rPr>
          <w:spacing w:val="-3"/>
          <w:sz w:val="24"/>
          <w:szCs w:val="24"/>
        </w:rPr>
        <w:t>Swensweg</w:t>
      </w:r>
      <w:proofErr w:type="spellEnd"/>
      <w:r w:rsidRPr="00847B4C">
        <w:rPr>
          <w:spacing w:val="-3"/>
          <w:sz w:val="24"/>
          <w:szCs w:val="24"/>
        </w:rPr>
        <w:t xml:space="preserve"> 5</w:t>
      </w:r>
    </w:p>
    <w:p w:rsidR="00807CA7" w:rsidRPr="00847B4C" w:rsidRDefault="00807CA7" w:rsidP="00807CA7">
      <w:pPr>
        <w:tabs>
          <w:tab w:val="left" w:pos="-720"/>
        </w:tabs>
        <w:suppressAutoHyphens/>
        <w:ind w:left="851"/>
        <w:rPr>
          <w:spacing w:val="-3"/>
          <w:sz w:val="24"/>
          <w:szCs w:val="24"/>
        </w:rPr>
      </w:pPr>
      <w:r w:rsidRPr="00847B4C">
        <w:rPr>
          <w:spacing w:val="-3"/>
          <w:sz w:val="24"/>
          <w:szCs w:val="24"/>
        </w:rPr>
        <w:t xml:space="preserve">2031 GA </w:t>
      </w:r>
      <w:proofErr w:type="spellStart"/>
      <w:r w:rsidRPr="00847B4C">
        <w:rPr>
          <w:spacing w:val="-3"/>
          <w:sz w:val="24"/>
          <w:szCs w:val="24"/>
        </w:rPr>
        <w:t>Haarlem</w:t>
      </w:r>
      <w:proofErr w:type="spellEnd"/>
    </w:p>
    <w:p w:rsidR="00807CA7" w:rsidRPr="00847B4C" w:rsidRDefault="00807CA7" w:rsidP="00807CA7">
      <w:pPr>
        <w:tabs>
          <w:tab w:val="left" w:pos="-720"/>
        </w:tabs>
        <w:suppressAutoHyphens/>
        <w:ind w:left="851"/>
        <w:rPr>
          <w:spacing w:val="-3"/>
          <w:sz w:val="24"/>
          <w:szCs w:val="24"/>
        </w:rPr>
      </w:pPr>
      <w:r w:rsidRPr="00303DCE">
        <w:rPr>
          <w:spacing w:val="-3"/>
          <w:sz w:val="24"/>
          <w:szCs w:val="24"/>
          <w:lang w:val="nb-NO"/>
        </w:rPr>
        <w:t>Holland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B04D38" w:rsidRDefault="00807CA7" w:rsidP="00807CA7">
      <w:pPr>
        <w:tabs>
          <w:tab w:val="left" w:pos="851"/>
        </w:tabs>
        <w:ind w:left="851"/>
        <w:rPr>
          <w:b/>
          <w:sz w:val="24"/>
          <w:szCs w:val="24"/>
        </w:rPr>
      </w:pPr>
      <w:r w:rsidRPr="00B04D38">
        <w:rPr>
          <w:b/>
          <w:sz w:val="24"/>
          <w:szCs w:val="24"/>
        </w:rPr>
        <w:t>Repræsentant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B04D38">
        <w:rPr>
          <w:sz w:val="24"/>
          <w:szCs w:val="24"/>
        </w:rPr>
        <w:t>Teva</w:t>
      </w:r>
      <w:proofErr w:type="spellEnd"/>
      <w:r w:rsidRPr="00B04D38">
        <w:rPr>
          <w:sz w:val="24"/>
          <w:szCs w:val="24"/>
        </w:rPr>
        <w:t xml:space="preserve"> Denmark A/S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Vandtårnsvej 83a</w:t>
      </w:r>
    </w:p>
    <w:p w:rsidR="00807CA7" w:rsidRPr="00B04D38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 w:rsidRPr="00B04D38">
        <w:rPr>
          <w:sz w:val="24"/>
          <w:szCs w:val="24"/>
        </w:rPr>
        <w:t>2860 Søborg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582F6F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59949</w:t>
      </w:r>
    </w:p>
    <w:p w:rsidR="00807CA7" w:rsidRPr="00C84483" w:rsidRDefault="00807CA7" w:rsidP="00807CA7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19. december 2017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</w:p>
    <w:p w:rsidR="00807CA7" w:rsidRPr="00C84483" w:rsidRDefault="00807CA7" w:rsidP="00807CA7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07CA7" w:rsidRPr="00C84483" w:rsidRDefault="00807CA7" w:rsidP="00807CA7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582F6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582F6F">
        <w:rPr>
          <w:sz w:val="24"/>
          <w:szCs w:val="24"/>
        </w:rPr>
        <w:t>april</w:t>
      </w:r>
      <w:r>
        <w:rPr>
          <w:sz w:val="24"/>
          <w:szCs w:val="24"/>
        </w:rPr>
        <w:t xml:space="preserve"> 20</w:t>
      </w:r>
      <w:r w:rsidR="00AB0536">
        <w:rPr>
          <w:sz w:val="24"/>
          <w:szCs w:val="24"/>
        </w:rPr>
        <w:t>2</w:t>
      </w:r>
      <w:r w:rsidR="00582F6F">
        <w:rPr>
          <w:sz w:val="24"/>
          <w:szCs w:val="24"/>
        </w:rPr>
        <w:t>5</w:t>
      </w:r>
    </w:p>
    <w:p w:rsidR="00807CA7" w:rsidRPr="006170EB" w:rsidRDefault="00807CA7" w:rsidP="00807CA7"/>
    <w:p w:rsidR="00807CA7" w:rsidRPr="00AC2DE2" w:rsidRDefault="00807CA7" w:rsidP="00807CA7"/>
    <w:p w:rsidR="009260DE" w:rsidRPr="00807CA7" w:rsidRDefault="009260DE" w:rsidP="00807CA7"/>
    <w:sectPr w:rsidR="009260DE" w:rsidRPr="00807CA7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CA7" w:rsidRDefault="00807CA7">
      <w:r>
        <w:separator/>
      </w:r>
    </w:p>
  </w:endnote>
  <w:endnote w:type="continuationSeparator" w:id="0">
    <w:p w:rsidR="00807CA7" w:rsidRDefault="0080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07CA7">
      <w:rPr>
        <w:i/>
        <w:noProof/>
        <w:sz w:val="18"/>
        <w:szCs w:val="18"/>
      </w:rPr>
      <w:t>Dokument5214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CA7" w:rsidRDefault="00807CA7">
      <w:r>
        <w:separator/>
      </w:r>
    </w:p>
  </w:footnote>
  <w:footnote w:type="continuationSeparator" w:id="0">
    <w:p w:rsidR="00807CA7" w:rsidRDefault="0080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E80002F"/>
    <w:multiLevelType w:val="hybridMultilevel"/>
    <w:tmpl w:val="52003C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CA7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23E10"/>
    <w:rsid w:val="00532310"/>
    <w:rsid w:val="00560ECC"/>
    <w:rsid w:val="00565F0F"/>
    <w:rsid w:val="00582F6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07CA7"/>
    <w:rsid w:val="0081546F"/>
    <w:rsid w:val="0082576E"/>
    <w:rsid w:val="00847B4C"/>
    <w:rsid w:val="00887BF6"/>
    <w:rsid w:val="00907F75"/>
    <w:rsid w:val="009260DE"/>
    <w:rsid w:val="0093258A"/>
    <w:rsid w:val="009C7BA3"/>
    <w:rsid w:val="009D1F5A"/>
    <w:rsid w:val="00AB0536"/>
    <w:rsid w:val="00B003BF"/>
    <w:rsid w:val="00B373D7"/>
    <w:rsid w:val="00BF4703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DD7CF"/>
  <w15:chartTrackingRefBased/>
  <w15:docId w15:val="{3FF7AE11-A05B-421C-AA49-0288EB9F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Default">
    <w:name w:val="Default"/>
    <w:rsid w:val="00807CA7"/>
    <w:pPr>
      <w:autoSpaceDE w:val="0"/>
      <w:autoSpaceDN w:val="0"/>
      <w:adjustRightInd w:val="0"/>
    </w:pPr>
    <w:rPr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3657</Words>
  <Characters>23501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27104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2024051893 pkt. 6.4, 6.5, 6.6 samt QRD</dc:description>
  <cp:lastModifiedBy>Helle Søndersted</cp:lastModifiedBy>
  <cp:revision>2</cp:revision>
  <cp:lastPrinted>2012-08-22T08:53:00Z</cp:lastPrinted>
  <dcterms:created xsi:type="dcterms:W3CDTF">2025-04-22T11:41:00Z</dcterms:created>
  <dcterms:modified xsi:type="dcterms:W3CDTF">2025-04-22T11:41:00Z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