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698" w:rsidRPr="0040671E" w:rsidRDefault="005D4698" w:rsidP="005D4698">
      <w:pPr>
        <w:rPr>
          <w:sz w:val="24"/>
          <w:szCs w:val="24"/>
        </w:rPr>
      </w:pPr>
      <w:r w:rsidRPr="009260DE">
        <w:rPr>
          <w:noProof/>
          <w:sz w:val="24"/>
          <w:szCs w:val="24"/>
          <w:lang w:eastAsia="da-DK"/>
        </w:rPr>
        <w:drawing>
          <wp:anchor distT="0" distB="0" distL="114300" distR="114300" simplePos="0" relativeHeight="251659264" behindDoc="0" locked="0" layoutInCell="1" allowOverlap="1" wp14:anchorId="4F532CF8" wp14:editId="44F0FB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D4698" w:rsidRPr="00C84483" w:rsidRDefault="005D4698" w:rsidP="005D4698">
      <w:pPr>
        <w:pStyle w:val="Titel"/>
        <w:tabs>
          <w:tab w:val="right" w:pos="9356"/>
        </w:tabs>
        <w:jc w:val="left"/>
        <w:rPr>
          <w:b w:val="0"/>
          <w:szCs w:val="24"/>
          <w:lang w:eastAsia="en-US"/>
        </w:rPr>
      </w:pPr>
      <w:r w:rsidRPr="00C84483">
        <w:rPr>
          <w:b w:val="0"/>
          <w:szCs w:val="24"/>
          <w:lang w:eastAsia="en-US"/>
        </w:rPr>
        <w:tab/>
      </w:r>
      <w:r w:rsidR="00BA5134">
        <w:rPr>
          <w:szCs w:val="24"/>
        </w:rPr>
        <w:t>2</w:t>
      </w:r>
      <w:r>
        <w:rPr>
          <w:szCs w:val="24"/>
        </w:rPr>
        <w:t xml:space="preserve">3. </w:t>
      </w:r>
      <w:r w:rsidR="00BA5134">
        <w:rPr>
          <w:szCs w:val="24"/>
        </w:rPr>
        <w:t>juli 2020</w:t>
      </w:r>
    </w:p>
    <w:p w:rsidR="005D4698" w:rsidRPr="00C84483" w:rsidRDefault="005D4698" w:rsidP="005D4698">
      <w:pPr>
        <w:pStyle w:val="Titel"/>
        <w:tabs>
          <w:tab w:val="left" w:pos="8222"/>
        </w:tabs>
        <w:jc w:val="left"/>
        <w:rPr>
          <w:b w:val="0"/>
          <w:szCs w:val="24"/>
        </w:rPr>
      </w:pPr>
    </w:p>
    <w:p w:rsidR="005D4698" w:rsidRDefault="005D4698" w:rsidP="005D4698">
      <w:pPr>
        <w:pStyle w:val="Titel"/>
        <w:jc w:val="left"/>
        <w:rPr>
          <w:b w:val="0"/>
          <w:szCs w:val="24"/>
        </w:rPr>
      </w:pPr>
    </w:p>
    <w:p w:rsidR="00BA5134" w:rsidRDefault="00BA5134" w:rsidP="005D4698">
      <w:pPr>
        <w:jc w:val="center"/>
        <w:rPr>
          <w:b/>
          <w:sz w:val="24"/>
          <w:szCs w:val="24"/>
        </w:rPr>
      </w:pPr>
    </w:p>
    <w:p w:rsidR="005D4698" w:rsidRPr="00C84483" w:rsidRDefault="005D4698" w:rsidP="005D4698">
      <w:pPr>
        <w:jc w:val="center"/>
        <w:rPr>
          <w:b/>
          <w:sz w:val="24"/>
          <w:szCs w:val="24"/>
        </w:rPr>
      </w:pPr>
      <w:r w:rsidRPr="00C84483">
        <w:rPr>
          <w:b/>
          <w:sz w:val="24"/>
          <w:szCs w:val="24"/>
        </w:rPr>
        <w:t>PRODUKTRESUMÉ</w:t>
      </w:r>
    </w:p>
    <w:p w:rsidR="005D4698" w:rsidRPr="00C84483" w:rsidRDefault="005D4698" w:rsidP="005D4698">
      <w:pPr>
        <w:jc w:val="center"/>
        <w:rPr>
          <w:b/>
          <w:sz w:val="24"/>
          <w:szCs w:val="24"/>
        </w:rPr>
      </w:pPr>
    </w:p>
    <w:p w:rsidR="005D4698" w:rsidRDefault="005D4698" w:rsidP="005D4698">
      <w:pPr>
        <w:jc w:val="center"/>
        <w:rPr>
          <w:b/>
          <w:sz w:val="24"/>
          <w:szCs w:val="24"/>
        </w:rPr>
      </w:pPr>
      <w:r w:rsidRPr="00C84483">
        <w:rPr>
          <w:b/>
          <w:sz w:val="24"/>
          <w:szCs w:val="24"/>
        </w:rPr>
        <w:t>for</w:t>
      </w:r>
    </w:p>
    <w:p w:rsidR="005D4698" w:rsidRPr="00C84483" w:rsidRDefault="005D4698" w:rsidP="005D4698">
      <w:pPr>
        <w:jc w:val="center"/>
        <w:rPr>
          <w:b/>
          <w:sz w:val="24"/>
          <w:szCs w:val="24"/>
        </w:rPr>
      </w:pPr>
    </w:p>
    <w:p w:rsidR="005D4698" w:rsidRPr="00C84483" w:rsidRDefault="005D4698" w:rsidP="005D4698">
      <w:pPr>
        <w:jc w:val="center"/>
        <w:rPr>
          <w:b/>
          <w:sz w:val="24"/>
          <w:szCs w:val="24"/>
        </w:rPr>
      </w:pPr>
      <w:r>
        <w:rPr>
          <w:b/>
          <w:sz w:val="24"/>
          <w:szCs w:val="24"/>
        </w:rPr>
        <w:t>Thiamazole "Uni-Pharma", tabletter</w:t>
      </w:r>
    </w:p>
    <w:p w:rsidR="005D4698" w:rsidRPr="00C84483" w:rsidRDefault="005D4698" w:rsidP="005D4698">
      <w:pPr>
        <w:jc w:val="both"/>
        <w:rPr>
          <w:sz w:val="24"/>
          <w:szCs w:val="24"/>
        </w:rPr>
      </w:pPr>
    </w:p>
    <w:p w:rsidR="005D4698" w:rsidRPr="00C84483" w:rsidRDefault="005D4698" w:rsidP="005D4698">
      <w:pPr>
        <w:jc w:val="both"/>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0.</w:t>
      </w:r>
      <w:r w:rsidRPr="00C84483">
        <w:rPr>
          <w:b/>
          <w:sz w:val="24"/>
          <w:szCs w:val="24"/>
        </w:rPr>
        <w:tab/>
        <w:t>D.SP.NR.</w:t>
      </w:r>
    </w:p>
    <w:p w:rsidR="005D4698" w:rsidRPr="00C84483" w:rsidRDefault="005D4698" w:rsidP="005D4698">
      <w:pPr>
        <w:tabs>
          <w:tab w:val="left" w:pos="851"/>
        </w:tabs>
        <w:ind w:left="851"/>
        <w:rPr>
          <w:sz w:val="24"/>
          <w:szCs w:val="24"/>
        </w:rPr>
      </w:pPr>
      <w:r>
        <w:rPr>
          <w:sz w:val="24"/>
          <w:szCs w:val="24"/>
        </w:rPr>
        <w:t>30207</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1.</w:t>
      </w:r>
      <w:r w:rsidRPr="00C84483">
        <w:rPr>
          <w:b/>
          <w:sz w:val="24"/>
          <w:szCs w:val="24"/>
        </w:rPr>
        <w:tab/>
        <w:t>LÆGEMIDLETS NAVN</w:t>
      </w:r>
    </w:p>
    <w:p w:rsidR="005D4698" w:rsidRPr="00C84483" w:rsidRDefault="005D4698" w:rsidP="005D4698">
      <w:pPr>
        <w:tabs>
          <w:tab w:val="left" w:pos="851"/>
        </w:tabs>
        <w:ind w:left="851"/>
        <w:rPr>
          <w:sz w:val="24"/>
          <w:szCs w:val="24"/>
        </w:rPr>
      </w:pPr>
      <w:r>
        <w:rPr>
          <w:sz w:val="24"/>
          <w:szCs w:val="24"/>
        </w:rPr>
        <w:t>Thiamazole "Uni-Pharma"</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D4698" w:rsidRDefault="005D4698" w:rsidP="005D4698">
      <w:pPr>
        <w:pStyle w:val="Normalindrykning"/>
        <w:spacing w:after="0"/>
        <w:ind w:left="851"/>
        <w:rPr>
          <w:sz w:val="24"/>
          <w:szCs w:val="24"/>
        </w:rPr>
      </w:pPr>
      <w:r>
        <w:rPr>
          <w:sz w:val="24"/>
        </w:rPr>
        <w:t>Hver tablet indeholder 5 mg thiamazol.</w:t>
      </w:r>
    </w:p>
    <w:p w:rsidR="005D4698" w:rsidRDefault="005D4698" w:rsidP="005D4698">
      <w:pPr>
        <w:pStyle w:val="Normalindrykning"/>
        <w:spacing w:after="0"/>
        <w:ind w:left="851"/>
        <w:rPr>
          <w:sz w:val="24"/>
          <w:szCs w:val="24"/>
          <w:u w:val="single"/>
        </w:rPr>
      </w:pPr>
    </w:p>
    <w:p w:rsidR="005D4698" w:rsidRPr="007C5C1A" w:rsidRDefault="005D4698" w:rsidP="005D4698">
      <w:pPr>
        <w:pStyle w:val="Normalindrykning"/>
        <w:spacing w:after="0"/>
        <w:ind w:left="851"/>
        <w:rPr>
          <w:bCs/>
          <w:sz w:val="24"/>
          <w:szCs w:val="24"/>
          <w:u w:val="single"/>
        </w:rPr>
      </w:pPr>
      <w:r w:rsidRPr="00CE1EA6">
        <w:rPr>
          <w:sz w:val="24"/>
          <w:szCs w:val="24"/>
          <w:u w:val="single"/>
        </w:rPr>
        <w:t>Hjælpestof, som behandleren skal være opmærksom på</w:t>
      </w:r>
    </w:p>
    <w:p w:rsidR="005D4698" w:rsidRPr="00DD5023" w:rsidRDefault="005D4698" w:rsidP="005D4698">
      <w:pPr>
        <w:pStyle w:val="Normalindrykning"/>
        <w:spacing w:after="0"/>
        <w:ind w:left="851"/>
        <w:rPr>
          <w:sz w:val="24"/>
          <w:szCs w:val="24"/>
        </w:rPr>
      </w:pPr>
      <w:r>
        <w:rPr>
          <w:sz w:val="24"/>
          <w:szCs w:val="24"/>
        </w:rPr>
        <w:t>Hver tablet i</w:t>
      </w:r>
      <w:r w:rsidRPr="00DD5023">
        <w:rPr>
          <w:sz w:val="24"/>
          <w:szCs w:val="24"/>
        </w:rPr>
        <w:t>ndeholder 179 mg lactosemonohydrat, se pkt. 4.4.</w:t>
      </w:r>
    </w:p>
    <w:p w:rsidR="005D4698" w:rsidRPr="00293716" w:rsidRDefault="005D4698" w:rsidP="005D4698">
      <w:pPr>
        <w:pStyle w:val="Normalindrykning"/>
        <w:spacing w:after="0"/>
        <w:ind w:left="851"/>
        <w:rPr>
          <w:sz w:val="24"/>
          <w:szCs w:val="24"/>
        </w:rPr>
      </w:pPr>
    </w:p>
    <w:p w:rsidR="005D4698" w:rsidRPr="00C84483" w:rsidRDefault="005D4698" w:rsidP="005D4698">
      <w:pPr>
        <w:pStyle w:val="Normalindrykning"/>
        <w:spacing w:after="0"/>
        <w:ind w:left="851"/>
        <w:rPr>
          <w:sz w:val="24"/>
          <w:szCs w:val="24"/>
        </w:rPr>
      </w:pPr>
      <w:r w:rsidRPr="008E6D3A">
        <w:rPr>
          <w:sz w:val="24"/>
          <w:szCs w:val="24"/>
        </w:rPr>
        <w:t>Alle hjælpestoffer er anført under pkt. 6.1.</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3.</w:t>
      </w:r>
      <w:r w:rsidRPr="00C84483">
        <w:rPr>
          <w:b/>
          <w:sz w:val="24"/>
          <w:szCs w:val="24"/>
        </w:rPr>
        <w:tab/>
        <w:t>LÆGEMIDDELFORM</w:t>
      </w:r>
    </w:p>
    <w:p w:rsidR="005D4698" w:rsidRDefault="005D4698" w:rsidP="005D4698">
      <w:pPr>
        <w:pStyle w:val="Normalindrykning"/>
        <w:spacing w:after="0"/>
        <w:ind w:left="851"/>
        <w:rPr>
          <w:sz w:val="24"/>
          <w:szCs w:val="24"/>
        </w:rPr>
      </w:pPr>
      <w:r>
        <w:rPr>
          <w:sz w:val="24"/>
          <w:szCs w:val="24"/>
        </w:rPr>
        <w:t>Tabletter</w:t>
      </w:r>
    </w:p>
    <w:p w:rsidR="005D4698" w:rsidRPr="00DD5023" w:rsidRDefault="005D4698" w:rsidP="005D4698">
      <w:pPr>
        <w:pStyle w:val="Normalindrykning"/>
        <w:spacing w:after="0"/>
        <w:ind w:left="851"/>
        <w:rPr>
          <w:sz w:val="24"/>
          <w:szCs w:val="24"/>
        </w:rPr>
      </w:pPr>
    </w:p>
    <w:p w:rsidR="005D4698" w:rsidRDefault="005D4698" w:rsidP="005D4698">
      <w:pPr>
        <w:pStyle w:val="Normalindrykning"/>
        <w:spacing w:after="0"/>
        <w:ind w:left="851"/>
        <w:rPr>
          <w:sz w:val="24"/>
          <w:szCs w:val="24"/>
        </w:rPr>
      </w:pPr>
      <w:r>
        <w:rPr>
          <w:sz w:val="24"/>
          <w:szCs w:val="24"/>
        </w:rPr>
        <w:t>H</w:t>
      </w:r>
      <w:r>
        <w:rPr>
          <w:sz w:val="24"/>
        </w:rPr>
        <w:t>vide, flade tabletter med skrå kant, delekærv på den ene side og en diameter på 8,06 mm.</w:t>
      </w:r>
    </w:p>
    <w:p w:rsidR="005D4698" w:rsidRPr="00C84483" w:rsidRDefault="005D4698" w:rsidP="005D4698">
      <w:pPr>
        <w:pStyle w:val="Normalindrykning"/>
        <w:spacing w:after="0"/>
        <w:ind w:left="851"/>
        <w:rPr>
          <w:sz w:val="24"/>
          <w:szCs w:val="24"/>
        </w:rPr>
      </w:pPr>
      <w:r>
        <w:rPr>
          <w:sz w:val="24"/>
        </w:rPr>
        <w:t>Tabletten kan deles i to lige store doser.</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w:t>
      </w:r>
      <w:r w:rsidRPr="00C84483">
        <w:rPr>
          <w:b/>
          <w:sz w:val="24"/>
          <w:szCs w:val="24"/>
        </w:rPr>
        <w:tab/>
        <w:t>KLINISKE OPLYSNINGER</w:t>
      </w:r>
    </w:p>
    <w:p w:rsidR="005D4698" w:rsidRPr="00C84483" w:rsidRDefault="005D4698" w:rsidP="005D4698">
      <w:pPr>
        <w:tabs>
          <w:tab w:val="left" w:pos="851"/>
        </w:tabs>
        <w:ind w:left="851"/>
        <w:rPr>
          <w:b/>
          <w:sz w:val="24"/>
          <w:szCs w:val="24"/>
        </w:rPr>
      </w:pPr>
    </w:p>
    <w:p w:rsidR="005D4698" w:rsidRPr="00C84483" w:rsidRDefault="005D4698" w:rsidP="005D469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D4698" w:rsidRPr="00C84483" w:rsidRDefault="005D4698" w:rsidP="005D4698">
      <w:pPr>
        <w:pStyle w:val="Normalindrykning"/>
        <w:spacing w:after="0"/>
        <w:ind w:left="851"/>
        <w:rPr>
          <w:sz w:val="24"/>
          <w:szCs w:val="24"/>
        </w:rPr>
      </w:pPr>
      <w:r>
        <w:rPr>
          <w:sz w:val="24"/>
        </w:rPr>
        <w:t>Behandling af hyperthyreose (thyreotoksikose)</w:t>
      </w:r>
      <w:r>
        <w:t xml:space="preserve"> </w:t>
      </w:r>
      <w:r>
        <w:rPr>
          <w:sz w:val="24"/>
        </w:rPr>
        <w:t>hos voksne, unge og børn over 3 år.</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5D4698" w:rsidRPr="00171FDA" w:rsidRDefault="005D4698" w:rsidP="005D4698">
      <w:pPr>
        <w:pStyle w:val="Normalindrykning"/>
        <w:spacing w:after="0"/>
        <w:ind w:left="851"/>
        <w:rPr>
          <w:sz w:val="24"/>
          <w:szCs w:val="24"/>
        </w:rPr>
      </w:pPr>
      <w:r>
        <w:rPr>
          <w:sz w:val="24"/>
        </w:rPr>
        <w:t>Doseringen bør justeres individuelt afhængigt af sygdommens sværhedsgrad.</w:t>
      </w:r>
    </w:p>
    <w:p w:rsidR="005D4698" w:rsidRPr="00171FDA" w:rsidRDefault="005D4698" w:rsidP="005D4698">
      <w:pPr>
        <w:pStyle w:val="Normalindrykning"/>
        <w:spacing w:after="0"/>
        <w:ind w:left="851"/>
        <w:rPr>
          <w:sz w:val="24"/>
          <w:szCs w:val="24"/>
        </w:rPr>
      </w:pPr>
    </w:p>
    <w:p w:rsidR="005D4698" w:rsidRPr="009C25F6" w:rsidRDefault="005D4698" w:rsidP="005D4698">
      <w:pPr>
        <w:pStyle w:val="Normalindrykning"/>
        <w:spacing w:after="0"/>
        <w:ind w:left="851"/>
        <w:rPr>
          <w:b/>
          <w:sz w:val="24"/>
          <w:szCs w:val="24"/>
        </w:rPr>
      </w:pPr>
      <w:r w:rsidRPr="009C25F6">
        <w:rPr>
          <w:b/>
          <w:sz w:val="24"/>
        </w:rPr>
        <w:t>Dosering</w:t>
      </w:r>
    </w:p>
    <w:p w:rsidR="005D4698" w:rsidRPr="00171FDA" w:rsidRDefault="005D4698" w:rsidP="005D4698">
      <w:pPr>
        <w:pStyle w:val="Normalindrykning"/>
        <w:spacing w:after="0"/>
        <w:ind w:left="851"/>
        <w:rPr>
          <w:sz w:val="24"/>
          <w:szCs w:val="24"/>
        </w:rPr>
      </w:pPr>
    </w:p>
    <w:p w:rsidR="005D4698" w:rsidRPr="009C25F6" w:rsidRDefault="005D4698" w:rsidP="005D4698">
      <w:pPr>
        <w:pStyle w:val="Normalindrykning"/>
        <w:spacing w:after="0"/>
        <w:ind w:left="851"/>
        <w:rPr>
          <w:sz w:val="24"/>
          <w:szCs w:val="24"/>
          <w:u w:val="single"/>
        </w:rPr>
      </w:pPr>
      <w:r>
        <w:rPr>
          <w:sz w:val="24"/>
          <w:u w:val="single"/>
        </w:rPr>
        <w:t>Svære tilfælde</w:t>
      </w:r>
    </w:p>
    <w:p w:rsidR="005D4698" w:rsidRPr="00171FDA" w:rsidRDefault="005D4698" w:rsidP="005D4698">
      <w:pPr>
        <w:pStyle w:val="Normalindrykning"/>
        <w:spacing w:after="0"/>
        <w:ind w:left="851"/>
        <w:rPr>
          <w:sz w:val="24"/>
          <w:szCs w:val="24"/>
        </w:rPr>
      </w:pPr>
      <w:r>
        <w:rPr>
          <w:sz w:val="24"/>
        </w:rPr>
        <w:t>Begyndelsesdosis: 30-40 mg daglig fordelt på flere doser.</w:t>
      </w:r>
    </w:p>
    <w:p w:rsidR="005D4698" w:rsidRDefault="005D4698" w:rsidP="005D4698">
      <w:pPr>
        <w:rPr>
          <w:sz w:val="24"/>
          <w:szCs w:val="24"/>
          <w:u w:val="single"/>
          <w:lang w:eastAsia="da-DK"/>
        </w:rPr>
      </w:pPr>
      <w:r>
        <w:rPr>
          <w:sz w:val="24"/>
          <w:szCs w:val="24"/>
          <w:u w:val="single"/>
        </w:rPr>
        <w:br w:type="page"/>
      </w:r>
    </w:p>
    <w:p w:rsidR="005D4698" w:rsidRPr="0017415D" w:rsidRDefault="005D4698" w:rsidP="005D4698">
      <w:pPr>
        <w:pStyle w:val="Normalindrykning"/>
        <w:spacing w:after="0"/>
        <w:ind w:left="851"/>
        <w:rPr>
          <w:sz w:val="24"/>
          <w:szCs w:val="24"/>
          <w:u w:val="single"/>
        </w:rPr>
      </w:pPr>
    </w:p>
    <w:p w:rsidR="005D4698" w:rsidRPr="009C25F6" w:rsidRDefault="005D4698" w:rsidP="005D4698">
      <w:pPr>
        <w:pStyle w:val="Normalindrykning"/>
        <w:spacing w:after="0"/>
        <w:ind w:left="851"/>
        <w:rPr>
          <w:sz w:val="24"/>
          <w:szCs w:val="24"/>
          <w:u w:val="single"/>
        </w:rPr>
      </w:pPr>
      <w:r>
        <w:rPr>
          <w:sz w:val="24"/>
          <w:u w:val="single"/>
        </w:rPr>
        <w:t>Lette tilfælde</w:t>
      </w:r>
    </w:p>
    <w:p w:rsidR="005D4698" w:rsidRPr="00171FDA" w:rsidRDefault="005D4698" w:rsidP="005D4698">
      <w:pPr>
        <w:pStyle w:val="Normalindrykning"/>
        <w:spacing w:after="0"/>
        <w:ind w:left="851"/>
        <w:rPr>
          <w:sz w:val="24"/>
          <w:szCs w:val="24"/>
        </w:rPr>
      </w:pPr>
      <w:r>
        <w:rPr>
          <w:sz w:val="24"/>
        </w:rPr>
        <w:t>Begyndelsesdosis: 10-20 mg daglig. Dosen kan deles i to daglige doser.</w:t>
      </w:r>
    </w:p>
    <w:p w:rsidR="005D4698" w:rsidRPr="00171FDA" w:rsidRDefault="005D4698" w:rsidP="005D4698">
      <w:pPr>
        <w:pStyle w:val="Normalindrykning"/>
        <w:spacing w:after="0"/>
        <w:ind w:left="851"/>
        <w:rPr>
          <w:i/>
          <w:sz w:val="24"/>
          <w:szCs w:val="24"/>
          <w:u w:val="single"/>
        </w:rPr>
      </w:pPr>
    </w:p>
    <w:p w:rsidR="005D4698" w:rsidRPr="009C25F6" w:rsidRDefault="005D4698" w:rsidP="005D4698">
      <w:pPr>
        <w:pStyle w:val="Normalindrykning"/>
        <w:spacing w:after="0"/>
        <w:ind w:left="851"/>
        <w:rPr>
          <w:sz w:val="24"/>
          <w:szCs w:val="24"/>
          <w:u w:val="single"/>
        </w:rPr>
      </w:pPr>
      <w:r>
        <w:rPr>
          <w:sz w:val="24"/>
          <w:u w:val="single"/>
        </w:rPr>
        <w:t>Vedligeholdelsesdosis</w:t>
      </w:r>
    </w:p>
    <w:p w:rsidR="005D4698" w:rsidRPr="00171FDA" w:rsidRDefault="005D4698" w:rsidP="005D4698">
      <w:pPr>
        <w:pStyle w:val="Normalindrykning"/>
        <w:spacing w:after="0"/>
        <w:ind w:left="851"/>
        <w:rPr>
          <w:sz w:val="24"/>
          <w:szCs w:val="24"/>
        </w:rPr>
      </w:pPr>
      <w:r>
        <w:rPr>
          <w:sz w:val="24"/>
        </w:rPr>
        <w:t>5-10 mg daglig.</w:t>
      </w:r>
    </w:p>
    <w:p w:rsidR="005D4698" w:rsidRPr="00171FDA" w:rsidRDefault="005D4698" w:rsidP="005D4698">
      <w:pPr>
        <w:pStyle w:val="Normalindrykning"/>
        <w:spacing w:after="0"/>
        <w:ind w:left="851"/>
        <w:rPr>
          <w:sz w:val="24"/>
          <w:szCs w:val="24"/>
        </w:rPr>
      </w:pPr>
    </w:p>
    <w:p w:rsidR="005D4698" w:rsidRDefault="005D4698" w:rsidP="005D4698">
      <w:pPr>
        <w:pStyle w:val="Normalindrykning"/>
        <w:spacing w:after="0"/>
        <w:ind w:left="851"/>
        <w:rPr>
          <w:sz w:val="24"/>
          <w:szCs w:val="24"/>
        </w:rPr>
      </w:pPr>
      <w:r>
        <w:rPr>
          <w:sz w:val="24"/>
        </w:rPr>
        <w:t xml:space="preserve">I nogle tilfælde kan højere begyndelsesdoser være påkrævet </w:t>
      </w:r>
      <w:r>
        <w:rPr>
          <w:sz w:val="24"/>
          <w:cs/>
        </w:rPr>
        <w:t xml:space="preserve">– </w:t>
      </w:r>
      <w:r>
        <w:rPr>
          <w:sz w:val="24"/>
        </w:rPr>
        <w:t>særligt i tilfælde med store strumaer og tidligere jodbehandling.</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 xml:space="preserve">For vedligeholdelsesbehandling kan dosen reduceres på basis af patientens respons på behandling. Yderligere behandling med levothyroxin kan være påkrævet for at undgå </w:t>
      </w:r>
      <w:r w:rsidRPr="00356BA6">
        <w:rPr>
          <w:sz w:val="24"/>
        </w:rPr>
        <w:t>hypothyreoidisme</w:t>
      </w:r>
      <w:r>
        <w:rPr>
          <w:sz w:val="24"/>
        </w:rPr>
        <w:t>.</w:t>
      </w:r>
    </w:p>
    <w:p w:rsidR="005D4698" w:rsidRDefault="005D4698" w:rsidP="005D4698">
      <w:pPr>
        <w:pStyle w:val="Normalindrykning"/>
        <w:spacing w:after="0"/>
        <w:ind w:left="851"/>
        <w:rPr>
          <w:sz w:val="24"/>
          <w:szCs w:val="24"/>
        </w:rPr>
      </w:pPr>
    </w:p>
    <w:p w:rsidR="005D4698" w:rsidRPr="009C25F6" w:rsidRDefault="005D4698" w:rsidP="005D4698">
      <w:pPr>
        <w:pStyle w:val="Normalindrykning"/>
        <w:spacing w:after="0"/>
        <w:ind w:left="851"/>
        <w:rPr>
          <w:sz w:val="24"/>
          <w:szCs w:val="24"/>
          <w:u w:val="single"/>
        </w:rPr>
      </w:pPr>
      <w:r w:rsidRPr="009C25F6">
        <w:rPr>
          <w:sz w:val="24"/>
          <w:u w:val="single"/>
        </w:rPr>
        <w:t>Pædiatrisk population</w:t>
      </w:r>
    </w:p>
    <w:p w:rsidR="005D4698" w:rsidRDefault="005D4698" w:rsidP="005D4698">
      <w:pPr>
        <w:pStyle w:val="Normalindrykning"/>
        <w:spacing w:after="0"/>
        <w:ind w:left="851"/>
        <w:rPr>
          <w:i/>
          <w:sz w:val="24"/>
        </w:rPr>
      </w:pPr>
    </w:p>
    <w:p w:rsidR="005D4698" w:rsidRPr="00171FDA" w:rsidRDefault="005D4698" w:rsidP="005D4698">
      <w:pPr>
        <w:pStyle w:val="Normalindrykning"/>
        <w:spacing w:after="0"/>
        <w:ind w:left="851"/>
        <w:rPr>
          <w:i/>
          <w:sz w:val="24"/>
          <w:szCs w:val="24"/>
        </w:rPr>
      </w:pPr>
      <w:r>
        <w:rPr>
          <w:i/>
          <w:sz w:val="24"/>
        </w:rPr>
        <w:t>Anvendelse til børn og unge (3-17 år)</w:t>
      </w:r>
    </w:p>
    <w:p w:rsidR="005D4698" w:rsidRPr="00171FDA" w:rsidRDefault="005D4698" w:rsidP="005D4698">
      <w:pPr>
        <w:pStyle w:val="Normalindrykning"/>
        <w:spacing w:after="0"/>
        <w:ind w:left="851"/>
        <w:rPr>
          <w:sz w:val="24"/>
          <w:szCs w:val="24"/>
        </w:rPr>
      </w:pPr>
      <w:r>
        <w:rPr>
          <w:sz w:val="24"/>
        </w:rPr>
        <w:t>Den indledende dosering til behandling af børn og unge på over 3 år skal tilpasses efter patientens kropsvægt. Som hovedregel er begyndelsesdosen 0,5 mg/kg kropsvægt pr. dag, fordelt på to eller tre lige store doser.</w:t>
      </w:r>
    </w:p>
    <w:p w:rsidR="005D4698" w:rsidRDefault="005D4698" w:rsidP="005D4698">
      <w:pPr>
        <w:pStyle w:val="Normalindrykning"/>
        <w:spacing w:after="0"/>
        <w:ind w:left="851"/>
        <w:rPr>
          <w:sz w:val="24"/>
        </w:rPr>
      </w:pPr>
    </w:p>
    <w:p w:rsidR="005D4698" w:rsidRPr="00171FDA" w:rsidRDefault="005D4698" w:rsidP="005D4698">
      <w:pPr>
        <w:pStyle w:val="Normalindrykning"/>
        <w:spacing w:after="0"/>
        <w:ind w:left="851"/>
        <w:rPr>
          <w:sz w:val="24"/>
          <w:szCs w:val="24"/>
        </w:rPr>
      </w:pPr>
      <w:r>
        <w:rPr>
          <w:sz w:val="24"/>
        </w:rPr>
        <w:t>For vedligeholdelsesbehandling kan dosen reduceres på basis af patientens respons på behandling. Yderligere behandling med levothyroxin kan være påkrævet for at undgå hypothyreoidisme.</w:t>
      </w:r>
    </w:p>
    <w:p w:rsidR="005D4698" w:rsidRDefault="005D4698" w:rsidP="005D4698">
      <w:pPr>
        <w:pStyle w:val="Normalindrykning"/>
        <w:spacing w:after="0"/>
        <w:ind w:left="851"/>
        <w:rPr>
          <w:sz w:val="24"/>
        </w:rPr>
      </w:pPr>
    </w:p>
    <w:p w:rsidR="005D4698" w:rsidRPr="00171FDA" w:rsidRDefault="005D4698" w:rsidP="005D4698">
      <w:pPr>
        <w:pStyle w:val="Normalindrykning"/>
        <w:spacing w:after="0"/>
        <w:ind w:left="851"/>
        <w:rPr>
          <w:sz w:val="24"/>
          <w:szCs w:val="24"/>
        </w:rPr>
      </w:pPr>
      <w:r>
        <w:rPr>
          <w:sz w:val="24"/>
        </w:rPr>
        <w:t>Den maksimale daglige dosis må ikke overstige 40 mg thiamazol.</w:t>
      </w:r>
    </w:p>
    <w:p w:rsidR="005D4698" w:rsidRPr="00171FDA" w:rsidRDefault="005D4698" w:rsidP="005D4698">
      <w:pPr>
        <w:pStyle w:val="Normalindrykning"/>
        <w:spacing w:after="0"/>
        <w:ind w:left="851"/>
        <w:rPr>
          <w:sz w:val="24"/>
          <w:szCs w:val="24"/>
        </w:rPr>
      </w:pPr>
    </w:p>
    <w:p w:rsidR="005D4698" w:rsidRPr="003B07A9" w:rsidRDefault="005D4698" w:rsidP="005D4698">
      <w:pPr>
        <w:pStyle w:val="Normalindrykning"/>
        <w:spacing w:after="0"/>
        <w:ind w:left="851"/>
        <w:rPr>
          <w:i/>
          <w:sz w:val="24"/>
          <w:szCs w:val="24"/>
        </w:rPr>
      </w:pPr>
      <w:r w:rsidRPr="003B07A9">
        <w:rPr>
          <w:i/>
          <w:sz w:val="24"/>
          <w:szCs w:val="24"/>
        </w:rPr>
        <w:t xml:space="preserve">Anvendelse til børn (2 år </w:t>
      </w:r>
      <w:r>
        <w:rPr>
          <w:i/>
          <w:sz w:val="24"/>
          <w:szCs w:val="24"/>
        </w:rPr>
        <w:t xml:space="preserve">eller </w:t>
      </w:r>
      <w:r w:rsidRPr="003B07A9">
        <w:rPr>
          <w:i/>
          <w:sz w:val="24"/>
          <w:szCs w:val="24"/>
        </w:rPr>
        <w:t>yngre)</w:t>
      </w:r>
    </w:p>
    <w:p w:rsidR="005D4698" w:rsidRDefault="005D4698" w:rsidP="005D4698">
      <w:pPr>
        <w:pStyle w:val="Normalindrykning"/>
        <w:spacing w:after="0"/>
        <w:ind w:left="851"/>
        <w:rPr>
          <w:sz w:val="24"/>
          <w:szCs w:val="24"/>
        </w:rPr>
      </w:pPr>
      <w:r w:rsidRPr="006B3A25">
        <w:rPr>
          <w:sz w:val="24"/>
          <w:szCs w:val="24"/>
        </w:rPr>
        <w:t>Sikkerheden og virkningen af thiamazol hos børn</w:t>
      </w:r>
      <w:r>
        <w:rPr>
          <w:sz w:val="24"/>
          <w:szCs w:val="24"/>
        </w:rPr>
        <w:t>,</w:t>
      </w:r>
      <w:r w:rsidRPr="006B3A25">
        <w:rPr>
          <w:sz w:val="24"/>
          <w:szCs w:val="24"/>
        </w:rPr>
        <w:t xml:space="preserve"> der er 2 år </w:t>
      </w:r>
      <w:r>
        <w:rPr>
          <w:sz w:val="24"/>
          <w:szCs w:val="24"/>
        </w:rPr>
        <w:t>eller</w:t>
      </w:r>
      <w:r w:rsidRPr="006B3A25">
        <w:rPr>
          <w:sz w:val="24"/>
          <w:szCs w:val="24"/>
        </w:rPr>
        <w:t xml:space="preserve"> yngre, er ikke blevet undersøgt systematisk. Det frarådes derfor at anvende thiamazol til børn</w:t>
      </w:r>
      <w:r>
        <w:rPr>
          <w:sz w:val="24"/>
          <w:szCs w:val="24"/>
        </w:rPr>
        <w:t>,</w:t>
      </w:r>
      <w:r w:rsidRPr="006B3A25">
        <w:rPr>
          <w:sz w:val="24"/>
          <w:szCs w:val="24"/>
        </w:rPr>
        <w:t xml:space="preserve"> der er 2 år </w:t>
      </w:r>
      <w:r>
        <w:rPr>
          <w:sz w:val="24"/>
          <w:szCs w:val="24"/>
        </w:rPr>
        <w:t>eller</w:t>
      </w:r>
      <w:r w:rsidRPr="006B3A25">
        <w:rPr>
          <w:sz w:val="24"/>
          <w:szCs w:val="24"/>
        </w:rPr>
        <w:t xml:space="preserve"> yngre.</w:t>
      </w:r>
    </w:p>
    <w:p w:rsidR="005D4698" w:rsidRDefault="005D4698" w:rsidP="005D4698">
      <w:pPr>
        <w:pStyle w:val="Normalindrykning"/>
        <w:spacing w:after="0"/>
        <w:ind w:left="851"/>
        <w:rPr>
          <w:sz w:val="24"/>
          <w:szCs w:val="24"/>
        </w:rPr>
      </w:pPr>
    </w:p>
    <w:p w:rsidR="005D4698" w:rsidRPr="009C25F6" w:rsidRDefault="005D4698" w:rsidP="005D4698">
      <w:pPr>
        <w:pStyle w:val="Normalindrykning"/>
        <w:spacing w:after="0"/>
        <w:ind w:left="851"/>
        <w:rPr>
          <w:sz w:val="24"/>
          <w:szCs w:val="24"/>
          <w:u w:val="single"/>
        </w:rPr>
      </w:pPr>
      <w:r w:rsidRPr="009C25F6">
        <w:rPr>
          <w:sz w:val="24"/>
          <w:u w:val="single"/>
        </w:rPr>
        <w:t>Særlige populationer</w:t>
      </w:r>
    </w:p>
    <w:p w:rsidR="005D4698" w:rsidRPr="00BA306A" w:rsidRDefault="005D4698" w:rsidP="005D4698">
      <w:pPr>
        <w:pStyle w:val="Normalindrykning"/>
        <w:spacing w:after="0"/>
        <w:ind w:left="851"/>
        <w:rPr>
          <w:sz w:val="24"/>
          <w:szCs w:val="24"/>
        </w:rPr>
      </w:pPr>
      <w:r>
        <w:rPr>
          <w:sz w:val="24"/>
        </w:rPr>
        <w:t xml:space="preserve">Hos patienter med nedsat leverfunktion er thiamazols plasmaclearance nedsat. Derfor bør dosen holdes så lav som muligt, og patienterne bør overvåges nøje </w:t>
      </w:r>
      <w:r>
        <w:rPr>
          <w:sz w:val="24"/>
          <w:cs/>
        </w:rPr>
        <w:t xml:space="preserve">– </w:t>
      </w:r>
      <w:r>
        <w:rPr>
          <w:sz w:val="24"/>
        </w:rPr>
        <w:t>der henvises til pkt. 4.4 og 5.2.</w:t>
      </w:r>
    </w:p>
    <w:p w:rsidR="005D4698" w:rsidRDefault="005D4698" w:rsidP="005D4698">
      <w:pPr>
        <w:pStyle w:val="Normalindrykning"/>
        <w:spacing w:after="0"/>
        <w:ind w:left="851"/>
        <w:rPr>
          <w:sz w:val="24"/>
        </w:rPr>
      </w:pPr>
    </w:p>
    <w:p w:rsidR="005D4698" w:rsidRPr="00BA306A" w:rsidRDefault="005D4698" w:rsidP="005D4698">
      <w:pPr>
        <w:pStyle w:val="Normalindrykning"/>
        <w:spacing w:after="0"/>
        <w:ind w:left="851"/>
        <w:rPr>
          <w:sz w:val="24"/>
          <w:szCs w:val="24"/>
        </w:rPr>
      </w:pPr>
      <w:r>
        <w:rPr>
          <w:sz w:val="24"/>
        </w:rPr>
        <w:t>Plasmahalveringstiden stiger også i tilfælde af nedsat nyrefunktion. Omhyggelig individuel dosisjustering under nøje overvågning er anbefalet. Dosen bør holdes så lav som muligt. Der henvises tillige til pkt. 4.4 og 5.2.</w:t>
      </w:r>
    </w:p>
    <w:p w:rsidR="005D4698" w:rsidRDefault="005D4698" w:rsidP="005D4698">
      <w:pPr>
        <w:pStyle w:val="Normalindrykning"/>
        <w:spacing w:after="0"/>
        <w:ind w:left="851"/>
        <w:rPr>
          <w:sz w:val="24"/>
          <w:szCs w:val="24"/>
        </w:rPr>
      </w:pPr>
    </w:p>
    <w:p w:rsidR="005D4698" w:rsidRPr="009C25F6" w:rsidRDefault="005D4698" w:rsidP="005D4698">
      <w:pPr>
        <w:pStyle w:val="Normalindrykning"/>
        <w:spacing w:after="0"/>
        <w:ind w:left="851"/>
        <w:rPr>
          <w:b/>
          <w:sz w:val="24"/>
          <w:szCs w:val="24"/>
        </w:rPr>
      </w:pPr>
      <w:r w:rsidRPr="009C25F6">
        <w:rPr>
          <w:b/>
          <w:sz w:val="24"/>
        </w:rPr>
        <w:t xml:space="preserve">Administration </w:t>
      </w:r>
    </w:p>
    <w:p w:rsidR="0067296E" w:rsidRPr="00BA306A" w:rsidRDefault="0067296E" w:rsidP="0067296E">
      <w:pPr>
        <w:pStyle w:val="Normalindrykning"/>
        <w:spacing w:after="0"/>
        <w:ind w:left="851"/>
        <w:rPr>
          <w:sz w:val="24"/>
          <w:szCs w:val="24"/>
        </w:rPr>
      </w:pPr>
      <w:r w:rsidRPr="002B0EF0">
        <w:rPr>
          <w:sz w:val="24"/>
        </w:rPr>
        <w:t xml:space="preserve">Tabletterne skal </w:t>
      </w:r>
      <w:r>
        <w:rPr>
          <w:sz w:val="24"/>
        </w:rPr>
        <w:t>synkes</w:t>
      </w:r>
      <w:r w:rsidRPr="002B0EF0">
        <w:rPr>
          <w:sz w:val="24"/>
        </w:rPr>
        <w:t xml:space="preserve"> med tilstrækkelig væske og ikke tygges</w:t>
      </w:r>
      <w:r>
        <w:rPr>
          <w:sz w:val="24"/>
        </w:rPr>
        <w:t xml:space="preserve"> </w:t>
      </w:r>
      <w:r w:rsidRPr="00A456FD">
        <w:rPr>
          <w:sz w:val="24"/>
        </w:rPr>
        <w:t>på grund af dårlig smag</w:t>
      </w:r>
      <w:r>
        <w:rPr>
          <w:sz w:val="24"/>
        </w:rPr>
        <w:t xml:space="preserve">. </w:t>
      </w:r>
    </w:p>
    <w:p w:rsidR="005D4698" w:rsidRDefault="005D4698" w:rsidP="005D4698">
      <w:pPr>
        <w:pStyle w:val="Normalindrykning"/>
        <w:spacing w:after="0"/>
        <w:ind w:left="851"/>
        <w:rPr>
          <w:sz w:val="24"/>
        </w:rPr>
      </w:pPr>
    </w:p>
    <w:p w:rsidR="005D4698" w:rsidRPr="00BA306A" w:rsidRDefault="005D4698" w:rsidP="005D4698">
      <w:pPr>
        <w:pStyle w:val="Normalindrykning"/>
        <w:spacing w:after="0"/>
        <w:ind w:left="851"/>
        <w:rPr>
          <w:sz w:val="24"/>
          <w:szCs w:val="24"/>
        </w:rPr>
      </w:pPr>
      <w:r>
        <w:rPr>
          <w:sz w:val="24"/>
        </w:rPr>
        <w:t xml:space="preserve">Under højdoseret initial behandling af hyperthyreose kan de ovennævnte daglige doser inddeles og tages med regelmæssige intervaller i løbet af dagen. </w:t>
      </w:r>
    </w:p>
    <w:p w:rsidR="005D4698" w:rsidRDefault="005D4698" w:rsidP="005D4698">
      <w:pPr>
        <w:pStyle w:val="Normalindrykning"/>
        <w:spacing w:after="0"/>
        <w:ind w:left="851"/>
        <w:rPr>
          <w:sz w:val="24"/>
        </w:rPr>
      </w:pPr>
    </w:p>
    <w:p w:rsidR="005D4698" w:rsidRPr="00C84483" w:rsidRDefault="005D4698" w:rsidP="005D4698">
      <w:pPr>
        <w:pStyle w:val="Normalindrykning"/>
        <w:spacing w:after="0"/>
        <w:ind w:left="851"/>
        <w:rPr>
          <w:sz w:val="24"/>
          <w:szCs w:val="24"/>
        </w:rPr>
      </w:pPr>
      <w:r>
        <w:rPr>
          <w:sz w:val="24"/>
        </w:rPr>
        <w:t>Vedligeholdelsesdosen kan tages på en gang om morgenen under eller efter morgenmaden.</w:t>
      </w:r>
    </w:p>
    <w:p w:rsidR="005D4698" w:rsidRDefault="005D4698" w:rsidP="005D4698">
      <w:pPr>
        <w:rPr>
          <w:sz w:val="24"/>
          <w:szCs w:val="24"/>
        </w:rPr>
      </w:pPr>
      <w:r>
        <w:rPr>
          <w:sz w:val="24"/>
          <w:szCs w:val="24"/>
        </w:rPr>
        <w:br w:type="page"/>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4.3</w:t>
      </w:r>
      <w:r w:rsidRPr="00C84483">
        <w:rPr>
          <w:b/>
          <w:sz w:val="24"/>
          <w:szCs w:val="24"/>
        </w:rPr>
        <w:tab/>
        <w:t>Kontraindikationer</w:t>
      </w:r>
    </w:p>
    <w:p w:rsidR="005D4698" w:rsidRPr="004649FC" w:rsidRDefault="005D4698" w:rsidP="005D4698">
      <w:pPr>
        <w:pStyle w:val="Normalindrykning"/>
        <w:spacing w:after="0"/>
        <w:ind w:left="851"/>
        <w:rPr>
          <w:sz w:val="24"/>
          <w:szCs w:val="24"/>
        </w:rPr>
      </w:pPr>
      <w:r>
        <w:rPr>
          <w:sz w:val="24"/>
        </w:rPr>
        <w:t>Thiamazole "Uni-Pharma" må ikke anvendes til patienter med</w:t>
      </w:r>
    </w:p>
    <w:p w:rsidR="005D4698" w:rsidRDefault="005D4698" w:rsidP="005D4698">
      <w:pPr>
        <w:pStyle w:val="Normalindrykning"/>
        <w:numPr>
          <w:ilvl w:val="0"/>
          <w:numId w:val="6"/>
        </w:numPr>
        <w:tabs>
          <w:tab w:val="clear" w:pos="567"/>
          <w:tab w:val="num" w:pos="1134"/>
        </w:tabs>
        <w:spacing w:after="0"/>
        <w:ind w:left="1134" w:hanging="283"/>
        <w:rPr>
          <w:sz w:val="24"/>
          <w:szCs w:val="24"/>
        </w:rPr>
      </w:pPr>
      <w:r>
        <w:rPr>
          <w:sz w:val="24"/>
        </w:rPr>
        <w:t>overfølsomhed over for thiamazol eller over for et eller flere af hjælpestofferne anført i pkt. 6.1,</w:t>
      </w:r>
    </w:p>
    <w:p w:rsidR="005D4698" w:rsidRPr="00FA7644" w:rsidRDefault="005D4698" w:rsidP="005D4698">
      <w:pPr>
        <w:pStyle w:val="Normalindrykning"/>
        <w:numPr>
          <w:ilvl w:val="0"/>
          <w:numId w:val="6"/>
        </w:numPr>
        <w:tabs>
          <w:tab w:val="clear" w:pos="567"/>
          <w:tab w:val="num" w:pos="1134"/>
        </w:tabs>
        <w:spacing w:after="0"/>
        <w:ind w:left="1134" w:hanging="283"/>
        <w:rPr>
          <w:sz w:val="24"/>
          <w:szCs w:val="24"/>
        </w:rPr>
      </w:pPr>
      <w:r>
        <w:rPr>
          <w:sz w:val="24"/>
        </w:rPr>
        <w:t>svær overfølsomhed over for andre thionamidderivater, f.eks. carbimazol og propylthiouracil (vedrørende milde overfølsomhedsreaktioner over for thionamidderivater henvises der til pkt. 4.4),</w:t>
      </w:r>
    </w:p>
    <w:p w:rsidR="005D4698" w:rsidRPr="004649FC" w:rsidRDefault="005D4698" w:rsidP="005D4698">
      <w:pPr>
        <w:pStyle w:val="Normalindrykning"/>
        <w:numPr>
          <w:ilvl w:val="0"/>
          <w:numId w:val="6"/>
        </w:numPr>
        <w:tabs>
          <w:tab w:val="clear" w:pos="567"/>
          <w:tab w:val="num" w:pos="1134"/>
        </w:tabs>
        <w:spacing w:after="0"/>
        <w:ind w:left="1134" w:hanging="283"/>
        <w:rPr>
          <w:sz w:val="24"/>
          <w:szCs w:val="24"/>
        </w:rPr>
      </w:pPr>
      <w:r>
        <w:rPr>
          <w:sz w:val="24"/>
        </w:rPr>
        <w:t>moderate til svære forstyrrelser i antallet af blodlegemer (granulocytopeni),</w:t>
      </w:r>
    </w:p>
    <w:p w:rsidR="005D4698" w:rsidRPr="004649FC" w:rsidRDefault="005D4698" w:rsidP="005D4698">
      <w:pPr>
        <w:pStyle w:val="Normalindrykning"/>
        <w:numPr>
          <w:ilvl w:val="0"/>
          <w:numId w:val="6"/>
        </w:numPr>
        <w:tabs>
          <w:tab w:val="clear" w:pos="567"/>
          <w:tab w:val="num" w:pos="1134"/>
        </w:tabs>
        <w:spacing w:after="0"/>
        <w:ind w:left="1134" w:hanging="283"/>
        <w:rPr>
          <w:sz w:val="24"/>
          <w:szCs w:val="24"/>
        </w:rPr>
      </w:pPr>
      <w:r>
        <w:rPr>
          <w:sz w:val="24"/>
        </w:rPr>
        <w:t>allerede eksisterende kolestase, som ikke er forårsaget af hyperthyreose,</w:t>
      </w:r>
    </w:p>
    <w:p w:rsidR="005D4698" w:rsidRPr="000B55B2" w:rsidRDefault="005D4698" w:rsidP="005D4698">
      <w:pPr>
        <w:pStyle w:val="Normalindrykning"/>
        <w:numPr>
          <w:ilvl w:val="0"/>
          <w:numId w:val="6"/>
        </w:numPr>
        <w:tabs>
          <w:tab w:val="clear" w:pos="567"/>
          <w:tab w:val="num" w:pos="1134"/>
        </w:tabs>
        <w:spacing w:after="0"/>
        <w:ind w:left="1134" w:hanging="283"/>
        <w:rPr>
          <w:sz w:val="24"/>
          <w:szCs w:val="24"/>
        </w:rPr>
      </w:pPr>
      <w:r>
        <w:rPr>
          <w:sz w:val="24"/>
        </w:rPr>
        <w:t>tidligere beskadigelse af knoglemarven efter behandling med thiamazol eller carbimazol.</w:t>
      </w:r>
    </w:p>
    <w:p w:rsidR="005D4698" w:rsidRPr="004649FC" w:rsidRDefault="005D4698" w:rsidP="005D4698">
      <w:pPr>
        <w:pStyle w:val="Normalindrykning"/>
        <w:numPr>
          <w:ilvl w:val="0"/>
          <w:numId w:val="6"/>
        </w:numPr>
        <w:tabs>
          <w:tab w:val="clear" w:pos="567"/>
          <w:tab w:val="num" w:pos="1134"/>
        </w:tabs>
        <w:spacing w:after="0"/>
        <w:ind w:left="1134" w:hanging="283"/>
        <w:rPr>
          <w:sz w:val="24"/>
          <w:szCs w:val="24"/>
        </w:rPr>
      </w:pPr>
      <w:r w:rsidRPr="00285032">
        <w:rPr>
          <w:sz w:val="24"/>
          <w:szCs w:val="24"/>
        </w:rPr>
        <w:t xml:space="preserve">Patienter med tidligere akut pancreatitis efter administration af thiamazol eller dets </w:t>
      </w:r>
      <w:r w:rsidRPr="00285032">
        <w:rPr>
          <w:i/>
          <w:iCs/>
          <w:sz w:val="24"/>
          <w:szCs w:val="24"/>
        </w:rPr>
        <w:t xml:space="preserve">prodrug </w:t>
      </w:r>
      <w:r w:rsidRPr="00285032">
        <w:rPr>
          <w:sz w:val="24"/>
          <w:szCs w:val="24"/>
        </w:rPr>
        <w:t>(carbimazol).</w:t>
      </w:r>
    </w:p>
    <w:p w:rsidR="005D4698" w:rsidRDefault="005D4698" w:rsidP="005D4698">
      <w:pPr>
        <w:pStyle w:val="Normalindrykning"/>
        <w:spacing w:after="0"/>
        <w:ind w:left="851"/>
        <w:rPr>
          <w:sz w:val="24"/>
        </w:rPr>
      </w:pPr>
    </w:p>
    <w:p w:rsidR="005D4698" w:rsidRPr="00C84483" w:rsidRDefault="005D4698" w:rsidP="005D4698">
      <w:pPr>
        <w:pStyle w:val="Normalindrykning"/>
        <w:spacing w:after="0"/>
        <w:ind w:left="851"/>
        <w:rPr>
          <w:sz w:val="24"/>
          <w:szCs w:val="24"/>
        </w:rPr>
      </w:pPr>
      <w:r>
        <w:rPr>
          <w:sz w:val="24"/>
        </w:rPr>
        <w:t>Kombinationsbehandling med thiamazol og thyroideahormoner er kontraindiceret under graviditet (se pkt. 4.6).</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D4698" w:rsidRDefault="005D4698" w:rsidP="005D4698">
      <w:pPr>
        <w:pStyle w:val="Normalindrykning"/>
        <w:spacing w:after="0"/>
        <w:ind w:left="851"/>
        <w:rPr>
          <w:sz w:val="24"/>
        </w:rPr>
      </w:pPr>
      <w:r>
        <w:rPr>
          <w:sz w:val="24"/>
        </w:rPr>
        <w:t>Thiamazol bør anvendes med forsigtighed hos patienter med milde overfølsomheds</w:t>
      </w:r>
      <w:r>
        <w:rPr>
          <w:sz w:val="24"/>
        </w:rPr>
        <w:softHyphen/>
        <w:t>reaktioner i anamnesen (f.eks. allergiske udslæt, pruritus).</w:t>
      </w:r>
    </w:p>
    <w:p w:rsidR="005D4698" w:rsidRPr="004649FC" w:rsidRDefault="005D4698" w:rsidP="005D4698">
      <w:pPr>
        <w:pStyle w:val="Normalindrykning"/>
        <w:spacing w:after="0"/>
        <w:ind w:left="851"/>
        <w:rPr>
          <w:sz w:val="24"/>
          <w:szCs w:val="24"/>
        </w:rPr>
      </w:pPr>
    </w:p>
    <w:p w:rsidR="005D4698" w:rsidRDefault="005D4698" w:rsidP="005D4698">
      <w:pPr>
        <w:pStyle w:val="Normalindrykning"/>
        <w:spacing w:after="0"/>
        <w:ind w:left="851"/>
        <w:rPr>
          <w:sz w:val="24"/>
        </w:rPr>
      </w:pPr>
      <w:r>
        <w:rPr>
          <w:sz w:val="24"/>
        </w:rPr>
        <w:t>Thiamazol må kun anvendes som kortvarig behandling og under nøje monitorering hos patienter med forstørret struma og luftrørsforsnævring på grund af risikoen for strumavækst.</w:t>
      </w:r>
    </w:p>
    <w:p w:rsidR="005D4698" w:rsidRPr="004649FC" w:rsidRDefault="005D4698" w:rsidP="005D4698">
      <w:pPr>
        <w:pStyle w:val="Normalindrykning"/>
        <w:spacing w:after="0"/>
        <w:ind w:left="851"/>
        <w:rPr>
          <w:sz w:val="24"/>
          <w:szCs w:val="24"/>
        </w:rPr>
      </w:pPr>
    </w:p>
    <w:p w:rsidR="005D4698" w:rsidRDefault="005D4698" w:rsidP="005D4698">
      <w:pPr>
        <w:pStyle w:val="Normalindrykning"/>
        <w:spacing w:after="0"/>
        <w:ind w:left="851"/>
        <w:rPr>
          <w:sz w:val="24"/>
          <w:szCs w:val="24"/>
        </w:rPr>
      </w:pPr>
      <w:r>
        <w:rPr>
          <w:sz w:val="24"/>
        </w:rPr>
        <w:t>Der er rapporteret om indtræden af agranulocytose i ca. 0,3 til 0,6 % af alle tilfælde, og patienten skal gøres opmærksom på symptomerne herpå (stomatitis, pharyngitis, feber) inden opstart af behandlingen. Hvis et eller flere af disse symptomer ses, skal patienterne rådes til omgående at kontakte deres læge med henblik på en blodtælling. Det indtræder som regel i de første uger af behandlingen, men det kan stadig vise sig nogle måneder efter opstart af behandlingen og ved genoptagelse af behandlingen. Det anbefales at monitorere antallet af blodlegemer nøje før og efter indledning af behandlingen, især i tilfælde af allerede eksisterende mild granulocytopeni. Hvis det bliver bekræftet, at der er tale om agranulocytose, er det nødvendigt at seponere lægemidlet.</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Andre myelotoksiske bivirkninger er sjældne ved brug af de anbefalede doser. De er indberettet ofte i forbindelse med meget høje doser thiamazol (ca. 120 mg om dagen). Disse doser må kun anvendes ved specielle indikationer (sygdom i svær grad, thyreotoksisk krise). Hvis der opstår knoglemarvstoksicitet under behandlingen med thiamazol, skal lægemidlet seponeres, og om nødvendigt skiftes der til et antithyreoidt lægemiddel fra en anden lægemiddelgruppe.</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Thiamazol skal anvendes med forsigtighed hos patienter med leversygdomme. Thiamazol kan forårsage leversygdom. Behandlingen skal seponeres, hvis abnorm leverfunktion forekommer. Halveringstiden kan forlænges i tilfælde af nedsat leverfunktion.</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Der er risiko for krydsallergi mellem carbimazol, thiamazol og propylthiouracil.</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 xml:space="preserve">Overdreven dosering kan medføre subklinisk eller klinisk hypothyreoidisme og strumavækst på grund af forhøjede TSH-niveauer. Derfor skal thiamazol-dosis reduceres, </w:t>
      </w:r>
      <w:r>
        <w:rPr>
          <w:sz w:val="24"/>
        </w:rPr>
        <w:lastRenderedPageBreak/>
        <w:t>så snart der er opnået en euthyreoid metabolisk tilstand, og om nødvendigt skal der desuden gives levothyroxin. Det har ingen gavnlig effekt at seponere thiamazol helt og fortsætte med levothyroxin alene.</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Strumavækst under behandling med thiamazol til trods for TSH-undertrykkelse skyldes den underliggende sygdom og kan ikke forebygges af yderligere behandling med levothyroxin.</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Det er af afgørende betydning at opnå normale TSH-niveauer for at minimere risikoen for indtræden eller forværring af endokrin orbitopati. Denne tilstand er dog ofte uafhængig af thyreoideasygdommens forløb. En sådan komplikation udgør ikke en grund til at ændre det adækvate behandlingsregimen og skal ikke anses for at være en bivirkning ved den korrekt udførte behandling.</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Hos en lille procentdel af patienterne kan der opstå sen hypothyreoidisme efter antithyreoid behandling uden yderligere ablative tiltag. Dette er sandsynligvis ikke en bivirkning ved lægemidlet, men skal anses for at være inflammatoriske og destruktive processer i parenkymvævet i thyreoidea på grund af den underliggende sygdom.</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Når det patologisk øgede energiforbrug ved hyperthyreoidisme reduceres, kan det medføre en (generelt ønsket) vægtøgning under behandlingen med thiamazol. Patienterne skal informeres om, at forbedring af det kliniske billede tyder på en normalisering af deres energiforbrug.</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Monitorering af serum-thyroxin er nødvendig. Forsigtighed er nødvendig ved intratorakal struma, som kan vokse under behandling. Ved intratorakal struma kan der opstå trakeal obstruktion.</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rPr>
      </w:pPr>
      <w:r>
        <w:rPr>
          <w:sz w:val="24"/>
        </w:rPr>
        <w:t>Thiamazole "Uni-Pharma" indeholder lactose. Patienter med sjælden arvelig galactoseintolerans, Lapp-laktasemangel eller glucose-galactose-malabsorption bør ikke tage dette lægemiddel.</w:t>
      </w:r>
    </w:p>
    <w:p w:rsidR="005D4698" w:rsidRDefault="005D4698" w:rsidP="005D4698">
      <w:pPr>
        <w:pStyle w:val="Normalindrykning"/>
        <w:spacing w:after="0"/>
        <w:ind w:left="851"/>
        <w:rPr>
          <w:sz w:val="24"/>
        </w:rPr>
      </w:pPr>
    </w:p>
    <w:p w:rsidR="005D4698" w:rsidRDefault="005D4698" w:rsidP="005D4698">
      <w:pPr>
        <w:pStyle w:val="Default"/>
        <w:ind w:firstLine="851"/>
        <w:rPr>
          <w:rFonts w:ascii="Times New Roman" w:hAnsi="Times New Roman" w:cs="Times New Roman"/>
        </w:rPr>
      </w:pPr>
      <w:r w:rsidRPr="00285032">
        <w:rPr>
          <w:rFonts w:ascii="Times New Roman" w:hAnsi="Times New Roman" w:cs="Times New Roman"/>
        </w:rPr>
        <w:t>Fertile kvinder skal bruge sikker prævention under behandlingen.</w:t>
      </w:r>
    </w:p>
    <w:p w:rsidR="005D4698" w:rsidRPr="00285032" w:rsidRDefault="005D4698" w:rsidP="005D4698">
      <w:pPr>
        <w:pStyle w:val="Default"/>
        <w:ind w:firstLine="851"/>
        <w:rPr>
          <w:rFonts w:ascii="Times New Roman" w:hAnsi="Times New Roman" w:cs="Times New Roman"/>
        </w:rPr>
      </w:pPr>
      <w:r w:rsidRPr="00285032">
        <w:rPr>
          <w:rFonts w:ascii="Times New Roman" w:hAnsi="Times New Roman" w:cs="Times New Roman"/>
        </w:rPr>
        <w:t xml:space="preserve"> </w:t>
      </w:r>
    </w:p>
    <w:p w:rsidR="005D4698" w:rsidRDefault="005D4698" w:rsidP="005D4698">
      <w:pPr>
        <w:pStyle w:val="Normalindrykning"/>
        <w:spacing w:after="0"/>
        <w:ind w:left="851"/>
        <w:rPr>
          <w:sz w:val="24"/>
          <w:szCs w:val="24"/>
        </w:rPr>
      </w:pPr>
      <w:r w:rsidRPr="00285032">
        <w:rPr>
          <w:sz w:val="24"/>
          <w:szCs w:val="24"/>
        </w:rPr>
        <w:t>Brugen af thiamazol hos gravide kvinder skal baseres på en individuel vurdering af fordele og risici. Hvis thiamazol anvendes under graviditet, bør det ske under anvendelse af den laveste virksomme dosis uden yderligere administration af thyroideahormoner. Nøje overvågning af moderen, fostret og det nyfødte barn er påkrævet (se pkt. 4.6).</w:t>
      </w:r>
    </w:p>
    <w:p w:rsidR="005D4698" w:rsidRDefault="005D4698" w:rsidP="005D4698">
      <w:pPr>
        <w:pStyle w:val="Normalindrykning"/>
        <w:spacing w:after="0"/>
        <w:ind w:left="851"/>
        <w:rPr>
          <w:sz w:val="24"/>
          <w:szCs w:val="24"/>
        </w:rPr>
      </w:pPr>
    </w:p>
    <w:p w:rsidR="005D4698" w:rsidRPr="00C84483" w:rsidRDefault="005D4698" w:rsidP="005D4698">
      <w:pPr>
        <w:pStyle w:val="Normalindrykning"/>
        <w:spacing w:after="0"/>
        <w:ind w:left="851"/>
        <w:rPr>
          <w:sz w:val="24"/>
          <w:szCs w:val="24"/>
        </w:rPr>
      </w:pPr>
      <w:r w:rsidRPr="00285032">
        <w:rPr>
          <w:sz w:val="24"/>
          <w:szCs w:val="24"/>
        </w:rPr>
        <w:t xml:space="preserve">Der er efter markedsføring indberettet tilfælde af akut pancreatitis hos patienter, der fik thiamazol eller dets </w:t>
      </w:r>
      <w:r w:rsidRPr="00285032">
        <w:rPr>
          <w:i/>
          <w:iCs/>
          <w:sz w:val="24"/>
          <w:szCs w:val="24"/>
        </w:rPr>
        <w:t xml:space="preserve">prodrug </w:t>
      </w:r>
      <w:r w:rsidRPr="00285032">
        <w:rPr>
          <w:sz w:val="24"/>
          <w:szCs w:val="24"/>
        </w:rPr>
        <w:t xml:space="preserve">(carbimazol). I tilfælde af akut pancreatitis bør thiamazol seponeres øjeblikkeligt. Patienter med tidligere akut pancreatitis efter administration af thiamazol eller dets </w:t>
      </w:r>
      <w:r w:rsidRPr="00285032">
        <w:rPr>
          <w:i/>
          <w:iCs/>
          <w:sz w:val="24"/>
          <w:szCs w:val="24"/>
        </w:rPr>
        <w:t xml:space="preserve">prodrug </w:t>
      </w:r>
      <w:r w:rsidRPr="00285032">
        <w:rPr>
          <w:sz w:val="24"/>
          <w:szCs w:val="24"/>
        </w:rPr>
        <w:t>(carbimazol) må ikke få thiamazol. Geneksponering kan medføre recidiv af akut pancreatitis med nedsat tid til debut.</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D4698" w:rsidRDefault="005D4698" w:rsidP="005D4698">
      <w:pPr>
        <w:pStyle w:val="Normalindrykning"/>
        <w:spacing w:after="0"/>
        <w:ind w:left="851"/>
        <w:rPr>
          <w:sz w:val="24"/>
          <w:szCs w:val="24"/>
        </w:rPr>
      </w:pPr>
      <w:r>
        <w:rPr>
          <w:sz w:val="24"/>
        </w:rPr>
        <w:t>Jodmangel øger thyreoideas respons på thiamazol, hvorimod jodoverskud nedsætter responset.</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Der kendes ikke til andre direkte interaktioner med andre lægemidler.</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lastRenderedPageBreak/>
        <w:t>Der skal dog tages højde for, at metaboliserings- og eliminationshastigheden af andre lægemidler kan være øget i forbindelse med hyperthyreoidisme. Dette normaliseres i takt med normaliseringen af thyroideafunktionen. Doseringen skal tilpasses efter behov.</w:t>
      </w:r>
    </w:p>
    <w:p w:rsidR="005D4698" w:rsidRDefault="005D4698" w:rsidP="005D4698">
      <w:pPr>
        <w:pStyle w:val="Normalindrykning"/>
        <w:spacing w:after="0"/>
        <w:ind w:left="851"/>
        <w:rPr>
          <w:sz w:val="24"/>
        </w:rPr>
      </w:pPr>
    </w:p>
    <w:p w:rsidR="005D4698" w:rsidRDefault="005D4698" w:rsidP="005D4698">
      <w:pPr>
        <w:pStyle w:val="Normalindrykning"/>
        <w:spacing w:after="0"/>
        <w:ind w:left="851"/>
        <w:rPr>
          <w:sz w:val="24"/>
          <w:szCs w:val="24"/>
        </w:rPr>
      </w:pPr>
      <w:r>
        <w:rPr>
          <w:sz w:val="24"/>
        </w:rPr>
        <w:t>Der er desuden evidens for, at korrektion af hyperthyreoidisme kan normalisere den øgede aktivitet af antikoagulantia hos hyperthyreoide patienter.</w:t>
      </w:r>
    </w:p>
    <w:p w:rsidR="005D4698" w:rsidRDefault="005D4698" w:rsidP="005D4698">
      <w:pPr>
        <w:pStyle w:val="Normalindrykning"/>
        <w:spacing w:after="0"/>
        <w:ind w:left="851"/>
        <w:rPr>
          <w:sz w:val="24"/>
        </w:rPr>
      </w:pPr>
    </w:p>
    <w:p w:rsidR="005D4698" w:rsidRPr="00C84483" w:rsidRDefault="005D4698" w:rsidP="005D4698">
      <w:pPr>
        <w:pStyle w:val="Normalindrykning"/>
        <w:spacing w:after="0"/>
        <w:ind w:left="851"/>
        <w:rPr>
          <w:sz w:val="24"/>
          <w:szCs w:val="24"/>
        </w:rPr>
      </w:pPr>
      <w:r>
        <w:rPr>
          <w:sz w:val="24"/>
        </w:rPr>
        <w:t>Der er ikke udført interaktionsstudier hos pædiatriske patienter.</w:t>
      </w:r>
    </w:p>
    <w:p w:rsidR="005D4698" w:rsidRPr="00C84483" w:rsidRDefault="005D4698" w:rsidP="005D4698">
      <w:pPr>
        <w:tabs>
          <w:tab w:val="left" w:pos="851"/>
        </w:tabs>
        <w:ind w:left="851"/>
        <w:rPr>
          <w:sz w:val="24"/>
          <w:szCs w:val="24"/>
        </w:rPr>
      </w:pPr>
    </w:p>
    <w:p w:rsidR="005D4698" w:rsidRPr="00C84483" w:rsidRDefault="005D4698" w:rsidP="00C47112">
      <w:pPr>
        <w:tabs>
          <w:tab w:val="left" w:pos="851"/>
        </w:tabs>
        <w:ind w:left="851" w:hanging="851"/>
        <w:rPr>
          <w:b/>
          <w:sz w:val="24"/>
          <w:szCs w:val="24"/>
        </w:rPr>
      </w:pPr>
      <w:r w:rsidRPr="00C84483">
        <w:rPr>
          <w:b/>
          <w:sz w:val="24"/>
          <w:szCs w:val="24"/>
        </w:rPr>
        <w:t>4.6</w:t>
      </w:r>
      <w:r w:rsidRPr="00C84483">
        <w:rPr>
          <w:b/>
          <w:sz w:val="24"/>
          <w:szCs w:val="24"/>
        </w:rPr>
        <w:tab/>
        <w:t>Graviditet og amning</w:t>
      </w:r>
    </w:p>
    <w:p w:rsidR="005D4698" w:rsidRDefault="005D4698" w:rsidP="00C47112">
      <w:pPr>
        <w:pStyle w:val="Normalindrykning"/>
        <w:spacing w:after="0"/>
        <w:ind w:left="851"/>
        <w:rPr>
          <w:sz w:val="24"/>
        </w:rPr>
      </w:pPr>
    </w:p>
    <w:p w:rsidR="005D4698" w:rsidRPr="00C47112" w:rsidRDefault="005D4698" w:rsidP="00C47112">
      <w:pPr>
        <w:pStyle w:val="Normalindrykning"/>
        <w:spacing w:after="0"/>
        <w:ind w:left="851"/>
        <w:rPr>
          <w:sz w:val="24"/>
          <w:szCs w:val="24"/>
          <w:u w:val="single"/>
        </w:rPr>
      </w:pPr>
      <w:r w:rsidRPr="00C47112">
        <w:rPr>
          <w:sz w:val="24"/>
          <w:szCs w:val="24"/>
          <w:u w:val="single"/>
        </w:rPr>
        <w:t>Fertile kvinder</w:t>
      </w:r>
    </w:p>
    <w:p w:rsidR="005D4698" w:rsidRPr="00C47112" w:rsidRDefault="005D4698" w:rsidP="00C47112">
      <w:pPr>
        <w:pStyle w:val="Normalindrykning"/>
        <w:spacing w:after="0"/>
        <w:ind w:left="851"/>
        <w:rPr>
          <w:sz w:val="24"/>
          <w:szCs w:val="24"/>
        </w:rPr>
      </w:pPr>
      <w:r w:rsidRPr="00C47112">
        <w:rPr>
          <w:sz w:val="24"/>
          <w:szCs w:val="24"/>
        </w:rPr>
        <w:t>Fertile kvinder skal bruge sikker prævention under behandlingen (se pkt. 4.4).</w:t>
      </w:r>
    </w:p>
    <w:p w:rsidR="005D4698" w:rsidRPr="00C47112" w:rsidRDefault="005D4698" w:rsidP="00C47112">
      <w:pPr>
        <w:pStyle w:val="Normalindrykning"/>
        <w:spacing w:after="0"/>
        <w:ind w:left="851"/>
        <w:rPr>
          <w:sz w:val="24"/>
        </w:rPr>
      </w:pPr>
    </w:p>
    <w:p w:rsidR="005D4698" w:rsidRPr="00C47112" w:rsidRDefault="005D4698" w:rsidP="00C47112">
      <w:pPr>
        <w:pStyle w:val="Normalindrykning"/>
        <w:spacing w:after="0"/>
        <w:ind w:left="851"/>
        <w:rPr>
          <w:sz w:val="24"/>
          <w:szCs w:val="24"/>
          <w:u w:val="single"/>
        </w:rPr>
      </w:pPr>
      <w:r w:rsidRPr="00C47112">
        <w:rPr>
          <w:sz w:val="24"/>
          <w:u w:val="single"/>
        </w:rPr>
        <w:t>Graviditet</w:t>
      </w:r>
    </w:p>
    <w:p w:rsidR="00C47112" w:rsidRDefault="00C47112" w:rsidP="00C47112">
      <w:pPr>
        <w:pStyle w:val="Default"/>
        <w:ind w:left="851"/>
        <w:rPr>
          <w:rFonts w:ascii="Times New Roman" w:hAnsi="Times New Roman" w:cs="Times New Roman"/>
        </w:rPr>
      </w:pPr>
      <w:r w:rsidRPr="00C47112">
        <w:rPr>
          <w:rFonts w:ascii="Times New Roman" w:hAnsi="Times New Roman" w:cs="Times New Roman"/>
        </w:rPr>
        <w:t>I tilfælde af hyperthyroidisme hos gravide kvinder bør relevant behandling iværksættes for at forebygge alvorlige komplikationer hos moderen og fostret.</w:t>
      </w:r>
      <w:r w:rsidRPr="00C47112">
        <w:rPr>
          <w:rFonts w:ascii="Times New Roman" w:hAnsi="Times New Roman" w:cs="Times New Roman"/>
        </w:rPr>
        <w:t xml:space="preserve"> Dog er hyperthyreoidisme forårsaget af behandling med upassende thiamazoldoser også forbundet med en tendens til abort.</w:t>
      </w:r>
    </w:p>
    <w:p w:rsidR="00C47112" w:rsidRDefault="00C47112" w:rsidP="00C47112">
      <w:pPr>
        <w:pStyle w:val="Default"/>
        <w:ind w:left="851"/>
        <w:rPr>
          <w:rFonts w:ascii="Times New Roman" w:hAnsi="Times New Roman" w:cs="Times New Roman"/>
        </w:rPr>
      </w:pPr>
    </w:p>
    <w:p w:rsidR="005D4698" w:rsidRDefault="005D4698" w:rsidP="00C47112">
      <w:pPr>
        <w:pStyle w:val="Default"/>
        <w:ind w:left="851"/>
        <w:rPr>
          <w:rFonts w:ascii="Times New Roman" w:hAnsi="Times New Roman" w:cs="Times New Roman"/>
        </w:rPr>
      </w:pPr>
      <w:r w:rsidRPr="00C47112">
        <w:rPr>
          <w:rFonts w:ascii="Times New Roman" w:hAnsi="Times New Roman" w:cs="Times New Roman"/>
        </w:rPr>
        <w:t>Thiamazol kan krydse placentabarrieren.</w:t>
      </w:r>
    </w:p>
    <w:p w:rsidR="00ED677B" w:rsidRPr="00C47112" w:rsidRDefault="00ED677B" w:rsidP="00C47112">
      <w:pPr>
        <w:pStyle w:val="Default"/>
        <w:ind w:left="851"/>
        <w:rPr>
          <w:rFonts w:ascii="Times New Roman" w:hAnsi="Times New Roman" w:cs="Times New Roman"/>
        </w:rPr>
      </w:pPr>
    </w:p>
    <w:p w:rsidR="005D4698" w:rsidRDefault="005D4698" w:rsidP="00C47112">
      <w:pPr>
        <w:pStyle w:val="Default"/>
        <w:ind w:left="851"/>
        <w:rPr>
          <w:rFonts w:ascii="Times New Roman" w:hAnsi="Times New Roman" w:cs="Times New Roman"/>
        </w:rPr>
      </w:pPr>
      <w:r w:rsidRPr="00285032">
        <w:rPr>
          <w:rFonts w:ascii="Times New Roman" w:hAnsi="Times New Roman" w:cs="Times New Roman"/>
        </w:rPr>
        <w:t>På grundlag af humane data fra epidemiologiske studier og spontane indberetninger formodes thiamazol at forårsage medfødte misdannelser, når det administreres under graviditet, især i første trimester af graviditeten og ved høje doser.</w:t>
      </w:r>
    </w:p>
    <w:p w:rsidR="00ED677B" w:rsidRPr="00285032" w:rsidRDefault="00ED677B" w:rsidP="00C47112">
      <w:pPr>
        <w:pStyle w:val="Default"/>
        <w:ind w:left="851"/>
        <w:rPr>
          <w:rFonts w:ascii="Times New Roman" w:hAnsi="Times New Roman" w:cs="Times New Roman"/>
        </w:rPr>
      </w:pPr>
    </w:p>
    <w:p w:rsidR="005D4698" w:rsidRDefault="005D4698" w:rsidP="00C47112">
      <w:pPr>
        <w:pStyle w:val="Default"/>
        <w:ind w:left="851"/>
        <w:rPr>
          <w:rFonts w:ascii="Times New Roman" w:hAnsi="Times New Roman" w:cs="Times New Roman"/>
        </w:rPr>
      </w:pPr>
      <w:r w:rsidRPr="00285032">
        <w:rPr>
          <w:rFonts w:ascii="Times New Roman" w:hAnsi="Times New Roman" w:cs="Times New Roman"/>
        </w:rPr>
        <w:t>De indberettede misdannelser omfatter aplasia cutis congenita, kraniofaciale misdannelser (choanal atresi, facial dysmorfisme), navlebrok, øsofageal atresi, ductus omphaloentericus-anomali og ventrikelseptumdefekt.</w:t>
      </w:r>
    </w:p>
    <w:p w:rsidR="00ED677B" w:rsidRPr="00285032" w:rsidRDefault="00ED677B" w:rsidP="00C47112">
      <w:pPr>
        <w:pStyle w:val="Default"/>
        <w:ind w:left="851"/>
        <w:rPr>
          <w:rFonts w:ascii="Times New Roman" w:hAnsi="Times New Roman" w:cs="Times New Roman"/>
        </w:rPr>
      </w:pPr>
    </w:p>
    <w:p w:rsidR="005D4698" w:rsidRPr="00F72352" w:rsidRDefault="005D4698" w:rsidP="00C47112">
      <w:pPr>
        <w:pStyle w:val="Normalindrykning"/>
        <w:spacing w:after="0"/>
        <w:ind w:left="851"/>
        <w:rPr>
          <w:sz w:val="24"/>
          <w:szCs w:val="24"/>
        </w:rPr>
      </w:pPr>
      <w:r w:rsidRPr="00285032">
        <w:rPr>
          <w:sz w:val="24"/>
          <w:szCs w:val="24"/>
        </w:rPr>
        <w:t>Thiamazol må kun administreres under graviditet efter en kritisk vurdering af benefit/risk-forholdet hos den enkelte patient og kun ved den laveste virksomme dosis uden yderligere administration af thyroideahormoner. Hvis thiamazol anvendes under graviditet, anbefales nøje overvågning af moderen, fostret og det nyfødte barn (se pkt. 4.4).</w:t>
      </w:r>
    </w:p>
    <w:p w:rsidR="005D4698" w:rsidRDefault="005D4698" w:rsidP="005D4698">
      <w:pPr>
        <w:pStyle w:val="Normalindrykning"/>
        <w:spacing w:after="0"/>
        <w:ind w:left="851"/>
        <w:rPr>
          <w:sz w:val="24"/>
          <w:szCs w:val="24"/>
        </w:rPr>
      </w:pPr>
    </w:p>
    <w:p w:rsidR="005D4698" w:rsidRPr="00537B32" w:rsidRDefault="005D4698" w:rsidP="005D4698">
      <w:pPr>
        <w:pStyle w:val="Normalindrykning"/>
        <w:spacing w:after="0"/>
        <w:ind w:left="851"/>
        <w:rPr>
          <w:sz w:val="24"/>
          <w:szCs w:val="24"/>
          <w:u w:val="single"/>
        </w:rPr>
      </w:pPr>
      <w:r w:rsidRPr="00537B32">
        <w:rPr>
          <w:sz w:val="24"/>
          <w:u w:val="single"/>
        </w:rPr>
        <w:t>Amning</w:t>
      </w:r>
    </w:p>
    <w:p w:rsidR="005D4698" w:rsidRPr="00AC2E46" w:rsidRDefault="005D4698" w:rsidP="005D4698">
      <w:pPr>
        <w:pStyle w:val="Normalindrykning"/>
        <w:spacing w:after="0"/>
        <w:ind w:left="851"/>
        <w:rPr>
          <w:sz w:val="24"/>
          <w:szCs w:val="24"/>
        </w:rPr>
      </w:pPr>
      <w:r>
        <w:rPr>
          <w:sz w:val="24"/>
        </w:rPr>
        <w:t>Thiamazol udskilles i human mælk, hvor det kan nå koncentrationer, der svarer til serumniveauerne hos moderen, så der er en risiko for udvikling af hypothyreoidism hos spædbarnet.</w:t>
      </w:r>
    </w:p>
    <w:p w:rsidR="005D4698" w:rsidRDefault="005D4698" w:rsidP="005D4698">
      <w:pPr>
        <w:pStyle w:val="Normalindrykning"/>
        <w:spacing w:after="0"/>
        <w:ind w:left="851"/>
        <w:rPr>
          <w:sz w:val="24"/>
        </w:rPr>
      </w:pPr>
    </w:p>
    <w:p w:rsidR="005D4698" w:rsidRPr="00AC2E46" w:rsidRDefault="005D4698" w:rsidP="005D4698">
      <w:pPr>
        <w:pStyle w:val="Normalindrykning"/>
        <w:spacing w:after="0"/>
        <w:ind w:left="851"/>
        <w:rPr>
          <w:sz w:val="24"/>
          <w:szCs w:val="24"/>
        </w:rPr>
      </w:pPr>
      <w:r>
        <w:rPr>
          <w:sz w:val="24"/>
        </w:rPr>
        <w:t>Det er muligt at amme under behandlingen med thiamazol, dog kun ved brug af lave doser på op til 10 mg daglig uden yderligere administration af thyroideahormoner.</w:t>
      </w:r>
    </w:p>
    <w:p w:rsidR="005D4698" w:rsidRDefault="005D4698" w:rsidP="005D4698">
      <w:pPr>
        <w:pStyle w:val="Normalindrykning"/>
        <w:spacing w:after="0"/>
        <w:ind w:left="851"/>
        <w:rPr>
          <w:sz w:val="24"/>
        </w:rPr>
      </w:pPr>
    </w:p>
    <w:p w:rsidR="005D4698" w:rsidRPr="00C84483" w:rsidRDefault="005D4698" w:rsidP="005D4698">
      <w:pPr>
        <w:pStyle w:val="Normalindrykning"/>
        <w:spacing w:after="0"/>
        <w:ind w:left="851"/>
        <w:rPr>
          <w:sz w:val="24"/>
          <w:szCs w:val="24"/>
        </w:rPr>
      </w:pPr>
      <w:r>
        <w:rPr>
          <w:sz w:val="24"/>
        </w:rPr>
        <w:t>Den nyfødtes skjoldbruskkirtelfunktion skal monitoreres regelmæssigt.</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5D4698" w:rsidRPr="005E5C84" w:rsidRDefault="005D4698" w:rsidP="005D4698">
      <w:pPr>
        <w:ind w:left="851"/>
        <w:jc w:val="both"/>
        <w:rPr>
          <w:sz w:val="24"/>
          <w:szCs w:val="24"/>
          <w:lang w:eastAsia="da-DK"/>
        </w:rPr>
      </w:pPr>
      <w:r w:rsidRPr="005E5C84">
        <w:rPr>
          <w:sz w:val="24"/>
          <w:szCs w:val="24"/>
          <w:lang w:eastAsia="da-DK"/>
        </w:rPr>
        <w:t>Ikke mærkning.</w:t>
      </w:r>
    </w:p>
    <w:p w:rsidR="005D4698" w:rsidRPr="00C84483" w:rsidRDefault="005D4698" w:rsidP="005D4698">
      <w:pPr>
        <w:ind w:left="851"/>
        <w:jc w:val="both"/>
        <w:rPr>
          <w:sz w:val="24"/>
          <w:szCs w:val="24"/>
          <w:lang w:eastAsia="da-DK"/>
        </w:rPr>
      </w:pPr>
      <w:r w:rsidRPr="005E5C84">
        <w:rPr>
          <w:sz w:val="24"/>
          <w:szCs w:val="24"/>
          <w:lang w:eastAsia="da-DK"/>
        </w:rPr>
        <w:t>Thiamazol påvirker ikke eller kun i ubetydelig grad evnen til at føre motorkøretøj og betjene maskiner.</w:t>
      </w:r>
    </w:p>
    <w:p w:rsidR="00ED677B" w:rsidRDefault="00ED677B">
      <w:pPr>
        <w:rPr>
          <w:sz w:val="24"/>
          <w:szCs w:val="24"/>
        </w:rPr>
      </w:pPr>
      <w:r>
        <w:rPr>
          <w:sz w:val="24"/>
          <w:szCs w:val="24"/>
        </w:rPr>
        <w:br w:type="page"/>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4.8</w:t>
      </w:r>
      <w:r w:rsidRPr="00C84483">
        <w:rPr>
          <w:b/>
          <w:sz w:val="24"/>
          <w:szCs w:val="24"/>
        </w:rPr>
        <w:tab/>
        <w:t>Bivirkninger</w:t>
      </w:r>
    </w:p>
    <w:p w:rsidR="005D4698" w:rsidRDefault="005D4698" w:rsidP="005D4698">
      <w:pPr>
        <w:ind w:left="851"/>
        <w:rPr>
          <w:sz w:val="24"/>
          <w:lang w:eastAsia="da-DK"/>
        </w:rPr>
      </w:pPr>
      <w:r w:rsidRPr="00D02207">
        <w:rPr>
          <w:sz w:val="24"/>
          <w:lang w:eastAsia="da-DK"/>
        </w:rPr>
        <w:t>Bivirkningerne, der er anført herunder, er klassificeret ifølge MedDRA hyppighed og organklasse. Kategorier for hyppigheden er defineret i henhold til følgende konvention: Meget almindelig (</w:t>
      </w:r>
      <w:r w:rsidRPr="00D02207">
        <w:rPr>
          <w:sz w:val="24"/>
          <w:cs/>
          <w:lang w:eastAsia="da-DK"/>
        </w:rPr>
        <w:t xml:space="preserve">≥ </w:t>
      </w:r>
      <w:r w:rsidRPr="00D02207">
        <w:rPr>
          <w:sz w:val="24"/>
          <w:lang w:eastAsia="da-DK"/>
        </w:rPr>
        <w:t>1/10); almindelig (</w:t>
      </w:r>
      <w:r w:rsidRPr="00D02207">
        <w:rPr>
          <w:sz w:val="24"/>
          <w:cs/>
          <w:lang w:eastAsia="da-DK"/>
        </w:rPr>
        <w:t xml:space="preserve">≥ </w:t>
      </w:r>
      <w:r w:rsidRPr="00D02207">
        <w:rPr>
          <w:sz w:val="24"/>
          <w:lang w:eastAsia="da-DK"/>
        </w:rPr>
        <w:t>1/100 til &lt; 1/10); ikke almindelig (</w:t>
      </w:r>
      <w:r w:rsidRPr="00D02207">
        <w:rPr>
          <w:sz w:val="24"/>
          <w:cs/>
          <w:lang w:eastAsia="da-DK"/>
        </w:rPr>
        <w:t xml:space="preserve">≥ </w:t>
      </w:r>
      <w:r w:rsidRPr="00D02207">
        <w:rPr>
          <w:sz w:val="24"/>
          <w:lang w:eastAsia="da-DK"/>
        </w:rPr>
        <w:t>1/1.000 til &lt; 1/100); sjælden (</w:t>
      </w:r>
      <w:r w:rsidRPr="00D02207">
        <w:rPr>
          <w:sz w:val="24"/>
          <w:cs/>
          <w:lang w:eastAsia="da-DK"/>
        </w:rPr>
        <w:t xml:space="preserve">≥ </w:t>
      </w:r>
      <w:r w:rsidRPr="00D02207">
        <w:rPr>
          <w:sz w:val="24"/>
          <w:lang w:eastAsia="da-DK"/>
        </w:rPr>
        <w:t>1/10.000 til &lt; 1/1.000); meget sjælden (&lt; 1/10.000); ikke kendt (kan ikke estimeres ud fra forhåndenværende data).</w:t>
      </w:r>
    </w:p>
    <w:p w:rsidR="005D4698" w:rsidRPr="00D02207" w:rsidRDefault="005D4698" w:rsidP="005D4698">
      <w:pPr>
        <w:ind w:left="851"/>
        <w:rPr>
          <w:sz w:val="24"/>
          <w:szCs w:val="24"/>
          <w:lang w:eastAsia="da-DK"/>
        </w:rPr>
      </w:pPr>
    </w:p>
    <w:p w:rsidR="005D4698" w:rsidRDefault="005D4698" w:rsidP="005D4698">
      <w:pPr>
        <w:ind w:left="851"/>
        <w:rPr>
          <w:sz w:val="24"/>
          <w:lang w:eastAsia="da-DK"/>
        </w:rPr>
      </w:pPr>
      <w:r w:rsidRPr="00D02207">
        <w:rPr>
          <w:sz w:val="24"/>
          <w:lang w:eastAsia="da-DK"/>
        </w:rPr>
        <w:t>Bivirkningerne er dosisafhængige.</w:t>
      </w:r>
    </w:p>
    <w:p w:rsidR="005D4698" w:rsidRPr="00D02207" w:rsidRDefault="005D4698" w:rsidP="005D4698">
      <w:pPr>
        <w:ind w:left="851"/>
        <w:rPr>
          <w:sz w:val="24"/>
          <w:szCs w:val="24"/>
          <w:lang w:eastAsia="da-DK"/>
        </w:rPr>
      </w:pPr>
    </w:p>
    <w:tbl>
      <w:tblPr>
        <w:tblW w:w="8432" w:type="dxa"/>
        <w:tblInd w:w="846" w:type="dxa"/>
        <w:tblLayout w:type="fixed"/>
        <w:tblCellMar>
          <w:left w:w="10" w:type="dxa"/>
          <w:right w:w="10" w:type="dxa"/>
        </w:tblCellMar>
        <w:tblLook w:val="0000" w:firstRow="0" w:lastRow="0" w:firstColumn="0" w:lastColumn="0" w:noHBand="0" w:noVBand="0"/>
      </w:tblPr>
      <w:tblGrid>
        <w:gridCol w:w="4216"/>
        <w:gridCol w:w="4216"/>
      </w:tblGrid>
      <w:tr w:rsidR="005D4698" w:rsidRPr="00D02207" w:rsidTr="003B4BCE">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t>Blod og lymfesystem</w:t>
            </w:r>
          </w:p>
          <w:p w:rsidR="005D4698" w:rsidRPr="00D02207" w:rsidRDefault="005D4698" w:rsidP="003B4BCE">
            <w:pPr>
              <w:tabs>
                <w:tab w:val="left" w:pos="1306"/>
              </w:tabs>
              <w:ind w:left="30"/>
              <w:rPr>
                <w:sz w:val="24"/>
                <w:szCs w:val="24"/>
                <w:lang w:eastAsia="da-DK"/>
              </w:rPr>
            </w:pPr>
            <w:r w:rsidRPr="00D02207">
              <w:rPr>
                <w:sz w:val="24"/>
                <w:szCs w:val="24"/>
                <w:lang w:eastAsia="da-DK"/>
              </w:rPr>
              <w:t>Meget almindelig (</w:t>
            </w:r>
            <w:r w:rsidRPr="00D02207">
              <w:rPr>
                <w:sz w:val="24"/>
                <w:szCs w:val="24"/>
                <w:cs/>
                <w:lang w:eastAsia="da-DK"/>
              </w:rPr>
              <w:t xml:space="preserve">≥ </w:t>
            </w:r>
            <w:r w:rsidRPr="00D02207">
              <w:rPr>
                <w:sz w:val="24"/>
                <w:szCs w:val="24"/>
                <w:lang w:eastAsia="da-DK"/>
              </w:rPr>
              <w:t>1/10)</w:t>
            </w: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1/100 til &lt; 1/10)</w:t>
            </w: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Ikke almindelig (</w:t>
            </w:r>
            <w:r w:rsidRPr="00D02207">
              <w:rPr>
                <w:sz w:val="24"/>
                <w:szCs w:val="24"/>
                <w:cs/>
                <w:lang w:eastAsia="da-DK"/>
              </w:rPr>
              <w:t xml:space="preserve">≥ </w:t>
            </w:r>
            <w:r w:rsidRPr="00D02207">
              <w:rPr>
                <w:sz w:val="24"/>
                <w:szCs w:val="24"/>
                <w:lang w:eastAsia="da-DK"/>
              </w:rPr>
              <w:t>1/1.000 til &lt; 1/100)</w:t>
            </w:r>
          </w:p>
          <w:p w:rsidR="005D4698"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1/10.000 til &lt; 1/1.000)</w:t>
            </w: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Meget sjælden (&lt; 1/10.000)</w:t>
            </w:r>
          </w:p>
          <w:p w:rsidR="005D4698" w:rsidRPr="00D02207" w:rsidRDefault="005D4698" w:rsidP="003B4BCE">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pacing w:val="-3"/>
                <w:sz w:val="24"/>
                <w:szCs w:val="24"/>
                <w:lang w:eastAsia="da-DK"/>
              </w:rPr>
              <w:t>Granulocytopeni.</w:t>
            </w:r>
          </w:p>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Leukopeni.</w:t>
            </w:r>
          </w:p>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Agranulocytose. Der henvises til pkt. 4.4. Trombocytopeni.</w:t>
            </w:r>
          </w:p>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Aplastisk anæmi, lymfadenopati</w:t>
            </w:r>
            <w:r w:rsidRPr="00D02207">
              <w:rPr>
                <w:spacing w:val="-3"/>
                <w:sz w:val="24"/>
                <w:szCs w:val="24"/>
                <w:lang w:eastAsia="da-DK"/>
              </w:rPr>
              <w:t>.</w:t>
            </w:r>
          </w:p>
          <w:p w:rsidR="005D4698" w:rsidRPr="00D02207" w:rsidRDefault="005D4698" w:rsidP="003B4BCE">
            <w:pPr>
              <w:ind w:left="67"/>
              <w:rPr>
                <w:spacing w:val="-3"/>
                <w:sz w:val="24"/>
                <w:szCs w:val="24"/>
                <w:lang w:eastAsia="da-DK"/>
              </w:rPr>
            </w:pPr>
          </w:p>
          <w:p w:rsidR="005D4698" w:rsidRPr="00D02207" w:rsidRDefault="005D4698" w:rsidP="003B4BCE">
            <w:pPr>
              <w:ind w:left="67"/>
              <w:rPr>
                <w:sz w:val="24"/>
                <w:szCs w:val="24"/>
                <w:lang w:eastAsia="da-DK"/>
              </w:rPr>
            </w:pPr>
            <w:r w:rsidRPr="00D02207">
              <w:rPr>
                <w:spacing w:val="-3"/>
                <w:sz w:val="24"/>
                <w:szCs w:val="24"/>
                <w:lang w:eastAsia="da-DK"/>
              </w:rPr>
              <w:t>Pancytopeni.</w:t>
            </w:r>
          </w:p>
        </w:tc>
      </w:tr>
      <w:tr w:rsidR="005D4698" w:rsidRPr="00D02207" w:rsidTr="003B4BCE">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t>Det endokrine system</w:t>
            </w:r>
          </w:p>
          <w:p w:rsidR="005D4698" w:rsidRPr="00D02207" w:rsidRDefault="005D4698" w:rsidP="003B4BCE">
            <w:pPr>
              <w:tabs>
                <w:tab w:val="left" w:pos="1306"/>
              </w:tabs>
              <w:ind w:left="30"/>
              <w:rPr>
                <w:sz w:val="24"/>
                <w:szCs w:val="24"/>
                <w:lang w:eastAsia="da-DK"/>
              </w:rPr>
            </w:pPr>
            <w:r w:rsidRPr="00D02207">
              <w:rPr>
                <w:sz w:val="24"/>
                <w:szCs w:val="24"/>
                <w:lang w:eastAsia="da-DK"/>
              </w:rPr>
              <w:t>Ikke kendt</w:t>
            </w:r>
          </w:p>
          <w:p w:rsidR="005D4698" w:rsidRPr="00D02207" w:rsidRDefault="005D4698" w:rsidP="003B4BCE">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Autoimmunt insulinsyndrom (med udtalt fald i blodglucoseniveauerne).</w:t>
            </w:r>
          </w:p>
          <w:p w:rsidR="005D4698" w:rsidRPr="00D02207" w:rsidRDefault="005D4698" w:rsidP="003B4BCE">
            <w:pPr>
              <w:ind w:left="67"/>
              <w:rPr>
                <w:sz w:val="24"/>
                <w:szCs w:val="24"/>
                <w:lang w:eastAsia="da-DK"/>
              </w:rPr>
            </w:pPr>
          </w:p>
        </w:tc>
      </w:tr>
      <w:tr w:rsidR="005D4698" w:rsidRPr="00D02207" w:rsidTr="003B4BCE">
        <w:trPr>
          <w:trHeight w:val="8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t>Nervesystemet</w:t>
            </w:r>
          </w:p>
          <w:p w:rsidR="005D4698" w:rsidRPr="00D02207" w:rsidRDefault="005D4698" w:rsidP="003B4BCE">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1/10.000 til &lt; 1/1.000)</w:t>
            </w: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Meget sjælden (&lt; 1/10.000)</w:t>
            </w:r>
          </w:p>
          <w:p w:rsidR="005D4698" w:rsidRPr="00D02207" w:rsidRDefault="005D4698" w:rsidP="003B4BCE">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u w:val="single"/>
                <w:lang w:eastAsia="da-DK"/>
              </w:rPr>
            </w:pPr>
          </w:p>
          <w:p w:rsidR="005D4698" w:rsidRPr="00D02207" w:rsidRDefault="005D4698" w:rsidP="003B4BCE">
            <w:pPr>
              <w:ind w:left="67"/>
              <w:rPr>
                <w:sz w:val="24"/>
                <w:szCs w:val="24"/>
                <w:lang w:eastAsia="da-DK"/>
              </w:rPr>
            </w:pPr>
            <w:r w:rsidRPr="00D02207">
              <w:rPr>
                <w:sz w:val="24"/>
                <w:szCs w:val="24"/>
                <w:lang w:eastAsia="da-DK"/>
              </w:rPr>
              <w:t>Smagsforstyrrelser (dysgeusi, ageusi). Svimmelhed.</w:t>
            </w:r>
          </w:p>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 xml:space="preserve">Neuritis, polyneuropati. </w:t>
            </w:r>
          </w:p>
          <w:p w:rsidR="005D4698" w:rsidRPr="00D02207" w:rsidRDefault="005D4698" w:rsidP="003B4BCE">
            <w:pPr>
              <w:ind w:left="67"/>
              <w:rPr>
                <w:sz w:val="24"/>
                <w:szCs w:val="24"/>
                <w:lang w:eastAsia="da-DK"/>
              </w:rPr>
            </w:pPr>
          </w:p>
        </w:tc>
      </w:tr>
      <w:tr w:rsidR="005D4698" w:rsidRPr="00D02207" w:rsidTr="003B4BCE">
        <w:trPr>
          <w:trHeight w:val="465"/>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t>Vaskulære sygdomme</w:t>
            </w:r>
          </w:p>
          <w:p w:rsidR="005D4698" w:rsidRPr="00D02207" w:rsidRDefault="005D4698" w:rsidP="003B4BCE">
            <w:pPr>
              <w:tabs>
                <w:tab w:val="left" w:pos="1306"/>
              </w:tabs>
              <w:ind w:left="30"/>
              <w:rPr>
                <w:sz w:val="24"/>
                <w:szCs w:val="24"/>
                <w:lang w:eastAsia="da-DK"/>
              </w:rPr>
            </w:pPr>
            <w:r w:rsidRPr="00D02207">
              <w:rPr>
                <w:sz w:val="24"/>
                <w:szCs w:val="24"/>
                <w:lang w:eastAsia="da-DK"/>
              </w:rPr>
              <w:t>Meget sjælden (&lt; 1/10.000)</w:t>
            </w:r>
          </w:p>
          <w:p w:rsidR="005D4698" w:rsidRPr="00D02207" w:rsidRDefault="005D4698" w:rsidP="003B4BCE">
            <w:pPr>
              <w:tabs>
                <w:tab w:val="left" w:pos="1306"/>
              </w:tabs>
              <w:ind w:left="30"/>
              <w:rPr>
                <w:b/>
                <w:sz w:val="24"/>
                <w:szCs w:val="24"/>
                <w:lang w:eastAsia="da-DK"/>
              </w:rPr>
            </w:pPr>
          </w:p>
          <w:p w:rsidR="005D4698" w:rsidRPr="00D02207" w:rsidRDefault="005D4698" w:rsidP="003B4BCE">
            <w:pPr>
              <w:tabs>
                <w:tab w:val="left" w:pos="1306"/>
              </w:tabs>
              <w:ind w:left="30"/>
              <w:rPr>
                <w:b/>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Vasculitis.</w:t>
            </w:r>
          </w:p>
        </w:tc>
      </w:tr>
      <w:tr w:rsidR="005D4698" w:rsidRPr="00D02207" w:rsidTr="003B4BCE">
        <w:trPr>
          <w:trHeight w:val="465"/>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lastRenderedPageBreak/>
              <w:t>Mave-tarm-kanalen</w:t>
            </w:r>
          </w:p>
          <w:p w:rsidR="005D4698" w:rsidRPr="00D02207" w:rsidRDefault="005D4698" w:rsidP="003B4BCE">
            <w:pPr>
              <w:tabs>
                <w:tab w:val="left" w:pos="1306"/>
              </w:tabs>
              <w:ind w:left="30"/>
              <w:rPr>
                <w:sz w:val="24"/>
                <w:szCs w:val="24"/>
                <w:lang w:eastAsia="da-DK"/>
              </w:rPr>
            </w:pPr>
            <w:r w:rsidRPr="00D02207">
              <w:rPr>
                <w:sz w:val="24"/>
                <w:szCs w:val="24"/>
                <w:lang w:eastAsia="da-DK"/>
              </w:rPr>
              <w:t>Ikke almindelig (</w:t>
            </w:r>
            <w:r w:rsidRPr="00D02207">
              <w:rPr>
                <w:sz w:val="24"/>
                <w:szCs w:val="24"/>
                <w:cs/>
                <w:lang w:eastAsia="da-DK"/>
              </w:rPr>
              <w:t xml:space="preserve">≥ </w:t>
            </w:r>
            <w:r w:rsidRPr="00D02207">
              <w:rPr>
                <w:sz w:val="24"/>
                <w:szCs w:val="24"/>
                <w:lang w:eastAsia="da-DK"/>
              </w:rPr>
              <w:t>1/1.000 til &lt; 1/100)</w:t>
            </w:r>
          </w:p>
          <w:p w:rsidR="005D4698" w:rsidRPr="00D02207" w:rsidRDefault="005D4698" w:rsidP="003B4BCE">
            <w:pPr>
              <w:tabs>
                <w:tab w:val="left" w:pos="1306"/>
              </w:tabs>
              <w:ind w:left="30"/>
              <w:rPr>
                <w:sz w:val="24"/>
                <w:szCs w:val="24"/>
                <w:lang w:eastAsia="da-DK"/>
              </w:rPr>
            </w:pPr>
          </w:p>
          <w:p w:rsidR="005D4698" w:rsidRDefault="005D4698" w:rsidP="003B4BCE">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1/10.000 til &lt; 1/1.000)</w:t>
            </w:r>
          </w:p>
          <w:p w:rsidR="005D4698"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Pr>
                <w:sz w:val="24"/>
                <w:szCs w:val="24"/>
                <w:lang w:eastAsia="da-DK"/>
              </w:rPr>
              <w:t>Ikke kendt</w:t>
            </w:r>
          </w:p>
          <w:p w:rsidR="005D4698" w:rsidRPr="00D02207" w:rsidRDefault="005D4698" w:rsidP="003B4BCE">
            <w:pPr>
              <w:tabs>
                <w:tab w:val="left" w:pos="1306"/>
              </w:tabs>
              <w:ind w:left="30"/>
              <w:rPr>
                <w:b/>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Kvalme eller opkastning, mave-smerter.</w:t>
            </w:r>
          </w:p>
          <w:p w:rsidR="005D4698" w:rsidRPr="00D02207" w:rsidRDefault="005D4698" w:rsidP="003B4BCE">
            <w:pPr>
              <w:ind w:left="67"/>
              <w:rPr>
                <w:sz w:val="24"/>
                <w:szCs w:val="24"/>
                <w:lang w:eastAsia="da-DK"/>
              </w:rPr>
            </w:pPr>
          </w:p>
          <w:p w:rsidR="005D4698" w:rsidRDefault="005D4698" w:rsidP="003B4BCE">
            <w:pPr>
              <w:ind w:left="67"/>
              <w:rPr>
                <w:sz w:val="24"/>
                <w:szCs w:val="24"/>
                <w:lang w:eastAsia="da-DK"/>
              </w:rPr>
            </w:pPr>
            <w:r w:rsidRPr="00D02207">
              <w:rPr>
                <w:sz w:val="24"/>
                <w:szCs w:val="24"/>
                <w:lang w:eastAsia="da-DK"/>
              </w:rPr>
              <w:t>Sialoadenitis.</w:t>
            </w:r>
          </w:p>
          <w:p w:rsidR="005D4698" w:rsidRDefault="005D4698" w:rsidP="003B4BCE">
            <w:pPr>
              <w:ind w:left="67"/>
              <w:rPr>
                <w:sz w:val="24"/>
                <w:szCs w:val="24"/>
                <w:lang w:eastAsia="da-DK"/>
              </w:rPr>
            </w:pPr>
          </w:p>
          <w:p w:rsidR="005D4698" w:rsidRPr="00D02207" w:rsidRDefault="005D4698" w:rsidP="003B4BCE">
            <w:pPr>
              <w:ind w:left="67"/>
              <w:rPr>
                <w:sz w:val="24"/>
                <w:szCs w:val="24"/>
                <w:lang w:eastAsia="da-DK"/>
              </w:rPr>
            </w:pPr>
            <w:r>
              <w:rPr>
                <w:sz w:val="24"/>
                <w:szCs w:val="24"/>
                <w:lang w:eastAsia="da-DK"/>
              </w:rPr>
              <w:t>Akut pancreatitis.</w:t>
            </w:r>
          </w:p>
        </w:tc>
      </w:tr>
      <w:tr w:rsidR="005D4698" w:rsidRPr="00D02207" w:rsidTr="003B4BCE">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sz w:val="24"/>
                <w:szCs w:val="24"/>
                <w:lang w:eastAsia="da-DK"/>
              </w:rPr>
            </w:pPr>
            <w:r w:rsidRPr="00D02207">
              <w:rPr>
                <w:b/>
                <w:sz w:val="24"/>
                <w:szCs w:val="24"/>
                <w:lang w:eastAsia="da-DK"/>
              </w:rPr>
              <w:t>Lever og galdeveje</w:t>
            </w:r>
          </w:p>
          <w:p w:rsidR="005D4698" w:rsidRPr="00D02207" w:rsidRDefault="005D4698" w:rsidP="003B4BCE">
            <w:pPr>
              <w:tabs>
                <w:tab w:val="left" w:pos="1306"/>
              </w:tabs>
              <w:ind w:left="30"/>
              <w:rPr>
                <w:sz w:val="24"/>
                <w:szCs w:val="24"/>
                <w:lang w:eastAsia="da-DK"/>
              </w:rPr>
            </w:pPr>
            <w:r w:rsidRPr="00D02207">
              <w:rPr>
                <w:sz w:val="24"/>
                <w:szCs w:val="24"/>
                <w:lang w:eastAsia="da-DK"/>
              </w:rPr>
              <w:t>Ikke almindelig (</w:t>
            </w:r>
            <w:r w:rsidRPr="00D02207">
              <w:rPr>
                <w:sz w:val="24"/>
                <w:szCs w:val="24"/>
                <w:cs/>
                <w:lang w:eastAsia="da-DK"/>
              </w:rPr>
              <w:t xml:space="preserve">≥ </w:t>
            </w:r>
            <w:r w:rsidRPr="00D02207">
              <w:rPr>
                <w:sz w:val="24"/>
                <w:szCs w:val="24"/>
                <w:lang w:eastAsia="da-DK"/>
              </w:rPr>
              <w:t>1/1.000 til &lt; 1/100)</w:t>
            </w: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1/10.000 til &lt; 1/1.000)</w:t>
            </w:r>
          </w:p>
          <w:p w:rsidR="005D4698" w:rsidRPr="00D02207" w:rsidRDefault="005D4698" w:rsidP="003B4BCE">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Abnorm leverfunktion, gulsot.</w:t>
            </w:r>
          </w:p>
          <w:p w:rsidR="005D4698" w:rsidRPr="00D02207" w:rsidRDefault="005D4698" w:rsidP="003B4BCE">
            <w:pPr>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Hepatisk nekrose.</w:t>
            </w:r>
          </w:p>
          <w:p w:rsidR="005D4698" w:rsidRPr="00D02207" w:rsidRDefault="005D4698" w:rsidP="003B4BCE">
            <w:pPr>
              <w:ind w:left="67"/>
              <w:rPr>
                <w:sz w:val="24"/>
                <w:szCs w:val="24"/>
                <w:lang w:eastAsia="da-DK"/>
              </w:rPr>
            </w:pPr>
          </w:p>
        </w:tc>
      </w:tr>
      <w:tr w:rsidR="005D4698" w:rsidRPr="00D02207" w:rsidTr="003B4BCE">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t>Hud og subkutane væv</w:t>
            </w:r>
          </w:p>
          <w:p w:rsidR="005D4698" w:rsidRPr="00D02207" w:rsidRDefault="005D4698" w:rsidP="003B4BCE">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1/100 til &lt; 1/10)</w:t>
            </w:r>
          </w:p>
          <w:p w:rsidR="005D4698" w:rsidRPr="00D02207" w:rsidRDefault="005D4698" w:rsidP="003B4BCE">
            <w:pPr>
              <w:tabs>
                <w:tab w:val="left" w:pos="1306"/>
              </w:tabs>
              <w:rPr>
                <w:sz w:val="24"/>
                <w:szCs w:val="24"/>
                <w:lang w:eastAsia="da-DK"/>
              </w:rPr>
            </w:pP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1/10.000 til &lt; 1/1.000)</w:t>
            </w:r>
          </w:p>
          <w:p w:rsidR="005D4698" w:rsidRPr="00D02207" w:rsidRDefault="005D4698" w:rsidP="003B4BCE">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 xml:space="preserve">Allergiske hudreaktioner af varierende grad (pruritus, udslæt, urticaria). </w:t>
            </w:r>
          </w:p>
          <w:p w:rsidR="005D4698" w:rsidRPr="00D02207" w:rsidRDefault="005D4698" w:rsidP="003B4BCE">
            <w:pPr>
              <w:rPr>
                <w:strike/>
                <w:sz w:val="24"/>
                <w:szCs w:val="24"/>
                <w:lang w:eastAsia="da-DK"/>
              </w:rPr>
            </w:pPr>
          </w:p>
          <w:p w:rsidR="005D4698" w:rsidRPr="00D02207" w:rsidRDefault="005D4698" w:rsidP="003B4BCE">
            <w:pPr>
              <w:ind w:left="67"/>
              <w:rPr>
                <w:spacing w:val="-3"/>
                <w:sz w:val="24"/>
                <w:szCs w:val="24"/>
                <w:lang w:eastAsia="da-DK"/>
              </w:rPr>
            </w:pPr>
            <w:r w:rsidRPr="00D02207">
              <w:rPr>
                <w:spacing w:val="-3"/>
                <w:sz w:val="24"/>
                <w:szCs w:val="24"/>
                <w:lang w:eastAsia="da-DK"/>
              </w:rPr>
              <w:t>Mukokutant syndrom.</w:t>
            </w:r>
          </w:p>
          <w:p w:rsidR="005D4698" w:rsidRPr="00D02207" w:rsidRDefault="005D4698" w:rsidP="003B4BCE">
            <w:pPr>
              <w:ind w:left="67"/>
              <w:rPr>
                <w:spacing w:val="-3"/>
                <w:sz w:val="24"/>
                <w:szCs w:val="24"/>
                <w:lang w:eastAsia="da-DK"/>
              </w:rPr>
            </w:pPr>
          </w:p>
        </w:tc>
      </w:tr>
      <w:tr w:rsidR="005D4698" w:rsidRPr="00D02207" w:rsidTr="003B4BCE">
        <w:trPr>
          <w:trHeight w:val="1245"/>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sz w:val="24"/>
                <w:szCs w:val="24"/>
                <w:lang w:eastAsia="da-DK"/>
              </w:rPr>
            </w:pPr>
            <w:r w:rsidRPr="00D02207">
              <w:rPr>
                <w:b/>
                <w:sz w:val="24"/>
                <w:szCs w:val="24"/>
                <w:lang w:eastAsia="da-DK"/>
              </w:rPr>
              <w:t>Knogler, led, muskler og bindevæv</w:t>
            </w: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1/100 til &lt; 1/10)</w:t>
            </w:r>
          </w:p>
          <w:p w:rsidR="005D4698" w:rsidRPr="00D02207" w:rsidRDefault="005D4698" w:rsidP="003B4BCE">
            <w:pPr>
              <w:tabs>
                <w:tab w:val="left" w:pos="1306"/>
              </w:tabs>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Meget sjælden (&lt; 1/10.000)</w:t>
            </w:r>
          </w:p>
          <w:p w:rsidR="005D4698" w:rsidRPr="00D02207" w:rsidRDefault="005D4698" w:rsidP="003B4BCE">
            <w:pPr>
              <w:tabs>
                <w:tab w:val="left" w:pos="1306"/>
              </w:tabs>
              <w:ind w:left="30"/>
              <w:rPr>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lang w:val="nb-NO" w:eastAsia="da-DK"/>
              </w:rPr>
            </w:pPr>
          </w:p>
          <w:p w:rsidR="005D4698" w:rsidRPr="00D02207" w:rsidRDefault="005D4698" w:rsidP="003B4BCE">
            <w:pPr>
              <w:rPr>
                <w:sz w:val="24"/>
                <w:szCs w:val="24"/>
                <w:lang w:val="nb-NO" w:eastAsia="da-DK"/>
              </w:rPr>
            </w:pPr>
          </w:p>
          <w:p w:rsidR="005D4698" w:rsidRPr="00D02207" w:rsidRDefault="005D4698" w:rsidP="003B4BCE">
            <w:pPr>
              <w:ind w:left="67"/>
              <w:rPr>
                <w:sz w:val="24"/>
                <w:szCs w:val="24"/>
                <w:lang w:val="nb-NO" w:eastAsia="da-DK"/>
              </w:rPr>
            </w:pPr>
            <w:r w:rsidRPr="00D02207">
              <w:rPr>
                <w:sz w:val="24"/>
                <w:szCs w:val="24"/>
                <w:lang w:val="nb-NO" w:eastAsia="da-DK"/>
              </w:rPr>
              <w:t>Artritis, artralgi (især i tommelfingeren).</w:t>
            </w:r>
          </w:p>
          <w:p w:rsidR="005D4698" w:rsidRPr="00D02207" w:rsidRDefault="005D4698" w:rsidP="003B4BCE">
            <w:pPr>
              <w:ind w:left="67"/>
              <w:rPr>
                <w:sz w:val="24"/>
                <w:szCs w:val="24"/>
                <w:lang w:val="nb-NO" w:eastAsia="da-DK"/>
              </w:rPr>
            </w:pPr>
          </w:p>
          <w:p w:rsidR="005D4698" w:rsidRPr="00D02207" w:rsidRDefault="005D4698" w:rsidP="003B4BCE">
            <w:pPr>
              <w:ind w:left="67"/>
              <w:rPr>
                <w:sz w:val="24"/>
                <w:szCs w:val="24"/>
                <w:lang w:val="nb-NO" w:eastAsia="da-DK"/>
              </w:rPr>
            </w:pPr>
            <w:r w:rsidRPr="00D02207">
              <w:rPr>
                <w:sz w:val="24"/>
                <w:szCs w:val="24"/>
                <w:lang w:val="nb-NO" w:eastAsia="da-DK"/>
              </w:rPr>
              <w:t>Myalgi.</w:t>
            </w:r>
          </w:p>
        </w:tc>
      </w:tr>
      <w:tr w:rsidR="005D4698" w:rsidRPr="00D02207" w:rsidTr="003B4BCE">
        <w:trPr>
          <w:trHeight w:val="33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t>Nyrer og urinveje</w:t>
            </w:r>
          </w:p>
          <w:p w:rsidR="005D4698" w:rsidRPr="00D02207" w:rsidRDefault="005D4698" w:rsidP="003B4BCE">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1/10.000 til &lt; 1/1.000)</w:t>
            </w:r>
          </w:p>
          <w:p w:rsidR="005D4698" w:rsidRPr="00D02207" w:rsidRDefault="005D4698" w:rsidP="003B4BCE">
            <w:pPr>
              <w:tabs>
                <w:tab w:val="left" w:pos="1306"/>
              </w:tabs>
              <w:ind w:left="30"/>
              <w:rPr>
                <w:b/>
                <w:sz w:val="24"/>
                <w:szCs w:val="24"/>
                <w:lang w:eastAsia="da-DK"/>
              </w:rPr>
            </w:pP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Nefrit.</w:t>
            </w:r>
          </w:p>
        </w:tc>
      </w:tr>
      <w:tr w:rsidR="005D4698" w:rsidRPr="00D02207" w:rsidTr="003B4BCE">
        <w:trPr>
          <w:trHeight w:val="340"/>
        </w:trPr>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tabs>
                <w:tab w:val="left" w:pos="1306"/>
              </w:tabs>
              <w:ind w:left="30"/>
              <w:rPr>
                <w:b/>
                <w:sz w:val="24"/>
                <w:szCs w:val="24"/>
                <w:lang w:eastAsia="da-DK"/>
              </w:rPr>
            </w:pPr>
            <w:r w:rsidRPr="00D02207">
              <w:rPr>
                <w:b/>
                <w:sz w:val="24"/>
                <w:szCs w:val="24"/>
                <w:lang w:eastAsia="da-DK"/>
              </w:rPr>
              <w:t>Almene symptomer og reaktioner ved administrationsstedet</w:t>
            </w:r>
          </w:p>
          <w:p w:rsidR="005D4698" w:rsidRPr="00D02207" w:rsidRDefault="005D4698" w:rsidP="003B4BCE">
            <w:pPr>
              <w:tabs>
                <w:tab w:val="left" w:pos="1306"/>
              </w:tabs>
              <w:ind w:left="30"/>
              <w:rPr>
                <w:sz w:val="24"/>
                <w:szCs w:val="24"/>
                <w:lang w:eastAsia="da-DK"/>
              </w:rPr>
            </w:pPr>
            <w:r w:rsidRPr="00D02207">
              <w:rPr>
                <w:sz w:val="24"/>
                <w:szCs w:val="24"/>
                <w:lang w:eastAsia="da-DK"/>
              </w:rPr>
              <w:t>Almindelig (</w:t>
            </w:r>
            <w:r w:rsidRPr="00D02207">
              <w:rPr>
                <w:sz w:val="24"/>
                <w:szCs w:val="24"/>
                <w:cs/>
                <w:lang w:eastAsia="da-DK"/>
              </w:rPr>
              <w:t xml:space="preserve">≥ </w:t>
            </w:r>
            <w:r w:rsidRPr="00D02207">
              <w:rPr>
                <w:sz w:val="24"/>
                <w:szCs w:val="24"/>
                <w:lang w:eastAsia="da-DK"/>
              </w:rPr>
              <w:t>1/100 til &lt; 1/10)</w:t>
            </w:r>
          </w:p>
          <w:p w:rsidR="005D4698" w:rsidRPr="00D02207" w:rsidRDefault="005D4698" w:rsidP="003B4BCE">
            <w:pPr>
              <w:tabs>
                <w:tab w:val="left" w:pos="1306"/>
              </w:tabs>
              <w:ind w:left="30"/>
              <w:rPr>
                <w:sz w:val="24"/>
                <w:szCs w:val="24"/>
                <w:lang w:eastAsia="da-DK"/>
              </w:rPr>
            </w:pPr>
          </w:p>
          <w:p w:rsidR="005D4698" w:rsidRPr="00D02207" w:rsidRDefault="005D4698" w:rsidP="003B4BCE">
            <w:pPr>
              <w:tabs>
                <w:tab w:val="left" w:pos="1306"/>
              </w:tabs>
              <w:ind w:left="30"/>
              <w:rPr>
                <w:sz w:val="24"/>
                <w:szCs w:val="24"/>
                <w:lang w:eastAsia="da-DK"/>
              </w:rPr>
            </w:pPr>
            <w:r w:rsidRPr="00D02207">
              <w:rPr>
                <w:sz w:val="24"/>
                <w:szCs w:val="24"/>
                <w:lang w:eastAsia="da-DK"/>
              </w:rPr>
              <w:t>Sjælden (</w:t>
            </w:r>
            <w:r w:rsidRPr="00D02207">
              <w:rPr>
                <w:sz w:val="24"/>
                <w:szCs w:val="24"/>
                <w:cs/>
                <w:lang w:eastAsia="da-DK"/>
              </w:rPr>
              <w:t xml:space="preserve">≥ </w:t>
            </w:r>
            <w:r w:rsidRPr="00D02207">
              <w:rPr>
                <w:sz w:val="24"/>
                <w:szCs w:val="24"/>
                <w:lang w:eastAsia="da-DK"/>
              </w:rPr>
              <w:t>1/10.000 til &lt; 1/1.000)</w:t>
            </w:r>
          </w:p>
        </w:tc>
        <w:tc>
          <w:tcPr>
            <w:tcW w:w="421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D4698" w:rsidRPr="00D02207" w:rsidRDefault="005D4698" w:rsidP="003B4BCE">
            <w:pPr>
              <w:ind w:left="67"/>
              <w:rPr>
                <w:sz w:val="24"/>
                <w:szCs w:val="24"/>
                <w:u w:val="single"/>
                <w:lang w:eastAsia="da-DK"/>
              </w:rPr>
            </w:pPr>
          </w:p>
          <w:p w:rsidR="005D4698" w:rsidRPr="00D02207" w:rsidRDefault="005D4698" w:rsidP="003B4BCE">
            <w:pPr>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Feber.</w:t>
            </w:r>
          </w:p>
          <w:p w:rsidR="005D4698" w:rsidRPr="00D02207" w:rsidRDefault="005D4698" w:rsidP="003B4BCE">
            <w:pPr>
              <w:ind w:left="67"/>
              <w:rPr>
                <w:sz w:val="24"/>
                <w:szCs w:val="24"/>
                <w:lang w:eastAsia="da-DK"/>
              </w:rPr>
            </w:pPr>
          </w:p>
          <w:p w:rsidR="005D4698" w:rsidRPr="00D02207" w:rsidRDefault="005D4698" w:rsidP="003B4BCE">
            <w:pPr>
              <w:ind w:left="67"/>
              <w:rPr>
                <w:sz w:val="24"/>
                <w:szCs w:val="24"/>
                <w:lang w:eastAsia="da-DK"/>
              </w:rPr>
            </w:pPr>
            <w:r w:rsidRPr="00D02207">
              <w:rPr>
                <w:sz w:val="24"/>
                <w:szCs w:val="24"/>
                <w:lang w:eastAsia="da-DK"/>
              </w:rPr>
              <w:t>Drug fever.</w:t>
            </w:r>
          </w:p>
        </w:tc>
      </w:tr>
    </w:tbl>
    <w:p w:rsidR="005D4698" w:rsidRPr="00D02207" w:rsidRDefault="005D4698" w:rsidP="005D4698">
      <w:pPr>
        <w:ind w:left="851"/>
        <w:rPr>
          <w:sz w:val="24"/>
          <w:szCs w:val="24"/>
          <w:lang w:eastAsia="da-DK"/>
        </w:rPr>
      </w:pPr>
    </w:p>
    <w:p w:rsidR="005D4698" w:rsidRPr="00D02207" w:rsidRDefault="005D4698" w:rsidP="005D4698">
      <w:pPr>
        <w:ind w:left="851"/>
        <w:rPr>
          <w:sz w:val="24"/>
          <w:szCs w:val="24"/>
          <w:u w:val="single"/>
          <w:lang w:eastAsia="da-DK"/>
        </w:rPr>
      </w:pPr>
      <w:r w:rsidRPr="00D02207">
        <w:rPr>
          <w:sz w:val="24"/>
          <w:u w:val="single"/>
          <w:lang w:eastAsia="da-DK"/>
        </w:rPr>
        <w:t>Beskrivelse af udvalgte bivirkninger</w:t>
      </w:r>
    </w:p>
    <w:p w:rsidR="005D4698" w:rsidRPr="00D02207" w:rsidRDefault="005D4698" w:rsidP="005D4698">
      <w:pPr>
        <w:ind w:left="851"/>
        <w:rPr>
          <w:sz w:val="24"/>
          <w:szCs w:val="24"/>
          <w:lang w:eastAsia="da-DK"/>
        </w:rPr>
      </w:pPr>
      <w:r w:rsidRPr="00D02207">
        <w:rPr>
          <w:sz w:val="24"/>
          <w:lang w:eastAsia="da-DK"/>
        </w:rPr>
        <w:t>Smagsforstyrrelser (dysgeusi, ageusi). Kan forsvinde efter behandlingsophør. Normalisering kan dog tage flere uger.</w:t>
      </w:r>
    </w:p>
    <w:p w:rsidR="005D4698" w:rsidRDefault="005D4698" w:rsidP="005D4698">
      <w:pPr>
        <w:ind w:left="851"/>
        <w:rPr>
          <w:sz w:val="24"/>
          <w:lang w:eastAsia="da-DK"/>
        </w:rPr>
      </w:pPr>
    </w:p>
    <w:p w:rsidR="005D4698" w:rsidRPr="00D02207" w:rsidRDefault="005D4698" w:rsidP="005D4698">
      <w:pPr>
        <w:ind w:left="851"/>
        <w:rPr>
          <w:sz w:val="24"/>
          <w:szCs w:val="24"/>
          <w:lang w:eastAsia="da-DK"/>
        </w:rPr>
      </w:pPr>
      <w:r w:rsidRPr="00D02207">
        <w:rPr>
          <w:sz w:val="24"/>
          <w:lang w:eastAsia="da-DK"/>
        </w:rPr>
        <w:t>Der er rapporteret om individuelle tilfælde af kolestatisk gulsot eller toksisk hepatitis. Symptomerne forsvinder som regel efter seponering af lægemidlet. Klinisk uanselige tegn på kolestase under behandlingen skal differentieres fra forstyrrelser, der er forårsaget af hyperthyreodisme, såsom stigning i GGT (Gamma-Glutamyltransferase) og alkalisk fosfatase eller dets knogle-specifikke isoenzym.</w:t>
      </w:r>
    </w:p>
    <w:p w:rsidR="005D4698" w:rsidRDefault="005D4698" w:rsidP="005D4698">
      <w:pPr>
        <w:ind w:left="851"/>
        <w:rPr>
          <w:sz w:val="24"/>
          <w:lang w:eastAsia="da-DK"/>
        </w:rPr>
      </w:pPr>
    </w:p>
    <w:p w:rsidR="005D4698" w:rsidRPr="00D02207" w:rsidRDefault="005D4698" w:rsidP="005D4698">
      <w:pPr>
        <w:ind w:left="851"/>
        <w:rPr>
          <w:sz w:val="24"/>
          <w:szCs w:val="24"/>
          <w:lang w:eastAsia="da-DK"/>
        </w:rPr>
      </w:pPr>
      <w:r w:rsidRPr="00D02207">
        <w:rPr>
          <w:sz w:val="24"/>
          <w:lang w:eastAsia="da-DK"/>
        </w:rPr>
        <w:t>Allergiske hudreaktioner af varierende grad (pruritus, udslæt, urticaria). De har som regel et mildt forløb og forsvinder ofte ved fortsat behandling.</w:t>
      </w:r>
    </w:p>
    <w:p w:rsidR="005D4698" w:rsidRDefault="005D4698" w:rsidP="005D4698">
      <w:pPr>
        <w:ind w:left="851"/>
        <w:rPr>
          <w:sz w:val="24"/>
          <w:lang w:eastAsia="da-DK"/>
        </w:rPr>
      </w:pPr>
    </w:p>
    <w:p w:rsidR="005D4698" w:rsidRPr="00D02207" w:rsidRDefault="005D4698" w:rsidP="005D4698">
      <w:pPr>
        <w:ind w:left="851"/>
        <w:rPr>
          <w:sz w:val="24"/>
          <w:szCs w:val="24"/>
          <w:lang w:eastAsia="da-DK"/>
        </w:rPr>
      </w:pPr>
      <w:r w:rsidRPr="00D02207">
        <w:rPr>
          <w:sz w:val="24"/>
          <w:lang w:eastAsia="da-DK"/>
        </w:rPr>
        <w:t>Artritis og artralgi (især i tommelfingeren) kan udvikles gradvist og endog opstå efter adskillige måneders behandling.</w:t>
      </w:r>
    </w:p>
    <w:p w:rsidR="005D4698" w:rsidRPr="00D02207" w:rsidRDefault="005D4698" w:rsidP="00ED677B">
      <w:pPr>
        <w:rPr>
          <w:sz w:val="24"/>
          <w:szCs w:val="24"/>
          <w:lang w:eastAsia="da-DK"/>
        </w:rPr>
      </w:pPr>
    </w:p>
    <w:p w:rsidR="005D4698" w:rsidRPr="008F49E1" w:rsidRDefault="005D4698" w:rsidP="005D469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D4698" w:rsidRPr="008F49E1" w:rsidRDefault="005D4698" w:rsidP="005D4698">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ED677B">
        <w:rPr>
          <w:sz w:val="24"/>
          <w:szCs w:val="24"/>
          <w:lang w:eastAsia="da-DK"/>
        </w:rPr>
        <w:t>Sundhedspersoner</w:t>
      </w:r>
      <w:r w:rsidRPr="008F49E1">
        <w:rPr>
          <w:sz w:val="24"/>
          <w:szCs w:val="24"/>
          <w:lang w:eastAsia="da-DK"/>
        </w:rPr>
        <w:t xml:space="preserve"> anmodes om at indberette alle formodede bivirkninger via:</w:t>
      </w:r>
    </w:p>
    <w:p w:rsidR="005D4698" w:rsidRPr="008F49E1" w:rsidRDefault="005D4698" w:rsidP="005D4698">
      <w:pPr>
        <w:ind w:left="851"/>
        <w:rPr>
          <w:sz w:val="24"/>
          <w:szCs w:val="24"/>
          <w:lang w:eastAsia="da-DK"/>
        </w:rPr>
      </w:pPr>
    </w:p>
    <w:p w:rsidR="005D4698" w:rsidRPr="007A276A" w:rsidRDefault="005D4698" w:rsidP="005D4698">
      <w:pPr>
        <w:ind w:left="851"/>
        <w:rPr>
          <w:sz w:val="24"/>
          <w:szCs w:val="24"/>
          <w:lang w:eastAsia="da-DK"/>
        </w:rPr>
      </w:pPr>
      <w:r w:rsidRPr="007A276A">
        <w:rPr>
          <w:sz w:val="24"/>
          <w:szCs w:val="24"/>
          <w:lang w:eastAsia="da-DK"/>
        </w:rPr>
        <w:t>Lægemiddelstyrelsen</w:t>
      </w:r>
    </w:p>
    <w:p w:rsidR="005D4698" w:rsidRPr="007A276A" w:rsidRDefault="005D4698" w:rsidP="005D4698">
      <w:pPr>
        <w:ind w:left="851"/>
        <w:rPr>
          <w:sz w:val="24"/>
          <w:szCs w:val="24"/>
          <w:lang w:eastAsia="da-DK"/>
        </w:rPr>
      </w:pPr>
      <w:r w:rsidRPr="007A276A">
        <w:rPr>
          <w:sz w:val="24"/>
          <w:szCs w:val="24"/>
          <w:lang w:eastAsia="da-DK"/>
        </w:rPr>
        <w:t>Axel Heides Gade 1</w:t>
      </w:r>
    </w:p>
    <w:p w:rsidR="005D4698" w:rsidRPr="007A276A" w:rsidRDefault="005D4698" w:rsidP="005D4698">
      <w:pPr>
        <w:ind w:left="851"/>
        <w:rPr>
          <w:sz w:val="24"/>
          <w:szCs w:val="24"/>
          <w:lang w:eastAsia="da-DK"/>
        </w:rPr>
      </w:pPr>
      <w:r w:rsidRPr="007A276A">
        <w:rPr>
          <w:sz w:val="24"/>
          <w:szCs w:val="24"/>
          <w:lang w:eastAsia="da-DK"/>
        </w:rPr>
        <w:t>DK-2300 København S</w:t>
      </w:r>
    </w:p>
    <w:p w:rsidR="005D4698" w:rsidRPr="00ED677B" w:rsidRDefault="005D4698" w:rsidP="005D4698">
      <w:pPr>
        <w:ind w:left="851"/>
        <w:rPr>
          <w:sz w:val="24"/>
          <w:szCs w:val="24"/>
          <w:lang w:val="en-US" w:eastAsia="da-DK"/>
        </w:rPr>
      </w:pPr>
      <w:r w:rsidRPr="00ED677B">
        <w:rPr>
          <w:sz w:val="24"/>
          <w:szCs w:val="24"/>
          <w:lang w:val="en-US" w:eastAsia="da-DK"/>
        </w:rPr>
        <w:t xml:space="preserve">Websted: </w:t>
      </w:r>
      <w:r w:rsidRPr="00ED677B">
        <w:rPr>
          <w:sz w:val="24"/>
          <w:lang w:val="en-US" w:eastAsia="da-DK"/>
        </w:rPr>
        <w:t>www.meldenbivirkning.dk</w:t>
      </w:r>
    </w:p>
    <w:p w:rsidR="005D4698" w:rsidRPr="003049D3" w:rsidRDefault="005D4698" w:rsidP="005D4698">
      <w:pPr>
        <w:pStyle w:val="Sidehoved"/>
        <w:tabs>
          <w:tab w:val="left" w:pos="851"/>
        </w:tabs>
        <w:ind w:left="851"/>
        <w:rPr>
          <w:szCs w:val="24"/>
          <w:lang w:val="en-US"/>
        </w:rPr>
      </w:pPr>
    </w:p>
    <w:p w:rsidR="005D4698" w:rsidRPr="001B224D" w:rsidRDefault="005D4698" w:rsidP="005D4698">
      <w:pPr>
        <w:tabs>
          <w:tab w:val="left" w:pos="851"/>
        </w:tabs>
        <w:ind w:left="851" w:hanging="851"/>
        <w:rPr>
          <w:b/>
          <w:sz w:val="24"/>
          <w:szCs w:val="24"/>
        </w:rPr>
      </w:pPr>
      <w:r w:rsidRPr="001B224D">
        <w:rPr>
          <w:b/>
          <w:sz w:val="24"/>
          <w:szCs w:val="24"/>
        </w:rPr>
        <w:t>4.9</w:t>
      </w:r>
      <w:r w:rsidRPr="001B224D">
        <w:rPr>
          <w:b/>
          <w:sz w:val="24"/>
          <w:szCs w:val="24"/>
        </w:rPr>
        <w:tab/>
        <w:t>Overdosering</w:t>
      </w:r>
    </w:p>
    <w:p w:rsidR="005D4698" w:rsidRPr="001B224D" w:rsidRDefault="005D4698" w:rsidP="005D4698">
      <w:pPr>
        <w:ind w:left="851"/>
        <w:rPr>
          <w:sz w:val="24"/>
          <w:szCs w:val="24"/>
          <w:lang w:eastAsia="da-DK"/>
        </w:rPr>
      </w:pPr>
    </w:p>
    <w:p w:rsidR="005D4698" w:rsidRPr="001B224D" w:rsidRDefault="005D4698" w:rsidP="005D4698">
      <w:pPr>
        <w:ind w:left="851"/>
        <w:rPr>
          <w:i/>
          <w:sz w:val="24"/>
          <w:szCs w:val="24"/>
          <w:u w:val="single"/>
          <w:lang w:eastAsia="da-DK"/>
        </w:rPr>
      </w:pPr>
      <w:r w:rsidRPr="001B224D">
        <w:rPr>
          <w:sz w:val="24"/>
          <w:szCs w:val="24"/>
          <w:u w:val="single"/>
          <w:lang w:eastAsia="da-DK"/>
        </w:rPr>
        <w:t>Symptomer</w:t>
      </w:r>
    </w:p>
    <w:p w:rsidR="005D4698" w:rsidRPr="003049D3" w:rsidRDefault="005D4698" w:rsidP="005D4698">
      <w:pPr>
        <w:ind w:left="851"/>
        <w:rPr>
          <w:sz w:val="24"/>
          <w:szCs w:val="24"/>
          <w:lang w:eastAsia="da-DK"/>
        </w:rPr>
      </w:pPr>
      <w:r w:rsidRPr="003049D3">
        <w:rPr>
          <w:sz w:val="24"/>
          <w:lang w:eastAsia="da-DK"/>
        </w:rPr>
        <w:t>Myksødem, agranulocytose, evt. hypoglykæmi, leverpåvirkning kan forekomme som følge af overdosering. Overdosering kan endvidere medføre hypothyreoidisme med tilsvarende symptomer på nedsat metabolisme og, via feedback-effekten, til aktivering af adenohypofysen med efterfølgende strumavækst. Dette kan undgås ved at reducere dosis, så snart der er opnået euthyreoid metabolisk tilstand, og om nødvendigt ved desuden at administrere levothyroxin (se pkt. 4.2).</w:t>
      </w:r>
    </w:p>
    <w:p w:rsidR="005D4698" w:rsidRPr="003049D3" w:rsidRDefault="005D4698" w:rsidP="005D4698">
      <w:pPr>
        <w:tabs>
          <w:tab w:val="left" w:pos="567"/>
        </w:tabs>
        <w:ind w:left="851"/>
        <w:jc w:val="both"/>
        <w:rPr>
          <w:sz w:val="24"/>
          <w:szCs w:val="24"/>
          <w:lang w:eastAsia="da-DK"/>
        </w:rPr>
      </w:pPr>
    </w:p>
    <w:p w:rsidR="005D4698" w:rsidRPr="003049D3" w:rsidRDefault="005D4698" w:rsidP="005D4698">
      <w:pPr>
        <w:ind w:left="851"/>
        <w:rPr>
          <w:sz w:val="24"/>
          <w:szCs w:val="24"/>
          <w:u w:val="single"/>
          <w:lang w:eastAsia="da-DK"/>
        </w:rPr>
      </w:pPr>
      <w:r w:rsidRPr="003049D3">
        <w:rPr>
          <w:sz w:val="24"/>
          <w:szCs w:val="24"/>
          <w:u w:val="single"/>
          <w:lang w:eastAsia="da-DK"/>
        </w:rPr>
        <w:t>Behandling</w:t>
      </w:r>
    </w:p>
    <w:p w:rsidR="005D4698" w:rsidRPr="003049D3" w:rsidRDefault="005D4698" w:rsidP="005D4698">
      <w:pPr>
        <w:ind w:left="851"/>
        <w:rPr>
          <w:sz w:val="24"/>
          <w:szCs w:val="24"/>
          <w:lang w:eastAsia="da-DK"/>
        </w:rPr>
      </w:pPr>
      <w:r w:rsidRPr="003049D3">
        <w:rPr>
          <w:sz w:val="24"/>
          <w:lang w:eastAsia="da-DK"/>
        </w:rPr>
        <w:t xml:space="preserve">Symptomatisk behandling. </w:t>
      </w:r>
    </w:p>
    <w:p w:rsidR="005D4698" w:rsidRPr="00C84483" w:rsidRDefault="005D4698" w:rsidP="005D4698">
      <w:pPr>
        <w:ind w:left="851"/>
        <w:rPr>
          <w:sz w:val="24"/>
          <w:szCs w:val="24"/>
          <w:lang w:eastAsia="da-DK"/>
        </w:rPr>
      </w:pPr>
      <w:r w:rsidRPr="003049D3">
        <w:rPr>
          <w:sz w:val="24"/>
          <w:lang w:eastAsia="da-DK"/>
        </w:rPr>
        <w:t>Ventrikeltømning, kul og observation. Kontrol af knoglemarvs- og leverfunktion.</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4.10</w:t>
      </w:r>
      <w:r w:rsidRPr="00C84483">
        <w:rPr>
          <w:b/>
          <w:sz w:val="24"/>
          <w:szCs w:val="24"/>
        </w:rPr>
        <w:tab/>
        <w:t>Udlevering</w:t>
      </w:r>
    </w:p>
    <w:p w:rsidR="005D4698" w:rsidRPr="00C84483" w:rsidRDefault="005D4698" w:rsidP="005D4698">
      <w:pPr>
        <w:tabs>
          <w:tab w:val="left" w:pos="851"/>
        </w:tabs>
        <w:ind w:left="851"/>
        <w:rPr>
          <w:sz w:val="24"/>
          <w:szCs w:val="24"/>
        </w:rPr>
      </w:pPr>
      <w:r>
        <w:rPr>
          <w:sz w:val="24"/>
          <w:szCs w:val="24"/>
        </w:rPr>
        <w:t>B</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5D4698" w:rsidRPr="00C84483" w:rsidRDefault="005D4698" w:rsidP="005D4698">
      <w:pPr>
        <w:pStyle w:val="Normalindrykning"/>
        <w:spacing w:after="0"/>
        <w:ind w:left="851"/>
        <w:rPr>
          <w:sz w:val="24"/>
          <w:szCs w:val="24"/>
        </w:rPr>
      </w:pPr>
      <w:r w:rsidRPr="008E6D3A">
        <w:rPr>
          <w:sz w:val="24"/>
          <w:szCs w:val="24"/>
        </w:rPr>
        <w:t xml:space="preserve">ATC-kode: </w:t>
      </w:r>
      <w:r w:rsidRPr="008E6D3A">
        <w:rPr>
          <w:spacing w:val="-3"/>
          <w:sz w:val="24"/>
          <w:szCs w:val="24"/>
        </w:rPr>
        <w:t>H</w:t>
      </w:r>
      <w:r>
        <w:rPr>
          <w:spacing w:val="-3"/>
          <w:sz w:val="24"/>
          <w:szCs w:val="24"/>
        </w:rPr>
        <w:t xml:space="preserve"> </w:t>
      </w:r>
      <w:r w:rsidRPr="008E6D3A">
        <w:rPr>
          <w:spacing w:val="-3"/>
          <w:sz w:val="24"/>
          <w:szCs w:val="24"/>
        </w:rPr>
        <w:t>03</w:t>
      </w:r>
      <w:r>
        <w:rPr>
          <w:spacing w:val="-3"/>
          <w:sz w:val="24"/>
          <w:szCs w:val="24"/>
        </w:rPr>
        <w:t xml:space="preserve"> </w:t>
      </w:r>
      <w:r w:rsidRPr="008E6D3A">
        <w:rPr>
          <w:spacing w:val="-3"/>
          <w:sz w:val="24"/>
          <w:szCs w:val="24"/>
        </w:rPr>
        <w:t>BB</w:t>
      </w:r>
      <w:r>
        <w:rPr>
          <w:spacing w:val="-3"/>
          <w:sz w:val="24"/>
          <w:szCs w:val="24"/>
        </w:rPr>
        <w:t xml:space="preserve"> </w:t>
      </w:r>
      <w:r w:rsidRPr="008E6D3A">
        <w:rPr>
          <w:spacing w:val="-3"/>
          <w:sz w:val="24"/>
          <w:szCs w:val="24"/>
        </w:rPr>
        <w:t>02</w:t>
      </w:r>
      <w:r>
        <w:rPr>
          <w:spacing w:val="-3"/>
          <w:sz w:val="24"/>
          <w:szCs w:val="24"/>
        </w:rPr>
        <w:t>. A</w:t>
      </w:r>
      <w:r w:rsidRPr="008E6D3A">
        <w:rPr>
          <w:spacing w:val="-3"/>
          <w:sz w:val="24"/>
          <w:szCs w:val="24"/>
        </w:rPr>
        <w:t>ntithyroide præparater</w:t>
      </w:r>
      <w:r>
        <w:rPr>
          <w:spacing w:val="-3"/>
          <w:sz w:val="24"/>
          <w:szCs w:val="24"/>
        </w:rPr>
        <w:t>, svovlholdige imidazol-derivater.</w:t>
      </w:r>
      <w:r w:rsidRPr="00C84483">
        <w:rPr>
          <w:sz w:val="24"/>
          <w:szCs w:val="24"/>
        </w:rPr>
        <w:t xml:space="preserve"> </w:t>
      </w:r>
    </w:p>
    <w:p w:rsidR="005D4698" w:rsidRPr="00C84483" w:rsidRDefault="005D4698" w:rsidP="005D4698">
      <w:pPr>
        <w:tabs>
          <w:tab w:val="left" w:pos="851"/>
        </w:tabs>
        <w:ind w:left="851"/>
        <w:rPr>
          <w:sz w:val="24"/>
          <w:szCs w:val="24"/>
        </w:rPr>
      </w:pPr>
    </w:p>
    <w:p w:rsidR="005D4698" w:rsidRPr="00C84483" w:rsidRDefault="005D4698" w:rsidP="005D4698">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D4698" w:rsidRPr="00C84483" w:rsidRDefault="005D4698" w:rsidP="005D4698">
      <w:pPr>
        <w:pStyle w:val="Normalindrykning"/>
        <w:spacing w:after="0"/>
        <w:ind w:left="851"/>
        <w:rPr>
          <w:sz w:val="24"/>
          <w:szCs w:val="24"/>
        </w:rPr>
      </w:pPr>
      <w:r>
        <w:rPr>
          <w:sz w:val="24"/>
          <w:szCs w:val="24"/>
        </w:rPr>
        <w:t>Thiamazol hæmmer dosis</w:t>
      </w:r>
      <w:r w:rsidRPr="008E6D3A">
        <w:rPr>
          <w:sz w:val="24"/>
          <w:szCs w:val="24"/>
        </w:rPr>
        <w:t xml:space="preserve">afhængigt indbygningen af jod i thyrosin og derved nysyntesen af thyreoideahormoner. Denne egenskab muliggør symptomatisk behandling af hyperthyroidisme uanset sygdommens årsag. Det kan ikke i øjeblikket fastslås med sikkerhed, om thiamazol </w:t>
      </w:r>
      <w:r>
        <w:rPr>
          <w:sz w:val="24"/>
        </w:rPr>
        <w:t xml:space="preserve">også påvirker det </w:t>
      </w:r>
      <w:r>
        <w:rPr>
          <w:sz w:val="24"/>
          <w:cs/>
        </w:rPr>
        <w:t>"</w:t>
      </w:r>
      <w:r>
        <w:rPr>
          <w:sz w:val="24"/>
        </w:rPr>
        <w:t>naturlige forløb</w:t>
      </w:r>
      <w:r>
        <w:rPr>
          <w:sz w:val="24"/>
          <w:cs/>
        </w:rPr>
        <w:t xml:space="preserve">" </w:t>
      </w:r>
      <w:r>
        <w:rPr>
          <w:sz w:val="24"/>
        </w:rPr>
        <w:t xml:space="preserve">af den immunologisk inducerede type af hyperthyreoidisme (Graves sygdom), dvs. hvorvidt det undertrykker den underliggende immunopatogenetiske proces. Frigørelsen af tidligere syntetiserede thyreoideahormoner fra thyreoidea påvirkes ikke. Dette forklarer, hvorfor længden af latensperioden indtil normalisering af serumkoncentrationerne af thyroxin og trijodthyronin </w:t>
      </w:r>
      <w:r>
        <w:rPr>
          <w:sz w:val="24"/>
          <w:cs/>
        </w:rPr>
        <w:t xml:space="preserve">– </w:t>
      </w:r>
      <w:r>
        <w:rPr>
          <w:sz w:val="24"/>
        </w:rPr>
        <w:t xml:space="preserve">og dermed indtil klinisk forbedring </w:t>
      </w:r>
      <w:r>
        <w:rPr>
          <w:sz w:val="24"/>
          <w:cs/>
        </w:rPr>
        <w:t xml:space="preserve">– </w:t>
      </w:r>
      <w:r>
        <w:rPr>
          <w:sz w:val="24"/>
        </w:rPr>
        <w:t>varierer i individuelle tilfælde. Hyperthyroidisme, der skyldes frigørelse af hormoner efter destruering af thyreoideaceller, f.eks. efter behandling med radioaktivt jod eller ved thyreoiditis, påvirkes heller ikke.</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D4698" w:rsidRDefault="005D4698" w:rsidP="005D4698">
      <w:pPr>
        <w:pStyle w:val="Normalindrykning"/>
        <w:spacing w:after="0"/>
        <w:ind w:left="851"/>
        <w:rPr>
          <w:sz w:val="24"/>
          <w:u w:val="single"/>
        </w:rPr>
      </w:pPr>
    </w:p>
    <w:p w:rsidR="005D4698" w:rsidRPr="00293716" w:rsidRDefault="005D4698" w:rsidP="005D4698">
      <w:pPr>
        <w:pStyle w:val="Normalindrykning"/>
        <w:spacing w:after="0"/>
        <w:ind w:left="851"/>
        <w:rPr>
          <w:sz w:val="24"/>
          <w:szCs w:val="24"/>
          <w:u w:val="single"/>
        </w:rPr>
      </w:pPr>
      <w:r>
        <w:rPr>
          <w:sz w:val="24"/>
          <w:u w:val="single"/>
        </w:rPr>
        <w:t>Absorption/fordeling</w:t>
      </w:r>
    </w:p>
    <w:p w:rsidR="005D4698" w:rsidRPr="00816124" w:rsidRDefault="005D4698" w:rsidP="005D4698">
      <w:pPr>
        <w:pStyle w:val="Normalindrykning"/>
        <w:spacing w:after="0"/>
        <w:ind w:left="851"/>
        <w:rPr>
          <w:sz w:val="24"/>
          <w:szCs w:val="24"/>
        </w:rPr>
      </w:pPr>
      <w:r>
        <w:rPr>
          <w:sz w:val="24"/>
        </w:rPr>
        <w:t xml:space="preserve">Thiamazol absorberes næsten fuldstændigt fra mave-tarm-kanalen. Biotilgængeligheden er </w:t>
      </w:r>
      <w:r>
        <w:rPr>
          <w:sz w:val="24"/>
        </w:rPr>
        <w:br/>
        <w:t>93 %. Maksimal plasmakoncentration opnås efter 30-60 minutter. Begyndende virkning indtræder efter ca. 8 timer. Bindes ikke til plasmaproteiner.</w:t>
      </w:r>
    </w:p>
    <w:p w:rsidR="005D4698" w:rsidRPr="00816124" w:rsidRDefault="005D4698" w:rsidP="005D4698">
      <w:pPr>
        <w:pStyle w:val="Normalindrykning"/>
        <w:spacing w:after="0"/>
        <w:ind w:left="851"/>
        <w:rPr>
          <w:sz w:val="24"/>
          <w:szCs w:val="24"/>
        </w:rPr>
      </w:pPr>
    </w:p>
    <w:p w:rsidR="005D4698" w:rsidRPr="00293716" w:rsidRDefault="005D4698" w:rsidP="005D4698">
      <w:pPr>
        <w:pStyle w:val="Normalindrykning"/>
        <w:spacing w:after="0"/>
        <w:ind w:left="851"/>
        <w:rPr>
          <w:sz w:val="24"/>
          <w:szCs w:val="24"/>
          <w:u w:val="single"/>
        </w:rPr>
      </w:pPr>
      <w:r w:rsidRPr="00293716">
        <w:rPr>
          <w:sz w:val="24"/>
          <w:u w:val="single"/>
        </w:rPr>
        <w:t>B</w:t>
      </w:r>
      <w:r>
        <w:rPr>
          <w:sz w:val="24"/>
          <w:u w:val="single"/>
        </w:rPr>
        <w:t>iotransformation og elimination</w:t>
      </w:r>
    </w:p>
    <w:p w:rsidR="005D4698" w:rsidRPr="00816124" w:rsidRDefault="005D4698" w:rsidP="005D4698">
      <w:pPr>
        <w:pStyle w:val="Normalindrykning"/>
        <w:spacing w:after="0"/>
        <w:ind w:left="851"/>
        <w:rPr>
          <w:sz w:val="24"/>
          <w:szCs w:val="24"/>
        </w:rPr>
      </w:pPr>
      <w:r>
        <w:rPr>
          <w:sz w:val="24"/>
        </w:rPr>
        <w:t>Plasmahalveringstid er 3-5 timer. Plasmahalveringstiden øges ved nedsat lever- og nyrefunktion. Metaboliseres i leveren og udskilles med urinen. Mindre end 12 % af indgiven dosis udskilles uomdannet.</w:t>
      </w:r>
    </w:p>
    <w:p w:rsidR="005D4698" w:rsidRPr="00816124" w:rsidRDefault="005D4698" w:rsidP="005D4698">
      <w:pPr>
        <w:pStyle w:val="Normalindrykning"/>
        <w:spacing w:after="0"/>
        <w:ind w:left="851"/>
        <w:rPr>
          <w:sz w:val="24"/>
          <w:szCs w:val="24"/>
        </w:rPr>
      </w:pPr>
    </w:p>
    <w:p w:rsidR="005D4698" w:rsidRPr="00C84483" w:rsidRDefault="005D4698" w:rsidP="005D4698">
      <w:pPr>
        <w:pStyle w:val="Normalindrykning"/>
        <w:spacing w:after="0"/>
        <w:ind w:left="851"/>
        <w:rPr>
          <w:sz w:val="24"/>
          <w:szCs w:val="24"/>
        </w:rPr>
      </w:pPr>
      <w:r>
        <w:rPr>
          <w:sz w:val="24"/>
        </w:rPr>
        <w:t>Thiamazol krydser placenta og udskilles i brystmælk.</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5D4698" w:rsidRDefault="005D4698" w:rsidP="005D4698">
      <w:pPr>
        <w:pStyle w:val="Normalindrykning"/>
        <w:spacing w:after="0"/>
        <w:ind w:left="851"/>
        <w:rPr>
          <w:sz w:val="24"/>
          <w:u w:val="single"/>
        </w:rPr>
      </w:pPr>
    </w:p>
    <w:p w:rsidR="005D4698" w:rsidRPr="008E6D3A" w:rsidRDefault="005D4698" w:rsidP="005D4698">
      <w:pPr>
        <w:pStyle w:val="Normalindrykning"/>
        <w:spacing w:after="0"/>
        <w:ind w:left="851"/>
        <w:rPr>
          <w:sz w:val="24"/>
          <w:szCs w:val="24"/>
          <w:u w:val="single"/>
        </w:rPr>
      </w:pPr>
      <w:r w:rsidRPr="008E6D3A">
        <w:rPr>
          <w:sz w:val="24"/>
          <w:u w:val="single"/>
        </w:rPr>
        <w:t>Akut toksicitet</w:t>
      </w:r>
    </w:p>
    <w:p w:rsidR="005D4698" w:rsidRPr="00D01DE2" w:rsidRDefault="005D4698" w:rsidP="005D4698">
      <w:pPr>
        <w:pStyle w:val="Normalindrykning"/>
        <w:spacing w:after="0"/>
        <w:ind w:left="851"/>
        <w:rPr>
          <w:sz w:val="24"/>
          <w:szCs w:val="24"/>
        </w:rPr>
      </w:pPr>
      <w:r>
        <w:rPr>
          <w:sz w:val="24"/>
        </w:rPr>
        <w:t>LD</w:t>
      </w:r>
      <w:r>
        <w:rPr>
          <w:sz w:val="24"/>
          <w:vertAlign w:val="subscript"/>
        </w:rPr>
        <w:t>50</w:t>
      </w:r>
      <w:r>
        <w:rPr>
          <w:sz w:val="24"/>
        </w:rPr>
        <w:t xml:space="preserve"> hos mus er 860 mg/kg kropsvægt ved oral administration, mens den er 2.250 mg/kg kropsvægt hos rotter.</w:t>
      </w:r>
    </w:p>
    <w:p w:rsidR="003324FF" w:rsidRDefault="003324FF">
      <w:pPr>
        <w:rPr>
          <w:sz w:val="24"/>
          <w:szCs w:val="24"/>
          <w:lang w:eastAsia="da-DK"/>
        </w:rPr>
      </w:pPr>
      <w:r>
        <w:rPr>
          <w:sz w:val="24"/>
          <w:szCs w:val="24"/>
        </w:rPr>
        <w:br w:type="page"/>
      </w:r>
    </w:p>
    <w:p w:rsidR="005D4698" w:rsidRPr="00D01DE2" w:rsidRDefault="005D4698" w:rsidP="005D4698">
      <w:pPr>
        <w:pStyle w:val="Normalindrykning"/>
        <w:spacing w:after="0"/>
        <w:ind w:left="851"/>
        <w:rPr>
          <w:sz w:val="24"/>
          <w:szCs w:val="24"/>
        </w:rPr>
      </w:pPr>
    </w:p>
    <w:p w:rsidR="005D4698" w:rsidRPr="008E6D3A" w:rsidRDefault="005D4698" w:rsidP="005D4698">
      <w:pPr>
        <w:pStyle w:val="Normalindrykning"/>
        <w:spacing w:after="0"/>
        <w:ind w:left="851"/>
        <w:rPr>
          <w:sz w:val="24"/>
          <w:szCs w:val="24"/>
          <w:u w:val="single"/>
        </w:rPr>
      </w:pPr>
      <w:r w:rsidRPr="008E6D3A">
        <w:rPr>
          <w:sz w:val="24"/>
          <w:u w:val="single"/>
        </w:rPr>
        <w:t>Kronisk toksicitet</w:t>
      </w:r>
    </w:p>
    <w:p w:rsidR="005D4698" w:rsidRPr="00D01DE2" w:rsidRDefault="005D4698" w:rsidP="005D4698">
      <w:pPr>
        <w:pStyle w:val="Normalindrykning"/>
        <w:spacing w:after="0"/>
        <w:ind w:left="851"/>
        <w:rPr>
          <w:sz w:val="24"/>
          <w:szCs w:val="24"/>
        </w:rPr>
      </w:pPr>
      <w:r>
        <w:rPr>
          <w:sz w:val="24"/>
        </w:rPr>
        <w:t>Kronisk toksicitet af thiamazol hos rotter er 2.627 mg/kg kropsvægt, hvilket omtrent svarer til akut toksicitet.</w:t>
      </w:r>
    </w:p>
    <w:p w:rsidR="005D4698" w:rsidRPr="00D01DE2" w:rsidRDefault="005D4698" w:rsidP="005D4698">
      <w:pPr>
        <w:pStyle w:val="Normalindrykning"/>
        <w:spacing w:after="0"/>
        <w:ind w:left="851"/>
        <w:rPr>
          <w:sz w:val="24"/>
          <w:szCs w:val="24"/>
        </w:rPr>
      </w:pPr>
    </w:p>
    <w:p w:rsidR="005D4698" w:rsidRPr="008E6D3A" w:rsidRDefault="005D4698" w:rsidP="005D4698">
      <w:pPr>
        <w:pStyle w:val="Normalindrykning"/>
        <w:spacing w:after="0"/>
        <w:ind w:left="851"/>
        <w:rPr>
          <w:sz w:val="24"/>
          <w:szCs w:val="24"/>
          <w:u w:val="single"/>
        </w:rPr>
      </w:pPr>
      <w:r>
        <w:rPr>
          <w:sz w:val="24"/>
          <w:u w:val="single"/>
        </w:rPr>
        <w:t>Mutagenese og tumor</w:t>
      </w:r>
      <w:r w:rsidRPr="008E6D3A">
        <w:rPr>
          <w:sz w:val="24"/>
          <w:u w:val="single"/>
        </w:rPr>
        <w:t>frembringende potentiale</w:t>
      </w:r>
    </w:p>
    <w:p w:rsidR="005D4698" w:rsidRPr="00D01DE2" w:rsidRDefault="005D4698" w:rsidP="005D4698">
      <w:pPr>
        <w:pStyle w:val="Normalindrykning"/>
        <w:spacing w:after="0"/>
        <w:ind w:left="851"/>
        <w:rPr>
          <w:sz w:val="24"/>
          <w:szCs w:val="24"/>
        </w:rPr>
      </w:pPr>
      <w:r>
        <w:rPr>
          <w:sz w:val="24"/>
        </w:rPr>
        <w:t>Mutagenicitetsstudier af thiamazol er begrænset. De tilgængelige data har ikke vist tegn på mutagene virkninger.</w:t>
      </w:r>
    </w:p>
    <w:p w:rsidR="005D4698" w:rsidRDefault="005D4698" w:rsidP="005D4698">
      <w:pPr>
        <w:pStyle w:val="Normalindrykning"/>
        <w:spacing w:after="0"/>
        <w:ind w:left="851"/>
        <w:rPr>
          <w:sz w:val="24"/>
          <w:szCs w:val="24"/>
        </w:rPr>
      </w:pPr>
      <w:r>
        <w:rPr>
          <w:sz w:val="24"/>
        </w:rPr>
        <w:t>Efter langvarig oral administration af høje doser thiamazol hos rotter blev der observeret en høj forekomst af thyreoidea-tumorer. Respektive virkninger hos mennesker efter thyreostatisk behandling er ikke kendt.</w:t>
      </w:r>
    </w:p>
    <w:p w:rsidR="005D4698" w:rsidRPr="00BF39BD" w:rsidRDefault="005D4698" w:rsidP="005D4698">
      <w:pPr>
        <w:pStyle w:val="Normalindrykning"/>
        <w:spacing w:after="0"/>
        <w:ind w:left="851"/>
        <w:rPr>
          <w:sz w:val="24"/>
          <w:szCs w:val="24"/>
        </w:rPr>
      </w:pPr>
    </w:p>
    <w:p w:rsidR="005D4698" w:rsidRPr="008E6D3A" w:rsidRDefault="005D4698" w:rsidP="005D4698">
      <w:pPr>
        <w:pStyle w:val="Normalindrykning"/>
        <w:spacing w:after="0"/>
        <w:ind w:left="851"/>
        <w:rPr>
          <w:sz w:val="24"/>
          <w:szCs w:val="24"/>
          <w:u w:val="single"/>
        </w:rPr>
      </w:pPr>
      <w:r w:rsidRPr="008E6D3A">
        <w:rPr>
          <w:sz w:val="24"/>
          <w:u w:val="single"/>
        </w:rPr>
        <w:t>Reproduktionstoksicitet</w:t>
      </w:r>
    </w:p>
    <w:p w:rsidR="005D4698" w:rsidRDefault="005D4698" w:rsidP="005D4698">
      <w:pPr>
        <w:pStyle w:val="Normalindrykning"/>
        <w:spacing w:after="0"/>
        <w:ind w:left="851"/>
        <w:rPr>
          <w:sz w:val="24"/>
        </w:rPr>
      </w:pPr>
      <w:r>
        <w:rPr>
          <w:sz w:val="24"/>
        </w:rPr>
        <w:t>Se pkt. 4.3 og 4.6.</w:t>
      </w:r>
    </w:p>
    <w:p w:rsidR="005D4698" w:rsidRPr="00C84483" w:rsidRDefault="005D4698" w:rsidP="005D4698">
      <w:pPr>
        <w:pStyle w:val="Normalindrykning"/>
        <w:spacing w:after="0"/>
        <w:ind w:left="851"/>
        <w:rPr>
          <w:sz w:val="24"/>
          <w:szCs w:val="24"/>
        </w:rPr>
      </w:pP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D4698" w:rsidRPr="00BA09F1"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6.1</w:t>
      </w:r>
      <w:r w:rsidRPr="00C84483">
        <w:rPr>
          <w:b/>
          <w:sz w:val="24"/>
          <w:szCs w:val="24"/>
        </w:rPr>
        <w:tab/>
        <w:t>Hjælpestoffer</w:t>
      </w:r>
    </w:p>
    <w:p w:rsidR="005D4698" w:rsidRPr="008E6D3A" w:rsidRDefault="005D4698" w:rsidP="005D4698">
      <w:pPr>
        <w:pStyle w:val="Normalindrykning"/>
        <w:spacing w:after="0"/>
        <w:ind w:left="851"/>
        <w:rPr>
          <w:sz w:val="24"/>
          <w:szCs w:val="24"/>
        </w:rPr>
      </w:pPr>
      <w:r w:rsidRPr="008E6D3A">
        <w:rPr>
          <w:sz w:val="24"/>
          <w:szCs w:val="24"/>
        </w:rPr>
        <w:t>Lactosemonohydrat</w:t>
      </w:r>
    </w:p>
    <w:p w:rsidR="005D4698" w:rsidRPr="008E6D3A" w:rsidRDefault="005D4698" w:rsidP="005D4698">
      <w:pPr>
        <w:pStyle w:val="Normalindrykning"/>
        <w:spacing w:after="0"/>
        <w:ind w:left="851"/>
        <w:rPr>
          <w:sz w:val="24"/>
          <w:szCs w:val="24"/>
        </w:rPr>
      </w:pPr>
      <w:r w:rsidRPr="008E6D3A">
        <w:rPr>
          <w:sz w:val="24"/>
          <w:szCs w:val="24"/>
        </w:rPr>
        <w:t>Natriumstivelsesgly</w:t>
      </w:r>
      <w:r>
        <w:rPr>
          <w:sz w:val="24"/>
          <w:szCs w:val="24"/>
        </w:rPr>
        <w:t>c</w:t>
      </w:r>
      <w:r w:rsidRPr="008E6D3A">
        <w:rPr>
          <w:sz w:val="24"/>
          <w:szCs w:val="24"/>
        </w:rPr>
        <w:t>olat</w:t>
      </w:r>
    </w:p>
    <w:p w:rsidR="005D4698" w:rsidRPr="008E6D3A" w:rsidRDefault="005D4698" w:rsidP="005D4698">
      <w:pPr>
        <w:pStyle w:val="Normalindrykning"/>
        <w:spacing w:after="0"/>
        <w:ind w:left="851"/>
        <w:rPr>
          <w:sz w:val="24"/>
          <w:szCs w:val="24"/>
        </w:rPr>
      </w:pPr>
      <w:r w:rsidRPr="008E6D3A">
        <w:rPr>
          <w:sz w:val="24"/>
          <w:szCs w:val="24"/>
        </w:rPr>
        <w:t>Tal</w:t>
      </w:r>
      <w:r>
        <w:rPr>
          <w:sz w:val="24"/>
          <w:szCs w:val="24"/>
        </w:rPr>
        <w:t>c</w:t>
      </w:r>
      <w:r w:rsidRPr="008E6D3A">
        <w:rPr>
          <w:sz w:val="24"/>
          <w:szCs w:val="24"/>
        </w:rPr>
        <w:t>um</w:t>
      </w:r>
    </w:p>
    <w:p w:rsidR="005D4698" w:rsidRPr="00C84483" w:rsidRDefault="005D4698" w:rsidP="005D4698">
      <w:pPr>
        <w:pStyle w:val="Normalindrykning"/>
        <w:spacing w:after="0"/>
        <w:ind w:left="851"/>
        <w:rPr>
          <w:sz w:val="24"/>
          <w:szCs w:val="24"/>
        </w:rPr>
      </w:pPr>
      <w:r w:rsidRPr="008E6D3A">
        <w:rPr>
          <w:sz w:val="24"/>
          <w:szCs w:val="24"/>
        </w:rPr>
        <w:t>Magnesiumstearat</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6.2</w:t>
      </w:r>
      <w:r w:rsidRPr="00C84483">
        <w:rPr>
          <w:b/>
          <w:sz w:val="24"/>
          <w:szCs w:val="24"/>
        </w:rPr>
        <w:tab/>
        <w:t>Uforligeligheder</w:t>
      </w:r>
    </w:p>
    <w:p w:rsidR="005D4698" w:rsidRPr="00C84483" w:rsidRDefault="005D4698" w:rsidP="005D4698">
      <w:pPr>
        <w:tabs>
          <w:tab w:val="left" w:pos="851"/>
        </w:tabs>
        <w:ind w:left="851"/>
        <w:rPr>
          <w:sz w:val="24"/>
          <w:szCs w:val="24"/>
        </w:rPr>
      </w:pPr>
      <w:r>
        <w:rPr>
          <w:sz w:val="24"/>
          <w:szCs w:val="24"/>
        </w:rPr>
        <w:t>Ikke relevant.</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6.3</w:t>
      </w:r>
      <w:r w:rsidRPr="00C84483">
        <w:rPr>
          <w:b/>
          <w:sz w:val="24"/>
          <w:szCs w:val="24"/>
        </w:rPr>
        <w:tab/>
        <w:t>Opbevaringstid</w:t>
      </w:r>
    </w:p>
    <w:p w:rsidR="005D4698" w:rsidRPr="00C84483" w:rsidRDefault="005D4698" w:rsidP="005D4698">
      <w:pPr>
        <w:tabs>
          <w:tab w:val="left" w:pos="851"/>
        </w:tabs>
        <w:ind w:left="851" w:hanging="851"/>
        <w:rPr>
          <w:sz w:val="24"/>
          <w:szCs w:val="24"/>
        </w:rPr>
      </w:pPr>
      <w:r w:rsidRPr="00C84483">
        <w:rPr>
          <w:sz w:val="24"/>
          <w:szCs w:val="24"/>
        </w:rPr>
        <w:tab/>
      </w:r>
      <w:r>
        <w:rPr>
          <w:sz w:val="24"/>
          <w:szCs w:val="24"/>
        </w:rPr>
        <w:t>5 år.</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D4698" w:rsidRDefault="005D4698" w:rsidP="005D4698">
      <w:pPr>
        <w:pStyle w:val="Normalindrykning"/>
        <w:spacing w:after="0"/>
        <w:ind w:left="851"/>
        <w:rPr>
          <w:color w:val="000000"/>
          <w:sz w:val="24"/>
        </w:rPr>
      </w:pPr>
      <w:r>
        <w:rPr>
          <w:color w:val="000000"/>
          <w:sz w:val="24"/>
        </w:rPr>
        <w:t>Opbevares i den ydre karton for at beskytte mod lys.</w:t>
      </w:r>
    </w:p>
    <w:p w:rsidR="005D4698" w:rsidRDefault="005D4698" w:rsidP="005D4698">
      <w:pPr>
        <w:pStyle w:val="Normalindrykning"/>
        <w:spacing w:after="0"/>
        <w:ind w:left="851"/>
        <w:rPr>
          <w:color w:val="000000"/>
          <w:sz w:val="24"/>
          <w:szCs w:val="24"/>
        </w:rPr>
      </w:pPr>
    </w:p>
    <w:p w:rsidR="005D4698" w:rsidRDefault="005D4698" w:rsidP="005D4698">
      <w:pPr>
        <w:pStyle w:val="Normalindrykning"/>
        <w:spacing w:after="0"/>
        <w:ind w:left="851"/>
        <w:rPr>
          <w:color w:val="000000"/>
          <w:sz w:val="24"/>
        </w:rPr>
      </w:pPr>
      <w:r>
        <w:rPr>
          <w:color w:val="000000"/>
          <w:sz w:val="24"/>
        </w:rPr>
        <w:t xml:space="preserve">Der er ingen særlige krav vedrørende opbevaringstemperaturer for dette lægemiddel. </w:t>
      </w:r>
    </w:p>
    <w:p w:rsidR="005D4698" w:rsidRDefault="005D4698" w:rsidP="005D4698">
      <w:pPr>
        <w:pStyle w:val="Normalindrykning"/>
        <w:spacing w:after="0"/>
        <w:ind w:left="851"/>
        <w:rPr>
          <w:color w:val="000000"/>
          <w:sz w:val="24"/>
        </w:rPr>
      </w:pPr>
    </w:p>
    <w:p w:rsidR="005D4698" w:rsidRPr="00C84483" w:rsidRDefault="005D4698" w:rsidP="005D4698">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5D4698" w:rsidRDefault="005D4698" w:rsidP="005D4698">
      <w:pPr>
        <w:pStyle w:val="Normalindrykning"/>
        <w:spacing w:after="0"/>
        <w:ind w:left="851"/>
        <w:rPr>
          <w:sz w:val="24"/>
        </w:rPr>
      </w:pPr>
      <w:r>
        <w:rPr>
          <w:sz w:val="24"/>
        </w:rPr>
        <w:t>Gennemsigtigt PVC-/aluminiumblister</w:t>
      </w:r>
    </w:p>
    <w:p w:rsidR="005D4698" w:rsidRDefault="005D4698" w:rsidP="005D4698">
      <w:pPr>
        <w:pStyle w:val="Normalindrykning"/>
        <w:spacing w:after="0"/>
        <w:ind w:left="851"/>
        <w:rPr>
          <w:sz w:val="24"/>
          <w:szCs w:val="24"/>
        </w:rPr>
      </w:pPr>
    </w:p>
    <w:p w:rsidR="005D4698" w:rsidRPr="004074A2" w:rsidRDefault="005D4698" w:rsidP="005D4698">
      <w:pPr>
        <w:pStyle w:val="Normalindrykning"/>
        <w:spacing w:after="0"/>
        <w:ind w:left="851"/>
        <w:rPr>
          <w:sz w:val="24"/>
          <w:szCs w:val="24"/>
        </w:rPr>
      </w:pPr>
      <w:r>
        <w:rPr>
          <w:sz w:val="24"/>
        </w:rPr>
        <w:t>Pakningsstørrelser: 100, 105 og 125 stk.</w:t>
      </w:r>
    </w:p>
    <w:p w:rsidR="005D4698" w:rsidRPr="00C84483" w:rsidRDefault="005D4698" w:rsidP="005D4698">
      <w:pPr>
        <w:pStyle w:val="Normalindrykning"/>
        <w:spacing w:after="0"/>
        <w:ind w:left="851"/>
        <w:rPr>
          <w:sz w:val="24"/>
          <w:szCs w:val="24"/>
        </w:rPr>
      </w:pPr>
      <w:r>
        <w:rPr>
          <w:sz w:val="24"/>
        </w:rPr>
        <w:t>Ikke alle pakningsstørrelser er nødvendigvis markedsført.</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5D4698" w:rsidRDefault="005D4698" w:rsidP="005D4698">
      <w:pPr>
        <w:pStyle w:val="Normalindrykning"/>
        <w:spacing w:after="0"/>
        <w:ind w:left="851"/>
        <w:rPr>
          <w:sz w:val="24"/>
        </w:rPr>
      </w:pPr>
      <w:r>
        <w:rPr>
          <w:sz w:val="24"/>
        </w:rPr>
        <w:t>Ingen særlige forholdsregler.</w:t>
      </w:r>
    </w:p>
    <w:p w:rsidR="005D4698" w:rsidRDefault="005D4698" w:rsidP="005D4698">
      <w:pPr>
        <w:pStyle w:val="Normalindrykning"/>
        <w:spacing w:after="0"/>
        <w:ind w:left="851"/>
        <w:rPr>
          <w:sz w:val="24"/>
          <w:szCs w:val="24"/>
        </w:rPr>
      </w:pPr>
    </w:p>
    <w:p w:rsidR="005D4698" w:rsidRPr="00C84483" w:rsidRDefault="005D4698" w:rsidP="005D4698">
      <w:pPr>
        <w:pStyle w:val="Normalindrykning"/>
        <w:spacing w:after="0"/>
        <w:ind w:left="851"/>
        <w:rPr>
          <w:sz w:val="24"/>
          <w:szCs w:val="24"/>
        </w:rPr>
      </w:pPr>
      <w:r>
        <w:rPr>
          <w:sz w:val="24"/>
        </w:rPr>
        <w:t>Ikke anvendt lægemiddel samt affald heraf skal bortskaffes i henhold til lokale retningslinjer.</w:t>
      </w:r>
    </w:p>
    <w:p w:rsidR="00FC3DA7" w:rsidRDefault="00FC3DA7">
      <w:pPr>
        <w:rPr>
          <w:sz w:val="24"/>
          <w:szCs w:val="24"/>
        </w:rPr>
      </w:pPr>
      <w:r>
        <w:rPr>
          <w:sz w:val="24"/>
          <w:szCs w:val="24"/>
        </w:rPr>
        <w:br w:type="page"/>
      </w:r>
    </w:p>
    <w:p w:rsidR="005D4698" w:rsidRPr="00C84483" w:rsidRDefault="005D4698" w:rsidP="005D4698">
      <w:pPr>
        <w:tabs>
          <w:tab w:val="left" w:pos="851"/>
        </w:tabs>
        <w:ind w:left="851"/>
        <w:jc w:val="both"/>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D4698" w:rsidRPr="008E6D3A" w:rsidRDefault="005D4698" w:rsidP="005D4698">
      <w:pPr>
        <w:pStyle w:val="Normalindrykning"/>
        <w:spacing w:after="0"/>
        <w:ind w:left="851"/>
        <w:rPr>
          <w:sz w:val="24"/>
          <w:szCs w:val="24"/>
        </w:rPr>
      </w:pPr>
      <w:r w:rsidRPr="008E6D3A">
        <w:rPr>
          <w:sz w:val="24"/>
          <w:szCs w:val="24"/>
        </w:rPr>
        <w:t>Uni-Pharma Kleon Tsetis Pharmaceutical Laboratories S.A.</w:t>
      </w:r>
    </w:p>
    <w:p w:rsidR="005D4698" w:rsidRPr="00E70781" w:rsidRDefault="005D4698" w:rsidP="005D4698">
      <w:pPr>
        <w:pStyle w:val="Normalindrykning"/>
        <w:spacing w:after="0"/>
        <w:ind w:left="851"/>
        <w:rPr>
          <w:sz w:val="24"/>
          <w:szCs w:val="24"/>
          <w:lang w:val="en-US"/>
        </w:rPr>
      </w:pPr>
      <w:r w:rsidRPr="00E70781">
        <w:rPr>
          <w:sz w:val="24"/>
          <w:szCs w:val="24"/>
          <w:lang w:val="en-US"/>
        </w:rPr>
        <w:t>14th km National Road 1</w:t>
      </w:r>
    </w:p>
    <w:p w:rsidR="005D4698" w:rsidRPr="00E70781" w:rsidRDefault="005D4698" w:rsidP="005D4698">
      <w:pPr>
        <w:pStyle w:val="Normalindrykning"/>
        <w:spacing w:after="0"/>
        <w:ind w:left="851"/>
        <w:rPr>
          <w:sz w:val="24"/>
          <w:szCs w:val="24"/>
          <w:lang w:val="en-US"/>
        </w:rPr>
      </w:pPr>
      <w:r w:rsidRPr="00E70781">
        <w:rPr>
          <w:sz w:val="24"/>
          <w:szCs w:val="24"/>
          <w:lang w:val="en-US"/>
        </w:rPr>
        <w:t>145 64 Kifissia</w:t>
      </w:r>
    </w:p>
    <w:p w:rsidR="005D4698" w:rsidRDefault="005D4698" w:rsidP="005D4698">
      <w:pPr>
        <w:pStyle w:val="Normalindrykning"/>
        <w:spacing w:after="0"/>
        <w:ind w:left="851"/>
        <w:rPr>
          <w:sz w:val="24"/>
          <w:szCs w:val="24"/>
          <w:lang w:val="en-US"/>
        </w:rPr>
      </w:pPr>
      <w:r w:rsidRPr="00E70781">
        <w:rPr>
          <w:sz w:val="24"/>
          <w:szCs w:val="24"/>
          <w:lang w:val="en-US"/>
        </w:rPr>
        <w:t>Grækenland</w:t>
      </w:r>
    </w:p>
    <w:p w:rsidR="005D4698" w:rsidRDefault="005D4698" w:rsidP="005D4698">
      <w:pPr>
        <w:pStyle w:val="Normalindrykning"/>
        <w:spacing w:after="0"/>
        <w:ind w:left="851"/>
        <w:rPr>
          <w:sz w:val="24"/>
          <w:szCs w:val="24"/>
          <w:lang w:val="en-US"/>
        </w:rPr>
      </w:pPr>
    </w:p>
    <w:p w:rsidR="005D4698" w:rsidRPr="00916D1C" w:rsidRDefault="005D4698" w:rsidP="005D4698">
      <w:pPr>
        <w:pStyle w:val="Normalindrykning"/>
        <w:spacing w:after="0"/>
        <w:ind w:left="851"/>
        <w:rPr>
          <w:sz w:val="24"/>
          <w:szCs w:val="24"/>
        </w:rPr>
      </w:pPr>
      <w:r w:rsidRPr="00916D1C">
        <w:rPr>
          <w:b/>
          <w:sz w:val="24"/>
          <w:szCs w:val="24"/>
        </w:rPr>
        <w:t>Repræsentant</w:t>
      </w:r>
    </w:p>
    <w:p w:rsidR="005D4698" w:rsidRPr="00916D1C" w:rsidRDefault="005D4698" w:rsidP="005D4698">
      <w:pPr>
        <w:pStyle w:val="Normalindrykning"/>
        <w:spacing w:after="0"/>
        <w:ind w:left="851"/>
        <w:rPr>
          <w:sz w:val="24"/>
          <w:szCs w:val="24"/>
        </w:rPr>
      </w:pPr>
      <w:r w:rsidRPr="00916D1C">
        <w:rPr>
          <w:sz w:val="24"/>
          <w:szCs w:val="24"/>
        </w:rPr>
        <w:t>Orifarm Generics A/S</w:t>
      </w:r>
    </w:p>
    <w:p w:rsidR="005D4698" w:rsidRPr="00916D1C" w:rsidRDefault="005D4698" w:rsidP="005D4698">
      <w:pPr>
        <w:pStyle w:val="Normalindrykning"/>
        <w:spacing w:after="0"/>
        <w:ind w:left="851"/>
        <w:rPr>
          <w:sz w:val="24"/>
          <w:szCs w:val="24"/>
        </w:rPr>
      </w:pPr>
      <w:r w:rsidRPr="00916D1C">
        <w:rPr>
          <w:sz w:val="24"/>
          <w:szCs w:val="24"/>
        </w:rPr>
        <w:t>Energivej 5</w:t>
      </w:r>
    </w:p>
    <w:p w:rsidR="005D4698" w:rsidRPr="00916D1C" w:rsidRDefault="005D4698" w:rsidP="005D4698">
      <w:pPr>
        <w:pStyle w:val="Normalindrykning"/>
        <w:spacing w:after="0"/>
        <w:ind w:left="851"/>
        <w:rPr>
          <w:sz w:val="24"/>
          <w:szCs w:val="24"/>
        </w:rPr>
      </w:pPr>
      <w:r w:rsidRPr="00916D1C">
        <w:rPr>
          <w:sz w:val="24"/>
          <w:szCs w:val="24"/>
        </w:rPr>
        <w:t>5260 Odense S</w:t>
      </w:r>
    </w:p>
    <w:p w:rsidR="005D4698" w:rsidRPr="00916D1C"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5D4698" w:rsidRPr="00C84483" w:rsidRDefault="005D4698" w:rsidP="005D4698">
      <w:pPr>
        <w:tabs>
          <w:tab w:val="left" w:pos="851"/>
        </w:tabs>
        <w:ind w:left="851"/>
        <w:rPr>
          <w:sz w:val="24"/>
          <w:szCs w:val="24"/>
        </w:rPr>
      </w:pPr>
      <w:r>
        <w:rPr>
          <w:sz w:val="24"/>
          <w:szCs w:val="24"/>
        </w:rPr>
        <w:t>57465</w:t>
      </w:r>
    </w:p>
    <w:p w:rsidR="005D4698" w:rsidRPr="00C84483" w:rsidRDefault="005D4698" w:rsidP="005D4698">
      <w:pPr>
        <w:tabs>
          <w:tab w:val="left" w:pos="851"/>
        </w:tabs>
        <w:ind w:left="851"/>
        <w:jc w:val="both"/>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D4698" w:rsidRPr="00C84483" w:rsidRDefault="005D4698" w:rsidP="005D4698">
      <w:pPr>
        <w:tabs>
          <w:tab w:val="left" w:pos="851"/>
        </w:tabs>
        <w:ind w:left="851"/>
        <w:rPr>
          <w:sz w:val="24"/>
          <w:szCs w:val="24"/>
        </w:rPr>
      </w:pPr>
      <w:r>
        <w:rPr>
          <w:sz w:val="24"/>
          <w:szCs w:val="24"/>
        </w:rPr>
        <w:t>26. april 2017</w:t>
      </w:r>
    </w:p>
    <w:p w:rsidR="005D4698" w:rsidRPr="00C84483" w:rsidRDefault="005D4698" w:rsidP="005D4698">
      <w:pPr>
        <w:tabs>
          <w:tab w:val="left" w:pos="851"/>
        </w:tabs>
        <w:ind w:left="851"/>
        <w:rPr>
          <w:sz w:val="24"/>
          <w:szCs w:val="24"/>
        </w:rPr>
      </w:pPr>
    </w:p>
    <w:p w:rsidR="005D4698" w:rsidRPr="00C84483" w:rsidRDefault="005D4698" w:rsidP="005D469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FC3DA7" w:rsidRDefault="00FC3DA7" w:rsidP="00FC3DA7">
      <w:pPr>
        <w:tabs>
          <w:tab w:val="left" w:pos="851"/>
        </w:tabs>
        <w:ind w:left="851"/>
        <w:rPr>
          <w:sz w:val="24"/>
          <w:szCs w:val="24"/>
        </w:rPr>
      </w:pPr>
      <w:r>
        <w:rPr>
          <w:sz w:val="24"/>
          <w:szCs w:val="24"/>
        </w:rPr>
        <w:t>23. juli 2020</w:t>
      </w:r>
      <w:bookmarkStart w:id="0" w:name="_GoBack"/>
      <w:bookmarkEnd w:id="0"/>
    </w:p>
    <w:sectPr w:rsidR="009260DE" w:rsidRPr="00FC3DA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698" w:rsidRDefault="005D4698">
      <w:r>
        <w:separator/>
      </w:r>
    </w:p>
  </w:endnote>
  <w:endnote w:type="continuationSeparator" w:id="0">
    <w:p w:rsidR="005D4698" w:rsidRDefault="005D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7296E">
      <w:rPr>
        <w:i/>
        <w:noProof/>
        <w:sz w:val="18"/>
        <w:szCs w:val="18"/>
      </w:rPr>
      <w:t>Thiamazole Uni-Pharma,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698" w:rsidRDefault="005D4698">
      <w:r>
        <w:separator/>
      </w:r>
    </w:p>
  </w:footnote>
  <w:footnote w:type="continuationSeparator" w:id="0">
    <w:p w:rsidR="005D4698" w:rsidRDefault="005D4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8403D4"/>
    <w:multiLevelType w:val="hybridMultilevel"/>
    <w:tmpl w:val="859665C8"/>
    <w:lvl w:ilvl="0" w:tplc="FFFFFFFF">
      <w:start w:val="1"/>
      <w:numFmt w:val="bullet"/>
      <w:lvlText w:val="-"/>
      <w:lvlJc w:val="left"/>
      <w:pPr>
        <w:tabs>
          <w:tab w:val="num" w:pos="567"/>
        </w:tabs>
        <w:ind w:left="567" w:hanging="567"/>
      </w:pPr>
      <w:rPr>
        <w:rFonts w:ascii="Times New Roman" w:hAnsi="Times New Roman" w:hint="default"/>
        <w:sz w:val="22"/>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98"/>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324FF"/>
    <w:rsid w:val="003A29AE"/>
    <w:rsid w:val="003A32D7"/>
    <w:rsid w:val="003B4074"/>
    <w:rsid w:val="003C769A"/>
    <w:rsid w:val="003F1838"/>
    <w:rsid w:val="00416015"/>
    <w:rsid w:val="0045746C"/>
    <w:rsid w:val="0049104B"/>
    <w:rsid w:val="004E3B12"/>
    <w:rsid w:val="00524EB7"/>
    <w:rsid w:val="00532310"/>
    <w:rsid w:val="00560ECC"/>
    <w:rsid w:val="00565F0F"/>
    <w:rsid w:val="00594A86"/>
    <w:rsid w:val="00596D86"/>
    <w:rsid w:val="005D4698"/>
    <w:rsid w:val="00637F5A"/>
    <w:rsid w:val="006560B1"/>
    <w:rsid w:val="0067296E"/>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40C29"/>
    <w:rsid w:val="00B003BF"/>
    <w:rsid w:val="00B373D7"/>
    <w:rsid w:val="00BA5134"/>
    <w:rsid w:val="00C36276"/>
    <w:rsid w:val="00C42586"/>
    <w:rsid w:val="00C47112"/>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D677B"/>
    <w:rsid w:val="00F66D4F"/>
    <w:rsid w:val="00FB6D01"/>
    <w:rsid w:val="00FC3D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B456C"/>
  <w15:chartTrackingRefBased/>
  <w15:docId w15:val="{729310E0-4BF6-472A-863C-65CB3750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5D4698"/>
    <w:pPr>
      <w:spacing w:after="120"/>
      <w:ind w:left="720"/>
    </w:pPr>
    <w:rPr>
      <w:sz w:val="22"/>
      <w:lang w:eastAsia="da-DK"/>
    </w:rPr>
  </w:style>
  <w:style w:type="character" w:styleId="Hyperlink">
    <w:name w:val="Hyperlink"/>
    <w:basedOn w:val="Standardskrifttypeiafsnit"/>
    <w:uiPriority w:val="99"/>
    <w:rsid w:val="005D4698"/>
    <w:rPr>
      <w:color w:val="0000FF"/>
      <w:u w:val="single"/>
      <w:lang w:val="da-DK" w:eastAsia="da-DK"/>
    </w:rPr>
  </w:style>
  <w:style w:type="paragraph" w:customStyle="1" w:styleId="Default">
    <w:name w:val="Default"/>
    <w:rsid w:val="005D4698"/>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10</Pages>
  <Words>2379</Words>
  <Characters>15809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2020023605 var 7 PAC/PRAC opdatering</dc:description>
  <cp:lastModifiedBy>Hanne Thy Iversen</cp:lastModifiedBy>
  <cp:revision>5</cp:revision>
  <cp:lastPrinted>2012-08-22T08:53:00Z</cp:lastPrinted>
  <dcterms:created xsi:type="dcterms:W3CDTF">2020-03-31T00:41:00Z</dcterms:created>
  <dcterms:modified xsi:type="dcterms:W3CDTF">2020-07-23T11:58:00Z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