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28799"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048E3856" wp14:editId="5F13E41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A98A683" w14:textId="77777777" w:rsidR="009260DE" w:rsidRPr="00C84483" w:rsidRDefault="009260DE" w:rsidP="009260DE">
      <w:pPr>
        <w:pStyle w:val="Titel"/>
        <w:tabs>
          <w:tab w:val="right" w:pos="9356"/>
        </w:tabs>
        <w:jc w:val="left"/>
        <w:rPr>
          <w:b w:val="0"/>
          <w:szCs w:val="24"/>
          <w:lang w:eastAsia="en-US"/>
        </w:rPr>
      </w:pPr>
    </w:p>
    <w:p w14:paraId="4D38D6B1" w14:textId="508B2DE8"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C6E36">
        <w:rPr>
          <w:szCs w:val="24"/>
        </w:rPr>
        <w:t>15. marts 2024</w:t>
      </w:r>
    </w:p>
    <w:p w14:paraId="18911BBF" w14:textId="77777777" w:rsidR="009260DE" w:rsidRPr="00C84483" w:rsidRDefault="009260DE" w:rsidP="009260DE">
      <w:pPr>
        <w:pStyle w:val="Titel"/>
        <w:tabs>
          <w:tab w:val="left" w:pos="8222"/>
        </w:tabs>
        <w:jc w:val="left"/>
        <w:rPr>
          <w:b w:val="0"/>
          <w:szCs w:val="24"/>
        </w:rPr>
      </w:pPr>
    </w:p>
    <w:p w14:paraId="11E220E4" w14:textId="77777777" w:rsidR="009260DE" w:rsidRPr="00C84483" w:rsidRDefault="009260DE" w:rsidP="009260DE">
      <w:pPr>
        <w:pStyle w:val="Titel"/>
        <w:jc w:val="left"/>
        <w:rPr>
          <w:b w:val="0"/>
          <w:szCs w:val="24"/>
        </w:rPr>
      </w:pPr>
    </w:p>
    <w:p w14:paraId="2B148EA4" w14:textId="77777777" w:rsidR="009260DE" w:rsidRPr="00C84483" w:rsidRDefault="009260DE" w:rsidP="009260DE">
      <w:pPr>
        <w:pStyle w:val="Titel"/>
        <w:jc w:val="left"/>
        <w:rPr>
          <w:b w:val="0"/>
          <w:szCs w:val="24"/>
        </w:rPr>
      </w:pPr>
    </w:p>
    <w:p w14:paraId="4EB0EBD0" w14:textId="77777777" w:rsidR="009260DE" w:rsidRPr="00C84483" w:rsidRDefault="009260DE" w:rsidP="009260DE">
      <w:pPr>
        <w:jc w:val="center"/>
        <w:rPr>
          <w:b/>
          <w:sz w:val="24"/>
          <w:szCs w:val="24"/>
        </w:rPr>
      </w:pPr>
      <w:r w:rsidRPr="00C84483">
        <w:rPr>
          <w:b/>
          <w:sz w:val="24"/>
          <w:szCs w:val="24"/>
        </w:rPr>
        <w:t>PRODUKTRESUMÉ</w:t>
      </w:r>
    </w:p>
    <w:p w14:paraId="74537A47" w14:textId="77777777" w:rsidR="009260DE" w:rsidRPr="00C84483" w:rsidRDefault="009260DE" w:rsidP="009260DE">
      <w:pPr>
        <w:jc w:val="center"/>
        <w:rPr>
          <w:b/>
          <w:sz w:val="24"/>
          <w:szCs w:val="24"/>
        </w:rPr>
      </w:pPr>
    </w:p>
    <w:p w14:paraId="4186EF54" w14:textId="77777777" w:rsidR="009260DE" w:rsidRDefault="009260DE" w:rsidP="009260DE">
      <w:pPr>
        <w:jc w:val="center"/>
        <w:rPr>
          <w:b/>
          <w:sz w:val="24"/>
          <w:szCs w:val="24"/>
        </w:rPr>
      </w:pPr>
      <w:r w:rsidRPr="00C84483">
        <w:rPr>
          <w:b/>
          <w:sz w:val="24"/>
          <w:szCs w:val="24"/>
        </w:rPr>
        <w:t>for</w:t>
      </w:r>
    </w:p>
    <w:p w14:paraId="709834F7" w14:textId="77777777" w:rsidR="000B058C" w:rsidRPr="00C84483" w:rsidRDefault="000B058C" w:rsidP="009260DE">
      <w:pPr>
        <w:jc w:val="center"/>
        <w:rPr>
          <w:b/>
          <w:sz w:val="24"/>
          <w:szCs w:val="24"/>
        </w:rPr>
      </w:pPr>
    </w:p>
    <w:p w14:paraId="1A34E490" w14:textId="1FCFC1D0" w:rsidR="009260DE" w:rsidRPr="00C84483" w:rsidRDefault="003C6E36" w:rsidP="009260DE">
      <w:pPr>
        <w:jc w:val="center"/>
        <w:rPr>
          <w:b/>
          <w:sz w:val="24"/>
          <w:szCs w:val="24"/>
        </w:rPr>
      </w:pPr>
      <w:proofErr w:type="spellStart"/>
      <w:r>
        <w:rPr>
          <w:b/>
          <w:sz w:val="24"/>
          <w:szCs w:val="24"/>
        </w:rPr>
        <w:t>Thiaminhydrochlorid</w:t>
      </w:r>
      <w:proofErr w:type="spellEnd"/>
      <w:r>
        <w:rPr>
          <w:b/>
          <w:sz w:val="24"/>
          <w:szCs w:val="24"/>
        </w:rPr>
        <w:t xml:space="preserve"> ”</w:t>
      </w:r>
      <w:proofErr w:type="spellStart"/>
      <w:r>
        <w:rPr>
          <w:b/>
          <w:sz w:val="24"/>
          <w:szCs w:val="24"/>
        </w:rPr>
        <w:t>Ebb</w:t>
      </w:r>
      <w:proofErr w:type="spellEnd"/>
      <w:r>
        <w:rPr>
          <w:b/>
          <w:sz w:val="24"/>
          <w:szCs w:val="24"/>
        </w:rPr>
        <w:t xml:space="preserve"> Medical”</w:t>
      </w:r>
      <w:r w:rsidR="004323D8" w:rsidRPr="004323D8">
        <w:rPr>
          <w:b/>
          <w:sz w:val="24"/>
          <w:szCs w:val="24"/>
        </w:rPr>
        <w:t>, injektionsvæske, opløsning</w:t>
      </w:r>
      <w:r>
        <w:rPr>
          <w:b/>
          <w:sz w:val="24"/>
          <w:szCs w:val="24"/>
        </w:rPr>
        <w:t xml:space="preserve"> </w:t>
      </w:r>
      <w:bookmarkStart w:id="0" w:name="_Hlk161393779"/>
      <w:r>
        <w:rPr>
          <w:b/>
          <w:sz w:val="24"/>
          <w:szCs w:val="24"/>
        </w:rPr>
        <w:t>(</w:t>
      </w:r>
      <w:proofErr w:type="spellStart"/>
      <w:r w:rsidRPr="003C6E36">
        <w:rPr>
          <w:b/>
          <w:sz w:val="24"/>
          <w:szCs w:val="24"/>
        </w:rPr>
        <w:t>Ebb</w:t>
      </w:r>
      <w:proofErr w:type="spellEnd"/>
      <w:r w:rsidRPr="003C6E36">
        <w:rPr>
          <w:b/>
          <w:sz w:val="24"/>
          <w:szCs w:val="24"/>
        </w:rPr>
        <w:t xml:space="preserve"> Medical</w:t>
      </w:r>
      <w:r>
        <w:rPr>
          <w:b/>
          <w:sz w:val="24"/>
          <w:szCs w:val="24"/>
        </w:rPr>
        <w:t>)</w:t>
      </w:r>
      <w:bookmarkEnd w:id="0"/>
    </w:p>
    <w:p w14:paraId="7A313376" w14:textId="77777777" w:rsidR="009260DE" w:rsidRPr="00C84483" w:rsidRDefault="009260DE" w:rsidP="009260DE">
      <w:pPr>
        <w:jc w:val="both"/>
        <w:rPr>
          <w:sz w:val="24"/>
          <w:szCs w:val="24"/>
        </w:rPr>
      </w:pPr>
    </w:p>
    <w:p w14:paraId="4C903D30" w14:textId="77777777" w:rsidR="009260DE" w:rsidRPr="00C84483" w:rsidRDefault="009260DE" w:rsidP="009260DE">
      <w:pPr>
        <w:jc w:val="both"/>
        <w:rPr>
          <w:sz w:val="24"/>
          <w:szCs w:val="24"/>
        </w:rPr>
      </w:pPr>
    </w:p>
    <w:p w14:paraId="54883613"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88F565D" w14:textId="3090FE23" w:rsidR="009260DE" w:rsidRPr="00C84483" w:rsidRDefault="007E5136" w:rsidP="009260DE">
      <w:pPr>
        <w:tabs>
          <w:tab w:val="left" w:pos="851"/>
        </w:tabs>
        <w:ind w:left="851"/>
        <w:rPr>
          <w:sz w:val="24"/>
          <w:szCs w:val="24"/>
        </w:rPr>
      </w:pPr>
      <w:r>
        <w:rPr>
          <w:sz w:val="24"/>
          <w:szCs w:val="24"/>
        </w:rPr>
        <w:t>31119</w:t>
      </w:r>
    </w:p>
    <w:p w14:paraId="7DF0F0FE" w14:textId="77777777" w:rsidR="009260DE" w:rsidRPr="00C84483" w:rsidRDefault="009260DE" w:rsidP="009260DE">
      <w:pPr>
        <w:tabs>
          <w:tab w:val="left" w:pos="851"/>
        </w:tabs>
        <w:ind w:left="851"/>
        <w:rPr>
          <w:sz w:val="24"/>
          <w:szCs w:val="24"/>
        </w:rPr>
      </w:pPr>
    </w:p>
    <w:p w14:paraId="1F5A3DDB"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EB0C47C" w14:textId="55DAB130" w:rsidR="009260DE" w:rsidRPr="007E5136" w:rsidRDefault="003C6E36" w:rsidP="009260DE">
      <w:pPr>
        <w:tabs>
          <w:tab w:val="left" w:pos="851"/>
        </w:tabs>
        <w:ind w:left="851"/>
        <w:rPr>
          <w:sz w:val="24"/>
          <w:szCs w:val="24"/>
        </w:rPr>
      </w:pPr>
      <w:proofErr w:type="spellStart"/>
      <w:r>
        <w:rPr>
          <w:sz w:val="24"/>
          <w:szCs w:val="24"/>
        </w:rPr>
        <w:t>Thiaminhydrochlorid</w:t>
      </w:r>
      <w:proofErr w:type="spellEnd"/>
      <w:r>
        <w:rPr>
          <w:sz w:val="24"/>
          <w:szCs w:val="24"/>
        </w:rPr>
        <w:t xml:space="preserve"> ”</w:t>
      </w:r>
      <w:proofErr w:type="spellStart"/>
      <w:r>
        <w:rPr>
          <w:sz w:val="24"/>
          <w:szCs w:val="24"/>
        </w:rPr>
        <w:t>Ebb</w:t>
      </w:r>
      <w:proofErr w:type="spellEnd"/>
      <w:r>
        <w:rPr>
          <w:sz w:val="24"/>
          <w:szCs w:val="24"/>
        </w:rPr>
        <w:t xml:space="preserve"> Medical”</w:t>
      </w:r>
    </w:p>
    <w:p w14:paraId="7586345E" w14:textId="77777777" w:rsidR="007E5136" w:rsidRPr="007E5136" w:rsidRDefault="007E5136" w:rsidP="009260DE">
      <w:pPr>
        <w:tabs>
          <w:tab w:val="left" w:pos="851"/>
        </w:tabs>
        <w:ind w:left="851"/>
        <w:rPr>
          <w:sz w:val="24"/>
          <w:szCs w:val="24"/>
        </w:rPr>
      </w:pPr>
    </w:p>
    <w:p w14:paraId="5E6ED6E2"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30A73A2" w14:textId="577A5FE4" w:rsidR="001E1442" w:rsidRPr="001E1442" w:rsidRDefault="003C6E36" w:rsidP="001E1442">
      <w:pPr>
        <w:tabs>
          <w:tab w:val="left" w:pos="851"/>
        </w:tabs>
        <w:ind w:left="851"/>
        <w:rPr>
          <w:sz w:val="24"/>
          <w:szCs w:val="24"/>
        </w:rPr>
      </w:pPr>
      <w:proofErr w:type="spellStart"/>
      <w:r>
        <w:rPr>
          <w:sz w:val="24"/>
          <w:szCs w:val="24"/>
        </w:rPr>
        <w:t>Thiaminhydrochlorid</w:t>
      </w:r>
      <w:proofErr w:type="spellEnd"/>
      <w:r>
        <w:rPr>
          <w:sz w:val="24"/>
          <w:szCs w:val="24"/>
        </w:rPr>
        <w:t xml:space="preserve"> ”</w:t>
      </w:r>
      <w:proofErr w:type="spellStart"/>
      <w:r>
        <w:rPr>
          <w:sz w:val="24"/>
          <w:szCs w:val="24"/>
        </w:rPr>
        <w:t>Ebb</w:t>
      </w:r>
      <w:proofErr w:type="spellEnd"/>
      <w:r>
        <w:rPr>
          <w:sz w:val="24"/>
          <w:szCs w:val="24"/>
        </w:rPr>
        <w:t xml:space="preserve"> Medical”</w:t>
      </w:r>
      <w:r w:rsidR="001E1442" w:rsidRPr="001E1442">
        <w:rPr>
          <w:sz w:val="24"/>
          <w:szCs w:val="24"/>
        </w:rPr>
        <w:t xml:space="preserve"> er et </w:t>
      </w:r>
      <w:proofErr w:type="spellStart"/>
      <w:r w:rsidR="001E1442" w:rsidRPr="001E1442">
        <w:rPr>
          <w:sz w:val="24"/>
          <w:szCs w:val="24"/>
        </w:rPr>
        <w:t>thiaminholdigt</w:t>
      </w:r>
      <w:proofErr w:type="spellEnd"/>
      <w:r w:rsidR="001E1442" w:rsidRPr="001E1442">
        <w:rPr>
          <w:sz w:val="24"/>
          <w:szCs w:val="24"/>
        </w:rPr>
        <w:t xml:space="preserve"> (B1-vitamin) monovitaminprodukt.</w:t>
      </w:r>
    </w:p>
    <w:p w14:paraId="5302F434" w14:textId="77777777" w:rsidR="001E1442" w:rsidRPr="001E1442" w:rsidRDefault="001E1442" w:rsidP="001E1442">
      <w:pPr>
        <w:tabs>
          <w:tab w:val="left" w:pos="851"/>
        </w:tabs>
        <w:ind w:left="851"/>
        <w:rPr>
          <w:sz w:val="24"/>
          <w:szCs w:val="24"/>
        </w:rPr>
      </w:pPr>
    </w:p>
    <w:p w14:paraId="387FA600" w14:textId="77777777" w:rsidR="00D27C07" w:rsidRPr="00D27C07" w:rsidRDefault="001E1442" w:rsidP="001E1442">
      <w:pPr>
        <w:tabs>
          <w:tab w:val="left" w:pos="851"/>
        </w:tabs>
        <w:ind w:left="851"/>
        <w:rPr>
          <w:sz w:val="24"/>
          <w:szCs w:val="24"/>
          <w:u w:val="single"/>
        </w:rPr>
      </w:pPr>
      <w:r w:rsidRPr="00D27C07">
        <w:rPr>
          <w:sz w:val="24"/>
          <w:szCs w:val="24"/>
          <w:u w:val="single"/>
        </w:rPr>
        <w:t>50</w:t>
      </w:r>
      <w:r w:rsidR="00D27C07" w:rsidRPr="00D27C07">
        <w:rPr>
          <w:sz w:val="24"/>
          <w:szCs w:val="24"/>
          <w:u w:val="single"/>
        </w:rPr>
        <w:t xml:space="preserve"> </w:t>
      </w:r>
      <w:r w:rsidRPr="00D27C07">
        <w:rPr>
          <w:sz w:val="24"/>
          <w:szCs w:val="24"/>
          <w:u w:val="single"/>
        </w:rPr>
        <w:t>mg/ml</w:t>
      </w:r>
    </w:p>
    <w:p w14:paraId="6EC8735C" w14:textId="77777777" w:rsidR="00A048CE" w:rsidRDefault="001E1442" w:rsidP="001E1442">
      <w:pPr>
        <w:tabs>
          <w:tab w:val="left" w:pos="851"/>
        </w:tabs>
        <w:ind w:left="851"/>
        <w:rPr>
          <w:sz w:val="24"/>
          <w:szCs w:val="24"/>
        </w:rPr>
      </w:pPr>
      <w:r w:rsidRPr="001E1442">
        <w:rPr>
          <w:sz w:val="24"/>
          <w:szCs w:val="24"/>
        </w:rPr>
        <w:t xml:space="preserve">1 ml indeholder 50 mg </w:t>
      </w:r>
      <w:proofErr w:type="spellStart"/>
      <w:r w:rsidRPr="001E1442">
        <w:rPr>
          <w:sz w:val="24"/>
          <w:szCs w:val="24"/>
        </w:rPr>
        <w:t>thiaminhydrochlorid</w:t>
      </w:r>
      <w:proofErr w:type="spellEnd"/>
      <w:r w:rsidRPr="001E1442">
        <w:rPr>
          <w:sz w:val="24"/>
          <w:szCs w:val="24"/>
        </w:rPr>
        <w:t>.</w:t>
      </w:r>
    </w:p>
    <w:p w14:paraId="6A283796" w14:textId="4FB50688" w:rsidR="001E1442" w:rsidRPr="001E1442" w:rsidRDefault="001E1442" w:rsidP="001E1442">
      <w:pPr>
        <w:tabs>
          <w:tab w:val="left" w:pos="851"/>
        </w:tabs>
        <w:ind w:left="851"/>
        <w:rPr>
          <w:sz w:val="24"/>
          <w:szCs w:val="24"/>
        </w:rPr>
      </w:pPr>
      <w:r w:rsidRPr="001E1442">
        <w:rPr>
          <w:sz w:val="24"/>
          <w:szCs w:val="24"/>
        </w:rPr>
        <w:t>Hver 2 ml ampul</w:t>
      </w:r>
      <w:r w:rsidR="00D27C07">
        <w:rPr>
          <w:sz w:val="24"/>
          <w:szCs w:val="24"/>
        </w:rPr>
        <w:t xml:space="preserve"> </w:t>
      </w:r>
      <w:r w:rsidRPr="001E1442">
        <w:rPr>
          <w:sz w:val="24"/>
          <w:szCs w:val="24"/>
        </w:rPr>
        <w:t xml:space="preserve">indeholder 100 mg </w:t>
      </w:r>
      <w:r w:rsidRPr="001E1442">
        <w:rPr>
          <w:sz w:val="24"/>
          <w:szCs w:val="24"/>
          <w:lang w:val="fr-LU"/>
        </w:rPr>
        <w:t>thiaminhydrochlorid</w:t>
      </w:r>
      <w:r w:rsidRPr="001E1442">
        <w:rPr>
          <w:sz w:val="24"/>
          <w:szCs w:val="24"/>
        </w:rPr>
        <w:t>.</w:t>
      </w:r>
    </w:p>
    <w:p w14:paraId="23E95BEC" w14:textId="77777777" w:rsidR="001E1442" w:rsidRPr="001E1442" w:rsidRDefault="001E1442" w:rsidP="001E1442">
      <w:pPr>
        <w:tabs>
          <w:tab w:val="left" w:pos="851"/>
        </w:tabs>
        <w:ind w:left="851"/>
        <w:rPr>
          <w:sz w:val="24"/>
          <w:szCs w:val="24"/>
        </w:rPr>
      </w:pPr>
      <w:r w:rsidRPr="001E1442">
        <w:rPr>
          <w:sz w:val="24"/>
          <w:szCs w:val="24"/>
        </w:rPr>
        <w:t> </w:t>
      </w:r>
    </w:p>
    <w:p w14:paraId="618672B7" w14:textId="77777777" w:rsidR="00D27C07" w:rsidRPr="00D27C07" w:rsidRDefault="001E1442" w:rsidP="001E1442">
      <w:pPr>
        <w:tabs>
          <w:tab w:val="left" w:pos="851"/>
        </w:tabs>
        <w:ind w:left="851"/>
        <w:rPr>
          <w:sz w:val="24"/>
          <w:szCs w:val="24"/>
          <w:u w:val="single"/>
        </w:rPr>
      </w:pPr>
      <w:r w:rsidRPr="00D27C07">
        <w:rPr>
          <w:sz w:val="24"/>
          <w:szCs w:val="24"/>
          <w:u w:val="single"/>
        </w:rPr>
        <w:t>125</w:t>
      </w:r>
      <w:r w:rsidR="00D27C07" w:rsidRPr="00D27C07">
        <w:rPr>
          <w:sz w:val="24"/>
          <w:szCs w:val="24"/>
          <w:u w:val="single"/>
        </w:rPr>
        <w:t xml:space="preserve"> </w:t>
      </w:r>
      <w:r w:rsidRPr="00D27C07">
        <w:rPr>
          <w:sz w:val="24"/>
          <w:szCs w:val="24"/>
          <w:u w:val="single"/>
        </w:rPr>
        <w:t>mg/ml</w:t>
      </w:r>
    </w:p>
    <w:p w14:paraId="027EAD14" w14:textId="77777777" w:rsidR="00A048CE" w:rsidRDefault="001E1442" w:rsidP="001E1442">
      <w:pPr>
        <w:tabs>
          <w:tab w:val="left" w:pos="851"/>
        </w:tabs>
        <w:ind w:left="851"/>
        <w:rPr>
          <w:sz w:val="24"/>
          <w:szCs w:val="24"/>
        </w:rPr>
      </w:pPr>
      <w:r w:rsidRPr="001E1442">
        <w:rPr>
          <w:sz w:val="24"/>
          <w:szCs w:val="24"/>
        </w:rPr>
        <w:t xml:space="preserve">1 ml indeholder 125 mg </w:t>
      </w:r>
      <w:proofErr w:type="spellStart"/>
      <w:r w:rsidRPr="001E1442">
        <w:rPr>
          <w:sz w:val="24"/>
          <w:szCs w:val="24"/>
        </w:rPr>
        <w:t>thiaminhydrochlorid</w:t>
      </w:r>
      <w:proofErr w:type="spellEnd"/>
      <w:r w:rsidRPr="001E1442">
        <w:rPr>
          <w:sz w:val="24"/>
          <w:szCs w:val="24"/>
        </w:rPr>
        <w:t>.</w:t>
      </w:r>
    </w:p>
    <w:p w14:paraId="4A782BD3" w14:textId="2F0589A8" w:rsidR="001E1442" w:rsidRPr="001E1442" w:rsidRDefault="001E1442" w:rsidP="001E1442">
      <w:pPr>
        <w:tabs>
          <w:tab w:val="left" w:pos="851"/>
        </w:tabs>
        <w:ind w:left="851"/>
        <w:rPr>
          <w:sz w:val="24"/>
          <w:szCs w:val="24"/>
        </w:rPr>
      </w:pPr>
      <w:r w:rsidRPr="001E1442">
        <w:rPr>
          <w:sz w:val="24"/>
          <w:szCs w:val="24"/>
        </w:rPr>
        <w:t>Hver 2 ml ampul</w:t>
      </w:r>
      <w:r w:rsidR="00D27C07">
        <w:rPr>
          <w:sz w:val="24"/>
          <w:szCs w:val="24"/>
        </w:rPr>
        <w:t xml:space="preserve"> </w:t>
      </w:r>
      <w:r w:rsidRPr="001E1442">
        <w:rPr>
          <w:sz w:val="24"/>
          <w:szCs w:val="24"/>
        </w:rPr>
        <w:t xml:space="preserve">indeholder 250 mg </w:t>
      </w:r>
      <w:r w:rsidRPr="001E1442">
        <w:rPr>
          <w:sz w:val="24"/>
          <w:szCs w:val="24"/>
          <w:lang w:val="fr-LU"/>
        </w:rPr>
        <w:t>thiaminhydrochlorid</w:t>
      </w:r>
      <w:r w:rsidRPr="001E1442">
        <w:rPr>
          <w:sz w:val="24"/>
          <w:szCs w:val="24"/>
        </w:rPr>
        <w:t>.</w:t>
      </w:r>
    </w:p>
    <w:p w14:paraId="7F36153D" w14:textId="77777777" w:rsidR="001E1442" w:rsidRPr="001E1442" w:rsidRDefault="001E1442" w:rsidP="001E1442">
      <w:pPr>
        <w:tabs>
          <w:tab w:val="left" w:pos="851"/>
        </w:tabs>
        <w:ind w:left="851"/>
        <w:rPr>
          <w:sz w:val="24"/>
          <w:szCs w:val="24"/>
        </w:rPr>
      </w:pPr>
    </w:p>
    <w:p w14:paraId="58D9D253" w14:textId="77777777" w:rsidR="001E1442" w:rsidRPr="001E1442" w:rsidRDefault="001E1442" w:rsidP="001E1442">
      <w:pPr>
        <w:tabs>
          <w:tab w:val="left" w:pos="851"/>
        </w:tabs>
        <w:ind w:left="851"/>
        <w:rPr>
          <w:sz w:val="24"/>
          <w:szCs w:val="24"/>
        </w:rPr>
      </w:pPr>
      <w:r w:rsidRPr="001E1442">
        <w:rPr>
          <w:sz w:val="24"/>
          <w:szCs w:val="24"/>
        </w:rPr>
        <w:t>Alle hjælpestoffer er anført under pkt. 6.1.</w:t>
      </w:r>
    </w:p>
    <w:p w14:paraId="1236F819" w14:textId="77777777" w:rsidR="009260DE" w:rsidRPr="00C84483" w:rsidRDefault="009260DE" w:rsidP="009260DE">
      <w:pPr>
        <w:tabs>
          <w:tab w:val="left" w:pos="851"/>
        </w:tabs>
        <w:ind w:left="851"/>
        <w:rPr>
          <w:sz w:val="24"/>
          <w:szCs w:val="24"/>
        </w:rPr>
      </w:pPr>
    </w:p>
    <w:p w14:paraId="61D898A4"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C5C8328" w14:textId="2F916E90" w:rsidR="003C31B8" w:rsidRPr="003C31B8" w:rsidRDefault="003C31B8" w:rsidP="003C31B8">
      <w:pPr>
        <w:tabs>
          <w:tab w:val="left" w:pos="851"/>
        </w:tabs>
        <w:ind w:left="851"/>
        <w:rPr>
          <w:bCs/>
          <w:sz w:val="24"/>
          <w:szCs w:val="24"/>
        </w:rPr>
      </w:pPr>
      <w:r w:rsidRPr="003C31B8">
        <w:rPr>
          <w:bCs/>
          <w:sz w:val="24"/>
          <w:szCs w:val="24"/>
          <w:lang w:val="fr-LU"/>
        </w:rPr>
        <w:t>Injektionsvæske, opløsning</w:t>
      </w:r>
      <w:r w:rsidRPr="003C31B8">
        <w:rPr>
          <w:bCs/>
          <w:sz w:val="24"/>
          <w:szCs w:val="24"/>
        </w:rPr>
        <w:t xml:space="preserve"> </w:t>
      </w:r>
      <w:r w:rsidR="003C6E36" w:rsidRPr="003C6E36">
        <w:rPr>
          <w:bCs/>
          <w:sz w:val="24"/>
          <w:szCs w:val="24"/>
        </w:rPr>
        <w:t>(</w:t>
      </w:r>
      <w:proofErr w:type="spellStart"/>
      <w:r w:rsidR="003C6E36" w:rsidRPr="003C6E36">
        <w:rPr>
          <w:bCs/>
          <w:sz w:val="24"/>
          <w:szCs w:val="24"/>
        </w:rPr>
        <w:t>Ebb</w:t>
      </w:r>
      <w:proofErr w:type="spellEnd"/>
      <w:r w:rsidR="003C6E36" w:rsidRPr="003C6E36">
        <w:rPr>
          <w:bCs/>
          <w:sz w:val="24"/>
          <w:szCs w:val="24"/>
        </w:rPr>
        <w:t xml:space="preserve"> Medical)</w:t>
      </w:r>
    </w:p>
    <w:p w14:paraId="2E8BAD99" w14:textId="77777777" w:rsidR="009260DE" w:rsidRPr="003C31B8" w:rsidRDefault="009260DE" w:rsidP="009260DE">
      <w:pPr>
        <w:tabs>
          <w:tab w:val="left" w:pos="851"/>
        </w:tabs>
        <w:ind w:left="851"/>
        <w:rPr>
          <w:sz w:val="24"/>
          <w:szCs w:val="24"/>
          <w:lang w:val="en-US"/>
        </w:rPr>
      </w:pPr>
    </w:p>
    <w:p w14:paraId="3F8F8E83" w14:textId="77777777" w:rsidR="009260DE" w:rsidRPr="003C31B8" w:rsidRDefault="009260DE" w:rsidP="009260DE">
      <w:pPr>
        <w:tabs>
          <w:tab w:val="left" w:pos="851"/>
        </w:tabs>
        <w:ind w:left="851"/>
        <w:rPr>
          <w:sz w:val="24"/>
          <w:szCs w:val="24"/>
          <w:lang w:val="en-US"/>
        </w:rPr>
      </w:pPr>
    </w:p>
    <w:p w14:paraId="015B1FD2"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FE061CE" w14:textId="77777777" w:rsidR="009260DE" w:rsidRPr="00C84483" w:rsidRDefault="009260DE" w:rsidP="009260DE">
      <w:pPr>
        <w:tabs>
          <w:tab w:val="left" w:pos="851"/>
        </w:tabs>
        <w:ind w:left="851"/>
        <w:rPr>
          <w:b/>
          <w:sz w:val="24"/>
          <w:szCs w:val="24"/>
        </w:rPr>
      </w:pPr>
    </w:p>
    <w:p w14:paraId="7E14DD3F"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91DB8FD" w14:textId="5ED3C220" w:rsidR="008062E8" w:rsidRPr="008062E8" w:rsidRDefault="003C6E36" w:rsidP="008062E8">
      <w:pPr>
        <w:tabs>
          <w:tab w:val="left" w:pos="851"/>
        </w:tabs>
        <w:ind w:left="851"/>
        <w:rPr>
          <w:sz w:val="24"/>
          <w:szCs w:val="24"/>
          <w:u w:val="single"/>
        </w:rPr>
      </w:pPr>
      <w:proofErr w:type="spellStart"/>
      <w:r>
        <w:rPr>
          <w:sz w:val="24"/>
          <w:szCs w:val="24"/>
        </w:rPr>
        <w:t>Thiaminhydrochlorid</w:t>
      </w:r>
      <w:proofErr w:type="spellEnd"/>
      <w:r>
        <w:rPr>
          <w:sz w:val="24"/>
          <w:szCs w:val="24"/>
        </w:rPr>
        <w:t xml:space="preserve"> ”</w:t>
      </w:r>
      <w:proofErr w:type="spellStart"/>
      <w:r>
        <w:rPr>
          <w:sz w:val="24"/>
          <w:szCs w:val="24"/>
        </w:rPr>
        <w:t>Ebb</w:t>
      </w:r>
      <w:proofErr w:type="spellEnd"/>
      <w:r>
        <w:rPr>
          <w:sz w:val="24"/>
          <w:szCs w:val="24"/>
        </w:rPr>
        <w:t xml:space="preserve"> Medical”</w:t>
      </w:r>
      <w:r w:rsidR="008062E8" w:rsidRPr="008062E8">
        <w:rPr>
          <w:sz w:val="24"/>
          <w:szCs w:val="24"/>
        </w:rPr>
        <w:t xml:space="preserve"> er indiceret til forebyggelse og behandling af B1-vitaminmangel som f.eks. beriberi, mangeltilstande relateret til kronisk alkoholisme og </w:t>
      </w:r>
      <w:proofErr w:type="spellStart"/>
      <w:r w:rsidR="008062E8" w:rsidRPr="008062E8">
        <w:rPr>
          <w:sz w:val="24"/>
          <w:szCs w:val="24"/>
        </w:rPr>
        <w:t>Wernicke-Korsakoffs</w:t>
      </w:r>
      <w:proofErr w:type="spellEnd"/>
      <w:r w:rsidR="008062E8" w:rsidRPr="008062E8">
        <w:rPr>
          <w:sz w:val="24"/>
          <w:szCs w:val="24"/>
        </w:rPr>
        <w:t xml:space="preserve"> syndrom. </w:t>
      </w:r>
    </w:p>
    <w:p w14:paraId="0ECB8E8A" w14:textId="77777777" w:rsidR="009260DE" w:rsidRPr="00C84483" w:rsidRDefault="009260DE" w:rsidP="009260DE">
      <w:pPr>
        <w:tabs>
          <w:tab w:val="left" w:pos="851"/>
        </w:tabs>
        <w:ind w:left="851"/>
        <w:rPr>
          <w:sz w:val="24"/>
          <w:szCs w:val="24"/>
        </w:rPr>
      </w:pPr>
    </w:p>
    <w:p w14:paraId="3227FC08"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4F937572" w14:textId="77777777" w:rsidR="00BC75EA" w:rsidRPr="00BC75EA" w:rsidRDefault="00BC75EA" w:rsidP="00BC75EA">
      <w:pPr>
        <w:tabs>
          <w:tab w:val="left" w:pos="851"/>
        </w:tabs>
        <w:ind w:left="851"/>
        <w:rPr>
          <w:sz w:val="24"/>
          <w:szCs w:val="24"/>
        </w:rPr>
      </w:pPr>
    </w:p>
    <w:p w14:paraId="4E36D05F" w14:textId="77777777" w:rsidR="00BC75EA" w:rsidRDefault="00BC75EA" w:rsidP="00BC75EA">
      <w:pPr>
        <w:tabs>
          <w:tab w:val="left" w:pos="851"/>
        </w:tabs>
        <w:ind w:left="851"/>
        <w:rPr>
          <w:i/>
          <w:iCs/>
          <w:sz w:val="24"/>
          <w:szCs w:val="24"/>
          <w:u w:val="single"/>
          <w:lang w:val="fr-LU"/>
        </w:rPr>
      </w:pPr>
      <w:r w:rsidRPr="00BC75EA">
        <w:rPr>
          <w:b/>
          <w:sz w:val="24"/>
          <w:szCs w:val="24"/>
        </w:rPr>
        <w:lastRenderedPageBreak/>
        <w:t>Dosering</w:t>
      </w:r>
      <w:r w:rsidRPr="00BC75EA">
        <w:rPr>
          <w:b/>
          <w:i/>
          <w:iCs/>
          <w:sz w:val="24"/>
          <w:szCs w:val="24"/>
          <w:lang w:val="fr-LU"/>
        </w:rPr>
        <w:br/>
      </w:r>
    </w:p>
    <w:p w14:paraId="670D67DC" w14:textId="2ED576AE" w:rsidR="00BC75EA" w:rsidRPr="00BC75EA" w:rsidRDefault="00BC75EA" w:rsidP="00BC75EA">
      <w:pPr>
        <w:tabs>
          <w:tab w:val="left" w:pos="851"/>
        </w:tabs>
        <w:ind w:left="851"/>
        <w:rPr>
          <w:sz w:val="24"/>
          <w:szCs w:val="24"/>
          <w:u w:val="single"/>
        </w:rPr>
      </w:pPr>
      <w:r w:rsidRPr="00BC75EA">
        <w:rPr>
          <w:iCs/>
          <w:sz w:val="24"/>
          <w:szCs w:val="24"/>
          <w:u w:val="single"/>
          <w:lang w:val="fr-LU"/>
        </w:rPr>
        <w:t>Voksne</w:t>
      </w:r>
    </w:p>
    <w:p w14:paraId="08564DC6" w14:textId="77777777" w:rsidR="00BC75EA" w:rsidRPr="00BC75EA" w:rsidRDefault="00BC75EA" w:rsidP="00BC75EA">
      <w:pPr>
        <w:tabs>
          <w:tab w:val="left" w:pos="851"/>
        </w:tabs>
        <w:ind w:left="851"/>
        <w:rPr>
          <w:sz w:val="24"/>
          <w:szCs w:val="24"/>
          <w:lang w:val="en-US"/>
        </w:rPr>
      </w:pPr>
      <w:bookmarkStart w:id="1" w:name="_GoBack"/>
      <w:bookmarkEnd w:id="1"/>
    </w:p>
    <w:p w14:paraId="71F25927" w14:textId="07FCF152" w:rsidR="00BC75EA" w:rsidRPr="00BC75EA" w:rsidRDefault="00BC75EA" w:rsidP="007B504B">
      <w:pPr>
        <w:numPr>
          <w:ilvl w:val="0"/>
          <w:numId w:val="6"/>
        </w:numPr>
        <w:tabs>
          <w:tab w:val="left" w:pos="1134"/>
        </w:tabs>
        <w:ind w:left="851" w:firstLine="0"/>
        <w:rPr>
          <w:i/>
          <w:sz w:val="24"/>
          <w:szCs w:val="24"/>
        </w:rPr>
      </w:pPr>
      <w:r w:rsidRPr="00BC75EA">
        <w:rPr>
          <w:i/>
          <w:sz w:val="24"/>
          <w:szCs w:val="24"/>
          <w:lang w:val="fr-LU"/>
        </w:rPr>
        <w:t>Beriberi</w:t>
      </w:r>
    </w:p>
    <w:p w14:paraId="79531E28" w14:textId="3AE1BB3B" w:rsidR="00BC75EA" w:rsidRPr="00BC75EA" w:rsidRDefault="00BC75EA" w:rsidP="007B504B">
      <w:pPr>
        <w:numPr>
          <w:ilvl w:val="0"/>
          <w:numId w:val="7"/>
        </w:numPr>
        <w:ind w:left="1134" w:hanging="283"/>
        <w:rPr>
          <w:sz w:val="24"/>
          <w:szCs w:val="24"/>
          <w:lang w:val="fr-LU"/>
        </w:rPr>
      </w:pPr>
      <w:r w:rsidRPr="00BC75EA">
        <w:rPr>
          <w:sz w:val="24"/>
          <w:szCs w:val="24"/>
          <w:lang w:val="fr-LU"/>
        </w:rPr>
        <w:t xml:space="preserve">Behandling: 10-20 mg ved intramuskulær injektion eller langsom intravenøs infusion (i løbet af 30 minutter) 3 gange </w:t>
      </w:r>
      <w:r w:rsidR="001D17C3">
        <w:rPr>
          <w:sz w:val="24"/>
          <w:szCs w:val="24"/>
          <w:lang w:val="fr-LU"/>
        </w:rPr>
        <w:t>daglig</w:t>
      </w:r>
      <w:r w:rsidRPr="00BC75EA">
        <w:rPr>
          <w:sz w:val="24"/>
          <w:szCs w:val="24"/>
          <w:lang w:val="fr-LU"/>
        </w:rPr>
        <w:t xml:space="preserve"> i op til 2 uger. </w:t>
      </w:r>
    </w:p>
    <w:p w14:paraId="04B8E171" w14:textId="77777777" w:rsidR="00BC75EA" w:rsidRPr="00BC75EA" w:rsidRDefault="00BC75EA" w:rsidP="007B504B">
      <w:pPr>
        <w:ind w:left="1134"/>
        <w:rPr>
          <w:sz w:val="24"/>
          <w:szCs w:val="24"/>
          <w:lang w:val="fr-LU"/>
        </w:rPr>
      </w:pPr>
      <w:r w:rsidRPr="00BC75EA">
        <w:rPr>
          <w:sz w:val="24"/>
          <w:szCs w:val="24"/>
          <w:lang w:val="fr-LU"/>
        </w:rPr>
        <w:t>Ved alvorlige livstruende former for beriberi (f.eks shoshin beriberi): 100 til 300 mg/dag med langsom intravenøs infusion.</w:t>
      </w:r>
    </w:p>
    <w:p w14:paraId="43AD57BC" w14:textId="3FA70382" w:rsidR="00BC75EA" w:rsidRPr="00BC75EA" w:rsidRDefault="00BC75EA" w:rsidP="007B504B">
      <w:pPr>
        <w:numPr>
          <w:ilvl w:val="0"/>
          <w:numId w:val="8"/>
        </w:numPr>
        <w:ind w:left="1134" w:hanging="283"/>
        <w:rPr>
          <w:sz w:val="24"/>
          <w:szCs w:val="24"/>
          <w:lang w:val="fr-LU"/>
        </w:rPr>
      </w:pPr>
      <w:r w:rsidRPr="00BC75EA">
        <w:rPr>
          <w:sz w:val="24"/>
          <w:szCs w:val="24"/>
          <w:lang w:val="fr-LU"/>
        </w:rPr>
        <w:t xml:space="preserve">Vedligeholdelsesbehandling: </w:t>
      </w:r>
      <w:r w:rsidR="007B504B">
        <w:rPr>
          <w:sz w:val="24"/>
          <w:szCs w:val="24"/>
          <w:lang w:val="fr-LU"/>
        </w:rPr>
        <w:t>B</w:t>
      </w:r>
      <w:r w:rsidRPr="00BC75EA">
        <w:rPr>
          <w:sz w:val="24"/>
          <w:szCs w:val="24"/>
          <w:lang w:val="fr-LU"/>
        </w:rPr>
        <w:t>ehandlingen fortsættes med B1-vitamin i tilpasset oral form.</w:t>
      </w:r>
    </w:p>
    <w:p w14:paraId="5475FC39" w14:textId="77777777" w:rsidR="00BC75EA" w:rsidRPr="00BC75EA" w:rsidRDefault="00BC75EA" w:rsidP="00BC75EA">
      <w:pPr>
        <w:tabs>
          <w:tab w:val="left" w:pos="851"/>
        </w:tabs>
        <w:ind w:left="851"/>
        <w:rPr>
          <w:sz w:val="24"/>
          <w:szCs w:val="24"/>
        </w:rPr>
      </w:pPr>
    </w:p>
    <w:p w14:paraId="4D59FE68" w14:textId="67660A65" w:rsidR="00BC75EA" w:rsidRPr="00BC75EA" w:rsidRDefault="00BC75EA" w:rsidP="007B504B">
      <w:pPr>
        <w:numPr>
          <w:ilvl w:val="0"/>
          <w:numId w:val="6"/>
        </w:numPr>
        <w:tabs>
          <w:tab w:val="left" w:pos="851"/>
        </w:tabs>
        <w:ind w:left="1134" w:hanging="283"/>
        <w:rPr>
          <w:i/>
          <w:sz w:val="24"/>
          <w:szCs w:val="24"/>
          <w:lang w:val="fr-LU"/>
        </w:rPr>
      </w:pPr>
      <w:r w:rsidRPr="00BC75EA">
        <w:rPr>
          <w:i/>
          <w:sz w:val="24"/>
          <w:szCs w:val="24"/>
          <w:lang w:val="fr-LU"/>
        </w:rPr>
        <w:t>Wernicke-Korsakoffs syndrom i forbindelse med alkoholmisbrug</w:t>
      </w:r>
    </w:p>
    <w:p w14:paraId="1081C49C" w14:textId="0DD1F9E9" w:rsidR="00BC75EA" w:rsidRPr="00BC75EA" w:rsidRDefault="00BC75EA" w:rsidP="007B504B">
      <w:pPr>
        <w:numPr>
          <w:ilvl w:val="0"/>
          <w:numId w:val="9"/>
        </w:numPr>
        <w:tabs>
          <w:tab w:val="left" w:pos="851"/>
        </w:tabs>
        <w:ind w:left="1134" w:hanging="283"/>
        <w:rPr>
          <w:sz w:val="24"/>
          <w:szCs w:val="24"/>
          <w:lang w:val="fr-LU"/>
        </w:rPr>
      </w:pPr>
      <w:r w:rsidRPr="00BC75EA">
        <w:rPr>
          <w:sz w:val="24"/>
          <w:szCs w:val="24"/>
          <w:lang w:val="fr-LU"/>
        </w:rPr>
        <w:t xml:space="preserve">Profylakse hos patienter med høj risiko (f.eks. indlagte patienter, der behandles for alkoholabstinens og underernæring): 250 mg intramuskulært eller intravenøst 1 gang </w:t>
      </w:r>
      <w:r w:rsidR="001D17C3">
        <w:rPr>
          <w:sz w:val="24"/>
          <w:szCs w:val="24"/>
          <w:lang w:val="fr-LU"/>
        </w:rPr>
        <w:t>daglig</w:t>
      </w:r>
      <w:r w:rsidRPr="00BC75EA">
        <w:rPr>
          <w:sz w:val="24"/>
          <w:szCs w:val="24"/>
          <w:lang w:val="fr-LU"/>
        </w:rPr>
        <w:t xml:space="preserve"> i 3 til 5 dage.</w:t>
      </w:r>
    </w:p>
    <w:p w14:paraId="5D604C91" w14:textId="743129ED" w:rsidR="00BC75EA" w:rsidRPr="00BC75EA" w:rsidRDefault="00BC75EA" w:rsidP="007B504B">
      <w:pPr>
        <w:numPr>
          <w:ilvl w:val="0"/>
          <w:numId w:val="9"/>
        </w:numPr>
        <w:tabs>
          <w:tab w:val="left" w:pos="851"/>
        </w:tabs>
        <w:ind w:left="1134" w:hanging="283"/>
        <w:rPr>
          <w:sz w:val="24"/>
          <w:szCs w:val="24"/>
          <w:lang w:val="fr-LU"/>
        </w:rPr>
      </w:pPr>
      <w:r w:rsidRPr="00BC75EA">
        <w:rPr>
          <w:sz w:val="24"/>
          <w:szCs w:val="24"/>
          <w:lang w:val="fr-LU"/>
        </w:rPr>
        <w:t xml:space="preserve">Behandling: 500 til 750 mg intravenøst 3 gange </w:t>
      </w:r>
      <w:r w:rsidR="001D17C3">
        <w:rPr>
          <w:sz w:val="24"/>
          <w:szCs w:val="24"/>
          <w:lang w:val="fr-LU"/>
        </w:rPr>
        <w:t>daglig</w:t>
      </w:r>
      <w:r w:rsidRPr="00BC75EA">
        <w:rPr>
          <w:sz w:val="24"/>
          <w:szCs w:val="24"/>
          <w:lang w:val="fr-LU"/>
        </w:rPr>
        <w:t xml:space="preserve"> i mindst 2 dage (der kan gives op til 1.000 mg/dosis i de første 12 timer). Ved god respons kan behandlingen fortsættes med 250 mg intramuskulært eller intravenøst 1 gang </w:t>
      </w:r>
      <w:r w:rsidR="001D17C3">
        <w:rPr>
          <w:sz w:val="24"/>
          <w:szCs w:val="24"/>
          <w:lang w:val="fr-LU"/>
        </w:rPr>
        <w:t>daglig</w:t>
      </w:r>
      <w:r w:rsidRPr="00BC75EA">
        <w:rPr>
          <w:sz w:val="24"/>
          <w:szCs w:val="24"/>
          <w:lang w:val="fr-LU"/>
        </w:rPr>
        <w:t xml:space="preserve"> i 5 dage, eller indtil der ikke er yderligere forbedring. </w:t>
      </w:r>
    </w:p>
    <w:p w14:paraId="526643D8" w14:textId="3DEF0718" w:rsidR="00BC75EA" w:rsidRPr="00BC75EA" w:rsidRDefault="00BC75EA" w:rsidP="007B504B">
      <w:pPr>
        <w:numPr>
          <w:ilvl w:val="0"/>
          <w:numId w:val="9"/>
        </w:numPr>
        <w:tabs>
          <w:tab w:val="left" w:pos="851"/>
        </w:tabs>
        <w:ind w:left="1134" w:hanging="283"/>
        <w:rPr>
          <w:sz w:val="24"/>
          <w:szCs w:val="24"/>
          <w:lang w:val="fr-LU"/>
        </w:rPr>
      </w:pPr>
      <w:r w:rsidRPr="00BC75EA">
        <w:rPr>
          <w:sz w:val="24"/>
          <w:szCs w:val="24"/>
          <w:lang w:val="fr-LU"/>
        </w:rPr>
        <w:t xml:space="preserve">Vedligeholdelsesbehandling: </w:t>
      </w:r>
      <w:r w:rsidR="004F1806">
        <w:rPr>
          <w:sz w:val="24"/>
          <w:szCs w:val="24"/>
          <w:lang w:val="fr-LU"/>
        </w:rPr>
        <w:t>B</w:t>
      </w:r>
      <w:r w:rsidRPr="00BC75EA">
        <w:rPr>
          <w:sz w:val="24"/>
          <w:szCs w:val="24"/>
          <w:lang w:val="fr-LU"/>
        </w:rPr>
        <w:t>ehandlingen fortsættes med B1-vitamin i tilpasset oral form.</w:t>
      </w:r>
    </w:p>
    <w:p w14:paraId="3845A842" w14:textId="77777777" w:rsidR="00BC75EA" w:rsidRPr="00BC75EA" w:rsidRDefault="00BC75EA" w:rsidP="00BC75EA">
      <w:pPr>
        <w:tabs>
          <w:tab w:val="left" w:pos="851"/>
        </w:tabs>
        <w:ind w:left="851"/>
        <w:rPr>
          <w:sz w:val="24"/>
          <w:szCs w:val="24"/>
          <w:lang w:val="fr-LU"/>
        </w:rPr>
      </w:pPr>
    </w:p>
    <w:p w14:paraId="47C8227E" w14:textId="6DF082AD" w:rsidR="00BC75EA" w:rsidRPr="00BC75EA" w:rsidRDefault="00BC75EA" w:rsidP="00BC75EA">
      <w:pPr>
        <w:tabs>
          <w:tab w:val="left" w:pos="851"/>
        </w:tabs>
        <w:ind w:left="851"/>
        <w:rPr>
          <w:sz w:val="24"/>
          <w:szCs w:val="24"/>
        </w:rPr>
      </w:pPr>
      <w:r w:rsidRPr="00BC75EA">
        <w:rPr>
          <w:sz w:val="24"/>
          <w:szCs w:val="24"/>
        </w:rPr>
        <w:t xml:space="preserve">Patienter med marginal </w:t>
      </w:r>
      <w:proofErr w:type="spellStart"/>
      <w:r w:rsidRPr="00BC75EA">
        <w:rPr>
          <w:sz w:val="24"/>
          <w:szCs w:val="24"/>
        </w:rPr>
        <w:t>thiaminstatus</w:t>
      </w:r>
      <w:proofErr w:type="spellEnd"/>
      <w:r w:rsidRPr="00BC75EA">
        <w:rPr>
          <w:sz w:val="24"/>
          <w:szCs w:val="24"/>
        </w:rPr>
        <w:t xml:space="preserve">, som får </w:t>
      </w:r>
      <w:proofErr w:type="spellStart"/>
      <w:r w:rsidRPr="00BC75EA">
        <w:rPr>
          <w:sz w:val="24"/>
          <w:szCs w:val="24"/>
        </w:rPr>
        <w:t>glucose</w:t>
      </w:r>
      <w:proofErr w:type="spellEnd"/>
      <w:r w:rsidRPr="00BC75EA">
        <w:rPr>
          <w:sz w:val="24"/>
          <w:szCs w:val="24"/>
        </w:rPr>
        <w:t xml:space="preserve">, bør gives 100 mg </w:t>
      </w:r>
      <w:proofErr w:type="spellStart"/>
      <w:r w:rsidRPr="00BC75EA">
        <w:rPr>
          <w:sz w:val="24"/>
          <w:szCs w:val="24"/>
        </w:rPr>
        <w:t>thiaminhydrochlorid</w:t>
      </w:r>
      <w:proofErr w:type="spellEnd"/>
      <w:r w:rsidRPr="00BC75EA">
        <w:rPr>
          <w:sz w:val="24"/>
          <w:szCs w:val="24"/>
        </w:rPr>
        <w:t xml:space="preserve"> i hver af de første par liter </w:t>
      </w:r>
      <w:proofErr w:type="spellStart"/>
      <w:r w:rsidRPr="00BC75EA">
        <w:rPr>
          <w:sz w:val="24"/>
          <w:szCs w:val="24"/>
        </w:rPr>
        <w:t>i.v</w:t>
      </w:r>
      <w:proofErr w:type="spellEnd"/>
      <w:r w:rsidRPr="00BC75EA">
        <w:rPr>
          <w:sz w:val="24"/>
          <w:szCs w:val="24"/>
        </w:rPr>
        <w:t xml:space="preserve">.-væske for at undgå at fremkalde hjertesvigt (se </w:t>
      </w:r>
      <w:r w:rsidR="00CE24B3">
        <w:rPr>
          <w:sz w:val="24"/>
          <w:szCs w:val="24"/>
        </w:rPr>
        <w:t>pkt.</w:t>
      </w:r>
      <w:r w:rsidRPr="00BC75EA">
        <w:rPr>
          <w:sz w:val="24"/>
          <w:szCs w:val="24"/>
        </w:rPr>
        <w:t xml:space="preserve"> 4.4).</w:t>
      </w:r>
    </w:p>
    <w:p w14:paraId="265F3D12" w14:textId="77777777" w:rsidR="00BC75EA" w:rsidRPr="00BC75EA" w:rsidRDefault="00BC75EA" w:rsidP="00BC75EA">
      <w:pPr>
        <w:tabs>
          <w:tab w:val="left" w:pos="851"/>
        </w:tabs>
        <w:ind w:left="851"/>
        <w:rPr>
          <w:sz w:val="24"/>
          <w:szCs w:val="24"/>
        </w:rPr>
      </w:pPr>
    </w:p>
    <w:p w14:paraId="2EB6ACFD" w14:textId="77777777" w:rsidR="00BC75EA" w:rsidRPr="00BC75EA" w:rsidRDefault="00BC75EA" w:rsidP="00BC75EA">
      <w:pPr>
        <w:tabs>
          <w:tab w:val="left" w:pos="851"/>
        </w:tabs>
        <w:ind w:left="851"/>
        <w:rPr>
          <w:sz w:val="24"/>
          <w:szCs w:val="24"/>
          <w:u w:val="single"/>
        </w:rPr>
      </w:pPr>
      <w:r w:rsidRPr="00BC75EA">
        <w:rPr>
          <w:sz w:val="24"/>
          <w:szCs w:val="24"/>
          <w:u w:val="single"/>
        </w:rPr>
        <w:t>Pædiatrisk population</w:t>
      </w:r>
    </w:p>
    <w:p w14:paraId="60C23F47" w14:textId="77777777" w:rsidR="00BC75EA" w:rsidRPr="00BC75EA" w:rsidRDefault="00BC75EA" w:rsidP="00BC75EA">
      <w:pPr>
        <w:tabs>
          <w:tab w:val="left" w:pos="851"/>
        </w:tabs>
        <w:ind w:left="851"/>
        <w:rPr>
          <w:sz w:val="24"/>
          <w:szCs w:val="24"/>
        </w:rPr>
      </w:pPr>
      <w:r w:rsidRPr="00BC75EA">
        <w:rPr>
          <w:sz w:val="24"/>
          <w:szCs w:val="24"/>
        </w:rPr>
        <w:t>Der er kun begrænset erfaring med behandling af børn og unge.</w:t>
      </w:r>
    </w:p>
    <w:p w14:paraId="170277CA" w14:textId="77777777" w:rsidR="00BC75EA" w:rsidRPr="00BC75EA" w:rsidRDefault="00BC75EA" w:rsidP="00BC75EA">
      <w:pPr>
        <w:tabs>
          <w:tab w:val="left" w:pos="851"/>
        </w:tabs>
        <w:ind w:left="851"/>
        <w:rPr>
          <w:sz w:val="24"/>
          <w:szCs w:val="24"/>
        </w:rPr>
      </w:pPr>
    </w:p>
    <w:p w14:paraId="54BA3090" w14:textId="4D906C94" w:rsidR="00BC75EA" w:rsidRPr="00BC75EA" w:rsidRDefault="00BC75EA" w:rsidP="00BC75EA">
      <w:pPr>
        <w:tabs>
          <w:tab w:val="left" w:pos="851"/>
        </w:tabs>
        <w:ind w:left="851"/>
        <w:rPr>
          <w:i/>
          <w:sz w:val="24"/>
          <w:szCs w:val="24"/>
        </w:rPr>
      </w:pPr>
      <w:r w:rsidRPr="00BC75EA">
        <w:rPr>
          <w:i/>
          <w:sz w:val="24"/>
          <w:szCs w:val="24"/>
          <w:lang w:val="fr-LU"/>
        </w:rPr>
        <w:t>Beriberi</w:t>
      </w:r>
    </w:p>
    <w:p w14:paraId="05E5D64A" w14:textId="77777777" w:rsidR="00BC75EA" w:rsidRPr="00BC75EA" w:rsidRDefault="00BC75EA" w:rsidP="006D5CD6">
      <w:pPr>
        <w:numPr>
          <w:ilvl w:val="0"/>
          <w:numId w:val="10"/>
        </w:numPr>
        <w:tabs>
          <w:tab w:val="left" w:pos="851"/>
        </w:tabs>
        <w:ind w:left="1134" w:hanging="283"/>
        <w:rPr>
          <w:sz w:val="24"/>
          <w:szCs w:val="24"/>
        </w:rPr>
      </w:pPr>
      <w:r w:rsidRPr="00BC75EA">
        <w:rPr>
          <w:sz w:val="24"/>
          <w:szCs w:val="24"/>
          <w:lang w:val="fr-LU"/>
        </w:rPr>
        <w:t xml:space="preserve">Behandling: 10 til 25 mg/dag ved intramuskulær injektion eller langsom intravenøs infusion i 2 uger. </w:t>
      </w:r>
    </w:p>
    <w:p w14:paraId="5D5A7D6B" w14:textId="2EFA6AC8" w:rsidR="00BC75EA" w:rsidRPr="00BC75EA" w:rsidRDefault="006D5CD6" w:rsidP="006D5CD6">
      <w:pPr>
        <w:tabs>
          <w:tab w:val="left" w:pos="851"/>
        </w:tabs>
        <w:ind w:left="1134" w:hanging="283"/>
        <w:rPr>
          <w:sz w:val="24"/>
          <w:szCs w:val="24"/>
        </w:rPr>
      </w:pPr>
      <w:r>
        <w:rPr>
          <w:sz w:val="24"/>
          <w:szCs w:val="24"/>
          <w:lang w:val="fr-LU"/>
        </w:rPr>
        <w:tab/>
      </w:r>
      <w:r w:rsidR="00BC75EA" w:rsidRPr="00BC75EA">
        <w:rPr>
          <w:sz w:val="24"/>
          <w:szCs w:val="24"/>
          <w:lang w:val="fr-LU"/>
        </w:rPr>
        <w:t xml:space="preserve">I.v.-doser på 100 mg/dag eller endnu højere kan være nødvendige i alvorlige tilfælde, </w:t>
      </w:r>
      <w:r w:rsidR="00BC75EA" w:rsidRPr="00BC75EA">
        <w:rPr>
          <w:sz w:val="24"/>
          <w:szCs w:val="24"/>
        </w:rPr>
        <w:t xml:space="preserve">for eksempel kan der anvendes </w:t>
      </w:r>
      <w:r w:rsidR="00BC75EA" w:rsidRPr="00BC75EA">
        <w:rPr>
          <w:sz w:val="24"/>
          <w:szCs w:val="24"/>
          <w:lang w:val="fr-LU"/>
        </w:rPr>
        <w:t xml:space="preserve">op til 500 mg </w:t>
      </w:r>
      <w:r w:rsidR="00BC75EA" w:rsidRPr="00BC75EA">
        <w:rPr>
          <w:sz w:val="24"/>
          <w:szCs w:val="24"/>
        </w:rPr>
        <w:t xml:space="preserve">givet 3 gange </w:t>
      </w:r>
      <w:r w:rsidR="006D1C54">
        <w:rPr>
          <w:sz w:val="24"/>
          <w:szCs w:val="24"/>
        </w:rPr>
        <w:t>daglig</w:t>
      </w:r>
      <w:r w:rsidR="00BC75EA" w:rsidRPr="00BC75EA">
        <w:rPr>
          <w:sz w:val="24"/>
          <w:szCs w:val="24"/>
        </w:rPr>
        <w:t xml:space="preserve"> (se </w:t>
      </w:r>
      <w:r w:rsidR="004F1806">
        <w:rPr>
          <w:sz w:val="24"/>
          <w:szCs w:val="24"/>
        </w:rPr>
        <w:t>pkt.</w:t>
      </w:r>
      <w:r w:rsidR="00BC75EA" w:rsidRPr="00BC75EA">
        <w:rPr>
          <w:sz w:val="24"/>
          <w:szCs w:val="24"/>
        </w:rPr>
        <w:t xml:space="preserve"> 5.1).</w:t>
      </w:r>
    </w:p>
    <w:p w14:paraId="738A55F9" w14:textId="2CA6C3D3" w:rsidR="00BC75EA" w:rsidRPr="00BC75EA" w:rsidRDefault="00BC75EA" w:rsidP="006D5CD6">
      <w:pPr>
        <w:numPr>
          <w:ilvl w:val="0"/>
          <w:numId w:val="10"/>
        </w:numPr>
        <w:tabs>
          <w:tab w:val="left" w:pos="851"/>
        </w:tabs>
        <w:ind w:left="1134" w:hanging="283"/>
        <w:rPr>
          <w:sz w:val="24"/>
          <w:szCs w:val="24"/>
          <w:lang w:val="fr-LU"/>
        </w:rPr>
      </w:pPr>
      <w:r w:rsidRPr="00BC75EA">
        <w:rPr>
          <w:sz w:val="24"/>
          <w:szCs w:val="24"/>
          <w:lang w:val="fr-LU"/>
        </w:rPr>
        <w:t xml:space="preserve">Vedligeholdelsesbehandling: </w:t>
      </w:r>
      <w:r w:rsidR="004F1806">
        <w:rPr>
          <w:sz w:val="24"/>
          <w:szCs w:val="24"/>
          <w:lang w:val="fr-LU"/>
        </w:rPr>
        <w:t>B</w:t>
      </w:r>
      <w:r w:rsidRPr="00BC75EA">
        <w:rPr>
          <w:sz w:val="24"/>
          <w:szCs w:val="24"/>
          <w:lang w:val="fr-LU"/>
        </w:rPr>
        <w:t xml:space="preserve">ehandlingen fortsættes med B1-vitamin i tilpasset oral form. </w:t>
      </w:r>
    </w:p>
    <w:p w14:paraId="1D112513" w14:textId="77777777" w:rsidR="00BC75EA" w:rsidRPr="00BC75EA" w:rsidRDefault="00BC75EA" w:rsidP="00BC75EA">
      <w:pPr>
        <w:tabs>
          <w:tab w:val="left" w:pos="851"/>
        </w:tabs>
        <w:ind w:left="851"/>
        <w:rPr>
          <w:sz w:val="24"/>
          <w:szCs w:val="24"/>
          <w:u w:val="single"/>
        </w:rPr>
      </w:pPr>
    </w:p>
    <w:p w14:paraId="35C807DE" w14:textId="77777777" w:rsidR="00BC75EA" w:rsidRPr="006D1C54" w:rsidRDefault="00BC75EA" w:rsidP="00BC75EA">
      <w:pPr>
        <w:tabs>
          <w:tab w:val="left" w:pos="851"/>
        </w:tabs>
        <w:ind w:left="851"/>
        <w:rPr>
          <w:sz w:val="24"/>
          <w:szCs w:val="24"/>
          <w:u w:val="single"/>
        </w:rPr>
      </w:pPr>
      <w:r w:rsidRPr="006D1C54">
        <w:rPr>
          <w:sz w:val="24"/>
          <w:szCs w:val="24"/>
          <w:u w:val="single"/>
        </w:rPr>
        <w:t>Ældre</w:t>
      </w:r>
    </w:p>
    <w:p w14:paraId="55E2B1CE" w14:textId="6CB83CE5" w:rsidR="00BC75EA" w:rsidRPr="00BC75EA" w:rsidRDefault="00BC75EA" w:rsidP="00BC75EA">
      <w:pPr>
        <w:tabs>
          <w:tab w:val="left" w:pos="851"/>
        </w:tabs>
        <w:ind w:left="851"/>
        <w:rPr>
          <w:iCs/>
          <w:sz w:val="24"/>
          <w:szCs w:val="24"/>
        </w:rPr>
      </w:pPr>
      <w:r w:rsidRPr="00BC75EA">
        <w:rPr>
          <w:iCs/>
          <w:sz w:val="24"/>
          <w:szCs w:val="24"/>
        </w:rPr>
        <w:t xml:space="preserve">Der foreligger ingen data om ældre. Der anbefales ingen dosisjustering for denne population. Man bør være opmærksom på eventuel interaktion med andre lægemidler (se </w:t>
      </w:r>
      <w:r w:rsidR="00CA18DC">
        <w:rPr>
          <w:iCs/>
          <w:sz w:val="24"/>
          <w:szCs w:val="24"/>
        </w:rPr>
        <w:t>pkt.</w:t>
      </w:r>
      <w:r w:rsidRPr="00BC75EA">
        <w:rPr>
          <w:iCs/>
          <w:sz w:val="24"/>
          <w:szCs w:val="24"/>
        </w:rPr>
        <w:t xml:space="preserve"> 4.5 og 5.2).</w:t>
      </w:r>
    </w:p>
    <w:p w14:paraId="74CC03B9" w14:textId="77777777" w:rsidR="00BC75EA" w:rsidRPr="00BC75EA" w:rsidRDefault="00BC75EA" w:rsidP="00BC75EA">
      <w:pPr>
        <w:tabs>
          <w:tab w:val="left" w:pos="851"/>
        </w:tabs>
        <w:ind w:left="851"/>
        <w:rPr>
          <w:b/>
          <w:i/>
          <w:sz w:val="24"/>
          <w:szCs w:val="24"/>
          <w:u w:val="single"/>
        </w:rPr>
      </w:pPr>
    </w:p>
    <w:p w14:paraId="51B7D2E2" w14:textId="77777777" w:rsidR="00BC75EA" w:rsidRPr="006D1C54" w:rsidRDefault="00BC75EA" w:rsidP="00BC75EA">
      <w:pPr>
        <w:tabs>
          <w:tab w:val="left" w:pos="851"/>
        </w:tabs>
        <w:ind w:left="851"/>
        <w:rPr>
          <w:sz w:val="24"/>
          <w:szCs w:val="24"/>
          <w:u w:val="single"/>
        </w:rPr>
      </w:pPr>
      <w:r w:rsidRPr="006D1C54">
        <w:rPr>
          <w:sz w:val="24"/>
          <w:szCs w:val="24"/>
          <w:u w:val="single"/>
        </w:rPr>
        <w:t>Nedsat nyrefunktion</w:t>
      </w:r>
    </w:p>
    <w:p w14:paraId="1421F98D" w14:textId="3FD9BD56" w:rsidR="00BC75EA" w:rsidRPr="00BC75EA" w:rsidRDefault="00BC75EA" w:rsidP="00BC75EA">
      <w:pPr>
        <w:tabs>
          <w:tab w:val="left" w:pos="851"/>
        </w:tabs>
        <w:ind w:left="851"/>
        <w:rPr>
          <w:iCs/>
          <w:sz w:val="24"/>
          <w:szCs w:val="24"/>
        </w:rPr>
      </w:pPr>
      <w:r w:rsidRPr="00BC75EA">
        <w:rPr>
          <w:iCs/>
          <w:sz w:val="24"/>
          <w:szCs w:val="24"/>
        </w:rPr>
        <w:t xml:space="preserve">Der foreligger ingen vurderinger af, hvordan nedsat nyrefunktion påvirker </w:t>
      </w:r>
      <w:proofErr w:type="spellStart"/>
      <w:r w:rsidRPr="00BC75EA">
        <w:rPr>
          <w:iCs/>
          <w:sz w:val="24"/>
          <w:szCs w:val="24"/>
        </w:rPr>
        <w:t>thiamins</w:t>
      </w:r>
      <w:proofErr w:type="spellEnd"/>
      <w:r w:rsidRPr="00BC75EA">
        <w:rPr>
          <w:iCs/>
          <w:sz w:val="24"/>
          <w:szCs w:val="24"/>
        </w:rPr>
        <w:t xml:space="preserve"> farmakokinetik. Justering af dosis anbefales ikke, men der bør udvises forsigtighed ved behandling af patienter med nedsat nyrefunktion (se </w:t>
      </w:r>
      <w:r w:rsidR="00EF73C7">
        <w:rPr>
          <w:iCs/>
          <w:sz w:val="24"/>
          <w:szCs w:val="24"/>
        </w:rPr>
        <w:t>pkt.</w:t>
      </w:r>
      <w:r w:rsidRPr="00BC75EA">
        <w:rPr>
          <w:iCs/>
          <w:sz w:val="24"/>
          <w:szCs w:val="24"/>
        </w:rPr>
        <w:t xml:space="preserve"> 4.4 og 5.2).</w:t>
      </w:r>
    </w:p>
    <w:p w14:paraId="766F5AB4" w14:textId="57DF3420" w:rsidR="004F1806" w:rsidRDefault="004F1806">
      <w:pPr>
        <w:rPr>
          <w:sz w:val="24"/>
          <w:szCs w:val="24"/>
          <w:u w:val="single"/>
        </w:rPr>
      </w:pPr>
      <w:r>
        <w:rPr>
          <w:sz w:val="24"/>
          <w:szCs w:val="24"/>
          <w:u w:val="single"/>
        </w:rPr>
        <w:br w:type="page"/>
      </w:r>
    </w:p>
    <w:p w14:paraId="28DF95AE" w14:textId="77777777" w:rsidR="00BC75EA" w:rsidRPr="004F1806" w:rsidRDefault="00BC75EA" w:rsidP="00BC75EA">
      <w:pPr>
        <w:tabs>
          <w:tab w:val="left" w:pos="851"/>
        </w:tabs>
        <w:ind w:left="851"/>
        <w:rPr>
          <w:sz w:val="24"/>
          <w:szCs w:val="24"/>
          <w:u w:val="single"/>
        </w:rPr>
      </w:pPr>
    </w:p>
    <w:p w14:paraId="28F7AC58" w14:textId="77777777" w:rsidR="00BC75EA" w:rsidRPr="006D1C54" w:rsidRDefault="00BC75EA" w:rsidP="00BC75EA">
      <w:pPr>
        <w:tabs>
          <w:tab w:val="left" w:pos="851"/>
        </w:tabs>
        <w:ind w:left="851"/>
        <w:rPr>
          <w:sz w:val="24"/>
          <w:szCs w:val="24"/>
          <w:u w:val="single"/>
        </w:rPr>
      </w:pPr>
      <w:r w:rsidRPr="006D1C54">
        <w:rPr>
          <w:sz w:val="24"/>
          <w:szCs w:val="24"/>
          <w:u w:val="single"/>
        </w:rPr>
        <w:t>Nedsat leverfunktion</w:t>
      </w:r>
    </w:p>
    <w:p w14:paraId="409B76AC" w14:textId="32334D46" w:rsidR="00BC75EA" w:rsidRPr="00BC75EA" w:rsidRDefault="00BC75EA" w:rsidP="00BC75EA">
      <w:pPr>
        <w:tabs>
          <w:tab w:val="left" w:pos="851"/>
        </w:tabs>
        <w:ind w:left="851"/>
        <w:rPr>
          <w:iCs/>
          <w:sz w:val="24"/>
          <w:szCs w:val="24"/>
        </w:rPr>
      </w:pPr>
      <w:r w:rsidRPr="00BC75EA">
        <w:rPr>
          <w:iCs/>
          <w:sz w:val="24"/>
          <w:szCs w:val="24"/>
        </w:rPr>
        <w:t xml:space="preserve">Der foreligger ingen vurderinger af, hvordan nedsat leverfunktion påvirker </w:t>
      </w:r>
      <w:proofErr w:type="spellStart"/>
      <w:r w:rsidRPr="00BC75EA">
        <w:rPr>
          <w:iCs/>
          <w:sz w:val="24"/>
          <w:szCs w:val="24"/>
        </w:rPr>
        <w:t>thiamins</w:t>
      </w:r>
      <w:proofErr w:type="spellEnd"/>
      <w:r w:rsidRPr="00BC75EA">
        <w:rPr>
          <w:iCs/>
          <w:sz w:val="24"/>
          <w:szCs w:val="24"/>
        </w:rPr>
        <w:t xml:space="preserve"> farmakokinetik. Justering af dosis anbefales ikke, men der bør udvises forsigtighed ved behandling af patienter med nedsat leverfunktion (se </w:t>
      </w:r>
      <w:r w:rsidR="009B39EB">
        <w:rPr>
          <w:iCs/>
          <w:sz w:val="24"/>
          <w:szCs w:val="24"/>
        </w:rPr>
        <w:t>pkt.</w:t>
      </w:r>
      <w:r w:rsidRPr="00BC75EA">
        <w:rPr>
          <w:iCs/>
          <w:sz w:val="24"/>
          <w:szCs w:val="24"/>
        </w:rPr>
        <w:t xml:space="preserve"> 5.2).</w:t>
      </w:r>
    </w:p>
    <w:p w14:paraId="272481FF" w14:textId="77777777" w:rsidR="00BC75EA" w:rsidRPr="00BC75EA" w:rsidRDefault="00BC75EA" w:rsidP="00BC75EA">
      <w:pPr>
        <w:tabs>
          <w:tab w:val="left" w:pos="851"/>
        </w:tabs>
        <w:ind w:left="851"/>
        <w:rPr>
          <w:sz w:val="24"/>
          <w:szCs w:val="24"/>
        </w:rPr>
      </w:pPr>
    </w:p>
    <w:p w14:paraId="3E9BE17D" w14:textId="77777777" w:rsidR="00BC75EA" w:rsidRPr="006D1C54" w:rsidRDefault="00BC75EA" w:rsidP="00BC75EA">
      <w:pPr>
        <w:tabs>
          <w:tab w:val="left" w:pos="851"/>
        </w:tabs>
        <w:ind w:left="851"/>
        <w:rPr>
          <w:b/>
          <w:sz w:val="24"/>
          <w:szCs w:val="24"/>
        </w:rPr>
      </w:pPr>
      <w:r w:rsidRPr="006D1C54">
        <w:rPr>
          <w:b/>
          <w:sz w:val="24"/>
          <w:szCs w:val="24"/>
        </w:rPr>
        <w:t>Administration</w:t>
      </w:r>
    </w:p>
    <w:p w14:paraId="7D2647AE" w14:textId="197CD325" w:rsidR="00BC75EA" w:rsidRPr="00BC75EA" w:rsidRDefault="003C6E36" w:rsidP="00BC75EA">
      <w:pPr>
        <w:tabs>
          <w:tab w:val="left" w:pos="851"/>
        </w:tabs>
        <w:ind w:left="851"/>
        <w:rPr>
          <w:bCs/>
          <w:sz w:val="24"/>
          <w:szCs w:val="24"/>
        </w:rPr>
      </w:pPr>
      <w:proofErr w:type="spellStart"/>
      <w:r>
        <w:rPr>
          <w:bCs/>
          <w:sz w:val="24"/>
          <w:szCs w:val="24"/>
        </w:rPr>
        <w:t>Thiaminhydrochlorid</w:t>
      </w:r>
      <w:proofErr w:type="spellEnd"/>
      <w:r>
        <w:rPr>
          <w:bCs/>
          <w:sz w:val="24"/>
          <w:szCs w:val="24"/>
        </w:rPr>
        <w:t xml:space="preserve"> ”</w:t>
      </w:r>
      <w:proofErr w:type="spellStart"/>
      <w:r>
        <w:rPr>
          <w:bCs/>
          <w:sz w:val="24"/>
          <w:szCs w:val="24"/>
        </w:rPr>
        <w:t>Ebb</w:t>
      </w:r>
      <w:proofErr w:type="spellEnd"/>
      <w:r>
        <w:rPr>
          <w:bCs/>
          <w:sz w:val="24"/>
          <w:szCs w:val="24"/>
        </w:rPr>
        <w:t xml:space="preserve"> Medical”</w:t>
      </w:r>
      <w:r w:rsidR="00BC75EA" w:rsidRPr="00BC75EA">
        <w:rPr>
          <w:bCs/>
          <w:sz w:val="24"/>
          <w:szCs w:val="24"/>
        </w:rPr>
        <w:t xml:space="preserve"> bør administreres langsomt intravenøst eller intramuskulært.</w:t>
      </w:r>
    </w:p>
    <w:p w14:paraId="4098E528" w14:textId="77777777" w:rsidR="00BC75EA" w:rsidRPr="00BC75EA" w:rsidRDefault="00BC75EA" w:rsidP="00BC75EA">
      <w:pPr>
        <w:tabs>
          <w:tab w:val="left" w:pos="851"/>
        </w:tabs>
        <w:ind w:left="851"/>
        <w:rPr>
          <w:bCs/>
          <w:sz w:val="24"/>
          <w:szCs w:val="24"/>
        </w:rPr>
      </w:pPr>
    </w:p>
    <w:p w14:paraId="449C0E9E" w14:textId="39A6078A" w:rsidR="00BC75EA" w:rsidRPr="00BC75EA" w:rsidRDefault="00BC75EA" w:rsidP="00BC75EA">
      <w:pPr>
        <w:tabs>
          <w:tab w:val="left" w:pos="851"/>
        </w:tabs>
        <w:ind w:left="851"/>
        <w:rPr>
          <w:b/>
          <w:sz w:val="24"/>
          <w:szCs w:val="24"/>
        </w:rPr>
      </w:pPr>
      <w:r w:rsidRPr="00BC75EA">
        <w:rPr>
          <w:b/>
          <w:sz w:val="24"/>
          <w:szCs w:val="24"/>
        </w:rPr>
        <w:t xml:space="preserve">Ved langsom intravenøs administration skal lægemiddelopløsningen først fortyndes med en steril opløsning på 50 til 250 ml </w:t>
      </w:r>
      <w:proofErr w:type="spellStart"/>
      <w:r w:rsidRPr="00BC75EA">
        <w:rPr>
          <w:b/>
          <w:sz w:val="24"/>
          <w:szCs w:val="24"/>
        </w:rPr>
        <w:t>glucose</w:t>
      </w:r>
      <w:proofErr w:type="spellEnd"/>
      <w:r w:rsidRPr="00BC75EA">
        <w:rPr>
          <w:b/>
          <w:sz w:val="24"/>
          <w:szCs w:val="24"/>
        </w:rPr>
        <w:t xml:space="preserve"> 5</w:t>
      </w:r>
      <w:r w:rsidR="006557C4">
        <w:rPr>
          <w:b/>
          <w:sz w:val="24"/>
          <w:szCs w:val="24"/>
        </w:rPr>
        <w:t xml:space="preserve"> %</w:t>
      </w:r>
      <w:r w:rsidRPr="00BC75EA">
        <w:rPr>
          <w:b/>
          <w:sz w:val="24"/>
          <w:szCs w:val="24"/>
        </w:rPr>
        <w:t xml:space="preserve"> eller </w:t>
      </w:r>
      <w:proofErr w:type="spellStart"/>
      <w:r w:rsidRPr="00BC75EA">
        <w:rPr>
          <w:b/>
          <w:sz w:val="24"/>
          <w:szCs w:val="24"/>
        </w:rPr>
        <w:t>natriumchlorid</w:t>
      </w:r>
      <w:proofErr w:type="spellEnd"/>
      <w:r w:rsidRPr="00BC75EA">
        <w:rPr>
          <w:b/>
          <w:sz w:val="24"/>
          <w:szCs w:val="24"/>
        </w:rPr>
        <w:t xml:space="preserve"> 0,9</w:t>
      </w:r>
      <w:r w:rsidR="006557C4">
        <w:rPr>
          <w:b/>
          <w:sz w:val="24"/>
          <w:szCs w:val="24"/>
        </w:rPr>
        <w:t xml:space="preserve"> %</w:t>
      </w:r>
      <w:r w:rsidRPr="00BC75EA">
        <w:rPr>
          <w:b/>
          <w:sz w:val="24"/>
          <w:szCs w:val="24"/>
        </w:rPr>
        <w:t>. Injektionen administreres langsomt i løbet af 30 minutter.</w:t>
      </w:r>
    </w:p>
    <w:p w14:paraId="6764FFCF" w14:textId="77777777" w:rsidR="00BC75EA" w:rsidRPr="00BC75EA" w:rsidRDefault="00BC75EA" w:rsidP="00BC75EA">
      <w:pPr>
        <w:tabs>
          <w:tab w:val="left" w:pos="851"/>
        </w:tabs>
        <w:ind w:left="851"/>
        <w:rPr>
          <w:sz w:val="24"/>
          <w:szCs w:val="24"/>
        </w:rPr>
      </w:pPr>
    </w:p>
    <w:p w14:paraId="28B690A7" w14:textId="77777777" w:rsidR="00BC75EA" w:rsidRPr="00BC75EA" w:rsidRDefault="00BC75EA" w:rsidP="00BC75EA">
      <w:pPr>
        <w:tabs>
          <w:tab w:val="left" w:pos="851"/>
        </w:tabs>
        <w:ind w:left="851"/>
        <w:rPr>
          <w:sz w:val="24"/>
          <w:szCs w:val="24"/>
        </w:rPr>
      </w:pPr>
      <w:r w:rsidRPr="00BC75EA">
        <w:rPr>
          <w:sz w:val="24"/>
          <w:szCs w:val="24"/>
        </w:rPr>
        <w:t>For instruktioner om fortynding af lægemidlet før administration, se pkt. 6.6.</w:t>
      </w:r>
    </w:p>
    <w:p w14:paraId="7ED81215" w14:textId="77777777" w:rsidR="00BC75EA" w:rsidRPr="00BC75EA" w:rsidRDefault="00BC75EA" w:rsidP="00BC75EA">
      <w:pPr>
        <w:tabs>
          <w:tab w:val="left" w:pos="851"/>
        </w:tabs>
        <w:ind w:left="851"/>
        <w:rPr>
          <w:sz w:val="24"/>
          <w:szCs w:val="24"/>
        </w:rPr>
      </w:pPr>
    </w:p>
    <w:p w14:paraId="423AB168" w14:textId="77777777" w:rsidR="00BC75EA" w:rsidRPr="00BC75EA" w:rsidRDefault="00BC75EA" w:rsidP="00BC75EA">
      <w:pPr>
        <w:tabs>
          <w:tab w:val="left" w:pos="851"/>
        </w:tabs>
        <w:ind w:left="851"/>
        <w:rPr>
          <w:sz w:val="24"/>
          <w:szCs w:val="24"/>
        </w:rPr>
      </w:pPr>
      <w:r w:rsidRPr="00BC75EA">
        <w:rPr>
          <w:sz w:val="24"/>
          <w:szCs w:val="24"/>
        </w:rPr>
        <w:t>Der bruges ufortyndet lægemiddelopløsning til intramuskulær administration. Dybe intramuskulære injektioner skal gives i en stor muskelmasse (øverste ydre kvadrant af sædeballen eller den laterale del af låret). Der aspireres, inden dosis injiceres, for at undgå intravasal injektion. Hvis der aspireres blod, skal kanylen tages ud, og der injiceres et andet sted. Skift injektionssted ved gentagne doser.</w:t>
      </w:r>
    </w:p>
    <w:p w14:paraId="6E5BC60E" w14:textId="77777777" w:rsidR="009260DE" w:rsidRPr="00C84483" w:rsidRDefault="009260DE" w:rsidP="009260DE">
      <w:pPr>
        <w:tabs>
          <w:tab w:val="left" w:pos="851"/>
        </w:tabs>
        <w:ind w:left="851"/>
        <w:rPr>
          <w:sz w:val="24"/>
          <w:szCs w:val="24"/>
        </w:rPr>
      </w:pPr>
    </w:p>
    <w:p w14:paraId="51C9EBCA"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7CB27B9" w14:textId="77777777" w:rsidR="002E673B" w:rsidRPr="002E673B" w:rsidRDefault="002E673B" w:rsidP="002E673B">
      <w:pPr>
        <w:tabs>
          <w:tab w:val="left" w:pos="851"/>
        </w:tabs>
        <w:ind w:left="851"/>
        <w:rPr>
          <w:sz w:val="24"/>
          <w:szCs w:val="24"/>
        </w:rPr>
      </w:pPr>
      <w:r w:rsidRPr="002E673B">
        <w:rPr>
          <w:sz w:val="24"/>
          <w:szCs w:val="24"/>
        </w:rPr>
        <w:t>Overfølsomhed over for det aktive stof eller over for et eller flere af hjælpestofferne anført i pkt. 6.1.</w:t>
      </w:r>
    </w:p>
    <w:p w14:paraId="001A1A1B" w14:textId="77777777" w:rsidR="009260DE" w:rsidRPr="00C84483" w:rsidRDefault="009260DE" w:rsidP="009260DE">
      <w:pPr>
        <w:tabs>
          <w:tab w:val="left" w:pos="851"/>
        </w:tabs>
        <w:ind w:left="851"/>
        <w:rPr>
          <w:sz w:val="24"/>
          <w:szCs w:val="24"/>
        </w:rPr>
      </w:pPr>
    </w:p>
    <w:p w14:paraId="046835A2"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C589BA4" w14:textId="77777777" w:rsidR="00854FD3" w:rsidRPr="00854FD3" w:rsidRDefault="00854FD3" w:rsidP="00854FD3">
      <w:pPr>
        <w:tabs>
          <w:tab w:val="left" w:pos="851"/>
        </w:tabs>
        <w:ind w:left="851"/>
        <w:rPr>
          <w:sz w:val="24"/>
          <w:szCs w:val="24"/>
        </w:rPr>
      </w:pPr>
    </w:p>
    <w:p w14:paraId="5E57B3B9" w14:textId="77777777" w:rsidR="00854FD3" w:rsidRPr="00854FD3" w:rsidRDefault="00854FD3" w:rsidP="00854FD3">
      <w:pPr>
        <w:tabs>
          <w:tab w:val="left" w:pos="851"/>
        </w:tabs>
        <w:ind w:left="851"/>
        <w:rPr>
          <w:bCs/>
          <w:sz w:val="24"/>
          <w:szCs w:val="24"/>
          <w:u w:val="single"/>
        </w:rPr>
      </w:pPr>
      <w:r w:rsidRPr="00854FD3">
        <w:rPr>
          <w:sz w:val="24"/>
          <w:szCs w:val="24"/>
          <w:u w:val="single"/>
          <w:lang w:val="fr-LU"/>
        </w:rPr>
        <w:t>Advarsler</w:t>
      </w:r>
    </w:p>
    <w:p w14:paraId="6596B58B" w14:textId="785BA6D2" w:rsidR="00854FD3" w:rsidRPr="00854FD3" w:rsidRDefault="00854FD3" w:rsidP="00854FD3">
      <w:pPr>
        <w:numPr>
          <w:ilvl w:val="0"/>
          <w:numId w:val="11"/>
        </w:numPr>
        <w:tabs>
          <w:tab w:val="left" w:pos="851"/>
        </w:tabs>
        <w:ind w:left="1134" w:hanging="283"/>
        <w:rPr>
          <w:b/>
          <w:sz w:val="24"/>
          <w:szCs w:val="24"/>
          <w:lang w:val="fr-LU"/>
        </w:rPr>
      </w:pPr>
      <w:r w:rsidRPr="00854FD3">
        <w:rPr>
          <w:sz w:val="24"/>
          <w:szCs w:val="24"/>
          <w:lang w:val="fr-LU"/>
        </w:rPr>
        <w:t>Parenteral administration må kun anvendes, når hurtig genopretning af thiaminniveauet er nødvendig (f.eks. ved Wernicke-Korsakoffs syndrom) eller når oral administration ikke er mulig (f.eks. i tilfælde af opkastning eller malabsorption).</w:t>
      </w:r>
    </w:p>
    <w:p w14:paraId="61BF8091" w14:textId="77777777" w:rsidR="00854FD3" w:rsidRPr="00854FD3" w:rsidRDefault="00854FD3" w:rsidP="00854FD3">
      <w:pPr>
        <w:numPr>
          <w:ilvl w:val="0"/>
          <w:numId w:val="11"/>
        </w:numPr>
        <w:tabs>
          <w:tab w:val="left" w:pos="851"/>
        </w:tabs>
        <w:ind w:left="1134" w:hanging="283"/>
        <w:rPr>
          <w:b/>
          <w:sz w:val="24"/>
          <w:szCs w:val="24"/>
          <w:lang w:val="fr-LU"/>
        </w:rPr>
      </w:pPr>
      <w:r w:rsidRPr="00854FD3">
        <w:rPr>
          <w:sz w:val="24"/>
          <w:szCs w:val="24"/>
          <w:lang w:val="fr-LU"/>
        </w:rPr>
        <w:t>50 mg/ml-opløsningen vil være mindre smertefuld, når den administreres intramuskulært, da den er meget mindre hypertonisk end 125 mg/ml-opløsningen. Intravenøs administration (efter fortynding) bør foretrækkes for 125 mg/ml-opløsningen, især ved længerevarende behandling.</w:t>
      </w:r>
    </w:p>
    <w:p w14:paraId="0AB42A2C" w14:textId="3DCC90CC" w:rsidR="00854FD3" w:rsidRPr="00854FD3" w:rsidRDefault="00854FD3" w:rsidP="00854FD3">
      <w:pPr>
        <w:numPr>
          <w:ilvl w:val="0"/>
          <w:numId w:val="11"/>
        </w:numPr>
        <w:tabs>
          <w:tab w:val="left" w:pos="851"/>
        </w:tabs>
        <w:ind w:left="1134" w:hanging="283"/>
        <w:rPr>
          <w:b/>
          <w:sz w:val="24"/>
          <w:szCs w:val="24"/>
        </w:rPr>
      </w:pPr>
      <w:r w:rsidRPr="00854FD3">
        <w:rPr>
          <w:sz w:val="24"/>
          <w:szCs w:val="24"/>
          <w:lang w:val="fr-LU"/>
        </w:rPr>
        <w:t xml:space="preserve">Der er rapporteret om anafylaktiske reaktioner, der har ført til </w:t>
      </w:r>
      <w:r>
        <w:rPr>
          <w:sz w:val="24"/>
          <w:szCs w:val="24"/>
          <w:lang w:val="fr-LU"/>
        </w:rPr>
        <w:t>shock</w:t>
      </w:r>
      <w:r w:rsidRPr="00854FD3">
        <w:rPr>
          <w:sz w:val="24"/>
          <w:szCs w:val="24"/>
          <w:lang w:val="fr-LU"/>
        </w:rPr>
        <w:t xml:space="preserve">, efter parenteral administration af thiaminhydrochlorid (se </w:t>
      </w:r>
      <w:r w:rsidR="00790607">
        <w:rPr>
          <w:sz w:val="24"/>
          <w:szCs w:val="24"/>
          <w:lang w:val="fr-LU"/>
        </w:rPr>
        <w:t>pkt.</w:t>
      </w:r>
      <w:r w:rsidRPr="00854FD3">
        <w:rPr>
          <w:sz w:val="24"/>
          <w:szCs w:val="24"/>
          <w:lang w:val="fr-LU"/>
        </w:rPr>
        <w:t xml:space="preserve"> 4.8). Denne risiko øges ved gentagne doser.</w:t>
      </w:r>
      <w:r w:rsidRPr="00854FD3">
        <w:rPr>
          <w:sz w:val="24"/>
          <w:szCs w:val="24"/>
        </w:rPr>
        <w:t xml:space="preserve"> Det anbefales at give en </w:t>
      </w:r>
      <w:proofErr w:type="spellStart"/>
      <w:r w:rsidRPr="00854FD3">
        <w:rPr>
          <w:sz w:val="24"/>
          <w:szCs w:val="24"/>
        </w:rPr>
        <w:t>intradermal</w:t>
      </w:r>
      <w:proofErr w:type="spellEnd"/>
      <w:r w:rsidRPr="00854FD3">
        <w:rPr>
          <w:sz w:val="24"/>
          <w:szCs w:val="24"/>
        </w:rPr>
        <w:t xml:space="preserve"> testdosis inden parenteral administration hos patienter, der mistænkes for at være overfølsomme over for lægemidlet.</w:t>
      </w:r>
      <w:r w:rsidRPr="00854FD3">
        <w:rPr>
          <w:b/>
          <w:sz w:val="24"/>
          <w:szCs w:val="24"/>
        </w:rPr>
        <w:t xml:space="preserve"> Der skal være let adgang til akutudstyr til behandling af </w:t>
      </w:r>
      <w:proofErr w:type="spellStart"/>
      <w:r w:rsidRPr="00854FD3">
        <w:rPr>
          <w:b/>
          <w:sz w:val="24"/>
          <w:szCs w:val="24"/>
        </w:rPr>
        <w:t>anafylaktisk</w:t>
      </w:r>
      <w:proofErr w:type="spellEnd"/>
      <w:r w:rsidRPr="00854FD3">
        <w:rPr>
          <w:b/>
          <w:sz w:val="24"/>
          <w:szCs w:val="24"/>
        </w:rPr>
        <w:t xml:space="preserve"> </w:t>
      </w:r>
      <w:proofErr w:type="spellStart"/>
      <w:r w:rsidR="00A32263">
        <w:rPr>
          <w:b/>
          <w:sz w:val="24"/>
          <w:szCs w:val="24"/>
        </w:rPr>
        <w:t>shock</w:t>
      </w:r>
      <w:proofErr w:type="spellEnd"/>
      <w:r w:rsidRPr="00854FD3">
        <w:rPr>
          <w:b/>
          <w:sz w:val="24"/>
          <w:szCs w:val="24"/>
        </w:rPr>
        <w:t>.</w:t>
      </w:r>
    </w:p>
    <w:p w14:paraId="3CC29840" w14:textId="69D9F306" w:rsidR="00854FD3" w:rsidRPr="00854FD3" w:rsidRDefault="00854FD3" w:rsidP="00854FD3">
      <w:pPr>
        <w:numPr>
          <w:ilvl w:val="0"/>
          <w:numId w:val="11"/>
        </w:numPr>
        <w:tabs>
          <w:tab w:val="left" w:pos="851"/>
        </w:tabs>
        <w:ind w:left="1134" w:hanging="283"/>
        <w:rPr>
          <w:sz w:val="24"/>
          <w:szCs w:val="24"/>
        </w:rPr>
      </w:pPr>
      <w:r w:rsidRPr="00854FD3">
        <w:rPr>
          <w:b/>
          <w:sz w:val="24"/>
          <w:szCs w:val="24"/>
        </w:rPr>
        <w:t xml:space="preserve">Den intravenøse injektion skal gives langsomt (i løbet af 30 minutter) for at reducere risikoen for </w:t>
      </w:r>
      <w:proofErr w:type="spellStart"/>
      <w:r w:rsidRPr="00854FD3">
        <w:rPr>
          <w:b/>
          <w:sz w:val="24"/>
          <w:szCs w:val="24"/>
        </w:rPr>
        <w:t>anafylaktisk</w:t>
      </w:r>
      <w:proofErr w:type="spellEnd"/>
      <w:r w:rsidRPr="00854FD3">
        <w:rPr>
          <w:b/>
          <w:sz w:val="24"/>
          <w:szCs w:val="24"/>
        </w:rPr>
        <w:t xml:space="preserve"> </w:t>
      </w:r>
      <w:proofErr w:type="spellStart"/>
      <w:r w:rsidR="00A32263">
        <w:rPr>
          <w:b/>
          <w:sz w:val="24"/>
          <w:szCs w:val="24"/>
        </w:rPr>
        <w:t>shock</w:t>
      </w:r>
      <w:proofErr w:type="spellEnd"/>
      <w:r w:rsidRPr="00854FD3">
        <w:rPr>
          <w:b/>
          <w:sz w:val="24"/>
          <w:szCs w:val="24"/>
        </w:rPr>
        <w:t xml:space="preserve"> og reaktioner på injektionsstedet.</w:t>
      </w:r>
      <w:r w:rsidRPr="00854FD3">
        <w:rPr>
          <w:sz w:val="24"/>
          <w:szCs w:val="24"/>
        </w:rPr>
        <w:t xml:space="preserve"> Hurtig </w:t>
      </w:r>
      <w:proofErr w:type="spellStart"/>
      <w:r w:rsidRPr="00854FD3">
        <w:rPr>
          <w:sz w:val="24"/>
          <w:szCs w:val="24"/>
        </w:rPr>
        <w:t>i.v</w:t>
      </w:r>
      <w:proofErr w:type="spellEnd"/>
      <w:r w:rsidRPr="00854FD3">
        <w:rPr>
          <w:sz w:val="24"/>
          <w:szCs w:val="24"/>
        </w:rPr>
        <w:t xml:space="preserve">.-administration af 100 mg </w:t>
      </w:r>
      <w:proofErr w:type="spellStart"/>
      <w:r w:rsidRPr="00854FD3">
        <w:rPr>
          <w:sz w:val="24"/>
          <w:szCs w:val="24"/>
        </w:rPr>
        <w:t>thiaminhydrochlorid</w:t>
      </w:r>
      <w:proofErr w:type="spellEnd"/>
      <w:r w:rsidRPr="00854FD3">
        <w:rPr>
          <w:sz w:val="24"/>
          <w:szCs w:val="24"/>
        </w:rPr>
        <w:t xml:space="preserve"> er forbundet med en øjeblikkelig brændende fornemmelse i armen efter injektion – varende fra sekunder til minutter. Denne reaktion kan undgås ved langsom administration i større vener med højere </w:t>
      </w:r>
      <w:proofErr w:type="spellStart"/>
      <w:r w:rsidRPr="00854FD3">
        <w:rPr>
          <w:sz w:val="24"/>
          <w:szCs w:val="24"/>
        </w:rPr>
        <w:t>i.v</w:t>
      </w:r>
      <w:proofErr w:type="spellEnd"/>
      <w:r w:rsidRPr="00854FD3">
        <w:rPr>
          <w:sz w:val="24"/>
          <w:szCs w:val="24"/>
        </w:rPr>
        <w:t xml:space="preserve">.-flow rate (se </w:t>
      </w:r>
      <w:r w:rsidR="00790607">
        <w:rPr>
          <w:sz w:val="24"/>
          <w:szCs w:val="24"/>
        </w:rPr>
        <w:t>pkt.</w:t>
      </w:r>
      <w:r w:rsidRPr="00854FD3">
        <w:rPr>
          <w:sz w:val="24"/>
          <w:szCs w:val="24"/>
        </w:rPr>
        <w:t xml:space="preserve"> 4.8).</w:t>
      </w:r>
    </w:p>
    <w:p w14:paraId="1057A6EB" w14:textId="4BBF94BA" w:rsidR="00854FD3" w:rsidRPr="00854FD3" w:rsidRDefault="00854FD3" w:rsidP="00854FD3">
      <w:pPr>
        <w:numPr>
          <w:ilvl w:val="0"/>
          <w:numId w:val="11"/>
        </w:numPr>
        <w:tabs>
          <w:tab w:val="left" w:pos="851"/>
        </w:tabs>
        <w:ind w:left="1134" w:hanging="283"/>
        <w:rPr>
          <w:b/>
          <w:bCs/>
          <w:sz w:val="24"/>
          <w:szCs w:val="24"/>
        </w:rPr>
      </w:pPr>
      <w:r w:rsidRPr="00854FD3">
        <w:rPr>
          <w:sz w:val="24"/>
          <w:szCs w:val="24"/>
        </w:rPr>
        <w:t xml:space="preserve">Da </w:t>
      </w:r>
      <w:proofErr w:type="spellStart"/>
      <w:r w:rsidRPr="00854FD3">
        <w:rPr>
          <w:sz w:val="24"/>
          <w:szCs w:val="24"/>
        </w:rPr>
        <w:t>thiamin</w:t>
      </w:r>
      <w:proofErr w:type="spellEnd"/>
      <w:r w:rsidRPr="00854FD3">
        <w:rPr>
          <w:sz w:val="24"/>
          <w:szCs w:val="24"/>
        </w:rPr>
        <w:t xml:space="preserve"> spiller en rolle som enzymatisk </w:t>
      </w:r>
      <w:proofErr w:type="spellStart"/>
      <w:r w:rsidRPr="00854FD3">
        <w:rPr>
          <w:sz w:val="24"/>
          <w:szCs w:val="24"/>
        </w:rPr>
        <w:t>kofaktor</w:t>
      </w:r>
      <w:proofErr w:type="spellEnd"/>
      <w:r w:rsidRPr="00854FD3">
        <w:rPr>
          <w:sz w:val="24"/>
          <w:szCs w:val="24"/>
        </w:rPr>
        <w:t xml:space="preserve"> i den normale kulhydratmetabolisme, fremkalder et større indtag af </w:t>
      </w:r>
      <w:proofErr w:type="spellStart"/>
      <w:r w:rsidRPr="00854FD3">
        <w:rPr>
          <w:sz w:val="24"/>
          <w:szCs w:val="24"/>
        </w:rPr>
        <w:t>glucose</w:t>
      </w:r>
      <w:proofErr w:type="spellEnd"/>
      <w:r w:rsidRPr="00854FD3">
        <w:rPr>
          <w:sz w:val="24"/>
          <w:szCs w:val="24"/>
        </w:rPr>
        <w:t xml:space="preserve"> hurtigt en tømning af reserverne og fremskynder eller forværrer </w:t>
      </w:r>
      <w:proofErr w:type="spellStart"/>
      <w:r w:rsidRPr="00854FD3">
        <w:rPr>
          <w:sz w:val="24"/>
          <w:szCs w:val="24"/>
        </w:rPr>
        <w:t>Wernickes</w:t>
      </w:r>
      <w:proofErr w:type="spellEnd"/>
      <w:r w:rsidRPr="00854FD3">
        <w:rPr>
          <w:sz w:val="24"/>
          <w:szCs w:val="24"/>
        </w:rPr>
        <w:t xml:space="preserve"> encefalopati hos patienter, der lider af underliggende </w:t>
      </w:r>
      <w:proofErr w:type="spellStart"/>
      <w:r w:rsidRPr="00854FD3">
        <w:rPr>
          <w:sz w:val="24"/>
          <w:szCs w:val="24"/>
        </w:rPr>
        <w:t>thiaminmangel</w:t>
      </w:r>
      <w:proofErr w:type="spellEnd"/>
      <w:r w:rsidRPr="00854FD3">
        <w:rPr>
          <w:sz w:val="24"/>
          <w:szCs w:val="24"/>
        </w:rPr>
        <w:t xml:space="preserve">. Det anbefales derfor at administrere </w:t>
      </w:r>
      <w:proofErr w:type="spellStart"/>
      <w:r w:rsidRPr="00854FD3">
        <w:rPr>
          <w:sz w:val="24"/>
          <w:szCs w:val="24"/>
        </w:rPr>
        <w:t>thiamin</w:t>
      </w:r>
      <w:proofErr w:type="spellEnd"/>
      <w:r w:rsidRPr="00854FD3">
        <w:rPr>
          <w:sz w:val="24"/>
          <w:szCs w:val="24"/>
        </w:rPr>
        <w:t xml:space="preserve"> </w:t>
      </w:r>
      <w:r w:rsidRPr="00854FD3">
        <w:rPr>
          <w:sz w:val="24"/>
          <w:szCs w:val="24"/>
        </w:rPr>
        <w:lastRenderedPageBreak/>
        <w:t xml:space="preserve">intravenøst før eller samtidig med administration af </w:t>
      </w:r>
      <w:proofErr w:type="spellStart"/>
      <w:r w:rsidRPr="00854FD3">
        <w:rPr>
          <w:sz w:val="24"/>
          <w:szCs w:val="24"/>
        </w:rPr>
        <w:t>glucose</w:t>
      </w:r>
      <w:proofErr w:type="spellEnd"/>
      <w:r w:rsidRPr="00854FD3">
        <w:rPr>
          <w:sz w:val="24"/>
          <w:szCs w:val="24"/>
        </w:rPr>
        <w:t xml:space="preserve"> ved </w:t>
      </w:r>
      <w:proofErr w:type="spellStart"/>
      <w:r w:rsidRPr="00854FD3">
        <w:rPr>
          <w:sz w:val="24"/>
          <w:szCs w:val="24"/>
        </w:rPr>
        <w:t>bolusindgift</w:t>
      </w:r>
      <w:proofErr w:type="spellEnd"/>
      <w:r w:rsidRPr="00854FD3">
        <w:rPr>
          <w:sz w:val="24"/>
          <w:szCs w:val="24"/>
        </w:rPr>
        <w:t xml:space="preserve"> eller infusion (se </w:t>
      </w:r>
      <w:r w:rsidR="00790607">
        <w:rPr>
          <w:sz w:val="24"/>
          <w:szCs w:val="24"/>
        </w:rPr>
        <w:t>pkt.</w:t>
      </w:r>
      <w:r w:rsidRPr="00854FD3">
        <w:rPr>
          <w:sz w:val="24"/>
          <w:szCs w:val="24"/>
        </w:rPr>
        <w:t xml:space="preserve"> 4.2 og 4.8).</w:t>
      </w:r>
    </w:p>
    <w:p w14:paraId="0DAB4CC8" w14:textId="5D2C12DD" w:rsidR="00854FD3" w:rsidRPr="00854FD3" w:rsidRDefault="00854FD3" w:rsidP="00854FD3">
      <w:pPr>
        <w:numPr>
          <w:ilvl w:val="0"/>
          <w:numId w:val="11"/>
        </w:numPr>
        <w:tabs>
          <w:tab w:val="left" w:pos="851"/>
        </w:tabs>
        <w:ind w:left="1134" w:hanging="283"/>
        <w:rPr>
          <w:sz w:val="24"/>
          <w:szCs w:val="24"/>
        </w:rPr>
      </w:pPr>
      <w:r w:rsidRPr="00854FD3">
        <w:rPr>
          <w:sz w:val="24"/>
          <w:szCs w:val="24"/>
        </w:rPr>
        <w:t xml:space="preserve">Patienter med nedsat nyrefunktion kan have behov for ekstra omhyggelig overvågning (se </w:t>
      </w:r>
      <w:r w:rsidR="00790607">
        <w:rPr>
          <w:sz w:val="24"/>
          <w:szCs w:val="24"/>
        </w:rPr>
        <w:t>pkt.</w:t>
      </w:r>
      <w:r w:rsidRPr="00854FD3">
        <w:rPr>
          <w:sz w:val="24"/>
          <w:szCs w:val="24"/>
        </w:rPr>
        <w:t xml:space="preserve"> 4.2 og 5.2).</w:t>
      </w:r>
    </w:p>
    <w:p w14:paraId="7FAD4C1A" w14:textId="0442B1F7" w:rsidR="00854FD3" w:rsidRDefault="007C16DF" w:rsidP="00854FD3">
      <w:pPr>
        <w:tabs>
          <w:tab w:val="left" w:pos="851"/>
        </w:tabs>
        <w:ind w:left="1134" w:hanging="283"/>
        <w:rPr>
          <w:sz w:val="24"/>
          <w:szCs w:val="24"/>
        </w:rPr>
      </w:pPr>
      <w:r>
        <w:rPr>
          <w:sz w:val="24"/>
          <w:szCs w:val="24"/>
        </w:rPr>
        <w:tab/>
      </w:r>
      <w:r w:rsidR="00854FD3" w:rsidRPr="00854FD3">
        <w:rPr>
          <w:sz w:val="24"/>
          <w:szCs w:val="24"/>
        </w:rPr>
        <w:t>Dette lægemiddel indeholder mindre end 1 mmol natrium (23 mg) pr. 2 ml-ampul, dvs. det er i det væsentlige natriumfrit.</w:t>
      </w:r>
    </w:p>
    <w:p w14:paraId="0DB1F347" w14:textId="77777777" w:rsidR="007C16DF" w:rsidRPr="00854FD3" w:rsidRDefault="007C16DF" w:rsidP="00854FD3">
      <w:pPr>
        <w:tabs>
          <w:tab w:val="left" w:pos="851"/>
        </w:tabs>
        <w:ind w:left="1134" w:hanging="283"/>
        <w:rPr>
          <w:bCs/>
          <w:sz w:val="24"/>
          <w:szCs w:val="24"/>
        </w:rPr>
      </w:pPr>
    </w:p>
    <w:p w14:paraId="364D6B2C" w14:textId="77777777" w:rsidR="00854FD3" w:rsidRPr="00854FD3" w:rsidRDefault="00854FD3" w:rsidP="00854FD3">
      <w:pPr>
        <w:tabs>
          <w:tab w:val="left" w:pos="851"/>
        </w:tabs>
        <w:ind w:left="1134" w:hanging="283"/>
        <w:rPr>
          <w:sz w:val="24"/>
          <w:szCs w:val="24"/>
          <w:u w:val="single"/>
        </w:rPr>
      </w:pPr>
      <w:r w:rsidRPr="00854FD3">
        <w:rPr>
          <w:sz w:val="24"/>
          <w:szCs w:val="24"/>
          <w:u w:val="single"/>
        </w:rPr>
        <w:t>Forsigtighedsregler vedrørende brug</w:t>
      </w:r>
    </w:p>
    <w:p w14:paraId="531535D9" w14:textId="77777777" w:rsidR="00854FD3" w:rsidRPr="00854FD3" w:rsidRDefault="00854FD3" w:rsidP="00854FD3">
      <w:pPr>
        <w:numPr>
          <w:ilvl w:val="0"/>
          <w:numId w:val="12"/>
        </w:numPr>
        <w:tabs>
          <w:tab w:val="left" w:pos="851"/>
        </w:tabs>
        <w:ind w:left="1134" w:hanging="283"/>
        <w:rPr>
          <w:sz w:val="24"/>
          <w:szCs w:val="24"/>
        </w:rPr>
      </w:pPr>
      <w:r w:rsidRPr="00854FD3">
        <w:rPr>
          <w:sz w:val="24"/>
          <w:szCs w:val="24"/>
        </w:rPr>
        <w:t>Brug ikke dette lægemiddel, hvis der er synlige partikler i opløsningen, hvis opløsningen ikke er klar, eller hvis den indeholder bundfald.</w:t>
      </w:r>
    </w:p>
    <w:p w14:paraId="6FBFAEE1" w14:textId="6D30CF04" w:rsidR="00854FD3" w:rsidRPr="00854FD3" w:rsidRDefault="00854FD3" w:rsidP="00854FD3">
      <w:pPr>
        <w:numPr>
          <w:ilvl w:val="0"/>
          <w:numId w:val="12"/>
        </w:numPr>
        <w:tabs>
          <w:tab w:val="left" w:pos="851"/>
        </w:tabs>
        <w:ind w:left="1134" w:hanging="283"/>
        <w:rPr>
          <w:sz w:val="24"/>
          <w:szCs w:val="24"/>
        </w:rPr>
      </w:pPr>
      <w:r w:rsidRPr="00854FD3">
        <w:rPr>
          <w:sz w:val="24"/>
          <w:szCs w:val="24"/>
        </w:rPr>
        <w:t xml:space="preserve">Denne lægemiddelopløsning og alle sprøjter, der indeholder dette lægemiddel, er beregnet til individuel engangsbrug (se </w:t>
      </w:r>
      <w:r w:rsidR="00790607">
        <w:rPr>
          <w:sz w:val="24"/>
          <w:szCs w:val="24"/>
        </w:rPr>
        <w:t>pkt.</w:t>
      </w:r>
      <w:r w:rsidRPr="00854FD3">
        <w:rPr>
          <w:sz w:val="24"/>
          <w:szCs w:val="24"/>
        </w:rPr>
        <w:t xml:space="preserve"> 6.3). </w:t>
      </w:r>
    </w:p>
    <w:p w14:paraId="27A4E0E8" w14:textId="77777777" w:rsidR="00854FD3" w:rsidRPr="00854FD3" w:rsidRDefault="00854FD3" w:rsidP="00854FD3">
      <w:pPr>
        <w:tabs>
          <w:tab w:val="left" w:pos="851"/>
        </w:tabs>
        <w:ind w:left="851"/>
        <w:rPr>
          <w:bCs/>
          <w:i/>
          <w:iCs/>
          <w:sz w:val="24"/>
          <w:szCs w:val="24"/>
          <w:u w:val="single"/>
        </w:rPr>
      </w:pPr>
    </w:p>
    <w:p w14:paraId="01F432FF" w14:textId="77777777" w:rsidR="00854FD3" w:rsidRPr="0043492B" w:rsidRDefault="00854FD3" w:rsidP="00854FD3">
      <w:pPr>
        <w:tabs>
          <w:tab w:val="left" w:pos="851"/>
        </w:tabs>
        <w:ind w:left="851"/>
        <w:rPr>
          <w:bCs/>
          <w:iCs/>
          <w:sz w:val="24"/>
          <w:szCs w:val="24"/>
          <w:u w:val="single"/>
        </w:rPr>
      </w:pPr>
      <w:r w:rsidRPr="0043492B">
        <w:rPr>
          <w:bCs/>
          <w:iCs/>
          <w:sz w:val="24"/>
          <w:szCs w:val="24"/>
          <w:u w:val="single"/>
          <w:lang w:val="fr-LU"/>
        </w:rPr>
        <w:t>Interferens med laboratorieanalyser</w:t>
      </w:r>
    </w:p>
    <w:p w14:paraId="10550FEB" w14:textId="77777777" w:rsidR="00854FD3" w:rsidRPr="00854FD3" w:rsidRDefault="00854FD3" w:rsidP="00854FD3">
      <w:pPr>
        <w:tabs>
          <w:tab w:val="left" w:pos="851"/>
        </w:tabs>
        <w:ind w:left="851"/>
        <w:rPr>
          <w:bCs/>
          <w:sz w:val="24"/>
          <w:szCs w:val="24"/>
        </w:rPr>
      </w:pPr>
      <w:proofErr w:type="spellStart"/>
      <w:r w:rsidRPr="00854FD3">
        <w:rPr>
          <w:bCs/>
          <w:sz w:val="24"/>
          <w:szCs w:val="24"/>
        </w:rPr>
        <w:t>Thiamin</w:t>
      </w:r>
      <w:proofErr w:type="spellEnd"/>
      <w:r w:rsidRPr="00854FD3">
        <w:rPr>
          <w:bCs/>
          <w:sz w:val="24"/>
          <w:szCs w:val="24"/>
        </w:rPr>
        <w:t xml:space="preserve"> kan give falske positive resultater ved </w:t>
      </w:r>
      <w:proofErr w:type="spellStart"/>
      <w:r w:rsidRPr="00854FD3">
        <w:rPr>
          <w:bCs/>
          <w:sz w:val="24"/>
          <w:szCs w:val="24"/>
        </w:rPr>
        <w:t>urobilinogenbestemmelse</w:t>
      </w:r>
      <w:proofErr w:type="spellEnd"/>
      <w:r w:rsidRPr="00854FD3">
        <w:rPr>
          <w:bCs/>
          <w:sz w:val="24"/>
          <w:szCs w:val="24"/>
        </w:rPr>
        <w:t xml:space="preserve"> med </w:t>
      </w:r>
      <w:proofErr w:type="spellStart"/>
      <w:r w:rsidRPr="00854FD3">
        <w:rPr>
          <w:bCs/>
          <w:sz w:val="24"/>
          <w:szCs w:val="24"/>
        </w:rPr>
        <w:t>Ehrlichs</w:t>
      </w:r>
      <w:proofErr w:type="spellEnd"/>
      <w:r w:rsidRPr="00854FD3">
        <w:rPr>
          <w:bCs/>
          <w:sz w:val="24"/>
          <w:szCs w:val="24"/>
        </w:rPr>
        <w:t xml:space="preserve"> reaktion (urinprøve) og ved urinsyrebestemmelse med </w:t>
      </w:r>
      <w:proofErr w:type="spellStart"/>
      <w:r w:rsidRPr="00854FD3">
        <w:rPr>
          <w:bCs/>
          <w:sz w:val="24"/>
          <w:szCs w:val="24"/>
        </w:rPr>
        <w:t>phosphotungsten</w:t>
      </w:r>
      <w:proofErr w:type="spellEnd"/>
      <w:r w:rsidRPr="00854FD3">
        <w:rPr>
          <w:bCs/>
          <w:sz w:val="24"/>
          <w:szCs w:val="24"/>
        </w:rPr>
        <w:t xml:space="preserve">-metoden. Høje doser af </w:t>
      </w:r>
      <w:proofErr w:type="spellStart"/>
      <w:r w:rsidRPr="00854FD3">
        <w:rPr>
          <w:bCs/>
          <w:sz w:val="24"/>
          <w:szCs w:val="24"/>
        </w:rPr>
        <w:t>thiamin</w:t>
      </w:r>
      <w:proofErr w:type="spellEnd"/>
      <w:r w:rsidRPr="00854FD3">
        <w:rPr>
          <w:bCs/>
          <w:sz w:val="24"/>
          <w:szCs w:val="24"/>
        </w:rPr>
        <w:t xml:space="preserve"> kan interferere med Schack og </w:t>
      </w:r>
      <w:proofErr w:type="spellStart"/>
      <w:r w:rsidRPr="00854FD3">
        <w:rPr>
          <w:bCs/>
          <w:sz w:val="24"/>
          <w:szCs w:val="24"/>
        </w:rPr>
        <w:t>Waxler</w:t>
      </w:r>
      <w:proofErr w:type="spellEnd"/>
      <w:r w:rsidRPr="00854FD3">
        <w:rPr>
          <w:bCs/>
          <w:sz w:val="24"/>
          <w:szCs w:val="24"/>
        </w:rPr>
        <w:t xml:space="preserve">-spektrofotometriske analyser af </w:t>
      </w:r>
      <w:proofErr w:type="spellStart"/>
      <w:r w:rsidRPr="00854FD3">
        <w:rPr>
          <w:bCs/>
          <w:sz w:val="24"/>
          <w:szCs w:val="24"/>
        </w:rPr>
        <w:t>theophyllinplasmakoncentration</w:t>
      </w:r>
      <w:proofErr w:type="spellEnd"/>
      <w:r w:rsidRPr="00854FD3">
        <w:rPr>
          <w:bCs/>
          <w:sz w:val="24"/>
          <w:szCs w:val="24"/>
        </w:rPr>
        <w:t>.</w:t>
      </w:r>
    </w:p>
    <w:p w14:paraId="66713038" w14:textId="77777777" w:rsidR="009260DE" w:rsidRPr="00C84483" w:rsidRDefault="009260DE" w:rsidP="009260DE">
      <w:pPr>
        <w:tabs>
          <w:tab w:val="left" w:pos="851"/>
        </w:tabs>
        <w:ind w:left="851"/>
        <w:rPr>
          <w:sz w:val="24"/>
          <w:szCs w:val="24"/>
        </w:rPr>
      </w:pPr>
    </w:p>
    <w:p w14:paraId="1F53C2FA"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4957706" w14:textId="77777777" w:rsidR="003E0DAD" w:rsidRDefault="003E0DAD" w:rsidP="003E0DAD">
      <w:pPr>
        <w:tabs>
          <w:tab w:val="left" w:pos="851"/>
        </w:tabs>
        <w:ind w:left="851"/>
        <w:rPr>
          <w:sz w:val="24"/>
          <w:szCs w:val="24"/>
          <w:u w:val="single"/>
          <w:lang w:val="fr-LU"/>
        </w:rPr>
      </w:pPr>
    </w:p>
    <w:p w14:paraId="6D9B5883" w14:textId="05302F5B" w:rsidR="003E0DAD" w:rsidRPr="003E0DAD" w:rsidRDefault="003E0DAD" w:rsidP="003E0DAD">
      <w:pPr>
        <w:tabs>
          <w:tab w:val="left" w:pos="851"/>
        </w:tabs>
        <w:ind w:left="851"/>
        <w:rPr>
          <w:bCs/>
          <w:sz w:val="24"/>
          <w:szCs w:val="24"/>
          <w:u w:val="single"/>
        </w:rPr>
      </w:pPr>
      <w:r w:rsidRPr="003E0DAD">
        <w:rPr>
          <w:sz w:val="24"/>
          <w:szCs w:val="24"/>
          <w:u w:val="single"/>
          <w:lang w:val="fr-LU"/>
        </w:rPr>
        <w:t xml:space="preserve">Lægemidler, der kan nedsætte effekten af thiamin </w:t>
      </w:r>
    </w:p>
    <w:p w14:paraId="7B9F8AF4" w14:textId="77777777" w:rsidR="003E0DAD" w:rsidRPr="003E0DAD" w:rsidRDefault="003E0DAD" w:rsidP="003E0DAD">
      <w:pPr>
        <w:numPr>
          <w:ilvl w:val="0"/>
          <w:numId w:val="13"/>
        </w:numPr>
        <w:tabs>
          <w:tab w:val="left" w:pos="851"/>
        </w:tabs>
        <w:ind w:left="1134" w:hanging="283"/>
        <w:rPr>
          <w:bCs/>
          <w:sz w:val="24"/>
          <w:szCs w:val="24"/>
          <w:lang w:val="fr-LU"/>
        </w:rPr>
      </w:pPr>
      <w:r w:rsidRPr="003E0DAD">
        <w:rPr>
          <w:sz w:val="24"/>
          <w:szCs w:val="24"/>
          <w:lang w:val="fr-LU"/>
        </w:rPr>
        <w:t>Thiaminantagonister: 5-fluorouracil, andre fluoropyrimidiner (f.eks. capecitabin) og ifosfamid.</w:t>
      </w:r>
    </w:p>
    <w:p w14:paraId="32A2AC1A" w14:textId="77777777" w:rsidR="003E0DAD" w:rsidRPr="003E0DAD" w:rsidRDefault="003E0DAD" w:rsidP="003E0DAD">
      <w:pPr>
        <w:numPr>
          <w:ilvl w:val="0"/>
          <w:numId w:val="13"/>
        </w:numPr>
        <w:tabs>
          <w:tab w:val="left" w:pos="851"/>
        </w:tabs>
        <w:ind w:left="1134" w:hanging="283"/>
        <w:rPr>
          <w:bCs/>
          <w:sz w:val="24"/>
          <w:szCs w:val="24"/>
          <w:lang w:val="fr-LU"/>
        </w:rPr>
      </w:pPr>
      <w:r w:rsidRPr="003E0DAD">
        <w:rPr>
          <w:sz w:val="24"/>
          <w:szCs w:val="24"/>
          <w:lang w:val="fr-LU"/>
        </w:rPr>
        <w:t>Diuretika, f.eks furosemid, der kan øge udskillelsen af thiamin i urinen.</w:t>
      </w:r>
    </w:p>
    <w:p w14:paraId="25B125DB" w14:textId="77777777" w:rsidR="003E0DAD" w:rsidRPr="003E0DAD" w:rsidRDefault="003E0DAD" w:rsidP="003E0DAD">
      <w:pPr>
        <w:tabs>
          <w:tab w:val="left" w:pos="851"/>
        </w:tabs>
        <w:ind w:left="851"/>
        <w:rPr>
          <w:bCs/>
          <w:sz w:val="24"/>
          <w:szCs w:val="24"/>
          <w:lang w:val="fr-LU"/>
        </w:rPr>
      </w:pPr>
    </w:p>
    <w:p w14:paraId="1806162E" w14:textId="77777777" w:rsidR="003E0DAD" w:rsidRPr="003E0DAD" w:rsidRDefault="003E0DAD" w:rsidP="003E0DAD">
      <w:pPr>
        <w:tabs>
          <w:tab w:val="left" w:pos="851"/>
        </w:tabs>
        <w:ind w:left="851"/>
        <w:rPr>
          <w:bCs/>
          <w:sz w:val="24"/>
          <w:szCs w:val="24"/>
          <w:lang w:val="fr-LU"/>
        </w:rPr>
      </w:pPr>
      <w:r w:rsidRPr="003E0DAD">
        <w:rPr>
          <w:sz w:val="24"/>
          <w:szCs w:val="24"/>
          <w:lang w:val="fr-LU"/>
        </w:rPr>
        <w:t>Der kan forekomme thiaminmangel ved kronisk brug af disse lægemidler. Overvej højdosis-thiamintilskud ved behandling med disse lægemidler.</w:t>
      </w:r>
    </w:p>
    <w:p w14:paraId="681EEB27" w14:textId="77777777" w:rsidR="003E0DAD" w:rsidRPr="00C84483" w:rsidRDefault="003E0DAD" w:rsidP="009260DE">
      <w:pPr>
        <w:tabs>
          <w:tab w:val="left" w:pos="851"/>
        </w:tabs>
        <w:ind w:left="851"/>
        <w:rPr>
          <w:sz w:val="24"/>
          <w:szCs w:val="24"/>
        </w:rPr>
      </w:pPr>
    </w:p>
    <w:p w14:paraId="21FD7FCF"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3057A442" w14:textId="77777777" w:rsidR="003E0DAD" w:rsidRDefault="003E0DAD" w:rsidP="003E0DAD">
      <w:pPr>
        <w:tabs>
          <w:tab w:val="left" w:pos="851"/>
        </w:tabs>
        <w:ind w:left="851"/>
        <w:rPr>
          <w:sz w:val="24"/>
          <w:szCs w:val="24"/>
          <w:u w:val="single"/>
        </w:rPr>
      </w:pPr>
    </w:p>
    <w:p w14:paraId="761F6EDE" w14:textId="2F10BE0C" w:rsidR="003E0DAD" w:rsidRPr="003E0DAD" w:rsidRDefault="003E0DAD" w:rsidP="003E0DAD">
      <w:pPr>
        <w:tabs>
          <w:tab w:val="left" w:pos="851"/>
        </w:tabs>
        <w:ind w:left="851"/>
        <w:rPr>
          <w:sz w:val="24"/>
          <w:szCs w:val="24"/>
          <w:u w:val="single"/>
        </w:rPr>
      </w:pPr>
      <w:r w:rsidRPr="003E0DAD">
        <w:rPr>
          <w:sz w:val="24"/>
          <w:szCs w:val="24"/>
          <w:u w:val="single"/>
        </w:rPr>
        <w:t>Graviditet</w:t>
      </w:r>
    </w:p>
    <w:p w14:paraId="2EED2353" w14:textId="77777777" w:rsidR="003E0DAD" w:rsidRPr="003E0DAD" w:rsidRDefault="003E0DAD" w:rsidP="003E0DAD">
      <w:pPr>
        <w:tabs>
          <w:tab w:val="left" w:pos="851"/>
        </w:tabs>
        <w:ind w:left="851"/>
        <w:rPr>
          <w:sz w:val="24"/>
          <w:szCs w:val="24"/>
        </w:rPr>
      </w:pPr>
      <w:r w:rsidRPr="003E0DAD">
        <w:rPr>
          <w:sz w:val="24"/>
          <w:szCs w:val="24"/>
          <w:lang w:val="fr-LU"/>
        </w:rPr>
        <w:t>Der er ingen eller utilstrækkelige data fra anvendelse af thiamin til gravide kvinder.</w:t>
      </w:r>
    </w:p>
    <w:p w14:paraId="5A70F78D" w14:textId="77777777" w:rsidR="003E0DAD" w:rsidRPr="003E0DAD" w:rsidRDefault="003E0DAD" w:rsidP="003E0DAD">
      <w:pPr>
        <w:tabs>
          <w:tab w:val="left" w:pos="851"/>
        </w:tabs>
        <w:ind w:left="851"/>
        <w:rPr>
          <w:sz w:val="24"/>
          <w:szCs w:val="24"/>
          <w:lang w:val="fr-LU"/>
        </w:rPr>
      </w:pPr>
      <w:r w:rsidRPr="003E0DAD">
        <w:rPr>
          <w:sz w:val="24"/>
          <w:szCs w:val="24"/>
          <w:lang w:val="fr-LU"/>
        </w:rPr>
        <w:t>Data fra dyreforsøg er utilstrækkelige hvad angår reproduktionstoksicitet (se pkt. 5.3).</w:t>
      </w:r>
    </w:p>
    <w:p w14:paraId="3AD5B23E" w14:textId="77777777" w:rsidR="003E0DAD" w:rsidRPr="003E0DAD" w:rsidRDefault="003E0DAD" w:rsidP="003E0DAD">
      <w:pPr>
        <w:tabs>
          <w:tab w:val="left" w:pos="851"/>
        </w:tabs>
        <w:ind w:left="851"/>
        <w:rPr>
          <w:sz w:val="24"/>
          <w:szCs w:val="24"/>
        </w:rPr>
      </w:pPr>
      <w:r w:rsidRPr="003E0DAD">
        <w:rPr>
          <w:sz w:val="24"/>
          <w:szCs w:val="24"/>
        </w:rPr>
        <w:t>Brugen af produktet er individuel og baseret på tilstand og behov hos gravide kvinder. Det kan bruges til gravide kvinder, hvis det er nødvendigt for at rette op på mangeltilstande, og hvis der er flere fordele end risici.</w:t>
      </w:r>
    </w:p>
    <w:p w14:paraId="3323BC15" w14:textId="77777777" w:rsidR="003E0DAD" w:rsidRPr="003E0DAD" w:rsidRDefault="003E0DAD" w:rsidP="003E0DAD">
      <w:pPr>
        <w:tabs>
          <w:tab w:val="left" w:pos="851"/>
        </w:tabs>
        <w:ind w:left="851"/>
        <w:rPr>
          <w:sz w:val="24"/>
          <w:szCs w:val="24"/>
        </w:rPr>
      </w:pPr>
      <w:r w:rsidRPr="003E0DAD">
        <w:rPr>
          <w:sz w:val="24"/>
          <w:szCs w:val="24"/>
        </w:rPr>
        <w:t xml:space="preserve">Der bør udvises forsigtighed ved ordination til gravide. Man skal være opmærksom på risikoen for </w:t>
      </w:r>
      <w:proofErr w:type="spellStart"/>
      <w:r w:rsidRPr="003E0DAD">
        <w:rPr>
          <w:sz w:val="24"/>
          <w:szCs w:val="24"/>
        </w:rPr>
        <w:t>anafylaktiske</w:t>
      </w:r>
      <w:proofErr w:type="spellEnd"/>
      <w:r w:rsidRPr="003E0DAD">
        <w:rPr>
          <w:sz w:val="24"/>
          <w:szCs w:val="24"/>
        </w:rPr>
        <w:t xml:space="preserve"> reaktioner i forbindelse med parenteral administration.</w:t>
      </w:r>
    </w:p>
    <w:p w14:paraId="19924F93" w14:textId="77777777" w:rsidR="003E0DAD" w:rsidRPr="003E0DAD" w:rsidRDefault="003E0DAD" w:rsidP="003E0DAD">
      <w:pPr>
        <w:tabs>
          <w:tab w:val="left" w:pos="851"/>
        </w:tabs>
        <w:ind w:left="851"/>
        <w:rPr>
          <w:sz w:val="24"/>
          <w:szCs w:val="24"/>
          <w:u w:val="single"/>
        </w:rPr>
      </w:pPr>
    </w:p>
    <w:p w14:paraId="1D037A05" w14:textId="77777777" w:rsidR="003E0DAD" w:rsidRPr="003E0DAD" w:rsidRDefault="003E0DAD" w:rsidP="003E0DAD">
      <w:pPr>
        <w:tabs>
          <w:tab w:val="left" w:pos="851"/>
        </w:tabs>
        <w:ind w:left="851"/>
        <w:rPr>
          <w:sz w:val="24"/>
          <w:szCs w:val="24"/>
          <w:u w:val="single"/>
        </w:rPr>
      </w:pPr>
      <w:r w:rsidRPr="003E0DAD">
        <w:rPr>
          <w:sz w:val="24"/>
          <w:szCs w:val="24"/>
          <w:u w:val="single"/>
        </w:rPr>
        <w:t>Amning</w:t>
      </w:r>
    </w:p>
    <w:p w14:paraId="296CCD76" w14:textId="38C4AB18" w:rsidR="003E0DAD" w:rsidRPr="003E0DAD" w:rsidRDefault="003E0DAD" w:rsidP="003E0DAD">
      <w:pPr>
        <w:tabs>
          <w:tab w:val="left" w:pos="851"/>
        </w:tabs>
        <w:ind w:left="851"/>
        <w:rPr>
          <w:bCs/>
          <w:sz w:val="24"/>
          <w:szCs w:val="24"/>
          <w:u w:val="single"/>
        </w:rPr>
      </w:pPr>
      <w:proofErr w:type="spellStart"/>
      <w:r w:rsidRPr="003E0DAD">
        <w:rPr>
          <w:sz w:val="24"/>
          <w:szCs w:val="24"/>
        </w:rPr>
        <w:t>Thiamin</w:t>
      </w:r>
      <w:proofErr w:type="spellEnd"/>
      <w:r w:rsidRPr="003E0DAD">
        <w:rPr>
          <w:sz w:val="24"/>
          <w:szCs w:val="24"/>
        </w:rPr>
        <w:t xml:space="preserve"> udskilles i modermælken. Ved anbefalet daglig</w:t>
      </w:r>
      <w:r w:rsidR="001A36FC">
        <w:rPr>
          <w:sz w:val="24"/>
          <w:szCs w:val="24"/>
        </w:rPr>
        <w:t>t</w:t>
      </w:r>
      <w:r w:rsidRPr="003E0DAD">
        <w:rPr>
          <w:sz w:val="24"/>
          <w:szCs w:val="24"/>
        </w:rPr>
        <w:t xml:space="preserve"> indtag forventes ingen effekt på nyfødte/spædbørn, der ammes. Der foreligger imidlertid ikke tilstrækkelige oplysninger om niveauer og mulige effekter af udskillelse af </w:t>
      </w:r>
      <w:proofErr w:type="spellStart"/>
      <w:r w:rsidRPr="003E0DAD">
        <w:rPr>
          <w:sz w:val="24"/>
          <w:szCs w:val="24"/>
        </w:rPr>
        <w:t>thiamin</w:t>
      </w:r>
      <w:proofErr w:type="spellEnd"/>
      <w:r w:rsidRPr="003E0DAD">
        <w:rPr>
          <w:sz w:val="24"/>
          <w:szCs w:val="24"/>
        </w:rPr>
        <w:t xml:space="preserve"> i modermælken efter administration af høje </w:t>
      </w:r>
      <w:proofErr w:type="spellStart"/>
      <w:r w:rsidRPr="003E0DAD">
        <w:rPr>
          <w:sz w:val="24"/>
          <w:szCs w:val="24"/>
        </w:rPr>
        <w:t>thiamindoser</w:t>
      </w:r>
      <w:proofErr w:type="spellEnd"/>
      <w:r w:rsidRPr="003E0DAD">
        <w:rPr>
          <w:sz w:val="24"/>
          <w:szCs w:val="24"/>
        </w:rPr>
        <w:t xml:space="preserve"> (&gt; 50 mg/dag). Man kan ikke udelukke, at der kan være en risiko for børn, der ammes. </w:t>
      </w:r>
    </w:p>
    <w:p w14:paraId="4E12F1D2" w14:textId="3E4BB45A" w:rsidR="003E0DAD" w:rsidRDefault="003E0DAD" w:rsidP="003E0DAD">
      <w:pPr>
        <w:tabs>
          <w:tab w:val="left" w:pos="851"/>
        </w:tabs>
        <w:ind w:left="851"/>
        <w:rPr>
          <w:sz w:val="24"/>
          <w:szCs w:val="24"/>
        </w:rPr>
      </w:pPr>
      <w:r w:rsidRPr="003E0DAD">
        <w:rPr>
          <w:sz w:val="24"/>
          <w:szCs w:val="24"/>
        </w:rPr>
        <w:t xml:space="preserve">Det skal besluttes, om amning eller behandling med </w:t>
      </w:r>
      <w:proofErr w:type="spellStart"/>
      <w:r w:rsidR="003C6E36">
        <w:rPr>
          <w:sz w:val="24"/>
          <w:szCs w:val="24"/>
        </w:rPr>
        <w:t>Thiaminhydrochlorid</w:t>
      </w:r>
      <w:proofErr w:type="spellEnd"/>
      <w:r w:rsidR="003C6E36">
        <w:rPr>
          <w:sz w:val="24"/>
          <w:szCs w:val="24"/>
        </w:rPr>
        <w:t xml:space="preserve"> ”</w:t>
      </w:r>
      <w:proofErr w:type="spellStart"/>
      <w:r w:rsidR="003C6E36">
        <w:rPr>
          <w:sz w:val="24"/>
          <w:szCs w:val="24"/>
        </w:rPr>
        <w:t>Ebb</w:t>
      </w:r>
      <w:proofErr w:type="spellEnd"/>
      <w:r w:rsidR="003C6E36">
        <w:rPr>
          <w:sz w:val="24"/>
          <w:szCs w:val="24"/>
        </w:rPr>
        <w:t xml:space="preserve"> Medical”</w:t>
      </w:r>
      <w:r w:rsidRPr="003E0DAD">
        <w:rPr>
          <w:sz w:val="24"/>
          <w:szCs w:val="24"/>
        </w:rPr>
        <w:t xml:space="preserve"> skal ophøre, idet der tages højde for fordelene ved amning for barnet i forhold til de terapeutiske fordele for moderen.</w:t>
      </w:r>
    </w:p>
    <w:p w14:paraId="50506F24" w14:textId="6BE48A96" w:rsidR="001A36FC" w:rsidRDefault="001A36FC">
      <w:pPr>
        <w:rPr>
          <w:sz w:val="24"/>
          <w:szCs w:val="24"/>
        </w:rPr>
      </w:pPr>
      <w:r>
        <w:rPr>
          <w:sz w:val="24"/>
          <w:szCs w:val="24"/>
        </w:rPr>
        <w:br w:type="page"/>
      </w:r>
    </w:p>
    <w:p w14:paraId="39A598A6" w14:textId="77777777" w:rsidR="001A36FC" w:rsidRPr="003E0DAD" w:rsidRDefault="001A36FC" w:rsidP="003E0DAD">
      <w:pPr>
        <w:tabs>
          <w:tab w:val="left" w:pos="851"/>
        </w:tabs>
        <w:ind w:left="851"/>
        <w:rPr>
          <w:sz w:val="24"/>
          <w:szCs w:val="24"/>
        </w:rPr>
      </w:pPr>
    </w:p>
    <w:p w14:paraId="47D3E9D8" w14:textId="77777777" w:rsidR="003E0DAD" w:rsidRPr="003E0DAD" w:rsidRDefault="003E0DAD" w:rsidP="003E0DAD">
      <w:pPr>
        <w:tabs>
          <w:tab w:val="left" w:pos="851"/>
        </w:tabs>
        <w:ind w:left="851"/>
        <w:rPr>
          <w:bCs/>
          <w:sz w:val="24"/>
          <w:szCs w:val="24"/>
          <w:u w:val="single"/>
        </w:rPr>
      </w:pPr>
      <w:r w:rsidRPr="003E0DAD">
        <w:rPr>
          <w:bCs/>
          <w:sz w:val="24"/>
          <w:szCs w:val="24"/>
          <w:u w:val="single"/>
        </w:rPr>
        <w:t>Fertilitet</w:t>
      </w:r>
    </w:p>
    <w:p w14:paraId="27BED42B" w14:textId="77777777" w:rsidR="003E0DAD" w:rsidRPr="003E0DAD" w:rsidRDefault="003E0DAD" w:rsidP="003E0DAD">
      <w:pPr>
        <w:tabs>
          <w:tab w:val="left" w:pos="851"/>
        </w:tabs>
        <w:ind w:left="851"/>
        <w:rPr>
          <w:sz w:val="24"/>
          <w:szCs w:val="24"/>
        </w:rPr>
      </w:pPr>
      <w:r w:rsidRPr="003E0DAD">
        <w:rPr>
          <w:sz w:val="24"/>
          <w:szCs w:val="24"/>
          <w:lang w:val="fr-LU"/>
        </w:rPr>
        <w:t>Der foreligger ingen relevante data.</w:t>
      </w:r>
    </w:p>
    <w:p w14:paraId="112116A2" w14:textId="77777777" w:rsidR="009260DE" w:rsidRPr="00C84483" w:rsidRDefault="009260DE" w:rsidP="009260DE">
      <w:pPr>
        <w:tabs>
          <w:tab w:val="left" w:pos="851"/>
        </w:tabs>
        <w:ind w:left="851"/>
        <w:rPr>
          <w:sz w:val="24"/>
          <w:szCs w:val="24"/>
        </w:rPr>
      </w:pPr>
    </w:p>
    <w:p w14:paraId="3D6DF75B"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0091B3AA" w14:textId="351BF150" w:rsidR="001A36FC" w:rsidRPr="001A36FC" w:rsidRDefault="001A36FC" w:rsidP="001A36FC">
      <w:pPr>
        <w:tabs>
          <w:tab w:val="left" w:pos="851"/>
        </w:tabs>
        <w:ind w:left="851"/>
        <w:rPr>
          <w:sz w:val="24"/>
          <w:szCs w:val="24"/>
        </w:rPr>
      </w:pPr>
      <w:r>
        <w:rPr>
          <w:sz w:val="24"/>
          <w:szCs w:val="24"/>
        </w:rPr>
        <w:t>Ikke</w:t>
      </w:r>
      <w:r w:rsidRPr="001A36FC">
        <w:rPr>
          <w:sz w:val="24"/>
          <w:szCs w:val="24"/>
        </w:rPr>
        <w:t xml:space="preserve"> mærkning.</w:t>
      </w:r>
    </w:p>
    <w:p w14:paraId="70A61E6D" w14:textId="165530A9" w:rsidR="001A36FC" w:rsidRPr="001A36FC" w:rsidRDefault="001A36FC" w:rsidP="001A36FC">
      <w:pPr>
        <w:tabs>
          <w:tab w:val="left" w:pos="851"/>
        </w:tabs>
        <w:ind w:left="851"/>
        <w:rPr>
          <w:sz w:val="24"/>
          <w:szCs w:val="24"/>
        </w:rPr>
      </w:pPr>
      <w:r w:rsidRPr="001A36FC">
        <w:rPr>
          <w:sz w:val="24"/>
          <w:szCs w:val="24"/>
        </w:rPr>
        <w:t xml:space="preserve">Der er ikke gennemført undersøgelser af virkning på evnen til at føre motorkøretøj </w:t>
      </w:r>
      <w:proofErr w:type="spellStart"/>
      <w:r w:rsidR="00C62C6B">
        <w:rPr>
          <w:sz w:val="24"/>
          <w:szCs w:val="24"/>
        </w:rPr>
        <w:t>elller</w:t>
      </w:r>
      <w:proofErr w:type="spellEnd"/>
      <w:r w:rsidRPr="001A36FC">
        <w:rPr>
          <w:sz w:val="24"/>
          <w:szCs w:val="24"/>
        </w:rPr>
        <w:t xml:space="preserve"> betjene maskiner. </w:t>
      </w:r>
    </w:p>
    <w:p w14:paraId="2FEA391B" w14:textId="198FE4C9" w:rsidR="001A36FC" w:rsidRPr="001A36FC" w:rsidRDefault="001A36FC" w:rsidP="001A36FC">
      <w:pPr>
        <w:tabs>
          <w:tab w:val="left" w:pos="851"/>
        </w:tabs>
        <w:ind w:left="851"/>
        <w:rPr>
          <w:sz w:val="24"/>
          <w:szCs w:val="24"/>
        </w:rPr>
      </w:pPr>
      <w:r w:rsidRPr="001A36FC">
        <w:rPr>
          <w:sz w:val="24"/>
          <w:szCs w:val="24"/>
        </w:rPr>
        <w:t xml:space="preserve">Patienterne bør dog advares om, at de skal være opmærksomme på, hvordan de reagerer, inden de fører motorkøretøj </w:t>
      </w:r>
      <w:r w:rsidR="00C62C6B">
        <w:rPr>
          <w:sz w:val="24"/>
          <w:szCs w:val="24"/>
        </w:rPr>
        <w:t>eller</w:t>
      </w:r>
      <w:r w:rsidRPr="001A36FC">
        <w:rPr>
          <w:sz w:val="24"/>
          <w:szCs w:val="24"/>
        </w:rPr>
        <w:t xml:space="preserve"> betjener maskiner. </w:t>
      </w:r>
    </w:p>
    <w:p w14:paraId="7D828867" w14:textId="77777777" w:rsidR="001A36FC" w:rsidRPr="00C84483" w:rsidRDefault="001A36FC" w:rsidP="009260DE">
      <w:pPr>
        <w:tabs>
          <w:tab w:val="left" w:pos="851"/>
        </w:tabs>
        <w:ind w:left="851"/>
        <w:rPr>
          <w:sz w:val="24"/>
          <w:szCs w:val="24"/>
        </w:rPr>
      </w:pPr>
    </w:p>
    <w:p w14:paraId="0D2E48A9" w14:textId="6EAE8667" w:rsidR="002F1352" w:rsidRPr="002F1352" w:rsidRDefault="009260DE" w:rsidP="002F1352">
      <w:pPr>
        <w:tabs>
          <w:tab w:val="left" w:pos="851"/>
        </w:tabs>
        <w:ind w:left="851" w:hanging="851"/>
        <w:rPr>
          <w:sz w:val="24"/>
          <w:szCs w:val="24"/>
        </w:rPr>
      </w:pPr>
      <w:r w:rsidRPr="00C84483">
        <w:rPr>
          <w:b/>
          <w:sz w:val="24"/>
          <w:szCs w:val="24"/>
        </w:rPr>
        <w:t>4.8</w:t>
      </w:r>
      <w:r w:rsidRPr="00C84483">
        <w:rPr>
          <w:b/>
          <w:sz w:val="24"/>
          <w:szCs w:val="24"/>
        </w:rPr>
        <w:tab/>
        <w:t>Bivirkninger</w:t>
      </w:r>
    </w:p>
    <w:p w14:paraId="43A62DF9" w14:textId="64DEDAA0" w:rsidR="002F1352" w:rsidRPr="002F1352" w:rsidRDefault="002F1352" w:rsidP="002F1352">
      <w:pPr>
        <w:tabs>
          <w:tab w:val="left" w:pos="851"/>
        </w:tabs>
        <w:ind w:left="851"/>
        <w:rPr>
          <w:sz w:val="24"/>
          <w:szCs w:val="24"/>
        </w:rPr>
      </w:pPr>
      <w:r w:rsidRPr="002F1352">
        <w:rPr>
          <w:sz w:val="24"/>
          <w:szCs w:val="24"/>
        </w:rPr>
        <w:t xml:space="preserve">Bivirkninger i forbindelse med </w:t>
      </w:r>
      <w:proofErr w:type="spellStart"/>
      <w:r w:rsidRPr="002F1352">
        <w:rPr>
          <w:sz w:val="24"/>
          <w:szCs w:val="24"/>
        </w:rPr>
        <w:t>thiamin</w:t>
      </w:r>
      <w:proofErr w:type="spellEnd"/>
      <w:r w:rsidRPr="002F1352">
        <w:rPr>
          <w:sz w:val="24"/>
          <w:szCs w:val="24"/>
        </w:rPr>
        <w:t xml:space="preserve"> er sjældne, men overfølsomhedsreaktioner er set, hovedsagelig efter parenteral administration. Disse reaktioner har varieret i sværhedsgrad fra meget milde til meget sjældne fatale </w:t>
      </w:r>
      <w:proofErr w:type="spellStart"/>
      <w:r w:rsidRPr="002F1352">
        <w:rPr>
          <w:sz w:val="24"/>
          <w:szCs w:val="24"/>
        </w:rPr>
        <w:t>anafylaktiske</w:t>
      </w:r>
      <w:proofErr w:type="spellEnd"/>
      <w:r w:rsidRPr="002F1352">
        <w:rPr>
          <w:sz w:val="24"/>
          <w:szCs w:val="24"/>
        </w:rPr>
        <w:t xml:space="preserve"> </w:t>
      </w:r>
      <w:proofErr w:type="spellStart"/>
      <w:r>
        <w:rPr>
          <w:sz w:val="24"/>
          <w:szCs w:val="24"/>
        </w:rPr>
        <w:t>shock</w:t>
      </w:r>
      <w:proofErr w:type="spellEnd"/>
      <w:r w:rsidRPr="002F1352">
        <w:rPr>
          <w:sz w:val="24"/>
          <w:szCs w:val="24"/>
        </w:rPr>
        <w:t xml:space="preserve">. Der er rapporteret smerter og en øjeblikkelig brændende fornemmelse i armen efter hurtig intravenøs administration. </w:t>
      </w:r>
    </w:p>
    <w:p w14:paraId="593E743C" w14:textId="77777777" w:rsidR="002F1352" w:rsidRPr="002F1352" w:rsidRDefault="002F1352" w:rsidP="002F1352">
      <w:pPr>
        <w:tabs>
          <w:tab w:val="left" w:pos="851"/>
        </w:tabs>
        <w:ind w:left="851"/>
        <w:rPr>
          <w:sz w:val="24"/>
          <w:szCs w:val="24"/>
        </w:rPr>
      </w:pPr>
    </w:p>
    <w:p w14:paraId="4BFE0646" w14:textId="77777777" w:rsidR="002F1352" w:rsidRPr="002F1352" w:rsidRDefault="002F1352" w:rsidP="002F1352">
      <w:pPr>
        <w:tabs>
          <w:tab w:val="left" w:pos="851"/>
        </w:tabs>
        <w:ind w:left="851"/>
        <w:rPr>
          <w:sz w:val="24"/>
          <w:szCs w:val="24"/>
        </w:rPr>
      </w:pPr>
      <w:r w:rsidRPr="002F1352">
        <w:rPr>
          <w:sz w:val="24"/>
          <w:szCs w:val="24"/>
        </w:rPr>
        <w:t>De mulige bivirkninger er anført nedenfor. Bivirkninger angives efter deres hyppighed som følger:</w:t>
      </w:r>
    </w:p>
    <w:p w14:paraId="6B439B85" w14:textId="77777777" w:rsidR="002F1352" w:rsidRPr="002F1352" w:rsidRDefault="002F1352" w:rsidP="002F1352">
      <w:pPr>
        <w:tabs>
          <w:tab w:val="left" w:pos="851"/>
          <w:tab w:val="left" w:pos="2835"/>
        </w:tabs>
        <w:ind w:left="851"/>
        <w:rPr>
          <w:sz w:val="24"/>
          <w:szCs w:val="24"/>
        </w:rPr>
      </w:pPr>
      <w:r w:rsidRPr="002F1352">
        <w:rPr>
          <w:sz w:val="24"/>
          <w:szCs w:val="24"/>
        </w:rPr>
        <w:t>Meget almindelig:</w:t>
      </w:r>
      <w:r w:rsidRPr="002F1352">
        <w:rPr>
          <w:sz w:val="24"/>
          <w:szCs w:val="24"/>
        </w:rPr>
        <w:tab/>
        <w:t>(≥1/10)</w:t>
      </w:r>
    </w:p>
    <w:p w14:paraId="1BB23355" w14:textId="04563997" w:rsidR="002F1352" w:rsidRPr="002F1352" w:rsidRDefault="002F1352" w:rsidP="002F1352">
      <w:pPr>
        <w:tabs>
          <w:tab w:val="left" w:pos="851"/>
          <w:tab w:val="left" w:pos="2835"/>
        </w:tabs>
        <w:ind w:left="851"/>
        <w:rPr>
          <w:sz w:val="24"/>
          <w:szCs w:val="24"/>
        </w:rPr>
      </w:pPr>
      <w:r w:rsidRPr="002F1352">
        <w:rPr>
          <w:sz w:val="24"/>
          <w:szCs w:val="24"/>
        </w:rPr>
        <w:t>Almindelig:</w:t>
      </w:r>
      <w:r w:rsidRPr="002F1352">
        <w:rPr>
          <w:sz w:val="24"/>
          <w:szCs w:val="24"/>
        </w:rPr>
        <w:tab/>
        <w:t>(≥1/100 til &lt;1/10)</w:t>
      </w:r>
    </w:p>
    <w:p w14:paraId="1E67FAA7" w14:textId="77777777" w:rsidR="002F1352" w:rsidRPr="002F1352" w:rsidRDefault="002F1352" w:rsidP="002F1352">
      <w:pPr>
        <w:tabs>
          <w:tab w:val="left" w:pos="851"/>
          <w:tab w:val="left" w:pos="2835"/>
        </w:tabs>
        <w:ind w:left="851"/>
        <w:rPr>
          <w:sz w:val="24"/>
          <w:szCs w:val="24"/>
        </w:rPr>
      </w:pPr>
      <w:r w:rsidRPr="002F1352">
        <w:rPr>
          <w:sz w:val="24"/>
          <w:szCs w:val="24"/>
        </w:rPr>
        <w:t>Ikke almindelig:</w:t>
      </w:r>
      <w:r w:rsidRPr="002F1352">
        <w:rPr>
          <w:sz w:val="24"/>
          <w:szCs w:val="24"/>
        </w:rPr>
        <w:tab/>
        <w:t>(≥1/1.000 til &lt;1/100)</w:t>
      </w:r>
    </w:p>
    <w:p w14:paraId="1607AA0B" w14:textId="7AEBF8D8" w:rsidR="002F1352" w:rsidRPr="002F1352" w:rsidRDefault="002F1352" w:rsidP="002F1352">
      <w:pPr>
        <w:tabs>
          <w:tab w:val="left" w:pos="851"/>
          <w:tab w:val="left" w:pos="2835"/>
        </w:tabs>
        <w:ind w:left="851"/>
        <w:rPr>
          <w:sz w:val="24"/>
          <w:szCs w:val="24"/>
        </w:rPr>
      </w:pPr>
      <w:r w:rsidRPr="002F1352">
        <w:rPr>
          <w:sz w:val="24"/>
          <w:szCs w:val="24"/>
        </w:rPr>
        <w:t>Sjælden:</w:t>
      </w:r>
      <w:r w:rsidRPr="002F1352">
        <w:rPr>
          <w:sz w:val="24"/>
          <w:szCs w:val="24"/>
        </w:rPr>
        <w:tab/>
        <w:t>(≥1/10.000 til &lt;1/1.000)</w:t>
      </w:r>
    </w:p>
    <w:p w14:paraId="3F132583" w14:textId="49B67001" w:rsidR="002F1352" w:rsidRPr="002F1352" w:rsidRDefault="002F1352" w:rsidP="002F1352">
      <w:pPr>
        <w:tabs>
          <w:tab w:val="left" w:pos="851"/>
          <w:tab w:val="left" w:pos="2835"/>
        </w:tabs>
        <w:ind w:left="851"/>
        <w:rPr>
          <w:sz w:val="24"/>
          <w:szCs w:val="24"/>
        </w:rPr>
      </w:pPr>
      <w:r w:rsidRPr="002F1352">
        <w:rPr>
          <w:sz w:val="24"/>
          <w:szCs w:val="24"/>
        </w:rPr>
        <w:t>Meget sjælden:</w:t>
      </w:r>
      <w:r w:rsidRPr="002F1352">
        <w:rPr>
          <w:sz w:val="24"/>
          <w:szCs w:val="24"/>
        </w:rPr>
        <w:tab/>
        <w:t>(&lt;1/10.000)</w:t>
      </w:r>
    </w:p>
    <w:p w14:paraId="5C92F14C" w14:textId="76F3A1D0" w:rsidR="002F1352" w:rsidRPr="002F1352" w:rsidRDefault="002F1352" w:rsidP="002F1352">
      <w:pPr>
        <w:tabs>
          <w:tab w:val="left" w:pos="851"/>
          <w:tab w:val="left" w:pos="2835"/>
        </w:tabs>
        <w:ind w:left="851"/>
        <w:rPr>
          <w:sz w:val="24"/>
          <w:szCs w:val="24"/>
        </w:rPr>
      </w:pPr>
      <w:r w:rsidRPr="002F1352">
        <w:rPr>
          <w:sz w:val="24"/>
          <w:szCs w:val="24"/>
        </w:rPr>
        <w:t>Ikke kendt:</w:t>
      </w:r>
      <w:r w:rsidRPr="002F1352">
        <w:rPr>
          <w:sz w:val="24"/>
          <w:szCs w:val="24"/>
        </w:rPr>
        <w:tab/>
        <w:t>(Kan ikke estimeres ud fra forhåndenværende data)</w:t>
      </w:r>
    </w:p>
    <w:p w14:paraId="0C3FE13B" w14:textId="77777777" w:rsidR="002F1352" w:rsidRPr="002F1352" w:rsidRDefault="002F1352" w:rsidP="002F1352">
      <w:pPr>
        <w:tabs>
          <w:tab w:val="left" w:pos="851"/>
          <w:tab w:val="left" w:pos="2835"/>
        </w:tabs>
        <w:ind w:left="851"/>
        <w:rPr>
          <w:sz w:val="24"/>
          <w:szCs w:val="24"/>
        </w:rPr>
      </w:pPr>
    </w:p>
    <w:p w14:paraId="4ACC26EE" w14:textId="77777777" w:rsidR="002F1352" w:rsidRPr="002F1352" w:rsidRDefault="002F1352" w:rsidP="002F1352">
      <w:pPr>
        <w:tabs>
          <w:tab w:val="left" w:pos="851"/>
        </w:tabs>
        <w:ind w:left="851"/>
        <w:rPr>
          <w:sz w:val="24"/>
          <w:szCs w:val="24"/>
        </w:rPr>
      </w:pPr>
      <w:r w:rsidRPr="002F1352">
        <w:rPr>
          <w:sz w:val="24"/>
          <w:szCs w:val="24"/>
        </w:rPr>
        <w:t>Bivirkningerne er klassificeret efter organsystem og efter faldende alvor i hver frekvenskategori.</w:t>
      </w:r>
    </w:p>
    <w:p w14:paraId="79BC9BC2" w14:textId="77777777" w:rsidR="002F1352" w:rsidRPr="002F1352" w:rsidRDefault="002F1352" w:rsidP="002F1352">
      <w:pPr>
        <w:tabs>
          <w:tab w:val="left" w:pos="851"/>
        </w:tabs>
        <w:ind w:left="851"/>
        <w:rPr>
          <w:sz w:val="24"/>
          <w:szCs w:val="24"/>
          <w:u w:val="single"/>
        </w:rPr>
      </w:pP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4507"/>
        <w:gridCol w:w="1600"/>
      </w:tblGrid>
      <w:tr w:rsidR="002F1352" w:rsidRPr="000A28E9" w14:paraId="0ED2D513" w14:textId="77777777" w:rsidTr="000A28E9">
        <w:tc>
          <w:tcPr>
            <w:tcW w:w="3107" w:type="dxa"/>
            <w:tcBorders>
              <w:top w:val="single" w:sz="4" w:space="0" w:color="auto"/>
              <w:left w:val="single" w:sz="4" w:space="0" w:color="auto"/>
              <w:bottom w:val="single" w:sz="4" w:space="0" w:color="auto"/>
              <w:right w:val="single" w:sz="4" w:space="0" w:color="auto"/>
            </w:tcBorders>
            <w:hideMark/>
          </w:tcPr>
          <w:p w14:paraId="53B04907" w14:textId="77777777" w:rsidR="002F1352" w:rsidRPr="000A28E9" w:rsidRDefault="002F1352" w:rsidP="000A28E9">
            <w:pPr>
              <w:ind w:left="33"/>
              <w:rPr>
                <w:sz w:val="24"/>
                <w:szCs w:val="24"/>
                <w:lang w:val="en-GB"/>
              </w:rPr>
            </w:pPr>
            <w:proofErr w:type="spellStart"/>
            <w:r w:rsidRPr="000A28E9">
              <w:rPr>
                <w:b/>
                <w:sz w:val="24"/>
                <w:szCs w:val="24"/>
                <w:lang w:val="en-US"/>
              </w:rPr>
              <w:t>Organsystem</w:t>
            </w:r>
            <w:proofErr w:type="spellEnd"/>
          </w:p>
        </w:tc>
        <w:tc>
          <w:tcPr>
            <w:tcW w:w="4507" w:type="dxa"/>
            <w:tcBorders>
              <w:top w:val="single" w:sz="4" w:space="0" w:color="auto"/>
              <w:left w:val="single" w:sz="4" w:space="0" w:color="auto"/>
              <w:bottom w:val="single" w:sz="4" w:space="0" w:color="auto"/>
              <w:right w:val="single" w:sz="4" w:space="0" w:color="auto"/>
            </w:tcBorders>
            <w:hideMark/>
          </w:tcPr>
          <w:p w14:paraId="2CEE6C95" w14:textId="77777777" w:rsidR="002F1352" w:rsidRPr="000A28E9" w:rsidRDefault="002F1352" w:rsidP="000A28E9">
            <w:pPr>
              <w:ind w:left="41"/>
              <w:rPr>
                <w:b/>
                <w:bCs/>
                <w:sz w:val="24"/>
                <w:szCs w:val="24"/>
                <w:lang w:val="en-US"/>
              </w:rPr>
            </w:pPr>
            <w:proofErr w:type="spellStart"/>
            <w:r w:rsidRPr="000A28E9">
              <w:rPr>
                <w:b/>
                <w:bCs/>
                <w:sz w:val="24"/>
                <w:szCs w:val="24"/>
                <w:lang w:val="en-US"/>
              </w:rPr>
              <w:t>Bivirkninger</w:t>
            </w:r>
            <w:proofErr w:type="spellEnd"/>
            <w:r w:rsidRPr="000A28E9">
              <w:rPr>
                <w:b/>
                <w:bCs/>
                <w:sz w:val="24"/>
                <w:szCs w:val="24"/>
                <w:lang w:val="en-US"/>
              </w:rPr>
              <w:t xml:space="preserve"> </w:t>
            </w:r>
          </w:p>
        </w:tc>
        <w:tc>
          <w:tcPr>
            <w:tcW w:w="1600" w:type="dxa"/>
            <w:tcBorders>
              <w:top w:val="single" w:sz="4" w:space="0" w:color="auto"/>
              <w:left w:val="single" w:sz="4" w:space="0" w:color="auto"/>
              <w:bottom w:val="single" w:sz="4" w:space="0" w:color="auto"/>
              <w:right w:val="single" w:sz="4" w:space="0" w:color="auto"/>
            </w:tcBorders>
            <w:hideMark/>
          </w:tcPr>
          <w:p w14:paraId="51C85E34" w14:textId="77777777" w:rsidR="002F1352" w:rsidRPr="000A28E9" w:rsidRDefault="002F1352" w:rsidP="000A28E9">
            <w:pPr>
              <w:ind w:left="77" w:right="177"/>
              <w:rPr>
                <w:b/>
                <w:bCs/>
                <w:sz w:val="24"/>
                <w:szCs w:val="24"/>
                <w:lang w:val="en-US"/>
              </w:rPr>
            </w:pPr>
            <w:proofErr w:type="spellStart"/>
            <w:r w:rsidRPr="000A28E9">
              <w:rPr>
                <w:b/>
                <w:bCs/>
                <w:sz w:val="24"/>
                <w:szCs w:val="24"/>
                <w:lang w:val="en-US"/>
              </w:rPr>
              <w:t>Frekvens</w:t>
            </w:r>
            <w:proofErr w:type="spellEnd"/>
          </w:p>
        </w:tc>
      </w:tr>
      <w:tr w:rsidR="002F1352" w:rsidRPr="002F1352" w14:paraId="59912770" w14:textId="77777777" w:rsidTr="00E14627">
        <w:trPr>
          <w:trHeight w:val="913"/>
        </w:trPr>
        <w:tc>
          <w:tcPr>
            <w:tcW w:w="3107" w:type="dxa"/>
            <w:tcBorders>
              <w:top w:val="outset" w:sz="6" w:space="0" w:color="auto"/>
              <w:left w:val="outset" w:sz="6" w:space="0" w:color="auto"/>
              <w:bottom w:val="outset" w:sz="6" w:space="0" w:color="auto"/>
              <w:right w:val="outset" w:sz="6" w:space="0" w:color="auto"/>
            </w:tcBorders>
            <w:hideMark/>
          </w:tcPr>
          <w:p w14:paraId="4944E7C2" w14:textId="77777777" w:rsidR="002F1352" w:rsidRPr="002F1352" w:rsidRDefault="002F1352" w:rsidP="000A28E9">
            <w:pPr>
              <w:ind w:left="33"/>
              <w:rPr>
                <w:sz w:val="24"/>
                <w:szCs w:val="24"/>
                <w:lang w:val="en-GB"/>
              </w:rPr>
            </w:pPr>
            <w:r w:rsidRPr="002F1352">
              <w:rPr>
                <w:sz w:val="24"/>
                <w:szCs w:val="24"/>
              </w:rPr>
              <w:t>Immunsystemet</w:t>
            </w:r>
          </w:p>
        </w:tc>
        <w:tc>
          <w:tcPr>
            <w:tcW w:w="4507" w:type="dxa"/>
            <w:tcBorders>
              <w:top w:val="single" w:sz="4" w:space="0" w:color="auto"/>
              <w:left w:val="single" w:sz="4" w:space="0" w:color="auto"/>
              <w:bottom w:val="single" w:sz="4" w:space="0" w:color="auto"/>
              <w:right w:val="single" w:sz="4" w:space="0" w:color="auto"/>
            </w:tcBorders>
            <w:hideMark/>
          </w:tcPr>
          <w:p w14:paraId="737BDD9B" w14:textId="18582FE8" w:rsidR="002F1352" w:rsidRPr="002F1352" w:rsidRDefault="002F1352" w:rsidP="000A28E9">
            <w:pPr>
              <w:ind w:left="41"/>
              <w:rPr>
                <w:sz w:val="24"/>
                <w:szCs w:val="24"/>
              </w:rPr>
            </w:pPr>
            <w:r w:rsidRPr="002F1352">
              <w:rPr>
                <w:sz w:val="24"/>
                <w:szCs w:val="24"/>
              </w:rPr>
              <w:t xml:space="preserve">Allergiske eller </w:t>
            </w:r>
            <w:r w:rsidRPr="002F1352">
              <w:rPr>
                <w:sz w:val="24"/>
                <w:szCs w:val="24"/>
                <w:lang w:val="fr-LU"/>
              </w:rPr>
              <w:t xml:space="preserve">anafylaktiske reaktioner (med respirationsdepression, pruritus, </w:t>
            </w:r>
            <w:r w:rsidR="00E14627">
              <w:rPr>
                <w:sz w:val="24"/>
                <w:szCs w:val="24"/>
                <w:lang w:val="fr-LU"/>
              </w:rPr>
              <w:t>shock</w:t>
            </w:r>
            <w:r w:rsidRPr="002F1352">
              <w:rPr>
                <w:sz w:val="24"/>
                <w:szCs w:val="24"/>
                <w:lang w:val="fr-LU"/>
              </w:rPr>
              <w:t xml:space="preserve"> og mavesmerter)</w:t>
            </w:r>
            <w:r w:rsidRPr="002F1352">
              <w:rPr>
                <w:sz w:val="24"/>
                <w:szCs w:val="24"/>
                <w:vertAlign w:val="superscript"/>
                <w:lang w:val="fr-LU"/>
              </w:rPr>
              <w:t>1</w:t>
            </w:r>
            <w:r w:rsidRPr="002F1352">
              <w:rPr>
                <w:sz w:val="24"/>
                <w:szCs w:val="24"/>
                <w:lang w:val="fr-LU"/>
              </w:rPr>
              <w:t>.</w:t>
            </w:r>
          </w:p>
        </w:tc>
        <w:tc>
          <w:tcPr>
            <w:tcW w:w="1600" w:type="dxa"/>
            <w:tcBorders>
              <w:top w:val="single" w:sz="4" w:space="0" w:color="auto"/>
              <w:left w:val="single" w:sz="4" w:space="0" w:color="auto"/>
              <w:bottom w:val="single" w:sz="4" w:space="0" w:color="auto"/>
              <w:right w:val="single" w:sz="4" w:space="0" w:color="auto"/>
            </w:tcBorders>
            <w:hideMark/>
          </w:tcPr>
          <w:p w14:paraId="71F1853B" w14:textId="77777777" w:rsidR="002F1352" w:rsidRPr="000A28E9" w:rsidRDefault="002F1352" w:rsidP="000A28E9">
            <w:pPr>
              <w:ind w:left="77" w:right="177"/>
              <w:rPr>
                <w:sz w:val="24"/>
                <w:szCs w:val="24"/>
                <w:lang w:val="en-GB"/>
              </w:rPr>
            </w:pPr>
            <w:r w:rsidRPr="000A28E9">
              <w:rPr>
                <w:sz w:val="24"/>
                <w:szCs w:val="24"/>
              </w:rPr>
              <w:t>Ikke kendt</w:t>
            </w:r>
          </w:p>
        </w:tc>
      </w:tr>
      <w:tr w:rsidR="002F1352" w:rsidRPr="002F1352" w14:paraId="6E4EEB25" w14:textId="77777777" w:rsidTr="000A28E9">
        <w:tc>
          <w:tcPr>
            <w:tcW w:w="3107" w:type="dxa"/>
            <w:tcBorders>
              <w:top w:val="outset" w:sz="6" w:space="0" w:color="auto"/>
              <w:left w:val="outset" w:sz="6" w:space="0" w:color="auto"/>
              <w:bottom w:val="outset" w:sz="6" w:space="0" w:color="auto"/>
              <w:right w:val="outset" w:sz="6" w:space="0" w:color="auto"/>
            </w:tcBorders>
            <w:hideMark/>
          </w:tcPr>
          <w:p w14:paraId="30A2C908" w14:textId="77777777" w:rsidR="002F1352" w:rsidRPr="002F1352" w:rsidRDefault="002F1352" w:rsidP="000A28E9">
            <w:pPr>
              <w:ind w:left="33"/>
              <w:rPr>
                <w:sz w:val="24"/>
                <w:szCs w:val="24"/>
                <w:lang w:val="en-US"/>
              </w:rPr>
            </w:pPr>
            <w:proofErr w:type="spellStart"/>
            <w:r w:rsidRPr="002F1352">
              <w:rPr>
                <w:sz w:val="24"/>
                <w:szCs w:val="24"/>
                <w:lang w:val="de-DE"/>
              </w:rPr>
              <w:t>Hud</w:t>
            </w:r>
            <w:proofErr w:type="spellEnd"/>
            <w:r w:rsidRPr="002F1352">
              <w:rPr>
                <w:sz w:val="24"/>
                <w:szCs w:val="24"/>
                <w:lang w:val="de-DE"/>
              </w:rPr>
              <w:t xml:space="preserve"> </w:t>
            </w:r>
            <w:proofErr w:type="spellStart"/>
            <w:r w:rsidRPr="002F1352">
              <w:rPr>
                <w:sz w:val="24"/>
                <w:szCs w:val="24"/>
                <w:lang w:val="de-DE"/>
              </w:rPr>
              <w:t>og</w:t>
            </w:r>
            <w:proofErr w:type="spellEnd"/>
            <w:r w:rsidRPr="002F1352">
              <w:rPr>
                <w:sz w:val="24"/>
                <w:szCs w:val="24"/>
                <w:lang w:val="de-DE"/>
              </w:rPr>
              <w:t xml:space="preserve"> subkutane </w:t>
            </w:r>
            <w:proofErr w:type="spellStart"/>
            <w:r w:rsidRPr="002F1352">
              <w:rPr>
                <w:sz w:val="24"/>
                <w:szCs w:val="24"/>
                <w:lang w:val="de-DE"/>
              </w:rPr>
              <w:t>væv</w:t>
            </w:r>
            <w:proofErr w:type="spellEnd"/>
          </w:p>
        </w:tc>
        <w:tc>
          <w:tcPr>
            <w:tcW w:w="4507" w:type="dxa"/>
            <w:tcBorders>
              <w:top w:val="single" w:sz="4" w:space="0" w:color="auto"/>
              <w:left w:val="single" w:sz="4" w:space="0" w:color="auto"/>
              <w:bottom w:val="single" w:sz="4" w:space="0" w:color="auto"/>
              <w:right w:val="single" w:sz="4" w:space="0" w:color="auto"/>
            </w:tcBorders>
            <w:hideMark/>
          </w:tcPr>
          <w:p w14:paraId="70070D79" w14:textId="77777777" w:rsidR="002F1352" w:rsidRPr="002F1352" w:rsidRDefault="002F1352" w:rsidP="000A28E9">
            <w:pPr>
              <w:ind w:left="41"/>
              <w:rPr>
                <w:sz w:val="24"/>
                <w:szCs w:val="24"/>
              </w:rPr>
            </w:pPr>
            <w:r w:rsidRPr="002F1352">
              <w:rPr>
                <w:sz w:val="24"/>
                <w:szCs w:val="24"/>
                <w:lang w:val="fr-LU"/>
              </w:rPr>
              <w:t>Kontaktdermatitis</w:t>
            </w:r>
            <w:r w:rsidRPr="002F1352">
              <w:rPr>
                <w:sz w:val="24"/>
                <w:szCs w:val="24"/>
              </w:rPr>
              <w:t xml:space="preserve"> (</w:t>
            </w:r>
            <w:r w:rsidRPr="002F1352">
              <w:rPr>
                <w:sz w:val="24"/>
                <w:szCs w:val="24"/>
                <w:lang w:val="fr-LU"/>
              </w:rPr>
              <w:t>kan forekomme efter injektion hos overfølsomme patienter)</w:t>
            </w:r>
          </w:p>
        </w:tc>
        <w:tc>
          <w:tcPr>
            <w:tcW w:w="1600" w:type="dxa"/>
            <w:tcBorders>
              <w:top w:val="single" w:sz="4" w:space="0" w:color="auto"/>
              <w:left w:val="single" w:sz="4" w:space="0" w:color="auto"/>
              <w:bottom w:val="single" w:sz="4" w:space="0" w:color="auto"/>
              <w:right w:val="single" w:sz="4" w:space="0" w:color="auto"/>
            </w:tcBorders>
            <w:hideMark/>
          </w:tcPr>
          <w:p w14:paraId="599CC56E" w14:textId="77777777" w:rsidR="002F1352" w:rsidRPr="000A28E9" w:rsidRDefault="002F1352" w:rsidP="000A28E9">
            <w:pPr>
              <w:ind w:left="77" w:right="177"/>
              <w:rPr>
                <w:sz w:val="24"/>
                <w:szCs w:val="24"/>
                <w:lang w:val="en-US"/>
              </w:rPr>
            </w:pPr>
            <w:r w:rsidRPr="000A28E9">
              <w:rPr>
                <w:sz w:val="24"/>
                <w:szCs w:val="24"/>
              </w:rPr>
              <w:t>Ikke kendt</w:t>
            </w:r>
          </w:p>
        </w:tc>
      </w:tr>
      <w:tr w:rsidR="002F1352" w:rsidRPr="002F1352" w14:paraId="662C0276" w14:textId="77777777" w:rsidTr="000A28E9">
        <w:tc>
          <w:tcPr>
            <w:tcW w:w="3107" w:type="dxa"/>
            <w:tcBorders>
              <w:top w:val="outset" w:sz="6" w:space="0" w:color="auto"/>
              <w:left w:val="outset" w:sz="6" w:space="0" w:color="auto"/>
              <w:bottom w:val="outset" w:sz="6" w:space="0" w:color="auto"/>
              <w:right w:val="outset" w:sz="6" w:space="0" w:color="auto"/>
            </w:tcBorders>
            <w:hideMark/>
          </w:tcPr>
          <w:p w14:paraId="649FD0A4" w14:textId="77777777" w:rsidR="002F1352" w:rsidRPr="002F1352" w:rsidRDefault="002F1352" w:rsidP="000A28E9">
            <w:pPr>
              <w:ind w:left="33"/>
              <w:rPr>
                <w:sz w:val="24"/>
                <w:szCs w:val="24"/>
              </w:rPr>
            </w:pPr>
            <w:r w:rsidRPr="002F1352">
              <w:rPr>
                <w:bCs/>
                <w:sz w:val="24"/>
                <w:szCs w:val="24"/>
              </w:rPr>
              <w:t>Almene symptomer og reaktioner på administrationsstedet</w:t>
            </w:r>
          </w:p>
        </w:tc>
        <w:tc>
          <w:tcPr>
            <w:tcW w:w="4507" w:type="dxa"/>
            <w:tcBorders>
              <w:top w:val="single" w:sz="4" w:space="0" w:color="auto"/>
              <w:left w:val="single" w:sz="4" w:space="0" w:color="auto"/>
              <w:bottom w:val="single" w:sz="4" w:space="0" w:color="auto"/>
              <w:right w:val="single" w:sz="4" w:space="0" w:color="auto"/>
            </w:tcBorders>
            <w:hideMark/>
          </w:tcPr>
          <w:p w14:paraId="62141A7D" w14:textId="77777777" w:rsidR="002F1352" w:rsidRPr="002F1352" w:rsidRDefault="002F1352" w:rsidP="000A28E9">
            <w:pPr>
              <w:ind w:left="41"/>
              <w:rPr>
                <w:sz w:val="24"/>
                <w:szCs w:val="24"/>
              </w:rPr>
            </w:pPr>
            <w:r w:rsidRPr="002F1352">
              <w:rPr>
                <w:sz w:val="24"/>
                <w:szCs w:val="24"/>
              </w:rPr>
              <w:t>Reaktioner på injektionsstedet (smerter, brændende fornemmelse i armen)</w:t>
            </w:r>
            <w:r w:rsidRPr="002F1352">
              <w:rPr>
                <w:sz w:val="24"/>
                <w:szCs w:val="24"/>
                <w:vertAlign w:val="superscript"/>
              </w:rPr>
              <w:t>2</w:t>
            </w:r>
          </w:p>
        </w:tc>
        <w:tc>
          <w:tcPr>
            <w:tcW w:w="1600" w:type="dxa"/>
            <w:tcBorders>
              <w:top w:val="single" w:sz="4" w:space="0" w:color="auto"/>
              <w:left w:val="single" w:sz="4" w:space="0" w:color="auto"/>
              <w:bottom w:val="single" w:sz="4" w:space="0" w:color="auto"/>
              <w:right w:val="single" w:sz="4" w:space="0" w:color="auto"/>
            </w:tcBorders>
            <w:hideMark/>
          </w:tcPr>
          <w:p w14:paraId="3849115E" w14:textId="77777777" w:rsidR="002F1352" w:rsidRPr="000A28E9" w:rsidRDefault="002F1352" w:rsidP="000A28E9">
            <w:pPr>
              <w:ind w:left="77" w:right="177"/>
              <w:rPr>
                <w:sz w:val="24"/>
                <w:szCs w:val="24"/>
                <w:lang w:val="en-GB"/>
              </w:rPr>
            </w:pPr>
            <w:r w:rsidRPr="000A28E9">
              <w:rPr>
                <w:sz w:val="24"/>
                <w:szCs w:val="24"/>
              </w:rPr>
              <w:t>Ikke kendt</w:t>
            </w:r>
          </w:p>
        </w:tc>
      </w:tr>
    </w:tbl>
    <w:p w14:paraId="4167555D" w14:textId="77777777" w:rsidR="002F1352" w:rsidRPr="002F1352" w:rsidRDefault="002F1352" w:rsidP="002F1352">
      <w:pPr>
        <w:tabs>
          <w:tab w:val="left" w:pos="851"/>
        </w:tabs>
        <w:ind w:left="851"/>
        <w:rPr>
          <w:sz w:val="24"/>
          <w:szCs w:val="24"/>
          <w:u w:val="single"/>
          <w:lang w:val="en-US"/>
        </w:rPr>
      </w:pPr>
    </w:p>
    <w:p w14:paraId="3442AB3A" w14:textId="085608D4" w:rsidR="002F1352" w:rsidRPr="00E14627" w:rsidRDefault="002F1352" w:rsidP="00701B66">
      <w:pPr>
        <w:tabs>
          <w:tab w:val="left" w:pos="993"/>
        </w:tabs>
        <w:ind w:left="993" w:hanging="142"/>
        <w:rPr>
          <w:sz w:val="20"/>
        </w:rPr>
      </w:pPr>
      <w:r w:rsidRPr="00E14627">
        <w:rPr>
          <w:sz w:val="20"/>
          <w:vertAlign w:val="superscript"/>
        </w:rPr>
        <w:t>1</w:t>
      </w:r>
      <w:r w:rsidR="00701B66">
        <w:rPr>
          <w:sz w:val="20"/>
          <w:vertAlign w:val="superscript"/>
        </w:rPr>
        <w:tab/>
      </w:r>
      <w:r w:rsidRPr="00E14627">
        <w:rPr>
          <w:sz w:val="20"/>
        </w:rPr>
        <w:t xml:space="preserve">Reaktioner er set efter gentagne injektioner af høje doser fra 25 til 100 mg </w:t>
      </w:r>
      <w:proofErr w:type="spellStart"/>
      <w:r w:rsidRPr="00E14627">
        <w:rPr>
          <w:sz w:val="20"/>
        </w:rPr>
        <w:t>thiaminhydrochlorid</w:t>
      </w:r>
      <w:proofErr w:type="spellEnd"/>
      <w:r w:rsidRPr="00E14627">
        <w:rPr>
          <w:sz w:val="20"/>
        </w:rPr>
        <w:t xml:space="preserve"> med intervaller på mere end 7 dage. Disse reaktioner kommer ofte forud gået af </w:t>
      </w:r>
      <w:proofErr w:type="spellStart"/>
      <w:r w:rsidRPr="00E14627">
        <w:rPr>
          <w:sz w:val="20"/>
        </w:rPr>
        <w:t>nysen</w:t>
      </w:r>
      <w:proofErr w:type="spellEnd"/>
      <w:r w:rsidRPr="00E14627">
        <w:rPr>
          <w:sz w:val="20"/>
        </w:rPr>
        <w:t xml:space="preserve"> eller forbigående kløe. Risikoen for </w:t>
      </w:r>
      <w:proofErr w:type="spellStart"/>
      <w:r w:rsidRPr="00E14627">
        <w:rPr>
          <w:sz w:val="20"/>
        </w:rPr>
        <w:t>anafylaktisk</w:t>
      </w:r>
      <w:proofErr w:type="spellEnd"/>
      <w:r w:rsidRPr="00E14627">
        <w:rPr>
          <w:sz w:val="20"/>
        </w:rPr>
        <w:t xml:space="preserve"> </w:t>
      </w:r>
      <w:proofErr w:type="spellStart"/>
      <w:r w:rsidR="00E14627">
        <w:rPr>
          <w:sz w:val="20"/>
        </w:rPr>
        <w:t>shock</w:t>
      </w:r>
      <w:proofErr w:type="spellEnd"/>
      <w:r w:rsidRPr="00E14627">
        <w:rPr>
          <w:sz w:val="20"/>
        </w:rPr>
        <w:t xml:space="preserve"> kan reduceres ved en langsom administration i løbet af 30 minutter.</w:t>
      </w:r>
    </w:p>
    <w:p w14:paraId="75B7F39F" w14:textId="19246F20" w:rsidR="002F1352" w:rsidRPr="00E14627" w:rsidRDefault="002F1352" w:rsidP="00701B66">
      <w:pPr>
        <w:tabs>
          <w:tab w:val="left" w:pos="993"/>
        </w:tabs>
        <w:ind w:left="993" w:hanging="142"/>
        <w:rPr>
          <w:sz w:val="20"/>
        </w:rPr>
      </w:pPr>
      <w:r w:rsidRPr="00E14627">
        <w:rPr>
          <w:sz w:val="20"/>
          <w:vertAlign w:val="superscript"/>
        </w:rPr>
        <w:t>2</w:t>
      </w:r>
      <w:r w:rsidR="00701B66">
        <w:rPr>
          <w:sz w:val="20"/>
          <w:vertAlign w:val="superscript"/>
        </w:rPr>
        <w:tab/>
      </w:r>
      <w:r w:rsidRPr="00E14627">
        <w:rPr>
          <w:sz w:val="20"/>
        </w:rPr>
        <w:t xml:space="preserve">Hurtig intravenøs administration af 100 mg </w:t>
      </w:r>
      <w:proofErr w:type="spellStart"/>
      <w:r w:rsidRPr="00E14627">
        <w:rPr>
          <w:sz w:val="20"/>
        </w:rPr>
        <w:t>thiaminhydrochlorid</w:t>
      </w:r>
      <w:proofErr w:type="spellEnd"/>
      <w:r w:rsidRPr="00E14627">
        <w:rPr>
          <w:sz w:val="20"/>
        </w:rPr>
        <w:t xml:space="preserve"> er forbundet med en øjeblikkelig brændende fornemmelse i armen efter injektion i </w:t>
      </w:r>
      <w:proofErr w:type="spellStart"/>
      <w:r w:rsidRPr="00E14627">
        <w:rPr>
          <w:sz w:val="20"/>
        </w:rPr>
        <w:t>i.v</w:t>
      </w:r>
      <w:proofErr w:type="spellEnd"/>
      <w:r w:rsidRPr="00E14627">
        <w:rPr>
          <w:sz w:val="20"/>
        </w:rPr>
        <w:t>.</w:t>
      </w:r>
      <w:r w:rsidR="00386F11">
        <w:rPr>
          <w:sz w:val="20"/>
        </w:rPr>
        <w:t>-</w:t>
      </w:r>
      <w:r w:rsidRPr="00E14627">
        <w:rPr>
          <w:sz w:val="20"/>
        </w:rPr>
        <w:t xml:space="preserve">slangen – varende fra sekunder til minutter. Denne reaktion kan undgås ved langsom administration i større vener med højere </w:t>
      </w:r>
      <w:proofErr w:type="spellStart"/>
      <w:r w:rsidRPr="00E14627">
        <w:rPr>
          <w:sz w:val="20"/>
        </w:rPr>
        <w:t>i.v</w:t>
      </w:r>
      <w:proofErr w:type="spellEnd"/>
      <w:r w:rsidRPr="00E14627">
        <w:rPr>
          <w:sz w:val="20"/>
        </w:rPr>
        <w:t xml:space="preserve">.-flow rate (se </w:t>
      </w:r>
      <w:r w:rsidR="00790607">
        <w:rPr>
          <w:sz w:val="20"/>
        </w:rPr>
        <w:t>pkt.</w:t>
      </w:r>
      <w:r w:rsidRPr="00E14627">
        <w:rPr>
          <w:sz w:val="20"/>
        </w:rPr>
        <w:t xml:space="preserve"> 4.4).</w:t>
      </w:r>
    </w:p>
    <w:p w14:paraId="2D0A126C" w14:textId="77777777" w:rsidR="002F1352" w:rsidRPr="002F1352" w:rsidRDefault="002F1352" w:rsidP="002F1352">
      <w:pPr>
        <w:tabs>
          <w:tab w:val="left" w:pos="851"/>
        </w:tabs>
        <w:ind w:left="851"/>
        <w:rPr>
          <w:sz w:val="24"/>
          <w:szCs w:val="24"/>
          <w:u w:val="single"/>
          <w:vertAlign w:val="superscript"/>
        </w:rPr>
      </w:pPr>
    </w:p>
    <w:p w14:paraId="7E9CCC24" w14:textId="77777777" w:rsidR="002F1352" w:rsidRPr="002F1352" w:rsidRDefault="002F1352" w:rsidP="002F1352">
      <w:pPr>
        <w:tabs>
          <w:tab w:val="left" w:pos="851"/>
        </w:tabs>
        <w:ind w:left="851"/>
        <w:rPr>
          <w:sz w:val="24"/>
          <w:szCs w:val="24"/>
          <w:u w:val="single"/>
        </w:rPr>
      </w:pPr>
      <w:r w:rsidRPr="002F1352">
        <w:rPr>
          <w:sz w:val="24"/>
          <w:szCs w:val="24"/>
          <w:u w:val="single"/>
        </w:rPr>
        <w:t>Indberetning af formodede bivirkninger</w:t>
      </w:r>
    </w:p>
    <w:p w14:paraId="60506D33" w14:textId="77777777" w:rsidR="002F1352" w:rsidRPr="002F1352" w:rsidRDefault="002F1352" w:rsidP="002F1352">
      <w:pPr>
        <w:tabs>
          <w:tab w:val="left" w:pos="851"/>
        </w:tabs>
        <w:ind w:left="851"/>
        <w:rPr>
          <w:sz w:val="24"/>
          <w:szCs w:val="24"/>
        </w:rPr>
      </w:pPr>
      <w:r w:rsidRPr="002F1352">
        <w:rPr>
          <w:sz w:val="24"/>
          <w:szCs w:val="24"/>
        </w:rPr>
        <w:t>Når lægemidlet er godkendt, er indberetning af formodede bivirkninger vigtig. Det muliggør løbende overvågning af benefit/</w:t>
      </w:r>
      <w:proofErr w:type="spellStart"/>
      <w:r w:rsidRPr="002F1352">
        <w:rPr>
          <w:sz w:val="24"/>
          <w:szCs w:val="24"/>
        </w:rPr>
        <w:t>risk</w:t>
      </w:r>
      <w:proofErr w:type="spellEnd"/>
      <w:r w:rsidRPr="002F1352">
        <w:rPr>
          <w:sz w:val="24"/>
          <w:szCs w:val="24"/>
        </w:rPr>
        <w:t xml:space="preserve">-forholdet for lægemidlet. Sundhedspersoner anmodes om at indberette alle formodede bivirkninger via: </w:t>
      </w:r>
    </w:p>
    <w:p w14:paraId="087A1B91" w14:textId="37EEF60D" w:rsidR="00C82F3B" w:rsidRDefault="00C82F3B">
      <w:pPr>
        <w:rPr>
          <w:sz w:val="24"/>
          <w:szCs w:val="24"/>
        </w:rPr>
      </w:pPr>
      <w:r>
        <w:rPr>
          <w:sz w:val="24"/>
          <w:szCs w:val="24"/>
        </w:rPr>
        <w:br w:type="page"/>
      </w:r>
    </w:p>
    <w:p w14:paraId="65623354" w14:textId="77777777" w:rsidR="002F1352" w:rsidRPr="002F1352" w:rsidRDefault="002F1352" w:rsidP="002F1352">
      <w:pPr>
        <w:tabs>
          <w:tab w:val="left" w:pos="851"/>
        </w:tabs>
        <w:ind w:left="851"/>
        <w:rPr>
          <w:sz w:val="24"/>
          <w:szCs w:val="24"/>
        </w:rPr>
      </w:pPr>
    </w:p>
    <w:p w14:paraId="4F803B94" w14:textId="77777777" w:rsidR="002F1352" w:rsidRPr="002F1352" w:rsidRDefault="002F1352" w:rsidP="002F1352">
      <w:pPr>
        <w:tabs>
          <w:tab w:val="left" w:pos="851"/>
        </w:tabs>
        <w:ind w:left="851"/>
        <w:rPr>
          <w:sz w:val="24"/>
          <w:szCs w:val="24"/>
        </w:rPr>
      </w:pPr>
      <w:r w:rsidRPr="002F1352">
        <w:rPr>
          <w:sz w:val="24"/>
          <w:szCs w:val="24"/>
        </w:rPr>
        <w:t>Lægemiddelstyrelsen</w:t>
      </w:r>
    </w:p>
    <w:p w14:paraId="057A758F" w14:textId="77777777" w:rsidR="002F1352" w:rsidRPr="002F1352" w:rsidRDefault="002F1352" w:rsidP="002F1352">
      <w:pPr>
        <w:tabs>
          <w:tab w:val="left" w:pos="851"/>
        </w:tabs>
        <w:ind w:left="851"/>
        <w:rPr>
          <w:sz w:val="24"/>
          <w:szCs w:val="24"/>
        </w:rPr>
      </w:pPr>
      <w:r w:rsidRPr="002F1352">
        <w:rPr>
          <w:sz w:val="24"/>
          <w:szCs w:val="24"/>
        </w:rPr>
        <w:t>Axel Heides Gade 1</w:t>
      </w:r>
    </w:p>
    <w:p w14:paraId="45FCABCA" w14:textId="77777777" w:rsidR="002F1352" w:rsidRPr="002F1352" w:rsidRDefault="002F1352" w:rsidP="002F1352">
      <w:pPr>
        <w:tabs>
          <w:tab w:val="left" w:pos="851"/>
        </w:tabs>
        <w:ind w:left="851"/>
        <w:rPr>
          <w:sz w:val="24"/>
          <w:szCs w:val="24"/>
        </w:rPr>
      </w:pPr>
      <w:r w:rsidRPr="002F1352">
        <w:rPr>
          <w:sz w:val="24"/>
          <w:szCs w:val="24"/>
        </w:rPr>
        <w:t>DK-2300 København S</w:t>
      </w:r>
    </w:p>
    <w:p w14:paraId="0957511C" w14:textId="716BFF7A" w:rsidR="002F1352" w:rsidRPr="002F1352" w:rsidRDefault="002F1352" w:rsidP="002F1352">
      <w:pPr>
        <w:tabs>
          <w:tab w:val="left" w:pos="851"/>
        </w:tabs>
        <w:ind w:left="851"/>
        <w:rPr>
          <w:sz w:val="24"/>
          <w:szCs w:val="24"/>
        </w:rPr>
      </w:pPr>
      <w:r w:rsidRPr="002F1352">
        <w:rPr>
          <w:sz w:val="24"/>
          <w:szCs w:val="24"/>
        </w:rPr>
        <w:t xml:space="preserve">Websted: </w:t>
      </w:r>
      <w:r w:rsidRPr="00386F11">
        <w:rPr>
          <w:sz w:val="24"/>
          <w:szCs w:val="24"/>
        </w:rPr>
        <w:t>www.meldenbivirkning.dk</w:t>
      </w:r>
      <w:r w:rsidRPr="002F1352">
        <w:rPr>
          <w:sz w:val="24"/>
          <w:szCs w:val="24"/>
        </w:rPr>
        <w:t xml:space="preserve"> </w:t>
      </w:r>
    </w:p>
    <w:p w14:paraId="75CF41C9" w14:textId="77777777" w:rsidR="002F1352" w:rsidRPr="002F1352" w:rsidRDefault="002F1352" w:rsidP="002F1352">
      <w:pPr>
        <w:tabs>
          <w:tab w:val="left" w:pos="851"/>
        </w:tabs>
        <w:ind w:left="851"/>
        <w:rPr>
          <w:sz w:val="24"/>
          <w:szCs w:val="24"/>
        </w:rPr>
      </w:pPr>
    </w:p>
    <w:p w14:paraId="38EAC671"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2306F1ED" w14:textId="77777777" w:rsidR="00AC5604" w:rsidRDefault="00AC5604" w:rsidP="00AC5604">
      <w:pPr>
        <w:tabs>
          <w:tab w:val="left" w:pos="851"/>
        </w:tabs>
        <w:ind w:left="851"/>
        <w:rPr>
          <w:sz w:val="24"/>
          <w:szCs w:val="24"/>
          <w:u w:val="single"/>
        </w:rPr>
      </w:pPr>
    </w:p>
    <w:p w14:paraId="407BF473" w14:textId="6321CEC9" w:rsidR="00AC5604" w:rsidRPr="00AC5604" w:rsidRDefault="00AC5604" w:rsidP="00AC5604">
      <w:pPr>
        <w:tabs>
          <w:tab w:val="left" w:pos="851"/>
        </w:tabs>
        <w:ind w:left="851"/>
        <w:rPr>
          <w:sz w:val="24"/>
          <w:szCs w:val="24"/>
          <w:u w:val="single"/>
        </w:rPr>
      </w:pPr>
      <w:r w:rsidRPr="00AC5604">
        <w:rPr>
          <w:sz w:val="24"/>
          <w:szCs w:val="24"/>
          <w:u w:val="single"/>
        </w:rPr>
        <w:t>Symptomer og tegn</w:t>
      </w:r>
    </w:p>
    <w:p w14:paraId="6E5DADED" w14:textId="4C713A29" w:rsidR="00AC5604" w:rsidRPr="00AC5604" w:rsidRDefault="00AC5604" w:rsidP="00AC5604">
      <w:pPr>
        <w:tabs>
          <w:tab w:val="left" w:pos="851"/>
        </w:tabs>
        <w:ind w:left="851"/>
        <w:rPr>
          <w:sz w:val="24"/>
          <w:szCs w:val="24"/>
        </w:rPr>
      </w:pPr>
      <w:r>
        <w:rPr>
          <w:sz w:val="24"/>
          <w:szCs w:val="24"/>
        </w:rPr>
        <w:t>A</w:t>
      </w:r>
      <w:r w:rsidRPr="00AC5604">
        <w:rPr>
          <w:sz w:val="24"/>
          <w:szCs w:val="24"/>
        </w:rPr>
        <w:t xml:space="preserve">nvendelse af </w:t>
      </w:r>
      <w:proofErr w:type="spellStart"/>
      <w:r w:rsidRPr="00AC5604">
        <w:rPr>
          <w:sz w:val="24"/>
          <w:szCs w:val="24"/>
        </w:rPr>
        <w:t>thiamin</w:t>
      </w:r>
      <w:proofErr w:type="spellEnd"/>
      <w:r w:rsidRPr="00AC5604">
        <w:rPr>
          <w:sz w:val="24"/>
          <w:szCs w:val="24"/>
        </w:rPr>
        <w:t xml:space="preserve"> er meget udbredt</w:t>
      </w:r>
      <w:r w:rsidR="00EB6627">
        <w:rPr>
          <w:sz w:val="24"/>
          <w:szCs w:val="24"/>
        </w:rPr>
        <w:t>;</w:t>
      </w:r>
      <w:r w:rsidRPr="00AC5604">
        <w:rPr>
          <w:sz w:val="24"/>
          <w:szCs w:val="24"/>
        </w:rPr>
        <w:t xml:space="preserve"> alvorlig toksicitet forventes ikke.</w:t>
      </w:r>
    </w:p>
    <w:p w14:paraId="1AE6483F" w14:textId="2639856F" w:rsidR="00AC5604" w:rsidRPr="00AC5604" w:rsidRDefault="00AC5604" w:rsidP="00AC5604">
      <w:pPr>
        <w:tabs>
          <w:tab w:val="left" w:pos="851"/>
        </w:tabs>
        <w:ind w:left="851"/>
        <w:rPr>
          <w:sz w:val="24"/>
          <w:szCs w:val="24"/>
        </w:rPr>
      </w:pPr>
      <w:r w:rsidRPr="00AC5604">
        <w:rPr>
          <w:sz w:val="24"/>
          <w:szCs w:val="24"/>
        </w:rPr>
        <w:t>Der er rapporteret om brug af enkelte parenterale doser på 100 til 500 mg uden toksisk effekt. Toksicitet efter oral indgift er sjælden</w:t>
      </w:r>
      <w:r w:rsidR="00EB6627">
        <w:rPr>
          <w:sz w:val="24"/>
          <w:szCs w:val="24"/>
        </w:rPr>
        <w:t>;</w:t>
      </w:r>
      <w:r w:rsidRPr="00AC5604">
        <w:rPr>
          <w:sz w:val="24"/>
          <w:szCs w:val="24"/>
        </w:rPr>
        <w:t xml:space="preserve"> meget store doser udskilles normalt hurtigt i urinen. Langvarig indtagelse af doser på mere end 3.000 mg daglig har vist sig at kunne være toksiske.</w:t>
      </w:r>
    </w:p>
    <w:p w14:paraId="0F6E6923" w14:textId="77777777" w:rsidR="00AC5604" w:rsidRPr="00AC5604" w:rsidRDefault="00AC5604" w:rsidP="00AC5604">
      <w:pPr>
        <w:tabs>
          <w:tab w:val="left" w:pos="851"/>
        </w:tabs>
        <w:ind w:left="851"/>
        <w:rPr>
          <w:sz w:val="24"/>
          <w:szCs w:val="24"/>
        </w:rPr>
      </w:pPr>
      <w:r w:rsidRPr="00AC5604">
        <w:rPr>
          <w:sz w:val="24"/>
          <w:szCs w:val="24"/>
        </w:rPr>
        <w:t xml:space="preserve">Der er ikke rapporteret alvorlig toksicitet. </w:t>
      </w:r>
    </w:p>
    <w:p w14:paraId="19C42BCC" w14:textId="77777777" w:rsidR="00AC5604" w:rsidRPr="00AC5604" w:rsidRDefault="00AC5604" w:rsidP="00AC5604">
      <w:pPr>
        <w:tabs>
          <w:tab w:val="left" w:pos="851"/>
        </w:tabs>
        <w:ind w:left="851"/>
        <w:rPr>
          <w:sz w:val="24"/>
          <w:szCs w:val="24"/>
          <w:u w:val="single"/>
        </w:rPr>
      </w:pPr>
    </w:p>
    <w:p w14:paraId="15D100E9" w14:textId="77777777" w:rsidR="00AC5604" w:rsidRPr="00AC5604" w:rsidRDefault="00AC5604" w:rsidP="00AC5604">
      <w:pPr>
        <w:tabs>
          <w:tab w:val="left" w:pos="851"/>
        </w:tabs>
        <w:ind w:left="851"/>
        <w:rPr>
          <w:sz w:val="24"/>
          <w:szCs w:val="24"/>
          <w:u w:val="single"/>
        </w:rPr>
      </w:pPr>
      <w:r w:rsidRPr="00AC5604">
        <w:rPr>
          <w:sz w:val="24"/>
          <w:szCs w:val="24"/>
          <w:u w:val="single"/>
        </w:rPr>
        <w:t xml:space="preserve">Behandling </w:t>
      </w:r>
    </w:p>
    <w:p w14:paraId="0E1CAF48" w14:textId="77777777" w:rsidR="00AC5604" w:rsidRPr="00AC5604" w:rsidRDefault="00AC5604" w:rsidP="00AC5604">
      <w:pPr>
        <w:tabs>
          <w:tab w:val="left" w:pos="851"/>
        </w:tabs>
        <w:ind w:left="851"/>
        <w:rPr>
          <w:sz w:val="24"/>
          <w:szCs w:val="24"/>
        </w:rPr>
      </w:pPr>
      <w:r w:rsidRPr="00AC5604">
        <w:rPr>
          <w:sz w:val="24"/>
          <w:szCs w:val="24"/>
        </w:rPr>
        <w:t>Hvis der mod forventning skulle ske overdosering, er behandlingen symptomatisk og understøttende.</w:t>
      </w:r>
    </w:p>
    <w:p w14:paraId="7D7D1F51" w14:textId="0357C2E1" w:rsidR="00AC5604" w:rsidRPr="00AC5604" w:rsidRDefault="00AC5604" w:rsidP="00AC5604">
      <w:pPr>
        <w:tabs>
          <w:tab w:val="left" w:pos="851"/>
        </w:tabs>
        <w:ind w:left="851"/>
        <w:rPr>
          <w:sz w:val="24"/>
          <w:szCs w:val="24"/>
        </w:rPr>
      </w:pPr>
      <w:r w:rsidRPr="00AC5604">
        <w:rPr>
          <w:sz w:val="24"/>
          <w:szCs w:val="24"/>
        </w:rPr>
        <w:t xml:space="preserve">Ved mild eller moderat anafylaksi: </w:t>
      </w:r>
      <w:r w:rsidR="00EB6627">
        <w:rPr>
          <w:sz w:val="24"/>
          <w:szCs w:val="24"/>
        </w:rPr>
        <w:t>D</w:t>
      </w:r>
      <w:r w:rsidRPr="00AC5604">
        <w:rPr>
          <w:sz w:val="24"/>
          <w:szCs w:val="24"/>
        </w:rPr>
        <w:t xml:space="preserve">er gives antihistaminer (med eller uden inhalerede beta-agonister), </w:t>
      </w:r>
      <w:proofErr w:type="spellStart"/>
      <w:r w:rsidRPr="00AC5604">
        <w:rPr>
          <w:sz w:val="24"/>
          <w:szCs w:val="24"/>
        </w:rPr>
        <w:t>kortikosteroider</w:t>
      </w:r>
      <w:proofErr w:type="spellEnd"/>
      <w:r w:rsidRPr="00AC5604">
        <w:rPr>
          <w:sz w:val="24"/>
          <w:szCs w:val="24"/>
        </w:rPr>
        <w:t xml:space="preserve"> eller adrenalin. </w:t>
      </w:r>
    </w:p>
    <w:p w14:paraId="44274F2D" w14:textId="094B25C2" w:rsidR="00AC5604" w:rsidRPr="00AC5604" w:rsidRDefault="00AC5604" w:rsidP="00AC5604">
      <w:pPr>
        <w:tabs>
          <w:tab w:val="left" w:pos="851"/>
        </w:tabs>
        <w:ind w:left="851"/>
        <w:rPr>
          <w:sz w:val="24"/>
          <w:szCs w:val="24"/>
        </w:rPr>
      </w:pPr>
      <w:r w:rsidRPr="00AC5604">
        <w:rPr>
          <w:sz w:val="24"/>
          <w:szCs w:val="24"/>
        </w:rPr>
        <w:t xml:space="preserve">Ved alvorlig anafylaksi: </w:t>
      </w:r>
      <w:r w:rsidR="00EB6627">
        <w:rPr>
          <w:sz w:val="24"/>
          <w:szCs w:val="24"/>
        </w:rPr>
        <w:t>I</w:t>
      </w:r>
      <w:r w:rsidRPr="00AC5604">
        <w:rPr>
          <w:sz w:val="24"/>
          <w:szCs w:val="24"/>
        </w:rPr>
        <w:t xml:space="preserve">lt, sikring af luftveje, antihistaminer, adrenalin, </w:t>
      </w:r>
      <w:proofErr w:type="spellStart"/>
      <w:r w:rsidRPr="00AC5604">
        <w:rPr>
          <w:sz w:val="24"/>
          <w:szCs w:val="24"/>
        </w:rPr>
        <w:t>kortikosteroider</w:t>
      </w:r>
      <w:proofErr w:type="spellEnd"/>
      <w:r w:rsidRPr="00AC5604">
        <w:rPr>
          <w:sz w:val="24"/>
          <w:szCs w:val="24"/>
        </w:rPr>
        <w:t xml:space="preserve">, EKG-overvågning og </w:t>
      </w:r>
      <w:proofErr w:type="spellStart"/>
      <w:r w:rsidRPr="00AC5604">
        <w:rPr>
          <w:sz w:val="24"/>
          <w:szCs w:val="24"/>
        </w:rPr>
        <w:t>i.v</w:t>
      </w:r>
      <w:proofErr w:type="spellEnd"/>
      <w:r w:rsidRPr="00AC5604">
        <w:rPr>
          <w:sz w:val="24"/>
          <w:szCs w:val="24"/>
        </w:rPr>
        <w:t>.-væsker.</w:t>
      </w:r>
    </w:p>
    <w:p w14:paraId="1E3725E2" w14:textId="77777777" w:rsidR="009260DE" w:rsidRPr="00C84483" w:rsidRDefault="009260DE" w:rsidP="009260DE">
      <w:pPr>
        <w:tabs>
          <w:tab w:val="left" w:pos="851"/>
        </w:tabs>
        <w:ind w:left="851"/>
        <w:rPr>
          <w:sz w:val="24"/>
          <w:szCs w:val="24"/>
        </w:rPr>
      </w:pPr>
    </w:p>
    <w:p w14:paraId="44B51383"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1BA5C35" w14:textId="0BE1D7DA" w:rsidR="009260DE" w:rsidRPr="00C84483" w:rsidRDefault="00EB6627" w:rsidP="009260DE">
      <w:pPr>
        <w:tabs>
          <w:tab w:val="left" w:pos="851"/>
        </w:tabs>
        <w:ind w:left="851"/>
        <w:rPr>
          <w:sz w:val="24"/>
          <w:szCs w:val="24"/>
        </w:rPr>
      </w:pPr>
      <w:r>
        <w:rPr>
          <w:sz w:val="24"/>
          <w:szCs w:val="24"/>
        </w:rPr>
        <w:t>B</w:t>
      </w:r>
    </w:p>
    <w:p w14:paraId="1570525F" w14:textId="77777777" w:rsidR="009260DE" w:rsidRPr="00C84483" w:rsidRDefault="009260DE" w:rsidP="009260DE">
      <w:pPr>
        <w:tabs>
          <w:tab w:val="left" w:pos="851"/>
        </w:tabs>
        <w:ind w:left="851"/>
        <w:rPr>
          <w:sz w:val="24"/>
          <w:szCs w:val="24"/>
        </w:rPr>
      </w:pPr>
    </w:p>
    <w:p w14:paraId="1114B665" w14:textId="77777777" w:rsidR="009260DE" w:rsidRPr="00C84483" w:rsidRDefault="009260DE" w:rsidP="009260DE">
      <w:pPr>
        <w:tabs>
          <w:tab w:val="left" w:pos="851"/>
        </w:tabs>
        <w:ind w:left="851"/>
        <w:rPr>
          <w:sz w:val="24"/>
          <w:szCs w:val="24"/>
        </w:rPr>
      </w:pPr>
    </w:p>
    <w:p w14:paraId="62A5F6CA"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3F982C5" w14:textId="77777777" w:rsidR="009260DE" w:rsidRPr="00C84483" w:rsidRDefault="009260DE" w:rsidP="009260DE">
      <w:pPr>
        <w:tabs>
          <w:tab w:val="left" w:pos="851"/>
        </w:tabs>
        <w:ind w:left="851"/>
        <w:rPr>
          <w:sz w:val="24"/>
          <w:szCs w:val="24"/>
        </w:rPr>
      </w:pPr>
    </w:p>
    <w:p w14:paraId="661A7BCF" w14:textId="77777777"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7AA16C6F" w14:textId="729C8AD0" w:rsidR="00F766F7" w:rsidRPr="00F766F7" w:rsidRDefault="00F766F7" w:rsidP="00F766F7">
      <w:pPr>
        <w:tabs>
          <w:tab w:val="left" w:pos="851"/>
        </w:tabs>
        <w:ind w:left="851"/>
        <w:rPr>
          <w:bCs/>
          <w:sz w:val="24"/>
          <w:szCs w:val="24"/>
        </w:rPr>
      </w:pPr>
      <w:r w:rsidRPr="00142084">
        <w:rPr>
          <w:sz w:val="24"/>
          <w:szCs w:val="24"/>
        </w:rPr>
        <w:t>ATC-kode: A</w:t>
      </w:r>
      <w:r w:rsidR="00F42860" w:rsidRPr="00142084">
        <w:rPr>
          <w:sz w:val="24"/>
          <w:szCs w:val="24"/>
        </w:rPr>
        <w:t xml:space="preserve"> </w:t>
      </w:r>
      <w:r w:rsidRPr="00142084">
        <w:rPr>
          <w:sz w:val="24"/>
          <w:szCs w:val="24"/>
        </w:rPr>
        <w:t>11</w:t>
      </w:r>
      <w:r w:rsidR="00F42860" w:rsidRPr="00142084">
        <w:rPr>
          <w:sz w:val="24"/>
          <w:szCs w:val="24"/>
        </w:rPr>
        <w:t xml:space="preserve"> </w:t>
      </w:r>
      <w:r w:rsidRPr="00142084">
        <w:rPr>
          <w:sz w:val="24"/>
          <w:szCs w:val="24"/>
        </w:rPr>
        <w:t>DA</w:t>
      </w:r>
      <w:r w:rsidR="00F42860" w:rsidRPr="00142084">
        <w:rPr>
          <w:sz w:val="24"/>
          <w:szCs w:val="24"/>
        </w:rPr>
        <w:t xml:space="preserve"> </w:t>
      </w:r>
      <w:r w:rsidRPr="00142084">
        <w:rPr>
          <w:sz w:val="24"/>
          <w:szCs w:val="24"/>
        </w:rPr>
        <w:t>01</w:t>
      </w:r>
      <w:r w:rsidR="00F42860" w:rsidRPr="00142084">
        <w:rPr>
          <w:sz w:val="24"/>
          <w:szCs w:val="24"/>
        </w:rPr>
        <w:t xml:space="preserve">. </w:t>
      </w:r>
      <w:proofErr w:type="spellStart"/>
      <w:r w:rsidRPr="00F766F7">
        <w:rPr>
          <w:bCs/>
          <w:sz w:val="24"/>
          <w:szCs w:val="24"/>
        </w:rPr>
        <w:t>Thiamin</w:t>
      </w:r>
      <w:proofErr w:type="spellEnd"/>
      <w:r w:rsidRPr="00F766F7">
        <w:rPr>
          <w:bCs/>
          <w:sz w:val="24"/>
          <w:szCs w:val="24"/>
        </w:rPr>
        <w:t xml:space="preserve"> (vitamin B</w:t>
      </w:r>
      <w:r w:rsidRPr="00F766F7">
        <w:rPr>
          <w:bCs/>
          <w:sz w:val="24"/>
          <w:szCs w:val="24"/>
          <w:vertAlign w:val="subscript"/>
        </w:rPr>
        <w:t>1</w:t>
      </w:r>
      <w:r w:rsidRPr="00F766F7">
        <w:rPr>
          <w:bCs/>
          <w:sz w:val="24"/>
          <w:szCs w:val="24"/>
        </w:rPr>
        <w:t>), usammensatte præparater.</w:t>
      </w:r>
    </w:p>
    <w:p w14:paraId="79EB64B7" w14:textId="77777777" w:rsidR="009260DE" w:rsidRPr="00C84483" w:rsidRDefault="009260DE" w:rsidP="009260DE">
      <w:pPr>
        <w:tabs>
          <w:tab w:val="left" w:pos="851"/>
        </w:tabs>
        <w:ind w:left="851"/>
        <w:rPr>
          <w:sz w:val="24"/>
          <w:szCs w:val="24"/>
        </w:rPr>
      </w:pPr>
    </w:p>
    <w:p w14:paraId="5683BA8A"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7C43ACAB" w14:textId="77777777" w:rsidR="00142084" w:rsidRPr="00142084" w:rsidRDefault="00142084" w:rsidP="00142084">
      <w:pPr>
        <w:tabs>
          <w:tab w:val="left" w:pos="851"/>
        </w:tabs>
        <w:ind w:left="851"/>
        <w:rPr>
          <w:sz w:val="24"/>
          <w:szCs w:val="24"/>
        </w:rPr>
      </w:pPr>
    </w:p>
    <w:p w14:paraId="4B440C23" w14:textId="77777777" w:rsidR="00142084" w:rsidRPr="00142084" w:rsidRDefault="00142084" w:rsidP="00142084">
      <w:pPr>
        <w:tabs>
          <w:tab w:val="left" w:pos="851"/>
        </w:tabs>
        <w:ind w:left="851"/>
        <w:rPr>
          <w:sz w:val="24"/>
          <w:szCs w:val="24"/>
          <w:u w:val="single"/>
        </w:rPr>
      </w:pPr>
      <w:r w:rsidRPr="00142084">
        <w:rPr>
          <w:sz w:val="24"/>
          <w:szCs w:val="24"/>
          <w:u w:val="single"/>
        </w:rPr>
        <w:t>Virkningsmekanisme</w:t>
      </w:r>
    </w:p>
    <w:p w14:paraId="0C9289D6" w14:textId="77777777" w:rsidR="00142084" w:rsidRPr="00142084" w:rsidRDefault="00142084" w:rsidP="00142084">
      <w:pPr>
        <w:tabs>
          <w:tab w:val="left" w:pos="851"/>
        </w:tabs>
        <w:ind w:left="851"/>
        <w:rPr>
          <w:bCs/>
          <w:sz w:val="24"/>
          <w:szCs w:val="24"/>
        </w:rPr>
      </w:pPr>
      <w:proofErr w:type="spellStart"/>
      <w:r w:rsidRPr="00142084">
        <w:rPr>
          <w:bCs/>
          <w:sz w:val="24"/>
          <w:szCs w:val="24"/>
        </w:rPr>
        <w:t>Thiamins</w:t>
      </w:r>
      <w:proofErr w:type="spellEnd"/>
      <w:r w:rsidRPr="00142084">
        <w:rPr>
          <w:bCs/>
          <w:sz w:val="24"/>
          <w:szCs w:val="24"/>
        </w:rPr>
        <w:t xml:space="preserve"> vigtigste fysiologiske funktion er at indgå som et </w:t>
      </w:r>
      <w:proofErr w:type="spellStart"/>
      <w:r w:rsidRPr="00142084">
        <w:rPr>
          <w:bCs/>
          <w:sz w:val="24"/>
          <w:szCs w:val="24"/>
        </w:rPr>
        <w:t>coenzym</w:t>
      </w:r>
      <w:proofErr w:type="spellEnd"/>
      <w:r w:rsidRPr="00142084">
        <w:rPr>
          <w:bCs/>
          <w:sz w:val="24"/>
          <w:szCs w:val="24"/>
        </w:rPr>
        <w:t xml:space="preserve"> i kulhydratmetabolismen, hvor </w:t>
      </w:r>
      <w:proofErr w:type="spellStart"/>
      <w:r w:rsidRPr="00142084">
        <w:rPr>
          <w:bCs/>
          <w:sz w:val="24"/>
          <w:szCs w:val="24"/>
        </w:rPr>
        <w:t>thiaminpyrofosfat</w:t>
      </w:r>
      <w:proofErr w:type="spellEnd"/>
      <w:r w:rsidRPr="00142084">
        <w:rPr>
          <w:bCs/>
          <w:sz w:val="24"/>
          <w:szCs w:val="24"/>
        </w:rPr>
        <w:t xml:space="preserve"> (TPP) er nødvendig i flere faser af nedbrydningen af </w:t>
      </w:r>
      <w:proofErr w:type="spellStart"/>
      <w:r w:rsidRPr="00142084">
        <w:rPr>
          <w:bCs/>
          <w:sz w:val="24"/>
          <w:szCs w:val="24"/>
        </w:rPr>
        <w:t>glucose</w:t>
      </w:r>
      <w:proofErr w:type="spellEnd"/>
      <w:r w:rsidRPr="00142084">
        <w:rPr>
          <w:bCs/>
          <w:sz w:val="24"/>
          <w:szCs w:val="24"/>
        </w:rPr>
        <w:t xml:space="preserve"> for at give energi.</w:t>
      </w:r>
    </w:p>
    <w:p w14:paraId="6CBE9887" w14:textId="77777777" w:rsidR="00142084" w:rsidRPr="00142084" w:rsidRDefault="00142084" w:rsidP="00142084">
      <w:pPr>
        <w:tabs>
          <w:tab w:val="left" w:pos="851"/>
        </w:tabs>
        <w:ind w:left="851"/>
        <w:rPr>
          <w:bCs/>
          <w:sz w:val="24"/>
          <w:szCs w:val="24"/>
        </w:rPr>
      </w:pPr>
      <w:proofErr w:type="spellStart"/>
      <w:r w:rsidRPr="00142084">
        <w:rPr>
          <w:bCs/>
          <w:sz w:val="24"/>
          <w:szCs w:val="24"/>
        </w:rPr>
        <w:t>Thiamin</w:t>
      </w:r>
      <w:proofErr w:type="spellEnd"/>
      <w:r w:rsidRPr="00142084">
        <w:rPr>
          <w:bCs/>
          <w:sz w:val="24"/>
          <w:szCs w:val="24"/>
        </w:rPr>
        <w:t xml:space="preserve"> kombineret med </w:t>
      </w:r>
      <w:proofErr w:type="spellStart"/>
      <w:r w:rsidRPr="00142084">
        <w:rPr>
          <w:bCs/>
          <w:sz w:val="24"/>
          <w:szCs w:val="24"/>
        </w:rPr>
        <w:t>adenosintriphosphat</w:t>
      </w:r>
      <w:proofErr w:type="spellEnd"/>
      <w:r w:rsidRPr="00142084">
        <w:rPr>
          <w:bCs/>
          <w:sz w:val="24"/>
          <w:szCs w:val="24"/>
        </w:rPr>
        <w:t xml:space="preserve"> (ATP) omdannes til det aktive </w:t>
      </w:r>
      <w:proofErr w:type="spellStart"/>
      <w:r w:rsidRPr="00142084">
        <w:rPr>
          <w:bCs/>
          <w:sz w:val="24"/>
          <w:szCs w:val="24"/>
        </w:rPr>
        <w:t>coenzym</w:t>
      </w:r>
      <w:proofErr w:type="spellEnd"/>
      <w:r w:rsidRPr="00142084">
        <w:rPr>
          <w:bCs/>
          <w:sz w:val="24"/>
          <w:szCs w:val="24"/>
        </w:rPr>
        <w:t xml:space="preserve"> </w:t>
      </w:r>
      <w:proofErr w:type="spellStart"/>
      <w:r w:rsidRPr="00142084">
        <w:rPr>
          <w:bCs/>
          <w:sz w:val="24"/>
          <w:szCs w:val="24"/>
        </w:rPr>
        <w:t>thiaminpyrophosphat</w:t>
      </w:r>
      <w:proofErr w:type="spellEnd"/>
      <w:r w:rsidRPr="00142084">
        <w:rPr>
          <w:bCs/>
          <w:sz w:val="24"/>
          <w:szCs w:val="24"/>
        </w:rPr>
        <w:t xml:space="preserve"> (</w:t>
      </w:r>
      <w:proofErr w:type="spellStart"/>
      <w:r w:rsidRPr="00142084">
        <w:rPr>
          <w:bCs/>
          <w:sz w:val="24"/>
          <w:szCs w:val="24"/>
        </w:rPr>
        <w:t>thiamindiphosphat</w:t>
      </w:r>
      <w:proofErr w:type="spellEnd"/>
      <w:r w:rsidRPr="00142084">
        <w:rPr>
          <w:bCs/>
          <w:sz w:val="24"/>
          <w:szCs w:val="24"/>
        </w:rPr>
        <w:t xml:space="preserve">) af enzymet </w:t>
      </w:r>
      <w:proofErr w:type="spellStart"/>
      <w:r w:rsidRPr="00142084">
        <w:rPr>
          <w:bCs/>
          <w:sz w:val="24"/>
          <w:szCs w:val="24"/>
        </w:rPr>
        <w:t>thiamindiphosphokinase</w:t>
      </w:r>
      <w:proofErr w:type="spellEnd"/>
      <w:r w:rsidRPr="00142084">
        <w:rPr>
          <w:bCs/>
          <w:sz w:val="24"/>
          <w:szCs w:val="24"/>
        </w:rPr>
        <w:t xml:space="preserve">. </w:t>
      </w:r>
      <w:proofErr w:type="spellStart"/>
      <w:r w:rsidRPr="00142084">
        <w:rPr>
          <w:bCs/>
          <w:sz w:val="24"/>
          <w:szCs w:val="24"/>
        </w:rPr>
        <w:t>Thiaminpyrophosphat</w:t>
      </w:r>
      <w:proofErr w:type="spellEnd"/>
      <w:r w:rsidRPr="00142084">
        <w:rPr>
          <w:bCs/>
          <w:sz w:val="24"/>
          <w:szCs w:val="24"/>
        </w:rPr>
        <w:t xml:space="preserve"> er et </w:t>
      </w:r>
      <w:proofErr w:type="spellStart"/>
      <w:r w:rsidRPr="00142084">
        <w:rPr>
          <w:bCs/>
          <w:sz w:val="24"/>
          <w:szCs w:val="24"/>
        </w:rPr>
        <w:t>coenzym</w:t>
      </w:r>
      <w:proofErr w:type="spellEnd"/>
      <w:r w:rsidRPr="00142084">
        <w:rPr>
          <w:bCs/>
          <w:sz w:val="24"/>
          <w:szCs w:val="24"/>
        </w:rPr>
        <w:t xml:space="preserve"> i kulhydratmetabolismen (i </w:t>
      </w:r>
      <w:proofErr w:type="spellStart"/>
      <w:r w:rsidRPr="00142084">
        <w:rPr>
          <w:bCs/>
          <w:sz w:val="24"/>
          <w:szCs w:val="24"/>
        </w:rPr>
        <w:t>decarboxylase</w:t>
      </w:r>
      <w:proofErr w:type="spellEnd"/>
      <w:r w:rsidRPr="00142084">
        <w:rPr>
          <w:bCs/>
          <w:sz w:val="24"/>
          <w:szCs w:val="24"/>
        </w:rPr>
        <w:t xml:space="preserve"> af pyruvat og alfa-</w:t>
      </w:r>
      <w:proofErr w:type="spellStart"/>
      <w:r w:rsidRPr="00142084">
        <w:rPr>
          <w:bCs/>
          <w:sz w:val="24"/>
          <w:szCs w:val="24"/>
        </w:rPr>
        <w:t>ketoglutarsyre</w:t>
      </w:r>
      <w:proofErr w:type="spellEnd"/>
      <w:r w:rsidRPr="00142084">
        <w:rPr>
          <w:bCs/>
          <w:sz w:val="24"/>
          <w:szCs w:val="24"/>
        </w:rPr>
        <w:t xml:space="preserve">) og i </w:t>
      </w:r>
      <w:proofErr w:type="spellStart"/>
      <w:r w:rsidRPr="00142084">
        <w:rPr>
          <w:bCs/>
          <w:sz w:val="24"/>
          <w:szCs w:val="24"/>
        </w:rPr>
        <w:t>transketolasereaktioner</w:t>
      </w:r>
      <w:proofErr w:type="spellEnd"/>
      <w:r w:rsidRPr="00142084">
        <w:rPr>
          <w:bCs/>
          <w:sz w:val="24"/>
          <w:szCs w:val="24"/>
        </w:rPr>
        <w:t xml:space="preserve">. </w:t>
      </w:r>
      <w:proofErr w:type="spellStart"/>
      <w:r w:rsidRPr="00142084">
        <w:rPr>
          <w:bCs/>
          <w:sz w:val="24"/>
          <w:szCs w:val="24"/>
        </w:rPr>
        <w:t>Thiamindiphosphat</w:t>
      </w:r>
      <w:proofErr w:type="spellEnd"/>
      <w:r w:rsidRPr="00142084">
        <w:rPr>
          <w:bCs/>
          <w:sz w:val="24"/>
          <w:szCs w:val="24"/>
        </w:rPr>
        <w:t xml:space="preserve"> fungerer også som et </w:t>
      </w:r>
      <w:proofErr w:type="spellStart"/>
      <w:r w:rsidRPr="00142084">
        <w:rPr>
          <w:bCs/>
          <w:sz w:val="24"/>
          <w:szCs w:val="24"/>
        </w:rPr>
        <w:t>coenzym</w:t>
      </w:r>
      <w:proofErr w:type="spellEnd"/>
      <w:r w:rsidRPr="00142084">
        <w:rPr>
          <w:bCs/>
          <w:sz w:val="24"/>
          <w:szCs w:val="24"/>
        </w:rPr>
        <w:t xml:space="preserve"> i forbindelse med udnyttelsen af </w:t>
      </w:r>
      <w:proofErr w:type="spellStart"/>
      <w:r w:rsidRPr="00142084">
        <w:rPr>
          <w:bCs/>
          <w:sz w:val="24"/>
          <w:szCs w:val="24"/>
        </w:rPr>
        <w:t>pentose</w:t>
      </w:r>
      <w:proofErr w:type="spellEnd"/>
      <w:r w:rsidRPr="00142084">
        <w:rPr>
          <w:bCs/>
          <w:sz w:val="24"/>
          <w:szCs w:val="24"/>
        </w:rPr>
        <w:t xml:space="preserve"> i </w:t>
      </w:r>
      <w:proofErr w:type="spellStart"/>
      <w:r w:rsidRPr="00142084">
        <w:rPr>
          <w:bCs/>
          <w:sz w:val="24"/>
          <w:szCs w:val="24"/>
        </w:rPr>
        <w:t>hexose</w:t>
      </w:r>
      <w:proofErr w:type="spellEnd"/>
      <w:r w:rsidRPr="00142084">
        <w:rPr>
          <w:bCs/>
          <w:sz w:val="24"/>
          <w:szCs w:val="24"/>
        </w:rPr>
        <w:t>-</w:t>
      </w:r>
      <w:proofErr w:type="spellStart"/>
      <w:r w:rsidRPr="00142084">
        <w:rPr>
          <w:bCs/>
          <w:sz w:val="24"/>
          <w:szCs w:val="24"/>
        </w:rPr>
        <w:t>monophosphat</w:t>
      </w:r>
      <w:proofErr w:type="spellEnd"/>
      <w:r w:rsidRPr="00142084">
        <w:rPr>
          <w:bCs/>
          <w:sz w:val="24"/>
          <w:szCs w:val="24"/>
        </w:rPr>
        <w:t>-shunten.</w:t>
      </w:r>
    </w:p>
    <w:p w14:paraId="53FC654B" w14:textId="77777777" w:rsidR="00142084" w:rsidRPr="00142084" w:rsidRDefault="00142084" w:rsidP="00142084">
      <w:pPr>
        <w:tabs>
          <w:tab w:val="left" w:pos="851"/>
        </w:tabs>
        <w:ind w:left="851"/>
        <w:rPr>
          <w:sz w:val="24"/>
          <w:szCs w:val="24"/>
          <w:u w:val="single"/>
        </w:rPr>
      </w:pPr>
    </w:p>
    <w:p w14:paraId="14C6C7CA" w14:textId="77777777" w:rsidR="00142084" w:rsidRPr="00142084" w:rsidRDefault="00142084" w:rsidP="00142084">
      <w:pPr>
        <w:tabs>
          <w:tab w:val="left" w:pos="851"/>
        </w:tabs>
        <w:ind w:left="851"/>
        <w:rPr>
          <w:sz w:val="24"/>
          <w:szCs w:val="24"/>
          <w:u w:val="single"/>
        </w:rPr>
      </w:pPr>
      <w:proofErr w:type="spellStart"/>
      <w:r w:rsidRPr="00142084">
        <w:rPr>
          <w:sz w:val="24"/>
          <w:szCs w:val="24"/>
          <w:u w:val="single"/>
        </w:rPr>
        <w:t>Farmakodynamisk</w:t>
      </w:r>
      <w:proofErr w:type="spellEnd"/>
      <w:r w:rsidRPr="00142084">
        <w:rPr>
          <w:sz w:val="24"/>
          <w:szCs w:val="24"/>
          <w:u w:val="single"/>
        </w:rPr>
        <w:t xml:space="preserve"> virkning</w:t>
      </w:r>
    </w:p>
    <w:p w14:paraId="28EB462F" w14:textId="77777777" w:rsidR="00142084" w:rsidRPr="00142084" w:rsidRDefault="00142084" w:rsidP="00142084">
      <w:pPr>
        <w:tabs>
          <w:tab w:val="left" w:pos="851"/>
        </w:tabs>
        <w:ind w:left="851"/>
        <w:rPr>
          <w:bCs/>
          <w:sz w:val="24"/>
          <w:szCs w:val="24"/>
        </w:rPr>
      </w:pPr>
      <w:proofErr w:type="spellStart"/>
      <w:r w:rsidRPr="00142084">
        <w:rPr>
          <w:bCs/>
          <w:sz w:val="24"/>
          <w:szCs w:val="24"/>
        </w:rPr>
        <w:t>Thiaminmangel</w:t>
      </w:r>
      <w:proofErr w:type="spellEnd"/>
      <w:r w:rsidRPr="00142084">
        <w:rPr>
          <w:bCs/>
          <w:sz w:val="24"/>
          <w:szCs w:val="24"/>
        </w:rPr>
        <w:t xml:space="preserve"> resulterer i beriberi og </w:t>
      </w:r>
      <w:proofErr w:type="spellStart"/>
      <w:r w:rsidRPr="00142084">
        <w:rPr>
          <w:bCs/>
          <w:sz w:val="24"/>
          <w:szCs w:val="24"/>
        </w:rPr>
        <w:t>Wernicke-Korsakoffs</w:t>
      </w:r>
      <w:proofErr w:type="spellEnd"/>
      <w:r w:rsidRPr="00142084">
        <w:rPr>
          <w:bCs/>
          <w:sz w:val="24"/>
          <w:szCs w:val="24"/>
        </w:rPr>
        <w:t xml:space="preserve"> syndrom. Kliniske tegn på </w:t>
      </w:r>
      <w:proofErr w:type="spellStart"/>
      <w:r w:rsidRPr="00142084">
        <w:rPr>
          <w:bCs/>
          <w:sz w:val="24"/>
          <w:szCs w:val="24"/>
        </w:rPr>
        <w:t>thiaminmangel</w:t>
      </w:r>
      <w:proofErr w:type="spellEnd"/>
      <w:r w:rsidRPr="00142084">
        <w:rPr>
          <w:bCs/>
          <w:sz w:val="24"/>
          <w:szCs w:val="24"/>
        </w:rPr>
        <w:t xml:space="preserve"> bliver tydelige efter 2-3 ugers utilstrækkeligt </w:t>
      </w:r>
      <w:proofErr w:type="spellStart"/>
      <w:r w:rsidRPr="00142084">
        <w:rPr>
          <w:bCs/>
          <w:sz w:val="24"/>
          <w:szCs w:val="24"/>
        </w:rPr>
        <w:t>thiaminindtag</w:t>
      </w:r>
      <w:proofErr w:type="spellEnd"/>
      <w:r w:rsidRPr="00142084">
        <w:rPr>
          <w:bCs/>
          <w:sz w:val="24"/>
          <w:szCs w:val="24"/>
        </w:rPr>
        <w:t xml:space="preserve">. De organsystemer, der primært påvirkes af </w:t>
      </w:r>
      <w:proofErr w:type="spellStart"/>
      <w:r w:rsidRPr="00142084">
        <w:rPr>
          <w:bCs/>
          <w:sz w:val="24"/>
          <w:szCs w:val="24"/>
        </w:rPr>
        <w:t>thiaminmangel</w:t>
      </w:r>
      <w:proofErr w:type="spellEnd"/>
      <w:r w:rsidRPr="00142084">
        <w:rPr>
          <w:bCs/>
          <w:sz w:val="24"/>
          <w:szCs w:val="24"/>
        </w:rPr>
        <w:t xml:space="preserve">, er nervesystemet, det </w:t>
      </w:r>
      <w:proofErr w:type="spellStart"/>
      <w:r w:rsidRPr="00142084">
        <w:rPr>
          <w:bCs/>
          <w:sz w:val="24"/>
          <w:szCs w:val="24"/>
        </w:rPr>
        <w:t>kardiovaskulære</w:t>
      </w:r>
      <w:proofErr w:type="spellEnd"/>
      <w:r w:rsidRPr="00142084">
        <w:rPr>
          <w:bCs/>
          <w:sz w:val="24"/>
          <w:szCs w:val="24"/>
        </w:rPr>
        <w:t xml:space="preserve"> system og mavetarmkanalen. Administration af </w:t>
      </w:r>
      <w:proofErr w:type="spellStart"/>
      <w:r w:rsidRPr="00142084">
        <w:rPr>
          <w:bCs/>
          <w:sz w:val="24"/>
          <w:szCs w:val="24"/>
        </w:rPr>
        <w:t>thiamin</w:t>
      </w:r>
      <w:proofErr w:type="spellEnd"/>
      <w:r w:rsidRPr="00142084">
        <w:rPr>
          <w:bCs/>
          <w:sz w:val="24"/>
          <w:szCs w:val="24"/>
        </w:rPr>
        <w:t xml:space="preserve"> reverserer fuldstændigt de </w:t>
      </w:r>
      <w:proofErr w:type="spellStart"/>
      <w:r w:rsidRPr="00142084">
        <w:rPr>
          <w:bCs/>
          <w:sz w:val="24"/>
          <w:szCs w:val="24"/>
        </w:rPr>
        <w:t>kardiovaskulære</w:t>
      </w:r>
      <w:proofErr w:type="spellEnd"/>
      <w:r w:rsidRPr="00142084">
        <w:rPr>
          <w:bCs/>
          <w:sz w:val="24"/>
          <w:szCs w:val="24"/>
        </w:rPr>
        <w:t xml:space="preserve"> symptomer og mavetarmsymptomer på </w:t>
      </w:r>
      <w:proofErr w:type="spellStart"/>
      <w:r w:rsidRPr="00142084">
        <w:rPr>
          <w:bCs/>
          <w:sz w:val="24"/>
          <w:szCs w:val="24"/>
        </w:rPr>
        <w:t>thiaminmangel</w:t>
      </w:r>
      <w:proofErr w:type="spellEnd"/>
      <w:r w:rsidRPr="00142084">
        <w:rPr>
          <w:bCs/>
          <w:sz w:val="24"/>
          <w:szCs w:val="24"/>
        </w:rPr>
        <w:t xml:space="preserve">. </w:t>
      </w:r>
      <w:r w:rsidRPr="00142084">
        <w:rPr>
          <w:bCs/>
          <w:sz w:val="24"/>
          <w:szCs w:val="24"/>
        </w:rPr>
        <w:lastRenderedPageBreak/>
        <w:t>Men hvor meget de neurologiske symptomer forbedres, afhænger af læsionernes varighed og sværhedsgrad.</w:t>
      </w:r>
    </w:p>
    <w:p w14:paraId="64F03C95" w14:textId="77777777" w:rsidR="00142084" w:rsidRPr="00142084" w:rsidRDefault="00142084" w:rsidP="00142084">
      <w:pPr>
        <w:tabs>
          <w:tab w:val="left" w:pos="851"/>
        </w:tabs>
        <w:ind w:left="851"/>
        <w:rPr>
          <w:bCs/>
          <w:sz w:val="24"/>
          <w:szCs w:val="24"/>
        </w:rPr>
      </w:pPr>
      <w:r w:rsidRPr="00142084">
        <w:rPr>
          <w:bCs/>
          <w:sz w:val="24"/>
          <w:szCs w:val="24"/>
        </w:rPr>
        <w:t xml:space="preserve">Fatal mangel kan udvikle sig så hurtigt som i løbet af 3-4 uger ved manglende </w:t>
      </w:r>
      <w:proofErr w:type="spellStart"/>
      <w:r w:rsidRPr="00142084">
        <w:rPr>
          <w:bCs/>
          <w:sz w:val="24"/>
          <w:szCs w:val="24"/>
        </w:rPr>
        <w:t>thiaminindtag</w:t>
      </w:r>
      <w:proofErr w:type="spellEnd"/>
      <w:r w:rsidRPr="00142084">
        <w:rPr>
          <w:bCs/>
          <w:sz w:val="24"/>
          <w:szCs w:val="24"/>
        </w:rPr>
        <w:t>.</w:t>
      </w:r>
    </w:p>
    <w:p w14:paraId="6F511337" w14:textId="77777777" w:rsidR="00142084" w:rsidRPr="00142084" w:rsidRDefault="00142084" w:rsidP="00142084">
      <w:pPr>
        <w:tabs>
          <w:tab w:val="left" w:pos="851"/>
        </w:tabs>
        <w:ind w:left="851"/>
        <w:rPr>
          <w:bCs/>
          <w:sz w:val="24"/>
          <w:szCs w:val="24"/>
        </w:rPr>
      </w:pPr>
      <w:r w:rsidRPr="00142084">
        <w:rPr>
          <w:bCs/>
          <w:sz w:val="24"/>
          <w:szCs w:val="24"/>
        </w:rPr>
        <w:t xml:space="preserve">Der er observeret flere tilfælde af fatal, akut beriberi, der har udviklet sig i løbet af 5 uger hos patienter, der udelukkende fik </w:t>
      </w:r>
      <w:proofErr w:type="spellStart"/>
      <w:r w:rsidRPr="00142084">
        <w:rPr>
          <w:bCs/>
          <w:sz w:val="24"/>
          <w:szCs w:val="24"/>
        </w:rPr>
        <w:t>thiaminfattig</w:t>
      </w:r>
      <w:proofErr w:type="spellEnd"/>
      <w:r w:rsidRPr="00142084">
        <w:rPr>
          <w:bCs/>
          <w:sz w:val="24"/>
          <w:szCs w:val="24"/>
        </w:rPr>
        <w:t xml:space="preserve"> parenteral ernæring.</w:t>
      </w:r>
    </w:p>
    <w:p w14:paraId="145B2530" w14:textId="77777777" w:rsidR="00142084" w:rsidRPr="00142084" w:rsidRDefault="00142084" w:rsidP="00142084">
      <w:pPr>
        <w:tabs>
          <w:tab w:val="left" w:pos="851"/>
        </w:tabs>
        <w:ind w:left="851"/>
        <w:rPr>
          <w:sz w:val="24"/>
          <w:szCs w:val="24"/>
          <w:u w:val="single"/>
        </w:rPr>
      </w:pPr>
    </w:p>
    <w:p w14:paraId="07AE4DD3" w14:textId="77777777" w:rsidR="00142084" w:rsidRPr="00142084" w:rsidRDefault="00142084" w:rsidP="00142084">
      <w:pPr>
        <w:tabs>
          <w:tab w:val="left" w:pos="851"/>
        </w:tabs>
        <w:ind w:left="851"/>
        <w:rPr>
          <w:sz w:val="24"/>
          <w:szCs w:val="24"/>
          <w:u w:val="single"/>
        </w:rPr>
      </w:pPr>
      <w:r w:rsidRPr="00142084">
        <w:rPr>
          <w:sz w:val="24"/>
          <w:szCs w:val="24"/>
          <w:u w:val="single"/>
        </w:rPr>
        <w:t>Klinisk virkning og sikkerhed</w:t>
      </w:r>
    </w:p>
    <w:p w14:paraId="44EC51A6" w14:textId="77777777" w:rsidR="00142084" w:rsidRPr="00142084" w:rsidRDefault="00142084" w:rsidP="00142084">
      <w:pPr>
        <w:tabs>
          <w:tab w:val="left" w:pos="851"/>
        </w:tabs>
        <w:ind w:left="851"/>
        <w:rPr>
          <w:sz w:val="24"/>
          <w:szCs w:val="24"/>
        </w:rPr>
      </w:pPr>
      <w:r w:rsidRPr="00142084">
        <w:rPr>
          <w:sz w:val="24"/>
          <w:szCs w:val="24"/>
        </w:rPr>
        <w:t xml:space="preserve">I de tidlige stadier af alvorlige mangeltilstande som </w:t>
      </w:r>
      <w:proofErr w:type="spellStart"/>
      <w:r w:rsidRPr="00142084">
        <w:rPr>
          <w:sz w:val="24"/>
          <w:szCs w:val="24"/>
        </w:rPr>
        <w:t>Wernicke-Korsakoffs</w:t>
      </w:r>
      <w:proofErr w:type="spellEnd"/>
      <w:r w:rsidRPr="00142084">
        <w:rPr>
          <w:sz w:val="24"/>
          <w:szCs w:val="24"/>
        </w:rPr>
        <w:t xml:space="preserve"> syndrom eller </w:t>
      </w:r>
      <w:proofErr w:type="spellStart"/>
      <w:r w:rsidRPr="00142084">
        <w:rPr>
          <w:sz w:val="24"/>
          <w:szCs w:val="24"/>
        </w:rPr>
        <w:t>shoshin</w:t>
      </w:r>
      <w:proofErr w:type="spellEnd"/>
      <w:r w:rsidRPr="00142084">
        <w:rPr>
          <w:sz w:val="24"/>
          <w:szCs w:val="24"/>
        </w:rPr>
        <w:t xml:space="preserve"> beriberi, reverserer parenteral administration af </w:t>
      </w:r>
      <w:proofErr w:type="spellStart"/>
      <w:r w:rsidRPr="00142084">
        <w:rPr>
          <w:sz w:val="24"/>
          <w:szCs w:val="24"/>
        </w:rPr>
        <w:t>thiamin</w:t>
      </w:r>
      <w:proofErr w:type="spellEnd"/>
      <w:r w:rsidRPr="00142084">
        <w:rPr>
          <w:sz w:val="24"/>
          <w:szCs w:val="24"/>
        </w:rPr>
        <w:t xml:space="preserve"> hurtigt de kliniske symptomer. Forbedringen af symptomerne er tilstrækkelig til at stille diagnosen, selv om der ikke foreligger måling af </w:t>
      </w:r>
      <w:proofErr w:type="spellStart"/>
      <w:r w:rsidRPr="00142084">
        <w:rPr>
          <w:sz w:val="24"/>
          <w:szCs w:val="24"/>
        </w:rPr>
        <w:t>serumthiamin</w:t>
      </w:r>
      <w:proofErr w:type="spellEnd"/>
      <w:r w:rsidRPr="00142084">
        <w:rPr>
          <w:sz w:val="24"/>
          <w:szCs w:val="24"/>
        </w:rPr>
        <w:t xml:space="preserve">. </w:t>
      </w:r>
    </w:p>
    <w:p w14:paraId="39051769" w14:textId="77777777" w:rsidR="00142084" w:rsidRPr="00142084" w:rsidRDefault="00142084" w:rsidP="00142084">
      <w:pPr>
        <w:tabs>
          <w:tab w:val="left" w:pos="851"/>
        </w:tabs>
        <w:ind w:left="851"/>
        <w:rPr>
          <w:sz w:val="24"/>
          <w:szCs w:val="24"/>
        </w:rPr>
      </w:pPr>
    </w:p>
    <w:p w14:paraId="135FE346" w14:textId="5F3FB0F0" w:rsidR="00142084" w:rsidRPr="00142084" w:rsidRDefault="00142084" w:rsidP="00142084">
      <w:pPr>
        <w:tabs>
          <w:tab w:val="left" w:pos="851"/>
        </w:tabs>
        <w:ind w:left="851"/>
        <w:rPr>
          <w:sz w:val="24"/>
          <w:szCs w:val="24"/>
        </w:rPr>
      </w:pPr>
      <w:r w:rsidRPr="00142084">
        <w:rPr>
          <w:sz w:val="24"/>
          <w:szCs w:val="24"/>
        </w:rPr>
        <w:t xml:space="preserve">I forbindelse med </w:t>
      </w:r>
      <w:proofErr w:type="spellStart"/>
      <w:r w:rsidRPr="00142084">
        <w:rPr>
          <w:sz w:val="24"/>
          <w:szCs w:val="24"/>
        </w:rPr>
        <w:t>Wernicke-Korsakoffs</w:t>
      </w:r>
      <w:proofErr w:type="spellEnd"/>
      <w:r w:rsidRPr="00142084">
        <w:rPr>
          <w:sz w:val="24"/>
          <w:szCs w:val="24"/>
        </w:rPr>
        <w:t xml:space="preserve"> syndrom er tidlig diagnose og behandling vigtig både på grund af risikoen for kollaps og pludselig død og for at forhindre irreversible skader på CNS. </w:t>
      </w:r>
      <w:proofErr w:type="spellStart"/>
      <w:r w:rsidRPr="00142084">
        <w:rPr>
          <w:sz w:val="24"/>
          <w:szCs w:val="24"/>
        </w:rPr>
        <w:t>Korsakoff</w:t>
      </w:r>
      <w:proofErr w:type="spellEnd"/>
      <w:r w:rsidRPr="00142084">
        <w:rPr>
          <w:sz w:val="24"/>
          <w:szCs w:val="24"/>
        </w:rPr>
        <w:t xml:space="preserve">-symptomer reagerer ikke lige så godt på behandling som de symptomer, der er forbundet med </w:t>
      </w:r>
      <w:proofErr w:type="spellStart"/>
      <w:r w:rsidRPr="00142084">
        <w:rPr>
          <w:sz w:val="24"/>
          <w:szCs w:val="24"/>
        </w:rPr>
        <w:t>Wernickes</w:t>
      </w:r>
      <w:proofErr w:type="spellEnd"/>
      <w:r w:rsidRPr="00142084">
        <w:rPr>
          <w:sz w:val="24"/>
          <w:szCs w:val="24"/>
        </w:rPr>
        <w:t xml:space="preserve"> encefalopati, og bliver muligvis kun tydelige ved behandling. Det er begrundelsen for de anbefalede høje behandlingsdoser (se </w:t>
      </w:r>
      <w:r w:rsidR="00790607">
        <w:rPr>
          <w:sz w:val="24"/>
          <w:szCs w:val="24"/>
        </w:rPr>
        <w:t>pkt.</w:t>
      </w:r>
      <w:r w:rsidRPr="00142084">
        <w:rPr>
          <w:sz w:val="24"/>
          <w:szCs w:val="24"/>
        </w:rPr>
        <w:t xml:space="preserve"> 4.2).</w:t>
      </w:r>
    </w:p>
    <w:p w14:paraId="609EBCE2" w14:textId="77777777" w:rsidR="00142084" w:rsidRPr="00142084" w:rsidRDefault="00142084" w:rsidP="00142084">
      <w:pPr>
        <w:tabs>
          <w:tab w:val="left" w:pos="851"/>
        </w:tabs>
        <w:ind w:left="851"/>
        <w:rPr>
          <w:sz w:val="24"/>
          <w:szCs w:val="24"/>
        </w:rPr>
      </w:pPr>
      <w:r w:rsidRPr="00142084">
        <w:rPr>
          <w:sz w:val="24"/>
          <w:szCs w:val="24"/>
        </w:rPr>
        <w:t xml:space="preserve">  </w:t>
      </w:r>
    </w:p>
    <w:p w14:paraId="44C11CBE" w14:textId="5987524A" w:rsidR="00142084" w:rsidRPr="00142084" w:rsidRDefault="00142084" w:rsidP="00142084">
      <w:pPr>
        <w:tabs>
          <w:tab w:val="left" w:pos="851"/>
        </w:tabs>
        <w:ind w:left="851"/>
        <w:rPr>
          <w:sz w:val="24"/>
          <w:szCs w:val="24"/>
        </w:rPr>
      </w:pPr>
      <w:proofErr w:type="spellStart"/>
      <w:r w:rsidRPr="00142084">
        <w:rPr>
          <w:sz w:val="24"/>
          <w:szCs w:val="24"/>
        </w:rPr>
        <w:t>Thiamin</w:t>
      </w:r>
      <w:proofErr w:type="spellEnd"/>
      <w:r w:rsidRPr="00142084">
        <w:rPr>
          <w:sz w:val="24"/>
          <w:szCs w:val="24"/>
        </w:rPr>
        <w:t xml:space="preserve"> har en veldokumenteret sikkerhedsprofil. De eneste bivirkninger, der er observeret i forbindelse med parenteral administration, er smerter på injektionsstedet, </w:t>
      </w:r>
      <w:proofErr w:type="spellStart"/>
      <w:r w:rsidRPr="00142084">
        <w:rPr>
          <w:sz w:val="24"/>
          <w:szCs w:val="24"/>
        </w:rPr>
        <w:t>kontaktdermatitis</w:t>
      </w:r>
      <w:proofErr w:type="spellEnd"/>
      <w:r w:rsidRPr="00142084">
        <w:rPr>
          <w:sz w:val="24"/>
          <w:szCs w:val="24"/>
        </w:rPr>
        <w:t xml:space="preserve"> og allergiske reaktioner, der spænder fra milde til </w:t>
      </w:r>
      <w:proofErr w:type="spellStart"/>
      <w:r w:rsidRPr="00142084">
        <w:rPr>
          <w:sz w:val="24"/>
          <w:szCs w:val="24"/>
        </w:rPr>
        <w:t>anafylaktiske</w:t>
      </w:r>
      <w:proofErr w:type="spellEnd"/>
      <w:r w:rsidRPr="00142084">
        <w:rPr>
          <w:sz w:val="24"/>
          <w:szCs w:val="24"/>
        </w:rPr>
        <w:t>. Flere af disse bivirkninger er lette at behandle, selv om der har været rapporteret svær anafylaksi efter i.v.-</w:t>
      </w:r>
      <w:proofErr w:type="spellStart"/>
      <w:r w:rsidRPr="00142084">
        <w:rPr>
          <w:sz w:val="24"/>
          <w:szCs w:val="24"/>
        </w:rPr>
        <w:t>thiamin</w:t>
      </w:r>
      <w:proofErr w:type="spellEnd"/>
      <w:r w:rsidRPr="00142084">
        <w:rPr>
          <w:sz w:val="24"/>
          <w:szCs w:val="24"/>
        </w:rPr>
        <w:t xml:space="preserve"> (se </w:t>
      </w:r>
      <w:r w:rsidR="00790607">
        <w:rPr>
          <w:sz w:val="24"/>
          <w:szCs w:val="24"/>
        </w:rPr>
        <w:t>pkt.</w:t>
      </w:r>
      <w:r w:rsidRPr="00142084">
        <w:rPr>
          <w:sz w:val="24"/>
          <w:szCs w:val="24"/>
        </w:rPr>
        <w:t xml:space="preserve"> 4.4 og 4.8). Ved anafylaksi bør behandlingen med </w:t>
      </w:r>
      <w:proofErr w:type="spellStart"/>
      <w:r w:rsidRPr="00142084">
        <w:rPr>
          <w:sz w:val="24"/>
          <w:szCs w:val="24"/>
        </w:rPr>
        <w:t>thiamin</w:t>
      </w:r>
      <w:proofErr w:type="spellEnd"/>
      <w:r w:rsidRPr="00142084">
        <w:rPr>
          <w:sz w:val="24"/>
          <w:szCs w:val="24"/>
        </w:rPr>
        <w:t xml:space="preserve"> seponeres, og der bør iværksættes standard-anafylaksibehandling.  </w:t>
      </w:r>
    </w:p>
    <w:p w14:paraId="3F787B6B" w14:textId="77777777" w:rsidR="00142084" w:rsidRPr="00142084" w:rsidRDefault="00142084" w:rsidP="00142084">
      <w:pPr>
        <w:tabs>
          <w:tab w:val="left" w:pos="851"/>
        </w:tabs>
        <w:ind w:left="851"/>
        <w:rPr>
          <w:bCs/>
          <w:sz w:val="24"/>
          <w:szCs w:val="24"/>
        </w:rPr>
      </w:pPr>
    </w:p>
    <w:p w14:paraId="0C237BE9" w14:textId="77777777" w:rsidR="00142084" w:rsidRPr="008231E4" w:rsidRDefault="00142084" w:rsidP="00142084">
      <w:pPr>
        <w:tabs>
          <w:tab w:val="left" w:pos="851"/>
        </w:tabs>
        <w:ind w:left="851"/>
        <w:rPr>
          <w:sz w:val="24"/>
          <w:szCs w:val="24"/>
          <w:u w:val="single"/>
        </w:rPr>
      </w:pPr>
      <w:r w:rsidRPr="008231E4">
        <w:rPr>
          <w:sz w:val="24"/>
          <w:szCs w:val="24"/>
          <w:u w:val="single"/>
        </w:rPr>
        <w:t>Pædiatrisk population</w:t>
      </w:r>
    </w:p>
    <w:p w14:paraId="48554A6C" w14:textId="77777777" w:rsidR="00142084" w:rsidRPr="00142084" w:rsidRDefault="00142084" w:rsidP="00142084">
      <w:pPr>
        <w:tabs>
          <w:tab w:val="left" w:pos="851"/>
        </w:tabs>
        <w:ind w:left="851"/>
        <w:rPr>
          <w:sz w:val="24"/>
          <w:szCs w:val="24"/>
        </w:rPr>
      </w:pPr>
      <w:r w:rsidRPr="00142084">
        <w:rPr>
          <w:sz w:val="24"/>
          <w:szCs w:val="24"/>
        </w:rPr>
        <w:t xml:space="preserve">Ifølge en case-rapport blev en 13 år gammel dreng behandlet med høje doser </w:t>
      </w:r>
      <w:proofErr w:type="spellStart"/>
      <w:r w:rsidRPr="00142084">
        <w:rPr>
          <w:sz w:val="24"/>
          <w:szCs w:val="24"/>
        </w:rPr>
        <w:t>thiamin</w:t>
      </w:r>
      <w:proofErr w:type="spellEnd"/>
      <w:r w:rsidRPr="00142084">
        <w:rPr>
          <w:sz w:val="24"/>
          <w:szCs w:val="24"/>
        </w:rPr>
        <w:t>: først 100 mg/dag og derefter 500 mg tre gange daglig. Patienten kom sig fuldstændigt efter 20 dages erstatningsbehandling (se pkt. 4.2).</w:t>
      </w:r>
    </w:p>
    <w:p w14:paraId="0B14F498" w14:textId="77777777" w:rsidR="00142084" w:rsidRPr="00142084" w:rsidRDefault="00142084" w:rsidP="00142084">
      <w:pPr>
        <w:tabs>
          <w:tab w:val="left" w:pos="851"/>
        </w:tabs>
        <w:ind w:left="851"/>
        <w:rPr>
          <w:sz w:val="24"/>
          <w:szCs w:val="24"/>
          <w:u w:val="single"/>
        </w:rPr>
      </w:pPr>
    </w:p>
    <w:p w14:paraId="595A7048"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4D21ECC2" w14:textId="77777777" w:rsidR="005628C5" w:rsidRPr="005628C5" w:rsidRDefault="005628C5" w:rsidP="005628C5">
      <w:pPr>
        <w:tabs>
          <w:tab w:val="left" w:pos="851"/>
        </w:tabs>
        <w:ind w:left="851"/>
        <w:rPr>
          <w:b/>
          <w:sz w:val="24"/>
          <w:szCs w:val="24"/>
        </w:rPr>
      </w:pPr>
    </w:p>
    <w:p w14:paraId="2984B834" w14:textId="77777777" w:rsidR="005628C5" w:rsidRPr="005628C5" w:rsidRDefault="005628C5" w:rsidP="005628C5">
      <w:pPr>
        <w:tabs>
          <w:tab w:val="left" w:pos="851"/>
        </w:tabs>
        <w:ind w:left="851"/>
        <w:rPr>
          <w:sz w:val="24"/>
          <w:szCs w:val="24"/>
          <w:u w:val="single"/>
        </w:rPr>
      </w:pPr>
      <w:r w:rsidRPr="005628C5">
        <w:rPr>
          <w:sz w:val="24"/>
          <w:szCs w:val="24"/>
          <w:u w:val="single"/>
        </w:rPr>
        <w:t>Absorption</w:t>
      </w:r>
    </w:p>
    <w:p w14:paraId="639B61AE" w14:textId="77777777" w:rsidR="005628C5" w:rsidRPr="005628C5" w:rsidRDefault="005628C5" w:rsidP="005628C5">
      <w:pPr>
        <w:tabs>
          <w:tab w:val="left" w:pos="851"/>
        </w:tabs>
        <w:ind w:left="851"/>
        <w:rPr>
          <w:sz w:val="24"/>
          <w:szCs w:val="24"/>
        </w:rPr>
      </w:pPr>
      <w:r w:rsidRPr="005628C5">
        <w:rPr>
          <w:sz w:val="24"/>
          <w:szCs w:val="24"/>
        </w:rPr>
        <w:t xml:space="preserve">Ved </w:t>
      </w:r>
      <w:proofErr w:type="spellStart"/>
      <w:r w:rsidRPr="005628C5">
        <w:rPr>
          <w:sz w:val="24"/>
          <w:szCs w:val="24"/>
        </w:rPr>
        <w:t>i.m</w:t>
      </w:r>
      <w:proofErr w:type="spellEnd"/>
      <w:r w:rsidRPr="005628C5">
        <w:rPr>
          <w:sz w:val="24"/>
          <w:szCs w:val="24"/>
        </w:rPr>
        <w:t xml:space="preserve">. administration absorberes </w:t>
      </w:r>
      <w:proofErr w:type="spellStart"/>
      <w:r w:rsidRPr="005628C5">
        <w:rPr>
          <w:sz w:val="24"/>
          <w:szCs w:val="24"/>
        </w:rPr>
        <w:t>thiamin</w:t>
      </w:r>
      <w:proofErr w:type="spellEnd"/>
      <w:r w:rsidRPr="005628C5">
        <w:rPr>
          <w:sz w:val="24"/>
          <w:szCs w:val="24"/>
        </w:rPr>
        <w:t xml:space="preserve"> hurtigt og fuldstændigt. </w:t>
      </w:r>
    </w:p>
    <w:p w14:paraId="5AFF324A" w14:textId="77777777" w:rsidR="005628C5" w:rsidRPr="005628C5" w:rsidRDefault="005628C5" w:rsidP="005628C5">
      <w:pPr>
        <w:tabs>
          <w:tab w:val="left" w:pos="851"/>
        </w:tabs>
        <w:ind w:left="851"/>
        <w:rPr>
          <w:sz w:val="24"/>
          <w:szCs w:val="24"/>
          <w:u w:val="single"/>
        </w:rPr>
      </w:pPr>
    </w:p>
    <w:p w14:paraId="0B39382C" w14:textId="77777777" w:rsidR="005628C5" w:rsidRPr="005628C5" w:rsidRDefault="005628C5" w:rsidP="005628C5">
      <w:pPr>
        <w:tabs>
          <w:tab w:val="left" w:pos="851"/>
        </w:tabs>
        <w:ind w:left="851"/>
        <w:rPr>
          <w:sz w:val="24"/>
          <w:szCs w:val="24"/>
          <w:u w:val="single"/>
        </w:rPr>
      </w:pPr>
      <w:r w:rsidRPr="005628C5">
        <w:rPr>
          <w:sz w:val="24"/>
          <w:szCs w:val="24"/>
          <w:u w:val="single"/>
        </w:rPr>
        <w:t>Fordeling</w:t>
      </w:r>
    </w:p>
    <w:p w14:paraId="2D2CAA0E" w14:textId="77777777" w:rsidR="005628C5" w:rsidRPr="005628C5" w:rsidRDefault="005628C5" w:rsidP="005628C5">
      <w:pPr>
        <w:tabs>
          <w:tab w:val="left" w:pos="851"/>
        </w:tabs>
        <w:ind w:left="851"/>
        <w:rPr>
          <w:sz w:val="24"/>
          <w:szCs w:val="24"/>
        </w:rPr>
      </w:pPr>
      <w:proofErr w:type="spellStart"/>
      <w:r w:rsidRPr="005628C5">
        <w:rPr>
          <w:sz w:val="24"/>
          <w:szCs w:val="24"/>
        </w:rPr>
        <w:t>Thiamin</w:t>
      </w:r>
      <w:proofErr w:type="spellEnd"/>
      <w:r w:rsidRPr="005628C5">
        <w:rPr>
          <w:sz w:val="24"/>
          <w:szCs w:val="24"/>
        </w:rPr>
        <w:t xml:space="preserve"> er uspecifikt bundet til flere proteiner i plasma, især albumin. </w:t>
      </w:r>
    </w:p>
    <w:p w14:paraId="2584AC29" w14:textId="77777777" w:rsidR="005628C5" w:rsidRPr="005628C5" w:rsidRDefault="005628C5" w:rsidP="005628C5">
      <w:pPr>
        <w:tabs>
          <w:tab w:val="left" w:pos="851"/>
        </w:tabs>
        <w:ind w:left="851"/>
        <w:rPr>
          <w:sz w:val="24"/>
          <w:szCs w:val="24"/>
        </w:rPr>
      </w:pPr>
      <w:r w:rsidRPr="005628C5">
        <w:rPr>
          <w:sz w:val="24"/>
          <w:szCs w:val="24"/>
        </w:rPr>
        <w:t xml:space="preserve">Det findes i det meste kropsvæv. Det vides ikke, om </w:t>
      </w:r>
      <w:proofErr w:type="spellStart"/>
      <w:r w:rsidRPr="005628C5">
        <w:rPr>
          <w:sz w:val="24"/>
          <w:szCs w:val="24"/>
        </w:rPr>
        <w:t>thiamin</w:t>
      </w:r>
      <w:proofErr w:type="spellEnd"/>
      <w:r w:rsidRPr="005628C5">
        <w:rPr>
          <w:sz w:val="24"/>
          <w:szCs w:val="24"/>
        </w:rPr>
        <w:t xml:space="preserve"> krydser placenta. Tilskud påvirkede ikke væsentligt </w:t>
      </w:r>
      <w:proofErr w:type="spellStart"/>
      <w:r w:rsidRPr="005628C5">
        <w:rPr>
          <w:sz w:val="24"/>
          <w:szCs w:val="24"/>
        </w:rPr>
        <w:t>thiaminkoncentrationen</w:t>
      </w:r>
      <w:proofErr w:type="spellEnd"/>
      <w:r w:rsidRPr="005628C5">
        <w:rPr>
          <w:sz w:val="24"/>
          <w:szCs w:val="24"/>
        </w:rPr>
        <w:t xml:space="preserve"> i modermælk hos sunde, velernærede kvinder, men forekommer i modermælk hos ammende kvinder med dårlig ernæringstilstand. Forfatterne antog, at brystkirtlens absorptionsevne kan være mættet.</w:t>
      </w:r>
    </w:p>
    <w:p w14:paraId="6DCD68E6" w14:textId="77777777" w:rsidR="005628C5" w:rsidRPr="005628C5" w:rsidRDefault="005628C5" w:rsidP="005628C5">
      <w:pPr>
        <w:tabs>
          <w:tab w:val="left" w:pos="851"/>
        </w:tabs>
        <w:ind w:left="851"/>
        <w:rPr>
          <w:sz w:val="24"/>
          <w:szCs w:val="24"/>
        </w:rPr>
      </w:pPr>
      <w:r w:rsidRPr="005628C5">
        <w:rPr>
          <w:sz w:val="24"/>
          <w:szCs w:val="24"/>
        </w:rPr>
        <w:t xml:space="preserve">Inde i cellerne findes det mest som </w:t>
      </w:r>
      <w:proofErr w:type="spellStart"/>
      <w:r w:rsidRPr="005628C5">
        <w:rPr>
          <w:sz w:val="24"/>
          <w:szCs w:val="24"/>
        </w:rPr>
        <w:t>diphosphat</w:t>
      </w:r>
      <w:proofErr w:type="spellEnd"/>
      <w:r w:rsidRPr="005628C5">
        <w:rPr>
          <w:sz w:val="24"/>
          <w:szCs w:val="24"/>
        </w:rPr>
        <w:t xml:space="preserve">. </w:t>
      </w:r>
    </w:p>
    <w:p w14:paraId="7C3E2EBF" w14:textId="77777777" w:rsidR="005628C5" w:rsidRPr="005628C5" w:rsidRDefault="005628C5" w:rsidP="005628C5">
      <w:pPr>
        <w:tabs>
          <w:tab w:val="left" w:pos="851"/>
        </w:tabs>
        <w:ind w:left="851"/>
        <w:rPr>
          <w:sz w:val="24"/>
          <w:szCs w:val="24"/>
        </w:rPr>
      </w:pPr>
      <w:proofErr w:type="spellStart"/>
      <w:r w:rsidRPr="005628C5">
        <w:rPr>
          <w:sz w:val="24"/>
          <w:szCs w:val="24"/>
        </w:rPr>
        <w:t>Thiamin</w:t>
      </w:r>
      <w:proofErr w:type="spellEnd"/>
      <w:r w:rsidRPr="005628C5">
        <w:rPr>
          <w:sz w:val="24"/>
          <w:szCs w:val="24"/>
        </w:rPr>
        <w:t xml:space="preserve"> er et vandopløseligt vitamin. Derfor er mængden af </w:t>
      </w:r>
      <w:proofErr w:type="spellStart"/>
      <w:r w:rsidRPr="005628C5">
        <w:rPr>
          <w:sz w:val="24"/>
          <w:szCs w:val="24"/>
        </w:rPr>
        <w:t>thiaminreserver</w:t>
      </w:r>
      <w:proofErr w:type="spellEnd"/>
      <w:r w:rsidRPr="005628C5">
        <w:rPr>
          <w:sz w:val="24"/>
          <w:szCs w:val="24"/>
        </w:rPr>
        <w:t xml:space="preserve"> i kropscellernes lipidstrukturer ret lav med en maksimal lagringskapacitet på 30 mg.</w:t>
      </w:r>
    </w:p>
    <w:p w14:paraId="78944481" w14:textId="77777777" w:rsidR="005628C5" w:rsidRPr="005628C5" w:rsidRDefault="005628C5" w:rsidP="005628C5">
      <w:pPr>
        <w:tabs>
          <w:tab w:val="left" w:pos="851"/>
        </w:tabs>
        <w:ind w:left="851"/>
        <w:rPr>
          <w:sz w:val="24"/>
          <w:szCs w:val="24"/>
          <w:u w:val="single"/>
        </w:rPr>
      </w:pPr>
    </w:p>
    <w:p w14:paraId="6B14F116" w14:textId="77777777" w:rsidR="005628C5" w:rsidRPr="005628C5" w:rsidRDefault="005628C5" w:rsidP="005628C5">
      <w:pPr>
        <w:tabs>
          <w:tab w:val="left" w:pos="851"/>
        </w:tabs>
        <w:ind w:left="851"/>
        <w:rPr>
          <w:sz w:val="24"/>
          <w:szCs w:val="24"/>
          <w:u w:val="single"/>
        </w:rPr>
      </w:pPr>
      <w:r w:rsidRPr="005628C5">
        <w:rPr>
          <w:sz w:val="24"/>
          <w:szCs w:val="24"/>
          <w:u w:val="single"/>
        </w:rPr>
        <w:t>Biotransformation og elimination</w:t>
      </w:r>
    </w:p>
    <w:p w14:paraId="1D71CC4F" w14:textId="77777777" w:rsidR="005628C5" w:rsidRPr="005628C5" w:rsidRDefault="005628C5" w:rsidP="005628C5">
      <w:pPr>
        <w:tabs>
          <w:tab w:val="left" w:pos="851"/>
        </w:tabs>
        <w:ind w:left="851"/>
        <w:rPr>
          <w:sz w:val="24"/>
          <w:szCs w:val="24"/>
        </w:rPr>
      </w:pPr>
      <w:r w:rsidRPr="005628C5">
        <w:rPr>
          <w:sz w:val="24"/>
          <w:szCs w:val="24"/>
        </w:rPr>
        <w:t xml:space="preserve">Hos dyr </w:t>
      </w:r>
      <w:proofErr w:type="spellStart"/>
      <w:r w:rsidRPr="005628C5">
        <w:rPr>
          <w:sz w:val="24"/>
          <w:szCs w:val="24"/>
        </w:rPr>
        <w:t>metaboliseres</w:t>
      </w:r>
      <w:proofErr w:type="spellEnd"/>
      <w:r w:rsidRPr="005628C5">
        <w:rPr>
          <w:sz w:val="24"/>
          <w:szCs w:val="24"/>
        </w:rPr>
        <w:t xml:space="preserve"> </w:t>
      </w:r>
      <w:proofErr w:type="spellStart"/>
      <w:r w:rsidRPr="005628C5">
        <w:rPr>
          <w:sz w:val="24"/>
          <w:szCs w:val="24"/>
        </w:rPr>
        <w:t>thiamin</w:t>
      </w:r>
      <w:proofErr w:type="spellEnd"/>
      <w:r w:rsidRPr="005628C5">
        <w:rPr>
          <w:sz w:val="24"/>
          <w:szCs w:val="24"/>
        </w:rPr>
        <w:t xml:space="preserve"> i leveren. Der er identificeret flere urinmetabolitter af </w:t>
      </w:r>
      <w:proofErr w:type="spellStart"/>
      <w:r w:rsidRPr="005628C5">
        <w:rPr>
          <w:sz w:val="24"/>
          <w:szCs w:val="24"/>
        </w:rPr>
        <w:t>thiamin</w:t>
      </w:r>
      <w:proofErr w:type="spellEnd"/>
      <w:r w:rsidRPr="005628C5">
        <w:rPr>
          <w:sz w:val="24"/>
          <w:szCs w:val="24"/>
        </w:rPr>
        <w:t xml:space="preserve"> hos mennesker. Der udskilles efter administration af fysiologiske doser kun lidt eller intet </w:t>
      </w:r>
      <w:proofErr w:type="spellStart"/>
      <w:r w:rsidRPr="005628C5">
        <w:rPr>
          <w:sz w:val="24"/>
          <w:szCs w:val="24"/>
        </w:rPr>
        <w:t>uomdannet</w:t>
      </w:r>
      <w:proofErr w:type="spellEnd"/>
      <w:r w:rsidRPr="005628C5">
        <w:rPr>
          <w:sz w:val="24"/>
          <w:szCs w:val="24"/>
        </w:rPr>
        <w:t xml:space="preserve"> </w:t>
      </w:r>
      <w:proofErr w:type="spellStart"/>
      <w:r w:rsidRPr="005628C5">
        <w:rPr>
          <w:sz w:val="24"/>
          <w:szCs w:val="24"/>
        </w:rPr>
        <w:t>thiamin</w:t>
      </w:r>
      <w:proofErr w:type="spellEnd"/>
      <w:r w:rsidRPr="005628C5">
        <w:rPr>
          <w:sz w:val="24"/>
          <w:szCs w:val="24"/>
        </w:rPr>
        <w:t xml:space="preserve"> i urinen. Efter administration af store doser udskilles der imidlertid både </w:t>
      </w:r>
      <w:proofErr w:type="spellStart"/>
      <w:r w:rsidRPr="005628C5">
        <w:rPr>
          <w:sz w:val="24"/>
          <w:szCs w:val="24"/>
        </w:rPr>
        <w:t>uomdannet</w:t>
      </w:r>
      <w:proofErr w:type="spellEnd"/>
      <w:r w:rsidRPr="005628C5">
        <w:rPr>
          <w:sz w:val="24"/>
          <w:szCs w:val="24"/>
        </w:rPr>
        <w:t xml:space="preserve"> </w:t>
      </w:r>
      <w:proofErr w:type="spellStart"/>
      <w:r w:rsidRPr="005628C5">
        <w:rPr>
          <w:sz w:val="24"/>
          <w:szCs w:val="24"/>
        </w:rPr>
        <w:t>thiamin</w:t>
      </w:r>
      <w:proofErr w:type="spellEnd"/>
      <w:r w:rsidRPr="005628C5">
        <w:rPr>
          <w:sz w:val="24"/>
          <w:szCs w:val="24"/>
        </w:rPr>
        <w:t xml:space="preserve"> og metabolitter, når vævsdepoterne er mættede.   </w:t>
      </w:r>
    </w:p>
    <w:p w14:paraId="31B7BB28" w14:textId="77777777" w:rsidR="005628C5" w:rsidRPr="005628C5" w:rsidRDefault="005628C5" w:rsidP="005628C5">
      <w:pPr>
        <w:tabs>
          <w:tab w:val="left" w:pos="851"/>
        </w:tabs>
        <w:ind w:left="851"/>
        <w:rPr>
          <w:sz w:val="24"/>
          <w:szCs w:val="24"/>
        </w:rPr>
      </w:pPr>
      <w:r w:rsidRPr="005628C5">
        <w:rPr>
          <w:sz w:val="24"/>
          <w:szCs w:val="24"/>
        </w:rPr>
        <w:lastRenderedPageBreak/>
        <w:t xml:space="preserve">Ved </w:t>
      </w:r>
      <w:proofErr w:type="spellStart"/>
      <w:r w:rsidRPr="005628C5">
        <w:rPr>
          <w:sz w:val="24"/>
          <w:szCs w:val="24"/>
        </w:rPr>
        <w:t>thiaminmangel</w:t>
      </w:r>
      <w:proofErr w:type="spellEnd"/>
      <w:r w:rsidRPr="005628C5">
        <w:rPr>
          <w:sz w:val="24"/>
          <w:szCs w:val="24"/>
        </w:rPr>
        <w:t xml:space="preserve"> er der generelt ikke </w:t>
      </w:r>
      <w:proofErr w:type="spellStart"/>
      <w:r w:rsidRPr="005628C5">
        <w:rPr>
          <w:sz w:val="24"/>
          <w:szCs w:val="24"/>
        </w:rPr>
        <w:t>thiamin</w:t>
      </w:r>
      <w:proofErr w:type="spellEnd"/>
      <w:r w:rsidRPr="005628C5">
        <w:rPr>
          <w:sz w:val="24"/>
          <w:szCs w:val="24"/>
        </w:rPr>
        <w:t xml:space="preserve"> i urinen. Men en patient kan have klinisk (eller subklinisk) </w:t>
      </w:r>
      <w:proofErr w:type="spellStart"/>
      <w:r w:rsidRPr="005628C5">
        <w:rPr>
          <w:sz w:val="24"/>
          <w:szCs w:val="24"/>
        </w:rPr>
        <w:t>thiaminmangel</w:t>
      </w:r>
      <w:proofErr w:type="spellEnd"/>
      <w:r w:rsidRPr="005628C5">
        <w:rPr>
          <w:sz w:val="24"/>
          <w:szCs w:val="24"/>
        </w:rPr>
        <w:t xml:space="preserve"> på trods af </w:t>
      </w:r>
      <w:proofErr w:type="spellStart"/>
      <w:r w:rsidRPr="005628C5">
        <w:rPr>
          <w:sz w:val="24"/>
          <w:szCs w:val="24"/>
        </w:rPr>
        <w:t>thiaminudskillelse</w:t>
      </w:r>
      <w:proofErr w:type="spellEnd"/>
      <w:r w:rsidRPr="005628C5">
        <w:rPr>
          <w:sz w:val="24"/>
          <w:szCs w:val="24"/>
        </w:rPr>
        <w:t xml:space="preserve"> på et "normalt" niveau i serum og urin.</w:t>
      </w:r>
    </w:p>
    <w:p w14:paraId="6E4C1097" w14:textId="77777777" w:rsidR="005628C5" w:rsidRPr="005628C5" w:rsidRDefault="005628C5" w:rsidP="005628C5">
      <w:pPr>
        <w:tabs>
          <w:tab w:val="left" w:pos="851"/>
        </w:tabs>
        <w:ind w:left="851"/>
        <w:rPr>
          <w:b/>
          <w:bCs/>
          <w:sz w:val="24"/>
          <w:szCs w:val="24"/>
          <w:u w:val="single"/>
        </w:rPr>
      </w:pPr>
    </w:p>
    <w:p w14:paraId="77255B53" w14:textId="77777777" w:rsidR="005628C5" w:rsidRPr="005628C5" w:rsidRDefault="005628C5" w:rsidP="005628C5">
      <w:pPr>
        <w:tabs>
          <w:tab w:val="left" w:pos="851"/>
        </w:tabs>
        <w:ind w:left="851"/>
        <w:rPr>
          <w:sz w:val="24"/>
          <w:szCs w:val="24"/>
          <w:u w:val="single"/>
        </w:rPr>
      </w:pPr>
      <w:r w:rsidRPr="005628C5">
        <w:rPr>
          <w:sz w:val="24"/>
          <w:szCs w:val="24"/>
          <w:u w:val="single"/>
        </w:rPr>
        <w:t>Specifikke patientgrupper</w:t>
      </w:r>
    </w:p>
    <w:p w14:paraId="6F2D83B3" w14:textId="77777777" w:rsidR="005628C5" w:rsidRPr="005628C5" w:rsidRDefault="005628C5" w:rsidP="005628C5">
      <w:pPr>
        <w:tabs>
          <w:tab w:val="left" w:pos="851"/>
        </w:tabs>
        <w:ind w:left="851"/>
        <w:rPr>
          <w:i/>
          <w:iCs/>
          <w:sz w:val="24"/>
          <w:szCs w:val="24"/>
          <w:u w:val="single"/>
        </w:rPr>
      </w:pPr>
    </w:p>
    <w:p w14:paraId="4022504E" w14:textId="77777777" w:rsidR="005628C5" w:rsidRPr="00E50012" w:rsidRDefault="005628C5" w:rsidP="005628C5">
      <w:pPr>
        <w:tabs>
          <w:tab w:val="left" w:pos="851"/>
        </w:tabs>
        <w:ind w:left="851"/>
        <w:rPr>
          <w:i/>
          <w:iCs/>
          <w:sz w:val="24"/>
          <w:szCs w:val="24"/>
        </w:rPr>
      </w:pPr>
      <w:r w:rsidRPr="00E50012">
        <w:rPr>
          <w:i/>
          <w:sz w:val="24"/>
          <w:szCs w:val="24"/>
        </w:rPr>
        <w:t>Nedsat nyrefunktion</w:t>
      </w:r>
    </w:p>
    <w:p w14:paraId="7F6F97EC" w14:textId="649416BA" w:rsidR="005628C5" w:rsidRPr="005628C5" w:rsidRDefault="005628C5" w:rsidP="005628C5">
      <w:pPr>
        <w:tabs>
          <w:tab w:val="left" w:pos="851"/>
        </w:tabs>
        <w:ind w:left="851"/>
        <w:rPr>
          <w:sz w:val="24"/>
          <w:szCs w:val="24"/>
        </w:rPr>
      </w:pPr>
      <w:r w:rsidRPr="005628C5">
        <w:rPr>
          <w:sz w:val="24"/>
          <w:szCs w:val="24"/>
        </w:rPr>
        <w:t xml:space="preserve">Der foreligger ingen vurderinger af, hvordan nedsat nyrefunktion påvirker </w:t>
      </w:r>
      <w:proofErr w:type="spellStart"/>
      <w:r w:rsidRPr="005628C5">
        <w:rPr>
          <w:sz w:val="24"/>
          <w:szCs w:val="24"/>
        </w:rPr>
        <w:t>thiamins</w:t>
      </w:r>
      <w:proofErr w:type="spellEnd"/>
      <w:r w:rsidRPr="005628C5">
        <w:rPr>
          <w:sz w:val="24"/>
          <w:szCs w:val="24"/>
        </w:rPr>
        <w:t xml:space="preserve"> farmakokinetik. Der foreligger ingen data, der tyder på, at det er nødvendigt at ændre dosering hos patienter med nyreproblemer. Der kræves således ingen dosisjustering hos patienter med nedsat nyrefunktion. Men da eliminering gennem urinen er den primære udskillelsesvej, kan det tænkes, at patienter med forstyrret urinfunktion kan akkumulere store systemiske doser af </w:t>
      </w:r>
      <w:proofErr w:type="spellStart"/>
      <w:r w:rsidRPr="005628C5">
        <w:rPr>
          <w:sz w:val="24"/>
          <w:szCs w:val="24"/>
        </w:rPr>
        <w:t>thiamin</w:t>
      </w:r>
      <w:proofErr w:type="spellEnd"/>
      <w:r w:rsidRPr="005628C5">
        <w:rPr>
          <w:sz w:val="24"/>
          <w:szCs w:val="24"/>
        </w:rPr>
        <w:t xml:space="preserve"> og </w:t>
      </w:r>
      <w:proofErr w:type="spellStart"/>
      <w:r w:rsidRPr="005628C5">
        <w:rPr>
          <w:sz w:val="24"/>
          <w:szCs w:val="24"/>
        </w:rPr>
        <w:t>thiaminmetabolitter</w:t>
      </w:r>
      <w:proofErr w:type="spellEnd"/>
      <w:r w:rsidRPr="005628C5">
        <w:rPr>
          <w:sz w:val="24"/>
          <w:szCs w:val="24"/>
        </w:rPr>
        <w:t xml:space="preserve">. Selv om der hverken findes viden eller dokumentation for potentiel toksicitet, er særlig omhyggelig overvågning af disse patienter tilrådelig i betragtning af det </w:t>
      </w:r>
      <w:proofErr w:type="spellStart"/>
      <w:r w:rsidRPr="005628C5">
        <w:rPr>
          <w:sz w:val="24"/>
          <w:szCs w:val="24"/>
        </w:rPr>
        <w:t>anafylaktiske</w:t>
      </w:r>
      <w:proofErr w:type="spellEnd"/>
      <w:r w:rsidRPr="005628C5">
        <w:rPr>
          <w:sz w:val="24"/>
          <w:szCs w:val="24"/>
        </w:rPr>
        <w:t xml:space="preserve"> potentiale (se </w:t>
      </w:r>
      <w:r w:rsidR="00790607">
        <w:rPr>
          <w:sz w:val="24"/>
          <w:szCs w:val="24"/>
        </w:rPr>
        <w:t>pkt.</w:t>
      </w:r>
      <w:r w:rsidRPr="005628C5">
        <w:rPr>
          <w:sz w:val="24"/>
          <w:szCs w:val="24"/>
        </w:rPr>
        <w:t xml:space="preserve"> 4.2 og 4.4).</w:t>
      </w:r>
    </w:p>
    <w:p w14:paraId="772445E5" w14:textId="77777777" w:rsidR="005628C5" w:rsidRPr="005628C5" w:rsidRDefault="005628C5" w:rsidP="005628C5">
      <w:pPr>
        <w:tabs>
          <w:tab w:val="left" w:pos="851"/>
        </w:tabs>
        <w:ind w:left="851"/>
        <w:rPr>
          <w:bCs/>
          <w:sz w:val="24"/>
          <w:szCs w:val="24"/>
        </w:rPr>
      </w:pPr>
    </w:p>
    <w:p w14:paraId="459A6A7C" w14:textId="77777777" w:rsidR="005628C5" w:rsidRPr="005628C5" w:rsidRDefault="005628C5" w:rsidP="005628C5">
      <w:pPr>
        <w:tabs>
          <w:tab w:val="left" w:pos="851"/>
        </w:tabs>
        <w:ind w:left="851"/>
        <w:rPr>
          <w:sz w:val="24"/>
          <w:szCs w:val="24"/>
        </w:rPr>
      </w:pPr>
      <w:r w:rsidRPr="005628C5">
        <w:rPr>
          <w:sz w:val="24"/>
          <w:szCs w:val="24"/>
        </w:rPr>
        <w:t xml:space="preserve">Dialysepatienter har stor risiko for at mangle B1-vitamin. Disse patienter kan også være resistente over for vitaminaktivitet. </w:t>
      </w:r>
    </w:p>
    <w:p w14:paraId="4FF40078" w14:textId="77777777" w:rsidR="005628C5" w:rsidRPr="005628C5" w:rsidRDefault="005628C5" w:rsidP="005628C5">
      <w:pPr>
        <w:tabs>
          <w:tab w:val="left" w:pos="851"/>
        </w:tabs>
        <w:ind w:left="851"/>
        <w:rPr>
          <w:i/>
          <w:iCs/>
          <w:sz w:val="24"/>
          <w:szCs w:val="24"/>
          <w:u w:val="single"/>
        </w:rPr>
      </w:pPr>
    </w:p>
    <w:p w14:paraId="5EC2EB3C" w14:textId="77777777" w:rsidR="005628C5" w:rsidRPr="00E50012" w:rsidRDefault="005628C5" w:rsidP="005628C5">
      <w:pPr>
        <w:tabs>
          <w:tab w:val="left" w:pos="851"/>
        </w:tabs>
        <w:ind w:left="851"/>
        <w:rPr>
          <w:i/>
          <w:iCs/>
          <w:sz w:val="24"/>
          <w:szCs w:val="24"/>
        </w:rPr>
      </w:pPr>
      <w:r w:rsidRPr="00E50012">
        <w:rPr>
          <w:i/>
          <w:iCs/>
          <w:sz w:val="24"/>
          <w:szCs w:val="24"/>
        </w:rPr>
        <w:t>Nedsat leverfunktion</w:t>
      </w:r>
    </w:p>
    <w:p w14:paraId="76C74F5C" w14:textId="3C98D508" w:rsidR="005628C5" w:rsidRPr="005628C5" w:rsidRDefault="005628C5" w:rsidP="005628C5">
      <w:pPr>
        <w:tabs>
          <w:tab w:val="left" w:pos="851"/>
        </w:tabs>
        <w:ind w:left="851"/>
        <w:rPr>
          <w:sz w:val="24"/>
          <w:szCs w:val="24"/>
        </w:rPr>
      </w:pPr>
      <w:r w:rsidRPr="005628C5">
        <w:rPr>
          <w:sz w:val="24"/>
          <w:szCs w:val="24"/>
        </w:rPr>
        <w:t xml:space="preserve">Det er ikke undersøgt, hvordan nedsat leverfunktion påvirker </w:t>
      </w:r>
      <w:proofErr w:type="spellStart"/>
      <w:r w:rsidRPr="005628C5">
        <w:rPr>
          <w:sz w:val="24"/>
          <w:szCs w:val="24"/>
        </w:rPr>
        <w:t>thiamins</w:t>
      </w:r>
      <w:proofErr w:type="spellEnd"/>
      <w:r w:rsidRPr="005628C5">
        <w:rPr>
          <w:sz w:val="24"/>
          <w:szCs w:val="24"/>
        </w:rPr>
        <w:t xml:space="preserve"> farmakokinetik. Der kræves ingen dosisjustering hos patienter med nedsat leverfunktion, men det anbefales at udvise forsigtighed i forbindelse med disse patienter (se </w:t>
      </w:r>
      <w:r w:rsidR="00790607">
        <w:rPr>
          <w:sz w:val="24"/>
          <w:szCs w:val="24"/>
        </w:rPr>
        <w:t>pkt.</w:t>
      </w:r>
      <w:r w:rsidRPr="005628C5">
        <w:rPr>
          <w:sz w:val="24"/>
          <w:szCs w:val="24"/>
        </w:rPr>
        <w:t xml:space="preserve"> 4.2).  </w:t>
      </w:r>
    </w:p>
    <w:p w14:paraId="573C7235" w14:textId="77777777" w:rsidR="005628C5" w:rsidRPr="005628C5" w:rsidRDefault="005628C5" w:rsidP="005628C5">
      <w:pPr>
        <w:tabs>
          <w:tab w:val="left" w:pos="851"/>
        </w:tabs>
        <w:ind w:left="851"/>
        <w:rPr>
          <w:i/>
          <w:iCs/>
          <w:sz w:val="24"/>
          <w:szCs w:val="24"/>
          <w:u w:val="single"/>
        </w:rPr>
      </w:pPr>
    </w:p>
    <w:p w14:paraId="44F649C6" w14:textId="77777777" w:rsidR="005628C5" w:rsidRPr="00E50012" w:rsidRDefault="005628C5" w:rsidP="005628C5">
      <w:pPr>
        <w:tabs>
          <w:tab w:val="left" w:pos="851"/>
        </w:tabs>
        <w:ind w:left="851"/>
        <w:rPr>
          <w:i/>
          <w:iCs/>
          <w:sz w:val="24"/>
          <w:szCs w:val="24"/>
        </w:rPr>
      </w:pPr>
      <w:r w:rsidRPr="00E50012">
        <w:rPr>
          <w:i/>
          <w:iCs/>
          <w:sz w:val="24"/>
          <w:szCs w:val="24"/>
        </w:rPr>
        <w:t xml:space="preserve">Betydningen af køn, race og vægt </w:t>
      </w:r>
    </w:p>
    <w:p w14:paraId="377907B3" w14:textId="77777777" w:rsidR="005628C5" w:rsidRPr="005628C5" w:rsidRDefault="005628C5" w:rsidP="005628C5">
      <w:pPr>
        <w:tabs>
          <w:tab w:val="left" w:pos="851"/>
        </w:tabs>
        <w:ind w:left="851"/>
        <w:rPr>
          <w:sz w:val="24"/>
          <w:szCs w:val="24"/>
        </w:rPr>
      </w:pPr>
      <w:r w:rsidRPr="005628C5">
        <w:rPr>
          <w:sz w:val="24"/>
          <w:szCs w:val="24"/>
        </w:rPr>
        <w:t xml:space="preserve">Betydningen af køn, race og vægt er ikke påvist, og der foreligger ingen data om effekten af disse faktorer på </w:t>
      </w:r>
      <w:proofErr w:type="spellStart"/>
      <w:r w:rsidRPr="005628C5">
        <w:rPr>
          <w:sz w:val="24"/>
          <w:szCs w:val="24"/>
        </w:rPr>
        <w:t>thiamins</w:t>
      </w:r>
      <w:proofErr w:type="spellEnd"/>
      <w:r w:rsidRPr="005628C5">
        <w:rPr>
          <w:sz w:val="24"/>
          <w:szCs w:val="24"/>
        </w:rPr>
        <w:t xml:space="preserve"> farmakokinetik.  </w:t>
      </w:r>
    </w:p>
    <w:p w14:paraId="39291E8B" w14:textId="77777777" w:rsidR="005628C5" w:rsidRPr="005628C5" w:rsidRDefault="005628C5" w:rsidP="005628C5">
      <w:pPr>
        <w:tabs>
          <w:tab w:val="left" w:pos="851"/>
        </w:tabs>
        <w:ind w:left="851"/>
        <w:rPr>
          <w:i/>
          <w:iCs/>
          <w:sz w:val="24"/>
          <w:szCs w:val="24"/>
          <w:u w:val="single"/>
        </w:rPr>
      </w:pPr>
    </w:p>
    <w:p w14:paraId="79857D07" w14:textId="77777777" w:rsidR="005628C5" w:rsidRPr="00E50012" w:rsidRDefault="005628C5" w:rsidP="005628C5">
      <w:pPr>
        <w:tabs>
          <w:tab w:val="left" w:pos="851"/>
        </w:tabs>
        <w:ind w:left="851"/>
        <w:rPr>
          <w:i/>
          <w:iCs/>
          <w:sz w:val="24"/>
          <w:szCs w:val="24"/>
        </w:rPr>
      </w:pPr>
      <w:r w:rsidRPr="00E50012">
        <w:rPr>
          <w:i/>
          <w:iCs/>
          <w:sz w:val="24"/>
          <w:szCs w:val="24"/>
        </w:rPr>
        <w:t>Ældre</w:t>
      </w:r>
    </w:p>
    <w:p w14:paraId="111A8123" w14:textId="56B9C7AC" w:rsidR="005628C5" w:rsidRPr="005628C5" w:rsidRDefault="005628C5" w:rsidP="005628C5">
      <w:pPr>
        <w:tabs>
          <w:tab w:val="left" w:pos="851"/>
        </w:tabs>
        <w:ind w:left="851"/>
        <w:rPr>
          <w:sz w:val="24"/>
          <w:szCs w:val="24"/>
        </w:rPr>
      </w:pPr>
      <w:r w:rsidRPr="005628C5">
        <w:rPr>
          <w:sz w:val="24"/>
          <w:szCs w:val="24"/>
        </w:rPr>
        <w:t xml:space="preserve">Der foreligger ingen </w:t>
      </w:r>
      <w:proofErr w:type="spellStart"/>
      <w:r w:rsidRPr="005628C5">
        <w:rPr>
          <w:sz w:val="24"/>
          <w:szCs w:val="24"/>
        </w:rPr>
        <w:t>farmakokinetiske</w:t>
      </w:r>
      <w:proofErr w:type="spellEnd"/>
      <w:r w:rsidRPr="005628C5">
        <w:rPr>
          <w:sz w:val="24"/>
          <w:szCs w:val="24"/>
        </w:rPr>
        <w:t xml:space="preserve"> data om ældre. Der anbefales ingen dosisjustering for denne population (se </w:t>
      </w:r>
      <w:r w:rsidR="00790607">
        <w:rPr>
          <w:sz w:val="24"/>
          <w:szCs w:val="24"/>
        </w:rPr>
        <w:t>pkt.</w:t>
      </w:r>
      <w:r w:rsidRPr="005628C5">
        <w:rPr>
          <w:sz w:val="24"/>
          <w:szCs w:val="24"/>
        </w:rPr>
        <w:t xml:space="preserve"> 4.2). </w:t>
      </w:r>
    </w:p>
    <w:p w14:paraId="40D8DE7A" w14:textId="77777777" w:rsidR="005628C5" w:rsidRPr="005628C5" w:rsidRDefault="005628C5" w:rsidP="005628C5">
      <w:pPr>
        <w:tabs>
          <w:tab w:val="left" w:pos="851"/>
        </w:tabs>
        <w:ind w:left="851"/>
        <w:rPr>
          <w:i/>
          <w:iCs/>
          <w:sz w:val="24"/>
          <w:szCs w:val="24"/>
          <w:u w:val="single"/>
        </w:rPr>
      </w:pPr>
    </w:p>
    <w:p w14:paraId="5ADBC217" w14:textId="77777777" w:rsidR="005628C5" w:rsidRPr="00E50012" w:rsidRDefault="005628C5" w:rsidP="005628C5">
      <w:pPr>
        <w:tabs>
          <w:tab w:val="left" w:pos="851"/>
        </w:tabs>
        <w:ind w:left="851"/>
        <w:rPr>
          <w:i/>
          <w:iCs/>
          <w:sz w:val="24"/>
          <w:szCs w:val="24"/>
        </w:rPr>
      </w:pPr>
      <w:r w:rsidRPr="00E50012">
        <w:rPr>
          <w:i/>
          <w:iCs/>
          <w:sz w:val="24"/>
          <w:szCs w:val="24"/>
        </w:rPr>
        <w:t xml:space="preserve">Pædiatrisk population </w:t>
      </w:r>
    </w:p>
    <w:p w14:paraId="3BB1C90B" w14:textId="700AD9E5" w:rsidR="005628C5" w:rsidRPr="005628C5" w:rsidRDefault="005628C5" w:rsidP="005628C5">
      <w:pPr>
        <w:tabs>
          <w:tab w:val="left" w:pos="851"/>
        </w:tabs>
        <w:ind w:left="851"/>
        <w:rPr>
          <w:sz w:val="24"/>
          <w:szCs w:val="24"/>
        </w:rPr>
      </w:pPr>
      <w:r w:rsidRPr="005628C5">
        <w:rPr>
          <w:sz w:val="24"/>
          <w:szCs w:val="24"/>
        </w:rPr>
        <w:t xml:space="preserve">Der er kun begrænset erfaring med behandling af børn og unge (se </w:t>
      </w:r>
      <w:r w:rsidR="00790607">
        <w:rPr>
          <w:sz w:val="24"/>
          <w:szCs w:val="24"/>
        </w:rPr>
        <w:t>pkt.</w:t>
      </w:r>
      <w:r w:rsidRPr="005628C5">
        <w:rPr>
          <w:sz w:val="24"/>
          <w:szCs w:val="24"/>
        </w:rPr>
        <w:t xml:space="preserve"> 4.2)  </w:t>
      </w:r>
    </w:p>
    <w:p w14:paraId="72A7440E" w14:textId="77777777" w:rsidR="009260DE" w:rsidRPr="00C84483" w:rsidRDefault="009260DE" w:rsidP="009260DE">
      <w:pPr>
        <w:tabs>
          <w:tab w:val="left" w:pos="851"/>
        </w:tabs>
        <w:ind w:left="851"/>
        <w:rPr>
          <w:sz w:val="24"/>
          <w:szCs w:val="24"/>
        </w:rPr>
      </w:pPr>
    </w:p>
    <w:p w14:paraId="15EABFA7"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3FAE56FC" w14:textId="77777777" w:rsidR="00DD4F43" w:rsidRPr="00DD4F43" w:rsidRDefault="00DD4F43" w:rsidP="00DD4F43">
      <w:pPr>
        <w:tabs>
          <w:tab w:val="left" w:pos="851"/>
        </w:tabs>
        <w:ind w:left="851"/>
        <w:rPr>
          <w:b/>
          <w:bCs/>
          <w:sz w:val="24"/>
          <w:szCs w:val="24"/>
        </w:rPr>
      </w:pPr>
      <w:r w:rsidRPr="00DD4F43">
        <w:rPr>
          <w:sz w:val="24"/>
          <w:szCs w:val="24"/>
        </w:rPr>
        <w:t xml:space="preserve">Der foreligger ikke tilstrækkelige data til at udelukke genotoksicitet, </w:t>
      </w:r>
      <w:proofErr w:type="spellStart"/>
      <w:r w:rsidRPr="00DD4F43">
        <w:rPr>
          <w:sz w:val="24"/>
          <w:szCs w:val="24"/>
        </w:rPr>
        <w:t>karcinogenicitet</w:t>
      </w:r>
      <w:proofErr w:type="spellEnd"/>
      <w:r w:rsidRPr="00DD4F43">
        <w:rPr>
          <w:sz w:val="24"/>
          <w:szCs w:val="24"/>
        </w:rPr>
        <w:t xml:space="preserve"> og reproduktionstoksicitet. Der foreligger ikke yderligere prækliniske data af relevans for den ordinerende læge ud over, hvad der allerede er inkluderet i produktresuméet. </w:t>
      </w:r>
    </w:p>
    <w:p w14:paraId="1AE8F5BF" w14:textId="77777777" w:rsidR="009260DE" w:rsidRPr="00C84483" w:rsidRDefault="009260DE" w:rsidP="009260DE">
      <w:pPr>
        <w:tabs>
          <w:tab w:val="left" w:pos="851"/>
        </w:tabs>
        <w:ind w:left="851"/>
        <w:rPr>
          <w:sz w:val="24"/>
          <w:szCs w:val="24"/>
        </w:rPr>
      </w:pPr>
    </w:p>
    <w:p w14:paraId="76287308" w14:textId="77777777" w:rsidR="009260DE" w:rsidRPr="00C84483" w:rsidRDefault="009260DE" w:rsidP="009260DE">
      <w:pPr>
        <w:tabs>
          <w:tab w:val="left" w:pos="851"/>
        </w:tabs>
        <w:ind w:left="851"/>
        <w:rPr>
          <w:sz w:val="24"/>
          <w:szCs w:val="24"/>
        </w:rPr>
      </w:pPr>
    </w:p>
    <w:p w14:paraId="08D1E129"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6B7A10E" w14:textId="77777777" w:rsidR="009260DE" w:rsidRPr="00BA09F1" w:rsidRDefault="009260DE" w:rsidP="009260DE">
      <w:pPr>
        <w:tabs>
          <w:tab w:val="left" w:pos="851"/>
        </w:tabs>
        <w:ind w:left="851"/>
        <w:rPr>
          <w:sz w:val="24"/>
          <w:szCs w:val="24"/>
        </w:rPr>
      </w:pPr>
    </w:p>
    <w:p w14:paraId="7DAA9B01"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9212BE3" w14:textId="77777777" w:rsidR="004649E7" w:rsidRPr="004649E7" w:rsidRDefault="004649E7" w:rsidP="004649E7">
      <w:pPr>
        <w:tabs>
          <w:tab w:val="left" w:pos="851"/>
        </w:tabs>
        <w:ind w:left="851"/>
        <w:rPr>
          <w:sz w:val="24"/>
          <w:szCs w:val="24"/>
        </w:rPr>
      </w:pPr>
      <w:r w:rsidRPr="004649E7">
        <w:rPr>
          <w:sz w:val="24"/>
          <w:szCs w:val="24"/>
        </w:rPr>
        <w:t>Natriumhydroxid (til pH-justering)</w:t>
      </w:r>
    </w:p>
    <w:p w14:paraId="689D9C3F" w14:textId="77777777" w:rsidR="004649E7" w:rsidRPr="004649E7" w:rsidRDefault="004649E7" w:rsidP="004649E7">
      <w:pPr>
        <w:tabs>
          <w:tab w:val="left" w:pos="851"/>
        </w:tabs>
        <w:ind w:left="851"/>
        <w:rPr>
          <w:sz w:val="24"/>
          <w:szCs w:val="24"/>
        </w:rPr>
      </w:pPr>
      <w:r w:rsidRPr="004649E7">
        <w:rPr>
          <w:sz w:val="24"/>
          <w:szCs w:val="24"/>
        </w:rPr>
        <w:t>Vand til injektionsvæsker</w:t>
      </w:r>
    </w:p>
    <w:p w14:paraId="675A0D02" w14:textId="77777777" w:rsidR="009260DE" w:rsidRPr="00C84483" w:rsidRDefault="009260DE" w:rsidP="009260DE">
      <w:pPr>
        <w:tabs>
          <w:tab w:val="left" w:pos="851"/>
        </w:tabs>
        <w:ind w:left="851"/>
        <w:rPr>
          <w:sz w:val="24"/>
          <w:szCs w:val="24"/>
        </w:rPr>
      </w:pPr>
    </w:p>
    <w:p w14:paraId="13416B7A"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DF8C094" w14:textId="77777777" w:rsidR="00DE1A6A" w:rsidRPr="00DE1A6A" w:rsidRDefault="00DE1A6A" w:rsidP="00DE1A6A">
      <w:pPr>
        <w:tabs>
          <w:tab w:val="left" w:pos="851"/>
        </w:tabs>
        <w:ind w:left="851"/>
        <w:rPr>
          <w:sz w:val="24"/>
          <w:szCs w:val="24"/>
        </w:rPr>
      </w:pPr>
      <w:r w:rsidRPr="00DE1A6A">
        <w:rPr>
          <w:sz w:val="24"/>
          <w:szCs w:val="24"/>
        </w:rPr>
        <w:t xml:space="preserve">Dette lægemiddel må ikke blandes med andre lægemidler end dem, der er anført under pkt. 6.6. </w:t>
      </w:r>
    </w:p>
    <w:p w14:paraId="4CABE58F" w14:textId="77777777" w:rsidR="009260DE" w:rsidRPr="00C84483" w:rsidRDefault="009260DE" w:rsidP="009260DE">
      <w:pPr>
        <w:tabs>
          <w:tab w:val="left" w:pos="851"/>
        </w:tabs>
        <w:ind w:left="851"/>
        <w:rPr>
          <w:sz w:val="24"/>
          <w:szCs w:val="24"/>
        </w:rPr>
      </w:pPr>
    </w:p>
    <w:p w14:paraId="79927C62" w14:textId="77777777" w:rsidR="009260DE" w:rsidRPr="00C84483" w:rsidRDefault="009260DE" w:rsidP="009260DE">
      <w:pPr>
        <w:tabs>
          <w:tab w:val="left" w:pos="851"/>
        </w:tabs>
        <w:ind w:left="851" w:hanging="851"/>
        <w:rPr>
          <w:b/>
          <w:sz w:val="24"/>
          <w:szCs w:val="24"/>
        </w:rPr>
      </w:pPr>
      <w:r w:rsidRPr="00C84483">
        <w:rPr>
          <w:b/>
          <w:sz w:val="24"/>
          <w:szCs w:val="24"/>
        </w:rPr>
        <w:lastRenderedPageBreak/>
        <w:t>6.3</w:t>
      </w:r>
      <w:r w:rsidRPr="00C84483">
        <w:rPr>
          <w:b/>
          <w:sz w:val="24"/>
          <w:szCs w:val="24"/>
        </w:rPr>
        <w:tab/>
        <w:t>Opbevaringstid</w:t>
      </w:r>
    </w:p>
    <w:p w14:paraId="7026EB0F" w14:textId="77777777" w:rsidR="006B4C47" w:rsidRPr="006B4C47" w:rsidRDefault="006B4C47" w:rsidP="006B4C47">
      <w:pPr>
        <w:tabs>
          <w:tab w:val="left" w:pos="851"/>
        </w:tabs>
        <w:ind w:left="851"/>
        <w:rPr>
          <w:sz w:val="24"/>
          <w:szCs w:val="24"/>
        </w:rPr>
      </w:pPr>
    </w:p>
    <w:p w14:paraId="20148973" w14:textId="77777777" w:rsidR="006B4C47" w:rsidRPr="006B4C47" w:rsidRDefault="006B4C47" w:rsidP="006B4C47">
      <w:pPr>
        <w:tabs>
          <w:tab w:val="left" w:pos="851"/>
        </w:tabs>
        <w:ind w:left="851"/>
        <w:rPr>
          <w:sz w:val="24"/>
          <w:szCs w:val="24"/>
          <w:u w:val="single"/>
        </w:rPr>
      </w:pPr>
      <w:r w:rsidRPr="006B4C47">
        <w:rPr>
          <w:sz w:val="24"/>
          <w:szCs w:val="24"/>
          <w:u w:val="single"/>
        </w:rPr>
        <w:t>Uåbnet</w:t>
      </w:r>
    </w:p>
    <w:p w14:paraId="4EE9C2F0" w14:textId="77777777" w:rsidR="006B4C47" w:rsidRPr="006B4C47" w:rsidRDefault="006B4C47" w:rsidP="006B4C47">
      <w:pPr>
        <w:tabs>
          <w:tab w:val="left" w:pos="851"/>
        </w:tabs>
        <w:ind w:left="851"/>
        <w:rPr>
          <w:sz w:val="24"/>
          <w:szCs w:val="24"/>
        </w:rPr>
      </w:pPr>
      <w:r w:rsidRPr="006B4C47">
        <w:rPr>
          <w:sz w:val="24"/>
          <w:szCs w:val="24"/>
        </w:rPr>
        <w:t>3 år.</w:t>
      </w:r>
    </w:p>
    <w:p w14:paraId="78E859EF" w14:textId="77777777" w:rsidR="006B4C47" w:rsidRPr="006B4C47" w:rsidRDefault="006B4C47" w:rsidP="006B4C47">
      <w:pPr>
        <w:tabs>
          <w:tab w:val="left" w:pos="851"/>
        </w:tabs>
        <w:ind w:left="851"/>
        <w:rPr>
          <w:sz w:val="24"/>
          <w:szCs w:val="24"/>
        </w:rPr>
      </w:pPr>
    </w:p>
    <w:p w14:paraId="04CF237C" w14:textId="77777777" w:rsidR="006B4C47" w:rsidRPr="006B4C47" w:rsidRDefault="006B4C47" w:rsidP="006B4C47">
      <w:pPr>
        <w:tabs>
          <w:tab w:val="left" w:pos="851"/>
        </w:tabs>
        <w:ind w:left="851"/>
        <w:rPr>
          <w:sz w:val="24"/>
          <w:szCs w:val="24"/>
          <w:u w:val="single"/>
        </w:rPr>
      </w:pPr>
      <w:r w:rsidRPr="006B4C47">
        <w:rPr>
          <w:sz w:val="24"/>
          <w:szCs w:val="24"/>
          <w:u w:val="single"/>
          <w:lang w:val="fr-LU"/>
        </w:rPr>
        <w:t>Efter åbning</w:t>
      </w:r>
      <w:r w:rsidRPr="006B4C47">
        <w:rPr>
          <w:sz w:val="24"/>
          <w:szCs w:val="24"/>
          <w:u w:val="single"/>
        </w:rPr>
        <w:t xml:space="preserve"> </w:t>
      </w:r>
    </w:p>
    <w:p w14:paraId="1990F0B1" w14:textId="77777777" w:rsidR="006B4C47" w:rsidRPr="006B4C47" w:rsidRDefault="006B4C47" w:rsidP="006B4C47">
      <w:pPr>
        <w:tabs>
          <w:tab w:val="left" w:pos="851"/>
        </w:tabs>
        <w:ind w:left="851"/>
        <w:rPr>
          <w:sz w:val="24"/>
          <w:szCs w:val="24"/>
          <w:lang w:val="fr-LU"/>
        </w:rPr>
      </w:pPr>
      <w:r w:rsidRPr="006B4C47">
        <w:rPr>
          <w:sz w:val="24"/>
          <w:szCs w:val="24"/>
          <w:lang w:val="fr-LU"/>
        </w:rPr>
        <w:t xml:space="preserve">Kun til engangsbrug. Ubrugte rester skal kasseres efter anvendelse. </w:t>
      </w:r>
    </w:p>
    <w:p w14:paraId="686E62F5" w14:textId="774C1A1C" w:rsidR="006B4C47" w:rsidRPr="006B4C47" w:rsidRDefault="003C6E36" w:rsidP="006B4C47">
      <w:pPr>
        <w:tabs>
          <w:tab w:val="left" w:pos="851"/>
        </w:tabs>
        <w:ind w:left="851"/>
        <w:rPr>
          <w:sz w:val="24"/>
          <w:szCs w:val="24"/>
        </w:rPr>
      </w:pPr>
      <w:proofErr w:type="spellStart"/>
      <w:r>
        <w:rPr>
          <w:sz w:val="24"/>
          <w:szCs w:val="24"/>
        </w:rPr>
        <w:t>Thiaminhydrochlorid</w:t>
      </w:r>
      <w:proofErr w:type="spellEnd"/>
      <w:r>
        <w:rPr>
          <w:sz w:val="24"/>
          <w:szCs w:val="24"/>
        </w:rPr>
        <w:t xml:space="preserve"> ”</w:t>
      </w:r>
      <w:proofErr w:type="spellStart"/>
      <w:r>
        <w:rPr>
          <w:sz w:val="24"/>
          <w:szCs w:val="24"/>
        </w:rPr>
        <w:t>Ebb</w:t>
      </w:r>
      <w:proofErr w:type="spellEnd"/>
      <w:r>
        <w:rPr>
          <w:sz w:val="24"/>
          <w:szCs w:val="24"/>
        </w:rPr>
        <w:t xml:space="preserve"> Medical”</w:t>
      </w:r>
      <w:r w:rsidR="006B4C47" w:rsidRPr="006B4C47">
        <w:rPr>
          <w:sz w:val="24"/>
          <w:szCs w:val="24"/>
        </w:rPr>
        <w:t xml:space="preserve"> indeholder ikke antimikrobielle konserveringsmidler. Derfor kan vækst af mikroorganismer i opløsningen ikke forhindres. Efter åbning skal lægemidlet anvendes med det samme</w:t>
      </w:r>
      <w:r w:rsidR="006B4C47" w:rsidRPr="006B4C47">
        <w:rPr>
          <w:sz w:val="24"/>
          <w:szCs w:val="24"/>
          <w:lang w:val="fr-LU"/>
        </w:rPr>
        <w:t xml:space="preserve"> (se pkt. 4.4).</w:t>
      </w:r>
    </w:p>
    <w:p w14:paraId="6DD734BB" w14:textId="77777777" w:rsidR="006B4C47" w:rsidRPr="006B4C47" w:rsidRDefault="006B4C47" w:rsidP="006B4C47">
      <w:pPr>
        <w:tabs>
          <w:tab w:val="left" w:pos="851"/>
        </w:tabs>
        <w:ind w:left="851"/>
        <w:rPr>
          <w:sz w:val="24"/>
          <w:szCs w:val="24"/>
        </w:rPr>
      </w:pPr>
    </w:p>
    <w:p w14:paraId="740EE111" w14:textId="77777777" w:rsidR="006B4C47" w:rsidRPr="006B4C47" w:rsidRDefault="006B4C47" w:rsidP="006B4C47">
      <w:pPr>
        <w:tabs>
          <w:tab w:val="left" w:pos="851"/>
        </w:tabs>
        <w:ind w:left="851"/>
        <w:rPr>
          <w:sz w:val="24"/>
          <w:szCs w:val="24"/>
        </w:rPr>
      </w:pPr>
      <w:r w:rsidRPr="006B4C47">
        <w:rPr>
          <w:sz w:val="24"/>
          <w:szCs w:val="24"/>
          <w:u w:val="single"/>
        </w:rPr>
        <w:t>Efter fortynding</w:t>
      </w:r>
      <w:r w:rsidRPr="006B4C47">
        <w:rPr>
          <w:sz w:val="24"/>
          <w:szCs w:val="24"/>
        </w:rPr>
        <w:t> </w:t>
      </w:r>
    </w:p>
    <w:p w14:paraId="79DD422F" w14:textId="31CF3C6B" w:rsidR="006B4C47" w:rsidRPr="006B4C47" w:rsidRDefault="006B4C47" w:rsidP="006B4C47">
      <w:pPr>
        <w:tabs>
          <w:tab w:val="left" w:pos="851"/>
        </w:tabs>
        <w:ind w:left="851"/>
        <w:rPr>
          <w:bCs/>
          <w:sz w:val="24"/>
          <w:szCs w:val="24"/>
          <w:lang w:val="fr-LU"/>
        </w:rPr>
      </w:pPr>
      <w:r w:rsidRPr="006B4C47">
        <w:rPr>
          <w:bCs/>
          <w:sz w:val="24"/>
          <w:szCs w:val="24"/>
        </w:rPr>
        <w:t xml:space="preserve">Der er påvist kemisk og fysisk stabilitet under brug i op til 8 timer ved en temperatur mellem 15 og 25 °C, når produktet er fortyndet med 50 ml og 250 ml </w:t>
      </w:r>
      <w:proofErr w:type="spellStart"/>
      <w:r w:rsidRPr="006B4C47">
        <w:rPr>
          <w:bCs/>
          <w:sz w:val="24"/>
          <w:szCs w:val="24"/>
        </w:rPr>
        <w:t>natriumchlorid</w:t>
      </w:r>
      <w:proofErr w:type="spellEnd"/>
      <w:r w:rsidRPr="006B4C47">
        <w:rPr>
          <w:bCs/>
          <w:sz w:val="24"/>
          <w:szCs w:val="24"/>
        </w:rPr>
        <w:t xml:space="preserve"> 0,9</w:t>
      </w:r>
      <w:r w:rsidR="006557C4">
        <w:rPr>
          <w:bCs/>
          <w:sz w:val="24"/>
          <w:szCs w:val="24"/>
        </w:rPr>
        <w:t xml:space="preserve"> %</w:t>
      </w:r>
      <w:r w:rsidRPr="006B4C47">
        <w:rPr>
          <w:bCs/>
          <w:sz w:val="24"/>
          <w:szCs w:val="24"/>
        </w:rPr>
        <w:t xml:space="preserve"> og </w:t>
      </w:r>
      <w:proofErr w:type="spellStart"/>
      <w:r w:rsidRPr="006B4C47">
        <w:rPr>
          <w:bCs/>
          <w:sz w:val="24"/>
          <w:szCs w:val="24"/>
        </w:rPr>
        <w:t>glucose</w:t>
      </w:r>
      <w:proofErr w:type="spellEnd"/>
      <w:r w:rsidRPr="006B4C47">
        <w:rPr>
          <w:bCs/>
          <w:sz w:val="24"/>
          <w:szCs w:val="24"/>
        </w:rPr>
        <w:t xml:space="preserve"> 5</w:t>
      </w:r>
      <w:r w:rsidR="006557C4">
        <w:rPr>
          <w:bCs/>
          <w:sz w:val="24"/>
          <w:szCs w:val="24"/>
        </w:rPr>
        <w:t xml:space="preserve"> %</w:t>
      </w:r>
      <w:r w:rsidRPr="006B4C47">
        <w:rPr>
          <w:bCs/>
          <w:sz w:val="24"/>
          <w:szCs w:val="24"/>
        </w:rPr>
        <w:t>. De fortyndede opløsninger behøver ikke at opbevares beskyttet mod lys</w:t>
      </w:r>
      <w:r>
        <w:rPr>
          <w:bCs/>
          <w:sz w:val="24"/>
          <w:szCs w:val="24"/>
        </w:rPr>
        <w:t xml:space="preserve"> </w:t>
      </w:r>
      <w:r w:rsidRPr="006B4C47">
        <w:rPr>
          <w:bCs/>
          <w:sz w:val="24"/>
          <w:szCs w:val="24"/>
        </w:rPr>
        <w:t>(se pkt. 6.6).</w:t>
      </w:r>
    </w:p>
    <w:p w14:paraId="3840EC67" w14:textId="77777777" w:rsidR="006B4C47" w:rsidRPr="006B4C47" w:rsidRDefault="006B4C47" w:rsidP="006B4C47">
      <w:pPr>
        <w:tabs>
          <w:tab w:val="left" w:pos="851"/>
        </w:tabs>
        <w:ind w:left="851"/>
        <w:rPr>
          <w:sz w:val="24"/>
          <w:szCs w:val="24"/>
        </w:rPr>
      </w:pPr>
    </w:p>
    <w:p w14:paraId="2DB9F17A" w14:textId="32E62356" w:rsidR="006B4C47" w:rsidRPr="006B4C47" w:rsidRDefault="006B4C47" w:rsidP="006B4C47">
      <w:pPr>
        <w:tabs>
          <w:tab w:val="left" w:pos="851"/>
        </w:tabs>
        <w:ind w:left="851"/>
        <w:rPr>
          <w:bCs/>
          <w:sz w:val="24"/>
          <w:szCs w:val="24"/>
        </w:rPr>
      </w:pPr>
      <w:r w:rsidRPr="006B4C47">
        <w:rPr>
          <w:bCs/>
          <w:sz w:val="24"/>
          <w:szCs w:val="24"/>
        </w:rPr>
        <w:t xml:space="preserve">Ud fra et mikrobiologisk </w:t>
      </w:r>
      <w:r w:rsidR="00790607">
        <w:rPr>
          <w:bCs/>
          <w:sz w:val="24"/>
          <w:szCs w:val="24"/>
        </w:rPr>
        <w:t>synspunkt</w:t>
      </w:r>
      <w:r w:rsidRPr="006B4C47">
        <w:rPr>
          <w:bCs/>
          <w:sz w:val="24"/>
          <w:szCs w:val="24"/>
        </w:rPr>
        <w:t xml:space="preserve"> skal det fortyndede produktet bruges øjeblikkeligt, medmindre metoden til åbning/fortynding udelukker risikoen for mikrobiel kontaminering. </w:t>
      </w:r>
    </w:p>
    <w:p w14:paraId="5171A8CA" w14:textId="77777777" w:rsidR="006B4C47" w:rsidRPr="006B4C47" w:rsidRDefault="006B4C47" w:rsidP="006B4C47">
      <w:pPr>
        <w:tabs>
          <w:tab w:val="left" w:pos="851"/>
        </w:tabs>
        <w:ind w:left="851"/>
        <w:rPr>
          <w:bCs/>
          <w:sz w:val="24"/>
          <w:szCs w:val="24"/>
        </w:rPr>
      </w:pPr>
      <w:r w:rsidRPr="006B4C47">
        <w:rPr>
          <w:bCs/>
          <w:sz w:val="24"/>
          <w:szCs w:val="24"/>
        </w:rPr>
        <w:t xml:space="preserve">Hvis det ikke bruges øjeblikkeligt, er brugeren ansvarlig for opbevaringstider og -forhold før brug. </w:t>
      </w:r>
    </w:p>
    <w:p w14:paraId="2AEC6061" w14:textId="77777777" w:rsidR="009260DE" w:rsidRPr="00C84483" w:rsidRDefault="009260DE" w:rsidP="009260DE">
      <w:pPr>
        <w:tabs>
          <w:tab w:val="left" w:pos="851"/>
        </w:tabs>
        <w:ind w:left="851"/>
        <w:rPr>
          <w:sz w:val="24"/>
          <w:szCs w:val="24"/>
        </w:rPr>
      </w:pPr>
    </w:p>
    <w:p w14:paraId="493A3105"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3F572F5" w14:textId="1FA7FD4E" w:rsidR="007862DC" w:rsidRDefault="007862DC" w:rsidP="007862DC">
      <w:pPr>
        <w:tabs>
          <w:tab w:val="left" w:pos="851"/>
        </w:tabs>
        <w:ind w:left="851"/>
        <w:rPr>
          <w:sz w:val="24"/>
          <w:szCs w:val="24"/>
        </w:rPr>
      </w:pPr>
      <w:r w:rsidRPr="007862DC">
        <w:rPr>
          <w:sz w:val="24"/>
          <w:szCs w:val="24"/>
        </w:rPr>
        <w:t>Må ikke opbevares ved temperaturer over 25 °C. Må ikke nedfryses.</w:t>
      </w:r>
    </w:p>
    <w:p w14:paraId="0AAD6ED5" w14:textId="77777777" w:rsidR="001574DD" w:rsidRPr="007862DC" w:rsidRDefault="001574DD" w:rsidP="007862DC">
      <w:pPr>
        <w:tabs>
          <w:tab w:val="left" w:pos="851"/>
        </w:tabs>
        <w:ind w:left="851"/>
        <w:rPr>
          <w:sz w:val="24"/>
          <w:szCs w:val="24"/>
        </w:rPr>
      </w:pPr>
    </w:p>
    <w:p w14:paraId="6A47E0EA" w14:textId="585877B8" w:rsidR="007862DC" w:rsidRDefault="007862DC" w:rsidP="007862DC">
      <w:pPr>
        <w:tabs>
          <w:tab w:val="left" w:pos="851"/>
        </w:tabs>
        <w:ind w:left="851"/>
        <w:rPr>
          <w:sz w:val="24"/>
          <w:szCs w:val="24"/>
        </w:rPr>
      </w:pPr>
      <w:r w:rsidRPr="007862DC">
        <w:rPr>
          <w:sz w:val="24"/>
          <w:szCs w:val="24"/>
        </w:rPr>
        <w:t>Opbevar ampullerne i den ydre karton for at beskytte mod lys.</w:t>
      </w:r>
    </w:p>
    <w:p w14:paraId="19AB368D" w14:textId="77777777" w:rsidR="001574DD" w:rsidRPr="007862DC" w:rsidRDefault="001574DD" w:rsidP="007862DC">
      <w:pPr>
        <w:tabs>
          <w:tab w:val="left" w:pos="851"/>
        </w:tabs>
        <w:ind w:left="851"/>
        <w:rPr>
          <w:sz w:val="24"/>
          <w:szCs w:val="24"/>
        </w:rPr>
      </w:pPr>
    </w:p>
    <w:p w14:paraId="628C6EE3" w14:textId="77777777" w:rsidR="007862DC" w:rsidRPr="007862DC" w:rsidRDefault="007862DC" w:rsidP="007862DC">
      <w:pPr>
        <w:tabs>
          <w:tab w:val="left" w:pos="851"/>
        </w:tabs>
        <w:ind w:left="851"/>
        <w:rPr>
          <w:sz w:val="24"/>
          <w:szCs w:val="24"/>
        </w:rPr>
      </w:pPr>
      <w:r w:rsidRPr="007862DC">
        <w:rPr>
          <w:sz w:val="24"/>
          <w:szCs w:val="24"/>
        </w:rPr>
        <w:t>Opbevaringsforhold efter anbrud af lægemidlet og fortynding af lægemidlet, se pkt. 6.3.</w:t>
      </w:r>
    </w:p>
    <w:p w14:paraId="77BB4BED" w14:textId="77777777" w:rsidR="009260DE" w:rsidRPr="00C84483" w:rsidRDefault="009260DE" w:rsidP="009260DE">
      <w:pPr>
        <w:tabs>
          <w:tab w:val="left" w:pos="851"/>
        </w:tabs>
        <w:ind w:left="851"/>
        <w:rPr>
          <w:sz w:val="24"/>
          <w:szCs w:val="24"/>
        </w:rPr>
      </w:pPr>
    </w:p>
    <w:p w14:paraId="675CAA1F"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74E4A1F0" w14:textId="3D82C181" w:rsidR="009260DE" w:rsidRDefault="003C6E36" w:rsidP="009260DE">
      <w:pPr>
        <w:tabs>
          <w:tab w:val="left" w:pos="851"/>
        </w:tabs>
        <w:ind w:left="851"/>
        <w:rPr>
          <w:sz w:val="24"/>
          <w:szCs w:val="24"/>
          <w:lang w:val="fr-LU"/>
        </w:rPr>
      </w:pPr>
      <w:r w:rsidRPr="003C6E36">
        <w:rPr>
          <w:sz w:val="24"/>
          <w:szCs w:val="24"/>
          <w:lang w:val="fr-LU"/>
        </w:rPr>
        <w:t>Ampul</w:t>
      </w:r>
      <w:r>
        <w:rPr>
          <w:sz w:val="24"/>
          <w:szCs w:val="24"/>
          <w:lang w:val="fr-LU"/>
        </w:rPr>
        <w:t>.</w:t>
      </w:r>
    </w:p>
    <w:p w14:paraId="5C465810" w14:textId="77777777" w:rsidR="003C6E36" w:rsidRPr="00C84483" w:rsidRDefault="003C6E36" w:rsidP="009260DE">
      <w:pPr>
        <w:tabs>
          <w:tab w:val="left" w:pos="851"/>
        </w:tabs>
        <w:ind w:left="851"/>
        <w:rPr>
          <w:sz w:val="24"/>
          <w:szCs w:val="24"/>
        </w:rPr>
      </w:pPr>
    </w:p>
    <w:p w14:paraId="022559DF"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5C640E06" w14:textId="77777777" w:rsidR="001574DD" w:rsidRPr="001574DD" w:rsidRDefault="001574DD" w:rsidP="001574DD">
      <w:pPr>
        <w:tabs>
          <w:tab w:val="left" w:pos="851"/>
        </w:tabs>
        <w:ind w:left="851"/>
        <w:rPr>
          <w:sz w:val="24"/>
          <w:szCs w:val="24"/>
        </w:rPr>
      </w:pPr>
      <w:r w:rsidRPr="001574DD">
        <w:rPr>
          <w:sz w:val="24"/>
          <w:szCs w:val="24"/>
        </w:rPr>
        <w:t>Opløsningen skal inspiceres visuelt inden brug (også efter fortynding). Der må kun anvendes klare opløsninger uden synlige partikler.</w:t>
      </w:r>
    </w:p>
    <w:p w14:paraId="057AD9C5" w14:textId="77777777" w:rsidR="001574DD" w:rsidRPr="001574DD" w:rsidRDefault="001574DD" w:rsidP="001574DD">
      <w:pPr>
        <w:tabs>
          <w:tab w:val="left" w:pos="851"/>
        </w:tabs>
        <w:ind w:left="851"/>
        <w:rPr>
          <w:bCs/>
          <w:sz w:val="24"/>
          <w:szCs w:val="24"/>
          <w:u w:val="single"/>
        </w:rPr>
      </w:pPr>
    </w:p>
    <w:p w14:paraId="55010905" w14:textId="77777777" w:rsidR="001574DD" w:rsidRPr="001574DD" w:rsidRDefault="001574DD" w:rsidP="001574DD">
      <w:pPr>
        <w:tabs>
          <w:tab w:val="left" w:pos="851"/>
        </w:tabs>
        <w:ind w:left="851"/>
        <w:rPr>
          <w:sz w:val="24"/>
          <w:szCs w:val="24"/>
          <w:u w:val="single"/>
        </w:rPr>
      </w:pPr>
      <w:r w:rsidRPr="001574DD">
        <w:rPr>
          <w:sz w:val="24"/>
          <w:szCs w:val="24"/>
          <w:u w:val="single"/>
        </w:rPr>
        <w:t>Fortynding til infusion</w:t>
      </w:r>
    </w:p>
    <w:p w14:paraId="23C3F656" w14:textId="3B62E386" w:rsidR="001574DD" w:rsidRPr="001574DD" w:rsidRDefault="003C6E36" w:rsidP="001574DD">
      <w:pPr>
        <w:tabs>
          <w:tab w:val="left" w:pos="851"/>
        </w:tabs>
        <w:ind w:left="851"/>
        <w:rPr>
          <w:sz w:val="24"/>
          <w:szCs w:val="24"/>
        </w:rPr>
      </w:pPr>
      <w:bookmarkStart w:id="2" w:name="_Hlk91148359"/>
      <w:proofErr w:type="spellStart"/>
      <w:r>
        <w:rPr>
          <w:sz w:val="24"/>
          <w:szCs w:val="24"/>
        </w:rPr>
        <w:t>Thiaminhydrochlorid</w:t>
      </w:r>
      <w:proofErr w:type="spellEnd"/>
      <w:r>
        <w:rPr>
          <w:sz w:val="24"/>
          <w:szCs w:val="24"/>
        </w:rPr>
        <w:t xml:space="preserve"> ”</w:t>
      </w:r>
      <w:proofErr w:type="spellStart"/>
      <w:r>
        <w:rPr>
          <w:sz w:val="24"/>
          <w:szCs w:val="24"/>
        </w:rPr>
        <w:t>Ebb</w:t>
      </w:r>
      <w:proofErr w:type="spellEnd"/>
      <w:r>
        <w:rPr>
          <w:sz w:val="24"/>
          <w:szCs w:val="24"/>
        </w:rPr>
        <w:t xml:space="preserve"> Medical”</w:t>
      </w:r>
      <w:r w:rsidR="001574DD" w:rsidRPr="001574DD">
        <w:rPr>
          <w:sz w:val="24"/>
          <w:szCs w:val="24"/>
        </w:rPr>
        <w:t xml:space="preserve"> </w:t>
      </w:r>
      <w:bookmarkEnd w:id="2"/>
      <w:r w:rsidR="001574DD" w:rsidRPr="001574DD">
        <w:rPr>
          <w:sz w:val="24"/>
          <w:szCs w:val="24"/>
        </w:rPr>
        <w:t xml:space="preserve">kan administreres ved langsom intravenøs injektion efter fortynding med en steril opløsning på 50 til 250 ml 50 mg/ml </w:t>
      </w:r>
      <w:proofErr w:type="spellStart"/>
      <w:r w:rsidR="001574DD" w:rsidRPr="001574DD">
        <w:rPr>
          <w:sz w:val="24"/>
          <w:szCs w:val="24"/>
        </w:rPr>
        <w:t>glucose</w:t>
      </w:r>
      <w:proofErr w:type="spellEnd"/>
      <w:r w:rsidR="001574DD" w:rsidRPr="001574DD">
        <w:rPr>
          <w:sz w:val="24"/>
          <w:szCs w:val="24"/>
        </w:rPr>
        <w:t xml:space="preserve"> (5</w:t>
      </w:r>
      <w:r w:rsidR="006557C4">
        <w:rPr>
          <w:sz w:val="24"/>
          <w:szCs w:val="24"/>
        </w:rPr>
        <w:t xml:space="preserve"> %</w:t>
      </w:r>
      <w:r w:rsidR="001574DD" w:rsidRPr="001574DD">
        <w:rPr>
          <w:sz w:val="24"/>
          <w:szCs w:val="24"/>
        </w:rPr>
        <w:t xml:space="preserve">) eller 9 mg/ml </w:t>
      </w:r>
      <w:proofErr w:type="spellStart"/>
      <w:r w:rsidR="001574DD" w:rsidRPr="001574DD">
        <w:rPr>
          <w:sz w:val="24"/>
          <w:szCs w:val="24"/>
        </w:rPr>
        <w:t>natriumchlorid</w:t>
      </w:r>
      <w:proofErr w:type="spellEnd"/>
      <w:r w:rsidR="001574DD" w:rsidRPr="001574DD">
        <w:rPr>
          <w:sz w:val="24"/>
          <w:szCs w:val="24"/>
        </w:rPr>
        <w:t xml:space="preserve"> (0,9</w:t>
      </w:r>
      <w:r w:rsidR="006557C4">
        <w:rPr>
          <w:sz w:val="24"/>
          <w:szCs w:val="24"/>
        </w:rPr>
        <w:t xml:space="preserve"> %</w:t>
      </w:r>
      <w:r w:rsidR="001574DD" w:rsidRPr="001574DD">
        <w:rPr>
          <w:sz w:val="24"/>
          <w:szCs w:val="24"/>
        </w:rPr>
        <w:t>) i op til 8 timer uden beskyttelse mod lys.</w:t>
      </w:r>
    </w:p>
    <w:p w14:paraId="2FCDFBD6" w14:textId="77777777" w:rsidR="001574DD" w:rsidRPr="001574DD" w:rsidRDefault="001574DD" w:rsidP="001574DD">
      <w:pPr>
        <w:tabs>
          <w:tab w:val="left" w:pos="851"/>
        </w:tabs>
        <w:ind w:left="851"/>
        <w:rPr>
          <w:sz w:val="24"/>
          <w:szCs w:val="24"/>
        </w:rPr>
      </w:pPr>
      <w:r w:rsidRPr="001574DD">
        <w:rPr>
          <w:sz w:val="24"/>
          <w:szCs w:val="24"/>
        </w:rPr>
        <w:t>Efter fortynding forbliver opløsningen en klar, farveløs til bleggul væske, fri for synlige partikler.</w:t>
      </w:r>
    </w:p>
    <w:p w14:paraId="059ED4F6" w14:textId="77777777" w:rsidR="001574DD" w:rsidRPr="001574DD" w:rsidRDefault="001574DD" w:rsidP="001574DD">
      <w:pPr>
        <w:tabs>
          <w:tab w:val="left" w:pos="851"/>
        </w:tabs>
        <w:ind w:left="851"/>
        <w:rPr>
          <w:sz w:val="24"/>
          <w:szCs w:val="24"/>
        </w:rPr>
      </w:pPr>
    </w:p>
    <w:p w14:paraId="395C8675" w14:textId="77777777" w:rsidR="001574DD" w:rsidRPr="001574DD" w:rsidRDefault="001574DD" w:rsidP="001574DD">
      <w:pPr>
        <w:tabs>
          <w:tab w:val="left" w:pos="851"/>
        </w:tabs>
        <w:ind w:left="851"/>
        <w:rPr>
          <w:sz w:val="24"/>
          <w:szCs w:val="24"/>
        </w:rPr>
      </w:pPr>
      <w:r w:rsidRPr="001574DD">
        <w:rPr>
          <w:sz w:val="24"/>
          <w:szCs w:val="24"/>
        </w:rPr>
        <w:t>Ikke anvendt lægemiddel samt affald heraf skal bortskaffes i henhold til lokale retningslinjer.</w:t>
      </w:r>
    </w:p>
    <w:p w14:paraId="796B35F7" w14:textId="58E93823" w:rsidR="00C82F3B" w:rsidRDefault="00C82F3B">
      <w:pPr>
        <w:rPr>
          <w:sz w:val="24"/>
          <w:szCs w:val="24"/>
        </w:rPr>
      </w:pPr>
      <w:r>
        <w:rPr>
          <w:sz w:val="24"/>
          <w:szCs w:val="24"/>
        </w:rPr>
        <w:br w:type="page"/>
      </w:r>
    </w:p>
    <w:p w14:paraId="061B6C70" w14:textId="77777777" w:rsidR="009260DE" w:rsidRPr="00C84483" w:rsidRDefault="009260DE" w:rsidP="000730CA">
      <w:pPr>
        <w:tabs>
          <w:tab w:val="left" w:pos="851"/>
        </w:tabs>
        <w:ind w:left="851"/>
        <w:rPr>
          <w:sz w:val="24"/>
          <w:szCs w:val="24"/>
        </w:rPr>
      </w:pPr>
    </w:p>
    <w:p w14:paraId="21023ABF"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C495A35" w14:textId="77777777" w:rsidR="003C6E36" w:rsidRPr="001302D3" w:rsidRDefault="003C6E36" w:rsidP="003C6E36">
      <w:pPr>
        <w:ind w:left="851"/>
        <w:rPr>
          <w:szCs w:val="23"/>
          <w:lang w:eastAsia="da-DK"/>
        </w:rPr>
      </w:pPr>
      <w:proofErr w:type="spellStart"/>
      <w:r w:rsidRPr="001302D3">
        <w:rPr>
          <w:szCs w:val="23"/>
          <w:lang w:eastAsia="da-DK"/>
        </w:rPr>
        <w:t>Ebb</w:t>
      </w:r>
      <w:proofErr w:type="spellEnd"/>
      <w:r w:rsidRPr="001302D3">
        <w:rPr>
          <w:szCs w:val="23"/>
          <w:lang w:eastAsia="da-DK"/>
        </w:rPr>
        <w:t xml:space="preserve"> Medical AB</w:t>
      </w:r>
    </w:p>
    <w:p w14:paraId="6516864F" w14:textId="77777777" w:rsidR="003C6E36" w:rsidRPr="001302D3" w:rsidRDefault="003C6E36" w:rsidP="003C6E36">
      <w:pPr>
        <w:ind w:left="851"/>
        <w:rPr>
          <w:szCs w:val="23"/>
          <w:lang w:eastAsia="da-DK"/>
        </w:rPr>
      </w:pPr>
      <w:proofErr w:type="spellStart"/>
      <w:r w:rsidRPr="001302D3">
        <w:rPr>
          <w:szCs w:val="23"/>
          <w:lang w:eastAsia="da-DK"/>
        </w:rPr>
        <w:t>Ostra</w:t>
      </w:r>
      <w:proofErr w:type="spellEnd"/>
      <w:r w:rsidRPr="001302D3">
        <w:rPr>
          <w:szCs w:val="23"/>
          <w:lang w:eastAsia="da-DK"/>
        </w:rPr>
        <w:t xml:space="preserve"> </w:t>
      </w:r>
      <w:proofErr w:type="spellStart"/>
      <w:r w:rsidRPr="001302D3">
        <w:rPr>
          <w:szCs w:val="23"/>
          <w:lang w:eastAsia="da-DK"/>
        </w:rPr>
        <w:t>Kopmansgatan</w:t>
      </w:r>
      <w:proofErr w:type="spellEnd"/>
      <w:r w:rsidRPr="001302D3">
        <w:rPr>
          <w:szCs w:val="23"/>
          <w:lang w:eastAsia="da-DK"/>
        </w:rPr>
        <w:t xml:space="preserve"> 36</w:t>
      </w:r>
    </w:p>
    <w:p w14:paraId="2C2B637C" w14:textId="77777777" w:rsidR="003C6E36" w:rsidRPr="001302D3" w:rsidRDefault="003C6E36" w:rsidP="003C6E36">
      <w:pPr>
        <w:ind w:left="851"/>
        <w:rPr>
          <w:szCs w:val="23"/>
          <w:lang w:eastAsia="da-DK"/>
        </w:rPr>
      </w:pPr>
      <w:r w:rsidRPr="001302D3">
        <w:rPr>
          <w:szCs w:val="23"/>
          <w:lang w:eastAsia="da-DK"/>
        </w:rPr>
        <w:t>371 32 Karlskrona</w:t>
      </w:r>
    </w:p>
    <w:p w14:paraId="17945D46" w14:textId="77777777" w:rsidR="003C6E36" w:rsidRPr="001302D3" w:rsidRDefault="003C6E36" w:rsidP="003C6E36">
      <w:pPr>
        <w:ind w:left="851"/>
        <w:rPr>
          <w:szCs w:val="23"/>
        </w:rPr>
      </w:pPr>
      <w:proofErr w:type="spellStart"/>
      <w:r w:rsidRPr="001302D3">
        <w:rPr>
          <w:szCs w:val="23"/>
        </w:rPr>
        <w:t>Sweden</w:t>
      </w:r>
      <w:proofErr w:type="spellEnd"/>
    </w:p>
    <w:p w14:paraId="716CBE44" w14:textId="77777777" w:rsidR="009260DE" w:rsidRPr="00C84483" w:rsidRDefault="009260DE" w:rsidP="009260DE">
      <w:pPr>
        <w:tabs>
          <w:tab w:val="left" w:pos="851"/>
        </w:tabs>
        <w:ind w:left="851"/>
        <w:rPr>
          <w:sz w:val="24"/>
          <w:szCs w:val="24"/>
        </w:rPr>
      </w:pPr>
    </w:p>
    <w:p w14:paraId="73CC1ABB"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3F161086" w14:textId="2BE0AF2C" w:rsidR="00163B86" w:rsidRPr="00163B86" w:rsidRDefault="00163B86" w:rsidP="00163B86">
      <w:pPr>
        <w:tabs>
          <w:tab w:val="left" w:pos="851"/>
          <w:tab w:val="left" w:pos="2127"/>
        </w:tabs>
        <w:ind w:left="851"/>
        <w:jc w:val="both"/>
        <w:rPr>
          <w:sz w:val="24"/>
          <w:szCs w:val="24"/>
          <w:lang w:val="nl-BE"/>
        </w:rPr>
      </w:pPr>
      <w:r w:rsidRPr="00163B86">
        <w:rPr>
          <w:sz w:val="24"/>
          <w:szCs w:val="24"/>
          <w:lang w:val="nl-BE"/>
        </w:rPr>
        <w:t>50</w:t>
      </w:r>
      <w:r>
        <w:rPr>
          <w:sz w:val="24"/>
          <w:szCs w:val="24"/>
          <w:lang w:val="nl-BE"/>
        </w:rPr>
        <w:t xml:space="preserve"> </w:t>
      </w:r>
      <w:r w:rsidRPr="00163B86">
        <w:rPr>
          <w:sz w:val="24"/>
          <w:szCs w:val="24"/>
          <w:lang w:val="nl-BE"/>
        </w:rPr>
        <w:t>mg/ml:</w:t>
      </w:r>
      <w:r>
        <w:rPr>
          <w:sz w:val="24"/>
          <w:szCs w:val="24"/>
          <w:lang w:val="nl-BE"/>
        </w:rPr>
        <w:tab/>
      </w:r>
      <w:r w:rsidR="003C6E36">
        <w:rPr>
          <w:sz w:val="24"/>
          <w:szCs w:val="24"/>
          <w:lang w:val="nl-BE"/>
        </w:rPr>
        <w:t>71052</w:t>
      </w:r>
    </w:p>
    <w:p w14:paraId="4C84B886" w14:textId="427A4771" w:rsidR="00163B86" w:rsidRPr="00163B86" w:rsidRDefault="00163B86" w:rsidP="00163B86">
      <w:pPr>
        <w:tabs>
          <w:tab w:val="left" w:pos="851"/>
          <w:tab w:val="left" w:pos="2127"/>
        </w:tabs>
        <w:ind w:left="851"/>
        <w:jc w:val="both"/>
        <w:rPr>
          <w:sz w:val="24"/>
          <w:szCs w:val="24"/>
          <w:lang w:val="nl-BE"/>
        </w:rPr>
      </w:pPr>
      <w:r>
        <w:rPr>
          <w:sz w:val="24"/>
          <w:szCs w:val="24"/>
          <w:lang w:val="nl-BE"/>
        </w:rPr>
        <w:t>1</w:t>
      </w:r>
      <w:r w:rsidRPr="00163B86">
        <w:rPr>
          <w:sz w:val="24"/>
          <w:szCs w:val="24"/>
          <w:lang w:val="nl-BE"/>
        </w:rPr>
        <w:t>25</w:t>
      </w:r>
      <w:r>
        <w:rPr>
          <w:sz w:val="24"/>
          <w:szCs w:val="24"/>
          <w:lang w:val="nl-BE"/>
        </w:rPr>
        <w:t xml:space="preserve"> </w:t>
      </w:r>
      <w:r w:rsidRPr="00163B86">
        <w:rPr>
          <w:sz w:val="24"/>
          <w:szCs w:val="24"/>
          <w:lang w:val="nl-BE"/>
        </w:rPr>
        <w:t>mg/ml:</w:t>
      </w:r>
      <w:r w:rsidR="00CE5C37">
        <w:rPr>
          <w:sz w:val="24"/>
          <w:szCs w:val="24"/>
          <w:lang w:val="nl-BE"/>
        </w:rPr>
        <w:tab/>
      </w:r>
      <w:r w:rsidR="003C6E36">
        <w:rPr>
          <w:sz w:val="24"/>
          <w:szCs w:val="24"/>
          <w:lang w:val="nl-BE"/>
        </w:rPr>
        <w:t>71056</w:t>
      </w:r>
    </w:p>
    <w:p w14:paraId="0D644A17" w14:textId="77777777" w:rsidR="009260DE" w:rsidRPr="00163B86" w:rsidRDefault="009260DE" w:rsidP="009260DE">
      <w:pPr>
        <w:tabs>
          <w:tab w:val="left" w:pos="851"/>
        </w:tabs>
        <w:ind w:left="851"/>
        <w:jc w:val="both"/>
        <w:rPr>
          <w:sz w:val="24"/>
          <w:szCs w:val="24"/>
          <w:lang w:val="nl-BE"/>
        </w:rPr>
      </w:pPr>
    </w:p>
    <w:p w14:paraId="5B7B0BBA"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A7DC154" w14:textId="7E74ED68" w:rsidR="009260DE" w:rsidRPr="00C84483" w:rsidRDefault="003C6E36" w:rsidP="009260DE">
      <w:pPr>
        <w:tabs>
          <w:tab w:val="left" w:pos="851"/>
        </w:tabs>
        <w:ind w:left="851"/>
        <w:rPr>
          <w:sz w:val="24"/>
          <w:szCs w:val="24"/>
        </w:rPr>
      </w:pPr>
      <w:r>
        <w:rPr>
          <w:sz w:val="24"/>
          <w:szCs w:val="24"/>
        </w:rPr>
        <w:t>15. marts 2024</w:t>
      </w:r>
    </w:p>
    <w:p w14:paraId="656E766D" w14:textId="77777777" w:rsidR="009260DE" w:rsidRPr="00C84483" w:rsidRDefault="009260DE" w:rsidP="009260DE">
      <w:pPr>
        <w:tabs>
          <w:tab w:val="left" w:pos="851"/>
        </w:tabs>
        <w:ind w:left="851"/>
        <w:rPr>
          <w:sz w:val="24"/>
          <w:szCs w:val="24"/>
        </w:rPr>
      </w:pPr>
    </w:p>
    <w:p w14:paraId="59C2154E"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5B825C9" w14:textId="2E18995A" w:rsidR="009260DE" w:rsidRPr="00C84483" w:rsidRDefault="00CE5C37"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05D4E" w14:textId="77777777" w:rsidR="008C18FB" w:rsidRDefault="008C18FB">
      <w:r>
        <w:separator/>
      </w:r>
    </w:p>
  </w:endnote>
  <w:endnote w:type="continuationSeparator" w:id="0">
    <w:p w14:paraId="11D9C582" w14:textId="77777777" w:rsidR="008C18FB" w:rsidRDefault="008C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5ECC6" w14:textId="77777777" w:rsidR="000259B9" w:rsidRDefault="000259B9">
    <w:pPr>
      <w:pStyle w:val="Sidefod"/>
      <w:pBdr>
        <w:bottom w:val="single" w:sz="6" w:space="1" w:color="auto"/>
      </w:pBdr>
    </w:pPr>
  </w:p>
  <w:p w14:paraId="69C9181B" w14:textId="77777777" w:rsidR="000259B9" w:rsidRDefault="000259B9" w:rsidP="00C42586">
    <w:pPr>
      <w:pStyle w:val="Sidefod"/>
      <w:tabs>
        <w:tab w:val="clear" w:pos="4819"/>
        <w:tab w:val="left" w:pos="8505"/>
      </w:tabs>
      <w:rPr>
        <w:i/>
        <w:sz w:val="18"/>
        <w:szCs w:val="18"/>
      </w:rPr>
    </w:pPr>
  </w:p>
  <w:p w14:paraId="62AEBC25" w14:textId="0D3FDF86"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C6E36">
      <w:rPr>
        <w:i/>
        <w:noProof/>
        <w:sz w:val="18"/>
        <w:szCs w:val="18"/>
      </w:rPr>
      <w:t>Thiaminhydrochlorid Ebb Medical (Ebb Medical), injektionsvæske, opløsning 50 mg-ml og 125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04249" w14:textId="77777777" w:rsidR="008C18FB" w:rsidRDefault="008C18FB">
      <w:r>
        <w:separator/>
      </w:r>
    </w:p>
  </w:footnote>
  <w:footnote w:type="continuationSeparator" w:id="0">
    <w:p w14:paraId="4D6FAEDA" w14:textId="77777777" w:rsidR="008C18FB" w:rsidRDefault="008C1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B0236D6"/>
    <w:multiLevelType w:val="hybridMultilevel"/>
    <w:tmpl w:val="A22C0B56"/>
    <w:lvl w:ilvl="0" w:tplc="D4BCEE34">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2DAD0228"/>
    <w:multiLevelType w:val="hybridMultilevel"/>
    <w:tmpl w:val="D8023F1A"/>
    <w:lvl w:ilvl="0" w:tplc="C6262BD0">
      <w:start w:val="1"/>
      <w:numFmt w:val="bullet"/>
      <w:lvlText w:val="•"/>
      <w:lvlJc w:val="left"/>
      <w:pPr>
        <w:ind w:left="360" w:hanging="360"/>
      </w:pPr>
      <w:rPr>
        <w:rFonts w:ascii="Times New Roman" w:hAnsi="Times New Roman" w:cs="Times New Roman" w:hint="default"/>
        <w:b w:val="0"/>
        <w:i w:val="0"/>
        <w:spacing w:val="0"/>
        <w:kern w:val="24"/>
        <w:position w:val="0"/>
        <w:sz w:val="24"/>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5D2988"/>
    <w:multiLevelType w:val="hybridMultilevel"/>
    <w:tmpl w:val="DFD4875E"/>
    <w:lvl w:ilvl="0" w:tplc="DAE2C280">
      <w:start w:val="1"/>
      <w:numFmt w:val="bullet"/>
      <w:lvlText w:val=""/>
      <w:lvlJc w:val="left"/>
      <w:pPr>
        <w:ind w:left="360" w:hanging="360"/>
      </w:pPr>
      <w:rPr>
        <w:rFonts w:ascii="Symbol" w:hAnsi="Symbol" w:cs="Symbol" w:hint="default"/>
        <w:sz w:val="20"/>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4D23BCE"/>
    <w:multiLevelType w:val="hybridMultilevel"/>
    <w:tmpl w:val="1F2AFA7C"/>
    <w:lvl w:ilvl="0" w:tplc="BC3848EA">
      <w:numFmt w:val="bullet"/>
      <w:lvlText w:val="-"/>
      <w:lvlJc w:val="left"/>
      <w:pPr>
        <w:ind w:left="720" w:hanging="360"/>
      </w:pPr>
      <w:rPr>
        <w:rFonts w:ascii="Calibri" w:eastAsia="Calibri" w:hAnsi="Calibri" w:cs="Arial" w:hint="default"/>
        <w:b w:val="0"/>
        <w:i w:val="0"/>
        <w:color w:val="000001"/>
        <w:spacing w:val="0"/>
        <w:kern w:val="24"/>
        <w:position w:val="0"/>
        <w:sz w:val="24"/>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A3A29D3"/>
    <w:multiLevelType w:val="hybridMultilevel"/>
    <w:tmpl w:val="69A42302"/>
    <w:lvl w:ilvl="0" w:tplc="C6262BD0">
      <w:start w:val="1"/>
      <w:numFmt w:val="bullet"/>
      <w:lvlText w:val="•"/>
      <w:lvlJc w:val="left"/>
      <w:pPr>
        <w:ind w:left="360" w:hanging="360"/>
      </w:pPr>
      <w:rPr>
        <w:rFonts w:ascii="Times New Roman" w:hAnsi="Times New Roman" w:cs="Times New Roman" w:hint="default"/>
        <w:b w:val="0"/>
        <w:i w:val="0"/>
        <w:spacing w:val="0"/>
        <w:kern w:val="24"/>
        <w:position w:val="0"/>
        <w:sz w:val="24"/>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0" w15:restartNumberingAfterBreak="0">
    <w:nsid w:val="634F0F45"/>
    <w:multiLevelType w:val="hybridMultilevel"/>
    <w:tmpl w:val="20024A9A"/>
    <w:lvl w:ilvl="0" w:tplc="A43AC510">
      <w:start w:val="19"/>
      <w:numFmt w:val="bullet"/>
      <w:lvlText w:val="-"/>
      <w:lvlJc w:val="left"/>
      <w:pPr>
        <w:ind w:left="720" w:hanging="360"/>
      </w:pPr>
      <w:rPr>
        <w:rFonts w:ascii="Times New Roman" w:eastAsia="Times New Roman" w:hAnsi="Times New Roman" w:cs="Times New Roman" w:hint="default"/>
        <w:color w:val="000001"/>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7D114941"/>
    <w:multiLevelType w:val="hybridMultilevel"/>
    <w:tmpl w:val="1978686E"/>
    <w:lvl w:ilvl="0" w:tplc="BC3848EA">
      <w:numFmt w:val="bullet"/>
      <w:lvlText w:val="-"/>
      <w:lvlJc w:val="left"/>
      <w:pPr>
        <w:ind w:left="360" w:hanging="360"/>
      </w:pPr>
      <w:rPr>
        <w:rFonts w:ascii="Calibri" w:eastAsia="Calibri" w:hAnsi="Calibri" w:cs="Arial" w:hint="default"/>
        <w:sz w:val="20"/>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2" w15:restartNumberingAfterBreak="0">
    <w:nsid w:val="7F426B01"/>
    <w:multiLevelType w:val="hybridMultilevel"/>
    <w:tmpl w:val="AEA8ED5C"/>
    <w:lvl w:ilvl="0" w:tplc="C6262BD0">
      <w:start w:val="1"/>
      <w:numFmt w:val="bullet"/>
      <w:lvlText w:val="•"/>
      <w:lvlJc w:val="left"/>
      <w:pPr>
        <w:ind w:left="720" w:hanging="360"/>
      </w:pPr>
      <w:rPr>
        <w:rFonts w:ascii="Times New Roman" w:hAnsi="Times New Roman" w:cs="Times New Roman" w:hint="default"/>
        <w:b w:val="0"/>
        <w:i w:val="0"/>
        <w:spacing w:val="0"/>
        <w:kern w:val="24"/>
        <w:position w:val="0"/>
        <w:sz w:val="24"/>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0"/>
  </w:num>
  <w:num w:numId="9">
    <w:abstractNumId w:val="7"/>
  </w:num>
  <w:num w:numId="10">
    <w:abstractNumId w:val="11"/>
  </w:num>
  <w:num w:numId="11">
    <w:abstractNumId w:val="12"/>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FB"/>
    <w:rsid w:val="00010248"/>
    <w:rsid w:val="000259B9"/>
    <w:rsid w:val="00041491"/>
    <w:rsid w:val="00050D16"/>
    <w:rsid w:val="000730CA"/>
    <w:rsid w:val="00074F2A"/>
    <w:rsid w:val="000A1CA8"/>
    <w:rsid w:val="000A28E9"/>
    <w:rsid w:val="000A466B"/>
    <w:rsid w:val="000B058C"/>
    <w:rsid w:val="000E4EE6"/>
    <w:rsid w:val="001140F1"/>
    <w:rsid w:val="00142084"/>
    <w:rsid w:val="001454E2"/>
    <w:rsid w:val="001574DD"/>
    <w:rsid w:val="00163B86"/>
    <w:rsid w:val="001A36FC"/>
    <w:rsid w:val="001D17C3"/>
    <w:rsid w:val="001E1442"/>
    <w:rsid w:val="00206CE8"/>
    <w:rsid w:val="0021526C"/>
    <w:rsid w:val="00283A2B"/>
    <w:rsid w:val="002B30AD"/>
    <w:rsid w:val="002C2C01"/>
    <w:rsid w:val="002E673B"/>
    <w:rsid w:val="002F1352"/>
    <w:rsid w:val="00386F11"/>
    <w:rsid w:val="003A29AE"/>
    <w:rsid w:val="003A32D7"/>
    <w:rsid w:val="003B4074"/>
    <w:rsid w:val="003C31B8"/>
    <w:rsid w:val="003C6E36"/>
    <w:rsid w:val="003C769A"/>
    <w:rsid w:val="003E0DAD"/>
    <w:rsid w:val="003F1838"/>
    <w:rsid w:val="003F6B96"/>
    <w:rsid w:val="004323D8"/>
    <w:rsid w:val="0043492B"/>
    <w:rsid w:val="0045746C"/>
    <w:rsid w:val="004649E7"/>
    <w:rsid w:val="0049104B"/>
    <w:rsid w:val="004E3B12"/>
    <w:rsid w:val="004F1806"/>
    <w:rsid w:val="00532310"/>
    <w:rsid w:val="00544F36"/>
    <w:rsid w:val="005628C5"/>
    <w:rsid w:val="00565F0F"/>
    <w:rsid w:val="00594A86"/>
    <w:rsid w:val="00596D86"/>
    <w:rsid w:val="00637F5A"/>
    <w:rsid w:val="006557C4"/>
    <w:rsid w:val="006560B1"/>
    <w:rsid w:val="006756DD"/>
    <w:rsid w:val="006B4C47"/>
    <w:rsid w:val="006D1C54"/>
    <w:rsid w:val="006D5CD6"/>
    <w:rsid w:val="00701B66"/>
    <w:rsid w:val="00737275"/>
    <w:rsid w:val="00740EEC"/>
    <w:rsid w:val="0078011A"/>
    <w:rsid w:val="00782AF4"/>
    <w:rsid w:val="007862DC"/>
    <w:rsid w:val="00790607"/>
    <w:rsid w:val="00790EE7"/>
    <w:rsid w:val="007B504B"/>
    <w:rsid w:val="007B6649"/>
    <w:rsid w:val="007C16DF"/>
    <w:rsid w:val="007E5136"/>
    <w:rsid w:val="008062E8"/>
    <w:rsid w:val="008231E4"/>
    <w:rsid w:val="0082576E"/>
    <w:rsid w:val="00854FD3"/>
    <w:rsid w:val="008C18FB"/>
    <w:rsid w:val="00907F75"/>
    <w:rsid w:val="009260DE"/>
    <w:rsid w:val="0093258A"/>
    <w:rsid w:val="009B39EB"/>
    <w:rsid w:val="009C7BA3"/>
    <w:rsid w:val="009D1F5A"/>
    <w:rsid w:val="00A048CE"/>
    <w:rsid w:val="00A10294"/>
    <w:rsid w:val="00A32263"/>
    <w:rsid w:val="00AC5604"/>
    <w:rsid w:val="00B003BF"/>
    <w:rsid w:val="00B373D7"/>
    <w:rsid w:val="00BC75EA"/>
    <w:rsid w:val="00C36276"/>
    <w:rsid w:val="00C42586"/>
    <w:rsid w:val="00C60CCD"/>
    <w:rsid w:val="00C62C6B"/>
    <w:rsid w:val="00C82F3B"/>
    <w:rsid w:val="00C84483"/>
    <w:rsid w:val="00C95551"/>
    <w:rsid w:val="00CA18DC"/>
    <w:rsid w:val="00CB20D7"/>
    <w:rsid w:val="00CE24B3"/>
    <w:rsid w:val="00CE5C37"/>
    <w:rsid w:val="00D020B0"/>
    <w:rsid w:val="00D11748"/>
    <w:rsid w:val="00D27C07"/>
    <w:rsid w:val="00D366CF"/>
    <w:rsid w:val="00DD4F43"/>
    <w:rsid w:val="00DE1A6A"/>
    <w:rsid w:val="00E108AA"/>
    <w:rsid w:val="00E14627"/>
    <w:rsid w:val="00E3749A"/>
    <w:rsid w:val="00E50012"/>
    <w:rsid w:val="00E7437F"/>
    <w:rsid w:val="00E865B8"/>
    <w:rsid w:val="00EB6627"/>
    <w:rsid w:val="00EC0B9B"/>
    <w:rsid w:val="00ED5E9F"/>
    <w:rsid w:val="00EF73C7"/>
    <w:rsid w:val="00F42860"/>
    <w:rsid w:val="00F66D4F"/>
    <w:rsid w:val="00F766F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1DC61"/>
  <w15:chartTrackingRefBased/>
  <w15:docId w15:val="{AE07B7BB-123D-4CB4-9390-F12C86E7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2F1352"/>
    <w:rPr>
      <w:color w:val="0563C1" w:themeColor="hyperlink"/>
      <w:u w:val="single"/>
    </w:rPr>
  </w:style>
  <w:style w:type="character" w:styleId="Ulstomtale">
    <w:name w:val="Unresolved Mention"/>
    <w:basedOn w:val="Standardskrifttypeiafsnit"/>
    <w:uiPriority w:val="99"/>
    <w:semiHidden/>
    <w:unhideWhenUsed/>
    <w:rsid w:val="002F1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843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9341566">
      <w:bodyDiv w:val="1"/>
      <w:marLeft w:val="0"/>
      <w:marRight w:val="0"/>
      <w:marTop w:val="0"/>
      <w:marBottom w:val="0"/>
      <w:divBdr>
        <w:top w:val="none" w:sz="0" w:space="0" w:color="auto"/>
        <w:left w:val="none" w:sz="0" w:space="0" w:color="auto"/>
        <w:bottom w:val="none" w:sz="0" w:space="0" w:color="auto"/>
        <w:right w:val="none" w:sz="0" w:space="0" w:color="auto"/>
      </w:divBdr>
    </w:div>
    <w:div w:id="229120284">
      <w:bodyDiv w:val="1"/>
      <w:marLeft w:val="0"/>
      <w:marRight w:val="0"/>
      <w:marTop w:val="0"/>
      <w:marBottom w:val="0"/>
      <w:divBdr>
        <w:top w:val="none" w:sz="0" w:space="0" w:color="auto"/>
        <w:left w:val="none" w:sz="0" w:space="0" w:color="auto"/>
        <w:bottom w:val="none" w:sz="0" w:space="0" w:color="auto"/>
        <w:right w:val="none" w:sz="0" w:space="0" w:color="auto"/>
      </w:divBdr>
    </w:div>
    <w:div w:id="238180294">
      <w:bodyDiv w:val="1"/>
      <w:marLeft w:val="0"/>
      <w:marRight w:val="0"/>
      <w:marTop w:val="0"/>
      <w:marBottom w:val="0"/>
      <w:divBdr>
        <w:top w:val="none" w:sz="0" w:space="0" w:color="auto"/>
        <w:left w:val="none" w:sz="0" w:space="0" w:color="auto"/>
        <w:bottom w:val="none" w:sz="0" w:space="0" w:color="auto"/>
        <w:right w:val="none" w:sz="0" w:space="0" w:color="auto"/>
      </w:divBdr>
    </w:div>
    <w:div w:id="265582043">
      <w:bodyDiv w:val="1"/>
      <w:marLeft w:val="0"/>
      <w:marRight w:val="0"/>
      <w:marTop w:val="0"/>
      <w:marBottom w:val="0"/>
      <w:divBdr>
        <w:top w:val="none" w:sz="0" w:space="0" w:color="auto"/>
        <w:left w:val="none" w:sz="0" w:space="0" w:color="auto"/>
        <w:bottom w:val="none" w:sz="0" w:space="0" w:color="auto"/>
        <w:right w:val="none" w:sz="0" w:space="0" w:color="auto"/>
      </w:divBdr>
    </w:div>
    <w:div w:id="305821006">
      <w:bodyDiv w:val="1"/>
      <w:marLeft w:val="0"/>
      <w:marRight w:val="0"/>
      <w:marTop w:val="0"/>
      <w:marBottom w:val="0"/>
      <w:divBdr>
        <w:top w:val="none" w:sz="0" w:space="0" w:color="auto"/>
        <w:left w:val="none" w:sz="0" w:space="0" w:color="auto"/>
        <w:bottom w:val="none" w:sz="0" w:space="0" w:color="auto"/>
        <w:right w:val="none" w:sz="0" w:space="0" w:color="auto"/>
      </w:divBdr>
    </w:div>
    <w:div w:id="380176848">
      <w:bodyDiv w:val="1"/>
      <w:marLeft w:val="0"/>
      <w:marRight w:val="0"/>
      <w:marTop w:val="0"/>
      <w:marBottom w:val="0"/>
      <w:divBdr>
        <w:top w:val="none" w:sz="0" w:space="0" w:color="auto"/>
        <w:left w:val="none" w:sz="0" w:space="0" w:color="auto"/>
        <w:bottom w:val="none" w:sz="0" w:space="0" w:color="auto"/>
        <w:right w:val="none" w:sz="0" w:space="0" w:color="auto"/>
      </w:divBdr>
    </w:div>
    <w:div w:id="510143486">
      <w:bodyDiv w:val="1"/>
      <w:marLeft w:val="0"/>
      <w:marRight w:val="0"/>
      <w:marTop w:val="0"/>
      <w:marBottom w:val="0"/>
      <w:divBdr>
        <w:top w:val="none" w:sz="0" w:space="0" w:color="auto"/>
        <w:left w:val="none" w:sz="0" w:space="0" w:color="auto"/>
        <w:bottom w:val="none" w:sz="0" w:space="0" w:color="auto"/>
        <w:right w:val="none" w:sz="0" w:space="0" w:color="auto"/>
      </w:divBdr>
    </w:div>
    <w:div w:id="511995936">
      <w:bodyDiv w:val="1"/>
      <w:marLeft w:val="0"/>
      <w:marRight w:val="0"/>
      <w:marTop w:val="0"/>
      <w:marBottom w:val="0"/>
      <w:divBdr>
        <w:top w:val="none" w:sz="0" w:space="0" w:color="auto"/>
        <w:left w:val="none" w:sz="0" w:space="0" w:color="auto"/>
        <w:bottom w:val="none" w:sz="0" w:space="0" w:color="auto"/>
        <w:right w:val="none" w:sz="0" w:space="0" w:color="auto"/>
      </w:divBdr>
    </w:div>
    <w:div w:id="577859805">
      <w:bodyDiv w:val="1"/>
      <w:marLeft w:val="0"/>
      <w:marRight w:val="0"/>
      <w:marTop w:val="0"/>
      <w:marBottom w:val="0"/>
      <w:divBdr>
        <w:top w:val="none" w:sz="0" w:space="0" w:color="auto"/>
        <w:left w:val="none" w:sz="0" w:space="0" w:color="auto"/>
        <w:bottom w:val="none" w:sz="0" w:space="0" w:color="auto"/>
        <w:right w:val="none" w:sz="0" w:space="0" w:color="auto"/>
      </w:divBdr>
    </w:div>
    <w:div w:id="581261591">
      <w:bodyDiv w:val="1"/>
      <w:marLeft w:val="0"/>
      <w:marRight w:val="0"/>
      <w:marTop w:val="0"/>
      <w:marBottom w:val="0"/>
      <w:divBdr>
        <w:top w:val="none" w:sz="0" w:space="0" w:color="auto"/>
        <w:left w:val="none" w:sz="0" w:space="0" w:color="auto"/>
        <w:bottom w:val="none" w:sz="0" w:space="0" w:color="auto"/>
        <w:right w:val="none" w:sz="0" w:space="0" w:color="auto"/>
      </w:divBdr>
    </w:div>
    <w:div w:id="590427932">
      <w:bodyDiv w:val="1"/>
      <w:marLeft w:val="0"/>
      <w:marRight w:val="0"/>
      <w:marTop w:val="0"/>
      <w:marBottom w:val="0"/>
      <w:divBdr>
        <w:top w:val="none" w:sz="0" w:space="0" w:color="auto"/>
        <w:left w:val="none" w:sz="0" w:space="0" w:color="auto"/>
        <w:bottom w:val="none" w:sz="0" w:space="0" w:color="auto"/>
        <w:right w:val="none" w:sz="0" w:space="0" w:color="auto"/>
      </w:divBdr>
    </w:div>
    <w:div w:id="727848076">
      <w:bodyDiv w:val="1"/>
      <w:marLeft w:val="0"/>
      <w:marRight w:val="0"/>
      <w:marTop w:val="0"/>
      <w:marBottom w:val="0"/>
      <w:divBdr>
        <w:top w:val="none" w:sz="0" w:space="0" w:color="auto"/>
        <w:left w:val="none" w:sz="0" w:space="0" w:color="auto"/>
        <w:bottom w:val="none" w:sz="0" w:space="0" w:color="auto"/>
        <w:right w:val="none" w:sz="0" w:space="0" w:color="auto"/>
      </w:divBdr>
    </w:div>
    <w:div w:id="735588421">
      <w:bodyDiv w:val="1"/>
      <w:marLeft w:val="0"/>
      <w:marRight w:val="0"/>
      <w:marTop w:val="0"/>
      <w:marBottom w:val="0"/>
      <w:divBdr>
        <w:top w:val="none" w:sz="0" w:space="0" w:color="auto"/>
        <w:left w:val="none" w:sz="0" w:space="0" w:color="auto"/>
        <w:bottom w:val="none" w:sz="0" w:space="0" w:color="auto"/>
        <w:right w:val="none" w:sz="0" w:space="0" w:color="auto"/>
      </w:divBdr>
    </w:div>
    <w:div w:id="778717127">
      <w:bodyDiv w:val="1"/>
      <w:marLeft w:val="0"/>
      <w:marRight w:val="0"/>
      <w:marTop w:val="0"/>
      <w:marBottom w:val="0"/>
      <w:divBdr>
        <w:top w:val="none" w:sz="0" w:space="0" w:color="auto"/>
        <w:left w:val="none" w:sz="0" w:space="0" w:color="auto"/>
        <w:bottom w:val="none" w:sz="0" w:space="0" w:color="auto"/>
        <w:right w:val="none" w:sz="0" w:space="0" w:color="auto"/>
      </w:divBdr>
    </w:div>
    <w:div w:id="850336728">
      <w:bodyDiv w:val="1"/>
      <w:marLeft w:val="0"/>
      <w:marRight w:val="0"/>
      <w:marTop w:val="0"/>
      <w:marBottom w:val="0"/>
      <w:divBdr>
        <w:top w:val="none" w:sz="0" w:space="0" w:color="auto"/>
        <w:left w:val="none" w:sz="0" w:space="0" w:color="auto"/>
        <w:bottom w:val="none" w:sz="0" w:space="0" w:color="auto"/>
        <w:right w:val="none" w:sz="0" w:space="0" w:color="auto"/>
      </w:divBdr>
    </w:div>
    <w:div w:id="897320856">
      <w:bodyDiv w:val="1"/>
      <w:marLeft w:val="0"/>
      <w:marRight w:val="0"/>
      <w:marTop w:val="0"/>
      <w:marBottom w:val="0"/>
      <w:divBdr>
        <w:top w:val="none" w:sz="0" w:space="0" w:color="auto"/>
        <w:left w:val="none" w:sz="0" w:space="0" w:color="auto"/>
        <w:bottom w:val="none" w:sz="0" w:space="0" w:color="auto"/>
        <w:right w:val="none" w:sz="0" w:space="0" w:color="auto"/>
      </w:divBdr>
    </w:div>
    <w:div w:id="915751068">
      <w:bodyDiv w:val="1"/>
      <w:marLeft w:val="0"/>
      <w:marRight w:val="0"/>
      <w:marTop w:val="0"/>
      <w:marBottom w:val="0"/>
      <w:divBdr>
        <w:top w:val="none" w:sz="0" w:space="0" w:color="auto"/>
        <w:left w:val="none" w:sz="0" w:space="0" w:color="auto"/>
        <w:bottom w:val="none" w:sz="0" w:space="0" w:color="auto"/>
        <w:right w:val="none" w:sz="0" w:space="0" w:color="auto"/>
      </w:divBdr>
    </w:div>
    <w:div w:id="967902482">
      <w:bodyDiv w:val="1"/>
      <w:marLeft w:val="0"/>
      <w:marRight w:val="0"/>
      <w:marTop w:val="0"/>
      <w:marBottom w:val="0"/>
      <w:divBdr>
        <w:top w:val="none" w:sz="0" w:space="0" w:color="auto"/>
        <w:left w:val="none" w:sz="0" w:space="0" w:color="auto"/>
        <w:bottom w:val="none" w:sz="0" w:space="0" w:color="auto"/>
        <w:right w:val="none" w:sz="0" w:space="0" w:color="auto"/>
      </w:divBdr>
    </w:div>
    <w:div w:id="985625965">
      <w:bodyDiv w:val="1"/>
      <w:marLeft w:val="0"/>
      <w:marRight w:val="0"/>
      <w:marTop w:val="0"/>
      <w:marBottom w:val="0"/>
      <w:divBdr>
        <w:top w:val="none" w:sz="0" w:space="0" w:color="auto"/>
        <w:left w:val="none" w:sz="0" w:space="0" w:color="auto"/>
        <w:bottom w:val="none" w:sz="0" w:space="0" w:color="auto"/>
        <w:right w:val="none" w:sz="0" w:space="0" w:color="auto"/>
      </w:divBdr>
    </w:div>
    <w:div w:id="989551828">
      <w:bodyDiv w:val="1"/>
      <w:marLeft w:val="0"/>
      <w:marRight w:val="0"/>
      <w:marTop w:val="0"/>
      <w:marBottom w:val="0"/>
      <w:divBdr>
        <w:top w:val="none" w:sz="0" w:space="0" w:color="auto"/>
        <w:left w:val="none" w:sz="0" w:space="0" w:color="auto"/>
        <w:bottom w:val="none" w:sz="0" w:space="0" w:color="auto"/>
        <w:right w:val="none" w:sz="0" w:space="0" w:color="auto"/>
      </w:divBdr>
    </w:div>
    <w:div w:id="1094933954">
      <w:bodyDiv w:val="1"/>
      <w:marLeft w:val="0"/>
      <w:marRight w:val="0"/>
      <w:marTop w:val="0"/>
      <w:marBottom w:val="0"/>
      <w:divBdr>
        <w:top w:val="none" w:sz="0" w:space="0" w:color="auto"/>
        <w:left w:val="none" w:sz="0" w:space="0" w:color="auto"/>
        <w:bottom w:val="none" w:sz="0" w:space="0" w:color="auto"/>
        <w:right w:val="none" w:sz="0" w:space="0" w:color="auto"/>
      </w:divBdr>
    </w:div>
    <w:div w:id="1156872306">
      <w:bodyDiv w:val="1"/>
      <w:marLeft w:val="0"/>
      <w:marRight w:val="0"/>
      <w:marTop w:val="0"/>
      <w:marBottom w:val="0"/>
      <w:divBdr>
        <w:top w:val="none" w:sz="0" w:space="0" w:color="auto"/>
        <w:left w:val="none" w:sz="0" w:space="0" w:color="auto"/>
        <w:bottom w:val="none" w:sz="0" w:space="0" w:color="auto"/>
        <w:right w:val="none" w:sz="0" w:space="0" w:color="auto"/>
      </w:divBdr>
    </w:div>
    <w:div w:id="1251427801">
      <w:bodyDiv w:val="1"/>
      <w:marLeft w:val="0"/>
      <w:marRight w:val="0"/>
      <w:marTop w:val="0"/>
      <w:marBottom w:val="0"/>
      <w:divBdr>
        <w:top w:val="none" w:sz="0" w:space="0" w:color="auto"/>
        <w:left w:val="none" w:sz="0" w:space="0" w:color="auto"/>
        <w:bottom w:val="none" w:sz="0" w:space="0" w:color="auto"/>
        <w:right w:val="none" w:sz="0" w:space="0" w:color="auto"/>
      </w:divBdr>
    </w:div>
    <w:div w:id="1322081558">
      <w:bodyDiv w:val="1"/>
      <w:marLeft w:val="0"/>
      <w:marRight w:val="0"/>
      <w:marTop w:val="0"/>
      <w:marBottom w:val="0"/>
      <w:divBdr>
        <w:top w:val="none" w:sz="0" w:space="0" w:color="auto"/>
        <w:left w:val="none" w:sz="0" w:space="0" w:color="auto"/>
        <w:bottom w:val="none" w:sz="0" w:space="0" w:color="auto"/>
        <w:right w:val="none" w:sz="0" w:space="0" w:color="auto"/>
      </w:divBdr>
    </w:div>
    <w:div w:id="1360666994">
      <w:bodyDiv w:val="1"/>
      <w:marLeft w:val="0"/>
      <w:marRight w:val="0"/>
      <w:marTop w:val="0"/>
      <w:marBottom w:val="0"/>
      <w:divBdr>
        <w:top w:val="none" w:sz="0" w:space="0" w:color="auto"/>
        <w:left w:val="none" w:sz="0" w:space="0" w:color="auto"/>
        <w:bottom w:val="none" w:sz="0" w:space="0" w:color="auto"/>
        <w:right w:val="none" w:sz="0" w:space="0" w:color="auto"/>
      </w:divBdr>
    </w:div>
    <w:div w:id="1396930021">
      <w:bodyDiv w:val="1"/>
      <w:marLeft w:val="0"/>
      <w:marRight w:val="0"/>
      <w:marTop w:val="0"/>
      <w:marBottom w:val="0"/>
      <w:divBdr>
        <w:top w:val="none" w:sz="0" w:space="0" w:color="auto"/>
        <w:left w:val="none" w:sz="0" w:space="0" w:color="auto"/>
        <w:bottom w:val="none" w:sz="0" w:space="0" w:color="auto"/>
        <w:right w:val="none" w:sz="0" w:space="0" w:color="auto"/>
      </w:divBdr>
    </w:div>
    <w:div w:id="1412124410">
      <w:bodyDiv w:val="1"/>
      <w:marLeft w:val="0"/>
      <w:marRight w:val="0"/>
      <w:marTop w:val="0"/>
      <w:marBottom w:val="0"/>
      <w:divBdr>
        <w:top w:val="none" w:sz="0" w:space="0" w:color="auto"/>
        <w:left w:val="none" w:sz="0" w:space="0" w:color="auto"/>
        <w:bottom w:val="none" w:sz="0" w:space="0" w:color="auto"/>
        <w:right w:val="none" w:sz="0" w:space="0" w:color="auto"/>
      </w:divBdr>
    </w:div>
    <w:div w:id="1459562959">
      <w:bodyDiv w:val="1"/>
      <w:marLeft w:val="0"/>
      <w:marRight w:val="0"/>
      <w:marTop w:val="0"/>
      <w:marBottom w:val="0"/>
      <w:divBdr>
        <w:top w:val="none" w:sz="0" w:space="0" w:color="auto"/>
        <w:left w:val="none" w:sz="0" w:space="0" w:color="auto"/>
        <w:bottom w:val="none" w:sz="0" w:space="0" w:color="auto"/>
        <w:right w:val="none" w:sz="0" w:space="0" w:color="auto"/>
      </w:divBdr>
    </w:div>
    <w:div w:id="1533763759">
      <w:bodyDiv w:val="1"/>
      <w:marLeft w:val="0"/>
      <w:marRight w:val="0"/>
      <w:marTop w:val="0"/>
      <w:marBottom w:val="0"/>
      <w:divBdr>
        <w:top w:val="none" w:sz="0" w:space="0" w:color="auto"/>
        <w:left w:val="none" w:sz="0" w:space="0" w:color="auto"/>
        <w:bottom w:val="none" w:sz="0" w:space="0" w:color="auto"/>
        <w:right w:val="none" w:sz="0" w:space="0" w:color="auto"/>
      </w:divBdr>
    </w:div>
    <w:div w:id="1601991080">
      <w:bodyDiv w:val="1"/>
      <w:marLeft w:val="0"/>
      <w:marRight w:val="0"/>
      <w:marTop w:val="0"/>
      <w:marBottom w:val="0"/>
      <w:divBdr>
        <w:top w:val="none" w:sz="0" w:space="0" w:color="auto"/>
        <w:left w:val="none" w:sz="0" w:space="0" w:color="auto"/>
        <w:bottom w:val="none" w:sz="0" w:space="0" w:color="auto"/>
        <w:right w:val="none" w:sz="0" w:space="0" w:color="auto"/>
      </w:divBdr>
    </w:div>
    <w:div w:id="1616520372">
      <w:bodyDiv w:val="1"/>
      <w:marLeft w:val="0"/>
      <w:marRight w:val="0"/>
      <w:marTop w:val="0"/>
      <w:marBottom w:val="0"/>
      <w:divBdr>
        <w:top w:val="none" w:sz="0" w:space="0" w:color="auto"/>
        <w:left w:val="none" w:sz="0" w:space="0" w:color="auto"/>
        <w:bottom w:val="none" w:sz="0" w:space="0" w:color="auto"/>
        <w:right w:val="none" w:sz="0" w:space="0" w:color="auto"/>
      </w:divBdr>
    </w:div>
    <w:div w:id="1636449830">
      <w:bodyDiv w:val="1"/>
      <w:marLeft w:val="0"/>
      <w:marRight w:val="0"/>
      <w:marTop w:val="0"/>
      <w:marBottom w:val="0"/>
      <w:divBdr>
        <w:top w:val="none" w:sz="0" w:space="0" w:color="auto"/>
        <w:left w:val="none" w:sz="0" w:space="0" w:color="auto"/>
        <w:bottom w:val="none" w:sz="0" w:space="0" w:color="auto"/>
        <w:right w:val="none" w:sz="0" w:space="0" w:color="auto"/>
      </w:divBdr>
    </w:div>
    <w:div w:id="1677656389">
      <w:bodyDiv w:val="1"/>
      <w:marLeft w:val="0"/>
      <w:marRight w:val="0"/>
      <w:marTop w:val="0"/>
      <w:marBottom w:val="0"/>
      <w:divBdr>
        <w:top w:val="none" w:sz="0" w:space="0" w:color="auto"/>
        <w:left w:val="none" w:sz="0" w:space="0" w:color="auto"/>
        <w:bottom w:val="none" w:sz="0" w:space="0" w:color="auto"/>
        <w:right w:val="none" w:sz="0" w:space="0" w:color="auto"/>
      </w:divBdr>
    </w:div>
    <w:div w:id="1685790289">
      <w:bodyDiv w:val="1"/>
      <w:marLeft w:val="0"/>
      <w:marRight w:val="0"/>
      <w:marTop w:val="0"/>
      <w:marBottom w:val="0"/>
      <w:divBdr>
        <w:top w:val="none" w:sz="0" w:space="0" w:color="auto"/>
        <w:left w:val="none" w:sz="0" w:space="0" w:color="auto"/>
        <w:bottom w:val="none" w:sz="0" w:space="0" w:color="auto"/>
        <w:right w:val="none" w:sz="0" w:space="0" w:color="auto"/>
      </w:divBdr>
    </w:div>
    <w:div w:id="1691834750">
      <w:bodyDiv w:val="1"/>
      <w:marLeft w:val="0"/>
      <w:marRight w:val="0"/>
      <w:marTop w:val="0"/>
      <w:marBottom w:val="0"/>
      <w:divBdr>
        <w:top w:val="none" w:sz="0" w:space="0" w:color="auto"/>
        <w:left w:val="none" w:sz="0" w:space="0" w:color="auto"/>
        <w:bottom w:val="none" w:sz="0" w:space="0" w:color="auto"/>
        <w:right w:val="none" w:sz="0" w:space="0" w:color="auto"/>
      </w:divBdr>
    </w:div>
    <w:div w:id="1703288970">
      <w:bodyDiv w:val="1"/>
      <w:marLeft w:val="0"/>
      <w:marRight w:val="0"/>
      <w:marTop w:val="0"/>
      <w:marBottom w:val="0"/>
      <w:divBdr>
        <w:top w:val="none" w:sz="0" w:space="0" w:color="auto"/>
        <w:left w:val="none" w:sz="0" w:space="0" w:color="auto"/>
        <w:bottom w:val="none" w:sz="0" w:space="0" w:color="auto"/>
        <w:right w:val="none" w:sz="0" w:space="0" w:color="auto"/>
      </w:divBdr>
    </w:div>
    <w:div w:id="1827668964">
      <w:bodyDiv w:val="1"/>
      <w:marLeft w:val="0"/>
      <w:marRight w:val="0"/>
      <w:marTop w:val="0"/>
      <w:marBottom w:val="0"/>
      <w:divBdr>
        <w:top w:val="none" w:sz="0" w:space="0" w:color="auto"/>
        <w:left w:val="none" w:sz="0" w:space="0" w:color="auto"/>
        <w:bottom w:val="none" w:sz="0" w:space="0" w:color="auto"/>
        <w:right w:val="none" w:sz="0" w:space="0" w:color="auto"/>
      </w:divBdr>
    </w:div>
    <w:div w:id="1875188153">
      <w:bodyDiv w:val="1"/>
      <w:marLeft w:val="0"/>
      <w:marRight w:val="0"/>
      <w:marTop w:val="0"/>
      <w:marBottom w:val="0"/>
      <w:divBdr>
        <w:top w:val="none" w:sz="0" w:space="0" w:color="auto"/>
        <w:left w:val="none" w:sz="0" w:space="0" w:color="auto"/>
        <w:bottom w:val="none" w:sz="0" w:space="0" w:color="auto"/>
        <w:right w:val="none" w:sz="0" w:space="0" w:color="auto"/>
      </w:divBdr>
    </w:div>
    <w:div w:id="1911965976">
      <w:bodyDiv w:val="1"/>
      <w:marLeft w:val="0"/>
      <w:marRight w:val="0"/>
      <w:marTop w:val="0"/>
      <w:marBottom w:val="0"/>
      <w:divBdr>
        <w:top w:val="none" w:sz="0" w:space="0" w:color="auto"/>
        <w:left w:val="none" w:sz="0" w:space="0" w:color="auto"/>
        <w:bottom w:val="none" w:sz="0" w:space="0" w:color="auto"/>
        <w:right w:val="none" w:sz="0" w:space="0" w:color="auto"/>
      </w:divBdr>
    </w:div>
    <w:div w:id="1946421929">
      <w:bodyDiv w:val="1"/>
      <w:marLeft w:val="0"/>
      <w:marRight w:val="0"/>
      <w:marTop w:val="0"/>
      <w:marBottom w:val="0"/>
      <w:divBdr>
        <w:top w:val="none" w:sz="0" w:space="0" w:color="auto"/>
        <w:left w:val="none" w:sz="0" w:space="0" w:color="auto"/>
        <w:bottom w:val="none" w:sz="0" w:space="0" w:color="auto"/>
        <w:right w:val="none" w:sz="0" w:space="0" w:color="auto"/>
      </w:divBdr>
    </w:div>
    <w:div w:id="1989699157">
      <w:bodyDiv w:val="1"/>
      <w:marLeft w:val="0"/>
      <w:marRight w:val="0"/>
      <w:marTop w:val="0"/>
      <w:marBottom w:val="0"/>
      <w:divBdr>
        <w:top w:val="none" w:sz="0" w:space="0" w:color="auto"/>
        <w:left w:val="none" w:sz="0" w:space="0" w:color="auto"/>
        <w:bottom w:val="none" w:sz="0" w:space="0" w:color="auto"/>
        <w:right w:val="none" w:sz="0" w:space="0" w:color="auto"/>
      </w:divBdr>
    </w:div>
    <w:div w:id="2007633062">
      <w:bodyDiv w:val="1"/>
      <w:marLeft w:val="0"/>
      <w:marRight w:val="0"/>
      <w:marTop w:val="0"/>
      <w:marBottom w:val="0"/>
      <w:divBdr>
        <w:top w:val="none" w:sz="0" w:space="0" w:color="auto"/>
        <w:left w:val="none" w:sz="0" w:space="0" w:color="auto"/>
        <w:bottom w:val="none" w:sz="0" w:space="0" w:color="auto"/>
        <w:right w:val="none" w:sz="0" w:space="0" w:color="auto"/>
      </w:divBdr>
    </w:div>
    <w:div w:id="2011567645">
      <w:bodyDiv w:val="1"/>
      <w:marLeft w:val="0"/>
      <w:marRight w:val="0"/>
      <w:marTop w:val="0"/>
      <w:marBottom w:val="0"/>
      <w:divBdr>
        <w:top w:val="none" w:sz="0" w:space="0" w:color="auto"/>
        <w:left w:val="none" w:sz="0" w:space="0" w:color="auto"/>
        <w:bottom w:val="none" w:sz="0" w:space="0" w:color="auto"/>
        <w:right w:val="none" w:sz="0" w:space="0" w:color="auto"/>
      </w:divBdr>
    </w:div>
    <w:div w:id="2039550404">
      <w:bodyDiv w:val="1"/>
      <w:marLeft w:val="0"/>
      <w:marRight w:val="0"/>
      <w:marTop w:val="0"/>
      <w:marBottom w:val="0"/>
      <w:divBdr>
        <w:top w:val="none" w:sz="0" w:space="0" w:color="auto"/>
        <w:left w:val="none" w:sz="0" w:space="0" w:color="auto"/>
        <w:bottom w:val="none" w:sz="0" w:space="0" w:color="auto"/>
        <w:right w:val="none" w:sz="0" w:space="0" w:color="auto"/>
      </w:divBdr>
    </w:div>
    <w:div w:id="214534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10</Pages>
  <Words>2782</Words>
  <Characters>17895</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2024012330 (125 mg/ml) og 2024012313 (50 mg/ml) - Nyt PI-SPC</dc:description>
  <cp:lastModifiedBy>Camilla Sværke Hansen</cp:lastModifiedBy>
  <cp:revision>24</cp:revision>
  <cp:lastPrinted>2012-08-22T08:53:00Z</cp:lastPrinted>
  <dcterms:created xsi:type="dcterms:W3CDTF">2022-01-31T09:58:00Z</dcterms:created>
  <dcterms:modified xsi:type="dcterms:W3CDTF">2024-03-15T10:22:00Z</dcterms:modified>
</cp:coreProperties>
</file>