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2DC" w:rsidRPr="00C84483" w:rsidRDefault="009652DC" w:rsidP="009652DC">
      <w:pPr>
        <w:rPr>
          <w:sz w:val="24"/>
          <w:szCs w:val="24"/>
        </w:rPr>
      </w:pPr>
      <w:r>
        <w:rPr>
          <w:noProof/>
          <w:sz w:val="24"/>
          <w:szCs w:val="24"/>
          <w:lang w:eastAsia="da-DK"/>
        </w:rPr>
        <w:drawing>
          <wp:inline distT="0" distB="0" distL="0" distR="0" wp14:anchorId="3BCB8519" wp14:editId="09BDD7F1">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652DC" w:rsidRPr="00C84483" w:rsidRDefault="009652DC" w:rsidP="009652DC">
      <w:pPr>
        <w:pStyle w:val="Titel"/>
        <w:tabs>
          <w:tab w:val="right" w:pos="9356"/>
        </w:tabs>
        <w:jc w:val="left"/>
        <w:rPr>
          <w:b w:val="0"/>
          <w:szCs w:val="24"/>
          <w:lang w:eastAsia="en-US"/>
        </w:rPr>
      </w:pPr>
    </w:p>
    <w:p w:rsidR="009652DC" w:rsidRDefault="009652DC" w:rsidP="009652DC">
      <w:pPr>
        <w:pStyle w:val="Titel"/>
        <w:tabs>
          <w:tab w:val="right" w:pos="9356"/>
        </w:tabs>
        <w:jc w:val="left"/>
        <w:rPr>
          <w:b w:val="0"/>
          <w:szCs w:val="24"/>
          <w:lang w:eastAsia="en-US"/>
        </w:rPr>
      </w:pPr>
      <w:r w:rsidRPr="00C84483">
        <w:rPr>
          <w:b w:val="0"/>
          <w:szCs w:val="24"/>
          <w:lang w:eastAsia="en-US"/>
        </w:rPr>
        <w:tab/>
      </w:r>
    </w:p>
    <w:p w:rsidR="009652DC" w:rsidRPr="00C84483" w:rsidRDefault="009652DC" w:rsidP="009652DC">
      <w:pPr>
        <w:pStyle w:val="Titel"/>
        <w:tabs>
          <w:tab w:val="right" w:pos="9356"/>
        </w:tabs>
        <w:jc w:val="left"/>
        <w:rPr>
          <w:b w:val="0"/>
          <w:szCs w:val="24"/>
          <w:lang w:eastAsia="en-US"/>
        </w:rPr>
      </w:pPr>
      <w:r>
        <w:rPr>
          <w:b w:val="0"/>
          <w:szCs w:val="24"/>
          <w:lang w:eastAsia="en-US"/>
        </w:rPr>
        <w:tab/>
      </w:r>
      <w:r w:rsidR="00057239">
        <w:rPr>
          <w:szCs w:val="24"/>
        </w:rPr>
        <w:t>4</w:t>
      </w:r>
      <w:r>
        <w:rPr>
          <w:szCs w:val="24"/>
        </w:rPr>
        <w:t xml:space="preserve">. </w:t>
      </w:r>
      <w:r w:rsidR="00057239">
        <w:rPr>
          <w:szCs w:val="24"/>
        </w:rPr>
        <w:t>januar</w:t>
      </w:r>
      <w:r>
        <w:rPr>
          <w:szCs w:val="24"/>
        </w:rPr>
        <w:t xml:space="preserve"> 20</w:t>
      </w:r>
      <w:r w:rsidR="00057239">
        <w:rPr>
          <w:szCs w:val="24"/>
        </w:rPr>
        <w:t>23</w:t>
      </w:r>
    </w:p>
    <w:p w:rsidR="009652DC" w:rsidRPr="00C84483" w:rsidRDefault="009652DC" w:rsidP="009652DC">
      <w:pPr>
        <w:pStyle w:val="Titel"/>
        <w:jc w:val="left"/>
        <w:rPr>
          <w:b w:val="0"/>
          <w:szCs w:val="24"/>
        </w:rPr>
      </w:pPr>
    </w:p>
    <w:p w:rsidR="009652DC" w:rsidRPr="00C84483" w:rsidRDefault="009652DC" w:rsidP="009652DC">
      <w:pPr>
        <w:jc w:val="center"/>
        <w:rPr>
          <w:b/>
          <w:sz w:val="24"/>
          <w:szCs w:val="24"/>
        </w:rPr>
      </w:pPr>
      <w:r w:rsidRPr="00C84483">
        <w:rPr>
          <w:b/>
          <w:sz w:val="24"/>
          <w:szCs w:val="24"/>
        </w:rPr>
        <w:t>PRODUKTRESUMÉ</w:t>
      </w:r>
    </w:p>
    <w:p w:rsidR="009652DC" w:rsidRPr="00C84483" w:rsidRDefault="009652DC" w:rsidP="009652DC">
      <w:pPr>
        <w:jc w:val="center"/>
        <w:rPr>
          <w:b/>
          <w:sz w:val="24"/>
          <w:szCs w:val="24"/>
        </w:rPr>
      </w:pPr>
    </w:p>
    <w:p w:rsidR="009652DC" w:rsidRPr="00C84483" w:rsidRDefault="009652DC" w:rsidP="009652DC">
      <w:pPr>
        <w:jc w:val="center"/>
        <w:rPr>
          <w:b/>
          <w:sz w:val="24"/>
          <w:szCs w:val="24"/>
        </w:rPr>
      </w:pPr>
      <w:r w:rsidRPr="00C84483">
        <w:rPr>
          <w:b/>
          <w:sz w:val="24"/>
          <w:szCs w:val="24"/>
        </w:rPr>
        <w:t>for</w:t>
      </w:r>
    </w:p>
    <w:p w:rsidR="009652DC" w:rsidRPr="00C84483" w:rsidRDefault="009652DC" w:rsidP="009652DC">
      <w:pPr>
        <w:jc w:val="center"/>
        <w:rPr>
          <w:b/>
          <w:sz w:val="24"/>
          <w:szCs w:val="24"/>
        </w:rPr>
      </w:pPr>
    </w:p>
    <w:p w:rsidR="009652DC" w:rsidRPr="00C84483" w:rsidRDefault="009652DC" w:rsidP="009652DC">
      <w:pPr>
        <w:jc w:val="center"/>
        <w:rPr>
          <w:b/>
          <w:sz w:val="24"/>
          <w:szCs w:val="24"/>
        </w:rPr>
      </w:pPr>
      <w:proofErr w:type="spellStart"/>
      <w:r>
        <w:rPr>
          <w:b/>
          <w:sz w:val="24"/>
          <w:szCs w:val="24"/>
        </w:rPr>
        <w:t>Tibolon</w:t>
      </w:r>
      <w:proofErr w:type="spellEnd"/>
      <w:r>
        <w:rPr>
          <w:b/>
          <w:sz w:val="24"/>
          <w:szCs w:val="24"/>
        </w:rPr>
        <w:t xml:space="preserve"> ”</w:t>
      </w:r>
      <w:proofErr w:type="spellStart"/>
      <w:r>
        <w:rPr>
          <w:b/>
          <w:sz w:val="24"/>
          <w:szCs w:val="24"/>
        </w:rPr>
        <w:t>Aristo</w:t>
      </w:r>
      <w:proofErr w:type="spellEnd"/>
      <w:r>
        <w:rPr>
          <w:b/>
          <w:sz w:val="24"/>
          <w:szCs w:val="24"/>
        </w:rPr>
        <w:t>”, tabletter</w:t>
      </w:r>
    </w:p>
    <w:p w:rsidR="009652DC" w:rsidRPr="00C84483" w:rsidRDefault="009652DC" w:rsidP="009652DC">
      <w:pPr>
        <w:jc w:val="both"/>
        <w:rPr>
          <w:sz w:val="24"/>
          <w:szCs w:val="24"/>
        </w:rPr>
      </w:pPr>
    </w:p>
    <w:p w:rsidR="009652DC" w:rsidRPr="00C92C12" w:rsidRDefault="009652DC" w:rsidP="009652DC">
      <w:pPr>
        <w:ind w:left="851" w:hanging="851"/>
        <w:jc w:val="both"/>
        <w:rPr>
          <w:sz w:val="24"/>
          <w:szCs w:val="24"/>
        </w:rPr>
      </w:pPr>
    </w:p>
    <w:p w:rsidR="009652DC" w:rsidRPr="00C92C12" w:rsidRDefault="009652DC" w:rsidP="009652DC">
      <w:pPr>
        <w:ind w:left="851" w:hanging="851"/>
        <w:rPr>
          <w:b/>
          <w:sz w:val="24"/>
          <w:szCs w:val="24"/>
        </w:rPr>
      </w:pPr>
      <w:r w:rsidRPr="00C92C12">
        <w:rPr>
          <w:b/>
          <w:sz w:val="24"/>
          <w:szCs w:val="24"/>
        </w:rPr>
        <w:t>0.</w:t>
      </w:r>
      <w:r w:rsidRPr="00C92C12">
        <w:rPr>
          <w:b/>
          <w:sz w:val="24"/>
          <w:szCs w:val="24"/>
        </w:rPr>
        <w:tab/>
        <w:t>D.SP.NR.</w:t>
      </w:r>
    </w:p>
    <w:p w:rsidR="009652DC" w:rsidRPr="00C92C12" w:rsidRDefault="009652DC" w:rsidP="009652DC">
      <w:pPr>
        <w:ind w:left="851" w:hanging="851"/>
        <w:rPr>
          <w:sz w:val="24"/>
          <w:szCs w:val="24"/>
        </w:rPr>
      </w:pPr>
      <w:r w:rsidRPr="00C92C12">
        <w:rPr>
          <w:sz w:val="24"/>
          <w:szCs w:val="24"/>
        </w:rPr>
        <w:tab/>
        <w:t>28584</w:t>
      </w:r>
    </w:p>
    <w:p w:rsidR="009652DC" w:rsidRPr="00C92C12" w:rsidRDefault="009652DC" w:rsidP="009652DC">
      <w:pPr>
        <w:ind w:left="851" w:hanging="851"/>
        <w:rPr>
          <w:sz w:val="24"/>
          <w:szCs w:val="24"/>
        </w:rPr>
      </w:pPr>
    </w:p>
    <w:p w:rsidR="009652DC" w:rsidRPr="00C92C12" w:rsidRDefault="009652DC" w:rsidP="009652DC">
      <w:pPr>
        <w:ind w:left="851" w:hanging="851"/>
        <w:rPr>
          <w:b/>
          <w:sz w:val="24"/>
          <w:szCs w:val="24"/>
        </w:rPr>
      </w:pPr>
      <w:r w:rsidRPr="00C92C12">
        <w:rPr>
          <w:b/>
          <w:sz w:val="24"/>
          <w:szCs w:val="24"/>
        </w:rPr>
        <w:t>1.</w:t>
      </w:r>
      <w:r w:rsidRPr="00C92C12">
        <w:rPr>
          <w:b/>
          <w:sz w:val="24"/>
          <w:szCs w:val="24"/>
        </w:rPr>
        <w:tab/>
        <w:t>LÆGEMIDLETS NAVN</w:t>
      </w:r>
    </w:p>
    <w:p w:rsidR="009652DC" w:rsidRPr="00C92C12" w:rsidRDefault="009652DC" w:rsidP="009652DC">
      <w:pPr>
        <w:ind w:left="851" w:hanging="851"/>
        <w:rPr>
          <w:sz w:val="24"/>
          <w:szCs w:val="24"/>
        </w:rPr>
      </w:pPr>
      <w:r w:rsidRPr="00C92C12">
        <w:rPr>
          <w:sz w:val="24"/>
          <w:szCs w:val="24"/>
        </w:rPr>
        <w:tab/>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w:t>
      </w:r>
    </w:p>
    <w:p w:rsidR="009652DC" w:rsidRPr="00C92C12" w:rsidRDefault="009652DC" w:rsidP="009652DC">
      <w:pPr>
        <w:ind w:left="851" w:hanging="851"/>
        <w:rPr>
          <w:sz w:val="24"/>
          <w:szCs w:val="24"/>
        </w:rPr>
      </w:pPr>
      <w:r w:rsidRPr="00C92C12">
        <w:rPr>
          <w:sz w:val="24"/>
          <w:szCs w:val="24"/>
        </w:rPr>
        <w:tab/>
      </w:r>
    </w:p>
    <w:p w:rsidR="009652DC" w:rsidRPr="00B536EF" w:rsidRDefault="009652DC" w:rsidP="009652DC">
      <w:pPr>
        <w:tabs>
          <w:tab w:val="left" w:pos="851"/>
        </w:tabs>
        <w:ind w:left="851" w:hanging="851"/>
        <w:rPr>
          <w:b/>
          <w:sz w:val="24"/>
          <w:szCs w:val="24"/>
        </w:rPr>
      </w:pPr>
      <w:r w:rsidRPr="00B536EF">
        <w:rPr>
          <w:b/>
          <w:sz w:val="24"/>
          <w:szCs w:val="24"/>
        </w:rPr>
        <w:t>2.</w:t>
      </w:r>
      <w:r w:rsidRPr="00B536EF">
        <w:rPr>
          <w:b/>
          <w:sz w:val="24"/>
          <w:szCs w:val="24"/>
        </w:rPr>
        <w:tab/>
        <w:t>KVALITATIV OG KVANTITATIV SAMMENSÆTNING</w:t>
      </w:r>
    </w:p>
    <w:p w:rsidR="009652DC" w:rsidRDefault="009652DC" w:rsidP="009652DC">
      <w:pPr>
        <w:widowControl w:val="0"/>
        <w:autoSpaceDE w:val="0"/>
        <w:autoSpaceDN w:val="0"/>
        <w:adjustRightInd w:val="0"/>
        <w:ind w:left="851" w:right="-1"/>
        <w:rPr>
          <w:sz w:val="24"/>
          <w:szCs w:val="24"/>
        </w:rPr>
      </w:pPr>
      <w:r>
        <w:rPr>
          <w:sz w:val="24"/>
          <w:szCs w:val="24"/>
        </w:rPr>
        <w:t xml:space="preserve">Hver tablet indeholder 2,5 mg </w:t>
      </w:r>
      <w:proofErr w:type="spellStart"/>
      <w:r>
        <w:rPr>
          <w:sz w:val="24"/>
          <w:szCs w:val="24"/>
        </w:rPr>
        <w:t>tibolon</w:t>
      </w:r>
      <w:proofErr w:type="spellEnd"/>
      <w:r>
        <w:rPr>
          <w:sz w:val="24"/>
          <w:szCs w:val="24"/>
        </w:rPr>
        <w:t>.</w:t>
      </w:r>
    </w:p>
    <w:p w:rsidR="009652DC" w:rsidRDefault="009652DC" w:rsidP="009652DC">
      <w:pPr>
        <w:widowControl w:val="0"/>
        <w:autoSpaceDE w:val="0"/>
        <w:autoSpaceDN w:val="0"/>
        <w:adjustRightInd w:val="0"/>
        <w:ind w:left="851" w:right="-1"/>
        <w:rPr>
          <w:sz w:val="24"/>
          <w:szCs w:val="24"/>
        </w:rPr>
      </w:pPr>
    </w:p>
    <w:p w:rsidR="00F34A6B" w:rsidRDefault="00F34A6B" w:rsidP="00F34A6B">
      <w:pPr>
        <w:widowControl w:val="0"/>
        <w:autoSpaceDE w:val="0"/>
        <w:autoSpaceDN w:val="0"/>
        <w:adjustRightInd w:val="0"/>
        <w:ind w:left="851" w:right="-1"/>
        <w:rPr>
          <w:sz w:val="24"/>
          <w:szCs w:val="24"/>
          <w:u w:val="single"/>
        </w:rPr>
      </w:pPr>
      <w:r>
        <w:rPr>
          <w:sz w:val="24"/>
          <w:szCs w:val="24"/>
          <w:u w:val="single"/>
        </w:rPr>
        <w:t>Hjælpestof, som behandleren skal være opmærksom på</w:t>
      </w:r>
    </w:p>
    <w:p w:rsidR="00F34A6B" w:rsidRDefault="00F34A6B" w:rsidP="00F34A6B">
      <w:pPr>
        <w:widowControl w:val="0"/>
        <w:autoSpaceDE w:val="0"/>
        <w:autoSpaceDN w:val="0"/>
        <w:adjustRightInd w:val="0"/>
        <w:ind w:left="851" w:right="-1"/>
        <w:rPr>
          <w:sz w:val="24"/>
          <w:szCs w:val="24"/>
        </w:rPr>
      </w:pPr>
      <w:r>
        <w:rPr>
          <w:sz w:val="24"/>
          <w:szCs w:val="24"/>
        </w:rPr>
        <w:t xml:space="preserve">Hver tablet indeholder ca.75 mg </w:t>
      </w:r>
      <w:proofErr w:type="spellStart"/>
      <w:r>
        <w:rPr>
          <w:sz w:val="24"/>
          <w:szCs w:val="24"/>
        </w:rPr>
        <w:t>lactosemonohydrat</w:t>
      </w:r>
      <w:proofErr w:type="spellEnd"/>
      <w:r>
        <w:rPr>
          <w:sz w:val="24"/>
          <w:szCs w:val="24"/>
        </w:rPr>
        <w:t>.</w:t>
      </w:r>
    </w:p>
    <w:p w:rsidR="009652DC" w:rsidRDefault="009652DC" w:rsidP="009652DC">
      <w:pPr>
        <w:widowControl w:val="0"/>
        <w:autoSpaceDE w:val="0"/>
        <w:autoSpaceDN w:val="0"/>
        <w:adjustRightInd w:val="0"/>
        <w:ind w:left="851" w:right="-1"/>
        <w:rPr>
          <w:sz w:val="24"/>
          <w:szCs w:val="24"/>
        </w:rPr>
      </w:pPr>
    </w:p>
    <w:p w:rsidR="009652DC" w:rsidRDefault="009652DC" w:rsidP="009652DC">
      <w:pPr>
        <w:widowControl w:val="0"/>
        <w:autoSpaceDE w:val="0"/>
        <w:autoSpaceDN w:val="0"/>
        <w:adjustRightInd w:val="0"/>
        <w:ind w:left="851" w:right="-1"/>
        <w:rPr>
          <w:sz w:val="24"/>
          <w:szCs w:val="24"/>
        </w:rPr>
      </w:pPr>
      <w:r>
        <w:rPr>
          <w:sz w:val="24"/>
          <w:szCs w:val="24"/>
        </w:rPr>
        <w:t>Alle hjælpestoffer er anført under pkt. 6.1.</w:t>
      </w: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3.</w:t>
      </w:r>
      <w:r w:rsidRPr="00B536EF">
        <w:rPr>
          <w:b/>
          <w:sz w:val="24"/>
          <w:szCs w:val="24"/>
        </w:rPr>
        <w:tab/>
        <w:t>LÆGEMIDDELFORM</w:t>
      </w:r>
    </w:p>
    <w:p w:rsidR="00F34A6B" w:rsidRDefault="00F34A6B" w:rsidP="00F34A6B">
      <w:pPr>
        <w:widowControl w:val="0"/>
        <w:autoSpaceDE w:val="0"/>
        <w:autoSpaceDN w:val="0"/>
        <w:adjustRightInd w:val="0"/>
        <w:ind w:left="851" w:right="-1"/>
        <w:rPr>
          <w:sz w:val="24"/>
          <w:szCs w:val="24"/>
        </w:rPr>
      </w:pPr>
      <w:r>
        <w:rPr>
          <w:sz w:val="24"/>
          <w:szCs w:val="24"/>
        </w:rPr>
        <w:t>Tablet.</w:t>
      </w:r>
    </w:p>
    <w:p w:rsidR="00F34A6B" w:rsidRDefault="00F34A6B" w:rsidP="00F34A6B">
      <w:pPr>
        <w:widowControl w:val="0"/>
        <w:autoSpaceDE w:val="0"/>
        <w:autoSpaceDN w:val="0"/>
        <w:adjustRightInd w:val="0"/>
        <w:ind w:left="851" w:right="-1"/>
        <w:rPr>
          <w:sz w:val="24"/>
          <w:szCs w:val="24"/>
        </w:rPr>
      </w:pPr>
      <w:r>
        <w:rPr>
          <w:sz w:val="24"/>
          <w:szCs w:val="24"/>
        </w:rPr>
        <w:t>Hvid til hvidlig, rund tablet med en diameter på ca. 6 mm.</w:t>
      </w:r>
    </w:p>
    <w:p w:rsidR="009652DC" w:rsidRPr="00B536EF" w:rsidRDefault="009652DC" w:rsidP="009652DC">
      <w:pPr>
        <w:tabs>
          <w:tab w:val="left" w:pos="851"/>
        </w:tabs>
        <w:rPr>
          <w:sz w:val="24"/>
          <w:szCs w:val="24"/>
        </w:rPr>
      </w:pP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4.</w:t>
      </w:r>
      <w:r w:rsidRPr="00B536EF">
        <w:rPr>
          <w:b/>
          <w:sz w:val="24"/>
          <w:szCs w:val="24"/>
        </w:rPr>
        <w:tab/>
        <w:t>KLINISKE OPLYSNINGER</w:t>
      </w:r>
    </w:p>
    <w:p w:rsidR="009652DC" w:rsidRPr="00B536EF" w:rsidRDefault="009652DC" w:rsidP="009652DC">
      <w:pPr>
        <w:tabs>
          <w:tab w:val="left" w:pos="851"/>
        </w:tabs>
        <w:rPr>
          <w:b/>
          <w:sz w:val="24"/>
          <w:szCs w:val="24"/>
        </w:rPr>
      </w:pPr>
    </w:p>
    <w:p w:rsidR="009652DC" w:rsidRPr="00B536EF" w:rsidRDefault="009652DC" w:rsidP="009652DC">
      <w:pPr>
        <w:tabs>
          <w:tab w:val="left" w:pos="851"/>
        </w:tabs>
        <w:ind w:left="851" w:hanging="851"/>
        <w:rPr>
          <w:b/>
          <w:sz w:val="24"/>
          <w:szCs w:val="24"/>
          <w:u w:val="single"/>
        </w:rPr>
      </w:pPr>
      <w:r w:rsidRPr="00B536EF">
        <w:rPr>
          <w:b/>
          <w:sz w:val="24"/>
          <w:szCs w:val="24"/>
        </w:rPr>
        <w:t>4.1</w:t>
      </w:r>
      <w:r w:rsidRPr="00B536EF">
        <w:rPr>
          <w:b/>
          <w:sz w:val="24"/>
          <w:szCs w:val="24"/>
        </w:rPr>
        <w:tab/>
        <w:t>Terapeutiske indikationer</w:t>
      </w:r>
    </w:p>
    <w:p w:rsidR="009652DC" w:rsidRDefault="009652DC" w:rsidP="009652DC">
      <w:pPr>
        <w:widowControl w:val="0"/>
        <w:numPr>
          <w:ilvl w:val="0"/>
          <w:numId w:val="6"/>
        </w:numPr>
        <w:tabs>
          <w:tab w:val="left" w:pos="1134"/>
        </w:tabs>
        <w:autoSpaceDE w:val="0"/>
        <w:autoSpaceDN w:val="0"/>
        <w:adjustRightInd w:val="0"/>
        <w:ind w:left="1134" w:right="-1" w:hanging="283"/>
        <w:rPr>
          <w:sz w:val="24"/>
          <w:szCs w:val="24"/>
        </w:rPr>
      </w:pPr>
      <w:r>
        <w:rPr>
          <w:sz w:val="24"/>
          <w:szCs w:val="24"/>
        </w:rPr>
        <w:t>Behandling af symptomer på østrogenmangel hos kvinder mere end et år efter menopausen.</w:t>
      </w:r>
    </w:p>
    <w:p w:rsidR="009652DC" w:rsidRDefault="009652DC" w:rsidP="009652DC">
      <w:pPr>
        <w:widowControl w:val="0"/>
        <w:numPr>
          <w:ilvl w:val="0"/>
          <w:numId w:val="6"/>
        </w:numPr>
        <w:tabs>
          <w:tab w:val="left" w:pos="1134"/>
        </w:tabs>
        <w:autoSpaceDE w:val="0"/>
        <w:autoSpaceDN w:val="0"/>
        <w:adjustRightInd w:val="0"/>
        <w:ind w:left="1134" w:right="-1" w:hanging="283"/>
        <w:rPr>
          <w:sz w:val="24"/>
          <w:szCs w:val="24"/>
        </w:rPr>
      </w:pPr>
      <w:r>
        <w:rPr>
          <w:sz w:val="24"/>
          <w:szCs w:val="24"/>
        </w:rPr>
        <w:t xml:space="preserve">Forebyggelse af osteoporose hos </w:t>
      </w:r>
      <w:proofErr w:type="spellStart"/>
      <w:r>
        <w:rPr>
          <w:sz w:val="24"/>
          <w:szCs w:val="24"/>
        </w:rPr>
        <w:t>postmenopausale</w:t>
      </w:r>
      <w:proofErr w:type="spellEnd"/>
      <w:r>
        <w:rPr>
          <w:sz w:val="24"/>
          <w:szCs w:val="24"/>
        </w:rPr>
        <w:t xml:space="preserve"> kvinder, som har en forøget risiko for fremtidige knoglebrud, og hos hvem andre lægemidler, der er godkendt til forebyggelse af osteoporose, ikke tåles eller er kontraindiceret (se også pkt. 4.4). </w:t>
      </w:r>
    </w:p>
    <w:p w:rsidR="009652DC" w:rsidRDefault="009652DC" w:rsidP="009652DC">
      <w:pPr>
        <w:widowControl w:val="0"/>
        <w:autoSpaceDE w:val="0"/>
        <w:autoSpaceDN w:val="0"/>
        <w:adjustRightInd w:val="0"/>
        <w:ind w:left="851" w:right="-1"/>
        <w:rPr>
          <w:sz w:val="24"/>
          <w:szCs w:val="24"/>
        </w:rPr>
      </w:pPr>
    </w:p>
    <w:p w:rsidR="009652DC" w:rsidRDefault="009652DC" w:rsidP="009652DC">
      <w:pPr>
        <w:widowControl w:val="0"/>
        <w:autoSpaceDE w:val="0"/>
        <w:autoSpaceDN w:val="0"/>
        <w:adjustRightInd w:val="0"/>
        <w:ind w:left="851" w:right="-1"/>
        <w:rPr>
          <w:sz w:val="24"/>
          <w:szCs w:val="24"/>
        </w:rPr>
      </w:pPr>
      <w:r>
        <w:rPr>
          <w:sz w:val="24"/>
          <w:szCs w:val="24"/>
        </w:rPr>
        <w:t xml:space="preserve">Hos alle kvinder skal beslutningen om at ordinere </w:t>
      </w:r>
      <w:proofErr w:type="spellStart"/>
      <w:r>
        <w:rPr>
          <w:sz w:val="24"/>
          <w:szCs w:val="24"/>
        </w:rPr>
        <w:t>tibolon</w:t>
      </w:r>
      <w:proofErr w:type="spellEnd"/>
      <w:r>
        <w:rPr>
          <w:sz w:val="24"/>
          <w:szCs w:val="24"/>
        </w:rPr>
        <w:t xml:space="preserve"> være baseret på en vurdering af den enkelte patients overordnede risiko, og denne vurdering skal, især hos kvinder over 60 år, inkludere overvejelser om risikoen for slagtilfælde (se pkt. 4.4 og 4.8). </w:t>
      </w:r>
    </w:p>
    <w:p w:rsidR="00F34A6B" w:rsidRDefault="00F34A6B">
      <w:pPr>
        <w:rPr>
          <w:sz w:val="24"/>
          <w:szCs w:val="24"/>
        </w:rPr>
      </w:pPr>
      <w:r>
        <w:rPr>
          <w:sz w:val="24"/>
          <w:szCs w:val="24"/>
        </w:rPr>
        <w:br w:type="page"/>
      </w:r>
    </w:p>
    <w:p w:rsidR="009652DC" w:rsidRDefault="009652DC" w:rsidP="00F34A6B">
      <w:pPr>
        <w:widowControl w:val="0"/>
        <w:autoSpaceDE w:val="0"/>
        <w:autoSpaceDN w:val="0"/>
        <w:adjustRightInd w:val="0"/>
        <w:ind w:right="-1"/>
        <w:rPr>
          <w:sz w:val="24"/>
          <w:szCs w:val="24"/>
        </w:rPr>
      </w:pPr>
    </w:p>
    <w:p w:rsidR="009652DC" w:rsidRDefault="009652DC" w:rsidP="009652DC">
      <w:pPr>
        <w:tabs>
          <w:tab w:val="left" w:pos="851"/>
        </w:tabs>
        <w:ind w:left="851" w:hanging="851"/>
        <w:rPr>
          <w:b/>
          <w:sz w:val="24"/>
          <w:szCs w:val="24"/>
        </w:rPr>
      </w:pPr>
      <w:r>
        <w:rPr>
          <w:b/>
          <w:sz w:val="24"/>
          <w:szCs w:val="24"/>
        </w:rPr>
        <w:t>4.2</w:t>
      </w:r>
      <w:r>
        <w:rPr>
          <w:b/>
          <w:sz w:val="24"/>
          <w:szCs w:val="24"/>
        </w:rPr>
        <w:tab/>
        <w:t xml:space="preserve">Dosering og </w:t>
      </w:r>
      <w:r w:rsidR="00573037">
        <w:rPr>
          <w:b/>
          <w:sz w:val="24"/>
          <w:szCs w:val="24"/>
        </w:rPr>
        <w:t>administration</w:t>
      </w:r>
    </w:p>
    <w:p w:rsidR="009652DC" w:rsidRDefault="009652DC" w:rsidP="009652DC">
      <w:pPr>
        <w:ind w:left="851" w:right="-1"/>
        <w:rPr>
          <w:rFonts w:ascii="Cambria" w:hAnsi="Cambria"/>
          <w:sz w:val="24"/>
          <w:szCs w:val="24"/>
          <w:u w:val="single"/>
        </w:rPr>
      </w:pPr>
      <w:r>
        <w:rPr>
          <w:sz w:val="24"/>
          <w:szCs w:val="24"/>
          <w:u w:val="single"/>
        </w:rPr>
        <w:t>Dosering</w:t>
      </w:r>
    </w:p>
    <w:p w:rsidR="009652DC" w:rsidRDefault="009652DC" w:rsidP="009652DC">
      <w:pPr>
        <w:widowControl w:val="0"/>
        <w:tabs>
          <w:tab w:val="left" w:pos="426"/>
        </w:tabs>
        <w:autoSpaceDE w:val="0"/>
        <w:autoSpaceDN w:val="0"/>
        <w:adjustRightInd w:val="0"/>
        <w:ind w:left="851" w:right="-1"/>
        <w:rPr>
          <w:i/>
          <w:sz w:val="24"/>
          <w:szCs w:val="24"/>
        </w:rPr>
      </w:pPr>
    </w:p>
    <w:p w:rsidR="009652DC" w:rsidRDefault="009652DC" w:rsidP="009652DC">
      <w:pPr>
        <w:widowControl w:val="0"/>
        <w:tabs>
          <w:tab w:val="left" w:pos="426"/>
        </w:tabs>
        <w:autoSpaceDE w:val="0"/>
        <w:autoSpaceDN w:val="0"/>
        <w:adjustRightInd w:val="0"/>
        <w:ind w:left="851" w:right="-1"/>
        <w:rPr>
          <w:sz w:val="24"/>
          <w:szCs w:val="24"/>
        </w:rPr>
      </w:pPr>
      <w:r>
        <w:rPr>
          <w:i/>
          <w:sz w:val="24"/>
          <w:szCs w:val="24"/>
        </w:rPr>
        <w:t xml:space="preserve">Voksne og ældre </w:t>
      </w:r>
    </w:p>
    <w:p w:rsidR="009652DC" w:rsidRDefault="009652DC" w:rsidP="009652DC">
      <w:pPr>
        <w:widowControl w:val="0"/>
        <w:autoSpaceDE w:val="0"/>
        <w:autoSpaceDN w:val="0"/>
        <w:adjustRightInd w:val="0"/>
        <w:ind w:left="851" w:right="-1"/>
        <w:rPr>
          <w:sz w:val="24"/>
          <w:szCs w:val="24"/>
        </w:rPr>
      </w:pPr>
      <w:r>
        <w:rPr>
          <w:sz w:val="24"/>
          <w:szCs w:val="24"/>
        </w:rPr>
        <w:t xml:space="preserve">Doseringen er en tablet om dagen uden afbrydelse. Dosisjustering er ikke nødvendig til ældre. </w:t>
      </w:r>
    </w:p>
    <w:p w:rsidR="009652DC" w:rsidRDefault="009652DC" w:rsidP="009652DC">
      <w:pPr>
        <w:widowControl w:val="0"/>
        <w:autoSpaceDE w:val="0"/>
        <w:autoSpaceDN w:val="0"/>
        <w:adjustRightInd w:val="0"/>
        <w:ind w:left="851" w:right="-1"/>
        <w:rPr>
          <w:sz w:val="24"/>
          <w:szCs w:val="24"/>
        </w:rPr>
      </w:pPr>
      <w:r>
        <w:rPr>
          <w:sz w:val="24"/>
          <w:szCs w:val="24"/>
        </w:rPr>
        <w:t xml:space="preserve">Ved påbegyndelse samt fortsættelse af behandling af </w:t>
      </w:r>
      <w:proofErr w:type="spellStart"/>
      <w:r>
        <w:rPr>
          <w:sz w:val="24"/>
          <w:szCs w:val="24"/>
        </w:rPr>
        <w:t>postmenopausale</w:t>
      </w:r>
      <w:proofErr w:type="spellEnd"/>
      <w:r>
        <w:rPr>
          <w:sz w:val="24"/>
          <w:szCs w:val="24"/>
        </w:rPr>
        <w:t xml:space="preserve"> symptomer bør den laveste effektive dosis anvendes i det korteste tidsrum (se også pkt. 4.4). </w:t>
      </w:r>
    </w:p>
    <w:p w:rsidR="009652DC" w:rsidRDefault="009652DC" w:rsidP="009652DC">
      <w:pPr>
        <w:widowControl w:val="0"/>
        <w:autoSpaceDE w:val="0"/>
        <w:autoSpaceDN w:val="0"/>
        <w:adjustRightInd w:val="0"/>
        <w:ind w:left="851" w:right="-1"/>
        <w:rPr>
          <w:sz w:val="24"/>
          <w:szCs w:val="24"/>
        </w:rPr>
      </w:pPr>
    </w:p>
    <w:p w:rsidR="00F34A6B" w:rsidRDefault="00F34A6B" w:rsidP="00F34A6B">
      <w:pPr>
        <w:widowControl w:val="0"/>
        <w:autoSpaceDE w:val="0"/>
        <w:autoSpaceDN w:val="0"/>
        <w:adjustRightInd w:val="0"/>
        <w:ind w:left="851" w:right="-1"/>
        <w:rPr>
          <w:sz w:val="24"/>
          <w:szCs w:val="24"/>
        </w:rPr>
      </w:pPr>
      <w:r>
        <w:rPr>
          <w:sz w:val="24"/>
          <w:szCs w:val="24"/>
        </w:rPr>
        <w:t xml:space="preserve">Der bør ikke føjes et separat gestagen til behandlingen med </w:t>
      </w:r>
      <w:proofErr w:type="spellStart"/>
      <w:r>
        <w:rPr>
          <w:sz w:val="24"/>
          <w:szCs w:val="24"/>
        </w:rPr>
        <w:t>tibolon</w:t>
      </w:r>
      <w:proofErr w:type="spellEnd"/>
      <w:r>
        <w:rPr>
          <w:sz w:val="24"/>
          <w:szCs w:val="24"/>
        </w:rPr>
        <w:t>.</w:t>
      </w:r>
    </w:p>
    <w:p w:rsidR="00F34A6B" w:rsidRDefault="00F34A6B" w:rsidP="00F34A6B">
      <w:pPr>
        <w:widowControl w:val="0"/>
        <w:autoSpaceDE w:val="0"/>
        <w:autoSpaceDN w:val="0"/>
        <w:adjustRightInd w:val="0"/>
        <w:ind w:left="1702" w:right="-1"/>
        <w:rPr>
          <w:sz w:val="24"/>
          <w:szCs w:val="24"/>
        </w:rPr>
      </w:pPr>
    </w:p>
    <w:p w:rsidR="00F34A6B" w:rsidRDefault="00F34A6B" w:rsidP="00F34A6B">
      <w:pPr>
        <w:widowControl w:val="0"/>
        <w:autoSpaceDE w:val="0"/>
        <w:autoSpaceDN w:val="0"/>
        <w:adjustRightInd w:val="0"/>
        <w:ind w:left="851" w:right="-1"/>
        <w:rPr>
          <w:i/>
          <w:sz w:val="24"/>
          <w:szCs w:val="24"/>
        </w:rPr>
      </w:pPr>
      <w:r>
        <w:rPr>
          <w:i/>
          <w:sz w:val="24"/>
          <w:szCs w:val="24"/>
        </w:rPr>
        <w:t xml:space="preserve">Påbegyndelse af behandling med </w:t>
      </w:r>
      <w:proofErr w:type="spellStart"/>
      <w:r>
        <w:rPr>
          <w:i/>
          <w:sz w:val="24"/>
          <w:szCs w:val="24"/>
        </w:rPr>
        <w:t>Tibolon</w:t>
      </w:r>
      <w:proofErr w:type="spellEnd"/>
      <w:r>
        <w:rPr>
          <w:i/>
          <w:sz w:val="24"/>
          <w:szCs w:val="24"/>
        </w:rPr>
        <w:t xml:space="preserve"> ”</w:t>
      </w:r>
      <w:proofErr w:type="spellStart"/>
      <w:r>
        <w:rPr>
          <w:i/>
          <w:sz w:val="24"/>
          <w:szCs w:val="24"/>
        </w:rPr>
        <w:t>Aristo</w:t>
      </w:r>
      <w:proofErr w:type="spellEnd"/>
      <w:r>
        <w:rPr>
          <w:i/>
          <w:sz w:val="24"/>
          <w:szCs w:val="24"/>
        </w:rPr>
        <w:t>”</w:t>
      </w:r>
    </w:p>
    <w:p w:rsidR="00F34A6B" w:rsidRDefault="00F34A6B" w:rsidP="00F34A6B">
      <w:pPr>
        <w:widowControl w:val="0"/>
        <w:autoSpaceDE w:val="0"/>
        <w:autoSpaceDN w:val="0"/>
        <w:adjustRightInd w:val="0"/>
        <w:ind w:left="851" w:right="-1"/>
        <w:rPr>
          <w:sz w:val="24"/>
          <w:szCs w:val="24"/>
        </w:rPr>
      </w:pPr>
    </w:p>
    <w:p w:rsidR="00F34A6B" w:rsidRDefault="00F34A6B" w:rsidP="00F34A6B">
      <w:pPr>
        <w:widowControl w:val="0"/>
        <w:autoSpaceDE w:val="0"/>
        <w:autoSpaceDN w:val="0"/>
        <w:adjustRightInd w:val="0"/>
        <w:ind w:left="851" w:right="-1"/>
        <w:rPr>
          <w:sz w:val="24"/>
          <w:szCs w:val="24"/>
        </w:rPr>
      </w:pPr>
      <w:r>
        <w:rPr>
          <w:sz w:val="24"/>
          <w:szCs w:val="24"/>
        </w:rPr>
        <w:t xml:space="preserve">Kvinder, der oplever en naturlig overgangsalder, bør tidligst begynde 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12 måneder efter den sidste naturlige blødning. I tilfælde af en kirurgisk menopause, kan 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påbegyndes straks.</w:t>
      </w:r>
    </w:p>
    <w:p w:rsidR="009652DC" w:rsidRDefault="009652DC" w:rsidP="009652DC">
      <w:pPr>
        <w:widowControl w:val="0"/>
        <w:autoSpaceDE w:val="0"/>
        <w:autoSpaceDN w:val="0"/>
        <w:adjustRightInd w:val="0"/>
        <w:ind w:left="851" w:right="-1"/>
        <w:rPr>
          <w:sz w:val="24"/>
          <w:szCs w:val="24"/>
        </w:rPr>
      </w:pPr>
    </w:p>
    <w:p w:rsidR="009652DC" w:rsidRDefault="009652DC" w:rsidP="009652DC">
      <w:pPr>
        <w:widowControl w:val="0"/>
        <w:tabs>
          <w:tab w:val="left" w:pos="6263"/>
        </w:tabs>
        <w:autoSpaceDE w:val="0"/>
        <w:autoSpaceDN w:val="0"/>
        <w:adjustRightInd w:val="0"/>
        <w:ind w:left="851" w:right="-1"/>
        <w:rPr>
          <w:i/>
          <w:sz w:val="24"/>
          <w:szCs w:val="24"/>
        </w:rPr>
      </w:pPr>
      <w:r>
        <w:rPr>
          <w:sz w:val="24"/>
          <w:szCs w:val="24"/>
        </w:rPr>
        <w:t xml:space="preserve">Enhver uregelmæssig/uventet vaginalblødning, hvad enten kvinden får HRT eller ej, bør undersøges, inden patienten påbegynder 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for at udelukke </w:t>
      </w:r>
      <w:proofErr w:type="spellStart"/>
      <w:r>
        <w:rPr>
          <w:sz w:val="24"/>
          <w:szCs w:val="24"/>
        </w:rPr>
        <w:t>malignitet</w:t>
      </w:r>
      <w:proofErr w:type="spellEnd"/>
      <w:r>
        <w:rPr>
          <w:sz w:val="24"/>
          <w:szCs w:val="24"/>
        </w:rPr>
        <w:t xml:space="preserve"> (se pkt. 4.3). </w:t>
      </w:r>
    </w:p>
    <w:p w:rsidR="009652DC" w:rsidRDefault="009652DC" w:rsidP="009652DC">
      <w:pPr>
        <w:ind w:left="851" w:right="-1"/>
        <w:rPr>
          <w:sz w:val="24"/>
          <w:szCs w:val="24"/>
          <w:u w:val="single"/>
        </w:rPr>
      </w:pPr>
    </w:p>
    <w:p w:rsidR="009652DC" w:rsidRDefault="009652DC" w:rsidP="009652DC">
      <w:pPr>
        <w:ind w:left="851" w:right="-1"/>
        <w:rPr>
          <w:sz w:val="24"/>
          <w:szCs w:val="24"/>
        </w:rPr>
      </w:pPr>
      <w:r>
        <w:rPr>
          <w:sz w:val="24"/>
          <w:szCs w:val="24"/>
          <w:u w:val="single"/>
        </w:rPr>
        <w:t xml:space="preserve">Administration </w:t>
      </w:r>
    </w:p>
    <w:p w:rsidR="009652DC" w:rsidRDefault="009652DC" w:rsidP="009652DC">
      <w:pPr>
        <w:widowControl w:val="0"/>
        <w:tabs>
          <w:tab w:val="left" w:pos="6263"/>
        </w:tabs>
        <w:autoSpaceDE w:val="0"/>
        <w:autoSpaceDN w:val="0"/>
        <w:adjustRightInd w:val="0"/>
        <w:ind w:left="851" w:right="-1"/>
        <w:rPr>
          <w:sz w:val="24"/>
          <w:szCs w:val="24"/>
        </w:rPr>
      </w:pPr>
      <w:r>
        <w:rPr>
          <w:sz w:val="24"/>
          <w:szCs w:val="24"/>
        </w:rPr>
        <w:t>Til oral anvendelse. Tabletterne må ikke tygges. De skal synkes sammen med vand eller anden væske, helst på samme tid hver dag.</w:t>
      </w:r>
    </w:p>
    <w:p w:rsidR="009652DC" w:rsidRDefault="009652DC" w:rsidP="009652DC">
      <w:pPr>
        <w:widowControl w:val="0"/>
        <w:tabs>
          <w:tab w:val="left" w:pos="6263"/>
        </w:tabs>
        <w:autoSpaceDE w:val="0"/>
        <w:autoSpaceDN w:val="0"/>
        <w:adjustRightInd w:val="0"/>
        <w:ind w:left="851" w:right="-1"/>
        <w:rPr>
          <w:i/>
          <w:iCs/>
          <w:sz w:val="24"/>
          <w:szCs w:val="24"/>
        </w:rPr>
      </w:pPr>
    </w:p>
    <w:p w:rsidR="009652DC" w:rsidRDefault="009652DC" w:rsidP="009652DC">
      <w:pPr>
        <w:widowControl w:val="0"/>
        <w:tabs>
          <w:tab w:val="left" w:pos="6263"/>
        </w:tabs>
        <w:autoSpaceDE w:val="0"/>
        <w:autoSpaceDN w:val="0"/>
        <w:adjustRightInd w:val="0"/>
        <w:ind w:left="851" w:right="-1"/>
        <w:rPr>
          <w:sz w:val="24"/>
          <w:szCs w:val="24"/>
        </w:rPr>
      </w:pPr>
      <w:r>
        <w:rPr>
          <w:i/>
          <w:sz w:val="24"/>
          <w:szCs w:val="24"/>
        </w:rPr>
        <w:t xml:space="preserve">Skift fra et sekventielt eller kontinuerligt kombineret HRT-præparat </w:t>
      </w:r>
    </w:p>
    <w:p w:rsidR="009652DC" w:rsidRDefault="009652DC" w:rsidP="009652DC">
      <w:pPr>
        <w:widowControl w:val="0"/>
        <w:autoSpaceDE w:val="0"/>
        <w:autoSpaceDN w:val="0"/>
        <w:adjustRightInd w:val="0"/>
        <w:ind w:left="851" w:right="-1"/>
        <w:rPr>
          <w:sz w:val="24"/>
          <w:szCs w:val="24"/>
        </w:rPr>
      </w:pPr>
      <w:r>
        <w:rPr>
          <w:sz w:val="24"/>
          <w:szCs w:val="24"/>
        </w:rPr>
        <w:t xml:space="preserve">Hvis der skiftes fra et sekventielt HRT-præparat, bør behandlingen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påbegyndes dagen efter afslutningen af den foregående behandling. Hvis der skiftes fra et kontinuerligt kombineret HRT-præparat, kan behandlingen påbegyndes på et hvilket som helst tidspunkt.</w:t>
      </w:r>
    </w:p>
    <w:p w:rsidR="009652DC" w:rsidRDefault="009652DC" w:rsidP="009652DC">
      <w:pPr>
        <w:widowControl w:val="0"/>
        <w:autoSpaceDE w:val="0"/>
        <w:autoSpaceDN w:val="0"/>
        <w:adjustRightInd w:val="0"/>
        <w:ind w:left="851" w:right="-1"/>
        <w:rPr>
          <w:i/>
          <w:iCs/>
          <w:sz w:val="24"/>
          <w:szCs w:val="24"/>
        </w:rPr>
      </w:pPr>
    </w:p>
    <w:p w:rsidR="009652DC" w:rsidRDefault="009652DC" w:rsidP="009652DC">
      <w:pPr>
        <w:widowControl w:val="0"/>
        <w:autoSpaceDE w:val="0"/>
        <w:autoSpaceDN w:val="0"/>
        <w:adjustRightInd w:val="0"/>
        <w:ind w:left="851" w:right="-1"/>
        <w:rPr>
          <w:sz w:val="24"/>
          <w:szCs w:val="24"/>
        </w:rPr>
      </w:pPr>
      <w:r>
        <w:rPr>
          <w:i/>
          <w:sz w:val="24"/>
          <w:szCs w:val="24"/>
        </w:rPr>
        <w:t xml:space="preserve">Glemt dosis </w:t>
      </w:r>
    </w:p>
    <w:p w:rsidR="009652DC" w:rsidRDefault="009652DC" w:rsidP="009652DC">
      <w:pPr>
        <w:widowControl w:val="0"/>
        <w:autoSpaceDE w:val="0"/>
        <w:autoSpaceDN w:val="0"/>
        <w:adjustRightInd w:val="0"/>
        <w:ind w:left="851" w:right="-1"/>
        <w:rPr>
          <w:sz w:val="24"/>
          <w:szCs w:val="24"/>
        </w:rPr>
      </w:pPr>
      <w:r>
        <w:rPr>
          <w:sz w:val="24"/>
          <w:szCs w:val="24"/>
        </w:rPr>
        <w:t>En glemt dosis skal indtages, så snart patienten kommer i tanker om det, medmindre det er mere end 12 timer siden, at dosis skulle være taget. I sidstnævnte tilfælde skal den glemte dosis ikke indtages, og den næste dosis tages på det sædvanlige tidspunkt. En glemt dosis kan øge risikoen for gennembrudsblødning og pletblødning.</w:t>
      </w:r>
    </w:p>
    <w:p w:rsidR="009652DC" w:rsidRDefault="009652DC" w:rsidP="009652DC">
      <w:pPr>
        <w:tabs>
          <w:tab w:val="left" w:pos="851"/>
        </w:tabs>
        <w:rPr>
          <w:sz w:val="24"/>
          <w:szCs w:val="24"/>
        </w:rPr>
      </w:pPr>
    </w:p>
    <w:p w:rsidR="009652DC" w:rsidRDefault="009652DC" w:rsidP="009652DC">
      <w:pPr>
        <w:tabs>
          <w:tab w:val="left" w:pos="851"/>
        </w:tabs>
        <w:ind w:left="851" w:hanging="851"/>
        <w:rPr>
          <w:b/>
          <w:sz w:val="24"/>
          <w:szCs w:val="24"/>
        </w:rPr>
      </w:pPr>
      <w:r>
        <w:rPr>
          <w:b/>
          <w:sz w:val="24"/>
          <w:szCs w:val="24"/>
        </w:rPr>
        <w:t>4.3</w:t>
      </w:r>
      <w:r>
        <w:rPr>
          <w:b/>
          <w:sz w:val="24"/>
          <w:szCs w:val="24"/>
        </w:rPr>
        <w:tab/>
        <w:t>Kontraindikationer</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rPr>
      </w:pPr>
      <w:r>
        <w:rPr>
          <w:sz w:val="24"/>
          <w:szCs w:val="24"/>
        </w:rPr>
        <w:t>Overfølsomhed over for det aktive stof eller over for et eller flere af hjælpestofferne anført i pkt. 6.1.</w:t>
      </w:r>
      <w:r>
        <w:rPr>
          <w:noProof/>
          <w:sz w:val="24"/>
          <w:szCs w:val="24"/>
        </w:rPr>
        <w:t xml:space="preserve"> </w:t>
      </w:r>
      <w:r>
        <w:rPr>
          <w:sz w:val="24"/>
          <w:szCs w:val="24"/>
        </w:rPr>
        <w:t xml:space="preserve"> </w:t>
      </w:r>
    </w:p>
    <w:p w:rsidR="009652DC" w:rsidRDefault="009652DC" w:rsidP="009652DC">
      <w:pPr>
        <w:numPr>
          <w:ilvl w:val="0"/>
          <w:numId w:val="7"/>
        </w:numPr>
        <w:tabs>
          <w:tab w:val="left" w:pos="1134"/>
        </w:tabs>
        <w:autoSpaceDE w:val="0"/>
        <w:autoSpaceDN w:val="0"/>
        <w:adjustRightInd w:val="0"/>
        <w:ind w:left="1134" w:right="-1" w:hanging="283"/>
        <w:rPr>
          <w:sz w:val="24"/>
          <w:szCs w:val="24"/>
        </w:rPr>
      </w:pPr>
      <w:r>
        <w:rPr>
          <w:sz w:val="24"/>
          <w:szCs w:val="24"/>
        </w:rPr>
        <w:t xml:space="preserve">Kendt, tidligere eller formodet brystcancer – i et placebokontrolleret studie øgede </w:t>
      </w:r>
      <w:proofErr w:type="spellStart"/>
      <w:r>
        <w:rPr>
          <w:sz w:val="24"/>
          <w:szCs w:val="24"/>
        </w:rPr>
        <w:t>tibolon</w:t>
      </w:r>
      <w:proofErr w:type="spellEnd"/>
      <w:r>
        <w:rPr>
          <w:sz w:val="24"/>
          <w:szCs w:val="24"/>
        </w:rPr>
        <w:t xml:space="preserve"> risikoen for tilbagefald af brystcancer.</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rPr>
      </w:pPr>
      <w:r>
        <w:rPr>
          <w:sz w:val="24"/>
          <w:szCs w:val="24"/>
        </w:rPr>
        <w:t xml:space="preserve">Kendte eller formodede østrogenafhængige maligne tumorer (f.eks. </w:t>
      </w:r>
      <w:proofErr w:type="spellStart"/>
      <w:r>
        <w:rPr>
          <w:sz w:val="24"/>
          <w:szCs w:val="24"/>
        </w:rPr>
        <w:t>endometriecancer</w:t>
      </w:r>
      <w:proofErr w:type="spellEnd"/>
      <w:r>
        <w:rPr>
          <w:sz w:val="24"/>
          <w:szCs w:val="24"/>
        </w:rPr>
        <w:t xml:space="preserve">). </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lang w:val="en-US"/>
        </w:rPr>
      </w:pPr>
      <w:proofErr w:type="spellStart"/>
      <w:r>
        <w:rPr>
          <w:sz w:val="24"/>
          <w:szCs w:val="24"/>
        </w:rPr>
        <w:t>Udiagnosticeret</w:t>
      </w:r>
      <w:proofErr w:type="spellEnd"/>
      <w:r>
        <w:rPr>
          <w:sz w:val="24"/>
          <w:szCs w:val="24"/>
        </w:rPr>
        <w:t xml:space="preserve"> genitalblødning.</w:t>
      </w:r>
      <w:r>
        <w:rPr>
          <w:sz w:val="24"/>
          <w:szCs w:val="24"/>
          <w:lang w:val="en-US"/>
        </w:rPr>
        <w:t xml:space="preserve"> </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lang w:val="en-US"/>
        </w:rPr>
      </w:pPr>
      <w:r>
        <w:rPr>
          <w:sz w:val="24"/>
          <w:szCs w:val="24"/>
        </w:rPr>
        <w:t xml:space="preserve">Ubehandlet </w:t>
      </w:r>
      <w:proofErr w:type="spellStart"/>
      <w:r>
        <w:rPr>
          <w:sz w:val="24"/>
          <w:szCs w:val="24"/>
        </w:rPr>
        <w:t>endometriehyperplasi</w:t>
      </w:r>
      <w:proofErr w:type="spellEnd"/>
      <w:r>
        <w:rPr>
          <w:sz w:val="24"/>
          <w:szCs w:val="24"/>
        </w:rPr>
        <w:t>.</w:t>
      </w:r>
      <w:r>
        <w:rPr>
          <w:sz w:val="24"/>
          <w:szCs w:val="24"/>
          <w:lang w:val="en-US"/>
        </w:rPr>
        <w:t xml:space="preserve"> </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rPr>
      </w:pPr>
      <w:r>
        <w:rPr>
          <w:sz w:val="24"/>
          <w:szCs w:val="24"/>
        </w:rPr>
        <w:t xml:space="preserve">Tidligere eller nuværende venøs </w:t>
      </w:r>
      <w:proofErr w:type="spellStart"/>
      <w:r>
        <w:rPr>
          <w:sz w:val="24"/>
          <w:szCs w:val="24"/>
        </w:rPr>
        <w:t>tromboemboli</w:t>
      </w:r>
      <w:proofErr w:type="spellEnd"/>
      <w:r>
        <w:rPr>
          <w:sz w:val="24"/>
          <w:szCs w:val="24"/>
        </w:rPr>
        <w:t xml:space="preserve"> (dyb venetrombose, </w:t>
      </w:r>
      <w:proofErr w:type="spellStart"/>
      <w:r>
        <w:rPr>
          <w:sz w:val="24"/>
          <w:szCs w:val="24"/>
        </w:rPr>
        <w:t>lungeemboli</w:t>
      </w:r>
      <w:proofErr w:type="spellEnd"/>
      <w:r>
        <w:rPr>
          <w:sz w:val="24"/>
          <w:szCs w:val="24"/>
        </w:rPr>
        <w:t>).</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rPr>
      </w:pPr>
      <w:r>
        <w:rPr>
          <w:sz w:val="24"/>
          <w:szCs w:val="24"/>
        </w:rPr>
        <w:t xml:space="preserve">Kendt </w:t>
      </w:r>
      <w:proofErr w:type="spellStart"/>
      <w:r>
        <w:rPr>
          <w:sz w:val="24"/>
          <w:szCs w:val="24"/>
        </w:rPr>
        <w:t>trombofili</w:t>
      </w:r>
      <w:proofErr w:type="spellEnd"/>
      <w:r>
        <w:rPr>
          <w:sz w:val="24"/>
          <w:szCs w:val="24"/>
        </w:rPr>
        <w:t xml:space="preserve"> (f.eks. protein C-, protein S- eller </w:t>
      </w:r>
      <w:proofErr w:type="spellStart"/>
      <w:r>
        <w:rPr>
          <w:sz w:val="24"/>
          <w:szCs w:val="24"/>
        </w:rPr>
        <w:t>antitrombinmangel</w:t>
      </w:r>
      <w:proofErr w:type="spellEnd"/>
      <w:r>
        <w:rPr>
          <w:sz w:val="24"/>
          <w:szCs w:val="24"/>
        </w:rPr>
        <w:t>, se pkt. 4.4)</w:t>
      </w:r>
      <w:r>
        <w:rPr>
          <w:rStyle w:val="tw4winMark"/>
          <w:szCs w:val="24"/>
        </w:rPr>
        <w:t>.</w:t>
      </w:r>
      <w:r w:rsidR="00F34A6B">
        <w:rPr>
          <w:rStyle w:val="tw4winMark"/>
          <w:vanish w:val="0"/>
          <w:szCs w:val="24"/>
        </w:rPr>
        <w:t>.</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rPr>
      </w:pPr>
      <w:r>
        <w:rPr>
          <w:sz w:val="24"/>
          <w:szCs w:val="24"/>
        </w:rPr>
        <w:t xml:space="preserve">Aktiv eller nylig arteriel </w:t>
      </w:r>
      <w:proofErr w:type="spellStart"/>
      <w:r>
        <w:rPr>
          <w:sz w:val="24"/>
          <w:szCs w:val="24"/>
        </w:rPr>
        <w:t>tromboembolisk</w:t>
      </w:r>
      <w:proofErr w:type="spellEnd"/>
      <w:r>
        <w:rPr>
          <w:sz w:val="24"/>
          <w:szCs w:val="24"/>
        </w:rPr>
        <w:t xml:space="preserve"> lidelse (f.eks. angina, myokardieinfarkt, slagtilfælde eller TCI (transitorisk cerebral iskæmi)).</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rPr>
      </w:pPr>
      <w:r>
        <w:rPr>
          <w:sz w:val="24"/>
          <w:szCs w:val="24"/>
        </w:rPr>
        <w:t xml:space="preserve">Akut leversygdom eller tidligere leversygdom, så længe leverfunktionsprøver ikke er </w:t>
      </w:r>
      <w:r>
        <w:rPr>
          <w:sz w:val="24"/>
          <w:szCs w:val="24"/>
        </w:rPr>
        <w:lastRenderedPageBreak/>
        <w:t xml:space="preserve">normaliseret. </w:t>
      </w:r>
    </w:p>
    <w:p w:rsidR="009652DC" w:rsidRDefault="009652DC" w:rsidP="009652DC">
      <w:pPr>
        <w:widowControl w:val="0"/>
        <w:numPr>
          <w:ilvl w:val="0"/>
          <w:numId w:val="7"/>
        </w:numPr>
        <w:tabs>
          <w:tab w:val="left" w:pos="1134"/>
        </w:tabs>
        <w:autoSpaceDE w:val="0"/>
        <w:autoSpaceDN w:val="0"/>
        <w:adjustRightInd w:val="0"/>
        <w:ind w:left="1134" w:right="-1" w:hanging="283"/>
        <w:rPr>
          <w:sz w:val="24"/>
          <w:szCs w:val="24"/>
          <w:lang w:val="en-US"/>
        </w:rPr>
      </w:pPr>
      <w:proofErr w:type="spellStart"/>
      <w:r>
        <w:rPr>
          <w:sz w:val="24"/>
          <w:szCs w:val="24"/>
        </w:rPr>
        <w:t>Porfyri</w:t>
      </w:r>
      <w:proofErr w:type="spellEnd"/>
      <w:r>
        <w:rPr>
          <w:sz w:val="24"/>
          <w:szCs w:val="24"/>
        </w:rPr>
        <w:t>.</w:t>
      </w:r>
    </w:p>
    <w:p w:rsidR="009652DC" w:rsidRDefault="009652DC" w:rsidP="009652DC">
      <w:pPr>
        <w:tabs>
          <w:tab w:val="left" w:pos="851"/>
        </w:tabs>
        <w:rPr>
          <w:sz w:val="24"/>
          <w:szCs w:val="24"/>
        </w:rPr>
      </w:pPr>
    </w:p>
    <w:p w:rsidR="009652DC" w:rsidRDefault="009652DC" w:rsidP="009652DC">
      <w:pPr>
        <w:tabs>
          <w:tab w:val="left" w:pos="851"/>
        </w:tabs>
        <w:ind w:left="851" w:hanging="851"/>
        <w:rPr>
          <w:b/>
          <w:sz w:val="24"/>
          <w:szCs w:val="24"/>
        </w:rPr>
      </w:pPr>
      <w:r>
        <w:rPr>
          <w:b/>
          <w:sz w:val="24"/>
          <w:szCs w:val="24"/>
        </w:rPr>
        <w:t>4.4</w:t>
      </w:r>
      <w:r>
        <w:rPr>
          <w:b/>
          <w:sz w:val="24"/>
          <w:szCs w:val="24"/>
        </w:rPr>
        <w:tab/>
        <w:t>Særlige advarsler og forsigtighedsregler vedrørende brugen</w:t>
      </w:r>
    </w:p>
    <w:p w:rsidR="009652DC" w:rsidRDefault="009652DC" w:rsidP="009652DC">
      <w:pPr>
        <w:ind w:left="851"/>
        <w:rPr>
          <w:sz w:val="24"/>
          <w:szCs w:val="24"/>
        </w:rPr>
      </w:pPr>
      <w:r>
        <w:rPr>
          <w:sz w:val="24"/>
          <w:szCs w:val="24"/>
        </w:rPr>
        <w:t xml:space="preserve">Til behandling af </w:t>
      </w:r>
      <w:proofErr w:type="spellStart"/>
      <w:r>
        <w:rPr>
          <w:sz w:val="24"/>
          <w:szCs w:val="24"/>
        </w:rPr>
        <w:t>postmenopausale</w:t>
      </w:r>
      <w:proofErr w:type="spellEnd"/>
      <w:r>
        <w:rPr>
          <w:sz w:val="24"/>
          <w:szCs w:val="24"/>
        </w:rPr>
        <w:t xml:space="preserve"> symptomer bør </w:t>
      </w:r>
      <w:proofErr w:type="spellStart"/>
      <w:r>
        <w:rPr>
          <w:sz w:val="24"/>
          <w:szCs w:val="24"/>
        </w:rPr>
        <w:t>tibolon</w:t>
      </w:r>
      <w:proofErr w:type="spellEnd"/>
      <w:r>
        <w:rPr>
          <w:sz w:val="24"/>
          <w:szCs w:val="24"/>
        </w:rPr>
        <w:t xml:space="preserve"> kun initieres for at lindre symptomer, som påvirker livskvaliteten negativt. I alle tilfælde bør der foretages en nøje vurdering af fordele og risici mindst en gang om året, og </w:t>
      </w:r>
      <w:proofErr w:type="spellStart"/>
      <w:r>
        <w:rPr>
          <w:sz w:val="24"/>
          <w:szCs w:val="24"/>
        </w:rPr>
        <w:t>tibolon</w:t>
      </w:r>
      <w:proofErr w:type="spellEnd"/>
      <w:r>
        <w:rPr>
          <w:sz w:val="24"/>
          <w:szCs w:val="24"/>
        </w:rPr>
        <w:t xml:space="preserve"> bør kun fortsættes, så længe fordelen opvejer risikoen.</w:t>
      </w:r>
    </w:p>
    <w:p w:rsidR="009652DC" w:rsidRDefault="009652DC" w:rsidP="009652DC">
      <w:pPr>
        <w:ind w:left="851"/>
        <w:rPr>
          <w:sz w:val="24"/>
          <w:szCs w:val="24"/>
        </w:rPr>
      </w:pPr>
    </w:p>
    <w:p w:rsidR="00F34A6B" w:rsidRDefault="00F34A6B" w:rsidP="00F34A6B">
      <w:pPr>
        <w:widowControl w:val="0"/>
        <w:autoSpaceDE w:val="0"/>
        <w:autoSpaceDN w:val="0"/>
        <w:adjustRightInd w:val="0"/>
        <w:ind w:left="851" w:right="-1"/>
        <w:rPr>
          <w:sz w:val="24"/>
          <w:szCs w:val="24"/>
        </w:rPr>
      </w:pPr>
      <w:r>
        <w:rPr>
          <w:sz w:val="24"/>
          <w:szCs w:val="24"/>
        </w:rPr>
        <w:t xml:space="preserve">Risikoen for slagtilfælde, brystkræft og hos kvinder med en intakt uterus, </w:t>
      </w:r>
      <w:proofErr w:type="spellStart"/>
      <w:r>
        <w:rPr>
          <w:sz w:val="24"/>
          <w:szCs w:val="24"/>
        </w:rPr>
        <w:t>endometriecancer</w:t>
      </w:r>
      <w:proofErr w:type="spellEnd"/>
      <w:r>
        <w:rPr>
          <w:sz w:val="24"/>
          <w:szCs w:val="24"/>
        </w:rPr>
        <w:t xml:space="preserve"> (se nedenfor samt pkt. 4.8) bør nøje vurderes i henhold til kvindens individuelle risikofaktorer og under hensyntagen til hyppigheden og karakteristikken af begge cancertyper og slagtilfælde, hvad angår respons på behandling, morbiditet og mortalitet. </w:t>
      </w:r>
    </w:p>
    <w:p w:rsidR="00F34A6B" w:rsidRDefault="00F34A6B" w:rsidP="00F34A6B">
      <w:pPr>
        <w:widowControl w:val="0"/>
        <w:autoSpaceDE w:val="0"/>
        <w:autoSpaceDN w:val="0"/>
        <w:adjustRightInd w:val="0"/>
        <w:ind w:left="851" w:right="-1"/>
        <w:rPr>
          <w:sz w:val="24"/>
          <w:szCs w:val="24"/>
          <w:u w:val="single"/>
        </w:rPr>
      </w:pPr>
    </w:p>
    <w:p w:rsidR="00F34A6B" w:rsidRDefault="00F34A6B" w:rsidP="00F34A6B">
      <w:pPr>
        <w:ind w:left="851"/>
        <w:rPr>
          <w:sz w:val="24"/>
          <w:szCs w:val="24"/>
          <w:u w:val="single"/>
        </w:rPr>
      </w:pPr>
      <w:r>
        <w:rPr>
          <w:sz w:val="24"/>
          <w:szCs w:val="24"/>
          <w:u w:val="single"/>
        </w:rPr>
        <w:t xml:space="preserve">Antallet af undersøgelser vedrørende risici ved behandling af præmatur menopause med HRT eller </w:t>
      </w:r>
      <w:proofErr w:type="spellStart"/>
      <w:r>
        <w:rPr>
          <w:sz w:val="24"/>
          <w:szCs w:val="24"/>
          <w:u w:val="single"/>
        </w:rPr>
        <w:t>tibolon</w:t>
      </w:r>
      <w:proofErr w:type="spellEnd"/>
      <w:r>
        <w:rPr>
          <w:sz w:val="24"/>
          <w:szCs w:val="24"/>
          <w:u w:val="single"/>
        </w:rPr>
        <w:t xml:space="preserve"> er begrænset. På grund af den lave absolutte risiko for yngre kvinder vil </w:t>
      </w:r>
      <w:proofErr w:type="spellStart"/>
      <w:r>
        <w:rPr>
          <w:sz w:val="24"/>
          <w:szCs w:val="24"/>
          <w:u w:val="single"/>
        </w:rPr>
        <w:t>risk</w:t>
      </w:r>
      <w:proofErr w:type="spellEnd"/>
      <w:r>
        <w:rPr>
          <w:sz w:val="24"/>
          <w:szCs w:val="24"/>
          <w:u w:val="single"/>
        </w:rPr>
        <w:t>/benefit-forholdet hos disse kvinder formentlig være mere gunstigt end hos ældre kvinder.</w:t>
      </w:r>
    </w:p>
    <w:p w:rsidR="00F34A6B" w:rsidRDefault="00F34A6B" w:rsidP="00F34A6B">
      <w:pPr>
        <w:widowControl w:val="0"/>
        <w:autoSpaceDE w:val="0"/>
        <w:autoSpaceDN w:val="0"/>
        <w:adjustRightInd w:val="0"/>
        <w:ind w:left="851" w:right="-1"/>
        <w:rPr>
          <w:sz w:val="24"/>
          <w:szCs w:val="24"/>
          <w:u w:val="single"/>
        </w:rPr>
      </w:pPr>
    </w:p>
    <w:p w:rsidR="00F34A6B" w:rsidRDefault="00F34A6B" w:rsidP="00F34A6B">
      <w:pPr>
        <w:widowControl w:val="0"/>
        <w:autoSpaceDE w:val="0"/>
        <w:autoSpaceDN w:val="0"/>
        <w:adjustRightInd w:val="0"/>
        <w:ind w:left="851" w:right="-1"/>
        <w:rPr>
          <w:sz w:val="24"/>
          <w:szCs w:val="24"/>
        </w:rPr>
      </w:pPr>
      <w:r>
        <w:rPr>
          <w:sz w:val="24"/>
          <w:szCs w:val="24"/>
          <w:u w:val="single"/>
        </w:rPr>
        <w:t xml:space="preserve">Lægeundersøgelse/opfølgning </w:t>
      </w:r>
    </w:p>
    <w:p w:rsidR="00F34A6B" w:rsidRDefault="00F34A6B" w:rsidP="00F34A6B">
      <w:pPr>
        <w:pStyle w:val="Listeafsnit"/>
        <w:widowControl w:val="0"/>
        <w:numPr>
          <w:ilvl w:val="0"/>
          <w:numId w:val="19"/>
        </w:numPr>
        <w:tabs>
          <w:tab w:val="left" w:pos="851"/>
        </w:tabs>
        <w:autoSpaceDE w:val="0"/>
        <w:autoSpaceDN w:val="0"/>
        <w:adjustRightInd w:val="0"/>
        <w:ind w:left="1418" w:right="-1" w:hanging="567"/>
        <w:rPr>
          <w:sz w:val="24"/>
          <w:szCs w:val="24"/>
        </w:rPr>
      </w:pPr>
      <w:r>
        <w:rPr>
          <w:sz w:val="24"/>
          <w:szCs w:val="24"/>
        </w:rPr>
        <w:t xml:space="preserve">Før HRT initieres eller genoptages, skal der optages en komplet personlig og familiær anamnese. </w:t>
      </w:r>
      <w:r>
        <w:rPr>
          <w:spacing w:val="-3"/>
          <w:sz w:val="24"/>
          <w:szCs w:val="24"/>
        </w:rPr>
        <w:t>Lægeundersøgelsen (inklusive gynækologisk undersøgelse og brystundersøgelse) sammenholdes hermed og med kontraindikationer og advarsler vedrørende brugen.</w:t>
      </w:r>
      <w:r>
        <w:rPr>
          <w:sz w:val="24"/>
          <w:szCs w:val="24"/>
        </w:rPr>
        <w:t xml:space="preserve"> </w:t>
      </w:r>
      <w:r>
        <w:rPr>
          <w:spacing w:val="-3"/>
          <w:sz w:val="24"/>
          <w:szCs w:val="24"/>
        </w:rPr>
        <w:t>Under behandlingen anbefales periodiske tjek, hvor hyppighed og art er tilpasset den enkelte kvinde</w:t>
      </w:r>
      <w:r>
        <w:rPr>
          <w:sz w:val="24"/>
          <w:szCs w:val="24"/>
        </w:rPr>
        <w:t xml:space="preserve">. Kvinder bør lære, hvilken slags forandringer i brystet, som bør føre til henvendelse til læge eller sygeplejerske (se "Brystcancer" herunder). </w:t>
      </w:r>
      <w:r>
        <w:rPr>
          <w:spacing w:val="-3"/>
          <w:sz w:val="24"/>
          <w:szCs w:val="24"/>
        </w:rPr>
        <w:t>Undersøgelser, inklusive mammografi, bør foretages i henhold til gældende screeningspraksis, tilpasset det kliniske behov hos den enkelte kvinde.</w:t>
      </w:r>
      <w:r>
        <w:rPr>
          <w:sz w:val="24"/>
          <w:szCs w:val="24"/>
        </w:rPr>
        <w:t xml:space="preserve"> </w:t>
      </w:r>
    </w:p>
    <w:p w:rsidR="00F34A6B" w:rsidRDefault="00F34A6B" w:rsidP="00F34A6B">
      <w:pPr>
        <w:widowControl w:val="0"/>
        <w:tabs>
          <w:tab w:val="left" w:pos="426"/>
        </w:tabs>
        <w:autoSpaceDE w:val="0"/>
        <w:autoSpaceDN w:val="0"/>
        <w:adjustRightInd w:val="0"/>
        <w:ind w:left="1702" w:right="-1"/>
        <w:rPr>
          <w:rFonts w:eastAsia="ヒラギノ角ゴ ProN W3"/>
          <w:sz w:val="24"/>
          <w:szCs w:val="24"/>
        </w:rPr>
      </w:pPr>
    </w:p>
    <w:p w:rsidR="00F34A6B" w:rsidRDefault="00F34A6B" w:rsidP="00F34A6B">
      <w:pPr>
        <w:widowControl w:val="0"/>
        <w:autoSpaceDE w:val="0"/>
        <w:autoSpaceDN w:val="0"/>
        <w:adjustRightInd w:val="0"/>
        <w:ind w:left="851" w:right="-1"/>
        <w:rPr>
          <w:rFonts w:ascii="ヒラギノ角ゴ ProN W3" w:eastAsia="ヒラギノ角ゴ ProN W3" w:hAnsi="ヒラギノ角ゴ ProN W3"/>
          <w:sz w:val="24"/>
          <w:szCs w:val="24"/>
        </w:rPr>
      </w:pPr>
      <w:r>
        <w:rPr>
          <w:sz w:val="24"/>
          <w:szCs w:val="24"/>
          <w:u w:val="single"/>
        </w:rPr>
        <w:t xml:space="preserve">Tilstande, der kræver overvågning </w:t>
      </w:r>
    </w:p>
    <w:p w:rsidR="00F34A6B" w:rsidRDefault="00F34A6B" w:rsidP="00F34A6B">
      <w:pPr>
        <w:pStyle w:val="Listeafsnit"/>
        <w:widowControl w:val="0"/>
        <w:numPr>
          <w:ilvl w:val="0"/>
          <w:numId w:val="20"/>
        </w:numPr>
        <w:autoSpaceDE w:val="0"/>
        <w:autoSpaceDN w:val="0"/>
        <w:adjustRightInd w:val="0"/>
        <w:ind w:left="1418" w:right="-1" w:hanging="567"/>
        <w:rPr>
          <w:rFonts w:hint="eastAsia"/>
          <w:sz w:val="24"/>
          <w:szCs w:val="24"/>
        </w:rPr>
      </w:pPr>
      <w:r>
        <w:rPr>
          <w:sz w:val="24"/>
          <w:szCs w:val="24"/>
        </w:rPr>
        <w:t xml:space="preserve">Hvis en eller flere af nedenstående tilstande er til stede, tidligere har været til stede og/eller er forværret under graviditet eller tidligere hormonbehandling, skal patienten nøje kontrolleres. Der skal tages hensyn til, at disse tilstande kan opstå igen eller forværres under 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især:</w:t>
      </w:r>
    </w:p>
    <w:p w:rsidR="00F34A6B" w:rsidRDefault="00F34A6B" w:rsidP="00F34A6B">
      <w:pPr>
        <w:pStyle w:val="Listeafsnit"/>
        <w:widowControl w:val="0"/>
        <w:autoSpaceDE w:val="0"/>
        <w:autoSpaceDN w:val="0"/>
        <w:adjustRightInd w:val="0"/>
        <w:ind w:left="1418" w:right="-1"/>
        <w:rPr>
          <w:sz w:val="24"/>
          <w:szCs w:val="24"/>
        </w:rPr>
      </w:pP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lang w:val="en-US"/>
        </w:rPr>
      </w:pPr>
      <w:proofErr w:type="spellStart"/>
      <w:r w:rsidRPr="00F34A6B">
        <w:rPr>
          <w:sz w:val="24"/>
          <w:szCs w:val="24"/>
        </w:rPr>
        <w:t>Leiomyomer</w:t>
      </w:r>
      <w:proofErr w:type="spellEnd"/>
      <w:r w:rsidRPr="00F34A6B">
        <w:rPr>
          <w:sz w:val="24"/>
          <w:szCs w:val="24"/>
        </w:rPr>
        <w:t xml:space="preserve"> (uterusfibromer) eller </w:t>
      </w:r>
      <w:proofErr w:type="spellStart"/>
      <w:r w:rsidRPr="00F34A6B">
        <w:rPr>
          <w:sz w:val="24"/>
          <w:szCs w:val="24"/>
        </w:rPr>
        <w:t>endometriose.</w:t>
      </w:r>
      <w:proofErr w:type="spellEnd"/>
    </w:p>
    <w:p w:rsid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pacing w:val="-3"/>
          <w:sz w:val="24"/>
          <w:szCs w:val="24"/>
        </w:rPr>
        <w:t xml:space="preserve">Risikofaktorer for </w:t>
      </w:r>
      <w:proofErr w:type="spellStart"/>
      <w:r w:rsidRPr="00F34A6B">
        <w:rPr>
          <w:sz w:val="24"/>
          <w:szCs w:val="24"/>
        </w:rPr>
        <w:t>tromboemboliske</w:t>
      </w:r>
      <w:proofErr w:type="spellEnd"/>
      <w:r w:rsidRPr="00F34A6B">
        <w:rPr>
          <w:sz w:val="24"/>
          <w:szCs w:val="24"/>
        </w:rPr>
        <w:t xml:space="preserve"> lidelser (se nedenfor).</w:t>
      </w:r>
    </w:p>
    <w:p w:rsid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Risikofaktorer for østrogenafhængige tumorer, f.eks. 1. grads arvelighed for brystcancer.</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Hypertension</w:t>
      </w:r>
      <w:r w:rsidRPr="00F34A6B">
        <w:rPr>
          <w:sz w:val="24"/>
          <w:szCs w:val="24"/>
          <w:lang w:val="en-US"/>
        </w:rPr>
        <w:t>.</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 xml:space="preserve">Leversygdomme (f.eks. </w:t>
      </w:r>
      <w:proofErr w:type="spellStart"/>
      <w:r w:rsidRPr="00F34A6B">
        <w:rPr>
          <w:sz w:val="24"/>
          <w:szCs w:val="24"/>
        </w:rPr>
        <w:t>leveradenom</w:t>
      </w:r>
      <w:proofErr w:type="spellEnd"/>
      <w:r w:rsidRPr="00F34A6B">
        <w:rPr>
          <w:sz w:val="24"/>
          <w:szCs w:val="24"/>
        </w:rPr>
        <w:t>).</w:t>
      </w:r>
      <w:r w:rsidRPr="00F34A6B">
        <w:rPr>
          <w:sz w:val="24"/>
          <w:szCs w:val="24"/>
          <w:lang w:val="en-US"/>
        </w:rPr>
        <w:t xml:space="preserve"> </w:t>
      </w:r>
    </w:p>
    <w:p w:rsid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 xml:space="preserve">Diabetes mellitus med eller uden </w:t>
      </w:r>
      <w:proofErr w:type="spellStart"/>
      <w:r w:rsidRPr="00F34A6B">
        <w:rPr>
          <w:sz w:val="24"/>
          <w:szCs w:val="24"/>
        </w:rPr>
        <w:t>vaskulære</w:t>
      </w:r>
      <w:proofErr w:type="spellEnd"/>
      <w:r w:rsidRPr="00F34A6B">
        <w:rPr>
          <w:sz w:val="24"/>
          <w:szCs w:val="24"/>
        </w:rPr>
        <w:t xml:space="preserve"> komplikationer. </w:t>
      </w:r>
    </w:p>
    <w:p w:rsid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Galdestenslidelser.</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Migræne eller (kraftig) hovedpine.</w:t>
      </w:r>
      <w:r w:rsidRPr="00F34A6B">
        <w:rPr>
          <w:sz w:val="24"/>
          <w:szCs w:val="24"/>
          <w:lang w:val="en-US"/>
        </w:rPr>
        <w:t xml:space="preserve"> </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 xml:space="preserve">Systemisk lupus </w:t>
      </w:r>
      <w:proofErr w:type="spellStart"/>
      <w:r w:rsidRPr="00F34A6B">
        <w:rPr>
          <w:sz w:val="24"/>
          <w:szCs w:val="24"/>
        </w:rPr>
        <w:t>erythematosus</w:t>
      </w:r>
      <w:proofErr w:type="spellEnd"/>
      <w:r w:rsidRPr="00F34A6B">
        <w:rPr>
          <w:sz w:val="24"/>
          <w:szCs w:val="24"/>
          <w:lang w:val="en-US"/>
        </w:rPr>
        <w:t>.</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 xml:space="preserve">Tidligere </w:t>
      </w:r>
      <w:proofErr w:type="spellStart"/>
      <w:r w:rsidRPr="00F34A6B">
        <w:rPr>
          <w:sz w:val="24"/>
          <w:szCs w:val="24"/>
        </w:rPr>
        <w:t>endometriehyperplasi</w:t>
      </w:r>
      <w:proofErr w:type="spellEnd"/>
      <w:r w:rsidRPr="00F34A6B">
        <w:rPr>
          <w:sz w:val="24"/>
          <w:szCs w:val="24"/>
        </w:rPr>
        <w:t xml:space="preserve"> (se nedenfor)</w:t>
      </w:r>
      <w:r w:rsidRPr="00F34A6B">
        <w:rPr>
          <w:sz w:val="24"/>
          <w:szCs w:val="24"/>
          <w:lang w:val="en-US"/>
        </w:rPr>
        <w:t>.</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Epilepsi.</w:t>
      </w:r>
      <w:r w:rsidRPr="00F34A6B">
        <w:rPr>
          <w:sz w:val="24"/>
          <w:szCs w:val="24"/>
          <w:lang w:val="en-US"/>
        </w:rPr>
        <w:t xml:space="preserve"> </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r w:rsidRPr="00F34A6B">
        <w:rPr>
          <w:sz w:val="24"/>
          <w:szCs w:val="24"/>
        </w:rPr>
        <w:t>Astma.</w:t>
      </w:r>
      <w:r w:rsidRPr="00F34A6B">
        <w:rPr>
          <w:sz w:val="24"/>
          <w:szCs w:val="24"/>
          <w:lang w:val="en-US"/>
        </w:rPr>
        <w:t xml:space="preserve"> </w:t>
      </w:r>
    </w:p>
    <w:p w:rsidR="00F34A6B" w:rsidRPr="00F34A6B" w:rsidRDefault="00F34A6B" w:rsidP="00F34A6B">
      <w:pPr>
        <w:pStyle w:val="Listeafsnit"/>
        <w:widowControl w:val="0"/>
        <w:numPr>
          <w:ilvl w:val="0"/>
          <w:numId w:val="25"/>
        </w:numPr>
        <w:tabs>
          <w:tab w:val="left" w:pos="1134"/>
        </w:tabs>
        <w:autoSpaceDE w:val="0"/>
        <w:autoSpaceDN w:val="0"/>
        <w:adjustRightInd w:val="0"/>
        <w:ind w:right="-1"/>
        <w:rPr>
          <w:sz w:val="24"/>
          <w:szCs w:val="24"/>
        </w:rPr>
      </w:pPr>
      <w:proofErr w:type="spellStart"/>
      <w:r w:rsidRPr="00F34A6B">
        <w:rPr>
          <w:sz w:val="24"/>
          <w:szCs w:val="24"/>
        </w:rPr>
        <w:t>Otosklerose</w:t>
      </w:r>
      <w:proofErr w:type="spellEnd"/>
      <w:r w:rsidRPr="00F34A6B">
        <w:rPr>
          <w:sz w:val="24"/>
          <w:szCs w:val="24"/>
        </w:rPr>
        <w:t>.</w:t>
      </w:r>
      <w:r w:rsidRPr="00F34A6B">
        <w:rPr>
          <w:sz w:val="24"/>
          <w:szCs w:val="24"/>
          <w:lang w:val="en-US"/>
        </w:rPr>
        <w:t xml:space="preserve"> </w:t>
      </w:r>
    </w:p>
    <w:p w:rsidR="00F34A6B" w:rsidRDefault="00F34A6B" w:rsidP="00F34A6B">
      <w:pPr>
        <w:widowControl w:val="0"/>
        <w:autoSpaceDE w:val="0"/>
        <w:autoSpaceDN w:val="0"/>
        <w:adjustRightInd w:val="0"/>
        <w:ind w:left="1702" w:right="-1"/>
        <w:rPr>
          <w:rFonts w:eastAsia="ヒラギノ角ゴ ProN W3"/>
          <w:sz w:val="24"/>
          <w:szCs w:val="24"/>
          <w:lang w:val="en-US"/>
        </w:rPr>
      </w:pPr>
    </w:p>
    <w:p w:rsidR="00F34A6B" w:rsidRDefault="00F34A6B" w:rsidP="00F34A6B">
      <w:pPr>
        <w:widowControl w:val="0"/>
        <w:autoSpaceDE w:val="0"/>
        <w:autoSpaceDN w:val="0"/>
        <w:adjustRightInd w:val="0"/>
        <w:ind w:left="851" w:right="-1"/>
        <w:rPr>
          <w:rFonts w:ascii="ヒラギノ角ゴ ProN W3" w:eastAsia="ヒラギノ角ゴ ProN W3" w:hAnsi="ヒラギノ角ゴ ProN W3"/>
          <w:sz w:val="24"/>
          <w:szCs w:val="24"/>
        </w:rPr>
      </w:pPr>
      <w:r>
        <w:rPr>
          <w:sz w:val="24"/>
          <w:szCs w:val="24"/>
          <w:u w:val="single"/>
        </w:rPr>
        <w:lastRenderedPageBreak/>
        <w:t>Årsager til øjeblikkeligt ophør af behandlingen</w:t>
      </w:r>
    </w:p>
    <w:p w:rsidR="00F34A6B" w:rsidRDefault="00F34A6B" w:rsidP="00F34A6B">
      <w:pPr>
        <w:widowControl w:val="0"/>
        <w:autoSpaceDE w:val="0"/>
        <w:autoSpaceDN w:val="0"/>
        <w:adjustRightInd w:val="0"/>
        <w:ind w:left="851" w:right="-1"/>
        <w:rPr>
          <w:rFonts w:hint="eastAsia"/>
          <w:sz w:val="24"/>
          <w:szCs w:val="24"/>
        </w:rPr>
      </w:pPr>
      <w:r>
        <w:rPr>
          <w:sz w:val="24"/>
          <w:szCs w:val="24"/>
        </w:rPr>
        <w:t>Behandlingen skal stoppes, hvis en kontraindikation opdages, og i følgende situationer:</w:t>
      </w:r>
    </w:p>
    <w:p w:rsidR="00F34A6B" w:rsidRDefault="00F34A6B" w:rsidP="00F34A6B">
      <w:pPr>
        <w:pStyle w:val="Listeafsnit"/>
        <w:widowControl w:val="0"/>
        <w:numPr>
          <w:ilvl w:val="0"/>
          <w:numId w:val="21"/>
        </w:numPr>
        <w:autoSpaceDE w:val="0"/>
        <w:autoSpaceDN w:val="0"/>
        <w:adjustRightInd w:val="0"/>
        <w:ind w:left="1418" w:right="-1" w:hanging="567"/>
        <w:rPr>
          <w:sz w:val="24"/>
          <w:szCs w:val="24"/>
        </w:rPr>
      </w:pPr>
      <w:r>
        <w:rPr>
          <w:sz w:val="24"/>
          <w:szCs w:val="24"/>
        </w:rPr>
        <w:t xml:space="preserve">Gulsot eller nedsættelse af leverfunktionen. </w:t>
      </w:r>
    </w:p>
    <w:p w:rsidR="00F34A6B" w:rsidRDefault="00F34A6B" w:rsidP="00F34A6B">
      <w:pPr>
        <w:pStyle w:val="Listeafsnit"/>
        <w:widowControl w:val="0"/>
        <w:numPr>
          <w:ilvl w:val="0"/>
          <w:numId w:val="21"/>
        </w:numPr>
        <w:autoSpaceDE w:val="0"/>
        <w:autoSpaceDN w:val="0"/>
        <w:adjustRightInd w:val="0"/>
        <w:ind w:left="1418" w:right="-1" w:hanging="567"/>
        <w:rPr>
          <w:sz w:val="24"/>
          <w:szCs w:val="24"/>
          <w:lang w:val="en-US"/>
        </w:rPr>
      </w:pPr>
      <w:r>
        <w:rPr>
          <w:sz w:val="24"/>
          <w:szCs w:val="24"/>
        </w:rPr>
        <w:t>Væsentlig blodtryksstigning.</w:t>
      </w:r>
      <w:r>
        <w:rPr>
          <w:sz w:val="24"/>
          <w:szCs w:val="24"/>
          <w:lang w:val="en-US"/>
        </w:rPr>
        <w:t xml:space="preserve"> </w:t>
      </w:r>
    </w:p>
    <w:p w:rsidR="00F34A6B" w:rsidRDefault="00F34A6B" w:rsidP="00F34A6B">
      <w:pPr>
        <w:pStyle w:val="Listeafsnit"/>
        <w:widowControl w:val="0"/>
        <w:numPr>
          <w:ilvl w:val="0"/>
          <w:numId w:val="21"/>
        </w:numPr>
        <w:autoSpaceDE w:val="0"/>
        <w:autoSpaceDN w:val="0"/>
        <w:adjustRightInd w:val="0"/>
        <w:ind w:left="1418" w:right="-1" w:hanging="567"/>
        <w:rPr>
          <w:sz w:val="24"/>
          <w:szCs w:val="24"/>
          <w:lang w:val="en-US"/>
        </w:rPr>
      </w:pPr>
      <w:r>
        <w:rPr>
          <w:sz w:val="24"/>
          <w:szCs w:val="24"/>
        </w:rPr>
        <w:t>Nyopstået hovedpine af migrænetypen.</w:t>
      </w:r>
    </w:p>
    <w:p w:rsidR="00F34A6B" w:rsidRDefault="00F34A6B" w:rsidP="00F34A6B">
      <w:pPr>
        <w:pStyle w:val="Listeafsnit"/>
        <w:widowControl w:val="0"/>
        <w:numPr>
          <w:ilvl w:val="0"/>
          <w:numId w:val="21"/>
        </w:numPr>
        <w:autoSpaceDE w:val="0"/>
        <w:autoSpaceDN w:val="0"/>
        <w:adjustRightInd w:val="0"/>
        <w:ind w:left="1418" w:right="-1" w:hanging="567"/>
        <w:rPr>
          <w:sz w:val="24"/>
          <w:szCs w:val="24"/>
          <w:lang w:val="en-US"/>
        </w:rPr>
      </w:pPr>
      <w:r>
        <w:rPr>
          <w:sz w:val="24"/>
          <w:szCs w:val="24"/>
        </w:rPr>
        <w:t>Graviditet.</w:t>
      </w:r>
      <w:r>
        <w:rPr>
          <w:sz w:val="24"/>
          <w:szCs w:val="24"/>
          <w:lang w:val="en-US"/>
        </w:rPr>
        <w:t xml:space="preserve"> </w:t>
      </w:r>
    </w:p>
    <w:p w:rsidR="00F34A6B" w:rsidRDefault="00F34A6B" w:rsidP="00F34A6B">
      <w:pPr>
        <w:widowControl w:val="0"/>
        <w:autoSpaceDE w:val="0"/>
        <w:autoSpaceDN w:val="0"/>
        <w:adjustRightInd w:val="0"/>
        <w:ind w:left="1702" w:right="-1"/>
        <w:rPr>
          <w:rFonts w:eastAsia="ヒラギノ角ゴ ProN W3"/>
          <w:sz w:val="24"/>
          <w:szCs w:val="24"/>
          <w:lang w:val="en-US"/>
        </w:rPr>
      </w:pPr>
    </w:p>
    <w:p w:rsidR="00F34A6B" w:rsidRDefault="00F34A6B" w:rsidP="00F34A6B">
      <w:pPr>
        <w:widowControl w:val="0"/>
        <w:autoSpaceDE w:val="0"/>
        <w:autoSpaceDN w:val="0"/>
        <w:adjustRightInd w:val="0"/>
        <w:ind w:left="851" w:right="-1"/>
        <w:rPr>
          <w:rFonts w:ascii="ヒラギノ角ゴ ProN W3" w:eastAsia="ヒラギノ角ゴ ProN W3" w:hAnsi="ヒラギノ角ゴ ProN W3"/>
          <w:sz w:val="24"/>
          <w:szCs w:val="24"/>
        </w:rPr>
      </w:pPr>
      <w:proofErr w:type="spellStart"/>
      <w:r>
        <w:rPr>
          <w:sz w:val="24"/>
          <w:szCs w:val="24"/>
          <w:u w:val="single"/>
        </w:rPr>
        <w:t>Endometriehyperplasi</w:t>
      </w:r>
      <w:proofErr w:type="spellEnd"/>
      <w:r>
        <w:rPr>
          <w:sz w:val="24"/>
          <w:szCs w:val="24"/>
          <w:u w:val="single"/>
        </w:rPr>
        <w:t xml:space="preserve"> og cancer</w:t>
      </w:r>
    </w:p>
    <w:p w:rsidR="00F34A6B" w:rsidRDefault="00F34A6B" w:rsidP="00F34A6B">
      <w:pPr>
        <w:numPr>
          <w:ilvl w:val="0"/>
          <w:numId w:val="22"/>
        </w:numPr>
        <w:ind w:left="1418" w:hanging="567"/>
        <w:rPr>
          <w:rFonts w:hint="eastAsia"/>
          <w:sz w:val="24"/>
          <w:szCs w:val="24"/>
        </w:rPr>
      </w:pPr>
      <w:r>
        <w:rPr>
          <w:sz w:val="24"/>
          <w:szCs w:val="24"/>
        </w:rPr>
        <w:t xml:space="preserve">De tilgængelige data fra randomiserede, kontrollerede kliniske forsøg er modstridende, men observationsstudier har konsekvent vist, at kvinder, der får </w:t>
      </w:r>
      <w:proofErr w:type="spellStart"/>
      <w:r>
        <w:rPr>
          <w:sz w:val="24"/>
          <w:szCs w:val="24"/>
        </w:rPr>
        <w:t>tibolon</w:t>
      </w:r>
      <w:proofErr w:type="spellEnd"/>
      <w:r>
        <w:rPr>
          <w:sz w:val="24"/>
          <w:szCs w:val="24"/>
        </w:rPr>
        <w:t xml:space="preserve"> som en del af normal klinisk praksis, har en øget risiko for at få diagnosticeret </w:t>
      </w:r>
      <w:proofErr w:type="spellStart"/>
      <w:r>
        <w:rPr>
          <w:sz w:val="24"/>
          <w:szCs w:val="24"/>
        </w:rPr>
        <w:t>endometriecancer</w:t>
      </w:r>
      <w:proofErr w:type="spellEnd"/>
      <w:r>
        <w:rPr>
          <w:sz w:val="24"/>
          <w:szCs w:val="24"/>
        </w:rPr>
        <w:t xml:space="preserve"> (se også pkt. 4.8).  I disse studier øgedes risikoen med behandlingsvarigheden. </w:t>
      </w:r>
      <w:proofErr w:type="spellStart"/>
      <w:r>
        <w:rPr>
          <w:sz w:val="24"/>
          <w:szCs w:val="24"/>
        </w:rPr>
        <w:t>Tibolon</w:t>
      </w:r>
      <w:proofErr w:type="spellEnd"/>
      <w:r>
        <w:rPr>
          <w:sz w:val="24"/>
          <w:szCs w:val="24"/>
        </w:rPr>
        <w:t xml:space="preserve"> øger </w:t>
      </w:r>
      <w:proofErr w:type="spellStart"/>
      <w:r>
        <w:rPr>
          <w:sz w:val="24"/>
          <w:szCs w:val="24"/>
        </w:rPr>
        <w:t>endometrie</w:t>
      </w:r>
      <w:r>
        <w:rPr>
          <w:sz w:val="24"/>
          <w:szCs w:val="24"/>
        </w:rPr>
        <w:softHyphen/>
        <w:t>tykkelsen</w:t>
      </w:r>
      <w:proofErr w:type="spellEnd"/>
      <w:r>
        <w:rPr>
          <w:sz w:val="24"/>
          <w:szCs w:val="24"/>
        </w:rPr>
        <w:t xml:space="preserve"> målt med </w:t>
      </w:r>
      <w:proofErr w:type="spellStart"/>
      <w:r>
        <w:rPr>
          <w:sz w:val="24"/>
          <w:szCs w:val="24"/>
        </w:rPr>
        <w:t>transvaginal</w:t>
      </w:r>
      <w:proofErr w:type="spellEnd"/>
      <w:r>
        <w:rPr>
          <w:sz w:val="24"/>
          <w:szCs w:val="24"/>
        </w:rPr>
        <w:t xml:space="preserve"> ultralyd. </w:t>
      </w:r>
    </w:p>
    <w:p w:rsidR="00F34A6B" w:rsidRDefault="00F34A6B" w:rsidP="00F34A6B">
      <w:pPr>
        <w:ind w:left="1418" w:hanging="567"/>
        <w:rPr>
          <w:sz w:val="24"/>
          <w:szCs w:val="24"/>
        </w:rPr>
      </w:pPr>
    </w:p>
    <w:p w:rsidR="00F34A6B" w:rsidRDefault="00F34A6B" w:rsidP="00F34A6B">
      <w:pPr>
        <w:numPr>
          <w:ilvl w:val="0"/>
          <w:numId w:val="22"/>
        </w:numPr>
        <w:ind w:left="1418" w:hanging="567"/>
        <w:rPr>
          <w:sz w:val="24"/>
          <w:szCs w:val="24"/>
        </w:rPr>
      </w:pPr>
      <w:r>
        <w:rPr>
          <w:sz w:val="24"/>
          <w:szCs w:val="24"/>
        </w:rPr>
        <w:t xml:space="preserve">Gennembrudsblødning og/eller pletblødning kan opstå i de første måneder af behandlingen (se pkt. 5.1). Kvinden bør opfordres til at søge læge, hvis gennembrudsblødning eller pletblødning stadig vedbliver efter seks måneders behandling, hvis plet- eller gennembrudsblødning opstår efter seks måneders behandling eller fortsætter, efter at behandlingen er ophørt. Kvinden bør henvises til en gynækologisk undersøgelse, som oftest vil inkludere </w:t>
      </w:r>
      <w:proofErr w:type="spellStart"/>
      <w:r>
        <w:rPr>
          <w:sz w:val="24"/>
          <w:szCs w:val="24"/>
        </w:rPr>
        <w:t>endometriebiopsi</w:t>
      </w:r>
      <w:proofErr w:type="spellEnd"/>
      <w:r>
        <w:rPr>
          <w:sz w:val="24"/>
          <w:szCs w:val="24"/>
        </w:rPr>
        <w:t xml:space="preserve"> med henblik på at udelukke maligne tilstande i </w:t>
      </w:r>
      <w:proofErr w:type="spellStart"/>
      <w:r>
        <w:rPr>
          <w:sz w:val="24"/>
          <w:szCs w:val="24"/>
        </w:rPr>
        <w:t>endometriet</w:t>
      </w:r>
      <w:proofErr w:type="spellEnd"/>
      <w:r>
        <w:rPr>
          <w:sz w:val="24"/>
          <w:szCs w:val="24"/>
        </w:rPr>
        <w:t>.</w:t>
      </w:r>
    </w:p>
    <w:p w:rsidR="00F34A6B" w:rsidRDefault="00F34A6B" w:rsidP="00F34A6B">
      <w:pPr>
        <w:widowControl w:val="0"/>
        <w:autoSpaceDE w:val="0"/>
        <w:autoSpaceDN w:val="0"/>
        <w:adjustRightInd w:val="0"/>
        <w:ind w:left="1702" w:right="-1"/>
        <w:rPr>
          <w:rFonts w:eastAsia="ヒラギノ角ゴ ProN W3"/>
          <w:sz w:val="24"/>
          <w:szCs w:val="24"/>
        </w:rPr>
      </w:pPr>
    </w:p>
    <w:p w:rsidR="00F34A6B" w:rsidRDefault="00F34A6B" w:rsidP="00F34A6B">
      <w:pPr>
        <w:widowControl w:val="0"/>
        <w:autoSpaceDE w:val="0"/>
        <w:autoSpaceDN w:val="0"/>
        <w:adjustRightInd w:val="0"/>
        <w:ind w:left="851" w:right="-1"/>
        <w:rPr>
          <w:sz w:val="24"/>
          <w:szCs w:val="24"/>
        </w:rPr>
      </w:pPr>
      <w:r>
        <w:rPr>
          <w:sz w:val="24"/>
          <w:szCs w:val="24"/>
          <w:u w:val="single"/>
        </w:rPr>
        <w:t xml:space="preserve">Brystcancer </w:t>
      </w:r>
    </w:p>
    <w:p w:rsidR="00F34A6B" w:rsidRDefault="00F34A6B" w:rsidP="00F34A6B">
      <w:pPr>
        <w:numPr>
          <w:ilvl w:val="0"/>
          <w:numId w:val="22"/>
        </w:numPr>
        <w:ind w:left="1418" w:hanging="567"/>
        <w:rPr>
          <w:sz w:val="24"/>
          <w:szCs w:val="24"/>
        </w:rPr>
      </w:pPr>
      <w:r>
        <w:rPr>
          <w:sz w:val="24"/>
          <w:szCs w:val="24"/>
        </w:rPr>
        <w:t xml:space="preserve">I en metaanalyse af </w:t>
      </w:r>
      <w:proofErr w:type="spellStart"/>
      <w:r>
        <w:rPr>
          <w:sz w:val="24"/>
          <w:szCs w:val="24"/>
        </w:rPr>
        <w:t>epodemioligske</w:t>
      </w:r>
      <w:proofErr w:type="spellEnd"/>
      <w:r>
        <w:rPr>
          <w:sz w:val="24"/>
          <w:szCs w:val="24"/>
        </w:rPr>
        <w:t xml:space="preserve"> studier, herunder studiet "Million </w:t>
      </w:r>
      <w:proofErr w:type="spellStart"/>
      <w:r>
        <w:rPr>
          <w:sz w:val="24"/>
          <w:szCs w:val="24"/>
        </w:rPr>
        <w:t>Women</w:t>
      </w:r>
      <w:proofErr w:type="spellEnd"/>
      <w:r>
        <w:rPr>
          <w:sz w:val="24"/>
          <w:szCs w:val="24"/>
        </w:rPr>
        <w:t xml:space="preserve"> </w:t>
      </w:r>
      <w:proofErr w:type="spellStart"/>
      <w:r>
        <w:rPr>
          <w:sz w:val="24"/>
          <w:szCs w:val="24"/>
        </w:rPr>
        <w:t>Study</w:t>
      </w:r>
      <w:proofErr w:type="spellEnd"/>
      <w:r>
        <w:rPr>
          <w:sz w:val="24"/>
          <w:szCs w:val="24"/>
        </w:rPr>
        <w:t xml:space="preserve">" (MVS) fandtes en signifikant øgning af risikoen for brystkræft ved anvendelse af en dosis på 2,5 mg. Risikoen var påviselig efter 3 års brug og steg med behandlingsvarigheden, se pkt. 4.8. Efter behandlingsophør vil den øgede risiko falde over tid, og den tid, der skal gå, før risikoen er tilbage til baseline, afhænger af varigheden af tidligere brug af HRT. Hvis HRT blev taget i mere end 5 år, kan risikoen vare ved i 10 år eller derover.  </w:t>
      </w:r>
    </w:p>
    <w:p w:rsidR="00F34A6B" w:rsidRDefault="00F34A6B" w:rsidP="00F34A6B">
      <w:pPr>
        <w:ind w:left="1418" w:hanging="567"/>
        <w:rPr>
          <w:sz w:val="24"/>
          <w:szCs w:val="24"/>
        </w:rPr>
      </w:pPr>
    </w:p>
    <w:p w:rsidR="00F34A6B" w:rsidRDefault="00F34A6B" w:rsidP="00F34A6B">
      <w:pPr>
        <w:pStyle w:val="Listeafsnit"/>
        <w:numPr>
          <w:ilvl w:val="0"/>
          <w:numId w:val="23"/>
        </w:numPr>
        <w:ind w:left="1418" w:hanging="567"/>
        <w:rPr>
          <w:sz w:val="24"/>
          <w:szCs w:val="24"/>
        </w:rPr>
      </w:pPr>
      <w:r>
        <w:rPr>
          <w:sz w:val="24"/>
          <w:szCs w:val="24"/>
        </w:rPr>
        <w:t xml:space="preserve">Der foreligger ingen data for </w:t>
      </w:r>
      <w:proofErr w:type="spellStart"/>
      <w:r>
        <w:rPr>
          <w:sz w:val="24"/>
          <w:szCs w:val="24"/>
        </w:rPr>
        <w:t>tibolon</w:t>
      </w:r>
      <w:proofErr w:type="spellEnd"/>
      <w:r>
        <w:rPr>
          <w:sz w:val="24"/>
          <w:szCs w:val="24"/>
        </w:rPr>
        <w:t xml:space="preserve"> i forhold til, hvor lang tid risikoen består efter behandlingsophør, men et lignende mønster kan ikke </w:t>
      </w:r>
      <w:proofErr w:type="spellStart"/>
      <w:r>
        <w:rPr>
          <w:sz w:val="24"/>
          <w:szCs w:val="24"/>
        </w:rPr>
        <w:t>udelukkse</w:t>
      </w:r>
      <w:proofErr w:type="spellEnd"/>
      <w:r>
        <w:rPr>
          <w:sz w:val="24"/>
          <w:szCs w:val="24"/>
        </w:rPr>
        <w:t xml:space="preserve">. </w:t>
      </w:r>
    </w:p>
    <w:p w:rsidR="00F34A6B" w:rsidRDefault="00F34A6B" w:rsidP="00F34A6B">
      <w:pPr>
        <w:widowControl w:val="0"/>
        <w:tabs>
          <w:tab w:val="left" w:pos="720"/>
        </w:tabs>
        <w:autoSpaceDE w:val="0"/>
        <w:autoSpaceDN w:val="0"/>
        <w:adjustRightInd w:val="0"/>
        <w:ind w:left="1702" w:right="-1"/>
        <w:rPr>
          <w:rFonts w:eastAsia="ヒラギノ角ゴ ProN W3"/>
          <w:sz w:val="24"/>
          <w:szCs w:val="24"/>
        </w:rPr>
      </w:pPr>
    </w:p>
    <w:p w:rsidR="00F34A6B" w:rsidRDefault="00F34A6B" w:rsidP="00F34A6B">
      <w:pPr>
        <w:widowControl w:val="0"/>
        <w:autoSpaceDE w:val="0"/>
        <w:autoSpaceDN w:val="0"/>
        <w:adjustRightInd w:val="0"/>
        <w:ind w:left="851" w:right="-1"/>
        <w:rPr>
          <w:sz w:val="24"/>
          <w:szCs w:val="24"/>
          <w:u w:val="single"/>
        </w:rPr>
      </w:pPr>
      <w:r>
        <w:rPr>
          <w:sz w:val="24"/>
          <w:szCs w:val="24"/>
          <w:u w:val="single"/>
        </w:rPr>
        <w:t>Ovariecancer</w:t>
      </w:r>
    </w:p>
    <w:p w:rsidR="00F34A6B" w:rsidRDefault="00F34A6B" w:rsidP="00F34A6B">
      <w:pPr>
        <w:widowControl w:val="0"/>
        <w:autoSpaceDE w:val="0"/>
        <w:autoSpaceDN w:val="0"/>
        <w:adjustRightInd w:val="0"/>
        <w:ind w:left="851" w:right="-1"/>
        <w:rPr>
          <w:sz w:val="24"/>
          <w:szCs w:val="24"/>
        </w:rPr>
      </w:pPr>
      <w:r>
        <w:rPr>
          <w:sz w:val="24"/>
          <w:szCs w:val="24"/>
        </w:rPr>
        <w:t xml:space="preserve">Ovariecancer forekommer langt sjældnere end brystcancer. </w:t>
      </w:r>
    </w:p>
    <w:p w:rsidR="00F34A6B" w:rsidRDefault="00F34A6B" w:rsidP="00F34A6B">
      <w:pPr>
        <w:widowControl w:val="0"/>
        <w:autoSpaceDE w:val="0"/>
        <w:autoSpaceDN w:val="0"/>
        <w:adjustRightInd w:val="0"/>
        <w:ind w:left="851" w:right="-1"/>
        <w:rPr>
          <w:sz w:val="24"/>
          <w:szCs w:val="24"/>
        </w:rPr>
      </w:pPr>
    </w:p>
    <w:p w:rsidR="00F34A6B" w:rsidRDefault="00F34A6B" w:rsidP="00F34A6B">
      <w:pPr>
        <w:widowControl w:val="0"/>
        <w:autoSpaceDE w:val="0"/>
        <w:autoSpaceDN w:val="0"/>
        <w:adjustRightInd w:val="0"/>
        <w:ind w:left="851" w:right="-1"/>
        <w:rPr>
          <w:sz w:val="24"/>
          <w:szCs w:val="24"/>
        </w:rPr>
      </w:pPr>
      <w:r>
        <w:rPr>
          <w:sz w:val="24"/>
          <w:szCs w:val="24"/>
        </w:rPr>
        <w:t xml:space="preserve">Epidemiologisk evidens fra en omfattende </w:t>
      </w:r>
      <w:proofErr w:type="spellStart"/>
      <w:r>
        <w:rPr>
          <w:sz w:val="24"/>
          <w:szCs w:val="24"/>
        </w:rPr>
        <w:t>meta</w:t>
      </w:r>
      <w:proofErr w:type="spellEnd"/>
      <w:r>
        <w:rPr>
          <w:sz w:val="24"/>
          <w:szCs w:val="24"/>
        </w:rPr>
        <w:t xml:space="preserve">-analyse tyder på, at risikoen er let forhøjet hos kvinder, der tager HRT med østrogen alene eller med kombineret østrogen og gestagen. Den let forhøjede risiko ses inden for 5 års behandling og aftager gradvist efter </w:t>
      </w:r>
      <w:proofErr w:type="spellStart"/>
      <w:r>
        <w:rPr>
          <w:sz w:val="24"/>
          <w:szCs w:val="24"/>
        </w:rPr>
        <w:t>seponering</w:t>
      </w:r>
      <w:proofErr w:type="spellEnd"/>
      <w:r>
        <w:rPr>
          <w:sz w:val="24"/>
          <w:szCs w:val="24"/>
        </w:rPr>
        <w:t>.</w:t>
      </w:r>
    </w:p>
    <w:p w:rsidR="00F34A6B" w:rsidRDefault="00F34A6B" w:rsidP="00F34A6B">
      <w:pPr>
        <w:widowControl w:val="0"/>
        <w:autoSpaceDE w:val="0"/>
        <w:autoSpaceDN w:val="0"/>
        <w:adjustRightInd w:val="0"/>
        <w:ind w:left="851" w:right="-1"/>
        <w:rPr>
          <w:sz w:val="24"/>
          <w:szCs w:val="24"/>
        </w:rPr>
      </w:pPr>
    </w:p>
    <w:p w:rsidR="00F34A6B" w:rsidRDefault="00F34A6B" w:rsidP="00F34A6B">
      <w:pPr>
        <w:widowControl w:val="0"/>
        <w:autoSpaceDE w:val="0"/>
        <w:autoSpaceDN w:val="0"/>
        <w:adjustRightInd w:val="0"/>
        <w:ind w:left="851" w:right="-1"/>
        <w:rPr>
          <w:sz w:val="24"/>
          <w:szCs w:val="24"/>
        </w:rPr>
      </w:pPr>
      <w:r>
        <w:rPr>
          <w:sz w:val="24"/>
          <w:szCs w:val="24"/>
        </w:rPr>
        <w:t xml:space="preserve">Visse andre studier, herunder </w:t>
      </w:r>
      <w:proofErr w:type="spellStart"/>
      <w:r>
        <w:rPr>
          <w:sz w:val="24"/>
          <w:szCs w:val="24"/>
        </w:rPr>
        <w:t>Women’s</w:t>
      </w:r>
      <w:proofErr w:type="spellEnd"/>
      <w:r>
        <w:rPr>
          <w:sz w:val="24"/>
          <w:szCs w:val="24"/>
        </w:rPr>
        <w:t xml:space="preserve"> Health </w:t>
      </w:r>
      <w:proofErr w:type="spellStart"/>
      <w:r>
        <w:rPr>
          <w:sz w:val="24"/>
          <w:szCs w:val="24"/>
        </w:rPr>
        <w:t>Initiative</w:t>
      </w:r>
      <w:proofErr w:type="spellEnd"/>
      <w:r>
        <w:rPr>
          <w:sz w:val="24"/>
          <w:szCs w:val="24"/>
        </w:rPr>
        <w:t xml:space="preserve">-studiet (WHI-studiet), tyder på, at brug af kombineret HRT-præparater kan være forbundet med en tilsvarende eller lidt mindre risiko (se pkt. 4.8). </w:t>
      </w:r>
    </w:p>
    <w:p w:rsidR="00F34A6B" w:rsidRDefault="00F34A6B" w:rsidP="00F34A6B">
      <w:pPr>
        <w:pStyle w:val="Normalindrykning"/>
        <w:spacing w:before="20" w:after="20"/>
        <w:ind w:left="851" w:right="-1"/>
        <w:rPr>
          <w:szCs w:val="24"/>
          <w:lang w:val="da-DK"/>
        </w:rPr>
      </w:pPr>
    </w:p>
    <w:p w:rsidR="00F34A6B" w:rsidRDefault="00F34A6B" w:rsidP="00F34A6B">
      <w:pPr>
        <w:pStyle w:val="Normalindrykning"/>
        <w:spacing w:before="20" w:after="20"/>
        <w:ind w:left="851" w:right="-1"/>
        <w:rPr>
          <w:szCs w:val="24"/>
          <w:lang w:val="da-DK"/>
        </w:rPr>
      </w:pPr>
      <w:r>
        <w:rPr>
          <w:szCs w:val="24"/>
          <w:lang w:val="da-DK"/>
        </w:rPr>
        <w:t xml:space="preserve">Million </w:t>
      </w:r>
      <w:proofErr w:type="spellStart"/>
      <w:r>
        <w:rPr>
          <w:szCs w:val="24"/>
          <w:lang w:val="da-DK"/>
        </w:rPr>
        <w:t>Women</w:t>
      </w:r>
      <w:proofErr w:type="spellEnd"/>
      <w:r>
        <w:rPr>
          <w:szCs w:val="24"/>
          <w:lang w:val="da-DK"/>
        </w:rPr>
        <w:t xml:space="preserve">-studiet viste, at den relative risiko for ovariecancer ved brug af </w:t>
      </w:r>
      <w:proofErr w:type="spellStart"/>
      <w:r>
        <w:rPr>
          <w:szCs w:val="24"/>
          <w:lang w:val="da-DK"/>
        </w:rPr>
        <w:t>tibolon</w:t>
      </w:r>
      <w:proofErr w:type="spellEnd"/>
      <w:r>
        <w:rPr>
          <w:szCs w:val="24"/>
          <w:lang w:val="da-DK"/>
        </w:rPr>
        <w:t xml:space="preserve"> svarede til den risiko, der er forbundet med brug af andre typer HRT.</w:t>
      </w:r>
    </w:p>
    <w:p w:rsidR="00F34A6B" w:rsidRDefault="00F34A6B" w:rsidP="00F34A6B">
      <w:pPr>
        <w:pStyle w:val="Normalindrykning"/>
        <w:spacing w:before="20" w:after="20"/>
        <w:ind w:left="1702" w:right="-1"/>
        <w:rPr>
          <w:szCs w:val="24"/>
          <w:lang w:val="da-DK"/>
        </w:rPr>
      </w:pPr>
    </w:p>
    <w:p w:rsidR="00F34A6B" w:rsidRDefault="00F34A6B" w:rsidP="00F34A6B">
      <w:pPr>
        <w:pStyle w:val="Normalindrykning"/>
        <w:spacing w:before="20" w:after="20"/>
        <w:ind w:left="851" w:right="-1"/>
        <w:rPr>
          <w:szCs w:val="24"/>
        </w:rPr>
      </w:pPr>
      <w:r>
        <w:rPr>
          <w:szCs w:val="24"/>
          <w:u w:val="single"/>
          <w:lang w:val="da-DK"/>
        </w:rPr>
        <w:lastRenderedPageBreak/>
        <w:t xml:space="preserve">Venøs </w:t>
      </w:r>
      <w:proofErr w:type="spellStart"/>
      <w:r>
        <w:rPr>
          <w:szCs w:val="24"/>
          <w:u w:val="single"/>
          <w:lang w:val="da-DK"/>
        </w:rPr>
        <w:t>tromboemboli</w:t>
      </w:r>
      <w:proofErr w:type="spellEnd"/>
    </w:p>
    <w:p w:rsidR="00F34A6B" w:rsidRDefault="00F34A6B" w:rsidP="00F34A6B">
      <w:pPr>
        <w:numPr>
          <w:ilvl w:val="0"/>
          <w:numId w:val="22"/>
        </w:numPr>
        <w:ind w:left="1418" w:hanging="567"/>
        <w:rPr>
          <w:sz w:val="24"/>
          <w:szCs w:val="24"/>
        </w:rPr>
      </w:pPr>
      <w:r>
        <w:rPr>
          <w:sz w:val="24"/>
          <w:szCs w:val="24"/>
        </w:rPr>
        <w:t xml:space="preserve">HRT med østrogen eller østrogen-gestagen er forbundet med en 1,3-3 gange højere risiko for at udvikle venøs </w:t>
      </w:r>
      <w:proofErr w:type="spellStart"/>
      <w:r>
        <w:rPr>
          <w:sz w:val="24"/>
          <w:szCs w:val="24"/>
        </w:rPr>
        <w:t>tromboemboli</w:t>
      </w:r>
      <w:proofErr w:type="spellEnd"/>
      <w:r>
        <w:rPr>
          <w:sz w:val="24"/>
          <w:szCs w:val="24"/>
        </w:rPr>
        <w:t xml:space="preserve"> (VTE), f.eks. dyb venetrombose eller </w:t>
      </w:r>
      <w:proofErr w:type="spellStart"/>
      <w:r>
        <w:rPr>
          <w:sz w:val="24"/>
          <w:szCs w:val="24"/>
        </w:rPr>
        <w:t>lungeemboli</w:t>
      </w:r>
      <w:proofErr w:type="spellEnd"/>
      <w:r>
        <w:rPr>
          <w:sz w:val="24"/>
          <w:szCs w:val="24"/>
        </w:rPr>
        <w:t xml:space="preserve">. Sandsynligheden for sådanne hændelser er større i det første </w:t>
      </w:r>
      <w:proofErr w:type="spellStart"/>
      <w:r>
        <w:rPr>
          <w:sz w:val="24"/>
          <w:szCs w:val="24"/>
        </w:rPr>
        <w:t>behandlingsår</w:t>
      </w:r>
      <w:proofErr w:type="spellEnd"/>
      <w:r>
        <w:rPr>
          <w:sz w:val="24"/>
          <w:szCs w:val="24"/>
        </w:rPr>
        <w:t xml:space="preserve"> med HRT end senere (se pkt. 4.8). Det vides ikke, om </w:t>
      </w:r>
      <w:proofErr w:type="spellStart"/>
      <w:r>
        <w:rPr>
          <w:sz w:val="24"/>
          <w:szCs w:val="24"/>
        </w:rPr>
        <w:t>tibolon</w:t>
      </w:r>
      <w:proofErr w:type="spellEnd"/>
      <w:r>
        <w:rPr>
          <w:sz w:val="24"/>
          <w:szCs w:val="24"/>
        </w:rPr>
        <w:t xml:space="preserve"> har samme grad af risiko. I et epidemiologisk studie, hvor der blev anvendt en britisk database, var risikoen for VTE i forbindelse med </w:t>
      </w:r>
      <w:proofErr w:type="spellStart"/>
      <w:r>
        <w:rPr>
          <w:sz w:val="24"/>
          <w:szCs w:val="24"/>
        </w:rPr>
        <w:t>tibolon</w:t>
      </w:r>
      <w:proofErr w:type="spellEnd"/>
      <w:r>
        <w:rPr>
          <w:sz w:val="24"/>
          <w:szCs w:val="24"/>
        </w:rPr>
        <w:t xml:space="preserve"> lavere end risikoen i forbindelse med konventionel HRT, men kun en lille andel af kvinderne var aktive brugere af </w:t>
      </w:r>
      <w:proofErr w:type="spellStart"/>
      <w:r>
        <w:rPr>
          <w:sz w:val="24"/>
          <w:szCs w:val="24"/>
        </w:rPr>
        <w:t>tibolon</w:t>
      </w:r>
      <w:proofErr w:type="spellEnd"/>
      <w:r>
        <w:rPr>
          <w:sz w:val="24"/>
          <w:szCs w:val="24"/>
        </w:rPr>
        <w:t>, og det kan ikke udelukkes, at der er en let forøget risiko i forhold til risikoen hos ikke-brugere.</w:t>
      </w:r>
    </w:p>
    <w:p w:rsidR="00F34A6B" w:rsidRDefault="00F34A6B" w:rsidP="00F34A6B">
      <w:pPr>
        <w:numPr>
          <w:ilvl w:val="0"/>
          <w:numId w:val="22"/>
        </w:numPr>
        <w:ind w:left="1418" w:hanging="567"/>
        <w:rPr>
          <w:sz w:val="24"/>
          <w:szCs w:val="24"/>
        </w:rPr>
      </w:pPr>
      <w:r>
        <w:rPr>
          <w:sz w:val="24"/>
          <w:szCs w:val="24"/>
        </w:rPr>
        <w:t xml:space="preserve">Patienter med kendt </w:t>
      </w:r>
      <w:proofErr w:type="spellStart"/>
      <w:r>
        <w:rPr>
          <w:sz w:val="24"/>
          <w:szCs w:val="24"/>
        </w:rPr>
        <w:t>trombofili</w:t>
      </w:r>
      <w:proofErr w:type="spellEnd"/>
      <w:r>
        <w:rPr>
          <w:sz w:val="24"/>
          <w:szCs w:val="24"/>
        </w:rPr>
        <w:t xml:space="preserve"> har en øget risiko for VTE, og HRT eller </w:t>
      </w:r>
      <w:proofErr w:type="spellStart"/>
      <w:r>
        <w:rPr>
          <w:sz w:val="24"/>
          <w:szCs w:val="24"/>
        </w:rPr>
        <w:t>tibolon</w:t>
      </w:r>
      <w:proofErr w:type="spellEnd"/>
      <w:r>
        <w:rPr>
          <w:sz w:val="24"/>
          <w:szCs w:val="24"/>
        </w:rPr>
        <w:t xml:space="preserve"> kan øge denne risiko yderligere. HRT er derfor kontraindiceret hos disse patienter (se pkt. 4.3).</w:t>
      </w:r>
    </w:p>
    <w:p w:rsidR="00F34A6B" w:rsidRDefault="00F34A6B" w:rsidP="00F34A6B">
      <w:pPr>
        <w:numPr>
          <w:ilvl w:val="0"/>
          <w:numId w:val="22"/>
        </w:numPr>
        <w:ind w:left="1418" w:hanging="567"/>
        <w:rPr>
          <w:sz w:val="24"/>
          <w:szCs w:val="24"/>
        </w:rPr>
      </w:pPr>
      <w:r>
        <w:rPr>
          <w:sz w:val="24"/>
          <w:szCs w:val="24"/>
        </w:rPr>
        <w:t>Almindeligt anerkendte risikofaktorer for VTE omfatter brug af østrogener, høj alder, større operation, langvarig immobilisering, overvægt (BMI &gt; 30 kg/m</w:t>
      </w:r>
      <w:r>
        <w:rPr>
          <w:sz w:val="24"/>
          <w:szCs w:val="24"/>
          <w:vertAlign w:val="superscript"/>
        </w:rPr>
        <w:t>2</w:t>
      </w:r>
      <w:r>
        <w:rPr>
          <w:sz w:val="24"/>
          <w:szCs w:val="24"/>
        </w:rPr>
        <w:t>), graviditet/</w:t>
      </w:r>
      <w:proofErr w:type="spellStart"/>
      <w:r>
        <w:rPr>
          <w:sz w:val="24"/>
          <w:szCs w:val="24"/>
        </w:rPr>
        <w:t>postpartumperioden</w:t>
      </w:r>
      <w:proofErr w:type="spellEnd"/>
      <w:r>
        <w:rPr>
          <w:sz w:val="24"/>
          <w:szCs w:val="24"/>
        </w:rPr>
        <w:t xml:space="preserve">, systemisk lupus </w:t>
      </w:r>
      <w:proofErr w:type="spellStart"/>
      <w:r>
        <w:rPr>
          <w:sz w:val="24"/>
          <w:szCs w:val="24"/>
        </w:rPr>
        <w:t>erythematosus</w:t>
      </w:r>
      <w:proofErr w:type="spellEnd"/>
      <w:r>
        <w:rPr>
          <w:sz w:val="24"/>
          <w:szCs w:val="24"/>
        </w:rPr>
        <w:t xml:space="preserve"> (SLE) og kræft. Der er ikke konsensus omkring sammenhængen mellem åreknuder og VTE. </w:t>
      </w:r>
    </w:p>
    <w:p w:rsidR="00F34A6B" w:rsidRDefault="00F34A6B" w:rsidP="00F34A6B">
      <w:pPr>
        <w:ind w:left="1418"/>
        <w:rPr>
          <w:sz w:val="24"/>
          <w:szCs w:val="24"/>
        </w:rPr>
      </w:pPr>
      <w:r>
        <w:rPr>
          <w:sz w:val="24"/>
          <w:szCs w:val="24"/>
        </w:rPr>
        <w:t xml:space="preserve">Som hos alle postoperative patienter skal profylaktiske forholdsregler overvejes for at undgå VTE efter operation. Det anbefales, om muligt, at stoppe HRT-behandling midlertidigt i 4 til 6 uger før </w:t>
      </w:r>
      <w:proofErr w:type="spellStart"/>
      <w:r>
        <w:rPr>
          <w:sz w:val="24"/>
          <w:szCs w:val="24"/>
        </w:rPr>
        <w:t>elektiv</w:t>
      </w:r>
      <w:proofErr w:type="spellEnd"/>
      <w:r>
        <w:rPr>
          <w:sz w:val="24"/>
          <w:szCs w:val="24"/>
        </w:rPr>
        <w:t xml:space="preserve"> kirurgi, hvis længerevarende immobilisering forventes efter operation. Behandlingen bør ikke genoptages, før kvinden igen er fuldstændig mobiliseret.</w:t>
      </w:r>
    </w:p>
    <w:p w:rsidR="00F34A6B" w:rsidRDefault="00F34A6B" w:rsidP="00F34A6B">
      <w:pPr>
        <w:numPr>
          <w:ilvl w:val="0"/>
          <w:numId w:val="22"/>
        </w:numPr>
        <w:ind w:left="1418" w:hanging="567"/>
        <w:rPr>
          <w:sz w:val="24"/>
          <w:szCs w:val="24"/>
        </w:rPr>
      </w:pPr>
      <w:r>
        <w:rPr>
          <w:sz w:val="24"/>
          <w:szCs w:val="24"/>
        </w:rPr>
        <w:t xml:space="preserve">Hos kvinder, der ikke har haft tidligere tilfælde af VTE, men som har førstegradsslægtninge med trombose i en ung alder i anamnesen, kan der tilbydes screening efter omhyggelig rådgivning vedrørende screeningens begrænsninger (kun en del af de </w:t>
      </w:r>
      <w:proofErr w:type="spellStart"/>
      <w:r>
        <w:rPr>
          <w:sz w:val="24"/>
          <w:szCs w:val="24"/>
        </w:rPr>
        <w:t>trombofile</w:t>
      </w:r>
      <w:proofErr w:type="spellEnd"/>
      <w:r>
        <w:rPr>
          <w:sz w:val="24"/>
          <w:szCs w:val="24"/>
        </w:rPr>
        <w:t xml:space="preserve"> defekter identificeres ved screening).  Hvis en </w:t>
      </w:r>
      <w:proofErr w:type="spellStart"/>
      <w:r>
        <w:rPr>
          <w:sz w:val="24"/>
          <w:szCs w:val="24"/>
        </w:rPr>
        <w:t>trombofil</w:t>
      </w:r>
      <w:proofErr w:type="spellEnd"/>
      <w:r>
        <w:rPr>
          <w:sz w:val="24"/>
          <w:szCs w:val="24"/>
        </w:rPr>
        <w:t xml:space="preserve"> defekt identificeres, og den adskiller sig fra trombose hos slægtninge, eller hvis defekten er alvorlig (f.eks. </w:t>
      </w:r>
      <w:proofErr w:type="spellStart"/>
      <w:r>
        <w:rPr>
          <w:sz w:val="24"/>
          <w:szCs w:val="24"/>
        </w:rPr>
        <w:t>antitrombin</w:t>
      </w:r>
      <w:proofErr w:type="spellEnd"/>
      <w:r>
        <w:rPr>
          <w:sz w:val="24"/>
          <w:szCs w:val="24"/>
        </w:rPr>
        <w:t xml:space="preserve">-, protein S- eller protein C-mangel eller en kombination af defekter), er HRT kontraindiceret. </w:t>
      </w:r>
    </w:p>
    <w:p w:rsidR="00F34A6B" w:rsidRDefault="00F34A6B" w:rsidP="00F34A6B">
      <w:pPr>
        <w:numPr>
          <w:ilvl w:val="0"/>
          <w:numId w:val="22"/>
        </w:numPr>
        <w:ind w:left="1418" w:hanging="567"/>
        <w:rPr>
          <w:sz w:val="24"/>
          <w:szCs w:val="24"/>
        </w:rPr>
      </w:pPr>
      <w:r>
        <w:rPr>
          <w:sz w:val="24"/>
          <w:szCs w:val="24"/>
        </w:rPr>
        <w:t xml:space="preserve">Hos kvinder, som allerede er i kronisk </w:t>
      </w:r>
      <w:proofErr w:type="spellStart"/>
      <w:r>
        <w:rPr>
          <w:sz w:val="24"/>
          <w:szCs w:val="24"/>
        </w:rPr>
        <w:t>antikoagulationsbehandling</w:t>
      </w:r>
      <w:proofErr w:type="spellEnd"/>
      <w:r>
        <w:rPr>
          <w:sz w:val="24"/>
          <w:szCs w:val="24"/>
        </w:rPr>
        <w:t xml:space="preserve">, kræver HRT- eller </w:t>
      </w:r>
      <w:proofErr w:type="spellStart"/>
      <w:r>
        <w:rPr>
          <w:sz w:val="24"/>
          <w:szCs w:val="24"/>
        </w:rPr>
        <w:t>tibolonbehandling</w:t>
      </w:r>
      <w:proofErr w:type="spellEnd"/>
      <w:r>
        <w:rPr>
          <w:sz w:val="24"/>
          <w:szCs w:val="24"/>
        </w:rPr>
        <w:t xml:space="preserve"> omhyggelig overvejelse af fordele kontra ulemper. </w:t>
      </w:r>
    </w:p>
    <w:p w:rsidR="00F34A6B" w:rsidRDefault="00F34A6B" w:rsidP="00F34A6B">
      <w:pPr>
        <w:numPr>
          <w:ilvl w:val="0"/>
          <w:numId w:val="22"/>
        </w:numPr>
        <w:ind w:left="1418" w:hanging="567"/>
        <w:rPr>
          <w:sz w:val="24"/>
          <w:szCs w:val="24"/>
        </w:rPr>
      </w:pPr>
      <w:r>
        <w:rPr>
          <w:sz w:val="24"/>
          <w:szCs w:val="24"/>
        </w:rPr>
        <w:t xml:space="preserve">Hvis VTE opstår, efter at behandlingen er påbegyndt, skal behandlingen stoppes. Patienterne skal opfordres til straks at kontakte deres læge, hvis de bliver opmærksomme på potentielle </w:t>
      </w:r>
      <w:proofErr w:type="spellStart"/>
      <w:r>
        <w:rPr>
          <w:sz w:val="24"/>
          <w:szCs w:val="24"/>
        </w:rPr>
        <w:t>tromboemboliske</w:t>
      </w:r>
      <w:proofErr w:type="spellEnd"/>
      <w:r>
        <w:rPr>
          <w:sz w:val="24"/>
          <w:szCs w:val="24"/>
        </w:rPr>
        <w:t xml:space="preserve"> symptomer (f.eks. smertefuld hævelse af et ben, pludselig smerte i brystet, dyspnø). </w:t>
      </w:r>
    </w:p>
    <w:p w:rsidR="00F34A6B" w:rsidRDefault="00F34A6B" w:rsidP="00F34A6B">
      <w:pPr>
        <w:widowControl w:val="0"/>
        <w:autoSpaceDE w:val="0"/>
        <w:autoSpaceDN w:val="0"/>
        <w:adjustRightInd w:val="0"/>
        <w:ind w:left="1702" w:right="-1"/>
        <w:rPr>
          <w:rFonts w:eastAsia="ヒラギノ角ゴ ProN W3"/>
          <w:sz w:val="24"/>
          <w:szCs w:val="24"/>
        </w:rPr>
      </w:pPr>
    </w:p>
    <w:p w:rsidR="00F34A6B" w:rsidRDefault="00F34A6B" w:rsidP="00F34A6B">
      <w:pPr>
        <w:widowControl w:val="0"/>
        <w:autoSpaceDE w:val="0"/>
        <w:autoSpaceDN w:val="0"/>
        <w:adjustRightInd w:val="0"/>
        <w:ind w:left="851" w:right="-1"/>
        <w:rPr>
          <w:rFonts w:ascii="ヒラギノ角ゴ ProN W3" w:eastAsia="ヒラギノ角ゴ ProN W3" w:hAnsi="ヒラギノ角ゴ ProN W3"/>
          <w:sz w:val="24"/>
          <w:szCs w:val="24"/>
        </w:rPr>
      </w:pPr>
      <w:r>
        <w:rPr>
          <w:sz w:val="24"/>
          <w:szCs w:val="24"/>
          <w:u w:val="single"/>
        </w:rPr>
        <w:t xml:space="preserve">Lidelser i koronararterierne (CAD) </w:t>
      </w:r>
    </w:p>
    <w:p w:rsidR="00F34A6B" w:rsidRDefault="00F34A6B" w:rsidP="00F34A6B">
      <w:pPr>
        <w:pStyle w:val="Normalindrykning"/>
        <w:spacing w:before="20" w:after="20"/>
        <w:ind w:left="851" w:right="-1"/>
        <w:rPr>
          <w:rFonts w:hint="eastAsia"/>
          <w:szCs w:val="24"/>
          <w:lang w:val="da-DK"/>
        </w:rPr>
      </w:pPr>
      <w:r>
        <w:rPr>
          <w:szCs w:val="24"/>
          <w:lang w:val="da-DK"/>
        </w:rPr>
        <w:t xml:space="preserve">Der er i randomiserede, kontrollerede forsøg ikke påvist beskyttelse mod myokardieinfarkt hos kvinder med eller uden eksisterende CAD, som fik en kombinationsbehandling med østrogen og gestagen eller HRT med østrogen alene. </w:t>
      </w:r>
    </w:p>
    <w:p w:rsidR="00F34A6B" w:rsidRDefault="00F34A6B" w:rsidP="00F34A6B">
      <w:pPr>
        <w:pStyle w:val="Normalindrykning"/>
        <w:spacing w:before="20" w:after="20"/>
        <w:ind w:left="851" w:right="-1"/>
        <w:rPr>
          <w:szCs w:val="24"/>
          <w:lang w:val="da-DK"/>
        </w:rPr>
      </w:pPr>
      <w:r>
        <w:rPr>
          <w:szCs w:val="24"/>
          <w:lang w:val="da-DK"/>
        </w:rPr>
        <w:t xml:space="preserve">I et epidemiologisk studie med brug af GPRD-databasen blev der ikke fundet bevis for beskyttelse mod myokardieinfarkt hos </w:t>
      </w:r>
      <w:proofErr w:type="spellStart"/>
      <w:r>
        <w:rPr>
          <w:szCs w:val="24"/>
          <w:lang w:val="da-DK"/>
        </w:rPr>
        <w:t>postmenopausale</w:t>
      </w:r>
      <w:proofErr w:type="spellEnd"/>
      <w:r>
        <w:rPr>
          <w:szCs w:val="24"/>
          <w:lang w:val="da-DK"/>
        </w:rPr>
        <w:t xml:space="preserve"> kvinder, der fik </w:t>
      </w:r>
      <w:proofErr w:type="spellStart"/>
      <w:r>
        <w:rPr>
          <w:szCs w:val="24"/>
          <w:lang w:val="da-DK"/>
        </w:rPr>
        <w:t>tibolon</w:t>
      </w:r>
      <w:proofErr w:type="spellEnd"/>
      <w:r>
        <w:rPr>
          <w:szCs w:val="24"/>
          <w:lang w:val="da-DK"/>
        </w:rPr>
        <w:t>.</w:t>
      </w:r>
    </w:p>
    <w:p w:rsidR="00F34A6B" w:rsidRDefault="00F34A6B" w:rsidP="00F34A6B">
      <w:pPr>
        <w:widowControl w:val="0"/>
        <w:tabs>
          <w:tab w:val="left" w:pos="426"/>
        </w:tabs>
        <w:autoSpaceDE w:val="0"/>
        <w:autoSpaceDN w:val="0"/>
        <w:adjustRightInd w:val="0"/>
        <w:ind w:left="851" w:right="-1"/>
        <w:rPr>
          <w:rFonts w:eastAsia="ヒラギノ角ゴ ProN W3"/>
          <w:sz w:val="24"/>
          <w:szCs w:val="24"/>
        </w:rPr>
      </w:pPr>
    </w:p>
    <w:p w:rsidR="00F34A6B" w:rsidRDefault="00F34A6B" w:rsidP="00F34A6B">
      <w:pPr>
        <w:widowControl w:val="0"/>
        <w:autoSpaceDE w:val="0"/>
        <w:autoSpaceDN w:val="0"/>
        <w:adjustRightInd w:val="0"/>
        <w:ind w:left="851" w:right="-1"/>
        <w:rPr>
          <w:rFonts w:ascii="ヒラギノ角ゴ ProN W3" w:eastAsia="ヒラギノ角ゴ ProN W3" w:hAnsi="ヒラギノ角ゴ ProN W3"/>
          <w:sz w:val="24"/>
          <w:szCs w:val="24"/>
        </w:rPr>
      </w:pPr>
      <w:r>
        <w:rPr>
          <w:sz w:val="24"/>
          <w:szCs w:val="24"/>
          <w:u w:val="single"/>
        </w:rPr>
        <w:t xml:space="preserve">Iskæmisk slagtilfælde </w:t>
      </w:r>
    </w:p>
    <w:p w:rsidR="00F34A6B" w:rsidRDefault="00F34A6B" w:rsidP="00F34A6B">
      <w:pPr>
        <w:widowControl w:val="0"/>
        <w:autoSpaceDE w:val="0"/>
        <w:autoSpaceDN w:val="0"/>
        <w:adjustRightInd w:val="0"/>
        <w:ind w:left="851" w:right="-1"/>
        <w:rPr>
          <w:rFonts w:hint="eastAsia"/>
          <w:sz w:val="24"/>
          <w:szCs w:val="24"/>
        </w:rPr>
      </w:pPr>
      <w:proofErr w:type="spellStart"/>
      <w:r>
        <w:rPr>
          <w:sz w:val="24"/>
          <w:szCs w:val="24"/>
        </w:rPr>
        <w:t>Tibolon</w:t>
      </w:r>
      <w:proofErr w:type="spellEnd"/>
      <w:r>
        <w:rPr>
          <w:sz w:val="24"/>
          <w:szCs w:val="24"/>
        </w:rPr>
        <w:t xml:space="preserve"> øger risikoen for iskæmisk slagtilfælde fra behandlingens første år (se pkt. 4.8).  Risikoen for slagtilfælde er stærkt aldersafhængig, og dermed er påvirkningen fra </w:t>
      </w:r>
      <w:proofErr w:type="spellStart"/>
      <w:r>
        <w:rPr>
          <w:sz w:val="24"/>
          <w:szCs w:val="24"/>
        </w:rPr>
        <w:t>tibolon</w:t>
      </w:r>
      <w:proofErr w:type="spellEnd"/>
      <w:r>
        <w:rPr>
          <w:sz w:val="24"/>
          <w:szCs w:val="24"/>
        </w:rPr>
        <w:t xml:space="preserve"> stigende med alderen. </w:t>
      </w:r>
    </w:p>
    <w:p w:rsidR="00F34A6B" w:rsidRDefault="00F34A6B" w:rsidP="00F34A6B">
      <w:pPr>
        <w:widowControl w:val="0"/>
        <w:autoSpaceDE w:val="0"/>
        <w:autoSpaceDN w:val="0"/>
        <w:adjustRightInd w:val="0"/>
        <w:ind w:left="1702" w:right="-1"/>
        <w:rPr>
          <w:rFonts w:eastAsia="ヒラギノ角ゴ ProN W3"/>
          <w:sz w:val="24"/>
          <w:szCs w:val="24"/>
          <w:u w:val="single"/>
        </w:rPr>
      </w:pPr>
    </w:p>
    <w:p w:rsidR="00F34A6B" w:rsidRDefault="00F34A6B">
      <w:pPr>
        <w:rPr>
          <w:sz w:val="24"/>
          <w:szCs w:val="24"/>
          <w:u w:val="single"/>
        </w:rPr>
      </w:pPr>
      <w:r>
        <w:rPr>
          <w:sz w:val="24"/>
          <w:szCs w:val="24"/>
          <w:u w:val="single"/>
        </w:rPr>
        <w:br w:type="page"/>
      </w:r>
    </w:p>
    <w:p w:rsidR="00F34A6B" w:rsidRDefault="00F34A6B" w:rsidP="00F34A6B">
      <w:pPr>
        <w:widowControl w:val="0"/>
        <w:autoSpaceDE w:val="0"/>
        <w:autoSpaceDN w:val="0"/>
        <w:adjustRightInd w:val="0"/>
        <w:ind w:left="851" w:right="-1"/>
        <w:rPr>
          <w:sz w:val="24"/>
          <w:szCs w:val="24"/>
        </w:rPr>
      </w:pPr>
      <w:r>
        <w:rPr>
          <w:sz w:val="24"/>
          <w:szCs w:val="24"/>
          <w:u w:val="single"/>
        </w:rPr>
        <w:lastRenderedPageBreak/>
        <w:t xml:space="preserve">Andre tilstande </w:t>
      </w:r>
    </w:p>
    <w:p w:rsidR="00F34A6B" w:rsidRDefault="00F34A6B" w:rsidP="00F34A6B">
      <w:pPr>
        <w:widowControl w:val="0"/>
        <w:numPr>
          <w:ilvl w:val="0"/>
          <w:numId w:val="24"/>
        </w:numPr>
        <w:autoSpaceDE w:val="0"/>
        <w:autoSpaceDN w:val="0"/>
        <w:adjustRightInd w:val="0"/>
        <w:ind w:left="1418" w:right="-1" w:hanging="567"/>
        <w:rPr>
          <w:sz w:val="24"/>
          <w:szCs w:val="24"/>
        </w:rPr>
      </w:pP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2,5 mg tabletter er ikke beregnet til svangerskabsforebyggelse.</w:t>
      </w:r>
    </w:p>
    <w:p w:rsidR="00F34A6B" w:rsidRDefault="00F34A6B" w:rsidP="00F34A6B">
      <w:pPr>
        <w:widowControl w:val="0"/>
        <w:numPr>
          <w:ilvl w:val="0"/>
          <w:numId w:val="24"/>
        </w:numPr>
        <w:autoSpaceDE w:val="0"/>
        <w:autoSpaceDN w:val="0"/>
        <w:adjustRightInd w:val="0"/>
        <w:ind w:left="1418" w:right="-1" w:hanging="567"/>
        <w:rPr>
          <w:sz w:val="24"/>
          <w:szCs w:val="24"/>
        </w:rPr>
      </w:pPr>
      <w:r>
        <w:rPr>
          <w:sz w:val="24"/>
          <w:szCs w:val="24"/>
        </w:rPr>
        <w:t xml:space="preserve">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giver en markant dosisafhængig sænkning af HDL-kolesterol (fra -16,7 % med en dosis på 1,25 mg til -21,8 % med en dosis på 2,5 mg efter to år). De totale triglycerid- og </w:t>
      </w:r>
      <w:proofErr w:type="spellStart"/>
      <w:r>
        <w:rPr>
          <w:sz w:val="24"/>
          <w:szCs w:val="24"/>
        </w:rPr>
        <w:t>lipoprotein</w:t>
      </w:r>
      <w:proofErr w:type="spellEnd"/>
      <w:r>
        <w:rPr>
          <w:sz w:val="24"/>
          <w:szCs w:val="24"/>
        </w:rPr>
        <w:t xml:space="preserve">(a)-niveauer reduceres også. Sænkningen af de totale kolesterol- og VLDL-C-niveauer var ikke dosisafhængige. Niveauet af LDL-C var uændret. Den kliniske betydning af disse påvirkninger er endnu ikke kendt.  </w:t>
      </w:r>
    </w:p>
    <w:p w:rsidR="00F34A6B" w:rsidRDefault="00F34A6B" w:rsidP="00F34A6B">
      <w:pPr>
        <w:widowControl w:val="0"/>
        <w:numPr>
          <w:ilvl w:val="0"/>
          <w:numId w:val="24"/>
        </w:numPr>
        <w:autoSpaceDE w:val="0"/>
        <w:autoSpaceDN w:val="0"/>
        <w:adjustRightInd w:val="0"/>
        <w:ind w:left="1418" w:right="-1" w:hanging="567"/>
        <w:rPr>
          <w:sz w:val="24"/>
          <w:szCs w:val="24"/>
        </w:rPr>
      </w:pPr>
      <w:r>
        <w:rPr>
          <w:sz w:val="24"/>
          <w:szCs w:val="24"/>
        </w:rPr>
        <w:t xml:space="preserve">Østrogener kan være årsag til væskeretention, og patienter med nedsat hjerte- eller nyrefunktion skal derfor overvåges omhyggeligt.  </w:t>
      </w:r>
    </w:p>
    <w:p w:rsidR="00F34A6B" w:rsidRDefault="00F34A6B" w:rsidP="00F34A6B">
      <w:pPr>
        <w:widowControl w:val="0"/>
        <w:numPr>
          <w:ilvl w:val="0"/>
          <w:numId w:val="24"/>
        </w:numPr>
        <w:autoSpaceDE w:val="0"/>
        <w:autoSpaceDN w:val="0"/>
        <w:adjustRightInd w:val="0"/>
        <w:ind w:left="1418" w:right="-1" w:hanging="567"/>
        <w:rPr>
          <w:sz w:val="24"/>
          <w:szCs w:val="24"/>
        </w:rPr>
      </w:pPr>
      <w:r>
        <w:rPr>
          <w:sz w:val="24"/>
          <w:szCs w:val="24"/>
        </w:rPr>
        <w:t xml:space="preserve">Kvinder med eksisterende </w:t>
      </w:r>
      <w:proofErr w:type="spellStart"/>
      <w:r>
        <w:rPr>
          <w:sz w:val="24"/>
          <w:szCs w:val="24"/>
        </w:rPr>
        <w:t>hypertriglyceridæmi</w:t>
      </w:r>
      <w:proofErr w:type="spellEnd"/>
      <w:r>
        <w:rPr>
          <w:sz w:val="24"/>
          <w:szCs w:val="24"/>
        </w:rPr>
        <w:t xml:space="preserve"> bør følges omhyggeligt under østrogensubstitution eller behandling med HRT, da der er set sjældne tilfælde af massiv forhøjelse af plasmatriglycerider, som har ført til </w:t>
      </w:r>
      <w:proofErr w:type="spellStart"/>
      <w:r>
        <w:rPr>
          <w:sz w:val="24"/>
          <w:szCs w:val="24"/>
        </w:rPr>
        <w:t>pankreatitis</w:t>
      </w:r>
      <w:proofErr w:type="spellEnd"/>
      <w:r>
        <w:rPr>
          <w:sz w:val="24"/>
          <w:szCs w:val="24"/>
        </w:rPr>
        <w:t xml:space="preserve"> i forbindelse med østrogenbehandling. </w:t>
      </w:r>
    </w:p>
    <w:p w:rsidR="00F34A6B" w:rsidRDefault="00F34A6B" w:rsidP="00F34A6B">
      <w:pPr>
        <w:widowControl w:val="0"/>
        <w:numPr>
          <w:ilvl w:val="0"/>
          <w:numId w:val="24"/>
        </w:numPr>
        <w:autoSpaceDE w:val="0"/>
        <w:autoSpaceDN w:val="0"/>
        <w:adjustRightInd w:val="0"/>
        <w:ind w:left="1418" w:right="-1" w:hanging="567"/>
        <w:rPr>
          <w:rFonts w:ascii="ヒラギノ角ゴ ProN W3" w:eastAsia="ヒラギノ角ゴ ProN W3" w:hAnsi="ヒラギノ角ゴ ProN W3"/>
          <w:sz w:val="24"/>
          <w:szCs w:val="24"/>
        </w:rPr>
      </w:pPr>
      <w:r>
        <w:rPr>
          <w:sz w:val="24"/>
          <w:szCs w:val="24"/>
        </w:rPr>
        <w:t xml:space="preserve">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tabletter medfører en meget beskeden sænkning af </w:t>
      </w:r>
      <w:proofErr w:type="spellStart"/>
      <w:r>
        <w:rPr>
          <w:sz w:val="24"/>
          <w:szCs w:val="24"/>
        </w:rPr>
        <w:t>thyroxinbindende</w:t>
      </w:r>
      <w:proofErr w:type="spellEnd"/>
      <w:r>
        <w:rPr>
          <w:sz w:val="24"/>
          <w:szCs w:val="24"/>
        </w:rPr>
        <w:t xml:space="preserve"> </w:t>
      </w:r>
      <w:proofErr w:type="spellStart"/>
      <w:r>
        <w:rPr>
          <w:sz w:val="24"/>
          <w:szCs w:val="24"/>
        </w:rPr>
        <w:t>globulin</w:t>
      </w:r>
      <w:proofErr w:type="spellEnd"/>
      <w:r>
        <w:rPr>
          <w:sz w:val="24"/>
          <w:szCs w:val="24"/>
        </w:rPr>
        <w:t xml:space="preserve"> (TBG) og totalt T4. Niveauet af totalt T3 er uændret.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tabletter sænker niveauet af kønshormonbindende </w:t>
      </w:r>
      <w:proofErr w:type="spellStart"/>
      <w:r>
        <w:rPr>
          <w:sz w:val="24"/>
          <w:szCs w:val="24"/>
        </w:rPr>
        <w:t>globulin</w:t>
      </w:r>
      <w:proofErr w:type="spellEnd"/>
      <w:r>
        <w:rPr>
          <w:sz w:val="24"/>
          <w:szCs w:val="24"/>
        </w:rPr>
        <w:t xml:space="preserve"> (SHBG), hvorimod niveauerne af </w:t>
      </w:r>
      <w:proofErr w:type="spellStart"/>
      <w:r>
        <w:rPr>
          <w:sz w:val="24"/>
          <w:szCs w:val="24"/>
        </w:rPr>
        <w:t>kortikoidbindende</w:t>
      </w:r>
      <w:proofErr w:type="spellEnd"/>
      <w:r>
        <w:rPr>
          <w:sz w:val="24"/>
          <w:szCs w:val="24"/>
        </w:rPr>
        <w:t xml:space="preserve"> </w:t>
      </w:r>
      <w:proofErr w:type="spellStart"/>
      <w:r>
        <w:rPr>
          <w:sz w:val="24"/>
          <w:szCs w:val="24"/>
        </w:rPr>
        <w:t>globulin</w:t>
      </w:r>
      <w:proofErr w:type="spellEnd"/>
      <w:r>
        <w:rPr>
          <w:sz w:val="24"/>
          <w:szCs w:val="24"/>
        </w:rPr>
        <w:t xml:space="preserve"> (CBG) og cirkulerende kortisol er uændrede. </w:t>
      </w:r>
    </w:p>
    <w:p w:rsidR="00F34A6B" w:rsidRDefault="00F34A6B" w:rsidP="00F34A6B">
      <w:pPr>
        <w:widowControl w:val="0"/>
        <w:numPr>
          <w:ilvl w:val="0"/>
          <w:numId w:val="24"/>
        </w:numPr>
        <w:autoSpaceDE w:val="0"/>
        <w:autoSpaceDN w:val="0"/>
        <w:adjustRightInd w:val="0"/>
        <w:ind w:left="1418" w:right="-1" w:hanging="567"/>
        <w:rPr>
          <w:rFonts w:ascii="ヒラギノ角ゴ ProN W3" w:eastAsia="ヒラギノ角ゴ ProN W3" w:hAnsi="ヒラギノ角ゴ ProN W3" w:hint="eastAsia"/>
          <w:sz w:val="24"/>
          <w:szCs w:val="24"/>
        </w:rPr>
      </w:pPr>
      <w:r>
        <w:rPr>
          <w:sz w:val="24"/>
          <w:szCs w:val="24"/>
        </w:rPr>
        <w:t>HRT forbedrer ikke den kognitive funktion. Der er nogen evidens for en øget risiko for mulig demens hos kvinder, som efter 65-årsalderen påbegynder behandling med kontinuerlig kombineret HRT eller HRT med østrogen alene.</w:t>
      </w:r>
    </w:p>
    <w:p w:rsidR="00F34A6B" w:rsidRDefault="00F34A6B" w:rsidP="00F34A6B">
      <w:pPr>
        <w:widowControl w:val="0"/>
        <w:autoSpaceDE w:val="0"/>
        <w:autoSpaceDN w:val="0"/>
        <w:adjustRightInd w:val="0"/>
        <w:ind w:left="851" w:right="-1"/>
        <w:rPr>
          <w:rFonts w:hint="eastAsia"/>
          <w:sz w:val="24"/>
          <w:szCs w:val="24"/>
        </w:rPr>
      </w:pPr>
    </w:p>
    <w:p w:rsidR="00F34A6B" w:rsidRDefault="00F34A6B" w:rsidP="00F34A6B">
      <w:pPr>
        <w:widowControl w:val="0"/>
        <w:autoSpaceDE w:val="0"/>
        <w:autoSpaceDN w:val="0"/>
        <w:adjustRightInd w:val="0"/>
        <w:ind w:left="851" w:right="-1"/>
        <w:rPr>
          <w:sz w:val="24"/>
          <w:szCs w:val="24"/>
        </w:rPr>
      </w:pPr>
      <w:proofErr w:type="spellStart"/>
      <w:r>
        <w:rPr>
          <w:sz w:val="24"/>
          <w:szCs w:val="24"/>
        </w:rPr>
        <w:t>Tibolin</w:t>
      </w:r>
      <w:proofErr w:type="spellEnd"/>
      <w:r>
        <w:rPr>
          <w:sz w:val="24"/>
          <w:szCs w:val="24"/>
        </w:rPr>
        <w:t xml:space="preserve"> ”</w:t>
      </w:r>
      <w:proofErr w:type="spellStart"/>
      <w:r>
        <w:rPr>
          <w:sz w:val="24"/>
          <w:szCs w:val="24"/>
        </w:rPr>
        <w:t>Aristo</w:t>
      </w:r>
      <w:proofErr w:type="spellEnd"/>
      <w:r>
        <w:rPr>
          <w:sz w:val="24"/>
          <w:szCs w:val="24"/>
        </w:rPr>
        <w:t>” indeholder laktose</w:t>
      </w:r>
    </w:p>
    <w:p w:rsidR="00F34A6B" w:rsidRDefault="00F34A6B" w:rsidP="00F34A6B">
      <w:pPr>
        <w:widowControl w:val="0"/>
        <w:autoSpaceDE w:val="0"/>
        <w:autoSpaceDN w:val="0"/>
        <w:adjustRightInd w:val="0"/>
        <w:ind w:left="851" w:right="-1"/>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9652DC" w:rsidRDefault="009652DC" w:rsidP="009652DC">
      <w:pPr>
        <w:tabs>
          <w:tab w:val="left" w:pos="851"/>
        </w:tabs>
        <w:rPr>
          <w:sz w:val="24"/>
          <w:szCs w:val="24"/>
        </w:rPr>
      </w:pPr>
    </w:p>
    <w:p w:rsidR="009652DC" w:rsidRDefault="009652DC" w:rsidP="009652DC">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9652DC" w:rsidRDefault="009652DC" w:rsidP="009652DC">
      <w:pPr>
        <w:widowControl w:val="0"/>
        <w:autoSpaceDE w:val="0"/>
        <w:autoSpaceDN w:val="0"/>
        <w:adjustRightInd w:val="0"/>
        <w:ind w:left="851" w:right="-1"/>
        <w:rPr>
          <w:sz w:val="24"/>
          <w:szCs w:val="24"/>
        </w:rPr>
      </w:pPr>
      <w:r>
        <w:rPr>
          <w:spacing w:val="-3"/>
          <w:sz w:val="24"/>
          <w:szCs w:val="24"/>
        </w:rPr>
        <w:t xml:space="preserve">Da </w:t>
      </w:r>
      <w:proofErr w:type="spellStart"/>
      <w:r>
        <w:rPr>
          <w:spacing w:val="-3"/>
          <w:sz w:val="24"/>
          <w:szCs w:val="24"/>
        </w:rPr>
        <w:t>tibolon</w:t>
      </w:r>
      <w:proofErr w:type="spellEnd"/>
      <w:r>
        <w:rPr>
          <w:spacing w:val="-3"/>
          <w:sz w:val="24"/>
          <w:szCs w:val="24"/>
        </w:rPr>
        <w:t xml:space="preserve"> kan øge den </w:t>
      </w:r>
      <w:proofErr w:type="spellStart"/>
      <w:r>
        <w:rPr>
          <w:spacing w:val="-3"/>
          <w:sz w:val="24"/>
          <w:szCs w:val="24"/>
        </w:rPr>
        <w:t>fibrinolytiske</w:t>
      </w:r>
      <w:proofErr w:type="spellEnd"/>
      <w:r>
        <w:rPr>
          <w:spacing w:val="-3"/>
          <w:sz w:val="24"/>
          <w:szCs w:val="24"/>
        </w:rPr>
        <w:t xml:space="preserve"> aktivitet i blodet, kan det øge effekten af </w:t>
      </w:r>
      <w:proofErr w:type="spellStart"/>
      <w:r>
        <w:rPr>
          <w:spacing w:val="-3"/>
          <w:sz w:val="24"/>
          <w:szCs w:val="24"/>
        </w:rPr>
        <w:t>antikoagulantia</w:t>
      </w:r>
      <w:proofErr w:type="spellEnd"/>
      <w:r>
        <w:rPr>
          <w:spacing w:val="-3"/>
          <w:sz w:val="24"/>
          <w:szCs w:val="24"/>
        </w:rPr>
        <w:t>.</w:t>
      </w:r>
      <w:r>
        <w:rPr>
          <w:sz w:val="24"/>
          <w:szCs w:val="24"/>
        </w:rPr>
        <w:t xml:space="preserve"> </w:t>
      </w:r>
      <w:r>
        <w:rPr>
          <w:spacing w:val="-3"/>
          <w:sz w:val="24"/>
          <w:szCs w:val="24"/>
        </w:rPr>
        <w:t xml:space="preserve">Denne effekt er set med </w:t>
      </w:r>
      <w:proofErr w:type="spellStart"/>
      <w:r>
        <w:rPr>
          <w:spacing w:val="-3"/>
          <w:sz w:val="24"/>
          <w:szCs w:val="24"/>
        </w:rPr>
        <w:t>warfarin</w:t>
      </w:r>
      <w:proofErr w:type="spellEnd"/>
      <w:r>
        <w:rPr>
          <w:spacing w:val="-3"/>
          <w:sz w:val="24"/>
          <w:szCs w:val="24"/>
        </w:rPr>
        <w:t>.</w:t>
      </w:r>
      <w:r>
        <w:rPr>
          <w:sz w:val="24"/>
          <w:szCs w:val="24"/>
        </w:rPr>
        <w:t xml:space="preserve"> </w:t>
      </w:r>
      <w:r>
        <w:rPr>
          <w:spacing w:val="-3"/>
          <w:sz w:val="24"/>
          <w:szCs w:val="24"/>
        </w:rPr>
        <w:t xml:space="preserve">Derfor bør kvinder, der samtidig får behandling med </w:t>
      </w:r>
      <w:proofErr w:type="spellStart"/>
      <w:r>
        <w:rPr>
          <w:spacing w:val="-3"/>
          <w:sz w:val="24"/>
          <w:szCs w:val="24"/>
        </w:rPr>
        <w:t>Tibolon</w:t>
      </w:r>
      <w:proofErr w:type="spellEnd"/>
      <w:r>
        <w:rPr>
          <w:spacing w:val="-3"/>
          <w:sz w:val="24"/>
          <w:szCs w:val="24"/>
        </w:rPr>
        <w:t xml:space="preserve"> ”</w:t>
      </w:r>
      <w:proofErr w:type="spellStart"/>
      <w:r>
        <w:rPr>
          <w:spacing w:val="-3"/>
          <w:sz w:val="24"/>
          <w:szCs w:val="24"/>
        </w:rPr>
        <w:t>Aristo</w:t>
      </w:r>
      <w:proofErr w:type="spellEnd"/>
      <w:r>
        <w:rPr>
          <w:spacing w:val="-3"/>
          <w:sz w:val="24"/>
          <w:szCs w:val="24"/>
        </w:rPr>
        <w:t xml:space="preserve">” 2,5 mg tabletter og </w:t>
      </w:r>
      <w:proofErr w:type="spellStart"/>
      <w:r>
        <w:rPr>
          <w:spacing w:val="-3"/>
          <w:sz w:val="24"/>
          <w:szCs w:val="24"/>
        </w:rPr>
        <w:t>warfarin</w:t>
      </w:r>
      <w:proofErr w:type="spellEnd"/>
      <w:r>
        <w:rPr>
          <w:spacing w:val="-3"/>
          <w:sz w:val="24"/>
          <w:szCs w:val="24"/>
        </w:rPr>
        <w:t xml:space="preserve">, overvåges nøje, især ved opstart eller afslutning af behandling med </w:t>
      </w:r>
      <w:proofErr w:type="spellStart"/>
      <w:r>
        <w:rPr>
          <w:spacing w:val="-3"/>
          <w:sz w:val="24"/>
          <w:szCs w:val="24"/>
        </w:rPr>
        <w:t>Tibolon</w:t>
      </w:r>
      <w:proofErr w:type="spellEnd"/>
      <w:r>
        <w:rPr>
          <w:spacing w:val="-3"/>
          <w:sz w:val="24"/>
          <w:szCs w:val="24"/>
        </w:rPr>
        <w:t xml:space="preserve"> ”</w:t>
      </w:r>
      <w:proofErr w:type="spellStart"/>
      <w:r>
        <w:rPr>
          <w:spacing w:val="-3"/>
          <w:sz w:val="24"/>
          <w:szCs w:val="24"/>
        </w:rPr>
        <w:t>Aristo</w:t>
      </w:r>
      <w:proofErr w:type="spellEnd"/>
      <w:r>
        <w:rPr>
          <w:spacing w:val="-3"/>
          <w:sz w:val="24"/>
          <w:szCs w:val="24"/>
        </w:rPr>
        <w:t>” 2,5 mg tabletter.</w:t>
      </w:r>
      <w:r>
        <w:rPr>
          <w:sz w:val="24"/>
          <w:szCs w:val="24"/>
        </w:rPr>
        <w:t xml:space="preserve"> </w:t>
      </w:r>
      <w:r>
        <w:rPr>
          <w:spacing w:val="-3"/>
          <w:sz w:val="24"/>
          <w:szCs w:val="24"/>
        </w:rPr>
        <w:t xml:space="preserve">Dosis af </w:t>
      </w:r>
      <w:proofErr w:type="spellStart"/>
      <w:r>
        <w:rPr>
          <w:spacing w:val="-3"/>
          <w:sz w:val="24"/>
          <w:szCs w:val="24"/>
        </w:rPr>
        <w:t>warfarin</w:t>
      </w:r>
      <w:proofErr w:type="spellEnd"/>
      <w:r>
        <w:rPr>
          <w:spacing w:val="-3"/>
          <w:sz w:val="24"/>
          <w:szCs w:val="24"/>
        </w:rPr>
        <w:t xml:space="preserve"> bør om nødvendigt tilpasses.</w:t>
      </w:r>
      <w:r>
        <w:rPr>
          <w:sz w:val="24"/>
          <w:szCs w:val="24"/>
        </w:rPr>
        <w:t xml:space="preserve"> </w:t>
      </w:r>
    </w:p>
    <w:p w:rsidR="009652DC" w:rsidRDefault="009652DC" w:rsidP="009652DC">
      <w:pPr>
        <w:widowControl w:val="0"/>
        <w:autoSpaceDE w:val="0"/>
        <w:autoSpaceDN w:val="0"/>
        <w:adjustRightInd w:val="0"/>
        <w:ind w:left="851" w:right="-1"/>
        <w:rPr>
          <w:rFonts w:eastAsia="ヒラギノ角ゴ ProN W3"/>
          <w:sz w:val="24"/>
          <w:szCs w:val="24"/>
        </w:rPr>
      </w:pPr>
    </w:p>
    <w:p w:rsidR="009652DC" w:rsidRDefault="009652DC" w:rsidP="009652DC">
      <w:pPr>
        <w:widowControl w:val="0"/>
        <w:autoSpaceDE w:val="0"/>
        <w:autoSpaceDN w:val="0"/>
        <w:adjustRightInd w:val="0"/>
        <w:ind w:left="851" w:right="-1"/>
        <w:rPr>
          <w:sz w:val="24"/>
          <w:szCs w:val="24"/>
        </w:rPr>
      </w:pPr>
      <w:r>
        <w:rPr>
          <w:spacing w:val="-3"/>
          <w:sz w:val="24"/>
          <w:szCs w:val="24"/>
        </w:rPr>
        <w:t xml:space="preserve">Der foreligger begrænset information om </w:t>
      </w:r>
      <w:proofErr w:type="spellStart"/>
      <w:r>
        <w:rPr>
          <w:spacing w:val="-3"/>
          <w:sz w:val="24"/>
          <w:szCs w:val="24"/>
        </w:rPr>
        <w:t>farmakokinetiske</w:t>
      </w:r>
      <w:proofErr w:type="spellEnd"/>
      <w:r>
        <w:rPr>
          <w:spacing w:val="-3"/>
          <w:sz w:val="24"/>
          <w:szCs w:val="24"/>
        </w:rPr>
        <w:t xml:space="preserve"> interaktioner med </w:t>
      </w:r>
      <w:proofErr w:type="spellStart"/>
      <w:r>
        <w:rPr>
          <w:spacing w:val="-3"/>
          <w:sz w:val="24"/>
          <w:szCs w:val="24"/>
        </w:rPr>
        <w:t>tibolon</w:t>
      </w:r>
      <w:proofErr w:type="spellEnd"/>
      <w:r>
        <w:rPr>
          <w:spacing w:val="-3"/>
          <w:sz w:val="24"/>
          <w:szCs w:val="24"/>
        </w:rPr>
        <w:t>.</w:t>
      </w:r>
      <w:r>
        <w:rPr>
          <w:sz w:val="24"/>
          <w:szCs w:val="24"/>
        </w:rPr>
        <w:t xml:space="preserve"> </w:t>
      </w:r>
      <w:r>
        <w:rPr>
          <w:spacing w:val="-3"/>
          <w:sz w:val="24"/>
          <w:szCs w:val="24"/>
        </w:rPr>
        <w:t xml:space="preserve">Et </w:t>
      </w:r>
      <w:r>
        <w:rPr>
          <w:i/>
          <w:spacing w:val="-3"/>
          <w:sz w:val="24"/>
          <w:szCs w:val="24"/>
        </w:rPr>
        <w:t xml:space="preserve">in </w:t>
      </w:r>
      <w:proofErr w:type="spellStart"/>
      <w:r>
        <w:rPr>
          <w:i/>
          <w:spacing w:val="-3"/>
          <w:sz w:val="24"/>
          <w:szCs w:val="24"/>
        </w:rPr>
        <w:t>vivo</w:t>
      </w:r>
      <w:proofErr w:type="spellEnd"/>
      <w:r>
        <w:rPr>
          <w:spacing w:val="-3"/>
          <w:sz w:val="24"/>
          <w:szCs w:val="24"/>
        </w:rPr>
        <w:t xml:space="preserve">-studie har vist, at farmakokinetikken af </w:t>
      </w:r>
      <w:proofErr w:type="spellStart"/>
      <w:r>
        <w:rPr>
          <w:spacing w:val="-3"/>
          <w:sz w:val="24"/>
          <w:szCs w:val="24"/>
        </w:rPr>
        <w:t>midazolam</w:t>
      </w:r>
      <w:proofErr w:type="spellEnd"/>
      <w:r>
        <w:rPr>
          <w:spacing w:val="-3"/>
          <w:sz w:val="24"/>
          <w:szCs w:val="24"/>
        </w:rPr>
        <w:t xml:space="preserve">, et </w:t>
      </w:r>
      <w:proofErr w:type="spellStart"/>
      <w:r>
        <w:rPr>
          <w:spacing w:val="-3"/>
          <w:sz w:val="24"/>
          <w:szCs w:val="24"/>
        </w:rPr>
        <w:t>cytochrom</w:t>
      </w:r>
      <w:proofErr w:type="spellEnd"/>
      <w:r>
        <w:rPr>
          <w:spacing w:val="-3"/>
          <w:sz w:val="24"/>
          <w:szCs w:val="24"/>
        </w:rPr>
        <w:t xml:space="preserve"> P450 3A4-substrat, kan påvirkes i moderat grad af samtidig behandling med </w:t>
      </w:r>
      <w:proofErr w:type="spellStart"/>
      <w:r>
        <w:rPr>
          <w:spacing w:val="-3"/>
          <w:sz w:val="24"/>
          <w:szCs w:val="24"/>
        </w:rPr>
        <w:t>tibolon</w:t>
      </w:r>
      <w:proofErr w:type="spellEnd"/>
      <w:r>
        <w:rPr>
          <w:spacing w:val="-3"/>
          <w:sz w:val="24"/>
          <w:szCs w:val="24"/>
        </w:rPr>
        <w:t>. På dette grundlag kan der også forventes interaktioner med andre CYP3A4-substrater.</w:t>
      </w:r>
      <w:r>
        <w:rPr>
          <w:sz w:val="24"/>
          <w:szCs w:val="24"/>
        </w:rPr>
        <w:t xml:space="preserve">  </w:t>
      </w:r>
    </w:p>
    <w:p w:rsidR="009652DC" w:rsidRDefault="009652DC" w:rsidP="009652DC">
      <w:pPr>
        <w:widowControl w:val="0"/>
        <w:autoSpaceDE w:val="0"/>
        <w:autoSpaceDN w:val="0"/>
        <w:adjustRightInd w:val="0"/>
        <w:ind w:left="851" w:right="-1"/>
        <w:rPr>
          <w:sz w:val="24"/>
          <w:szCs w:val="24"/>
        </w:rPr>
      </w:pPr>
    </w:p>
    <w:p w:rsidR="009652DC" w:rsidRDefault="009652DC" w:rsidP="009652DC">
      <w:pPr>
        <w:widowControl w:val="0"/>
        <w:autoSpaceDE w:val="0"/>
        <w:autoSpaceDN w:val="0"/>
        <w:adjustRightInd w:val="0"/>
        <w:ind w:left="851" w:right="-1"/>
        <w:rPr>
          <w:sz w:val="24"/>
          <w:szCs w:val="24"/>
        </w:rPr>
      </w:pPr>
      <w:r>
        <w:rPr>
          <w:sz w:val="24"/>
          <w:szCs w:val="24"/>
        </w:rPr>
        <w:t xml:space="preserve">Data vedrørende </w:t>
      </w:r>
      <w:r>
        <w:rPr>
          <w:i/>
          <w:sz w:val="24"/>
          <w:szCs w:val="24"/>
        </w:rPr>
        <w:t xml:space="preserve">in </w:t>
      </w:r>
      <w:proofErr w:type="spellStart"/>
      <w:r>
        <w:rPr>
          <w:i/>
          <w:sz w:val="24"/>
          <w:szCs w:val="24"/>
        </w:rPr>
        <w:t>vitro</w:t>
      </w:r>
      <w:proofErr w:type="spellEnd"/>
      <w:r>
        <w:rPr>
          <w:sz w:val="24"/>
          <w:szCs w:val="24"/>
        </w:rPr>
        <w:t xml:space="preserve">-metabolismen tyder på, at </w:t>
      </w:r>
      <w:proofErr w:type="spellStart"/>
      <w:r>
        <w:rPr>
          <w:sz w:val="24"/>
          <w:szCs w:val="24"/>
        </w:rPr>
        <w:t>tibolon</w:t>
      </w:r>
      <w:proofErr w:type="spellEnd"/>
      <w:r>
        <w:rPr>
          <w:sz w:val="24"/>
          <w:szCs w:val="24"/>
        </w:rPr>
        <w:t xml:space="preserve"> og dets metabolitter kan hæmme CYP2C9, der er et P450-enzym. Der bør udvises stor forsigtighed, hvis </w:t>
      </w:r>
      <w:proofErr w:type="spellStart"/>
      <w:r>
        <w:rPr>
          <w:sz w:val="24"/>
          <w:szCs w:val="24"/>
        </w:rPr>
        <w:t>tibolon</w:t>
      </w:r>
      <w:proofErr w:type="spellEnd"/>
      <w:r>
        <w:rPr>
          <w:sz w:val="24"/>
          <w:szCs w:val="24"/>
        </w:rPr>
        <w:t xml:space="preserve"> kombineres med andre lægemidler, der </w:t>
      </w:r>
      <w:proofErr w:type="spellStart"/>
      <w:r>
        <w:rPr>
          <w:sz w:val="24"/>
          <w:szCs w:val="24"/>
        </w:rPr>
        <w:t>metaboliseres</w:t>
      </w:r>
      <w:proofErr w:type="spellEnd"/>
      <w:r>
        <w:rPr>
          <w:sz w:val="24"/>
          <w:szCs w:val="24"/>
        </w:rPr>
        <w:t xml:space="preserve"> af CYP2C9. Dette gælder især lægemidler med snævert terapeutisk indeks, såsom </w:t>
      </w:r>
      <w:proofErr w:type="spellStart"/>
      <w:r>
        <w:rPr>
          <w:sz w:val="24"/>
          <w:szCs w:val="24"/>
        </w:rPr>
        <w:t>warfarin</w:t>
      </w:r>
      <w:proofErr w:type="spellEnd"/>
      <w:r>
        <w:rPr>
          <w:sz w:val="24"/>
          <w:szCs w:val="24"/>
        </w:rPr>
        <w:t xml:space="preserve">, </w:t>
      </w:r>
      <w:proofErr w:type="spellStart"/>
      <w:r>
        <w:rPr>
          <w:sz w:val="24"/>
          <w:szCs w:val="24"/>
        </w:rPr>
        <w:t>phenytoin</w:t>
      </w:r>
      <w:proofErr w:type="spellEnd"/>
      <w:r>
        <w:rPr>
          <w:sz w:val="24"/>
          <w:szCs w:val="24"/>
        </w:rPr>
        <w:t xml:space="preserve"> og </w:t>
      </w:r>
      <w:proofErr w:type="spellStart"/>
      <w:r>
        <w:rPr>
          <w:sz w:val="24"/>
          <w:szCs w:val="24"/>
        </w:rPr>
        <w:t>tolbutamid</w:t>
      </w:r>
      <w:proofErr w:type="spellEnd"/>
      <w:r>
        <w:rPr>
          <w:sz w:val="24"/>
          <w:szCs w:val="24"/>
        </w:rPr>
        <w:t xml:space="preserve">. </w:t>
      </w:r>
    </w:p>
    <w:p w:rsidR="009652DC" w:rsidRDefault="009652DC" w:rsidP="009652DC">
      <w:pPr>
        <w:widowControl w:val="0"/>
        <w:autoSpaceDE w:val="0"/>
        <w:autoSpaceDN w:val="0"/>
        <w:adjustRightInd w:val="0"/>
        <w:ind w:left="851" w:right="-1"/>
        <w:rPr>
          <w:sz w:val="24"/>
          <w:szCs w:val="24"/>
        </w:rPr>
      </w:pPr>
      <w:r>
        <w:rPr>
          <w:sz w:val="24"/>
          <w:szCs w:val="24"/>
        </w:rPr>
        <w:t xml:space="preserve">Virkningerne af hæmning eller induktion af </w:t>
      </w:r>
      <w:proofErr w:type="spellStart"/>
      <w:r>
        <w:rPr>
          <w:sz w:val="24"/>
          <w:szCs w:val="24"/>
        </w:rPr>
        <w:t>tibolonmetabolismen</w:t>
      </w:r>
      <w:proofErr w:type="spellEnd"/>
      <w:r>
        <w:rPr>
          <w:sz w:val="24"/>
          <w:szCs w:val="24"/>
        </w:rPr>
        <w:t xml:space="preserve"> er ikke blevet undersøgt. Da lægemidlet har en kompleks profil, der omfatter adskillige metabolitter med forskellige virkninger, er det ikke muligt at forudsige virkningerne af hæmning eller induktion af </w:t>
      </w:r>
      <w:proofErr w:type="spellStart"/>
      <w:r>
        <w:rPr>
          <w:sz w:val="24"/>
          <w:szCs w:val="24"/>
        </w:rPr>
        <w:t>tibolonmetabolismen</w:t>
      </w:r>
      <w:proofErr w:type="spellEnd"/>
      <w:r>
        <w:rPr>
          <w:sz w:val="24"/>
          <w:szCs w:val="24"/>
        </w:rPr>
        <w:t>. Teoretisk set bør der dog tages højde for følgende potentielle interaktioner:</w:t>
      </w:r>
    </w:p>
    <w:p w:rsidR="009652DC" w:rsidRDefault="009652DC" w:rsidP="009652DC">
      <w:pPr>
        <w:widowControl w:val="0"/>
        <w:autoSpaceDE w:val="0"/>
        <w:autoSpaceDN w:val="0"/>
        <w:adjustRightInd w:val="0"/>
        <w:ind w:left="851" w:right="-1"/>
        <w:rPr>
          <w:spacing w:val="-3"/>
          <w:sz w:val="24"/>
          <w:szCs w:val="24"/>
        </w:rPr>
      </w:pPr>
    </w:p>
    <w:p w:rsidR="009652DC" w:rsidRDefault="009652DC" w:rsidP="009652DC">
      <w:pPr>
        <w:widowControl w:val="0"/>
        <w:autoSpaceDE w:val="0"/>
        <w:autoSpaceDN w:val="0"/>
        <w:adjustRightInd w:val="0"/>
        <w:ind w:left="851" w:right="-1"/>
        <w:rPr>
          <w:spacing w:val="-3"/>
          <w:sz w:val="24"/>
          <w:szCs w:val="24"/>
        </w:rPr>
      </w:pPr>
      <w:r>
        <w:rPr>
          <w:spacing w:val="-3"/>
          <w:sz w:val="24"/>
          <w:szCs w:val="24"/>
        </w:rPr>
        <w:t xml:space="preserve">Lægemidler, som inducerer CYP3A4, såsom </w:t>
      </w:r>
      <w:proofErr w:type="spellStart"/>
      <w:r>
        <w:rPr>
          <w:spacing w:val="-3"/>
          <w:sz w:val="24"/>
          <w:szCs w:val="24"/>
        </w:rPr>
        <w:t>antikonvulsiva</w:t>
      </w:r>
      <w:proofErr w:type="spellEnd"/>
      <w:r>
        <w:rPr>
          <w:spacing w:val="-3"/>
          <w:sz w:val="24"/>
          <w:szCs w:val="24"/>
        </w:rPr>
        <w:t xml:space="preserve"> (f.eks. </w:t>
      </w:r>
      <w:proofErr w:type="spellStart"/>
      <w:r>
        <w:rPr>
          <w:spacing w:val="-3"/>
          <w:sz w:val="24"/>
          <w:szCs w:val="24"/>
        </w:rPr>
        <w:t>phenobarbital</w:t>
      </w:r>
      <w:proofErr w:type="spellEnd"/>
      <w:r>
        <w:rPr>
          <w:spacing w:val="-3"/>
          <w:sz w:val="24"/>
          <w:szCs w:val="24"/>
        </w:rPr>
        <w:t xml:space="preserve">, </w:t>
      </w:r>
      <w:proofErr w:type="spellStart"/>
      <w:r>
        <w:rPr>
          <w:spacing w:val="-3"/>
          <w:sz w:val="24"/>
          <w:szCs w:val="24"/>
        </w:rPr>
        <w:t>carbamazepin</w:t>
      </w:r>
      <w:proofErr w:type="spellEnd"/>
      <w:r>
        <w:rPr>
          <w:spacing w:val="-3"/>
          <w:sz w:val="24"/>
          <w:szCs w:val="24"/>
        </w:rPr>
        <w:t xml:space="preserve">, </w:t>
      </w:r>
      <w:proofErr w:type="spellStart"/>
      <w:r>
        <w:rPr>
          <w:spacing w:val="-3"/>
          <w:sz w:val="24"/>
          <w:szCs w:val="24"/>
        </w:rPr>
        <w:t>phenytoin</w:t>
      </w:r>
      <w:proofErr w:type="spellEnd"/>
      <w:r>
        <w:rPr>
          <w:spacing w:val="-3"/>
          <w:sz w:val="24"/>
          <w:szCs w:val="24"/>
        </w:rPr>
        <w:t xml:space="preserve">) og </w:t>
      </w:r>
      <w:proofErr w:type="spellStart"/>
      <w:r>
        <w:rPr>
          <w:spacing w:val="-3"/>
          <w:sz w:val="24"/>
          <w:szCs w:val="24"/>
        </w:rPr>
        <w:t>anti</w:t>
      </w:r>
      <w:proofErr w:type="spellEnd"/>
      <w:r>
        <w:rPr>
          <w:spacing w:val="-3"/>
          <w:sz w:val="24"/>
          <w:szCs w:val="24"/>
        </w:rPr>
        <w:t xml:space="preserve">-infektionsmidler (f.eks. </w:t>
      </w:r>
      <w:proofErr w:type="spellStart"/>
      <w:r>
        <w:rPr>
          <w:spacing w:val="-3"/>
          <w:sz w:val="24"/>
          <w:szCs w:val="24"/>
        </w:rPr>
        <w:t>rifampicin</w:t>
      </w:r>
      <w:proofErr w:type="spellEnd"/>
      <w:r>
        <w:rPr>
          <w:spacing w:val="-3"/>
          <w:sz w:val="24"/>
          <w:szCs w:val="24"/>
        </w:rPr>
        <w:t xml:space="preserve">, </w:t>
      </w:r>
      <w:proofErr w:type="spellStart"/>
      <w:r>
        <w:rPr>
          <w:spacing w:val="-3"/>
          <w:sz w:val="24"/>
          <w:szCs w:val="24"/>
        </w:rPr>
        <w:t>rifabutin</w:t>
      </w:r>
      <w:proofErr w:type="spellEnd"/>
      <w:r>
        <w:rPr>
          <w:spacing w:val="-3"/>
          <w:sz w:val="24"/>
          <w:szCs w:val="24"/>
        </w:rPr>
        <w:t xml:space="preserve">, </w:t>
      </w:r>
      <w:proofErr w:type="spellStart"/>
      <w:r>
        <w:rPr>
          <w:spacing w:val="-3"/>
          <w:sz w:val="24"/>
          <w:szCs w:val="24"/>
        </w:rPr>
        <w:t>nevirapin</w:t>
      </w:r>
      <w:proofErr w:type="spellEnd"/>
      <w:r>
        <w:rPr>
          <w:spacing w:val="-3"/>
          <w:sz w:val="24"/>
          <w:szCs w:val="24"/>
        </w:rPr>
        <w:t xml:space="preserve"> og </w:t>
      </w:r>
      <w:proofErr w:type="spellStart"/>
      <w:r>
        <w:rPr>
          <w:spacing w:val="-3"/>
          <w:sz w:val="24"/>
          <w:szCs w:val="24"/>
        </w:rPr>
        <w:lastRenderedPageBreak/>
        <w:t>efavirenz</w:t>
      </w:r>
      <w:proofErr w:type="spellEnd"/>
      <w:r>
        <w:rPr>
          <w:spacing w:val="-3"/>
          <w:sz w:val="24"/>
          <w:szCs w:val="24"/>
        </w:rPr>
        <w:t xml:space="preserve">) kan øge metabolismen af </w:t>
      </w:r>
      <w:proofErr w:type="spellStart"/>
      <w:r>
        <w:rPr>
          <w:spacing w:val="-3"/>
          <w:sz w:val="24"/>
          <w:szCs w:val="24"/>
        </w:rPr>
        <w:t>tibolon</w:t>
      </w:r>
      <w:proofErr w:type="spellEnd"/>
      <w:r>
        <w:rPr>
          <w:spacing w:val="-3"/>
          <w:sz w:val="24"/>
          <w:szCs w:val="24"/>
        </w:rPr>
        <w:t xml:space="preserve"> og kan derfor påvirke den terapeutiske virkning af </w:t>
      </w:r>
      <w:proofErr w:type="spellStart"/>
      <w:r>
        <w:rPr>
          <w:spacing w:val="-3"/>
          <w:sz w:val="24"/>
          <w:szCs w:val="24"/>
        </w:rPr>
        <w:t>tibolon</w:t>
      </w:r>
      <w:proofErr w:type="spellEnd"/>
      <w:r>
        <w:rPr>
          <w:spacing w:val="-3"/>
          <w:sz w:val="24"/>
          <w:szCs w:val="24"/>
        </w:rPr>
        <w:t xml:space="preserve">. Derimod udviser </w:t>
      </w:r>
      <w:proofErr w:type="spellStart"/>
      <w:r>
        <w:rPr>
          <w:spacing w:val="-3"/>
          <w:sz w:val="24"/>
          <w:szCs w:val="24"/>
        </w:rPr>
        <w:t>ritonavir</w:t>
      </w:r>
      <w:proofErr w:type="spellEnd"/>
      <w:r>
        <w:rPr>
          <w:spacing w:val="-3"/>
          <w:sz w:val="24"/>
          <w:szCs w:val="24"/>
        </w:rPr>
        <w:t xml:space="preserve"> og </w:t>
      </w:r>
      <w:proofErr w:type="spellStart"/>
      <w:r>
        <w:rPr>
          <w:spacing w:val="-3"/>
          <w:sz w:val="24"/>
          <w:szCs w:val="24"/>
        </w:rPr>
        <w:t>nelfinavir</w:t>
      </w:r>
      <w:proofErr w:type="spellEnd"/>
      <w:r>
        <w:rPr>
          <w:spacing w:val="-3"/>
          <w:sz w:val="24"/>
          <w:szCs w:val="24"/>
        </w:rPr>
        <w:t xml:space="preserve"> inducerende egenskaber, når de anvendes sammen med steroidhormoner, selv om de er kendt som stærke inhibitorer.</w:t>
      </w:r>
    </w:p>
    <w:p w:rsidR="009652DC" w:rsidRPr="00F34A6B" w:rsidRDefault="009652DC" w:rsidP="00F34A6B">
      <w:pPr>
        <w:widowControl w:val="0"/>
        <w:tabs>
          <w:tab w:val="left" w:pos="0"/>
          <w:tab w:val="left" w:pos="426"/>
          <w:tab w:val="left" w:pos="567"/>
          <w:tab w:val="left" w:pos="851"/>
        </w:tabs>
        <w:autoSpaceDE w:val="0"/>
        <w:autoSpaceDN w:val="0"/>
        <w:adjustRightInd w:val="0"/>
        <w:ind w:left="851" w:right="-1"/>
        <w:rPr>
          <w:rFonts w:ascii="ヒラギノ角ゴ ProN W3" w:eastAsia="ヒラギノ角ゴ ProN W3"/>
          <w:b/>
          <w:sz w:val="24"/>
          <w:szCs w:val="24"/>
        </w:rPr>
      </w:pPr>
      <w:r>
        <w:rPr>
          <w:spacing w:val="-3"/>
          <w:sz w:val="24"/>
          <w:szCs w:val="24"/>
        </w:rPr>
        <w:t>Naturlægemidler, som indeholder prikbladet perikon (</w:t>
      </w:r>
      <w:proofErr w:type="spellStart"/>
      <w:r>
        <w:rPr>
          <w:i/>
          <w:spacing w:val="-3"/>
          <w:sz w:val="24"/>
          <w:szCs w:val="24"/>
        </w:rPr>
        <w:t>Hypericum</w:t>
      </w:r>
      <w:proofErr w:type="spellEnd"/>
      <w:r>
        <w:rPr>
          <w:i/>
          <w:spacing w:val="-3"/>
          <w:sz w:val="24"/>
          <w:szCs w:val="24"/>
        </w:rPr>
        <w:t xml:space="preserve"> </w:t>
      </w:r>
      <w:proofErr w:type="spellStart"/>
      <w:r>
        <w:rPr>
          <w:i/>
          <w:spacing w:val="-3"/>
          <w:sz w:val="24"/>
          <w:szCs w:val="24"/>
        </w:rPr>
        <w:t>Perforatum</w:t>
      </w:r>
      <w:proofErr w:type="spellEnd"/>
      <w:r>
        <w:rPr>
          <w:spacing w:val="-3"/>
          <w:sz w:val="24"/>
          <w:szCs w:val="24"/>
        </w:rPr>
        <w:t>), kan via CYP3A4 inducere metabolismen af østrogener og gestagener.</w:t>
      </w:r>
      <w:r>
        <w:rPr>
          <w:sz w:val="24"/>
          <w:szCs w:val="24"/>
        </w:rPr>
        <w:t xml:space="preserve"> </w:t>
      </w:r>
      <w:r>
        <w:rPr>
          <w:spacing w:val="-3"/>
          <w:sz w:val="24"/>
          <w:szCs w:val="24"/>
        </w:rPr>
        <w:t xml:space="preserve">Klinisk set kan en øget metabolisme af østrogener og gestagener resultere i nedsat virkning og ændringer i den </w:t>
      </w:r>
      <w:proofErr w:type="spellStart"/>
      <w:r>
        <w:rPr>
          <w:spacing w:val="-3"/>
          <w:sz w:val="24"/>
          <w:szCs w:val="24"/>
        </w:rPr>
        <w:t>uterine</w:t>
      </w:r>
      <w:proofErr w:type="spellEnd"/>
      <w:r>
        <w:rPr>
          <w:spacing w:val="-3"/>
          <w:sz w:val="24"/>
          <w:szCs w:val="24"/>
        </w:rPr>
        <w:t xml:space="preserve"> blødningsprofil</w:t>
      </w:r>
      <w:r>
        <w:rPr>
          <w:sz w:val="24"/>
          <w:szCs w:val="24"/>
        </w:rPr>
        <w:t>.</w:t>
      </w:r>
    </w:p>
    <w:p w:rsidR="009652DC" w:rsidRDefault="009652DC" w:rsidP="009652DC">
      <w:pPr>
        <w:tabs>
          <w:tab w:val="left" w:pos="851"/>
        </w:tabs>
        <w:rPr>
          <w:sz w:val="24"/>
          <w:szCs w:val="24"/>
        </w:rPr>
      </w:pPr>
    </w:p>
    <w:p w:rsidR="009652DC" w:rsidRDefault="009652DC" w:rsidP="009652DC">
      <w:pPr>
        <w:tabs>
          <w:tab w:val="left" w:pos="851"/>
        </w:tabs>
        <w:ind w:left="851" w:hanging="851"/>
        <w:rPr>
          <w:b/>
          <w:sz w:val="24"/>
          <w:szCs w:val="24"/>
        </w:rPr>
      </w:pPr>
      <w:r>
        <w:rPr>
          <w:b/>
          <w:sz w:val="24"/>
          <w:szCs w:val="24"/>
        </w:rPr>
        <w:t>4.6</w:t>
      </w:r>
      <w:r>
        <w:rPr>
          <w:b/>
          <w:sz w:val="24"/>
          <w:szCs w:val="24"/>
        </w:rPr>
        <w:tab/>
      </w:r>
      <w:r w:rsidR="00573037">
        <w:rPr>
          <w:b/>
          <w:sz w:val="24"/>
          <w:szCs w:val="24"/>
        </w:rPr>
        <w:t>Fertilitet, g</w:t>
      </w:r>
      <w:r>
        <w:rPr>
          <w:b/>
          <w:sz w:val="24"/>
          <w:szCs w:val="24"/>
        </w:rPr>
        <w:t>raviditet og amning</w:t>
      </w:r>
    </w:p>
    <w:p w:rsidR="009652DC" w:rsidRDefault="009652DC" w:rsidP="009652DC">
      <w:pPr>
        <w:ind w:left="851" w:right="-1"/>
        <w:rPr>
          <w:rFonts w:ascii="MS Mincho" w:eastAsia="MS Mincho"/>
          <w:noProof/>
          <w:sz w:val="24"/>
          <w:szCs w:val="24"/>
          <w:u w:val="single"/>
        </w:rPr>
      </w:pPr>
      <w:r>
        <w:rPr>
          <w:sz w:val="24"/>
          <w:szCs w:val="24"/>
          <w:u w:val="single"/>
        </w:rPr>
        <w:t>Graviditet</w:t>
      </w:r>
    </w:p>
    <w:p w:rsidR="009652DC" w:rsidRDefault="009652DC" w:rsidP="009652DC">
      <w:pPr>
        <w:widowControl w:val="0"/>
        <w:autoSpaceDE w:val="0"/>
        <w:autoSpaceDN w:val="0"/>
        <w:adjustRightInd w:val="0"/>
        <w:ind w:left="851" w:right="-1"/>
        <w:rPr>
          <w:rFonts w:ascii="ヒラギノ角ゴ ProN W3" w:eastAsia="ヒラギノ角ゴ ProN W3"/>
          <w:sz w:val="24"/>
          <w:szCs w:val="24"/>
        </w:rPr>
      </w:pP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tabletter er ikke indiceret under graviditeten. </w:t>
      </w:r>
      <w:r>
        <w:rPr>
          <w:spacing w:val="-3"/>
          <w:sz w:val="24"/>
          <w:szCs w:val="24"/>
        </w:rPr>
        <w:t xml:space="preserve">Hvis graviditet opstår under behandling med </w:t>
      </w:r>
      <w:proofErr w:type="spellStart"/>
      <w:r>
        <w:rPr>
          <w:spacing w:val="-3"/>
          <w:sz w:val="24"/>
          <w:szCs w:val="24"/>
        </w:rPr>
        <w:t>Tibolon</w:t>
      </w:r>
      <w:proofErr w:type="spellEnd"/>
      <w:r>
        <w:rPr>
          <w:spacing w:val="-3"/>
          <w:sz w:val="24"/>
          <w:szCs w:val="24"/>
        </w:rPr>
        <w:t xml:space="preserve"> ”</w:t>
      </w:r>
      <w:proofErr w:type="spellStart"/>
      <w:r>
        <w:rPr>
          <w:spacing w:val="-3"/>
          <w:sz w:val="24"/>
          <w:szCs w:val="24"/>
        </w:rPr>
        <w:t>Aristo</w:t>
      </w:r>
      <w:proofErr w:type="spellEnd"/>
      <w:r>
        <w:rPr>
          <w:spacing w:val="-3"/>
          <w:sz w:val="24"/>
          <w:szCs w:val="24"/>
        </w:rPr>
        <w:t>” 2,5 mg tabletter, skal behandlingen straks stoppes.</w:t>
      </w:r>
      <w:r>
        <w:rPr>
          <w:sz w:val="24"/>
          <w:szCs w:val="24"/>
        </w:rPr>
        <w:t xml:space="preserve"> Der er ingen kliniske data fra anvendelse af </w:t>
      </w:r>
      <w:proofErr w:type="spellStart"/>
      <w:r>
        <w:rPr>
          <w:sz w:val="24"/>
          <w:szCs w:val="24"/>
        </w:rPr>
        <w:t>tibolon</w:t>
      </w:r>
      <w:proofErr w:type="spellEnd"/>
      <w:r>
        <w:rPr>
          <w:sz w:val="24"/>
          <w:szCs w:val="24"/>
        </w:rPr>
        <w:t xml:space="preserve"> til gravide kvinder. Dyreforsøg har påvist reproduktionstoksicitet (se pkt. 5.3). Den potentielle risiko hos mennesker kendes ikke. </w:t>
      </w:r>
    </w:p>
    <w:p w:rsidR="009652DC" w:rsidRDefault="009652DC" w:rsidP="009652DC">
      <w:pPr>
        <w:ind w:left="851" w:right="-1"/>
        <w:rPr>
          <w:sz w:val="24"/>
          <w:szCs w:val="24"/>
          <w:u w:val="single"/>
        </w:rPr>
      </w:pPr>
    </w:p>
    <w:p w:rsidR="009652DC" w:rsidRDefault="009652DC" w:rsidP="009652DC">
      <w:pPr>
        <w:ind w:left="851" w:right="-1"/>
        <w:rPr>
          <w:rFonts w:ascii="MS Mincho" w:eastAsia="MS Mincho"/>
          <w:noProof/>
          <w:sz w:val="24"/>
          <w:szCs w:val="24"/>
          <w:u w:val="single"/>
        </w:rPr>
      </w:pPr>
      <w:r>
        <w:rPr>
          <w:sz w:val="24"/>
          <w:szCs w:val="24"/>
          <w:u w:val="single"/>
        </w:rPr>
        <w:t>Amning</w:t>
      </w:r>
    </w:p>
    <w:p w:rsidR="009652DC" w:rsidRDefault="009652DC" w:rsidP="009652DC">
      <w:pPr>
        <w:widowControl w:val="0"/>
        <w:autoSpaceDE w:val="0"/>
        <w:autoSpaceDN w:val="0"/>
        <w:adjustRightInd w:val="0"/>
        <w:ind w:left="851" w:right="-1"/>
        <w:rPr>
          <w:sz w:val="24"/>
          <w:szCs w:val="24"/>
        </w:rPr>
      </w:pP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tabletter er ikke indiceret under amning. </w:t>
      </w:r>
    </w:p>
    <w:p w:rsidR="009652DC" w:rsidRDefault="009652DC" w:rsidP="009652DC">
      <w:pPr>
        <w:widowControl w:val="0"/>
        <w:autoSpaceDE w:val="0"/>
        <w:autoSpaceDN w:val="0"/>
        <w:adjustRightInd w:val="0"/>
        <w:ind w:left="851" w:right="-1"/>
        <w:rPr>
          <w:sz w:val="24"/>
          <w:szCs w:val="24"/>
        </w:rPr>
      </w:pPr>
    </w:p>
    <w:p w:rsidR="009652DC" w:rsidRDefault="009652DC" w:rsidP="009652DC">
      <w:pPr>
        <w:ind w:left="851" w:right="-1"/>
        <w:rPr>
          <w:sz w:val="24"/>
          <w:szCs w:val="24"/>
          <w:u w:val="single"/>
        </w:rPr>
      </w:pPr>
      <w:r>
        <w:rPr>
          <w:sz w:val="24"/>
          <w:szCs w:val="24"/>
          <w:u w:val="single"/>
        </w:rPr>
        <w:t>Fertilitet</w:t>
      </w:r>
    </w:p>
    <w:p w:rsidR="009652DC" w:rsidRDefault="009652DC" w:rsidP="009652DC">
      <w:pPr>
        <w:ind w:left="851" w:right="-1"/>
        <w:rPr>
          <w:noProof/>
          <w:sz w:val="24"/>
          <w:szCs w:val="24"/>
          <w:u w:val="single"/>
        </w:rPr>
      </w:pPr>
      <w:r>
        <w:rPr>
          <w:sz w:val="24"/>
          <w:szCs w:val="24"/>
        </w:rPr>
        <w:t xml:space="preserve">I dyreforsøg blev der påvist fertilitetsnedsættende virkninger af </w:t>
      </w:r>
      <w:proofErr w:type="spellStart"/>
      <w:r>
        <w:rPr>
          <w:sz w:val="24"/>
          <w:szCs w:val="24"/>
        </w:rPr>
        <w:t>tibolon</w:t>
      </w:r>
      <w:proofErr w:type="spellEnd"/>
      <w:r>
        <w:rPr>
          <w:sz w:val="24"/>
          <w:szCs w:val="24"/>
        </w:rPr>
        <w:t xml:space="preserve"> (se pkt. 5.3).</w:t>
      </w:r>
    </w:p>
    <w:p w:rsidR="009652DC" w:rsidRDefault="009652DC" w:rsidP="009652DC">
      <w:pPr>
        <w:tabs>
          <w:tab w:val="left" w:pos="851"/>
        </w:tabs>
        <w:rPr>
          <w:sz w:val="24"/>
          <w:szCs w:val="24"/>
        </w:rPr>
      </w:pPr>
    </w:p>
    <w:p w:rsidR="009652DC" w:rsidRDefault="009652DC" w:rsidP="009652DC">
      <w:pPr>
        <w:tabs>
          <w:tab w:val="left" w:pos="851"/>
        </w:tabs>
        <w:ind w:left="851" w:hanging="851"/>
        <w:rPr>
          <w:b/>
          <w:sz w:val="24"/>
          <w:szCs w:val="24"/>
        </w:rPr>
      </w:pPr>
      <w:r>
        <w:rPr>
          <w:b/>
          <w:sz w:val="24"/>
          <w:szCs w:val="24"/>
        </w:rPr>
        <w:t>4.7</w:t>
      </w:r>
      <w:r>
        <w:rPr>
          <w:b/>
          <w:sz w:val="24"/>
          <w:szCs w:val="24"/>
        </w:rPr>
        <w:tab/>
        <w:t xml:space="preserve">Virkning på evnen til at føre motorkøretøj </w:t>
      </w:r>
      <w:r w:rsidR="00BA3743">
        <w:rPr>
          <w:b/>
          <w:sz w:val="24"/>
          <w:szCs w:val="24"/>
        </w:rPr>
        <w:t xml:space="preserve">og </w:t>
      </w:r>
      <w:r>
        <w:rPr>
          <w:b/>
          <w:sz w:val="24"/>
          <w:szCs w:val="24"/>
        </w:rPr>
        <w:t>betjene maskiner</w:t>
      </w:r>
    </w:p>
    <w:p w:rsidR="009652DC" w:rsidRDefault="009652DC" w:rsidP="009652DC">
      <w:pPr>
        <w:widowControl w:val="0"/>
        <w:autoSpaceDE w:val="0"/>
        <w:autoSpaceDN w:val="0"/>
        <w:adjustRightInd w:val="0"/>
        <w:ind w:left="851" w:right="-1"/>
        <w:rPr>
          <w:sz w:val="24"/>
          <w:szCs w:val="24"/>
        </w:rPr>
      </w:pPr>
      <w:r>
        <w:rPr>
          <w:sz w:val="24"/>
          <w:szCs w:val="24"/>
        </w:rPr>
        <w:t>Ikke mærkning.</w:t>
      </w:r>
    </w:p>
    <w:p w:rsidR="009652DC" w:rsidRDefault="009652DC" w:rsidP="009652DC">
      <w:pPr>
        <w:widowControl w:val="0"/>
        <w:autoSpaceDE w:val="0"/>
        <w:autoSpaceDN w:val="0"/>
        <w:adjustRightInd w:val="0"/>
        <w:ind w:left="851" w:right="-1"/>
        <w:rPr>
          <w:sz w:val="24"/>
          <w:szCs w:val="24"/>
        </w:rPr>
      </w:pP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2,5 mg tabletter påvirker ikke eller kun i ubetydelig grad evnen til at føre motorkøretøj og betjene maskiner.</w:t>
      </w: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4.8</w:t>
      </w:r>
      <w:r w:rsidRPr="00B536EF">
        <w:rPr>
          <w:b/>
          <w:sz w:val="24"/>
          <w:szCs w:val="24"/>
        </w:rPr>
        <w:tab/>
        <w:t>Bivirkninger</w:t>
      </w:r>
    </w:p>
    <w:p w:rsidR="009652DC" w:rsidRDefault="009652DC" w:rsidP="009652DC">
      <w:pPr>
        <w:widowControl w:val="0"/>
        <w:tabs>
          <w:tab w:val="left" w:pos="426"/>
        </w:tabs>
        <w:autoSpaceDE w:val="0"/>
        <w:autoSpaceDN w:val="0"/>
        <w:adjustRightInd w:val="0"/>
        <w:ind w:left="851" w:right="-1"/>
        <w:rPr>
          <w:sz w:val="24"/>
          <w:szCs w:val="24"/>
        </w:rPr>
      </w:pPr>
      <w:r>
        <w:rPr>
          <w:spacing w:val="-3"/>
          <w:sz w:val="24"/>
          <w:szCs w:val="24"/>
        </w:rPr>
        <w:t xml:space="preserve">Nedenstående tabel beskriver de bivirkninger, der blev registreret i 21 placebokontrollerede studier (inklusive LIFT-forsøget) med 4079 kvinder, der fik terapeutiske doser (1,25 eller 2,5 mg) af </w:t>
      </w:r>
      <w:proofErr w:type="spellStart"/>
      <w:r>
        <w:rPr>
          <w:spacing w:val="-3"/>
          <w:sz w:val="24"/>
          <w:szCs w:val="24"/>
        </w:rPr>
        <w:t>tibolon</w:t>
      </w:r>
      <w:proofErr w:type="spellEnd"/>
      <w:r>
        <w:rPr>
          <w:spacing w:val="-3"/>
          <w:sz w:val="24"/>
          <w:szCs w:val="24"/>
        </w:rPr>
        <w:t>, og 3476 kvinder, der fik placebo.</w:t>
      </w:r>
      <w:r>
        <w:rPr>
          <w:sz w:val="24"/>
          <w:szCs w:val="24"/>
        </w:rPr>
        <w:t xml:space="preserve"> </w:t>
      </w:r>
      <w:r>
        <w:rPr>
          <w:spacing w:val="-3"/>
          <w:sz w:val="24"/>
          <w:szCs w:val="24"/>
        </w:rPr>
        <w:t>Behandlingsvarigheden i disse studier varierede fra 2 måneder til 4,5 år.</w:t>
      </w:r>
      <w:r>
        <w:rPr>
          <w:sz w:val="24"/>
          <w:szCs w:val="24"/>
        </w:rPr>
        <w:t xml:space="preserve"> </w:t>
      </w:r>
      <w:r>
        <w:rPr>
          <w:spacing w:val="-3"/>
          <w:sz w:val="24"/>
          <w:szCs w:val="24"/>
        </w:rPr>
        <w:t xml:space="preserve">Tabel 1 viser de bivirkninger, der forekom statistisk signifikant hyppigere ved behandling med </w:t>
      </w:r>
      <w:proofErr w:type="spellStart"/>
      <w:r>
        <w:rPr>
          <w:spacing w:val="-3"/>
          <w:sz w:val="24"/>
          <w:szCs w:val="24"/>
        </w:rPr>
        <w:t>tibolon</w:t>
      </w:r>
      <w:proofErr w:type="spellEnd"/>
      <w:r>
        <w:rPr>
          <w:spacing w:val="-3"/>
          <w:sz w:val="24"/>
          <w:szCs w:val="24"/>
        </w:rPr>
        <w:t xml:space="preserve"> end med placebo.</w:t>
      </w:r>
      <w:r>
        <w:rPr>
          <w:sz w:val="24"/>
          <w:szCs w:val="24"/>
        </w:rPr>
        <w:t xml:space="preserve"> </w:t>
      </w:r>
    </w:p>
    <w:p w:rsidR="009652DC" w:rsidRDefault="009652DC" w:rsidP="009652DC">
      <w:pPr>
        <w:widowControl w:val="0"/>
        <w:tabs>
          <w:tab w:val="left" w:pos="426"/>
        </w:tabs>
        <w:autoSpaceDE w:val="0"/>
        <w:autoSpaceDN w:val="0"/>
        <w:adjustRightInd w:val="0"/>
        <w:ind w:left="851" w:right="-1"/>
        <w:rPr>
          <w:rFonts w:eastAsia="ヒラギノ角ゴ ProN W3"/>
          <w:sz w:val="24"/>
          <w:szCs w:val="24"/>
        </w:rPr>
      </w:pPr>
    </w:p>
    <w:p w:rsidR="009652DC" w:rsidRDefault="009652DC" w:rsidP="009652DC">
      <w:pPr>
        <w:widowControl w:val="0"/>
        <w:autoSpaceDE w:val="0"/>
        <w:autoSpaceDN w:val="0"/>
        <w:adjustRightInd w:val="0"/>
        <w:ind w:right="-1"/>
        <w:rPr>
          <w:sz w:val="24"/>
          <w:szCs w:val="24"/>
        </w:rPr>
      </w:pPr>
      <w:r>
        <w:rPr>
          <w:b/>
          <w:sz w:val="24"/>
          <w:szCs w:val="24"/>
        </w:rPr>
        <w:t>Tabel 1</w:t>
      </w:r>
      <w:r>
        <w:rPr>
          <w:b/>
          <w:sz w:val="24"/>
          <w:szCs w:val="24"/>
        </w:rPr>
        <w:tab/>
        <w:t xml:space="preserve">Bivirkninger af </w:t>
      </w:r>
      <w:proofErr w:type="spellStart"/>
      <w:r>
        <w:rPr>
          <w:b/>
          <w:sz w:val="24"/>
          <w:szCs w:val="24"/>
        </w:rPr>
        <w:t>Tibolon</w:t>
      </w:r>
      <w:proofErr w:type="spellEnd"/>
      <w:r>
        <w:rPr>
          <w:b/>
          <w:sz w:val="24"/>
          <w:szCs w:val="24"/>
        </w:rPr>
        <w:t xml:space="preserve"> ”</w:t>
      </w:r>
      <w:proofErr w:type="spellStart"/>
      <w:r>
        <w:rPr>
          <w:b/>
          <w:sz w:val="24"/>
          <w:szCs w:val="24"/>
        </w:rPr>
        <w:t>Aristo</w:t>
      </w:r>
      <w:proofErr w:type="spellEnd"/>
      <w:r>
        <w:rPr>
          <w:b/>
          <w:sz w:val="24"/>
          <w:szCs w:val="24"/>
        </w:rPr>
        <w:t>” 2,5 mg tabletter</w:t>
      </w:r>
    </w:p>
    <w:tbl>
      <w:tblPr>
        <w:tblW w:w="5000" w:type="pct"/>
        <w:tblLook w:val="04A0" w:firstRow="1" w:lastRow="0" w:firstColumn="1" w:lastColumn="0" w:noHBand="0" w:noVBand="1"/>
      </w:tblPr>
      <w:tblGrid>
        <w:gridCol w:w="2439"/>
        <w:gridCol w:w="3001"/>
        <w:gridCol w:w="2089"/>
        <w:gridCol w:w="2089"/>
      </w:tblGrid>
      <w:tr w:rsidR="009652DC" w:rsidTr="003B4BCE">
        <w:tc>
          <w:tcPr>
            <w:tcW w:w="1268" w:type="pct"/>
            <w:tcBorders>
              <w:top w:val="single" w:sz="4" w:space="0" w:color="BFBFBF"/>
              <w:left w:val="single" w:sz="8" w:space="0" w:color="BFBFBF"/>
              <w:bottom w:val="single" w:sz="8" w:space="0" w:color="BFBFBF"/>
              <w:right w:val="single" w:sz="8" w:space="0" w:color="BFBFBF"/>
            </w:tcBorders>
            <w:hideMark/>
          </w:tcPr>
          <w:p w:rsidR="009652DC" w:rsidRDefault="009652DC" w:rsidP="003B4BCE">
            <w:pPr>
              <w:widowControl w:val="0"/>
              <w:autoSpaceDE w:val="0"/>
              <w:autoSpaceDN w:val="0"/>
              <w:adjustRightInd w:val="0"/>
              <w:ind w:right="-1"/>
              <w:rPr>
                <w:rFonts w:ascii="ヒラギノ角ゴ ProN W3" w:eastAsia="ヒラギノ角ゴ ProN W3"/>
                <w:sz w:val="24"/>
                <w:szCs w:val="24"/>
              </w:rPr>
            </w:pPr>
            <w:r>
              <w:rPr>
                <w:b/>
                <w:sz w:val="24"/>
                <w:szCs w:val="24"/>
              </w:rPr>
              <w:t>Systemorganklasse</w:t>
            </w:r>
          </w:p>
        </w:tc>
        <w:tc>
          <w:tcPr>
            <w:tcW w:w="1560" w:type="pct"/>
            <w:tcBorders>
              <w:top w:val="single" w:sz="4" w:space="0" w:color="BFBFBF"/>
              <w:left w:val="single" w:sz="8" w:space="0" w:color="BFBFBF"/>
              <w:bottom w:val="single" w:sz="8"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r>
              <w:rPr>
                <w:b/>
                <w:sz w:val="24"/>
                <w:szCs w:val="24"/>
              </w:rPr>
              <w:t>Almindelig (≥ 1/100 til &lt; 1/10)</w:t>
            </w:r>
          </w:p>
        </w:tc>
        <w:tc>
          <w:tcPr>
            <w:tcW w:w="1086" w:type="pct"/>
            <w:tcBorders>
              <w:top w:val="single" w:sz="4" w:space="0" w:color="BFBFBF"/>
              <w:left w:val="single" w:sz="8" w:space="0" w:color="BFBFBF"/>
              <w:bottom w:val="single" w:sz="8"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r>
              <w:rPr>
                <w:b/>
                <w:sz w:val="24"/>
                <w:szCs w:val="24"/>
              </w:rPr>
              <w:t>Ikke almindelig (≥ 1/1.000 til &lt; 1/100)</w:t>
            </w:r>
          </w:p>
        </w:tc>
        <w:tc>
          <w:tcPr>
            <w:tcW w:w="1086" w:type="pct"/>
            <w:tcBorders>
              <w:top w:val="single" w:sz="4" w:space="0" w:color="BFBFBF"/>
              <w:left w:val="single" w:sz="8" w:space="0" w:color="BFBFBF"/>
              <w:bottom w:val="single" w:sz="8"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b/>
                <w:sz w:val="24"/>
                <w:szCs w:val="24"/>
              </w:rPr>
            </w:pPr>
            <w:r>
              <w:rPr>
                <w:b/>
                <w:sz w:val="24"/>
                <w:szCs w:val="24"/>
              </w:rPr>
              <w:t>Sjælden (≥ 1/10.000 til &lt; 1/1.000)</w:t>
            </w:r>
          </w:p>
        </w:tc>
      </w:tr>
      <w:tr w:rsidR="009652DC" w:rsidTr="003B4BCE">
        <w:tc>
          <w:tcPr>
            <w:tcW w:w="1268" w:type="pct"/>
            <w:tcBorders>
              <w:top w:val="single" w:sz="4" w:space="0" w:color="BFBFBF"/>
              <w:left w:val="single" w:sz="8" w:space="0" w:color="BFBFBF"/>
              <w:bottom w:val="single" w:sz="8" w:space="0" w:color="BFBFBF"/>
              <w:right w:val="single" w:sz="8" w:space="0" w:color="BFBFBF"/>
            </w:tcBorders>
            <w:hideMark/>
          </w:tcPr>
          <w:p w:rsidR="009652DC" w:rsidRDefault="009652DC" w:rsidP="003B4BCE">
            <w:pPr>
              <w:widowControl w:val="0"/>
              <w:autoSpaceDE w:val="0"/>
              <w:autoSpaceDN w:val="0"/>
              <w:adjustRightInd w:val="0"/>
              <w:ind w:right="-1"/>
              <w:rPr>
                <w:sz w:val="24"/>
                <w:szCs w:val="24"/>
              </w:rPr>
            </w:pPr>
            <w:r>
              <w:rPr>
                <w:sz w:val="24"/>
                <w:szCs w:val="24"/>
              </w:rPr>
              <w:t>Metabolisme og ernæring</w:t>
            </w:r>
          </w:p>
        </w:tc>
        <w:tc>
          <w:tcPr>
            <w:tcW w:w="1560" w:type="pct"/>
            <w:tcBorders>
              <w:top w:val="single" w:sz="4" w:space="0" w:color="BFBFBF"/>
              <w:left w:val="single" w:sz="8" w:space="0" w:color="BFBFBF"/>
              <w:bottom w:val="single" w:sz="8" w:space="0" w:color="BFBFBF"/>
              <w:right w:val="single" w:sz="8" w:space="0" w:color="BFBFBF"/>
            </w:tcBorders>
          </w:tcPr>
          <w:p w:rsidR="009652DC" w:rsidRDefault="009652DC" w:rsidP="003B4BCE">
            <w:pPr>
              <w:widowControl w:val="0"/>
              <w:tabs>
                <w:tab w:val="left" w:pos="148"/>
              </w:tabs>
              <w:autoSpaceDE w:val="0"/>
              <w:autoSpaceDN w:val="0"/>
              <w:adjustRightInd w:val="0"/>
              <w:ind w:right="-1"/>
              <w:rPr>
                <w:b/>
                <w:sz w:val="24"/>
                <w:szCs w:val="24"/>
              </w:rPr>
            </w:pPr>
          </w:p>
        </w:tc>
        <w:tc>
          <w:tcPr>
            <w:tcW w:w="1086" w:type="pct"/>
            <w:tcBorders>
              <w:top w:val="single" w:sz="4" w:space="0" w:color="BFBFBF"/>
              <w:left w:val="single" w:sz="8" w:space="0" w:color="BFBFBF"/>
              <w:bottom w:val="single" w:sz="8"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sz w:val="24"/>
                <w:szCs w:val="24"/>
              </w:rPr>
            </w:pPr>
            <w:r>
              <w:rPr>
                <w:sz w:val="24"/>
                <w:szCs w:val="24"/>
              </w:rPr>
              <w:t>Ødem**</w:t>
            </w:r>
          </w:p>
        </w:tc>
        <w:tc>
          <w:tcPr>
            <w:tcW w:w="1086" w:type="pct"/>
            <w:tcBorders>
              <w:top w:val="single" w:sz="4" w:space="0" w:color="BFBFBF"/>
              <w:left w:val="single" w:sz="8" w:space="0" w:color="BFBFBF"/>
              <w:bottom w:val="single" w:sz="8" w:space="0" w:color="BFBFBF"/>
              <w:right w:val="single" w:sz="8" w:space="0" w:color="BFBFBF"/>
            </w:tcBorders>
          </w:tcPr>
          <w:p w:rsidR="009652DC" w:rsidRDefault="009652DC" w:rsidP="003B4BCE">
            <w:pPr>
              <w:widowControl w:val="0"/>
              <w:tabs>
                <w:tab w:val="left" w:pos="148"/>
              </w:tabs>
              <w:autoSpaceDE w:val="0"/>
              <w:autoSpaceDN w:val="0"/>
              <w:adjustRightInd w:val="0"/>
              <w:ind w:right="-1"/>
              <w:rPr>
                <w:b/>
                <w:sz w:val="24"/>
                <w:szCs w:val="24"/>
              </w:rPr>
            </w:pPr>
          </w:p>
        </w:tc>
      </w:tr>
      <w:tr w:rsidR="009652DC" w:rsidTr="003B4BCE">
        <w:tc>
          <w:tcPr>
            <w:tcW w:w="1268"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426"/>
                <w:tab w:val="center" w:pos="4536"/>
                <w:tab w:val="right" w:pos="9072"/>
              </w:tabs>
              <w:autoSpaceDE w:val="0"/>
              <w:autoSpaceDN w:val="0"/>
              <w:adjustRightInd w:val="0"/>
              <w:ind w:right="-1"/>
              <w:rPr>
                <w:rFonts w:ascii="ヒラギノ角ゴ ProN W3" w:eastAsia="ヒラギノ角ゴ ProN W3"/>
                <w:sz w:val="24"/>
                <w:szCs w:val="24"/>
              </w:rPr>
            </w:pPr>
            <w:r>
              <w:rPr>
                <w:sz w:val="24"/>
                <w:szCs w:val="24"/>
              </w:rPr>
              <w:t>Mave-tarm-kanalen</w:t>
            </w:r>
          </w:p>
        </w:tc>
        <w:tc>
          <w:tcPr>
            <w:tcW w:w="1560"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r>
              <w:rPr>
                <w:sz w:val="24"/>
                <w:szCs w:val="24"/>
              </w:rPr>
              <w:t xml:space="preserve">Smerter i den nedre del af maven </w:t>
            </w:r>
          </w:p>
        </w:tc>
        <w:tc>
          <w:tcPr>
            <w:tcW w:w="1086"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rFonts w:eastAsia="ヒラギノ角ゴ ProN W3"/>
                <w:sz w:val="24"/>
                <w:szCs w:val="24"/>
              </w:rPr>
            </w:pPr>
            <w:r>
              <w:rPr>
                <w:rFonts w:eastAsia="ヒラギノ角ゴ ProN W3"/>
                <w:sz w:val="24"/>
                <w:szCs w:val="24"/>
              </w:rPr>
              <w:t>Maveubehag**</w:t>
            </w:r>
          </w:p>
        </w:tc>
        <w:tc>
          <w:tcPr>
            <w:tcW w:w="1086" w:type="pct"/>
            <w:tcBorders>
              <w:top w:val="single" w:sz="4" w:space="0" w:color="BFBFBF"/>
              <w:left w:val="single" w:sz="8" w:space="0" w:color="BFBFBF"/>
              <w:bottom w:val="single" w:sz="4" w:space="0" w:color="BFBFBF"/>
              <w:right w:val="single" w:sz="8" w:space="0" w:color="BFBFBF"/>
            </w:tcBorders>
          </w:tcPr>
          <w:p w:rsidR="009652DC" w:rsidRDefault="009652DC" w:rsidP="003B4BCE">
            <w:pPr>
              <w:widowControl w:val="0"/>
              <w:tabs>
                <w:tab w:val="left" w:pos="148"/>
              </w:tabs>
              <w:autoSpaceDE w:val="0"/>
              <w:autoSpaceDN w:val="0"/>
              <w:adjustRightInd w:val="0"/>
              <w:ind w:right="-1"/>
              <w:rPr>
                <w:rFonts w:eastAsia="ヒラギノ角ゴ ProN W3"/>
                <w:sz w:val="24"/>
                <w:szCs w:val="24"/>
              </w:rPr>
            </w:pPr>
          </w:p>
        </w:tc>
      </w:tr>
      <w:tr w:rsidR="009652DC" w:rsidTr="003B4BCE">
        <w:tc>
          <w:tcPr>
            <w:tcW w:w="1268"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426"/>
              </w:tabs>
              <w:autoSpaceDE w:val="0"/>
              <w:autoSpaceDN w:val="0"/>
              <w:adjustRightInd w:val="0"/>
              <w:ind w:right="-1"/>
              <w:rPr>
                <w:rFonts w:ascii="ヒラギノ角ゴ ProN W3" w:eastAsia="ヒラギノ角ゴ ProN W3"/>
                <w:sz w:val="24"/>
                <w:szCs w:val="24"/>
              </w:rPr>
            </w:pPr>
            <w:r>
              <w:rPr>
                <w:sz w:val="24"/>
                <w:szCs w:val="24"/>
              </w:rPr>
              <w:t>Hud og subkutane væv</w:t>
            </w:r>
          </w:p>
        </w:tc>
        <w:tc>
          <w:tcPr>
            <w:tcW w:w="1560"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r>
              <w:rPr>
                <w:sz w:val="24"/>
                <w:szCs w:val="24"/>
              </w:rPr>
              <w:t>Abnorm hårvækst</w:t>
            </w:r>
            <w:r>
              <w:rPr>
                <w:sz w:val="24"/>
                <w:szCs w:val="24"/>
                <w:lang w:val="en-US"/>
              </w:rPr>
              <w:t xml:space="preserve"> </w:t>
            </w:r>
          </w:p>
        </w:tc>
        <w:tc>
          <w:tcPr>
            <w:tcW w:w="1086"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proofErr w:type="spellStart"/>
            <w:r>
              <w:rPr>
                <w:sz w:val="24"/>
                <w:szCs w:val="24"/>
              </w:rPr>
              <w:t>Acne</w:t>
            </w:r>
            <w:proofErr w:type="spellEnd"/>
          </w:p>
        </w:tc>
        <w:tc>
          <w:tcPr>
            <w:tcW w:w="1086"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sz w:val="24"/>
                <w:szCs w:val="24"/>
              </w:rPr>
            </w:pPr>
            <w:proofErr w:type="spellStart"/>
            <w:r>
              <w:rPr>
                <w:sz w:val="24"/>
                <w:szCs w:val="24"/>
              </w:rPr>
              <w:t>Pruritus</w:t>
            </w:r>
            <w:proofErr w:type="spellEnd"/>
            <w:r>
              <w:rPr>
                <w:sz w:val="24"/>
                <w:szCs w:val="24"/>
              </w:rPr>
              <w:t>**</w:t>
            </w:r>
          </w:p>
        </w:tc>
      </w:tr>
      <w:tr w:rsidR="009652DC" w:rsidTr="003B4BCE">
        <w:tc>
          <w:tcPr>
            <w:tcW w:w="1268"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426"/>
              </w:tabs>
              <w:autoSpaceDE w:val="0"/>
              <w:autoSpaceDN w:val="0"/>
              <w:adjustRightInd w:val="0"/>
              <w:ind w:right="-1"/>
              <w:rPr>
                <w:rFonts w:ascii="ヒラギノ角ゴ ProN W3" w:eastAsia="ヒラギノ角ゴ ProN W3"/>
                <w:sz w:val="24"/>
                <w:szCs w:val="24"/>
              </w:rPr>
            </w:pPr>
            <w:r>
              <w:rPr>
                <w:sz w:val="24"/>
                <w:szCs w:val="24"/>
              </w:rPr>
              <w:t>Det reproduktive system og mammae</w:t>
            </w:r>
          </w:p>
        </w:tc>
        <w:tc>
          <w:tcPr>
            <w:tcW w:w="1560"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sz w:val="24"/>
                <w:szCs w:val="24"/>
              </w:rPr>
            </w:pPr>
            <w:r>
              <w:rPr>
                <w:sz w:val="24"/>
                <w:szCs w:val="24"/>
              </w:rPr>
              <w:t xml:space="preserve">Vaginalt udflåd </w:t>
            </w:r>
          </w:p>
          <w:p w:rsidR="009652DC" w:rsidRDefault="009652DC" w:rsidP="003B4BCE">
            <w:pPr>
              <w:widowControl w:val="0"/>
              <w:tabs>
                <w:tab w:val="left" w:pos="148"/>
              </w:tabs>
              <w:autoSpaceDE w:val="0"/>
              <w:autoSpaceDN w:val="0"/>
              <w:adjustRightInd w:val="0"/>
              <w:ind w:right="-1"/>
              <w:rPr>
                <w:sz w:val="24"/>
                <w:szCs w:val="24"/>
              </w:rPr>
            </w:pPr>
            <w:proofErr w:type="spellStart"/>
            <w:r>
              <w:rPr>
                <w:sz w:val="24"/>
                <w:szCs w:val="24"/>
              </w:rPr>
              <w:t>Endometriefortykkelse</w:t>
            </w:r>
            <w:proofErr w:type="spellEnd"/>
          </w:p>
          <w:p w:rsidR="009652DC" w:rsidRDefault="009652DC" w:rsidP="003B4BCE">
            <w:pPr>
              <w:widowControl w:val="0"/>
              <w:tabs>
                <w:tab w:val="left" w:pos="148"/>
              </w:tabs>
              <w:autoSpaceDE w:val="0"/>
              <w:autoSpaceDN w:val="0"/>
              <w:adjustRightInd w:val="0"/>
              <w:ind w:right="-1"/>
              <w:rPr>
                <w:sz w:val="24"/>
                <w:szCs w:val="24"/>
              </w:rPr>
            </w:pPr>
            <w:proofErr w:type="spellStart"/>
            <w:r>
              <w:rPr>
                <w:sz w:val="24"/>
                <w:szCs w:val="24"/>
              </w:rPr>
              <w:t>Postmenopausal</w:t>
            </w:r>
            <w:proofErr w:type="spellEnd"/>
            <w:r>
              <w:rPr>
                <w:sz w:val="24"/>
                <w:szCs w:val="24"/>
              </w:rPr>
              <w:t xml:space="preserve"> blødning</w:t>
            </w:r>
          </w:p>
          <w:p w:rsidR="009652DC" w:rsidRDefault="009652DC" w:rsidP="003B4BCE">
            <w:pPr>
              <w:widowControl w:val="0"/>
              <w:tabs>
                <w:tab w:val="left" w:pos="148"/>
              </w:tabs>
              <w:autoSpaceDE w:val="0"/>
              <w:autoSpaceDN w:val="0"/>
              <w:adjustRightInd w:val="0"/>
              <w:ind w:right="-1"/>
              <w:rPr>
                <w:sz w:val="24"/>
                <w:szCs w:val="24"/>
              </w:rPr>
            </w:pPr>
            <w:r>
              <w:rPr>
                <w:sz w:val="24"/>
                <w:szCs w:val="24"/>
              </w:rPr>
              <w:t>Brystømhed</w:t>
            </w:r>
          </w:p>
          <w:p w:rsidR="009652DC" w:rsidRDefault="009652DC" w:rsidP="003B4BCE">
            <w:pPr>
              <w:widowControl w:val="0"/>
              <w:tabs>
                <w:tab w:val="left" w:pos="148"/>
              </w:tabs>
              <w:autoSpaceDE w:val="0"/>
              <w:autoSpaceDN w:val="0"/>
              <w:adjustRightInd w:val="0"/>
              <w:ind w:right="-1"/>
              <w:rPr>
                <w:sz w:val="24"/>
                <w:szCs w:val="24"/>
              </w:rPr>
            </w:pPr>
            <w:r>
              <w:rPr>
                <w:sz w:val="24"/>
                <w:szCs w:val="24"/>
              </w:rPr>
              <w:t xml:space="preserve">Genital </w:t>
            </w:r>
            <w:proofErr w:type="spellStart"/>
            <w:r>
              <w:rPr>
                <w:sz w:val="24"/>
                <w:szCs w:val="24"/>
              </w:rPr>
              <w:t>pruritus</w:t>
            </w:r>
            <w:proofErr w:type="spellEnd"/>
          </w:p>
          <w:p w:rsidR="009652DC" w:rsidRDefault="009652DC" w:rsidP="003B4BCE">
            <w:pPr>
              <w:widowControl w:val="0"/>
              <w:tabs>
                <w:tab w:val="left" w:pos="148"/>
              </w:tabs>
              <w:autoSpaceDE w:val="0"/>
              <w:autoSpaceDN w:val="0"/>
              <w:adjustRightInd w:val="0"/>
              <w:ind w:right="-1"/>
              <w:rPr>
                <w:sz w:val="24"/>
                <w:szCs w:val="24"/>
              </w:rPr>
            </w:pPr>
            <w:r>
              <w:rPr>
                <w:sz w:val="24"/>
                <w:szCs w:val="24"/>
              </w:rPr>
              <w:t xml:space="preserve">Vaginal </w:t>
            </w:r>
            <w:proofErr w:type="spellStart"/>
            <w:r>
              <w:rPr>
                <w:sz w:val="24"/>
                <w:szCs w:val="24"/>
              </w:rPr>
              <w:t>candidiasis</w:t>
            </w:r>
            <w:proofErr w:type="spellEnd"/>
          </w:p>
          <w:p w:rsidR="009652DC" w:rsidRDefault="009652DC" w:rsidP="003B4BCE">
            <w:pPr>
              <w:widowControl w:val="0"/>
              <w:tabs>
                <w:tab w:val="left" w:pos="148"/>
              </w:tabs>
              <w:autoSpaceDE w:val="0"/>
              <w:autoSpaceDN w:val="0"/>
              <w:adjustRightInd w:val="0"/>
              <w:ind w:right="-1"/>
              <w:rPr>
                <w:sz w:val="24"/>
                <w:szCs w:val="24"/>
              </w:rPr>
            </w:pPr>
            <w:r>
              <w:rPr>
                <w:sz w:val="24"/>
                <w:szCs w:val="24"/>
              </w:rPr>
              <w:t>Vaginal blødning</w:t>
            </w:r>
          </w:p>
          <w:p w:rsidR="009652DC" w:rsidRDefault="009652DC" w:rsidP="003B4BCE">
            <w:pPr>
              <w:widowControl w:val="0"/>
              <w:tabs>
                <w:tab w:val="left" w:pos="148"/>
              </w:tabs>
              <w:autoSpaceDE w:val="0"/>
              <w:autoSpaceDN w:val="0"/>
              <w:adjustRightInd w:val="0"/>
              <w:ind w:right="-1"/>
              <w:rPr>
                <w:sz w:val="24"/>
                <w:szCs w:val="24"/>
              </w:rPr>
            </w:pPr>
            <w:r>
              <w:rPr>
                <w:sz w:val="24"/>
                <w:szCs w:val="24"/>
              </w:rPr>
              <w:t>Smerter i bækkenet</w:t>
            </w:r>
          </w:p>
          <w:p w:rsidR="009652DC" w:rsidRDefault="009652DC" w:rsidP="003B4BCE">
            <w:pPr>
              <w:widowControl w:val="0"/>
              <w:tabs>
                <w:tab w:val="left" w:pos="148"/>
              </w:tabs>
              <w:autoSpaceDE w:val="0"/>
              <w:autoSpaceDN w:val="0"/>
              <w:adjustRightInd w:val="0"/>
              <w:ind w:right="-1"/>
              <w:rPr>
                <w:sz w:val="24"/>
                <w:szCs w:val="24"/>
              </w:rPr>
            </w:pPr>
            <w:proofErr w:type="spellStart"/>
            <w:r>
              <w:rPr>
                <w:sz w:val="24"/>
                <w:szCs w:val="24"/>
              </w:rPr>
              <w:lastRenderedPageBreak/>
              <w:t>Cervikal</w:t>
            </w:r>
            <w:proofErr w:type="spellEnd"/>
            <w:r>
              <w:rPr>
                <w:sz w:val="24"/>
                <w:szCs w:val="24"/>
              </w:rPr>
              <w:t xml:space="preserve"> </w:t>
            </w:r>
            <w:proofErr w:type="spellStart"/>
            <w:r>
              <w:rPr>
                <w:sz w:val="24"/>
                <w:szCs w:val="24"/>
              </w:rPr>
              <w:t>dysplasi</w:t>
            </w:r>
            <w:proofErr w:type="spellEnd"/>
          </w:p>
          <w:p w:rsidR="009652DC" w:rsidRDefault="009652DC" w:rsidP="003B4BCE">
            <w:pPr>
              <w:widowControl w:val="0"/>
              <w:tabs>
                <w:tab w:val="left" w:pos="148"/>
              </w:tabs>
              <w:autoSpaceDE w:val="0"/>
              <w:autoSpaceDN w:val="0"/>
              <w:adjustRightInd w:val="0"/>
              <w:ind w:right="-1"/>
              <w:rPr>
                <w:sz w:val="24"/>
                <w:szCs w:val="24"/>
              </w:rPr>
            </w:pPr>
            <w:r>
              <w:rPr>
                <w:sz w:val="24"/>
                <w:szCs w:val="24"/>
              </w:rPr>
              <w:t>Genitalt udflåd</w:t>
            </w:r>
          </w:p>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proofErr w:type="spellStart"/>
            <w:r>
              <w:rPr>
                <w:sz w:val="24"/>
                <w:szCs w:val="24"/>
              </w:rPr>
              <w:t>Vulvovaginitis</w:t>
            </w:r>
            <w:proofErr w:type="spellEnd"/>
          </w:p>
        </w:tc>
        <w:tc>
          <w:tcPr>
            <w:tcW w:w="1086"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sz w:val="24"/>
                <w:szCs w:val="24"/>
              </w:rPr>
            </w:pPr>
            <w:r>
              <w:rPr>
                <w:sz w:val="24"/>
                <w:szCs w:val="24"/>
              </w:rPr>
              <w:lastRenderedPageBreak/>
              <w:t>Ubehag i brysterne</w:t>
            </w:r>
          </w:p>
          <w:p w:rsidR="009652DC" w:rsidRDefault="009652DC" w:rsidP="003B4BCE">
            <w:pPr>
              <w:widowControl w:val="0"/>
              <w:tabs>
                <w:tab w:val="left" w:pos="148"/>
              </w:tabs>
              <w:autoSpaceDE w:val="0"/>
              <w:autoSpaceDN w:val="0"/>
              <w:adjustRightInd w:val="0"/>
              <w:ind w:right="-1"/>
              <w:rPr>
                <w:sz w:val="24"/>
                <w:szCs w:val="24"/>
              </w:rPr>
            </w:pPr>
            <w:r>
              <w:rPr>
                <w:sz w:val="24"/>
                <w:szCs w:val="24"/>
              </w:rPr>
              <w:t>Svampeinfektion</w:t>
            </w:r>
          </w:p>
          <w:p w:rsidR="009652DC" w:rsidRDefault="009652DC" w:rsidP="003B4BCE">
            <w:pPr>
              <w:widowControl w:val="0"/>
              <w:tabs>
                <w:tab w:val="left" w:pos="148"/>
              </w:tabs>
              <w:autoSpaceDE w:val="0"/>
              <w:autoSpaceDN w:val="0"/>
              <w:adjustRightInd w:val="0"/>
              <w:ind w:right="-1"/>
              <w:rPr>
                <w:sz w:val="24"/>
                <w:szCs w:val="24"/>
              </w:rPr>
            </w:pPr>
            <w:r>
              <w:rPr>
                <w:sz w:val="24"/>
                <w:szCs w:val="24"/>
              </w:rPr>
              <w:t xml:space="preserve">Vaginal </w:t>
            </w:r>
            <w:proofErr w:type="spellStart"/>
            <w:r>
              <w:rPr>
                <w:sz w:val="24"/>
                <w:szCs w:val="24"/>
              </w:rPr>
              <w:t>mycosis</w:t>
            </w:r>
            <w:proofErr w:type="spellEnd"/>
          </w:p>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r>
              <w:rPr>
                <w:sz w:val="24"/>
                <w:szCs w:val="24"/>
              </w:rPr>
              <w:t>Smerter i brystvorterne</w:t>
            </w:r>
          </w:p>
        </w:tc>
        <w:tc>
          <w:tcPr>
            <w:tcW w:w="1086" w:type="pct"/>
            <w:tcBorders>
              <w:top w:val="single" w:sz="4" w:space="0" w:color="BFBFBF"/>
              <w:left w:val="single" w:sz="8" w:space="0" w:color="BFBFBF"/>
              <w:bottom w:val="single" w:sz="4" w:space="0" w:color="BFBFBF"/>
              <w:right w:val="single" w:sz="8" w:space="0" w:color="BFBFBF"/>
            </w:tcBorders>
          </w:tcPr>
          <w:p w:rsidR="009652DC" w:rsidRDefault="009652DC" w:rsidP="003B4BCE">
            <w:pPr>
              <w:widowControl w:val="0"/>
              <w:tabs>
                <w:tab w:val="left" w:pos="148"/>
              </w:tabs>
              <w:autoSpaceDE w:val="0"/>
              <w:autoSpaceDN w:val="0"/>
              <w:adjustRightInd w:val="0"/>
              <w:ind w:right="-1"/>
              <w:rPr>
                <w:sz w:val="24"/>
                <w:szCs w:val="24"/>
              </w:rPr>
            </w:pPr>
          </w:p>
        </w:tc>
      </w:tr>
      <w:tr w:rsidR="009652DC" w:rsidTr="003B4BCE">
        <w:tc>
          <w:tcPr>
            <w:tcW w:w="1268"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426"/>
              </w:tabs>
              <w:autoSpaceDE w:val="0"/>
              <w:autoSpaceDN w:val="0"/>
              <w:adjustRightInd w:val="0"/>
              <w:ind w:right="-1"/>
              <w:rPr>
                <w:rFonts w:ascii="ヒラギノ角ゴ ProN W3" w:eastAsia="ヒラギノ角ゴ ProN W3"/>
                <w:sz w:val="24"/>
                <w:szCs w:val="24"/>
              </w:rPr>
            </w:pPr>
            <w:r>
              <w:rPr>
                <w:sz w:val="24"/>
                <w:szCs w:val="24"/>
              </w:rPr>
              <w:t>Undersøgelser</w:t>
            </w:r>
          </w:p>
        </w:tc>
        <w:tc>
          <w:tcPr>
            <w:tcW w:w="1560" w:type="pct"/>
            <w:tcBorders>
              <w:top w:val="single" w:sz="4" w:space="0" w:color="BFBFBF"/>
              <w:left w:val="single" w:sz="8" w:space="0" w:color="BFBFBF"/>
              <w:bottom w:val="single" w:sz="4" w:space="0" w:color="BFBFBF"/>
              <w:right w:val="single" w:sz="8" w:space="0" w:color="BFBFBF"/>
            </w:tcBorders>
            <w:hideMark/>
          </w:tcPr>
          <w:p w:rsidR="009652DC" w:rsidRDefault="009652DC" w:rsidP="003B4BCE">
            <w:pPr>
              <w:widowControl w:val="0"/>
              <w:tabs>
                <w:tab w:val="left" w:pos="148"/>
              </w:tabs>
              <w:autoSpaceDE w:val="0"/>
              <w:autoSpaceDN w:val="0"/>
              <w:adjustRightInd w:val="0"/>
              <w:ind w:right="-1"/>
              <w:rPr>
                <w:sz w:val="24"/>
                <w:szCs w:val="24"/>
                <w:lang w:val="en-US"/>
              </w:rPr>
            </w:pPr>
            <w:r>
              <w:rPr>
                <w:sz w:val="24"/>
                <w:szCs w:val="24"/>
              </w:rPr>
              <w:t>Vægtøgning</w:t>
            </w:r>
          </w:p>
          <w:p w:rsidR="009652DC" w:rsidRDefault="009652DC" w:rsidP="003B4BCE">
            <w:pPr>
              <w:widowControl w:val="0"/>
              <w:tabs>
                <w:tab w:val="left" w:pos="148"/>
              </w:tabs>
              <w:autoSpaceDE w:val="0"/>
              <w:autoSpaceDN w:val="0"/>
              <w:adjustRightInd w:val="0"/>
              <w:ind w:right="-1"/>
              <w:rPr>
                <w:rFonts w:ascii="ヒラギノ角ゴ ProN W3" w:eastAsia="ヒラギノ角ゴ ProN W3"/>
                <w:sz w:val="24"/>
                <w:szCs w:val="24"/>
              </w:rPr>
            </w:pPr>
            <w:r>
              <w:rPr>
                <w:sz w:val="24"/>
                <w:szCs w:val="24"/>
              </w:rPr>
              <w:t xml:space="preserve">Abnorm </w:t>
            </w:r>
            <w:proofErr w:type="spellStart"/>
            <w:r>
              <w:rPr>
                <w:sz w:val="24"/>
                <w:szCs w:val="24"/>
              </w:rPr>
              <w:t>cervixcytologi</w:t>
            </w:r>
            <w:proofErr w:type="spellEnd"/>
            <w:r>
              <w:rPr>
                <w:sz w:val="24"/>
                <w:szCs w:val="24"/>
              </w:rPr>
              <w:t xml:space="preserve"> (</w:t>
            </w:r>
            <w:proofErr w:type="spellStart"/>
            <w:r>
              <w:rPr>
                <w:sz w:val="24"/>
                <w:szCs w:val="24"/>
              </w:rPr>
              <w:t>smear</w:t>
            </w:r>
            <w:proofErr w:type="spellEnd"/>
            <w:r>
              <w:rPr>
                <w:sz w:val="24"/>
                <w:szCs w:val="24"/>
              </w:rPr>
              <w:t>)*</w:t>
            </w:r>
          </w:p>
        </w:tc>
        <w:tc>
          <w:tcPr>
            <w:tcW w:w="1086" w:type="pct"/>
            <w:tcBorders>
              <w:top w:val="single" w:sz="4" w:space="0" w:color="BFBFBF"/>
              <w:left w:val="single" w:sz="8" w:space="0" w:color="BFBFBF"/>
              <w:bottom w:val="single" w:sz="4" w:space="0" w:color="BFBFBF"/>
              <w:right w:val="single" w:sz="8" w:space="0" w:color="BFBFBF"/>
            </w:tcBorders>
          </w:tcPr>
          <w:p w:rsidR="009652DC" w:rsidRDefault="009652DC" w:rsidP="003B4BCE">
            <w:pPr>
              <w:widowControl w:val="0"/>
              <w:tabs>
                <w:tab w:val="left" w:pos="148"/>
              </w:tabs>
              <w:autoSpaceDE w:val="0"/>
              <w:autoSpaceDN w:val="0"/>
              <w:adjustRightInd w:val="0"/>
              <w:ind w:right="-1"/>
              <w:rPr>
                <w:rFonts w:eastAsia="ヒラギノ角ゴ ProN W3"/>
                <w:sz w:val="24"/>
                <w:szCs w:val="24"/>
                <w:lang w:val="en-US"/>
              </w:rPr>
            </w:pPr>
          </w:p>
        </w:tc>
        <w:tc>
          <w:tcPr>
            <w:tcW w:w="1086" w:type="pct"/>
            <w:tcBorders>
              <w:top w:val="single" w:sz="4" w:space="0" w:color="BFBFBF"/>
              <w:left w:val="single" w:sz="8" w:space="0" w:color="BFBFBF"/>
              <w:bottom w:val="single" w:sz="4" w:space="0" w:color="BFBFBF"/>
              <w:right w:val="single" w:sz="8" w:space="0" w:color="BFBFBF"/>
            </w:tcBorders>
          </w:tcPr>
          <w:p w:rsidR="009652DC" w:rsidRDefault="009652DC" w:rsidP="003B4BCE">
            <w:pPr>
              <w:widowControl w:val="0"/>
              <w:tabs>
                <w:tab w:val="left" w:pos="148"/>
              </w:tabs>
              <w:autoSpaceDE w:val="0"/>
              <w:autoSpaceDN w:val="0"/>
              <w:adjustRightInd w:val="0"/>
              <w:ind w:right="-1"/>
              <w:rPr>
                <w:rFonts w:eastAsia="ヒラギノ角ゴ ProN W3"/>
                <w:sz w:val="24"/>
                <w:szCs w:val="24"/>
                <w:lang w:val="en-US"/>
              </w:rPr>
            </w:pPr>
          </w:p>
        </w:tc>
      </w:tr>
    </w:tbl>
    <w:p w:rsidR="009652DC" w:rsidRDefault="009652DC" w:rsidP="009652DC">
      <w:pPr>
        <w:widowControl w:val="0"/>
        <w:autoSpaceDE w:val="0"/>
        <w:autoSpaceDN w:val="0"/>
        <w:adjustRightInd w:val="0"/>
        <w:ind w:left="284" w:right="-1" w:hanging="283"/>
        <w:rPr>
          <w:spacing w:val="-3"/>
          <w:sz w:val="24"/>
          <w:szCs w:val="24"/>
        </w:rPr>
      </w:pPr>
      <w:r>
        <w:rPr>
          <w:spacing w:val="-3"/>
          <w:sz w:val="24"/>
          <w:szCs w:val="24"/>
        </w:rPr>
        <w:t>*</w:t>
      </w:r>
      <w:r>
        <w:rPr>
          <w:spacing w:val="-3"/>
          <w:sz w:val="24"/>
          <w:szCs w:val="24"/>
        </w:rPr>
        <w:tab/>
        <w:t>Størstedelen bestod af godartede ændringer.</w:t>
      </w:r>
      <w:r>
        <w:rPr>
          <w:sz w:val="24"/>
          <w:szCs w:val="24"/>
        </w:rPr>
        <w:t xml:space="preserve"> </w:t>
      </w:r>
      <w:r>
        <w:rPr>
          <w:spacing w:val="-3"/>
          <w:sz w:val="24"/>
          <w:szCs w:val="24"/>
        </w:rPr>
        <w:t>Forekomsten af patologiske fund (</w:t>
      </w:r>
      <w:proofErr w:type="spellStart"/>
      <w:r>
        <w:rPr>
          <w:spacing w:val="-3"/>
          <w:sz w:val="24"/>
          <w:szCs w:val="24"/>
        </w:rPr>
        <w:t>cervikalt</w:t>
      </w:r>
      <w:proofErr w:type="spellEnd"/>
      <w:r>
        <w:rPr>
          <w:spacing w:val="-3"/>
          <w:sz w:val="24"/>
          <w:szCs w:val="24"/>
        </w:rPr>
        <w:t xml:space="preserve"> </w:t>
      </w:r>
      <w:proofErr w:type="spellStart"/>
      <w:r>
        <w:rPr>
          <w:spacing w:val="-3"/>
          <w:sz w:val="24"/>
          <w:szCs w:val="24"/>
        </w:rPr>
        <w:t>carcinom</w:t>
      </w:r>
      <w:proofErr w:type="spellEnd"/>
      <w:r>
        <w:rPr>
          <w:spacing w:val="-3"/>
          <w:sz w:val="24"/>
          <w:szCs w:val="24"/>
        </w:rPr>
        <w:t xml:space="preserve">) blev ikke øget ved brug af </w:t>
      </w:r>
      <w:proofErr w:type="spellStart"/>
      <w:r>
        <w:rPr>
          <w:spacing w:val="-3"/>
          <w:sz w:val="24"/>
          <w:szCs w:val="24"/>
        </w:rPr>
        <w:t>tibolon</w:t>
      </w:r>
      <w:proofErr w:type="spellEnd"/>
      <w:r>
        <w:rPr>
          <w:spacing w:val="-3"/>
          <w:sz w:val="24"/>
          <w:szCs w:val="24"/>
        </w:rPr>
        <w:t xml:space="preserve"> sammenlignet med placebo.</w:t>
      </w:r>
    </w:p>
    <w:p w:rsidR="009652DC" w:rsidRDefault="009652DC" w:rsidP="009652DC">
      <w:pPr>
        <w:widowControl w:val="0"/>
        <w:autoSpaceDE w:val="0"/>
        <w:autoSpaceDN w:val="0"/>
        <w:adjustRightInd w:val="0"/>
        <w:ind w:left="284" w:right="-1" w:hanging="283"/>
        <w:rPr>
          <w:spacing w:val="-3"/>
          <w:sz w:val="24"/>
          <w:szCs w:val="24"/>
        </w:rPr>
      </w:pPr>
      <w:r>
        <w:rPr>
          <w:spacing w:val="-3"/>
          <w:sz w:val="24"/>
          <w:szCs w:val="24"/>
        </w:rPr>
        <w:t>** Disse bivirkninger er identificeret efter markedsføring. Hyppigheden er estimeret på baggrund af relevante kliniske studier.</w:t>
      </w:r>
    </w:p>
    <w:p w:rsidR="009652DC" w:rsidRDefault="009652DC" w:rsidP="009652DC">
      <w:pPr>
        <w:widowControl w:val="0"/>
        <w:autoSpaceDE w:val="0"/>
        <w:autoSpaceDN w:val="0"/>
        <w:adjustRightInd w:val="0"/>
        <w:ind w:left="284" w:right="-1" w:hanging="283"/>
        <w:rPr>
          <w:sz w:val="24"/>
          <w:szCs w:val="24"/>
        </w:rPr>
      </w:pPr>
    </w:p>
    <w:p w:rsidR="009652DC" w:rsidRDefault="009652DC" w:rsidP="009652DC">
      <w:pPr>
        <w:widowControl w:val="0"/>
        <w:autoSpaceDE w:val="0"/>
        <w:autoSpaceDN w:val="0"/>
        <w:adjustRightInd w:val="0"/>
        <w:ind w:left="284" w:right="-1"/>
        <w:rPr>
          <w:sz w:val="24"/>
          <w:szCs w:val="24"/>
        </w:rPr>
      </w:pPr>
      <w:r>
        <w:rPr>
          <w:sz w:val="24"/>
          <w:szCs w:val="24"/>
        </w:rPr>
        <w:t xml:space="preserve">Efter markedsføring er andre bivirkninger observeret: svimmelhed, udslæt, </w:t>
      </w:r>
      <w:proofErr w:type="spellStart"/>
      <w:r>
        <w:rPr>
          <w:sz w:val="24"/>
          <w:szCs w:val="24"/>
        </w:rPr>
        <w:t>seborroisk</w:t>
      </w:r>
      <w:proofErr w:type="spellEnd"/>
      <w:r>
        <w:rPr>
          <w:sz w:val="24"/>
          <w:szCs w:val="24"/>
        </w:rPr>
        <w:t xml:space="preserve"> </w:t>
      </w:r>
      <w:proofErr w:type="spellStart"/>
      <w:r>
        <w:rPr>
          <w:sz w:val="24"/>
          <w:szCs w:val="24"/>
        </w:rPr>
        <w:t>dermatose</w:t>
      </w:r>
      <w:proofErr w:type="spellEnd"/>
      <w:r>
        <w:rPr>
          <w:sz w:val="24"/>
          <w:szCs w:val="24"/>
        </w:rPr>
        <w:t xml:space="preserve">, hovedpine, migræne, synsforstyrrelser (inklusive sløret syn), depression, påvirkning af det </w:t>
      </w:r>
      <w:proofErr w:type="spellStart"/>
      <w:r>
        <w:rPr>
          <w:sz w:val="24"/>
          <w:szCs w:val="24"/>
        </w:rPr>
        <w:t>muskuloskeletale</w:t>
      </w:r>
      <w:proofErr w:type="spellEnd"/>
      <w:r>
        <w:rPr>
          <w:sz w:val="24"/>
          <w:szCs w:val="24"/>
        </w:rPr>
        <w:t xml:space="preserve"> system, f.eks. </w:t>
      </w:r>
      <w:proofErr w:type="spellStart"/>
      <w:r>
        <w:rPr>
          <w:sz w:val="24"/>
          <w:szCs w:val="24"/>
        </w:rPr>
        <w:t>artralgi</w:t>
      </w:r>
      <w:proofErr w:type="spellEnd"/>
      <w:r>
        <w:rPr>
          <w:sz w:val="24"/>
          <w:szCs w:val="24"/>
        </w:rPr>
        <w:t xml:space="preserve"> eller myalgi, og ændringer i leverfunktionsparametre.</w:t>
      </w:r>
    </w:p>
    <w:p w:rsidR="009652DC" w:rsidRDefault="009652DC" w:rsidP="009652DC">
      <w:pPr>
        <w:widowControl w:val="0"/>
        <w:autoSpaceDE w:val="0"/>
        <w:autoSpaceDN w:val="0"/>
        <w:adjustRightInd w:val="0"/>
        <w:ind w:left="851" w:right="-1"/>
        <w:rPr>
          <w:rFonts w:eastAsia="ヒラギノ角ゴ ProN W3"/>
          <w:sz w:val="24"/>
          <w:szCs w:val="24"/>
        </w:rPr>
      </w:pPr>
    </w:p>
    <w:p w:rsidR="004B628A" w:rsidRDefault="004B628A" w:rsidP="004B628A">
      <w:pPr>
        <w:widowControl w:val="0"/>
        <w:tabs>
          <w:tab w:val="left" w:pos="426"/>
        </w:tabs>
        <w:autoSpaceDE w:val="0"/>
        <w:autoSpaceDN w:val="0"/>
        <w:adjustRightInd w:val="0"/>
        <w:ind w:left="284" w:right="-1"/>
        <w:rPr>
          <w:rFonts w:ascii="ヒラギノ角ゴ ProN W3" w:eastAsia="ヒラギノ角ゴ ProN W3" w:hAnsi="ヒラギノ角ゴ ProN W3"/>
          <w:b/>
          <w:sz w:val="24"/>
          <w:szCs w:val="24"/>
          <w:u w:val="single"/>
          <w:lang w:val="en-US"/>
        </w:rPr>
      </w:pPr>
      <w:r>
        <w:rPr>
          <w:sz w:val="24"/>
          <w:szCs w:val="24"/>
          <w:u w:val="single"/>
        </w:rPr>
        <w:t>Risiko for brystcancer</w:t>
      </w:r>
    </w:p>
    <w:p w:rsidR="004B628A" w:rsidRDefault="004B628A" w:rsidP="004B628A">
      <w:pPr>
        <w:widowControl w:val="0"/>
        <w:numPr>
          <w:ilvl w:val="0"/>
          <w:numId w:val="26"/>
        </w:numPr>
        <w:tabs>
          <w:tab w:val="num" w:pos="851"/>
        </w:tabs>
        <w:autoSpaceDE w:val="0"/>
        <w:autoSpaceDN w:val="0"/>
        <w:adjustRightInd w:val="0"/>
        <w:ind w:left="851" w:right="-1" w:hanging="567"/>
        <w:rPr>
          <w:rFonts w:hint="eastAsia"/>
          <w:sz w:val="24"/>
          <w:szCs w:val="24"/>
        </w:rPr>
      </w:pPr>
      <w:r>
        <w:rPr>
          <w:sz w:val="24"/>
          <w:szCs w:val="24"/>
        </w:rPr>
        <w:t>Der er rapporteret om en op til dobbelt så stor risiko for at få stillet diagnosen brystcancer hos kvinder, der tager en kombinationsbehandling med østrogen og gestagen i mere end 5 år.</w:t>
      </w:r>
    </w:p>
    <w:p w:rsidR="004B628A" w:rsidRDefault="004B628A" w:rsidP="004B628A">
      <w:pPr>
        <w:widowControl w:val="0"/>
        <w:numPr>
          <w:ilvl w:val="0"/>
          <w:numId w:val="26"/>
        </w:numPr>
        <w:tabs>
          <w:tab w:val="num" w:pos="851"/>
        </w:tabs>
        <w:autoSpaceDE w:val="0"/>
        <w:autoSpaceDN w:val="0"/>
        <w:adjustRightInd w:val="0"/>
        <w:ind w:left="851" w:right="-1" w:hanging="567"/>
        <w:rPr>
          <w:sz w:val="24"/>
          <w:szCs w:val="24"/>
        </w:rPr>
      </w:pPr>
      <w:r>
        <w:rPr>
          <w:sz w:val="24"/>
          <w:szCs w:val="24"/>
        </w:rPr>
        <w:t xml:space="preserve">Den øgede risiko hos kvinder, som får behandling med østrogen alene og </w:t>
      </w:r>
      <w:proofErr w:type="spellStart"/>
      <w:r>
        <w:rPr>
          <w:sz w:val="24"/>
          <w:szCs w:val="24"/>
        </w:rPr>
        <w:t>tibolon</w:t>
      </w:r>
      <w:proofErr w:type="spellEnd"/>
      <w:r>
        <w:rPr>
          <w:sz w:val="24"/>
          <w:szCs w:val="24"/>
        </w:rPr>
        <w:t xml:space="preserve">, </w:t>
      </w:r>
      <w:proofErr w:type="gramStart"/>
      <w:r>
        <w:rPr>
          <w:sz w:val="24"/>
          <w:szCs w:val="24"/>
        </w:rPr>
        <w:t>er  lavere</w:t>
      </w:r>
      <w:proofErr w:type="gramEnd"/>
      <w:r>
        <w:rPr>
          <w:sz w:val="24"/>
          <w:szCs w:val="24"/>
        </w:rPr>
        <w:t>, end den risiko, der er påvist hos kvinder, som tager kombinationer af østrogen og gestagen.</w:t>
      </w:r>
    </w:p>
    <w:p w:rsidR="004B628A" w:rsidRDefault="004B628A" w:rsidP="004B628A">
      <w:pPr>
        <w:widowControl w:val="0"/>
        <w:numPr>
          <w:ilvl w:val="0"/>
          <w:numId w:val="26"/>
        </w:numPr>
        <w:tabs>
          <w:tab w:val="num" w:pos="851"/>
        </w:tabs>
        <w:autoSpaceDE w:val="0"/>
        <w:autoSpaceDN w:val="0"/>
        <w:adjustRightInd w:val="0"/>
        <w:ind w:left="851" w:right="-1" w:hanging="567"/>
        <w:rPr>
          <w:sz w:val="24"/>
          <w:szCs w:val="24"/>
        </w:rPr>
      </w:pPr>
      <w:r>
        <w:rPr>
          <w:sz w:val="24"/>
          <w:szCs w:val="24"/>
        </w:rPr>
        <w:t>Risikoniveauet afhænger af varigheden af brugen (se pkt. 4.4).</w:t>
      </w:r>
    </w:p>
    <w:p w:rsidR="004B628A" w:rsidRDefault="004B628A" w:rsidP="004B628A">
      <w:pPr>
        <w:widowControl w:val="0"/>
        <w:numPr>
          <w:ilvl w:val="0"/>
          <w:numId w:val="26"/>
        </w:numPr>
        <w:tabs>
          <w:tab w:val="num" w:pos="851"/>
        </w:tabs>
        <w:autoSpaceDE w:val="0"/>
        <w:autoSpaceDN w:val="0"/>
        <w:adjustRightInd w:val="0"/>
        <w:ind w:left="851" w:right="-1" w:hanging="567"/>
        <w:rPr>
          <w:i/>
          <w:sz w:val="24"/>
          <w:szCs w:val="24"/>
          <w:lang w:val="fi-FI"/>
        </w:rPr>
      </w:pPr>
      <w:r>
        <w:rPr>
          <w:sz w:val="24"/>
          <w:szCs w:val="24"/>
        </w:rPr>
        <w:t>Resultaterne fra det største epidemiologiske studie (MWS) er angivet nedenfor:</w:t>
      </w:r>
    </w:p>
    <w:p w:rsidR="009652DC" w:rsidRPr="004B628A" w:rsidRDefault="009652DC" w:rsidP="009652DC">
      <w:pPr>
        <w:widowControl w:val="0"/>
        <w:autoSpaceDE w:val="0"/>
        <w:autoSpaceDN w:val="0"/>
        <w:adjustRightInd w:val="0"/>
        <w:ind w:left="851" w:right="-1"/>
        <w:rPr>
          <w:sz w:val="24"/>
          <w:szCs w:val="24"/>
          <w:lang w:val="fi-FI"/>
        </w:rPr>
      </w:pPr>
    </w:p>
    <w:p w:rsidR="009652DC" w:rsidRDefault="009652DC" w:rsidP="009652DC">
      <w:pPr>
        <w:widowControl w:val="0"/>
        <w:autoSpaceDE w:val="0"/>
        <w:autoSpaceDN w:val="0"/>
        <w:adjustRightInd w:val="0"/>
        <w:ind w:right="-1"/>
        <w:rPr>
          <w:b/>
          <w:sz w:val="24"/>
          <w:szCs w:val="24"/>
        </w:rPr>
      </w:pPr>
      <w:r>
        <w:rPr>
          <w:b/>
          <w:sz w:val="24"/>
          <w:szCs w:val="24"/>
        </w:rPr>
        <w:t>Tabel 2: MWS-studiet – estimeret yderligere risiko for brystcancer efter 5 års brug</w:t>
      </w:r>
    </w:p>
    <w:p w:rsidR="009652DC" w:rsidRDefault="009652DC" w:rsidP="009652DC">
      <w:pPr>
        <w:widowControl w:val="0"/>
        <w:autoSpaceDE w:val="0"/>
        <w:autoSpaceDN w:val="0"/>
        <w:adjustRightInd w:val="0"/>
        <w:ind w:left="851" w:right="-1"/>
        <w:rPr>
          <w:sz w:val="24"/>
          <w:szCs w:val="24"/>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2990"/>
        <w:gridCol w:w="1619"/>
        <w:gridCol w:w="2726"/>
      </w:tblGrid>
      <w:tr w:rsidR="009652DC" w:rsidTr="003B4BCE">
        <w:trPr>
          <w:jc w:val="right"/>
        </w:trPr>
        <w:tc>
          <w:tcPr>
            <w:tcW w:w="1229" w:type="pct"/>
            <w:tcBorders>
              <w:top w:val="single" w:sz="4" w:space="0" w:color="auto"/>
              <w:left w:val="single" w:sz="4" w:space="0" w:color="auto"/>
              <w:bottom w:val="single" w:sz="4" w:space="0" w:color="auto"/>
              <w:right w:val="single" w:sz="4" w:space="0" w:color="auto"/>
            </w:tcBorders>
          </w:tcPr>
          <w:p w:rsidR="009652DC" w:rsidRDefault="009652DC" w:rsidP="003B4BCE">
            <w:pPr>
              <w:widowControl w:val="0"/>
              <w:autoSpaceDE w:val="0"/>
              <w:autoSpaceDN w:val="0"/>
              <w:adjustRightInd w:val="0"/>
              <w:ind w:left="60"/>
              <w:rPr>
                <w:sz w:val="24"/>
                <w:szCs w:val="24"/>
              </w:rPr>
            </w:pPr>
          </w:p>
          <w:p w:rsidR="009652DC" w:rsidRDefault="009652DC" w:rsidP="003B4BCE">
            <w:pPr>
              <w:widowControl w:val="0"/>
              <w:autoSpaceDE w:val="0"/>
              <w:autoSpaceDN w:val="0"/>
              <w:adjustRightInd w:val="0"/>
              <w:ind w:left="60"/>
              <w:rPr>
                <w:sz w:val="24"/>
                <w:szCs w:val="24"/>
              </w:rPr>
            </w:pPr>
          </w:p>
          <w:p w:rsidR="009652DC" w:rsidRDefault="009652DC" w:rsidP="003B4BCE">
            <w:pPr>
              <w:widowControl w:val="0"/>
              <w:autoSpaceDE w:val="0"/>
              <w:autoSpaceDN w:val="0"/>
              <w:adjustRightInd w:val="0"/>
              <w:ind w:left="60"/>
              <w:rPr>
                <w:sz w:val="24"/>
                <w:szCs w:val="24"/>
              </w:rPr>
            </w:pPr>
            <w:r>
              <w:rPr>
                <w:sz w:val="24"/>
                <w:szCs w:val="24"/>
              </w:rPr>
              <w:t>Alder (år)</w:t>
            </w:r>
          </w:p>
        </w:tc>
        <w:tc>
          <w:tcPr>
            <w:tcW w:w="1591"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169"/>
              <w:rPr>
                <w:sz w:val="24"/>
                <w:szCs w:val="24"/>
              </w:rPr>
            </w:pPr>
            <w:r>
              <w:rPr>
                <w:sz w:val="24"/>
                <w:szCs w:val="24"/>
              </w:rPr>
              <w:t>Yderligere tilfælde pr. 1000 kvinder, der aldrig har brugt HRT, over en 5-årig periode*</w:t>
            </w:r>
          </w:p>
        </w:tc>
        <w:tc>
          <w:tcPr>
            <w:tcW w:w="726"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rPr>
            </w:pPr>
            <w:r>
              <w:rPr>
                <w:sz w:val="24"/>
                <w:szCs w:val="24"/>
              </w:rPr>
              <w:t>Risikoforhold og 95 % CI#</w:t>
            </w:r>
          </w:p>
        </w:tc>
        <w:tc>
          <w:tcPr>
            <w:tcW w:w="1453"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rPr>
            </w:pPr>
            <w:r>
              <w:rPr>
                <w:sz w:val="24"/>
                <w:szCs w:val="24"/>
              </w:rPr>
              <w:t>Yderligere tilfælde pr. 1000 HRT-brugere over en 5-årig periode (95 % CI)</w:t>
            </w:r>
          </w:p>
        </w:tc>
      </w:tr>
      <w:tr w:rsidR="009652DC" w:rsidTr="003B4BCE">
        <w:trPr>
          <w:jc w:val="right"/>
        </w:trPr>
        <w:tc>
          <w:tcPr>
            <w:tcW w:w="5000" w:type="pct"/>
            <w:gridSpan w:val="4"/>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rPr>
            </w:pPr>
            <w:r>
              <w:rPr>
                <w:b/>
                <w:sz w:val="24"/>
                <w:szCs w:val="24"/>
              </w:rPr>
              <w:t>HRT med østrogen alene</w:t>
            </w:r>
          </w:p>
        </w:tc>
      </w:tr>
      <w:tr w:rsidR="009652DC" w:rsidTr="003B4BCE">
        <w:trPr>
          <w:trHeight w:val="470"/>
          <w:jc w:val="right"/>
        </w:trPr>
        <w:tc>
          <w:tcPr>
            <w:tcW w:w="1229"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0"/>
              <w:rPr>
                <w:sz w:val="24"/>
                <w:szCs w:val="24"/>
                <w:lang w:val="en-US"/>
              </w:rPr>
            </w:pPr>
            <w:r>
              <w:rPr>
                <w:iCs/>
                <w:sz w:val="24"/>
                <w:szCs w:val="24"/>
                <w:lang w:val="en-US"/>
              </w:rPr>
              <w:t>50-6</w:t>
            </w:r>
          </w:p>
        </w:tc>
        <w:tc>
          <w:tcPr>
            <w:tcW w:w="1591"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851"/>
              <w:rPr>
                <w:sz w:val="24"/>
                <w:szCs w:val="24"/>
                <w:lang w:val="en-US"/>
              </w:rPr>
            </w:pPr>
            <w:r>
              <w:rPr>
                <w:iCs/>
                <w:sz w:val="24"/>
                <w:szCs w:val="24"/>
                <w:lang w:val="en-US"/>
              </w:rPr>
              <w:t>9-12</w:t>
            </w:r>
          </w:p>
        </w:tc>
        <w:tc>
          <w:tcPr>
            <w:tcW w:w="726"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lang w:val="en-US"/>
              </w:rPr>
            </w:pPr>
            <w:r>
              <w:rPr>
                <w:iCs/>
                <w:sz w:val="24"/>
                <w:szCs w:val="24"/>
                <w:lang w:val="en-US"/>
              </w:rPr>
              <w:t>1.2</w:t>
            </w:r>
          </w:p>
        </w:tc>
        <w:tc>
          <w:tcPr>
            <w:tcW w:w="1453"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lang w:val="en-US"/>
              </w:rPr>
            </w:pPr>
            <w:r>
              <w:rPr>
                <w:iCs/>
                <w:sz w:val="24"/>
                <w:szCs w:val="24"/>
                <w:lang w:val="en-US"/>
              </w:rPr>
              <w:t>1-2 (0-3)</w:t>
            </w:r>
          </w:p>
        </w:tc>
      </w:tr>
      <w:tr w:rsidR="009652DC" w:rsidTr="003B4BCE">
        <w:trPr>
          <w:jc w:val="right"/>
        </w:trPr>
        <w:tc>
          <w:tcPr>
            <w:tcW w:w="5000" w:type="pct"/>
            <w:gridSpan w:val="4"/>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rPr>
            </w:pPr>
            <w:r>
              <w:rPr>
                <w:b/>
                <w:sz w:val="24"/>
                <w:szCs w:val="24"/>
              </w:rPr>
              <w:t>Kombineret østrogen-gestagen</w:t>
            </w:r>
          </w:p>
        </w:tc>
      </w:tr>
      <w:tr w:rsidR="009652DC" w:rsidTr="003B4BCE">
        <w:trPr>
          <w:trHeight w:val="482"/>
          <w:jc w:val="right"/>
        </w:trPr>
        <w:tc>
          <w:tcPr>
            <w:tcW w:w="1229"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0"/>
              <w:rPr>
                <w:sz w:val="24"/>
                <w:szCs w:val="24"/>
                <w:lang w:val="en-US"/>
              </w:rPr>
            </w:pPr>
            <w:r>
              <w:rPr>
                <w:iCs/>
                <w:sz w:val="24"/>
                <w:szCs w:val="24"/>
                <w:lang w:val="en-US"/>
              </w:rPr>
              <w:t>50-65</w:t>
            </w:r>
          </w:p>
        </w:tc>
        <w:tc>
          <w:tcPr>
            <w:tcW w:w="1591"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851"/>
              <w:rPr>
                <w:sz w:val="24"/>
                <w:szCs w:val="24"/>
                <w:lang w:val="en-US"/>
              </w:rPr>
            </w:pPr>
            <w:r>
              <w:rPr>
                <w:iCs/>
                <w:sz w:val="24"/>
                <w:szCs w:val="24"/>
                <w:lang w:val="en-US"/>
              </w:rPr>
              <w:t>9-12</w:t>
            </w:r>
          </w:p>
        </w:tc>
        <w:tc>
          <w:tcPr>
            <w:tcW w:w="726"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lang w:val="en-US"/>
              </w:rPr>
            </w:pPr>
            <w:r>
              <w:rPr>
                <w:iCs/>
                <w:sz w:val="24"/>
                <w:szCs w:val="24"/>
                <w:lang w:val="en-US"/>
              </w:rPr>
              <w:t>1.7</w:t>
            </w:r>
          </w:p>
        </w:tc>
        <w:tc>
          <w:tcPr>
            <w:tcW w:w="1453"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lang w:val="en-US"/>
              </w:rPr>
            </w:pPr>
            <w:r>
              <w:rPr>
                <w:iCs/>
                <w:sz w:val="24"/>
                <w:szCs w:val="24"/>
                <w:lang w:val="en-US"/>
              </w:rPr>
              <w:t>6 (5-7)</w:t>
            </w:r>
          </w:p>
        </w:tc>
      </w:tr>
      <w:tr w:rsidR="009652DC" w:rsidTr="003B4BCE">
        <w:trPr>
          <w:jc w:val="right"/>
        </w:trPr>
        <w:tc>
          <w:tcPr>
            <w:tcW w:w="5000" w:type="pct"/>
            <w:gridSpan w:val="4"/>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rPr>
            </w:pPr>
            <w:proofErr w:type="spellStart"/>
            <w:r>
              <w:rPr>
                <w:b/>
                <w:sz w:val="24"/>
                <w:szCs w:val="24"/>
              </w:rPr>
              <w:t>Tibolon</w:t>
            </w:r>
            <w:proofErr w:type="spellEnd"/>
          </w:p>
        </w:tc>
      </w:tr>
      <w:tr w:rsidR="009652DC" w:rsidTr="003B4BCE">
        <w:trPr>
          <w:jc w:val="right"/>
        </w:trPr>
        <w:tc>
          <w:tcPr>
            <w:tcW w:w="1229"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0"/>
              <w:rPr>
                <w:sz w:val="24"/>
                <w:szCs w:val="24"/>
                <w:lang w:val="en-US"/>
              </w:rPr>
            </w:pPr>
            <w:r>
              <w:rPr>
                <w:iCs/>
                <w:sz w:val="24"/>
                <w:szCs w:val="24"/>
                <w:lang w:val="en-US"/>
              </w:rPr>
              <w:t>50-65</w:t>
            </w:r>
          </w:p>
        </w:tc>
        <w:tc>
          <w:tcPr>
            <w:tcW w:w="1591"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851"/>
              <w:rPr>
                <w:sz w:val="24"/>
                <w:szCs w:val="24"/>
                <w:lang w:val="en-US"/>
              </w:rPr>
            </w:pPr>
            <w:r>
              <w:rPr>
                <w:iCs/>
                <w:sz w:val="24"/>
                <w:szCs w:val="24"/>
                <w:lang w:val="en-US"/>
              </w:rPr>
              <w:t>9-12</w:t>
            </w:r>
          </w:p>
        </w:tc>
        <w:tc>
          <w:tcPr>
            <w:tcW w:w="726"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lang w:val="en-US"/>
              </w:rPr>
            </w:pPr>
            <w:r>
              <w:rPr>
                <w:iCs/>
                <w:sz w:val="24"/>
                <w:szCs w:val="24"/>
                <w:lang w:val="en-US"/>
              </w:rPr>
              <w:t>1.3</w:t>
            </w:r>
          </w:p>
        </w:tc>
        <w:tc>
          <w:tcPr>
            <w:tcW w:w="1453" w:type="pct"/>
            <w:tcBorders>
              <w:top w:val="single" w:sz="4" w:space="0" w:color="auto"/>
              <w:left w:val="single" w:sz="4" w:space="0" w:color="auto"/>
              <w:bottom w:val="single" w:sz="4" w:space="0" w:color="auto"/>
              <w:right w:val="single" w:sz="4" w:space="0" w:color="auto"/>
            </w:tcBorders>
            <w:hideMark/>
          </w:tcPr>
          <w:p w:rsidR="009652DC" w:rsidRDefault="009652DC" w:rsidP="003B4BCE">
            <w:pPr>
              <w:widowControl w:val="0"/>
              <w:autoSpaceDE w:val="0"/>
              <w:autoSpaceDN w:val="0"/>
              <w:adjustRightInd w:val="0"/>
              <w:ind w:left="69"/>
              <w:rPr>
                <w:sz w:val="24"/>
                <w:szCs w:val="24"/>
                <w:lang w:val="en-US"/>
              </w:rPr>
            </w:pPr>
            <w:r>
              <w:rPr>
                <w:iCs/>
                <w:sz w:val="24"/>
                <w:szCs w:val="24"/>
                <w:lang w:val="en-US"/>
              </w:rPr>
              <w:t>3 (0-6)</w:t>
            </w:r>
          </w:p>
        </w:tc>
      </w:tr>
      <w:tr w:rsidR="009652DC" w:rsidTr="003B4BCE">
        <w:trPr>
          <w:jc w:val="right"/>
        </w:trPr>
        <w:tc>
          <w:tcPr>
            <w:tcW w:w="5000" w:type="pct"/>
            <w:gridSpan w:val="4"/>
            <w:tcBorders>
              <w:top w:val="single" w:sz="4" w:space="0" w:color="auto"/>
              <w:left w:val="single" w:sz="4" w:space="0" w:color="auto"/>
              <w:bottom w:val="single" w:sz="4" w:space="0" w:color="auto"/>
              <w:right w:val="single" w:sz="4" w:space="0" w:color="auto"/>
            </w:tcBorders>
            <w:hideMark/>
          </w:tcPr>
          <w:p w:rsidR="004B628A" w:rsidRDefault="004B628A" w:rsidP="004B628A">
            <w:pPr>
              <w:widowControl w:val="0"/>
              <w:autoSpaceDE w:val="0"/>
              <w:autoSpaceDN w:val="0"/>
              <w:adjustRightInd w:val="0"/>
              <w:ind w:left="69"/>
              <w:rPr>
                <w:i/>
                <w:sz w:val="24"/>
                <w:szCs w:val="24"/>
              </w:rPr>
            </w:pPr>
            <w:r>
              <w:rPr>
                <w:i/>
                <w:sz w:val="24"/>
                <w:szCs w:val="24"/>
              </w:rPr>
              <w:t>* Med henvisning til baseline-forekomsten i udviklede lande</w:t>
            </w:r>
          </w:p>
          <w:p w:rsidR="009652DC" w:rsidRDefault="004B628A" w:rsidP="004B628A">
            <w:pPr>
              <w:widowControl w:val="0"/>
              <w:autoSpaceDE w:val="0"/>
              <w:autoSpaceDN w:val="0"/>
              <w:adjustRightInd w:val="0"/>
              <w:ind w:left="69"/>
              <w:rPr>
                <w:i/>
                <w:sz w:val="24"/>
                <w:szCs w:val="24"/>
              </w:rPr>
            </w:pPr>
            <w:r>
              <w:rPr>
                <w:i/>
                <w:sz w:val="24"/>
                <w:szCs w:val="24"/>
              </w:rPr>
              <w:t># Samlet risikoforhold. Risikoforholdet er ikke konstant, men vil stige med behandlingsvarigheden</w:t>
            </w:r>
          </w:p>
        </w:tc>
      </w:tr>
    </w:tbl>
    <w:p w:rsidR="009652DC" w:rsidRDefault="009652DC" w:rsidP="009652DC">
      <w:pPr>
        <w:rPr>
          <w:sz w:val="24"/>
          <w:szCs w:val="24"/>
        </w:rPr>
      </w:pPr>
    </w:p>
    <w:p w:rsidR="009652DC" w:rsidRDefault="009652DC" w:rsidP="009652DC">
      <w:pPr>
        <w:widowControl w:val="0"/>
        <w:tabs>
          <w:tab w:val="left" w:pos="426"/>
        </w:tabs>
        <w:autoSpaceDE w:val="0"/>
        <w:autoSpaceDN w:val="0"/>
        <w:adjustRightInd w:val="0"/>
        <w:ind w:left="851" w:right="-1"/>
        <w:rPr>
          <w:sz w:val="24"/>
          <w:szCs w:val="24"/>
          <w:u w:val="single"/>
        </w:rPr>
      </w:pPr>
      <w:r>
        <w:rPr>
          <w:sz w:val="24"/>
          <w:szCs w:val="24"/>
          <w:u w:val="single"/>
        </w:rPr>
        <w:t xml:space="preserve">Risiko for </w:t>
      </w:r>
      <w:proofErr w:type="spellStart"/>
      <w:r>
        <w:rPr>
          <w:sz w:val="24"/>
          <w:szCs w:val="24"/>
          <w:u w:val="single"/>
        </w:rPr>
        <w:t>endometriecancer</w:t>
      </w:r>
      <w:proofErr w:type="spellEnd"/>
    </w:p>
    <w:p w:rsidR="009652DC" w:rsidRDefault="009652DC" w:rsidP="009652DC">
      <w:pPr>
        <w:widowControl w:val="0"/>
        <w:tabs>
          <w:tab w:val="left" w:pos="426"/>
        </w:tabs>
        <w:autoSpaceDE w:val="0"/>
        <w:autoSpaceDN w:val="0"/>
        <w:adjustRightInd w:val="0"/>
        <w:ind w:left="851" w:right="-1"/>
        <w:rPr>
          <w:sz w:val="24"/>
          <w:szCs w:val="24"/>
        </w:rPr>
      </w:pPr>
      <w:r>
        <w:rPr>
          <w:sz w:val="24"/>
          <w:szCs w:val="24"/>
        </w:rPr>
        <w:t xml:space="preserve">Risikoen for </w:t>
      </w:r>
      <w:proofErr w:type="spellStart"/>
      <w:r>
        <w:rPr>
          <w:sz w:val="24"/>
          <w:szCs w:val="24"/>
        </w:rPr>
        <w:t>endometriecancer</w:t>
      </w:r>
      <w:proofErr w:type="spellEnd"/>
      <w:r>
        <w:rPr>
          <w:sz w:val="24"/>
          <w:szCs w:val="24"/>
        </w:rPr>
        <w:t xml:space="preserve"> er omkring 5 ud af 1000 kvinder med en livmoder, som ikke bruger HRT eller </w:t>
      </w:r>
      <w:proofErr w:type="spellStart"/>
      <w:r>
        <w:rPr>
          <w:sz w:val="24"/>
          <w:szCs w:val="24"/>
        </w:rPr>
        <w:t>tibolon</w:t>
      </w:r>
      <w:proofErr w:type="spellEnd"/>
      <w:r>
        <w:rPr>
          <w:sz w:val="24"/>
          <w:szCs w:val="24"/>
        </w:rPr>
        <w:t>.</w:t>
      </w:r>
    </w:p>
    <w:p w:rsidR="009652DC" w:rsidRDefault="009652DC" w:rsidP="009652DC">
      <w:pPr>
        <w:widowControl w:val="0"/>
        <w:tabs>
          <w:tab w:val="left" w:pos="426"/>
        </w:tabs>
        <w:autoSpaceDE w:val="0"/>
        <w:autoSpaceDN w:val="0"/>
        <w:adjustRightInd w:val="0"/>
        <w:ind w:left="851" w:right="-1"/>
        <w:rPr>
          <w:sz w:val="24"/>
          <w:szCs w:val="24"/>
        </w:rPr>
      </w:pPr>
    </w:p>
    <w:p w:rsidR="009652DC" w:rsidRDefault="009652DC" w:rsidP="009652DC">
      <w:pPr>
        <w:widowControl w:val="0"/>
        <w:tabs>
          <w:tab w:val="left" w:pos="426"/>
        </w:tabs>
        <w:autoSpaceDE w:val="0"/>
        <w:autoSpaceDN w:val="0"/>
        <w:adjustRightInd w:val="0"/>
        <w:ind w:left="851" w:right="-1"/>
        <w:rPr>
          <w:rFonts w:ascii="ヒラギノ角ゴ ProN W3" w:eastAsia="ヒラギノ角ゴ ProN W3"/>
          <w:sz w:val="24"/>
          <w:szCs w:val="24"/>
        </w:rPr>
      </w:pPr>
      <w:r>
        <w:rPr>
          <w:sz w:val="24"/>
          <w:szCs w:val="24"/>
        </w:rPr>
        <w:t xml:space="preserve">Det randomiserede, placebokontrollerede studie, der inkluderede kvinder, som ikke blev screenet for abnormiteter i </w:t>
      </w:r>
      <w:proofErr w:type="spellStart"/>
      <w:r>
        <w:rPr>
          <w:sz w:val="24"/>
          <w:szCs w:val="24"/>
        </w:rPr>
        <w:t>endometriet</w:t>
      </w:r>
      <w:proofErr w:type="spellEnd"/>
      <w:r>
        <w:rPr>
          <w:sz w:val="24"/>
          <w:szCs w:val="24"/>
        </w:rPr>
        <w:t xml:space="preserve"> ved forsøgsstart, og som derfor reflekterer almindelig klinisk praksis, påviste den største risiko for </w:t>
      </w:r>
      <w:proofErr w:type="spellStart"/>
      <w:r>
        <w:rPr>
          <w:sz w:val="24"/>
          <w:szCs w:val="24"/>
        </w:rPr>
        <w:t>endometriecancer</w:t>
      </w:r>
      <w:proofErr w:type="spellEnd"/>
      <w:r>
        <w:rPr>
          <w:sz w:val="24"/>
          <w:szCs w:val="24"/>
        </w:rPr>
        <w:t xml:space="preserve"> (LIFT-forsøget, </w:t>
      </w:r>
      <w:r>
        <w:rPr>
          <w:sz w:val="24"/>
          <w:szCs w:val="24"/>
        </w:rPr>
        <w:lastRenderedPageBreak/>
        <w:t xml:space="preserve">gennemsnitsalder 68 år). I dette studie blev der ikke diagnosticeret nogen tilfælde af </w:t>
      </w:r>
      <w:proofErr w:type="spellStart"/>
      <w:r>
        <w:rPr>
          <w:sz w:val="24"/>
          <w:szCs w:val="24"/>
        </w:rPr>
        <w:t>endometriecancer</w:t>
      </w:r>
      <w:proofErr w:type="spellEnd"/>
      <w:r>
        <w:rPr>
          <w:sz w:val="24"/>
          <w:szCs w:val="24"/>
        </w:rPr>
        <w:t xml:space="preserve"> i placebogruppen (n=1773) efter 2,9 år, hvorimod der blev diagnosticeret 4 tilfælde af </w:t>
      </w:r>
      <w:proofErr w:type="spellStart"/>
      <w:r>
        <w:rPr>
          <w:sz w:val="24"/>
          <w:szCs w:val="24"/>
        </w:rPr>
        <w:t>endometriecancer</w:t>
      </w:r>
      <w:proofErr w:type="spellEnd"/>
      <w:r>
        <w:rPr>
          <w:sz w:val="24"/>
          <w:szCs w:val="24"/>
        </w:rPr>
        <w:t xml:space="preserve"> i </w:t>
      </w:r>
      <w:proofErr w:type="spellStart"/>
      <w:r>
        <w:rPr>
          <w:sz w:val="24"/>
          <w:szCs w:val="24"/>
        </w:rPr>
        <w:t>tibolongruppen</w:t>
      </w:r>
      <w:proofErr w:type="spellEnd"/>
      <w:r>
        <w:rPr>
          <w:sz w:val="24"/>
          <w:szCs w:val="24"/>
        </w:rPr>
        <w:t xml:space="preserve"> der (n=1746). Det svarer til, at der blev diagnosticeret 0,8 ekstra tilfælde af </w:t>
      </w:r>
      <w:proofErr w:type="spellStart"/>
      <w:r>
        <w:rPr>
          <w:sz w:val="24"/>
          <w:szCs w:val="24"/>
        </w:rPr>
        <w:t>endometriecancer</w:t>
      </w:r>
      <w:proofErr w:type="spellEnd"/>
      <w:r>
        <w:rPr>
          <w:sz w:val="24"/>
          <w:szCs w:val="24"/>
        </w:rPr>
        <w:t xml:space="preserve"> for hver 1000 kvinder, der anvendte </w:t>
      </w:r>
      <w:proofErr w:type="spellStart"/>
      <w:r>
        <w:rPr>
          <w:sz w:val="24"/>
          <w:szCs w:val="24"/>
        </w:rPr>
        <w:t>tibolon</w:t>
      </w:r>
      <w:proofErr w:type="spellEnd"/>
      <w:r>
        <w:rPr>
          <w:sz w:val="24"/>
          <w:szCs w:val="24"/>
        </w:rPr>
        <w:t xml:space="preserve"> i ét år i dette studie (se pkt. 4.4).</w:t>
      </w:r>
    </w:p>
    <w:p w:rsidR="009652DC" w:rsidRDefault="009652DC" w:rsidP="009652DC">
      <w:pPr>
        <w:widowControl w:val="0"/>
        <w:tabs>
          <w:tab w:val="left" w:pos="426"/>
        </w:tabs>
        <w:autoSpaceDE w:val="0"/>
        <w:autoSpaceDN w:val="0"/>
        <w:adjustRightInd w:val="0"/>
        <w:ind w:left="851" w:right="-1"/>
        <w:rPr>
          <w:rFonts w:eastAsia="ヒラギノ角ゴ ProN W3"/>
          <w:sz w:val="24"/>
          <w:szCs w:val="24"/>
        </w:rPr>
      </w:pPr>
    </w:p>
    <w:p w:rsidR="009652DC" w:rsidRDefault="009652DC" w:rsidP="009652DC">
      <w:pPr>
        <w:widowControl w:val="0"/>
        <w:autoSpaceDE w:val="0"/>
        <w:autoSpaceDN w:val="0"/>
        <w:adjustRightInd w:val="0"/>
        <w:ind w:left="851" w:right="-1"/>
        <w:rPr>
          <w:sz w:val="24"/>
          <w:szCs w:val="24"/>
          <w:u w:val="single"/>
        </w:rPr>
      </w:pPr>
      <w:r>
        <w:rPr>
          <w:sz w:val="24"/>
          <w:szCs w:val="24"/>
          <w:u w:val="single"/>
        </w:rPr>
        <w:t>Risiko for lidelser i koronararterierne</w:t>
      </w:r>
    </w:p>
    <w:p w:rsidR="009652DC" w:rsidRDefault="009652DC" w:rsidP="009652DC">
      <w:pPr>
        <w:widowControl w:val="0"/>
        <w:autoSpaceDE w:val="0"/>
        <w:autoSpaceDN w:val="0"/>
        <w:adjustRightInd w:val="0"/>
        <w:ind w:left="851" w:right="-1"/>
        <w:rPr>
          <w:sz w:val="24"/>
          <w:szCs w:val="24"/>
        </w:rPr>
      </w:pPr>
      <w:r>
        <w:rPr>
          <w:sz w:val="24"/>
          <w:szCs w:val="24"/>
        </w:rPr>
        <w:t xml:space="preserve">Risikoen for lidelser i koronararterierne er let øget hos brugere af HRT med kombineret østrogen-gestagen i alderen over 60 år (se pkt. 4.4). Der er ikke bevis for, at risikoen for myokardieinfarkt er anderledes med </w:t>
      </w:r>
      <w:proofErr w:type="spellStart"/>
      <w:r>
        <w:rPr>
          <w:sz w:val="24"/>
          <w:szCs w:val="24"/>
        </w:rPr>
        <w:t>tibolon</w:t>
      </w:r>
      <w:proofErr w:type="spellEnd"/>
      <w:r>
        <w:rPr>
          <w:sz w:val="24"/>
          <w:szCs w:val="24"/>
        </w:rPr>
        <w:t xml:space="preserve"> end med andre HRT.</w:t>
      </w:r>
    </w:p>
    <w:p w:rsidR="009652DC" w:rsidRDefault="009652DC" w:rsidP="009652DC">
      <w:pPr>
        <w:widowControl w:val="0"/>
        <w:tabs>
          <w:tab w:val="left" w:pos="426"/>
        </w:tabs>
        <w:autoSpaceDE w:val="0"/>
        <w:autoSpaceDN w:val="0"/>
        <w:adjustRightInd w:val="0"/>
        <w:ind w:left="851" w:right="-1"/>
        <w:rPr>
          <w:rFonts w:eastAsia="ヒラギノ角ゴ ProN W3"/>
          <w:sz w:val="24"/>
          <w:szCs w:val="24"/>
        </w:rPr>
      </w:pPr>
    </w:p>
    <w:p w:rsidR="009652DC" w:rsidRDefault="009652DC" w:rsidP="009652DC">
      <w:pPr>
        <w:widowControl w:val="0"/>
        <w:autoSpaceDE w:val="0"/>
        <w:autoSpaceDN w:val="0"/>
        <w:adjustRightInd w:val="0"/>
        <w:ind w:left="851" w:right="-1"/>
        <w:rPr>
          <w:sz w:val="24"/>
          <w:szCs w:val="24"/>
          <w:u w:val="single"/>
        </w:rPr>
      </w:pPr>
      <w:r>
        <w:rPr>
          <w:sz w:val="24"/>
          <w:szCs w:val="24"/>
          <w:u w:val="single"/>
        </w:rPr>
        <w:t>Risiko for iskæmisk slagtilfælde</w:t>
      </w:r>
    </w:p>
    <w:p w:rsidR="009652DC" w:rsidRDefault="009652DC" w:rsidP="009652DC">
      <w:pPr>
        <w:widowControl w:val="0"/>
        <w:numPr>
          <w:ilvl w:val="0"/>
          <w:numId w:val="13"/>
        </w:numPr>
        <w:tabs>
          <w:tab w:val="clear" w:pos="1014"/>
          <w:tab w:val="num" w:pos="1134"/>
        </w:tabs>
        <w:autoSpaceDE w:val="0"/>
        <w:autoSpaceDN w:val="0"/>
        <w:adjustRightInd w:val="0"/>
        <w:ind w:left="1134" w:right="-1" w:hanging="283"/>
        <w:rPr>
          <w:rFonts w:ascii="MS Mincho" w:eastAsia="MS Mincho"/>
          <w:sz w:val="24"/>
          <w:szCs w:val="24"/>
        </w:rPr>
      </w:pPr>
      <w:r>
        <w:rPr>
          <w:sz w:val="24"/>
          <w:szCs w:val="24"/>
        </w:rPr>
        <w:t xml:space="preserve">Den relative risiko for iskæmisk slagtilfælde afhænger ikke af alder eller behandlingsvarighed, men eftersom baseline-risikoen i høj grad afhænger af alder, øges den samlede risiko for slagtilfælde med alderen hos kvinder, som bruger HRT eller </w:t>
      </w:r>
      <w:proofErr w:type="spellStart"/>
      <w:r>
        <w:rPr>
          <w:sz w:val="24"/>
          <w:szCs w:val="24"/>
        </w:rPr>
        <w:t>tibolon</w:t>
      </w:r>
      <w:proofErr w:type="spellEnd"/>
      <w:r>
        <w:rPr>
          <w:sz w:val="24"/>
          <w:szCs w:val="24"/>
        </w:rPr>
        <w:t>, se pkt. 4.4.</w:t>
      </w:r>
    </w:p>
    <w:p w:rsidR="009652DC" w:rsidRDefault="009652DC" w:rsidP="009652DC">
      <w:pPr>
        <w:widowControl w:val="0"/>
        <w:numPr>
          <w:ilvl w:val="0"/>
          <w:numId w:val="13"/>
        </w:numPr>
        <w:tabs>
          <w:tab w:val="clear" w:pos="1014"/>
          <w:tab w:val="num" w:pos="1134"/>
        </w:tabs>
        <w:autoSpaceDE w:val="0"/>
        <w:autoSpaceDN w:val="0"/>
        <w:adjustRightInd w:val="0"/>
        <w:ind w:left="1134" w:right="-1" w:hanging="283"/>
        <w:rPr>
          <w:rFonts w:ascii="MS Mincho" w:eastAsia="MS Mincho"/>
          <w:sz w:val="24"/>
          <w:szCs w:val="24"/>
          <w:lang w:val="en-US"/>
        </w:rPr>
      </w:pPr>
      <w:r>
        <w:rPr>
          <w:sz w:val="24"/>
          <w:szCs w:val="24"/>
        </w:rPr>
        <w:t xml:space="preserve">I et randomiseret, kontrolleret studie af 2,9 års varighed blev det estimeret, at risikoen for slagtilfælde er 2,2 gange højere hos kvinder (gennemsnitlig alder 68 år), der anvender 1,25 mg </w:t>
      </w:r>
      <w:proofErr w:type="spellStart"/>
      <w:r>
        <w:rPr>
          <w:sz w:val="24"/>
          <w:szCs w:val="24"/>
        </w:rPr>
        <w:t>tibolon</w:t>
      </w:r>
      <w:proofErr w:type="spellEnd"/>
      <w:r>
        <w:rPr>
          <w:sz w:val="24"/>
          <w:szCs w:val="24"/>
        </w:rPr>
        <w:t xml:space="preserve"> (28/2249), sammenlignet med placebo (13/2257). Størstedelen (80 %) af slagtilfældene var iskæmiske.</w:t>
      </w:r>
    </w:p>
    <w:p w:rsidR="009652DC" w:rsidRDefault="009652DC" w:rsidP="009652DC">
      <w:pPr>
        <w:widowControl w:val="0"/>
        <w:numPr>
          <w:ilvl w:val="0"/>
          <w:numId w:val="13"/>
        </w:numPr>
        <w:tabs>
          <w:tab w:val="clear" w:pos="1014"/>
          <w:tab w:val="num" w:pos="1134"/>
        </w:tabs>
        <w:autoSpaceDE w:val="0"/>
        <w:autoSpaceDN w:val="0"/>
        <w:adjustRightInd w:val="0"/>
        <w:ind w:left="1134" w:right="-1" w:hanging="283"/>
        <w:rPr>
          <w:rFonts w:ascii="MS Mincho" w:eastAsia="MS Mincho"/>
          <w:sz w:val="24"/>
          <w:szCs w:val="24"/>
        </w:rPr>
      </w:pPr>
      <w:r>
        <w:rPr>
          <w:sz w:val="24"/>
          <w:szCs w:val="24"/>
        </w:rPr>
        <w:t xml:space="preserve">Risikoen for slagtilfælde stiger markant med alderen. </w:t>
      </w:r>
      <w:proofErr w:type="spellStart"/>
      <w:r>
        <w:rPr>
          <w:sz w:val="24"/>
          <w:szCs w:val="24"/>
        </w:rPr>
        <w:t>Incidensen</w:t>
      </w:r>
      <w:proofErr w:type="spellEnd"/>
      <w:r>
        <w:rPr>
          <w:sz w:val="24"/>
          <w:szCs w:val="24"/>
        </w:rPr>
        <w:t xml:space="preserve"> over en femårig periode er estimeret til at være 3 pr. 1000 kvinder i alderen 50-59 år og 11 pr. 1000 kvinder i alderen 60-69 år.</w:t>
      </w:r>
    </w:p>
    <w:p w:rsidR="009652DC" w:rsidRDefault="009652DC" w:rsidP="009652DC">
      <w:pPr>
        <w:widowControl w:val="0"/>
        <w:numPr>
          <w:ilvl w:val="0"/>
          <w:numId w:val="13"/>
        </w:numPr>
        <w:tabs>
          <w:tab w:val="clear" w:pos="1014"/>
          <w:tab w:val="num" w:pos="1134"/>
        </w:tabs>
        <w:autoSpaceDE w:val="0"/>
        <w:autoSpaceDN w:val="0"/>
        <w:adjustRightInd w:val="0"/>
        <w:ind w:left="1134" w:right="-1" w:hanging="283"/>
        <w:rPr>
          <w:rFonts w:ascii="MS Mincho" w:eastAsia="MS Mincho"/>
          <w:sz w:val="24"/>
          <w:szCs w:val="24"/>
        </w:rPr>
      </w:pPr>
      <w:r>
        <w:rPr>
          <w:sz w:val="24"/>
          <w:szCs w:val="24"/>
        </w:rPr>
        <w:t xml:space="preserve">Hos kvinder, der anvender </w:t>
      </w:r>
      <w:proofErr w:type="spellStart"/>
      <w:r>
        <w:rPr>
          <w:sz w:val="24"/>
          <w:szCs w:val="24"/>
        </w:rPr>
        <w:t>tibolon</w:t>
      </w:r>
      <w:proofErr w:type="spellEnd"/>
      <w:r>
        <w:rPr>
          <w:sz w:val="24"/>
          <w:szCs w:val="24"/>
        </w:rPr>
        <w:t xml:space="preserve"> i fem år, forventes antallet af yderligere tilfælde at være omkring 4 pr. 1000 kvinder i alderen 50-59 år og 13 pr. 1000 kvinder i alderen 60-69 år.</w:t>
      </w:r>
    </w:p>
    <w:p w:rsidR="009652DC" w:rsidRDefault="009652DC" w:rsidP="009652DC">
      <w:pPr>
        <w:widowControl w:val="0"/>
        <w:tabs>
          <w:tab w:val="left" w:pos="851"/>
        </w:tabs>
        <w:autoSpaceDE w:val="0"/>
        <w:autoSpaceDN w:val="0"/>
        <w:adjustRightInd w:val="0"/>
        <w:ind w:left="851" w:right="-1"/>
        <w:rPr>
          <w:rFonts w:eastAsia="ヒラギノ角ゴ ProN W3"/>
          <w:sz w:val="24"/>
          <w:szCs w:val="24"/>
        </w:rPr>
      </w:pPr>
    </w:p>
    <w:p w:rsidR="009652DC" w:rsidRDefault="009652DC" w:rsidP="009652DC">
      <w:pPr>
        <w:widowControl w:val="0"/>
        <w:autoSpaceDE w:val="0"/>
        <w:autoSpaceDN w:val="0"/>
        <w:adjustRightInd w:val="0"/>
        <w:ind w:left="851" w:right="-1"/>
        <w:rPr>
          <w:sz w:val="24"/>
          <w:szCs w:val="24"/>
          <w:u w:val="single"/>
        </w:rPr>
      </w:pPr>
      <w:r>
        <w:rPr>
          <w:sz w:val="24"/>
          <w:szCs w:val="24"/>
          <w:u w:val="single"/>
        </w:rPr>
        <w:t xml:space="preserve">Andre bivirkninger rapporteret i forbindelse med behandling med østrogen-gestagen: </w:t>
      </w:r>
    </w:p>
    <w:p w:rsidR="009652DC" w:rsidRDefault="009652DC" w:rsidP="009652DC">
      <w:pPr>
        <w:widowControl w:val="0"/>
        <w:autoSpaceDE w:val="0"/>
        <w:autoSpaceDN w:val="0"/>
        <w:adjustRightInd w:val="0"/>
        <w:ind w:left="851" w:right="-1"/>
        <w:rPr>
          <w:sz w:val="24"/>
          <w:szCs w:val="24"/>
          <w:u w:val="single"/>
        </w:rPr>
      </w:pPr>
    </w:p>
    <w:p w:rsidR="009652DC" w:rsidRDefault="009652DC" w:rsidP="009652DC">
      <w:pPr>
        <w:pStyle w:val="Listeafsnit"/>
        <w:widowControl w:val="0"/>
        <w:numPr>
          <w:ilvl w:val="0"/>
          <w:numId w:val="14"/>
        </w:numPr>
        <w:autoSpaceDE w:val="0"/>
        <w:autoSpaceDN w:val="0"/>
        <w:adjustRightInd w:val="0"/>
        <w:ind w:left="1276" w:right="-1"/>
        <w:rPr>
          <w:sz w:val="24"/>
          <w:szCs w:val="24"/>
          <w:u w:val="single"/>
        </w:rPr>
      </w:pPr>
      <w:r>
        <w:rPr>
          <w:sz w:val="24"/>
          <w:szCs w:val="24"/>
          <w:u w:val="single"/>
        </w:rPr>
        <w:t>Ovariecancer</w:t>
      </w:r>
    </w:p>
    <w:p w:rsidR="009652DC" w:rsidRDefault="009652DC" w:rsidP="009652DC">
      <w:pPr>
        <w:widowControl w:val="0"/>
        <w:autoSpaceDE w:val="0"/>
        <w:autoSpaceDN w:val="0"/>
        <w:adjustRightInd w:val="0"/>
        <w:ind w:left="851" w:right="-1"/>
        <w:rPr>
          <w:sz w:val="24"/>
          <w:szCs w:val="24"/>
        </w:rPr>
      </w:pPr>
      <w:r>
        <w:rPr>
          <w:sz w:val="24"/>
          <w:szCs w:val="24"/>
        </w:rPr>
        <w:t xml:space="preserve">HRT-behandling med østrogen alene eller med kombineret østrogen og gestagen har været associeret med en let </w:t>
      </w:r>
      <w:proofErr w:type="spellStart"/>
      <w:r>
        <w:rPr>
          <w:sz w:val="24"/>
          <w:szCs w:val="24"/>
        </w:rPr>
        <w:t>forøjet</w:t>
      </w:r>
      <w:proofErr w:type="spellEnd"/>
      <w:r>
        <w:rPr>
          <w:sz w:val="24"/>
          <w:szCs w:val="24"/>
        </w:rPr>
        <w:t xml:space="preserve"> risiko for at få ovariecancer (se pkt. 4.4).</w:t>
      </w:r>
    </w:p>
    <w:p w:rsidR="009652DC" w:rsidRDefault="009652DC" w:rsidP="009652DC">
      <w:pPr>
        <w:widowControl w:val="0"/>
        <w:autoSpaceDE w:val="0"/>
        <w:autoSpaceDN w:val="0"/>
        <w:adjustRightInd w:val="0"/>
        <w:ind w:left="851" w:right="-1"/>
        <w:rPr>
          <w:sz w:val="24"/>
          <w:szCs w:val="24"/>
        </w:rPr>
      </w:pPr>
    </w:p>
    <w:p w:rsidR="009652DC" w:rsidRDefault="009652DC" w:rsidP="009652DC">
      <w:pPr>
        <w:widowControl w:val="0"/>
        <w:autoSpaceDE w:val="0"/>
        <w:autoSpaceDN w:val="0"/>
        <w:adjustRightInd w:val="0"/>
        <w:ind w:left="851" w:right="-1"/>
        <w:rPr>
          <w:sz w:val="24"/>
          <w:szCs w:val="24"/>
        </w:rPr>
      </w:pPr>
      <w:r>
        <w:rPr>
          <w:sz w:val="24"/>
          <w:szCs w:val="24"/>
        </w:rPr>
        <w:t xml:space="preserve">En </w:t>
      </w:r>
      <w:proofErr w:type="spellStart"/>
      <w:r>
        <w:rPr>
          <w:sz w:val="24"/>
          <w:szCs w:val="24"/>
        </w:rPr>
        <w:t>meta</w:t>
      </w:r>
      <w:proofErr w:type="spellEnd"/>
      <w:r>
        <w:rPr>
          <w:sz w:val="24"/>
          <w:szCs w:val="24"/>
        </w:rPr>
        <w:t>-analyse fra 52 epidemiologiske studier viste en forhøjet risiko for ovariecancer hos kvinder, der er i hormonsubstitutionsbehandling, sammenlignet med kvinder, der aldrig har brugt HRT (RR 1,43, 95 %-KI 1,31-1,56). For kvinder i alderen 50-54 år, som har taget HRT i 5 år, svarer det til ca. 1 yderligere tilfælde pr. 2.000 brugere. Blandt kvinder i alderen 50-54 år, som ikke tager HRT, diagnosticeres ovariecancer hos ca. 2 ud af 2.000 kvinder i løbet af en periode på 5 år.</w:t>
      </w:r>
    </w:p>
    <w:p w:rsidR="009652DC" w:rsidRDefault="009652DC" w:rsidP="009652DC">
      <w:pPr>
        <w:widowControl w:val="0"/>
        <w:autoSpaceDE w:val="0"/>
        <w:autoSpaceDN w:val="0"/>
        <w:adjustRightInd w:val="0"/>
        <w:ind w:left="851" w:right="-1"/>
        <w:rPr>
          <w:sz w:val="24"/>
          <w:szCs w:val="24"/>
        </w:rPr>
      </w:pPr>
    </w:p>
    <w:p w:rsidR="009652DC" w:rsidRDefault="009652DC" w:rsidP="009652DC">
      <w:pPr>
        <w:widowControl w:val="0"/>
        <w:autoSpaceDE w:val="0"/>
        <w:autoSpaceDN w:val="0"/>
        <w:adjustRightInd w:val="0"/>
        <w:ind w:left="851" w:right="-1"/>
        <w:rPr>
          <w:sz w:val="24"/>
          <w:szCs w:val="24"/>
        </w:rPr>
      </w:pPr>
      <w:r>
        <w:rPr>
          <w:sz w:val="24"/>
          <w:szCs w:val="24"/>
        </w:rPr>
        <w:t xml:space="preserve">I Million </w:t>
      </w:r>
      <w:proofErr w:type="spellStart"/>
      <w:r>
        <w:rPr>
          <w:sz w:val="24"/>
          <w:szCs w:val="24"/>
        </w:rPr>
        <w:t>Women</w:t>
      </w:r>
      <w:proofErr w:type="spellEnd"/>
      <w:r>
        <w:rPr>
          <w:sz w:val="24"/>
          <w:szCs w:val="24"/>
        </w:rPr>
        <w:t xml:space="preserve">-studiet resulterede 5 års </w:t>
      </w:r>
      <w:proofErr w:type="spellStart"/>
      <w:r>
        <w:rPr>
          <w:sz w:val="24"/>
          <w:szCs w:val="24"/>
        </w:rPr>
        <w:t>tibolon</w:t>
      </w:r>
      <w:proofErr w:type="spellEnd"/>
      <w:r>
        <w:rPr>
          <w:sz w:val="24"/>
          <w:szCs w:val="24"/>
        </w:rPr>
        <w:t>-behandling i 1 yderligere tilfælde pr. 2.500 brugere (se pkt. 4.4).</w:t>
      </w:r>
    </w:p>
    <w:p w:rsidR="009652DC" w:rsidRDefault="009652DC" w:rsidP="009652DC">
      <w:pPr>
        <w:widowControl w:val="0"/>
        <w:tabs>
          <w:tab w:val="left" w:pos="851"/>
        </w:tabs>
        <w:autoSpaceDE w:val="0"/>
        <w:autoSpaceDN w:val="0"/>
        <w:adjustRightInd w:val="0"/>
        <w:ind w:left="851" w:right="-1"/>
        <w:rPr>
          <w:sz w:val="24"/>
          <w:szCs w:val="24"/>
          <w:u w:val="single"/>
        </w:rPr>
      </w:pPr>
    </w:p>
    <w:p w:rsidR="009652DC" w:rsidRDefault="009652DC" w:rsidP="009652DC">
      <w:pPr>
        <w:widowControl w:val="0"/>
        <w:numPr>
          <w:ilvl w:val="0"/>
          <w:numId w:val="15"/>
        </w:numPr>
        <w:tabs>
          <w:tab w:val="clear" w:pos="720"/>
          <w:tab w:val="num" w:pos="1134"/>
        </w:tabs>
        <w:autoSpaceDE w:val="0"/>
        <w:autoSpaceDN w:val="0"/>
        <w:adjustRightInd w:val="0"/>
        <w:ind w:left="1134" w:right="-1" w:hanging="283"/>
        <w:rPr>
          <w:rFonts w:ascii="ヒラギノ角ゴ ProN W3" w:eastAsia="ヒラギノ角ゴ ProN W3"/>
          <w:sz w:val="24"/>
          <w:szCs w:val="24"/>
          <w:u w:val="single"/>
          <w:lang w:val="en-US"/>
        </w:rPr>
      </w:pPr>
      <w:r>
        <w:rPr>
          <w:sz w:val="24"/>
          <w:szCs w:val="24"/>
          <w:u w:val="single"/>
        </w:rPr>
        <w:t>HRT forbindes med en 1,3-3 gange øget relativ risiko for udvikling af venøs</w:t>
      </w:r>
      <w:r>
        <w:rPr>
          <w:sz w:val="24"/>
          <w:szCs w:val="24"/>
        </w:rPr>
        <w:t xml:space="preserve"> </w:t>
      </w:r>
      <w:proofErr w:type="spellStart"/>
      <w:r>
        <w:rPr>
          <w:sz w:val="24"/>
          <w:szCs w:val="24"/>
        </w:rPr>
        <w:t>tromboemboli</w:t>
      </w:r>
      <w:proofErr w:type="spellEnd"/>
      <w:r>
        <w:rPr>
          <w:sz w:val="24"/>
          <w:szCs w:val="24"/>
        </w:rPr>
        <w:t xml:space="preserve"> (VTE), dvs. dyb venetrombose eller </w:t>
      </w:r>
      <w:proofErr w:type="spellStart"/>
      <w:r>
        <w:rPr>
          <w:sz w:val="24"/>
          <w:szCs w:val="24"/>
        </w:rPr>
        <w:t>lungeemboli</w:t>
      </w:r>
      <w:proofErr w:type="spellEnd"/>
      <w:r>
        <w:rPr>
          <w:sz w:val="24"/>
          <w:szCs w:val="24"/>
        </w:rPr>
        <w:t xml:space="preserve">. Sandsynligheden for sådanne hændelser er størst i det første </w:t>
      </w:r>
      <w:proofErr w:type="spellStart"/>
      <w:r>
        <w:rPr>
          <w:sz w:val="24"/>
          <w:szCs w:val="24"/>
        </w:rPr>
        <w:t>behandlingsår</w:t>
      </w:r>
      <w:proofErr w:type="spellEnd"/>
      <w:r>
        <w:rPr>
          <w:sz w:val="24"/>
          <w:szCs w:val="24"/>
        </w:rPr>
        <w:t xml:space="preserve"> med HRT (se pkt. 4.4). Resultaterne fra WHI-studierne er anført nedenfor: </w:t>
      </w:r>
    </w:p>
    <w:p w:rsidR="009652DC" w:rsidRDefault="009652DC" w:rsidP="009652DC">
      <w:pPr>
        <w:pStyle w:val="Brdtekstindrykning"/>
        <w:ind w:left="851" w:right="-1" w:hanging="706"/>
        <w:jc w:val="left"/>
        <w:rPr>
          <w:b w:val="0"/>
          <w:sz w:val="24"/>
          <w:lang w:val="da-DK"/>
        </w:rPr>
      </w:pPr>
    </w:p>
    <w:p w:rsidR="00573037" w:rsidRDefault="00573037" w:rsidP="009652DC">
      <w:pPr>
        <w:pStyle w:val="Brdtekstindrykning"/>
        <w:ind w:left="851" w:right="-1" w:hanging="706"/>
        <w:jc w:val="left"/>
        <w:rPr>
          <w:sz w:val="24"/>
          <w:lang w:val="da-DK"/>
        </w:rPr>
      </w:pPr>
    </w:p>
    <w:p w:rsidR="00573037" w:rsidRDefault="00573037" w:rsidP="009652DC">
      <w:pPr>
        <w:pStyle w:val="Brdtekstindrykning"/>
        <w:ind w:left="851" w:right="-1" w:hanging="706"/>
        <w:jc w:val="left"/>
        <w:rPr>
          <w:sz w:val="24"/>
          <w:lang w:val="da-DK"/>
        </w:rPr>
      </w:pPr>
    </w:p>
    <w:p w:rsidR="00573037" w:rsidRDefault="00573037" w:rsidP="009652DC">
      <w:pPr>
        <w:pStyle w:val="Brdtekstindrykning"/>
        <w:ind w:left="851" w:right="-1" w:hanging="706"/>
        <w:jc w:val="left"/>
        <w:rPr>
          <w:sz w:val="24"/>
          <w:lang w:val="da-DK"/>
        </w:rPr>
      </w:pPr>
    </w:p>
    <w:p w:rsidR="009652DC" w:rsidRDefault="009652DC" w:rsidP="009652DC">
      <w:pPr>
        <w:pStyle w:val="Brdtekstindrykning"/>
        <w:ind w:left="851" w:right="-1" w:hanging="706"/>
        <w:jc w:val="left"/>
        <w:rPr>
          <w:sz w:val="24"/>
          <w:lang w:val="da-DK"/>
        </w:rPr>
      </w:pPr>
      <w:r>
        <w:rPr>
          <w:sz w:val="24"/>
          <w:lang w:val="da-DK"/>
        </w:rPr>
        <w:lastRenderedPageBreak/>
        <w:t xml:space="preserve">Tabel 3 WHI-studier – yderligere risiko for VTE over en 5-årig periode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36"/>
        <w:gridCol w:w="3175"/>
        <w:gridCol w:w="1636"/>
        <w:gridCol w:w="3175"/>
      </w:tblGrid>
      <w:tr w:rsidR="009652DC" w:rsidTr="003B4BC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firstLine="0"/>
              <w:jc w:val="left"/>
              <w:rPr>
                <w:sz w:val="24"/>
              </w:rPr>
            </w:pPr>
            <w:r>
              <w:rPr>
                <w:b w:val="0"/>
                <w:sz w:val="24"/>
                <w:lang w:val="da-DK"/>
              </w:rPr>
              <w:t>Alder (år)</w:t>
            </w:r>
            <w:r>
              <w:rPr>
                <w:b w:val="0"/>
                <w:sz w:val="24"/>
                <w:lang w:val="de-DE"/>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firstLine="10"/>
              <w:jc w:val="left"/>
              <w:rPr>
                <w:sz w:val="24"/>
                <w:lang w:val="da-DK"/>
              </w:rPr>
            </w:pPr>
            <w:proofErr w:type="spellStart"/>
            <w:r>
              <w:rPr>
                <w:b w:val="0"/>
                <w:sz w:val="24"/>
                <w:lang w:val="da-DK"/>
              </w:rPr>
              <w:t>Incidens</w:t>
            </w:r>
            <w:proofErr w:type="spellEnd"/>
            <w:r>
              <w:rPr>
                <w:b w:val="0"/>
                <w:sz w:val="24"/>
                <w:lang w:val="da-DK"/>
              </w:rPr>
              <w:t xml:space="preserve"> pr. 1000 kvinder i placeboarmen over en 5-årig periode </w:t>
            </w:r>
          </w:p>
        </w:tc>
        <w:tc>
          <w:tcPr>
            <w:tcW w:w="8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firstLine="0"/>
              <w:jc w:val="left"/>
              <w:rPr>
                <w:sz w:val="24"/>
              </w:rPr>
            </w:pPr>
            <w:r>
              <w:rPr>
                <w:b w:val="0"/>
                <w:sz w:val="24"/>
                <w:lang w:val="da-DK"/>
              </w:rPr>
              <w:t>Risikoforhold og 95 % CI</w:t>
            </w:r>
            <w:r>
              <w:rPr>
                <w:b w:val="0"/>
                <w:sz w:val="24"/>
                <w:lang w:val="de-DE"/>
              </w:rPr>
              <w:t xml:space="preserve"> </w:t>
            </w:r>
          </w:p>
        </w:tc>
        <w:tc>
          <w:tcPr>
            <w:tcW w:w="16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tabs>
                <w:tab w:val="left" w:pos="211"/>
              </w:tabs>
              <w:ind w:left="0" w:right="-1" w:hanging="47"/>
              <w:jc w:val="left"/>
              <w:rPr>
                <w:sz w:val="24"/>
                <w:lang w:val="da-DK"/>
              </w:rPr>
            </w:pPr>
            <w:r>
              <w:rPr>
                <w:b w:val="0"/>
                <w:sz w:val="24"/>
                <w:lang w:val="da-DK"/>
              </w:rPr>
              <w:t xml:space="preserve">Yderligere tilfælde pr. 1000 kvinder, der bruger HRT </w:t>
            </w:r>
          </w:p>
        </w:tc>
      </w:tr>
      <w:tr w:rsidR="009652DC" w:rsidTr="003B4BCE">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tabs>
                <w:tab w:val="left" w:pos="211"/>
              </w:tabs>
              <w:ind w:left="0" w:right="-1" w:firstLine="0"/>
              <w:jc w:val="left"/>
              <w:rPr>
                <w:sz w:val="24"/>
              </w:rPr>
            </w:pPr>
            <w:proofErr w:type="gramStart"/>
            <w:r>
              <w:rPr>
                <w:b w:val="0"/>
                <w:sz w:val="24"/>
                <w:lang w:val="da-DK"/>
              </w:rPr>
              <w:t>Oral østrogen</w:t>
            </w:r>
            <w:proofErr w:type="gramEnd"/>
            <w:r>
              <w:rPr>
                <w:b w:val="0"/>
                <w:sz w:val="24"/>
                <w:lang w:val="da-DK"/>
              </w:rPr>
              <w:t xml:space="preserve"> alene*</w:t>
            </w:r>
            <w:r>
              <w:rPr>
                <w:b w:val="0"/>
                <w:sz w:val="24"/>
              </w:rPr>
              <w:t xml:space="preserve"> </w:t>
            </w:r>
          </w:p>
        </w:tc>
      </w:tr>
      <w:tr w:rsidR="009652DC" w:rsidTr="003B4BC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firstLine="0"/>
              <w:jc w:val="left"/>
              <w:rPr>
                <w:b w:val="0"/>
                <w:sz w:val="24"/>
              </w:rPr>
            </w:pPr>
            <w:r>
              <w:rPr>
                <w:b w:val="0"/>
                <w:sz w:val="24"/>
              </w:rPr>
              <w:t xml:space="preserve">50-59 </w:t>
            </w:r>
          </w:p>
        </w:tc>
        <w:tc>
          <w:tcPr>
            <w:tcW w:w="16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hanging="706"/>
              <w:jc w:val="left"/>
              <w:rPr>
                <w:b w:val="0"/>
                <w:sz w:val="24"/>
              </w:rPr>
            </w:pPr>
            <w:r>
              <w:rPr>
                <w:b w:val="0"/>
                <w:sz w:val="24"/>
              </w:rPr>
              <w:t xml:space="preserve">7 </w:t>
            </w:r>
          </w:p>
        </w:tc>
        <w:tc>
          <w:tcPr>
            <w:tcW w:w="8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hanging="706"/>
              <w:jc w:val="left"/>
              <w:rPr>
                <w:b w:val="0"/>
                <w:sz w:val="24"/>
              </w:rPr>
            </w:pPr>
            <w:r>
              <w:rPr>
                <w:b w:val="0"/>
                <w:sz w:val="24"/>
              </w:rPr>
              <w:t xml:space="preserve">1.2 (0.6-2.4) </w:t>
            </w:r>
          </w:p>
        </w:tc>
        <w:tc>
          <w:tcPr>
            <w:tcW w:w="16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tabs>
                <w:tab w:val="left" w:pos="211"/>
              </w:tabs>
              <w:ind w:left="0" w:right="-1" w:hanging="706"/>
              <w:jc w:val="left"/>
              <w:rPr>
                <w:b w:val="0"/>
                <w:sz w:val="24"/>
              </w:rPr>
            </w:pPr>
            <w:r>
              <w:rPr>
                <w:b w:val="0"/>
                <w:sz w:val="24"/>
              </w:rPr>
              <w:t xml:space="preserve">1 (-3-10) </w:t>
            </w:r>
          </w:p>
        </w:tc>
      </w:tr>
      <w:tr w:rsidR="009652DC" w:rsidTr="003B4BCE">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tabs>
                <w:tab w:val="left" w:pos="211"/>
              </w:tabs>
              <w:ind w:left="0" w:right="-1" w:firstLine="0"/>
              <w:jc w:val="left"/>
              <w:rPr>
                <w:sz w:val="24"/>
              </w:rPr>
            </w:pPr>
            <w:r>
              <w:rPr>
                <w:b w:val="0"/>
                <w:sz w:val="24"/>
                <w:lang w:val="da-DK"/>
              </w:rPr>
              <w:t>Oral kombineret østrogen-gestagen</w:t>
            </w:r>
            <w:r>
              <w:rPr>
                <w:b w:val="0"/>
                <w:sz w:val="24"/>
              </w:rPr>
              <w:t xml:space="preserve"> </w:t>
            </w:r>
          </w:p>
        </w:tc>
      </w:tr>
      <w:tr w:rsidR="009652DC" w:rsidTr="003B4BCE">
        <w:trPr>
          <w:tblCellSpacing w:w="0" w:type="dxa"/>
        </w:trPr>
        <w:tc>
          <w:tcPr>
            <w:tcW w:w="8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firstLine="0"/>
              <w:jc w:val="left"/>
              <w:rPr>
                <w:b w:val="0"/>
                <w:sz w:val="24"/>
              </w:rPr>
            </w:pPr>
            <w:r>
              <w:rPr>
                <w:b w:val="0"/>
                <w:sz w:val="24"/>
              </w:rPr>
              <w:t xml:space="preserve">50-59 </w:t>
            </w:r>
          </w:p>
        </w:tc>
        <w:tc>
          <w:tcPr>
            <w:tcW w:w="16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hanging="706"/>
              <w:jc w:val="left"/>
              <w:rPr>
                <w:b w:val="0"/>
                <w:sz w:val="24"/>
              </w:rPr>
            </w:pPr>
            <w:r>
              <w:rPr>
                <w:b w:val="0"/>
                <w:sz w:val="24"/>
              </w:rPr>
              <w:t xml:space="preserve">4 </w:t>
            </w:r>
          </w:p>
        </w:tc>
        <w:tc>
          <w:tcPr>
            <w:tcW w:w="8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ind w:left="0" w:right="-1" w:hanging="706"/>
              <w:jc w:val="left"/>
              <w:rPr>
                <w:sz w:val="24"/>
              </w:rPr>
            </w:pPr>
            <w:r>
              <w:rPr>
                <w:b w:val="0"/>
                <w:sz w:val="24"/>
              </w:rPr>
              <w:t xml:space="preserve">2.3 (1.2–4.3) </w:t>
            </w:r>
          </w:p>
        </w:tc>
        <w:tc>
          <w:tcPr>
            <w:tcW w:w="1650" w:type="pct"/>
            <w:tcBorders>
              <w:top w:val="outset" w:sz="6" w:space="0" w:color="auto"/>
              <w:left w:val="outset" w:sz="6" w:space="0" w:color="auto"/>
              <w:bottom w:val="outset" w:sz="6" w:space="0" w:color="auto"/>
              <w:right w:val="outset" w:sz="6" w:space="0" w:color="auto"/>
            </w:tcBorders>
            <w:hideMark/>
          </w:tcPr>
          <w:p w:rsidR="009652DC" w:rsidRDefault="009652DC" w:rsidP="003B4BCE">
            <w:pPr>
              <w:pStyle w:val="Brdtekstindrykning"/>
              <w:tabs>
                <w:tab w:val="left" w:pos="211"/>
              </w:tabs>
              <w:ind w:left="0" w:right="-1" w:hanging="706"/>
              <w:jc w:val="left"/>
              <w:rPr>
                <w:b w:val="0"/>
                <w:sz w:val="24"/>
              </w:rPr>
            </w:pPr>
            <w:r>
              <w:rPr>
                <w:b w:val="0"/>
                <w:sz w:val="24"/>
              </w:rPr>
              <w:t xml:space="preserve">5 (1-13) </w:t>
            </w:r>
          </w:p>
        </w:tc>
      </w:tr>
    </w:tbl>
    <w:p w:rsidR="009652DC" w:rsidRDefault="009652DC" w:rsidP="009652DC">
      <w:pPr>
        <w:pStyle w:val="Brdtekstindrykning"/>
        <w:ind w:left="851" w:right="-1" w:hanging="706"/>
        <w:jc w:val="left"/>
        <w:rPr>
          <w:b w:val="0"/>
          <w:sz w:val="24"/>
          <w:lang w:val="da-DK"/>
        </w:rPr>
      </w:pPr>
      <w:r>
        <w:rPr>
          <w:b w:val="0"/>
          <w:sz w:val="24"/>
          <w:lang w:val="da-DK"/>
        </w:rPr>
        <w:t xml:space="preserve">* Studie med kvinder uden uterus </w:t>
      </w:r>
    </w:p>
    <w:p w:rsidR="009652DC" w:rsidRDefault="009652DC" w:rsidP="009652DC">
      <w:pPr>
        <w:widowControl w:val="0"/>
        <w:autoSpaceDE w:val="0"/>
        <w:autoSpaceDN w:val="0"/>
        <w:adjustRightInd w:val="0"/>
        <w:ind w:right="-1"/>
        <w:rPr>
          <w:rFonts w:ascii="ヒラギノ角ゴ ProN W3" w:eastAsia="ヒラギノ角ゴ ProN W3"/>
          <w:sz w:val="24"/>
          <w:szCs w:val="24"/>
        </w:rPr>
      </w:pPr>
    </w:p>
    <w:p w:rsidR="009652DC" w:rsidRDefault="009652DC" w:rsidP="009652DC">
      <w:pPr>
        <w:widowControl w:val="0"/>
        <w:numPr>
          <w:ilvl w:val="0"/>
          <w:numId w:val="16"/>
        </w:numPr>
        <w:autoSpaceDE w:val="0"/>
        <w:autoSpaceDN w:val="0"/>
        <w:adjustRightInd w:val="0"/>
        <w:ind w:left="1276" w:right="-1" w:hanging="425"/>
        <w:rPr>
          <w:rFonts w:ascii="ヒラギノ角ゴ ProN W3" w:eastAsia="ヒラギノ角ゴ ProN W3"/>
          <w:sz w:val="24"/>
          <w:szCs w:val="24"/>
        </w:rPr>
      </w:pPr>
      <w:r>
        <w:rPr>
          <w:sz w:val="24"/>
          <w:szCs w:val="24"/>
        </w:rPr>
        <w:t xml:space="preserve">Risikoen for lidelser i koronararterierne er let øget hos brugere af HRT med kombineret østrogen-gestagen i alderen over 60 år (se pkt. 4.4). Der er ikke bevis for, at risikoen for myokardieinfarkt er anderledes med </w:t>
      </w:r>
      <w:proofErr w:type="spellStart"/>
      <w:r>
        <w:rPr>
          <w:sz w:val="24"/>
          <w:szCs w:val="24"/>
        </w:rPr>
        <w:t>tibolon</w:t>
      </w:r>
      <w:proofErr w:type="spellEnd"/>
      <w:r>
        <w:rPr>
          <w:sz w:val="24"/>
          <w:szCs w:val="24"/>
        </w:rPr>
        <w:t xml:space="preserve"> end med andre HRT.</w:t>
      </w:r>
    </w:p>
    <w:p w:rsidR="009652DC" w:rsidRDefault="009652DC" w:rsidP="009652DC">
      <w:pPr>
        <w:widowControl w:val="0"/>
        <w:numPr>
          <w:ilvl w:val="0"/>
          <w:numId w:val="16"/>
        </w:numPr>
        <w:autoSpaceDE w:val="0"/>
        <w:autoSpaceDN w:val="0"/>
        <w:adjustRightInd w:val="0"/>
        <w:ind w:left="1276" w:right="-1" w:hanging="425"/>
        <w:rPr>
          <w:sz w:val="24"/>
          <w:szCs w:val="24"/>
          <w:lang w:val="en-US"/>
        </w:rPr>
      </w:pPr>
      <w:r>
        <w:rPr>
          <w:sz w:val="24"/>
          <w:szCs w:val="24"/>
        </w:rPr>
        <w:t>Galdeblæresygdom.</w:t>
      </w:r>
    </w:p>
    <w:p w:rsidR="009652DC" w:rsidRDefault="009652DC" w:rsidP="009652DC">
      <w:pPr>
        <w:widowControl w:val="0"/>
        <w:numPr>
          <w:ilvl w:val="0"/>
          <w:numId w:val="16"/>
        </w:numPr>
        <w:autoSpaceDE w:val="0"/>
        <w:autoSpaceDN w:val="0"/>
        <w:adjustRightInd w:val="0"/>
        <w:ind w:left="1276" w:right="-1" w:hanging="425"/>
        <w:rPr>
          <w:sz w:val="24"/>
          <w:szCs w:val="24"/>
        </w:rPr>
      </w:pPr>
      <w:r>
        <w:rPr>
          <w:sz w:val="24"/>
          <w:szCs w:val="24"/>
        </w:rPr>
        <w:t xml:space="preserve">Hud og subkutane væv: </w:t>
      </w:r>
      <w:proofErr w:type="spellStart"/>
      <w:r>
        <w:rPr>
          <w:sz w:val="24"/>
          <w:szCs w:val="24"/>
        </w:rPr>
        <w:t>chloasma</w:t>
      </w:r>
      <w:proofErr w:type="spellEnd"/>
      <w:r>
        <w:rPr>
          <w:sz w:val="24"/>
          <w:szCs w:val="24"/>
        </w:rPr>
        <w:t xml:space="preserve">, </w:t>
      </w:r>
      <w:proofErr w:type="spellStart"/>
      <w:r>
        <w:rPr>
          <w:sz w:val="24"/>
          <w:szCs w:val="24"/>
        </w:rPr>
        <w:t>erythema</w:t>
      </w:r>
      <w:proofErr w:type="spellEnd"/>
      <w:r>
        <w:rPr>
          <w:sz w:val="24"/>
          <w:szCs w:val="24"/>
        </w:rPr>
        <w:t xml:space="preserve"> multiforme, </w:t>
      </w:r>
      <w:proofErr w:type="spellStart"/>
      <w:r>
        <w:rPr>
          <w:sz w:val="24"/>
          <w:szCs w:val="24"/>
        </w:rPr>
        <w:t>erythema</w:t>
      </w:r>
      <w:proofErr w:type="spellEnd"/>
      <w:r>
        <w:rPr>
          <w:sz w:val="24"/>
          <w:szCs w:val="24"/>
        </w:rPr>
        <w:t xml:space="preserve"> </w:t>
      </w:r>
      <w:proofErr w:type="spellStart"/>
      <w:r>
        <w:rPr>
          <w:sz w:val="24"/>
          <w:szCs w:val="24"/>
        </w:rPr>
        <w:t>nodosum</w:t>
      </w:r>
      <w:proofErr w:type="spellEnd"/>
      <w:r>
        <w:rPr>
          <w:sz w:val="24"/>
          <w:szCs w:val="24"/>
        </w:rPr>
        <w:t xml:space="preserve"> og </w:t>
      </w:r>
      <w:proofErr w:type="spellStart"/>
      <w:r>
        <w:rPr>
          <w:sz w:val="24"/>
          <w:szCs w:val="24"/>
        </w:rPr>
        <w:t>vaskulær</w:t>
      </w:r>
      <w:proofErr w:type="spellEnd"/>
      <w:r>
        <w:rPr>
          <w:sz w:val="24"/>
          <w:szCs w:val="24"/>
        </w:rPr>
        <w:t xml:space="preserve"> </w:t>
      </w:r>
      <w:proofErr w:type="spellStart"/>
      <w:r>
        <w:rPr>
          <w:sz w:val="24"/>
          <w:szCs w:val="24"/>
        </w:rPr>
        <w:t>purpura</w:t>
      </w:r>
      <w:proofErr w:type="spellEnd"/>
      <w:r>
        <w:rPr>
          <w:sz w:val="24"/>
          <w:szCs w:val="24"/>
        </w:rPr>
        <w:t>.</w:t>
      </w:r>
    </w:p>
    <w:p w:rsidR="009652DC" w:rsidRDefault="009652DC" w:rsidP="009652DC">
      <w:pPr>
        <w:widowControl w:val="0"/>
        <w:numPr>
          <w:ilvl w:val="0"/>
          <w:numId w:val="16"/>
        </w:numPr>
        <w:autoSpaceDE w:val="0"/>
        <w:autoSpaceDN w:val="0"/>
        <w:adjustRightInd w:val="0"/>
        <w:ind w:left="1276" w:right="-1" w:hanging="425"/>
        <w:rPr>
          <w:sz w:val="24"/>
          <w:szCs w:val="24"/>
        </w:rPr>
      </w:pPr>
      <w:r>
        <w:rPr>
          <w:sz w:val="24"/>
          <w:szCs w:val="24"/>
        </w:rPr>
        <w:t>Mulig demens hos kvinder over 65 år (se pkt. 4.4).</w:t>
      </w:r>
    </w:p>
    <w:p w:rsidR="009652DC" w:rsidRDefault="009652DC" w:rsidP="009652DC">
      <w:pPr>
        <w:widowControl w:val="0"/>
        <w:tabs>
          <w:tab w:val="left" w:pos="426"/>
          <w:tab w:val="center" w:pos="4536"/>
          <w:tab w:val="right" w:pos="9072"/>
        </w:tabs>
        <w:autoSpaceDE w:val="0"/>
        <w:autoSpaceDN w:val="0"/>
        <w:adjustRightInd w:val="0"/>
        <w:ind w:left="1134" w:right="-1" w:hanging="283"/>
        <w:rPr>
          <w:rFonts w:eastAsia="ヒラギノ角ゴ ProN W3"/>
          <w:sz w:val="24"/>
          <w:szCs w:val="24"/>
        </w:rPr>
      </w:pPr>
    </w:p>
    <w:p w:rsidR="009652DC" w:rsidRDefault="009652DC" w:rsidP="009652DC">
      <w:pPr>
        <w:ind w:left="851"/>
        <w:rPr>
          <w:color w:val="000000"/>
          <w:sz w:val="24"/>
          <w:szCs w:val="24"/>
        </w:rPr>
      </w:pPr>
      <w:r>
        <w:rPr>
          <w:color w:val="000000"/>
          <w:sz w:val="24"/>
          <w:szCs w:val="24"/>
          <w:u w:val="single"/>
        </w:rPr>
        <w:t>Indberetning af formodede bivirkninger</w:t>
      </w:r>
      <w:r>
        <w:rPr>
          <w:color w:val="000000"/>
          <w:sz w:val="24"/>
          <w:szCs w:val="24"/>
          <w:u w:val="single"/>
        </w:rPr>
        <w:br/>
      </w:r>
      <w:r>
        <w:rPr>
          <w:color w:val="000000"/>
          <w:sz w:val="24"/>
          <w:szCs w:val="24"/>
        </w:rPr>
        <w:t>Når lægemidlet er godkendt, er indberetning af formodede bivirkninger vigtig. Det muliggør løbende overvågning af benefit/</w:t>
      </w:r>
      <w:proofErr w:type="spellStart"/>
      <w:r>
        <w:rPr>
          <w:color w:val="000000"/>
          <w:sz w:val="24"/>
          <w:szCs w:val="24"/>
        </w:rPr>
        <w:t>risk</w:t>
      </w:r>
      <w:proofErr w:type="spellEnd"/>
      <w:r>
        <w:rPr>
          <w:color w:val="000000"/>
          <w:sz w:val="24"/>
          <w:szCs w:val="24"/>
        </w:rPr>
        <w:t xml:space="preserve">-forholdet for lægemidlet. </w:t>
      </w:r>
      <w:r w:rsidR="004B628A">
        <w:rPr>
          <w:color w:val="000000"/>
          <w:sz w:val="24"/>
          <w:szCs w:val="24"/>
        </w:rPr>
        <w:t xml:space="preserve">Sundhedspersoner </w:t>
      </w:r>
      <w:r>
        <w:rPr>
          <w:color w:val="000000"/>
          <w:sz w:val="24"/>
          <w:szCs w:val="24"/>
        </w:rPr>
        <w:t>anmodes om at indberette alle formodede bivirkninger til:</w:t>
      </w:r>
    </w:p>
    <w:p w:rsidR="009652DC" w:rsidRDefault="009652DC" w:rsidP="009652DC">
      <w:pPr>
        <w:ind w:left="851"/>
        <w:rPr>
          <w:color w:val="000000"/>
          <w:sz w:val="24"/>
          <w:szCs w:val="24"/>
        </w:rPr>
      </w:pPr>
    </w:p>
    <w:p w:rsidR="009652DC" w:rsidRDefault="009652DC" w:rsidP="009652DC">
      <w:pPr>
        <w:ind w:left="851"/>
        <w:rPr>
          <w:color w:val="000000"/>
          <w:sz w:val="24"/>
          <w:szCs w:val="24"/>
        </w:rPr>
      </w:pPr>
      <w:r>
        <w:rPr>
          <w:color w:val="000000"/>
          <w:sz w:val="24"/>
          <w:szCs w:val="24"/>
        </w:rPr>
        <w:t>Lægemiddelstyrelsen</w:t>
      </w:r>
    </w:p>
    <w:p w:rsidR="009652DC" w:rsidRDefault="009652DC" w:rsidP="009652DC">
      <w:pPr>
        <w:ind w:left="851"/>
        <w:rPr>
          <w:color w:val="000000"/>
          <w:sz w:val="24"/>
          <w:szCs w:val="24"/>
        </w:rPr>
      </w:pPr>
      <w:r>
        <w:rPr>
          <w:color w:val="000000"/>
          <w:sz w:val="24"/>
          <w:szCs w:val="24"/>
        </w:rPr>
        <w:t>Axel Heides Gade 1</w:t>
      </w:r>
    </w:p>
    <w:p w:rsidR="009652DC" w:rsidRPr="004B628A" w:rsidRDefault="009652DC" w:rsidP="004B628A">
      <w:pPr>
        <w:ind w:left="851"/>
        <w:rPr>
          <w:color w:val="000000"/>
          <w:sz w:val="24"/>
          <w:szCs w:val="24"/>
        </w:rPr>
      </w:pPr>
      <w:r>
        <w:rPr>
          <w:color w:val="000000"/>
          <w:sz w:val="24"/>
          <w:szCs w:val="24"/>
        </w:rPr>
        <w:t xml:space="preserve">DK-2300 København S </w:t>
      </w:r>
      <w:r>
        <w:rPr>
          <w:color w:val="000000"/>
          <w:sz w:val="24"/>
          <w:szCs w:val="24"/>
        </w:rPr>
        <w:br/>
        <w:t xml:space="preserve">Websted: </w:t>
      </w:r>
      <w:hyperlink r:id="rId8" w:history="1">
        <w:r>
          <w:rPr>
            <w:rStyle w:val="Hyperlink"/>
            <w:color w:val="000000"/>
            <w:sz w:val="24"/>
            <w:szCs w:val="24"/>
          </w:rPr>
          <w:t>www.meldenbivirkning.dk</w:t>
        </w:r>
      </w:hyperlink>
      <w:r w:rsidRPr="004B628A">
        <w:rPr>
          <w:color w:val="000000"/>
          <w:sz w:val="24"/>
          <w:szCs w:val="24"/>
        </w:rPr>
        <w:t xml:space="preserve"> </w:t>
      </w:r>
    </w:p>
    <w:p w:rsidR="009652DC" w:rsidRPr="004B628A" w:rsidRDefault="009652DC" w:rsidP="009652DC">
      <w:pPr>
        <w:pStyle w:val="Sidehoved"/>
        <w:tabs>
          <w:tab w:val="left" w:pos="851"/>
        </w:tabs>
        <w:rPr>
          <w:szCs w:val="24"/>
        </w:rPr>
      </w:pPr>
    </w:p>
    <w:p w:rsidR="009652DC" w:rsidRPr="00FC058B" w:rsidRDefault="009652DC" w:rsidP="009652DC">
      <w:pPr>
        <w:tabs>
          <w:tab w:val="left" w:pos="851"/>
        </w:tabs>
        <w:ind w:left="851" w:hanging="851"/>
        <w:rPr>
          <w:b/>
          <w:sz w:val="24"/>
          <w:szCs w:val="24"/>
          <w:lang w:val="en-US"/>
        </w:rPr>
      </w:pPr>
      <w:r w:rsidRPr="00FC058B">
        <w:rPr>
          <w:b/>
          <w:sz w:val="24"/>
          <w:szCs w:val="24"/>
          <w:lang w:val="en-US"/>
        </w:rPr>
        <w:t>4.9</w:t>
      </w:r>
      <w:r w:rsidRPr="00FC058B">
        <w:rPr>
          <w:b/>
          <w:sz w:val="24"/>
          <w:szCs w:val="24"/>
          <w:lang w:val="en-US"/>
        </w:rPr>
        <w:tab/>
      </w:r>
      <w:proofErr w:type="spellStart"/>
      <w:r w:rsidRPr="00FC058B">
        <w:rPr>
          <w:b/>
          <w:sz w:val="24"/>
          <w:szCs w:val="24"/>
          <w:lang w:val="en-US"/>
        </w:rPr>
        <w:t>Overdosering</w:t>
      </w:r>
      <w:proofErr w:type="spellEnd"/>
    </w:p>
    <w:p w:rsidR="009652DC" w:rsidRPr="00B536EF" w:rsidRDefault="009652DC" w:rsidP="009652DC">
      <w:pPr>
        <w:widowControl w:val="0"/>
        <w:autoSpaceDE w:val="0"/>
        <w:autoSpaceDN w:val="0"/>
        <w:adjustRightInd w:val="0"/>
        <w:ind w:left="851" w:right="-1"/>
        <w:rPr>
          <w:sz w:val="24"/>
          <w:szCs w:val="24"/>
        </w:rPr>
      </w:pPr>
      <w:r w:rsidRPr="00B536EF">
        <w:rPr>
          <w:spacing w:val="-3"/>
          <w:sz w:val="24"/>
          <w:szCs w:val="24"/>
        </w:rPr>
        <w:t xml:space="preserve">Den akutte toksicitet af </w:t>
      </w:r>
      <w:proofErr w:type="spellStart"/>
      <w:r w:rsidRPr="00B536EF">
        <w:rPr>
          <w:spacing w:val="-3"/>
          <w:sz w:val="24"/>
          <w:szCs w:val="24"/>
        </w:rPr>
        <w:t>tibolon</w:t>
      </w:r>
      <w:proofErr w:type="spellEnd"/>
      <w:r w:rsidRPr="00B536EF">
        <w:rPr>
          <w:spacing w:val="-3"/>
          <w:sz w:val="24"/>
          <w:szCs w:val="24"/>
        </w:rPr>
        <w:t xml:space="preserve"> hos dyr er meget lav.</w:t>
      </w:r>
      <w:r w:rsidRPr="00B536EF">
        <w:rPr>
          <w:sz w:val="24"/>
          <w:szCs w:val="24"/>
        </w:rPr>
        <w:t xml:space="preserve"> </w:t>
      </w:r>
      <w:r w:rsidRPr="00B536EF">
        <w:rPr>
          <w:spacing w:val="-3"/>
          <w:sz w:val="24"/>
          <w:szCs w:val="24"/>
        </w:rPr>
        <w:t>Derfor forventes det ikke, at toksiske symptomer vil forekomme, selv ved indtag af mange tabletter samtidigt.</w:t>
      </w:r>
      <w:r w:rsidRPr="00B536EF">
        <w:rPr>
          <w:sz w:val="24"/>
          <w:szCs w:val="24"/>
        </w:rPr>
        <w:t xml:space="preserve"> </w:t>
      </w:r>
      <w:r w:rsidRPr="00B536EF">
        <w:rPr>
          <w:spacing w:val="-3"/>
          <w:sz w:val="24"/>
          <w:szCs w:val="24"/>
        </w:rPr>
        <w:t xml:space="preserve">I tilfælde af akut overdosering kan kvalme, opkastning og vaginal blødning hos kvinder forekomme. </w:t>
      </w:r>
      <w:r w:rsidRPr="00B536EF">
        <w:rPr>
          <w:sz w:val="24"/>
          <w:szCs w:val="24"/>
        </w:rPr>
        <w:t xml:space="preserve"> Der kendes ingen specifik </w:t>
      </w:r>
      <w:proofErr w:type="spellStart"/>
      <w:r w:rsidRPr="00B536EF">
        <w:rPr>
          <w:sz w:val="24"/>
          <w:szCs w:val="24"/>
        </w:rPr>
        <w:t>antidot</w:t>
      </w:r>
      <w:proofErr w:type="spellEnd"/>
      <w:r w:rsidRPr="00B536EF">
        <w:rPr>
          <w:sz w:val="24"/>
          <w:szCs w:val="24"/>
        </w:rPr>
        <w:t>. Symptomatisk behandling kan gives hvis nødvendigt.</w:t>
      </w: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4.10</w:t>
      </w:r>
      <w:r w:rsidRPr="00B536EF">
        <w:rPr>
          <w:b/>
          <w:sz w:val="24"/>
          <w:szCs w:val="24"/>
        </w:rPr>
        <w:tab/>
        <w:t>Udlevering</w:t>
      </w:r>
    </w:p>
    <w:p w:rsidR="009652DC" w:rsidRPr="00B536EF" w:rsidRDefault="009652DC" w:rsidP="009652DC">
      <w:pPr>
        <w:tabs>
          <w:tab w:val="left" w:pos="851"/>
        </w:tabs>
        <w:ind w:left="851" w:hanging="851"/>
        <w:rPr>
          <w:sz w:val="24"/>
          <w:szCs w:val="24"/>
        </w:rPr>
      </w:pPr>
      <w:r w:rsidRPr="00B536EF">
        <w:rPr>
          <w:sz w:val="24"/>
          <w:szCs w:val="24"/>
        </w:rPr>
        <w:tab/>
      </w:r>
      <w:r>
        <w:rPr>
          <w:sz w:val="24"/>
          <w:szCs w:val="24"/>
        </w:rPr>
        <w:t>B</w:t>
      </w:r>
    </w:p>
    <w:p w:rsidR="009652DC" w:rsidRPr="00B536EF" w:rsidRDefault="009652DC" w:rsidP="009652DC">
      <w:pPr>
        <w:tabs>
          <w:tab w:val="left" w:pos="851"/>
        </w:tabs>
        <w:rPr>
          <w:sz w:val="24"/>
          <w:szCs w:val="24"/>
        </w:rPr>
      </w:pP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5.</w:t>
      </w:r>
      <w:r w:rsidRPr="00B536EF">
        <w:rPr>
          <w:b/>
          <w:sz w:val="24"/>
          <w:szCs w:val="24"/>
        </w:rPr>
        <w:tab/>
        <w:t>FARMAKOLOGISKE EGENSKABER</w:t>
      </w:r>
    </w:p>
    <w:p w:rsidR="009652DC" w:rsidRPr="00B536EF" w:rsidRDefault="009652DC" w:rsidP="009652DC">
      <w:pPr>
        <w:tabs>
          <w:tab w:val="left" w:pos="851"/>
        </w:tabs>
        <w:rPr>
          <w:sz w:val="24"/>
          <w:szCs w:val="24"/>
        </w:rPr>
      </w:pPr>
    </w:p>
    <w:p w:rsidR="009652DC" w:rsidRPr="00B536EF" w:rsidRDefault="009652DC" w:rsidP="009652DC">
      <w:pPr>
        <w:tabs>
          <w:tab w:val="num" w:pos="851"/>
        </w:tabs>
        <w:ind w:left="851" w:hanging="851"/>
        <w:rPr>
          <w:b/>
          <w:sz w:val="24"/>
          <w:szCs w:val="24"/>
        </w:rPr>
      </w:pPr>
      <w:r w:rsidRPr="00B536EF">
        <w:rPr>
          <w:b/>
          <w:sz w:val="24"/>
          <w:szCs w:val="24"/>
        </w:rPr>
        <w:t>5.1</w:t>
      </w:r>
      <w:r w:rsidRPr="00B536EF">
        <w:rPr>
          <w:b/>
          <w:sz w:val="24"/>
          <w:szCs w:val="24"/>
        </w:rPr>
        <w:tab/>
      </w:r>
      <w:proofErr w:type="spellStart"/>
      <w:r w:rsidRPr="00B536EF">
        <w:rPr>
          <w:b/>
          <w:sz w:val="24"/>
          <w:szCs w:val="24"/>
        </w:rPr>
        <w:t>Farmakodynamiske</w:t>
      </w:r>
      <w:proofErr w:type="spellEnd"/>
      <w:r w:rsidRPr="00B536EF">
        <w:rPr>
          <w:b/>
          <w:sz w:val="24"/>
          <w:szCs w:val="24"/>
        </w:rPr>
        <w:t xml:space="preserve"> egenskaber</w:t>
      </w:r>
    </w:p>
    <w:p w:rsidR="00BA3743" w:rsidRPr="00BA3743" w:rsidRDefault="00BA3743" w:rsidP="00BA3743">
      <w:pPr>
        <w:widowControl w:val="0"/>
        <w:autoSpaceDE w:val="0"/>
        <w:autoSpaceDN w:val="0"/>
        <w:adjustRightInd w:val="0"/>
        <w:ind w:left="851" w:right="-1"/>
        <w:rPr>
          <w:sz w:val="24"/>
          <w:szCs w:val="24"/>
        </w:rPr>
      </w:pPr>
      <w:proofErr w:type="spellStart"/>
      <w:r>
        <w:rPr>
          <w:spacing w:val="-3"/>
          <w:sz w:val="24"/>
          <w:szCs w:val="24"/>
        </w:rPr>
        <w:t>Farmakoterapeutisk</w:t>
      </w:r>
      <w:proofErr w:type="spellEnd"/>
      <w:r>
        <w:rPr>
          <w:spacing w:val="-3"/>
          <w:sz w:val="24"/>
          <w:szCs w:val="24"/>
        </w:rPr>
        <w:t xml:space="preserve"> klassifikation: </w:t>
      </w:r>
      <w:r w:rsidRPr="00B536EF">
        <w:rPr>
          <w:sz w:val="24"/>
          <w:szCs w:val="24"/>
        </w:rPr>
        <w:t>Andre østrogener</w:t>
      </w:r>
      <w:r>
        <w:rPr>
          <w:sz w:val="24"/>
          <w:szCs w:val="24"/>
        </w:rPr>
        <w:t>.</w:t>
      </w:r>
      <w:r>
        <w:rPr>
          <w:sz w:val="24"/>
          <w:szCs w:val="24"/>
        </w:rPr>
        <w:t xml:space="preserve"> </w:t>
      </w:r>
      <w:r w:rsidRPr="0061501C">
        <w:rPr>
          <w:sz w:val="24"/>
          <w:szCs w:val="24"/>
        </w:rPr>
        <w:t>ATC-kode: G</w:t>
      </w:r>
      <w:r>
        <w:rPr>
          <w:sz w:val="24"/>
          <w:szCs w:val="24"/>
        </w:rPr>
        <w:t xml:space="preserve"> </w:t>
      </w:r>
      <w:r w:rsidRPr="0061501C">
        <w:rPr>
          <w:sz w:val="24"/>
          <w:szCs w:val="24"/>
        </w:rPr>
        <w:t>03</w:t>
      </w:r>
      <w:r>
        <w:rPr>
          <w:sz w:val="24"/>
          <w:szCs w:val="24"/>
        </w:rPr>
        <w:t xml:space="preserve"> </w:t>
      </w:r>
      <w:r w:rsidRPr="0061501C">
        <w:rPr>
          <w:sz w:val="24"/>
          <w:szCs w:val="24"/>
        </w:rPr>
        <w:t>CX</w:t>
      </w:r>
      <w:r>
        <w:rPr>
          <w:sz w:val="24"/>
          <w:szCs w:val="24"/>
        </w:rPr>
        <w:t xml:space="preserve"> </w:t>
      </w:r>
      <w:r w:rsidRPr="0061501C">
        <w:rPr>
          <w:sz w:val="24"/>
          <w:szCs w:val="24"/>
        </w:rPr>
        <w:t>01</w:t>
      </w:r>
      <w:r>
        <w:rPr>
          <w:sz w:val="24"/>
          <w:szCs w:val="24"/>
        </w:rPr>
        <w:t>.</w:t>
      </w:r>
    </w:p>
    <w:p w:rsidR="00BA3743" w:rsidRDefault="00BA3743" w:rsidP="009652DC">
      <w:pPr>
        <w:widowControl w:val="0"/>
        <w:autoSpaceDE w:val="0"/>
        <w:autoSpaceDN w:val="0"/>
        <w:adjustRightInd w:val="0"/>
        <w:ind w:left="851" w:right="-1"/>
        <w:rPr>
          <w:spacing w:val="-3"/>
          <w:sz w:val="24"/>
          <w:szCs w:val="24"/>
        </w:rPr>
      </w:pPr>
    </w:p>
    <w:p w:rsidR="009652DC" w:rsidRDefault="009652DC" w:rsidP="009652DC">
      <w:pPr>
        <w:widowControl w:val="0"/>
        <w:autoSpaceDE w:val="0"/>
        <w:autoSpaceDN w:val="0"/>
        <w:adjustRightInd w:val="0"/>
        <w:ind w:left="851" w:right="-1"/>
        <w:rPr>
          <w:rFonts w:ascii="ヒラギノ角ゴ ProN W3" w:eastAsia="ヒラギノ角ゴ ProN W3"/>
          <w:sz w:val="24"/>
          <w:szCs w:val="24"/>
        </w:rPr>
      </w:pPr>
      <w:r>
        <w:rPr>
          <w:spacing w:val="-3"/>
          <w:sz w:val="24"/>
          <w:szCs w:val="24"/>
        </w:rPr>
        <w:t xml:space="preserve">Efter oral indtagelse </w:t>
      </w:r>
      <w:proofErr w:type="spellStart"/>
      <w:r>
        <w:rPr>
          <w:spacing w:val="-3"/>
          <w:sz w:val="24"/>
          <w:szCs w:val="24"/>
        </w:rPr>
        <w:t>metaboliseres</w:t>
      </w:r>
      <w:proofErr w:type="spellEnd"/>
      <w:r>
        <w:rPr>
          <w:spacing w:val="-3"/>
          <w:sz w:val="24"/>
          <w:szCs w:val="24"/>
        </w:rPr>
        <w:t xml:space="preserve"> </w:t>
      </w:r>
      <w:proofErr w:type="spellStart"/>
      <w:r>
        <w:rPr>
          <w:spacing w:val="-3"/>
          <w:sz w:val="24"/>
          <w:szCs w:val="24"/>
        </w:rPr>
        <w:t>tibolon</w:t>
      </w:r>
      <w:proofErr w:type="spellEnd"/>
      <w:r>
        <w:rPr>
          <w:spacing w:val="-3"/>
          <w:sz w:val="24"/>
          <w:szCs w:val="24"/>
        </w:rPr>
        <w:t xml:space="preserve"> hurtigt til tre stoffer, som alle medvirker til </w:t>
      </w:r>
      <w:proofErr w:type="spellStart"/>
      <w:r>
        <w:rPr>
          <w:spacing w:val="-3"/>
          <w:sz w:val="24"/>
          <w:szCs w:val="24"/>
        </w:rPr>
        <w:t>Tibolon</w:t>
      </w:r>
      <w:proofErr w:type="spellEnd"/>
      <w:r>
        <w:rPr>
          <w:spacing w:val="-3"/>
          <w:sz w:val="24"/>
          <w:szCs w:val="24"/>
        </w:rPr>
        <w:t xml:space="preserve"> ”</w:t>
      </w:r>
      <w:proofErr w:type="spellStart"/>
      <w:r>
        <w:rPr>
          <w:spacing w:val="-3"/>
          <w:sz w:val="24"/>
          <w:szCs w:val="24"/>
        </w:rPr>
        <w:t>Aristo”s</w:t>
      </w:r>
      <w:proofErr w:type="spellEnd"/>
      <w:r>
        <w:rPr>
          <w:spacing w:val="-3"/>
          <w:sz w:val="24"/>
          <w:szCs w:val="24"/>
        </w:rPr>
        <w:t xml:space="preserve"> farmakologiske virkninger.</w:t>
      </w:r>
      <w:r>
        <w:rPr>
          <w:sz w:val="24"/>
          <w:szCs w:val="24"/>
        </w:rPr>
        <w:t xml:space="preserve"> </w:t>
      </w:r>
      <w:r>
        <w:rPr>
          <w:spacing w:val="-3"/>
          <w:sz w:val="24"/>
          <w:szCs w:val="24"/>
        </w:rPr>
        <w:t>To af disse metabolitter (3 α-OH-</w:t>
      </w:r>
      <w:proofErr w:type="spellStart"/>
      <w:r>
        <w:rPr>
          <w:spacing w:val="-3"/>
          <w:sz w:val="24"/>
          <w:szCs w:val="24"/>
        </w:rPr>
        <w:t>tibolon</w:t>
      </w:r>
      <w:proofErr w:type="spellEnd"/>
      <w:r>
        <w:rPr>
          <w:spacing w:val="-3"/>
          <w:sz w:val="24"/>
          <w:szCs w:val="24"/>
        </w:rPr>
        <w:t xml:space="preserve"> og 3 β-OH-</w:t>
      </w:r>
      <w:proofErr w:type="spellStart"/>
      <w:r>
        <w:rPr>
          <w:spacing w:val="-3"/>
          <w:sz w:val="24"/>
          <w:szCs w:val="24"/>
        </w:rPr>
        <w:t>tibolon</w:t>
      </w:r>
      <w:proofErr w:type="spellEnd"/>
      <w:r>
        <w:rPr>
          <w:spacing w:val="-3"/>
          <w:sz w:val="24"/>
          <w:szCs w:val="24"/>
        </w:rPr>
        <w:t xml:space="preserve">) har østrogenlignende aktivitet, mens den tredje metabolit (delta4-isomer af </w:t>
      </w:r>
      <w:proofErr w:type="spellStart"/>
      <w:r>
        <w:rPr>
          <w:spacing w:val="-3"/>
          <w:sz w:val="24"/>
          <w:szCs w:val="24"/>
        </w:rPr>
        <w:t>tibolon</w:t>
      </w:r>
      <w:proofErr w:type="spellEnd"/>
      <w:r>
        <w:rPr>
          <w:spacing w:val="-3"/>
          <w:sz w:val="24"/>
          <w:szCs w:val="24"/>
        </w:rPr>
        <w:t xml:space="preserve">) har gestagen- og </w:t>
      </w:r>
      <w:proofErr w:type="spellStart"/>
      <w:r>
        <w:rPr>
          <w:spacing w:val="-3"/>
          <w:sz w:val="24"/>
          <w:szCs w:val="24"/>
        </w:rPr>
        <w:t>androgenlignende</w:t>
      </w:r>
      <w:proofErr w:type="spellEnd"/>
      <w:r>
        <w:rPr>
          <w:spacing w:val="-3"/>
          <w:sz w:val="24"/>
          <w:szCs w:val="24"/>
        </w:rPr>
        <w:t xml:space="preserve"> aktivitet.</w:t>
      </w:r>
      <w:r>
        <w:rPr>
          <w:sz w:val="24"/>
          <w:szCs w:val="24"/>
        </w:rPr>
        <w:t xml:space="preserve"> På grund af </w:t>
      </w:r>
      <w:proofErr w:type="spellStart"/>
      <w:r>
        <w:rPr>
          <w:sz w:val="24"/>
          <w:szCs w:val="24"/>
        </w:rPr>
        <w:t>tibolon</w:t>
      </w:r>
      <w:proofErr w:type="spellEnd"/>
      <w:r>
        <w:rPr>
          <w:sz w:val="24"/>
          <w:szCs w:val="24"/>
        </w:rPr>
        <w:t xml:space="preserve"> og dets metabolitters kombinerede aktivitet, virker </w:t>
      </w:r>
      <w:proofErr w:type="spellStart"/>
      <w:r>
        <w:rPr>
          <w:sz w:val="24"/>
          <w:szCs w:val="24"/>
        </w:rPr>
        <w:t>tibolon</w:t>
      </w:r>
      <w:proofErr w:type="spellEnd"/>
      <w:r>
        <w:rPr>
          <w:sz w:val="24"/>
          <w:szCs w:val="24"/>
        </w:rPr>
        <w:t xml:space="preserve"> vævsspecifikt som beskrevet nedenfor.</w:t>
      </w:r>
    </w:p>
    <w:p w:rsidR="009652DC" w:rsidRDefault="009652DC" w:rsidP="009652DC">
      <w:pPr>
        <w:widowControl w:val="0"/>
        <w:autoSpaceDE w:val="0"/>
        <w:autoSpaceDN w:val="0"/>
        <w:adjustRightInd w:val="0"/>
        <w:ind w:left="851" w:right="-1"/>
        <w:rPr>
          <w:rFonts w:eastAsia="ヒラギノ角ゴ ProN W3"/>
          <w:sz w:val="24"/>
          <w:szCs w:val="24"/>
        </w:rPr>
      </w:pPr>
    </w:p>
    <w:p w:rsidR="009652DC" w:rsidRDefault="009652DC" w:rsidP="009652DC">
      <w:pPr>
        <w:widowControl w:val="0"/>
        <w:autoSpaceDE w:val="0"/>
        <w:autoSpaceDN w:val="0"/>
        <w:adjustRightInd w:val="0"/>
        <w:ind w:left="851" w:right="-1"/>
        <w:rPr>
          <w:sz w:val="24"/>
          <w:szCs w:val="24"/>
        </w:rPr>
      </w:pP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tabletter </w:t>
      </w:r>
      <w:r>
        <w:rPr>
          <w:spacing w:val="-3"/>
          <w:sz w:val="24"/>
          <w:szCs w:val="24"/>
        </w:rPr>
        <w:t xml:space="preserve">kompenserer for den nedsatte østrogenproduktion hos </w:t>
      </w:r>
      <w:proofErr w:type="spellStart"/>
      <w:r>
        <w:rPr>
          <w:spacing w:val="-3"/>
          <w:sz w:val="24"/>
          <w:szCs w:val="24"/>
        </w:rPr>
        <w:t>postmenopausale</w:t>
      </w:r>
      <w:proofErr w:type="spellEnd"/>
      <w:r>
        <w:rPr>
          <w:spacing w:val="-3"/>
          <w:sz w:val="24"/>
          <w:szCs w:val="24"/>
        </w:rPr>
        <w:t xml:space="preserve"> kvinder og afhjælper </w:t>
      </w:r>
      <w:proofErr w:type="spellStart"/>
      <w:r>
        <w:rPr>
          <w:spacing w:val="-3"/>
          <w:sz w:val="24"/>
          <w:szCs w:val="24"/>
        </w:rPr>
        <w:t>menopausale</w:t>
      </w:r>
      <w:proofErr w:type="spellEnd"/>
      <w:r>
        <w:rPr>
          <w:spacing w:val="-3"/>
          <w:sz w:val="24"/>
          <w:szCs w:val="24"/>
        </w:rPr>
        <w:t xml:space="preserve"> symptomer. </w:t>
      </w:r>
      <w:proofErr w:type="spellStart"/>
      <w:r>
        <w:rPr>
          <w:spacing w:val="-3"/>
          <w:sz w:val="24"/>
          <w:szCs w:val="24"/>
        </w:rPr>
        <w:t>Tibolon</w:t>
      </w:r>
      <w:proofErr w:type="spellEnd"/>
      <w:r>
        <w:rPr>
          <w:spacing w:val="-3"/>
          <w:sz w:val="24"/>
          <w:szCs w:val="24"/>
        </w:rPr>
        <w:t xml:space="preserve"> ”</w:t>
      </w:r>
      <w:proofErr w:type="spellStart"/>
      <w:r>
        <w:rPr>
          <w:spacing w:val="-3"/>
          <w:sz w:val="24"/>
          <w:szCs w:val="24"/>
        </w:rPr>
        <w:t>Aristo</w:t>
      </w:r>
      <w:proofErr w:type="spellEnd"/>
      <w:r>
        <w:rPr>
          <w:spacing w:val="-3"/>
          <w:sz w:val="24"/>
          <w:szCs w:val="24"/>
        </w:rPr>
        <w:t xml:space="preserve">” 2,5 mg tabletter modvirker knogletab efter menopause eller </w:t>
      </w:r>
      <w:proofErr w:type="spellStart"/>
      <w:r>
        <w:rPr>
          <w:spacing w:val="-3"/>
          <w:sz w:val="24"/>
          <w:szCs w:val="24"/>
        </w:rPr>
        <w:t>ovariektomi</w:t>
      </w:r>
      <w:proofErr w:type="spellEnd"/>
      <w:r>
        <w:rPr>
          <w:spacing w:val="-3"/>
          <w:sz w:val="24"/>
          <w:szCs w:val="24"/>
        </w:rPr>
        <w:t>.</w:t>
      </w:r>
      <w:r>
        <w:rPr>
          <w:sz w:val="24"/>
          <w:szCs w:val="24"/>
        </w:rPr>
        <w:t xml:space="preserve"> </w:t>
      </w:r>
    </w:p>
    <w:p w:rsidR="009652DC" w:rsidRDefault="009652DC" w:rsidP="009652DC">
      <w:pPr>
        <w:widowControl w:val="0"/>
        <w:autoSpaceDE w:val="0"/>
        <w:autoSpaceDN w:val="0"/>
        <w:adjustRightInd w:val="0"/>
        <w:ind w:left="851" w:right="-1"/>
        <w:rPr>
          <w:rFonts w:eastAsia="ヒラギノ角ゴ ProN W3"/>
          <w:i/>
          <w:iCs/>
          <w:sz w:val="24"/>
          <w:szCs w:val="24"/>
          <w:u w:val="single"/>
        </w:rPr>
      </w:pPr>
    </w:p>
    <w:p w:rsidR="009652DC" w:rsidRDefault="009652DC" w:rsidP="009652DC">
      <w:pPr>
        <w:widowControl w:val="0"/>
        <w:autoSpaceDE w:val="0"/>
        <w:autoSpaceDN w:val="0"/>
        <w:adjustRightInd w:val="0"/>
        <w:ind w:left="851" w:right="-1"/>
        <w:rPr>
          <w:sz w:val="24"/>
          <w:szCs w:val="24"/>
        </w:rPr>
      </w:pPr>
      <w:r>
        <w:rPr>
          <w:spacing w:val="-3"/>
          <w:sz w:val="24"/>
          <w:szCs w:val="24"/>
          <w:u w:val="single"/>
        </w:rPr>
        <w:t xml:space="preserve">Information fra kliniske studier af </w:t>
      </w:r>
      <w:proofErr w:type="spellStart"/>
      <w:r>
        <w:rPr>
          <w:spacing w:val="-3"/>
          <w:sz w:val="24"/>
          <w:szCs w:val="24"/>
          <w:u w:val="single"/>
        </w:rPr>
        <w:t>Tibolon</w:t>
      </w:r>
      <w:proofErr w:type="spellEnd"/>
      <w:r>
        <w:rPr>
          <w:spacing w:val="-3"/>
          <w:sz w:val="24"/>
          <w:szCs w:val="24"/>
          <w:u w:val="single"/>
        </w:rPr>
        <w:t xml:space="preserve"> ”</w:t>
      </w:r>
      <w:proofErr w:type="spellStart"/>
      <w:r>
        <w:rPr>
          <w:spacing w:val="-3"/>
          <w:sz w:val="24"/>
          <w:szCs w:val="24"/>
          <w:u w:val="single"/>
        </w:rPr>
        <w:t>Aristo</w:t>
      </w:r>
      <w:proofErr w:type="spellEnd"/>
      <w:r>
        <w:rPr>
          <w:spacing w:val="-3"/>
          <w:sz w:val="24"/>
          <w:szCs w:val="24"/>
          <w:u w:val="single"/>
        </w:rPr>
        <w:t>” 2,5 mg tabletter:</w:t>
      </w:r>
    </w:p>
    <w:p w:rsidR="009652DC" w:rsidRDefault="009652DC" w:rsidP="009652DC">
      <w:pPr>
        <w:widowControl w:val="0"/>
        <w:autoSpaceDE w:val="0"/>
        <w:autoSpaceDN w:val="0"/>
        <w:adjustRightInd w:val="0"/>
        <w:ind w:left="851" w:right="-1"/>
        <w:rPr>
          <w:rFonts w:eastAsia="ヒラギノ角ゴ ProN W3"/>
          <w:sz w:val="24"/>
          <w:szCs w:val="24"/>
        </w:rPr>
      </w:pPr>
    </w:p>
    <w:p w:rsidR="009652DC" w:rsidRPr="004B628A" w:rsidRDefault="009652DC" w:rsidP="009652DC">
      <w:pPr>
        <w:widowControl w:val="0"/>
        <w:autoSpaceDE w:val="0"/>
        <w:autoSpaceDN w:val="0"/>
        <w:adjustRightInd w:val="0"/>
        <w:ind w:left="851" w:right="-1"/>
        <w:rPr>
          <w:rFonts w:ascii="ヒラギノ角ゴ ProN W3" w:eastAsia="ヒラギノ角ゴ ProN W3"/>
          <w:sz w:val="24"/>
          <w:szCs w:val="24"/>
          <w:u w:val="single"/>
        </w:rPr>
      </w:pPr>
      <w:r w:rsidRPr="004B628A">
        <w:rPr>
          <w:sz w:val="24"/>
          <w:szCs w:val="24"/>
        </w:rPr>
        <w:t>Lindring af symptomer på østrogenmangel:</w:t>
      </w:r>
    </w:p>
    <w:p w:rsidR="009652DC" w:rsidRDefault="009652DC" w:rsidP="009652DC">
      <w:pPr>
        <w:widowControl w:val="0"/>
        <w:numPr>
          <w:ilvl w:val="0"/>
          <w:numId w:val="17"/>
        </w:numPr>
        <w:autoSpaceDE w:val="0"/>
        <w:autoSpaceDN w:val="0"/>
        <w:adjustRightInd w:val="0"/>
        <w:ind w:left="1276" w:hanging="425"/>
        <w:rPr>
          <w:rFonts w:ascii="ヒラギノ角ゴ ProN W3" w:eastAsia="ヒラギノ角ゴ ProN W3"/>
          <w:sz w:val="24"/>
          <w:szCs w:val="24"/>
          <w:u w:val="single"/>
        </w:rPr>
      </w:pPr>
      <w:r>
        <w:rPr>
          <w:sz w:val="24"/>
          <w:szCs w:val="24"/>
        </w:rPr>
        <w:t xml:space="preserve">Lindring af </w:t>
      </w:r>
      <w:proofErr w:type="spellStart"/>
      <w:r>
        <w:rPr>
          <w:sz w:val="24"/>
          <w:szCs w:val="24"/>
        </w:rPr>
        <w:t>menopausale</w:t>
      </w:r>
      <w:proofErr w:type="spellEnd"/>
      <w:r>
        <w:rPr>
          <w:sz w:val="24"/>
          <w:szCs w:val="24"/>
        </w:rPr>
        <w:t xml:space="preserve"> symptomer forekommer i reglen i løbet af de første uger af behandlingen.</w:t>
      </w:r>
    </w:p>
    <w:p w:rsidR="009652DC" w:rsidRDefault="009652DC" w:rsidP="009652DC">
      <w:pPr>
        <w:widowControl w:val="0"/>
        <w:tabs>
          <w:tab w:val="left" w:pos="426"/>
        </w:tabs>
        <w:autoSpaceDE w:val="0"/>
        <w:autoSpaceDN w:val="0"/>
        <w:adjustRightInd w:val="0"/>
        <w:ind w:left="851" w:right="-1"/>
        <w:rPr>
          <w:rFonts w:eastAsia="ヒラギノ角ゴ ProN W3"/>
          <w:sz w:val="24"/>
          <w:szCs w:val="24"/>
          <w:u w:val="single"/>
        </w:rPr>
      </w:pPr>
    </w:p>
    <w:p w:rsidR="009652DC" w:rsidRPr="004B628A" w:rsidRDefault="009652DC" w:rsidP="009652DC">
      <w:pPr>
        <w:widowControl w:val="0"/>
        <w:tabs>
          <w:tab w:val="left" w:pos="426"/>
        </w:tabs>
        <w:autoSpaceDE w:val="0"/>
        <w:autoSpaceDN w:val="0"/>
        <w:adjustRightInd w:val="0"/>
        <w:ind w:left="851" w:right="-1"/>
        <w:rPr>
          <w:rFonts w:ascii="ヒラギノ角ゴ ProN W3" w:eastAsia="ヒラギノ角ゴ ProN W3"/>
          <w:sz w:val="24"/>
          <w:szCs w:val="24"/>
          <w:u w:val="single"/>
        </w:rPr>
      </w:pPr>
      <w:r w:rsidRPr="004B628A">
        <w:rPr>
          <w:sz w:val="24"/>
          <w:szCs w:val="24"/>
        </w:rPr>
        <w:t xml:space="preserve">Effekt på </w:t>
      </w:r>
      <w:proofErr w:type="spellStart"/>
      <w:r w:rsidRPr="004B628A">
        <w:rPr>
          <w:sz w:val="24"/>
          <w:szCs w:val="24"/>
        </w:rPr>
        <w:t>endometriet</w:t>
      </w:r>
      <w:proofErr w:type="spellEnd"/>
      <w:r w:rsidRPr="004B628A">
        <w:rPr>
          <w:sz w:val="24"/>
          <w:szCs w:val="24"/>
        </w:rPr>
        <w:t xml:space="preserve"> og blødningsmønsteret:</w:t>
      </w:r>
    </w:p>
    <w:p w:rsidR="009652DC" w:rsidRDefault="009652DC" w:rsidP="009652DC">
      <w:pPr>
        <w:widowControl w:val="0"/>
        <w:numPr>
          <w:ilvl w:val="0"/>
          <w:numId w:val="17"/>
        </w:numPr>
        <w:autoSpaceDE w:val="0"/>
        <w:autoSpaceDN w:val="0"/>
        <w:adjustRightInd w:val="0"/>
        <w:ind w:left="1276" w:right="-1" w:hanging="425"/>
        <w:rPr>
          <w:rFonts w:ascii="ヒラギノ角ゴ ProN W3" w:eastAsia="ヒラギノ角ゴ ProN W3"/>
          <w:sz w:val="24"/>
          <w:szCs w:val="24"/>
          <w:u w:val="single"/>
        </w:rPr>
      </w:pPr>
      <w:r>
        <w:rPr>
          <w:sz w:val="24"/>
          <w:szCs w:val="24"/>
        </w:rPr>
        <w:t xml:space="preserve">Der er rapporteret tilfælde af </w:t>
      </w:r>
      <w:proofErr w:type="spellStart"/>
      <w:r>
        <w:rPr>
          <w:sz w:val="24"/>
          <w:szCs w:val="24"/>
        </w:rPr>
        <w:t>endometriehyperplasi</w:t>
      </w:r>
      <w:proofErr w:type="spellEnd"/>
      <w:r>
        <w:rPr>
          <w:sz w:val="24"/>
          <w:szCs w:val="24"/>
        </w:rPr>
        <w:t xml:space="preserve"> og </w:t>
      </w:r>
      <w:proofErr w:type="spellStart"/>
      <w:r>
        <w:rPr>
          <w:sz w:val="24"/>
          <w:szCs w:val="24"/>
        </w:rPr>
        <w:t>endometriecancer</w:t>
      </w:r>
      <w:proofErr w:type="spellEnd"/>
      <w:r>
        <w:rPr>
          <w:sz w:val="24"/>
          <w:szCs w:val="24"/>
        </w:rPr>
        <w:t xml:space="preserve"> hos kvinder behandlet med </w:t>
      </w:r>
      <w:proofErr w:type="spellStart"/>
      <w:r>
        <w:rPr>
          <w:sz w:val="24"/>
          <w:szCs w:val="24"/>
        </w:rPr>
        <w:t>tibolon</w:t>
      </w:r>
      <w:proofErr w:type="spellEnd"/>
      <w:r>
        <w:rPr>
          <w:sz w:val="24"/>
          <w:szCs w:val="24"/>
        </w:rPr>
        <w:t xml:space="preserve"> (se pkt. 4.4 og 4.8). </w:t>
      </w:r>
    </w:p>
    <w:p w:rsidR="009652DC" w:rsidRDefault="009652DC" w:rsidP="009652DC">
      <w:pPr>
        <w:widowControl w:val="0"/>
        <w:numPr>
          <w:ilvl w:val="0"/>
          <w:numId w:val="17"/>
        </w:numPr>
        <w:tabs>
          <w:tab w:val="left" w:pos="426"/>
        </w:tabs>
        <w:autoSpaceDE w:val="0"/>
        <w:autoSpaceDN w:val="0"/>
        <w:adjustRightInd w:val="0"/>
        <w:ind w:left="1276" w:right="-1" w:hanging="425"/>
        <w:rPr>
          <w:rFonts w:ascii="ヒラギノ角ゴ ProN W3" w:eastAsia="ヒラギノ角ゴ ProN W3"/>
          <w:sz w:val="24"/>
          <w:szCs w:val="24"/>
          <w:u w:val="single"/>
        </w:rPr>
      </w:pPr>
      <w:r>
        <w:rPr>
          <w:sz w:val="24"/>
          <w:szCs w:val="24"/>
        </w:rPr>
        <w:t xml:space="preserve">Hos 88 % af kvinder, der anvender </w:t>
      </w:r>
      <w:proofErr w:type="spellStart"/>
      <w:r>
        <w:rPr>
          <w:sz w:val="24"/>
          <w:szCs w:val="24"/>
        </w:rPr>
        <w:t>tibolon</w:t>
      </w:r>
      <w:proofErr w:type="spellEnd"/>
      <w:r>
        <w:rPr>
          <w:sz w:val="24"/>
          <w:szCs w:val="24"/>
        </w:rPr>
        <w:t xml:space="preserve"> 2,5 mg er der rapporteret </w:t>
      </w:r>
      <w:proofErr w:type="spellStart"/>
      <w:r>
        <w:rPr>
          <w:sz w:val="24"/>
          <w:szCs w:val="24"/>
        </w:rPr>
        <w:t>amenorré</w:t>
      </w:r>
      <w:proofErr w:type="spellEnd"/>
      <w:r>
        <w:rPr>
          <w:sz w:val="24"/>
          <w:szCs w:val="24"/>
        </w:rPr>
        <w:t xml:space="preserve"> efter 12 måneders behandling. Der er rapporteret blødning og/eller pletblødning efter tre måneders behandling hos 32,6 % af kvinderne og hos 11,6 % af kvinderne efter 11-12 måneders behandling.</w:t>
      </w:r>
    </w:p>
    <w:p w:rsidR="009652DC" w:rsidRDefault="009652DC" w:rsidP="009652DC">
      <w:pPr>
        <w:widowControl w:val="0"/>
        <w:autoSpaceDE w:val="0"/>
        <w:autoSpaceDN w:val="0"/>
        <w:adjustRightInd w:val="0"/>
        <w:ind w:left="851" w:right="-1" w:hanging="142"/>
        <w:rPr>
          <w:rFonts w:eastAsia="ヒラギノ角ゴ ProN W3"/>
          <w:sz w:val="24"/>
          <w:szCs w:val="24"/>
          <w:u w:val="single"/>
        </w:rPr>
      </w:pPr>
    </w:p>
    <w:p w:rsidR="009652DC" w:rsidRPr="004B628A" w:rsidRDefault="009652DC" w:rsidP="009652DC">
      <w:pPr>
        <w:widowControl w:val="0"/>
        <w:autoSpaceDE w:val="0"/>
        <w:autoSpaceDN w:val="0"/>
        <w:adjustRightInd w:val="0"/>
        <w:ind w:left="851" w:right="-1"/>
        <w:rPr>
          <w:sz w:val="24"/>
          <w:szCs w:val="24"/>
          <w:lang w:val="en-US"/>
        </w:rPr>
      </w:pPr>
      <w:r w:rsidRPr="004B628A">
        <w:rPr>
          <w:sz w:val="24"/>
          <w:szCs w:val="24"/>
        </w:rPr>
        <w:t>Forebyggelse af osteoporose:</w:t>
      </w:r>
      <w:r w:rsidRPr="004B628A">
        <w:rPr>
          <w:sz w:val="24"/>
          <w:szCs w:val="24"/>
          <w:lang w:val="en-US"/>
        </w:rPr>
        <w:t xml:space="preserve"> </w:t>
      </w:r>
    </w:p>
    <w:p w:rsidR="009652DC" w:rsidRDefault="009652DC" w:rsidP="009652DC">
      <w:pPr>
        <w:widowControl w:val="0"/>
        <w:numPr>
          <w:ilvl w:val="0"/>
          <w:numId w:val="18"/>
        </w:numPr>
        <w:autoSpaceDE w:val="0"/>
        <w:autoSpaceDN w:val="0"/>
        <w:adjustRightInd w:val="0"/>
        <w:ind w:left="1276" w:hanging="425"/>
        <w:rPr>
          <w:sz w:val="24"/>
          <w:szCs w:val="24"/>
        </w:rPr>
      </w:pPr>
      <w:r>
        <w:rPr>
          <w:sz w:val="24"/>
          <w:szCs w:val="24"/>
        </w:rPr>
        <w:t>Østrogenmangel i menopausen er forbundet med en øget knogleturnover og reduktion af knoglemassen. Forebyggelsen synes at være effektiv, så længe behandlingen fortsættes. Efter behandlingsophør vil knoglemassen reduceres med samme hastighed som hos ubehandlede kvinder.</w:t>
      </w:r>
    </w:p>
    <w:p w:rsidR="009652DC" w:rsidRDefault="009652DC" w:rsidP="009652DC">
      <w:pPr>
        <w:widowControl w:val="0"/>
        <w:numPr>
          <w:ilvl w:val="0"/>
          <w:numId w:val="18"/>
        </w:numPr>
        <w:autoSpaceDE w:val="0"/>
        <w:autoSpaceDN w:val="0"/>
        <w:adjustRightInd w:val="0"/>
        <w:ind w:left="1276" w:hanging="425"/>
        <w:rPr>
          <w:sz w:val="24"/>
          <w:szCs w:val="24"/>
        </w:rPr>
      </w:pPr>
      <w:r>
        <w:rPr>
          <w:sz w:val="24"/>
          <w:szCs w:val="24"/>
        </w:rPr>
        <w:t xml:space="preserve">I LIFT-studiet reducerede </w:t>
      </w:r>
      <w:proofErr w:type="spellStart"/>
      <w:r>
        <w:rPr>
          <w:sz w:val="24"/>
          <w:szCs w:val="24"/>
        </w:rPr>
        <w:t>tibolon</w:t>
      </w:r>
      <w:proofErr w:type="spellEnd"/>
      <w:r>
        <w:rPr>
          <w:sz w:val="24"/>
          <w:szCs w:val="24"/>
        </w:rPr>
        <w:t xml:space="preserve"> antallet af kvinder (gennemsnitsalder 68 år) med nye </w:t>
      </w:r>
      <w:proofErr w:type="spellStart"/>
      <w:r>
        <w:rPr>
          <w:sz w:val="24"/>
          <w:szCs w:val="24"/>
        </w:rPr>
        <w:t>vertebrale</w:t>
      </w:r>
      <w:proofErr w:type="spellEnd"/>
      <w:r>
        <w:rPr>
          <w:sz w:val="24"/>
          <w:szCs w:val="24"/>
        </w:rPr>
        <w:t xml:space="preserve"> frakturer i forhold til placebo i løbet af en 3-årig behandlingsperiode (ITT: Sandsynlighedsforhold for </w:t>
      </w:r>
      <w:proofErr w:type="spellStart"/>
      <w:r>
        <w:rPr>
          <w:sz w:val="24"/>
          <w:szCs w:val="24"/>
        </w:rPr>
        <w:t>tibolon</w:t>
      </w:r>
      <w:proofErr w:type="spellEnd"/>
      <w:r>
        <w:rPr>
          <w:sz w:val="24"/>
          <w:szCs w:val="24"/>
        </w:rPr>
        <w:t xml:space="preserve"> kontra placebo: 0,57; 95 % konfidensinterval [0,42; 0,78]).</w:t>
      </w:r>
    </w:p>
    <w:p w:rsidR="009652DC" w:rsidRDefault="009652DC" w:rsidP="009652DC">
      <w:pPr>
        <w:widowControl w:val="0"/>
        <w:numPr>
          <w:ilvl w:val="0"/>
          <w:numId w:val="18"/>
        </w:numPr>
        <w:autoSpaceDE w:val="0"/>
        <w:autoSpaceDN w:val="0"/>
        <w:adjustRightInd w:val="0"/>
        <w:ind w:left="1276" w:hanging="425"/>
        <w:rPr>
          <w:sz w:val="24"/>
          <w:szCs w:val="24"/>
          <w:lang w:val="en-US"/>
        </w:rPr>
      </w:pPr>
      <w:r>
        <w:rPr>
          <w:sz w:val="24"/>
          <w:szCs w:val="24"/>
        </w:rPr>
        <w:t xml:space="preserve">Efter 2 års behandling med </w:t>
      </w: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var øgningen af knoglemineraltætheden i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 på 2,6 </w:t>
      </w:r>
      <w:r>
        <w:rPr>
          <w:sz w:val="24"/>
          <w:szCs w:val="24"/>
        </w:rPr>
        <w:sym w:font="Symbol" w:char="F0B1"/>
      </w:r>
      <w:r>
        <w:rPr>
          <w:sz w:val="24"/>
          <w:szCs w:val="24"/>
        </w:rPr>
        <w:t xml:space="preserve"> 3,8 %. Andelen af kvinder, som bibeholdt eller øgede knoglemineraltætheden i </w:t>
      </w:r>
      <w:proofErr w:type="spellStart"/>
      <w:r>
        <w:rPr>
          <w:sz w:val="24"/>
          <w:szCs w:val="24"/>
        </w:rPr>
        <w:t>columna</w:t>
      </w:r>
      <w:proofErr w:type="spellEnd"/>
      <w:r>
        <w:rPr>
          <w:sz w:val="24"/>
          <w:szCs w:val="24"/>
        </w:rPr>
        <w:t xml:space="preserve"> </w:t>
      </w:r>
      <w:proofErr w:type="spellStart"/>
      <w:r>
        <w:rPr>
          <w:sz w:val="24"/>
          <w:szCs w:val="24"/>
        </w:rPr>
        <w:t>lumbalis</w:t>
      </w:r>
      <w:proofErr w:type="spellEnd"/>
      <w:r>
        <w:rPr>
          <w:sz w:val="24"/>
          <w:szCs w:val="24"/>
        </w:rPr>
        <w:t xml:space="preserve"> under behandlingen, var 76 %.  Et andet studie har bekræftet disse resultater.</w:t>
      </w:r>
    </w:p>
    <w:p w:rsidR="009652DC" w:rsidRDefault="009652DC" w:rsidP="009652DC">
      <w:pPr>
        <w:widowControl w:val="0"/>
        <w:numPr>
          <w:ilvl w:val="0"/>
          <w:numId w:val="18"/>
        </w:numPr>
        <w:autoSpaceDE w:val="0"/>
        <w:autoSpaceDN w:val="0"/>
        <w:adjustRightInd w:val="0"/>
        <w:ind w:left="1276" w:hanging="425"/>
        <w:rPr>
          <w:sz w:val="24"/>
          <w:szCs w:val="24"/>
        </w:rPr>
      </w:pPr>
      <w:proofErr w:type="spellStart"/>
      <w:r>
        <w:rPr>
          <w:sz w:val="24"/>
          <w:szCs w:val="24"/>
        </w:rPr>
        <w:t>Tibolon</w:t>
      </w:r>
      <w:proofErr w:type="spellEnd"/>
      <w:r>
        <w:rPr>
          <w:sz w:val="24"/>
          <w:szCs w:val="24"/>
        </w:rPr>
        <w:t xml:space="preserve"> ”</w:t>
      </w:r>
      <w:proofErr w:type="spellStart"/>
      <w:r>
        <w:rPr>
          <w:sz w:val="24"/>
          <w:szCs w:val="24"/>
        </w:rPr>
        <w:t>Aristo</w:t>
      </w:r>
      <w:proofErr w:type="spellEnd"/>
      <w:r>
        <w:rPr>
          <w:sz w:val="24"/>
          <w:szCs w:val="24"/>
        </w:rPr>
        <w:t xml:space="preserve">” (2,5 mg) havde også en effekt på knoglemineraltætheden i hoften. I ét studie var øgningen efter 2 års behandling på 0,7 </w:t>
      </w:r>
      <w:r>
        <w:rPr>
          <w:sz w:val="24"/>
          <w:szCs w:val="24"/>
        </w:rPr>
        <w:sym w:font="Symbol" w:char="F0B1"/>
      </w:r>
      <w:r>
        <w:rPr>
          <w:sz w:val="24"/>
          <w:szCs w:val="24"/>
        </w:rPr>
        <w:t xml:space="preserve"> 3,9 % i lårbenshalsen og 1,7 </w:t>
      </w:r>
      <w:r>
        <w:rPr>
          <w:sz w:val="24"/>
          <w:szCs w:val="24"/>
        </w:rPr>
        <w:sym w:font="Symbol" w:char="F0B1"/>
      </w:r>
      <w:r>
        <w:rPr>
          <w:sz w:val="24"/>
          <w:szCs w:val="24"/>
        </w:rPr>
        <w:t xml:space="preserve"> 3,0 % i hoften samlet set. Andelen af kvinder, hvor knoglemineraltætheden i hofteregionen bevaredes eller øgedes, udgjorde 72,5 %.  I et andet studie sås en øgning efter 2 års behandling på 1,3 % </w:t>
      </w:r>
      <w:r>
        <w:rPr>
          <w:sz w:val="24"/>
          <w:szCs w:val="24"/>
        </w:rPr>
        <w:sym w:font="Symbol" w:char="F0B1"/>
      </w:r>
      <w:r>
        <w:rPr>
          <w:sz w:val="24"/>
          <w:szCs w:val="24"/>
        </w:rPr>
        <w:t xml:space="preserve"> 5,1 % i lårbenshalsen og 2,9 </w:t>
      </w:r>
      <w:r>
        <w:rPr>
          <w:sz w:val="24"/>
          <w:szCs w:val="24"/>
        </w:rPr>
        <w:sym w:font="Symbol" w:char="F0B1"/>
      </w:r>
      <w:r>
        <w:rPr>
          <w:sz w:val="24"/>
          <w:szCs w:val="24"/>
        </w:rPr>
        <w:t xml:space="preserve"> 3,4 % i hoften samlet set. Andelen af kvinder, hvor knoglemineraltætheden i hofteregionen bevaredes eller øgedes, udgjorde 84,7 %.</w:t>
      </w:r>
    </w:p>
    <w:p w:rsidR="009652DC" w:rsidRDefault="009652DC" w:rsidP="009652DC">
      <w:pPr>
        <w:widowControl w:val="0"/>
        <w:tabs>
          <w:tab w:val="left" w:pos="0"/>
          <w:tab w:val="num" w:pos="540"/>
        </w:tabs>
        <w:autoSpaceDE w:val="0"/>
        <w:autoSpaceDN w:val="0"/>
        <w:adjustRightInd w:val="0"/>
        <w:ind w:left="851" w:right="-1"/>
        <w:rPr>
          <w:rFonts w:eastAsia="ヒラギノ角ゴ ProN W3"/>
          <w:sz w:val="24"/>
          <w:szCs w:val="24"/>
        </w:rPr>
      </w:pPr>
    </w:p>
    <w:p w:rsidR="004B628A" w:rsidRDefault="004B628A" w:rsidP="004B628A">
      <w:pPr>
        <w:widowControl w:val="0"/>
        <w:tabs>
          <w:tab w:val="left" w:pos="567"/>
        </w:tabs>
        <w:autoSpaceDE w:val="0"/>
        <w:autoSpaceDN w:val="0"/>
        <w:adjustRightInd w:val="0"/>
        <w:ind w:left="1276" w:right="-1"/>
        <w:rPr>
          <w:sz w:val="24"/>
          <w:szCs w:val="24"/>
        </w:rPr>
      </w:pPr>
      <w:r>
        <w:rPr>
          <w:color w:val="222222"/>
          <w:sz w:val="24"/>
          <w:szCs w:val="24"/>
        </w:rPr>
        <w:t xml:space="preserve">Effekterne af </w:t>
      </w:r>
      <w:proofErr w:type="spellStart"/>
      <w:r>
        <w:rPr>
          <w:color w:val="222222"/>
          <w:sz w:val="24"/>
          <w:szCs w:val="24"/>
        </w:rPr>
        <w:t>tibolon</w:t>
      </w:r>
      <w:proofErr w:type="spellEnd"/>
      <w:r>
        <w:rPr>
          <w:color w:val="222222"/>
          <w:sz w:val="24"/>
          <w:szCs w:val="24"/>
        </w:rPr>
        <w:t xml:space="preserve"> på knogler formidles via østrogenreceptoren.</w:t>
      </w:r>
      <w:r>
        <w:rPr>
          <w:color w:val="222222"/>
          <w:sz w:val="24"/>
          <w:szCs w:val="24"/>
        </w:rPr>
        <w:br/>
        <w:t xml:space="preserve">To pilotstudier og 11 understøttende studier, der omfattede i alt 1892 </w:t>
      </w:r>
      <w:proofErr w:type="spellStart"/>
      <w:r>
        <w:rPr>
          <w:color w:val="222222"/>
          <w:sz w:val="24"/>
          <w:szCs w:val="24"/>
        </w:rPr>
        <w:t>postmenopausale</w:t>
      </w:r>
      <w:proofErr w:type="spellEnd"/>
      <w:r>
        <w:rPr>
          <w:color w:val="222222"/>
          <w:sz w:val="24"/>
          <w:szCs w:val="24"/>
        </w:rPr>
        <w:t xml:space="preserve"> kvinder, viste, at behandling med </w:t>
      </w:r>
      <w:proofErr w:type="spellStart"/>
      <w:r>
        <w:rPr>
          <w:color w:val="222222"/>
          <w:sz w:val="24"/>
          <w:szCs w:val="24"/>
        </w:rPr>
        <w:t>tibolon</w:t>
      </w:r>
      <w:proofErr w:type="spellEnd"/>
      <w:r>
        <w:rPr>
          <w:color w:val="222222"/>
          <w:sz w:val="24"/>
          <w:szCs w:val="24"/>
        </w:rPr>
        <w:t xml:space="preserve"> i 6 måneder til 8 år øger knoglemineraltætheden i rygsøjlen og hoften og fremkalder ændringer relateret til knoglebiokemiske parametre. Under behandling med </w:t>
      </w:r>
      <w:proofErr w:type="spellStart"/>
      <w:r>
        <w:rPr>
          <w:color w:val="222222"/>
          <w:sz w:val="24"/>
          <w:szCs w:val="24"/>
        </w:rPr>
        <w:t>tibolon</w:t>
      </w:r>
      <w:proofErr w:type="spellEnd"/>
      <w:r>
        <w:rPr>
          <w:color w:val="222222"/>
          <w:sz w:val="24"/>
          <w:szCs w:val="24"/>
        </w:rPr>
        <w:t xml:space="preserve"> reduceres resorptionen af ​​knoglemasse mere end knogledannelse. Derfor er effekten af </w:t>
      </w:r>
      <w:proofErr w:type="spellStart"/>
      <w:r>
        <w:rPr>
          <w:color w:val="222222"/>
          <w:sz w:val="24"/>
          <w:szCs w:val="24"/>
        </w:rPr>
        <w:t>tibolon</w:t>
      </w:r>
      <w:proofErr w:type="spellEnd"/>
      <w:r>
        <w:rPr>
          <w:color w:val="222222"/>
          <w:sz w:val="24"/>
          <w:szCs w:val="24"/>
        </w:rPr>
        <w:t xml:space="preserve"> i forebyggelse af osteoporose hos </w:t>
      </w:r>
      <w:proofErr w:type="spellStart"/>
      <w:r>
        <w:rPr>
          <w:color w:val="222222"/>
          <w:sz w:val="24"/>
          <w:szCs w:val="24"/>
        </w:rPr>
        <w:t>postmenopausale</w:t>
      </w:r>
      <w:proofErr w:type="spellEnd"/>
      <w:r>
        <w:rPr>
          <w:color w:val="222222"/>
          <w:sz w:val="24"/>
          <w:szCs w:val="24"/>
        </w:rPr>
        <w:t xml:space="preserve"> kvinder sammenlignelig med de konventionelle HRT og SERM.</w:t>
      </w:r>
    </w:p>
    <w:p w:rsidR="004B628A" w:rsidRDefault="004B628A" w:rsidP="004B628A">
      <w:pPr>
        <w:widowControl w:val="0"/>
        <w:tabs>
          <w:tab w:val="left" w:pos="567"/>
        </w:tabs>
        <w:autoSpaceDE w:val="0"/>
        <w:autoSpaceDN w:val="0"/>
        <w:adjustRightInd w:val="0"/>
        <w:ind w:left="1276" w:right="-1"/>
        <w:rPr>
          <w:sz w:val="24"/>
          <w:szCs w:val="24"/>
        </w:rPr>
      </w:pPr>
    </w:p>
    <w:p w:rsidR="004B628A" w:rsidRDefault="004B628A" w:rsidP="004B628A">
      <w:pPr>
        <w:pStyle w:val="Listeafsnit"/>
        <w:widowControl w:val="0"/>
        <w:numPr>
          <w:ilvl w:val="0"/>
          <w:numId w:val="23"/>
        </w:numPr>
        <w:tabs>
          <w:tab w:val="left" w:pos="567"/>
        </w:tabs>
        <w:autoSpaceDE w:val="0"/>
        <w:autoSpaceDN w:val="0"/>
        <w:adjustRightInd w:val="0"/>
        <w:ind w:left="1276" w:right="-1" w:hanging="567"/>
        <w:rPr>
          <w:b/>
          <w:color w:val="222222"/>
          <w:sz w:val="24"/>
          <w:szCs w:val="24"/>
        </w:rPr>
      </w:pPr>
      <w:r>
        <w:rPr>
          <w:sz w:val="24"/>
          <w:szCs w:val="24"/>
        </w:rPr>
        <w:t>Effekter på brystet:</w:t>
      </w:r>
      <w:r>
        <w:rPr>
          <w:color w:val="222222"/>
          <w:sz w:val="24"/>
          <w:szCs w:val="24"/>
        </w:rPr>
        <w:br/>
      </w:r>
      <w:r>
        <w:rPr>
          <w:i/>
          <w:color w:val="222222"/>
          <w:sz w:val="24"/>
          <w:szCs w:val="24"/>
        </w:rPr>
        <w:t xml:space="preserve">In </w:t>
      </w:r>
      <w:proofErr w:type="spellStart"/>
      <w:r>
        <w:rPr>
          <w:i/>
          <w:color w:val="222222"/>
          <w:sz w:val="24"/>
          <w:szCs w:val="24"/>
        </w:rPr>
        <w:t>vitro</w:t>
      </w:r>
      <w:proofErr w:type="spellEnd"/>
      <w:r>
        <w:rPr>
          <w:color w:val="222222"/>
          <w:sz w:val="24"/>
          <w:szCs w:val="24"/>
        </w:rPr>
        <w:t xml:space="preserve"> data indikerer, at </w:t>
      </w:r>
      <w:proofErr w:type="spellStart"/>
      <w:r>
        <w:rPr>
          <w:color w:val="222222"/>
          <w:sz w:val="24"/>
          <w:szCs w:val="24"/>
        </w:rPr>
        <w:t>tibolon</w:t>
      </w:r>
      <w:proofErr w:type="spellEnd"/>
      <w:r>
        <w:rPr>
          <w:color w:val="222222"/>
          <w:sz w:val="24"/>
          <w:szCs w:val="24"/>
        </w:rPr>
        <w:t xml:space="preserve"> hæmmer </w:t>
      </w:r>
      <w:proofErr w:type="spellStart"/>
      <w:r>
        <w:rPr>
          <w:color w:val="222222"/>
          <w:sz w:val="24"/>
          <w:szCs w:val="24"/>
        </w:rPr>
        <w:t>sulfataseenzymet</w:t>
      </w:r>
      <w:proofErr w:type="spellEnd"/>
      <w:r>
        <w:rPr>
          <w:color w:val="222222"/>
          <w:sz w:val="24"/>
          <w:szCs w:val="24"/>
        </w:rPr>
        <w:t xml:space="preserve"> og derfor reducerer </w:t>
      </w:r>
      <w:r>
        <w:rPr>
          <w:color w:val="222222"/>
          <w:sz w:val="24"/>
          <w:szCs w:val="24"/>
        </w:rPr>
        <w:lastRenderedPageBreak/>
        <w:t xml:space="preserve">koncentrationerne af aktivt østrogen i brystvæv. Dette kan forklare, hvorfor </w:t>
      </w:r>
      <w:proofErr w:type="spellStart"/>
      <w:r>
        <w:rPr>
          <w:color w:val="222222"/>
          <w:sz w:val="24"/>
          <w:szCs w:val="24"/>
        </w:rPr>
        <w:t>incidensen</w:t>
      </w:r>
      <w:proofErr w:type="spellEnd"/>
      <w:r>
        <w:rPr>
          <w:color w:val="222222"/>
          <w:sz w:val="24"/>
          <w:szCs w:val="24"/>
        </w:rPr>
        <w:t xml:space="preserve"> af ​​brystsmerter i kliniske forsøg hos kvinder behandlet med </w:t>
      </w:r>
      <w:proofErr w:type="spellStart"/>
      <w:r>
        <w:rPr>
          <w:color w:val="222222"/>
          <w:sz w:val="24"/>
          <w:szCs w:val="24"/>
        </w:rPr>
        <w:t>tibolon</w:t>
      </w:r>
      <w:proofErr w:type="spellEnd"/>
      <w:r>
        <w:rPr>
          <w:color w:val="222222"/>
          <w:sz w:val="24"/>
          <w:szCs w:val="24"/>
        </w:rPr>
        <w:t xml:space="preserve"> sammenlignet med konventionel HRT er signifikant lavere, og </w:t>
      </w:r>
      <w:proofErr w:type="spellStart"/>
      <w:r>
        <w:rPr>
          <w:color w:val="222222"/>
          <w:sz w:val="24"/>
          <w:szCs w:val="24"/>
        </w:rPr>
        <w:t>mammografisk</w:t>
      </w:r>
      <w:proofErr w:type="spellEnd"/>
      <w:r>
        <w:rPr>
          <w:color w:val="222222"/>
          <w:sz w:val="24"/>
          <w:szCs w:val="24"/>
        </w:rPr>
        <w:t xml:space="preserve"> tæthed ikke øges hos kvinder sammenlignet med placebo.</w:t>
      </w:r>
    </w:p>
    <w:p w:rsidR="004B628A" w:rsidRDefault="004B628A" w:rsidP="004B628A">
      <w:pPr>
        <w:pStyle w:val="Listeafsnit"/>
        <w:widowControl w:val="0"/>
        <w:tabs>
          <w:tab w:val="left" w:pos="567"/>
        </w:tabs>
        <w:autoSpaceDE w:val="0"/>
        <w:autoSpaceDN w:val="0"/>
        <w:adjustRightInd w:val="0"/>
        <w:ind w:left="1276" w:right="-1"/>
        <w:rPr>
          <w:b/>
          <w:color w:val="222222"/>
          <w:sz w:val="24"/>
          <w:szCs w:val="24"/>
        </w:rPr>
      </w:pPr>
    </w:p>
    <w:p w:rsidR="00573037" w:rsidRPr="00573037" w:rsidRDefault="004B628A" w:rsidP="00573037">
      <w:pPr>
        <w:pStyle w:val="Listeafsnit"/>
        <w:widowControl w:val="0"/>
        <w:numPr>
          <w:ilvl w:val="0"/>
          <w:numId w:val="23"/>
        </w:numPr>
        <w:tabs>
          <w:tab w:val="left" w:pos="567"/>
        </w:tabs>
        <w:autoSpaceDE w:val="0"/>
        <w:autoSpaceDN w:val="0"/>
        <w:adjustRightInd w:val="0"/>
        <w:ind w:left="1276" w:right="-1" w:hanging="567"/>
        <w:rPr>
          <w:b/>
          <w:color w:val="222222"/>
          <w:sz w:val="24"/>
          <w:szCs w:val="24"/>
        </w:rPr>
      </w:pPr>
      <w:r>
        <w:rPr>
          <w:color w:val="222222"/>
          <w:sz w:val="24"/>
          <w:szCs w:val="24"/>
        </w:rPr>
        <w:t>Vaginal atrofi:</w:t>
      </w:r>
      <w:r>
        <w:rPr>
          <w:color w:val="222222"/>
          <w:sz w:val="24"/>
          <w:szCs w:val="24"/>
        </w:rPr>
        <w:br/>
        <w:t xml:space="preserve">På grund af deres specifikke østrogene virkning på vagina udviser </w:t>
      </w:r>
      <w:proofErr w:type="spellStart"/>
      <w:r>
        <w:rPr>
          <w:color w:val="222222"/>
          <w:sz w:val="24"/>
          <w:szCs w:val="24"/>
        </w:rPr>
        <w:t>tibolon</w:t>
      </w:r>
      <w:proofErr w:type="spellEnd"/>
      <w:r>
        <w:rPr>
          <w:color w:val="222222"/>
          <w:sz w:val="24"/>
          <w:szCs w:val="24"/>
        </w:rPr>
        <w:t xml:space="preserve"> en gunstig virkning på bivirkninger relateret til vaginal atrofi, herunder tørhed og vaginal </w:t>
      </w:r>
      <w:proofErr w:type="spellStart"/>
      <w:r>
        <w:rPr>
          <w:color w:val="222222"/>
          <w:sz w:val="24"/>
          <w:szCs w:val="24"/>
        </w:rPr>
        <w:t>dyspareuni</w:t>
      </w:r>
      <w:proofErr w:type="spellEnd"/>
      <w:r>
        <w:rPr>
          <w:color w:val="222222"/>
          <w:sz w:val="24"/>
          <w:szCs w:val="24"/>
        </w:rPr>
        <w:t>. Den kliniske effekt svarer til konventionelle HRT, mens SERM ikke udøver nogen gavnlig virkning på vaginalatrofi.</w:t>
      </w:r>
    </w:p>
    <w:p w:rsidR="00573037" w:rsidRPr="00573037" w:rsidRDefault="00573037" w:rsidP="00573037">
      <w:pPr>
        <w:pStyle w:val="Listeafsnit"/>
        <w:rPr>
          <w:sz w:val="24"/>
          <w:szCs w:val="24"/>
        </w:rPr>
      </w:pPr>
    </w:p>
    <w:p w:rsidR="009652DC" w:rsidRPr="00573037" w:rsidRDefault="009652DC" w:rsidP="00573037">
      <w:pPr>
        <w:pStyle w:val="Listeafsnit"/>
        <w:widowControl w:val="0"/>
        <w:numPr>
          <w:ilvl w:val="0"/>
          <w:numId w:val="23"/>
        </w:numPr>
        <w:tabs>
          <w:tab w:val="left" w:pos="567"/>
        </w:tabs>
        <w:autoSpaceDE w:val="0"/>
        <w:autoSpaceDN w:val="0"/>
        <w:adjustRightInd w:val="0"/>
        <w:ind w:left="1276" w:right="-1" w:hanging="567"/>
        <w:rPr>
          <w:b/>
          <w:color w:val="222222"/>
          <w:sz w:val="24"/>
          <w:szCs w:val="24"/>
        </w:rPr>
      </w:pPr>
      <w:r w:rsidRPr="00573037">
        <w:rPr>
          <w:sz w:val="24"/>
          <w:szCs w:val="24"/>
        </w:rPr>
        <w:t>Andre gunstige virkninger:</w:t>
      </w:r>
      <w:r w:rsidRPr="00573037">
        <w:rPr>
          <w:sz w:val="24"/>
          <w:szCs w:val="24"/>
        </w:rPr>
        <w:br/>
        <w:t xml:space="preserve">Der er tegn på, at </w:t>
      </w:r>
      <w:proofErr w:type="spellStart"/>
      <w:r w:rsidRPr="00573037">
        <w:rPr>
          <w:sz w:val="24"/>
          <w:szCs w:val="24"/>
        </w:rPr>
        <w:t>tibolon</w:t>
      </w:r>
      <w:proofErr w:type="spellEnd"/>
      <w:r w:rsidRPr="00573037">
        <w:rPr>
          <w:sz w:val="24"/>
          <w:szCs w:val="24"/>
        </w:rPr>
        <w:t xml:space="preserve"> har gunstig virkning på humør og libido. </w:t>
      </w:r>
      <w:proofErr w:type="spellStart"/>
      <w:r w:rsidRPr="00573037">
        <w:rPr>
          <w:sz w:val="24"/>
          <w:szCs w:val="24"/>
        </w:rPr>
        <w:t>Tibolon</w:t>
      </w:r>
      <w:proofErr w:type="spellEnd"/>
      <w:r w:rsidRPr="00573037">
        <w:rPr>
          <w:sz w:val="24"/>
          <w:szCs w:val="24"/>
        </w:rPr>
        <w:t xml:space="preserve"> er effektiv til at reducere vasomotoriske symptomer og knogletab hos patienter, der behandles med </w:t>
      </w:r>
      <w:proofErr w:type="spellStart"/>
      <w:r w:rsidRPr="00573037">
        <w:rPr>
          <w:sz w:val="24"/>
          <w:szCs w:val="24"/>
        </w:rPr>
        <w:t>GnRH-analoger</w:t>
      </w:r>
      <w:proofErr w:type="spellEnd"/>
      <w:r w:rsidRPr="00573037">
        <w:rPr>
          <w:sz w:val="24"/>
          <w:szCs w:val="24"/>
        </w:rPr>
        <w:t>.</w:t>
      </w:r>
    </w:p>
    <w:p w:rsidR="009652DC" w:rsidRPr="00B536EF" w:rsidRDefault="009652DC" w:rsidP="009652DC">
      <w:pPr>
        <w:widowControl w:val="0"/>
        <w:tabs>
          <w:tab w:val="left" w:pos="2025"/>
        </w:tabs>
        <w:autoSpaceDE w:val="0"/>
        <w:autoSpaceDN w:val="0"/>
        <w:adjustRightInd w:val="0"/>
        <w:ind w:right="-1"/>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5.2</w:t>
      </w:r>
      <w:r w:rsidRPr="00B536EF">
        <w:rPr>
          <w:b/>
          <w:sz w:val="24"/>
          <w:szCs w:val="24"/>
        </w:rPr>
        <w:tab/>
      </w:r>
      <w:proofErr w:type="spellStart"/>
      <w:r w:rsidRPr="00B536EF">
        <w:rPr>
          <w:b/>
          <w:sz w:val="24"/>
          <w:szCs w:val="24"/>
        </w:rPr>
        <w:t>Farmakokinetiske</w:t>
      </w:r>
      <w:proofErr w:type="spellEnd"/>
      <w:r w:rsidRPr="00B536EF">
        <w:rPr>
          <w:b/>
          <w:sz w:val="24"/>
          <w:szCs w:val="24"/>
        </w:rPr>
        <w:t xml:space="preserve"> egenskaber</w:t>
      </w:r>
    </w:p>
    <w:p w:rsidR="00573037" w:rsidRDefault="00573037" w:rsidP="009652DC">
      <w:pPr>
        <w:widowControl w:val="0"/>
        <w:autoSpaceDE w:val="0"/>
        <w:autoSpaceDN w:val="0"/>
        <w:adjustRightInd w:val="0"/>
        <w:ind w:left="851" w:right="-1"/>
        <w:rPr>
          <w:spacing w:val="-3"/>
          <w:sz w:val="24"/>
          <w:szCs w:val="24"/>
        </w:rPr>
      </w:pPr>
    </w:p>
    <w:p w:rsidR="009652DC" w:rsidRDefault="009652DC" w:rsidP="009652DC">
      <w:pPr>
        <w:widowControl w:val="0"/>
        <w:autoSpaceDE w:val="0"/>
        <w:autoSpaceDN w:val="0"/>
        <w:adjustRightInd w:val="0"/>
        <w:ind w:left="851" w:right="-1"/>
        <w:rPr>
          <w:spacing w:val="-3"/>
          <w:sz w:val="24"/>
          <w:szCs w:val="24"/>
        </w:rPr>
      </w:pPr>
      <w:r>
        <w:rPr>
          <w:spacing w:val="-3"/>
          <w:sz w:val="24"/>
          <w:szCs w:val="24"/>
        </w:rPr>
        <w:t xml:space="preserve">Efter oral indtagelse sker der en hurtig og omfattende absorption af </w:t>
      </w:r>
      <w:proofErr w:type="spellStart"/>
      <w:r>
        <w:rPr>
          <w:spacing w:val="-3"/>
          <w:sz w:val="24"/>
          <w:szCs w:val="24"/>
        </w:rPr>
        <w:t>tibolon</w:t>
      </w:r>
      <w:proofErr w:type="spellEnd"/>
      <w:r>
        <w:rPr>
          <w:spacing w:val="-3"/>
          <w:sz w:val="24"/>
          <w:szCs w:val="24"/>
        </w:rPr>
        <w:t xml:space="preserve">. På grund af den hurtige </w:t>
      </w:r>
      <w:proofErr w:type="spellStart"/>
      <w:r>
        <w:rPr>
          <w:spacing w:val="-3"/>
          <w:sz w:val="24"/>
          <w:szCs w:val="24"/>
        </w:rPr>
        <w:t>metabolisering</w:t>
      </w:r>
      <w:proofErr w:type="spellEnd"/>
      <w:r>
        <w:rPr>
          <w:spacing w:val="-3"/>
          <w:sz w:val="24"/>
          <w:szCs w:val="24"/>
        </w:rPr>
        <w:t xml:space="preserve"> er </w:t>
      </w:r>
      <w:proofErr w:type="spellStart"/>
      <w:r>
        <w:rPr>
          <w:spacing w:val="-3"/>
          <w:sz w:val="24"/>
          <w:szCs w:val="24"/>
        </w:rPr>
        <w:t>tibolons</w:t>
      </w:r>
      <w:proofErr w:type="spellEnd"/>
      <w:r>
        <w:rPr>
          <w:spacing w:val="-3"/>
          <w:sz w:val="24"/>
          <w:szCs w:val="24"/>
        </w:rPr>
        <w:t xml:space="preserve"> plasmaniveauer meget lave. Plasmaniveauet af Δ4- isomeren af </w:t>
      </w:r>
      <w:proofErr w:type="spellStart"/>
      <w:r>
        <w:rPr>
          <w:spacing w:val="-3"/>
          <w:sz w:val="24"/>
          <w:szCs w:val="24"/>
        </w:rPr>
        <w:t>tibolon</w:t>
      </w:r>
      <w:proofErr w:type="spellEnd"/>
      <w:r>
        <w:rPr>
          <w:spacing w:val="-3"/>
          <w:sz w:val="24"/>
          <w:szCs w:val="24"/>
        </w:rPr>
        <w:t xml:space="preserve"> er ligeledes meget lav. Derfor er der nogle af de </w:t>
      </w:r>
      <w:proofErr w:type="spellStart"/>
      <w:r>
        <w:rPr>
          <w:spacing w:val="-3"/>
          <w:sz w:val="24"/>
          <w:szCs w:val="24"/>
        </w:rPr>
        <w:t>farmakokinetiske</w:t>
      </w:r>
      <w:proofErr w:type="spellEnd"/>
      <w:r>
        <w:rPr>
          <w:spacing w:val="-3"/>
          <w:sz w:val="24"/>
          <w:szCs w:val="24"/>
        </w:rPr>
        <w:t xml:space="preserve"> parametre, der ikke kan fastsættes. Peak </w:t>
      </w:r>
      <w:proofErr w:type="gramStart"/>
      <w:r>
        <w:rPr>
          <w:spacing w:val="-3"/>
          <w:sz w:val="24"/>
          <w:szCs w:val="24"/>
        </w:rPr>
        <w:t>plasma niveauerne</w:t>
      </w:r>
      <w:proofErr w:type="gramEnd"/>
      <w:r>
        <w:rPr>
          <w:spacing w:val="-3"/>
          <w:sz w:val="24"/>
          <w:szCs w:val="24"/>
        </w:rPr>
        <w:t xml:space="preserve"> af 3α-OH og af 3β-OH metabolitterne er højere, men akkumulering forekommer ikke.</w:t>
      </w:r>
    </w:p>
    <w:p w:rsidR="009652DC" w:rsidRDefault="009652DC" w:rsidP="009652DC">
      <w:pPr>
        <w:widowControl w:val="0"/>
        <w:autoSpaceDE w:val="0"/>
        <w:autoSpaceDN w:val="0"/>
        <w:adjustRightInd w:val="0"/>
        <w:ind w:right="-1"/>
        <w:rPr>
          <w:sz w:val="24"/>
          <w:szCs w:val="24"/>
        </w:rPr>
      </w:pPr>
    </w:p>
    <w:p w:rsidR="00573037" w:rsidRDefault="00573037" w:rsidP="00573037">
      <w:pPr>
        <w:widowControl w:val="0"/>
        <w:autoSpaceDE w:val="0"/>
        <w:autoSpaceDN w:val="0"/>
        <w:adjustRightInd w:val="0"/>
        <w:ind w:right="-1"/>
        <w:rPr>
          <w:b/>
          <w:sz w:val="24"/>
          <w:szCs w:val="24"/>
        </w:rPr>
      </w:pPr>
      <w:r>
        <w:rPr>
          <w:b/>
          <w:sz w:val="24"/>
          <w:szCs w:val="24"/>
        </w:rPr>
        <w:t xml:space="preserve">Tabel 4. </w:t>
      </w:r>
      <w:proofErr w:type="spellStart"/>
      <w:r>
        <w:rPr>
          <w:b/>
          <w:sz w:val="24"/>
          <w:szCs w:val="24"/>
        </w:rPr>
        <w:t>Farmakokinetiske</w:t>
      </w:r>
      <w:proofErr w:type="spellEnd"/>
      <w:r>
        <w:rPr>
          <w:b/>
          <w:sz w:val="24"/>
          <w:szCs w:val="24"/>
        </w:rPr>
        <w:t xml:space="preserve"> parametre af </w:t>
      </w:r>
      <w:proofErr w:type="spellStart"/>
      <w:r>
        <w:rPr>
          <w:b/>
          <w:sz w:val="24"/>
          <w:szCs w:val="24"/>
        </w:rPr>
        <w:t>tibolon</w:t>
      </w:r>
      <w:proofErr w:type="spellEnd"/>
      <w:r>
        <w:rPr>
          <w:b/>
          <w:sz w:val="24"/>
          <w:szCs w:val="24"/>
        </w:rPr>
        <w:t xml:space="preserve"> 2,5 mg tabletter (2,5 mg)</w:t>
      </w:r>
    </w:p>
    <w:p w:rsidR="00573037" w:rsidRDefault="00573037" w:rsidP="00573037">
      <w:pPr>
        <w:widowControl w:val="0"/>
        <w:autoSpaceDE w:val="0"/>
        <w:autoSpaceDN w:val="0"/>
        <w:adjustRightInd w:val="0"/>
        <w:ind w:left="851" w:right="-1"/>
        <w:rPr>
          <w:b/>
          <w:sz w:val="24"/>
          <w:szCs w:val="24"/>
        </w:rPr>
      </w:pPr>
    </w:p>
    <w:tbl>
      <w:tblPr>
        <w:tblW w:w="5000" w:type="pct"/>
        <w:tblLook w:val="04A0" w:firstRow="1" w:lastRow="0" w:firstColumn="1" w:lastColumn="0" w:noHBand="0" w:noVBand="1"/>
      </w:tblPr>
      <w:tblGrid>
        <w:gridCol w:w="1803"/>
        <w:gridCol w:w="920"/>
        <w:gridCol w:w="920"/>
        <w:gridCol w:w="923"/>
        <w:gridCol w:w="916"/>
        <w:gridCol w:w="1071"/>
        <w:gridCol w:w="1073"/>
        <w:gridCol w:w="919"/>
        <w:gridCol w:w="1073"/>
      </w:tblGrid>
      <w:tr w:rsidR="00573037" w:rsidTr="00573037">
        <w:trPr>
          <w:trHeight w:val="550"/>
        </w:trPr>
        <w:tc>
          <w:tcPr>
            <w:tcW w:w="937" w:type="pct"/>
            <w:tcBorders>
              <w:top w:val="single" w:sz="12" w:space="0" w:color="auto"/>
              <w:left w:val="single" w:sz="8" w:space="0" w:color="BFBFBF"/>
              <w:bottom w:val="single" w:sz="8" w:space="0" w:color="BFBFBF"/>
              <w:right w:val="single" w:sz="8" w:space="0" w:color="BFBFBF"/>
            </w:tcBorders>
          </w:tcPr>
          <w:p w:rsidR="00573037" w:rsidRDefault="00573037">
            <w:pPr>
              <w:widowControl w:val="0"/>
              <w:autoSpaceDE w:val="0"/>
              <w:autoSpaceDN w:val="0"/>
              <w:adjustRightInd w:val="0"/>
              <w:ind w:left="142" w:right="-1"/>
              <w:rPr>
                <w:rFonts w:eastAsia="ヒラギノ角ゴ ProN W3"/>
                <w:sz w:val="22"/>
                <w:szCs w:val="22"/>
              </w:rPr>
            </w:pPr>
          </w:p>
        </w:tc>
        <w:tc>
          <w:tcPr>
            <w:tcW w:w="956" w:type="pct"/>
            <w:gridSpan w:val="2"/>
            <w:tcBorders>
              <w:top w:val="single" w:sz="12" w:space="0" w:color="auto"/>
              <w:left w:val="single" w:sz="8" w:space="0" w:color="BFBFBF"/>
              <w:bottom w:val="single" w:sz="8" w:space="0" w:color="BFBFBF"/>
              <w:right w:val="single" w:sz="8" w:space="0" w:color="BFBFBF"/>
            </w:tcBorders>
          </w:tcPr>
          <w:p w:rsidR="00573037" w:rsidRDefault="00573037">
            <w:pPr>
              <w:widowControl w:val="0"/>
              <w:autoSpaceDE w:val="0"/>
              <w:autoSpaceDN w:val="0"/>
              <w:adjustRightInd w:val="0"/>
              <w:ind w:left="193" w:right="-1"/>
              <w:rPr>
                <w:rFonts w:ascii="ヒラギノ角ゴ ProN W3" w:eastAsia="ヒラギノ角ゴ ProN W3" w:hAnsi="ヒラギノ角ゴ ProN W3"/>
                <w:sz w:val="22"/>
                <w:szCs w:val="22"/>
              </w:rPr>
            </w:pPr>
            <w:proofErr w:type="spellStart"/>
            <w:r>
              <w:rPr>
                <w:sz w:val="22"/>
                <w:szCs w:val="22"/>
              </w:rPr>
              <w:t>Tibolon</w:t>
            </w:r>
            <w:proofErr w:type="spellEnd"/>
          </w:p>
          <w:p w:rsidR="00573037" w:rsidRDefault="00573037">
            <w:pPr>
              <w:widowControl w:val="0"/>
              <w:autoSpaceDE w:val="0"/>
              <w:autoSpaceDN w:val="0"/>
              <w:adjustRightInd w:val="0"/>
              <w:ind w:left="193" w:right="-1"/>
              <w:rPr>
                <w:rFonts w:ascii="ヒラギノ角ゴ ProN W3" w:eastAsia="ヒラギノ角ゴ ProN W3" w:hAnsi="ヒラギノ角ゴ ProN W3" w:hint="eastAsia"/>
                <w:sz w:val="22"/>
                <w:szCs w:val="22"/>
              </w:rPr>
            </w:pPr>
          </w:p>
        </w:tc>
        <w:tc>
          <w:tcPr>
            <w:tcW w:w="956" w:type="pct"/>
            <w:gridSpan w:val="2"/>
            <w:tcBorders>
              <w:top w:val="single" w:sz="12" w:space="0" w:color="auto"/>
              <w:left w:val="single" w:sz="8" w:space="0" w:color="BFBFBF"/>
              <w:bottom w:val="single" w:sz="8" w:space="0" w:color="BFBFBF"/>
              <w:right w:val="single" w:sz="8" w:space="0" w:color="BFBFBF"/>
            </w:tcBorders>
          </w:tcPr>
          <w:p w:rsidR="00573037" w:rsidRDefault="00573037">
            <w:pPr>
              <w:widowControl w:val="0"/>
              <w:autoSpaceDE w:val="0"/>
              <w:autoSpaceDN w:val="0"/>
              <w:adjustRightInd w:val="0"/>
              <w:ind w:left="225" w:right="-1"/>
              <w:rPr>
                <w:rFonts w:ascii="ヒラギノ角ゴ ProN W3" w:eastAsia="ヒラギノ角ゴ ProN W3" w:hAnsi="ヒラギノ角ゴ ProN W3" w:hint="eastAsia"/>
                <w:sz w:val="22"/>
                <w:szCs w:val="22"/>
              </w:rPr>
            </w:pPr>
            <w:r>
              <w:rPr>
                <w:sz w:val="22"/>
                <w:szCs w:val="22"/>
              </w:rPr>
              <w:t xml:space="preserve">3α-OH-metabolit </w:t>
            </w:r>
          </w:p>
          <w:p w:rsidR="00573037" w:rsidRDefault="00573037">
            <w:pPr>
              <w:widowControl w:val="0"/>
              <w:autoSpaceDE w:val="0"/>
              <w:autoSpaceDN w:val="0"/>
              <w:adjustRightInd w:val="0"/>
              <w:ind w:left="225" w:right="-1"/>
              <w:rPr>
                <w:rFonts w:ascii="ヒラギノ角ゴ ProN W3" w:eastAsia="ヒラギノ角ゴ ProN W3" w:hAnsi="ヒラギノ角ゴ ProN W3" w:hint="eastAsia"/>
                <w:sz w:val="22"/>
                <w:szCs w:val="22"/>
              </w:rPr>
            </w:pPr>
          </w:p>
        </w:tc>
        <w:tc>
          <w:tcPr>
            <w:tcW w:w="1115" w:type="pct"/>
            <w:gridSpan w:val="2"/>
            <w:tcBorders>
              <w:top w:val="single" w:sz="12" w:space="0" w:color="auto"/>
              <w:left w:val="single" w:sz="8" w:space="0" w:color="BFBFBF"/>
              <w:bottom w:val="single" w:sz="8" w:space="0" w:color="BFBFBF"/>
              <w:right w:val="single" w:sz="8" w:space="0" w:color="BFBFBF"/>
            </w:tcBorders>
            <w:hideMark/>
          </w:tcPr>
          <w:p w:rsidR="00573037" w:rsidRDefault="00573037">
            <w:pPr>
              <w:widowControl w:val="0"/>
              <w:autoSpaceDE w:val="0"/>
              <w:autoSpaceDN w:val="0"/>
              <w:adjustRightInd w:val="0"/>
              <w:ind w:left="115" w:right="-1"/>
              <w:rPr>
                <w:rFonts w:eastAsia="ヒラギノ角ゴ ProN W3" w:hint="eastAsia"/>
                <w:sz w:val="22"/>
                <w:szCs w:val="22"/>
                <w:lang w:val="en-US"/>
              </w:rPr>
            </w:pPr>
            <w:r>
              <w:rPr>
                <w:sz w:val="22"/>
                <w:szCs w:val="22"/>
              </w:rPr>
              <w:t>3β-OH-metabolit</w:t>
            </w:r>
          </w:p>
        </w:tc>
        <w:tc>
          <w:tcPr>
            <w:tcW w:w="1036" w:type="pct"/>
            <w:gridSpan w:val="2"/>
            <w:tcBorders>
              <w:top w:val="single" w:sz="12" w:space="0" w:color="auto"/>
              <w:left w:val="single" w:sz="8" w:space="0" w:color="BFBFBF"/>
              <w:bottom w:val="single" w:sz="8" w:space="0" w:color="BFBFBF"/>
              <w:right w:val="single" w:sz="8" w:space="0" w:color="BFBFBF"/>
            </w:tcBorders>
            <w:hideMark/>
          </w:tcPr>
          <w:p w:rsidR="00573037" w:rsidRDefault="00573037">
            <w:pPr>
              <w:widowControl w:val="0"/>
              <w:autoSpaceDE w:val="0"/>
              <w:autoSpaceDN w:val="0"/>
              <w:adjustRightInd w:val="0"/>
              <w:ind w:left="145" w:right="-1"/>
              <w:rPr>
                <w:rFonts w:eastAsia="ヒラギノ角ゴ ProN W3"/>
                <w:sz w:val="22"/>
                <w:szCs w:val="22"/>
                <w:lang w:val="en-US"/>
              </w:rPr>
            </w:pPr>
            <w:r>
              <w:rPr>
                <w:spacing w:val="-3"/>
                <w:sz w:val="24"/>
                <w:szCs w:val="24"/>
              </w:rPr>
              <w:t>Δ</w:t>
            </w:r>
            <w:r>
              <w:rPr>
                <w:sz w:val="22"/>
                <w:szCs w:val="22"/>
              </w:rPr>
              <w:t>4-isomer</w:t>
            </w:r>
          </w:p>
        </w:tc>
      </w:tr>
      <w:tr w:rsidR="00573037" w:rsidTr="00573037">
        <w:tc>
          <w:tcPr>
            <w:tcW w:w="937" w:type="pct"/>
            <w:tcBorders>
              <w:top w:val="single" w:sz="8" w:space="0" w:color="BFBFBF"/>
              <w:left w:val="single" w:sz="8" w:space="0" w:color="BFBFBF"/>
              <w:bottom w:val="single" w:sz="12" w:space="0" w:color="auto"/>
              <w:right w:val="single" w:sz="8" w:space="0" w:color="BFBFBF"/>
            </w:tcBorders>
            <w:vAlign w:val="bottom"/>
          </w:tcPr>
          <w:p w:rsidR="00573037" w:rsidRDefault="00573037">
            <w:pPr>
              <w:widowControl w:val="0"/>
              <w:autoSpaceDE w:val="0"/>
              <w:autoSpaceDN w:val="0"/>
              <w:adjustRightInd w:val="0"/>
              <w:ind w:left="142" w:right="-1"/>
              <w:rPr>
                <w:rFonts w:eastAsia="ヒラギノ角ゴ ProN W3"/>
                <w:sz w:val="22"/>
                <w:szCs w:val="22"/>
                <w:lang w:val="en-US"/>
              </w:rPr>
            </w:pPr>
          </w:p>
        </w:tc>
        <w:tc>
          <w:tcPr>
            <w:tcW w:w="478"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ascii="ヒラギノ角ゴ ProN W3" w:eastAsia="ヒラギノ角ゴ ProN W3" w:hAnsi="ヒラギノ角ゴ ProN W3"/>
                <w:sz w:val="22"/>
                <w:szCs w:val="22"/>
              </w:rPr>
            </w:pPr>
            <w:r>
              <w:rPr>
                <w:b/>
                <w:sz w:val="22"/>
                <w:szCs w:val="22"/>
              </w:rPr>
              <w:t>SD</w:t>
            </w:r>
          </w:p>
        </w:tc>
        <w:tc>
          <w:tcPr>
            <w:tcW w:w="478"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ascii="ヒラギノ角ゴ ProN W3" w:eastAsia="ヒラギノ角ゴ ProN W3" w:hAnsi="ヒラギノ角ゴ ProN W3" w:hint="eastAsia"/>
                <w:sz w:val="22"/>
                <w:szCs w:val="22"/>
              </w:rPr>
            </w:pPr>
            <w:r>
              <w:rPr>
                <w:b/>
                <w:sz w:val="22"/>
                <w:szCs w:val="22"/>
              </w:rPr>
              <w:t>MD</w:t>
            </w:r>
          </w:p>
        </w:tc>
        <w:tc>
          <w:tcPr>
            <w:tcW w:w="480"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eastAsia="ヒラギノ角ゴ ProN W3" w:hint="eastAsia"/>
                <w:sz w:val="22"/>
                <w:szCs w:val="22"/>
                <w:lang w:val="en-US"/>
              </w:rPr>
            </w:pPr>
            <w:r>
              <w:rPr>
                <w:rFonts w:eastAsia="ヒラギノ角ゴ ProN W3"/>
                <w:b/>
                <w:bCs/>
                <w:sz w:val="22"/>
                <w:szCs w:val="22"/>
                <w:lang w:val="en-US"/>
              </w:rPr>
              <w:t>SD</w:t>
            </w:r>
          </w:p>
        </w:tc>
        <w:tc>
          <w:tcPr>
            <w:tcW w:w="475"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b/>
                <w:bCs/>
                <w:sz w:val="22"/>
                <w:szCs w:val="22"/>
                <w:lang w:val="en-US"/>
              </w:rPr>
              <w:t>MD</w:t>
            </w:r>
          </w:p>
        </w:tc>
        <w:tc>
          <w:tcPr>
            <w:tcW w:w="557"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b/>
                <w:bCs/>
                <w:sz w:val="22"/>
                <w:szCs w:val="22"/>
                <w:lang w:val="en-US"/>
              </w:rPr>
              <w:t>SD</w:t>
            </w:r>
          </w:p>
        </w:tc>
        <w:tc>
          <w:tcPr>
            <w:tcW w:w="557"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b/>
                <w:bCs/>
                <w:sz w:val="22"/>
                <w:szCs w:val="22"/>
                <w:lang w:val="en-US"/>
              </w:rPr>
              <w:t>MD</w:t>
            </w:r>
          </w:p>
        </w:tc>
        <w:tc>
          <w:tcPr>
            <w:tcW w:w="478"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b/>
                <w:bCs/>
                <w:sz w:val="22"/>
                <w:szCs w:val="22"/>
                <w:lang w:val="en-US"/>
              </w:rPr>
              <w:t>SD</w:t>
            </w:r>
          </w:p>
        </w:tc>
        <w:tc>
          <w:tcPr>
            <w:tcW w:w="557" w:type="pct"/>
            <w:tcBorders>
              <w:top w:val="single" w:sz="8" w:space="0" w:color="BFBFBF"/>
              <w:left w:val="single" w:sz="8" w:space="0" w:color="BFBFBF"/>
              <w:bottom w:val="single" w:sz="12" w:space="0" w:color="auto"/>
              <w:right w:val="single" w:sz="8" w:space="0" w:color="BFBFBF"/>
            </w:tcBorders>
            <w:vAlign w:val="bottom"/>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b/>
                <w:bCs/>
                <w:sz w:val="22"/>
                <w:szCs w:val="22"/>
                <w:lang w:val="en-US"/>
              </w:rPr>
              <w:t>MD</w:t>
            </w:r>
          </w:p>
        </w:tc>
      </w:tr>
      <w:tr w:rsidR="00573037" w:rsidTr="00573037">
        <w:tc>
          <w:tcPr>
            <w:tcW w:w="937"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left="142" w:right="-1"/>
              <w:rPr>
                <w:rFonts w:eastAsia="ヒラギノ角ゴ ProN W3"/>
                <w:sz w:val="22"/>
                <w:szCs w:val="22"/>
                <w:lang w:val="en-US"/>
              </w:rPr>
            </w:pPr>
            <w:proofErr w:type="spellStart"/>
            <w:r>
              <w:rPr>
                <w:rFonts w:eastAsia="ヒラギノ角ゴ ProN W3"/>
                <w:sz w:val="22"/>
                <w:szCs w:val="22"/>
                <w:lang w:val="en-US"/>
              </w:rPr>
              <w:t>C</w:t>
            </w:r>
            <w:r>
              <w:rPr>
                <w:rFonts w:eastAsia="ヒラギノ角ゴ ProN W3"/>
                <w:sz w:val="22"/>
                <w:szCs w:val="22"/>
                <w:vertAlign w:val="subscript"/>
                <w:lang w:val="en-US"/>
              </w:rPr>
              <w:t>max</w:t>
            </w:r>
            <w:proofErr w:type="spellEnd"/>
            <w:r>
              <w:rPr>
                <w:rFonts w:eastAsia="ヒラギノ角ゴ ProN W3"/>
                <w:sz w:val="22"/>
                <w:szCs w:val="22"/>
                <w:vertAlign w:val="subscript"/>
                <w:lang w:val="en-US"/>
              </w:rPr>
              <w:t xml:space="preserve"> </w:t>
            </w:r>
            <w:r>
              <w:rPr>
                <w:rFonts w:eastAsia="ヒラギノ角ゴ ProN W3"/>
                <w:sz w:val="22"/>
                <w:szCs w:val="22"/>
                <w:lang w:val="en-US"/>
              </w:rPr>
              <w:t>(ng/mL)</w:t>
            </w:r>
          </w:p>
        </w:tc>
        <w:tc>
          <w:tcPr>
            <w:tcW w:w="478"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1,37</w:t>
            </w:r>
          </w:p>
        </w:tc>
        <w:tc>
          <w:tcPr>
            <w:tcW w:w="478"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1,72</w:t>
            </w:r>
          </w:p>
        </w:tc>
        <w:tc>
          <w:tcPr>
            <w:tcW w:w="480"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14,23</w:t>
            </w:r>
          </w:p>
        </w:tc>
        <w:tc>
          <w:tcPr>
            <w:tcW w:w="475"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14,15</w:t>
            </w:r>
          </w:p>
        </w:tc>
        <w:tc>
          <w:tcPr>
            <w:tcW w:w="557"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3,43</w:t>
            </w:r>
          </w:p>
        </w:tc>
        <w:tc>
          <w:tcPr>
            <w:tcW w:w="557"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3,75</w:t>
            </w:r>
          </w:p>
        </w:tc>
        <w:tc>
          <w:tcPr>
            <w:tcW w:w="478"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0,47</w:t>
            </w:r>
          </w:p>
        </w:tc>
        <w:tc>
          <w:tcPr>
            <w:tcW w:w="557" w:type="pct"/>
            <w:tcBorders>
              <w:top w:val="single" w:sz="12"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0,43</w:t>
            </w:r>
          </w:p>
        </w:tc>
      </w:tr>
      <w:tr w:rsidR="00573037" w:rsidTr="00573037">
        <w:tc>
          <w:tcPr>
            <w:tcW w:w="93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left="142" w:right="-1"/>
              <w:rPr>
                <w:rFonts w:ascii="ヒラギノ角ゴ ProN W3" w:eastAsia="ヒラギノ角ゴ ProN W3" w:hAnsi="ヒラギノ角ゴ ProN W3"/>
                <w:sz w:val="22"/>
                <w:szCs w:val="22"/>
              </w:rPr>
            </w:pPr>
            <w:proofErr w:type="spellStart"/>
            <w:r>
              <w:rPr>
                <w:sz w:val="22"/>
                <w:szCs w:val="22"/>
              </w:rPr>
              <w:t>C</w:t>
            </w:r>
            <w:r>
              <w:rPr>
                <w:sz w:val="22"/>
                <w:szCs w:val="22"/>
                <w:vertAlign w:val="subscript"/>
              </w:rPr>
              <w:t>gennemsnit</w:t>
            </w:r>
            <w:proofErr w:type="spellEnd"/>
            <w:r>
              <w:rPr>
                <w:sz w:val="22"/>
                <w:szCs w:val="22"/>
                <w:lang w:val="en-US"/>
              </w:rPr>
              <w:t xml:space="preserve"> </w:t>
            </w:r>
          </w:p>
        </w:tc>
        <w:tc>
          <w:tcPr>
            <w:tcW w:w="478"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hint="eastAsia"/>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80"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75"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1,88</w:t>
            </w:r>
          </w:p>
        </w:tc>
        <w:tc>
          <w:tcPr>
            <w:tcW w:w="557"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557"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557"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r>
      <w:tr w:rsidR="00573037" w:rsidTr="00573037">
        <w:tc>
          <w:tcPr>
            <w:tcW w:w="93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left="142" w:right="-1"/>
              <w:rPr>
                <w:rFonts w:ascii="ヒラギノ角ゴ ProN W3" w:eastAsia="ヒラギノ角ゴ ProN W3" w:hAnsi="ヒラギノ角ゴ ProN W3"/>
                <w:sz w:val="22"/>
                <w:szCs w:val="22"/>
              </w:rPr>
            </w:pPr>
            <w:proofErr w:type="spellStart"/>
            <w:r>
              <w:rPr>
                <w:sz w:val="22"/>
                <w:szCs w:val="22"/>
              </w:rPr>
              <w:t>T</w:t>
            </w:r>
            <w:r>
              <w:rPr>
                <w:sz w:val="22"/>
                <w:szCs w:val="22"/>
                <w:vertAlign w:val="subscript"/>
              </w:rPr>
              <w:t>max</w:t>
            </w:r>
            <w:proofErr w:type="spellEnd"/>
            <w:r>
              <w:rPr>
                <w:sz w:val="22"/>
                <w:szCs w:val="22"/>
              </w:rPr>
              <w:t xml:space="preserve"> (timer)</w:t>
            </w:r>
            <w:r>
              <w:rPr>
                <w:sz w:val="22"/>
                <w:szCs w:val="22"/>
                <w:lang w:val="en-US"/>
              </w:rPr>
              <w:t xml:space="preserve"> </w:t>
            </w:r>
          </w:p>
        </w:tc>
        <w:tc>
          <w:tcPr>
            <w:tcW w:w="478"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hint="eastAsia"/>
                <w:sz w:val="22"/>
                <w:szCs w:val="22"/>
                <w:lang w:val="en-US"/>
              </w:rPr>
            </w:pPr>
            <w:r>
              <w:rPr>
                <w:rFonts w:eastAsia="ヒラギノ角ゴ ProN W3"/>
                <w:sz w:val="22"/>
                <w:szCs w:val="22"/>
                <w:lang w:val="en-US"/>
              </w:rPr>
              <w:t>1,08</w:t>
            </w:r>
          </w:p>
        </w:tc>
        <w:tc>
          <w:tcPr>
            <w:tcW w:w="478"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1,19</w:t>
            </w:r>
          </w:p>
        </w:tc>
        <w:tc>
          <w:tcPr>
            <w:tcW w:w="480"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1,21</w:t>
            </w:r>
          </w:p>
        </w:tc>
        <w:tc>
          <w:tcPr>
            <w:tcW w:w="475"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1,15</w:t>
            </w:r>
          </w:p>
        </w:tc>
        <w:tc>
          <w:tcPr>
            <w:tcW w:w="55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1,37</w:t>
            </w:r>
          </w:p>
        </w:tc>
        <w:tc>
          <w:tcPr>
            <w:tcW w:w="55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1,35</w:t>
            </w:r>
          </w:p>
        </w:tc>
        <w:tc>
          <w:tcPr>
            <w:tcW w:w="478"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1,64</w:t>
            </w:r>
          </w:p>
        </w:tc>
        <w:tc>
          <w:tcPr>
            <w:tcW w:w="55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1,65</w:t>
            </w:r>
          </w:p>
        </w:tc>
      </w:tr>
      <w:tr w:rsidR="00573037" w:rsidTr="00573037">
        <w:tc>
          <w:tcPr>
            <w:tcW w:w="93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left="142" w:right="-1"/>
              <w:rPr>
                <w:rFonts w:ascii="ヒラギノ角ゴ ProN W3" w:eastAsia="ヒラギノ角ゴ ProN W3" w:hAnsi="ヒラギノ角ゴ ProN W3"/>
                <w:sz w:val="22"/>
                <w:szCs w:val="22"/>
              </w:rPr>
            </w:pPr>
            <w:r>
              <w:rPr>
                <w:sz w:val="22"/>
                <w:szCs w:val="22"/>
              </w:rPr>
              <w:t>T</w:t>
            </w:r>
            <w:r>
              <w:rPr>
                <w:sz w:val="22"/>
                <w:szCs w:val="22"/>
                <w:vertAlign w:val="subscript"/>
              </w:rPr>
              <w:t xml:space="preserve">1/2 </w:t>
            </w:r>
            <w:r>
              <w:rPr>
                <w:sz w:val="22"/>
                <w:szCs w:val="22"/>
              </w:rPr>
              <w:t>(timer)</w:t>
            </w:r>
            <w:r>
              <w:rPr>
                <w:sz w:val="22"/>
                <w:szCs w:val="22"/>
                <w:lang w:val="en-US"/>
              </w:rPr>
              <w:t xml:space="preserve"> </w:t>
            </w:r>
          </w:p>
        </w:tc>
        <w:tc>
          <w:tcPr>
            <w:tcW w:w="478"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hint="eastAsia"/>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80"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5,78</w:t>
            </w:r>
          </w:p>
        </w:tc>
        <w:tc>
          <w:tcPr>
            <w:tcW w:w="475"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7,71</w:t>
            </w:r>
          </w:p>
        </w:tc>
        <w:tc>
          <w:tcPr>
            <w:tcW w:w="557" w:type="pct"/>
            <w:tcBorders>
              <w:top w:val="single" w:sz="6" w:space="0" w:color="auto"/>
              <w:left w:val="single" w:sz="8" w:space="0" w:color="BFBFBF"/>
              <w:bottom w:val="single" w:sz="6" w:space="0" w:color="auto"/>
              <w:right w:val="single" w:sz="8" w:space="0" w:color="BFBFBF"/>
            </w:tcBorders>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5,87</w:t>
            </w:r>
          </w:p>
        </w:tc>
        <w:tc>
          <w:tcPr>
            <w:tcW w:w="557"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557" w:type="pct"/>
            <w:tcBorders>
              <w:top w:val="single" w:sz="6" w:space="0" w:color="auto"/>
              <w:left w:val="single" w:sz="8" w:space="0" w:color="BFBFBF"/>
              <w:bottom w:val="single" w:sz="6" w:space="0" w:color="auto"/>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r>
      <w:tr w:rsidR="00573037" w:rsidTr="00573037">
        <w:tc>
          <w:tcPr>
            <w:tcW w:w="93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left="142" w:right="-1"/>
              <w:rPr>
                <w:rFonts w:ascii="ヒラギノ角ゴ ProN W3" w:eastAsia="ヒラギノ角ゴ ProN W3" w:hAnsi="ヒラギノ角ゴ ProN W3"/>
                <w:sz w:val="22"/>
                <w:szCs w:val="22"/>
              </w:rPr>
            </w:pPr>
            <w:proofErr w:type="spellStart"/>
            <w:r>
              <w:rPr>
                <w:sz w:val="22"/>
                <w:szCs w:val="22"/>
              </w:rPr>
              <w:t>C</w:t>
            </w:r>
            <w:r>
              <w:rPr>
                <w:sz w:val="22"/>
                <w:szCs w:val="22"/>
                <w:vertAlign w:val="subscript"/>
              </w:rPr>
              <w:t>min</w:t>
            </w:r>
            <w:proofErr w:type="spellEnd"/>
            <w:r>
              <w:rPr>
                <w:sz w:val="22"/>
                <w:szCs w:val="22"/>
              </w:rPr>
              <w:t xml:space="preserve"> (</w:t>
            </w:r>
            <w:proofErr w:type="spellStart"/>
            <w:r>
              <w:rPr>
                <w:sz w:val="22"/>
                <w:szCs w:val="22"/>
              </w:rPr>
              <w:t>ng</w:t>
            </w:r>
            <w:proofErr w:type="spellEnd"/>
            <w:r>
              <w:rPr>
                <w:sz w:val="22"/>
                <w:szCs w:val="22"/>
              </w:rPr>
              <w:t>/</w:t>
            </w:r>
            <w:proofErr w:type="spellStart"/>
            <w:r>
              <w:rPr>
                <w:sz w:val="22"/>
                <w:szCs w:val="22"/>
              </w:rPr>
              <w:t>mL</w:t>
            </w:r>
            <w:proofErr w:type="spellEnd"/>
            <w:r>
              <w:rPr>
                <w:sz w:val="22"/>
                <w:szCs w:val="22"/>
              </w:rPr>
              <w:t>)</w:t>
            </w:r>
          </w:p>
        </w:tc>
        <w:tc>
          <w:tcPr>
            <w:tcW w:w="478"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hint="eastAsia"/>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80"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75"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0,23</w:t>
            </w:r>
          </w:p>
        </w:tc>
        <w:tc>
          <w:tcPr>
            <w:tcW w:w="55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55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55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r>
      <w:tr w:rsidR="00573037" w:rsidTr="00573037">
        <w:tc>
          <w:tcPr>
            <w:tcW w:w="93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left="142" w:right="-1"/>
              <w:rPr>
                <w:rFonts w:eastAsia="ヒラギノ角ゴ ProN W3"/>
                <w:sz w:val="22"/>
                <w:szCs w:val="22"/>
                <w:lang w:val="en-US"/>
              </w:rPr>
            </w:pPr>
            <w:r>
              <w:rPr>
                <w:rFonts w:eastAsia="ヒラギノ角ゴ ProN W3"/>
                <w:sz w:val="22"/>
                <w:szCs w:val="22"/>
                <w:lang w:val="en-US"/>
              </w:rPr>
              <w:t>AUC0-24</w:t>
            </w:r>
          </w:p>
          <w:p w:rsidR="00573037" w:rsidRDefault="00573037">
            <w:pPr>
              <w:widowControl w:val="0"/>
              <w:autoSpaceDE w:val="0"/>
              <w:autoSpaceDN w:val="0"/>
              <w:adjustRightInd w:val="0"/>
              <w:ind w:left="142" w:right="-1"/>
              <w:rPr>
                <w:rFonts w:eastAsia="ヒラギノ角ゴ ProN W3"/>
                <w:sz w:val="22"/>
                <w:szCs w:val="22"/>
                <w:lang w:val="en-US"/>
              </w:rPr>
            </w:pPr>
            <w:r>
              <w:rPr>
                <w:rFonts w:eastAsia="ヒラギノ角ゴ ProN W3"/>
                <w:sz w:val="22"/>
                <w:szCs w:val="22"/>
                <w:lang w:val="en-US"/>
              </w:rPr>
              <w:t>(ng/</w:t>
            </w:r>
            <w:proofErr w:type="spellStart"/>
            <w:r>
              <w:rPr>
                <w:rFonts w:eastAsia="ヒラギノ角ゴ ProN W3"/>
                <w:sz w:val="22"/>
                <w:szCs w:val="22"/>
                <w:lang w:val="en-US"/>
              </w:rPr>
              <w:t>mL.timer</w:t>
            </w:r>
            <w:proofErr w:type="spellEnd"/>
            <w:r>
              <w:rPr>
                <w:rFonts w:eastAsia="ヒラギノ角ゴ ProN W3"/>
                <w:sz w:val="22"/>
                <w:szCs w:val="22"/>
                <w:lang w:val="en-US"/>
              </w:rPr>
              <w:t>)</w:t>
            </w:r>
          </w:p>
        </w:tc>
        <w:tc>
          <w:tcPr>
            <w:tcW w:w="478"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78"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480"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53,23</w:t>
            </w:r>
          </w:p>
        </w:tc>
        <w:tc>
          <w:tcPr>
            <w:tcW w:w="475"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44,73</w:t>
            </w:r>
          </w:p>
        </w:tc>
        <w:tc>
          <w:tcPr>
            <w:tcW w:w="55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16,23</w:t>
            </w:r>
          </w:p>
        </w:tc>
        <w:tc>
          <w:tcPr>
            <w:tcW w:w="55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9,20</w:t>
            </w:r>
          </w:p>
        </w:tc>
        <w:tc>
          <w:tcPr>
            <w:tcW w:w="478"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c>
          <w:tcPr>
            <w:tcW w:w="557" w:type="pct"/>
            <w:tcBorders>
              <w:top w:val="single" w:sz="6" w:space="0" w:color="auto"/>
              <w:left w:val="single" w:sz="8" w:space="0" w:color="BFBFBF"/>
              <w:bottom w:val="single" w:sz="8" w:space="0" w:color="BFBFBF"/>
              <w:right w:val="single" w:sz="8" w:space="0" w:color="BFBFBF"/>
            </w:tcBorders>
            <w:vAlign w:val="center"/>
            <w:hideMark/>
          </w:tcPr>
          <w:p w:rsidR="00573037" w:rsidRDefault="00573037">
            <w:pPr>
              <w:widowControl w:val="0"/>
              <w:autoSpaceDE w:val="0"/>
              <w:autoSpaceDN w:val="0"/>
              <w:adjustRightInd w:val="0"/>
              <w:ind w:right="-1"/>
              <w:rPr>
                <w:rFonts w:eastAsia="ヒラギノ角ゴ ProN W3"/>
                <w:sz w:val="22"/>
                <w:szCs w:val="22"/>
                <w:lang w:val="en-US"/>
              </w:rPr>
            </w:pPr>
            <w:r>
              <w:rPr>
                <w:rFonts w:eastAsia="ヒラギノ角ゴ ProN W3"/>
                <w:sz w:val="22"/>
                <w:szCs w:val="22"/>
                <w:lang w:val="en-US"/>
              </w:rPr>
              <w:t>--</w:t>
            </w:r>
          </w:p>
        </w:tc>
      </w:tr>
    </w:tbl>
    <w:p w:rsidR="00573037" w:rsidRDefault="00573037" w:rsidP="00573037">
      <w:pPr>
        <w:widowControl w:val="0"/>
        <w:autoSpaceDE w:val="0"/>
        <w:autoSpaceDN w:val="0"/>
        <w:adjustRightInd w:val="0"/>
        <w:ind w:right="-1"/>
        <w:rPr>
          <w:sz w:val="24"/>
          <w:szCs w:val="24"/>
        </w:rPr>
      </w:pPr>
      <w:r>
        <w:rPr>
          <w:sz w:val="24"/>
          <w:szCs w:val="24"/>
        </w:rPr>
        <w:t>SD = enkelt dosis, MD = gentagne doser</w:t>
      </w:r>
    </w:p>
    <w:p w:rsidR="009652DC" w:rsidRDefault="009652DC" w:rsidP="009652DC">
      <w:pPr>
        <w:tabs>
          <w:tab w:val="left" w:pos="851"/>
        </w:tabs>
        <w:rPr>
          <w:sz w:val="24"/>
          <w:szCs w:val="24"/>
        </w:rPr>
      </w:pPr>
    </w:p>
    <w:p w:rsidR="009652DC" w:rsidRDefault="009652DC" w:rsidP="009652DC">
      <w:pPr>
        <w:widowControl w:val="0"/>
        <w:autoSpaceDE w:val="0"/>
        <w:autoSpaceDN w:val="0"/>
        <w:adjustRightInd w:val="0"/>
        <w:ind w:left="851" w:right="-1"/>
        <w:rPr>
          <w:spacing w:val="-3"/>
          <w:sz w:val="24"/>
          <w:szCs w:val="24"/>
        </w:rPr>
      </w:pPr>
      <w:r>
        <w:rPr>
          <w:spacing w:val="-3"/>
          <w:sz w:val="24"/>
          <w:szCs w:val="24"/>
        </w:rPr>
        <w:t xml:space="preserve">Udskillelse af </w:t>
      </w:r>
      <w:proofErr w:type="spellStart"/>
      <w:r>
        <w:rPr>
          <w:spacing w:val="-3"/>
          <w:sz w:val="24"/>
          <w:szCs w:val="24"/>
        </w:rPr>
        <w:t>tibolon</w:t>
      </w:r>
      <w:proofErr w:type="spellEnd"/>
      <w:r>
        <w:rPr>
          <w:spacing w:val="-3"/>
          <w:sz w:val="24"/>
          <w:szCs w:val="24"/>
        </w:rPr>
        <w:t xml:space="preserve"> sker hovedsageligt i form af konjugerede (oftest </w:t>
      </w:r>
      <w:proofErr w:type="spellStart"/>
      <w:r>
        <w:rPr>
          <w:spacing w:val="-3"/>
          <w:sz w:val="24"/>
          <w:szCs w:val="24"/>
        </w:rPr>
        <w:t>sulfaterede</w:t>
      </w:r>
      <w:proofErr w:type="spellEnd"/>
      <w:r>
        <w:rPr>
          <w:spacing w:val="-3"/>
          <w:sz w:val="24"/>
          <w:szCs w:val="24"/>
        </w:rPr>
        <w:t>) metabolitter. En mindre del udskilles via urinen, men hovedparten udskilles via afføringen.</w:t>
      </w:r>
    </w:p>
    <w:p w:rsidR="009652DC" w:rsidRDefault="009652DC" w:rsidP="009652DC">
      <w:pPr>
        <w:widowControl w:val="0"/>
        <w:autoSpaceDE w:val="0"/>
        <w:autoSpaceDN w:val="0"/>
        <w:adjustRightInd w:val="0"/>
        <w:ind w:right="-1"/>
        <w:rPr>
          <w:spacing w:val="-3"/>
          <w:sz w:val="24"/>
          <w:szCs w:val="24"/>
        </w:rPr>
      </w:pPr>
    </w:p>
    <w:p w:rsidR="009652DC" w:rsidRDefault="009652DC" w:rsidP="009652DC">
      <w:pPr>
        <w:widowControl w:val="0"/>
        <w:autoSpaceDE w:val="0"/>
        <w:autoSpaceDN w:val="0"/>
        <w:adjustRightInd w:val="0"/>
        <w:ind w:right="-1" w:firstLine="851"/>
        <w:rPr>
          <w:spacing w:val="-3"/>
          <w:sz w:val="24"/>
          <w:szCs w:val="24"/>
        </w:rPr>
      </w:pPr>
      <w:r>
        <w:rPr>
          <w:spacing w:val="-3"/>
          <w:sz w:val="24"/>
          <w:szCs w:val="24"/>
        </w:rPr>
        <w:t>Indtagelse af føde har ingen signifikant effekt på absorptionen.</w:t>
      </w:r>
    </w:p>
    <w:p w:rsidR="009652DC" w:rsidRDefault="009652DC" w:rsidP="009652DC">
      <w:pPr>
        <w:widowControl w:val="0"/>
        <w:autoSpaceDE w:val="0"/>
        <w:autoSpaceDN w:val="0"/>
        <w:adjustRightInd w:val="0"/>
        <w:ind w:left="851" w:right="-1"/>
        <w:rPr>
          <w:spacing w:val="-3"/>
          <w:szCs w:val="24"/>
        </w:rPr>
      </w:pPr>
      <w:r>
        <w:rPr>
          <w:spacing w:val="-3"/>
          <w:sz w:val="24"/>
          <w:szCs w:val="24"/>
        </w:rPr>
        <w:t xml:space="preserve">De </w:t>
      </w:r>
      <w:proofErr w:type="spellStart"/>
      <w:r>
        <w:rPr>
          <w:spacing w:val="-3"/>
          <w:sz w:val="24"/>
          <w:szCs w:val="24"/>
        </w:rPr>
        <w:t>farmakokinetiske</w:t>
      </w:r>
      <w:proofErr w:type="spellEnd"/>
      <w:r>
        <w:rPr>
          <w:spacing w:val="-3"/>
          <w:sz w:val="24"/>
          <w:szCs w:val="24"/>
        </w:rPr>
        <w:t xml:space="preserve"> parametre for </w:t>
      </w:r>
      <w:proofErr w:type="spellStart"/>
      <w:r>
        <w:rPr>
          <w:spacing w:val="-3"/>
          <w:sz w:val="24"/>
          <w:szCs w:val="24"/>
        </w:rPr>
        <w:t>tibolon</w:t>
      </w:r>
      <w:proofErr w:type="spellEnd"/>
      <w:r>
        <w:rPr>
          <w:spacing w:val="-3"/>
          <w:sz w:val="24"/>
          <w:szCs w:val="24"/>
        </w:rPr>
        <w:t xml:space="preserve"> og dets metabolitter er ikke afhængige af</w:t>
      </w:r>
      <w:r>
        <w:rPr>
          <w:spacing w:val="-3"/>
          <w:szCs w:val="24"/>
        </w:rPr>
        <w:t xml:space="preserve"> nyrefunktionen.</w:t>
      </w: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5.3</w:t>
      </w:r>
      <w:r w:rsidRPr="00B536EF">
        <w:rPr>
          <w:b/>
          <w:sz w:val="24"/>
          <w:szCs w:val="24"/>
        </w:rPr>
        <w:tab/>
      </w:r>
      <w:r w:rsidR="00BA3743">
        <w:rPr>
          <w:b/>
          <w:sz w:val="24"/>
          <w:szCs w:val="24"/>
        </w:rPr>
        <w:t>Non-</w:t>
      </w:r>
      <w:r w:rsidRPr="00B536EF">
        <w:rPr>
          <w:b/>
          <w:sz w:val="24"/>
          <w:szCs w:val="24"/>
        </w:rPr>
        <w:t>kliniske sikkerhedsdata</w:t>
      </w:r>
    </w:p>
    <w:p w:rsidR="009652DC" w:rsidRPr="00B536EF" w:rsidRDefault="009652DC" w:rsidP="009652DC">
      <w:pPr>
        <w:widowControl w:val="0"/>
        <w:tabs>
          <w:tab w:val="left" w:pos="426"/>
        </w:tabs>
        <w:autoSpaceDE w:val="0"/>
        <w:autoSpaceDN w:val="0"/>
        <w:adjustRightInd w:val="0"/>
        <w:ind w:left="851" w:right="-1"/>
        <w:rPr>
          <w:rFonts w:ascii="ヒラギノ角ゴ ProN W3" w:eastAsia="ヒラギノ角ゴ ProN W3"/>
          <w:sz w:val="24"/>
          <w:szCs w:val="24"/>
        </w:rPr>
      </w:pPr>
      <w:r w:rsidRPr="00B536EF">
        <w:rPr>
          <w:spacing w:val="-3"/>
          <w:sz w:val="24"/>
          <w:szCs w:val="24"/>
        </w:rPr>
        <w:t xml:space="preserve">I dyrestudier har </w:t>
      </w:r>
      <w:proofErr w:type="spellStart"/>
      <w:r w:rsidRPr="00B536EF">
        <w:rPr>
          <w:spacing w:val="-3"/>
          <w:sz w:val="24"/>
          <w:szCs w:val="24"/>
        </w:rPr>
        <w:t>tibolon</w:t>
      </w:r>
      <w:proofErr w:type="spellEnd"/>
      <w:r w:rsidRPr="00B536EF">
        <w:rPr>
          <w:spacing w:val="-3"/>
          <w:sz w:val="24"/>
          <w:szCs w:val="24"/>
        </w:rPr>
        <w:t xml:space="preserve"> vist anti-fertil og embryotoksisk aktivitet i kraft af stoffets hormonelle egenskaber.</w:t>
      </w:r>
      <w:r w:rsidRPr="00B536EF">
        <w:rPr>
          <w:sz w:val="24"/>
          <w:szCs w:val="24"/>
        </w:rPr>
        <w:t xml:space="preserve"> </w:t>
      </w:r>
      <w:proofErr w:type="spellStart"/>
      <w:r w:rsidRPr="00B536EF">
        <w:rPr>
          <w:spacing w:val="-3"/>
          <w:sz w:val="24"/>
          <w:szCs w:val="24"/>
        </w:rPr>
        <w:t>Tibolon</w:t>
      </w:r>
      <w:proofErr w:type="spellEnd"/>
      <w:r w:rsidRPr="00B536EF">
        <w:rPr>
          <w:spacing w:val="-3"/>
          <w:sz w:val="24"/>
          <w:szCs w:val="24"/>
        </w:rPr>
        <w:t xml:space="preserve"> var ikke </w:t>
      </w:r>
      <w:proofErr w:type="spellStart"/>
      <w:r w:rsidRPr="00B536EF">
        <w:rPr>
          <w:spacing w:val="-3"/>
          <w:sz w:val="24"/>
          <w:szCs w:val="24"/>
        </w:rPr>
        <w:t>teratogent</w:t>
      </w:r>
      <w:proofErr w:type="spellEnd"/>
      <w:r w:rsidRPr="00B536EF">
        <w:rPr>
          <w:spacing w:val="-3"/>
          <w:sz w:val="24"/>
          <w:szCs w:val="24"/>
        </w:rPr>
        <w:t xml:space="preserve"> hos mus og rotter.</w:t>
      </w:r>
      <w:r w:rsidRPr="00B536EF">
        <w:rPr>
          <w:sz w:val="24"/>
          <w:szCs w:val="24"/>
        </w:rPr>
        <w:t xml:space="preserve"> </w:t>
      </w:r>
      <w:proofErr w:type="spellStart"/>
      <w:r w:rsidRPr="00B536EF">
        <w:rPr>
          <w:spacing w:val="-3"/>
          <w:sz w:val="24"/>
          <w:szCs w:val="24"/>
        </w:rPr>
        <w:t>Tibolon</w:t>
      </w:r>
      <w:proofErr w:type="spellEnd"/>
      <w:r w:rsidRPr="00B536EF">
        <w:rPr>
          <w:spacing w:val="-3"/>
          <w:sz w:val="24"/>
          <w:szCs w:val="24"/>
        </w:rPr>
        <w:t xml:space="preserve"> viste </w:t>
      </w:r>
      <w:proofErr w:type="spellStart"/>
      <w:r w:rsidRPr="00B536EF">
        <w:rPr>
          <w:spacing w:val="-3"/>
          <w:sz w:val="24"/>
          <w:szCs w:val="24"/>
        </w:rPr>
        <w:t>teratogent</w:t>
      </w:r>
      <w:proofErr w:type="spellEnd"/>
      <w:r w:rsidRPr="00B536EF">
        <w:rPr>
          <w:spacing w:val="-3"/>
          <w:sz w:val="24"/>
          <w:szCs w:val="24"/>
        </w:rPr>
        <w:t xml:space="preserve"> potentiale hos kaniner ved brug af doser, der nærmede sig abortfremkaldende doser (se pkt. 4.6.).</w:t>
      </w:r>
      <w:r w:rsidRPr="00B536EF">
        <w:rPr>
          <w:sz w:val="24"/>
          <w:szCs w:val="24"/>
        </w:rPr>
        <w:t xml:space="preserve"> </w:t>
      </w:r>
      <w:proofErr w:type="spellStart"/>
      <w:r w:rsidRPr="00B536EF">
        <w:rPr>
          <w:spacing w:val="-3"/>
          <w:sz w:val="24"/>
          <w:szCs w:val="24"/>
        </w:rPr>
        <w:t>Tibolon</w:t>
      </w:r>
      <w:proofErr w:type="spellEnd"/>
      <w:r w:rsidRPr="00B536EF">
        <w:rPr>
          <w:spacing w:val="-3"/>
          <w:sz w:val="24"/>
          <w:szCs w:val="24"/>
        </w:rPr>
        <w:t xml:space="preserve"> er ikke genotoksisk under </w:t>
      </w:r>
      <w:r w:rsidRPr="00B536EF">
        <w:rPr>
          <w:i/>
          <w:spacing w:val="-3"/>
          <w:sz w:val="24"/>
          <w:szCs w:val="24"/>
        </w:rPr>
        <w:t xml:space="preserve">in </w:t>
      </w:r>
      <w:proofErr w:type="spellStart"/>
      <w:r w:rsidRPr="00B536EF">
        <w:rPr>
          <w:i/>
          <w:spacing w:val="-3"/>
          <w:sz w:val="24"/>
          <w:szCs w:val="24"/>
        </w:rPr>
        <w:t>vivo</w:t>
      </w:r>
      <w:proofErr w:type="spellEnd"/>
      <w:r w:rsidRPr="00B536EF">
        <w:rPr>
          <w:spacing w:val="-3"/>
          <w:sz w:val="24"/>
          <w:szCs w:val="24"/>
        </w:rPr>
        <w:t>-betingelser.</w:t>
      </w:r>
      <w:r w:rsidRPr="00B536EF">
        <w:rPr>
          <w:i/>
          <w:sz w:val="24"/>
          <w:szCs w:val="24"/>
        </w:rPr>
        <w:t xml:space="preserve"> </w:t>
      </w:r>
      <w:r w:rsidRPr="00B536EF">
        <w:rPr>
          <w:spacing w:val="-3"/>
          <w:sz w:val="24"/>
          <w:szCs w:val="24"/>
        </w:rPr>
        <w:t xml:space="preserve">Der er set karcinogen </w:t>
      </w:r>
      <w:r w:rsidRPr="00B536EF">
        <w:rPr>
          <w:spacing w:val="-3"/>
          <w:sz w:val="24"/>
          <w:szCs w:val="24"/>
        </w:rPr>
        <w:lastRenderedPageBreak/>
        <w:t>effekt i visse rottestammer (levertumorer) samt musestammer (blæretumorer). Den kliniske relevans af disse fund er uafklaret.</w:t>
      </w:r>
    </w:p>
    <w:p w:rsidR="009652DC" w:rsidRDefault="009652DC" w:rsidP="009652DC">
      <w:pPr>
        <w:widowControl w:val="0"/>
        <w:tabs>
          <w:tab w:val="left" w:pos="426"/>
        </w:tabs>
        <w:autoSpaceDE w:val="0"/>
        <w:autoSpaceDN w:val="0"/>
        <w:adjustRightInd w:val="0"/>
        <w:ind w:left="851" w:right="-1"/>
        <w:rPr>
          <w:rFonts w:eastAsia="ヒラギノ角ゴ ProN W3"/>
          <w:sz w:val="24"/>
          <w:szCs w:val="24"/>
        </w:rPr>
      </w:pPr>
    </w:p>
    <w:p w:rsidR="009652DC" w:rsidRPr="00B536EF" w:rsidRDefault="009652DC" w:rsidP="009652DC">
      <w:pPr>
        <w:widowControl w:val="0"/>
        <w:tabs>
          <w:tab w:val="left" w:pos="426"/>
        </w:tabs>
        <w:autoSpaceDE w:val="0"/>
        <w:autoSpaceDN w:val="0"/>
        <w:adjustRightInd w:val="0"/>
        <w:ind w:left="851" w:right="-1"/>
        <w:rPr>
          <w:rFonts w:eastAsia="ヒラギノ角ゴ ProN W3"/>
          <w:sz w:val="24"/>
          <w:szCs w:val="24"/>
        </w:rPr>
      </w:pPr>
    </w:p>
    <w:p w:rsidR="009652DC" w:rsidRPr="00B536EF" w:rsidRDefault="009652DC" w:rsidP="009652DC">
      <w:pPr>
        <w:tabs>
          <w:tab w:val="left" w:pos="851"/>
        </w:tabs>
        <w:ind w:left="851" w:hanging="851"/>
        <w:rPr>
          <w:b/>
          <w:sz w:val="24"/>
          <w:szCs w:val="24"/>
        </w:rPr>
      </w:pPr>
      <w:r w:rsidRPr="00B536EF">
        <w:rPr>
          <w:b/>
          <w:sz w:val="24"/>
          <w:szCs w:val="24"/>
        </w:rPr>
        <w:t>6.</w:t>
      </w:r>
      <w:r w:rsidRPr="00B536EF">
        <w:rPr>
          <w:b/>
          <w:sz w:val="24"/>
          <w:szCs w:val="24"/>
        </w:rPr>
        <w:tab/>
        <w:t>FARMACEUTISKE OPLYSNINGER</w:t>
      </w:r>
    </w:p>
    <w:p w:rsidR="009652DC" w:rsidRPr="00F11D97"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6.1</w:t>
      </w:r>
      <w:r w:rsidRPr="00B536EF">
        <w:rPr>
          <w:b/>
          <w:sz w:val="24"/>
          <w:szCs w:val="24"/>
        </w:rPr>
        <w:tab/>
        <w:t>Hjælpestoffer</w:t>
      </w:r>
    </w:p>
    <w:p w:rsidR="009652DC" w:rsidRDefault="009652DC" w:rsidP="009652DC">
      <w:pPr>
        <w:widowControl w:val="0"/>
        <w:autoSpaceDE w:val="0"/>
        <w:autoSpaceDN w:val="0"/>
        <w:adjustRightInd w:val="0"/>
        <w:ind w:left="851" w:right="-1"/>
        <w:rPr>
          <w:sz w:val="24"/>
          <w:szCs w:val="24"/>
        </w:rPr>
      </w:pPr>
      <w:r>
        <w:rPr>
          <w:sz w:val="24"/>
          <w:szCs w:val="24"/>
        </w:rPr>
        <w:t xml:space="preserve">Kartoffelstivelse </w:t>
      </w:r>
    </w:p>
    <w:p w:rsidR="009652DC" w:rsidRDefault="009652DC" w:rsidP="009652DC">
      <w:pPr>
        <w:widowControl w:val="0"/>
        <w:autoSpaceDE w:val="0"/>
        <w:autoSpaceDN w:val="0"/>
        <w:adjustRightInd w:val="0"/>
        <w:ind w:left="851" w:right="-1"/>
        <w:rPr>
          <w:sz w:val="24"/>
          <w:szCs w:val="24"/>
        </w:rPr>
      </w:pPr>
      <w:proofErr w:type="spellStart"/>
      <w:r>
        <w:rPr>
          <w:sz w:val="24"/>
          <w:szCs w:val="24"/>
        </w:rPr>
        <w:t>Magnesiumstearat</w:t>
      </w:r>
      <w:proofErr w:type="spellEnd"/>
    </w:p>
    <w:p w:rsidR="009652DC" w:rsidRDefault="009652DC" w:rsidP="009652DC">
      <w:pPr>
        <w:widowControl w:val="0"/>
        <w:autoSpaceDE w:val="0"/>
        <w:autoSpaceDN w:val="0"/>
        <w:adjustRightInd w:val="0"/>
        <w:ind w:left="851" w:right="-1"/>
        <w:rPr>
          <w:sz w:val="24"/>
          <w:szCs w:val="24"/>
        </w:rPr>
      </w:pPr>
      <w:proofErr w:type="spellStart"/>
      <w:r>
        <w:rPr>
          <w:sz w:val="24"/>
          <w:szCs w:val="24"/>
        </w:rPr>
        <w:t>Ascorbylpalmitat</w:t>
      </w:r>
      <w:proofErr w:type="spellEnd"/>
      <w:r>
        <w:rPr>
          <w:sz w:val="24"/>
          <w:szCs w:val="24"/>
        </w:rPr>
        <w:t xml:space="preserve"> </w:t>
      </w:r>
    </w:p>
    <w:p w:rsidR="009652DC" w:rsidRDefault="009652DC" w:rsidP="009652DC">
      <w:pPr>
        <w:widowControl w:val="0"/>
        <w:autoSpaceDE w:val="0"/>
        <w:autoSpaceDN w:val="0"/>
        <w:adjustRightInd w:val="0"/>
        <w:ind w:left="851" w:right="-1"/>
        <w:rPr>
          <w:sz w:val="24"/>
          <w:szCs w:val="24"/>
        </w:rPr>
      </w:pPr>
      <w:proofErr w:type="spellStart"/>
      <w:r>
        <w:rPr>
          <w:sz w:val="24"/>
          <w:szCs w:val="24"/>
        </w:rPr>
        <w:t>Lactosemonohydrat</w:t>
      </w:r>
      <w:proofErr w:type="spellEnd"/>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6.2</w:t>
      </w:r>
      <w:r w:rsidRPr="00B536EF">
        <w:rPr>
          <w:b/>
          <w:sz w:val="24"/>
          <w:szCs w:val="24"/>
        </w:rPr>
        <w:tab/>
        <w:t>Uforligeligheder</w:t>
      </w:r>
    </w:p>
    <w:p w:rsidR="009652DC" w:rsidRPr="00B536EF" w:rsidRDefault="009652DC" w:rsidP="009652DC">
      <w:pPr>
        <w:widowControl w:val="0"/>
        <w:tabs>
          <w:tab w:val="left" w:pos="426"/>
        </w:tabs>
        <w:autoSpaceDE w:val="0"/>
        <w:autoSpaceDN w:val="0"/>
        <w:adjustRightInd w:val="0"/>
        <w:ind w:left="851" w:right="-1"/>
        <w:rPr>
          <w:sz w:val="24"/>
          <w:szCs w:val="24"/>
        </w:rPr>
      </w:pPr>
      <w:r w:rsidRPr="00B536EF">
        <w:rPr>
          <w:sz w:val="24"/>
          <w:szCs w:val="24"/>
        </w:rPr>
        <w:t>Ikke relevant.</w:t>
      </w:r>
    </w:p>
    <w:p w:rsidR="009652DC" w:rsidRPr="00B536EF" w:rsidRDefault="009652DC" w:rsidP="009652DC">
      <w:pPr>
        <w:tabs>
          <w:tab w:val="left" w:pos="851"/>
        </w:tabs>
        <w:rPr>
          <w:sz w:val="24"/>
          <w:szCs w:val="24"/>
        </w:rPr>
      </w:pPr>
    </w:p>
    <w:p w:rsidR="009652DC" w:rsidRPr="00B536EF" w:rsidRDefault="009652DC" w:rsidP="009652DC">
      <w:pPr>
        <w:tabs>
          <w:tab w:val="left" w:pos="851"/>
        </w:tabs>
        <w:ind w:left="851" w:hanging="851"/>
        <w:rPr>
          <w:b/>
          <w:sz w:val="24"/>
          <w:szCs w:val="24"/>
        </w:rPr>
      </w:pPr>
      <w:r w:rsidRPr="00B536EF">
        <w:rPr>
          <w:b/>
          <w:sz w:val="24"/>
          <w:szCs w:val="24"/>
        </w:rPr>
        <w:t>6.3</w:t>
      </w:r>
      <w:r w:rsidRPr="00B536EF">
        <w:rPr>
          <w:b/>
          <w:sz w:val="24"/>
          <w:szCs w:val="24"/>
        </w:rPr>
        <w:tab/>
        <w:t>Opbevaringstid</w:t>
      </w:r>
    </w:p>
    <w:p w:rsidR="009652DC" w:rsidRPr="006F04BB" w:rsidRDefault="009652DC" w:rsidP="009652DC">
      <w:pPr>
        <w:widowControl w:val="0"/>
        <w:tabs>
          <w:tab w:val="left" w:pos="426"/>
        </w:tabs>
        <w:autoSpaceDE w:val="0"/>
        <w:autoSpaceDN w:val="0"/>
        <w:adjustRightInd w:val="0"/>
        <w:ind w:left="851" w:right="-1"/>
        <w:rPr>
          <w:rFonts w:ascii="ヒラギノ角ゴ ProN W3" w:eastAsia="ヒラギノ角ゴ ProN W3"/>
          <w:sz w:val="24"/>
          <w:szCs w:val="24"/>
        </w:rPr>
      </w:pPr>
      <w:r>
        <w:rPr>
          <w:sz w:val="24"/>
          <w:szCs w:val="24"/>
        </w:rPr>
        <w:t>3</w:t>
      </w:r>
      <w:r w:rsidRPr="00B536EF">
        <w:rPr>
          <w:sz w:val="24"/>
          <w:szCs w:val="24"/>
        </w:rPr>
        <w:t xml:space="preserve"> år.</w:t>
      </w:r>
    </w:p>
    <w:p w:rsidR="009652DC" w:rsidRPr="00C92C12" w:rsidRDefault="009652DC" w:rsidP="009652DC">
      <w:pPr>
        <w:ind w:left="851" w:hanging="851"/>
        <w:rPr>
          <w:sz w:val="24"/>
          <w:szCs w:val="24"/>
        </w:rPr>
      </w:pPr>
    </w:p>
    <w:p w:rsidR="009652DC" w:rsidRPr="00C92C12" w:rsidRDefault="009652DC" w:rsidP="009652DC">
      <w:pPr>
        <w:ind w:left="851" w:hanging="851"/>
        <w:rPr>
          <w:b/>
          <w:sz w:val="24"/>
          <w:szCs w:val="24"/>
        </w:rPr>
      </w:pPr>
      <w:r w:rsidRPr="00C92C12">
        <w:rPr>
          <w:b/>
          <w:sz w:val="24"/>
          <w:szCs w:val="24"/>
        </w:rPr>
        <w:t>6.4</w:t>
      </w:r>
      <w:r w:rsidRPr="00C92C12">
        <w:rPr>
          <w:b/>
          <w:sz w:val="24"/>
          <w:szCs w:val="24"/>
        </w:rPr>
        <w:tab/>
        <w:t>Særlige opbevaringsforhold</w:t>
      </w:r>
    </w:p>
    <w:p w:rsidR="009652DC" w:rsidRPr="00C92C12" w:rsidRDefault="009652DC" w:rsidP="009652DC">
      <w:pPr>
        <w:widowControl w:val="0"/>
        <w:autoSpaceDE w:val="0"/>
        <w:autoSpaceDN w:val="0"/>
        <w:adjustRightInd w:val="0"/>
        <w:ind w:left="851" w:right="-1" w:hanging="851"/>
        <w:rPr>
          <w:sz w:val="24"/>
          <w:szCs w:val="24"/>
        </w:rPr>
      </w:pPr>
      <w:r w:rsidRPr="00C92C12">
        <w:rPr>
          <w:sz w:val="24"/>
          <w:szCs w:val="24"/>
        </w:rPr>
        <w:tab/>
        <w:t>Dette lægemiddel kræver ingen særlige forholdsregler vedrørende opbevaringen.</w:t>
      </w:r>
    </w:p>
    <w:p w:rsidR="009652DC" w:rsidRPr="00C92C12" w:rsidRDefault="009652DC" w:rsidP="009652DC">
      <w:pPr>
        <w:ind w:left="851" w:hanging="851"/>
        <w:rPr>
          <w:sz w:val="24"/>
          <w:szCs w:val="24"/>
        </w:rPr>
      </w:pPr>
    </w:p>
    <w:p w:rsidR="009652DC" w:rsidRPr="00C92C12" w:rsidRDefault="009652DC" w:rsidP="009652DC">
      <w:pPr>
        <w:ind w:left="851" w:hanging="851"/>
        <w:rPr>
          <w:b/>
          <w:sz w:val="24"/>
          <w:szCs w:val="24"/>
        </w:rPr>
      </w:pPr>
      <w:r w:rsidRPr="00C92C12">
        <w:rPr>
          <w:b/>
          <w:sz w:val="24"/>
          <w:szCs w:val="24"/>
        </w:rPr>
        <w:t>6.5</w:t>
      </w:r>
      <w:r w:rsidRPr="00C92C12">
        <w:rPr>
          <w:b/>
          <w:sz w:val="24"/>
          <w:szCs w:val="24"/>
        </w:rPr>
        <w:tab/>
        <w:t>Emballagetype og pakningsstørrelser</w:t>
      </w:r>
    </w:p>
    <w:p w:rsidR="009652DC" w:rsidRPr="00C92C12" w:rsidRDefault="009652DC" w:rsidP="009652DC">
      <w:pPr>
        <w:widowControl w:val="0"/>
        <w:autoSpaceDE w:val="0"/>
        <w:autoSpaceDN w:val="0"/>
        <w:adjustRightInd w:val="0"/>
        <w:ind w:left="851" w:right="-1" w:hanging="851"/>
        <w:rPr>
          <w:sz w:val="24"/>
          <w:szCs w:val="24"/>
        </w:rPr>
      </w:pPr>
      <w:r w:rsidRPr="00C92C12">
        <w:rPr>
          <w:sz w:val="24"/>
          <w:szCs w:val="24"/>
        </w:rPr>
        <w:tab/>
      </w:r>
      <w:r>
        <w:rPr>
          <w:sz w:val="24"/>
          <w:szCs w:val="24"/>
        </w:rPr>
        <w:t>Kalenderblister af PVC/</w:t>
      </w:r>
      <w:proofErr w:type="spellStart"/>
      <w:r>
        <w:rPr>
          <w:sz w:val="24"/>
          <w:szCs w:val="24"/>
        </w:rPr>
        <w:t>PVdC</w:t>
      </w:r>
      <w:proofErr w:type="spellEnd"/>
      <w:r>
        <w:rPr>
          <w:sz w:val="24"/>
          <w:szCs w:val="24"/>
        </w:rPr>
        <w:t>/al.</w:t>
      </w:r>
    </w:p>
    <w:p w:rsidR="009652DC" w:rsidRPr="00C92C12" w:rsidRDefault="009652DC" w:rsidP="009652DC">
      <w:pPr>
        <w:widowControl w:val="0"/>
        <w:autoSpaceDE w:val="0"/>
        <w:autoSpaceDN w:val="0"/>
        <w:adjustRightInd w:val="0"/>
        <w:ind w:left="851" w:right="-1" w:hanging="851"/>
        <w:rPr>
          <w:sz w:val="24"/>
          <w:szCs w:val="24"/>
        </w:rPr>
      </w:pPr>
    </w:p>
    <w:p w:rsidR="009652DC" w:rsidRPr="00C92C12" w:rsidRDefault="009652DC" w:rsidP="009652DC">
      <w:pPr>
        <w:widowControl w:val="0"/>
        <w:autoSpaceDE w:val="0"/>
        <w:autoSpaceDN w:val="0"/>
        <w:adjustRightInd w:val="0"/>
        <w:ind w:left="851" w:right="-1"/>
        <w:rPr>
          <w:sz w:val="24"/>
          <w:szCs w:val="24"/>
        </w:rPr>
      </w:pPr>
      <w:r w:rsidRPr="00C92C12">
        <w:rPr>
          <w:sz w:val="24"/>
          <w:szCs w:val="24"/>
        </w:rPr>
        <w:t>Pakningsstørrelser: 1x28 og 3x28 tabletter.</w:t>
      </w:r>
    </w:p>
    <w:p w:rsidR="009652DC" w:rsidRPr="00C92C12" w:rsidRDefault="009652DC" w:rsidP="009652DC">
      <w:pPr>
        <w:widowControl w:val="0"/>
        <w:autoSpaceDE w:val="0"/>
        <w:autoSpaceDN w:val="0"/>
        <w:adjustRightInd w:val="0"/>
        <w:ind w:left="851" w:right="-1"/>
        <w:rPr>
          <w:rFonts w:eastAsia="ヒラギノ角ゴ ProN W3"/>
          <w:b/>
          <w:sz w:val="24"/>
          <w:szCs w:val="24"/>
        </w:rPr>
      </w:pPr>
      <w:r w:rsidRPr="00C92C12">
        <w:rPr>
          <w:sz w:val="24"/>
          <w:szCs w:val="24"/>
        </w:rPr>
        <w:t>Ikke alle pakningsstørrelser er nødvendigvis markedsført.</w:t>
      </w:r>
    </w:p>
    <w:p w:rsidR="009652DC" w:rsidRPr="00C92C12" w:rsidRDefault="009652DC" w:rsidP="009652DC">
      <w:pPr>
        <w:ind w:left="851" w:hanging="851"/>
        <w:rPr>
          <w:sz w:val="24"/>
          <w:szCs w:val="24"/>
        </w:rPr>
      </w:pPr>
    </w:p>
    <w:p w:rsidR="009652DC" w:rsidRPr="00C92C12" w:rsidRDefault="009652DC" w:rsidP="009652DC">
      <w:pPr>
        <w:ind w:left="851" w:hanging="851"/>
        <w:rPr>
          <w:b/>
          <w:sz w:val="24"/>
          <w:szCs w:val="24"/>
        </w:rPr>
      </w:pPr>
      <w:r w:rsidRPr="00C92C12">
        <w:rPr>
          <w:b/>
          <w:sz w:val="24"/>
          <w:szCs w:val="24"/>
        </w:rPr>
        <w:t>6.6</w:t>
      </w:r>
      <w:r w:rsidRPr="00C92C12">
        <w:rPr>
          <w:b/>
          <w:sz w:val="24"/>
          <w:szCs w:val="24"/>
        </w:rPr>
        <w:tab/>
        <w:t xml:space="preserve">Regler for </w:t>
      </w:r>
      <w:r w:rsidR="00BA3743">
        <w:rPr>
          <w:b/>
          <w:sz w:val="24"/>
          <w:szCs w:val="24"/>
        </w:rPr>
        <w:t>bortskaffelse</w:t>
      </w:r>
      <w:bookmarkStart w:id="0" w:name="_GoBack"/>
      <w:bookmarkEnd w:id="0"/>
      <w:r w:rsidRPr="00C92C12">
        <w:rPr>
          <w:b/>
          <w:sz w:val="24"/>
          <w:szCs w:val="24"/>
        </w:rPr>
        <w:t xml:space="preserve"> og anden håndtering</w:t>
      </w:r>
    </w:p>
    <w:p w:rsidR="009652DC" w:rsidRPr="00C92C12" w:rsidRDefault="009652DC" w:rsidP="009652DC">
      <w:pPr>
        <w:widowControl w:val="0"/>
        <w:autoSpaceDE w:val="0"/>
        <w:autoSpaceDN w:val="0"/>
        <w:adjustRightInd w:val="0"/>
        <w:ind w:left="851" w:right="-1" w:hanging="851"/>
        <w:rPr>
          <w:noProof/>
          <w:sz w:val="24"/>
          <w:szCs w:val="24"/>
        </w:rPr>
      </w:pPr>
      <w:r w:rsidRPr="00C92C12">
        <w:rPr>
          <w:sz w:val="24"/>
          <w:szCs w:val="24"/>
        </w:rPr>
        <w:tab/>
        <w:t>Ikke anvendt lægemiddel samt affald heraf skal bortskaffes i henhold til lokale retningslinjer.</w:t>
      </w:r>
    </w:p>
    <w:p w:rsidR="009652DC" w:rsidRPr="00C92C12" w:rsidRDefault="009652DC" w:rsidP="009652DC">
      <w:pPr>
        <w:ind w:left="851" w:hanging="851"/>
        <w:jc w:val="both"/>
        <w:rPr>
          <w:sz w:val="24"/>
          <w:szCs w:val="24"/>
        </w:rPr>
      </w:pPr>
    </w:p>
    <w:p w:rsidR="009652DC" w:rsidRPr="00C92C12" w:rsidRDefault="009652DC" w:rsidP="009652DC">
      <w:pPr>
        <w:ind w:left="851" w:hanging="851"/>
        <w:rPr>
          <w:b/>
          <w:sz w:val="24"/>
          <w:szCs w:val="24"/>
        </w:rPr>
      </w:pPr>
      <w:r w:rsidRPr="00C92C12">
        <w:rPr>
          <w:b/>
          <w:sz w:val="24"/>
          <w:szCs w:val="24"/>
        </w:rPr>
        <w:t>7.</w:t>
      </w:r>
      <w:r w:rsidRPr="00C92C12">
        <w:rPr>
          <w:b/>
          <w:sz w:val="24"/>
          <w:szCs w:val="24"/>
        </w:rPr>
        <w:tab/>
        <w:t>INDEHAVER AF MARKEDSFØRINGSTILLADELSEN</w:t>
      </w:r>
    </w:p>
    <w:p w:rsidR="009652DC" w:rsidRPr="00C92C12" w:rsidRDefault="009652DC" w:rsidP="009652DC">
      <w:pPr>
        <w:widowControl w:val="0"/>
        <w:autoSpaceDE w:val="0"/>
        <w:autoSpaceDN w:val="0"/>
        <w:adjustRightInd w:val="0"/>
        <w:ind w:left="851" w:right="-1" w:hanging="851"/>
        <w:rPr>
          <w:sz w:val="24"/>
          <w:szCs w:val="24"/>
        </w:rPr>
      </w:pPr>
      <w:r w:rsidRPr="00C92C12">
        <w:rPr>
          <w:sz w:val="24"/>
          <w:szCs w:val="24"/>
        </w:rPr>
        <w:tab/>
      </w:r>
      <w:proofErr w:type="spellStart"/>
      <w:r>
        <w:rPr>
          <w:sz w:val="24"/>
          <w:szCs w:val="24"/>
        </w:rPr>
        <w:t>Aristo</w:t>
      </w:r>
      <w:proofErr w:type="spellEnd"/>
      <w:r>
        <w:rPr>
          <w:sz w:val="24"/>
          <w:szCs w:val="24"/>
        </w:rPr>
        <w:t xml:space="preserve"> Pharma GmbH</w:t>
      </w:r>
    </w:p>
    <w:p w:rsidR="009652DC" w:rsidRPr="00C92C12" w:rsidRDefault="009652DC" w:rsidP="009652DC">
      <w:pPr>
        <w:widowControl w:val="0"/>
        <w:autoSpaceDE w:val="0"/>
        <w:autoSpaceDN w:val="0"/>
        <w:adjustRightInd w:val="0"/>
        <w:ind w:left="851" w:right="-1"/>
        <w:rPr>
          <w:sz w:val="24"/>
          <w:szCs w:val="24"/>
        </w:rPr>
      </w:pPr>
      <w:proofErr w:type="spellStart"/>
      <w:r>
        <w:rPr>
          <w:sz w:val="24"/>
          <w:szCs w:val="24"/>
        </w:rPr>
        <w:t>Wallenroder</w:t>
      </w:r>
      <w:proofErr w:type="spellEnd"/>
      <w:r>
        <w:rPr>
          <w:sz w:val="24"/>
          <w:szCs w:val="24"/>
        </w:rPr>
        <w:t xml:space="preserve"> </w:t>
      </w:r>
      <w:proofErr w:type="spellStart"/>
      <w:r>
        <w:rPr>
          <w:sz w:val="24"/>
          <w:szCs w:val="24"/>
        </w:rPr>
        <w:t>Strasse</w:t>
      </w:r>
      <w:proofErr w:type="spellEnd"/>
      <w:r>
        <w:rPr>
          <w:sz w:val="24"/>
          <w:szCs w:val="24"/>
        </w:rPr>
        <w:t xml:space="preserve"> 8-10</w:t>
      </w:r>
    </w:p>
    <w:p w:rsidR="009652DC" w:rsidRPr="00C92C12" w:rsidRDefault="009652DC" w:rsidP="009652DC">
      <w:pPr>
        <w:widowControl w:val="0"/>
        <w:autoSpaceDE w:val="0"/>
        <w:autoSpaceDN w:val="0"/>
        <w:adjustRightInd w:val="0"/>
        <w:ind w:left="851" w:right="-1"/>
        <w:rPr>
          <w:sz w:val="24"/>
          <w:szCs w:val="24"/>
        </w:rPr>
      </w:pPr>
      <w:r>
        <w:rPr>
          <w:sz w:val="24"/>
          <w:szCs w:val="24"/>
        </w:rPr>
        <w:t>13435 Berlin</w:t>
      </w:r>
    </w:p>
    <w:p w:rsidR="009652DC" w:rsidRPr="00C92C12" w:rsidRDefault="009652DC" w:rsidP="009652DC">
      <w:pPr>
        <w:widowControl w:val="0"/>
        <w:autoSpaceDE w:val="0"/>
        <w:autoSpaceDN w:val="0"/>
        <w:adjustRightInd w:val="0"/>
        <w:ind w:left="851" w:right="-1"/>
        <w:rPr>
          <w:sz w:val="24"/>
          <w:szCs w:val="24"/>
        </w:rPr>
      </w:pPr>
      <w:r w:rsidRPr="00C92C12">
        <w:rPr>
          <w:sz w:val="24"/>
          <w:szCs w:val="24"/>
        </w:rPr>
        <w:t>Tyskland</w:t>
      </w:r>
    </w:p>
    <w:p w:rsidR="009652DC" w:rsidRPr="00C92C12" w:rsidRDefault="009652DC" w:rsidP="009652DC">
      <w:pPr>
        <w:ind w:left="851" w:hanging="851"/>
        <w:rPr>
          <w:sz w:val="24"/>
          <w:szCs w:val="24"/>
        </w:rPr>
      </w:pPr>
    </w:p>
    <w:p w:rsidR="009652DC" w:rsidRPr="00C92C12" w:rsidRDefault="009652DC" w:rsidP="009652DC">
      <w:pPr>
        <w:ind w:left="851" w:hanging="851"/>
        <w:rPr>
          <w:b/>
          <w:sz w:val="24"/>
          <w:szCs w:val="24"/>
        </w:rPr>
      </w:pPr>
      <w:r w:rsidRPr="00C92C12">
        <w:rPr>
          <w:b/>
          <w:sz w:val="24"/>
          <w:szCs w:val="24"/>
        </w:rPr>
        <w:t>8.</w:t>
      </w:r>
      <w:r w:rsidRPr="00C92C12">
        <w:rPr>
          <w:b/>
          <w:sz w:val="24"/>
          <w:szCs w:val="24"/>
        </w:rPr>
        <w:tab/>
        <w:t>MARKEDSFØRINGSTILLADELSESNUMMER (</w:t>
      </w:r>
      <w:r w:rsidR="00BA3743">
        <w:rPr>
          <w:b/>
          <w:sz w:val="24"/>
          <w:szCs w:val="24"/>
        </w:rPr>
        <w:t>-</w:t>
      </w:r>
      <w:r w:rsidRPr="00C92C12">
        <w:rPr>
          <w:b/>
          <w:sz w:val="24"/>
          <w:szCs w:val="24"/>
        </w:rPr>
        <w:t>NUMRE)</w:t>
      </w:r>
    </w:p>
    <w:p w:rsidR="009652DC" w:rsidRDefault="009652DC" w:rsidP="009652DC">
      <w:pPr>
        <w:ind w:left="851" w:hanging="851"/>
        <w:rPr>
          <w:sz w:val="24"/>
          <w:szCs w:val="24"/>
        </w:rPr>
      </w:pPr>
      <w:r w:rsidRPr="00C92C12">
        <w:rPr>
          <w:sz w:val="24"/>
          <w:szCs w:val="24"/>
        </w:rPr>
        <w:tab/>
        <w:t>51646</w:t>
      </w:r>
    </w:p>
    <w:p w:rsidR="009652DC" w:rsidRPr="00C92C12" w:rsidRDefault="009652DC" w:rsidP="009652DC">
      <w:pPr>
        <w:ind w:left="851" w:hanging="851"/>
        <w:jc w:val="both"/>
        <w:rPr>
          <w:sz w:val="24"/>
          <w:szCs w:val="24"/>
        </w:rPr>
      </w:pPr>
    </w:p>
    <w:p w:rsidR="009652DC" w:rsidRPr="00C92C12" w:rsidRDefault="009652DC" w:rsidP="009652DC">
      <w:pPr>
        <w:ind w:left="851" w:hanging="851"/>
        <w:rPr>
          <w:b/>
          <w:sz w:val="24"/>
          <w:szCs w:val="24"/>
        </w:rPr>
      </w:pPr>
      <w:r w:rsidRPr="00C92C12">
        <w:rPr>
          <w:b/>
          <w:sz w:val="24"/>
          <w:szCs w:val="24"/>
        </w:rPr>
        <w:t>9.</w:t>
      </w:r>
      <w:r w:rsidRPr="00C92C12">
        <w:rPr>
          <w:b/>
          <w:sz w:val="24"/>
          <w:szCs w:val="24"/>
        </w:rPr>
        <w:tab/>
        <w:t>DATO FOR FØRSTE MARKEDSFØRINGSTILLADELSE</w:t>
      </w:r>
    </w:p>
    <w:p w:rsidR="009652DC" w:rsidRPr="00C92C12" w:rsidRDefault="009652DC" w:rsidP="009652DC">
      <w:pPr>
        <w:ind w:left="851" w:hanging="851"/>
        <w:rPr>
          <w:sz w:val="24"/>
          <w:szCs w:val="24"/>
        </w:rPr>
      </w:pPr>
      <w:r w:rsidRPr="00C92C12">
        <w:rPr>
          <w:sz w:val="24"/>
          <w:szCs w:val="24"/>
        </w:rPr>
        <w:tab/>
        <w:t>23. april 2015</w:t>
      </w:r>
    </w:p>
    <w:p w:rsidR="009652DC" w:rsidRPr="00C92C12" w:rsidRDefault="009652DC" w:rsidP="009652DC">
      <w:pPr>
        <w:ind w:left="851" w:hanging="851"/>
        <w:rPr>
          <w:sz w:val="24"/>
          <w:szCs w:val="24"/>
        </w:rPr>
      </w:pPr>
    </w:p>
    <w:p w:rsidR="009652DC" w:rsidRPr="00C92C12" w:rsidRDefault="009652DC" w:rsidP="009652DC">
      <w:pPr>
        <w:ind w:left="851" w:hanging="851"/>
        <w:rPr>
          <w:b/>
          <w:sz w:val="24"/>
          <w:szCs w:val="24"/>
        </w:rPr>
      </w:pPr>
      <w:r w:rsidRPr="00C92C12">
        <w:rPr>
          <w:b/>
          <w:sz w:val="24"/>
          <w:szCs w:val="24"/>
        </w:rPr>
        <w:t>10.</w:t>
      </w:r>
      <w:r w:rsidRPr="00C92C12">
        <w:rPr>
          <w:b/>
          <w:sz w:val="24"/>
          <w:szCs w:val="24"/>
        </w:rPr>
        <w:tab/>
        <w:t>DATO FOR ÆNDRING AF TEKSTEN</w:t>
      </w:r>
    </w:p>
    <w:p w:rsidR="009652DC" w:rsidRPr="00C92C12" w:rsidRDefault="009652DC" w:rsidP="009652DC">
      <w:pPr>
        <w:ind w:left="851" w:hanging="851"/>
        <w:rPr>
          <w:sz w:val="24"/>
          <w:szCs w:val="24"/>
        </w:rPr>
      </w:pPr>
      <w:r w:rsidRPr="00C92C12">
        <w:rPr>
          <w:sz w:val="24"/>
          <w:szCs w:val="24"/>
        </w:rPr>
        <w:tab/>
      </w:r>
      <w:r w:rsidR="00057239">
        <w:rPr>
          <w:sz w:val="24"/>
          <w:szCs w:val="24"/>
        </w:rPr>
        <w:t>4</w:t>
      </w:r>
      <w:r>
        <w:rPr>
          <w:sz w:val="24"/>
          <w:szCs w:val="24"/>
        </w:rPr>
        <w:t xml:space="preserve">. </w:t>
      </w:r>
      <w:r w:rsidR="00057239">
        <w:rPr>
          <w:sz w:val="24"/>
          <w:szCs w:val="24"/>
        </w:rPr>
        <w:t>januar</w:t>
      </w:r>
      <w:r>
        <w:rPr>
          <w:sz w:val="24"/>
          <w:szCs w:val="24"/>
        </w:rPr>
        <w:t xml:space="preserve"> 20</w:t>
      </w:r>
      <w:r w:rsidR="00057239">
        <w:rPr>
          <w:sz w:val="24"/>
          <w:szCs w:val="24"/>
        </w:rPr>
        <w:t>23</w:t>
      </w:r>
    </w:p>
    <w:p w:rsidR="009652DC" w:rsidRPr="00FC2B0D" w:rsidRDefault="009652DC" w:rsidP="009652DC"/>
    <w:p w:rsidR="009652DC" w:rsidRPr="000A54B6" w:rsidRDefault="009652DC" w:rsidP="009652DC"/>
    <w:p w:rsidR="009260DE" w:rsidRPr="009652DC" w:rsidRDefault="009260DE" w:rsidP="009652DC"/>
    <w:sectPr w:rsidR="009260DE" w:rsidRPr="009652D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2DC" w:rsidRDefault="009652DC">
      <w:r>
        <w:separator/>
      </w:r>
    </w:p>
  </w:endnote>
  <w:endnote w:type="continuationSeparator" w:id="0">
    <w:p w:rsidR="009652DC" w:rsidRDefault="0096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N W3">
    <w:altName w:val="MS Mincho"/>
    <w:charset w:val="80"/>
    <w:family w:val="auto"/>
    <w:pitch w:val="variable"/>
    <w:sig w:usb0="00000000"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652DC">
      <w:rPr>
        <w:i/>
        <w:noProof/>
        <w:sz w:val="18"/>
        <w:szCs w:val="18"/>
      </w:rPr>
      <w:t>Dokument5231</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2DC" w:rsidRDefault="009652DC">
      <w:r>
        <w:separator/>
      </w:r>
    </w:p>
  </w:footnote>
  <w:footnote w:type="continuationSeparator" w:id="0">
    <w:p w:rsidR="009652DC" w:rsidRDefault="00965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1729"/>
    <w:multiLevelType w:val="hybridMultilevel"/>
    <w:tmpl w:val="818E9730"/>
    <w:lvl w:ilvl="0" w:tplc="00000065">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601E13"/>
    <w:multiLevelType w:val="hybridMultilevel"/>
    <w:tmpl w:val="E6D62A58"/>
    <w:lvl w:ilvl="0" w:tplc="00000065">
      <w:start w:val="1"/>
      <w:numFmt w:val="bullet"/>
      <w:lvlText w:val="•"/>
      <w:lvlJc w:val="left"/>
      <w:pPr>
        <w:ind w:left="1800" w:hanging="360"/>
      </w:p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6D35DA"/>
    <w:multiLevelType w:val="hybridMultilevel"/>
    <w:tmpl w:val="4CCA3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15919AF"/>
    <w:multiLevelType w:val="hybridMultilevel"/>
    <w:tmpl w:val="D382BCE8"/>
    <w:lvl w:ilvl="0" w:tplc="676AD804">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501462"/>
    <w:multiLevelType w:val="hybridMultilevel"/>
    <w:tmpl w:val="2A9C27EA"/>
    <w:lvl w:ilvl="0" w:tplc="BED6D266">
      <w:start w:val="1"/>
      <w:numFmt w:val="bullet"/>
      <w:lvlText w:val=""/>
      <w:lvlJc w:val="left"/>
      <w:pPr>
        <w:tabs>
          <w:tab w:val="num" w:pos="720"/>
        </w:tabs>
        <w:ind w:left="720" w:hanging="360"/>
      </w:pPr>
      <w:rPr>
        <w:rFonts w:ascii="Symbol" w:hAnsi="Symbol" w:hint="default"/>
        <w:sz w:val="16"/>
      </w:rPr>
    </w:lvl>
    <w:lvl w:ilvl="1" w:tplc="0407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E5C130C"/>
    <w:multiLevelType w:val="hybridMultilevel"/>
    <w:tmpl w:val="A974437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F775FD3"/>
    <w:multiLevelType w:val="hybridMultilevel"/>
    <w:tmpl w:val="EC0ABB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0035387"/>
    <w:multiLevelType w:val="hybridMultilevel"/>
    <w:tmpl w:val="70FE4D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243162C"/>
    <w:multiLevelType w:val="hybridMultilevel"/>
    <w:tmpl w:val="76D2E98E"/>
    <w:lvl w:ilvl="0" w:tplc="04060001">
      <w:start w:val="1"/>
      <w:numFmt w:val="bullet"/>
      <w:lvlText w:val=""/>
      <w:lvlJc w:val="left"/>
      <w:pPr>
        <w:ind w:left="851" w:hanging="360"/>
      </w:pPr>
      <w:rPr>
        <w:rFonts w:ascii="Symbol" w:hAnsi="Symbol" w:hint="default"/>
      </w:rPr>
    </w:lvl>
    <w:lvl w:ilvl="1" w:tplc="04060003">
      <w:start w:val="1"/>
      <w:numFmt w:val="bullet"/>
      <w:lvlText w:val="o"/>
      <w:lvlJc w:val="left"/>
      <w:pPr>
        <w:ind w:left="1571" w:hanging="360"/>
      </w:pPr>
      <w:rPr>
        <w:rFonts w:ascii="Courier New" w:hAnsi="Courier New" w:cs="Courier New" w:hint="default"/>
      </w:rPr>
    </w:lvl>
    <w:lvl w:ilvl="2" w:tplc="04060005" w:tentative="1">
      <w:start w:val="1"/>
      <w:numFmt w:val="bullet"/>
      <w:lvlText w:val=""/>
      <w:lvlJc w:val="left"/>
      <w:pPr>
        <w:ind w:left="2291" w:hanging="360"/>
      </w:pPr>
      <w:rPr>
        <w:rFonts w:ascii="Wingdings" w:hAnsi="Wingdings" w:hint="default"/>
      </w:rPr>
    </w:lvl>
    <w:lvl w:ilvl="3" w:tplc="04060001" w:tentative="1">
      <w:start w:val="1"/>
      <w:numFmt w:val="bullet"/>
      <w:lvlText w:val=""/>
      <w:lvlJc w:val="left"/>
      <w:pPr>
        <w:ind w:left="3011" w:hanging="360"/>
      </w:pPr>
      <w:rPr>
        <w:rFonts w:ascii="Symbol" w:hAnsi="Symbol" w:hint="default"/>
      </w:rPr>
    </w:lvl>
    <w:lvl w:ilvl="4" w:tplc="04060003" w:tentative="1">
      <w:start w:val="1"/>
      <w:numFmt w:val="bullet"/>
      <w:lvlText w:val="o"/>
      <w:lvlJc w:val="left"/>
      <w:pPr>
        <w:ind w:left="3731" w:hanging="360"/>
      </w:pPr>
      <w:rPr>
        <w:rFonts w:ascii="Courier New" w:hAnsi="Courier New" w:cs="Courier New" w:hint="default"/>
      </w:rPr>
    </w:lvl>
    <w:lvl w:ilvl="5" w:tplc="04060005" w:tentative="1">
      <w:start w:val="1"/>
      <w:numFmt w:val="bullet"/>
      <w:lvlText w:val=""/>
      <w:lvlJc w:val="left"/>
      <w:pPr>
        <w:ind w:left="4451" w:hanging="360"/>
      </w:pPr>
      <w:rPr>
        <w:rFonts w:ascii="Wingdings" w:hAnsi="Wingdings" w:hint="default"/>
      </w:rPr>
    </w:lvl>
    <w:lvl w:ilvl="6" w:tplc="04060001" w:tentative="1">
      <w:start w:val="1"/>
      <w:numFmt w:val="bullet"/>
      <w:lvlText w:val=""/>
      <w:lvlJc w:val="left"/>
      <w:pPr>
        <w:ind w:left="5171" w:hanging="360"/>
      </w:pPr>
      <w:rPr>
        <w:rFonts w:ascii="Symbol" w:hAnsi="Symbol" w:hint="default"/>
      </w:rPr>
    </w:lvl>
    <w:lvl w:ilvl="7" w:tplc="04060003" w:tentative="1">
      <w:start w:val="1"/>
      <w:numFmt w:val="bullet"/>
      <w:lvlText w:val="o"/>
      <w:lvlJc w:val="left"/>
      <w:pPr>
        <w:ind w:left="5891" w:hanging="360"/>
      </w:pPr>
      <w:rPr>
        <w:rFonts w:ascii="Courier New" w:hAnsi="Courier New" w:cs="Courier New" w:hint="default"/>
      </w:rPr>
    </w:lvl>
    <w:lvl w:ilvl="8" w:tplc="04060005" w:tentative="1">
      <w:start w:val="1"/>
      <w:numFmt w:val="bullet"/>
      <w:lvlText w:val=""/>
      <w:lvlJc w:val="left"/>
      <w:pPr>
        <w:ind w:left="6611" w:hanging="360"/>
      </w:pPr>
      <w:rPr>
        <w:rFonts w:ascii="Wingdings" w:hAnsi="Wingdings" w:hint="default"/>
      </w:rPr>
    </w:lvl>
  </w:abstractNum>
  <w:abstractNum w:abstractNumId="13" w15:restartNumberingAfterBreak="0">
    <w:nsid w:val="529150C7"/>
    <w:multiLevelType w:val="hybridMultilevel"/>
    <w:tmpl w:val="66E250AC"/>
    <w:lvl w:ilvl="0" w:tplc="BED6D266">
      <w:start w:val="1"/>
      <w:numFmt w:val="bullet"/>
      <w:lvlText w:val=""/>
      <w:lvlJc w:val="left"/>
      <w:pPr>
        <w:tabs>
          <w:tab w:val="num" w:pos="1014"/>
        </w:tabs>
        <w:ind w:left="1014"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6E529A"/>
    <w:multiLevelType w:val="hybridMultilevel"/>
    <w:tmpl w:val="6BC4C5A2"/>
    <w:lvl w:ilvl="0" w:tplc="08090001">
      <w:start w:val="1"/>
      <w:numFmt w:val="bullet"/>
      <w:lvlText w:val=""/>
      <w:lvlJc w:val="left"/>
      <w:pPr>
        <w:ind w:left="1996" w:hanging="360"/>
      </w:pPr>
      <w:rPr>
        <w:rFonts w:ascii="Symbol" w:hAnsi="Symbol" w:hint="default"/>
      </w:rPr>
    </w:lvl>
    <w:lvl w:ilvl="1" w:tplc="08090003">
      <w:start w:val="1"/>
      <w:numFmt w:val="bullet"/>
      <w:lvlText w:val="o"/>
      <w:lvlJc w:val="left"/>
      <w:pPr>
        <w:ind w:left="2716" w:hanging="360"/>
      </w:pPr>
      <w:rPr>
        <w:rFonts w:ascii="Courier New" w:hAnsi="Courier New" w:cs="Courier New" w:hint="default"/>
      </w:rPr>
    </w:lvl>
    <w:lvl w:ilvl="2" w:tplc="08090005">
      <w:start w:val="1"/>
      <w:numFmt w:val="bullet"/>
      <w:lvlText w:val=""/>
      <w:lvlJc w:val="left"/>
      <w:pPr>
        <w:ind w:left="3436" w:hanging="360"/>
      </w:pPr>
      <w:rPr>
        <w:rFonts w:ascii="Wingdings" w:hAnsi="Wingdings" w:hint="default"/>
      </w:rPr>
    </w:lvl>
    <w:lvl w:ilvl="3" w:tplc="08090001">
      <w:start w:val="1"/>
      <w:numFmt w:val="bullet"/>
      <w:lvlText w:val=""/>
      <w:lvlJc w:val="left"/>
      <w:pPr>
        <w:ind w:left="4156" w:hanging="360"/>
      </w:pPr>
      <w:rPr>
        <w:rFonts w:ascii="Symbol" w:hAnsi="Symbol" w:hint="default"/>
      </w:rPr>
    </w:lvl>
    <w:lvl w:ilvl="4" w:tplc="08090003">
      <w:start w:val="1"/>
      <w:numFmt w:val="bullet"/>
      <w:lvlText w:val="o"/>
      <w:lvlJc w:val="left"/>
      <w:pPr>
        <w:ind w:left="4876" w:hanging="360"/>
      </w:pPr>
      <w:rPr>
        <w:rFonts w:ascii="Courier New" w:hAnsi="Courier New" w:cs="Courier New" w:hint="default"/>
      </w:rPr>
    </w:lvl>
    <w:lvl w:ilvl="5" w:tplc="08090005">
      <w:start w:val="1"/>
      <w:numFmt w:val="bullet"/>
      <w:lvlText w:val=""/>
      <w:lvlJc w:val="left"/>
      <w:pPr>
        <w:ind w:left="5596" w:hanging="360"/>
      </w:pPr>
      <w:rPr>
        <w:rFonts w:ascii="Wingdings" w:hAnsi="Wingdings" w:hint="default"/>
      </w:rPr>
    </w:lvl>
    <w:lvl w:ilvl="6" w:tplc="08090001">
      <w:start w:val="1"/>
      <w:numFmt w:val="bullet"/>
      <w:lvlText w:val=""/>
      <w:lvlJc w:val="left"/>
      <w:pPr>
        <w:ind w:left="6316" w:hanging="360"/>
      </w:pPr>
      <w:rPr>
        <w:rFonts w:ascii="Symbol" w:hAnsi="Symbol" w:hint="default"/>
      </w:rPr>
    </w:lvl>
    <w:lvl w:ilvl="7" w:tplc="08090003">
      <w:start w:val="1"/>
      <w:numFmt w:val="bullet"/>
      <w:lvlText w:val="o"/>
      <w:lvlJc w:val="left"/>
      <w:pPr>
        <w:ind w:left="7036" w:hanging="360"/>
      </w:pPr>
      <w:rPr>
        <w:rFonts w:ascii="Courier New" w:hAnsi="Courier New" w:cs="Courier New" w:hint="default"/>
      </w:rPr>
    </w:lvl>
    <w:lvl w:ilvl="8" w:tplc="08090005">
      <w:start w:val="1"/>
      <w:numFmt w:val="bullet"/>
      <w:lvlText w:val=""/>
      <w:lvlJc w:val="left"/>
      <w:pPr>
        <w:ind w:left="7756"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E72741D"/>
    <w:multiLevelType w:val="hybridMultilevel"/>
    <w:tmpl w:val="A97C9DF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AB2AF8"/>
    <w:multiLevelType w:val="hybridMultilevel"/>
    <w:tmpl w:val="9ECC9C9E"/>
    <w:lvl w:ilvl="0" w:tplc="00000065">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2D63C2"/>
    <w:multiLevelType w:val="hybridMultilevel"/>
    <w:tmpl w:val="8DE4DDC2"/>
    <w:lvl w:ilvl="0" w:tplc="04060001">
      <w:start w:val="1"/>
      <w:numFmt w:val="bullet"/>
      <w:lvlText w:val=""/>
      <w:lvlJc w:val="left"/>
      <w:pPr>
        <w:ind w:left="917" w:hanging="360"/>
      </w:pPr>
      <w:rPr>
        <w:rFonts w:ascii="Symbol" w:hAnsi="Symbol" w:hint="default"/>
      </w:rPr>
    </w:lvl>
    <w:lvl w:ilvl="1" w:tplc="04060003" w:tentative="1">
      <w:start w:val="1"/>
      <w:numFmt w:val="bullet"/>
      <w:lvlText w:val="o"/>
      <w:lvlJc w:val="left"/>
      <w:pPr>
        <w:ind w:left="1637" w:hanging="360"/>
      </w:pPr>
      <w:rPr>
        <w:rFonts w:ascii="Courier New" w:hAnsi="Courier New" w:cs="Courier New" w:hint="default"/>
      </w:rPr>
    </w:lvl>
    <w:lvl w:ilvl="2" w:tplc="04060005" w:tentative="1">
      <w:start w:val="1"/>
      <w:numFmt w:val="bullet"/>
      <w:lvlText w:val=""/>
      <w:lvlJc w:val="left"/>
      <w:pPr>
        <w:ind w:left="2357" w:hanging="360"/>
      </w:pPr>
      <w:rPr>
        <w:rFonts w:ascii="Wingdings" w:hAnsi="Wingdings" w:hint="default"/>
      </w:rPr>
    </w:lvl>
    <w:lvl w:ilvl="3" w:tplc="04060001" w:tentative="1">
      <w:start w:val="1"/>
      <w:numFmt w:val="bullet"/>
      <w:lvlText w:val=""/>
      <w:lvlJc w:val="left"/>
      <w:pPr>
        <w:ind w:left="3077" w:hanging="360"/>
      </w:pPr>
      <w:rPr>
        <w:rFonts w:ascii="Symbol" w:hAnsi="Symbol" w:hint="default"/>
      </w:rPr>
    </w:lvl>
    <w:lvl w:ilvl="4" w:tplc="04060003" w:tentative="1">
      <w:start w:val="1"/>
      <w:numFmt w:val="bullet"/>
      <w:lvlText w:val="o"/>
      <w:lvlJc w:val="left"/>
      <w:pPr>
        <w:ind w:left="3797" w:hanging="360"/>
      </w:pPr>
      <w:rPr>
        <w:rFonts w:ascii="Courier New" w:hAnsi="Courier New" w:cs="Courier New" w:hint="default"/>
      </w:rPr>
    </w:lvl>
    <w:lvl w:ilvl="5" w:tplc="04060005" w:tentative="1">
      <w:start w:val="1"/>
      <w:numFmt w:val="bullet"/>
      <w:lvlText w:val=""/>
      <w:lvlJc w:val="left"/>
      <w:pPr>
        <w:ind w:left="4517" w:hanging="360"/>
      </w:pPr>
      <w:rPr>
        <w:rFonts w:ascii="Wingdings" w:hAnsi="Wingdings" w:hint="default"/>
      </w:rPr>
    </w:lvl>
    <w:lvl w:ilvl="6" w:tplc="04060001" w:tentative="1">
      <w:start w:val="1"/>
      <w:numFmt w:val="bullet"/>
      <w:lvlText w:val=""/>
      <w:lvlJc w:val="left"/>
      <w:pPr>
        <w:ind w:left="5237" w:hanging="360"/>
      </w:pPr>
      <w:rPr>
        <w:rFonts w:ascii="Symbol" w:hAnsi="Symbol" w:hint="default"/>
      </w:rPr>
    </w:lvl>
    <w:lvl w:ilvl="7" w:tplc="04060003" w:tentative="1">
      <w:start w:val="1"/>
      <w:numFmt w:val="bullet"/>
      <w:lvlText w:val="o"/>
      <w:lvlJc w:val="left"/>
      <w:pPr>
        <w:ind w:left="5957" w:hanging="360"/>
      </w:pPr>
      <w:rPr>
        <w:rFonts w:ascii="Courier New" w:hAnsi="Courier New" w:cs="Courier New" w:hint="default"/>
      </w:rPr>
    </w:lvl>
    <w:lvl w:ilvl="8" w:tplc="04060005" w:tentative="1">
      <w:start w:val="1"/>
      <w:numFmt w:val="bullet"/>
      <w:lvlText w:val=""/>
      <w:lvlJc w:val="left"/>
      <w:pPr>
        <w:ind w:left="6677" w:hanging="360"/>
      </w:pPr>
      <w:rPr>
        <w:rFonts w:ascii="Wingdings" w:hAnsi="Wingdings" w:hint="default"/>
      </w:rPr>
    </w:lvl>
  </w:abstractNum>
  <w:abstractNum w:abstractNumId="19" w15:restartNumberingAfterBreak="0">
    <w:nsid w:val="7D27061F"/>
    <w:multiLevelType w:val="hybridMultilevel"/>
    <w:tmpl w:val="6F3E24D0"/>
    <w:lvl w:ilvl="0" w:tplc="BED6A3D4">
      <w:start w:val="4"/>
      <w:numFmt w:val="bullet"/>
      <w:lvlText w:val="-"/>
      <w:lvlJc w:val="left"/>
      <w:pPr>
        <w:ind w:left="1778" w:hanging="360"/>
      </w:pPr>
      <w:rPr>
        <w:rFonts w:ascii="Times New Roman" w:eastAsia="Times New Roman" w:hAnsi="Times New Roman" w:cs="Times New Roman" w:hint="default"/>
      </w:rPr>
    </w:lvl>
    <w:lvl w:ilvl="1" w:tplc="04060003" w:tentative="1">
      <w:start w:val="1"/>
      <w:numFmt w:val="bullet"/>
      <w:lvlText w:val="o"/>
      <w:lvlJc w:val="left"/>
      <w:pPr>
        <w:ind w:left="2498" w:hanging="360"/>
      </w:pPr>
      <w:rPr>
        <w:rFonts w:ascii="Courier New" w:hAnsi="Courier New" w:cs="Courier New" w:hint="default"/>
      </w:rPr>
    </w:lvl>
    <w:lvl w:ilvl="2" w:tplc="04060005" w:tentative="1">
      <w:start w:val="1"/>
      <w:numFmt w:val="bullet"/>
      <w:lvlText w:val=""/>
      <w:lvlJc w:val="left"/>
      <w:pPr>
        <w:ind w:left="3218" w:hanging="360"/>
      </w:pPr>
      <w:rPr>
        <w:rFonts w:ascii="Wingdings" w:hAnsi="Wingdings" w:hint="default"/>
      </w:rPr>
    </w:lvl>
    <w:lvl w:ilvl="3" w:tplc="04060001" w:tentative="1">
      <w:start w:val="1"/>
      <w:numFmt w:val="bullet"/>
      <w:lvlText w:val=""/>
      <w:lvlJc w:val="left"/>
      <w:pPr>
        <w:ind w:left="3938" w:hanging="360"/>
      </w:pPr>
      <w:rPr>
        <w:rFonts w:ascii="Symbol" w:hAnsi="Symbol" w:hint="default"/>
      </w:rPr>
    </w:lvl>
    <w:lvl w:ilvl="4" w:tplc="04060003" w:tentative="1">
      <w:start w:val="1"/>
      <w:numFmt w:val="bullet"/>
      <w:lvlText w:val="o"/>
      <w:lvlJc w:val="left"/>
      <w:pPr>
        <w:ind w:left="4658" w:hanging="360"/>
      </w:pPr>
      <w:rPr>
        <w:rFonts w:ascii="Courier New" w:hAnsi="Courier New" w:cs="Courier New" w:hint="default"/>
      </w:rPr>
    </w:lvl>
    <w:lvl w:ilvl="5" w:tplc="04060005" w:tentative="1">
      <w:start w:val="1"/>
      <w:numFmt w:val="bullet"/>
      <w:lvlText w:val=""/>
      <w:lvlJc w:val="left"/>
      <w:pPr>
        <w:ind w:left="5378" w:hanging="360"/>
      </w:pPr>
      <w:rPr>
        <w:rFonts w:ascii="Wingdings" w:hAnsi="Wingdings" w:hint="default"/>
      </w:rPr>
    </w:lvl>
    <w:lvl w:ilvl="6" w:tplc="04060001" w:tentative="1">
      <w:start w:val="1"/>
      <w:numFmt w:val="bullet"/>
      <w:lvlText w:val=""/>
      <w:lvlJc w:val="left"/>
      <w:pPr>
        <w:ind w:left="6098" w:hanging="360"/>
      </w:pPr>
      <w:rPr>
        <w:rFonts w:ascii="Symbol" w:hAnsi="Symbol" w:hint="default"/>
      </w:rPr>
    </w:lvl>
    <w:lvl w:ilvl="7" w:tplc="04060003" w:tentative="1">
      <w:start w:val="1"/>
      <w:numFmt w:val="bullet"/>
      <w:lvlText w:val="o"/>
      <w:lvlJc w:val="left"/>
      <w:pPr>
        <w:ind w:left="6818" w:hanging="360"/>
      </w:pPr>
      <w:rPr>
        <w:rFonts w:ascii="Courier New" w:hAnsi="Courier New" w:cs="Courier New" w:hint="default"/>
      </w:rPr>
    </w:lvl>
    <w:lvl w:ilvl="8" w:tplc="04060005" w:tentative="1">
      <w:start w:val="1"/>
      <w:numFmt w:val="bullet"/>
      <w:lvlText w:val=""/>
      <w:lvlJc w:val="left"/>
      <w:pPr>
        <w:ind w:left="7538" w:hanging="360"/>
      </w:pPr>
      <w:rPr>
        <w:rFonts w:ascii="Wingdings" w:hAnsi="Wingdings" w:hint="default"/>
      </w:rPr>
    </w:lvl>
  </w:abstractNum>
  <w:abstractNum w:abstractNumId="20" w15:restartNumberingAfterBreak="0">
    <w:nsid w:val="7F0075B6"/>
    <w:multiLevelType w:val="hybridMultilevel"/>
    <w:tmpl w:val="4852BFC8"/>
    <w:lvl w:ilvl="0" w:tplc="BED6D266">
      <w:start w:val="1"/>
      <w:numFmt w:val="bullet"/>
      <w:lvlText w:val=""/>
      <w:lvlJc w:val="left"/>
      <w:pPr>
        <w:tabs>
          <w:tab w:val="num" w:pos="1014"/>
        </w:tabs>
        <w:ind w:left="1014"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6"/>
  </w:num>
  <w:num w:numId="8">
    <w:abstractNumId w:val="12"/>
  </w:num>
  <w:num w:numId="9">
    <w:abstractNumId w:val="18"/>
  </w:num>
  <w:num w:numId="10">
    <w:abstractNumId w:val="11"/>
  </w:num>
  <w:num w:numId="11">
    <w:abstractNumId w:val="10"/>
  </w:num>
  <w:num w:numId="12">
    <w:abstractNumId w:val="20"/>
  </w:num>
  <w:num w:numId="13">
    <w:abstractNumId w:val="13"/>
  </w:num>
  <w:num w:numId="14">
    <w:abstractNumId w:val="0"/>
  </w:num>
  <w:num w:numId="15">
    <w:abstractNumId w:val="4"/>
  </w:num>
  <w:num w:numId="16">
    <w:abstractNumId w:val="8"/>
  </w:num>
  <w:num w:numId="17">
    <w:abstractNumId w:val="2"/>
  </w:num>
  <w:num w:numId="18">
    <w:abstractNumId w:val="5"/>
  </w:num>
  <w:num w:numId="19">
    <w:abstractNumId w:val="3"/>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 w:numId="21">
    <w:abstractNumId w:val="18"/>
    <w:lvlOverride w:ilvl="0"/>
    <w:lvlOverride w:ilvl="1"/>
    <w:lvlOverride w:ilvl="2"/>
    <w:lvlOverride w:ilvl="3"/>
    <w:lvlOverride w:ilvl="4"/>
    <w:lvlOverride w:ilvl="5"/>
    <w:lvlOverride w:ilvl="6"/>
    <w:lvlOverride w:ilvl="7"/>
    <w:lvlOverride w:ilvl="8"/>
  </w:num>
  <w:num w:numId="22">
    <w:abstractNumId w:val="11"/>
    <w:lvlOverride w:ilvl="0"/>
    <w:lvlOverride w:ilvl="1"/>
    <w:lvlOverride w:ilvl="2"/>
    <w:lvlOverride w:ilvl="3"/>
    <w:lvlOverride w:ilvl="4"/>
    <w:lvlOverride w:ilvl="5"/>
    <w:lvlOverride w:ilvl="6"/>
    <w:lvlOverride w:ilvl="7"/>
    <w:lvlOverride w:ilvl="8"/>
  </w:num>
  <w:num w:numId="23">
    <w:abstractNumId w:val="14"/>
    <w:lvlOverride w:ilvl="0"/>
    <w:lvlOverride w:ilvl="1"/>
    <w:lvlOverride w:ilvl="2"/>
    <w:lvlOverride w:ilvl="3"/>
    <w:lvlOverride w:ilvl="4"/>
    <w:lvlOverride w:ilvl="5"/>
    <w:lvlOverride w:ilvl="6"/>
    <w:lvlOverride w:ilvl="7"/>
    <w:lvlOverride w:ilvl="8"/>
  </w:num>
  <w:num w:numId="24">
    <w:abstractNumId w:val="10"/>
    <w:lvlOverride w:ilvl="0"/>
    <w:lvlOverride w:ilvl="1"/>
    <w:lvlOverride w:ilvl="2"/>
    <w:lvlOverride w:ilvl="3"/>
    <w:lvlOverride w:ilvl="4"/>
    <w:lvlOverride w:ilvl="5"/>
    <w:lvlOverride w:ilvl="6"/>
    <w:lvlOverride w:ilvl="7"/>
    <w:lvlOverride w:ilvl="8"/>
  </w:num>
  <w:num w:numId="25">
    <w:abstractNumId w:val="19"/>
  </w:num>
  <w:num w:numId="26">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DC"/>
    <w:rsid w:val="000259B9"/>
    <w:rsid w:val="00041491"/>
    <w:rsid w:val="00050D16"/>
    <w:rsid w:val="00057239"/>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B628A"/>
    <w:rsid w:val="004E3B12"/>
    <w:rsid w:val="00532310"/>
    <w:rsid w:val="00560ECC"/>
    <w:rsid w:val="00565F0F"/>
    <w:rsid w:val="00573037"/>
    <w:rsid w:val="00594A86"/>
    <w:rsid w:val="00596D86"/>
    <w:rsid w:val="005E285E"/>
    <w:rsid w:val="00637F5A"/>
    <w:rsid w:val="006560B1"/>
    <w:rsid w:val="006756DD"/>
    <w:rsid w:val="00737275"/>
    <w:rsid w:val="00740EEC"/>
    <w:rsid w:val="00772F07"/>
    <w:rsid w:val="0078011A"/>
    <w:rsid w:val="00782AF4"/>
    <w:rsid w:val="00790EE7"/>
    <w:rsid w:val="007B6649"/>
    <w:rsid w:val="0081546F"/>
    <w:rsid w:val="0082576E"/>
    <w:rsid w:val="00907F75"/>
    <w:rsid w:val="009260DE"/>
    <w:rsid w:val="0093258A"/>
    <w:rsid w:val="009652DC"/>
    <w:rsid w:val="009C7BA3"/>
    <w:rsid w:val="009D1F5A"/>
    <w:rsid w:val="00B003BF"/>
    <w:rsid w:val="00B373D7"/>
    <w:rsid w:val="00BA3743"/>
    <w:rsid w:val="00C36276"/>
    <w:rsid w:val="00C42586"/>
    <w:rsid w:val="00C60CCD"/>
    <w:rsid w:val="00C84483"/>
    <w:rsid w:val="00C95551"/>
    <w:rsid w:val="00CB20D7"/>
    <w:rsid w:val="00D020B0"/>
    <w:rsid w:val="00D11748"/>
    <w:rsid w:val="00D34947"/>
    <w:rsid w:val="00D366CF"/>
    <w:rsid w:val="00E108AA"/>
    <w:rsid w:val="00E31812"/>
    <w:rsid w:val="00E3749A"/>
    <w:rsid w:val="00E7437F"/>
    <w:rsid w:val="00E865B8"/>
    <w:rsid w:val="00EC0B9B"/>
    <w:rsid w:val="00ED5E9F"/>
    <w:rsid w:val="00F34A6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611D6"/>
  <w15:chartTrackingRefBased/>
  <w15:docId w15:val="{D3C48565-7EE9-49CC-ADAD-F782F713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uiPriority w:val="99"/>
    <w:rsid w:val="009652DC"/>
    <w:rPr>
      <w:rFonts w:ascii="Courier New" w:hAnsi="Courier New"/>
      <w:vanish/>
      <w:color w:val="800080"/>
      <w:vertAlign w:val="subscript"/>
    </w:rPr>
  </w:style>
  <w:style w:type="paragraph" w:styleId="Normalindrykning">
    <w:name w:val="Normal Indent"/>
    <w:basedOn w:val="Normal"/>
    <w:rsid w:val="009652DC"/>
    <w:pPr>
      <w:widowControl w:val="0"/>
      <w:ind w:left="708"/>
    </w:pPr>
    <w:rPr>
      <w:sz w:val="24"/>
      <w:lang w:val="en-US" w:eastAsia="de-DE"/>
    </w:rPr>
  </w:style>
  <w:style w:type="paragraph" w:styleId="Brdtekstindrykning">
    <w:name w:val="Body Text Indent"/>
    <w:basedOn w:val="Normal"/>
    <w:link w:val="BrdtekstindrykningTegn"/>
    <w:rsid w:val="009652DC"/>
    <w:pPr>
      <w:ind w:left="705" w:hanging="705"/>
      <w:jc w:val="both"/>
    </w:pPr>
    <w:rPr>
      <w:b/>
      <w:sz w:val="28"/>
      <w:szCs w:val="24"/>
      <w:lang w:val="en-GB" w:eastAsia="de-DE"/>
    </w:rPr>
  </w:style>
  <w:style w:type="character" w:customStyle="1" w:styleId="BrdtekstindrykningTegn">
    <w:name w:val="Brødtekstindrykning Tegn"/>
    <w:basedOn w:val="Standardskrifttypeiafsnit"/>
    <w:link w:val="Brdtekstindrykning"/>
    <w:rsid w:val="009652DC"/>
    <w:rPr>
      <w:b/>
      <w:sz w:val="28"/>
      <w:szCs w:val="24"/>
      <w:lang w:val="en-GB" w:eastAsia="de-DE"/>
    </w:rPr>
  </w:style>
  <w:style w:type="paragraph" w:styleId="Listeafsnit">
    <w:name w:val="List Paragraph"/>
    <w:basedOn w:val="Normal"/>
    <w:uiPriority w:val="34"/>
    <w:qFormat/>
    <w:rsid w:val="009652DC"/>
    <w:pPr>
      <w:ind w:left="720"/>
      <w:contextualSpacing/>
    </w:pPr>
  </w:style>
  <w:style w:type="character" w:styleId="Hyperlink">
    <w:name w:val="Hyperlink"/>
    <w:basedOn w:val="Standardskrifttypeiafsnit"/>
    <w:uiPriority w:val="99"/>
    <w:unhideWhenUsed/>
    <w:rsid w:val="00965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947">
      <w:bodyDiv w:val="1"/>
      <w:marLeft w:val="0"/>
      <w:marRight w:val="0"/>
      <w:marTop w:val="0"/>
      <w:marBottom w:val="0"/>
      <w:divBdr>
        <w:top w:val="none" w:sz="0" w:space="0" w:color="auto"/>
        <w:left w:val="none" w:sz="0" w:space="0" w:color="auto"/>
        <w:bottom w:val="none" w:sz="0" w:space="0" w:color="auto"/>
        <w:right w:val="none" w:sz="0" w:space="0" w:color="auto"/>
      </w:divBdr>
    </w:div>
    <w:div w:id="1346816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2579450">
      <w:bodyDiv w:val="1"/>
      <w:marLeft w:val="0"/>
      <w:marRight w:val="0"/>
      <w:marTop w:val="0"/>
      <w:marBottom w:val="0"/>
      <w:divBdr>
        <w:top w:val="none" w:sz="0" w:space="0" w:color="auto"/>
        <w:left w:val="none" w:sz="0" w:space="0" w:color="auto"/>
        <w:bottom w:val="none" w:sz="0" w:space="0" w:color="auto"/>
        <w:right w:val="none" w:sz="0" w:space="0" w:color="auto"/>
      </w:divBdr>
    </w:div>
    <w:div w:id="785612565">
      <w:bodyDiv w:val="1"/>
      <w:marLeft w:val="0"/>
      <w:marRight w:val="0"/>
      <w:marTop w:val="0"/>
      <w:marBottom w:val="0"/>
      <w:divBdr>
        <w:top w:val="none" w:sz="0" w:space="0" w:color="auto"/>
        <w:left w:val="none" w:sz="0" w:space="0" w:color="auto"/>
        <w:bottom w:val="none" w:sz="0" w:space="0" w:color="auto"/>
        <w:right w:val="none" w:sz="0" w:space="0" w:color="auto"/>
      </w:divBdr>
    </w:div>
    <w:div w:id="1175610721">
      <w:bodyDiv w:val="1"/>
      <w:marLeft w:val="0"/>
      <w:marRight w:val="0"/>
      <w:marTop w:val="0"/>
      <w:marBottom w:val="0"/>
      <w:divBdr>
        <w:top w:val="none" w:sz="0" w:space="0" w:color="auto"/>
        <w:left w:val="none" w:sz="0" w:space="0" w:color="auto"/>
        <w:bottom w:val="none" w:sz="0" w:space="0" w:color="auto"/>
        <w:right w:val="none" w:sz="0" w:space="0" w:color="auto"/>
      </w:divBdr>
    </w:div>
    <w:div w:id="1263995059">
      <w:bodyDiv w:val="1"/>
      <w:marLeft w:val="0"/>
      <w:marRight w:val="0"/>
      <w:marTop w:val="0"/>
      <w:marBottom w:val="0"/>
      <w:divBdr>
        <w:top w:val="none" w:sz="0" w:space="0" w:color="auto"/>
        <w:left w:val="none" w:sz="0" w:space="0" w:color="auto"/>
        <w:bottom w:val="none" w:sz="0" w:space="0" w:color="auto"/>
        <w:right w:val="none" w:sz="0" w:space="0" w:color="auto"/>
      </w:divBdr>
    </w:div>
    <w:div w:id="1397974453">
      <w:bodyDiv w:val="1"/>
      <w:marLeft w:val="0"/>
      <w:marRight w:val="0"/>
      <w:marTop w:val="0"/>
      <w:marBottom w:val="0"/>
      <w:divBdr>
        <w:top w:val="none" w:sz="0" w:space="0" w:color="auto"/>
        <w:left w:val="none" w:sz="0" w:space="0" w:color="auto"/>
        <w:bottom w:val="none" w:sz="0" w:space="0" w:color="auto"/>
        <w:right w:val="none" w:sz="0" w:space="0" w:color="auto"/>
      </w:divBdr>
    </w:div>
    <w:div w:id="1710033605">
      <w:bodyDiv w:val="1"/>
      <w:marLeft w:val="0"/>
      <w:marRight w:val="0"/>
      <w:marTop w:val="0"/>
      <w:marBottom w:val="0"/>
      <w:divBdr>
        <w:top w:val="none" w:sz="0" w:space="0" w:color="auto"/>
        <w:left w:val="none" w:sz="0" w:space="0" w:color="auto"/>
        <w:bottom w:val="none" w:sz="0" w:space="0" w:color="auto"/>
        <w:right w:val="none" w:sz="0" w:space="0" w:color="auto"/>
      </w:divBdr>
    </w:div>
    <w:div w:id="18065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41</TotalTime>
  <Pages>13</Pages>
  <Words>4339</Words>
  <Characters>26952</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Caroline Andersen</dc:creator>
  <cp:keywords/>
  <dc:description>2020082565_x000d_
Pkt. 2, 3, 4.2, 4.3, 4.4, 4.8, 5.1, 5.2, samt overskrifter</dc:description>
  <cp:lastModifiedBy>Caroline Juul Andersen</cp:lastModifiedBy>
  <cp:revision>4</cp:revision>
  <cp:lastPrinted>2012-08-22T08:53:00Z</cp:lastPrinted>
  <dcterms:created xsi:type="dcterms:W3CDTF">2022-12-30T07:48:00Z</dcterms:created>
  <dcterms:modified xsi:type="dcterms:W3CDTF">2022-12-30T08:30:00Z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