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04DD" w14:textId="77777777" w:rsidR="009260DE" w:rsidRPr="004206B7" w:rsidRDefault="0021526C" w:rsidP="009260DE">
      <w:pPr>
        <w:rPr>
          <w:sz w:val="24"/>
          <w:szCs w:val="24"/>
        </w:rPr>
      </w:pPr>
      <w:r w:rsidRPr="004206B7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73E89A03" wp14:editId="3D694D8A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4206B7">
        <w:rPr>
          <w:sz w:val="24"/>
          <w:szCs w:val="24"/>
        </w:rPr>
        <w:br w:type="textWrapping" w:clear="all"/>
      </w:r>
    </w:p>
    <w:p w14:paraId="4BDD23D8" w14:textId="23AE0525" w:rsidR="009260DE" w:rsidRPr="004206B7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4206B7">
        <w:rPr>
          <w:b w:val="0"/>
          <w:szCs w:val="24"/>
          <w:lang w:eastAsia="en-US"/>
        </w:rPr>
        <w:tab/>
      </w:r>
      <w:r w:rsidR="00D50B87">
        <w:rPr>
          <w:szCs w:val="24"/>
        </w:rPr>
        <w:t>12. juni 2026</w:t>
      </w:r>
    </w:p>
    <w:p w14:paraId="7DB4FBF8" w14:textId="77777777" w:rsidR="009260DE" w:rsidRPr="004206B7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23334584" w14:textId="77777777" w:rsidR="009260DE" w:rsidRPr="004206B7" w:rsidRDefault="009260DE" w:rsidP="009260DE">
      <w:pPr>
        <w:pStyle w:val="Titel"/>
        <w:jc w:val="left"/>
        <w:rPr>
          <w:b w:val="0"/>
          <w:szCs w:val="24"/>
        </w:rPr>
      </w:pPr>
    </w:p>
    <w:p w14:paraId="00FEAC81" w14:textId="77777777" w:rsidR="009260DE" w:rsidRPr="004206B7" w:rsidRDefault="009260DE" w:rsidP="009260DE">
      <w:pPr>
        <w:pStyle w:val="Titel"/>
        <w:jc w:val="left"/>
        <w:rPr>
          <w:b w:val="0"/>
          <w:szCs w:val="24"/>
        </w:rPr>
      </w:pPr>
    </w:p>
    <w:p w14:paraId="452C7248" w14:textId="77777777" w:rsidR="009260DE" w:rsidRPr="004206B7" w:rsidRDefault="009260DE" w:rsidP="009260DE">
      <w:pPr>
        <w:jc w:val="center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PRODUKTRESUMÉ</w:t>
      </w:r>
    </w:p>
    <w:p w14:paraId="55290E72" w14:textId="77777777" w:rsidR="009260DE" w:rsidRPr="004206B7" w:rsidRDefault="009260DE" w:rsidP="009260DE">
      <w:pPr>
        <w:jc w:val="center"/>
        <w:rPr>
          <w:b/>
          <w:sz w:val="24"/>
          <w:szCs w:val="24"/>
        </w:rPr>
      </w:pPr>
    </w:p>
    <w:p w14:paraId="231C0C00" w14:textId="77777777" w:rsidR="009260DE" w:rsidRPr="004206B7" w:rsidRDefault="009260DE" w:rsidP="009260DE">
      <w:pPr>
        <w:jc w:val="center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for</w:t>
      </w:r>
    </w:p>
    <w:p w14:paraId="060514A6" w14:textId="77777777" w:rsidR="000B058C" w:rsidRPr="004206B7" w:rsidRDefault="000B058C" w:rsidP="009260DE">
      <w:pPr>
        <w:jc w:val="center"/>
        <w:rPr>
          <w:b/>
          <w:sz w:val="24"/>
          <w:szCs w:val="24"/>
        </w:rPr>
      </w:pPr>
    </w:p>
    <w:p w14:paraId="0BF5E412" w14:textId="2C8121A0" w:rsidR="009260DE" w:rsidRPr="004206B7" w:rsidRDefault="000A206F" w:rsidP="009260DE">
      <w:pPr>
        <w:jc w:val="center"/>
        <w:rPr>
          <w:b/>
          <w:sz w:val="24"/>
          <w:szCs w:val="24"/>
        </w:rPr>
      </w:pPr>
      <w:proofErr w:type="spellStart"/>
      <w:r w:rsidRPr="004206B7">
        <w:rPr>
          <w:b/>
          <w:sz w:val="24"/>
          <w:szCs w:val="24"/>
        </w:rPr>
        <w:t>Tilease</w:t>
      </w:r>
      <w:proofErr w:type="spellEnd"/>
      <w:r w:rsidRPr="004206B7">
        <w:rPr>
          <w:b/>
          <w:sz w:val="24"/>
          <w:szCs w:val="24"/>
        </w:rPr>
        <w:t>, pulver til oral opløsning</w:t>
      </w:r>
    </w:p>
    <w:p w14:paraId="733B501E" w14:textId="77777777" w:rsidR="009260DE" w:rsidRPr="004206B7" w:rsidRDefault="009260DE" w:rsidP="009260DE">
      <w:pPr>
        <w:jc w:val="both"/>
        <w:rPr>
          <w:sz w:val="24"/>
          <w:szCs w:val="24"/>
        </w:rPr>
      </w:pPr>
    </w:p>
    <w:p w14:paraId="457D76F9" w14:textId="77777777" w:rsidR="009260DE" w:rsidRPr="004206B7" w:rsidRDefault="009260DE" w:rsidP="009260DE">
      <w:pPr>
        <w:jc w:val="both"/>
        <w:rPr>
          <w:sz w:val="24"/>
          <w:szCs w:val="24"/>
        </w:rPr>
      </w:pPr>
    </w:p>
    <w:p w14:paraId="794A13D5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0.</w:t>
      </w:r>
      <w:r w:rsidRPr="004206B7">
        <w:rPr>
          <w:b/>
          <w:sz w:val="24"/>
          <w:szCs w:val="24"/>
        </w:rPr>
        <w:tab/>
        <w:t>D.SP.NR.</w:t>
      </w:r>
    </w:p>
    <w:p w14:paraId="29E7C95E" w14:textId="019554E9" w:rsidR="009260DE" w:rsidRPr="004206B7" w:rsidRDefault="000A206F" w:rsidP="009260DE">
      <w:pPr>
        <w:tabs>
          <w:tab w:val="left" w:pos="851"/>
        </w:tabs>
        <w:ind w:left="851"/>
        <w:rPr>
          <w:sz w:val="24"/>
          <w:szCs w:val="24"/>
        </w:rPr>
      </w:pPr>
      <w:r w:rsidRPr="004206B7">
        <w:rPr>
          <w:sz w:val="24"/>
          <w:szCs w:val="24"/>
        </w:rPr>
        <w:t>34589</w:t>
      </w:r>
    </w:p>
    <w:p w14:paraId="3C24DFB5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DA7044F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1.</w:t>
      </w:r>
      <w:r w:rsidRPr="004206B7">
        <w:rPr>
          <w:b/>
          <w:sz w:val="24"/>
          <w:szCs w:val="24"/>
        </w:rPr>
        <w:tab/>
        <w:t>LÆGEMIDLETS NAVN</w:t>
      </w:r>
    </w:p>
    <w:p w14:paraId="3B5D3792" w14:textId="325D09A1" w:rsidR="009260DE" w:rsidRPr="004206B7" w:rsidRDefault="000A206F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4206B7">
        <w:rPr>
          <w:sz w:val="24"/>
          <w:szCs w:val="24"/>
        </w:rPr>
        <w:t>Tilease</w:t>
      </w:r>
      <w:proofErr w:type="spellEnd"/>
    </w:p>
    <w:p w14:paraId="0229B309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4C60F54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2.</w:t>
      </w:r>
      <w:r w:rsidRPr="004206B7">
        <w:rPr>
          <w:b/>
          <w:sz w:val="24"/>
          <w:szCs w:val="24"/>
        </w:rPr>
        <w:tab/>
        <w:t>KVALITATIV OG KVANTITATIV SAMMENSÆTNING</w:t>
      </w:r>
    </w:p>
    <w:p w14:paraId="644C0989" w14:textId="77777777" w:rsidR="00E31415" w:rsidRPr="00E31415" w:rsidRDefault="00E31415" w:rsidP="00E31415">
      <w:pPr>
        <w:tabs>
          <w:tab w:val="left" w:pos="851"/>
        </w:tabs>
        <w:ind w:left="851"/>
        <w:rPr>
          <w:sz w:val="24"/>
          <w:szCs w:val="24"/>
        </w:rPr>
      </w:pPr>
      <w:r w:rsidRPr="00E31415">
        <w:rPr>
          <w:sz w:val="24"/>
          <w:szCs w:val="24"/>
        </w:rPr>
        <w:t>Hvert brev indeholder følgende sammensætning af aktive stoffer:</w:t>
      </w:r>
    </w:p>
    <w:tbl>
      <w:tblPr>
        <w:tblStyle w:val="Tabel-Gitter"/>
        <w:tblW w:w="3382" w:type="pct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2123"/>
      </w:tblGrid>
      <w:tr w:rsidR="00E31415" w:rsidRPr="00E31415" w14:paraId="005EC827" w14:textId="77777777" w:rsidTr="0092019E">
        <w:tc>
          <w:tcPr>
            <w:tcW w:w="3372" w:type="pct"/>
            <w:hideMark/>
          </w:tcPr>
          <w:p w14:paraId="5416B525" w14:textId="77777777" w:rsidR="00E31415" w:rsidRPr="00E31415" w:rsidRDefault="00E31415" w:rsidP="0092019E">
            <w:pPr>
              <w:rPr>
                <w:sz w:val="24"/>
                <w:szCs w:val="24"/>
              </w:rPr>
            </w:pPr>
            <w:proofErr w:type="spellStart"/>
            <w:r w:rsidRPr="00E31415">
              <w:rPr>
                <w:sz w:val="24"/>
                <w:szCs w:val="24"/>
              </w:rPr>
              <w:t>Macrogol</w:t>
            </w:r>
            <w:proofErr w:type="spellEnd"/>
            <w:r w:rsidRPr="00E31415">
              <w:rPr>
                <w:sz w:val="24"/>
                <w:szCs w:val="24"/>
              </w:rPr>
              <w:t xml:space="preserve"> 3350</w:t>
            </w:r>
          </w:p>
        </w:tc>
        <w:tc>
          <w:tcPr>
            <w:tcW w:w="1628" w:type="pct"/>
            <w:hideMark/>
          </w:tcPr>
          <w:p w14:paraId="06302742" w14:textId="77777777" w:rsidR="00E31415" w:rsidRPr="00E31415" w:rsidRDefault="00E31415" w:rsidP="0092019E">
            <w:pPr>
              <w:rPr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13,125 g</w:t>
            </w:r>
          </w:p>
        </w:tc>
      </w:tr>
      <w:tr w:rsidR="00E31415" w:rsidRPr="00E31415" w14:paraId="103585AA" w14:textId="77777777" w:rsidTr="0092019E">
        <w:tc>
          <w:tcPr>
            <w:tcW w:w="3372" w:type="pct"/>
            <w:hideMark/>
          </w:tcPr>
          <w:p w14:paraId="4F3123FC" w14:textId="77777777" w:rsidR="00E31415" w:rsidRPr="00E31415" w:rsidRDefault="00E31415" w:rsidP="0092019E">
            <w:pPr>
              <w:rPr>
                <w:sz w:val="24"/>
                <w:szCs w:val="24"/>
              </w:rPr>
            </w:pPr>
            <w:proofErr w:type="spellStart"/>
            <w:r w:rsidRPr="00E31415">
              <w:rPr>
                <w:sz w:val="24"/>
                <w:szCs w:val="24"/>
              </w:rPr>
              <w:t>Natriumchlorid</w:t>
            </w:r>
            <w:proofErr w:type="spellEnd"/>
          </w:p>
        </w:tc>
        <w:tc>
          <w:tcPr>
            <w:tcW w:w="1628" w:type="pct"/>
            <w:hideMark/>
          </w:tcPr>
          <w:p w14:paraId="2B3E4DA5" w14:textId="77777777" w:rsidR="00E31415" w:rsidRPr="00E31415" w:rsidRDefault="00E31415" w:rsidP="0092019E">
            <w:pPr>
              <w:rPr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350,7 mg</w:t>
            </w:r>
          </w:p>
        </w:tc>
      </w:tr>
      <w:tr w:rsidR="00E31415" w:rsidRPr="00E31415" w14:paraId="2CBB7865" w14:textId="77777777" w:rsidTr="0092019E">
        <w:tc>
          <w:tcPr>
            <w:tcW w:w="3372" w:type="pct"/>
            <w:hideMark/>
          </w:tcPr>
          <w:p w14:paraId="7055929D" w14:textId="77777777" w:rsidR="00E31415" w:rsidRPr="00E31415" w:rsidRDefault="00E31415" w:rsidP="0092019E">
            <w:pPr>
              <w:rPr>
                <w:sz w:val="24"/>
                <w:szCs w:val="24"/>
              </w:rPr>
            </w:pPr>
            <w:proofErr w:type="spellStart"/>
            <w:r w:rsidRPr="00E31415">
              <w:rPr>
                <w:sz w:val="24"/>
                <w:szCs w:val="24"/>
              </w:rPr>
              <w:t>Natriumhydrogencarbonat</w:t>
            </w:r>
            <w:proofErr w:type="spellEnd"/>
          </w:p>
        </w:tc>
        <w:tc>
          <w:tcPr>
            <w:tcW w:w="1628" w:type="pct"/>
            <w:hideMark/>
          </w:tcPr>
          <w:p w14:paraId="1DE6724B" w14:textId="77777777" w:rsidR="00E31415" w:rsidRPr="00E31415" w:rsidRDefault="00E31415" w:rsidP="0092019E">
            <w:pPr>
              <w:rPr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178,5 mg</w:t>
            </w:r>
          </w:p>
        </w:tc>
      </w:tr>
      <w:tr w:rsidR="00E31415" w:rsidRPr="00E31415" w14:paraId="213D9983" w14:textId="77777777" w:rsidTr="0092019E">
        <w:trPr>
          <w:trHeight w:val="80"/>
        </w:trPr>
        <w:tc>
          <w:tcPr>
            <w:tcW w:w="3372" w:type="pct"/>
            <w:hideMark/>
          </w:tcPr>
          <w:p w14:paraId="2F0689AB" w14:textId="77777777" w:rsidR="00E31415" w:rsidRPr="00E31415" w:rsidRDefault="00E31415" w:rsidP="0092019E">
            <w:pPr>
              <w:rPr>
                <w:sz w:val="24"/>
                <w:szCs w:val="24"/>
              </w:rPr>
            </w:pPr>
            <w:proofErr w:type="spellStart"/>
            <w:r w:rsidRPr="00E31415">
              <w:rPr>
                <w:sz w:val="24"/>
                <w:szCs w:val="24"/>
              </w:rPr>
              <w:t>Kaliumchlorid</w:t>
            </w:r>
            <w:proofErr w:type="spellEnd"/>
          </w:p>
        </w:tc>
        <w:tc>
          <w:tcPr>
            <w:tcW w:w="1628" w:type="pct"/>
            <w:hideMark/>
          </w:tcPr>
          <w:p w14:paraId="28DC29D5" w14:textId="77777777" w:rsidR="00E31415" w:rsidRPr="00E31415" w:rsidRDefault="00E31415" w:rsidP="0092019E">
            <w:pPr>
              <w:rPr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 xml:space="preserve">46,6 mg </w:t>
            </w:r>
          </w:p>
        </w:tc>
      </w:tr>
    </w:tbl>
    <w:p w14:paraId="5336F4DB" w14:textId="77777777" w:rsidR="00E31415" w:rsidRPr="00E31415" w:rsidRDefault="00E31415" w:rsidP="00E31415">
      <w:pPr>
        <w:tabs>
          <w:tab w:val="left" w:pos="851"/>
        </w:tabs>
        <w:ind w:left="851"/>
        <w:rPr>
          <w:sz w:val="24"/>
          <w:szCs w:val="24"/>
        </w:rPr>
      </w:pPr>
    </w:p>
    <w:p w14:paraId="7E5C4D39" w14:textId="77777777" w:rsidR="00E31415" w:rsidRPr="00E31415" w:rsidRDefault="00E31415" w:rsidP="00E31415">
      <w:pPr>
        <w:tabs>
          <w:tab w:val="left" w:pos="851"/>
        </w:tabs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Indholdet af </w:t>
      </w:r>
      <w:proofErr w:type="spellStart"/>
      <w:r w:rsidRPr="00E31415">
        <w:rPr>
          <w:sz w:val="24"/>
          <w:szCs w:val="24"/>
        </w:rPr>
        <w:t>elektrolytioner</w:t>
      </w:r>
      <w:proofErr w:type="spellEnd"/>
      <w:r w:rsidRPr="00E31415">
        <w:rPr>
          <w:sz w:val="24"/>
          <w:szCs w:val="24"/>
        </w:rPr>
        <w:t xml:space="preserve"> pr. brev efter </w:t>
      </w:r>
      <w:proofErr w:type="spellStart"/>
      <w:r w:rsidRPr="00E31415">
        <w:rPr>
          <w:sz w:val="24"/>
          <w:szCs w:val="24"/>
        </w:rPr>
        <w:t>rekonstitution</w:t>
      </w:r>
      <w:proofErr w:type="spellEnd"/>
      <w:r w:rsidRPr="00E31415">
        <w:rPr>
          <w:sz w:val="24"/>
          <w:szCs w:val="24"/>
        </w:rPr>
        <w:t xml:space="preserve"> i 125 ml vand svarer til:</w:t>
      </w:r>
    </w:p>
    <w:tbl>
      <w:tblPr>
        <w:tblStyle w:val="Tabel-Gitter"/>
        <w:tblW w:w="3382" w:type="pct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2021"/>
      </w:tblGrid>
      <w:tr w:rsidR="00E31415" w:rsidRPr="00E31415" w14:paraId="45724295" w14:textId="77777777" w:rsidTr="0092019E">
        <w:trPr>
          <w:trHeight w:val="276"/>
        </w:trPr>
        <w:tc>
          <w:tcPr>
            <w:tcW w:w="3450" w:type="pct"/>
            <w:hideMark/>
          </w:tcPr>
          <w:p w14:paraId="360B717A" w14:textId="77777777" w:rsidR="00E31415" w:rsidRPr="00E31415" w:rsidRDefault="00E31415" w:rsidP="0092019E">
            <w:pPr>
              <w:ind w:left="32"/>
              <w:rPr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Natrium</w:t>
            </w:r>
          </w:p>
        </w:tc>
        <w:tc>
          <w:tcPr>
            <w:tcW w:w="1550" w:type="pct"/>
            <w:hideMark/>
          </w:tcPr>
          <w:p w14:paraId="700D3334" w14:textId="77777777" w:rsidR="00E31415" w:rsidRPr="00E31415" w:rsidRDefault="00E31415" w:rsidP="0092019E">
            <w:pPr>
              <w:ind w:left="32"/>
              <w:rPr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65 mmol/l</w:t>
            </w:r>
          </w:p>
        </w:tc>
      </w:tr>
      <w:tr w:rsidR="00E31415" w:rsidRPr="00E31415" w14:paraId="209EBC19" w14:textId="77777777" w:rsidTr="0092019E">
        <w:trPr>
          <w:trHeight w:val="276"/>
        </w:trPr>
        <w:tc>
          <w:tcPr>
            <w:tcW w:w="3450" w:type="pct"/>
            <w:hideMark/>
          </w:tcPr>
          <w:p w14:paraId="4B712F29" w14:textId="77777777" w:rsidR="00E31415" w:rsidRPr="00E31415" w:rsidRDefault="00E31415" w:rsidP="0092019E">
            <w:pPr>
              <w:ind w:left="32"/>
              <w:rPr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 xml:space="preserve">Kalium </w:t>
            </w:r>
          </w:p>
        </w:tc>
        <w:tc>
          <w:tcPr>
            <w:tcW w:w="1550" w:type="pct"/>
            <w:hideMark/>
          </w:tcPr>
          <w:p w14:paraId="502B1A5A" w14:textId="77777777" w:rsidR="00E31415" w:rsidRPr="00E31415" w:rsidRDefault="00E31415" w:rsidP="0092019E">
            <w:pPr>
              <w:ind w:left="32"/>
              <w:rPr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 xml:space="preserve">5,4 mmol/l </w:t>
            </w:r>
          </w:p>
        </w:tc>
      </w:tr>
      <w:tr w:rsidR="00E31415" w:rsidRPr="00E31415" w14:paraId="17612C9F" w14:textId="77777777" w:rsidTr="0092019E">
        <w:trPr>
          <w:trHeight w:val="276"/>
        </w:trPr>
        <w:tc>
          <w:tcPr>
            <w:tcW w:w="3450" w:type="pct"/>
            <w:hideMark/>
          </w:tcPr>
          <w:p w14:paraId="04A2D6EA" w14:textId="77777777" w:rsidR="00E31415" w:rsidRPr="00E31415" w:rsidRDefault="00E31415" w:rsidP="0092019E">
            <w:pPr>
              <w:ind w:left="32"/>
              <w:rPr>
                <w:sz w:val="24"/>
                <w:szCs w:val="24"/>
              </w:rPr>
            </w:pPr>
            <w:proofErr w:type="spellStart"/>
            <w:r w:rsidRPr="00E31415">
              <w:rPr>
                <w:sz w:val="24"/>
                <w:szCs w:val="24"/>
              </w:rPr>
              <w:t>Chlorid</w:t>
            </w:r>
            <w:proofErr w:type="spellEnd"/>
          </w:p>
        </w:tc>
        <w:tc>
          <w:tcPr>
            <w:tcW w:w="1550" w:type="pct"/>
            <w:hideMark/>
          </w:tcPr>
          <w:p w14:paraId="761B7B96" w14:textId="77777777" w:rsidR="00E31415" w:rsidRPr="00E31415" w:rsidRDefault="00E31415" w:rsidP="0092019E">
            <w:pPr>
              <w:ind w:left="32"/>
              <w:rPr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53 mmol/l</w:t>
            </w:r>
          </w:p>
        </w:tc>
      </w:tr>
      <w:tr w:rsidR="00E31415" w:rsidRPr="00E31415" w14:paraId="468927C4" w14:textId="77777777" w:rsidTr="0092019E">
        <w:trPr>
          <w:trHeight w:val="276"/>
        </w:trPr>
        <w:tc>
          <w:tcPr>
            <w:tcW w:w="3450" w:type="pct"/>
            <w:hideMark/>
          </w:tcPr>
          <w:p w14:paraId="05F97E72" w14:textId="77777777" w:rsidR="00E31415" w:rsidRPr="00E31415" w:rsidRDefault="00E31415" w:rsidP="0092019E">
            <w:pPr>
              <w:ind w:left="32"/>
              <w:rPr>
                <w:sz w:val="24"/>
                <w:szCs w:val="24"/>
              </w:rPr>
            </w:pPr>
            <w:proofErr w:type="spellStart"/>
            <w:r w:rsidRPr="00E31415">
              <w:rPr>
                <w:sz w:val="24"/>
                <w:szCs w:val="24"/>
              </w:rPr>
              <w:t>Hydrogencarbonat</w:t>
            </w:r>
            <w:proofErr w:type="spellEnd"/>
          </w:p>
        </w:tc>
        <w:tc>
          <w:tcPr>
            <w:tcW w:w="1550" w:type="pct"/>
            <w:hideMark/>
          </w:tcPr>
          <w:p w14:paraId="4F74951C" w14:textId="77777777" w:rsidR="00E31415" w:rsidRPr="00E31415" w:rsidRDefault="00E31415" w:rsidP="0092019E">
            <w:pPr>
              <w:ind w:left="32"/>
              <w:rPr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17 mmol/l</w:t>
            </w:r>
          </w:p>
        </w:tc>
      </w:tr>
    </w:tbl>
    <w:p w14:paraId="16C766D1" w14:textId="77777777" w:rsidR="00E31415" w:rsidRPr="00E31415" w:rsidRDefault="00E31415" w:rsidP="00E31415">
      <w:pPr>
        <w:tabs>
          <w:tab w:val="left" w:pos="851"/>
        </w:tabs>
        <w:ind w:left="851"/>
        <w:rPr>
          <w:sz w:val="24"/>
          <w:szCs w:val="24"/>
        </w:rPr>
      </w:pPr>
    </w:p>
    <w:p w14:paraId="7AC026E1" w14:textId="77777777" w:rsidR="00E31415" w:rsidRPr="00E31415" w:rsidRDefault="00E31415" w:rsidP="0092019E">
      <w:pPr>
        <w:ind w:left="851"/>
        <w:rPr>
          <w:sz w:val="24"/>
          <w:szCs w:val="24"/>
          <w:u w:val="single"/>
        </w:rPr>
      </w:pPr>
      <w:r w:rsidRPr="00E31415">
        <w:rPr>
          <w:sz w:val="24"/>
          <w:szCs w:val="24"/>
          <w:u w:val="single"/>
        </w:rPr>
        <w:t>Hjælpestof, som behandleren skal være opmærksom på</w:t>
      </w:r>
    </w:p>
    <w:p w14:paraId="38A08677" w14:textId="115BAEC1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Hver</w:t>
      </w:r>
      <w:r w:rsidR="000853AF" w:rsidRPr="004206B7">
        <w:rPr>
          <w:sz w:val="24"/>
          <w:szCs w:val="24"/>
        </w:rPr>
        <w:t>t</w:t>
      </w:r>
      <w:r w:rsidRPr="00E31415">
        <w:rPr>
          <w:sz w:val="24"/>
          <w:szCs w:val="24"/>
        </w:rPr>
        <w:t xml:space="preserve"> brev indeholder 63 mg </w:t>
      </w:r>
      <w:proofErr w:type="spellStart"/>
      <w:r w:rsidRPr="00E31415">
        <w:rPr>
          <w:sz w:val="24"/>
          <w:szCs w:val="24"/>
        </w:rPr>
        <w:t>maltodextrin</w:t>
      </w:r>
      <w:proofErr w:type="spellEnd"/>
      <w:r w:rsidRPr="00E31415">
        <w:rPr>
          <w:sz w:val="24"/>
          <w:szCs w:val="24"/>
        </w:rPr>
        <w:t xml:space="preserve"> (som indeholder </w:t>
      </w:r>
      <w:proofErr w:type="spellStart"/>
      <w:r w:rsidRPr="00E31415">
        <w:rPr>
          <w:sz w:val="24"/>
          <w:szCs w:val="24"/>
        </w:rPr>
        <w:t>glucose</w:t>
      </w:r>
      <w:proofErr w:type="spellEnd"/>
      <w:r w:rsidRPr="00E31415">
        <w:rPr>
          <w:sz w:val="24"/>
          <w:szCs w:val="24"/>
        </w:rPr>
        <w:t>).</w:t>
      </w:r>
    </w:p>
    <w:p w14:paraId="01535F79" w14:textId="77777777" w:rsidR="00E31415" w:rsidRPr="00E31415" w:rsidRDefault="00E31415" w:rsidP="0092019E">
      <w:pPr>
        <w:ind w:left="851"/>
        <w:rPr>
          <w:sz w:val="24"/>
          <w:szCs w:val="24"/>
        </w:rPr>
      </w:pPr>
    </w:p>
    <w:p w14:paraId="76824912" w14:textId="77777777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Alle hjælpestoffer er anført under pkt. 6.1.</w:t>
      </w:r>
    </w:p>
    <w:p w14:paraId="6E34C04A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8C1D2A9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3.</w:t>
      </w:r>
      <w:r w:rsidRPr="004206B7">
        <w:rPr>
          <w:b/>
          <w:sz w:val="24"/>
          <w:szCs w:val="24"/>
        </w:rPr>
        <w:tab/>
        <w:t>LÆGEMIDDELFORM</w:t>
      </w:r>
    </w:p>
    <w:p w14:paraId="01BAFBDB" w14:textId="77777777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Pulver til oral opløsning</w:t>
      </w:r>
    </w:p>
    <w:p w14:paraId="7D5CB4AB" w14:textId="77777777" w:rsidR="00E31415" w:rsidRPr="00E31415" w:rsidRDefault="00E31415" w:rsidP="0092019E">
      <w:pPr>
        <w:ind w:left="851"/>
        <w:rPr>
          <w:sz w:val="24"/>
          <w:szCs w:val="24"/>
        </w:rPr>
      </w:pPr>
    </w:p>
    <w:p w14:paraId="688BFDD8" w14:textId="77777777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Hvidt </w:t>
      </w:r>
      <w:proofErr w:type="spellStart"/>
      <w:r w:rsidRPr="00E31415">
        <w:rPr>
          <w:sz w:val="24"/>
          <w:szCs w:val="24"/>
        </w:rPr>
        <w:t>fritflydende</w:t>
      </w:r>
      <w:proofErr w:type="spellEnd"/>
      <w:r w:rsidRPr="00E31415">
        <w:rPr>
          <w:sz w:val="24"/>
          <w:szCs w:val="24"/>
        </w:rPr>
        <w:t xml:space="preserve"> pulver med en karakteristisk lugt af citron og lime.</w:t>
      </w:r>
    </w:p>
    <w:p w14:paraId="3F0143AC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E8E02F0" w14:textId="51A2648A" w:rsidR="004206B7" w:rsidRPr="004206B7" w:rsidRDefault="004206B7">
      <w:pPr>
        <w:rPr>
          <w:sz w:val="24"/>
          <w:szCs w:val="24"/>
        </w:rPr>
      </w:pPr>
      <w:r w:rsidRPr="004206B7">
        <w:rPr>
          <w:sz w:val="24"/>
          <w:szCs w:val="24"/>
        </w:rPr>
        <w:br w:type="page"/>
      </w:r>
    </w:p>
    <w:p w14:paraId="5DF7DFF1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91388C8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4.</w:t>
      </w:r>
      <w:r w:rsidRPr="004206B7">
        <w:rPr>
          <w:b/>
          <w:sz w:val="24"/>
          <w:szCs w:val="24"/>
        </w:rPr>
        <w:tab/>
        <w:t>KLINISKE OPLYSNINGER</w:t>
      </w:r>
    </w:p>
    <w:p w14:paraId="1D732119" w14:textId="77777777" w:rsidR="009260DE" w:rsidRPr="004206B7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64C977A6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4206B7">
        <w:rPr>
          <w:b/>
          <w:sz w:val="24"/>
          <w:szCs w:val="24"/>
        </w:rPr>
        <w:t>4.1</w:t>
      </w:r>
      <w:r w:rsidRPr="004206B7">
        <w:rPr>
          <w:b/>
          <w:sz w:val="24"/>
          <w:szCs w:val="24"/>
        </w:rPr>
        <w:tab/>
        <w:t>Terapeutiske indikationer</w:t>
      </w:r>
    </w:p>
    <w:p w14:paraId="47EC436F" w14:textId="77777777" w:rsidR="000853AF" w:rsidRPr="004206B7" w:rsidRDefault="000853AF" w:rsidP="0092019E">
      <w:pPr>
        <w:ind w:left="851"/>
        <w:rPr>
          <w:sz w:val="24"/>
          <w:szCs w:val="24"/>
          <w:u w:val="single"/>
        </w:rPr>
      </w:pPr>
    </w:p>
    <w:p w14:paraId="5AA9C92C" w14:textId="054BCC60" w:rsidR="00E31415" w:rsidRPr="00E31415" w:rsidRDefault="00E31415" w:rsidP="0092019E">
      <w:pPr>
        <w:ind w:left="851"/>
        <w:rPr>
          <w:sz w:val="24"/>
          <w:szCs w:val="24"/>
          <w:u w:val="single"/>
        </w:rPr>
      </w:pPr>
      <w:r w:rsidRPr="00E31415">
        <w:rPr>
          <w:sz w:val="24"/>
          <w:szCs w:val="24"/>
          <w:u w:val="single"/>
        </w:rPr>
        <w:t>Kronisk obstipation</w:t>
      </w:r>
    </w:p>
    <w:p w14:paraId="3E978942" w14:textId="77777777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Til behandling af kronisk obstipation.</w:t>
      </w:r>
    </w:p>
    <w:p w14:paraId="56796E82" w14:textId="77777777" w:rsidR="00E31415" w:rsidRPr="00E31415" w:rsidRDefault="00E31415" w:rsidP="0092019E">
      <w:pPr>
        <w:ind w:left="851"/>
        <w:rPr>
          <w:sz w:val="24"/>
          <w:szCs w:val="24"/>
        </w:rPr>
      </w:pPr>
    </w:p>
    <w:p w14:paraId="0B9160A6" w14:textId="77777777" w:rsidR="00E31415" w:rsidRPr="00E31415" w:rsidRDefault="00E31415" w:rsidP="0092019E">
      <w:pPr>
        <w:ind w:left="851"/>
        <w:rPr>
          <w:sz w:val="24"/>
          <w:szCs w:val="24"/>
          <w:u w:val="single"/>
        </w:rPr>
      </w:pPr>
      <w:r w:rsidRPr="00E31415">
        <w:rPr>
          <w:sz w:val="24"/>
          <w:szCs w:val="24"/>
          <w:u w:val="single"/>
        </w:rPr>
        <w:t>Refraktær obstipation</w:t>
      </w:r>
    </w:p>
    <w:p w14:paraId="6335779A" w14:textId="77777777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Til behandling af refraktær obstipation: opløsning af </w:t>
      </w:r>
      <w:proofErr w:type="spellStart"/>
      <w:r w:rsidRPr="00E31415">
        <w:rPr>
          <w:sz w:val="24"/>
          <w:szCs w:val="24"/>
        </w:rPr>
        <w:t>retineret</w:t>
      </w:r>
      <w:proofErr w:type="spellEnd"/>
      <w:r w:rsidRPr="00E31415">
        <w:rPr>
          <w:sz w:val="24"/>
          <w:szCs w:val="24"/>
        </w:rPr>
        <w:t xml:space="preserve"> fæces i </w:t>
      </w:r>
      <w:proofErr w:type="spellStart"/>
      <w:r w:rsidRPr="00E31415">
        <w:rPr>
          <w:sz w:val="24"/>
          <w:szCs w:val="24"/>
        </w:rPr>
        <w:t>colon</w:t>
      </w:r>
      <w:proofErr w:type="spellEnd"/>
      <w:r w:rsidRPr="00E31415">
        <w:rPr>
          <w:sz w:val="24"/>
          <w:szCs w:val="24"/>
        </w:rPr>
        <w:t xml:space="preserve"> og/eller </w:t>
      </w:r>
      <w:proofErr w:type="spellStart"/>
      <w:r w:rsidRPr="00E31415">
        <w:rPr>
          <w:sz w:val="24"/>
          <w:szCs w:val="24"/>
        </w:rPr>
        <w:t>rectum</w:t>
      </w:r>
      <w:proofErr w:type="spellEnd"/>
      <w:r w:rsidRPr="00E31415">
        <w:rPr>
          <w:sz w:val="24"/>
          <w:szCs w:val="24"/>
        </w:rPr>
        <w:t xml:space="preserve"> verificeret ved medicinsk undersøgelse af abdomen og </w:t>
      </w:r>
      <w:proofErr w:type="spellStart"/>
      <w:r w:rsidRPr="00E31415">
        <w:rPr>
          <w:sz w:val="24"/>
          <w:szCs w:val="24"/>
        </w:rPr>
        <w:t>rectum</w:t>
      </w:r>
      <w:proofErr w:type="spellEnd"/>
      <w:r w:rsidRPr="00E31415">
        <w:rPr>
          <w:sz w:val="24"/>
          <w:szCs w:val="24"/>
        </w:rPr>
        <w:t>.</w:t>
      </w:r>
    </w:p>
    <w:p w14:paraId="3BBF6358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852F74B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4.2</w:t>
      </w:r>
      <w:r w:rsidRPr="004206B7">
        <w:rPr>
          <w:b/>
          <w:sz w:val="24"/>
          <w:szCs w:val="24"/>
        </w:rPr>
        <w:tab/>
        <w:t xml:space="preserve">Dosering og </w:t>
      </w:r>
      <w:r w:rsidR="002C1EC0" w:rsidRPr="004206B7">
        <w:rPr>
          <w:b/>
          <w:sz w:val="24"/>
          <w:szCs w:val="24"/>
        </w:rPr>
        <w:t>administration</w:t>
      </w:r>
    </w:p>
    <w:p w14:paraId="3950D69C" w14:textId="77777777" w:rsidR="000853AF" w:rsidRPr="004206B7" w:rsidRDefault="000853AF" w:rsidP="0092019E">
      <w:pPr>
        <w:ind w:left="851"/>
        <w:rPr>
          <w:sz w:val="24"/>
          <w:szCs w:val="24"/>
          <w:u w:val="single"/>
        </w:rPr>
      </w:pPr>
    </w:p>
    <w:p w14:paraId="5AFBB348" w14:textId="4DE3DAE1" w:rsidR="00E31415" w:rsidRPr="00E31415" w:rsidRDefault="00E31415" w:rsidP="0092019E">
      <w:pPr>
        <w:ind w:left="851"/>
        <w:rPr>
          <w:sz w:val="24"/>
          <w:szCs w:val="24"/>
          <w:u w:val="single"/>
        </w:rPr>
      </w:pPr>
      <w:r w:rsidRPr="00E31415">
        <w:rPr>
          <w:sz w:val="24"/>
          <w:szCs w:val="24"/>
          <w:u w:val="single"/>
        </w:rPr>
        <w:t>Kronisk obstipation:</w:t>
      </w:r>
    </w:p>
    <w:p w14:paraId="0519BFD4" w14:textId="77777777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Voksne: 1-3 breve om dagen afhængigt af individuelt respons. </w:t>
      </w:r>
    </w:p>
    <w:p w14:paraId="47E0E65B" w14:textId="77777777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Et behandlingsforløb varer normalt ikke længere end 2 uger, men kan eventuelt gentages om nødvendigt.</w:t>
      </w:r>
    </w:p>
    <w:p w14:paraId="19F20FB2" w14:textId="77777777" w:rsidR="00E31415" w:rsidRPr="00E31415" w:rsidRDefault="00E31415" w:rsidP="0092019E">
      <w:pPr>
        <w:ind w:left="851"/>
        <w:rPr>
          <w:sz w:val="24"/>
          <w:szCs w:val="24"/>
        </w:rPr>
      </w:pPr>
    </w:p>
    <w:p w14:paraId="7650E2F2" w14:textId="77777777" w:rsidR="00E31415" w:rsidRPr="00E31415" w:rsidRDefault="00E31415" w:rsidP="0092019E">
      <w:pPr>
        <w:ind w:left="851"/>
        <w:rPr>
          <w:sz w:val="24"/>
          <w:szCs w:val="24"/>
          <w:u w:val="single"/>
        </w:rPr>
      </w:pPr>
      <w:r w:rsidRPr="00E31415">
        <w:rPr>
          <w:sz w:val="24"/>
          <w:szCs w:val="24"/>
          <w:u w:val="single"/>
        </w:rPr>
        <w:t>Refraktær obstipation:</w:t>
      </w:r>
    </w:p>
    <w:p w14:paraId="181F6277" w14:textId="77777777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Voksne: 8 breve om dagen taget i løbet af 6 timer, opløst i 1 liter vand.</w:t>
      </w:r>
    </w:p>
    <w:p w14:paraId="07112F26" w14:textId="77777777" w:rsidR="00E31415" w:rsidRPr="00E31415" w:rsidRDefault="00E31415" w:rsidP="0092019E">
      <w:pPr>
        <w:ind w:left="851"/>
        <w:rPr>
          <w:i/>
          <w:iCs/>
          <w:sz w:val="24"/>
          <w:szCs w:val="24"/>
        </w:rPr>
      </w:pPr>
      <w:r w:rsidRPr="00E31415">
        <w:rPr>
          <w:sz w:val="24"/>
          <w:szCs w:val="24"/>
        </w:rPr>
        <w:t>Behandlingen varer normalt ikke længere end 3 dage.</w:t>
      </w:r>
    </w:p>
    <w:p w14:paraId="394A75F5" w14:textId="77777777" w:rsidR="00E31415" w:rsidRPr="00E31415" w:rsidRDefault="00E31415" w:rsidP="0092019E">
      <w:pPr>
        <w:ind w:left="851"/>
        <w:rPr>
          <w:i/>
          <w:iCs/>
          <w:sz w:val="24"/>
          <w:szCs w:val="24"/>
        </w:rPr>
      </w:pPr>
    </w:p>
    <w:p w14:paraId="789C17D6" w14:textId="77777777" w:rsidR="00E31415" w:rsidRPr="00E31415" w:rsidRDefault="00E31415" w:rsidP="0092019E">
      <w:pPr>
        <w:ind w:left="851"/>
        <w:rPr>
          <w:i/>
          <w:iCs/>
          <w:sz w:val="24"/>
          <w:szCs w:val="24"/>
        </w:rPr>
      </w:pPr>
      <w:r w:rsidRPr="00E31415">
        <w:rPr>
          <w:i/>
          <w:iCs/>
          <w:sz w:val="24"/>
          <w:szCs w:val="24"/>
        </w:rPr>
        <w:t>Patienter med nedsat kardiovaskulær funktion:</w:t>
      </w:r>
    </w:p>
    <w:p w14:paraId="174B52CC" w14:textId="77777777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Ved behandling af refraktær obstipation bør dosen deles, så der ikke tages mere end to breve pr. time.</w:t>
      </w:r>
    </w:p>
    <w:p w14:paraId="3FB41EDF" w14:textId="77777777" w:rsidR="00E31415" w:rsidRPr="00E31415" w:rsidRDefault="00E31415" w:rsidP="0092019E">
      <w:pPr>
        <w:ind w:left="851"/>
        <w:rPr>
          <w:sz w:val="24"/>
          <w:szCs w:val="24"/>
        </w:rPr>
      </w:pPr>
    </w:p>
    <w:p w14:paraId="7C1124C7" w14:textId="77777777" w:rsidR="00E31415" w:rsidRPr="00E31415" w:rsidRDefault="00E31415" w:rsidP="0092019E">
      <w:pPr>
        <w:ind w:left="851"/>
        <w:rPr>
          <w:i/>
          <w:iCs/>
          <w:sz w:val="24"/>
          <w:szCs w:val="24"/>
        </w:rPr>
      </w:pPr>
      <w:r w:rsidRPr="00E31415">
        <w:rPr>
          <w:i/>
          <w:iCs/>
          <w:sz w:val="24"/>
          <w:szCs w:val="24"/>
        </w:rPr>
        <w:t>Patienter med nedsat nyrefunktion:</w:t>
      </w:r>
    </w:p>
    <w:p w14:paraId="38BCE958" w14:textId="09570A47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Det er ikke nødvendigt at justere dosen ved behandling for hverken kronisk obstipation eller refraktær obstipation (se pkt. 4.4).</w:t>
      </w:r>
    </w:p>
    <w:p w14:paraId="4250A2F8" w14:textId="77777777" w:rsidR="00E31415" w:rsidRPr="00E31415" w:rsidRDefault="00E31415" w:rsidP="0092019E">
      <w:pPr>
        <w:ind w:left="851"/>
        <w:rPr>
          <w:sz w:val="24"/>
          <w:szCs w:val="24"/>
        </w:rPr>
      </w:pPr>
    </w:p>
    <w:p w14:paraId="2A88E14E" w14:textId="77777777" w:rsidR="00E31415" w:rsidRPr="00E31415" w:rsidRDefault="00E31415" w:rsidP="0092019E">
      <w:pPr>
        <w:ind w:left="851"/>
        <w:rPr>
          <w:i/>
          <w:iCs/>
          <w:sz w:val="24"/>
          <w:szCs w:val="24"/>
        </w:rPr>
      </w:pPr>
      <w:r w:rsidRPr="00E31415">
        <w:rPr>
          <w:i/>
          <w:iCs/>
          <w:sz w:val="24"/>
          <w:szCs w:val="24"/>
        </w:rPr>
        <w:t>Administration:</w:t>
      </w:r>
    </w:p>
    <w:p w14:paraId="603845AD" w14:textId="77777777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Hvert brev bør opløses i 125 ml vand. Ved brug til refraktær obstipation kan 8 breve opløses i 1 liter vand.</w:t>
      </w:r>
    </w:p>
    <w:p w14:paraId="69D5DD9B" w14:textId="77777777" w:rsidR="00E31415" w:rsidRPr="00E31415" w:rsidRDefault="00E31415" w:rsidP="0092019E">
      <w:pPr>
        <w:ind w:left="851"/>
        <w:rPr>
          <w:sz w:val="24"/>
          <w:szCs w:val="24"/>
        </w:rPr>
      </w:pPr>
    </w:p>
    <w:p w14:paraId="4CA36264" w14:textId="77777777" w:rsidR="00E31415" w:rsidRPr="00E31415" w:rsidRDefault="00E31415" w:rsidP="0092019E">
      <w:pPr>
        <w:ind w:left="851"/>
        <w:rPr>
          <w:i/>
          <w:iCs/>
          <w:sz w:val="24"/>
          <w:szCs w:val="24"/>
        </w:rPr>
      </w:pPr>
      <w:r w:rsidRPr="00E31415">
        <w:rPr>
          <w:i/>
          <w:iCs/>
          <w:sz w:val="24"/>
          <w:szCs w:val="24"/>
        </w:rPr>
        <w:t>Børn:</w:t>
      </w:r>
    </w:p>
    <w:p w14:paraId="3302836D" w14:textId="77777777" w:rsidR="00E31415" w:rsidRPr="00E31415" w:rsidRDefault="00E31415" w:rsidP="0092019E">
      <w:pPr>
        <w:ind w:left="851"/>
        <w:rPr>
          <w:i/>
          <w:iCs/>
          <w:sz w:val="24"/>
          <w:szCs w:val="24"/>
        </w:rPr>
      </w:pPr>
      <w:r w:rsidRPr="00E31415">
        <w:rPr>
          <w:sz w:val="24"/>
          <w:szCs w:val="24"/>
        </w:rPr>
        <w:t>Bør ikke anvendes hos børn under 12 år, da erfaring med behandling af børn er utilstrækkelig.</w:t>
      </w:r>
    </w:p>
    <w:p w14:paraId="471B7A49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42F2DE5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4.3</w:t>
      </w:r>
      <w:r w:rsidRPr="004206B7">
        <w:rPr>
          <w:b/>
          <w:sz w:val="24"/>
          <w:szCs w:val="24"/>
        </w:rPr>
        <w:tab/>
        <w:t>Kontraindikationer</w:t>
      </w:r>
    </w:p>
    <w:p w14:paraId="7540BD4A" w14:textId="77777777" w:rsidR="00E31415" w:rsidRPr="00E31415" w:rsidRDefault="00E31415" w:rsidP="0092019E">
      <w:pPr>
        <w:ind w:left="851"/>
        <w:rPr>
          <w:sz w:val="24"/>
          <w:szCs w:val="24"/>
        </w:rPr>
      </w:pPr>
      <w:proofErr w:type="spellStart"/>
      <w:r w:rsidRPr="00E31415">
        <w:rPr>
          <w:sz w:val="24"/>
          <w:szCs w:val="24"/>
        </w:rPr>
        <w:t>Intestinal</w:t>
      </w:r>
      <w:proofErr w:type="spellEnd"/>
      <w:r w:rsidRPr="00E31415">
        <w:rPr>
          <w:sz w:val="24"/>
          <w:szCs w:val="24"/>
        </w:rPr>
        <w:t xml:space="preserve"> perforation eller obstruktion forårsaget af strukturelle eller funktionelle forstyrrelse i tarmvæggen, </w:t>
      </w:r>
      <w:proofErr w:type="spellStart"/>
      <w:proofErr w:type="gramStart"/>
      <w:r w:rsidRPr="00E31415">
        <w:rPr>
          <w:sz w:val="24"/>
          <w:szCs w:val="24"/>
        </w:rPr>
        <w:t>ileus,svære</w:t>
      </w:r>
      <w:proofErr w:type="spellEnd"/>
      <w:proofErr w:type="gramEnd"/>
      <w:r w:rsidRPr="00E31415">
        <w:rPr>
          <w:sz w:val="24"/>
          <w:szCs w:val="24"/>
        </w:rPr>
        <w:t xml:space="preserve"> inflammatoriske tarmsygdomme såsom </w:t>
      </w:r>
      <w:proofErr w:type="spellStart"/>
      <w:r w:rsidRPr="00E31415">
        <w:rPr>
          <w:sz w:val="24"/>
          <w:szCs w:val="24"/>
        </w:rPr>
        <w:t>Crohn’s</w:t>
      </w:r>
      <w:proofErr w:type="spellEnd"/>
      <w:r w:rsidRPr="00E31415">
        <w:rPr>
          <w:sz w:val="24"/>
          <w:szCs w:val="24"/>
        </w:rPr>
        <w:t xml:space="preserve"> sygdom </w:t>
      </w:r>
      <w:proofErr w:type="spellStart"/>
      <w:r w:rsidRPr="00E31415">
        <w:rPr>
          <w:sz w:val="24"/>
          <w:szCs w:val="24"/>
        </w:rPr>
        <w:t>ogulcerativ</w:t>
      </w:r>
      <w:proofErr w:type="spellEnd"/>
      <w:r w:rsidRPr="00E31415">
        <w:rPr>
          <w:sz w:val="24"/>
          <w:szCs w:val="24"/>
        </w:rPr>
        <w:t xml:space="preserve"> colitis og toksisk </w:t>
      </w:r>
      <w:proofErr w:type="spellStart"/>
      <w:r w:rsidRPr="00E31415">
        <w:rPr>
          <w:sz w:val="24"/>
          <w:szCs w:val="24"/>
        </w:rPr>
        <w:t>megacolon</w:t>
      </w:r>
      <w:proofErr w:type="spellEnd"/>
      <w:r w:rsidRPr="00E31415">
        <w:rPr>
          <w:sz w:val="24"/>
          <w:szCs w:val="24"/>
        </w:rPr>
        <w:t>.</w:t>
      </w:r>
    </w:p>
    <w:p w14:paraId="4FAAB2D2" w14:textId="77777777" w:rsidR="00E31415" w:rsidRPr="00E31415" w:rsidRDefault="00E31415" w:rsidP="0092019E">
      <w:pPr>
        <w:ind w:left="851"/>
        <w:rPr>
          <w:sz w:val="24"/>
          <w:szCs w:val="24"/>
        </w:rPr>
      </w:pPr>
    </w:p>
    <w:p w14:paraId="629B14B4" w14:textId="77777777" w:rsidR="00E31415" w:rsidRPr="00E31415" w:rsidRDefault="00E31415" w:rsidP="0092019E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Overfølsomhed over for det aktive stoffer eller over for et eller flere af hjælpestofferne anført i pkt. 6.1.</w:t>
      </w:r>
    </w:p>
    <w:p w14:paraId="27C28786" w14:textId="6B320495" w:rsidR="004206B7" w:rsidRDefault="004206B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8E6AA35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CD5F8D8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4.4</w:t>
      </w:r>
      <w:r w:rsidRPr="004206B7">
        <w:rPr>
          <w:b/>
          <w:sz w:val="24"/>
          <w:szCs w:val="24"/>
        </w:rPr>
        <w:tab/>
        <w:t>Særlige advarsler og forsigtighedsregler vedrørende brugen</w:t>
      </w:r>
    </w:p>
    <w:p w14:paraId="400B1C64" w14:textId="77777777" w:rsidR="0092019E" w:rsidRPr="004206B7" w:rsidRDefault="0092019E" w:rsidP="000853AF">
      <w:pPr>
        <w:ind w:left="851"/>
        <w:rPr>
          <w:b/>
          <w:sz w:val="24"/>
          <w:szCs w:val="24"/>
        </w:rPr>
      </w:pPr>
    </w:p>
    <w:p w14:paraId="22E696B4" w14:textId="2116A087" w:rsidR="00E31415" w:rsidRPr="00E31415" w:rsidRDefault="00E31415" w:rsidP="000853AF">
      <w:pPr>
        <w:ind w:left="851"/>
        <w:rPr>
          <w:b/>
          <w:iCs/>
          <w:sz w:val="24"/>
          <w:szCs w:val="24"/>
        </w:rPr>
      </w:pPr>
      <w:r w:rsidRPr="00E31415">
        <w:rPr>
          <w:b/>
          <w:sz w:val="24"/>
          <w:szCs w:val="24"/>
        </w:rPr>
        <w:t xml:space="preserve">Væskeindholdet af </w:t>
      </w:r>
      <w:proofErr w:type="spellStart"/>
      <w:r w:rsidRPr="00E31415">
        <w:rPr>
          <w:b/>
          <w:sz w:val="24"/>
          <w:szCs w:val="24"/>
        </w:rPr>
        <w:t>Tilease</w:t>
      </w:r>
      <w:proofErr w:type="spellEnd"/>
      <w:r w:rsidRPr="00E31415">
        <w:rPr>
          <w:b/>
          <w:sz w:val="24"/>
          <w:szCs w:val="24"/>
        </w:rPr>
        <w:t xml:space="preserve">, når det er </w:t>
      </w:r>
      <w:proofErr w:type="spellStart"/>
      <w:r w:rsidRPr="00E31415">
        <w:rPr>
          <w:b/>
          <w:sz w:val="24"/>
          <w:szCs w:val="24"/>
        </w:rPr>
        <w:t>rekonstitueret</w:t>
      </w:r>
      <w:proofErr w:type="spellEnd"/>
      <w:r w:rsidRPr="00E31415">
        <w:rPr>
          <w:b/>
          <w:sz w:val="24"/>
          <w:szCs w:val="24"/>
        </w:rPr>
        <w:t xml:space="preserve"> med vand, erstatter ikke sædvanligt væskeindtag, og et passende væskeindtag bør opretholdes.</w:t>
      </w:r>
    </w:p>
    <w:p w14:paraId="033049BE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6E89A309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Årsagen til obstipation bør undersøges, hvis daglig brug af afføringsmidler er nødvendigt.</w:t>
      </w:r>
    </w:p>
    <w:p w14:paraId="31408623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1366AC7B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Diagnosen refraktær obstipation bør bekræftes ved klinisk eller radiologisk undersøgelse af abdomen og </w:t>
      </w:r>
      <w:proofErr w:type="spellStart"/>
      <w:r w:rsidRPr="00E31415">
        <w:rPr>
          <w:sz w:val="24"/>
          <w:szCs w:val="24"/>
        </w:rPr>
        <w:t>rectum</w:t>
      </w:r>
      <w:proofErr w:type="spellEnd"/>
      <w:r w:rsidRPr="00E31415">
        <w:rPr>
          <w:sz w:val="24"/>
          <w:szCs w:val="24"/>
        </w:rPr>
        <w:t xml:space="preserve">. </w:t>
      </w:r>
    </w:p>
    <w:p w14:paraId="64F3B443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7457566A" w14:textId="76404111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Milde bivirkninger er mulige som angivet under pkt</w:t>
      </w:r>
      <w:r w:rsidR="000853AF" w:rsidRPr="004206B7">
        <w:rPr>
          <w:sz w:val="24"/>
          <w:szCs w:val="24"/>
        </w:rPr>
        <w:t xml:space="preserve">. </w:t>
      </w:r>
      <w:r w:rsidRPr="00E31415">
        <w:rPr>
          <w:sz w:val="24"/>
          <w:szCs w:val="24"/>
        </w:rPr>
        <w:t xml:space="preserve">4.8. I tilfælde af diarré bør der udvises forsigtighed, især hos patienter med høj risiko for forstyrrelser af væske- </w:t>
      </w:r>
      <w:proofErr w:type="spellStart"/>
      <w:r w:rsidRPr="00E31415">
        <w:rPr>
          <w:sz w:val="24"/>
          <w:szCs w:val="24"/>
        </w:rPr>
        <w:t>ogelektrolytbalancen</w:t>
      </w:r>
      <w:proofErr w:type="spellEnd"/>
      <w:r w:rsidRPr="00E31415">
        <w:rPr>
          <w:sz w:val="24"/>
          <w:szCs w:val="24"/>
        </w:rPr>
        <w:t xml:space="preserve"> (f.eks. ældre personer, patienter med nedsat lever- eller nyrefunktion eller patienter, der tager </w:t>
      </w:r>
      <w:proofErr w:type="spellStart"/>
      <w:r w:rsidRPr="00E31415">
        <w:rPr>
          <w:sz w:val="24"/>
          <w:szCs w:val="24"/>
        </w:rPr>
        <w:t>diuretika</w:t>
      </w:r>
      <w:proofErr w:type="spellEnd"/>
      <w:r w:rsidRPr="00E31415">
        <w:rPr>
          <w:sz w:val="24"/>
          <w:szCs w:val="24"/>
        </w:rPr>
        <w:t>), og elektrolytkontrol bør overvejes.</w:t>
      </w:r>
    </w:p>
    <w:p w14:paraId="559B05CF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373AC638" w14:textId="441CAA9D" w:rsidR="00E31415" w:rsidRPr="00E31415" w:rsidRDefault="00E31415" w:rsidP="000853AF">
      <w:pPr>
        <w:ind w:left="851"/>
        <w:rPr>
          <w:iCs/>
          <w:sz w:val="24"/>
          <w:szCs w:val="24"/>
        </w:rPr>
      </w:pPr>
      <w:r w:rsidRPr="00E31415">
        <w:rPr>
          <w:sz w:val="24"/>
          <w:szCs w:val="24"/>
        </w:rPr>
        <w:t>Hvis patienterne udvikler nogen symptomer, der tyder på ændringer i væske-/elektrolyt</w:t>
      </w:r>
      <w:r w:rsidR="004206B7">
        <w:rPr>
          <w:sz w:val="24"/>
          <w:szCs w:val="24"/>
        </w:rPr>
        <w:softHyphen/>
      </w:r>
      <w:r w:rsidRPr="00E31415">
        <w:rPr>
          <w:sz w:val="24"/>
          <w:szCs w:val="24"/>
        </w:rPr>
        <w:t xml:space="preserve">balance (f.eks. ødemer, åndenød, øget træthed, dehydrering og hjertesvigt), skal behandling med </w:t>
      </w:r>
      <w:proofErr w:type="spellStart"/>
      <w:r w:rsidRPr="00E31415">
        <w:rPr>
          <w:sz w:val="24"/>
          <w:szCs w:val="24"/>
        </w:rPr>
        <w:t>Tilease</w:t>
      </w:r>
      <w:proofErr w:type="spellEnd"/>
      <w:r w:rsidRPr="00E31415">
        <w:rPr>
          <w:sz w:val="24"/>
          <w:szCs w:val="24"/>
        </w:rPr>
        <w:t xml:space="preserve"> stoppes omgående, elektrolytter måles, og enhver </w:t>
      </w:r>
      <w:proofErr w:type="spellStart"/>
      <w:r w:rsidRPr="00E31415">
        <w:rPr>
          <w:sz w:val="24"/>
          <w:szCs w:val="24"/>
        </w:rPr>
        <w:t>anomalitet</w:t>
      </w:r>
      <w:proofErr w:type="spellEnd"/>
      <w:r w:rsidRPr="00E31415">
        <w:rPr>
          <w:sz w:val="24"/>
          <w:szCs w:val="24"/>
        </w:rPr>
        <w:t xml:space="preserve"> bør behandles på passende vis.</w:t>
      </w:r>
    </w:p>
    <w:p w14:paraId="64D31B06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11C0965D" w14:textId="48E77BE3" w:rsidR="00E31415" w:rsidRPr="00E31415" w:rsidRDefault="00E31415" w:rsidP="000853AF">
      <w:pPr>
        <w:ind w:left="851"/>
        <w:rPr>
          <w:iCs/>
          <w:sz w:val="24"/>
          <w:szCs w:val="24"/>
        </w:rPr>
      </w:pPr>
      <w:r w:rsidRPr="00E31415">
        <w:rPr>
          <w:sz w:val="24"/>
          <w:szCs w:val="24"/>
        </w:rPr>
        <w:t xml:space="preserve">Absorptionen af andre lægemidler kan være reduceret på grund af øget transittid gennem mave-tarm-kanalen forårsaget af </w:t>
      </w:r>
      <w:proofErr w:type="spellStart"/>
      <w:r w:rsidRPr="00E31415">
        <w:rPr>
          <w:sz w:val="24"/>
          <w:szCs w:val="24"/>
        </w:rPr>
        <w:t>Tilease</w:t>
      </w:r>
      <w:proofErr w:type="spellEnd"/>
      <w:r w:rsidRPr="00E31415">
        <w:rPr>
          <w:sz w:val="24"/>
          <w:szCs w:val="24"/>
        </w:rPr>
        <w:t xml:space="preserve"> (se pkt</w:t>
      </w:r>
      <w:r w:rsidR="000853AF" w:rsidRPr="004206B7">
        <w:rPr>
          <w:sz w:val="24"/>
          <w:szCs w:val="24"/>
        </w:rPr>
        <w:t xml:space="preserve">. </w:t>
      </w:r>
      <w:r w:rsidRPr="00E31415">
        <w:rPr>
          <w:sz w:val="24"/>
          <w:szCs w:val="24"/>
        </w:rPr>
        <w:t>4.5).</w:t>
      </w:r>
    </w:p>
    <w:p w14:paraId="245537D1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744B1215" w14:textId="77777777" w:rsidR="00E31415" w:rsidRPr="00E31415" w:rsidRDefault="00E31415" w:rsidP="000853AF">
      <w:pPr>
        <w:ind w:left="851"/>
        <w:rPr>
          <w:sz w:val="24"/>
          <w:szCs w:val="24"/>
          <w:u w:val="single"/>
        </w:rPr>
      </w:pPr>
      <w:r w:rsidRPr="00E31415">
        <w:rPr>
          <w:sz w:val="24"/>
          <w:szCs w:val="24"/>
          <w:u w:val="single"/>
        </w:rPr>
        <w:t>Iskæmisk colitis</w:t>
      </w:r>
    </w:p>
    <w:p w14:paraId="7F01A291" w14:textId="77777777" w:rsidR="00E31415" w:rsidRPr="00E31415" w:rsidRDefault="00E31415" w:rsidP="000853AF">
      <w:pPr>
        <w:ind w:left="851"/>
        <w:rPr>
          <w:iCs/>
          <w:sz w:val="24"/>
          <w:szCs w:val="24"/>
        </w:rPr>
      </w:pPr>
      <w:r w:rsidRPr="00E31415">
        <w:rPr>
          <w:sz w:val="24"/>
          <w:szCs w:val="24"/>
        </w:rPr>
        <w:t xml:space="preserve">Tilfælde af iskæmisk colitis, herunder alvorlige tilfælde, er efter markedsføring rapporteret hos patienter, der er blevet behandlet med </w:t>
      </w: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 xml:space="preserve"> til tømning af tarmen. </w:t>
      </w: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 xml:space="preserve"> bør anvendes med forsigtighed hos patienter med kendte risikofaktorer for iskæmisk colitis eller i tilfælde af samtidig anvendelse af stimulerende </w:t>
      </w:r>
      <w:proofErr w:type="spellStart"/>
      <w:r w:rsidRPr="00E31415">
        <w:rPr>
          <w:sz w:val="24"/>
          <w:szCs w:val="24"/>
        </w:rPr>
        <w:t>laksantia</w:t>
      </w:r>
      <w:proofErr w:type="spellEnd"/>
      <w:r w:rsidRPr="00E31415">
        <w:rPr>
          <w:sz w:val="24"/>
          <w:szCs w:val="24"/>
        </w:rPr>
        <w:t xml:space="preserve"> (f.eks. </w:t>
      </w:r>
      <w:proofErr w:type="spellStart"/>
      <w:r w:rsidRPr="00E31415">
        <w:rPr>
          <w:sz w:val="24"/>
          <w:szCs w:val="24"/>
        </w:rPr>
        <w:t>bisacodyl</w:t>
      </w:r>
      <w:proofErr w:type="spellEnd"/>
      <w:r w:rsidRPr="00E31415">
        <w:rPr>
          <w:sz w:val="24"/>
          <w:szCs w:val="24"/>
        </w:rPr>
        <w:t xml:space="preserve"> eller </w:t>
      </w:r>
      <w:proofErr w:type="spellStart"/>
      <w:r w:rsidRPr="00E31415">
        <w:rPr>
          <w:sz w:val="24"/>
          <w:szCs w:val="24"/>
        </w:rPr>
        <w:t>natriumpicosulfat</w:t>
      </w:r>
      <w:proofErr w:type="spellEnd"/>
      <w:r w:rsidRPr="00E31415">
        <w:rPr>
          <w:sz w:val="24"/>
          <w:szCs w:val="24"/>
        </w:rPr>
        <w:t>). Patienter med pludselige mavesmerter, endetarmsblødning eller andre symptomer på iskæmisk colitis bør undersøges omgående.</w:t>
      </w:r>
    </w:p>
    <w:p w14:paraId="7CC68717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67396547" w14:textId="77777777" w:rsidR="00E31415" w:rsidRPr="00E31415" w:rsidRDefault="00E31415" w:rsidP="000853AF">
      <w:pPr>
        <w:ind w:left="851"/>
        <w:rPr>
          <w:sz w:val="24"/>
          <w:szCs w:val="24"/>
          <w:u w:val="single"/>
        </w:rPr>
      </w:pPr>
      <w:r w:rsidRPr="00E31415">
        <w:rPr>
          <w:sz w:val="24"/>
          <w:szCs w:val="24"/>
          <w:u w:val="single"/>
        </w:rPr>
        <w:t>Krampeanfald</w:t>
      </w:r>
    </w:p>
    <w:p w14:paraId="1FEF529A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Der blev observeret tilfælde af krampeanfald forbundet med brug af </w:t>
      </w: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 xml:space="preserve"> 3350 med elektrolytter til tarmtømning hos patienter både med eller uden tidligere krampeanfald. Disse tilfælde var primært forbundet med elektrolytforstyrrelser såsom svær </w:t>
      </w:r>
      <w:proofErr w:type="spellStart"/>
      <w:r w:rsidRPr="00E31415">
        <w:rPr>
          <w:sz w:val="24"/>
          <w:szCs w:val="24"/>
        </w:rPr>
        <w:t>hyponatriæmi</w:t>
      </w:r>
      <w:proofErr w:type="spellEnd"/>
      <w:r w:rsidRPr="00E31415">
        <w:rPr>
          <w:sz w:val="24"/>
          <w:szCs w:val="24"/>
        </w:rPr>
        <w:t xml:space="preserve"> (se pkt. 4.8). Udvis forsigtighed ved udskrivning af </w:t>
      </w: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 xml:space="preserve"> 3350 med elektrolytter hos patienter med tidligere krampeanfald, patienter med øget risiko for krampeanfald eller patienter med risiko for elektrolytforstyrrelser. I tilfælde af neurologiske symptomer bør væske- og elektrolytforstyrrelser korrigeres.</w:t>
      </w:r>
    </w:p>
    <w:p w14:paraId="3B409073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36F24F97" w14:textId="77777777" w:rsidR="00E31415" w:rsidRPr="00E31415" w:rsidRDefault="00E31415" w:rsidP="000853AF">
      <w:pPr>
        <w:ind w:left="851"/>
        <w:rPr>
          <w:sz w:val="24"/>
          <w:szCs w:val="24"/>
          <w:u w:val="single"/>
        </w:rPr>
      </w:pPr>
      <w:proofErr w:type="spellStart"/>
      <w:r w:rsidRPr="00E31415">
        <w:rPr>
          <w:sz w:val="24"/>
          <w:szCs w:val="24"/>
          <w:u w:val="single"/>
        </w:rPr>
        <w:t>Øsofageal</w:t>
      </w:r>
      <w:proofErr w:type="spellEnd"/>
      <w:r w:rsidRPr="00E31415">
        <w:rPr>
          <w:sz w:val="24"/>
          <w:szCs w:val="24"/>
          <w:u w:val="single"/>
        </w:rPr>
        <w:t xml:space="preserve"> ruptur</w:t>
      </w:r>
    </w:p>
    <w:p w14:paraId="39248035" w14:textId="20B39084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Der er efter markedsføring rapporteret om tilfælde af </w:t>
      </w:r>
      <w:proofErr w:type="spellStart"/>
      <w:r w:rsidRPr="00E31415">
        <w:rPr>
          <w:sz w:val="24"/>
          <w:szCs w:val="24"/>
        </w:rPr>
        <w:t>øsofageal</w:t>
      </w:r>
      <w:proofErr w:type="spellEnd"/>
      <w:r w:rsidRPr="00E31415">
        <w:rPr>
          <w:sz w:val="24"/>
          <w:szCs w:val="24"/>
        </w:rPr>
        <w:t xml:space="preserve"> ruptur (</w:t>
      </w:r>
      <w:proofErr w:type="spellStart"/>
      <w:r w:rsidRPr="00E31415">
        <w:rPr>
          <w:sz w:val="24"/>
          <w:szCs w:val="24"/>
        </w:rPr>
        <w:t>Boerhaaves</w:t>
      </w:r>
      <w:proofErr w:type="spellEnd"/>
      <w:r w:rsidRPr="00E31415">
        <w:rPr>
          <w:sz w:val="24"/>
          <w:szCs w:val="24"/>
        </w:rPr>
        <w:t xml:space="preserve"> syndrom) forbundet med kraftig opkastning efter indtagelse (se pkt. 4.8) af </w:t>
      </w: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> 3350 med elektrolytter til tarmtømning, primært hos ældre patienter. Patienterne bør rådes til at stoppe indtagelsen og søge øjeblikkelig lægehjælp, hvis de oplever ukontrollerbar opkastning og efterfølgende bryst-, hals- og mavesmerter, synkebesvær, blodigt opkast eller åndenød.</w:t>
      </w:r>
    </w:p>
    <w:p w14:paraId="485739C9" w14:textId="1ACA3084" w:rsidR="004206B7" w:rsidRDefault="004206B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B3E582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5550A744" w14:textId="77777777" w:rsidR="00E31415" w:rsidRPr="00E31415" w:rsidRDefault="00E31415" w:rsidP="000853AF">
      <w:pPr>
        <w:ind w:left="851"/>
        <w:rPr>
          <w:sz w:val="24"/>
          <w:szCs w:val="24"/>
          <w:u w:val="single"/>
        </w:rPr>
      </w:pPr>
      <w:r w:rsidRPr="00E31415">
        <w:rPr>
          <w:sz w:val="24"/>
          <w:szCs w:val="24"/>
          <w:u w:val="single"/>
        </w:rPr>
        <w:t>Natrium</w:t>
      </w:r>
    </w:p>
    <w:p w14:paraId="7D78143A" w14:textId="23BBE2BC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Dette lægemiddel indeholder 186,87 mg natrium pr. brev, svarende til 9,3 % af den WHO-anbefalede maksimale daglige indtagelse af 2 g natrium for en voksen. Ved langvarig brug mod obstipation svarer den maksimale daglige dosis af dette lægemiddel til 28 % af den WHO-anbefalede maksimale daglige indtagelse af natrium. </w:t>
      </w:r>
      <w:proofErr w:type="spellStart"/>
      <w:r w:rsidRPr="00E31415">
        <w:rPr>
          <w:sz w:val="24"/>
          <w:szCs w:val="24"/>
        </w:rPr>
        <w:t>Tilease</w:t>
      </w:r>
      <w:proofErr w:type="spellEnd"/>
      <w:r w:rsidRPr="00E31415">
        <w:rPr>
          <w:sz w:val="24"/>
          <w:szCs w:val="24"/>
        </w:rPr>
        <w:t xml:space="preserve"> anses for at have et højt indhold af natrium. </w:t>
      </w:r>
    </w:p>
    <w:p w14:paraId="02ACEF0F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Dette skal især tages i betragtning hos patienter, der er på natrium- eller saltfattig diæt</w:t>
      </w:r>
    </w:p>
    <w:p w14:paraId="3F5BBAD6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3D1B79EA" w14:textId="77777777" w:rsidR="00E31415" w:rsidRPr="00E31415" w:rsidRDefault="00E31415" w:rsidP="000853AF">
      <w:pPr>
        <w:ind w:left="851"/>
        <w:rPr>
          <w:sz w:val="24"/>
          <w:szCs w:val="24"/>
          <w:u w:val="single"/>
        </w:rPr>
      </w:pPr>
      <w:proofErr w:type="spellStart"/>
      <w:r w:rsidRPr="00E31415">
        <w:rPr>
          <w:sz w:val="24"/>
          <w:szCs w:val="24"/>
          <w:u w:val="single"/>
        </w:rPr>
        <w:t>Glucose</w:t>
      </w:r>
      <w:proofErr w:type="spellEnd"/>
    </w:p>
    <w:p w14:paraId="6220CC24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Dette lægemiddel indeholder 63 mg </w:t>
      </w:r>
      <w:proofErr w:type="spellStart"/>
      <w:r w:rsidRPr="00E31415">
        <w:rPr>
          <w:sz w:val="24"/>
          <w:szCs w:val="24"/>
        </w:rPr>
        <w:t>maltodextrin</w:t>
      </w:r>
      <w:proofErr w:type="spellEnd"/>
      <w:r w:rsidRPr="00E31415">
        <w:rPr>
          <w:sz w:val="24"/>
          <w:szCs w:val="24"/>
        </w:rPr>
        <w:t xml:space="preserve"> (som indeholder </w:t>
      </w:r>
      <w:proofErr w:type="spellStart"/>
      <w:r w:rsidRPr="00E31415">
        <w:rPr>
          <w:sz w:val="24"/>
          <w:szCs w:val="24"/>
        </w:rPr>
        <w:t>glucose</w:t>
      </w:r>
      <w:proofErr w:type="spellEnd"/>
      <w:r w:rsidRPr="00E31415">
        <w:rPr>
          <w:sz w:val="24"/>
          <w:szCs w:val="24"/>
        </w:rPr>
        <w:t>).</w:t>
      </w:r>
    </w:p>
    <w:p w14:paraId="1F445B85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Bør ikke anvendes til patienter med </w:t>
      </w:r>
      <w:proofErr w:type="spellStart"/>
      <w:r w:rsidRPr="00E31415">
        <w:rPr>
          <w:sz w:val="24"/>
          <w:szCs w:val="24"/>
        </w:rPr>
        <w:t>glucose</w:t>
      </w:r>
      <w:proofErr w:type="spellEnd"/>
      <w:r w:rsidRPr="00E31415">
        <w:rPr>
          <w:sz w:val="24"/>
          <w:szCs w:val="24"/>
        </w:rPr>
        <w:t>/</w:t>
      </w:r>
      <w:proofErr w:type="spellStart"/>
      <w:r w:rsidRPr="00E31415">
        <w:rPr>
          <w:sz w:val="24"/>
          <w:szCs w:val="24"/>
        </w:rPr>
        <w:t>galactosemalabsorption</w:t>
      </w:r>
      <w:proofErr w:type="spellEnd"/>
      <w:r w:rsidRPr="00E31415">
        <w:rPr>
          <w:sz w:val="24"/>
          <w:szCs w:val="24"/>
        </w:rPr>
        <w:t>.</w:t>
      </w:r>
    </w:p>
    <w:p w14:paraId="1C77BA03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3827BD83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Hos patienter med synkebesvær, der har behov for et fortykningsmiddel til opløsninger for at sikre et passende indtag, bør interaktioner overvejes .se pkt.  4.5.</w:t>
      </w:r>
    </w:p>
    <w:p w14:paraId="25CDEE5C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83E113E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4.5</w:t>
      </w:r>
      <w:r w:rsidRPr="004206B7">
        <w:rPr>
          <w:b/>
          <w:sz w:val="24"/>
          <w:szCs w:val="24"/>
        </w:rPr>
        <w:tab/>
        <w:t>Interaktion med andre lægemidler og andre former for interaktion</w:t>
      </w:r>
    </w:p>
    <w:p w14:paraId="622C4C2D" w14:textId="152593D0" w:rsidR="00E31415" w:rsidRPr="00E31415" w:rsidRDefault="00E31415" w:rsidP="000853AF">
      <w:pPr>
        <w:ind w:left="851"/>
        <w:rPr>
          <w:iCs/>
          <w:sz w:val="24"/>
          <w:szCs w:val="24"/>
        </w:rPr>
      </w:pPr>
      <w:r w:rsidRPr="00E31415">
        <w:rPr>
          <w:sz w:val="24"/>
          <w:szCs w:val="24"/>
        </w:rPr>
        <w:t xml:space="preserve">Det er muligt at absorptionen af andre lægemidler kan være reduceret ved anvendelse af </w:t>
      </w:r>
      <w:proofErr w:type="spellStart"/>
      <w:r w:rsidRPr="00E31415">
        <w:rPr>
          <w:sz w:val="24"/>
          <w:szCs w:val="24"/>
        </w:rPr>
        <w:t>Tilease</w:t>
      </w:r>
      <w:proofErr w:type="spellEnd"/>
      <w:r w:rsidRPr="00E31415">
        <w:rPr>
          <w:sz w:val="24"/>
          <w:szCs w:val="24"/>
        </w:rPr>
        <w:t xml:space="preserve"> (se pkt</w:t>
      </w:r>
      <w:r w:rsidR="000853AF" w:rsidRPr="004206B7">
        <w:rPr>
          <w:sz w:val="24"/>
          <w:szCs w:val="24"/>
        </w:rPr>
        <w:t xml:space="preserve">. </w:t>
      </w:r>
      <w:r w:rsidRPr="00E31415">
        <w:rPr>
          <w:sz w:val="24"/>
          <w:szCs w:val="24"/>
        </w:rPr>
        <w:t xml:space="preserve">4.4). Der har været enkeltstående rapporter med nedsat effekt af samtidigt indgivne lægemidler, f.eks. </w:t>
      </w:r>
      <w:proofErr w:type="spellStart"/>
      <w:r w:rsidRPr="00E31415">
        <w:rPr>
          <w:sz w:val="24"/>
          <w:szCs w:val="24"/>
        </w:rPr>
        <w:t>antiepileptika</w:t>
      </w:r>
      <w:proofErr w:type="spellEnd"/>
      <w:r w:rsidRPr="00E31415">
        <w:rPr>
          <w:sz w:val="24"/>
          <w:szCs w:val="24"/>
        </w:rPr>
        <w:t xml:space="preserve">. Derfor bør andre lægemidler ikke indtages oralt en time før, under eller en time efter indtagelse af </w:t>
      </w:r>
      <w:proofErr w:type="spellStart"/>
      <w:r w:rsidRPr="00E31415">
        <w:rPr>
          <w:sz w:val="24"/>
          <w:szCs w:val="24"/>
        </w:rPr>
        <w:t>Tilease</w:t>
      </w:r>
      <w:proofErr w:type="spellEnd"/>
      <w:r w:rsidRPr="00E31415">
        <w:rPr>
          <w:sz w:val="24"/>
          <w:szCs w:val="24"/>
        </w:rPr>
        <w:t>.</w:t>
      </w:r>
    </w:p>
    <w:p w14:paraId="58734C03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5A37FDFC" w14:textId="77777777" w:rsidR="00E31415" w:rsidRPr="00E31415" w:rsidRDefault="00E31415" w:rsidP="000853AF">
      <w:pPr>
        <w:ind w:left="851"/>
        <w:rPr>
          <w:iCs/>
          <w:sz w:val="24"/>
          <w:szCs w:val="24"/>
        </w:rPr>
      </w:pPr>
      <w:proofErr w:type="spellStart"/>
      <w:r w:rsidRPr="00E31415">
        <w:rPr>
          <w:iCs/>
          <w:sz w:val="24"/>
          <w:szCs w:val="24"/>
        </w:rPr>
        <w:t>Tilease</w:t>
      </w:r>
      <w:proofErr w:type="spellEnd"/>
      <w:r w:rsidRPr="00E31415">
        <w:rPr>
          <w:iCs/>
          <w:sz w:val="24"/>
          <w:szCs w:val="24"/>
        </w:rPr>
        <w:t xml:space="preserve"> kan muligvis forårsage en interaktiv effekt, når det bruges sammen med stivelsesbaserede fortykningsmidler beregnet til flydende mad og drikkelse. Den aktive ingrediens </w:t>
      </w:r>
      <w:proofErr w:type="spellStart"/>
      <w:r w:rsidRPr="00E31415">
        <w:rPr>
          <w:iCs/>
          <w:sz w:val="24"/>
          <w:szCs w:val="24"/>
        </w:rPr>
        <w:t>macrogol</w:t>
      </w:r>
      <w:proofErr w:type="spellEnd"/>
      <w:r w:rsidRPr="00E31415">
        <w:rPr>
          <w:iCs/>
          <w:sz w:val="24"/>
          <w:szCs w:val="24"/>
        </w:rPr>
        <w:t xml:space="preserve"> 3350 modvirker stivelsens fortykkende effekt og bevirker dermed at opløsninger, der skal forblive tyktflydende for personer med synkebesvær, bliver tyndtflydende.</w:t>
      </w:r>
    </w:p>
    <w:p w14:paraId="17CB972E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8738C36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4.6</w:t>
      </w:r>
      <w:r w:rsidRPr="004206B7">
        <w:rPr>
          <w:b/>
          <w:sz w:val="24"/>
          <w:szCs w:val="24"/>
        </w:rPr>
        <w:tab/>
      </w:r>
      <w:r w:rsidR="0071241E" w:rsidRPr="004206B7">
        <w:rPr>
          <w:b/>
          <w:sz w:val="24"/>
          <w:szCs w:val="24"/>
        </w:rPr>
        <w:t>Fertilitet, g</w:t>
      </w:r>
      <w:r w:rsidRPr="004206B7">
        <w:rPr>
          <w:b/>
          <w:sz w:val="24"/>
          <w:szCs w:val="24"/>
        </w:rPr>
        <w:t>raviditet og amning</w:t>
      </w:r>
    </w:p>
    <w:p w14:paraId="029E399E" w14:textId="77777777" w:rsidR="000853AF" w:rsidRPr="004206B7" w:rsidRDefault="000853AF" w:rsidP="000853AF">
      <w:pPr>
        <w:ind w:left="851"/>
        <w:rPr>
          <w:sz w:val="24"/>
          <w:szCs w:val="24"/>
          <w:u w:val="single"/>
        </w:rPr>
      </w:pPr>
    </w:p>
    <w:p w14:paraId="7DF23F22" w14:textId="5DA44955" w:rsidR="00E31415" w:rsidRPr="00E31415" w:rsidRDefault="00E31415" w:rsidP="000853AF">
      <w:pPr>
        <w:ind w:left="851"/>
        <w:rPr>
          <w:sz w:val="24"/>
          <w:szCs w:val="24"/>
          <w:u w:val="single"/>
        </w:rPr>
      </w:pPr>
      <w:r w:rsidRPr="00E31415">
        <w:rPr>
          <w:sz w:val="24"/>
          <w:szCs w:val="24"/>
          <w:u w:val="single"/>
        </w:rPr>
        <w:t>Graviditet</w:t>
      </w:r>
    </w:p>
    <w:p w14:paraId="516D01C6" w14:textId="77777777" w:rsidR="00E31415" w:rsidRPr="00E31415" w:rsidRDefault="00E31415" w:rsidP="000853AF">
      <w:pPr>
        <w:ind w:left="851"/>
        <w:rPr>
          <w:iCs/>
          <w:sz w:val="24"/>
          <w:szCs w:val="24"/>
        </w:rPr>
      </w:pPr>
      <w:r w:rsidRPr="00E31415">
        <w:rPr>
          <w:sz w:val="24"/>
          <w:szCs w:val="24"/>
        </w:rPr>
        <w:t xml:space="preserve">Der er begrænset erfaring med anvendelse af </w:t>
      </w: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 xml:space="preserve"> 3350 under graviditet. Studier i dyr har vist indirekte reproduktionstoksicitet (se pkt. 5.3). Klinisk forventes der ingen virkninger under graviditet, da den systemiske eksponering for </w:t>
      </w: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 xml:space="preserve"> 3350 er ubetydelig. </w:t>
      </w:r>
      <w:proofErr w:type="spellStart"/>
      <w:r w:rsidRPr="00E31415">
        <w:rPr>
          <w:iCs/>
          <w:sz w:val="24"/>
          <w:szCs w:val="24"/>
        </w:rPr>
        <w:t>Tilease</w:t>
      </w:r>
      <w:proofErr w:type="spellEnd"/>
      <w:r w:rsidRPr="00E31415">
        <w:rPr>
          <w:iCs/>
          <w:sz w:val="24"/>
          <w:szCs w:val="24"/>
        </w:rPr>
        <w:t xml:space="preserve"> kan anvendes af gravide kvinder.</w:t>
      </w:r>
    </w:p>
    <w:p w14:paraId="5DE9DDAC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6FE9FA08" w14:textId="77777777" w:rsidR="00E31415" w:rsidRPr="00E31415" w:rsidRDefault="00E31415" w:rsidP="000853AF">
      <w:pPr>
        <w:ind w:left="851"/>
        <w:rPr>
          <w:sz w:val="24"/>
          <w:szCs w:val="24"/>
          <w:u w:val="single"/>
        </w:rPr>
      </w:pPr>
      <w:r w:rsidRPr="00E31415">
        <w:rPr>
          <w:sz w:val="24"/>
          <w:szCs w:val="24"/>
          <w:u w:val="single"/>
        </w:rPr>
        <w:t>Amning</w:t>
      </w:r>
    </w:p>
    <w:p w14:paraId="7E29E9FB" w14:textId="77777777" w:rsidR="00E31415" w:rsidRPr="00E31415" w:rsidRDefault="00E31415" w:rsidP="000853AF">
      <w:pPr>
        <w:ind w:left="851"/>
        <w:rPr>
          <w:iCs/>
          <w:sz w:val="24"/>
          <w:szCs w:val="24"/>
        </w:rPr>
      </w:pPr>
      <w:r w:rsidRPr="00E31415">
        <w:rPr>
          <w:sz w:val="24"/>
          <w:szCs w:val="24"/>
        </w:rPr>
        <w:t xml:space="preserve">Der forventes ingen effekt på ammende nyfødte børn/spædbørn, da den systemiske eksponering for </w:t>
      </w: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 xml:space="preserve"> 3350 hos den ammende kvinde er ubetydelig. </w:t>
      </w:r>
      <w:proofErr w:type="spellStart"/>
      <w:r w:rsidRPr="00E31415">
        <w:rPr>
          <w:iCs/>
          <w:sz w:val="24"/>
          <w:szCs w:val="24"/>
        </w:rPr>
        <w:t>Tilease</w:t>
      </w:r>
      <w:proofErr w:type="spellEnd"/>
      <w:r w:rsidRPr="00E31415">
        <w:rPr>
          <w:iCs/>
          <w:sz w:val="24"/>
          <w:szCs w:val="24"/>
        </w:rPr>
        <w:t xml:space="preserve"> kan bruges i forbindelse med amning.</w:t>
      </w:r>
    </w:p>
    <w:p w14:paraId="290243BD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56ED5F62" w14:textId="77777777" w:rsidR="00E31415" w:rsidRPr="00E31415" w:rsidRDefault="00E31415" w:rsidP="000853AF">
      <w:pPr>
        <w:ind w:left="851"/>
        <w:rPr>
          <w:sz w:val="24"/>
          <w:szCs w:val="24"/>
          <w:u w:val="single"/>
        </w:rPr>
      </w:pPr>
      <w:r w:rsidRPr="00E31415">
        <w:rPr>
          <w:sz w:val="24"/>
          <w:szCs w:val="24"/>
          <w:u w:val="single"/>
        </w:rPr>
        <w:t>Fertilitet</w:t>
      </w:r>
    </w:p>
    <w:p w14:paraId="6B711581" w14:textId="77777777" w:rsidR="00E31415" w:rsidRPr="00E31415" w:rsidRDefault="00E31415" w:rsidP="000853AF">
      <w:pPr>
        <w:ind w:left="851"/>
        <w:rPr>
          <w:iCs/>
          <w:sz w:val="24"/>
          <w:szCs w:val="24"/>
        </w:rPr>
      </w:pPr>
      <w:r w:rsidRPr="00E31415">
        <w:rPr>
          <w:sz w:val="24"/>
          <w:szCs w:val="24"/>
        </w:rPr>
        <w:t xml:space="preserve">Der findes ikke kliniske data om effekten af </w:t>
      </w:r>
      <w:proofErr w:type="spellStart"/>
      <w:r w:rsidRPr="00E31415">
        <w:rPr>
          <w:sz w:val="24"/>
          <w:szCs w:val="24"/>
        </w:rPr>
        <w:t>Tilease</w:t>
      </w:r>
      <w:proofErr w:type="spellEnd"/>
      <w:r w:rsidRPr="00E31415">
        <w:rPr>
          <w:sz w:val="24"/>
          <w:szCs w:val="24"/>
        </w:rPr>
        <w:t xml:space="preserve"> på fertiliteten. Der var ingen indvirkning på fertiliteten i studier med han- og hunrotter. (se pkt. 5.3)</w:t>
      </w:r>
    </w:p>
    <w:p w14:paraId="6532950A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08C9F43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4.7</w:t>
      </w:r>
      <w:r w:rsidRPr="004206B7">
        <w:rPr>
          <w:b/>
          <w:sz w:val="24"/>
          <w:szCs w:val="24"/>
        </w:rPr>
        <w:tab/>
        <w:t xml:space="preserve">Virkning på evnen til at føre motorkøretøj </w:t>
      </w:r>
      <w:r w:rsidR="0071241E" w:rsidRPr="004206B7">
        <w:rPr>
          <w:b/>
          <w:sz w:val="24"/>
          <w:szCs w:val="24"/>
        </w:rPr>
        <w:t>og</w:t>
      </w:r>
      <w:r w:rsidRPr="004206B7">
        <w:rPr>
          <w:b/>
          <w:sz w:val="24"/>
          <w:szCs w:val="24"/>
        </w:rPr>
        <w:t xml:space="preserve"> betjene maskiner</w:t>
      </w:r>
    </w:p>
    <w:p w14:paraId="22810700" w14:textId="77777777" w:rsidR="000853AF" w:rsidRPr="004206B7" w:rsidRDefault="000853AF" w:rsidP="000853AF">
      <w:pPr>
        <w:ind w:left="851"/>
        <w:rPr>
          <w:iCs/>
          <w:sz w:val="24"/>
          <w:szCs w:val="24"/>
        </w:rPr>
      </w:pPr>
      <w:r w:rsidRPr="004206B7">
        <w:rPr>
          <w:iCs/>
          <w:sz w:val="24"/>
          <w:szCs w:val="24"/>
        </w:rPr>
        <w:t>Ikke mærkning.</w:t>
      </w:r>
    </w:p>
    <w:p w14:paraId="6B4E8477" w14:textId="5CD2EAA8" w:rsidR="00E31415" w:rsidRPr="00E31415" w:rsidRDefault="00E31415" w:rsidP="000853AF">
      <w:pPr>
        <w:ind w:left="851"/>
        <w:rPr>
          <w:iCs/>
          <w:sz w:val="24"/>
          <w:szCs w:val="24"/>
        </w:rPr>
      </w:pPr>
      <w:proofErr w:type="spellStart"/>
      <w:r w:rsidRPr="00E31415">
        <w:rPr>
          <w:iCs/>
          <w:sz w:val="24"/>
          <w:szCs w:val="24"/>
        </w:rPr>
        <w:t>Tilease</w:t>
      </w:r>
      <w:proofErr w:type="spellEnd"/>
      <w:r w:rsidRPr="00E31415">
        <w:rPr>
          <w:iCs/>
          <w:sz w:val="24"/>
          <w:szCs w:val="24"/>
        </w:rPr>
        <w:t xml:space="preserve"> påvirker ikke evnen til at føre motorkøretøj </w:t>
      </w:r>
      <w:r w:rsidRPr="00E31415">
        <w:rPr>
          <w:sz w:val="24"/>
          <w:szCs w:val="24"/>
        </w:rPr>
        <w:t>og betjene maskiner</w:t>
      </w:r>
      <w:r w:rsidRPr="00E31415">
        <w:rPr>
          <w:iCs/>
          <w:sz w:val="24"/>
          <w:szCs w:val="24"/>
        </w:rPr>
        <w:t>.</w:t>
      </w:r>
    </w:p>
    <w:p w14:paraId="18E02332" w14:textId="657896D9" w:rsidR="004206B7" w:rsidRDefault="004206B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E3FEEE1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9B2FB85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4.8</w:t>
      </w:r>
      <w:r w:rsidRPr="004206B7">
        <w:rPr>
          <w:b/>
          <w:sz w:val="24"/>
          <w:szCs w:val="24"/>
        </w:rPr>
        <w:tab/>
        <w:t>Bivirkninger</w:t>
      </w:r>
    </w:p>
    <w:p w14:paraId="6531CFB2" w14:textId="77777777" w:rsidR="000853AF" w:rsidRPr="004206B7" w:rsidRDefault="000853AF" w:rsidP="000853AF">
      <w:pPr>
        <w:ind w:left="851"/>
        <w:rPr>
          <w:i/>
          <w:sz w:val="24"/>
          <w:szCs w:val="24"/>
        </w:rPr>
      </w:pPr>
    </w:p>
    <w:p w14:paraId="6B835758" w14:textId="4AF647EB" w:rsidR="00E31415" w:rsidRPr="00E31415" w:rsidRDefault="00E31415" w:rsidP="000853AF">
      <w:pPr>
        <w:ind w:left="851"/>
        <w:rPr>
          <w:i/>
          <w:sz w:val="24"/>
          <w:szCs w:val="24"/>
        </w:rPr>
      </w:pPr>
      <w:r w:rsidRPr="00E31415">
        <w:rPr>
          <w:i/>
          <w:sz w:val="24"/>
          <w:szCs w:val="24"/>
        </w:rPr>
        <w:t>Resumé af sikkerhedsprofilen</w:t>
      </w:r>
    </w:p>
    <w:p w14:paraId="28BAB3A5" w14:textId="77777777" w:rsidR="00E31415" w:rsidRPr="00E31415" w:rsidRDefault="00E31415" w:rsidP="000853AF">
      <w:pPr>
        <w:ind w:left="851"/>
        <w:rPr>
          <w:iCs/>
          <w:sz w:val="24"/>
          <w:szCs w:val="24"/>
        </w:rPr>
      </w:pPr>
      <w:r w:rsidRPr="00E31415">
        <w:rPr>
          <w:sz w:val="24"/>
          <w:szCs w:val="24"/>
        </w:rPr>
        <w:t xml:space="preserve">De hyppigste bivirkninger er </w:t>
      </w:r>
      <w:proofErr w:type="spellStart"/>
      <w:r w:rsidRPr="00E31415">
        <w:rPr>
          <w:sz w:val="24"/>
          <w:szCs w:val="24"/>
        </w:rPr>
        <w:t>gastrointestinale</w:t>
      </w:r>
      <w:proofErr w:type="spellEnd"/>
      <w:r w:rsidRPr="00E31415">
        <w:rPr>
          <w:sz w:val="24"/>
          <w:szCs w:val="24"/>
        </w:rPr>
        <w:t xml:space="preserve"> gener. Disse reaktioner kan forekomme som en konsekvens af udvidelse af indholdet i mave-tarm-kanalen, og en forøgelse af </w:t>
      </w:r>
      <w:proofErr w:type="spellStart"/>
      <w:r w:rsidRPr="00E31415">
        <w:rPr>
          <w:sz w:val="24"/>
          <w:szCs w:val="24"/>
        </w:rPr>
        <w:t>motilitet</w:t>
      </w:r>
      <w:proofErr w:type="spellEnd"/>
      <w:r w:rsidRPr="00E31415">
        <w:rPr>
          <w:sz w:val="24"/>
          <w:szCs w:val="24"/>
        </w:rPr>
        <w:t xml:space="preserve"> som følge af de farmakologiske effekter af </w:t>
      </w:r>
      <w:proofErr w:type="spellStart"/>
      <w:r w:rsidRPr="00E31415">
        <w:rPr>
          <w:sz w:val="24"/>
          <w:szCs w:val="24"/>
        </w:rPr>
        <w:t>Tilease</w:t>
      </w:r>
      <w:proofErr w:type="spellEnd"/>
      <w:r w:rsidRPr="00E31415">
        <w:rPr>
          <w:sz w:val="24"/>
          <w:szCs w:val="24"/>
        </w:rPr>
        <w:t xml:space="preserve">. Mild </w:t>
      </w:r>
      <w:proofErr w:type="spellStart"/>
      <w:r w:rsidRPr="00E31415">
        <w:rPr>
          <w:sz w:val="24"/>
          <w:szCs w:val="24"/>
        </w:rPr>
        <w:t>diaré</w:t>
      </w:r>
      <w:proofErr w:type="spellEnd"/>
      <w:r w:rsidRPr="00E31415">
        <w:rPr>
          <w:sz w:val="24"/>
          <w:szCs w:val="24"/>
        </w:rPr>
        <w:t xml:space="preserve"> responderer sædvanligvis på dosisreduktion.</w:t>
      </w:r>
    </w:p>
    <w:p w14:paraId="1D8A9158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67F68C9F" w14:textId="77777777" w:rsidR="00E31415" w:rsidRPr="00E31415" w:rsidRDefault="00E31415" w:rsidP="000853AF">
      <w:pPr>
        <w:ind w:left="851"/>
        <w:rPr>
          <w:i/>
          <w:iCs/>
          <w:sz w:val="24"/>
          <w:szCs w:val="24"/>
        </w:rPr>
      </w:pPr>
      <w:r w:rsidRPr="00E31415">
        <w:rPr>
          <w:i/>
          <w:iCs/>
          <w:sz w:val="24"/>
          <w:szCs w:val="24"/>
        </w:rPr>
        <w:t>Oversigt over bivirkninger i tabelform</w:t>
      </w:r>
    </w:p>
    <w:p w14:paraId="787D9DAE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Hyppigheden af bivirkninger er defineret som følger i henhold til følgende konvention:</w:t>
      </w:r>
    </w:p>
    <w:p w14:paraId="061707F6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Meget almindelig ≥ 1/10 </w:t>
      </w:r>
    </w:p>
    <w:p w14:paraId="3C9923A3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Almindelig ≥ 1/100 til &lt; 1/10 </w:t>
      </w:r>
    </w:p>
    <w:p w14:paraId="59F8F1B0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Ikke almindelig ≥1/1.000 til &lt;1/100 </w:t>
      </w:r>
    </w:p>
    <w:p w14:paraId="3E5CE619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Sjælden ≥ 1/10.000 til &lt; 1/1.000 </w:t>
      </w:r>
    </w:p>
    <w:p w14:paraId="0CF41BE9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Meget sjælden &lt; 1/10.000</w:t>
      </w:r>
    </w:p>
    <w:p w14:paraId="0BDF706C" w14:textId="77777777" w:rsidR="00E31415" w:rsidRPr="00E31415" w:rsidRDefault="00E31415" w:rsidP="000853AF">
      <w:pPr>
        <w:ind w:left="851"/>
        <w:rPr>
          <w:bCs/>
          <w:sz w:val="24"/>
          <w:szCs w:val="24"/>
        </w:rPr>
      </w:pPr>
      <w:r w:rsidRPr="00E31415">
        <w:rPr>
          <w:bCs/>
          <w:sz w:val="24"/>
          <w:szCs w:val="24"/>
        </w:rPr>
        <w:t>Ikke kendt (hyppighed kan ikke estimeres ud fra forhåndenværende data)</w:t>
      </w:r>
    </w:p>
    <w:p w14:paraId="15E88A3F" w14:textId="77777777" w:rsidR="00E31415" w:rsidRPr="00E31415" w:rsidRDefault="00E31415" w:rsidP="00E31415">
      <w:pPr>
        <w:tabs>
          <w:tab w:val="left" w:pos="851"/>
        </w:tabs>
        <w:ind w:left="851"/>
        <w:rPr>
          <w:bCs/>
          <w:sz w:val="24"/>
          <w:szCs w:val="24"/>
        </w:rPr>
      </w:pPr>
    </w:p>
    <w:tbl>
      <w:tblPr>
        <w:tblStyle w:val="Tabel-Gitter"/>
        <w:tblW w:w="4564" w:type="pct"/>
        <w:tblInd w:w="846" w:type="dxa"/>
        <w:tblLook w:val="04A0" w:firstRow="1" w:lastRow="0" w:firstColumn="1" w:lastColumn="0" w:noHBand="0" w:noVBand="1"/>
      </w:tblPr>
      <w:tblGrid>
        <w:gridCol w:w="2373"/>
        <w:gridCol w:w="2257"/>
        <w:gridCol w:w="4158"/>
      </w:tblGrid>
      <w:tr w:rsidR="00E31415" w:rsidRPr="00E31415" w14:paraId="6AFC3E96" w14:textId="77777777" w:rsidTr="000853AF">
        <w:trPr>
          <w:trHeight w:val="288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5068" w14:textId="77777777" w:rsidR="00E31415" w:rsidRPr="00E31415" w:rsidRDefault="00E31415" w:rsidP="000853AF">
            <w:pPr>
              <w:ind w:left="32"/>
              <w:rPr>
                <w:b/>
                <w:iCs/>
                <w:sz w:val="24"/>
                <w:szCs w:val="24"/>
              </w:rPr>
            </w:pPr>
            <w:r w:rsidRPr="00E31415">
              <w:rPr>
                <w:b/>
                <w:iCs/>
                <w:sz w:val="24"/>
                <w:szCs w:val="24"/>
              </w:rPr>
              <w:t>Organklasse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5E21" w14:textId="77777777" w:rsidR="00E31415" w:rsidRPr="00E31415" w:rsidRDefault="00E31415" w:rsidP="000853AF">
            <w:pPr>
              <w:ind w:left="32"/>
              <w:rPr>
                <w:b/>
                <w:iCs/>
                <w:sz w:val="24"/>
                <w:szCs w:val="24"/>
              </w:rPr>
            </w:pPr>
            <w:r w:rsidRPr="00E31415">
              <w:rPr>
                <w:b/>
                <w:iCs/>
                <w:sz w:val="24"/>
                <w:szCs w:val="24"/>
              </w:rPr>
              <w:t>Hyppighed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E23D" w14:textId="77777777" w:rsidR="00E31415" w:rsidRPr="00E31415" w:rsidRDefault="00E31415" w:rsidP="000853AF">
            <w:pPr>
              <w:ind w:left="32"/>
              <w:rPr>
                <w:b/>
                <w:iCs/>
                <w:sz w:val="24"/>
                <w:szCs w:val="24"/>
              </w:rPr>
            </w:pPr>
            <w:r w:rsidRPr="00E31415">
              <w:rPr>
                <w:b/>
                <w:iCs/>
                <w:sz w:val="24"/>
                <w:szCs w:val="24"/>
              </w:rPr>
              <w:t>Bivirkning</w:t>
            </w:r>
          </w:p>
        </w:tc>
      </w:tr>
      <w:tr w:rsidR="00E31415" w:rsidRPr="00E31415" w14:paraId="303C3407" w14:textId="77777777" w:rsidTr="000853AF">
        <w:trPr>
          <w:trHeight w:val="288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E737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iCs/>
                <w:sz w:val="24"/>
                <w:szCs w:val="24"/>
              </w:rPr>
              <w:t>Immunsystemet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2A62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Meget sjælden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BFAE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 xml:space="preserve">Allergiske reaktioner, inklusive </w:t>
            </w:r>
            <w:proofErr w:type="spellStart"/>
            <w:r w:rsidRPr="00E31415">
              <w:rPr>
                <w:bCs/>
                <w:iCs/>
                <w:sz w:val="24"/>
                <w:szCs w:val="24"/>
              </w:rPr>
              <w:t>anafylaktiske</w:t>
            </w:r>
            <w:proofErr w:type="spellEnd"/>
            <w:r w:rsidRPr="00E31415">
              <w:rPr>
                <w:bCs/>
                <w:iCs/>
                <w:sz w:val="24"/>
                <w:szCs w:val="24"/>
              </w:rPr>
              <w:t xml:space="preserve"> reaktioner, dyspnø, </w:t>
            </w:r>
            <w:proofErr w:type="spellStart"/>
            <w:r w:rsidRPr="00E31415">
              <w:rPr>
                <w:bCs/>
                <w:iCs/>
                <w:sz w:val="24"/>
                <w:szCs w:val="24"/>
              </w:rPr>
              <w:t>rhinitis</w:t>
            </w:r>
            <w:proofErr w:type="spellEnd"/>
            <w:r w:rsidRPr="00E31415">
              <w:rPr>
                <w:bCs/>
                <w:iCs/>
                <w:sz w:val="24"/>
                <w:szCs w:val="24"/>
              </w:rPr>
              <w:t xml:space="preserve"> og hudreaktioner (se nedenstående)</w:t>
            </w:r>
          </w:p>
        </w:tc>
      </w:tr>
      <w:tr w:rsidR="00E31415" w:rsidRPr="00E31415" w14:paraId="2B1EC805" w14:textId="77777777" w:rsidTr="000853AF">
        <w:trPr>
          <w:trHeight w:val="288"/>
        </w:trPr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C4C4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iCs/>
                <w:sz w:val="24"/>
                <w:szCs w:val="24"/>
              </w:rPr>
              <w:t>Hud og subkutant væv</w:t>
            </w:r>
          </w:p>
        </w:tc>
        <w:tc>
          <w:tcPr>
            <w:tcW w:w="3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4CFA" w14:textId="1913CD4A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Allergiske hudreaktioner inklusive følgende</w:t>
            </w:r>
          </w:p>
        </w:tc>
      </w:tr>
      <w:tr w:rsidR="00E31415" w:rsidRPr="00E31415" w14:paraId="5E30203B" w14:textId="77777777" w:rsidTr="000853AF">
        <w:trPr>
          <w:trHeight w:val="288"/>
        </w:trPr>
        <w:tc>
          <w:tcPr>
            <w:tcW w:w="1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04E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DE08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Almindelig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AFC1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proofErr w:type="spellStart"/>
            <w:r w:rsidRPr="00E31415">
              <w:rPr>
                <w:bCs/>
                <w:iCs/>
                <w:sz w:val="24"/>
                <w:szCs w:val="24"/>
              </w:rPr>
              <w:t>Pruritus</w:t>
            </w:r>
            <w:proofErr w:type="spellEnd"/>
          </w:p>
        </w:tc>
      </w:tr>
      <w:tr w:rsidR="00E31415" w:rsidRPr="00E31415" w14:paraId="587A3F92" w14:textId="77777777" w:rsidTr="000853AF">
        <w:trPr>
          <w:trHeight w:val="288"/>
        </w:trPr>
        <w:tc>
          <w:tcPr>
            <w:tcW w:w="1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5C36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6939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Ikke almindelig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6EDE" w14:textId="290E4F5B" w:rsidR="00E31415" w:rsidRPr="00E31415" w:rsidRDefault="004206B7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U</w:t>
            </w:r>
            <w:r w:rsidR="00E31415" w:rsidRPr="00E31415">
              <w:rPr>
                <w:bCs/>
                <w:iCs/>
                <w:sz w:val="24"/>
                <w:szCs w:val="24"/>
              </w:rPr>
              <w:t>dslæt</w:t>
            </w:r>
          </w:p>
        </w:tc>
      </w:tr>
      <w:tr w:rsidR="00E31415" w:rsidRPr="00E31415" w14:paraId="6A39B153" w14:textId="77777777" w:rsidTr="000853AF">
        <w:trPr>
          <w:trHeight w:val="288"/>
        </w:trPr>
        <w:tc>
          <w:tcPr>
            <w:tcW w:w="1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A6DE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82E4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Meget sjælden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4269" w14:textId="1A6D19CA" w:rsidR="00E31415" w:rsidRPr="00E31415" w:rsidRDefault="004206B7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A</w:t>
            </w:r>
            <w:r w:rsidR="00E31415" w:rsidRPr="00E31415">
              <w:rPr>
                <w:bCs/>
                <w:iCs/>
                <w:sz w:val="24"/>
                <w:szCs w:val="24"/>
              </w:rPr>
              <w:t>ngioødem</w:t>
            </w:r>
            <w:proofErr w:type="spellEnd"/>
            <w:r w:rsidR="00E31415" w:rsidRPr="00E31415">
              <w:rPr>
                <w:bCs/>
                <w:iCs/>
                <w:sz w:val="24"/>
                <w:szCs w:val="24"/>
              </w:rPr>
              <w:t xml:space="preserve">, urticaria og </w:t>
            </w:r>
            <w:proofErr w:type="spellStart"/>
            <w:r w:rsidR="00E31415" w:rsidRPr="00E31415">
              <w:rPr>
                <w:bCs/>
                <w:iCs/>
                <w:sz w:val="24"/>
                <w:szCs w:val="24"/>
              </w:rPr>
              <w:t>erythem</w:t>
            </w:r>
            <w:proofErr w:type="spellEnd"/>
          </w:p>
        </w:tc>
      </w:tr>
      <w:tr w:rsidR="00E31415" w:rsidRPr="00E31415" w14:paraId="25579EA3" w14:textId="77777777" w:rsidTr="000853AF">
        <w:trPr>
          <w:trHeight w:val="288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AEAB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Metabolisme og ernæring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B714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Meget sjælden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55C1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 xml:space="preserve">Elektrolytforstyrrelser, især </w:t>
            </w:r>
            <w:proofErr w:type="spellStart"/>
            <w:r w:rsidRPr="00E31415">
              <w:rPr>
                <w:bCs/>
                <w:iCs/>
                <w:sz w:val="24"/>
                <w:szCs w:val="24"/>
              </w:rPr>
              <w:t>hyperkaliæmi</w:t>
            </w:r>
            <w:proofErr w:type="spellEnd"/>
            <w:r w:rsidRPr="00E31415">
              <w:rPr>
                <w:bCs/>
                <w:iCs/>
                <w:sz w:val="24"/>
                <w:szCs w:val="24"/>
              </w:rPr>
              <w:t xml:space="preserve"> og </w:t>
            </w:r>
            <w:proofErr w:type="spellStart"/>
            <w:r w:rsidRPr="00E31415">
              <w:rPr>
                <w:bCs/>
                <w:iCs/>
                <w:sz w:val="24"/>
                <w:szCs w:val="24"/>
              </w:rPr>
              <w:t>hypokaliæmi</w:t>
            </w:r>
            <w:proofErr w:type="spellEnd"/>
          </w:p>
        </w:tc>
      </w:tr>
      <w:tr w:rsidR="00E31415" w:rsidRPr="00E31415" w14:paraId="39D265F1" w14:textId="77777777" w:rsidTr="000853AF">
        <w:trPr>
          <w:trHeight w:val="288"/>
        </w:trPr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9EAB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Nervesystemet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DC96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Almindelig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57DC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Hovedpine</w:t>
            </w:r>
          </w:p>
        </w:tc>
      </w:tr>
      <w:tr w:rsidR="00E31415" w:rsidRPr="00E31415" w14:paraId="65950051" w14:textId="77777777" w:rsidTr="000853AF">
        <w:trPr>
          <w:trHeight w:val="288"/>
        </w:trPr>
        <w:tc>
          <w:tcPr>
            <w:tcW w:w="1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B247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44EE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Ikke kendt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30F4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Krampeanfald</w:t>
            </w:r>
          </w:p>
        </w:tc>
      </w:tr>
      <w:tr w:rsidR="00E31415" w:rsidRPr="00E31415" w14:paraId="1AEB0389" w14:textId="77777777" w:rsidTr="000853AF">
        <w:trPr>
          <w:trHeight w:val="288"/>
        </w:trPr>
        <w:tc>
          <w:tcPr>
            <w:tcW w:w="1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110C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Mave-tarm-kanalen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C93B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Meget almindelig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CE66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 xml:space="preserve">Mavesmerter og mavekramper, diarré, opkastning, kvalme, </w:t>
            </w:r>
            <w:proofErr w:type="spellStart"/>
            <w:r w:rsidRPr="00E31415">
              <w:rPr>
                <w:bCs/>
                <w:iCs/>
                <w:sz w:val="24"/>
                <w:szCs w:val="24"/>
              </w:rPr>
              <w:t>borborygmi</w:t>
            </w:r>
            <w:proofErr w:type="spellEnd"/>
            <w:r w:rsidRPr="00E31415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E31415">
              <w:rPr>
                <w:bCs/>
                <w:iCs/>
                <w:sz w:val="24"/>
                <w:szCs w:val="24"/>
              </w:rPr>
              <w:t>flatulens</w:t>
            </w:r>
            <w:proofErr w:type="spellEnd"/>
          </w:p>
        </w:tc>
      </w:tr>
      <w:tr w:rsidR="00E31415" w:rsidRPr="00E31415" w14:paraId="5BF16B41" w14:textId="77777777" w:rsidTr="000853AF">
        <w:trPr>
          <w:trHeight w:val="288"/>
        </w:trPr>
        <w:tc>
          <w:tcPr>
            <w:tcW w:w="1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6893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A605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Ikke almindelig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E6C2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Dyspepsi, abdominal udspiling</w:t>
            </w:r>
          </w:p>
        </w:tc>
      </w:tr>
      <w:tr w:rsidR="00E31415" w:rsidRPr="00E31415" w14:paraId="2F06A8A9" w14:textId="77777777" w:rsidTr="000853AF">
        <w:trPr>
          <w:trHeight w:val="288"/>
        </w:trPr>
        <w:tc>
          <w:tcPr>
            <w:tcW w:w="1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8117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3F74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Meget sjælden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EE6D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proofErr w:type="spellStart"/>
            <w:r w:rsidRPr="00E31415">
              <w:rPr>
                <w:bCs/>
                <w:iCs/>
                <w:sz w:val="24"/>
                <w:szCs w:val="24"/>
              </w:rPr>
              <w:t>Anorektal</w:t>
            </w:r>
            <w:proofErr w:type="spellEnd"/>
            <w:r w:rsidRPr="00E31415">
              <w:rPr>
                <w:bCs/>
                <w:iCs/>
                <w:sz w:val="24"/>
                <w:szCs w:val="24"/>
              </w:rPr>
              <w:t xml:space="preserve"> irritation</w:t>
            </w:r>
          </w:p>
        </w:tc>
      </w:tr>
      <w:tr w:rsidR="00E31415" w:rsidRPr="00E31415" w14:paraId="34559C01" w14:textId="77777777" w:rsidTr="000853AF">
        <w:trPr>
          <w:trHeight w:val="288"/>
        </w:trPr>
        <w:tc>
          <w:tcPr>
            <w:tcW w:w="1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25CD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EB1C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ikke kendt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6F82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proofErr w:type="spellStart"/>
            <w:r w:rsidRPr="00E31415">
              <w:rPr>
                <w:bCs/>
                <w:iCs/>
                <w:sz w:val="24"/>
                <w:szCs w:val="24"/>
              </w:rPr>
              <w:t>Øsofageal</w:t>
            </w:r>
            <w:proofErr w:type="spellEnd"/>
            <w:r w:rsidRPr="00E31415">
              <w:rPr>
                <w:bCs/>
                <w:iCs/>
                <w:sz w:val="24"/>
                <w:szCs w:val="24"/>
              </w:rPr>
              <w:t xml:space="preserve"> ruptur (</w:t>
            </w:r>
            <w:proofErr w:type="spellStart"/>
            <w:r w:rsidRPr="00E31415">
              <w:rPr>
                <w:bCs/>
                <w:iCs/>
                <w:sz w:val="24"/>
                <w:szCs w:val="24"/>
              </w:rPr>
              <w:t>Boerhaaves</w:t>
            </w:r>
            <w:proofErr w:type="spellEnd"/>
            <w:r w:rsidRPr="00E31415">
              <w:rPr>
                <w:bCs/>
                <w:iCs/>
                <w:sz w:val="24"/>
                <w:szCs w:val="24"/>
              </w:rPr>
              <w:t xml:space="preserve"> syndrom)</w:t>
            </w:r>
          </w:p>
        </w:tc>
      </w:tr>
      <w:tr w:rsidR="00E31415" w:rsidRPr="00E31415" w14:paraId="4859E92B" w14:textId="77777777" w:rsidTr="000853AF">
        <w:trPr>
          <w:trHeight w:val="288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9AAB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sz w:val="24"/>
                <w:szCs w:val="24"/>
              </w:rPr>
              <w:t>Almene symptomer og reaktioner på administrationsstedet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76D4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Almindelig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5B4A" w14:textId="77777777" w:rsidR="00E31415" w:rsidRPr="00E31415" w:rsidRDefault="00E31415" w:rsidP="000853AF">
            <w:pPr>
              <w:ind w:left="32"/>
              <w:rPr>
                <w:bCs/>
                <w:iCs/>
                <w:sz w:val="24"/>
                <w:szCs w:val="24"/>
              </w:rPr>
            </w:pPr>
            <w:r w:rsidRPr="00E31415">
              <w:rPr>
                <w:bCs/>
                <w:iCs/>
                <w:sz w:val="24"/>
                <w:szCs w:val="24"/>
              </w:rPr>
              <w:t>Perifert ødem</w:t>
            </w:r>
          </w:p>
        </w:tc>
      </w:tr>
    </w:tbl>
    <w:p w14:paraId="3C52F4CE" w14:textId="77777777" w:rsidR="00E31415" w:rsidRPr="00E31415" w:rsidRDefault="00E31415" w:rsidP="000853AF">
      <w:pPr>
        <w:ind w:left="851"/>
        <w:rPr>
          <w:bCs/>
          <w:iCs/>
          <w:sz w:val="24"/>
          <w:szCs w:val="24"/>
        </w:rPr>
      </w:pPr>
    </w:p>
    <w:p w14:paraId="5586690A" w14:textId="77777777" w:rsidR="00E31415" w:rsidRPr="00E31415" w:rsidRDefault="00E31415" w:rsidP="000853AF">
      <w:pPr>
        <w:ind w:left="851"/>
        <w:rPr>
          <w:sz w:val="24"/>
          <w:szCs w:val="24"/>
          <w:u w:val="single"/>
        </w:rPr>
      </w:pPr>
      <w:r w:rsidRPr="00E31415">
        <w:rPr>
          <w:sz w:val="24"/>
          <w:szCs w:val="24"/>
          <w:u w:val="single"/>
        </w:rPr>
        <w:t>Indberetning af formodede bivirkninger</w:t>
      </w:r>
    </w:p>
    <w:p w14:paraId="2078752F" w14:textId="77777777" w:rsidR="00E31415" w:rsidRPr="004206B7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E31415">
        <w:rPr>
          <w:sz w:val="24"/>
          <w:szCs w:val="24"/>
        </w:rPr>
        <w:t>risk</w:t>
      </w:r>
      <w:proofErr w:type="spellEnd"/>
      <w:r w:rsidRPr="00E31415">
        <w:rPr>
          <w:sz w:val="24"/>
          <w:szCs w:val="24"/>
        </w:rPr>
        <w:t xml:space="preserve">-forholdet for lægemidlet. Sundhedspersoner anmodes om at indberette alle formodede bivirkninger via: </w:t>
      </w:r>
    </w:p>
    <w:p w14:paraId="50C7118F" w14:textId="77777777" w:rsidR="000853AF" w:rsidRPr="00E31415" w:rsidRDefault="000853AF" w:rsidP="000853AF">
      <w:pPr>
        <w:ind w:left="851"/>
        <w:rPr>
          <w:sz w:val="24"/>
          <w:szCs w:val="24"/>
        </w:rPr>
      </w:pPr>
    </w:p>
    <w:p w14:paraId="483449AA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Lægemiddelstyrelsen</w:t>
      </w:r>
    </w:p>
    <w:p w14:paraId="18FAE470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Axel Heides Gade 1</w:t>
      </w:r>
    </w:p>
    <w:p w14:paraId="6C1A62D1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DK-2300 København S</w:t>
      </w:r>
    </w:p>
    <w:p w14:paraId="4B4DECBA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Websted: </w:t>
      </w:r>
      <w:hyperlink r:id="rId8" w:history="1">
        <w:r w:rsidRPr="00E31415">
          <w:rPr>
            <w:rStyle w:val="Hyperlink"/>
            <w:sz w:val="24"/>
            <w:szCs w:val="24"/>
          </w:rPr>
          <w:t>www.meldenbivirkning.dk</w:t>
        </w:r>
      </w:hyperlink>
      <w:r w:rsidRPr="00E31415">
        <w:rPr>
          <w:sz w:val="24"/>
          <w:szCs w:val="24"/>
        </w:rPr>
        <w:t>34</w:t>
      </w:r>
    </w:p>
    <w:p w14:paraId="3CBA8616" w14:textId="77777777" w:rsidR="009260DE" w:rsidRPr="004206B7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5AB6D9E6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4.9</w:t>
      </w:r>
      <w:r w:rsidRPr="004206B7">
        <w:rPr>
          <w:b/>
          <w:sz w:val="24"/>
          <w:szCs w:val="24"/>
        </w:rPr>
        <w:tab/>
        <w:t>Overdosering</w:t>
      </w:r>
    </w:p>
    <w:p w14:paraId="552FD367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Svære </w:t>
      </w:r>
      <w:proofErr w:type="spellStart"/>
      <w:r w:rsidRPr="00E31415">
        <w:rPr>
          <w:sz w:val="24"/>
          <w:szCs w:val="24"/>
        </w:rPr>
        <w:t>abdominalsmerter</w:t>
      </w:r>
      <w:proofErr w:type="spellEnd"/>
      <w:r w:rsidRPr="00E31415">
        <w:rPr>
          <w:sz w:val="24"/>
          <w:szCs w:val="24"/>
        </w:rPr>
        <w:t xml:space="preserve"> eller oppustethed kan behandles med </w:t>
      </w:r>
      <w:proofErr w:type="spellStart"/>
      <w:r w:rsidRPr="00E31415">
        <w:rPr>
          <w:sz w:val="24"/>
          <w:szCs w:val="24"/>
        </w:rPr>
        <w:t>nasogastrisk</w:t>
      </w:r>
      <w:proofErr w:type="spellEnd"/>
      <w:r w:rsidRPr="00E31415">
        <w:rPr>
          <w:sz w:val="24"/>
          <w:szCs w:val="24"/>
        </w:rPr>
        <w:t xml:space="preserve"> aspiration. Udtalt væsketab som følge af </w:t>
      </w:r>
      <w:proofErr w:type="spellStart"/>
      <w:r w:rsidRPr="00E31415">
        <w:rPr>
          <w:sz w:val="24"/>
          <w:szCs w:val="24"/>
        </w:rPr>
        <w:t>diaré</w:t>
      </w:r>
      <w:proofErr w:type="spellEnd"/>
      <w:r w:rsidRPr="00E31415">
        <w:rPr>
          <w:sz w:val="24"/>
          <w:szCs w:val="24"/>
        </w:rPr>
        <w:t xml:space="preserve"> eller opkastning kan kræve korrektion af elektrolytbalancen.</w:t>
      </w:r>
    </w:p>
    <w:p w14:paraId="22F7A142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0F22730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4.10</w:t>
      </w:r>
      <w:r w:rsidRPr="004206B7">
        <w:rPr>
          <w:b/>
          <w:sz w:val="24"/>
          <w:szCs w:val="24"/>
        </w:rPr>
        <w:tab/>
        <w:t>Udlevering</w:t>
      </w:r>
    </w:p>
    <w:p w14:paraId="34D6177B" w14:textId="6F333680" w:rsidR="009260DE" w:rsidRPr="004206B7" w:rsidRDefault="000853AF" w:rsidP="009260DE">
      <w:pPr>
        <w:tabs>
          <w:tab w:val="left" w:pos="851"/>
        </w:tabs>
        <w:ind w:left="851"/>
        <w:rPr>
          <w:sz w:val="24"/>
          <w:szCs w:val="24"/>
        </w:rPr>
      </w:pPr>
      <w:r w:rsidRPr="004206B7">
        <w:rPr>
          <w:sz w:val="24"/>
          <w:szCs w:val="24"/>
        </w:rPr>
        <w:t>HF</w:t>
      </w:r>
    </w:p>
    <w:p w14:paraId="144FA89F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F04948F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DC3FFA5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5.</w:t>
      </w:r>
      <w:r w:rsidRPr="004206B7">
        <w:rPr>
          <w:b/>
          <w:sz w:val="24"/>
          <w:szCs w:val="24"/>
        </w:rPr>
        <w:tab/>
        <w:t>FARMAKOLOGISKE EGENSKABER</w:t>
      </w:r>
    </w:p>
    <w:p w14:paraId="63336B01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69CEE30" w14:textId="77777777" w:rsidR="009260DE" w:rsidRPr="004206B7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5.1</w:t>
      </w:r>
      <w:r w:rsidRPr="004206B7">
        <w:rPr>
          <w:b/>
          <w:sz w:val="24"/>
          <w:szCs w:val="24"/>
        </w:rPr>
        <w:tab/>
      </w:r>
      <w:proofErr w:type="spellStart"/>
      <w:r w:rsidRPr="004206B7">
        <w:rPr>
          <w:b/>
          <w:sz w:val="24"/>
          <w:szCs w:val="24"/>
        </w:rPr>
        <w:t>Farmakodynamiske</w:t>
      </w:r>
      <w:proofErr w:type="spellEnd"/>
      <w:r w:rsidRPr="004206B7">
        <w:rPr>
          <w:b/>
          <w:sz w:val="24"/>
          <w:szCs w:val="24"/>
        </w:rPr>
        <w:t xml:space="preserve"> egenskaber</w:t>
      </w:r>
    </w:p>
    <w:p w14:paraId="6D121E20" w14:textId="2C76522A" w:rsidR="00E31415" w:rsidRPr="00E31415" w:rsidRDefault="00E31415" w:rsidP="000853AF">
      <w:pPr>
        <w:ind w:left="851"/>
        <w:rPr>
          <w:sz w:val="24"/>
          <w:szCs w:val="24"/>
        </w:rPr>
      </w:pPr>
      <w:proofErr w:type="spellStart"/>
      <w:r w:rsidRPr="00E31415">
        <w:rPr>
          <w:sz w:val="24"/>
          <w:szCs w:val="24"/>
        </w:rPr>
        <w:t>Farmakoterapeutisk</w:t>
      </w:r>
      <w:proofErr w:type="spellEnd"/>
      <w:r w:rsidRPr="00E31415">
        <w:rPr>
          <w:sz w:val="24"/>
          <w:szCs w:val="24"/>
        </w:rPr>
        <w:t xml:space="preserve"> klassifikation: Osmotisk virkende </w:t>
      </w:r>
      <w:proofErr w:type="spellStart"/>
      <w:r w:rsidRPr="00E31415">
        <w:rPr>
          <w:sz w:val="24"/>
          <w:szCs w:val="24"/>
        </w:rPr>
        <w:t>laksantia</w:t>
      </w:r>
      <w:proofErr w:type="spellEnd"/>
      <w:r w:rsidR="000853AF" w:rsidRPr="004206B7">
        <w:rPr>
          <w:sz w:val="24"/>
          <w:szCs w:val="24"/>
        </w:rPr>
        <w:t>,</w:t>
      </w:r>
      <w:r w:rsidRPr="00E31415">
        <w:rPr>
          <w:sz w:val="24"/>
          <w:szCs w:val="24"/>
        </w:rPr>
        <w:t xml:space="preserve"> ATC-kode:A06AD65</w:t>
      </w:r>
      <w:r w:rsidR="000853AF" w:rsidRPr="004206B7">
        <w:rPr>
          <w:sz w:val="24"/>
          <w:szCs w:val="24"/>
        </w:rPr>
        <w:t>.</w:t>
      </w:r>
    </w:p>
    <w:p w14:paraId="6B1AA875" w14:textId="77777777" w:rsidR="00E31415" w:rsidRPr="00E31415" w:rsidRDefault="00E31415" w:rsidP="000853AF">
      <w:pPr>
        <w:ind w:left="851"/>
        <w:rPr>
          <w:i/>
          <w:iCs/>
          <w:sz w:val="24"/>
          <w:szCs w:val="24"/>
          <w:u w:val="single"/>
        </w:rPr>
      </w:pPr>
    </w:p>
    <w:p w14:paraId="4A97EAD6" w14:textId="523AD59F" w:rsidR="009260DE" w:rsidRPr="004206B7" w:rsidRDefault="00E31415" w:rsidP="000853AF">
      <w:pPr>
        <w:ind w:left="851"/>
        <w:rPr>
          <w:sz w:val="24"/>
          <w:szCs w:val="24"/>
        </w:rPr>
      </w:pPr>
      <w:proofErr w:type="spellStart"/>
      <w:r w:rsidRPr="004206B7">
        <w:rPr>
          <w:sz w:val="24"/>
          <w:szCs w:val="24"/>
        </w:rPr>
        <w:t>Macrogol</w:t>
      </w:r>
      <w:proofErr w:type="spellEnd"/>
      <w:r w:rsidRPr="004206B7">
        <w:rPr>
          <w:sz w:val="24"/>
          <w:szCs w:val="24"/>
        </w:rPr>
        <w:t xml:space="preserve"> har en osmotisk virkning i tarmen, hvilket inducerer en </w:t>
      </w:r>
      <w:proofErr w:type="gramStart"/>
      <w:r w:rsidRPr="004206B7">
        <w:rPr>
          <w:sz w:val="24"/>
          <w:szCs w:val="24"/>
        </w:rPr>
        <w:t>laksativ effekt</w:t>
      </w:r>
      <w:proofErr w:type="gramEnd"/>
      <w:r w:rsidRPr="004206B7">
        <w:rPr>
          <w:sz w:val="24"/>
          <w:szCs w:val="24"/>
        </w:rPr>
        <w:t xml:space="preserve">. </w:t>
      </w:r>
      <w:proofErr w:type="spellStart"/>
      <w:r w:rsidRPr="004206B7">
        <w:rPr>
          <w:sz w:val="24"/>
          <w:szCs w:val="24"/>
        </w:rPr>
        <w:t>Macrogol</w:t>
      </w:r>
      <w:proofErr w:type="spellEnd"/>
      <w:r w:rsidRPr="004206B7">
        <w:rPr>
          <w:sz w:val="24"/>
          <w:szCs w:val="24"/>
        </w:rPr>
        <w:t xml:space="preserve"> 3350 øger </w:t>
      </w:r>
      <w:proofErr w:type="spellStart"/>
      <w:r w:rsidRPr="004206B7">
        <w:rPr>
          <w:sz w:val="24"/>
          <w:szCs w:val="24"/>
        </w:rPr>
        <w:t>fæcesvolumen</w:t>
      </w:r>
      <w:proofErr w:type="spellEnd"/>
      <w:r w:rsidRPr="004206B7">
        <w:rPr>
          <w:sz w:val="24"/>
          <w:szCs w:val="24"/>
        </w:rPr>
        <w:t xml:space="preserve">, som fremmer </w:t>
      </w:r>
      <w:proofErr w:type="spellStart"/>
      <w:r w:rsidRPr="004206B7">
        <w:rPr>
          <w:sz w:val="24"/>
          <w:szCs w:val="24"/>
        </w:rPr>
        <w:t>motiliteten</w:t>
      </w:r>
      <w:proofErr w:type="spellEnd"/>
      <w:r w:rsidRPr="004206B7">
        <w:rPr>
          <w:sz w:val="24"/>
          <w:szCs w:val="24"/>
        </w:rPr>
        <w:t xml:space="preserve"> i tyktarm via </w:t>
      </w:r>
      <w:proofErr w:type="spellStart"/>
      <w:r w:rsidRPr="004206B7">
        <w:rPr>
          <w:sz w:val="24"/>
          <w:szCs w:val="24"/>
        </w:rPr>
        <w:t>neuromuskulære</w:t>
      </w:r>
      <w:proofErr w:type="spellEnd"/>
      <w:r w:rsidRPr="004206B7">
        <w:rPr>
          <w:sz w:val="24"/>
          <w:szCs w:val="24"/>
        </w:rPr>
        <w:t xml:space="preserve"> baner. Den fysiologiske konsekvens er en forbedret </w:t>
      </w:r>
      <w:proofErr w:type="spellStart"/>
      <w:r w:rsidRPr="004206B7">
        <w:rPr>
          <w:sz w:val="24"/>
          <w:szCs w:val="24"/>
        </w:rPr>
        <w:t>propulsiv</w:t>
      </w:r>
      <w:proofErr w:type="spellEnd"/>
      <w:r w:rsidRPr="004206B7">
        <w:rPr>
          <w:sz w:val="24"/>
          <w:szCs w:val="24"/>
        </w:rPr>
        <w:t xml:space="preserve"> </w:t>
      </w:r>
      <w:proofErr w:type="spellStart"/>
      <w:r w:rsidRPr="004206B7">
        <w:rPr>
          <w:sz w:val="24"/>
          <w:szCs w:val="24"/>
        </w:rPr>
        <w:t>colonisk</w:t>
      </w:r>
      <w:proofErr w:type="spellEnd"/>
      <w:r w:rsidRPr="004206B7">
        <w:rPr>
          <w:sz w:val="24"/>
          <w:szCs w:val="24"/>
        </w:rPr>
        <w:t xml:space="preserve"> transport af den blødgjorte fæces og en defækationsfacilitering. Elektrolytter kombineret med </w:t>
      </w:r>
      <w:proofErr w:type="spellStart"/>
      <w:r w:rsidRPr="004206B7">
        <w:rPr>
          <w:sz w:val="24"/>
          <w:szCs w:val="24"/>
        </w:rPr>
        <w:t>macrogol</w:t>
      </w:r>
      <w:proofErr w:type="spellEnd"/>
      <w:r w:rsidRPr="004206B7">
        <w:rPr>
          <w:sz w:val="24"/>
          <w:szCs w:val="24"/>
        </w:rPr>
        <w:t xml:space="preserve"> 3350 trænger gennem tarmbarrieren (</w:t>
      </w:r>
      <w:proofErr w:type="spellStart"/>
      <w:r w:rsidRPr="004206B7">
        <w:rPr>
          <w:sz w:val="24"/>
          <w:szCs w:val="24"/>
        </w:rPr>
        <w:t>mucosa</w:t>
      </w:r>
      <w:proofErr w:type="spellEnd"/>
      <w:r w:rsidRPr="004206B7">
        <w:rPr>
          <w:sz w:val="24"/>
          <w:szCs w:val="24"/>
        </w:rPr>
        <w:t>) med serumelektrolytter og udskilles i fæces vand uden samlet stigning eller fald af natrium, kalium og vand.</w:t>
      </w:r>
    </w:p>
    <w:p w14:paraId="2289A0B1" w14:textId="77777777" w:rsidR="000853AF" w:rsidRPr="004206B7" w:rsidRDefault="000853AF" w:rsidP="000853AF">
      <w:pPr>
        <w:ind w:left="851"/>
        <w:rPr>
          <w:sz w:val="24"/>
          <w:szCs w:val="24"/>
        </w:rPr>
      </w:pPr>
    </w:p>
    <w:p w14:paraId="4118E02B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5.2</w:t>
      </w:r>
      <w:r w:rsidRPr="004206B7">
        <w:rPr>
          <w:b/>
          <w:sz w:val="24"/>
          <w:szCs w:val="24"/>
        </w:rPr>
        <w:tab/>
      </w:r>
      <w:proofErr w:type="spellStart"/>
      <w:r w:rsidRPr="004206B7">
        <w:rPr>
          <w:b/>
          <w:sz w:val="24"/>
          <w:szCs w:val="24"/>
        </w:rPr>
        <w:t>Farmakokinetiske</w:t>
      </w:r>
      <w:proofErr w:type="spellEnd"/>
      <w:r w:rsidRPr="004206B7">
        <w:rPr>
          <w:b/>
          <w:sz w:val="24"/>
          <w:szCs w:val="24"/>
        </w:rPr>
        <w:t xml:space="preserve"> egenskaber</w:t>
      </w:r>
    </w:p>
    <w:p w14:paraId="3E346265" w14:textId="77777777" w:rsidR="00E31415" w:rsidRPr="00E31415" w:rsidRDefault="00E31415" w:rsidP="000853AF">
      <w:pPr>
        <w:ind w:left="851"/>
        <w:rPr>
          <w:sz w:val="24"/>
          <w:szCs w:val="24"/>
        </w:rPr>
      </w:pP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 xml:space="preserve"> omdannes ikke i tarmen. Det absorberes praktisk taget ikke fra mave-tarm-kanalen. Den mængde </w:t>
      </w: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> 3350, der måtte absorberes, udskilles via urinen.</w:t>
      </w:r>
    </w:p>
    <w:p w14:paraId="69BD0D6E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4B9335E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5.3</w:t>
      </w:r>
      <w:r w:rsidRPr="004206B7">
        <w:rPr>
          <w:b/>
          <w:sz w:val="24"/>
          <w:szCs w:val="24"/>
        </w:rPr>
        <w:tab/>
      </w:r>
      <w:r w:rsidR="00BD7931" w:rsidRPr="004206B7">
        <w:rPr>
          <w:b/>
          <w:sz w:val="24"/>
          <w:szCs w:val="24"/>
        </w:rPr>
        <w:t>Non-</w:t>
      </w:r>
      <w:r w:rsidRPr="004206B7">
        <w:rPr>
          <w:b/>
          <w:sz w:val="24"/>
          <w:szCs w:val="24"/>
        </w:rPr>
        <w:t>kliniske sikkerhedsdata</w:t>
      </w:r>
    </w:p>
    <w:p w14:paraId="296C6747" w14:textId="14E66D7C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Prækliniske studier viser, at </w:t>
      </w: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 xml:space="preserve"> 3350 ikke har nogen signifikant, systemisk, toksisk effekt. Dette er vurderet ud fra konventionelle studier af farmakologi, toksicitet efter gentagen dosering og genotoksicitet.</w:t>
      </w:r>
    </w:p>
    <w:p w14:paraId="3EC2C830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5186B885" w14:textId="66831281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Ingen direkte embryotoksiske eller </w:t>
      </w:r>
      <w:proofErr w:type="spellStart"/>
      <w:r w:rsidRPr="00E31415">
        <w:rPr>
          <w:sz w:val="24"/>
          <w:szCs w:val="24"/>
        </w:rPr>
        <w:t>teratogene</w:t>
      </w:r>
      <w:proofErr w:type="spellEnd"/>
      <w:r w:rsidRPr="00E31415">
        <w:rPr>
          <w:sz w:val="24"/>
          <w:szCs w:val="24"/>
        </w:rPr>
        <w:t xml:space="preserve"> effekter sås hos rotter selv ved niveauer, der var toksiske for moderen, hvilket var 66 x højere end den maksimale humane anbefalede dosis ved kronisk obstipation og 25 x højere end den for </w:t>
      </w:r>
      <w:proofErr w:type="spellStart"/>
      <w:r w:rsidRPr="00E31415">
        <w:rPr>
          <w:sz w:val="24"/>
          <w:szCs w:val="24"/>
        </w:rPr>
        <w:t>fækalom</w:t>
      </w:r>
      <w:proofErr w:type="spellEnd"/>
      <w:r w:rsidRPr="00E31415">
        <w:rPr>
          <w:sz w:val="24"/>
          <w:szCs w:val="24"/>
        </w:rPr>
        <w:t xml:space="preserve">. Indirekte </w:t>
      </w:r>
      <w:proofErr w:type="spellStart"/>
      <w:r w:rsidRPr="00E31415">
        <w:rPr>
          <w:sz w:val="24"/>
          <w:szCs w:val="24"/>
        </w:rPr>
        <w:t>embryoføtale</w:t>
      </w:r>
      <w:proofErr w:type="spellEnd"/>
      <w:r w:rsidRPr="00E31415">
        <w:rPr>
          <w:sz w:val="24"/>
          <w:szCs w:val="24"/>
        </w:rPr>
        <w:t xml:space="preserve"> virkninger inklusive reduktion i fostervægt og placentavægt, reduceret </w:t>
      </w:r>
      <w:proofErr w:type="spellStart"/>
      <w:r w:rsidRPr="00E31415">
        <w:rPr>
          <w:sz w:val="24"/>
          <w:szCs w:val="24"/>
        </w:rPr>
        <w:t>føtal</w:t>
      </w:r>
      <w:proofErr w:type="spellEnd"/>
      <w:r w:rsidRPr="00E31415">
        <w:rPr>
          <w:sz w:val="24"/>
          <w:szCs w:val="24"/>
        </w:rPr>
        <w:t xml:space="preserve"> levedygtighed, øget </w:t>
      </w:r>
      <w:proofErr w:type="spellStart"/>
      <w:r w:rsidRPr="00E31415">
        <w:rPr>
          <w:sz w:val="24"/>
          <w:szCs w:val="24"/>
        </w:rPr>
        <w:t>hyperfleksion</w:t>
      </w:r>
      <w:proofErr w:type="spellEnd"/>
      <w:r w:rsidRPr="00E31415">
        <w:rPr>
          <w:sz w:val="24"/>
          <w:szCs w:val="24"/>
        </w:rPr>
        <w:t xml:space="preserve"> for ekstremiteter og poter samt aborter er observeret hos kaniner ved doser toksiske for moderen, svarende til 3,3 x maksimalt anbefalede humane dosis ved behandling af kronisk obstipation og 1,3 x maksimalt anbefalede dosis ved </w:t>
      </w:r>
      <w:proofErr w:type="spellStart"/>
      <w:r w:rsidRPr="00E31415">
        <w:rPr>
          <w:sz w:val="24"/>
          <w:szCs w:val="24"/>
        </w:rPr>
        <w:t>fækalom</w:t>
      </w:r>
      <w:proofErr w:type="spellEnd"/>
      <w:r w:rsidRPr="00E31415">
        <w:rPr>
          <w:sz w:val="24"/>
          <w:szCs w:val="24"/>
        </w:rPr>
        <w:t xml:space="preserve">. Kaniner er særligt følsomme over for effekten af substanser, der virker i mave-tarm-kanalen, og studierne er udført under overdrevne forhold med administrering af høje doser, som ikke er klinisk relevante. Fundene kan have været en konsekvens af en indirekte virkning af </w:t>
      </w: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 xml:space="preserve"> 3350 kombineret med at moderen var i en dårlig almentilstand forårsaget af en overdreven </w:t>
      </w:r>
      <w:proofErr w:type="spellStart"/>
      <w:r w:rsidRPr="00E31415">
        <w:rPr>
          <w:sz w:val="24"/>
          <w:szCs w:val="24"/>
        </w:rPr>
        <w:t>farmakodynamisk</w:t>
      </w:r>
      <w:proofErr w:type="spellEnd"/>
      <w:r w:rsidRPr="00E31415">
        <w:rPr>
          <w:sz w:val="24"/>
          <w:szCs w:val="24"/>
        </w:rPr>
        <w:t xml:space="preserve"> respons hos kaninen. Der var ingen tegn på </w:t>
      </w:r>
      <w:proofErr w:type="spellStart"/>
      <w:r w:rsidRPr="00E31415">
        <w:rPr>
          <w:sz w:val="24"/>
          <w:szCs w:val="24"/>
        </w:rPr>
        <w:t>teratogene</w:t>
      </w:r>
      <w:proofErr w:type="spellEnd"/>
      <w:r w:rsidRPr="00E31415">
        <w:rPr>
          <w:sz w:val="24"/>
          <w:szCs w:val="24"/>
        </w:rPr>
        <w:t xml:space="preserve"> effekter.</w:t>
      </w:r>
    </w:p>
    <w:p w14:paraId="3861B36A" w14:textId="77777777" w:rsidR="00E31415" w:rsidRPr="00E31415" w:rsidRDefault="00E31415" w:rsidP="000853AF">
      <w:pPr>
        <w:ind w:left="851"/>
        <w:rPr>
          <w:bCs/>
          <w:sz w:val="24"/>
          <w:szCs w:val="24"/>
        </w:rPr>
      </w:pPr>
    </w:p>
    <w:p w14:paraId="172CAEF8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Der foreligger langtidsstudier på dyr af toksicitet og </w:t>
      </w:r>
      <w:proofErr w:type="spellStart"/>
      <w:r w:rsidRPr="00E31415">
        <w:rPr>
          <w:sz w:val="24"/>
          <w:szCs w:val="24"/>
        </w:rPr>
        <w:t>carcinogenicitet</w:t>
      </w:r>
      <w:proofErr w:type="spellEnd"/>
      <w:r w:rsidRPr="00E31415">
        <w:rPr>
          <w:sz w:val="24"/>
          <w:szCs w:val="24"/>
        </w:rPr>
        <w:t xml:space="preserve"> ved brug af </w:t>
      </w:r>
      <w:proofErr w:type="spellStart"/>
      <w:r w:rsidRPr="00E31415">
        <w:rPr>
          <w:sz w:val="24"/>
          <w:szCs w:val="24"/>
        </w:rPr>
        <w:t>macrogol</w:t>
      </w:r>
      <w:proofErr w:type="spellEnd"/>
      <w:r w:rsidRPr="00E31415">
        <w:rPr>
          <w:sz w:val="24"/>
          <w:szCs w:val="24"/>
        </w:rPr>
        <w:t xml:space="preserve"> 3350. Resultater fra disse og andre toksicitetsstudier, hvori der bruges høje doser af oralt administrerede </w:t>
      </w:r>
      <w:proofErr w:type="spellStart"/>
      <w:r w:rsidRPr="00E31415">
        <w:rPr>
          <w:sz w:val="24"/>
          <w:szCs w:val="24"/>
        </w:rPr>
        <w:t>macrogoler</w:t>
      </w:r>
      <w:proofErr w:type="spellEnd"/>
      <w:r w:rsidRPr="00E31415">
        <w:rPr>
          <w:sz w:val="24"/>
          <w:szCs w:val="24"/>
        </w:rPr>
        <w:t xml:space="preserve"> med høj molekylvægt, underbygger sikkerheden af produktet ved de anbefalede terapeutiske doser.</w:t>
      </w:r>
    </w:p>
    <w:p w14:paraId="7D3B5F79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9CA908D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B186B22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6.</w:t>
      </w:r>
      <w:r w:rsidRPr="004206B7">
        <w:rPr>
          <w:b/>
          <w:sz w:val="24"/>
          <w:szCs w:val="24"/>
        </w:rPr>
        <w:tab/>
        <w:t>FARMACEUTISKE OPLYSNINGER</w:t>
      </w:r>
    </w:p>
    <w:p w14:paraId="12D2BF23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9FB55A4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6.1</w:t>
      </w:r>
      <w:r w:rsidRPr="004206B7">
        <w:rPr>
          <w:b/>
          <w:sz w:val="24"/>
          <w:szCs w:val="24"/>
        </w:rPr>
        <w:tab/>
        <w:t>Hjælpestoffer</w:t>
      </w:r>
    </w:p>
    <w:p w14:paraId="51594F6C" w14:textId="77777777" w:rsidR="00E31415" w:rsidRPr="00E31415" w:rsidRDefault="00E31415" w:rsidP="000853AF">
      <w:pPr>
        <w:ind w:left="851"/>
        <w:rPr>
          <w:sz w:val="24"/>
          <w:szCs w:val="24"/>
        </w:rPr>
      </w:pPr>
      <w:proofErr w:type="spellStart"/>
      <w:r w:rsidRPr="00E31415">
        <w:rPr>
          <w:sz w:val="24"/>
          <w:szCs w:val="24"/>
        </w:rPr>
        <w:t>Acesulfam</w:t>
      </w:r>
      <w:proofErr w:type="spellEnd"/>
      <w:r w:rsidRPr="00E31415">
        <w:rPr>
          <w:sz w:val="24"/>
          <w:szCs w:val="24"/>
        </w:rPr>
        <w:t xml:space="preserve"> kalium.</w:t>
      </w:r>
    </w:p>
    <w:p w14:paraId="6A48D4F3" w14:textId="77777777" w:rsidR="00E31415" w:rsidRPr="00E31415" w:rsidRDefault="00E31415" w:rsidP="000853AF">
      <w:pPr>
        <w:ind w:left="851"/>
        <w:rPr>
          <w:sz w:val="24"/>
          <w:szCs w:val="24"/>
        </w:rPr>
      </w:pPr>
      <w:proofErr w:type="spellStart"/>
      <w:r w:rsidRPr="00E31415">
        <w:rPr>
          <w:sz w:val="24"/>
          <w:szCs w:val="24"/>
        </w:rPr>
        <w:t>Capsil</w:t>
      </w:r>
      <w:proofErr w:type="spellEnd"/>
      <w:r w:rsidRPr="00E31415">
        <w:rPr>
          <w:sz w:val="24"/>
          <w:szCs w:val="24"/>
        </w:rPr>
        <w:t xml:space="preserve"> citron-lime-smagsstof*</w:t>
      </w:r>
    </w:p>
    <w:p w14:paraId="071E4BA4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3048927E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* (Citron- og lime-smagsstof indeholder følgende bestanddele: arabisk gummi, </w:t>
      </w:r>
      <w:proofErr w:type="spellStart"/>
      <w:r w:rsidRPr="00E31415">
        <w:rPr>
          <w:sz w:val="24"/>
          <w:szCs w:val="24"/>
        </w:rPr>
        <w:t>maltodextrin</w:t>
      </w:r>
      <w:proofErr w:type="spellEnd"/>
      <w:r w:rsidRPr="00E31415">
        <w:rPr>
          <w:sz w:val="24"/>
          <w:szCs w:val="24"/>
        </w:rPr>
        <w:t xml:space="preserve">, limeolie, citronolie, </w:t>
      </w:r>
      <w:proofErr w:type="spellStart"/>
      <w:r w:rsidRPr="00E31415">
        <w:rPr>
          <w:sz w:val="24"/>
          <w:szCs w:val="24"/>
        </w:rPr>
        <w:t>citral</w:t>
      </w:r>
      <w:proofErr w:type="spellEnd"/>
      <w:r w:rsidRPr="00E31415">
        <w:rPr>
          <w:sz w:val="24"/>
          <w:szCs w:val="24"/>
        </w:rPr>
        <w:t xml:space="preserve">, citronolie-koncentrat, </w:t>
      </w:r>
      <w:proofErr w:type="spellStart"/>
      <w:r w:rsidRPr="00E31415">
        <w:rPr>
          <w:sz w:val="24"/>
          <w:szCs w:val="24"/>
        </w:rPr>
        <w:t>decanal</w:t>
      </w:r>
      <w:proofErr w:type="spellEnd"/>
      <w:r w:rsidRPr="00E31415">
        <w:rPr>
          <w:sz w:val="24"/>
          <w:szCs w:val="24"/>
        </w:rPr>
        <w:t xml:space="preserve">, vanillin og </w:t>
      </w:r>
      <w:proofErr w:type="spellStart"/>
      <w:r w:rsidRPr="00E31415">
        <w:rPr>
          <w:sz w:val="24"/>
          <w:szCs w:val="24"/>
        </w:rPr>
        <w:t>butyleret</w:t>
      </w:r>
      <w:proofErr w:type="spellEnd"/>
      <w:r w:rsidRPr="00E31415">
        <w:rPr>
          <w:sz w:val="24"/>
          <w:szCs w:val="24"/>
        </w:rPr>
        <w:t xml:space="preserve"> </w:t>
      </w:r>
      <w:proofErr w:type="spellStart"/>
      <w:r w:rsidRPr="00E31415">
        <w:rPr>
          <w:sz w:val="24"/>
          <w:szCs w:val="24"/>
        </w:rPr>
        <w:t>hydroxyanisol</w:t>
      </w:r>
      <w:proofErr w:type="spellEnd"/>
      <w:r w:rsidRPr="00E31415">
        <w:rPr>
          <w:sz w:val="24"/>
          <w:szCs w:val="24"/>
        </w:rPr>
        <w:t>).</w:t>
      </w:r>
    </w:p>
    <w:p w14:paraId="044518B2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9D10ED9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6.2</w:t>
      </w:r>
      <w:r w:rsidRPr="004206B7">
        <w:rPr>
          <w:b/>
          <w:sz w:val="24"/>
          <w:szCs w:val="24"/>
        </w:rPr>
        <w:tab/>
        <w:t>Uforligeligheder</w:t>
      </w:r>
    </w:p>
    <w:p w14:paraId="39D0CCE6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Ikke relevant.</w:t>
      </w:r>
    </w:p>
    <w:p w14:paraId="1693CAB3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ED3FB29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6.3</w:t>
      </w:r>
      <w:r w:rsidRPr="004206B7">
        <w:rPr>
          <w:b/>
          <w:sz w:val="24"/>
          <w:szCs w:val="24"/>
        </w:rPr>
        <w:tab/>
        <w:t>Opbevaringstid</w:t>
      </w:r>
    </w:p>
    <w:p w14:paraId="5C37DD8C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Brev: 3 år</w:t>
      </w:r>
    </w:p>
    <w:p w14:paraId="663B384C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08EB9FCB" w14:textId="77777777" w:rsidR="00E31415" w:rsidRPr="00E31415" w:rsidRDefault="00E31415" w:rsidP="000853AF">
      <w:pPr>
        <w:ind w:left="851"/>
        <w:rPr>
          <w:sz w:val="24"/>
          <w:szCs w:val="24"/>
        </w:rPr>
      </w:pPr>
      <w:proofErr w:type="spellStart"/>
      <w:r w:rsidRPr="00E31415">
        <w:rPr>
          <w:sz w:val="24"/>
          <w:szCs w:val="24"/>
        </w:rPr>
        <w:t>Rekonstitueret</w:t>
      </w:r>
      <w:proofErr w:type="spellEnd"/>
      <w:r w:rsidRPr="00E31415">
        <w:rPr>
          <w:sz w:val="24"/>
          <w:szCs w:val="24"/>
        </w:rPr>
        <w:t xml:space="preserve"> opløsning: 6 timer</w:t>
      </w:r>
    </w:p>
    <w:p w14:paraId="5C9955EF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182909D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6.4</w:t>
      </w:r>
      <w:r w:rsidRPr="004206B7">
        <w:rPr>
          <w:b/>
          <w:sz w:val="24"/>
          <w:szCs w:val="24"/>
        </w:rPr>
        <w:tab/>
        <w:t>Særlige opbevaringsforhold</w:t>
      </w:r>
    </w:p>
    <w:p w14:paraId="5989BC5D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Brev: Dette lægemiddel kræver ingen særlige forholdsregler vedrørende opbevaringen.</w:t>
      </w:r>
    </w:p>
    <w:p w14:paraId="140C2DAE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07F36E68" w14:textId="4D69BA93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Den </w:t>
      </w:r>
      <w:proofErr w:type="spellStart"/>
      <w:r w:rsidRPr="00E31415">
        <w:rPr>
          <w:sz w:val="24"/>
          <w:szCs w:val="24"/>
        </w:rPr>
        <w:t>rekonstituerede</w:t>
      </w:r>
      <w:proofErr w:type="spellEnd"/>
      <w:r w:rsidRPr="00E31415">
        <w:rPr>
          <w:sz w:val="24"/>
          <w:szCs w:val="24"/>
        </w:rPr>
        <w:t xml:space="preserve"> opløsning kan opbevares ved stuetemperatur (opbevares under 25 °C) eller i et køleskab (2-8 °C) i højst 6 timer (tildækket). Ikke-anvendt opløsning skal kasseres inden for 6 timer.</w:t>
      </w:r>
    </w:p>
    <w:p w14:paraId="5A6E0422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9A17ECE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6.5</w:t>
      </w:r>
      <w:r w:rsidRPr="004206B7">
        <w:rPr>
          <w:b/>
          <w:sz w:val="24"/>
          <w:szCs w:val="24"/>
        </w:rPr>
        <w:tab/>
        <w:t>Emballagetype og pakningsstørrelser</w:t>
      </w:r>
    </w:p>
    <w:p w14:paraId="5B1670C1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Dette produkt er tilgængelig i rektangulære breve.</w:t>
      </w:r>
    </w:p>
    <w:p w14:paraId="06F07E0C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53205558" w14:textId="705A4C55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Hvert brev indeholder 13,8 g </w:t>
      </w:r>
      <w:proofErr w:type="spellStart"/>
      <w:r w:rsidRPr="00E31415">
        <w:rPr>
          <w:sz w:val="24"/>
          <w:szCs w:val="24"/>
        </w:rPr>
        <w:t>Tilease</w:t>
      </w:r>
      <w:proofErr w:type="spellEnd"/>
      <w:r w:rsidR="004206B7">
        <w:rPr>
          <w:sz w:val="24"/>
          <w:szCs w:val="24"/>
        </w:rPr>
        <w:t>-</w:t>
      </w:r>
      <w:r w:rsidRPr="00E31415">
        <w:rPr>
          <w:sz w:val="24"/>
          <w:szCs w:val="24"/>
        </w:rPr>
        <w:t>pulver, som skal opløses i vand før indtagelse.</w:t>
      </w:r>
    </w:p>
    <w:p w14:paraId="1A76F9A5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6153FF43" w14:textId="3FF245C5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Brev: </w:t>
      </w:r>
      <w:r w:rsidR="004206B7">
        <w:rPr>
          <w:sz w:val="24"/>
          <w:szCs w:val="24"/>
        </w:rPr>
        <w:t>L</w:t>
      </w:r>
      <w:r w:rsidRPr="00E31415">
        <w:rPr>
          <w:sz w:val="24"/>
          <w:szCs w:val="24"/>
        </w:rPr>
        <w:t xml:space="preserve">aminat bestående af fire lag: </w:t>
      </w:r>
      <w:proofErr w:type="spellStart"/>
      <w:r w:rsidR="004206B7">
        <w:rPr>
          <w:sz w:val="24"/>
          <w:szCs w:val="24"/>
        </w:rPr>
        <w:t>L</w:t>
      </w:r>
      <w:r w:rsidRPr="00E31415">
        <w:rPr>
          <w:sz w:val="24"/>
          <w:szCs w:val="24"/>
        </w:rPr>
        <w:t>avdensitetspolyethylen</w:t>
      </w:r>
      <w:proofErr w:type="spellEnd"/>
      <w:r w:rsidRPr="00E31415">
        <w:rPr>
          <w:sz w:val="24"/>
          <w:szCs w:val="24"/>
        </w:rPr>
        <w:t xml:space="preserve"> (LDPE), aluminium, </w:t>
      </w:r>
      <w:proofErr w:type="spellStart"/>
      <w:r w:rsidRPr="00E31415">
        <w:rPr>
          <w:sz w:val="24"/>
          <w:szCs w:val="24"/>
        </w:rPr>
        <w:t>lavdensitetspolyethylen</w:t>
      </w:r>
      <w:proofErr w:type="spellEnd"/>
      <w:r w:rsidRPr="00E31415">
        <w:rPr>
          <w:sz w:val="24"/>
          <w:szCs w:val="24"/>
        </w:rPr>
        <w:t xml:space="preserve"> og papir eller laminat bestående af tre lag </w:t>
      </w:r>
      <w:proofErr w:type="spellStart"/>
      <w:r w:rsidRPr="00E31415">
        <w:rPr>
          <w:sz w:val="24"/>
          <w:szCs w:val="24"/>
        </w:rPr>
        <w:t>polyethylentereftalat</w:t>
      </w:r>
      <w:proofErr w:type="spellEnd"/>
      <w:r w:rsidRPr="00E31415">
        <w:rPr>
          <w:sz w:val="24"/>
          <w:szCs w:val="24"/>
        </w:rPr>
        <w:t xml:space="preserve"> (PET), aluminium og </w:t>
      </w:r>
      <w:proofErr w:type="spellStart"/>
      <w:r w:rsidRPr="00E31415">
        <w:rPr>
          <w:sz w:val="24"/>
          <w:szCs w:val="24"/>
        </w:rPr>
        <w:t>lavdensitetspolyethylen</w:t>
      </w:r>
      <w:proofErr w:type="spellEnd"/>
      <w:r w:rsidRPr="00E31415">
        <w:rPr>
          <w:sz w:val="24"/>
          <w:szCs w:val="24"/>
        </w:rPr>
        <w:t xml:space="preserve"> (LDPE).</w:t>
      </w:r>
    </w:p>
    <w:p w14:paraId="6E74A2C0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0B9491CB" w14:textId="4F068B7F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 xml:space="preserve">Pakningsstørrelser: </w:t>
      </w:r>
      <w:r w:rsidR="004206B7">
        <w:rPr>
          <w:sz w:val="24"/>
          <w:szCs w:val="24"/>
        </w:rPr>
        <w:t>Æ</w:t>
      </w:r>
      <w:r w:rsidRPr="00E31415">
        <w:rPr>
          <w:sz w:val="24"/>
          <w:szCs w:val="24"/>
        </w:rPr>
        <w:t>sker med 2, 6, 8, 10, 20, 28, 30, 50, 60 eller 100 breve.</w:t>
      </w:r>
    </w:p>
    <w:p w14:paraId="5DA9DDE7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58B2D9DB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Ikke alle pakningsstørrelser er nødvendigvis markedsført.</w:t>
      </w:r>
    </w:p>
    <w:p w14:paraId="02E8677F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8D73839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6.6</w:t>
      </w:r>
      <w:r w:rsidRPr="004206B7">
        <w:rPr>
          <w:b/>
          <w:sz w:val="24"/>
          <w:szCs w:val="24"/>
        </w:rPr>
        <w:tab/>
        <w:t xml:space="preserve">Regler for </w:t>
      </w:r>
      <w:r w:rsidR="00BD7931" w:rsidRPr="004206B7">
        <w:rPr>
          <w:b/>
          <w:sz w:val="24"/>
          <w:szCs w:val="24"/>
        </w:rPr>
        <w:t>bortskaffelse</w:t>
      </w:r>
      <w:r w:rsidRPr="004206B7">
        <w:rPr>
          <w:b/>
          <w:sz w:val="24"/>
          <w:szCs w:val="24"/>
        </w:rPr>
        <w:t xml:space="preserve"> og anden håndtering</w:t>
      </w:r>
    </w:p>
    <w:p w14:paraId="190DE8DB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Ingen særlige forholdsregler.</w:t>
      </w:r>
    </w:p>
    <w:p w14:paraId="45AAD08E" w14:textId="77777777" w:rsidR="00E31415" w:rsidRPr="00E31415" w:rsidRDefault="00E31415" w:rsidP="000853AF">
      <w:pPr>
        <w:ind w:left="851"/>
        <w:rPr>
          <w:sz w:val="24"/>
          <w:szCs w:val="24"/>
        </w:rPr>
      </w:pPr>
    </w:p>
    <w:p w14:paraId="450FBDDD" w14:textId="77777777" w:rsidR="00E31415" w:rsidRPr="00E31415" w:rsidRDefault="00E31415" w:rsidP="000853AF">
      <w:pPr>
        <w:ind w:left="851"/>
        <w:rPr>
          <w:sz w:val="24"/>
          <w:szCs w:val="24"/>
        </w:rPr>
      </w:pPr>
      <w:r w:rsidRPr="00E31415">
        <w:rPr>
          <w:sz w:val="24"/>
          <w:szCs w:val="24"/>
        </w:rPr>
        <w:t>Ikke anvendt lægemiddel samt affald heraf skal bortskaffes i henhold til lokale retningslinjer.</w:t>
      </w:r>
    </w:p>
    <w:p w14:paraId="590A1273" w14:textId="77777777" w:rsidR="009260DE" w:rsidRPr="004206B7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7272BC9C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7.</w:t>
      </w:r>
      <w:r w:rsidRPr="004206B7">
        <w:rPr>
          <w:b/>
          <w:sz w:val="24"/>
          <w:szCs w:val="24"/>
        </w:rPr>
        <w:tab/>
        <w:t>INDEHAVER AF MARKEDSFØRINGSTILLADELSEN</w:t>
      </w:r>
    </w:p>
    <w:p w14:paraId="32FF99B1" w14:textId="7E102C7D" w:rsidR="009260DE" w:rsidRPr="004206B7" w:rsidRDefault="00E31415" w:rsidP="000853AF">
      <w:pPr>
        <w:ind w:left="851"/>
        <w:rPr>
          <w:sz w:val="24"/>
          <w:szCs w:val="24"/>
        </w:rPr>
      </w:pPr>
      <w:proofErr w:type="spellStart"/>
      <w:r w:rsidRPr="004206B7">
        <w:rPr>
          <w:sz w:val="24"/>
          <w:szCs w:val="24"/>
        </w:rPr>
        <w:t>Unifarma</w:t>
      </w:r>
      <w:proofErr w:type="spellEnd"/>
      <w:r w:rsidRPr="004206B7">
        <w:rPr>
          <w:sz w:val="24"/>
          <w:szCs w:val="24"/>
        </w:rPr>
        <w:t xml:space="preserve"> SIA</w:t>
      </w:r>
    </w:p>
    <w:p w14:paraId="68E127B2" w14:textId="07AC2241" w:rsidR="00E31415" w:rsidRPr="004206B7" w:rsidRDefault="00E31415" w:rsidP="000853AF">
      <w:pPr>
        <w:ind w:left="851"/>
        <w:rPr>
          <w:sz w:val="24"/>
          <w:szCs w:val="24"/>
        </w:rPr>
      </w:pPr>
      <w:proofErr w:type="spellStart"/>
      <w:r w:rsidRPr="004206B7">
        <w:rPr>
          <w:sz w:val="24"/>
          <w:szCs w:val="24"/>
        </w:rPr>
        <w:t>Vangazu</w:t>
      </w:r>
      <w:proofErr w:type="spellEnd"/>
      <w:r w:rsidRPr="004206B7">
        <w:rPr>
          <w:sz w:val="24"/>
          <w:szCs w:val="24"/>
        </w:rPr>
        <w:t xml:space="preserve"> </w:t>
      </w:r>
      <w:proofErr w:type="spellStart"/>
      <w:r w:rsidRPr="004206B7">
        <w:rPr>
          <w:sz w:val="24"/>
          <w:szCs w:val="24"/>
        </w:rPr>
        <w:t>Iela</w:t>
      </w:r>
      <w:proofErr w:type="spellEnd"/>
      <w:r w:rsidRPr="004206B7">
        <w:rPr>
          <w:sz w:val="24"/>
          <w:szCs w:val="24"/>
        </w:rPr>
        <w:t xml:space="preserve"> 23</w:t>
      </w:r>
    </w:p>
    <w:p w14:paraId="41BF31B3" w14:textId="26000318" w:rsidR="00E31415" w:rsidRPr="004206B7" w:rsidRDefault="00E31415" w:rsidP="000853AF">
      <w:pPr>
        <w:ind w:left="851"/>
        <w:rPr>
          <w:sz w:val="24"/>
          <w:szCs w:val="24"/>
        </w:rPr>
      </w:pPr>
      <w:r w:rsidRPr="004206B7">
        <w:rPr>
          <w:sz w:val="24"/>
          <w:szCs w:val="24"/>
        </w:rPr>
        <w:t>2024 Riga</w:t>
      </w:r>
    </w:p>
    <w:p w14:paraId="754CAF9C" w14:textId="52B3A28B" w:rsidR="00E31415" w:rsidRPr="004206B7" w:rsidRDefault="00E31415" w:rsidP="000853AF">
      <w:pPr>
        <w:ind w:left="851"/>
        <w:rPr>
          <w:sz w:val="24"/>
          <w:szCs w:val="24"/>
        </w:rPr>
      </w:pPr>
      <w:r w:rsidRPr="004206B7">
        <w:rPr>
          <w:sz w:val="24"/>
          <w:szCs w:val="24"/>
        </w:rPr>
        <w:t>Letland</w:t>
      </w:r>
    </w:p>
    <w:p w14:paraId="0FF93747" w14:textId="4922797A" w:rsidR="004206B7" w:rsidRDefault="004206B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A9B1E34" w14:textId="77777777" w:rsidR="00641C65" w:rsidRPr="004206B7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6CA51D1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8.</w:t>
      </w:r>
      <w:r w:rsidRPr="004206B7">
        <w:rPr>
          <w:b/>
          <w:sz w:val="24"/>
          <w:szCs w:val="24"/>
        </w:rPr>
        <w:tab/>
        <w:t>MARKEDSFØRINGSTILLADELSESNUMMER (</w:t>
      </w:r>
      <w:r w:rsidR="00BF6243" w:rsidRPr="004206B7">
        <w:rPr>
          <w:b/>
          <w:sz w:val="24"/>
          <w:szCs w:val="24"/>
        </w:rPr>
        <w:t>-</w:t>
      </w:r>
      <w:r w:rsidRPr="004206B7">
        <w:rPr>
          <w:b/>
          <w:sz w:val="24"/>
          <w:szCs w:val="24"/>
        </w:rPr>
        <w:t>NUMRE)</w:t>
      </w:r>
    </w:p>
    <w:p w14:paraId="7AB1B383" w14:textId="48DF9DEB" w:rsidR="009260DE" w:rsidRPr="004206B7" w:rsidRDefault="00E31415" w:rsidP="009260DE">
      <w:pPr>
        <w:tabs>
          <w:tab w:val="left" w:pos="851"/>
        </w:tabs>
        <w:ind w:left="851"/>
        <w:rPr>
          <w:sz w:val="24"/>
          <w:szCs w:val="24"/>
        </w:rPr>
      </w:pPr>
      <w:r w:rsidRPr="004206B7">
        <w:rPr>
          <w:sz w:val="24"/>
          <w:szCs w:val="24"/>
        </w:rPr>
        <w:t>73866</w:t>
      </w:r>
    </w:p>
    <w:p w14:paraId="0E409AB6" w14:textId="77777777" w:rsidR="009260DE" w:rsidRPr="004206B7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5F7BDDCE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9.</w:t>
      </w:r>
      <w:r w:rsidRPr="004206B7">
        <w:rPr>
          <w:b/>
          <w:sz w:val="24"/>
          <w:szCs w:val="24"/>
        </w:rPr>
        <w:tab/>
        <w:t>DATO FOR FØRSTE MARKEDSFØRINGSTILLADELSE</w:t>
      </w:r>
    </w:p>
    <w:p w14:paraId="2DF90FB0" w14:textId="14358E53" w:rsidR="009260DE" w:rsidRPr="004206B7" w:rsidRDefault="00D50B87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12. juni 2026</w:t>
      </w:r>
    </w:p>
    <w:p w14:paraId="46DBA356" w14:textId="77777777" w:rsidR="009260DE" w:rsidRPr="004206B7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315F042" w14:textId="77777777" w:rsidR="009260DE" w:rsidRPr="004206B7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4206B7">
        <w:rPr>
          <w:b/>
          <w:sz w:val="24"/>
          <w:szCs w:val="24"/>
        </w:rPr>
        <w:t>10.</w:t>
      </w:r>
      <w:r w:rsidRPr="004206B7">
        <w:rPr>
          <w:b/>
          <w:sz w:val="24"/>
          <w:szCs w:val="24"/>
        </w:rPr>
        <w:tab/>
        <w:t>DATO FOR ÆNDRING AF TEKSTEN</w:t>
      </w:r>
    </w:p>
    <w:p w14:paraId="2BAF01E6" w14:textId="286336B0" w:rsidR="009260DE" w:rsidRPr="004206B7" w:rsidRDefault="00E31415" w:rsidP="009260DE">
      <w:pPr>
        <w:tabs>
          <w:tab w:val="left" w:pos="851"/>
        </w:tabs>
        <w:ind w:left="851"/>
        <w:rPr>
          <w:sz w:val="24"/>
          <w:szCs w:val="24"/>
        </w:rPr>
      </w:pPr>
      <w:r w:rsidRPr="004206B7">
        <w:rPr>
          <w:sz w:val="24"/>
          <w:szCs w:val="24"/>
        </w:rPr>
        <w:t>-</w:t>
      </w:r>
    </w:p>
    <w:sectPr w:rsidR="009260DE" w:rsidRPr="004206B7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18A1" w14:textId="77777777" w:rsidR="00793438" w:rsidRDefault="00793438">
      <w:r>
        <w:separator/>
      </w:r>
    </w:p>
  </w:endnote>
  <w:endnote w:type="continuationSeparator" w:id="0">
    <w:p w14:paraId="5972F529" w14:textId="77777777" w:rsidR="00793438" w:rsidRDefault="0079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2294" w14:textId="77777777" w:rsidR="000259B9" w:rsidRDefault="000259B9">
    <w:pPr>
      <w:pStyle w:val="Sidefod"/>
      <w:pBdr>
        <w:bottom w:val="single" w:sz="6" w:space="1" w:color="auto"/>
      </w:pBdr>
    </w:pPr>
  </w:p>
  <w:p w14:paraId="105D57CB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67FDB9EC" w14:textId="5ED5F65A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D50B87">
      <w:rPr>
        <w:i/>
        <w:noProof/>
        <w:sz w:val="18"/>
        <w:szCs w:val="18"/>
      </w:rPr>
      <w:t>Tilease, pulver til oral opløsning.docx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013F" w14:textId="77777777" w:rsidR="00793438" w:rsidRDefault="00793438">
      <w:r>
        <w:separator/>
      </w:r>
    </w:p>
  </w:footnote>
  <w:footnote w:type="continuationSeparator" w:id="0">
    <w:p w14:paraId="0DBFEB31" w14:textId="77777777" w:rsidR="00793438" w:rsidRDefault="00793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7675322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00291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7817068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250649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312851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38"/>
    <w:rsid w:val="000259B9"/>
    <w:rsid w:val="00041491"/>
    <w:rsid w:val="00050D16"/>
    <w:rsid w:val="000730CA"/>
    <w:rsid w:val="00074F2A"/>
    <w:rsid w:val="000853AF"/>
    <w:rsid w:val="000A1CA8"/>
    <w:rsid w:val="000A206F"/>
    <w:rsid w:val="000A466B"/>
    <w:rsid w:val="000B058C"/>
    <w:rsid w:val="000D68B0"/>
    <w:rsid w:val="000E4EE6"/>
    <w:rsid w:val="001454E2"/>
    <w:rsid w:val="001B1C48"/>
    <w:rsid w:val="00206CE8"/>
    <w:rsid w:val="0021526C"/>
    <w:rsid w:val="00283A2B"/>
    <w:rsid w:val="002B30AD"/>
    <w:rsid w:val="002C1EC0"/>
    <w:rsid w:val="002C2C01"/>
    <w:rsid w:val="003A29AE"/>
    <w:rsid w:val="003A32D7"/>
    <w:rsid w:val="003B4074"/>
    <w:rsid w:val="003C769A"/>
    <w:rsid w:val="003D3A90"/>
    <w:rsid w:val="003F1838"/>
    <w:rsid w:val="004110A8"/>
    <w:rsid w:val="004206B7"/>
    <w:rsid w:val="004251C1"/>
    <w:rsid w:val="0045746C"/>
    <w:rsid w:val="0049104B"/>
    <w:rsid w:val="004E3B12"/>
    <w:rsid w:val="00532310"/>
    <w:rsid w:val="00565F0F"/>
    <w:rsid w:val="00594A86"/>
    <w:rsid w:val="00596D86"/>
    <w:rsid w:val="00637F5A"/>
    <w:rsid w:val="00641C65"/>
    <w:rsid w:val="006560B1"/>
    <w:rsid w:val="006756DD"/>
    <w:rsid w:val="0071241E"/>
    <w:rsid w:val="00737275"/>
    <w:rsid w:val="00740EEC"/>
    <w:rsid w:val="0078011A"/>
    <w:rsid w:val="00782AF4"/>
    <w:rsid w:val="00790EE7"/>
    <w:rsid w:val="00793438"/>
    <w:rsid w:val="007B6649"/>
    <w:rsid w:val="0082576E"/>
    <w:rsid w:val="0089346F"/>
    <w:rsid w:val="00907F75"/>
    <w:rsid w:val="0092019E"/>
    <w:rsid w:val="009260DE"/>
    <w:rsid w:val="0093258A"/>
    <w:rsid w:val="009C7BA3"/>
    <w:rsid w:val="009D1F5A"/>
    <w:rsid w:val="00A10294"/>
    <w:rsid w:val="00B003BF"/>
    <w:rsid w:val="00B373D7"/>
    <w:rsid w:val="00B55271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D020B0"/>
    <w:rsid w:val="00D11748"/>
    <w:rsid w:val="00D237F6"/>
    <w:rsid w:val="00D34D98"/>
    <w:rsid w:val="00D366CF"/>
    <w:rsid w:val="00D50B87"/>
    <w:rsid w:val="00D93992"/>
    <w:rsid w:val="00E108AA"/>
    <w:rsid w:val="00E31415"/>
    <w:rsid w:val="00E3749A"/>
    <w:rsid w:val="00E7437F"/>
    <w:rsid w:val="00E74B7E"/>
    <w:rsid w:val="00E865B8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E8C2"/>
  <w15:chartTrackingRefBased/>
  <w15:docId w15:val="{CCD06059-01A1-4FED-8529-99980940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table" w:styleId="Tabel-Gitter">
    <w:name w:val="Table Grid"/>
    <w:basedOn w:val="Tabel-Normal"/>
    <w:uiPriority w:val="59"/>
    <w:rsid w:val="00E3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E314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1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45</TotalTime>
  <Pages>8</Pages>
  <Words>1817</Words>
  <Characters>11992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2025051083, MT</dc:description>
  <cp:lastModifiedBy>Gitte Jørgensen</cp:lastModifiedBy>
  <cp:revision>7</cp:revision>
  <cp:lastPrinted>2012-08-22T08:53:00Z</cp:lastPrinted>
  <dcterms:created xsi:type="dcterms:W3CDTF">2026-06-09T11:46:00Z</dcterms:created>
  <dcterms:modified xsi:type="dcterms:W3CDTF">2026-06-12T10:59:00Z</dcterms:modified>
</cp:coreProperties>
</file>