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813CD" w14:textId="77777777" w:rsidR="004A3BF4" w:rsidRPr="00DC1628" w:rsidRDefault="00056601" w:rsidP="004A3BF4">
      <w:pPr>
        <w:rPr>
          <w:sz w:val="24"/>
          <w:szCs w:val="24"/>
          <w:lang w:val="en-GB"/>
        </w:rPr>
      </w:pPr>
      <w:r w:rsidRPr="00DC1628">
        <w:rPr>
          <w:noProof/>
          <w:sz w:val="24"/>
          <w:szCs w:val="24"/>
          <w:lang w:val="en-GB"/>
        </w:rPr>
        <w:drawing>
          <wp:inline distT="0" distB="0" distL="0" distR="0" wp14:anchorId="13BD1FE2" wp14:editId="597CD78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3AC5C04" w14:textId="77777777" w:rsidR="006B3847" w:rsidRPr="00DC1628" w:rsidRDefault="006B3847" w:rsidP="006B3847">
      <w:pPr>
        <w:rPr>
          <w:sz w:val="24"/>
          <w:szCs w:val="24"/>
          <w:lang w:val="en-GB"/>
        </w:rPr>
      </w:pPr>
    </w:p>
    <w:p w14:paraId="4652D64D" w14:textId="78C6FF38" w:rsidR="006B3847" w:rsidRPr="00906FBB" w:rsidRDefault="006B3847" w:rsidP="006B3847">
      <w:pPr>
        <w:tabs>
          <w:tab w:val="right" w:pos="9356"/>
        </w:tabs>
        <w:rPr>
          <w:b/>
          <w:sz w:val="24"/>
          <w:szCs w:val="24"/>
        </w:rPr>
      </w:pPr>
      <w:r w:rsidRPr="00DC1628">
        <w:rPr>
          <w:b/>
          <w:sz w:val="24"/>
          <w:szCs w:val="24"/>
          <w:lang w:val="en-GB"/>
        </w:rPr>
        <w:tab/>
      </w:r>
      <w:r w:rsidR="00DC134B">
        <w:rPr>
          <w:b/>
          <w:sz w:val="24"/>
          <w:szCs w:val="24"/>
        </w:rPr>
        <w:t>11 March 2025</w:t>
      </w:r>
    </w:p>
    <w:p w14:paraId="72F4216F" w14:textId="77777777" w:rsidR="006B3847" w:rsidRPr="00906FBB" w:rsidRDefault="006B3847" w:rsidP="006B3847">
      <w:pPr>
        <w:rPr>
          <w:sz w:val="24"/>
          <w:szCs w:val="24"/>
        </w:rPr>
      </w:pPr>
    </w:p>
    <w:p w14:paraId="0E5705EC" w14:textId="491815EB" w:rsidR="00421757" w:rsidRPr="00421757" w:rsidRDefault="00421757" w:rsidP="007C5D2A">
      <w:pPr>
        <w:rPr>
          <w:sz w:val="24"/>
          <w:szCs w:val="24"/>
        </w:rPr>
      </w:pPr>
    </w:p>
    <w:p w14:paraId="3FD570C5" w14:textId="77777777" w:rsidR="00DC1628" w:rsidRPr="00421757" w:rsidRDefault="00DC1628" w:rsidP="007C5D2A">
      <w:pPr>
        <w:rPr>
          <w:sz w:val="24"/>
          <w:szCs w:val="24"/>
        </w:rPr>
      </w:pPr>
    </w:p>
    <w:p w14:paraId="5D51B385" w14:textId="77777777" w:rsidR="007C5D2A" w:rsidRPr="00DC1628" w:rsidRDefault="007C5D2A" w:rsidP="007C5D2A">
      <w:pPr>
        <w:jc w:val="center"/>
        <w:rPr>
          <w:b/>
          <w:sz w:val="24"/>
          <w:szCs w:val="24"/>
          <w:lang w:val="en-GB"/>
        </w:rPr>
      </w:pPr>
      <w:bookmarkStart w:id="0" w:name="_Hlk49158549"/>
      <w:r w:rsidRPr="00DC1628">
        <w:rPr>
          <w:b/>
          <w:sz w:val="24"/>
          <w:szCs w:val="24"/>
          <w:lang w:val="en-GB"/>
        </w:rPr>
        <w:t>SUMMARY OF PRODUCT CHARACTERISTICS</w:t>
      </w:r>
    </w:p>
    <w:bookmarkEnd w:id="0"/>
    <w:p w14:paraId="2260CE8F" w14:textId="77777777" w:rsidR="007C5D2A" w:rsidRPr="00DC1628" w:rsidRDefault="007C5D2A" w:rsidP="007C5D2A">
      <w:pPr>
        <w:jc w:val="center"/>
        <w:rPr>
          <w:sz w:val="24"/>
          <w:szCs w:val="24"/>
          <w:lang w:val="en-GB"/>
        </w:rPr>
      </w:pPr>
    </w:p>
    <w:p w14:paraId="76E1043C" w14:textId="77777777" w:rsidR="007C5D2A" w:rsidRPr="00906FBB" w:rsidRDefault="007C5D2A" w:rsidP="007C5D2A">
      <w:pPr>
        <w:jc w:val="center"/>
        <w:rPr>
          <w:b/>
          <w:sz w:val="24"/>
          <w:szCs w:val="24"/>
          <w:lang w:val="en-US"/>
        </w:rPr>
      </w:pPr>
      <w:r w:rsidRPr="00906FBB">
        <w:rPr>
          <w:b/>
          <w:sz w:val="24"/>
          <w:szCs w:val="24"/>
          <w:lang w:val="en-US"/>
        </w:rPr>
        <w:t>for</w:t>
      </w:r>
    </w:p>
    <w:p w14:paraId="316C6C28" w14:textId="77777777" w:rsidR="007C5D2A" w:rsidRPr="00906FBB" w:rsidRDefault="007C5D2A" w:rsidP="007C5D2A">
      <w:pPr>
        <w:jc w:val="center"/>
        <w:rPr>
          <w:sz w:val="24"/>
          <w:szCs w:val="24"/>
          <w:lang w:val="en-US"/>
        </w:rPr>
      </w:pPr>
    </w:p>
    <w:p w14:paraId="277E05D6" w14:textId="2B310235" w:rsidR="007C5D2A" w:rsidRPr="00906FBB" w:rsidRDefault="00BB7771" w:rsidP="007C5D2A">
      <w:pPr>
        <w:jc w:val="center"/>
        <w:rPr>
          <w:b/>
          <w:sz w:val="24"/>
          <w:szCs w:val="24"/>
          <w:lang w:val="en-US"/>
        </w:rPr>
      </w:pPr>
      <w:proofErr w:type="spellStart"/>
      <w:r w:rsidRPr="00906FBB">
        <w:rPr>
          <w:b/>
          <w:sz w:val="24"/>
          <w:szCs w:val="24"/>
          <w:lang w:val="en-US"/>
        </w:rPr>
        <w:t>Tinguri</w:t>
      </w:r>
      <w:proofErr w:type="spellEnd"/>
      <w:r w:rsidRPr="00906FBB">
        <w:rPr>
          <w:b/>
          <w:sz w:val="24"/>
          <w:szCs w:val="24"/>
          <w:lang w:val="en-US"/>
        </w:rPr>
        <w:t>, syrup</w:t>
      </w:r>
    </w:p>
    <w:p w14:paraId="28B2AB46" w14:textId="77777777" w:rsidR="007C5D2A" w:rsidRPr="00906FBB" w:rsidRDefault="007C5D2A" w:rsidP="007C5D2A">
      <w:pPr>
        <w:jc w:val="both"/>
        <w:rPr>
          <w:sz w:val="24"/>
          <w:szCs w:val="24"/>
          <w:lang w:val="en-US"/>
        </w:rPr>
      </w:pPr>
    </w:p>
    <w:p w14:paraId="69616FAC" w14:textId="77777777" w:rsidR="0042292D" w:rsidRPr="00906FBB" w:rsidRDefault="0042292D" w:rsidP="007C5D2A">
      <w:pPr>
        <w:jc w:val="both"/>
        <w:rPr>
          <w:sz w:val="24"/>
          <w:szCs w:val="24"/>
          <w:lang w:val="en-US"/>
        </w:rPr>
      </w:pPr>
    </w:p>
    <w:p w14:paraId="5A06121E" w14:textId="77777777" w:rsidR="008F2F8C" w:rsidRPr="00906FBB" w:rsidRDefault="008F2F8C" w:rsidP="008F2F8C">
      <w:pPr>
        <w:tabs>
          <w:tab w:val="left" w:pos="8222"/>
        </w:tabs>
        <w:ind w:left="851" w:hanging="851"/>
        <w:rPr>
          <w:b/>
          <w:sz w:val="24"/>
          <w:szCs w:val="24"/>
          <w:lang w:val="en-US"/>
        </w:rPr>
      </w:pPr>
      <w:r w:rsidRPr="00906FBB">
        <w:rPr>
          <w:b/>
          <w:sz w:val="24"/>
          <w:szCs w:val="24"/>
          <w:lang w:val="en-US"/>
        </w:rPr>
        <w:t>0.</w:t>
      </w:r>
      <w:r w:rsidRPr="00906FBB">
        <w:rPr>
          <w:b/>
          <w:sz w:val="24"/>
          <w:szCs w:val="24"/>
          <w:lang w:val="en-US"/>
        </w:rPr>
        <w:tab/>
      </w:r>
      <w:proofErr w:type="gramStart"/>
      <w:r w:rsidRPr="00906FBB">
        <w:rPr>
          <w:b/>
          <w:sz w:val="24"/>
          <w:szCs w:val="24"/>
          <w:lang w:val="en-US"/>
        </w:rPr>
        <w:t>D.SP.NO</w:t>
      </w:r>
      <w:proofErr w:type="gramEnd"/>
      <w:r w:rsidRPr="00906FBB">
        <w:rPr>
          <w:b/>
          <w:sz w:val="24"/>
          <w:szCs w:val="24"/>
          <w:lang w:val="en-US"/>
        </w:rPr>
        <w:t>.</w:t>
      </w:r>
    </w:p>
    <w:p w14:paraId="35F1F3AC" w14:textId="19B8A79A" w:rsidR="008F2F8C" w:rsidRPr="00906FBB" w:rsidRDefault="00BB7771" w:rsidP="008F2F8C">
      <w:pPr>
        <w:tabs>
          <w:tab w:val="left" w:pos="8222"/>
        </w:tabs>
        <w:ind w:left="851"/>
        <w:rPr>
          <w:sz w:val="24"/>
          <w:szCs w:val="24"/>
          <w:lang w:val="en-US"/>
        </w:rPr>
      </w:pPr>
      <w:r w:rsidRPr="00906FBB">
        <w:rPr>
          <w:sz w:val="24"/>
          <w:szCs w:val="24"/>
          <w:lang w:val="en-US"/>
        </w:rPr>
        <w:t>29066</w:t>
      </w:r>
    </w:p>
    <w:p w14:paraId="1E1DE11B" w14:textId="77777777" w:rsidR="007C5D2A" w:rsidRPr="00906FBB" w:rsidRDefault="007C5D2A" w:rsidP="007C5D2A">
      <w:pPr>
        <w:tabs>
          <w:tab w:val="left" w:pos="851"/>
        </w:tabs>
        <w:jc w:val="both"/>
        <w:rPr>
          <w:sz w:val="24"/>
          <w:szCs w:val="24"/>
          <w:lang w:val="en-US"/>
        </w:rPr>
      </w:pPr>
    </w:p>
    <w:p w14:paraId="7B51978E" w14:textId="77777777" w:rsidR="007C5D2A" w:rsidRPr="00DC1628" w:rsidRDefault="009925C9" w:rsidP="007C5D2A">
      <w:pPr>
        <w:tabs>
          <w:tab w:val="left" w:pos="851"/>
        </w:tabs>
        <w:ind w:left="851" w:hanging="851"/>
        <w:rPr>
          <w:sz w:val="24"/>
          <w:szCs w:val="24"/>
          <w:lang w:val="en-GB"/>
        </w:rPr>
      </w:pPr>
      <w:r w:rsidRPr="00DC1628">
        <w:rPr>
          <w:b/>
          <w:sz w:val="24"/>
          <w:szCs w:val="24"/>
          <w:lang w:val="en-GB"/>
        </w:rPr>
        <w:t>1.</w:t>
      </w:r>
      <w:r w:rsidR="007C5D2A" w:rsidRPr="00DC1628">
        <w:rPr>
          <w:b/>
          <w:sz w:val="24"/>
          <w:szCs w:val="24"/>
          <w:lang w:val="en-GB"/>
        </w:rPr>
        <w:tab/>
        <w:t>NAME OF THE MEDICINAL PRODUCT</w:t>
      </w:r>
    </w:p>
    <w:p w14:paraId="04301F1F" w14:textId="654F1E03" w:rsidR="007C5D2A" w:rsidRPr="00DC1628" w:rsidRDefault="00BB7771" w:rsidP="004A3BF4">
      <w:pPr>
        <w:tabs>
          <w:tab w:val="left" w:pos="851"/>
        </w:tabs>
        <w:ind w:left="851"/>
        <w:rPr>
          <w:sz w:val="24"/>
          <w:szCs w:val="24"/>
          <w:lang w:val="en-GB"/>
        </w:rPr>
      </w:pPr>
      <w:proofErr w:type="spellStart"/>
      <w:r w:rsidRPr="00DC1628">
        <w:rPr>
          <w:sz w:val="24"/>
          <w:szCs w:val="24"/>
          <w:lang w:val="en-GB"/>
        </w:rPr>
        <w:t>Tinguri</w:t>
      </w:r>
      <w:proofErr w:type="spellEnd"/>
    </w:p>
    <w:p w14:paraId="4526978B" w14:textId="77777777" w:rsidR="007C5D2A" w:rsidRPr="00DC1628" w:rsidRDefault="007C5D2A" w:rsidP="004A3BF4">
      <w:pPr>
        <w:tabs>
          <w:tab w:val="left" w:pos="851"/>
        </w:tabs>
        <w:ind w:left="851"/>
        <w:rPr>
          <w:sz w:val="24"/>
          <w:szCs w:val="24"/>
          <w:lang w:val="en-GB"/>
        </w:rPr>
      </w:pPr>
    </w:p>
    <w:p w14:paraId="74907A92" w14:textId="77777777" w:rsidR="007C5D2A" w:rsidRPr="00DC1628" w:rsidRDefault="009925C9" w:rsidP="007C5D2A">
      <w:pPr>
        <w:ind w:left="851" w:hanging="851"/>
        <w:rPr>
          <w:b/>
          <w:sz w:val="24"/>
          <w:szCs w:val="24"/>
          <w:lang w:val="en-GB"/>
        </w:rPr>
      </w:pPr>
      <w:r w:rsidRPr="00DC1628">
        <w:rPr>
          <w:b/>
          <w:sz w:val="24"/>
          <w:szCs w:val="24"/>
          <w:lang w:val="en-GB"/>
        </w:rPr>
        <w:t>2.</w:t>
      </w:r>
      <w:r w:rsidR="007C5D2A" w:rsidRPr="00DC1628">
        <w:rPr>
          <w:b/>
          <w:sz w:val="24"/>
          <w:szCs w:val="24"/>
          <w:lang w:val="en-GB"/>
        </w:rPr>
        <w:tab/>
        <w:t>QUALITATIVE AND QUANTITATIVE COMPOSITION</w:t>
      </w:r>
    </w:p>
    <w:p w14:paraId="0F7985BE" w14:textId="61C4710F" w:rsidR="00EB54F4" w:rsidRPr="00DC1628" w:rsidRDefault="00EB54F4" w:rsidP="00AC517B">
      <w:pPr>
        <w:ind w:left="851" w:right="577"/>
        <w:rPr>
          <w:sz w:val="24"/>
          <w:szCs w:val="24"/>
          <w:lang w:val="en-GB"/>
        </w:rPr>
      </w:pPr>
      <w:r w:rsidRPr="00DC1628">
        <w:rPr>
          <w:sz w:val="24"/>
          <w:szCs w:val="24"/>
          <w:lang w:val="en-GB"/>
        </w:rPr>
        <w:t>1 ml of syrup contains 1.5 mg butamirate citrate equivalent to 0.924 mg butamirate.</w:t>
      </w:r>
    </w:p>
    <w:p w14:paraId="440C7542" w14:textId="48323067" w:rsidR="00EB54F4" w:rsidRPr="00DC1628" w:rsidRDefault="00EB54F4" w:rsidP="00AC517B">
      <w:pPr>
        <w:ind w:left="851" w:right="577"/>
        <w:rPr>
          <w:sz w:val="24"/>
          <w:szCs w:val="24"/>
          <w:lang w:val="en-GB"/>
        </w:rPr>
      </w:pPr>
      <w:r w:rsidRPr="00DC1628">
        <w:rPr>
          <w:sz w:val="24"/>
          <w:szCs w:val="24"/>
          <w:lang w:val="en-GB"/>
        </w:rPr>
        <w:t>5 ml of syrup contains 7.5 mg butamirate citrate equivalent to 4.62 mg butamirate.</w:t>
      </w:r>
    </w:p>
    <w:p w14:paraId="2CFB3766" w14:textId="77777777" w:rsidR="00EB54F4" w:rsidRPr="00DC1628" w:rsidRDefault="00EB54F4" w:rsidP="00AC517B">
      <w:pPr>
        <w:autoSpaceDE w:val="0"/>
        <w:autoSpaceDN w:val="0"/>
        <w:adjustRightInd w:val="0"/>
        <w:ind w:left="851"/>
        <w:rPr>
          <w:bCs/>
          <w:sz w:val="24"/>
          <w:szCs w:val="24"/>
          <w:highlight w:val="red"/>
          <w:lang w:val="en-US"/>
        </w:rPr>
      </w:pPr>
    </w:p>
    <w:p w14:paraId="3C891667" w14:textId="77777777" w:rsidR="00EB54F4" w:rsidRPr="00DC1628" w:rsidRDefault="00EB54F4" w:rsidP="00AC517B">
      <w:pPr>
        <w:autoSpaceDE w:val="0"/>
        <w:autoSpaceDN w:val="0"/>
        <w:adjustRightInd w:val="0"/>
        <w:ind w:left="851"/>
        <w:rPr>
          <w:noProof/>
          <w:sz w:val="24"/>
          <w:szCs w:val="24"/>
          <w:lang w:val="en-US"/>
        </w:rPr>
      </w:pPr>
      <w:r w:rsidRPr="00DC1628">
        <w:rPr>
          <w:noProof/>
          <w:sz w:val="24"/>
          <w:szCs w:val="24"/>
          <w:u w:val="single"/>
          <w:lang w:val="en-US"/>
        </w:rPr>
        <w:t>Excipient with known effect:</w:t>
      </w:r>
    </w:p>
    <w:p w14:paraId="722D38CB" w14:textId="77777777" w:rsidR="00EB54F4" w:rsidRPr="00DC1628" w:rsidRDefault="00EB54F4" w:rsidP="00AC517B">
      <w:pPr>
        <w:autoSpaceDE w:val="0"/>
        <w:autoSpaceDN w:val="0"/>
        <w:adjustRightInd w:val="0"/>
        <w:ind w:left="851"/>
        <w:rPr>
          <w:noProof/>
          <w:sz w:val="24"/>
          <w:szCs w:val="24"/>
          <w:lang w:val="en-US"/>
        </w:rPr>
      </w:pPr>
      <w:r w:rsidRPr="00DC1628">
        <w:rPr>
          <w:noProof/>
          <w:sz w:val="24"/>
          <w:szCs w:val="24"/>
          <w:lang w:val="en-US"/>
        </w:rPr>
        <w:t>Each 5 ml contain 2250 mg sorbitol (E 420) which is equivalent to 450 mg/ml.</w:t>
      </w:r>
    </w:p>
    <w:p w14:paraId="4BE8B99C" w14:textId="77777777" w:rsidR="00EB54F4" w:rsidRPr="00DC1628" w:rsidRDefault="00EB54F4" w:rsidP="00AC517B">
      <w:pPr>
        <w:autoSpaceDE w:val="0"/>
        <w:autoSpaceDN w:val="0"/>
        <w:adjustRightInd w:val="0"/>
        <w:ind w:left="851"/>
        <w:rPr>
          <w:noProof/>
          <w:sz w:val="24"/>
          <w:szCs w:val="24"/>
          <w:lang w:val="en-GB"/>
        </w:rPr>
      </w:pPr>
      <w:r w:rsidRPr="00DC1628">
        <w:rPr>
          <w:noProof/>
          <w:sz w:val="24"/>
          <w:szCs w:val="24"/>
          <w:lang w:val="en-GB"/>
        </w:rPr>
        <w:t>Each 5 ml contain 16,9 mg propylene glycol (E 1520) which is equivalent to 3,38 mg/ml.</w:t>
      </w:r>
    </w:p>
    <w:p w14:paraId="3A2564DF" w14:textId="77777777" w:rsidR="00EB54F4" w:rsidRPr="00DC1628" w:rsidRDefault="00EB54F4" w:rsidP="00AC517B">
      <w:pPr>
        <w:autoSpaceDE w:val="0"/>
        <w:autoSpaceDN w:val="0"/>
        <w:adjustRightInd w:val="0"/>
        <w:ind w:left="851"/>
        <w:rPr>
          <w:noProof/>
          <w:sz w:val="24"/>
          <w:szCs w:val="24"/>
          <w:lang w:val="en-GB"/>
        </w:rPr>
      </w:pPr>
      <w:r w:rsidRPr="00DC1628">
        <w:rPr>
          <w:noProof/>
          <w:sz w:val="24"/>
          <w:szCs w:val="24"/>
          <w:lang w:val="en-GB"/>
        </w:rPr>
        <w:t>Each 5 ml contain 5,0 mg sodium benzoate (E 211) which is equivalent to 1,0 mg/ml.</w:t>
      </w:r>
    </w:p>
    <w:p w14:paraId="479B98A0" w14:textId="77777777" w:rsidR="00EB54F4" w:rsidRPr="00DC1628" w:rsidRDefault="00EB54F4" w:rsidP="00AC517B">
      <w:pPr>
        <w:autoSpaceDE w:val="0"/>
        <w:autoSpaceDN w:val="0"/>
        <w:adjustRightInd w:val="0"/>
        <w:ind w:left="851"/>
        <w:rPr>
          <w:noProof/>
          <w:sz w:val="24"/>
          <w:szCs w:val="24"/>
          <w:lang w:val="en-US"/>
        </w:rPr>
      </w:pPr>
    </w:p>
    <w:p w14:paraId="373B1542" w14:textId="77777777" w:rsidR="00EB54F4" w:rsidRPr="00DC1628" w:rsidRDefault="00EB54F4" w:rsidP="00AC517B">
      <w:pPr>
        <w:autoSpaceDE w:val="0"/>
        <w:autoSpaceDN w:val="0"/>
        <w:adjustRightInd w:val="0"/>
        <w:ind w:left="851"/>
        <w:rPr>
          <w:bCs/>
          <w:sz w:val="24"/>
          <w:szCs w:val="24"/>
          <w:lang w:val="bg-BG"/>
        </w:rPr>
      </w:pPr>
      <w:r w:rsidRPr="00DC1628">
        <w:rPr>
          <w:noProof/>
          <w:sz w:val="24"/>
          <w:szCs w:val="24"/>
          <w:lang w:val="en-US"/>
        </w:rPr>
        <w:t>For the full list of excipients, see section</w:t>
      </w:r>
      <w:r w:rsidRPr="00DC1628">
        <w:rPr>
          <w:bCs/>
          <w:sz w:val="24"/>
          <w:szCs w:val="24"/>
          <w:lang w:val="bg-BG"/>
        </w:rPr>
        <w:t xml:space="preserve"> 6.1</w:t>
      </w:r>
    </w:p>
    <w:p w14:paraId="59AF6303" w14:textId="77777777" w:rsidR="007C5D2A" w:rsidRPr="00DC1628" w:rsidRDefault="007C5D2A" w:rsidP="004A3BF4">
      <w:pPr>
        <w:tabs>
          <w:tab w:val="left" w:pos="851"/>
        </w:tabs>
        <w:ind w:left="851"/>
        <w:rPr>
          <w:sz w:val="24"/>
          <w:szCs w:val="24"/>
          <w:lang w:val="en-GB"/>
        </w:rPr>
      </w:pPr>
    </w:p>
    <w:p w14:paraId="38764235" w14:textId="77777777" w:rsidR="007C5D2A" w:rsidRPr="00DC1628" w:rsidRDefault="007C5D2A" w:rsidP="007C5D2A">
      <w:pPr>
        <w:tabs>
          <w:tab w:val="left" w:pos="851"/>
        </w:tabs>
        <w:ind w:left="851" w:hanging="851"/>
        <w:rPr>
          <w:b/>
          <w:sz w:val="24"/>
          <w:szCs w:val="24"/>
          <w:lang w:val="en-GB"/>
        </w:rPr>
      </w:pPr>
      <w:r w:rsidRPr="00DC1628">
        <w:rPr>
          <w:b/>
          <w:sz w:val="24"/>
          <w:szCs w:val="24"/>
          <w:lang w:val="en-GB"/>
        </w:rPr>
        <w:t>3.</w:t>
      </w:r>
      <w:r w:rsidRPr="00DC1628">
        <w:rPr>
          <w:b/>
          <w:sz w:val="24"/>
          <w:szCs w:val="24"/>
          <w:lang w:val="en-GB"/>
        </w:rPr>
        <w:tab/>
        <w:t>PHARMACEUTICAL FORM</w:t>
      </w:r>
    </w:p>
    <w:p w14:paraId="7EE231FB" w14:textId="77777777" w:rsidR="00EB54F4" w:rsidRPr="00DC1628" w:rsidRDefault="00EB54F4" w:rsidP="00AC517B">
      <w:pPr>
        <w:ind w:left="851"/>
        <w:rPr>
          <w:sz w:val="24"/>
          <w:szCs w:val="24"/>
          <w:lang w:val="bg-BG"/>
        </w:rPr>
      </w:pPr>
      <w:r w:rsidRPr="00DC1628">
        <w:rPr>
          <w:sz w:val="24"/>
          <w:szCs w:val="24"/>
          <w:lang w:val="bg-BG"/>
        </w:rPr>
        <w:t>Syrup</w:t>
      </w:r>
    </w:p>
    <w:p w14:paraId="46A4691D" w14:textId="77777777" w:rsidR="00EB54F4" w:rsidRPr="00DC1628" w:rsidRDefault="00EB54F4" w:rsidP="00AC517B">
      <w:pPr>
        <w:ind w:left="851"/>
        <w:rPr>
          <w:sz w:val="24"/>
          <w:szCs w:val="24"/>
          <w:highlight w:val="red"/>
          <w:lang w:val="bg-BG"/>
        </w:rPr>
      </w:pPr>
    </w:p>
    <w:p w14:paraId="2C614BFD" w14:textId="77777777" w:rsidR="00EB54F4" w:rsidRPr="00DC1628" w:rsidRDefault="00EB54F4" w:rsidP="00AC517B">
      <w:pPr>
        <w:ind w:left="851"/>
        <w:rPr>
          <w:sz w:val="24"/>
          <w:szCs w:val="24"/>
          <w:lang w:val="en-US"/>
        </w:rPr>
      </w:pPr>
      <w:proofErr w:type="spellStart"/>
      <w:r w:rsidRPr="00DC1628">
        <w:rPr>
          <w:sz w:val="24"/>
          <w:szCs w:val="24"/>
          <w:lang w:val="en-US"/>
        </w:rPr>
        <w:t>Colourless</w:t>
      </w:r>
      <w:proofErr w:type="spellEnd"/>
      <w:r w:rsidRPr="00DC1628">
        <w:rPr>
          <w:sz w:val="24"/>
          <w:szCs w:val="24"/>
          <w:lang w:val="bg-BG"/>
        </w:rPr>
        <w:t xml:space="preserve"> or </w:t>
      </w:r>
      <w:proofErr w:type="gramStart"/>
      <w:r w:rsidRPr="00DC1628">
        <w:rPr>
          <w:sz w:val="24"/>
          <w:szCs w:val="24"/>
          <w:lang w:val="en-US"/>
        </w:rPr>
        <w:t>pale yellow</w:t>
      </w:r>
      <w:proofErr w:type="gramEnd"/>
      <w:r w:rsidRPr="00DC1628">
        <w:rPr>
          <w:sz w:val="24"/>
          <w:szCs w:val="24"/>
          <w:lang w:val="bg-BG"/>
        </w:rPr>
        <w:t xml:space="preserve"> </w:t>
      </w:r>
      <w:r w:rsidRPr="00DC1628">
        <w:rPr>
          <w:sz w:val="24"/>
          <w:szCs w:val="24"/>
          <w:lang w:val="en-US"/>
        </w:rPr>
        <w:t>liquid.</w:t>
      </w:r>
    </w:p>
    <w:p w14:paraId="67151541" w14:textId="77777777" w:rsidR="007C5D2A" w:rsidRPr="00DC1628" w:rsidRDefault="007C5D2A" w:rsidP="004A3BF4">
      <w:pPr>
        <w:tabs>
          <w:tab w:val="left" w:pos="851"/>
        </w:tabs>
        <w:ind w:left="851"/>
        <w:rPr>
          <w:sz w:val="24"/>
          <w:szCs w:val="24"/>
          <w:lang w:val="en-GB"/>
        </w:rPr>
      </w:pPr>
    </w:p>
    <w:p w14:paraId="2EDD4A96" w14:textId="77777777" w:rsidR="007C5D2A" w:rsidRPr="00DC1628" w:rsidRDefault="007C5D2A" w:rsidP="004A3BF4">
      <w:pPr>
        <w:tabs>
          <w:tab w:val="left" w:pos="851"/>
        </w:tabs>
        <w:ind w:left="851"/>
        <w:rPr>
          <w:sz w:val="24"/>
          <w:szCs w:val="24"/>
          <w:lang w:val="en-GB"/>
        </w:rPr>
      </w:pPr>
    </w:p>
    <w:p w14:paraId="7A832C83" w14:textId="77777777" w:rsidR="007C5D2A" w:rsidRPr="00DC1628" w:rsidRDefault="007C5D2A" w:rsidP="007C5D2A">
      <w:pPr>
        <w:ind w:left="851" w:hanging="851"/>
        <w:rPr>
          <w:b/>
          <w:sz w:val="24"/>
          <w:szCs w:val="24"/>
          <w:lang w:val="en-GB"/>
        </w:rPr>
      </w:pPr>
      <w:r w:rsidRPr="00DC1628">
        <w:rPr>
          <w:b/>
          <w:sz w:val="24"/>
          <w:szCs w:val="24"/>
          <w:lang w:val="en-GB"/>
        </w:rPr>
        <w:t>4.</w:t>
      </w:r>
      <w:r w:rsidRPr="00DC1628">
        <w:rPr>
          <w:b/>
          <w:sz w:val="24"/>
          <w:szCs w:val="24"/>
          <w:lang w:val="en-GB"/>
        </w:rPr>
        <w:tab/>
        <w:t>CLINICAL PARTICULARS</w:t>
      </w:r>
    </w:p>
    <w:p w14:paraId="154F9D7F" w14:textId="77777777" w:rsidR="007C5D2A" w:rsidRPr="00DC1628" w:rsidRDefault="007C5D2A" w:rsidP="004A3BF4">
      <w:pPr>
        <w:tabs>
          <w:tab w:val="left" w:pos="851"/>
        </w:tabs>
        <w:ind w:left="851"/>
        <w:rPr>
          <w:sz w:val="24"/>
          <w:szCs w:val="24"/>
          <w:lang w:val="en-GB"/>
        </w:rPr>
      </w:pPr>
    </w:p>
    <w:p w14:paraId="2A59C703" w14:textId="77777777" w:rsidR="007C5D2A" w:rsidRPr="00DC1628" w:rsidRDefault="007C5D2A" w:rsidP="007C5D2A">
      <w:pPr>
        <w:ind w:left="851" w:hanging="851"/>
        <w:rPr>
          <w:b/>
          <w:sz w:val="24"/>
          <w:szCs w:val="24"/>
          <w:u w:val="single"/>
          <w:lang w:val="en-GB"/>
        </w:rPr>
      </w:pPr>
      <w:r w:rsidRPr="00DC1628">
        <w:rPr>
          <w:b/>
          <w:sz w:val="24"/>
          <w:szCs w:val="24"/>
          <w:lang w:val="en-GB"/>
        </w:rPr>
        <w:t>4.1</w:t>
      </w:r>
      <w:r w:rsidRPr="00DC1628">
        <w:rPr>
          <w:b/>
          <w:sz w:val="24"/>
          <w:szCs w:val="24"/>
          <w:lang w:val="en-GB"/>
        </w:rPr>
        <w:tab/>
        <w:t>Therapeutic indications</w:t>
      </w:r>
    </w:p>
    <w:p w14:paraId="02334689" w14:textId="77777777" w:rsidR="00EB54F4" w:rsidRPr="00DC1628" w:rsidRDefault="00EB54F4" w:rsidP="00AC517B">
      <w:pPr>
        <w:ind w:left="851" w:right="577"/>
        <w:rPr>
          <w:sz w:val="24"/>
          <w:szCs w:val="24"/>
          <w:lang w:val="en-GB"/>
        </w:rPr>
      </w:pPr>
      <w:r w:rsidRPr="00DC1628">
        <w:rPr>
          <w:sz w:val="24"/>
          <w:szCs w:val="24"/>
          <w:lang w:val="bg-BG"/>
        </w:rPr>
        <w:t xml:space="preserve">Symptomatic treatment </w:t>
      </w:r>
      <w:r w:rsidRPr="00DC1628">
        <w:rPr>
          <w:sz w:val="24"/>
          <w:szCs w:val="24"/>
          <w:lang w:val="en-US"/>
        </w:rPr>
        <w:t>of</w:t>
      </w:r>
      <w:r w:rsidRPr="00DC1628">
        <w:rPr>
          <w:sz w:val="24"/>
          <w:szCs w:val="24"/>
          <w:lang w:val="bg-BG"/>
        </w:rPr>
        <w:t xml:space="preserve"> </w:t>
      </w:r>
      <w:r w:rsidRPr="00DC1628">
        <w:rPr>
          <w:sz w:val="24"/>
          <w:szCs w:val="24"/>
          <w:lang w:val="en-GB"/>
        </w:rPr>
        <w:t>non-productive</w:t>
      </w:r>
      <w:r w:rsidRPr="00DC1628">
        <w:rPr>
          <w:sz w:val="24"/>
          <w:szCs w:val="24"/>
          <w:lang w:val="bg-BG"/>
        </w:rPr>
        <w:t xml:space="preserve"> cough</w:t>
      </w:r>
      <w:r w:rsidRPr="00DC1628">
        <w:rPr>
          <w:sz w:val="24"/>
          <w:szCs w:val="24"/>
          <w:lang w:val="en-GB"/>
        </w:rPr>
        <w:t>.</w:t>
      </w:r>
    </w:p>
    <w:p w14:paraId="676811A4" w14:textId="77777777" w:rsidR="007C5D2A" w:rsidRPr="00DC1628" w:rsidRDefault="007C5D2A" w:rsidP="00A85D26">
      <w:pPr>
        <w:tabs>
          <w:tab w:val="left" w:pos="851"/>
        </w:tabs>
        <w:ind w:left="851"/>
        <w:rPr>
          <w:sz w:val="24"/>
          <w:szCs w:val="24"/>
          <w:lang w:val="en-GB"/>
        </w:rPr>
      </w:pPr>
    </w:p>
    <w:p w14:paraId="1E79C128" w14:textId="77777777" w:rsidR="007C5D2A" w:rsidRPr="00DC1628" w:rsidRDefault="009925C9" w:rsidP="007C5D2A">
      <w:pPr>
        <w:tabs>
          <w:tab w:val="left" w:pos="851"/>
        </w:tabs>
        <w:ind w:left="851" w:hanging="851"/>
        <w:rPr>
          <w:sz w:val="24"/>
          <w:szCs w:val="24"/>
          <w:lang w:val="en-GB"/>
        </w:rPr>
      </w:pPr>
      <w:r w:rsidRPr="00DC1628">
        <w:rPr>
          <w:b/>
          <w:sz w:val="24"/>
          <w:szCs w:val="24"/>
          <w:lang w:val="en-GB"/>
        </w:rPr>
        <w:t>4.2</w:t>
      </w:r>
      <w:r w:rsidR="007C5D2A" w:rsidRPr="00DC1628">
        <w:rPr>
          <w:b/>
          <w:sz w:val="24"/>
          <w:szCs w:val="24"/>
          <w:lang w:val="en-GB"/>
        </w:rPr>
        <w:tab/>
        <w:t>Posology and method of administration</w:t>
      </w:r>
    </w:p>
    <w:p w14:paraId="114E8E89" w14:textId="77777777" w:rsidR="003274C6" w:rsidRPr="00DC1628" w:rsidRDefault="003274C6" w:rsidP="00AC517B">
      <w:pPr>
        <w:ind w:left="851" w:right="577"/>
        <w:rPr>
          <w:sz w:val="24"/>
          <w:szCs w:val="24"/>
          <w:u w:val="single"/>
          <w:lang w:val="en-GB"/>
        </w:rPr>
      </w:pPr>
    </w:p>
    <w:p w14:paraId="6C661185" w14:textId="77777777" w:rsidR="00F738C0" w:rsidRPr="00DC1628" w:rsidRDefault="00F738C0" w:rsidP="00DC1628">
      <w:pPr>
        <w:ind w:left="851" w:right="577"/>
        <w:rPr>
          <w:sz w:val="24"/>
          <w:szCs w:val="24"/>
          <w:u w:val="single"/>
          <w:lang w:val="en-GB"/>
        </w:rPr>
      </w:pPr>
      <w:r w:rsidRPr="00DC1628">
        <w:rPr>
          <w:sz w:val="24"/>
          <w:szCs w:val="24"/>
          <w:u w:val="single"/>
          <w:lang w:val="en-GB"/>
        </w:rPr>
        <w:t>Posology</w:t>
      </w:r>
    </w:p>
    <w:p w14:paraId="22BB1035" w14:textId="77777777" w:rsidR="00F738C0" w:rsidRPr="00DC1628" w:rsidRDefault="00F738C0" w:rsidP="00DC1628">
      <w:pPr>
        <w:ind w:left="851" w:right="577"/>
        <w:rPr>
          <w:sz w:val="24"/>
          <w:szCs w:val="24"/>
          <w:lang w:val="en-GB"/>
        </w:rPr>
      </w:pPr>
      <w:r w:rsidRPr="00DC1628">
        <w:rPr>
          <w:sz w:val="24"/>
          <w:szCs w:val="24"/>
          <w:lang w:val="bg-BG"/>
        </w:rPr>
        <w:t>Recommended dose</w:t>
      </w:r>
    </w:p>
    <w:p w14:paraId="14A281D2" w14:textId="77777777" w:rsidR="00DC5D83" w:rsidRDefault="00DC5D83" w:rsidP="00DC1628">
      <w:pPr>
        <w:ind w:left="851" w:right="578"/>
        <w:rPr>
          <w:i/>
          <w:sz w:val="24"/>
          <w:szCs w:val="24"/>
          <w:lang w:val="bg-BG"/>
        </w:rPr>
      </w:pPr>
    </w:p>
    <w:p w14:paraId="7D698283" w14:textId="37E98510" w:rsidR="00F738C0" w:rsidRPr="00DC1628" w:rsidRDefault="00F738C0" w:rsidP="00DC1628">
      <w:pPr>
        <w:ind w:left="851" w:right="578"/>
        <w:rPr>
          <w:i/>
          <w:sz w:val="24"/>
          <w:szCs w:val="24"/>
          <w:lang w:val="en-US"/>
        </w:rPr>
      </w:pPr>
      <w:r w:rsidRPr="00DC1628">
        <w:rPr>
          <w:i/>
          <w:sz w:val="24"/>
          <w:szCs w:val="24"/>
          <w:lang w:val="bg-BG"/>
        </w:rPr>
        <w:t>Adults</w:t>
      </w:r>
      <w:r w:rsidRPr="00DC1628">
        <w:rPr>
          <w:i/>
          <w:sz w:val="24"/>
          <w:szCs w:val="24"/>
          <w:lang w:val="en-US"/>
        </w:rPr>
        <w:t xml:space="preserve"> and adolescents from 16 years of age</w:t>
      </w:r>
    </w:p>
    <w:p w14:paraId="53C0E3CF" w14:textId="77777777" w:rsidR="00F738C0" w:rsidRPr="00DC1628" w:rsidRDefault="00F738C0" w:rsidP="00DC1628">
      <w:pPr>
        <w:ind w:left="851" w:right="577"/>
        <w:rPr>
          <w:sz w:val="24"/>
          <w:szCs w:val="24"/>
          <w:lang w:val="bg-BG"/>
        </w:rPr>
      </w:pPr>
      <w:r w:rsidRPr="00DC1628">
        <w:rPr>
          <w:sz w:val="24"/>
          <w:szCs w:val="24"/>
          <w:lang w:val="bg-BG"/>
        </w:rPr>
        <w:lastRenderedPageBreak/>
        <w:t xml:space="preserve">15 </w:t>
      </w:r>
      <w:r w:rsidRPr="00DC1628">
        <w:rPr>
          <w:sz w:val="24"/>
          <w:szCs w:val="24"/>
          <w:lang w:val="en-US"/>
        </w:rPr>
        <w:t>ml</w:t>
      </w:r>
      <w:r w:rsidRPr="00DC1628">
        <w:rPr>
          <w:sz w:val="24"/>
          <w:szCs w:val="24"/>
          <w:lang w:val="bg-BG"/>
        </w:rPr>
        <w:t xml:space="preserve"> </w:t>
      </w:r>
      <w:r w:rsidRPr="00DC1628">
        <w:rPr>
          <w:sz w:val="24"/>
          <w:szCs w:val="24"/>
          <w:lang w:val="en-GB"/>
        </w:rPr>
        <w:t xml:space="preserve">up to </w:t>
      </w:r>
      <w:r w:rsidRPr="00DC1628">
        <w:rPr>
          <w:sz w:val="24"/>
          <w:szCs w:val="24"/>
          <w:lang w:val="bg-BG"/>
        </w:rPr>
        <w:t xml:space="preserve">4 times daily </w:t>
      </w:r>
    </w:p>
    <w:p w14:paraId="29F05EBB" w14:textId="77777777" w:rsidR="00F738C0" w:rsidRPr="00DC1628" w:rsidRDefault="00F738C0" w:rsidP="00DC1628">
      <w:pPr>
        <w:ind w:left="851" w:right="577"/>
        <w:rPr>
          <w:sz w:val="24"/>
          <w:szCs w:val="24"/>
          <w:lang w:val="en-GB"/>
        </w:rPr>
      </w:pPr>
    </w:p>
    <w:p w14:paraId="056F004F" w14:textId="77777777" w:rsidR="00F738C0" w:rsidRPr="00DC1628" w:rsidRDefault="00F738C0" w:rsidP="00DC1628">
      <w:pPr>
        <w:ind w:left="851" w:right="577"/>
        <w:rPr>
          <w:i/>
          <w:sz w:val="24"/>
          <w:szCs w:val="24"/>
          <w:lang w:val="en-GB"/>
        </w:rPr>
      </w:pPr>
      <w:r w:rsidRPr="00DC1628">
        <w:rPr>
          <w:i/>
          <w:sz w:val="24"/>
          <w:szCs w:val="24"/>
          <w:lang w:val="en-GB"/>
        </w:rPr>
        <w:t>Paediatric population</w:t>
      </w:r>
    </w:p>
    <w:p w14:paraId="0E6B780C" w14:textId="77777777" w:rsidR="00F738C0" w:rsidRPr="00DC1628" w:rsidRDefault="00F738C0" w:rsidP="00DC1628">
      <w:pPr>
        <w:ind w:left="851" w:right="577"/>
        <w:rPr>
          <w:i/>
          <w:sz w:val="24"/>
          <w:szCs w:val="24"/>
          <w:lang w:val="en-GB"/>
        </w:rPr>
      </w:pPr>
      <w:r w:rsidRPr="00DC1628">
        <w:rPr>
          <w:i/>
          <w:sz w:val="24"/>
          <w:szCs w:val="24"/>
          <w:lang w:val="en-GB"/>
        </w:rPr>
        <w:t>Children from 6 to 12 years of age</w:t>
      </w:r>
    </w:p>
    <w:p w14:paraId="4BE91151" w14:textId="77777777" w:rsidR="00F738C0" w:rsidRPr="00DC1628" w:rsidRDefault="00F738C0" w:rsidP="00DC1628">
      <w:pPr>
        <w:ind w:left="851" w:right="577"/>
        <w:rPr>
          <w:sz w:val="24"/>
          <w:szCs w:val="24"/>
          <w:lang w:val="en-GB"/>
        </w:rPr>
      </w:pPr>
      <w:r w:rsidRPr="00DC1628">
        <w:rPr>
          <w:sz w:val="24"/>
          <w:szCs w:val="24"/>
          <w:lang w:val="en-GB"/>
        </w:rPr>
        <w:t>10 ml up to 3 times daily</w:t>
      </w:r>
    </w:p>
    <w:p w14:paraId="736684A4" w14:textId="77777777" w:rsidR="00DC5D83" w:rsidRDefault="00DC5D83" w:rsidP="00DC1628">
      <w:pPr>
        <w:ind w:left="851" w:right="577"/>
        <w:rPr>
          <w:i/>
          <w:sz w:val="24"/>
          <w:szCs w:val="24"/>
          <w:lang w:val="en-GB"/>
        </w:rPr>
      </w:pPr>
    </w:p>
    <w:p w14:paraId="474A29AA" w14:textId="395B01F2" w:rsidR="00F738C0" w:rsidRPr="00DC1628" w:rsidRDefault="00F738C0" w:rsidP="00DC1628">
      <w:pPr>
        <w:ind w:left="851" w:right="577"/>
        <w:rPr>
          <w:i/>
          <w:sz w:val="24"/>
          <w:szCs w:val="24"/>
          <w:lang w:val="en-GB"/>
        </w:rPr>
      </w:pPr>
      <w:r w:rsidRPr="00DC1628">
        <w:rPr>
          <w:i/>
          <w:sz w:val="24"/>
          <w:szCs w:val="24"/>
          <w:lang w:val="en-GB"/>
        </w:rPr>
        <w:t>Children from 12 to 16 years of age</w:t>
      </w:r>
    </w:p>
    <w:p w14:paraId="032D456A" w14:textId="77777777" w:rsidR="00F738C0" w:rsidRPr="00DC1628" w:rsidRDefault="00F738C0" w:rsidP="00DC1628">
      <w:pPr>
        <w:ind w:left="851" w:right="577"/>
        <w:rPr>
          <w:sz w:val="24"/>
          <w:szCs w:val="24"/>
          <w:lang w:val="en-GB"/>
        </w:rPr>
      </w:pPr>
      <w:r w:rsidRPr="00DC1628">
        <w:rPr>
          <w:sz w:val="24"/>
          <w:szCs w:val="24"/>
          <w:lang w:val="en-GB"/>
        </w:rPr>
        <w:t>15 ml up to 3 times daily</w:t>
      </w:r>
    </w:p>
    <w:p w14:paraId="0C1AC446" w14:textId="77777777" w:rsidR="00EB54F4" w:rsidRPr="00DC134B" w:rsidRDefault="00EB54F4" w:rsidP="00DC134B">
      <w:pPr>
        <w:ind w:left="851" w:right="577"/>
        <w:rPr>
          <w:sz w:val="24"/>
          <w:szCs w:val="24"/>
          <w:lang w:val="en-GB"/>
        </w:rPr>
      </w:pPr>
    </w:p>
    <w:p w14:paraId="54C1567D" w14:textId="77777777" w:rsidR="00906FBB" w:rsidRPr="00DC134B" w:rsidRDefault="00906FBB" w:rsidP="00DC134B">
      <w:pPr>
        <w:tabs>
          <w:tab w:val="left" w:pos="567"/>
        </w:tabs>
        <w:ind w:left="851" w:right="577"/>
        <w:rPr>
          <w:sz w:val="24"/>
          <w:szCs w:val="24"/>
          <w:lang w:val="en-US"/>
        </w:rPr>
      </w:pPr>
      <w:r w:rsidRPr="00DC134B">
        <w:rPr>
          <w:sz w:val="24"/>
          <w:szCs w:val="24"/>
          <w:lang w:val="en-US"/>
        </w:rPr>
        <w:t>Treatment is limited to the symptomatic period.</w:t>
      </w:r>
    </w:p>
    <w:p w14:paraId="181FE04A" w14:textId="77777777" w:rsidR="00906FBB" w:rsidRPr="00DC134B" w:rsidRDefault="00906FBB" w:rsidP="00DC134B">
      <w:pPr>
        <w:tabs>
          <w:tab w:val="left" w:pos="567"/>
        </w:tabs>
        <w:ind w:left="851" w:right="577"/>
        <w:rPr>
          <w:sz w:val="24"/>
          <w:szCs w:val="24"/>
          <w:lang w:val="en-US"/>
        </w:rPr>
      </w:pPr>
      <w:r w:rsidRPr="00DC134B">
        <w:rPr>
          <w:sz w:val="24"/>
          <w:szCs w:val="24"/>
          <w:lang w:val="en-US"/>
        </w:rPr>
        <w:t>The smallest effective dose should be used for the shortest possible time. Do not exceed the recommended dose.</w:t>
      </w:r>
    </w:p>
    <w:p w14:paraId="19EC396C" w14:textId="77777777" w:rsidR="00906FBB" w:rsidRPr="00DC134B" w:rsidRDefault="00906FBB" w:rsidP="00DC134B">
      <w:pPr>
        <w:tabs>
          <w:tab w:val="left" w:pos="567"/>
        </w:tabs>
        <w:ind w:left="851" w:right="577"/>
        <w:rPr>
          <w:sz w:val="24"/>
          <w:szCs w:val="24"/>
          <w:lang w:val="en-US"/>
        </w:rPr>
      </w:pPr>
    </w:p>
    <w:p w14:paraId="1663A31A" w14:textId="77777777" w:rsidR="00906FBB" w:rsidRPr="00DC134B" w:rsidRDefault="00906FBB" w:rsidP="00DC134B">
      <w:pPr>
        <w:tabs>
          <w:tab w:val="left" w:pos="567"/>
        </w:tabs>
        <w:ind w:left="851" w:right="577"/>
        <w:rPr>
          <w:sz w:val="24"/>
          <w:szCs w:val="24"/>
          <w:lang w:val="en-US"/>
        </w:rPr>
      </w:pPr>
      <w:r w:rsidRPr="00DC134B">
        <w:rPr>
          <w:sz w:val="24"/>
          <w:szCs w:val="24"/>
          <w:lang w:val="en-GB"/>
        </w:rPr>
        <w:t>Medical advice should be sought if the cough lasts longer than 4-5 days or if fever, dyspnoea or chest pain develops</w:t>
      </w:r>
      <w:r w:rsidRPr="00DC134B">
        <w:rPr>
          <w:sz w:val="24"/>
          <w:szCs w:val="24"/>
          <w:lang w:val="en-US"/>
        </w:rPr>
        <w:t>.</w:t>
      </w:r>
    </w:p>
    <w:p w14:paraId="0774DF23" w14:textId="77777777" w:rsidR="00906FBB" w:rsidRPr="00DC134B" w:rsidRDefault="00906FBB" w:rsidP="00DC134B">
      <w:pPr>
        <w:tabs>
          <w:tab w:val="left" w:pos="567"/>
        </w:tabs>
        <w:ind w:left="851" w:right="577"/>
        <w:rPr>
          <w:sz w:val="24"/>
          <w:szCs w:val="24"/>
          <w:lang w:val="en-US"/>
        </w:rPr>
      </w:pPr>
    </w:p>
    <w:p w14:paraId="29A0E828" w14:textId="77777777" w:rsidR="00906FBB" w:rsidRPr="00DC134B" w:rsidRDefault="00906FBB" w:rsidP="00DC134B">
      <w:pPr>
        <w:tabs>
          <w:tab w:val="left" w:pos="567"/>
        </w:tabs>
        <w:ind w:left="851" w:right="577"/>
        <w:rPr>
          <w:i/>
          <w:iCs/>
          <w:sz w:val="24"/>
          <w:szCs w:val="24"/>
          <w:lang w:val="en-US"/>
        </w:rPr>
      </w:pPr>
      <w:r w:rsidRPr="00DC134B">
        <w:rPr>
          <w:i/>
          <w:iCs/>
          <w:sz w:val="24"/>
          <w:szCs w:val="24"/>
          <w:lang w:val="en-US"/>
        </w:rPr>
        <w:t>Elderly</w:t>
      </w:r>
    </w:p>
    <w:p w14:paraId="1CF700FA" w14:textId="77777777" w:rsidR="00906FBB" w:rsidRPr="00DC134B" w:rsidRDefault="00906FBB" w:rsidP="00DC134B">
      <w:pPr>
        <w:tabs>
          <w:tab w:val="left" w:pos="567"/>
        </w:tabs>
        <w:ind w:left="851" w:right="577"/>
        <w:rPr>
          <w:sz w:val="24"/>
          <w:szCs w:val="24"/>
          <w:lang w:val="en-US"/>
        </w:rPr>
      </w:pPr>
      <w:r w:rsidRPr="00DC134B">
        <w:rPr>
          <w:sz w:val="24"/>
          <w:szCs w:val="24"/>
          <w:lang w:val="en-US"/>
        </w:rPr>
        <w:t>No data exist for the use in these populations.</w:t>
      </w:r>
    </w:p>
    <w:p w14:paraId="4AED445F" w14:textId="77777777" w:rsidR="00906FBB" w:rsidRPr="00DC134B" w:rsidRDefault="00906FBB" w:rsidP="00DC134B">
      <w:pPr>
        <w:tabs>
          <w:tab w:val="left" w:pos="567"/>
        </w:tabs>
        <w:ind w:left="851" w:right="577"/>
        <w:rPr>
          <w:sz w:val="24"/>
          <w:szCs w:val="24"/>
          <w:lang w:val="en-US"/>
        </w:rPr>
      </w:pPr>
    </w:p>
    <w:p w14:paraId="0B64CA48" w14:textId="77777777" w:rsidR="00906FBB" w:rsidRPr="00DC134B" w:rsidRDefault="00906FBB" w:rsidP="00DC134B">
      <w:pPr>
        <w:tabs>
          <w:tab w:val="left" w:pos="567"/>
        </w:tabs>
        <w:ind w:left="851" w:right="577"/>
        <w:rPr>
          <w:i/>
          <w:iCs/>
          <w:sz w:val="24"/>
          <w:szCs w:val="24"/>
          <w:lang w:val="en-US"/>
        </w:rPr>
      </w:pPr>
      <w:r w:rsidRPr="00DC134B">
        <w:rPr>
          <w:i/>
          <w:iCs/>
          <w:sz w:val="24"/>
          <w:szCs w:val="24"/>
          <w:lang w:val="en-US"/>
        </w:rPr>
        <w:t>Hepatic impairment</w:t>
      </w:r>
    </w:p>
    <w:p w14:paraId="34B0D07F" w14:textId="77777777" w:rsidR="00906FBB" w:rsidRPr="00DC134B" w:rsidRDefault="00906FBB" w:rsidP="00DC134B">
      <w:pPr>
        <w:tabs>
          <w:tab w:val="left" w:pos="567"/>
        </w:tabs>
        <w:ind w:left="851" w:right="577"/>
        <w:rPr>
          <w:sz w:val="24"/>
          <w:szCs w:val="24"/>
          <w:lang w:val="en-US"/>
        </w:rPr>
      </w:pPr>
      <w:r w:rsidRPr="00DC134B">
        <w:rPr>
          <w:sz w:val="24"/>
          <w:szCs w:val="24"/>
          <w:lang w:val="en-US"/>
        </w:rPr>
        <w:t>No data exist for the use in these populations.</w:t>
      </w:r>
    </w:p>
    <w:p w14:paraId="7E3B75A5" w14:textId="77777777" w:rsidR="00906FBB" w:rsidRPr="00DC134B" w:rsidRDefault="00906FBB" w:rsidP="00DC134B">
      <w:pPr>
        <w:tabs>
          <w:tab w:val="left" w:pos="567"/>
        </w:tabs>
        <w:ind w:left="851" w:right="577"/>
        <w:rPr>
          <w:sz w:val="24"/>
          <w:szCs w:val="24"/>
          <w:lang w:val="en-US"/>
        </w:rPr>
      </w:pPr>
    </w:p>
    <w:p w14:paraId="4A1D2F28" w14:textId="77777777" w:rsidR="00906FBB" w:rsidRPr="00DC134B" w:rsidRDefault="00906FBB" w:rsidP="00DC134B">
      <w:pPr>
        <w:tabs>
          <w:tab w:val="left" w:pos="567"/>
        </w:tabs>
        <w:ind w:left="851" w:right="577"/>
        <w:rPr>
          <w:i/>
          <w:iCs/>
          <w:sz w:val="24"/>
          <w:szCs w:val="24"/>
          <w:lang w:val="en-US"/>
        </w:rPr>
      </w:pPr>
      <w:r w:rsidRPr="00DC134B">
        <w:rPr>
          <w:i/>
          <w:iCs/>
          <w:sz w:val="24"/>
          <w:szCs w:val="24"/>
          <w:lang w:val="en-US"/>
        </w:rPr>
        <w:t>Renal impairment</w:t>
      </w:r>
    </w:p>
    <w:p w14:paraId="5CA6E0E1" w14:textId="77777777" w:rsidR="00906FBB" w:rsidRPr="00DC134B" w:rsidRDefault="00906FBB" w:rsidP="00DC134B">
      <w:pPr>
        <w:tabs>
          <w:tab w:val="left" w:pos="567"/>
        </w:tabs>
        <w:ind w:left="851" w:right="577"/>
        <w:rPr>
          <w:sz w:val="24"/>
          <w:szCs w:val="24"/>
          <w:lang w:val="en-US"/>
        </w:rPr>
      </w:pPr>
      <w:r w:rsidRPr="00DC134B">
        <w:rPr>
          <w:sz w:val="24"/>
          <w:szCs w:val="24"/>
          <w:lang w:val="en-US"/>
        </w:rPr>
        <w:t>No data exist for the use in these populations.</w:t>
      </w:r>
    </w:p>
    <w:p w14:paraId="090DFF4B" w14:textId="77777777" w:rsidR="00906FBB" w:rsidRPr="00DC134B" w:rsidRDefault="00906FBB" w:rsidP="00DC134B">
      <w:pPr>
        <w:tabs>
          <w:tab w:val="left" w:pos="567"/>
        </w:tabs>
        <w:ind w:left="851" w:right="577"/>
        <w:rPr>
          <w:sz w:val="24"/>
          <w:szCs w:val="24"/>
          <w:lang w:val="en-US"/>
        </w:rPr>
      </w:pPr>
    </w:p>
    <w:p w14:paraId="790794C5" w14:textId="77777777" w:rsidR="00906FBB" w:rsidRPr="00DC134B" w:rsidRDefault="00906FBB" w:rsidP="00DC134B">
      <w:pPr>
        <w:tabs>
          <w:tab w:val="left" w:pos="567"/>
        </w:tabs>
        <w:ind w:left="851"/>
        <w:rPr>
          <w:sz w:val="24"/>
          <w:szCs w:val="24"/>
          <w:lang w:val="en-GB"/>
        </w:rPr>
      </w:pPr>
      <w:r w:rsidRPr="00DC134B">
        <w:rPr>
          <w:sz w:val="24"/>
          <w:szCs w:val="24"/>
          <w:u w:val="single"/>
          <w:lang w:val="en-GB"/>
        </w:rPr>
        <w:t>Method of administration</w:t>
      </w:r>
    </w:p>
    <w:p w14:paraId="32E33012" w14:textId="2CC0B40F" w:rsidR="00906FBB" w:rsidRPr="00DC134B" w:rsidRDefault="00DC134B" w:rsidP="00DC134B">
      <w:pPr>
        <w:tabs>
          <w:tab w:val="left" w:pos="567"/>
        </w:tabs>
        <w:ind w:left="851"/>
        <w:rPr>
          <w:sz w:val="24"/>
          <w:szCs w:val="24"/>
          <w:lang w:val="en-US"/>
        </w:rPr>
      </w:pPr>
      <w:proofErr w:type="spellStart"/>
      <w:r>
        <w:rPr>
          <w:sz w:val="24"/>
          <w:szCs w:val="24"/>
          <w:lang w:val="en-US"/>
        </w:rPr>
        <w:t>Tinguri</w:t>
      </w:r>
      <w:proofErr w:type="spellEnd"/>
      <w:r w:rsidR="00906FBB" w:rsidRPr="00DC134B">
        <w:rPr>
          <w:sz w:val="24"/>
          <w:szCs w:val="24"/>
          <w:lang w:val="en-US"/>
        </w:rPr>
        <w:t xml:space="preserve"> syrup should be taken orally. Clean and dry the measuring cup after each use and between different users.</w:t>
      </w:r>
    </w:p>
    <w:p w14:paraId="0B58A35D" w14:textId="77777777" w:rsidR="007C5D2A" w:rsidRPr="00DC134B" w:rsidRDefault="007C5D2A" w:rsidP="00DC134B">
      <w:pPr>
        <w:tabs>
          <w:tab w:val="left" w:pos="851"/>
        </w:tabs>
        <w:ind w:left="851"/>
        <w:rPr>
          <w:sz w:val="24"/>
          <w:szCs w:val="24"/>
          <w:lang w:val="en-US"/>
        </w:rPr>
      </w:pPr>
    </w:p>
    <w:p w14:paraId="627FD085" w14:textId="77777777" w:rsidR="007C5D2A" w:rsidRPr="00DC1628" w:rsidRDefault="007C5D2A" w:rsidP="007C5D2A">
      <w:pPr>
        <w:tabs>
          <w:tab w:val="left" w:pos="851"/>
        </w:tabs>
        <w:ind w:left="851" w:hanging="851"/>
        <w:rPr>
          <w:b/>
          <w:sz w:val="24"/>
          <w:szCs w:val="24"/>
          <w:lang w:val="en-GB"/>
        </w:rPr>
      </w:pPr>
      <w:r w:rsidRPr="00DC1628">
        <w:rPr>
          <w:b/>
          <w:sz w:val="24"/>
          <w:szCs w:val="24"/>
          <w:lang w:val="en-GB"/>
        </w:rPr>
        <w:t>4.3</w:t>
      </w:r>
      <w:r w:rsidRPr="00DC1628">
        <w:rPr>
          <w:b/>
          <w:sz w:val="24"/>
          <w:szCs w:val="24"/>
          <w:lang w:val="en-GB"/>
        </w:rPr>
        <w:tab/>
        <w:t>Contraindications</w:t>
      </w:r>
    </w:p>
    <w:p w14:paraId="2D0C9F0B" w14:textId="77777777" w:rsidR="00EB54F4" w:rsidRPr="00DC1628" w:rsidRDefault="00EB54F4" w:rsidP="00AC517B">
      <w:pPr>
        <w:ind w:left="1276" w:hanging="426"/>
        <w:rPr>
          <w:sz w:val="24"/>
          <w:szCs w:val="24"/>
          <w:lang w:val="en-GB"/>
        </w:rPr>
      </w:pPr>
      <w:r w:rsidRPr="00DC1628">
        <w:rPr>
          <w:caps/>
          <w:sz w:val="24"/>
          <w:szCs w:val="24"/>
          <w:lang w:val="bg-BG"/>
        </w:rPr>
        <w:t xml:space="preserve">- </w:t>
      </w:r>
      <w:r w:rsidRPr="00DC1628">
        <w:rPr>
          <w:caps/>
          <w:sz w:val="24"/>
          <w:szCs w:val="24"/>
          <w:lang w:val="bg-BG"/>
        </w:rPr>
        <w:tab/>
      </w:r>
      <w:r w:rsidRPr="00DC1628">
        <w:rPr>
          <w:noProof/>
          <w:sz w:val="24"/>
          <w:szCs w:val="24"/>
          <w:lang w:val="en-US"/>
        </w:rPr>
        <w:t>Hypersensitivity to the active substance or to any of the excipients listed in section 6.1.</w:t>
      </w:r>
    </w:p>
    <w:p w14:paraId="583E29F5" w14:textId="7B98A874" w:rsidR="00EB54F4" w:rsidRPr="00DC1628" w:rsidRDefault="00EB54F4" w:rsidP="00AC517B">
      <w:pPr>
        <w:ind w:left="1276" w:hanging="426"/>
        <w:rPr>
          <w:sz w:val="24"/>
          <w:szCs w:val="24"/>
          <w:lang w:val="en-GB"/>
        </w:rPr>
      </w:pPr>
      <w:r w:rsidRPr="00DC1628">
        <w:rPr>
          <w:sz w:val="24"/>
          <w:szCs w:val="24"/>
          <w:lang w:val="bg-BG"/>
        </w:rPr>
        <w:t>-</w:t>
      </w:r>
      <w:r w:rsidRPr="00DC1628">
        <w:rPr>
          <w:sz w:val="24"/>
          <w:szCs w:val="24"/>
          <w:lang w:val="bg-BG"/>
        </w:rPr>
        <w:tab/>
      </w:r>
      <w:r w:rsidRPr="00DC1628">
        <w:rPr>
          <w:sz w:val="24"/>
          <w:szCs w:val="24"/>
          <w:lang w:val="en-US"/>
        </w:rPr>
        <w:t>C</w:t>
      </w:r>
      <w:r w:rsidRPr="00DC1628">
        <w:rPr>
          <w:sz w:val="24"/>
          <w:szCs w:val="24"/>
          <w:lang w:val="bg-BG"/>
        </w:rPr>
        <w:t xml:space="preserve">hildren </w:t>
      </w:r>
      <w:r w:rsidR="00F738C0" w:rsidRPr="00DC1628">
        <w:rPr>
          <w:sz w:val="24"/>
          <w:szCs w:val="24"/>
          <w:lang w:val="en-US"/>
        </w:rPr>
        <w:t>under</w:t>
      </w:r>
      <w:r w:rsidR="00F738C0" w:rsidRPr="00DC1628">
        <w:rPr>
          <w:sz w:val="24"/>
          <w:szCs w:val="24"/>
          <w:lang w:val="bg-BG"/>
        </w:rPr>
        <w:t xml:space="preserve"> </w:t>
      </w:r>
      <w:r w:rsidR="00F738C0" w:rsidRPr="00DC1628">
        <w:rPr>
          <w:sz w:val="24"/>
          <w:szCs w:val="24"/>
          <w:lang w:val="en-GB"/>
        </w:rPr>
        <w:t>6</w:t>
      </w:r>
      <w:r w:rsidR="00F738C0" w:rsidRPr="00DC1628">
        <w:rPr>
          <w:sz w:val="24"/>
          <w:szCs w:val="24"/>
          <w:lang w:val="bg-BG"/>
        </w:rPr>
        <w:t xml:space="preserve"> years of age</w:t>
      </w:r>
      <w:r w:rsidRPr="00DC1628">
        <w:rPr>
          <w:sz w:val="24"/>
          <w:szCs w:val="24"/>
          <w:lang w:val="bg-BG"/>
        </w:rPr>
        <w:t>.</w:t>
      </w:r>
    </w:p>
    <w:p w14:paraId="37959CB2" w14:textId="77777777" w:rsidR="007C5D2A" w:rsidRPr="00DC1628" w:rsidRDefault="007C5D2A" w:rsidP="003E0341">
      <w:pPr>
        <w:tabs>
          <w:tab w:val="left" w:pos="851"/>
        </w:tabs>
        <w:ind w:left="851"/>
        <w:rPr>
          <w:sz w:val="24"/>
          <w:szCs w:val="24"/>
          <w:lang w:val="en-GB"/>
        </w:rPr>
      </w:pPr>
    </w:p>
    <w:p w14:paraId="01A91C8E" w14:textId="77777777" w:rsidR="007C5D2A" w:rsidRPr="00DC1628" w:rsidRDefault="007C5D2A" w:rsidP="007C5D2A">
      <w:pPr>
        <w:tabs>
          <w:tab w:val="left" w:pos="851"/>
        </w:tabs>
        <w:rPr>
          <w:b/>
          <w:sz w:val="24"/>
          <w:szCs w:val="24"/>
          <w:lang w:val="en-GB"/>
        </w:rPr>
      </w:pPr>
      <w:r w:rsidRPr="00DC1628">
        <w:rPr>
          <w:b/>
          <w:sz w:val="24"/>
          <w:szCs w:val="24"/>
          <w:lang w:val="en-GB"/>
        </w:rPr>
        <w:t>4.4</w:t>
      </w:r>
      <w:r w:rsidRPr="00DC1628">
        <w:rPr>
          <w:b/>
          <w:sz w:val="24"/>
          <w:szCs w:val="24"/>
          <w:lang w:val="en-GB"/>
        </w:rPr>
        <w:tab/>
        <w:t>Special warnings and precautions for use</w:t>
      </w:r>
    </w:p>
    <w:p w14:paraId="4EACC9EF" w14:textId="4B9E5ACD" w:rsidR="00EB54F4" w:rsidRPr="00DC1628" w:rsidRDefault="00EB54F4" w:rsidP="00AC517B">
      <w:pPr>
        <w:ind w:left="851"/>
        <w:rPr>
          <w:sz w:val="24"/>
          <w:szCs w:val="24"/>
          <w:lang w:val="en-US"/>
        </w:rPr>
      </w:pPr>
      <w:r w:rsidRPr="00DC1628">
        <w:rPr>
          <w:sz w:val="24"/>
          <w:szCs w:val="24"/>
          <w:lang w:val="en-US"/>
        </w:rPr>
        <w:t xml:space="preserve">Before </w:t>
      </w:r>
      <w:r w:rsidR="00906FBB">
        <w:rPr>
          <w:sz w:val="24"/>
          <w:szCs w:val="24"/>
          <w:lang w:val="en-US"/>
        </w:rPr>
        <w:t>starting</w:t>
      </w:r>
      <w:r w:rsidRPr="00DC1628">
        <w:rPr>
          <w:sz w:val="24"/>
          <w:szCs w:val="24"/>
          <w:lang w:val="en-US"/>
        </w:rPr>
        <w:t xml:space="preserve"> an antitussive treatment, the causes of the cough should be investigated to assess the need for </w:t>
      </w:r>
      <w:proofErr w:type="spellStart"/>
      <w:r w:rsidRPr="00DC1628">
        <w:rPr>
          <w:sz w:val="24"/>
          <w:szCs w:val="24"/>
          <w:lang w:val="en-US"/>
        </w:rPr>
        <w:t>aetiological</w:t>
      </w:r>
      <w:proofErr w:type="spellEnd"/>
      <w:r w:rsidRPr="00DC1628">
        <w:rPr>
          <w:sz w:val="24"/>
          <w:szCs w:val="24"/>
          <w:lang w:val="en-US"/>
        </w:rPr>
        <w:t xml:space="preserve"> treatment. If the cough persists after taking the antitussive treatment at the usual dose, the dose should not be increased; instead, the clinical situation should be reviewed.</w:t>
      </w:r>
    </w:p>
    <w:p w14:paraId="55CBB26F" w14:textId="77777777" w:rsidR="00EB54F4" w:rsidRPr="00DC1628" w:rsidRDefault="00EB54F4" w:rsidP="00AC517B">
      <w:pPr>
        <w:ind w:left="851"/>
        <w:rPr>
          <w:sz w:val="24"/>
          <w:szCs w:val="24"/>
          <w:lang w:val="en-US"/>
        </w:rPr>
      </w:pPr>
    </w:p>
    <w:p w14:paraId="028939A6" w14:textId="77777777" w:rsidR="00EB54F4" w:rsidRPr="00DC1628" w:rsidRDefault="00EB54F4" w:rsidP="00AC517B">
      <w:pPr>
        <w:ind w:left="851"/>
        <w:rPr>
          <w:sz w:val="24"/>
          <w:szCs w:val="24"/>
          <w:lang w:val="en-US"/>
        </w:rPr>
      </w:pPr>
      <w:r w:rsidRPr="00DC1628">
        <w:rPr>
          <w:sz w:val="24"/>
          <w:szCs w:val="24"/>
          <w:lang w:val="en-US"/>
        </w:rPr>
        <w:t>Antitussives should not be used for prolonged periods.</w:t>
      </w:r>
    </w:p>
    <w:p w14:paraId="6575494E" w14:textId="77777777" w:rsidR="00EB54F4" w:rsidRPr="00DC1628" w:rsidRDefault="00EB54F4" w:rsidP="00DC1628">
      <w:pPr>
        <w:ind w:left="851"/>
        <w:rPr>
          <w:sz w:val="24"/>
          <w:szCs w:val="24"/>
          <w:lang w:val="en-US"/>
        </w:rPr>
      </w:pPr>
    </w:p>
    <w:p w14:paraId="4039CE89" w14:textId="77777777" w:rsidR="00F738C0" w:rsidRPr="00DC1628" w:rsidRDefault="00F738C0" w:rsidP="00DC1628">
      <w:pPr>
        <w:tabs>
          <w:tab w:val="left" w:pos="567"/>
        </w:tabs>
        <w:ind w:left="851"/>
        <w:rPr>
          <w:sz w:val="24"/>
          <w:szCs w:val="24"/>
          <w:lang w:val="en-US"/>
        </w:rPr>
      </w:pPr>
      <w:r w:rsidRPr="00DC1628">
        <w:rPr>
          <w:sz w:val="24"/>
          <w:szCs w:val="24"/>
          <w:lang w:val="en-US"/>
        </w:rPr>
        <w:t>Due to inhibition of the cough reflex by butamirate, the concomitant administration of expectorants should be avoided because this can lead to the stagnation of mucus in the respiratory tract, increasing the risk of bronchospasm and respiratory tract infections (see section 4.5).</w:t>
      </w:r>
    </w:p>
    <w:p w14:paraId="4ECB5624" w14:textId="77777777" w:rsidR="00EB54F4" w:rsidRPr="00DC1628" w:rsidRDefault="00EB54F4" w:rsidP="00DC1628">
      <w:pPr>
        <w:ind w:left="851"/>
        <w:jc w:val="both"/>
        <w:rPr>
          <w:sz w:val="24"/>
          <w:szCs w:val="24"/>
          <w:lang w:val="en-US"/>
        </w:rPr>
      </w:pPr>
    </w:p>
    <w:p w14:paraId="69B49138" w14:textId="77777777" w:rsidR="00EB54F4" w:rsidRPr="00DC1628" w:rsidRDefault="00EB54F4" w:rsidP="00AC517B">
      <w:pPr>
        <w:tabs>
          <w:tab w:val="left" w:pos="0"/>
        </w:tabs>
        <w:ind w:left="851"/>
        <w:rPr>
          <w:sz w:val="24"/>
          <w:szCs w:val="24"/>
          <w:u w:val="single"/>
          <w:lang w:val="en-US"/>
        </w:rPr>
      </w:pPr>
      <w:r w:rsidRPr="00DC1628">
        <w:rPr>
          <w:sz w:val="24"/>
          <w:szCs w:val="24"/>
          <w:u w:val="single"/>
          <w:lang w:val="en-US"/>
        </w:rPr>
        <w:t>Excipients</w:t>
      </w:r>
    </w:p>
    <w:p w14:paraId="4F3411FF" w14:textId="77777777" w:rsidR="00EB54F4" w:rsidRPr="00DC1628" w:rsidRDefault="00EB54F4" w:rsidP="00AC517B">
      <w:pPr>
        <w:tabs>
          <w:tab w:val="left" w:pos="0"/>
        </w:tabs>
        <w:ind w:left="851"/>
        <w:rPr>
          <w:i/>
          <w:sz w:val="24"/>
          <w:szCs w:val="24"/>
          <w:lang w:val="en-US"/>
        </w:rPr>
      </w:pPr>
      <w:r w:rsidRPr="00DC1628">
        <w:rPr>
          <w:i/>
          <w:sz w:val="24"/>
          <w:szCs w:val="24"/>
          <w:lang w:val="en-US"/>
        </w:rPr>
        <w:t>Sorbitol</w:t>
      </w:r>
    </w:p>
    <w:p w14:paraId="1BA338C2" w14:textId="77777777" w:rsidR="00EB54F4" w:rsidRPr="00DC1628" w:rsidRDefault="00EB54F4" w:rsidP="00AC517B">
      <w:pPr>
        <w:tabs>
          <w:tab w:val="left" w:pos="0"/>
        </w:tabs>
        <w:ind w:left="851"/>
        <w:rPr>
          <w:sz w:val="24"/>
          <w:szCs w:val="24"/>
          <w:lang w:val="en-US"/>
        </w:rPr>
      </w:pPr>
      <w:r w:rsidRPr="00DC1628">
        <w:rPr>
          <w:sz w:val="24"/>
          <w:szCs w:val="24"/>
          <w:lang w:val="en-US"/>
        </w:rPr>
        <w:t xml:space="preserve">The additive effect of concomitantly administered products containing sorbitol (or fructose) and dietary intake of sorbitol (or fructose) should be </w:t>
      </w:r>
      <w:proofErr w:type="gramStart"/>
      <w:r w:rsidRPr="00DC1628">
        <w:rPr>
          <w:sz w:val="24"/>
          <w:szCs w:val="24"/>
          <w:lang w:val="en-US"/>
        </w:rPr>
        <w:t>taken into account</w:t>
      </w:r>
      <w:proofErr w:type="gramEnd"/>
      <w:r w:rsidRPr="00DC1628">
        <w:rPr>
          <w:sz w:val="24"/>
          <w:szCs w:val="24"/>
          <w:lang w:val="en-US"/>
        </w:rPr>
        <w:t>.</w:t>
      </w:r>
    </w:p>
    <w:p w14:paraId="5FC52B23" w14:textId="77777777" w:rsidR="00EB54F4" w:rsidRPr="00DC1628" w:rsidRDefault="00EB54F4" w:rsidP="00AC517B">
      <w:pPr>
        <w:tabs>
          <w:tab w:val="left" w:pos="0"/>
        </w:tabs>
        <w:ind w:left="851"/>
        <w:rPr>
          <w:sz w:val="24"/>
          <w:szCs w:val="24"/>
          <w:lang w:val="en-US"/>
        </w:rPr>
      </w:pPr>
    </w:p>
    <w:p w14:paraId="2A14D48E" w14:textId="77777777" w:rsidR="00EB54F4" w:rsidRPr="00DC1628" w:rsidRDefault="00EB54F4" w:rsidP="00AC517B">
      <w:pPr>
        <w:tabs>
          <w:tab w:val="left" w:pos="0"/>
        </w:tabs>
        <w:ind w:left="851"/>
        <w:rPr>
          <w:sz w:val="24"/>
          <w:szCs w:val="24"/>
          <w:lang w:val="en-US"/>
        </w:rPr>
      </w:pPr>
      <w:r w:rsidRPr="00DC1628">
        <w:rPr>
          <w:sz w:val="24"/>
          <w:szCs w:val="24"/>
          <w:lang w:val="en-US"/>
        </w:rPr>
        <w:t>Patients with hereditary fructose intolerance (HFI) should not take this medicinal product.</w:t>
      </w:r>
    </w:p>
    <w:p w14:paraId="7C2B0235" w14:textId="77777777" w:rsidR="00EB54F4" w:rsidRPr="00DC1628" w:rsidRDefault="00EB54F4" w:rsidP="00AC517B">
      <w:pPr>
        <w:tabs>
          <w:tab w:val="left" w:pos="0"/>
        </w:tabs>
        <w:ind w:left="851"/>
        <w:rPr>
          <w:sz w:val="24"/>
          <w:szCs w:val="24"/>
          <w:lang w:val="en-US"/>
        </w:rPr>
      </w:pPr>
    </w:p>
    <w:p w14:paraId="1900950E" w14:textId="77777777" w:rsidR="00EB54F4" w:rsidRPr="00DC1628" w:rsidRDefault="00EB54F4" w:rsidP="00AC517B">
      <w:pPr>
        <w:tabs>
          <w:tab w:val="left" w:pos="0"/>
        </w:tabs>
        <w:ind w:left="851"/>
        <w:rPr>
          <w:sz w:val="24"/>
          <w:szCs w:val="24"/>
          <w:lang w:val="en-US"/>
        </w:rPr>
      </w:pPr>
      <w:r w:rsidRPr="00DC1628">
        <w:rPr>
          <w:sz w:val="24"/>
          <w:szCs w:val="24"/>
          <w:lang w:val="en-US"/>
        </w:rPr>
        <w:t>The content of sorbitol in medicinal products for oral use may affect the bioavailability of other medicinal products for oral use administered concomitantly.</w:t>
      </w:r>
    </w:p>
    <w:p w14:paraId="4662FFD8" w14:textId="77777777" w:rsidR="00EB54F4" w:rsidRPr="00DC1628" w:rsidRDefault="00EB54F4" w:rsidP="00AC517B">
      <w:pPr>
        <w:tabs>
          <w:tab w:val="left" w:pos="0"/>
        </w:tabs>
        <w:ind w:left="851"/>
        <w:rPr>
          <w:sz w:val="24"/>
          <w:szCs w:val="24"/>
          <w:lang w:val="en-US"/>
        </w:rPr>
      </w:pPr>
    </w:p>
    <w:p w14:paraId="5EFDDF6D" w14:textId="77777777" w:rsidR="00EB54F4" w:rsidRPr="00DC1628" w:rsidRDefault="00EB54F4" w:rsidP="00AC517B">
      <w:pPr>
        <w:tabs>
          <w:tab w:val="left" w:pos="0"/>
        </w:tabs>
        <w:ind w:left="851"/>
        <w:rPr>
          <w:sz w:val="24"/>
          <w:szCs w:val="24"/>
          <w:lang w:val="en-US"/>
        </w:rPr>
      </w:pPr>
      <w:r w:rsidRPr="00DC1628">
        <w:rPr>
          <w:sz w:val="24"/>
          <w:szCs w:val="24"/>
          <w:lang w:val="en-US"/>
        </w:rPr>
        <w:t>Sorbitol may cause gastrointestinal discomfort and mild laxative effect.</w:t>
      </w:r>
    </w:p>
    <w:p w14:paraId="6A4DD20D" w14:textId="77777777" w:rsidR="00EB54F4" w:rsidRPr="00DC1628" w:rsidRDefault="00EB54F4" w:rsidP="00AC517B">
      <w:pPr>
        <w:tabs>
          <w:tab w:val="left" w:pos="0"/>
        </w:tabs>
        <w:ind w:left="851"/>
        <w:rPr>
          <w:sz w:val="24"/>
          <w:szCs w:val="24"/>
          <w:lang w:val="en-US"/>
        </w:rPr>
      </w:pPr>
    </w:p>
    <w:p w14:paraId="3220D0E4" w14:textId="77777777" w:rsidR="00EB54F4" w:rsidRPr="00DC1628" w:rsidRDefault="00EB54F4" w:rsidP="00AC517B">
      <w:pPr>
        <w:tabs>
          <w:tab w:val="left" w:pos="0"/>
        </w:tabs>
        <w:ind w:left="851"/>
        <w:rPr>
          <w:i/>
          <w:sz w:val="24"/>
          <w:szCs w:val="24"/>
          <w:lang w:val="en-US"/>
        </w:rPr>
      </w:pPr>
      <w:r w:rsidRPr="00DC1628">
        <w:rPr>
          <w:i/>
          <w:sz w:val="24"/>
          <w:szCs w:val="24"/>
          <w:lang w:val="en-US"/>
        </w:rPr>
        <w:t>Sodium</w:t>
      </w:r>
    </w:p>
    <w:p w14:paraId="2FFA774C" w14:textId="77777777" w:rsidR="00EB54F4" w:rsidRPr="00DC1628" w:rsidRDefault="00EB54F4" w:rsidP="00AC517B">
      <w:pPr>
        <w:tabs>
          <w:tab w:val="left" w:pos="0"/>
        </w:tabs>
        <w:ind w:left="851"/>
        <w:rPr>
          <w:sz w:val="24"/>
          <w:szCs w:val="24"/>
          <w:lang w:val="en-US"/>
        </w:rPr>
      </w:pPr>
      <w:r w:rsidRPr="00DC1628">
        <w:rPr>
          <w:sz w:val="24"/>
          <w:szCs w:val="24"/>
          <w:lang w:val="en-US"/>
        </w:rPr>
        <w:t xml:space="preserve">This medicine contains less than 1 mmol sodium (23 mg) per 5 ml, that is to say essentially </w:t>
      </w:r>
      <w:r w:rsidRPr="00DC1628">
        <w:rPr>
          <w:noProof/>
          <w:sz w:val="24"/>
          <w:szCs w:val="24"/>
          <w:lang w:val="en-GB"/>
        </w:rPr>
        <w:t>‘sodium-free’</w:t>
      </w:r>
      <w:r w:rsidRPr="00DC1628">
        <w:rPr>
          <w:sz w:val="24"/>
          <w:szCs w:val="24"/>
          <w:lang w:val="en-US"/>
        </w:rPr>
        <w:t>.</w:t>
      </w:r>
    </w:p>
    <w:p w14:paraId="0A9E3F33" w14:textId="77777777" w:rsidR="007C5D2A" w:rsidRPr="00DC1628" w:rsidRDefault="007C5D2A" w:rsidP="003E0341">
      <w:pPr>
        <w:tabs>
          <w:tab w:val="left" w:pos="851"/>
        </w:tabs>
        <w:ind w:left="851"/>
        <w:rPr>
          <w:sz w:val="24"/>
          <w:szCs w:val="24"/>
          <w:lang w:val="en-GB"/>
        </w:rPr>
      </w:pPr>
    </w:p>
    <w:p w14:paraId="73EB402C" w14:textId="77777777" w:rsidR="007C5D2A" w:rsidRPr="00DC1628" w:rsidRDefault="007C5D2A" w:rsidP="007C5D2A">
      <w:pPr>
        <w:ind w:left="851" w:hanging="851"/>
        <w:rPr>
          <w:b/>
          <w:sz w:val="24"/>
          <w:szCs w:val="24"/>
          <w:lang w:val="en-GB"/>
        </w:rPr>
      </w:pPr>
      <w:r w:rsidRPr="00DC1628">
        <w:rPr>
          <w:b/>
          <w:sz w:val="24"/>
          <w:szCs w:val="24"/>
          <w:lang w:val="en-GB"/>
        </w:rPr>
        <w:t>4.5</w:t>
      </w:r>
      <w:r w:rsidRPr="00DC1628">
        <w:rPr>
          <w:b/>
          <w:sz w:val="24"/>
          <w:szCs w:val="24"/>
          <w:lang w:val="en-GB"/>
        </w:rPr>
        <w:tab/>
        <w:t>Interaction with other medicinal products and other forms of interaction</w:t>
      </w:r>
    </w:p>
    <w:p w14:paraId="6C632DF1" w14:textId="77777777" w:rsidR="00F738C0" w:rsidRPr="00DC1628" w:rsidRDefault="00F738C0" w:rsidP="00DC1628">
      <w:pPr>
        <w:ind w:left="851"/>
        <w:rPr>
          <w:sz w:val="24"/>
          <w:szCs w:val="24"/>
          <w:lang w:val="en-US"/>
        </w:rPr>
      </w:pPr>
      <w:r w:rsidRPr="00DC1628">
        <w:rPr>
          <w:sz w:val="24"/>
          <w:szCs w:val="24"/>
          <w:lang w:val="en-US"/>
        </w:rPr>
        <w:t>Concomitant administration of expectorants should be avoided (see section 4.4).</w:t>
      </w:r>
    </w:p>
    <w:p w14:paraId="47CF2831" w14:textId="77777777" w:rsidR="007C5D2A" w:rsidRPr="00DC1628" w:rsidRDefault="007C5D2A" w:rsidP="003E0341">
      <w:pPr>
        <w:tabs>
          <w:tab w:val="left" w:pos="851"/>
        </w:tabs>
        <w:ind w:left="851"/>
        <w:rPr>
          <w:sz w:val="24"/>
          <w:szCs w:val="24"/>
          <w:lang w:val="en-US"/>
        </w:rPr>
      </w:pPr>
    </w:p>
    <w:p w14:paraId="7145A87B" w14:textId="77777777" w:rsidR="007C5D2A" w:rsidRPr="00DC1628" w:rsidRDefault="007C5D2A" w:rsidP="007C5D2A">
      <w:pPr>
        <w:tabs>
          <w:tab w:val="left" w:pos="851"/>
        </w:tabs>
        <w:ind w:left="851" w:hanging="851"/>
        <w:rPr>
          <w:b/>
          <w:sz w:val="24"/>
          <w:szCs w:val="24"/>
          <w:lang w:val="en-GB"/>
        </w:rPr>
      </w:pPr>
      <w:r w:rsidRPr="00DC1628">
        <w:rPr>
          <w:b/>
          <w:sz w:val="24"/>
          <w:szCs w:val="24"/>
          <w:lang w:val="en-GB"/>
        </w:rPr>
        <w:t>4.6</w:t>
      </w:r>
      <w:r w:rsidRPr="00DC1628">
        <w:rPr>
          <w:b/>
          <w:sz w:val="24"/>
          <w:szCs w:val="24"/>
          <w:lang w:val="en-GB"/>
        </w:rPr>
        <w:tab/>
      </w:r>
      <w:r w:rsidR="004860D3" w:rsidRPr="00DC1628">
        <w:rPr>
          <w:b/>
          <w:sz w:val="24"/>
          <w:szCs w:val="24"/>
          <w:lang w:val="en-GB"/>
        </w:rPr>
        <w:t>Fertility, p</w:t>
      </w:r>
      <w:r w:rsidRPr="00DC1628">
        <w:rPr>
          <w:b/>
          <w:sz w:val="24"/>
          <w:szCs w:val="24"/>
          <w:lang w:val="en-GB"/>
        </w:rPr>
        <w:t>regnancy and lactation</w:t>
      </w:r>
    </w:p>
    <w:p w14:paraId="6B2F1DE9" w14:textId="77777777" w:rsidR="003274C6" w:rsidRPr="00DC1628" w:rsidRDefault="003274C6" w:rsidP="00AC517B">
      <w:pPr>
        <w:ind w:left="851"/>
        <w:rPr>
          <w:sz w:val="24"/>
          <w:szCs w:val="24"/>
          <w:u w:val="single"/>
          <w:lang w:val="bg-BG"/>
        </w:rPr>
      </w:pPr>
    </w:p>
    <w:p w14:paraId="38CE2BAB" w14:textId="77777777" w:rsidR="00F738C0" w:rsidRPr="00DC1628" w:rsidRDefault="00F738C0" w:rsidP="00DC1628">
      <w:pPr>
        <w:ind w:left="851"/>
        <w:rPr>
          <w:sz w:val="24"/>
          <w:szCs w:val="24"/>
          <w:u w:val="single"/>
          <w:lang w:val="en-US"/>
        </w:rPr>
      </w:pPr>
      <w:r w:rsidRPr="00DC1628">
        <w:rPr>
          <w:sz w:val="24"/>
          <w:szCs w:val="24"/>
          <w:u w:val="single"/>
          <w:lang w:val="bg-BG"/>
        </w:rPr>
        <w:t>Pregnancy</w:t>
      </w:r>
    </w:p>
    <w:p w14:paraId="586E143D" w14:textId="7FE27F18" w:rsidR="00F738C0" w:rsidRPr="00F31277" w:rsidRDefault="00F738C0" w:rsidP="00DC1628">
      <w:pPr>
        <w:ind w:left="851"/>
        <w:rPr>
          <w:sz w:val="24"/>
          <w:szCs w:val="24"/>
          <w:lang w:val="en-US"/>
        </w:rPr>
      </w:pPr>
      <w:r w:rsidRPr="00DC1628">
        <w:rPr>
          <w:sz w:val="24"/>
          <w:szCs w:val="24"/>
          <w:lang w:val="en-US"/>
        </w:rPr>
        <w:t xml:space="preserve">There are </w:t>
      </w:r>
      <w:r w:rsidR="00906FBB">
        <w:rPr>
          <w:sz w:val="24"/>
          <w:szCs w:val="24"/>
          <w:lang w:val="en-US"/>
        </w:rPr>
        <w:t xml:space="preserve">no or </w:t>
      </w:r>
      <w:r w:rsidRPr="00DC1628">
        <w:rPr>
          <w:sz w:val="24"/>
          <w:szCs w:val="24"/>
          <w:lang w:val="en-US"/>
        </w:rPr>
        <w:t xml:space="preserve">limited data from the use of butamirate citrate in pregnant women. Animal </w:t>
      </w:r>
      <w:r w:rsidRPr="00F31277">
        <w:rPr>
          <w:sz w:val="24"/>
          <w:szCs w:val="24"/>
          <w:lang w:val="en-US"/>
        </w:rPr>
        <w:t>studies have not shown any direct or indirect deleterious effects on reproduction (see section 5.3). As a precautionary measure, it is preferable to avoid the use of butamirate citrate during pregnancy.</w:t>
      </w:r>
    </w:p>
    <w:p w14:paraId="120B4F31" w14:textId="77777777" w:rsidR="00F738C0" w:rsidRPr="00F31277" w:rsidRDefault="00F738C0" w:rsidP="00DC1628">
      <w:pPr>
        <w:ind w:left="851" w:right="577"/>
        <w:rPr>
          <w:i/>
          <w:sz w:val="24"/>
          <w:szCs w:val="24"/>
          <w:lang w:val="bg-BG"/>
        </w:rPr>
      </w:pPr>
    </w:p>
    <w:p w14:paraId="56E9B4E9" w14:textId="77777777" w:rsidR="00F738C0" w:rsidRPr="00F31277" w:rsidRDefault="00F738C0" w:rsidP="00DC1628">
      <w:pPr>
        <w:ind w:left="851" w:right="577"/>
        <w:rPr>
          <w:sz w:val="24"/>
          <w:szCs w:val="24"/>
          <w:u w:val="single"/>
          <w:lang w:val="en-US"/>
        </w:rPr>
      </w:pPr>
      <w:r w:rsidRPr="00F31277">
        <w:rPr>
          <w:sz w:val="24"/>
          <w:szCs w:val="24"/>
          <w:u w:val="single"/>
          <w:lang w:val="en-US"/>
        </w:rPr>
        <w:t>Breast-feeding</w:t>
      </w:r>
    </w:p>
    <w:p w14:paraId="5ECE2BA1" w14:textId="77777777" w:rsidR="00F738C0" w:rsidRPr="00F31277" w:rsidRDefault="00F738C0" w:rsidP="00DC1628">
      <w:pPr>
        <w:tabs>
          <w:tab w:val="left" w:pos="426"/>
        </w:tabs>
        <w:ind w:left="851"/>
        <w:rPr>
          <w:sz w:val="24"/>
          <w:szCs w:val="24"/>
          <w:lang w:val="en-GB"/>
        </w:rPr>
      </w:pPr>
      <w:r w:rsidRPr="00F31277">
        <w:rPr>
          <w:sz w:val="24"/>
          <w:szCs w:val="24"/>
          <w:lang w:val="en-US"/>
        </w:rPr>
        <w:t xml:space="preserve">There are no data available on the excretion of butamirate citrate in breast milk. A decision should be made whether to discontinue breast-feeding or to discontinue from butamirate citrate therapy, </w:t>
      </w:r>
      <w:proofErr w:type="gramStart"/>
      <w:r w:rsidRPr="00F31277">
        <w:rPr>
          <w:sz w:val="24"/>
          <w:szCs w:val="24"/>
          <w:lang w:val="en-US"/>
        </w:rPr>
        <w:t>taking into account</w:t>
      </w:r>
      <w:proofErr w:type="gramEnd"/>
      <w:r w:rsidRPr="00F31277">
        <w:rPr>
          <w:sz w:val="24"/>
          <w:szCs w:val="24"/>
          <w:lang w:val="en-US"/>
        </w:rPr>
        <w:t xml:space="preserve"> the benefit of breast-feeding for the child and the benefit of therapy for the woman.</w:t>
      </w:r>
    </w:p>
    <w:p w14:paraId="266CA94A" w14:textId="77777777" w:rsidR="00F738C0" w:rsidRPr="00F31277" w:rsidRDefault="00F738C0" w:rsidP="00DC1628">
      <w:pPr>
        <w:tabs>
          <w:tab w:val="left" w:pos="426"/>
        </w:tabs>
        <w:ind w:left="851"/>
        <w:rPr>
          <w:sz w:val="24"/>
          <w:szCs w:val="24"/>
          <w:lang w:val="en-GB"/>
        </w:rPr>
      </w:pPr>
    </w:p>
    <w:p w14:paraId="31A741A4" w14:textId="77777777" w:rsidR="00F738C0" w:rsidRPr="00DC1628" w:rsidRDefault="00F738C0" w:rsidP="00DC1628">
      <w:pPr>
        <w:tabs>
          <w:tab w:val="left" w:pos="426"/>
        </w:tabs>
        <w:ind w:left="851"/>
        <w:rPr>
          <w:sz w:val="24"/>
          <w:szCs w:val="24"/>
          <w:u w:val="single"/>
          <w:lang w:val="en-GB"/>
        </w:rPr>
      </w:pPr>
      <w:r w:rsidRPr="00F31277">
        <w:rPr>
          <w:sz w:val="24"/>
          <w:szCs w:val="24"/>
          <w:u w:val="single"/>
          <w:lang w:val="en-GB"/>
        </w:rPr>
        <w:t>Fertility</w:t>
      </w:r>
    </w:p>
    <w:p w14:paraId="788E0E89" w14:textId="77777777" w:rsidR="00F738C0" w:rsidRPr="00DC1628" w:rsidRDefault="00F738C0" w:rsidP="00DC1628">
      <w:pPr>
        <w:tabs>
          <w:tab w:val="left" w:pos="426"/>
        </w:tabs>
        <w:ind w:left="851"/>
        <w:rPr>
          <w:sz w:val="24"/>
          <w:szCs w:val="24"/>
          <w:lang w:val="en-GB"/>
        </w:rPr>
      </w:pPr>
      <w:r w:rsidRPr="00DC1628">
        <w:rPr>
          <w:sz w:val="24"/>
          <w:szCs w:val="24"/>
          <w:lang w:val="en-GB"/>
        </w:rPr>
        <w:t>There are no data on male and female fertility. Animal studies have shown that butamirate citrate does not have any deleterious effects on fertility parameters or general reproductive capacity (see section 5.3).</w:t>
      </w:r>
    </w:p>
    <w:p w14:paraId="5000A9C0" w14:textId="77777777" w:rsidR="007C5D2A" w:rsidRPr="00DC1628" w:rsidRDefault="007C5D2A" w:rsidP="003E0341">
      <w:pPr>
        <w:tabs>
          <w:tab w:val="left" w:pos="851"/>
        </w:tabs>
        <w:ind w:left="851"/>
        <w:rPr>
          <w:sz w:val="24"/>
          <w:szCs w:val="24"/>
          <w:lang w:val="en-GB"/>
        </w:rPr>
      </w:pPr>
    </w:p>
    <w:p w14:paraId="447D1D3E" w14:textId="77777777" w:rsidR="007C5D2A" w:rsidRPr="00DC1628" w:rsidRDefault="007C5D2A" w:rsidP="007C5D2A">
      <w:pPr>
        <w:tabs>
          <w:tab w:val="left" w:pos="851"/>
        </w:tabs>
        <w:ind w:left="851" w:hanging="851"/>
        <w:rPr>
          <w:b/>
          <w:sz w:val="24"/>
          <w:szCs w:val="24"/>
          <w:lang w:val="en-GB"/>
        </w:rPr>
      </w:pPr>
      <w:r w:rsidRPr="00DC1628">
        <w:rPr>
          <w:b/>
          <w:sz w:val="24"/>
          <w:szCs w:val="24"/>
          <w:lang w:val="en-GB"/>
        </w:rPr>
        <w:t>4.7</w:t>
      </w:r>
      <w:r w:rsidRPr="00DC1628">
        <w:rPr>
          <w:b/>
          <w:sz w:val="24"/>
          <w:szCs w:val="24"/>
          <w:lang w:val="en-GB"/>
        </w:rPr>
        <w:tab/>
        <w:t>Effects on ability to drive and use machines</w:t>
      </w:r>
    </w:p>
    <w:p w14:paraId="38EE82CC" w14:textId="77777777" w:rsidR="00035B2C" w:rsidRPr="00DC1628" w:rsidRDefault="00035B2C" w:rsidP="00AC517B">
      <w:pPr>
        <w:ind w:left="851"/>
        <w:rPr>
          <w:sz w:val="24"/>
          <w:szCs w:val="24"/>
          <w:lang w:val="en-GB"/>
        </w:rPr>
      </w:pPr>
      <w:r w:rsidRPr="00DC1628">
        <w:rPr>
          <w:sz w:val="24"/>
          <w:szCs w:val="24"/>
          <w:lang w:val="en-GB"/>
        </w:rPr>
        <w:t>No traffic warning.</w:t>
      </w:r>
    </w:p>
    <w:p w14:paraId="03226CC4" w14:textId="77777777" w:rsidR="00F738C0" w:rsidRPr="00DC1628" w:rsidRDefault="00F738C0" w:rsidP="00DC1628">
      <w:pPr>
        <w:ind w:left="851"/>
        <w:rPr>
          <w:sz w:val="24"/>
          <w:szCs w:val="24"/>
          <w:lang w:val="bg-BG"/>
        </w:rPr>
      </w:pPr>
      <w:r w:rsidRPr="00F31277">
        <w:rPr>
          <w:sz w:val="24"/>
          <w:szCs w:val="24"/>
          <w:lang w:val="en-GB"/>
        </w:rPr>
        <w:t>Butamirate</w:t>
      </w:r>
      <w:r w:rsidRPr="00F31277">
        <w:rPr>
          <w:sz w:val="24"/>
          <w:szCs w:val="24"/>
          <w:lang w:val="bg-BG"/>
        </w:rPr>
        <w:t xml:space="preserve"> may cause </w:t>
      </w:r>
      <w:r w:rsidRPr="00F31277">
        <w:rPr>
          <w:sz w:val="24"/>
          <w:szCs w:val="24"/>
          <w:lang w:val="en-US"/>
        </w:rPr>
        <w:t>somnolence</w:t>
      </w:r>
      <w:r w:rsidRPr="00F31277">
        <w:rPr>
          <w:sz w:val="24"/>
          <w:szCs w:val="24"/>
          <w:lang w:val="bg-BG"/>
        </w:rPr>
        <w:t xml:space="preserve">. It may have a minor influence on the ability to drive and use machines. </w:t>
      </w:r>
      <w:r w:rsidRPr="00F31277">
        <w:rPr>
          <w:sz w:val="24"/>
          <w:szCs w:val="24"/>
          <w:lang w:val="en-GB"/>
        </w:rPr>
        <w:t xml:space="preserve">Therefore, it should be </w:t>
      </w:r>
      <w:proofErr w:type="gramStart"/>
      <w:r w:rsidRPr="00F31277">
        <w:rPr>
          <w:sz w:val="24"/>
          <w:szCs w:val="24"/>
          <w:lang w:val="en-GB"/>
        </w:rPr>
        <w:t>taken into account</w:t>
      </w:r>
      <w:proofErr w:type="gramEnd"/>
      <w:r w:rsidRPr="00F31277">
        <w:rPr>
          <w:sz w:val="24"/>
          <w:szCs w:val="24"/>
          <w:lang w:val="en-GB"/>
        </w:rPr>
        <w:t xml:space="preserve"> when driving or performing</w:t>
      </w:r>
      <w:r w:rsidRPr="00DC1628">
        <w:rPr>
          <w:sz w:val="24"/>
          <w:szCs w:val="24"/>
          <w:lang w:val="en-GB"/>
        </w:rPr>
        <w:t xml:space="preserve"> other activities requiring alertness (e.g. operating machines)</w:t>
      </w:r>
      <w:r w:rsidRPr="00DC1628">
        <w:rPr>
          <w:sz w:val="24"/>
          <w:szCs w:val="24"/>
          <w:lang w:val="en-US"/>
        </w:rPr>
        <w:t>.</w:t>
      </w:r>
    </w:p>
    <w:p w14:paraId="0087B877" w14:textId="77777777" w:rsidR="007C5D2A" w:rsidRPr="00DC1628" w:rsidRDefault="007C5D2A" w:rsidP="003E0341">
      <w:pPr>
        <w:tabs>
          <w:tab w:val="left" w:pos="851"/>
        </w:tabs>
        <w:ind w:left="851"/>
        <w:rPr>
          <w:sz w:val="24"/>
          <w:szCs w:val="24"/>
          <w:lang w:val="bg-BG"/>
        </w:rPr>
      </w:pPr>
    </w:p>
    <w:p w14:paraId="71BC5D42" w14:textId="77777777" w:rsidR="007C5D2A" w:rsidRPr="00DC1628" w:rsidRDefault="007C5D2A" w:rsidP="007C5D2A">
      <w:pPr>
        <w:tabs>
          <w:tab w:val="left" w:pos="851"/>
        </w:tabs>
        <w:ind w:left="851" w:hanging="851"/>
        <w:rPr>
          <w:b/>
          <w:sz w:val="24"/>
          <w:szCs w:val="24"/>
          <w:lang w:val="en-GB"/>
        </w:rPr>
      </w:pPr>
      <w:r w:rsidRPr="00DC1628">
        <w:rPr>
          <w:b/>
          <w:sz w:val="24"/>
          <w:szCs w:val="24"/>
          <w:lang w:val="en-GB"/>
        </w:rPr>
        <w:t>4.8</w:t>
      </w:r>
      <w:r w:rsidRPr="00DC1628">
        <w:rPr>
          <w:b/>
          <w:sz w:val="24"/>
          <w:szCs w:val="24"/>
          <w:lang w:val="en-GB"/>
        </w:rPr>
        <w:tab/>
        <w:t>Undesirable effects</w:t>
      </w:r>
    </w:p>
    <w:p w14:paraId="45633603" w14:textId="77777777" w:rsidR="00F738C0" w:rsidRPr="00DC1628" w:rsidRDefault="00F738C0" w:rsidP="00DC1628">
      <w:pPr>
        <w:ind w:left="851"/>
        <w:rPr>
          <w:sz w:val="24"/>
          <w:szCs w:val="24"/>
          <w:lang w:val="en-US"/>
        </w:rPr>
      </w:pPr>
      <w:r w:rsidRPr="00DC1628">
        <w:rPr>
          <w:sz w:val="24"/>
          <w:szCs w:val="24"/>
          <w:lang w:val="en-US"/>
        </w:rPr>
        <w:t xml:space="preserve">Adverse reactions are listed below by system organ class and frequency. </w:t>
      </w:r>
    </w:p>
    <w:p w14:paraId="0A1BE1A4" w14:textId="77777777" w:rsidR="00F738C0" w:rsidRPr="00DC1628" w:rsidRDefault="00F738C0" w:rsidP="00DC1628">
      <w:pPr>
        <w:ind w:left="851"/>
        <w:rPr>
          <w:sz w:val="24"/>
          <w:szCs w:val="24"/>
          <w:lang w:val="en-US"/>
        </w:rPr>
      </w:pPr>
      <w:r w:rsidRPr="00DC1628">
        <w:rPr>
          <w:sz w:val="24"/>
          <w:szCs w:val="24"/>
          <w:lang w:val="en-US"/>
        </w:rPr>
        <w:t>Frequencies are defined as follows: very common (≥1/10), common (≥1/100 to &lt;1/10), uncommon (≥1/1,000 to &lt;1/100), rare (≥1/10,000 to &lt;1/1,000), very rare (&lt;1/10,000) and not known (cannot be estimated from the available data). With each frequency grouping, adverse reactions are presented in order of decreasing seriousness.</w:t>
      </w:r>
    </w:p>
    <w:p w14:paraId="6AAC0E2B" w14:textId="77777777" w:rsidR="00F738C0" w:rsidRPr="00DC1628" w:rsidRDefault="00F738C0" w:rsidP="00DC1628">
      <w:pPr>
        <w:ind w:left="851"/>
        <w:rPr>
          <w:sz w:val="24"/>
          <w:szCs w:val="24"/>
          <w:lang w:val="en-US"/>
        </w:rPr>
      </w:pPr>
    </w:p>
    <w:p w14:paraId="65A86D4C" w14:textId="77777777" w:rsidR="00F738C0" w:rsidRPr="00DC1628" w:rsidRDefault="00F738C0" w:rsidP="00DC1628">
      <w:pPr>
        <w:ind w:left="851"/>
        <w:rPr>
          <w:sz w:val="24"/>
          <w:szCs w:val="24"/>
          <w:u w:val="single"/>
          <w:lang w:val="bg-BG"/>
        </w:rPr>
      </w:pPr>
      <w:r w:rsidRPr="00DC1628">
        <w:rPr>
          <w:sz w:val="24"/>
          <w:szCs w:val="24"/>
          <w:u w:val="single"/>
          <w:lang w:val="en-US"/>
        </w:rPr>
        <w:t>Nervous system d</w:t>
      </w:r>
      <w:r w:rsidRPr="00DC1628">
        <w:rPr>
          <w:sz w:val="24"/>
          <w:szCs w:val="24"/>
          <w:u w:val="single"/>
          <w:lang w:val="bg-BG"/>
        </w:rPr>
        <w:t xml:space="preserve">isorders </w:t>
      </w:r>
    </w:p>
    <w:p w14:paraId="0975E91C" w14:textId="77777777" w:rsidR="00F738C0" w:rsidRPr="00DC1628" w:rsidRDefault="00F738C0" w:rsidP="00DC1628">
      <w:pPr>
        <w:ind w:left="851"/>
        <w:rPr>
          <w:sz w:val="24"/>
          <w:szCs w:val="24"/>
          <w:lang w:val="bg-BG"/>
        </w:rPr>
      </w:pPr>
      <w:r w:rsidRPr="00DC1628">
        <w:rPr>
          <w:sz w:val="24"/>
          <w:szCs w:val="24"/>
          <w:lang w:val="bg-BG"/>
        </w:rPr>
        <w:t>Rare</w:t>
      </w:r>
      <w:r w:rsidRPr="00DC1628">
        <w:rPr>
          <w:sz w:val="24"/>
          <w:szCs w:val="24"/>
          <w:lang w:val="en-US"/>
        </w:rPr>
        <w:t>:</w:t>
      </w:r>
      <w:r w:rsidRPr="00DC1628">
        <w:rPr>
          <w:sz w:val="24"/>
          <w:szCs w:val="24"/>
          <w:lang w:val="bg-BG"/>
        </w:rPr>
        <w:t xml:space="preserve"> </w:t>
      </w:r>
      <w:r w:rsidRPr="00DC1628">
        <w:rPr>
          <w:sz w:val="24"/>
          <w:szCs w:val="24"/>
          <w:lang w:val="en-US"/>
        </w:rPr>
        <w:t>somnolence</w:t>
      </w:r>
    </w:p>
    <w:p w14:paraId="0B7C8B40" w14:textId="77777777" w:rsidR="00F738C0" w:rsidRPr="00DC1628" w:rsidRDefault="00F738C0" w:rsidP="00DC1628">
      <w:pPr>
        <w:ind w:left="851"/>
        <w:rPr>
          <w:sz w:val="24"/>
          <w:szCs w:val="24"/>
          <w:lang w:val="en-US"/>
        </w:rPr>
      </w:pPr>
    </w:p>
    <w:p w14:paraId="43F6D2F1" w14:textId="77777777" w:rsidR="00F738C0" w:rsidRPr="00DC1628" w:rsidRDefault="00F738C0" w:rsidP="00DC1628">
      <w:pPr>
        <w:ind w:left="851"/>
        <w:rPr>
          <w:sz w:val="24"/>
          <w:szCs w:val="24"/>
          <w:u w:val="single"/>
          <w:lang w:val="bg-BG"/>
        </w:rPr>
      </w:pPr>
      <w:r w:rsidRPr="00DC1628">
        <w:rPr>
          <w:sz w:val="24"/>
          <w:szCs w:val="24"/>
          <w:u w:val="single"/>
          <w:lang w:val="bg-BG"/>
        </w:rPr>
        <w:t>Gastrointestinal disorders</w:t>
      </w:r>
    </w:p>
    <w:p w14:paraId="6F074655" w14:textId="77777777" w:rsidR="00F738C0" w:rsidRPr="00DC1628" w:rsidRDefault="00F738C0" w:rsidP="00DC1628">
      <w:pPr>
        <w:ind w:left="851"/>
        <w:rPr>
          <w:sz w:val="24"/>
          <w:szCs w:val="24"/>
          <w:lang w:val="bg-BG"/>
        </w:rPr>
      </w:pPr>
      <w:r w:rsidRPr="00DC1628">
        <w:rPr>
          <w:sz w:val="24"/>
          <w:szCs w:val="24"/>
          <w:lang w:val="bg-BG"/>
        </w:rPr>
        <w:t>Rare</w:t>
      </w:r>
      <w:r w:rsidRPr="00DC1628">
        <w:rPr>
          <w:sz w:val="24"/>
          <w:szCs w:val="24"/>
          <w:lang w:val="en-US"/>
        </w:rPr>
        <w:t xml:space="preserve">: </w:t>
      </w:r>
      <w:r w:rsidRPr="00DC1628">
        <w:rPr>
          <w:sz w:val="24"/>
          <w:szCs w:val="24"/>
          <w:lang w:val="bg-BG"/>
        </w:rPr>
        <w:t>nausea, diarrh</w:t>
      </w:r>
      <w:r w:rsidRPr="00DC1628">
        <w:rPr>
          <w:sz w:val="24"/>
          <w:szCs w:val="24"/>
          <w:lang w:val="en-GB"/>
        </w:rPr>
        <w:t>o</w:t>
      </w:r>
      <w:r w:rsidRPr="00DC1628">
        <w:rPr>
          <w:sz w:val="24"/>
          <w:szCs w:val="24"/>
          <w:lang w:val="bg-BG"/>
        </w:rPr>
        <w:t xml:space="preserve">ea </w:t>
      </w:r>
    </w:p>
    <w:p w14:paraId="05222278" w14:textId="77777777" w:rsidR="00F738C0" w:rsidRPr="00DC1628" w:rsidRDefault="00F738C0" w:rsidP="00DC1628">
      <w:pPr>
        <w:ind w:left="851"/>
        <w:rPr>
          <w:sz w:val="24"/>
          <w:szCs w:val="24"/>
          <w:u w:val="single"/>
          <w:lang w:val="en-US"/>
        </w:rPr>
      </w:pPr>
    </w:p>
    <w:p w14:paraId="0991052D" w14:textId="77777777" w:rsidR="00F738C0" w:rsidRPr="00DC1628" w:rsidRDefault="00F738C0" w:rsidP="00DC1628">
      <w:pPr>
        <w:ind w:left="851"/>
        <w:rPr>
          <w:sz w:val="24"/>
          <w:szCs w:val="24"/>
          <w:u w:val="single"/>
          <w:lang w:val="bg-BG"/>
        </w:rPr>
      </w:pPr>
      <w:r w:rsidRPr="00DC1628">
        <w:rPr>
          <w:sz w:val="24"/>
          <w:szCs w:val="24"/>
          <w:u w:val="single"/>
          <w:lang w:val="en-US"/>
        </w:rPr>
        <w:t>S</w:t>
      </w:r>
      <w:r w:rsidRPr="00DC1628">
        <w:rPr>
          <w:sz w:val="24"/>
          <w:szCs w:val="24"/>
          <w:u w:val="single"/>
          <w:lang w:val="bg-BG"/>
        </w:rPr>
        <w:t xml:space="preserve">kin and </w:t>
      </w:r>
      <w:r w:rsidRPr="00DC1628">
        <w:rPr>
          <w:sz w:val="24"/>
          <w:szCs w:val="24"/>
          <w:u w:val="single"/>
          <w:lang w:val="en-US"/>
        </w:rPr>
        <w:t>subcutaneous tissue d</w:t>
      </w:r>
      <w:r w:rsidRPr="00DC1628">
        <w:rPr>
          <w:sz w:val="24"/>
          <w:szCs w:val="24"/>
          <w:u w:val="single"/>
          <w:lang w:val="bg-BG"/>
        </w:rPr>
        <w:t xml:space="preserve">isorders </w:t>
      </w:r>
    </w:p>
    <w:p w14:paraId="1B804FF0" w14:textId="77777777" w:rsidR="00F738C0" w:rsidRPr="00DC1628" w:rsidRDefault="00F738C0" w:rsidP="00DC1628">
      <w:pPr>
        <w:ind w:left="851"/>
        <w:rPr>
          <w:sz w:val="24"/>
          <w:szCs w:val="24"/>
          <w:lang w:val="en-US"/>
        </w:rPr>
      </w:pPr>
      <w:r w:rsidRPr="00DC1628">
        <w:rPr>
          <w:sz w:val="24"/>
          <w:szCs w:val="24"/>
          <w:lang w:val="bg-BG"/>
        </w:rPr>
        <w:t>Rare</w:t>
      </w:r>
      <w:r w:rsidRPr="00DC1628">
        <w:rPr>
          <w:sz w:val="24"/>
          <w:szCs w:val="24"/>
          <w:lang w:val="en-US"/>
        </w:rPr>
        <w:t>:</w:t>
      </w:r>
      <w:r w:rsidRPr="00DC1628">
        <w:rPr>
          <w:sz w:val="24"/>
          <w:szCs w:val="24"/>
          <w:lang w:val="bg-BG"/>
        </w:rPr>
        <w:t xml:space="preserve"> </w:t>
      </w:r>
      <w:r w:rsidRPr="00DC1628">
        <w:rPr>
          <w:sz w:val="24"/>
          <w:szCs w:val="24"/>
          <w:lang w:val="en-US"/>
        </w:rPr>
        <w:t>urticaria</w:t>
      </w:r>
      <w:r w:rsidRPr="00DC1628">
        <w:rPr>
          <w:sz w:val="24"/>
          <w:szCs w:val="24"/>
          <w:lang w:val="bg-BG"/>
        </w:rPr>
        <w:t xml:space="preserve"> </w:t>
      </w:r>
    </w:p>
    <w:p w14:paraId="248773B2" w14:textId="77777777" w:rsidR="00F738C0" w:rsidRPr="00DC1628" w:rsidRDefault="00F738C0" w:rsidP="00DC1628">
      <w:pPr>
        <w:ind w:left="851"/>
        <w:rPr>
          <w:sz w:val="24"/>
          <w:szCs w:val="24"/>
          <w:lang w:val="en-US"/>
        </w:rPr>
      </w:pPr>
    </w:p>
    <w:p w14:paraId="7B6E2E68" w14:textId="77777777" w:rsidR="00F738C0" w:rsidRPr="00DC1628" w:rsidRDefault="00F738C0" w:rsidP="00DC1628">
      <w:pPr>
        <w:ind w:left="851"/>
        <w:rPr>
          <w:sz w:val="24"/>
          <w:szCs w:val="24"/>
          <w:u w:val="single"/>
          <w:lang w:val="en-US"/>
        </w:rPr>
      </w:pPr>
      <w:r w:rsidRPr="00DC1628">
        <w:rPr>
          <w:sz w:val="24"/>
          <w:szCs w:val="24"/>
          <w:u w:val="single"/>
          <w:lang w:val="en-US"/>
        </w:rPr>
        <w:t>Immune system disorders</w:t>
      </w:r>
    </w:p>
    <w:p w14:paraId="4CF73534" w14:textId="77777777" w:rsidR="00F738C0" w:rsidRPr="00DC1628" w:rsidRDefault="00F738C0" w:rsidP="00DC1628">
      <w:pPr>
        <w:ind w:left="851"/>
        <w:rPr>
          <w:sz w:val="24"/>
          <w:szCs w:val="24"/>
          <w:lang w:val="en-US"/>
        </w:rPr>
      </w:pPr>
      <w:r w:rsidRPr="00DC1628">
        <w:rPr>
          <w:sz w:val="24"/>
          <w:szCs w:val="24"/>
          <w:lang w:val="en-US"/>
        </w:rPr>
        <w:t>Rare: hypersensitivity reactions</w:t>
      </w:r>
    </w:p>
    <w:p w14:paraId="1932DAC9" w14:textId="77777777" w:rsidR="00500962" w:rsidRPr="00DC1628" w:rsidRDefault="00500962" w:rsidP="00AC517B">
      <w:pPr>
        <w:autoSpaceDE w:val="0"/>
        <w:autoSpaceDN w:val="0"/>
        <w:adjustRightInd w:val="0"/>
        <w:ind w:left="851"/>
        <w:rPr>
          <w:bCs/>
          <w:sz w:val="24"/>
          <w:szCs w:val="24"/>
          <w:lang w:val="en-US"/>
        </w:rPr>
      </w:pPr>
    </w:p>
    <w:p w14:paraId="2AFBA9C6" w14:textId="77777777" w:rsidR="00245D57" w:rsidRPr="00DC1628" w:rsidRDefault="00245D57" w:rsidP="00245D57">
      <w:pPr>
        <w:ind w:left="851"/>
        <w:rPr>
          <w:sz w:val="24"/>
          <w:szCs w:val="24"/>
          <w:u w:val="single"/>
          <w:lang w:val="en-GB"/>
        </w:rPr>
      </w:pPr>
      <w:r w:rsidRPr="00DC1628">
        <w:rPr>
          <w:sz w:val="24"/>
          <w:szCs w:val="24"/>
          <w:u w:val="single"/>
          <w:lang w:val="en-GB"/>
        </w:rPr>
        <w:t>Reporting of suspected adverse reactions</w:t>
      </w:r>
    </w:p>
    <w:p w14:paraId="13ACDE7C" w14:textId="77777777" w:rsidR="00245D57" w:rsidRPr="00DC1628" w:rsidRDefault="00245D57" w:rsidP="00245D57">
      <w:pPr>
        <w:ind w:left="851"/>
        <w:rPr>
          <w:sz w:val="24"/>
          <w:szCs w:val="24"/>
          <w:lang w:val="en-GB"/>
        </w:rPr>
      </w:pPr>
      <w:r w:rsidRPr="00DC1628">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69DFEE72" w14:textId="77777777" w:rsidR="00245D57" w:rsidRPr="00DC1628" w:rsidRDefault="00245D57" w:rsidP="00245D57">
      <w:pPr>
        <w:ind w:left="851"/>
        <w:rPr>
          <w:sz w:val="24"/>
          <w:szCs w:val="24"/>
          <w:lang w:val="en-GB"/>
        </w:rPr>
      </w:pPr>
    </w:p>
    <w:p w14:paraId="4ECB7C7B" w14:textId="77777777" w:rsidR="00245D57" w:rsidRPr="00DC1628" w:rsidRDefault="00245D57" w:rsidP="00245D57">
      <w:pPr>
        <w:ind w:left="851"/>
        <w:rPr>
          <w:sz w:val="24"/>
          <w:szCs w:val="24"/>
        </w:rPr>
      </w:pPr>
      <w:r w:rsidRPr="00DC1628">
        <w:rPr>
          <w:sz w:val="24"/>
          <w:szCs w:val="24"/>
        </w:rPr>
        <w:t>Lægemiddelstyrelsen</w:t>
      </w:r>
    </w:p>
    <w:p w14:paraId="6F735831" w14:textId="77777777" w:rsidR="00245D57" w:rsidRPr="00DC1628" w:rsidRDefault="00245D57" w:rsidP="00245D57">
      <w:pPr>
        <w:ind w:left="851"/>
        <w:rPr>
          <w:sz w:val="24"/>
          <w:szCs w:val="24"/>
        </w:rPr>
      </w:pPr>
      <w:r w:rsidRPr="00DC1628">
        <w:rPr>
          <w:sz w:val="24"/>
          <w:szCs w:val="24"/>
        </w:rPr>
        <w:t>Axel Heides Gade 1</w:t>
      </w:r>
    </w:p>
    <w:p w14:paraId="370B4404" w14:textId="77777777" w:rsidR="00245D57" w:rsidRPr="00DC1628" w:rsidRDefault="00245D57" w:rsidP="00245D57">
      <w:pPr>
        <w:ind w:left="851"/>
        <w:rPr>
          <w:sz w:val="24"/>
          <w:szCs w:val="24"/>
        </w:rPr>
      </w:pPr>
      <w:r w:rsidRPr="00DC1628">
        <w:rPr>
          <w:sz w:val="24"/>
          <w:szCs w:val="24"/>
        </w:rPr>
        <w:t>DK-2300 København S</w:t>
      </w:r>
    </w:p>
    <w:p w14:paraId="463D1CCD" w14:textId="77777777" w:rsidR="00245D57" w:rsidRPr="00DC1628" w:rsidRDefault="00245D57" w:rsidP="00245D57">
      <w:pPr>
        <w:ind w:left="851"/>
        <w:rPr>
          <w:sz w:val="24"/>
          <w:szCs w:val="24"/>
          <w:lang w:val="en-US"/>
        </w:rPr>
      </w:pPr>
      <w:r w:rsidRPr="00DC1628">
        <w:rPr>
          <w:sz w:val="24"/>
          <w:szCs w:val="24"/>
          <w:lang w:val="en-US"/>
        </w:rPr>
        <w:t>Website: www.meldenbivirkning.dk</w:t>
      </w:r>
    </w:p>
    <w:p w14:paraId="09FAC846" w14:textId="77777777" w:rsidR="007C5D2A" w:rsidRPr="00DC1628" w:rsidRDefault="007C5D2A" w:rsidP="003E0341">
      <w:pPr>
        <w:pStyle w:val="Sidehoved"/>
        <w:tabs>
          <w:tab w:val="clear" w:pos="4819"/>
          <w:tab w:val="clear" w:pos="9638"/>
          <w:tab w:val="left" w:pos="851"/>
        </w:tabs>
        <w:ind w:left="851"/>
        <w:rPr>
          <w:szCs w:val="24"/>
          <w:lang w:val="en-GB"/>
        </w:rPr>
      </w:pPr>
    </w:p>
    <w:p w14:paraId="559BC9E4" w14:textId="77777777" w:rsidR="007C5D2A" w:rsidRPr="00DC1628" w:rsidRDefault="007C5D2A" w:rsidP="007C5D2A">
      <w:pPr>
        <w:tabs>
          <w:tab w:val="left" w:pos="851"/>
        </w:tabs>
        <w:ind w:left="851" w:hanging="851"/>
        <w:rPr>
          <w:b/>
          <w:sz w:val="24"/>
          <w:szCs w:val="24"/>
          <w:lang w:val="en-GB"/>
        </w:rPr>
      </w:pPr>
      <w:r w:rsidRPr="00DC1628">
        <w:rPr>
          <w:b/>
          <w:sz w:val="24"/>
          <w:szCs w:val="24"/>
          <w:lang w:val="en-GB"/>
        </w:rPr>
        <w:t>4.9</w:t>
      </w:r>
      <w:r w:rsidRPr="00DC1628">
        <w:rPr>
          <w:b/>
          <w:sz w:val="24"/>
          <w:szCs w:val="24"/>
          <w:lang w:val="en-GB"/>
        </w:rPr>
        <w:tab/>
        <w:t>Overdose</w:t>
      </w:r>
    </w:p>
    <w:p w14:paraId="3DD2198F" w14:textId="77777777" w:rsidR="00500962" w:rsidRPr="00DC1628" w:rsidRDefault="00500962" w:rsidP="00AC517B">
      <w:pPr>
        <w:ind w:left="851"/>
        <w:rPr>
          <w:i/>
          <w:sz w:val="24"/>
          <w:szCs w:val="24"/>
          <w:lang w:val="bg-BG"/>
        </w:rPr>
      </w:pPr>
      <w:r w:rsidRPr="00DC1628">
        <w:rPr>
          <w:i/>
          <w:sz w:val="24"/>
          <w:szCs w:val="24"/>
          <w:lang w:val="bg-BG"/>
        </w:rPr>
        <w:t>Symptoms</w:t>
      </w:r>
    </w:p>
    <w:p w14:paraId="402B4D81" w14:textId="071E50F0" w:rsidR="00500962" w:rsidRPr="00DC1628" w:rsidRDefault="00500962" w:rsidP="00AC517B">
      <w:pPr>
        <w:ind w:left="851"/>
        <w:rPr>
          <w:sz w:val="24"/>
          <w:szCs w:val="24"/>
          <w:lang w:val="bg-BG"/>
        </w:rPr>
      </w:pPr>
      <w:r w:rsidRPr="00DC1628">
        <w:rPr>
          <w:sz w:val="24"/>
          <w:szCs w:val="24"/>
          <w:lang w:val="en-US"/>
        </w:rPr>
        <w:t>B</w:t>
      </w:r>
      <w:r w:rsidRPr="00DC1628">
        <w:rPr>
          <w:sz w:val="24"/>
          <w:szCs w:val="24"/>
          <w:lang w:val="bg-BG"/>
        </w:rPr>
        <w:t xml:space="preserve">utamirate </w:t>
      </w:r>
      <w:r w:rsidRPr="00DC1628">
        <w:rPr>
          <w:sz w:val="24"/>
          <w:szCs w:val="24"/>
          <w:lang w:val="en-US"/>
        </w:rPr>
        <w:t>overdose</w:t>
      </w:r>
      <w:r w:rsidRPr="00DC1628">
        <w:rPr>
          <w:sz w:val="24"/>
          <w:szCs w:val="24"/>
          <w:lang w:val="bg-BG"/>
        </w:rPr>
        <w:t xml:space="preserve"> may </w:t>
      </w:r>
      <w:r w:rsidRPr="00DC1628">
        <w:rPr>
          <w:sz w:val="24"/>
          <w:szCs w:val="24"/>
          <w:lang w:val="en-US"/>
        </w:rPr>
        <w:t>lead to</w:t>
      </w:r>
      <w:r w:rsidRPr="00DC1628">
        <w:rPr>
          <w:sz w:val="24"/>
          <w:szCs w:val="24"/>
          <w:lang w:val="bg-BG"/>
        </w:rPr>
        <w:t xml:space="preserve"> </w:t>
      </w:r>
      <w:r w:rsidRPr="00DC1628">
        <w:rPr>
          <w:sz w:val="24"/>
          <w:szCs w:val="24"/>
          <w:lang w:val="en-US"/>
        </w:rPr>
        <w:t>the following</w:t>
      </w:r>
      <w:r w:rsidRPr="00DC1628">
        <w:rPr>
          <w:sz w:val="24"/>
          <w:szCs w:val="24"/>
          <w:lang w:val="bg-BG"/>
        </w:rPr>
        <w:t xml:space="preserve"> symptoms: </w:t>
      </w:r>
      <w:r w:rsidRPr="00DC1628">
        <w:rPr>
          <w:sz w:val="24"/>
          <w:szCs w:val="24"/>
          <w:lang w:val="en-US"/>
        </w:rPr>
        <w:t xml:space="preserve">drowsiness, </w:t>
      </w:r>
      <w:r w:rsidR="00E70131" w:rsidRPr="00DC1628">
        <w:rPr>
          <w:sz w:val="24"/>
          <w:szCs w:val="24"/>
          <w:lang w:val="en-US"/>
        </w:rPr>
        <w:t>nausea</w:t>
      </w:r>
      <w:r w:rsidRPr="00DC1628">
        <w:rPr>
          <w:sz w:val="24"/>
          <w:szCs w:val="24"/>
          <w:lang w:val="bg-BG"/>
        </w:rPr>
        <w:t>, vomiting, diarrh</w:t>
      </w:r>
      <w:r w:rsidRPr="00DC1628">
        <w:rPr>
          <w:sz w:val="24"/>
          <w:szCs w:val="24"/>
          <w:lang w:val="en-GB"/>
        </w:rPr>
        <w:t>o</w:t>
      </w:r>
      <w:r w:rsidRPr="00DC1628">
        <w:rPr>
          <w:sz w:val="24"/>
          <w:szCs w:val="24"/>
          <w:lang w:val="bg-BG"/>
        </w:rPr>
        <w:t xml:space="preserve">ea, </w:t>
      </w:r>
      <w:r w:rsidRPr="00DC1628">
        <w:rPr>
          <w:sz w:val="24"/>
          <w:szCs w:val="24"/>
          <w:lang w:val="en-GB"/>
        </w:rPr>
        <w:t xml:space="preserve">dizziness, </w:t>
      </w:r>
      <w:r w:rsidRPr="00DC1628">
        <w:rPr>
          <w:sz w:val="24"/>
          <w:szCs w:val="24"/>
          <w:lang w:val="en-US"/>
        </w:rPr>
        <w:t>hypotension</w:t>
      </w:r>
      <w:r w:rsidRPr="00DC1628">
        <w:rPr>
          <w:sz w:val="24"/>
          <w:szCs w:val="24"/>
          <w:lang w:val="bg-BG"/>
        </w:rPr>
        <w:t>.</w:t>
      </w:r>
    </w:p>
    <w:p w14:paraId="58491D70" w14:textId="77777777" w:rsidR="00500962" w:rsidRPr="00DC134B" w:rsidRDefault="00500962" w:rsidP="00DC134B">
      <w:pPr>
        <w:ind w:left="851"/>
        <w:rPr>
          <w:i/>
          <w:sz w:val="24"/>
          <w:szCs w:val="24"/>
          <w:lang w:val="bg-BG"/>
        </w:rPr>
      </w:pPr>
    </w:p>
    <w:p w14:paraId="657849A8" w14:textId="77777777" w:rsidR="00906FBB" w:rsidRPr="00DC134B" w:rsidRDefault="00906FBB" w:rsidP="00DC134B">
      <w:pPr>
        <w:tabs>
          <w:tab w:val="left" w:pos="567"/>
        </w:tabs>
        <w:ind w:left="851"/>
        <w:rPr>
          <w:i/>
          <w:sz w:val="24"/>
          <w:szCs w:val="24"/>
          <w:lang w:val="en-US"/>
        </w:rPr>
      </w:pPr>
      <w:r w:rsidRPr="00DC134B">
        <w:rPr>
          <w:i/>
          <w:sz w:val="24"/>
          <w:szCs w:val="24"/>
          <w:lang w:val="en-US"/>
        </w:rPr>
        <w:t>Measures</w:t>
      </w:r>
    </w:p>
    <w:p w14:paraId="52AE9FF3" w14:textId="77777777" w:rsidR="00906FBB" w:rsidRPr="00DC134B" w:rsidRDefault="00906FBB" w:rsidP="00DC134B">
      <w:pPr>
        <w:tabs>
          <w:tab w:val="left" w:pos="567"/>
        </w:tabs>
        <w:ind w:left="851"/>
        <w:rPr>
          <w:sz w:val="24"/>
          <w:szCs w:val="24"/>
          <w:lang w:val="en-US"/>
        </w:rPr>
      </w:pPr>
      <w:r w:rsidRPr="00DC134B">
        <w:rPr>
          <w:sz w:val="24"/>
          <w:szCs w:val="24"/>
          <w:lang w:val="en-US"/>
        </w:rPr>
        <w:t>Further management should be as clinically indicated or as recommended by the National Poison Control Center, as appropriate.</w:t>
      </w:r>
    </w:p>
    <w:p w14:paraId="103B1907" w14:textId="77777777" w:rsidR="00906FBB" w:rsidRPr="00DC134B" w:rsidRDefault="00906FBB" w:rsidP="00DC134B">
      <w:pPr>
        <w:tabs>
          <w:tab w:val="left" w:pos="567"/>
        </w:tabs>
        <w:ind w:left="851"/>
        <w:rPr>
          <w:sz w:val="24"/>
          <w:szCs w:val="24"/>
          <w:lang w:val="en-US"/>
        </w:rPr>
      </w:pPr>
      <w:r w:rsidRPr="00DC134B">
        <w:rPr>
          <w:sz w:val="24"/>
          <w:szCs w:val="24"/>
          <w:lang w:val="en-US"/>
        </w:rPr>
        <w:t>There is no specific treatment for butamirate overdose. In the event of overdose, the patient should receive supportive treatment with appropriate monitoring, if necessary.</w:t>
      </w:r>
    </w:p>
    <w:p w14:paraId="2954A21A" w14:textId="77777777" w:rsidR="007C5D2A" w:rsidRPr="00DC134B" w:rsidRDefault="007C5D2A" w:rsidP="00DC134B">
      <w:pPr>
        <w:tabs>
          <w:tab w:val="left" w:pos="851"/>
        </w:tabs>
        <w:ind w:left="851"/>
        <w:rPr>
          <w:sz w:val="24"/>
          <w:szCs w:val="24"/>
          <w:lang w:val="en-US"/>
        </w:rPr>
      </w:pPr>
    </w:p>
    <w:p w14:paraId="2EDB91A5" w14:textId="77777777" w:rsidR="008F2F8C" w:rsidRPr="00DC1628" w:rsidRDefault="0042292D" w:rsidP="0042292D">
      <w:pPr>
        <w:tabs>
          <w:tab w:val="left" w:pos="851"/>
        </w:tabs>
        <w:rPr>
          <w:b/>
          <w:sz w:val="24"/>
          <w:szCs w:val="24"/>
          <w:lang w:val="en-GB"/>
        </w:rPr>
      </w:pPr>
      <w:r w:rsidRPr="00DC1628">
        <w:rPr>
          <w:b/>
          <w:sz w:val="24"/>
          <w:szCs w:val="24"/>
          <w:lang w:val="en-GB"/>
        </w:rPr>
        <w:t>4.10</w:t>
      </w:r>
      <w:r w:rsidRPr="00DC1628">
        <w:rPr>
          <w:b/>
          <w:sz w:val="24"/>
          <w:szCs w:val="24"/>
          <w:lang w:val="en-GB"/>
        </w:rPr>
        <w:tab/>
        <w:t>Legal status</w:t>
      </w:r>
    </w:p>
    <w:p w14:paraId="386F2462" w14:textId="48F27932" w:rsidR="00AD2E36" w:rsidRPr="00DC1628" w:rsidRDefault="00C04163" w:rsidP="00AD2E36">
      <w:pPr>
        <w:tabs>
          <w:tab w:val="left" w:pos="851"/>
        </w:tabs>
        <w:ind w:left="851"/>
        <w:rPr>
          <w:sz w:val="24"/>
          <w:szCs w:val="24"/>
          <w:lang w:val="en-GB"/>
        </w:rPr>
      </w:pPr>
      <w:r w:rsidRPr="00DC1628">
        <w:rPr>
          <w:sz w:val="24"/>
          <w:szCs w:val="24"/>
          <w:lang w:val="en-GB"/>
        </w:rPr>
        <w:t>B</w:t>
      </w:r>
    </w:p>
    <w:p w14:paraId="1AD39B58" w14:textId="77777777" w:rsidR="007C5D2A" w:rsidRPr="00DC1628" w:rsidRDefault="007C5D2A" w:rsidP="003E0341">
      <w:pPr>
        <w:tabs>
          <w:tab w:val="left" w:pos="851"/>
        </w:tabs>
        <w:ind w:left="851"/>
        <w:rPr>
          <w:sz w:val="24"/>
          <w:szCs w:val="24"/>
          <w:lang w:val="en-GB"/>
        </w:rPr>
      </w:pPr>
    </w:p>
    <w:p w14:paraId="42FB4D58" w14:textId="77777777" w:rsidR="00AD2E36" w:rsidRPr="00DC1628" w:rsidRDefault="00AD2E36" w:rsidP="003E0341">
      <w:pPr>
        <w:tabs>
          <w:tab w:val="left" w:pos="851"/>
        </w:tabs>
        <w:ind w:left="851"/>
        <w:rPr>
          <w:sz w:val="24"/>
          <w:szCs w:val="24"/>
          <w:lang w:val="en-GB"/>
        </w:rPr>
      </w:pPr>
    </w:p>
    <w:p w14:paraId="3DD302A9" w14:textId="77777777" w:rsidR="007C5D2A" w:rsidRPr="00DC1628" w:rsidRDefault="007C5D2A" w:rsidP="007C5D2A">
      <w:pPr>
        <w:tabs>
          <w:tab w:val="left" w:pos="851"/>
        </w:tabs>
        <w:rPr>
          <w:b/>
          <w:sz w:val="24"/>
          <w:szCs w:val="24"/>
          <w:lang w:val="en-GB"/>
        </w:rPr>
      </w:pPr>
      <w:r w:rsidRPr="00DC1628">
        <w:rPr>
          <w:b/>
          <w:sz w:val="24"/>
          <w:szCs w:val="24"/>
          <w:lang w:val="en-GB"/>
        </w:rPr>
        <w:t>5.</w:t>
      </w:r>
      <w:r w:rsidRPr="00DC1628">
        <w:rPr>
          <w:b/>
          <w:sz w:val="24"/>
          <w:szCs w:val="24"/>
          <w:lang w:val="en-GB"/>
        </w:rPr>
        <w:tab/>
        <w:t>PHARMACOLOGICAL PROPERTIES</w:t>
      </w:r>
    </w:p>
    <w:p w14:paraId="6319D121" w14:textId="77777777" w:rsidR="007C5D2A" w:rsidRPr="00DC1628" w:rsidRDefault="007C5D2A" w:rsidP="003E0341">
      <w:pPr>
        <w:tabs>
          <w:tab w:val="left" w:pos="851"/>
        </w:tabs>
        <w:ind w:left="851"/>
        <w:rPr>
          <w:sz w:val="24"/>
          <w:szCs w:val="24"/>
          <w:lang w:val="en-GB"/>
        </w:rPr>
      </w:pPr>
    </w:p>
    <w:p w14:paraId="76B0CC91" w14:textId="77777777" w:rsidR="007C5D2A" w:rsidRPr="00DC1628" w:rsidRDefault="007C5D2A" w:rsidP="007C5D2A">
      <w:pPr>
        <w:tabs>
          <w:tab w:val="left" w:pos="851"/>
        </w:tabs>
        <w:ind w:left="851" w:hanging="851"/>
        <w:rPr>
          <w:b/>
          <w:sz w:val="24"/>
          <w:szCs w:val="24"/>
          <w:lang w:val="en-GB"/>
        </w:rPr>
      </w:pPr>
      <w:r w:rsidRPr="00DC1628">
        <w:rPr>
          <w:b/>
          <w:sz w:val="24"/>
          <w:szCs w:val="24"/>
          <w:lang w:val="en-GB"/>
        </w:rPr>
        <w:t>5.1</w:t>
      </w:r>
      <w:r w:rsidRPr="00DC1628">
        <w:rPr>
          <w:b/>
          <w:sz w:val="24"/>
          <w:szCs w:val="24"/>
          <w:lang w:val="en-GB"/>
        </w:rPr>
        <w:tab/>
        <w:t>Pharmacodynamic properties</w:t>
      </w:r>
      <w:r w:rsidRPr="00DC1628">
        <w:rPr>
          <w:b/>
          <w:sz w:val="24"/>
          <w:szCs w:val="24"/>
          <w:lang w:val="en-GB"/>
        </w:rPr>
        <w:tab/>
      </w:r>
    </w:p>
    <w:p w14:paraId="2166EA42" w14:textId="7F3828C3" w:rsidR="00F31277" w:rsidRPr="00DC1628" w:rsidRDefault="00F31277" w:rsidP="00F31277">
      <w:pPr>
        <w:ind w:left="851"/>
        <w:rPr>
          <w:sz w:val="24"/>
          <w:szCs w:val="24"/>
          <w:lang w:val="bg-BG"/>
        </w:rPr>
      </w:pPr>
      <w:bookmarkStart w:id="1" w:name="_Hlk150851793"/>
      <w:bookmarkStart w:id="2" w:name="_Hlk149132465"/>
      <w:r w:rsidRPr="00F31277">
        <w:rPr>
          <w:lang w:val="en-US"/>
        </w:rPr>
        <w:t>Pharmacotherapeutic group:</w:t>
      </w:r>
      <w:bookmarkEnd w:id="1"/>
      <w:r w:rsidRPr="00F31277">
        <w:rPr>
          <w:lang w:val="en-US"/>
        </w:rPr>
        <w:t xml:space="preserve"> </w:t>
      </w:r>
      <w:r w:rsidRPr="00DC1628">
        <w:rPr>
          <w:sz w:val="24"/>
          <w:szCs w:val="24"/>
          <w:lang w:val="bg-BG"/>
        </w:rPr>
        <w:t>Other cough</w:t>
      </w:r>
      <w:r w:rsidRPr="00DC1628">
        <w:rPr>
          <w:sz w:val="24"/>
          <w:szCs w:val="24"/>
          <w:lang w:val="en-US"/>
        </w:rPr>
        <w:t xml:space="preserve"> suppressants</w:t>
      </w:r>
      <w:r>
        <w:rPr>
          <w:lang w:val="en-US"/>
        </w:rPr>
        <w:t xml:space="preserve">, </w:t>
      </w:r>
      <w:r w:rsidRPr="00DC1628">
        <w:rPr>
          <w:caps/>
          <w:sz w:val="24"/>
          <w:szCs w:val="24"/>
          <w:lang w:val="bg-BG"/>
        </w:rPr>
        <w:t>Атс</w:t>
      </w:r>
      <w:r w:rsidRPr="00DC1628">
        <w:rPr>
          <w:caps/>
          <w:sz w:val="24"/>
          <w:szCs w:val="24"/>
          <w:lang w:val="en-US"/>
        </w:rPr>
        <w:t>-</w:t>
      </w:r>
      <w:r w:rsidRPr="00DC1628">
        <w:rPr>
          <w:sz w:val="24"/>
          <w:szCs w:val="24"/>
          <w:lang w:val="en-US"/>
        </w:rPr>
        <w:t>code</w:t>
      </w:r>
      <w:r w:rsidRPr="00DC1628">
        <w:rPr>
          <w:sz w:val="24"/>
          <w:szCs w:val="24"/>
          <w:lang w:val="bg-BG"/>
        </w:rPr>
        <w:t xml:space="preserve">: </w:t>
      </w:r>
      <w:r w:rsidRPr="00DC1628">
        <w:rPr>
          <w:sz w:val="24"/>
          <w:szCs w:val="24"/>
          <w:lang w:val="en-US"/>
        </w:rPr>
        <w:t>R0</w:t>
      </w:r>
      <w:r w:rsidRPr="00DC1628">
        <w:rPr>
          <w:sz w:val="24"/>
          <w:szCs w:val="24"/>
          <w:lang w:val="bg-BG"/>
        </w:rPr>
        <w:t>5</w:t>
      </w:r>
      <w:r w:rsidRPr="00DC1628">
        <w:rPr>
          <w:sz w:val="24"/>
          <w:szCs w:val="24"/>
          <w:lang w:val="en-US"/>
        </w:rPr>
        <w:t>DB13.</w:t>
      </w:r>
      <w:r w:rsidRPr="00DC1628">
        <w:rPr>
          <w:sz w:val="24"/>
          <w:szCs w:val="24"/>
          <w:lang w:val="bg-BG"/>
        </w:rPr>
        <w:t xml:space="preserve"> </w:t>
      </w:r>
    </w:p>
    <w:bookmarkEnd w:id="2"/>
    <w:p w14:paraId="2BCA335E" w14:textId="77777777" w:rsidR="00F31277" w:rsidRDefault="00F31277" w:rsidP="00AC517B">
      <w:pPr>
        <w:ind w:left="851"/>
        <w:rPr>
          <w:sz w:val="24"/>
          <w:szCs w:val="24"/>
          <w:lang w:val="en-US"/>
        </w:rPr>
      </w:pPr>
    </w:p>
    <w:p w14:paraId="19D9B56A" w14:textId="0861D237" w:rsidR="00500962" w:rsidRPr="00DC1628" w:rsidRDefault="001F3F70" w:rsidP="00AC517B">
      <w:pPr>
        <w:ind w:left="851"/>
        <w:rPr>
          <w:sz w:val="24"/>
          <w:szCs w:val="24"/>
          <w:lang w:val="en-US"/>
        </w:rPr>
      </w:pPr>
      <w:proofErr w:type="spellStart"/>
      <w:r w:rsidRPr="00DC1628">
        <w:rPr>
          <w:sz w:val="24"/>
          <w:szCs w:val="24"/>
          <w:lang w:val="en-US"/>
        </w:rPr>
        <w:t>Tinguri</w:t>
      </w:r>
      <w:proofErr w:type="spellEnd"/>
      <w:r w:rsidR="00500962" w:rsidRPr="00DC1628">
        <w:rPr>
          <w:sz w:val="24"/>
          <w:szCs w:val="24"/>
          <w:lang w:val="en-US"/>
        </w:rPr>
        <w:t xml:space="preserve"> syrup contains butamirate citrate which is a cough suppressant used for the </w:t>
      </w:r>
      <w:r w:rsidR="00500962" w:rsidRPr="00DC1628">
        <w:rPr>
          <w:sz w:val="24"/>
          <w:szCs w:val="24"/>
          <w:lang w:val="en-GB"/>
        </w:rPr>
        <w:t>s</w:t>
      </w:r>
      <w:r w:rsidR="00500962" w:rsidRPr="00DC1628">
        <w:rPr>
          <w:sz w:val="24"/>
          <w:szCs w:val="24"/>
          <w:lang w:val="bg-BG"/>
        </w:rPr>
        <w:t xml:space="preserve">ymptomatic treatment </w:t>
      </w:r>
      <w:r w:rsidR="00500962" w:rsidRPr="00DC1628">
        <w:rPr>
          <w:sz w:val="24"/>
          <w:szCs w:val="24"/>
          <w:lang w:val="en-US"/>
        </w:rPr>
        <w:t>of</w:t>
      </w:r>
      <w:r w:rsidR="00500962" w:rsidRPr="00DC1628">
        <w:rPr>
          <w:sz w:val="24"/>
          <w:szCs w:val="24"/>
          <w:lang w:val="bg-BG"/>
        </w:rPr>
        <w:t xml:space="preserve"> </w:t>
      </w:r>
      <w:r w:rsidR="00500962" w:rsidRPr="00DC1628">
        <w:rPr>
          <w:sz w:val="24"/>
          <w:szCs w:val="24"/>
          <w:lang w:val="en-GB"/>
        </w:rPr>
        <w:t>non-productive</w:t>
      </w:r>
      <w:r w:rsidR="00500962" w:rsidRPr="00DC1628">
        <w:rPr>
          <w:sz w:val="24"/>
          <w:szCs w:val="24"/>
          <w:lang w:val="bg-BG"/>
        </w:rPr>
        <w:t xml:space="preserve"> cough</w:t>
      </w:r>
      <w:r w:rsidR="00500962" w:rsidRPr="00DC1628">
        <w:rPr>
          <w:sz w:val="24"/>
          <w:szCs w:val="24"/>
          <w:lang w:val="en-US"/>
        </w:rPr>
        <w:t>.</w:t>
      </w:r>
    </w:p>
    <w:p w14:paraId="501161FF" w14:textId="77777777" w:rsidR="00500962" w:rsidRPr="00DC1628" w:rsidRDefault="00500962" w:rsidP="00AC517B">
      <w:pPr>
        <w:ind w:left="851"/>
        <w:rPr>
          <w:sz w:val="24"/>
          <w:szCs w:val="24"/>
          <w:lang w:val="en-US"/>
        </w:rPr>
      </w:pPr>
    </w:p>
    <w:p w14:paraId="45E96035" w14:textId="77777777" w:rsidR="00500962" w:rsidRPr="00DC1628" w:rsidRDefault="00500962" w:rsidP="00AC517B">
      <w:pPr>
        <w:ind w:left="851"/>
        <w:rPr>
          <w:sz w:val="24"/>
          <w:szCs w:val="24"/>
          <w:lang w:val="en-US"/>
        </w:rPr>
      </w:pPr>
      <w:r w:rsidRPr="00DC1628">
        <w:rPr>
          <w:sz w:val="24"/>
          <w:szCs w:val="24"/>
          <w:lang w:val="en-US"/>
        </w:rPr>
        <w:t xml:space="preserve">Butamirate acts centrally by diminishing the </w:t>
      </w:r>
      <w:proofErr w:type="spellStart"/>
      <w:r w:rsidRPr="00DC1628">
        <w:rPr>
          <w:sz w:val="24"/>
          <w:szCs w:val="24"/>
          <w:lang w:val="en-US"/>
        </w:rPr>
        <w:t>tussigenic</w:t>
      </w:r>
      <w:proofErr w:type="spellEnd"/>
      <w:r w:rsidRPr="00DC1628">
        <w:rPr>
          <w:sz w:val="24"/>
          <w:szCs w:val="24"/>
          <w:lang w:val="en-US"/>
        </w:rPr>
        <w:t xml:space="preserve"> reflex, and also acts peripherally via a </w:t>
      </w:r>
      <w:proofErr w:type="spellStart"/>
      <w:r w:rsidRPr="00DC1628">
        <w:rPr>
          <w:sz w:val="24"/>
          <w:szCs w:val="24"/>
          <w:lang w:val="en-US"/>
        </w:rPr>
        <w:t>bronchospasmolytic</w:t>
      </w:r>
      <w:proofErr w:type="spellEnd"/>
      <w:r w:rsidRPr="00DC1628">
        <w:rPr>
          <w:sz w:val="24"/>
          <w:szCs w:val="24"/>
          <w:lang w:val="en-US"/>
        </w:rPr>
        <w:t xml:space="preserve"> activity enhanced by an anti-inflammatory action.</w:t>
      </w:r>
    </w:p>
    <w:p w14:paraId="251CB2AA" w14:textId="77777777" w:rsidR="00500962" w:rsidRPr="00DC1628" w:rsidRDefault="00500962" w:rsidP="00AC517B">
      <w:pPr>
        <w:ind w:left="851"/>
        <w:rPr>
          <w:sz w:val="24"/>
          <w:szCs w:val="24"/>
          <w:lang w:val="en-US"/>
        </w:rPr>
      </w:pPr>
    </w:p>
    <w:p w14:paraId="58FEDC54" w14:textId="77777777" w:rsidR="00500962" w:rsidRPr="00DC1628" w:rsidRDefault="00500962" w:rsidP="00AC517B">
      <w:pPr>
        <w:ind w:left="851"/>
        <w:rPr>
          <w:sz w:val="24"/>
          <w:szCs w:val="24"/>
          <w:lang w:val="en-US"/>
        </w:rPr>
      </w:pPr>
      <w:r w:rsidRPr="00DC1628">
        <w:rPr>
          <w:sz w:val="24"/>
          <w:szCs w:val="24"/>
          <w:lang w:val="en-US"/>
        </w:rPr>
        <w:t>Butamirate is a non-narcotic substance that is not chemically</w:t>
      </w:r>
      <w:r w:rsidRPr="00DC1628">
        <w:rPr>
          <w:sz w:val="24"/>
          <w:szCs w:val="24"/>
          <w:lang w:val="bg-BG"/>
        </w:rPr>
        <w:t xml:space="preserve"> </w:t>
      </w:r>
      <w:r w:rsidRPr="00DC1628">
        <w:rPr>
          <w:sz w:val="24"/>
          <w:szCs w:val="24"/>
          <w:lang w:val="en-GB"/>
        </w:rPr>
        <w:t>or</w:t>
      </w:r>
      <w:r w:rsidRPr="00DC1628">
        <w:rPr>
          <w:sz w:val="24"/>
          <w:szCs w:val="24"/>
          <w:lang w:val="bg-BG"/>
        </w:rPr>
        <w:t xml:space="preserve"> pharmacological</w:t>
      </w:r>
      <w:proofErr w:type="spellStart"/>
      <w:r w:rsidRPr="00DC1628">
        <w:rPr>
          <w:sz w:val="24"/>
          <w:szCs w:val="24"/>
          <w:lang w:val="en-US"/>
        </w:rPr>
        <w:t>ly</w:t>
      </w:r>
      <w:proofErr w:type="spellEnd"/>
      <w:r w:rsidRPr="00DC1628">
        <w:rPr>
          <w:sz w:val="24"/>
          <w:szCs w:val="24"/>
          <w:lang w:val="bg-BG"/>
        </w:rPr>
        <w:t xml:space="preserve"> </w:t>
      </w:r>
      <w:r w:rsidRPr="00DC1628">
        <w:rPr>
          <w:sz w:val="24"/>
          <w:szCs w:val="24"/>
          <w:lang w:val="en-GB"/>
        </w:rPr>
        <w:t xml:space="preserve">related </w:t>
      </w:r>
      <w:r w:rsidRPr="00DC1628">
        <w:rPr>
          <w:sz w:val="24"/>
          <w:szCs w:val="24"/>
          <w:lang w:val="en-US"/>
        </w:rPr>
        <w:t>to the opioid alkaloids. It does not produce the undesirable effects caused by narcotic antitussives, such as sedation, constipation and addiction.</w:t>
      </w:r>
    </w:p>
    <w:p w14:paraId="445761AD" w14:textId="77777777" w:rsidR="00500962" w:rsidRPr="00DC1628" w:rsidRDefault="00500962" w:rsidP="00AC517B">
      <w:pPr>
        <w:ind w:left="851"/>
        <w:rPr>
          <w:sz w:val="24"/>
          <w:szCs w:val="24"/>
          <w:lang w:val="en-US"/>
        </w:rPr>
      </w:pPr>
    </w:p>
    <w:p w14:paraId="419FF3B2" w14:textId="77777777" w:rsidR="007C5D2A" w:rsidRPr="00DC1628" w:rsidRDefault="007C5D2A" w:rsidP="007C5D2A">
      <w:pPr>
        <w:tabs>
          <w:tab w:val="left" w:pos="851"/>
        </w:tabs>
        <w:ind w:left="851" w:hanging="851"/>
        <w:rPr>
          <w:b/>
          <w:sz w:val="24"/>
          <w:szCs w:val="24"/>
          <w:lang w:val="en-GB"/>
        </w:rPr>
      </w:pPr>
      <w:r w:rsidRPr="00DC1628">
        <w:rPr>
          <w:b/>
          <w:sz w:val="24"/>
          <w:szCs w:val="24"/>
          <w:lang w:val="en-GB"/>
        </w:rPr>
        <w:t>5.2</w:t>
      </w:r>
      <w:r w:rsidRPr="00DC1628">
        <w:rPr>
          <w:b/>
          <w:sz w:val="24"/>
          <w:szCs w:val="24"/>
          <w:lang w:val="en-GB"/>
        </w:rPr>
        <w:tab/>
        <w:t>Pharmacokinetic properties</w:t>
      </w:r>
      <w:r w:rsidRPr="00DC1628">
        <w:rPr>
          <w:b/>
          <w:sz w:val="24"/>
          <w:szCs w:val="24"/>
          <w:lang w:val="en-GB"/>
        </w:rPr>
        <w:tab/>
      </w:r>
    </w:p>
    <w:p w14:paraId="1CC94859" w14:textId="77777777" w:rsidR="00F738C0" w:rsidRPr="00DC1628" w:rsidRDefault="00F738C0" w:rsidP="00DC1628">
      <w:pPr>
        <w:ind w:left="851"/>
        <w:rPr>
          <w:caps/>
          <w:sz w:val="24"/>
          <w:szCs w:val="24"/>
          <w:lang w:val="en-US"/>
        </w:rPr>
      </w:pPr>
      <w:r w:rsidRPr="00DC1628">
        <w:rPr>
          <w:sz w:val="24"/>
          <w:szCs w:val="24"/>
          <w:lang w:val="en-US"/>
        </w:rPr>
        <w:t>Pharmacokinetic data have been obtained from studies in healthy subjects.</w:t>
      </w:r>
    </w:p>
    <w:p w14:paraId="70E94703" w14:textId="77777777" w:rsidR="00F738C0" w:rsidRPr="00DC1628" w:rsidRDefault="00F738C0" w:rsidP="00DC1628">
      <w:pPr>
        <w:ind w:left="851"/>
        <w:rPr>
          <w:caps/>
          <w:sz w:val="24"/>
          <w:szCs w:val="24"/>
          <w:lang w:val="en-US"/>
        </w:rPr>
      </w:pPr>
    </w:p>
    <w:p w14:paraId="40561F46" w14:textId="77777777" w:rsidR="00F738C0" w:rsidRPr="00DC1628" w:rsidRDefault="00F738C0" w:rsidP="00DC1628">
      <w:pPr>
        <w:ind w:left="851"/>
        <w:rPr>
          <w:sz w:val="24"/>
          <w:szCs w:val="24"/>
          <w:u w:val="single"/>
          <w:lang w:val="en-US"/>
        </w:rPr>
      </w:pPr>
      <w:r w:rsidRPr="00DC1628">
        <w:rPr>
          <w:sz w:val="24"/>
          <w:szCs w:val="24"/>
          <w:u w:val="single"/>
          <w:lang w:val="en-US"/>
        </w:rPr>
        <w:t>Absorption</w:t>
      </w:r>
    </w:p>
    <w:p w14:paraId="42FA8A89" w14:textId="77777777" w:rsidR="00F738C0" w:rsidRPr="00DC1628" w:rsidRDefault="00F738C0" w:rsidP="00DC1628">
      <w:pPr>
        <w:ind w:left="851"/>
        <w:rPr>
          <w:sz w:val="24"/>
          <w:szCs w:val="24"/>
          <w:lang w:val="en-US"/>
        </w:rPr>
      </w:pPr>
      <w:r w:rsidRPr="00DC1628">
        <w:rPr>
          <w:sz w:val="24"/>
          <w:szCs w:val="24"/>
          <w:lang w:val="en-US"/>
        </w:rPr>
        <w:t xml:space="preserve">Butamirate administered orally is absorbed rapidly and completely. </w:t>
      </w:r>
    </w:p>
    <w:p w14:paraId="20A175E6" w14:textId="77777777" w:rsidR="00F738C0" w:rsidRPr="00DC1628" w:rsidRDefault="00F738C0" w:rsidP="00DC1628">
      <w:pPr>
        <w:ind w:left="851"/>
        <w:rPr>
          <w:sz w:val="24"/>
          <w:szCs w:val="24"/>
          <w:lang w:val="en-US"/>
        </w:rPr>
      </w:pPr>
      <w:r w:rsidRPr="00DC1628">
        <w:rPr>
          <w:sz w:val="24"/>
          <w:szCs w:val="24"/>
          <w:lang w:val="en-US"/>
        </w:rPr>
        <w:t>Measurable plasma concentrations are reached 5 to 10 minutes after administration of a 22.5 mg, 45 mg, 67.5 mg or 90 mg dose. For all doses peak plasma concentrations are reached within 1 hour, with a mean value of 16.10 ng/ml for the 90 mg dose.</w:t>
      </w:r>
    </w:p>
    <w:p w14:paraId="6D34C102" w14:textId="77777777" w:rsidR="00F738C0" w:rsidRPr="00DC1628" w:rsidRDefault="00F738C0" w:rsidP="00DC1628">
      <w:pPr>
        <w:ind w:left="851"/>
        <w:rPr>
          <w:sz w:val="24"/>
          <w:szCs w:val="24"/>
          <w:lang w:val="en-US"/>
        </w:rPr>
      </w:pPr>
      <w:r w:rsidRPr="00DC1628">
        <w:rPr>
          <w:sz w:val="24"/>
          <w:szCs w:val="24"/>
          <w:lang w:val="en-US"/>
        </w:rPr>
        <w:t>The mean plasma concentration of the main metabolite, 2-phenylbutyric acid, is reached within approximately 1.5 hours with the highest concentration (3052 ng/ml) observed after administration of a 90 mg dose.</w:t>
      </w:r>
    </w:p>
    <w:p w14:paraId="1BDD5C5F" w14:textId="77777777" w:rsidR="00F738C0" w:rsidRPr="00DC1628" w:rsidRDefault="00F738C0" w:rsidP="00DC1628">
      <w:pPr>
        <w:ind w:left="851"/>
        <w:rPr>
          <w:sz w:val="24"/>
          <w:szCs w:val="24"/>
          <w:lang w:val="en-US"/>
        </w:rPr>
      </w:pPr>
      <w:r w:rsidRPr="00DC1628">
        <w:rPr>
          <w:sz w:val="24"/>
          <w:szCs w:val="24"/>
          <w:lang w:val="en-US"/>
        </w:rPr>
        <w:t xml:space="preserve">The mean plasma concentration of </w:t>
      </w:r>
      <w:proofErr w:type="spellStart"/>
      <w:r w:rsidRPr="00DC1628">
        <w:rPr>
          <w:sz w:val="24"/>
          <w:szCs w:val="24"/>
          <w:lang w:val="en-US"/>
        </w:rPr>
        <w:t>diethylaminoethoxyethanol</w:t>
      </w:r>
      <w:proofErr w:type="spellEnd"/>
      <w:r w:rsidRPr="00DC1628">
        <w:rPr>
          <w:sz w:val="24"/>
          <w:szCs w:val="24"/>
          <w:lang w:val="en-US"/>
        </w:rPr>
        <w:t>, another metabolite, is reached within 0.67 hours and the highest concentration (160 ng/ml) is again observed after administration of a 90 mg dose.</w:t>
      </w:r>
    </w:p>
    <w:p w14:paraId="162D58B2" w14:textId="77777777" w:rsidR="00F738C0" w:rsidRPr="00DC1628" w:rsidRDefault="00F738C0" w:rsidP="00DC1628">
      <w:pPr>
        <w:ind w:left="851"/>
        <w:rPr>
          <w:sz w:val="24"/>
          <w:szCs w:val="24"/>
          <w:lang w:val="en-US"/>
        </w:rPr>
      </w:pPr>
      <w:r w:rsidRPr="00DC1628">
        <w:rPr>
          <w:sz w:val="24"/>
          <w:szCs w:val="24"/>
          <w:lang w:val="en-US"/>
        </w:rPr>
        <w:t>The effect of food intake has not been studied.</w:t>
      </w:r>
    </w:p>
    <w:p w14:paraId="64B05045" w14:textId="77777777" w:rsidR="00F738C0" w:rsidRPr="00DC1628" w:rsidRDefault="00F738C0" w:rsidP="00DC1628">
      <w:pPr>
        <w:ind w:left="851"/>
        <w:rPr>
          <w:sz w:val="24"/>
          <w:szCs w:val="24"/>
          <w:lang w:val="en-US"/>
        </w:rPr>
      </w:pPr>
    </w:p>
    <w:p w14:paraId="5B045C54" w14:textId="77777777" w:rsidR="00F738C0" w:rsidRPr="00DC1628" w:rsidRDefault="00F738C0" w:rsidP="00DC1628">
      <w:pPr>
        <w:ind w:left="851"/>
        <w:rPr>
          <w:sz w:val="24"/>
          <w:szCs w:val="24"/>
          <w:u w:val="single"/>
          <w:lang w:val="en-US"/>
        </w:rPr>
      </w:pPr>
      <w:r w:rsidRPr="00DC1628">
        <w:rPr>
          <w:sz w:val="24"/>
          <w:szCs w:val="24"/>
          <w:u w:val="single"/>
          <w:lang w:val="en-US"/>
        </w:rPr>
        <w:t>Distribution</w:t>
      </w:r>
    </w:p>
    <w:p w14:paraId="5156E69E" w14:textId="77777777" w:rsidR="00F738C0" w:rsidRPr="00DC1628" w:rsidRDefault="00F738C0" w:rsidP="00DC1628">
      <w:pPr>
        <w:ind w:left="851"/>
        <w:rPr>
          <w:sz w:val="24"/>
          <w:szCs w:val="24"/>
          <w:lang w:val="en-US"/>
        </w:rPr>
      </w:pPr>
      <w:r w:rsidRPr="00DC1628">
        <w:rPr>
          <w:sz w:val="24"/>
          <w:szCs w:val="24"/>
          <w:lang w:val="en-US"/>
        </w:rPr>
        <w:t>Butamirate has a high volume of distribution ranging between 81 L/kg and 112 L/kg. It is also highly protein bound. 2-phenylbutyric acid is highly bound to plasma proteins in the dose range of 22.5 mg to 90 mg with mean values ranging from 89.3% to 91.6%.</w:t>
      </w:r>
    </w:p>
    <w:p w14:paraId="0DDA2F04" w14:textId="77777777" w:rsidR="00F738C0" w:rsidRPr="00DC1628" w:rsidRDefault="00F738C0" w:rsidP="00DC1628">
      <w:pPr>
        <w:ind w:left="851"/>
        <w:rPr>
          <w:sz w:val="24"/>
          <w:szCs w:val="24"/>
          <w:lang w:val="en-US"/>
        </w:rPr>
      </w:pPr>
      <w:proofErr w:type="spellStart"/>
      <w:r w:rsidRPr="00DC1628">
        <w:rPr>
          <w:sz w:val="24"/>
          <w:szCs w:val="24"/>
          <w:lang w:val="en-US"/>
        </w:rPr>
        <w:t>Diethylaminoethoxyethanol</w:t>
      </w:r>
      <w:proofErr w:type="spellEnd"/>
      <w:r w:rsidRPr="00DC1628">
        <w:rPr>
          <w:sz w:val="24"/>
          <w:szCs w:val="24"/>
          <w:lang w:val="en-US"/>
        </w:rPr>
        <w:t xml:space="preserve"> shows some protein binding with mean values ranging from 28.8% to 45.7%. No studies have been conducted to date regarding the passage of butamirate across the placental barrier or its excretion into breast milk.</w:t>
      </w:r>
    </w:p>
    <w:p w14:paraId="064A6A59" w14:textId="77777777" w:rsidR="00F738C0" w:rsidRPr="00DC1628" w:rsidRDefault="00F738C0" w:rsidP="00DC1628">
      <w:pPr>
        <w:ind w:left="851"/>
        <w:rPr>
          <w:sz w:val="24"/>
          <w:szCs w:val="24"/>
          <w:lang w:val="en-US"/>
        </w:rPr>
      </w:pPr>
    </w:p>
    <w:p w14:paraId="6FDE8D27" w14:textId="77777777" w:rsidR="00F738C0" w:rsidRPr="00DC1628" w:rsidRDefault="00F738C0" w:rsidP="00DC1628">
      <w:pPr>
        <w:ind w:left="851"/>
        <w:rPr>
          <w:sz w:val="24"/>
          <w:szCs w:val="24"/>
          <w:u w:val="single"/>
          <w:lang w:val="en-US"/>
        </w:rPr>
      </w:pPr>
      <w:r w:rsidRPr="00DC1628">
        <w:rPr>
          <w:sz w:val="24"/>
          <w:szCs w:val="24"/>
          <w:u w:val="single"/>
          <w:lang w:val="en-US"/>
        </w:rPr>
        <w:t>Biotransformation</w:t>
      </w:r>
    </w:p>
    <w:p w14:paraId="47DA138B" w14:textId="77777777" w:rsidR="00F738C0" w:rsidRPr="00DC1628" w:rsidRDefault="00F738C0" w:rsidP="00DC1628">
      <w:pPr>
        <w:ind w:left="851"/>
        <w:rPr>
          <w:sz w:val="24"/>
          <w:szCs w:val="24"/>
          <w:lang w:val="en-US"/>
        </w:rPr>
      </w:pPr>
      <w:proofErr w:type="spellStart"/>
      <w:r w:rsidRPr="00DC1628">
        <w:rPr>
          <w:sz w:val="24"/>
          <w:szCs w:val="24"/>
          <w:lang w:val="en-US"/>
        </w:rPr>
        <w:t>Esterbutamirate</w:t>
      </w:r>
      <w:proofErr w:type="spellEnd"/>
      <w:r w:rsidRPr="00DC1628">
        <w:rPr>
          <w:sz w:val="24"/>
          <w:szCs w:val="24"/>
          <w:lang w:val="en-US"/>
        </w:rPr>
        <w:t xml:space="preserve"> is rapidly </w:t>
      </w:r>
      <w:proofErr w:type="spellStart"/>
      <w:r w:rsidRPr="00DC1628">
        <w:rPr>
          <w:sz w:val="24"/>
          <w:szCs w:val="24"/>
          <w:lang w:val="en-US"/>
        </w:rPr>
        <w:t>hydrolysed</w:t>
      </w:r>
      <w:proofErr w:type="spellEnd"/>
      <w:r w:rsidRPr="00DC1628">
        <w:rPr>
          <w:sz w:val="24"/>
          <w:szCs w:val="24"/>
          <w:lang w:val="en-US"/>
        </w:rPr>
        <w:t xml:space="preserve">, mainly to 2-phenylbutyric acid and </w:t>
      </w:r>
      <w:proofErr w:type="spellStart"/>
      <w:r w:rsidRPr="00DC1628">
        <w:rPr>
          <w:sz w:val="24"/>
          <w:szCs w:val="24"/>
          <w:lang w:val="en-US"/>
        </w:rPr>
        <w:t>diethylaminoethoxyethanol</w:t>
      </w:r>
      <w:proofErr w:type="spellEnd"/>
      <w:r w:rsidRPr="00DC1628">
        <w:rPr>
          <w:sz w:val="24"/>
          <w:szCs w:val="24"/>
          <w:lang w:val="en-US"/>
        </w:rPr>
        <w:t xml:space="preserve">. These two metabolites and butamirate have an antitussive effect 2-phenylbutyric acid is partially </w:t>
      </w:r>
      <w:proofErr w:type="spellStart"/>
      <w:r w:rsidRPr="00DC1628">
        <w:rPr>
          <w:sz w:val="24"/>
          <w:szCs w:val="24"/>
          <w:lang w:val="en-US"/>
        </w:rPr>
        <w:t>metabolised</w:t>
      </w:r>
      <w:proofErr w:type="spellEnd"/>
      <w:r w:rsidRPr="00DC1628">
        <w:rPr>
          <w:sz w:val="24"/>
          <w:szCs w:val="24"/>
          <w:lang w:val="en-US"/>
        </w:rPr>
        <w:t xml:space="preserve"> by hydroxylation in the para position. Through a conjugation, mainly in the liver, the acid metabolites are largely bound to glucuronic acid. </w:t>
      </w:r>
    </w:p>
    <w:p w14:paraId="142C9770" w14:textId="77777777" w:rsidR="00F738C0" w:rsidRPr="00DC1628" w:rsidRDefault="00F738C0" w:rsidP="00DC1628">
      <w:pPr>
        <w:ind w:left="851"/>
        <w:rPr>
          <w:sz w:val="24"/>
          <w:szCs w:val="24"/>
          <w:lang w:val="en-US"/>
        </w:rPr>
      </w:pPr>
    </w:p>
    <w:p w14:paraId="0DBA524C" w14:textId="77777777" w:rsidR="00F738C0" w:rsidRPr="00DC1628" w:rsidRDefault="00F738C0" w:rsidP="00DC1628">
      <w:pPr>
        <w:ind w:left="851"/>
        <w:rPr>
          <w:sz w:val="24"/>
          <w:szCs w:val="24"/>
          <w:u w:val="single"/>
          <w:lang w:val="en-US"/>
        </w:rPr>
      </w:pPr>
      <w:r w:rsidRPr="00DC1628">
        <w:rPr>
          <w:sz w:val="24"/>
          <w:szCs w:val="24"/>
          <w:u w:val="single"/>
          <w:lang w:val="en-US"/>
        </w:rPr>
        <w:t>Elimination</w:t>
      </w:r>
    </w:p>
    <w:p w14:paraId="3FF3E056" w14:textId="77777777" w:rsidR="00F738C0" w:rsidRPr="00DC1628" w:rsidRDefault="00F738C0" w:rsidP="00DC1628">
      <w:pPr>
        <w:ind w:left="851"/>
        <w:rPr>
          <w:sz w:val="24"/>
          <w:szCs w:val="24"/>
          <w:lang w:val="en-US"/>
        </w:rPr>
      </w:pPr>
      <w:r w:rsidRPr="00DC1628">
        <w:rPr>
          <w:sz w:val="24"/>
          <w:szCs w:val="24"/>
          <w:lang w:val="en-US"/>
        </w:rPr>
        <w:t>All three metabolites are mainly eliminated renally.</w:t>
      </w:r>
    </w:p>
    <w:p w14:paraId="09F21BF6" w14:textId="77777777" w:rsidR="00F738C0" w:rsidRPr="00DC1628" w:rsidRDefault="00F738C0" w:rsidP="00DC1628">
      <w:pPr>
        <w:ind w:left="851"/>
        <w:rPr>
          <w:sz w:val="24"/>
          <w:szCs w:val="24"/>
          <w:lang w:val="en-US"/>
        </w:rPr>
      </w:pPr>
      <w:r w:rsidRPr="00DC1628">
        <w:rPr>
          <w:sz w:val="24"/>
          <w:szCs w:val="24"/>
          <w:lang w:val="en-US"/>
        </w:rPr>
        <w:t>Conjugated 2-phenylbutyric acid levels are significantly higher in urine than in plasma.</w:t>
      </w:r>
    </w:p>
    <w:p w14:paraId="2827623E" w14:textId="77777777" w:rsidR="00F738C0" w:rsidRPr="00DC1628" w:rsidRDefault="00F738C0" w:rsidP="00DC1628">
      <w:pPr>
        <w:ind w:left="851"/>
        <w:rPr>
          <w:sz w:val="24"/>
          <w:szCs w:val="24"/>
          <w:lang w:val="en-US"/>
        </w:rPr>
      </w:pPr>
      <w:r w:rsidRPr="00DC1628">
        <w:rPr>
          <w:sz w:val="24"/>
          <w:szCs w:val="24"/>
          <w:lang w:val="en-US"/>
        </w:rPr>
        <w:t xml:space="preserve">Butamirate is detectable in urine for up to 48 hours; the amount of butamirate eliminated in the urine during a </w:t>
      </w:r>
      <w:proofErr w:type="gramStart"/>
      <w:r w:rsidRPr="00DC1628">
        <w:rPr>
          <w:sz w:val="24"/>
          <w:szCs w:val="24"/>
          <w:lang w:val="en-US"/>
        </w:rPr>
        <w:t>96 hour</w:t>
      </w:r>
      <w:proofErr w:type="gramEnd"/>
      <w:r w:rsidRPr="00DC1628">
        <w:rPr>
          <w:sz w:val="24"/>
          <w:szCs w:val="24"/>
          <w:lang w:val="en-US"/>
        </w:rPr>
        <w:t xml:space="preserve"> sampling period reaches 0.02, 0.02, 0.03 and 0.03% of the 22.5 mg, 45 mg, 67.5 mg and 90 mg dose, respectively.</w:t>
      </w:r>
    </w:p>
    <w:p w14:paraId="09F0AF01" w14:textId="2880CB4F" w:rsidR="00F738C0" w:rsidRPr="00DC1628" w:rsidRDefault="00F738C0" w:rsidP="00DC1628">
      <w:pPr>
        <w:ind w:left="851"/>
        <w:rPr>
          <w:sz w:val="24"/>
          <w:szCs w:val="24"/>
          <w:lang w:val="en-US"/>
        </w:rPr>
      </w:pPr>
      <w:r w:rsidRPr="00DC1628">
        <w:rPr>
          <w:sz w:val="24"/>
          <w:szCs w:val="24"/>
          <w:lang w:val="en-US"/>
        </w:rPr>
        <w:t xml:space="preserve">The percentage of the butamirate dose eliminated in the urine as </w:t>
      </w:r>
      <w:proofErr w:type="spellStart"/>
      <w:r w:rsidRPr="00DC1628">
        <w:rPr>
          <w:sz w:val="24"/>
          <w:szCs w:val="24"/>
          <w:lang w:val="en-US"/>
        </w:rPr>
        <w:t>diethylaminoethoxy</w:t>
      </w:r>
      <w:r w:rsidR="00AF54ED">
        <w:rPr>
          <w:sz w:val="24"/>
          <w:szCs w:val="24"/>
          <w:lang w:val="en-US"/>
        </w:rPr>
        <w:softHyphen/>
      </w:r>
      <w:r w:rsidRPr="00DC1628">
        <w:rPr>
          <w:sz w:val="24"/>
          <w:szCs w:val="24"/>
          <w:lang w:val="en-US"/>
        </w:rPr>
        <w:t>ethanol</w:t>
      </w:r>
      <w:proofErr w:type="spellEnd"/>
      <w:r w:rsidRPr="00DC1628">
        <w:rPr>
          <w:sz w:val="24"/>
          <w:szCs w:val="24"/>
          <w:lang w:val="en-US"/>
        </w:rPr>
        <w:t xml:space="preserve"> is higher than the percentage of the butamirate dose eliminated in the urine as butamirate or unconjugated 2-phenylbutyric acid. The elimination half-lives measured for 2-phenylbutyric acid, butamirate and </w:t>
      </w:r>
      <w:proofErr w:type="spellStart"/>
      <w:r w:rsidRPr="00DC1628">
        <w:rPr>
          <w:sz w:val="24"/>
          <w:szCs w:val="24"/>
          <w:lang w:val="en-US"/>
        </w:rPr>
        <w:t>diethylaminoethoxyethanol</w:t>
      </w:r>
      <w:proofErr w:type="spellEnd"/>
      <w:r w:rsidRPr="00DC1628">
        <w:rPr>
          <w:sz w:val="24"/>
          <w:szCs w:val="24"/>
          <w:lang w:val="en-US"/>
        </w:rPr>
        <w:t xml:space="preserve"> are 23.26 – 24.42, 1.48 – 1.93 and 2.72 –2.90 hours, respectively.</w:t>
      </w:r>
    </w:p>
    <w:p w14:paraId="717681F7" w14:textId="77777777" w:rsidR="00F738C0" w:rsidRPr="00DC1628" w:rsidRDefault="00F738C0" w:rsidP="00DC1628">
      <w:pPr>
        <w:ind w:left="851"/>
        <w:rPr>
          <w:sz w:val="24"/>
          <w:szCs w:val="24"/>
          <w:lang w:val="en-US"/>
        </w:rPr>
      </w:pPr>
    </w:p>
    <w:p w14:paraId="6A64E14E" w14:textId="77777777" w:rsidR="00F738C0" w:rsidRPr="00DC1628" w:rsidRDefault="00F738C0" w:rsidP="00DC1628">
      <w:pPr>
        <w:ind w:left="851"/>
        <w:rPr>
          <w:sz w:val="24"/>
          <w:szCs w:val="24"/>
          <w:u w:val="single"/>
          <w:lang w:val="en-US"/>
        </w:rPr>
      </w:pPr>
      <w:r w:rsidRPr="00DC1628">
        <w:rPr>
          <w:sz w:val="24"/>
          <w:szCs w:val="24"/>
          <w:u w:val="single"/>
          <w:lang w:val="en-US"/>
        </w:rPr>
        <w:t>Linearity/non-linearity</w:t>
      </w:r>
    </w:p>
    <w:p w14:paraId="3B2461DA" w14:textId="77777777" w:rsidR="00F738C0" w:rsidRPr="00DC1628" w:rsidRDefault="00F738C0" w:rsidP="00DC1628">
      <w:pPr>
        <w:ind w:left="851"/>
        <w:rPr>
          <w:sz w:val="24"/>
          <w:szCs w:val="24"/>
          <w:lang w:val="en-US"/>
        </w:rPr>
      </w:pPr>
      <w:r w:rsidRPr="00DC1628">
        <w:rPr>
          <w:sz w:val="24"/>
          <w:szCs w:val="24"/>
          <w:lang w:val="en-US"/>
        </w:rPr>
        <w:t xml:space="preserve">Exposure to 2-phenylbutyric acid and </w:t>
      </w:r>
      <w:proofErr w:type="spellStart"/>
      <w:r w:rsidRPr="00DC1628">
        <w:rPr>
          <w:sz w:val="24"/>
          <w:szCs w:val="24"/>
          <w:lang w:val="en-US"/>
        </w:rPr>
        <w:t>diethylaminoethoxyethanol</w:t>
      </w:r>
      <w:proofErr w:type="spellEnd"/>
      <w:r w:rsidRPr="00DC1628">
        <w:rPr>
          <w:sz w:val="24"/>
          <w:szCs w:val="24"/>
          <w:lang w:val="en-US"/>
        </w:rPr>
        <w:t xml:space="preserve"> is fully dose proportional in the dose range of 22.5 mg to 90 mg.</w:t>
      </w:r>
    </w:p>
    <w:p w14:paraId="7DCAACFA" w14:textId="77777777" w:rsidR="00F738C0" w:rsidRPr="00DC1628" w:rsidRDefault="00F738C0" w:rsidP="00DC1628">
      <w:pPr>
        <w:ind w:left="851"/>
        <w:rPr>
          <w:sz w:val="24"/>
          <w:szCs w:val="24"/>
          <w:lang w:val="en-US"/>
        </w:rPr>
      </w:pPr>
    </w:p>
    <w:p w14:paraId="635AE948" w14:textId="77777777" w:rsidR="00F738C0" w:rsidRPr="00DC1628" w:rsidRDefault="00F738C0" w:rsidP="00DC1628">
      <w:pPr>
        <w:ind w:left="851"/>
        <w:rPr>
          <w:sz w:val="24"/>
          <w:szCs w:val="24"/>
          <w:u w:val="single"/>
          <w:lang w:val="en-US"/>
        </w:rPr>
      </w:pPr>
      <w:r w:rsidRPr="00DC1628">
        <w:rPr>
          <w:sz w:val="24"/>
          <w:szCs w:val="24"/>
          <w:u w:val="single"/>
          <w:lang w:val="en-US"/>
        </w:rPr>
        <w:t>Pharmacokinetics in specific patient groups</w:t>
      </w:r>
    </w:p>
    <w:p w14:paraId="31B44FBD" w14:textId="77777777" w:rsidR="00F738C0" w:rsidRPr="00DC1628" w:rsidRDefault="00F738C0" w:rsidP="00DC1628">
      <w:pPr>
        <w:ind w:left="851"/>
        <w:rPr>
          <w:sz w:val="24"/>
          <w:szCs w:val="24"/>
          <w:lang w:val="en-US"/>
        </w:rPr>
      </w:pPr>
      <w:r w:rsidRPr="00DC1628">
        <w:rPr>
          <w:sz w:val="24"/>
          <w:szCs w:val="24"/>
          <w:lang w:val="en-US"/>
        </w:rPr>
        <w:t>The influence of hepatic or renal disease on the pharmacokinetic parameters of butamirate has not been studied.</w:t>
      </w:r>
    </w:p>
    <w:p w14:paraId="6D63E4AB" w14:textId="77777777" w:rsidR="00F738C0" w:rsidRPr="00DC1628" w:rsidRDefault="00F738C0" w:rsidP="00DC1628">
      <w:pPr>
        <w:ind w:left="851"/>
        <w:rPr>
          <w:sz w:val="24"/>
          <w:szCs w:val="24"/>
          <w:lang w:val="en-US"/>
        </w:rPr>
      </w:pPr>
    </w:p>
    <w:p w14:paraId="2C485A40" w14:textId="77777777" w:rsidR="00F738C0" w:rsidRPr="00DC1628" w:rsidRDefault="00F738C0" w:rsidP="00DC1628">
      <w:pPr>
        <w:ind w:left="851"/>
        <w:rPr>
          <w:sz w:val="24"/>
          <w:szCs w:val="24"/>
          <w:u w:val="single"/>
          <w:lang w:val="en-US"/>
        </w:rPr>
      </w:pPr>
      <w:r w:rsidRPr="00DC1628">
        <w:rPr>
          <w:sz w:val="24"/>
          <w:szCs w:val="24"/>
          <w:u w:val="single"/>
          <w:lang w:val="en-US"/>
        </w:rPr>
        <w:t>Pediatric population</w:t>
      </w:r>
    </w:p>
    <w:p w14:paraId="6EBB12E7" w14:textId="77777777" w:rsidR="00F738C0" w:rsidRPr="00DC1628" w:rsidRDefault="00F738C0" w:rsidP="00DC1628">
      <w:pPr>
        <w:ind w:left="851"/>
        <w:rPr>
          <w:sz w:val="24"/>
          <w:szCs w:val="24"/>
          <w:lang w:val="en-US"/>
        </w:rPr>
      </w:pPr>
      <w:r w:rsidRPr="00DC1628">
        <w:rPr>
          <w:sz w:val="24"/>
          <w:szCs w:val="24"/>
          <w:lang w:val="en-US"/>
        </w:rPr>
        <w:t>Pediatric pharmacokinetic studies have not been conducted.</w:t>
      </w:r>
    </w:p>
    <w:p w14:paraId="41177721" w14:textId="486F0AA0" w:rsidR="001B7F19" w:rsidRDefault="001B7F19">
      <w:pPr>
        <w:rPr>
          <w:sz w:val="24"/>
          <w:szCs w:val="24"/>
          <w:lang w:val="en-US"/>
        </w:rPr>
      </w:pPr>
      <w:r>
        <w:rPr>
          <w:sz w:val="24"/>
          <w:szCs w:val="24"/>
          <w:lang w:val="en-US"/>
        </w:rPr>
        <w:br w:type="page"/>
      </w:r>
    </w:p>
    <w:p w14:paraId="66F787A5" w14:textId="77777777" w:rsidR="007C5D2A" w:rsidRPr="00DC1628" w:rsidRDefault="007C5D2A" w:rsidP="003E0341">
      <w:pPr>
        <w:tabs>
          <w:tab w:val="left" w:pos="851"/>
        </w:tabs>
        <w:ind w:left="851"/>
        <w:rPr>
          <w:sz w:val="24"/>
          <w:szCs w:val="24"/>
          <w:lang w:val="en-US"/>
        </w:rPr>
      </w:pPr>
      <w:bookmarkStart w:id="3" w:name="_GoBack"/>
      <w:bookmarkEnd w:id="3"/>
    </w:p>
    <w:p w14:paraId="3C42070D" w14:textId="77777777" w:rsidR="007C5D2A" w:rsidRPr="00DC1628" w:rsidRDefault="00180A12" w:rsidP="007C5D2A">
      <w:pPr>
        <w:tabs>
          <w:tab w:val="left" w:pos="851"/>
        </w:tabs>
        <w:ind w:left="851" w:hanging="851"/>
        <w:rPr>
          <w:b/>
          <w:sz w:val="24"/>
          <w:szCs w:val="24"/>
          <w:lang w:val="en-GB"/>
        </w:rPr>
      </w:pPr>
      <w:r w:rsidRPr="00DC1628">
        <w:rPr>
          <w:b/>
          <w:sz w:val="24"/>
          <w:szCs w:val="24"/>
          <w:lang w:val="en-GB"/>
        </w:rPr>
        <w:t>5.3</w:t>
      </w:r>
      <w:r w:rsidRPr="00DC1628">
        <w:rPr>
          <w:b/>
          <w:sz w:val="24"/>
          <w:szCs w:val="24"/>
          <w:lang w:val="en-GB"/>
        </w:rPr>
        <w:tab/>
        <w:t>Preclinical safety data</w:t>
      </w:r>
    </w:p>
    <w:p w14:paraId="4B5192BD" w14:textId="77777777" w:rsidR="00F738C0" w:rsidRPr="00DC1628" w:rsidRDefault="00F738C0" w:rsidP="00DC1628">
      <w:pPr>
        <w:ind w:left="851"/>
        <w:rPr>
          <w:noProof/>
          <w:sz w:val="24"/>
          <w:szCs w:val="24"/>
          <w:lang w:val="en-US"/>
        </w:rPr>
      </w:pPr>
      <w:r w:rsidRPr="00DC1628">
        <w:rPr>
          <w:noProof/>
          <w:sz w:val="24"/>
          <w:szCs w:val="24"/>
          <w:lang w:val="en-US"/>
        </w:rPr>
        <w:t>Non-clinical data reveal no special hazard for humans based on conventional studies of safety pharmacology, repeated dose toxicity, genotoxicity, carcinogenic potential, toxicity to reproduction and development.</w:t>
      </w:r>
    </w:p>
    <w:p w14:paraId="6BB5AAFF" w14:textId="77777777" w:rsidR="007C5D2A" w:rsidRPr="00DC1628" w:rsidRDefault="007C5D2A" w:rsidP="003E0341">
      <w:pPr>
        <w:tabs>
          <w:tab w:val="left" w:pos="851"/>
        </w:tabs>
        <w:ind w:left="851"/>
        <w:rPr>
          <w:sz w:val="24"/>
          <w:szCs w:val="24"/>
          <w:lang w:val="en-US"/>
        </w:rPr>
      </w:pPr>
    </w:p>
    <w:p w14:paraId="7354E887" w14:textId="77777777" w:rsidR="007C5D2A" w:rsidRPr="00DC1628" w:rsidRDefault="007C5D2A" w:rsidP="003E0341">
      <w:pPr>
        <w:tabs>
          <w:tab w:val="left" w:pos="851"/>
        </w:tabs>
        <w:ind w:left="851"/>
        <w:rPr>
          <w:sz w:val="24"/>
          <w:szCs w:val="24"/>
          <w:lang w:val="en-GB"/>
        </w:rPr>
      </w:pPr>
    </w:p>
    <w:p w14:paraId="1B5DB3F6" w14:textId="77777777" w:rsidR="007C5D2A" w:rsidRPr="00DC1628" w:rsidRDefault="009925C9" w:rsidP="007C5D2A">
      <w:pPr>
        <w:ind w:left="851" w:hanging="851"/>
        <w:rPr>
          <w:b/>
          <w:sz w:val="24"/>
          <w:szCs w:val="24"/>
          <w:lang w:val="en-GB"/>
        </w:rPr>
      </w:pPr>
      <w:r w:rsidRPr="00DC1628">
        <w:rPr>
          <w:b/>
          <w:sz w:val="24"/>
          <w:szCs w:val="24"/>
          <w:lang w:val="en-GB"/>
        </w:rPr>
        <w:t>6.</w:t>
      </w:r>
      <w:r w:rsidR="007C5D2A" w:rsidRPr="00DC1628">
        <w:rPr>
          <w:b/>
          <w:sz w:val="24"/>
          <w:szCs w:val="24"/>
          <w:lang w:val="en-GB"/>
        </w:rPr>
        <w:tab/>
        <w:t>PHARMACEUTICAL PARTICULARS</w:t>
      </w:r>
    </w:p>
    <w:p w14:paraId="74CD9FDB" w14:textId="77777777" w:rsidR="007C5D2A" w:rsidRPr="00DC1628" w:rsidRDefault="007C5D2A" w:rsidP="003E0341">
      <w:pPr>
        <w:tabs>
          <w:tab w:val="left" w:pos="851"/>
        </w:tabs>
        <w:ind w:left="851"/>
        <w:rPr>
          <w:sz w:val="24"/>
          <w:szCs w:val="24"/>
          <w:lang w:val="en-GB"/>
        </w:rPr>
      </w:pPr>
    </w:p>
    <w:p w14:paraId="0F7A9D4E" w14:textId="77777777" w:rsidR="007C5D2A" w:rsidRPr="00DC1628" w:rsidRDefault="007C5D2A" w:rsidP="007C5D2A">
      <w:pPr>
        <w:ind w:left="851" w:hanging="851"/>
        <w:rPr>
          <w:b/>
          <w:sz w:val="24"/>
          <w:szCs w:val="24"/>
          <w:lang w:val="en-GB"/>
        </w:rPr>
      </w:pPr>
      <w:r w:rsidRPr="00DC1628">
        <w:rPr>
          <w:b/>
          <w:sz w:val="24"/>
          <w:szCs w:val="24"/>
          <w:lang w:val="en-GB"/>
        </w:rPr>
        <w:t>6.1</w:t>
      </w:r>
      <w:r w:rsidRPr="00DC1628">
        <w:rPr>
          <w:b/>
          <w:sz w:val="24"/>
          <w:szCs w:val="24"/>
          <w:lang w:val="en-GB"/>
        </w:rPr>
        <w:tab/>
        <w:t>List of excipients</w:t>
      </w:r>
    </w:p>
    <w:p w14:paraId="1B0EF8E1" w14:textId="77777777" w:rsidR="00500962" w:rsidRPr="00DC1628" w:rsidRDefault="00500962" w:rsidP="00AC517B">
      <w:pPr>
        <w:overflowPunct w:val="0"/>
        <w:autoSpaceDE w:val="0"/>
        <w:autoSpaceDN w:val="0"/>
        <w:adjustRightInd w:val="0"/>
        <w:ind w:left="851"/>
        <w:textAlignment w:val="baseline"/>
        <w:rPr>
          <w:sz w:val="24"/>
          <w:szCs w:val="24"/>
          <w:lang w:val="en-GB"/>
        </w:rPr>
      </w:pPr>
      <w:r w:rsidRPr="00DC1628">
        <w:rPr>
          <w:sz w:val="24"/>
          <w:szCs w:val="24"/>
          <w:lang w:val="bg-BG"/>
        </w:rPr>
        <w:t>Sorbitol</w:t>
      </w:r>
      <w:r w:rsidRPr="00DC1628">
        <w:rPr>
          <w:sz w:val="24"/>
          <w:szCs w:val="24"/>
          <w:lang w:val="en-GB"/>
        </w:rPr>
        <w:t xml:space="preserve"> (E420)</w:t>
      </w:r>
    </w:p>
    <w:p w14:paraId="286E9F50" w14:textId="77777777" w:rsidR="00500962" w:rsidRPr="00DC1628" w:rsidRDefault="00500962" w:rsidP="00AC517B">
      <w:pPr>
        <w:overflowPunct w:val="0"/>
        <w:autoSpaceDE w:val="0"/>
        <w:autoSpaceDN w:val="0"/>
        <w:adjustRightInd w:val="0"/>
        <w:ind w:left="851"/>
        <w:textAlignment w:val="baseline"/>
        <w:rPr>
          <w:sz w:val="24"/>
          <w:szCs w:val="24"/>
          <w:lang w:val="bg-BG"/>
        </w:rPr>
      </w:pPr>
      <w:r w:rsidRPr="00DC1628">
        <w:rPr>
          <w:sz w:val="24"/>
          <w:szCs w:val="24"/>
          <w:lang w:val="en-US"/>
        </w:rPr>
        <w:t>Glycerol</w:t>
      </w:r>
    </w:p>
    <w:p w14:paraId="36E29628" w14:textId="77777777" w:rsidR="00500962" w:rsidRPr="00DC1628" w:rsidRDefault="00500962" w:rsidP="00AC517B">
      <w:pPr>
        <w:overflowPunct w:val="0"/>
        <w:autoSpaceDE w:val="0"/>
        <w:autoSpaceDN w:val="0"/>
        <w:adjustRightInd w:val="0"/>
        <w:ind w:left="851"/>
        <w:textAlignment w:val="baseline"/>
        <w:rPr>
          <w:sz w:val="24"/>
          <w:szCs w:val="24"/>
          <w:lang w:val="bg-BG"/>
        </w:rPr>
      </w:pPr>
      <w:r w:rsidRPr="00DC1628">
        <w:rPr>
          <w:sz w:val="24"/>
          <w:szCs w:val="24"/>
          <w:lang w:val="en-US"/>
        </w:rPr>
        <w:t>Sucralose (E955)</w:t>
      </w:r>
    </w:p>
    <w:p w14:paraId="2DA74B0F" w14:textId="77777777" w:rsidR="00500962" w:rsidRPr="00DC1628" w:rsidRDefault="00500962" w:rsidP="00AC517B">
      <w:pPr>
        <w:overflowPunct w:val="0"/>
        <w:autoSpaceDE w:val="0"/>
        <w:autoSpaceDN w:val="0"/>
        <w:adjustRightInd w:val="0"/>
        <w:ind w:left="851"/>
        <w:textAlignment w:val="baseline"/>
        <w:rPr>
          <w:sz w:val="24"/>
          <w:szCs w:val="24"/>
          <w:lang w:val="bg-BG"/>
        </w:rPr>
      </w:pPr>
      <w:r w:rsidRPr="00DC1628">
        <w:rPr>
          <w:sz w:val="24"/>
          <w:szCs w:val="24"/>
          <w:lang w:val="en-US"/>
        </w:rPr>
        <w:t>Sodium</w:t>
      </w:r>
      <w:r w:rsidRPr="00DC1628">
        <w:rPr>
          <w:sz w:val="24"/>
          <w:szCs w:val="24"/>
          <w:lang w:val="bg-BG"/>
        </w:rPr>
        <w:t xml:space="preserve"> </w:t>
      </w:r>
      <w:r w:rsidRPr="00DC1628">
        <w:rPr>
          <w:sz w:val="24"/>
          <w:szCs w:val="24"/>
          <w:lang w:val="en-US"/>
        </w:rPr>
        <w:t>benzoate</w:t>
      </w:r>
      <w:r w:rsidRPr="00DC1628">
        <w:rPr>
          <w:sz w:val="24"/>
          <w:szCs w:val="24"/>
          <w:lang w:val="bg-BG"/>
        </w:rPr>
        <w:t xml:space="preserve"> (Е211)</w:t>
      </w:r>
    </w:p>
    <w:p w14:paraId="05F73FB7" w14:textId="77777777" w:rsidR="00500962" w:rsidRPr="00DC1628" w:rsidRDefault="00500962" w:rsidP="00AC517B">
      <w:pPr>
        <w:overflowPunct w:val="0"/>
        <w:autoSpaceDE w:val="0"/>
        <w:autoSpaceDN w:val="0"/>
        <w:adjustRightInd w:val="0"/>
        <w:ind w:left="851"/>
        <w:textAlignment w:val="baseline"/>
        <w:rPr>
          <w:sz w:val="24"/>
          <w:szCs w:val="24"/>
          <w:lang w:val="bg-BG"/>
        </w:rPr>
      </w:pPr>
      <w:r w:rsidRPr="00DC1628">
        <w:rPr>
          <w:sz w:val="24"/>
          <w:szCs w:val="24"/>
          <w:lang w:val="en-US"/>
        </w:rPr>
        <w:t>Citric</w:t>
      </w:r>
      <w:r w:rsidRPr="00DC1628">
        <w:rPr>
          <w:sz w:val="24"/>
          <w:szCs w:val="24"/>
          <w:lang w:val="bg-BG"/>
        </w:rPr>
        <w:t xml:space="preserve"> acid </w:t>
      </w:r>
      <w:r w:rsidRPr="00DC1628">
        <w:rPr>
          <w:sz w:val="24"/>
          <w:szCs w:val="24"/>
          <w:lang w:val="en-US"/>
        </w:rPr>
        <w:t>monohydrate</w:t>
      </w:r>
    </w:p>
    <w:p w14:paraId="79540AF8" w14:textId="77777777" w:rsidR="00500962" w:rsidRPr="00DC1628" w:rsidRDefault="00500962" w:rsidP="00AC517B">
      <w:pPr>
        <w:overflowPunct w:val="0"/>
        <w:autoSpaceDE w:val="0"/>
        <w:autoSpaceDN w:val="0"/>
        <w:adjustRightInd w:val="0"/>
        <w:ind w:left="851"/>
        <w:textAlignment w:val="baseline"/>
        <w:rPr>
          <w:sz w:val="24"/>
          <w:szCs w:val="24"/>
          <w:lang w:val="en-GB"/>
        </w:rPr>
      </w:pPr>
      <w:r w:rsidRPr="00DC1628">
        <w:rPr>
          <w:sz w:val="24"/>
          <w:szCs w:val="24"/>
          <w:lang w:val="en-US"/>
        </w:rPr>
        <w:t>Caramel</w:t>
      </w:r>
      <w:r w:rsidRPr="00DC1628">
        <w:rPr>
          <w:sz w:val="24"/>
          <w:szCs w:val="24"/>
          <w:lang w:val="bg-BG"/>
        </w:rPr>
        <w:t xml:space="preserve"> </w:t>
      </w:r>
      <w:r w:rsidRPr="00DC1628">
        <w:rPr>
          <w:sz w:val="24"/>
          <w:szCs w:val="24"/>
          <w:lang w:val="en-GB"/>
        </w:rPr>
        <w:t>flavour containing:</w:t>
      </w:r>
    </w:p>
    <w:p w14:paraId="2835D4D7" w14:textId="2A2C7426" w:rsidR="00500962" w:rsidRPr="00DC1628" w:rsidRDefault="00500962" w:rsidP="00DC134B">
      <w:pPr>
        <w:autoSpaceDE w:val="0"/>
        <w:autoSpaceDN w:val="0"/>
        <w:ind w:left="1418"/>
        <w:rPr>
          <w:sz w:val="24"/>
          <w:szCs w:val="24"/>
          <w:lang w:val="en-US"/>
        </w:rPr>
      </w:pPr>
      <w:proofErr w:type="spellStart"/>
      <w:r w:rsidRPr="00DC1628">
        <w:rPr>
          <w:sz w:val="24"/>
          <w:szCs w:val="24"/>
          <w:lang w:val="en-US"/>
        </w:rPr>
        <w:t>flavouring</w:t>
      </w:r>
      <w:proofErr w:type="spellEnd"/>
      <w:r w:rsidRPr="00DC1628">
        <w:rPr>
          <w:sz w:val="24"/>
          <w:szCs w:val="24"/>
          <w:lang w:val="en-US"/>
        </w:rPr>
        <w:t xml:space="preserve"> substances</w:t>
      </w:r>
    </w:p>
    <w:p w14:paraId="3433029D" w14:textId="0670931A" w:rsidR="00500962" w:rsidRPr="00DC1628" w:rsidRDefault="00500962" w:rsidP="00DC134B">
      <w:pPr>
        <w:autoSpaceDE w:val="0"/>
        <w:autoSpaceDN w:val="0"/>
        <w:ind w:left="1418"/>
        <w:rPr>
          <w:sz w:val="24"/>
          <w:szCs w:val="24"/>
          <w:lang w:val="en-US"/>
        </w:rPr>
      </w:pPr>
      <w:proofErr w:type="spellStart"/>
      <w:r w:rsidRPr="00DC1628">
        <w:rPr>
          <w:sz w:val="24"/>
          <w:szCs w:val="24"/>
          <w:lang w:val="en-US"/>
        </w:rPr>
        <w:t>flavouring</w:t>
      </w:r>
      <w:proofErr w:type="spellEnd"/>
      <w:r w:rsidRPr="00DC1628">
        <w:rPr>
          <w:sz w:val="24"/>
          <w:szCs w:val="24"/>
          <w:lang w:val="en-US"/>
        </w:rPr>
        <w:t xml:space="preserve"> preparations</w:t>
      </w:r>
    </w:p>
    <w:p w14:paraId="23F817F4" w14:textId="27C7EFE3" w:rsidR="00500962" w:rsidRPr="00DC1628" w:rsidRDefault="00500962" w:rsidP="00DC134B">
      <w:pPr>
        <w:autoSpaceDE w:val="0"/>
        <w:autoSpaceDN w:val="0"/>
        <w:ind w:left="1418"/>
        <w:rPr>
          <w:sz w:val="24"/>
          <w:szCs w:val="24"/>
          <w:lang w:val="en-US"/>
        </w:rPr>
      </w:pPr>
      <w:r w:rsidRPr="00DC1628">
        <w:rPr>
          <w:sz w:val="24"/>
          <w:szCs w:val="24"/>
          <w:lang w:val="en-US"/>
        </w:rPr>
        <w:t xml:space="preserve">natural </w:t>
      </w:r>
      <w:proofErr w:type="spellStart"/>
      <w:r w:rsidRPr="00DC1628">
        <w:rPr>
          <w:sz w:val="24"/>
          <w:szCs w:val="24"/>
          <w:lang w:val="en-US"/>
        </w:rPr>
        <w:t>flavouring</w:t>
      </w:r>
      <w:proofErr w:type="spellEnd"/>
      <w:r w:rsidRPr="00DC1628">
        <w:rPr>
          <w:sz w:val="24"/>
          <w:szCs w:val="24"/>
          <w:lang w:val="en-US"/>
        </w:rPr>
        <w:t xml:space="preserve"> substances</w:t>
      </w:r>
    </w:p>
    <w:p w14:paraId="7FBBBA16" w14:textId="3C4AAE15" w:rsidR="00500962" w:rsidRPr="00DC1628" w:rsidRDefault="00500962" w:rsidP="00DC134B">
      <w:pPr>
        <w:autoSpaceDE w:val="0"/>
        <w:autoSpaceDN w:val="0"/>
        <w:ind w:left="1418"/>
        <w:rPr>
          <w:sz w:val="24"/>
          <w:szCs w:val="24"/>
          <w:lang w:val="en-US"/>
        </w:rPr>
      </w:pPr>
      <w:r w:rsidRPr="00DC1628">
        <w:rPr>
          <w:sz w:val="24"/>
          <w:szCs w:val="24"/>
          <w:lang w:val="en-US"/>
        </w:rPr>
        <w:t>propylene glycol (E1520)</w:t>
      </w:r>
    </w:p>
    <w:p w14:paraId="5FDEE503" w14:textId="77777777" w:rsidR="00500962" w:rsidRPr="00DC1628" w:rsidRDefault="00500962" w:rsidP="00AC517B">
      <w:pPr>
        <w:overflowPunct w:val="0"/>
        <w:autoSpaceDE w:val="0"/>
        <w:autoSpaceDN w:val="0"/>
        <w:adjustRightInd w:val="0"/>
        <w:ind w:left="851"/>
        <w:textAlignment w:val="baseline"/>
        <w:rPr>
          <w:sz w:val="24"/>
          <w:szCs w:val="24"/>
          <w:lang w:val="en-GB"/>
        </w:rPr>
      </w:pPr>
      <w:r w:rsidRPr="00DC1628">
        <w:rPr>
          <w:sz w:val="24"/>
          <w:szCs w:val="24"/>
          <w:lang w:val="en-US"/>
        </w:rPr>
        <w:t>Bitter Chocolate</w:t>
      </w:r>
      <w:r w:rsidRPr="00DC1628">
        <w:rPr>
          <w:sz w:val="24"/>
          <w:szCs w:val="24"/>
          <w:lang w:val="bg-BG"/>
        </w:rPr>
        <w:t xml:space="preserve"> </w:t>
      </w:r>
      <w:r w:rsidRPr="00DC1628">
        <w:rPr>
          <w:sz w:val="24"/>
          <w:szCs w:val="24"/>
          <w:lang w:val="en-GB"/>
        </w:rPr>
        <w:t>Flavour F2428 containing:</w:t>
      </w:r>
    </w:p>
    <w:p w14:paraId="05048A39" w14:textId="29703315" w:rsidR="00500962" w:rsidRPr="00421757" w:rsidRDefault="00500962" w:rsidP="00DC134B">
      <w:pPr>
        <w:ind w:left="1418"/>
        <w:rPr>
          <w:sz w:val="24"/>
          <w:szCs w:val="24"/>
          <w:lang w:val="en-US"/>
        </w:rPr>
      </w:pPr>
      <w:proofErr w:type="spellStart"/>
      <w:r w:rsidRPr="00421757">
        <w:rPr>
          <w:sz w:val="24"/>
          <w:szCs w:val="24"/>
          <w:lang w:val="en-US"/>
        </w:rPr>
        <w:t>flavouring</w:t>
      </w:r>
      <w:proofErr w:type="spellEnd"/>
      <w:r w:rsidRPr="00421757">
        <w:rPr>
          <w:sz w:val="24"/>
          <w:szCs w:val="24"/>
          <w:lang w:val="en-US"/>
        </w:rPr>
        <w:t xml:space="preserve"> substances</w:t>
      </w:r>
    </w:p>
    <w:p w14:paraId="1A374FED" w14:textId="50647B9A" w:rsidR="00500962" w:rsidRPr="00421757" w:rsidRDefault="00500962" w:rsidP="00DC134B">
      <w:pPr>
        <w:ind w:left="1418"/>
        <w:rPr>
          <w:sz w:val="24"/>
          <w:szCs w:val="24"/>
          <w:lang w:val="en-US"/>
        </w:rPr>
      </w:pPr>
      <w:proofErr w:type="spellStart"/>
      <w:r w:rsidRPr="00421757">
        <w:rPr>
          <w:sz w:val="24"/>
          <w:szCs w:val="24"/>
          <w:lang w:val="en-US"/>
        </w:rPr>
        <w:t>flavouring</w:t>
      </w:r>
      <w:proofErr w:type="spellEnd"/>
      <w:r w:rsidRPr="00421757">
        <w:rPr>
          <w:sz w:val="24"/>
          <w:szCs w:val="24"/>
          <w:lang w:val="en-US"/>
        </w:rPr>
        <w:t xml:space="preserve"> preparation</w:t>
      </w:r>
    </w:p>
    <w:p w14:paraId="5701F8CF" w14:textId="39E6AE05" w:rsidR="00500962" w:rsidRPr="00421757" w:rsidRDefault="00500962" w:rsidP="00DC134B">
      <w:pPr>
        <w:ind w:left="1418"/>
        <w:rPr>
          <w:sz w:val="24"/>
          <w:szCs w:val="24"/>
          <w:lang w:val="en-US"/>
        </w:rPr>
      </w:pPr>
      <w:r w:rsidRPr="00421757">
        <w:rPr>
          <w:sz w:val="24"/>
          <w:szCs w:val="24"/>
          <w:lang w:val="en-US"/>
        </w:rPr>
        <w:t>quinine hydrochloride</w:t>
      </w:r>
    </w:p>
    <w:p w14:paraId="01B30282" w14:textId="61AEBEF2" w:rsidR="00500962" w:rsidRPr="00421757" w:rsidRDefault="00500962" w:rsidP="00DC134B">
      <w:pPr>
        <w:ind w:left="1418"/>
        <w:rPr>
          <w:sz w:val="24"/>
          <w:szCs w:val="24"/>
          <w:lang w:val="en-US"/>
        </w:rPr>
      </w:pPr>
      <w:r w:rsidRPr="00421757">
        <w:rPr>
          <w:sz w:val="24"/>
          <w:szCs w:val="24"/>
          <w:lang w:val="en-US"/>
        </w:rPr>
        <w:t xml:space="preserve">natural </w:t>
      </w:r>
      <w:proofErr w:type="spellStart"/>
      <w:r w:rsidRPr="00421757">
        <w:rPr>
          <w:sz w:val="24"/>
          <w:szCs w:val="24"/>
          <w:lang w:val="en-US"/>
        </w:rPr>
        <w:t>flavouring</w:t>
      </w:r>
      <w:proofErr w:type="spellEnd"/>
      <w:r w:rsidRPr="00421757">
        <w:rPr>
          <w:sz w:val="24"/>
          <w:szCs w:val="24"/>
          <w:lang w:val="en-US"/>
        </w:rPr>
        <w:t xml:space="preserve"> substances</w:t>
      </w:r>
    </w:p>
    <w:p w14:paraId="4B73D884" w14:textId="07E02E8C" w:rsidR="00500962" w:rsidRPr="00421757" w:rsidRDefault="00500962" w:rsidP="00DC134B">
      <w:pPr>
        <w:ind w:left="1418"/>
        <w:rPr>
          <w:sz w:val="24"/>
          <w:szCs w:val="24"/>
          <w:lang w:val="en-US"/>
        </w:rPr>
      </w:pPr>
      <w:r w:rsidRPr="00421757">
        <w:rPr>
          <w:sz w:val="24"/>
          <w:szCs w:val="24"/>
          <w:lang w:val="en-US"/>
        </w:rPr>
        <w:t>propylene glycol (E1520)</w:t>
      </w:r>
    </w:p>
    <w:p w14:paraId="36462F00" w14:textId="3E66622A" w:rsidR="00500962" w:rsidRPr="00421757" w:rsidRDefault="00500962" w:rsidP="00DC134B">
      <w:pPr>
        <w:ind w:left="1418"/>
        <w:rPr>
          <w:sz w:val="24"/>
          <w:szCs w:val="24"/>
          <w:lang w:val="en-US"/>
        </w:rPr>
      </w:pPr>
      <w:r w:rsidRPr="00421757">
        <w:rPr>
          <w:sz w:val="24"/>
          <w:szCs w:val="24"/>
          <w:lang w:val="en-US"/>
        </w:rPr>
        <w:t>water</w:t>
      </w:r>
    </w:p>
    <w:p w14:paraId="3D85E4D2" w14:textId="78D0ACA9" w:rsidR="00500962" w:rsidRPr="00421757" w:rsidRDefault="00500962" w:rsidP="00DC134B">
      <w:pPr>
        <w:ind w:left="1418"/>
        <w:rPr>
          <w:sz w:val="24"/>
          <w:szCs w:val="24"/>
          <w:lang w:val="en-US"/>
        </w:rPr>
      </w:pPr>
      <w:proofErr w:type="spellStart"/>
      <w:r w:rsidRPr="00421757">
        <w:rPr>
          <w:sz w:val="24"/>
          <w:szCs w:val="24"/>
          <w:lang w:val="en-US"/>
        </w:rPr>
        <w:t>quassin</w:t>
      </w:r>
      <w:proofErr w:type="spellEnd"/>
    </w:p>
    <w:p w14:paraId="54A8339D" w14:textId="77777777" w:rsidR="00500962" w:rsidRPr="00DC1628" w:rsidRDefault="00500962" w:rsidP="00AC517B">
      <w:pPr>
        <w:overflowPunct w:val="0"/>
        <w:autoSpaceDE w:val="0"/>
        <w:autoSpaceDN w:val="0"/>
        <w:adjustRightInd w:val="0"/>
        <w:ind w:left="851"/>
        <w:textAlignment w:val="baseline"/>
        <w:rPr>
          <w:sz w:val="24"/>
          <w:szCs w:val="24"/>
          <w:lang w:val="en-US"/>
        </w:rPr>
      </w:pPr>
      <w:r w:rsidRPr="00DC1628">
        <w:rPr>
          <w:sz w:val="24"/>
          <w:szCs w:val="24"/>
          <w:lang w:val="en-US"/>
        </w:rPr>
        <w:t>Purified water</w:t>
      </w:r>
    </w:p>
    <w:p w14:paraId="64C25862" w14:textId="77777777" w:rsidR="007C5D2A" w:rsidRPr="00DC1628" w:rsidRDefault="007C5D2A" w:rsidP="003D727E">
      <w:pPr>
        <w:tabs>
          <w:tab w:val="left" w:pos="851"/>
        </w:tabs>
        <w:ind w:left="851"/>
        <w:rPr>
          <w:sz w:val="24"/>
          <w:szCs w:val="24"/>
          <w:lang w:val="en-GB"/>
        </w:rPr>
      </w:pPr>
    </w:p>
    <w:p w14:paraId="0EC59C6B" w14:textId="77777777" w:rsidR="007C5D2A" w:rsidRPr="00DC1628" w:rsidRDefault="007C5D2A" w:rsidP="007C5D2A">
      <w:pPr>
        <w:ind w:left="851" w:hanging="851"/>
        <w:rPr>
          <w:b/>
          <w:sz w:val="24"/>
          <w:szCs w:val="24"/>
          <w:lang w:val="en-GB"/>
        </w:rPr>
      </w:pPr>
      <w:r w:rsidRPr="00DC1628">
        <w:rPr>
          <w:b/>
          <w:sz w:val="24"/>
          <w:szCs w:val="24"/>
          <w:lang w:val="en-GB"/>
        </w:rPr>
        <w:t>6.2</w:t>
      </w:r>
      <w:r w:rsidRPr="00DC1628">
        <w:rPr>
          <w:b/>
          <w:sz w:val="24"/>
          <w:szCs w:val="24"/>
          <w:lang w:val="en-GB"/>
        </w:rPr>
        <w:tab/>
        <w:t>Incompatibilities</w:t>
      </w:r>
    </w:p>
    <w:p w14:paraId="500AD316" w14:textId="77777777" w:rsidR="00500962" w:rsidRPr="00DC1628" w:rsidRDefault="00500962" w:rsidP="00AC517B">
      <w:pPr>
        <w:tabs>
          <w:tab w:val="left" w:pos="851"/>
        </w:tabs>
        <w:ind w:left="851"/>
        <w:rPr>
          <w:sz w:val="24"/>
          <w:szCs w:val="24"/>
          <w:lang w:val="bg-BG"/>
        </w:rPr>
      </w:pPr>
      <w:r w:rsidRPr="00DC1628">
        <w:rPr>
          <w:caps/>
          <w:sz w:val="24"/>
          <w:szCs w:val="24"/>
          <w:lang w:val="en-US"/>
        </w:rPr>
        <w:t>N</w:t>
      </w:r>
      <w:r w:rsidRPr="00DC1628">
        <w:rPr>
          <w:sz w:val="24"/>
          <w:szCs w:val="24"/>
          <w:lang w:val="en-US"/>
        </w:rPr>
        <w:t>ot applicable</w:t>
      </w:r>
    </w:p>
    <w:p w14:paraId="1ACB843D" w14:textId="77777777" w:rsidR="007C5D2A" w:rsidRPr="00DC1628" w:rsidRDefault="007C5D2A" w:rsidP="003E0341">
      <w:pPr>
        <w:tabs>
          <w:tab w:val="left" w:pos="851"/>
        </w:tabs>
        <w:ind w:left="851"/>
        <w:rPr>
          <w:sz w:val="24"/>
          <w:szCs w:val="24"/>
          <w:lang w:val="en-GB"/>
        </w:rPr>
      </w:pPr>
    </w:p>
    <w:p w14:paraId="0C9CD3CE" w14:textId="322B538B" w:rsidR="007C5D2A" w:rsidRPr="00DC1628" w:rsidRDefault="007C5D2A" w:rsidP="007C5D2A">
      <w:pPr>
        <w:ind w:left="851" w:hanging="851"/>
        <w:rPr>
          <w:b/>
          <w:sz w:val="24"/>
          <w:szCs w:val="24"/>
          <w:lang w:val="en-GB"/>
        </w:rPr>
      </w:pPr>
      <w:r w:rsidRPr="00DC1628">
        <w:rPr>
          <w:b/>
          <w:sz w:val="24"/>
          <w:szCs w:val="24"/>
          <w:lang w:val="en-GB"/>
        </w:rPr>
        <w:t>6.3</w:t>
      </w:r>
      <w:r w:rsidRPr="00DC1628">
        <w:rPr>
          <w:b/>
          <w:sz w:val="24"/>
          <w:szCs w:val="24"/>
          <w:lang w:val="en-GB"/>
        </w:rPr>
        <w:tab/>
        <w:t>Shelf</w:t>
      </w:r>
      <w:r w:rsidR="00F31277">
        <w:rPr>
          <w:b/>
          <w:sz w:val="24"/>
          <w:szCs w:val="24"/>
          <w:lang w:val="en-GB"/>
        </w:rPr>
        <w:t xml:space="preserve"> </w:t>
      </w:r>
      <w:r w:rsidRPr="00DC1628">
        <w:rPr>
          <w:b/>
          <w:sz w:val="24"/>
          <w:szCs w:val="24"/>
          <w:lang w:val="en-GB"/>
        </w:rPr>
        <w:t>life</w:t>
      </w:r>
    </w:p>
    <w:p w14:paraId="360340DF" w14:textId="77777777" w:rsidR="00500962" w:rsidRPr="00DC1628" w:rsidRDefault="00500962" w:rsidP="00F92B1A">
      <w:pPr>
        <w:ind w:left="851"/>
        <w:rPr>
          <w:sz w:val="24"/>
          <w:szCs w:val="24"/>
          <w:lang w:val="en-US"/>
        </w:rPr>
      </w:pPr>
      <w:r w:rsidRPr="00DC1628">
        <w:rPr>
          <w:sz w:val="24"/>
          <w:szCs w:val="24"/>
          <w:lang w:val="bg-BG"/>
        </w:rPr>
        <w:t>2</w:t>
      </w:r>
      <w:r w:rsidRPr="00DC1628">
        <w:rPr>
          <w:sz w:val="24"/>
          <w:szCs w:val="24"/>
          <w:lang w:val="en-US"/>
        </w:rPr>
        <w:t xml:space="preserve"> </w:t>
      </w:r>
      <w:r w:rsidRPr="00DC1628">
        <w:rPr>
          <w:sz w:val="24"/>
          <w:szCs w:val="24"/>
          <w:lang w:val="bg-BG"/>
        </w:rPr>
        <w:t>years</w:t>
      </w:r>
    </w:p>
    <w:p w14:paraId="35DC8467" w14:textId="77777777" w:rsidR="00500962" w:rsidRPr="00DC1628" w:rsidRDefault="00500962" w:rsidP="00F92B1A">
      <w:pPr>
        <w:ind w:left="851"/>
        <w:rPr>
          <w:sz w:val="24"/>
          <w:szCs w:val="24"/>
          <w:lang w:val="en-US"/>
        </w:rPr>
      </w:pPr>
    </w:p>
    <w:p w14:paraId="67D031A4" w14:textId="77777777" w:rsidR="00500962" w:rsidRPr="00DC1628" w:rsidRDefault="00500962" w:rsidP="00F92B1A">
      <w:pPr>
        <w:ind w:left="851"/>
        <w:rPr>
          <w:sz w:val="24"/>
          <w:szCs w:val="24"/>
          <w:lang w:val="en-US"/>
        </w:rPr>
      </w:pPr>
      <w:r w:rsidRPr="00DC1628">
        <w:rPr>
          <w:sz w:val="24"/>
          <w:szCs w:val="24"/>
          <w:lang w:val="en-US"/>
        </w:rPr>
        <w:t>Shelf life after first opening the bottle: 6 months</w:t>
      </w:r>
    </w:p>
    <w:p w14:paraId="10DFDCF1" w14:textId="77777777" w:rsidR="007C5D2A" w:rsidRPr="00DC1628" w:rsidRDefault="007C5D2A" w:rsidP="003E0341">
      <w:pPr>
        <w:tabs>
          <w:tab w:val="left" w:pos="851"/>
        </w:tabs>
        <w:ind w:left="851"/>
        <w:rPr>
          <w:sz w:val="24"/>
          <w:szCs w:val="24"/>
          <w:lang w:val="en-GB"/>
        </w:rPr>
      </w:pPr>
    </w:p>
    <w:p w14:paraId="772BB408" w14:textId="77777777" w:rsidR="007C5D2A" w:rsidRPr="00DC1628" w:rsidRDefault="007C5D2A" w:rsidP="007C5D2A">
      <w:pPr>
        <w:ind w:left="851" w:hanging="851"/>
        <w:rPr>
          <w:b/>
          <w:sz w:val="24"/>
          <w:szCs w:val="24"/>
          <w:lang w:val="en-GB"/>
        </w:rPr>
      </w:pPr>
      <w:r w:rsidRPr="00DC1628">
        <w:rPr>
          <w:b/>
          <w:sz w:val="24"/>
          <w:szCs w:val="24"/>
          <w:lang w:val="en-GB"/>
        </w:rPr>
        <w:t>6.4</w:t>
      </w:r>
      <w:r w:rsidRPr="00DC1628">
        <w:rPr>
          <w:b/>
          <w:sz w:val="24"/>
          <w:szCs w:val="24"/>
          <w:lang w:val="en-GB"/>
        </w:rPr>
        <w:tab/>
        <w:t>Special precautions for storage</w:t>
      </w:r>
    </w:p>
    <w:p w14:paraId="02F1A867" w14:textId="1B6984BF" w:rsidR="00AA1FD9" w:rsidRPr="00DC1628" w:rsidRDefault="00AA1FD9" w:rsidP="00F92B1A">
      <w:pPr>
        <w:ind w:left="851"/>
        <w:rPr>
          <w:sz w:val="24"/>
          <w:szCs w:val="24"/>
          <w:lang w:val="bg-BG"/>
        </w:rPr>
      </w:pPr>
      <w:r w:rsidRPr="00DC1628">
        <w:rPr>
          <w:sz w:val="24"/>
          <w:szCs w:val="24"/>
          <w:lang w:val="en-US"/>
        </w:rPr>
        <w:t>Do not store above</w:t>
      </w:r>
      <w:r w:rsidRPr="00DC1628">
        <w:rPr>
          <w:sz w:val="24"/>
          <w:szCs w:val="24"/>
          <w:lang w:val="bg-BG"/>
        </w:rPr>
        <w:t xml:space="preserve"> 25</w:t>
      </w:r>
      <w:r w:rsidR="00AF54ED" w:rsidRPr="00AF54ED">
        <w:rPr>
          <w:sz w:val="24"/>
          <w:szCs w:val="24"/>
          <w:lang w:val="en-US"/>
        </w:rPr>
        <w:t xml:space="preserve"> </w:t>
      </w:r>
      <w:r w:rsidRPr="00DC1628">
        <w:rPr>
          <w:sz w:val="24"/>
          <w:szCs w:val="24"/>
          <w:lang w:val="bg-BG"/>
        </w:rPr>
        <w:t>°</w:t>
      </w:r>
      <w:r w:rsidRPr="00DC1628">
        <w:rPr>
          <w:sz w:val="24"/>
          <w:szCs w:val="24"/>
          <w:lang w:val="en-US"/>
        </w:rPr>
        <w:t>C</w:t>
      </w:r>
      <w:r w:rsidRPr="00DC1628">
        <w:rPr>
          <w:sz w:val="24"/>
          <w:szCs w:val="24"/>
          <w:lang w:val="bg-BG"/>
        </w:rPr>
        <w:t>.</w:t>
      </w:r>
    </w:p>
    <w:p w14:paraId="2BF17FA4" w14:textId="77777777" w:rsidR="007C5D2A" w:rsidRPr="00DC1628" w:rsidRDefault="007C5D2A" w:rsidP="003E0341">
      <w:pPr>
        <w:tabs>
          <w:tab w:val="left" w:pos="851"/>
        </w:tabs>
        <w:ind w:left="851"/>
        <w:rPr>
          <w:sz w:val="24"/>
          <w:szCs w:val="24"/>
          <w:lang w:val="en-GB"/>
        </w:rPr>
      </w:pPr>
    </w:p>
    <w:p w14:paraId="6ABA8C25" w14:textId="77777777" w:rsidR="007C5D2A" w:rsidRPr="00DC1628" w:rsidRDefault="007C5D2A" w:rsidP="007C5D2A">
      <w:pPr>
        <w:ind w:left="851" w:hanging="851"/>
        <w:rPr>
          <w:b/>
          <w:sz w:val="24"/>
          <w:szCs w:val="24"/>
          <w:lang w:val="en-GB"/>
        </w:rPr>
      </w:pPr>
      <w:r w:rsidRPr="00DC1628">
        <w:rPr>
          <w:b/>
          <w:sz w:val="24"/>
          <w:szCs w:val="24"/>
          <w:lang w:val="en-GB"/>
        </w:rPr>
        <w:t>6.5</w:t>
      </w:r>
      <w:r w:rsidRPr="00DC1628">
        <w:rPr>
          <w:b/>
          <w:sz w:val="24"/>
          <w:szCs w:val="24"/>
          <w:lang w:val="en-GB"/>
        </w:rPr>
        <w:tab/>
        <w:t>Nature and contents of container</w:t>
      </w:r>
    </w:p>
    <w:p w14:paraId="75AC3AE5" w14:textId="3E0145E1" w:rsidR="00AA1FD9" w:rsidRPr="00DC1628" w:rsidRDefault="001F3F70" w:rsidP="00F92B1A">
      <w:pPr>
        <w:ind w:left="851"/>
        <w:rPr>
          <w:sz w:val="24"/>
          <w:szCs w:val="24"/>
          <w:lang w:val="en-GB"/>
        </w:rPr>
      </w:pPr>
      <w:proofErr w:type="spellStart"/>
      <w:r w:rsidRPr="00DC1628">
        <w:rPr>
          <w:sz w:val="24"/>
          <w:szCs w:val="24"/>
          <w:lang w:val="en-GB"/>
        </w:rPr>
        <w:t>Tinguri</w:t>
      </w:r>
      <w:proofErr w:type="spellEnd"/>
      <w:r w:rsidR="00AA1FD9" w:rsidRPr="00DC1628">
        <w:rPr>
          <w:sz w:val="24"/>
          <w:szCs w:val="24"/>
          <w:lang w:val="bg-BG"/>
        </w:rPr>
        <w:t xml:space="preserve"> syrup </w:t>
      </w:r>
      <w:r w:rsidR="00AA1FD9" w:rsidRPr="00DC1628">
        <w:rPr>
          <w:sz w:val="24"/>
          <w:szCs w:val="24"/>
          <w:lang w:val="en-US"/>
        </w:rPr>
        <w:t xml:space="preserve">is supplied in a 100 ml or </w:t>
      </w:r>
      <w:r w:rsidR="00AA1FD9" w:rsidRPr="00DC1628">
        <w:rPr>
          <w:sz w:val="24"/>
          <w:szCs w:val="24"/>
          <w:lang w:val="bg-BG"/>
        </w:rPr>
        <w:t xml:space="preserve">200 </w:t>
      </w:r>
      <w:r w:rsidR="00AA1FD9" w:rsidRPr="00DC1628">
        <w:rPr>
          <w:sz w:val="24"/>
          <w:szCs w:val="24"/>
          <w:lang w:val="en-US"/>
        </w:rPr>
        <w:t>ml</w:t>
      </w:r>
      <w:r w:rsidR="00AA1FD9" w:rsidRPr="00DC1628">
        <w:rPr>
          <w:sz w:val="24"/>
          <w:szCs w:val="24"/>
          <w:lang w:val="bg-BG"/>
        </w:rPr>
        <w:t xml:space="preserve"> </w:t>
      </w:r>
      <w:r w:rsidR="00AA1FD9" w:rsidRPr="00DC1628">
        <w:rPr>
          <w:sz w:val="24"/>
          <w:szCs w:val="24"/>
          <w:lang w:val="en-US"/>
        </w:rPr>
        <w:t>amber glass or</w:t>
      </w:r>
      <w:r w:rsidR="00AA1FD9" w:rsidRPr="00DC1628">
        <w:rPr>
          <w:sz w:val="24"/>
          <w:szCs w:val="24"/>
          <w:lang w:val="en-GB"/>
        </w:rPr>
        <w:t xml:space="preserve"> </w:t>
      </w:r>
      <w:r w:rsidR="00AA1FD9" w:rsidRPr="00DC1628">
        <w:rPr>
          <w:sz w:val="24"/>
          <w:szCs w:val="24"/>
          <w:lang w:val="en-US"/>
        </w:rPr>
        <w:t xml:space="preserve">polyethylene terephthalate bottle with a child-resistant </w:t>
      </w:r>
      <w:r w:rsidR="00AA1FD9" w:rsidRPr="00DC1628">
        <w:rPr>
          <w:sz w:val="24"/>
          <w:szCs w:val="24"/>
          <w:lang w:val="en-GB"/>
        </w:rPr>
        <w:t>polypropylene/</w:t>
      </w:r>
      <w:r w:rsidR="00AA1FD9" w:rsidRPr="00DC1628">
        <w:rPr>
          <w:sz w:val="24"/>
          <w:szCs w:val="24"/>
          <w:lang w:val="en-US"/>
        </w:rPr>
        <w:t>polyethylene</w:t>
      </w:r>
      <w:r w:rsidR="00AA1FD9" w:rsidRPr="00DC1628">
        <w:rPr>
          <w:sz w:val="24"/>
          <w:szCs w:val="24"/>
          <w:lang w:val="ru-RU"/>
        </w:rPr>
        <w:t xml:space="preserve"> </w:t>
      </w:r>
      <w:r w:rsidR="00AA1FD9" w:rsidRPr="00DC1628">
        <w:rPr>
          <w:sz w:val="24"/>
          <w:szCs w:val="24"/>
          <w:lang w:val="en-US"/>
        </w:rPr>
        <w:t>screw cap</w:t>
      </w:r>
      <w:r w:rsidR="00AA1FD9" w:rsidRPr="00DC1628">
        <w:rPr>
          <w:sz w:val="24"/>
          <w:szCs w:val="24"/>
          <w:lang w:val="bg-BG"/>
        </w:rPr>
        <w:t>.</w:t>
      </w:r>
      <w:r w:rsidR="00AA1FD9" w:rsidRPr="00DC1628">
        <w:rPr>
          <w:sz w:val="24"/>
          <w:szCs w:val="24"/>
          <w:lang w:val="en-US"/>
        </w:rPr>
        <w:t xml:space="preserve"> </w:t>
      </w:r>
    </w:p>
    <w:p w14:paraId="6B5C60C5" w14:textId="77777777" w:rsidR="00AA1FD9" w:rsidRPr="00DC1628" w:rsidRDefault="00AA1FD9" w:rsidP="00F92B1A">
      <w:pPr>
        <w:ind w:left="851"/>
        <w:rPr>
          <w:sz w:val="24"/>
          <w:szCs w:val="24"/>
          <w:lang w:val="en-US"/>
        </w:rPr>
      </w:pPr>
      <w:r w:rsidRPr="00DC1628">
        <w:rPr>
          <w:sz w:val="24"/>
          <w:szCs w:val="24"/>
          <w:lang w:val="en-US"/>
        </w:rPr>
        <w:t xml:space="preserve">Each pack contains a </w:t>
      </w:r>
      <w:r w:rsidRPr="00DC1628">
        <w:rPr>
          <w:sz w:val="24"/>
          <w:szCs w:val="24"/>
          <w:lang w:val="en-GB"/>
        </w:rPr>
        <w:t>polypropylene</w:t>
      </w:r>
      <w:r w:rsidRPr="00DC1628">
        <w:rPr>
          <w:sz w:val="24"/>
          <w:szCs w:val="24"/>
          <w:lang w:val="en-US"/>
        </w:rPr>
        <w:t xml:space="preserve"> measuring cup </w:t>
      </w:r>
      <w:r w:rsidRPr="00DC1628">
        <w:rPr>
          <w:sz w:val="24"/>
          <w:szCs w:val="24"/>
          <w:lang w:val="en-GB"/>
        </w:rPr>
        <w:t>graduated for dosing of 5 ml, 10 ml, 15 ml, 20 ml, 25 ml and 30 ml</w:t>
      </w:r>
      <w:r w:rsidRPr="00DC1628">
        <w:rPr>
          <w:sz w:val="24"/>
          <w:szCs w:val="24"/>
          <w:lang w:val="en-US"/>
        </w:rPr>
        <w:t>.</w:t>
      </w:r>
    </w:p>
    <w:p w14:paraId="28165C1F" w14:textId="77777777" w:rsidR="007C5D2A" w:rsidRPr="00DC1628" w:rsidRDefault="007C5D2A" w:rsidP="003E0341">
      <w:pPr>
        <w:tabs>
          <w:tab w:val="left" w:pos="851"/>
        </w:tabs>
        <w:ind w:left="851"/>
        <w:rPr>
          <w:sz w:val="24"/>
          <w:szCs w:val="24"/>
          <w:lang w:val="en-GB"/>
        </w:rPr>
      </w:pPr>
    </w:p>
    <w:p w14:paraId="7CD8CA21" w14:textId="77777777" w:rsidR="007C5D2A" w:rsidRPr="00DC1628" w:rsidRDefault="007C5D2A" w:rsidP="007C5D2A">
      <w:pPr>
        <w:ind w:left="851" w:hanging="851"/>
        <w:rPr>
          <w:b/>
          <w:sz w:val="24"/>
          <w:szCs w:val="24"/>
          <w:lang w:val="en-GB"/>
        </w:rPr>
      </w:pPr>
      <w:r w:rsidRPr="00DC1628">
        <w:rPr>
          <w:b/>
          <w:sz w:val="24"/>
          <w:szCs w:val="24"/>
          <w:lang w:val="en-GB"/>
        </w:rPr>
        <w:t>6.6</w:t>
      </w:r>
      <w:r w:rsidRPr="00DC1628">
        <w:rPr>
          <w:b/>
          <w:sz w:val="24"/>
          <w:szCs w:val="24"/>
          <w:lang w:val="en-GB"/>
        </w:rPr>
        <w:tab/>
        <w:t>Special precautions for disposal and other handling</w:t>
      </w:r>
    </w:p>
    <w:p w14:paraId="0E7CF90D" w14:textId="77777777" w:rsidR="00AA1FD9" w:rsidRPr="00DC1628" w:rsidRDefault="00AA1FD9" w:rsidP="00F92B1A">
      <w:pPr>
        <w:ind w:left="851"/>
        <w:rPr>
          <w:sz w:val="24"/>
          <w:szCs w:val="24"/>
          <w:lang w:val="en-US"/>
        </w:rPr>
      </w:pPr>
      <w:r w:rsidRPr="00DC1628">
        <w:rPr>
          <w:sz w:val="24"/>
          <w:szCs w:val="24"/>
          <w:lang w:val="en-US"/>
        </w:rPr>
        <w:t>No special requirements.</w:t>
      </w:r>
    </w:p>
    <w:p w14:paraId="6B6B25B0" w14:textId="77777777" w:rsidR="00AA1FD9" w:rsidRPr="00DC1628" w:rsidRDefault="00AA1FD9" w:rsidP="00F92B1A">
      <w:pPr>
        <w:ind w:left="851"/>
        <w:rPr>
          <w:sz w:val="24"/>
          <w:szCs w:val="24"/>
          <w:lang w:val="en-US"/>
        </w:rPr>
      </w:pPr>
    </w:p>
    <w:p w14:paraId="0891B319" w14:textId="77777777" w:rsidR="00AA1FD9" w:rsidRPr="00DC1628" w:rsidRDefault="00AA1FD9" w:rsidP="00F92B1A">
      <w:pPr>
        <w:ind w:left="851"/>
        <w:rPr>
          <w:sz w:val="24"/>
          <w:szCs w:val="24"/>
          <w:lang w:val="en-US"/>
        </w:rPr>
      </w:pPr>
      <w:r w:rsidRPr="00DC1628">
        <w:rPr>
          <w:sz w:val="24"/>
          <w:szCs w:val="24"/>
          <w:lang w:val="en-US"/>
        </w:rPr>
        <w:t xml:space="preserve">Any unused medicinal product or waste material from it should be disposed of in accordance with local requirements. </w:t>
      </w:r>
    </w:p>
    <w:p w14:paraId="06164207" w14:textId="77777777" w:rsidR="007C5D2A" w:rsidRPr="00DC1628" w:rsidRDefault="007C5D2A" w:rsidP="003E0341">
      <w:pPr>
        <w:tabs>
          <w:tab w:val="left" w:pos="851"/>
        </w:tabs>
        <w:ind w:left="851"/>
        <w:jc w:val="both"/>
        <w:rPr>
          <w:sz w:val="24"/>
          <w:szCs w:val="24"/>
          <w:lang w:val="en-GB"/>
        </w:rPr>
      </w:pPr>
    </w:p>
    <w:p w14:paraId="116009A3" w14:textId="77777777" w:rsidR="007C5D2A" w:rsidRPr="00DC1628" w:rsidRDefault="007C5D2A" w:rsidP="007C5D2A">
      <w:pPr>
        <w:tabs>
          <w:tab w:val="left" w:pos="851"/>
        </w:tabs>
        <w:ind w:left="851" w:hanging="851"/>
        <w:jc w:val="both"/>
        <w:rPr>
          <w:b/>
          <w:sz w:val="24"/>
          <w:szCs w:val="24"/>
          <w:lang w:val="en-GB"/>
        </w:rPr>
      </w:pPr>
      <w:r w:rsidRPr="00DC1628">
        <w:rPr>
          <w:b/>
          <w:sz w:val="24"/>
          <w:szCs w:val="24"/>
          <w:lang w:val="en-GB"/>
        </w:rPr>
        <w:t>7.</w:t>
      </w:r>
      <w:r w:rsidRPr="00DC1628">
        <w:rPr>
          <w:b/>
          <w:sz w:val="24"/>
          <w:szCs w:val="24"/>
          <w:lang w:val="en-GB"/>
        </w:rPr>
        <w:tab/>
        <w:t>MARKETING AUTHORISATION HOLDER</w:t>
      </w:r>
    </w:p>
    <w:p w14:paraId="459CE085" w14:textId="77777777" w:rsidR="00B8123A" w:rsidRPr="00DC1628" w:rsidRDefault="00B8123A" w:rsidP="00B8123A">
      <w:pPr>
        <w:tabs>
          <w:tab w:val="left" w:pos="851"/>
        </w:tabs>
        <w:ind w:left="851"/>
        <w:jc w:val="both"/>
        <w:rPr>
          <w:sz w:val="24"/>
          <w:szCs w:val="24"/>
          <w:lang w:val="en-US"/>
        </w:rPr>
      </w:pPr>
      <w:r w:rsidRPr="00DC1628">
        <w:rPr>
          <w:sz w:val="24"/>
          <w:szCs w:val="24"/>
          <w:lang w:val="en-US"/>
        </w:rPr>
        <w:t>Teva B.V.</w:t>
      </w:r>
    </w:p>
    <w:p w14:paraId="2E5E204A" w14:textId="77777777" w:rsidR="00B8123A" w:rsidRPr="00DC1628" w:rsidRDefault="00B8123A" w:rsidP="00B8123A">
      <w:pPr>
        <w:tabs>
          <w:tab w:val="left" w:pos="851"/>
        </w:tabs>
        <w:ind w:left="851"/>
        <w:jc w:val="both"/>
        <w:rPr>
          <w:sz w:val="24"/>
          <w:szCs w:val="24"/>
          <w:lang w:val="en-US"/>
        </w:rPr>
      </w:pPr>
      <w:proofErr w:type="spellStart"/>
      <w:r w:rsidRPr="00DC1628">
        <w:rPr>
          <w:sz w:val="24"/>
          <w:szCs w:val="24"/>
          <w:lang w:val="en-US"/>
        </w:rPr>
        <w:t>Swensweg</w:t>
      </w:r>
      <w:proofErr w:type="spellEnd"/>
      <w:r w:rsidRPr="00DC1628">
        <w:rPr>
          <w:sz w:val="24"/>
          <w:szCs w:val="24"/>
          <w:lang w:val="en-US"/>
        </w:rPr>
        <w:t xml:space="preserve"> 5</w:t>
      </w:r>
    </w:p>
    <w:p w14:paraId="6C0985C8" w14:textId="77777777" w:rsidR="00B8123A" w:rsidRPr="00DC1628" w:rsidRDefault="00B8123A" w:rsidP="00B8123A">
      <w:pPr>
        <w:tabs>
          <w:tab w:val="left" w:pos="851"/>
        </w:tabs>
        <w:ind w:left="851"/>
        <w:jc w:val="both"/>
        <w:rPr>
          <w:sz w:val="24"/>
          <w:szCs w:val="24"/>
          <w:lang w:val="en-US"/>
        </w:rPr>
      </w:pPr>
      <w:r w:rsidRPr="00DC1628">
        <w:rPr>
          <w:sz w:val="24"/>
          <w:szCs w:val="24"/>
          <w:lang w:val="en-US"/>
        </w:rPr>
        <w:t>2031 GA Haarlem</w:t>
      </w:r>
    </w:p>
    <w:p w14:paraId="445E2DC3" w14:textId="77777777" w:rsidR="00B8123A" w:rsidRPr="00DC1628" w:rsidRDefault="00B8123A" w:rsidP="00B8123A">
      <w:pPr>
        <w:tabs>
          <w:tab w:val="left" w:pos="0"/>
          <w:tab w:val="left" w:pos="851"/>
          <w:tab w:val="left" w:pos="1856"/>
        </w:tabs>
        <w:ind w:left="850" w:hanging="850"/>
        <w:rPr>
          <w:sz w:val="24"/>
          <w:szCs w:val="24"/>
          <w:lang w:val="en-US"/>
        </w:rPr>
      </w:pPr>
      <w:r w:rsidRPr="00DC1628">
        <w:rPr>
          <w:sz w:val="24"/>
          <w:szCs w:val="24"/>
          <w:lang w:val="en-US"/>
        </w:rPr>
        <w:tab/>
        <w:t>Holland</w:t>
      </w:r>
    </w:p>
    <w:p w14:paraId="1A883B04" w14:textId="77777777" w:rsidR="00BB7771" w:rsidRPr="00DC1628" w:rsidRDefault="00BB7771" w:rsidP="00BB7771">
      <w:pPr>
        <w:ind w:left="851"/>
        <w:rPr>
          <w:spacing w:val="-3"/>
          <w:sz w:val="24"/>
          <w:szCs w:val="24"/>
          <w:lang w:val="en-US"/>
        </w:rPr>
      </w:pPr>
    </w:p>
    <w:p w14:paraId="774CC24B" w14:textId="6FA62C46" w:rsidR="00BB7771" w:rsidRPr="00DC1628" w:rsidRDefault="00BB7771" w:rsidP="00BB7771">
      <w:pPr>
        <w:numPr>
          <w:ilvl w:val="12"/>
          <w:numId w:val="0"/>
        </w:numPr>
        <w:ind w:left="851" w:right="-2"/>
        <w:rPr>
          <w:b/>
          <w:noProof/>
          <w:sz w:val="24"/>
          <w:szCs w:val="24"/>
          <w:lang w:val="en-US"/>
        </w:rPr>
      </w:pPr>
      <w:r w:rsidRPr="00DC1628">
        <w:rPr>
          <w:b/>
          <w:noProof/>
          <w:sz w:val="24"/>
          <w:szCs w:val="24"/>
          <w:lang w:val="en-US"/>
        </w:rPr>
        <w:t>Repr</w:t>
      </w:r>
      <w:r w:rsidR="00AC517B" w:rsidRPr="00DC1628">
        <w:rPr>
          <w:b/>
          <w:noProof/>
          <w:sz w:val="24"/>
          <w:szCs w:val="24"/>
          <w:lang w:val="en-US"/>
        </w:rPr>
        <w:t>esentative</w:t>
      </w:r>
    </w:p>
    <w:p w14:paraId="56C6C024" w14:textId="77777777" w:rsidR="00BB7771" w:rsidRPr="00DC1628" w:rsidRDefault="00BB7771" w:rsidP="00BB7771">
      <w:pPr>
        <w:numPr>
          <w:ilvl w:val="12"/>
          <w:numId w:val="0"/>
        </w:numPr>
        <w:ind w:left="851" w:right="-2"/>
        <w:rPr>
          <w:noProof/>
          <w:sz w:val="24"/>
          <w:szCs w:val="24"/>
          <w:lang w:val="en-US"/>
        </w:rPr>
      </w:pPr>
      <w:r w:rsidRPr="00DC1628">
        <w:rPr>
          <w:noProof/>
          <w:sz w:val="24"/>
          <w:szCs w:val="24"/>
          <w:lang w:val="en-US"/>
        </w:rPr>
        <w:t>Teva Denmark A/S</w:t>
      </w:r>
    </w:p>
    <w:p w14:paraId="21C5F986" w14:textId="77777777" w:rsidR="00BB7771" w:rsidRPr="00DC1628" w:rsidRDefault="00BB7771" w:rsidP="00BB7771">
      <w:pPr>
        <w:numPr>
          <w:ilvl w:val="12"/>
          <w:numId w:val="0"/>
        </w:numPr>
        <w:ind w:left="851" w:right="-2"/>
        <w:rPr>
          <w:noProof/>
          <w:sz w:val="24"/>
          <w:szCs w:val="24"/>
          <w:lang w:val="en-US"/>
        </w:rPr>
      </w:pPr>
      <w:r w:rsidRPr="00DC1628">
        <w:rPr>
          <w:noProof/>
          <w:sz w:val="24"/>
          <w:szCs w:val="24"/>
          <w:lang w:val="en-US"/>
        </w:rPr>
        <w:t>Vandtårnsvej 83A</w:t>
      </w:r>
    </w:p>
    <w:p w14:paraId="4302585B" w14:textId="77777777" w:rsidR="00BB7771" w:rsidRPr="00DC1628" w:rsidRDefault="00BB7771" w:rsidP="00BB7771">
      <w:pPr>
        <w:numPr>
          <w:ilvl w:val="12"/>
          <w:numId w:val="0"/>
        </w:numPr>
        <w:ind w:left="851" w:right="-2"/>
        <w:rPr>
          <w:noProof/>
          <w:sz w:val="24"/>
          <w:szCs w:val="24"/>
          <w:lang w:val="en-US"/>
        </w:rPr>
      </w:pPr>
      <w:r w:rsidRPr="00DC1628">
        <w:rPr>
          <w:noProof/>
          <w:sz w:val="24"/>
          <w:szCs w:val="24"/>
          <w:lang w:val="en-US"/>
        </w:rPr>
        <w:t>2860 Søborg</w:t>
      </w:r>
    </w:p>
    <w:p w14:paraId="3B5655A6" w14:textId="77777777" w:rsidR="007C5D2A" w:rsidRPr="00DC1628" w:rsidRDefault="007C5D2A" w:rsidP="003E0341">
      <w:pPr>
        <w:tabs>
          <w:tab w:val="left" w:pos="851"/>
        </w:tabs>
        <w:ind w:left="851"/>
        <w:jc w:val="both"/>
        <w:rPr>
          <w:sz w:val="24"/>
          <w:szCs w:val="24"/>
          <w:lang w:val="en-GB"/>
        </w:rPr>
      </w:pPr>
    </w:p>
    <w:p w14:paraId="7A20888F" w14:textId="77777777" w:rsidR="007C5D2A" w:rsidRPr="00DC1628" w:rsidRDefault="007C5D2A" w:rsidP="007C5D2A">
      <w:pPr>
        <w:ind w:left="851" w:hanging="851"/>
        <w:jc w:val="both"/>
        <w:rPr>
          <w:b/>
          <w:sz w:val="24"/>
          <w:szCs w:val="24"/>
          <w:lang w:val="en-GB"/>
        </w:rPr>
      </w:pPr>
      <w:r w:rsidRPr="00DC1628">
        <w:rPr>
          <w:b/>
          <w:sz w:val="24"/>
          <w:szCs w:val="24"/>
          <w:lang w:val="en-GB"/>
        </w:rPr>
        <w:t>8.</w:t>
      </w:r>
      <w:r w:rsidRPr="00DC1628">
        <w:rPr>
          <w:b/>
          <w:sz w:val="24"/>
          <w:szCs w:val="24"/>
          <w:lang w:val="en-GB"/>
        </w:rPr>
        <w:tab/>
        <w:t>MARKETING AUTHORISATION NUMBER(S)</w:t>
      </w:r>
    </w:p>
    <w:p w14:paraId="7538BCC5" w14:textId="77777777" w:rsidR="00BB7771" w:rsidRPr="00DC1628" w:rsidRDefault="00BB7771" w:rsidP="00BB7771">
      <w:pPr>
        <w:ind w:left="851" w:hanging="851"/>
        <w:rPr>
          <w:sz w:val="24"/>
          <w:szCs w:val="24"/>
          <w:lang w:val="en-US"/>
        </w:rPr>
      </w:pPr>
      <w:r w:rsidRPr="00DC1628">
        <w:rPr>
          <w:sz w:val="24"/>
          <w:szCs w:val="24"/>
          <w:lang w:val="en-US"/>
        </w:rPr>
        <w:tab/>
        <w:t>53446</w:t>
      </w:r>
    </w:p>
    <w:p w14:paraId="715D1930" w14:textId="77777777" w:rsidR="007C5D2A" w:rsidRPr="00DC1628" w:rsidRDefault="007C5D2A" w:rsidP="00180A12">
      <w:pPr>
        <w:tabs>
          <w:tab w:val="left" w:pos="851"/>
        </w:tabs>
        <w:ind w:left="851"/>
        <w:jc w:val="both"/>
        <w:rPr>
          <w:sz w:val="24"/>
          <w:szCs w:val="24"/>
          <w:lang w:val="en-GB"/>
        </w:rPr>
      </w:pPr>
    </w:p>
    <w:p w14:paraId="1B9C38C8" w14:textId="77777777" w:rsidR="007C5D2A" w:rsidRPr="00DC1628" w:rsidRDefault="007C5D2A" w:rsidP="007C5D2A">
      <w:pPr>
        <w:tabs>
          <w:tab w:val="left" w:pos="851"/>
        </w:tabs>
        <w:jc w:val="both"/>
        <w:rPr>
          <w:sz w:val="24"/>
          <w:szCs w:val="24"/>
          <w:lang w:val="en-GB"/>
        </w:rPr>
      </w:pPr>
      <w:r w:rsidRPr="00DC1628">
        <w:rPr>
          <w:b/>
          <w:sz w:val="24"/>
          <w:szCs w:val="24"/>
          <w:lang w:val="en-GB"/>
        </w:rPr>
        <w:t>9.</w:t>
      </w:r>
      <w:r w:rsidRPr="00DC1628">
        <w:rPr>
          <w:b/>
          <w:sz w:val="24"/>
          <w:szCs w:val="24"/>
          <w:lang w:val="en-GB"/>
        </w:rPr>
        <w:tab/>
        <w:t>DATE OF FIRST AUTHORISATION</w:t>
      </w:r>
    </w:p>
    <w:p w14:paraId="2DA8A52C" w14:textId="600DE396" w:rsidR="00C04163" w:rsidRPr="00DC1628" w:rsidRDefault="00C04163" w:rsidP="00C04163">
      <w:pPr>
        <w:ind w:left="851" w:hanging="851"/>
        <w:rPr>
          <w:sz w:val="24"/>
          <w:szCs w:val="24"/>
          <w:lang w:val="en-US"/>
        </w:rPr>
      </w:pPr>
      <w:r w:rsidRPr="00DC1628">
        <w:rPr>
          <w:sz w:val="24"/>
          <w:szCs w:val="24"/>
          <w:lang w:val="en-US"/>
        </w:rPr>
        <w:tab/>
        <w:t xml:space="preserve">22 </w:t>
      </w:r>
      <w:r w:rsidR="00DF2766" w:rsidRPr="00DC1628">
        <w:rPr>
          <w:sz w:val="24"/>
          <w:szCs w:val="24"/>
          <w:lang w:val="en-US"/>
        </w:rPr>
        <w:t>May</w:t>
      </w:r>
      <w:r w:rsidRPr="00DC1628">
        <w:rPr>
          <w:sz w:val="24"/>
          <w:szCs w:val="24"/>
          <w:lang w:val="en-US"/>
        </w:rPr>
        <w:t xml:space="preserve"> 2015</w:t>
      </w:r>
    </w:p>
    <w:p w14:paraId="1B2E519C" w14:textId="77777777" w:rsidR="007C5D2A" w:rsidRPr="00DC1628" w:rsidRDefault="007C5D2A" w:rsidP="003E0341">
      <w:pPr>
        <w:tabs>
          <w:tab w:val="left" w:pos="851"/>
        </w:tabs>
        <w:ind w:left="851"/>
        <w:jc w:val="both"/>
        <w:rPr>
          <w:sz w:val="24"/>
          <w:szCs w:val="24"/>
          <w:lang w:val="en-GB"/>
        </w:rPr>
      </w:pPr>
    </w:p>
    <w:p w14:paraId="5AFD9B12" w14:textId="77777777" w:rsidR="007C5D2A" w:rsidRPr="00DC1628" w:rsidRDefault="007C5D2A" w:rsidP="007C5D2A">
      <w:pPr>
        <w:tabs>
          <w:tab w:val="left" w:pos="851"/>
        </w:tabs>
        <w:jc w:val="both"/>
        <w:rPr>
          <w:sz w:val="24"/>
          <w:szCs w:val="24"/>
          <w:lang w:val="en-GB"/>
        </w:rPr>
      </w:pPr>
      <w:r w:rsidRPr="00DC1628">
        <w:rPr>
          <w:b/>
          <w:sz w:val="24"/>
          <w:szCs w:val="24"/>
          <w:lang w:val="en-GB"/>
        </w:rPr>
        <w:t>10.</w:t>
      </w:r>
      <w:r w:rsidRPr="00DC1628">
        <w:rPr>
          <w:b/>
          <w:sz w:val="24"/>
          <w:szCs w:val="24"/>
          <w:lang w:val="en-GB"/>
        </w:rPr>
        <w:tab/>
        <w:t>DATE OF REVISION OF THE TEXT</w:t>
      </w:r>
    </w:p>
    <w:p w14:paraId="4E32F3BB" w14:textId="2EADDC9D" w:rsidR="007C5D2A" w:rsidRPr="00DC1628" w:rsidRDefault="00DC134B" w:rsidP="003E0341">
      <w:pPr>
        <w:tabs>
          <w:tab w:val="left" w:pos="851"/>
        </w:tabs>
        <w:ind w:left="851"/>
        <w:jc w:val="both"/>
        <w:rPr>
          <w:sz w:val="24"/>
          <w:szCs w:val="24"/>
          <w:lang w:val="en-GB"/>
        </w:rPr>
      </w:pPr>
      <w:r>
        <w:rPr>
          <w:sz w:val="24"/>
          <w:szCs w:val="24"/>
          <w:lang w:val="en-GB"/>
        </w:rPr>
        <w:t>11 March 2025</w:t>
      </w:r>
    </w:p>
    <w:sectPr w:rsidR="007C5D2A" w:rsidRPr="00DC1628" w:rsidSect="004A3BF4">
      <w:headerReference w:type="default" r:id="rId8"/>
      <w:footerReference w:type="default" r:id="rId9"/>
      <w:footerReference w:type="first" r:id="rId1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5075A" w14:textId="77777777" w:rsidR="00C83939" w:rsidRDefault="00C83939">
      <w:r>
        <w:separator/>
      </w:r>
    </w:p>
  </w:endnote>
  <w:endnote w:type="continuationSeparator" w:id="0">
    <w:p w14:paraId="54F8BC64" w14:textId="77777777" w:rsidR="00C83939" w:rsidRDefault="00C8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857BB" w14:textId="77777777" w:rsidR="00864538" w:rsidRDefault="00864538">
    <w:pPr>
      <w:pStyle w:val="Sidefod"/>
      <w:pBdr>
        <w:bottom w:val="single" w:sz="6" w:space="1" w:color="auto"/>
      </w:pBdr>
    </w:pPr>
  </w:p>
  <w:p w14:paraId="775A7347" w14:textId="77777777" w:rsidR="00864538" w:rsidRDefault="00864538">
    <w:pPr>
      <w:pStyle w:val="Sidefod"/>
      <w:tabs>
        <w:tab w:val="clear" w:pos="4819"/>
        <w:tab w:val="left" w:pos="8647"/>
      </w:tabs>
      <w:rPr>
        <w:i/>
        <w:snapToGrid w:val="0"/>
        <w:sz w:val="18"/>
      </w:rPr>
    </w:pPr>
  </w:p>
  <w:p w14:paraId="64055C88" w14:textId="09E824D1"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1F3F70">
      <w:rPr>
        <w:i/>
        <w:noProof/>
        <w:snapToGrid w:val="0"/>
        <w:sz w:val="18"/>
      </w:rPr>
      <w:t>Tinguri, syrup 1,5 mg-ml</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8412" w14:textId="77777777" w:rsidR="00864538" w:rsidRDefault="00864538">
    <w:pPr>
      <w:pStyle w:val="Sidefod"/>
      <w:pBdr>
        <w:bottom w:val="single" w:sz="6" w:space="1" w:color="auto"/>
      </w:pBdr>
      <w:tabs>
        <w:tab w:val="clear" w:pos="4819"/>
        <w:tab w:val="left" w:pos="8789"/>
      </w:tabs>
      <w:rPr>
        <w:i/>
        <w:snapToGrid w:val="0"/>
        <w:sz w:val="18"/>
      </w:rPr>
    </w:pPr>
  </w:p>
  <w:p w14:paraId="616E84DF" w14:textId="77777777" w:rsidR="00864538" w:rsidRDefault="00864538">
    <w:pPr>
      <w:pStyle w:val="Sidefod"/>
      <w:tabs>
        <w:tab w:val="clear" w:pos="4819"/>
        <w:tab w:val="left" w:pos="8789"/>
      </w:tabs>
      <w:rPr>
        <w:i/>
        <w:snapToGrid w:val="0"/>
        <w:sz w:val="18"/>
      </w:rPr>
    </w:pPr>
  </w:p>
  <w:p w14:paraId="67EC5326" w14:textId="77777777"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C83939">
      <w:rPr>
        <w:i/>
        <w:noProof/>
        <w:snapToGrid w:val="0"/>
        <w:sz w:val="18"/>
      </w:rPr>
      <w:t>Dokument1</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5A35E" w14:textId="77777777" w:rsidR="00C83939" w:rsidRDefault="00C83939">
      <w:r>
        <w:separator/>
      </w:r>
    </w:p>
  </w:footnote>
  <w:footnote w:type="continuationSeparator" w:id="0">
    <w:p w14:paraId="242AA18D" w14:textId="77777777" w:rsidR="00C83939" w:rsidRDefault="00C83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4F83" w14:textId="77777777" w:rsidR="00864538" w:rsidRDefault="000D3C9D">
    <w:pPr>
      <w:pStyle w:val="Sidehoved"/>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39"/>
    <w:rsid w:val="00035B2C"/>
    <w:rsid w:val="00056601"/>
    <w:rsid w:val="00075398"/>
    <w:rsid w:val="000C3846"/>
    <w:rsid w:val="000C6218"/>
    <w:rsid w:val="000D3C9D"/>
    <w:rsid w:val="000F0D47"/>
    <w:rsid w:val="001242DE"/>
    <w:rsid w:val="00180A12"/>
    <w:rsid w:val="001B7F19"/>
    <w:rsid w:val="001F3F70"/>
    <w:rsid w:val="00214331"/>
    <w:rsid w:val="00214CF4"/>
    <w:rsid w:val="00245D57"/>
    <w:rsid w:val="00281F03"/>
    <w:rsid w:val="0029458A"/>
    <w:rsid w:val="002A1587"/>
    <w:rsid w:val="002B27C5"/>
    <w:rsid w:val="00303008"/>
    <w:rsid w:val="003274C6"/>
    <w:rsid w:val="00373B55"/>
    <w:rsid w:val="003D727E"/>
    <w:rsid w:val="003E0341"/>
    <w:rsid w:val="003E3402"/>
    <w:rsid w:val="003F4736"/>
    <w:rsid w:val="00401B49"/>
    <w:rsid w:val="00421757"/>
    <w:rsid w:val="0042292D"/>
    <w:rsid w:val="004274EF"/>
    <w:rsid w:val="00440254"/>
    <w:rsid w:val="004860D3"/>
    <w:rsid w:val="004A3BF4"/>
    <w:rsid w:val="004A5DB3"/>
    <w:rsid w:val="00500962"/>
    <w:rsid w:val="005152D9"/>
    <w:rsid w:val="00533AD4"/>
    <w:rsid w:val="00534849"/>
    <w:rsid w:val="00560102"/>
    <w:rsid w:val="00562EA1"/>
    <w:rsid w:val="00617BB8"/>
    <w:rsid w:val="00680052"/>
    <w:rsid w:val="00683267"/>
    <w:rsid w:val="006844E9"/>
    <w:rsid w:val="006B3847"/>
    <w:rsid w:val="0075453D"/>
    <w:rsid w:val="007C3623"/>
    <w:rsid w:val="007C5D2A"/>
    <w:rsid w:val="007F1E00"/>
    <w:rsid w:val="008400E3"/>
    <w:rsid w:val="00864538"/>
    <w:rsid w:val="00873B4F"/>
    <w:rsid w:val="008E51AE"/>
    <w:rsid w:val="008F2F8C"/>
    <w:rsid w:val="00906FBB"/>
    <w:rsid w:val="009925C9"/>
    <w:rsid w:val="009F65F5"/>
    <w:rsid w:val="00A179D0"/>
    <w:rsid w:val="00A358A3"/>
    <w:rsid w:val="00A46747"/>
    <w:rsid w:val="00A80446"/>
    <w:rsid w:val="00A85D26"/>
    <w:rsid w:val="00A9153A"/>
    <w:rsid w:val="00AA1FD9"/>
    <w:rsid w:val="00AC033C"/>
    <w:rsid w:val="00AC517B"/>
    <w:rsid w:val="00AD2E36"/>
    <w:rsid w:val="00AF54ED"/>
    <w:rsid w:val="00B41FCC"/>
    <w:rsid w:val="00B8123A"/>
    <w:rsid w:val="00BB7771"/>
    <w:rsid w:val="00BD1C83"/>
    <w:rsid w:val="00BD3490"/>
    <w:rsid w:val="00C04163"/>
    <w:rsid w:val="00C26226"/>
    <w:rsid w:val="00C3571D"/>
    <w:rsid w:val="00C54F0B"/>
    <w:rsid w:val="00C82621"/>
    <w:rsid w:val="00C83939"/>
    <w:rsid w:val="00CB1423"/>
    <w:rsid w:val="00D02508"/>
    <w:rsid w:val="00D778CC"/>
    <w:rsid w:val="00D82FE9"/>
    <w:rsid w:val="00D91E17"/>
    <w:rsid w:val="00D97B77"/>
    <w:rsid w:val="00DB6A85"/>
    <w:rsid w:val="00DC134B"/>
    <w:rsid w:val="00DC1628"/>
    <w:rsid w:val="00DC5D83"/>
    <w:rsid w:val="00DF2766"/>
    <w:rsid w:val="00E06B32"/>
    <w:rsid w:val="00E1290F"/>
    <w:rsid w:val="00E36A80"/>
    <w:rsid w:val="00E70131"/>
    <w:rsid w:val="00EB21D7"/>
    <w:rsid w:val="00EB54F4"/>
    <w:rsid w:val="00EE3EB7"/>
    <w:rsid w:val="00F26159"/>
    <w:rsid w:val="00F31277"/>
    <w:rsid w:val="00F57E16"/>
    <w:rsid w:val="00F60336"/>
    <w:rsid w:val="00F738C0"/>
    <w:rsid w:val="00F92B1A"/>
    <w:rsid w:val="00FB22E7"/>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5B932"/>
  <w15:chartTrackingRefBased/>
  <w15:docId w15:val="{BD37AB8D-8160-4258-AD41-1032C3E6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uiPriority w:val="99"/>
    <w:semiHidden/>
    <w:unhideWhenUsed/>
    <w:rsid w:val="00500962"/>
    <w:rPr>
      <w:color w:val="0000FF"/>
      <w:u w:val="single"/>
    </w:rPr>
  </w:style>
  <w:style w:type="paragraph" w:styleId="NormalWeb">
    <w:name w:val="Normal (Web)"/>
    <w:basedOn w:val="Normal"/>
    <w:uiPriority w:val="99"/>
    <w:unhideWhenUsed/>
    <w:rsid w:val="00F31277"/>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9752">
      <w:bodyDiv w:val="1"/>
      <w:marLeft w:val="0"/>
      <w:marRight w:val="0"/>
      <w:marTop w:val="0"/>
      <w:marBottom w:val="0"/>
      <w:divBdr>
        <w:top w:val="none" w:sz="0" w:space="0" w:color="auto"/>
        <w:left w:val="none" w:sz="0" w:space="0" w:color="auto"/>
        <w:bottom w:val="none" w:sz="0" w:space="0" w:color="auto"/>
        <w:right w:val="none" w:sz="0" w:space="0" w:color="auto"/>
      </w:divBdr>
    </w:div>
    <w:div w:id="128981280">
      <w:bodyDiv w:val="1"/>
      <w:marLeft w:val="0"/>
      <w:marRight w:val="0"/>
      <w:marTop w:val="0"/>
      <w:marBottom w:val="0"/>
      <w:divBdr>
        <w:top w:val="none" w:sz="0" w:space="0" w:color="auto"/>
        <w:left w:val="none" w:sz="0" w:space="0" w:color="auto"/>
        <w:bottom w:val="none" w:sz="0" w:space="0" w:color="auto"/>
        <w:right w:val="none" w:sz="0" w:space="0" w:color="auto"/>
      </w:divBdr>
    </w:div>
    <w:div w:id="184907061">
      <w:bodyDiv w:val="1"/>
      <w:marLeft w:val="0"/>
      <w:marRight w:val="0"/>
      <w:marTop w:val="0"/>
      <w:marBottom w:val="0"/>
      <w:divBdr>
        <w:top w:val="none" w:sz="0" w:space="0" w:color="auto"/>
        <w:left w:val="none" w:sz="0" w:space="0" w:color="auto"/>
        <w:bottom w:val="none" w:sz="0" w:space="0" w:color="auto"/>
        <w:right w:val="none" w:sz="0" w:space="0" w:color="auto"/>
      </w:divBdr>
    </w:div>
    <w:div w:id="218906724">
      <w:bodyDiv w:val="1"/>
      <w:marLeft w:val="0"/>
      <w:marRight w:val="0"/>
      <w:marTop w:val="0"/>
      <w:marBottom w:val="0"/>
      <w:divBdr>
        <w:top w:val="none" w:sz="0" w:space="0" w:color="auto"/>
        <w:left w:val="none" w:sz="0" w:space="0" w:color="auto"/>
        <w:bottom w:val="none" w:sz="0" w:space="0" w:color="auto"/>
        <w:right w:val="none" w:sz="0" w:space="0" w:color="auto"/>
      </w:divBdr>
    </w:div>
    <w:div w:id="250478946">
      <w:bodyDiv w:val="1"/>
      <w:marLeft w:val="0"/>
      <w:marRight w:val="0"/>
      <w:marTop w:val="0"/>
      <w:marBottom w:val="0"/>
      <w:divBdr>
        <w:top w:val="none" w:sz="0" w:space="0" w:color="auto"/>
        <w:left w:val="none" w:sz="0" w:space="0" w:color="auto"/>
        <w:bottom w:val="none" w:sz="0" w:space="0" w:color="auto"/>
        <w:right w:val="none" w:sz="0" w:space="0" w:color="auto"/>
      </w:divBdr>
    </w:div>
    <w:div w:id="356077989">
      <w:bodyDiv w:val="1"/>
      <w:marLeft w:val="0"/>
      <w:marRight w:val="0"/>
      <w:marTop w:val="0"/>
      <w:marBottom w:val="0"/>
      <w:divBdr>
        <w:top w:val="none" w:sz="0" w:space="0" w:color="auto"/>
        <w:left w:val="none" w:sz="0" w:space="0" w:color="auto"/>
        <w:bottom w:val="none" w:sz="0" w:space="0" w:color="auto"/>
        <w:right w:val="none" w:sz="0" w:space="0" w:color="auto"/>
      </w:divBdr>
    </w:div>
    <w:div w:id="474376476">
      <w:bodyDiv w:val="1"/>
      <w:marLeft w:val="0"/>
      <w:marRight w:val="0"/>
      <w:marTop w:val="0"/>
      <w:marBottom w:val="0"/>
      <w:divBdr>
        <w:top w:val="none" w:sz="0" w:space="0" w:color="auto"/>
        <w:left w:val="none" w:sz="0" w:space="0" w:color="auto"/>
        <w:bottom w:val="none" w:sz="0" w:space="0" w:color="auto"/>
        <w:right w:val="none" w:sz="0" w:space="0" w:color="auto"/>
      </w:divBdr>
    </w:div>
    <w:div w:id="571618669">
      <w:bodyDiv w:val="1"/>
      <w:marLeft w:val="0"/>
      <w:marRight w:val="0"/>
      <w:marTop w:val="0"/>
      <w:marBottom w:val="0"/>
      <w:divBdr>
        <w:top w:val="none" w:sz="0" w:space="0" w:color="auto"/>
        <w:left w:val="none" w:sz="0" w:space="0" w:color="auto"/>
        <w:bottom w:val="none" w:sz="0" w:space="0" w:color="auto"/>
        <w:right w:val="none" w:sz="0" w:space="0" w:color="auto"/>
      </w:divBdr>
    </w:div>
    <w:div w:id="639269546">
      <w:bodyDiv w:val="1"/>
      <w:marLeft w:val="0"/>
      <w:marRight w:val="0"/>
      <w:marTop w:val="0"/>
      <w:marBottom w:val="0"/>
      <w:divBdr>
        <w:top w:val="none" w:sz="0" w:space="0" w:color="auto"/>
        <w:left w:val="none" w:sz="0" w:space="0" w:color="auto"/>
        <w:bottom w:val="none" w:sz="0" w:space="0" w:color="auto"/>
        <w:right w:val="none" w:sz="0" w:space="0" w:color="auto"/>
      </w:divBdr>
    </w:div>
    <w:div w:id="655063135">
      <w:bodyDiv w:val="1"/>
      <w:marLeft w:val="0"/>
      <w:marRight w:val="0"/>
      <w:marTop w:val="0"/>
      <w:marBottom w:val="0"/>
      <w:divBdr>
        <w:top w:val="none" w:sz="0" w:space="0" w:color="auto"/>
        <w:left w:val="none" w:sz="0" w:space="0" w:color="auto"/>
        <w:bottom w:val="none" w:sz="0" w:space="0" w:color="auto"/>
        <w:right w:val="none" w:sz="0" w:space="0" w:color="auto"/>
      </w:divBdr>
    </w:div>
    <w:div w:id="693071980">
      <w:bodyDiv w:val="1"/>
      <w:marLeft w:val="0"/>
      <w:marRight w:val="0"/>
      <w:marTop w:val="0"/>
      <w:marBottom w:val="0"/>
      <w:divBdr>
        <w:top w:val="none" w:sz="0" w:space="0" w:color="auto"/>
        <w:left w:val="none" w:sz="0" w:space="0" w:color="auto"/>
        <w:bottom w:val="none" w:sz="0" w:space="0" w:color="auto"/>
        <w:right w:val="none" w:sz="0" w:space="0" w:color="auto"/>
      </w:divBdr>
    </w:div>
    <w:div w:id="846411309">
      <w:bodyDiv w:val="1"/>
      <w:marLeft w:val="0"/>
      <w:marRight w:val="0"/>
      <w:marTop w:val="0"/>
      <w:marBottom w:val="0"/>
      <w:divBdr>
        <w:top w:val="none" w:sz="0" w:space="0" w:color="auto"/>
        <w:left w:val="none" w:sz="0" w:space="0" w:color="auto"/>
        <w:bottom w:val="none" w:sz="0" w:space="0" w:color="auto"/>
        <w:right w:val="none" w:sz="0" w:space="0" w:color="auto"/>
      </w:divBdr>
    </w:div>
    <w:div w:id="847258509">
      <w:bodyDiv w:val="1"/>
      <w:marLeft w:val="0"/>
      <w:marRight w:val="0"/>
      <w:marTop w:val="0"/>
      <w:marBottom w:val="0"/>
      <w:divBdr>
        <w:top w:val="none" w:sz="0" w:space="0" w:color="auto"/>
        <w:left w:val="none" w:sz="0" w:space="0" w:color="auto"/>
        <w:bottom w:val="none" w:sz="0" w:space="0" w:color="auto"/>
        <w:right w:val="none" w:sz="0" w:space="0" w:color="auto"/>
      </w:divBdr>
    </w:div>
    <w:div w:id="966158649">
      <w:bodyDiv w:val="1"/>
      <w:marLeft w:val="0"/>
      <w:marRight w:val="0"/>
      <w:marTop w:val="0"/>
      <w:marBottom w:val="0"/>
      <w:divBdr>
        <w:top w:val="none" w:sz="0" w:space="0" w:color="auto"/>
        <w:left w:val="none" w:sz="0" w:space="0" w:color="auto"/>
        <w:bottom w:val="none" w:sz="0" w:space="0" w:color="auto"/>
        <w:right w:val="none" w:sz="0" w:space="0" w:color="auto"/>
      </w:divBdr>
    </w:div>
    <w:div w:id="1061516653">
      <w:bodyDiv w:val="1"/>
      <w:marLeft w:val="0"/>
      <w:marRight w:val="0"/>
      <w:marTop w:val="0"/>
      <w:marBottom w:val="0"/>
      <w:divBdr>
        <w:top w:val="none" w:sz="0" w:space="0" w:color="auto"/>
        <w:left w:val="none" w:sz="0" w:space="0" w:color="auto"/>
        <w:bottom w:val="none" w:sz="0" w:space="0" w:color="auto"/>
        <w:right w:val="none" w:sz="0" w:space="0" w:color="auto"/>
      </w:divBdr>
    </w:div>
    <w:div w:id="1101996588">
      <w:bodyDiv w:val="1"/>
      <w:marLeft w:val="0"/>
      <w:marRight w:val="0"/>
      <w:marTop w:val="0"/>
      <w:marBottom w:val="0"/>
      <w:divBdr>
        <w:top w:val="none" w:sz="0" w:space="0" w:color="auto"/>
        <w:left w:val="none" w:sz="0" w:space="0" w:color="auto"/>
        <w:bottom w:val="none" w:sz="0" w:space="0" w:color="auto"/>
        <w:right w:val="none" w:sz="0" w:space="0" w:color="auto"/>
      </w:divBdr>
    </w:div>
    <w:div w:id="1187712695">
      <w:bodyDiv w:val="1"/>
      <w:marLeft w:val="0"/>
      <w:marRight w:val="0"/>
      <w:marTop w:val="0"/>
      <w:marBottom w:val="0"/>
      <w:divBdr>
        <w:top w:val="none" w:sz="0" w:space="0" w:color="auto"/>
        <w:left w:val="none" w:sz="0" w:space="0" w:color="auto"/>
        <w:bottom w:val="none" w:sz="0" w:space="0" w:color="auto"/>
        <w:right w:val="none" w:sz="0" w:space="0" w:color="auto"/>
      </w:divBdr>
    </w:div>
    <w:div w:id="1254431091">
      <w:bodyDiv w:val="1"/>
      <w:marLeft w:val="0"/>
      <w:marRight w:val="0"/>
      <w:marTop w:val="0"/>
      <w:marBottom w:val="0"/>
      <w:divBdr>
        <w:top w:val="none" w:sz="0" w:space="0" w:color="auto"/>
        <w:left w:val="none" w:sz="0" w:space="0" w:color="auto"/>
        <w:bottom w:val="none" w:sz="0" w:space="0" w:color="auto"/>
        <w:right w:val="none" w:sz="0" w:space="0" w:color="auto"/>
      </w:divBdr>
    </w:div>
    <w:div w:id="1291476199">
      <w:bodyDiv w:val="1"/>
      <w:marLeft w:val="0"/>
      <w:marRight w:val="0"/>
      <w:marTop w:val="0"/>
      <w:marBottom w:val="0"/>
      <w:divBdr>
        <w:top w:val="none" w:sz="0" w:space="0" w:color="auto"/>
        <w:left w:val="none" w:sz="0" w:space="0" w:color="auto"/>
        <w:bottom w:val="none" w:sz="0" w:space="0" w:color="auto"/>
        <w:right w:val="none" w:sz="0" w:space="0" w:color="auto"/>
      </w:divBdr>
    </w:div>
    <w:div w:id="1329552017">
      <w:bodyDiv w:val="1"/>
      <w:marLeft w:val="0"/>
      <w:marRight w:val="0"/>
      <w:marTop w:val="0"/>
      <w:marBottom w:val="0"/>
      <w:divBdr>
        <w:top w:val="none" w:sz="0" w:space="0" w:color="auto"/>
        <w:left w:val="none" w:sz="0" w:space="0" w:color="auto"/>
        <w:bottom w:val="none" w:sz="0" w:space="0" w:color="auto"/>
        <w:right w:val="none" w:sz="0" w:space="0" w:color="auto"/>
      </w:divBdr>
    </w:div>
    <w:div w:id="1331787607">
      <w:bodyDiv w:val="1"/>
      <w:marLeft w:val="0"/>
      <w:marRight w:val="0"/>
      <w:marTop w:val="0"/>
      <w:marBottom w:val="0"/>
      <w:divBdr>
        <w:top w:val="none" w:sz="0" w:space="0" w:color="auto"/>
        <w:left w:val="none" w:sz="0" w:space="0" w:color="auto"/>
        <w:bottom w:val="none" w:sz="0" w:space="0" w:color="auto"/>
        <w:right w:val="none" w:sz="0" w:space="0" w:color="auto"/>
      </w:divBdr>
    </w:div>
    <w:div w:id="1366560808">
      <w:bodyDiv w:val="1"/>
      <w:marLeft w:val="0"/>
      <w:marRight w:val="0"/>
      <w:marTop w:val="0"/>
      <w:marBottom w:val="0"/>
      <w:divBdr>
        <w:top w:val="none" w:sz="0" w:space="0" w:color="auto"/>
        <w:left w:val="none" w:sz="0" w:space="0" w:color="auto"/>
        <w:bottom w:val="none" w:sz="0" w:space="0" w:color="auto"/>
        <w:right w:val="none" w:sz="0" w:space="0" w:color="auto"/>
      </w:divBdr>
    </w:div>
    <w:div w:id="1509829871">
      <w:bodyDiv w:val="1"/>
      <w:marLeft w:val="0"/>
      <w:marRight w:val="0"/>
      <w:marTop w:val="0"/>
      <w:marBottom w:val="0"/>
      <w:divBdr>
        <w:top w:val="none" w:sz="0" w:space="0" w:color="auto"/>
        <w:left w:val="none" w:sz="0" w:space="0" w:color="auto"/>
        <w:bottom w:val="none" w:sz="0" w:space="0" w:color="auto"/>
        <w:right w:val="none" w:sz="0" w:space="0" w:color="auto"/>
      </w:divBdr>
    </w:div>
    <w:div w:id="1512839893">
      <w:bodyDiv w:val="1"/>
      <w:marLeft w:val="0"/>
      <w:marRight w:val="0"/>
      <w:marTop w:val="0"/>
      <w:marBottom w:val="0"/>
      <w:divBdr>
        <w:top w:val="none" w:sz="0" w:space="0" w:color="auto"/>
        <w:left w:val="none" w:sz="0" w:space="0" w:color="auto"/>
        <w:bottom w:val="none" w:sz="0" w:space="0" w:color="auto"/>
        <w:right w:val="none" w:sz="0" w:space="0" w:color="auto"/>
      </w:divBdr>
    </w:div>
    <w:div w:id="1588659403">
      <w:bodyDiv w:val="1"/>
      <w:marLeft w:val="0"/>
      <w:marRight w:val="0"/>
      <w:marTop w:val="0"/>
      <w:marBottom w:val="0"/>
      <w:divBdr>
        <w:top w:val="none" w:sz="0" w:space="0" w:color="auto"/>
        <w:left w:val="none" w:sz="0" w:space="0" w:color="auto"/>
        <w:bottom w:val="none" w:sz="0" w:space="0" w:color="auto"/>
        <w:right w:val="none" w:sz="0" w:space="0" w:color="auto"/>
      </w:divBdr>
    </w:div>
    <w:div w:id="1678653857">
      <w:bodyDiv w:val="1"/>
      <w:marLeft w:val="0"/>
      <w:marRight w:val="0"/>
      <w:marTop w:val="0"/>
      <w:marBottom w:val="0"/>
      <w:divBdr>
        <w:top w:val="none" w:sz="0" w:space="0" w:color="auto"/>
        <w:left w:val="none" w:sz="0" w:space="0" w:color="auto"/>
        <w:bottom w:val="none" w:sz="0" w:space="0" w:color="auto"/>
        <w:right w:val="none" w:sz="0" w:space="0" w:color="auto"/>
      </w:divBdr>
    </w:div>
    <w:div w:id="1772237429">
      <w:bodyDiv w:val="1"/>
      <w:marLeft w:val="0"/>
      <w:marRight w:val="0"/>
      <w:marTop w:val="0"/>
      <w:marBottom w:val="0"/>
      <w:divBdr>
        <w:top w:val="none" w:sz="0" w:space="0" w:color="auto"/>
        <w:left w:val="none" w:sz="0" w:space="0" w:color="auto"/>
        <w:bottom w:val="none" w:sz="0" w:space="0" w:color="auto"/>
        <w:right w:val="none" w:sz="0" w:space="0" w:color="auto"/>
      </w:divBdr>
    </w:div>
    <w:div w:id="1791167255">
      <w:bodyDiv w:val="1"/>
      <w:marLeft w:val="0"/>
      <w:marRight w:val="0"/>
      <w:marTop w:val="0"/>
      <w:marBottom w:val="0"/>
      <w:divBdr>
        <w:top w:val="none" w:sz="0" w:space="0" w:color="auto"/>
        <w:left w:val="none" w:sz="0" w:space="0" w:color="auto"/>
        <w:bottom w:val="none" w:sz="0" w:space="0" w:color="auto"/>
        <w:right w:val="none" w:sz="0" w:space="0" w:color="auto"/>
      </w:divBdr>
    </w:div>
    <w:div w:id="1792355697">
      <w:bodyDiv w:val="1"/>
      <w:marLeft w:val="0"/>
      <w:marRight w:val="0"/>
      <w:marTop w:val="0"/>
      <w:marBottom w:val="0"/>
      <w:divBdr>
        <w:top w:val="none" w:sz="0" w:space="0" w:color="auto"/>
        <w:left w:val="none" w:sz="0" w:space="0" w:color="auto"/>
        <w:bottom w:val="none" w:sz="0" w:space="0" w:color="auto"/>
        <w:right w:val="none" w:sz="0" w:space="0" w:color="auto"/>
      </w:divBdr>
    </w:div>
    <w:div w:id="1839345102">
      <w:bodyDiv w:val="1"/>
      <w:marLeft w:val="0"/>
      <w:marRight w:val="0"/>
      <w:marTop w:val="0"/>
      <w:marBottom w:val="0"/>
      <w:divBdr>
        <w:top w:val="none" w:sz="0" w:space="0" w:color="auto"/>
        <w:left w:val="none" w:sz="0" w:space="0" w:color="auto"/>
        <w:bottom w:val="none" w:sz="0" w:space="0" w:color="auto"/>
        <w:right w:val="none" w:sz="0" w:space="0" w:color="auto"/>
      </w:divBdr>
    </w:div>
    <w:div w:id="1910383161">
      <w:bodyDiv w:val="1"/>
      <w:marLeft w:val="0"/>
      <w:marRight w:val="0"/>
      <w:marTop w:val="0"/>
      <w:marBottom w:val="0"/>
      <w:divBdr>
        <w:top w:val="none" w:sz="0" w:space="0" w:color="auto"/>
        <w:left w:val="none" w:sz="0" w:space="0" w:color="auto"/>
        <w:bottom w:val="none" w:sz="0" w:space="0" w:color="auto"/>
        <w:right w:val="none" w:sz="0" w:space="0" w:color="auto"/>
      </w:divBdr>
    </w:div>
    <w:div w:id="1938293647">
      <w:bodyDiv w:val="1"/>
      <w:marLeft w:val="0"/>
      <w:marRight w:val="0"/>
      <w:marTop w:val="0"/>
      <w:marBottom w:val="0"/>
      <w:divBdr>
        <w:top w:val="none" w:sz="0" w:space="0" w:color="auto"/>
        <w:left w:val="none" w:sz="0" w:space="0" w:color="auto"/>
        <w:bottom w:val="none" w:sz="0" w:space="0" w:color="auto"/>
        <w:right w:val="none" w:sz="0" w:space="0" w:color="auto"/>
      </w:divBdr>
    </w:div>
    <w:div w:id="2024740916">
      <w:bodyDiv w:val="1"/>
      <w:marLeft w:val="0"/>
      <w:marRight w:val="0"/>
      <w:marTop w:val="0"/>
      <w:marBottom w:val="0"/>
      <w:divBdr>
        <w:top w:val="none" w:sz="0" w:space="0" w:color="auto"/>
        <w:left w:val="none" w:sz="0" w:space="0" w:color="auto"/>
        <w:bottom w:val="none" w:sz="0" w:space="0" w:color="auto"/>
        <w:right w:val="none" w:sz="0" w:space="0" w:color="auto"/>
      </w:divBdr>
    </w:div>
    <w:div w:id="2036156390">
      <w:bodyDiv w:val="1"/>
      <w:marLeft w:val="0"/>
      <w:marRight w:val="0"/>
      <w:marTop w:val="0"/>
      <w:marBottom w:val="0"/>
      <w:divBdr>
        <w:top w:val="none" w:sz="0" w:space="0" w:color="auto"/>
        <w:left w:val="none" w:sz="0" w:space="0" w:color="auto"/>
        <w:bottom w:val="none" w:sz="0" w:space="0" w:color="auto"/>
        <w:right w:val="none" w:sz="0" w:space="0" w:color="auto"/>
      </w:divBdr>
    </w:div>
    <w:div w:id="212600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1659</Words>
  <Characters>9726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2024092897 , var. 12, pkt. 4.2, 4,4, 4.6, 4.9</dc:description>
  <cp:lastModifiedBy>Gitte Jørgensen</cp:lastModifiedBy>
  <cp:revision>6</cp:revision>
  <cp:lastPrinted>2006-02-24T09:31:00Z</cp:lastPrinted>
  <dcterms:created xsi:type="dcterms:W3CDTF">2025-03-11T10:10:00Z</dcterms:created>
  <dcterms:modified xsi:type="dcterms:W3CDTF">2025-03-11T10:20:00Z</dcterms:modified>
</cp:coreProperties>
</file>