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F6" w:rsidRDefault="009F6AF6" w:rsidP="009F6AF6">
      <w:r>
        <w:rPr>
          <w:b/>
          <w:noProof/>
          <w:lang w:eastAsia="da-DK"/>
        </w:rPr>
        <w:drawing>
          <wp:inline distT="0" distB="0" distL="0" distR="0" wp14:anchorId="031786BB" wp14:editId="389856C7">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F6AF6" w:rsidRDefault="009F6AF6" w:rsidP="009F6AF6">
      <w:pPr>
        <w:pStyle w:val="Titel"/>
        <w:tabs>
          <w:tab w:val="right" w:pos="9356"/>
        </w:tabs>
        <w:jc w:val="left"/>
        <w:rPr>
          <w:b w:val="0"/>
          <w:sz w:val="23"/>
          <w:lang w:eastAsia="en-US"/>
        </w:rPr>
      </w:pPr>
      <w:r>
        <w:rPr>
          <w:b w:val="0"/>
          <w:sz w:val="23"/>
          <w:lang w:eastAsia="en-US"/>
        </w:rPr>
        <w:tab/>
      </w:r>
    </w:p>
    <w:p w:rsidR="009F6AF6" w:rsidRDefault="009F6AF6" w:rsidP="009F6AF6">
      <w:pPr>
        <w:pStyle w:val="Titel"/>
        <w:tabs>
          <w:tab w:val="right" w:pos="9356"/>
        </w:tabs>
        <w:jc w:val="left"/>
        <w:rPr>
          <w:b w:val="0"/>
          <w:sz w:val="23"/>
          <w:lang w:eastAsia="en-US"/>
        </w:rPr>
      </w:pPr>
    </w:p>
    <w:p w:rsidR="009F6AF6" w:rsidRPr="0093258A" w:rsidRDefault="00877D71" w:rsidP="009F6AF6">
      <w:pPr>
        <w:pStyle w:val="Titel"/>
        <w:tabs>
          <w:tab w:val="right" w:pos="9356"/>
        </w:tabs>
        <w:jc w:val="right"/>
        <w:rPr>
          <w:szCs w:val="24"/>
        </w:rPr>
      </w:pPr>
      <w:r>
        <w:rPr>
          <w:szCs w:val="24"/>
        </w:rPr>
        <w:t>30</w:t>
      </w:r>
      <w:r w:rsidR="00A11122">
        <w:rPr>
          <w:szCs w:val="24"/>
        </w:rPr>
        <w:t>. juni 2020</w:t>
      </w:r>
    </w:p>
    <w:p w:rsidR="009F6AF6" w:rsidRDefault="009F6AF6" w:rsidP="009F6AF6">
      <w:pPr>
        <w:pStyle w:val="Titel"/>
        <w:tabs>
          <w:tab w:val="left" w:pos="8222"/>
        </w:tabs>
        <w:jc w:val="left"/>
        <w:rPr>
          <w:b w:val="0"/>
        </w:rPr>
      </w:pPr>
    </w:p>
    <w:p w:rsidR="009F6AF6" w:rsidRDefault="009F6AF6" w:rsidP="009F6AF6">
      <w:pPr>
        <w:pStyle w:val="Titel"/>
        <w:jc w:val="left"/>
        <w:rPr>
          <w:b w:val="0"/>
        </w:rPr>
      </w:pPr>
    </w:p>
    <w:p w:rsidR="009F6AF6" w:rsidRDefault="009F6AF6" w:rsidP="009F6AF6">
      <w:pPr>
        <w:pStyle w:val="Titel"/>
        <w:jc w:val="left"/>
        <w:rPr>
          <w:b w:val="0"/>
        </w:rPr>
      </w:pPr>
    </w:p>
    <w:p w:rsidR="009F6AF6" w:rsidRDefault="009F6AF6" w:rsidP="009F6AF6">
      <w:pPr>
        <w:pStyle w:val="Titel"/>
        <w:jc w:val="left"/>
        <w:rPr>
          <w:b w:val="0"/>
        </w:rPr>
      </w:pPr>
    </w:p>
    <w:p w:rsidR="009F6AF6" w:rsidRPr="00EC0B9B" w:rsidRDefault="009F6AF6" w:rsidP="009F6AF6">
      <w:pPr>
        <w:jc w:val="center"/>
        <w:rPr>
          <w:b/>
          <w:sz w:val="24"/>
          <w:szCs w:val="24"/>
        </w:rPr>
      </w:pPr>
      <w:r w:rsidRPr="00EC0B9B">
        <w:rPr>
          <w:b/>
          <w:sz w:val="24"/>
          <w:szCs w:val="24"/>
        </w:rPr>
        <w:t>PRODUKTRESUMÉ</w:t>
      </w:r>
    </w:p>
    <w:p w:rsidR="009F6AF6" w:rsidRPr="00EC0B9B" w:rsidRDefault="009F6AF6" w:rsidP="009F6AF6">
      <w:pPr>
        <w:jc w:val="center"/>
        <w:rPr>
          <w:b/>
          <w:sz w:val="24"/>
          <w:szCs w:val="24"/>
        </w:rPr>
      </w:pPr>
    </w:p>
    <w:p w:rsidR="009F6AF6" w:rsidRPr="00EC0B9B" w:rsidRDefault="003D3D90" w:rsidP="003D3D90">
      <w:pPr>
        <w:tabs>
          <w:tab w:val="center" w:pos="4819"/>
        </w:tabs>
        <w:rPr>
          <w:b/>
          <w:sz w:val="24"/>
          <w:szCs w:val="24"/>
        </w:rPr>
      </w:pPr>
      <w:r>
        <w:rPr>
          <w:b/>
          <w:sz w:val="24"/>
          <w:szCs w:val="24"/>
        </w:rPr>
        <w:tab/>
      </w:r>
      <w:r w:rsidR="009F6AF6" w:rsidRPr="00EC0B9B">
        <w:rPr>
          <w:b/>
          <w:sz w:val="24"/>
          <w:szCs w:val="24"/>
        </w:rPr>
        <w:t>for</w:t>
      </w:r>
    </w:p>
    <w:p w:rsidR="009F6AF6" w:rsidRPr="00EC0B9B" w:rsidRDefault="009F6AF6" w:rsidP="009F6AF6">
      <w:pPr>
        <w:jc w:val="center"/>
        <w:rPr>
          <w:b/>
          <w:sz w:val="24"/>
          <w:szCs w:val="24"/>
        </w:rPr>
      </w:pPr>
    </w:p>
    <w:p w:rsidR="009F6AF6" w:rsidRPr="0049104B" w:rsidRDefault="009F6AF6" w:rsidP="009F6AF6">
      <w:pPr>
        <w:jc w:val="center"/>
        <w:rPr>
          <w:b/>
          <w:sz w:val="24"/>
          <w:szCs w:val="24"/>
        </w:rPr>
      </w:pPr>
      <w:proofErr w:type="spellStart"/>
      <w:r>
        <w:rPr>
          <w:b/>
          <w:sz w:val="24"/>
          <w:szCs w:val="24"/>
        </w:rPr>
        <w:t>Tolterodine</w:t>
      </w:r>
      <w:proofErr w:type="spellEnd"/>
      <w:r>
        <w:rPr>
          <w:b/>
          <w:sz w:val="24"/>
          <w:szCs w:val="24"/>
        </w:rPr>
        <w:t xml:space="preserve"> ”Sandoz”, hårde depotkapsler</w:t>
      </w:r>
    </w:p>
    <w:p w:rsidR="009F6AF6" w:rsidRPr="00EC0B9B" w:rsidRDefault="009F6AF6" w:rsidP="009F6AF6">
      <w:pPr>
        <w:jc w:val="both"/>
        <w:rPr>
          <w:sz w:val="24"/>
          <w:szCs w:val="24"/>
        </w:rPr>
      </w:pPr>
    </w:p>
    <w:p w:rsidR="009F6AF6" w:rsidRPr="008048D6" w:rsidRDefault="009F6AF6" w:rsidP="009F6AF6">
      <w:pPr>
        <w:ind w:left="851" w:hanging="851"/>
        <w:jc w:val="both"/>
        <w:rPr>
          <w:sz w:val="24"/>
          <w:szCs w:val="24"/>
        </w:rPr>
      </w:pPr>
    </w:p>
    <w:p w:rsidR="009F6AF6" w:rsidRPr="008048D6" w:rsidRDefault="009F6AF6" w:rsidP="009F6AF6">
      <w:pPr>
        <w:numPr>
          <w:ilvl w:val="0"/>
          <w:numId w:val="1"/>
        </w:numPr>
        <w:tabs>
          <w:tab w:val="clear" w:pos="855"/>
        </w:tabs>
        <w:ind w:left="851" w:hanging="851"/>
        <w:rPr>
          <w:b/>
          <w:sz w:val="24"/>
          <w:szCs w:val="24"/>
        </w:rPr>
      </w:pPr>
      <w:r w:rsidRPr="008048D6">
        <w:rPr>
          <w:b/>
          <w:sz w:val="24"/>
          <w:szCs w:val="24"/>
        </w:rPr>
        <w:t>D.SP.NR.</w:t>
      </w:r>
    </w:p>
    <w:p w:rsidR="009F6AF6" w:rsidRPr="008048D6" w:rsidRDefault="009F6AF6" w:rsidP="009F6AF6">
      <w:pPr>
        <w:ind w:left="851" w:hanging="851"/>
        <w:rPr>
          <w:sz w:val="24"/>
          <w:szCs w:val="24"/>
        </w:rPr>
      </w:pPr>
      <w:r w:rsidRPr="008048D6">
        <w:rPr>
          <w:sz w:val="24"/>
          <w:szCs w:val="24"/>
        </w:rPr>
        <w:tab/>
        <w:t>27579</w:t>
      </w:r>
    </w:p>
    <w:p w:rsidR="009F6AF6" w:rsidRPr="008048D6" w:rsidRDefault="009F6AF6" w:rsidP="009F6AF6">
      <w:pPr>
        <w:ind w:left="851" w:hanging="851"/>
        <w:rPr>
          <w:sz w:val="24"/>
          <w:szCs w:val="24"/>
        </w:rPr>
      </w:pPr>
    </w:p>
    <w:p w:rsidR="009F6AF6" w:rsidRPr="008048D6" w:rsidRDefault="009F6AF6" w:rsidP="009F6AF6">
      <w:pPr>
        <w:numPr>
          <w:ilvl w:val="0"/>
          <w:numId w:val="1"/>
        </w:numPr>
        <w:tabs>
          <w:tab w:val="clear" w:pos="855"/>
        </w:tabs>
        <w:ind w:left="851" w:hanging="851"/>
        <w:rPr>
          <w:b/>
          <w:sz w:val="24"/>
          <w:szCs w:val="24"/>
        </w:rPr>
      </w:pPr>
      <w:r w:rsidRPr="008048D6">
        <w:rPr>
          <w:b/>
          <w:sz w:val="24"/>
          <w:szCs w:val="24"/>
        </w:rPr>
        <w:t>LÆGEMIDLETS NAVN</w:t>
      </w:r>
    </w:p>
    <w:p w:rsidR="00F133D1" w:rsidRPr="008048D6" w:rsidRDefault="009F6AF6" w:rsidP="00F133D1">
      <w:pPr>
        <w:ind w:left="851" w:hanging="851"/>
        <w:rPr>
          <w:sz w:val="24"/>
          <w:szCs w:val="24"/>
        </w:rPr>
      </w:pPr>
      <w:r>
        <w:rPr>
          <w:sz w:val="24"/>
          <w:szCs w:val="24"/>
        </w:rPr>
        <w:tab/>
      </w:r>
      <w:proofErr w:type="spellStart"/>
      <w:r w:rsidR="00F133D1" w:rsidRPr="008048D6">
        <w:rPr>
          <w:sz w:val="24"/>
          <w:szCs w:val="24"/>
        </w:rPr>
        <w:t>Tolterodine</w:t>
      </w:r>
      <w:proofErr w:type="spellEnd"/>
      <w:r w:rsidR="00F133D1" w:rsidRPr="008048D6">
        <w:rPr>
          <w:sz w:val="24"/>
          <w:szCs w:val="24"/>
        </w:rPr>
        <w:t xml:space="preserve"> ”Sandoz”</w:t>
      </w:r>
      <w:r w:rsidR="00F133D1">
        <w:rPr>
          <w:sz w:val="24"/>
          <w:szCs w:val="24"/>
        </w:rPr>
        <w:t xml:space="preserve"> </w:t>
      </w:r>
    </w:p>
    <w:p w:rsidR="009F6AF6" w:rsidRPr="008048D6" w:rsidRDefault="009F6AF6" w:rsidP="009F6AF6">
      <w:pPr>
        <w:ind w:left="851" w:hanging="851"/>
        <w:rPr>
          <w:sz w:val="24"/>
          <w:szCs w:val="24"/>
        </w:rPr>
      </w:pPr>
      <w:r w:rsidRPr="008048D6">
        <w:rPr>
          <w:sz w:val="24"/>
          <w:szCs w:val="24"/>
        </w:rPr>
        <w:tab/>
      </w:r>
    </w:p>
    <w:p w:rsidR="009F6AF6" w:rsidRPr="008048D6" w:rsidRDefault="009F6AF6" w:rsidP="009F6AF6">
      <w:pPr>
        <w:numPr>
          <w:ilvl w:val="0"/>
          <w:numId w:val="1"/>
        </w:numPr>
        <w:tabs>
          <w:tab w:val="clear" w:pos="855"/>
        </w:tabs>
        <w:ind w:left="851" w:hanging="851"/>
        <w:rPr>
          <w:b/>
          <w:sz w:val="24"/>
          <w:szCs w:val="24"/>
        </w:rPr>
      </w:pPr>
      <w:r w:rsidRPr="008048D6">
        <w:rPr>
          <w:b/>
          <w:sz w:val="24"/>
          <w:szCs w:val="24"/>
        </w:rPr>
        <w:t>KVALITATIV OG KVANTITATIV SAMMENSÆTNING</w:t>
      </w:r>
    </w:p>
    <w:p w:rsidR="00F133D1" w:rsidRPr="00E77D14" w:rsidRDefault="009F6AF6" w:rsidP="00F133D1">
      <w:pPr>
        <w:ind w:left="851" w:hanging="851"/>
        <w:rPr>
          <w:sz w:val="24"/>
          <w:szCs w:val="24"/>
        </w:rPr>
      </w:pPr>
      <w:r w:rsidRPr="00E77D14">
        <w:rPr>
          <w:sz w:val="24"/>
          <w:szCs w:val="24"/>
        </w:rPr>
        <w:tab/>
      </w:r>
      <w:r w:rsidR="00F133D1">
        <w:rPr>
          <w:sz w:val="24"/>
          <w:szCs w:val="24"/>
        </w:rPr>
        <w:t>Hver</w:t>
      </w:r>
      <w:r w:rsidR="00F133D1" w:rsidRPr="00E77D14">
        <w:rPr>
          <w:sz w:val="24"/>
          <w:szCs w:val="24"/>
        </w:rPr>
        <w:t xml:space="preserve"> </w:t>
      </w:r>
      <w:r w:rsidR="00F133D1">
        <w:rPr>
          <w:sz w:val="24"/>
          <w:szCs w:val="24"/>
        </w:rPr>
        <w:t xml:space="preserve">hård </w:t>
      </w:r>
      <w:r w:rsidR="00F133D1" w:rsidRPr="00E77D14">
        <w:rPr>
          <w:sz w:val="24"/>
          <w:szCs w:val="24"/>
        </w:rPr>
        <w:t xml:space="preserve">depotkapsel indeholder 2 mg </w:t>
      </w:r>
      <w:proofErr w:type="spellStart"/>
      <w:r w:rsidR="00F133D1" w:rsidRPr="00E77D14">
        <w:rPr>
          <w:sz w:val="24"/>
          <w:szCs w:val="24"/>
        </w:rPr>
        <w:t>tolterodintartrat</w:t>
      </w:r>
      <w:proofErr w:type="spellEnd"/>
      <w:r w:rsidR="00F133D1" w:rsidRPr="00E77D14">
        <w:rPr>
          <w:sz w:val="24"/>
          <w:szCs w:val="24"/>
        </w:rPr>
        <w:t>.</w:t>
      </w:r>
    </w:p>
    <w:p w:rsidR="00F133D1" w:rsidRPr="00E77D14" w:rsidRDefault="00F133D1" w:rsidP="00F133D1">
      <w:pPr>
        <w:ind w:left="851" w:hanging="851"/>
        <w:rPr>
          <w:sz w:val="24"/>
          <w:szCs w:val="24"/>
        </w:rPr>
      </w:pPr>
      <w:r w:rsidRPr="00E77D14">
        <w:rPr>
          <w:sz w:val="24"/>
          <w:szCs w:val="24"/>
        </w:rPr>
        <w:tab/>
      </w:r>
      <w:r>
        <w:rPr>
          <w:sz w:val="24"/>
          <w:szCs w:val="24"/>
        </w:rPr>
        <w:t>Hver</w:t>
      </w:r>
      <w:r w:rsidRPr="00E77D14">
        <w:rPr>
          <w:sz w:val="24"/>
          <w:szCs w:val="24"/>
        </w:rPr>
        <w:t xml:space="preserve"> </w:t>
      </w:r>
      <w:r>
        <w:rPr>
          <w:sz w:val="24"/>
          <w:szCs w:val="24"/>
        </w:rPr>
        <w:t xml:space="preserve">hård </w:t>
      </w:r>
      <w:r w:rsidRPr="00E77D14">
        <w:rPr>
          <w:sz w:val="24"/>
          <w:szCs w:val="24"/>
        </w:rPr>
        <w:t xml:space="preserve">depotkapsel indeholder 4 mg </w:t>
      </w:r>
      <w:proofErr w:type="spellStart"/>
      <w:r w:rsidRPr="00E77D14">
        <w:rPr>
          <w:sz w:val="24"/>
          <w:szCs w:val="24"/>
        </w:rPr>
        <w:t>tolterodintartrat</w:t>
      </w:r>
      <w:proofErr w:type="spellEnd"/>
      <w:r w:rsidRPr="00E77D14">
        <w:rPr>
          <w:sz w:val="24"/>
          <w:szCs w:val="24"/>
        </w:rPr>
        <w:t>.</w:t>
      </w:r>
    </w:p>
    <w:p w:rsidR="00F133D1" w:rsidRPr="00E77D14" w:rsidRDefault="00F133D1" w:rsidP="00F133D1">
      <w:pPr>
        <w:ind w:left="851" w:hanging="851"/>
        <w:rPr>
          <w:color w:val="000000" w:themeColor="text1"/>
          <w:sz w:val="24"/>
          <w:szCs w:val="24"/>
        </w:rPr>
      </w:pPr>
    </w:p>
    <w:p w:rsidR="00F133D1" w:rsidRPr="00E77D14" w:rsidRDefault="00F133D1" w:rsidP="00F133D1">
      <w:pPr>
        <w:ind w:left="851"/>
        <w:rPr>
          <w:color w:val="000000" w:themeColor="text1"/>
          <w:sz w:val="24"/>
          <w:szCs w:val="24"/>
          <w:u w:val="single"/>
        </w:rPr>
      </w:pPr>
      <w:r w:rsidRPr="00E77D14">
        <w:rPr>
          <w:sz w:val="24"/>
          <w:szCs w:val="24"/>
          <w:u w:val="single"/>
        </w:rPr>
        <w:t>Hjælpestof, som behandleren skal være opmærksom på:</w:t>
      </w:r>
    </w:p>
    <w:p w:rsidR="00F133D1" w:rsidRPr="00E77D14" w:rsidRDefault="00F133D1" w:rsidP="00F133D1">
      <w:pPr>
        <w:rPr>
          <w:sz w:val="24"/>
          <w:szCs w:val="24"/>
        </w:rPr>
      </w:pPr>
    </w:p>
    <w:p w:rsidR="00F133D1" w:rsidRPr="00E77D14" w:rsidRDefault="00F133D1" w:rsidP="00F133D1">
      <w:pPr>
        <w:ind w:left="851" w:hanging="851"/>
        <w:rPr>
          <w:sz w:val="24"/>
          <w:szCs w:val="24"/>
        </w:rPr>
      </w:pPr>
      <w:r w:rsidRPr="00E77D14">
        <w:rPr>
          <w:sz w:val="24"/>
          <w:szCs w:val="24"/>
        </w:rPr>
        <w:tab/>
        <w:t>Hver 2 mg</w:t>
      </w:r>
      <w:r>
        <w:rPr>
          <w:sz w:val="24"/>
          <w:szCs w:val="24"/>
        </w:rPr>
        <w:t xml:space="preserve"> hård</w:t>
      </w:r>
      <w:r w:rsidRPr="00E77D14">
        <w:rPr>
          <w:sz w:val="24"/>
          <w:szCs w:val="24"/>
        </w:rPr>
        <w:t xml:space="preserve"> depotkapsel indeholder </w:t>
      </w:r>
      <w:r>
        <w:rPr>
          <w:sz w:val="24"/>
          <w:szCs w:val="24"/>
        </w:rPr>
        <w:t xml:space="preserve">op til 32,8 mg </w:t>
      </w:r>
      <w:proofErr w:type="spellStart"/>
      <w:r w:rsidRPr="00E77D14">
        <w:rPr>
          <w:sz w:val="24"/>
          <w:szCs w:val="24"/>
        </w:rPr>
        <w:t>lactose</w:t>
      </w:r>
      <w:proofErr w:type="spellEnd"/>
      <w:r>
        <w:rPr>
          <w:sz w:val="24"/>
          <w:szCs w:val="24"/>
        </w:rPr>
        <w:t xml:space="preserve"> (som </w:t>
      </w:r>
      <w:r w:rsidRPr="00E77D14">
        <w:rPr>
          <w:sz w:val="24"/>
          <w:szCs w:val="24"/>
        </w:rPr>
        <w:t>monohydrat</w:t>
      </w:r>
      <w:r>
        <w:rPr>
          <w:sz w:val="24"/>
          <w:szCs w:val="24"/>
        </w:rPr>
        <w:t>)</w:t>
      </w:r>
      <w:r w:rsidRPr="00E77D14">
        <w:rPr>
          <w:sz w:val="24"/>
          <w:szCs w:val="24"/>
        </w:rPr>
        <w:t>.</w:t>
      </w:r>
    </w:p>
    <w:p w:rsidR="00F133D1" w:rsidRPr="00E77D14" w:rsidRDefault="00F133D1" w:rsidP="00F133D1">
      <w:pPr>
        <w:ind w:left="851" w:hanging="851"/>
        <w:rPr>
          <w:sz w:val="24"/>
          <w:szCs w:val="24"/>
        </w:rPr>
      </w:pPr>
      <w:r w:rsidRPr="00E77D14">
        <w:rPr>
          <w:sz w:val="24"/>
          <w:szCs w:val="24"/>
        </w:rPr>
        <w:tab/>
        <w:t xml:space="preserve">Hver 4 mg </w:t>
      </w:r>
      <w:r>
        <w:rPr>
          <w:sz w:val="24"/>
          <w:szCs w:val="24"/>
        </w:rPr>
        <w:t xml:space="preserve">hård </w:t>
      </w:r>
      <w:r w:rsidRPr="00E77D14">
        <w:rPr>
          <w:sz w:val="24"/>
          <w:szCs w:val="24"/>
        </w:rPr>
        <w:t xml:space="preserve">depotkapsel indeholder </w:t>
      </w:r>
      <w:r>
        <w:rPr>
          <w:sz w:val="24"/>
          <w:szCs w:val="24"/>
        </w:rPr>
        <w:t>op til 65,6 mg</w:t>
      </w:r>
      <w:r w:rsidRPr="00E77D14">
        <w:rPr>
          <w:sz w:val="24"/>
          <w:szCs w:val="24"/>
        </w:rPr>
        <w:t xml:space="preserve"> </w:t>
      </w:r>
      <w:proofErr w:type="spellStart"/>
      <w:r w:rsidRPr="00E77D14">
        <w:rPr>
          <w:sz w:val="24"/>
          <w:szCs w:val="24"/>
        </w:rPr>
        <w:t>lactose</w:t>
      </w:r>
      <w:proofErr w:type="spellEnd"/>
      <w:r>
        <w:rPr>
          <w:sz w:val="24"/>
          <w:szCs w:val="24"/>
        </w:rPr>
        <w:t xml:space="preserve"> (som </w:t>
      </w:r>
      <w:r w:rsidRPr="00E77D14">
        <w:rPr>
          <w:sz w:val="24"/>
          <w:szCs w:val="24"/>
        </w:rPr>
        <w:t>monohydrat</w:t>
      </w:r>
      <w:r>
        <w:rPr>
          <w:sz w:val="24"/>
          <w:szCs w:val="24"/>
        </w:rPr>
        <w:t>)</w:t>
      </w:r>
      <w:r w:rsidRPr="00E77D14">
        <w:rPr>
          <w:sz w:val="24"/>
          <w:szCs w:val="24"/>
        </w:rPr>
        <w:t>.</w:t>
      </w:r>
    </w:p>
    <w:p w:rsidR="00F133D1" w:rsidRPr="00E77D14" w:rsidRDefault="00F133D1" w:rsidP="00F133D1">
      <w:pPr>
        <w:ind w:left="851" w:hanging="851"/>
        <w:rPr>
          <w:sz w:val="24"/>
          <w:szCs w:val="24"/>
        </w:rPr>
      </w:pPr>
    </w:p>
    <w:p w:rsidR="00F133D1" w:rsidRPr="00E77D14" w:rsidRDefault="00F133D1" w:rsidP="00F133D1">
      <w:pPr>
        <w:ind w:left="851" w:hanging="851"/>
        <w:rPr>
          <w:sz w:val="24"/>
          <w:szCs w:val="24"/>
        </w:rPr>
      </w:pPr>
      <w:r w:rsidRPr="00E77D14">
        <w:rPr>
          <w:sz w:val="24"/>
          <w:szCs w:val="24"/>
        </w:rPr>
        <w:tab/>
        <w:t>Alle hjælpestoffer er anført under pkt. 6.1.</w:t>
      </w:r>
    </w:p>
    <w:p w:rsidR="009F6AF6" w:rsidRPr="008048D6" w:rsidRDefault="009F6AF6" w:rsidP="00F133D1">
      <w:pPr>
        <w:ind w:left="851" w:hanging="851"/>
        <w:rPr>
          <w:sz w:val="24"/>
          <w:szCs w:val="24"/>
        </w:rPr>
      </w:pPr>
    </w:p>
    <w:p w:rsidR="009F6AF6" w:rsidRPr="008048D6" w:rsidRDefault="009F6AF6" w:rsidP="009F6AF6">
      <w:pPr>
        <w:numPr>
          <w:ilvl w:val="0"/>
          <w:numId w:val="1"/>
        </w:numPr>
        <w:tabs>
          <w:tab w:val="clear" w:pos="855"/>
        </w:tabs>
        <w:ind w:left="851" w:hanging="851"/>
        <w:rPr>
          <w:b/>
          <w:sz w:val="24"/>
          <w:szCs w:val="24"/>
        </w:rPr>
      </w:pPr>
      <w:r w:rsidRPr="008048D6">
        <w:rPr>
          <w:b/>
          <w:sz w:val="24"/>
          <w:szCs w:val="24"/>
        </w:rPr>
        <w:t>LÆGEMIDDELFORM</w:t>
      </w:r>
    </w:p>
    <w:p w:rsidR="00F133D1" w:rsidRPr="008048D6" w:rsidRDefault="00F133D1" w:rsidP="00F133D1">
      <w:pPr>
        <w:ind w:left="851"/>
        <w:rPr>
          <w:sz w:val="24"/>
          <w:szCs w:val="24"/>
        </w:rPr>
      </w:pPr>
      <w:r>
        <w:rPr>
          <w:sz w:val="24"/>
          <w:szCs w:val="24"/>
        </w:rPr>
        <w:t>Hårde d</w:t>
      </w:r>
      <w:r w:rsidRPr="008048D6">
        <w:rPr>
          <w:sz w:val="24"/>
          <w:szCs w:val="24"/>
        </w:rPr>
        <w:t>epotkapsler</w:t>
      </w:r>
      <w:r>
        <w:rPr>
          <w:sz w:val="24"/>
          <w:szCs w:val="24"/>
        </w:rPr>
        <w:t>.</w:t>
      </w:r>
      <w:r w:rsidRPr="008048D6">
        <w:rPr>
          <w:sz w:val="24"/>
          <w:szCs w:val="24"/>
        </w:rPr>
        <w:t xml:space="preserve"> </w:t>
      </w:r>
    </w:p>
    <w:p w:rsidR="00F133D1" w:rsidRPr="008048D6" w:rsidRDefault="00F133D1" w:rsidP="00F133D1">
      <w:pPr>
        <w:ind w:left="851" w:hanging="851"/>
        <w:rPr>
          <w:sz w:val="24"/>
          <w:szCs w:val="24"/>
        </w:rPr>
      </w:pPr>
    </w:p>
    <w:p w:rsidR="00F133D1" w:rsidRPr="00C37DD4" w:rsidRDefault="00F133D1" w:rsidP="00F133D1">
      <w:pPr>
        <w:ind w:left="851" w:hanging="851"/>
        <w:rPr>
          <w:i/>
          <w:sz w:val="24"/>
          <w:szCs w:val="24"/>
        </w:rPr>
      </w:pPr>
      <w:r>
        <w:rPr>
          <w:sz w:val="24"/>
          <w:szCs w:val="24"/>
        </w:rPr>
        <w:tab/>
      </w:r>
      <w:r w:rsidRPr="00C37DD4">
        <w:rPr>
          <w:i/>
          <w:sz w:val="24"/>
          <w:szCs w:val="24"/>
        </w:rPr>
        <w:t xml:space="preserve">2 mg hårde depotkapsler: </w:t>
      </w:r>
    </w:p>
    <w:p w:rsidR="00F133D1" w:rsidRPr="00E77D14" w:rsidRDefault="00F133D1" w:rsidP="00F133D1">
      <w:pPr>
        <w:ind w:left="851"/>
        <w:rPr>
          <w:sz w:val="24"/>
          <w:szCs w:val="24"/>
        </w:rPr>
      </w:pPr>
      <w:r w:rsidRPr="00E77D14">
        <w:rPr>
          <w:sz w:val="24"/>
          <w:szCs w:val="24"/>
        </w:rPr>
        <w:t xml:space="preserve">Uigennemsigtigt grøn-uigennemsigtigt grøn hård gelatinekapsel indeholdende to hvide, runde, </w:t>
      </w:r>
      <w:proofErr w:type="spellStart"/>
      <w:r w:rsidRPr="00E77D14">
        <w:rPr>
          <w:sz w:val="24"/>
          <w:szCs w:val="24"/>
        </w:rPr>
        <w:t>bikonvekse</w:t>
      </w:r>
      <w:proofErr w:type="spellEnd"/>
      <w:r w:rsidRPr="00E77D14">
        <w:rPr>
          <w:sz w:val="24"/>
          <w:szCs w:val="24"/>
        </w:rPr>
        <w:t xml:space="preserve"> tabletter.</w:t>
      </w:r>
    </w:p>
    <w:p w:rsidR="00F133D1" w:rsidRDefault="00F133D1" w:rsidP="00F133D1">
      <w:pPr>
        <w:ind w:left="851" w:hanging="851"/>
        <w:rPr>
          <w:sz w:val="24"/>
          <w:szCs w:val="24"/>
        </w:rPr>
      </w:pPr>
      <w:r w:rsidRPr="00E77D14">
        <w:rPr>
          <w:sz w:val="24"/>
          <w:szCs w:val="24"/>
        </w:rPr>
        <w:tab/>
      </w:r>
    </w:p>
    <w:p w:rsidR="00F133D1" w:rsidRDefault="00F133D1" w:rsidP="00F133D1">
      <w:pPr>
        <w:ind w:left="851"/>
        <w:rPr>
          <w:sz w:val="24"/>
          <w:szCs w:val="24"/>
        </w:rPr>
      </w:pPr>
      <w:r w:rsidRPr="00C37DD4">
        <w:rPr>
          <w:i/>
          <w:sz w:val="24"/>
          <w:szCs w:val="24"/>
        </w:rPr>
        <w:t>4 mg hårde depotkapsler:</w:t>
      </w:r>
    </w:p>
    <w:p w:rsidR="00F133D1" w:rsidRDefault="00F133D1" w:rsidP="00F133D1">
      <w:pPr>
        <w:ind w:left="851"/>
        <w:rPr>
          <w:sz w:val="24"/>
          <w:szCs w:val="24"/>
        </w:rPr>
      </w:pPr>
      <w:r w:rsidRPr="00E77D14">
        <w:rPr>
          <w:sz w:val="24"/>
          <w:szCs w:val="24"/>
        </w:rPr>
        <w:t xml:space="preserve">Uigennemsigtigt lyseblå-uigennemsigtigt lyseblå hård gelatinekapsel indeholdende fire hvide, runde, </w:t>
      </w:r>
      <w:proofErr w:type="spellStart"/>
      <w:r w:rsidRPr="00E77D14">
        <w:rPr>
          <w:sz w:val="24"/>
          <w:szCs w:val="24"/>
        </w:rPr>
        <w:t>bikonvekse</w:t>
      </w:r>
      <w:proofErr w:type="spellEnd"/>
      <w:r w:rsidRPr="00E77D14">
        <w:rPr>
          <w:sz w:val="24"/>
          <w:szCs w:val="24"/>
        </w:rPr>
        <w:t xml:space="preserve"> tabletter.</w:t>
      </w:r>
    </w:p>
    <w:p w:rsidR="004F4E8F" w:rsidRDefault="004F4E8F" w:rsidP="00F133D1">
      <w:pPr>
        <w:ind w:left="851"/>
        <w:rPr>
          <w:sz w:val="24"/>
          <w:szCs w:val="24"/>
        </w:rPr>
      </w:pPr>
    </w:p>
    <w:p w:rsidR="004F4E8F" w:rsidRDefault="004F4E8F" w:rsidP="00F133D1">
      <w:pPr>
        <w:ind w:left="851"/>
        <w:rPr>
          <w:sz w:val="24"/>
          <w:szCs w:val="24"/>
        </w:rPr>
      </w:pPr>
    </w:p>
    <w:p w:rsidR="004F4E8F" w:rsidRDefault="004F4E8F" w:rsidP="00F133D1">
      <w:pPr>
        <w:ind w:left="851"/>
        <w:rPr>
          <w:sz w:val="24"/>
          <w:szCs w:val="24"/>
        </w:rPr>
      </w:pPr>
    </w:p>
    <w:p w:rsidR="004F4E8F" w:rsidRDefault="004F4E8F" w:rsidP="00F133D1">
      <w:pPr>
        <w:ind w:left="851"/>
        <w:rPr>
          <w:sz w:val="24"/>
          <w:szCs w:val="24"/>
        </w:rPr>
      </w:pPr>
    </w:p>
    <w:p w:rsidR="004F4E8F" w:rsidRPr="00E77D14" w:rsidRDefault="004F4E8F" w:rsidP="00F133D1">
      <w:pPr>
        <w:ind w:left="851"/>
        <w:rPr>
          <w:sz w:val="24"/>
          <w:szCs w:val="24"/>
        </w:rPr>
      </w:pPr>
    </w:p>
    <w:p w:rsidR="009F6AF6" w:rsidRPr="004F4E8F" w:rsidRDefault="009F6AF6" w:rsidP="004F4E8F">
      <w:pPr>
        <w:keepNext/>
        <w:numPr>
          <w:ilvl w:val="0"/>
          <w:numId w:val="1"/>
        </w:numPr>
        <w:tabs>
          <w:tab w:val="clear" w:pos="855"/>
        </w:tabs>
        <w:ind w:left="851" w:hanging="851"/>
        <w:rPr>
          <w:b/>
          <w:sz w:val="24"/>
          <w:szCs w:val="24"/>
        </w:rPr>
      </w:pPr>
      <w:r w:rsidRPr="004F4E8F">
        <w:rPr>
          <w:b/>
          <w:sz w:val="24"/>
          <w:szCs w:val="24"/>
        </w:rPr>
        <w:lastRenderedPageBreak/>
        <w:t>KLINISKE OPLYSNINGER</w:t>
      </w:r>
    </w:p>
    <w:p w:rsidR="009F6AF6" w:rsidRPr="008048D6" w:rsidRDefault="009F6AF6" w:rsidP="009F6AF6">
      <w:pPr>
        <w:ind w:left="851" w:hanging="851"/>
        <w:rPr>
          <w:b/>
          <w:sz w:val="24"/>
          <w:szCs w:val="24"/>
        </w:rPr>
      </w:pPr>
    </w:p>
    <w:p w:rsidR="009F6AF6" w:rsidRPr="008048D6" w:rsidRDefault="009F6AF6" w:rsidP="00631F1D">
      <w:pPr>
        <w:keepNext/>
        <w:numPr>
          <w:ilvl w:val="1"/>
          <w:numId w:val="1"/>
        </w:numPr>
        <w:tabs>
          <w:tab w:val="clear" w:pos="855"/>
        </w:tabs>
        <w:ind w:left="851" w:hanging="851"/>
        <w:rPr>
          <w:b/>
          <w:sz w:val="24"/>
          <w:szCs w:val="24"/>
          <w:u w:val="single"/>
        </w:rPr>
      </w:pPr>
      <w:r w:rsidRPr="008048D6">
        <w:rPr>
          <w:b/>
          <w:sz w:val="24"/>
          <w:szCs w:val="24"/>
        </w:rPr>
        <w:t>Terapeutiske indikationer</w:t>
      </w:r>
    </w:p>
    <w:p w:rsidR="009F6AF6" w:rsidRPr="008048D6" w:rsidRDefault="009F6AF6" w:rsidP="009F6AF6">
      <w:pPr>
        <w:ind w:left="851" w:hanging="851"/>
        <w:rPr>
          <w:sz w:val="24"/>
          <w:szCs w:val="24"/>
        </w:rPr>
      </w:pPr>
      <w:r>
        <w:rPr>
          <w:sz w:val="24"/>
          <w:szCs w:val="24"/>
        </w:rPr>
        <w:tab/>
      </w:r>
      <w:proofErr w:type="spellStart"/>
      <w:r w:rsidRPr="008048D6">
        <w:rPr>
          <w:sz w:val="24"/>
          <w:szCs w:val="24"/>
        </w:rPr>
        <w:t>Tolterodine</w:t>
      </w:r>
      <w:proofErr w:type="spellEnd"/>
      <w:r w:rsidRPr="008048D6">
        <w:rPr>
          <w:sz w:val="24"/>
          <w:szCs w:val="24"/>
        </w:rPr>
        <w:t xml:space="preserve"> ”Sandoz” er indiceret til symptomatisk behandling af trang-inkontinens og/eller øget </w:t>
      </w:r>
      <w:proofErr w:type="spellStart"/>
      <w:r w:rsidRPr="008048D6">
        <w:rPr>
          <w:sz w:val="24"/>
          <w:szCs w:val="24"/>
        </w:rPr>
        <w:t>urineringsfrekvens</w:t>
      </w:r>
      <w:proofErr w:type="spellEnd"/>
      <w:r w:rsidRPr="008048D6">
        <w:rPr>
          <w:sz w:val="24"/>
          <w:szCs w:val="24"/>
        </w:rPr>
        <w:t xml:space="preserve"> og -trang, som kan opstå hos patienter med </w:t>
      </w:r>
      <w:proofErr w:type="gramStart"/>
      <w:r w:rsidRPr="008048D6">
        <w:rPr>
          <w:sz w:val="24"/>
          <w:szCs w:val="24"/>
        </w:rPr>
        <w:t>overaktiv blæresyndrom</w:t>
      </w:r>
      <w:proofErr w:type="gramEnd"/>
      <w:r w:rsidRPr="008048D6">
        <w:rPr>
          <w:sz w:val="24"/>
          <w:szCs w:val="24"/>
        </w:rPr>
        <w:t>.</w:t>
      </w:r>
    </w:p>
    <w:p w:rsidR="009F6AF6" w:rsidRPr="008048D6" w:rsidRDefault="009F6AF6" w:rsidP="009F6AF6">
      <w:pPr>
        <w:ind w:left="851" w:hanging="851"/>
        <w:rPr>
          <w:sz w:val="24"/>
          <w:szCs w:val="24"/>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t>Dosering og indgivelsesmåde</w:t>
      </w:r>
    </w:p>
    <w:p w:rsidR="009F6AF6" w:rsidRPr="00E77D14" w:rsidRDefault="009F6AF6" w:rsidP="009F6AF6">
      <w:pPr>
        <w:ind w:left="851"/>
        <w:rPr>
          <w:sz w:val="24"/>
          <w:szCs w:val="24"/>
          <w:u w:val="single"/>
        </w:rPr>
      </w:pPr>
      <w:r w:rsidRPr="00E77D14">
        <w:rPr>
          <w:sz w:val="24"/>
          <w:szCs w:val="24"/>
          <w:u w:val="single"/>
        </w:rPr>
        <w:t>Dosering</w:t>
      </w:r>
    </w:p>
    <w:p w:rsidR="009F6AF6" w:rsidRDefault="009F6AF6" w:rsidP="009F6AF6">
      <w:pPr>
        <w:ind w:left="851"/>
        <w:rPr>
          <w:i/>
          <w:sz w:val="24"/>
          <w:szCs w:val="24"/>
        </w:rPr>
      </w:pPr>
    </w:p>
    <w:p w:rsidR="009F6AF6" w:rsidRPr="00E77D14" w:rsidRDefault="009F6AF6" w:rsidP="009F6AF6">
      <w:pPr>
        <w:ind w:left="851"/>
        <w:rPr>
          <w:sz w:val="24"/>
          <w:szCs w:val="24"/>
        </w:rPr>
      </w:pPr>
      <w:r w:rsidRPr="00E77D14">
        <w:rPr>
          <w:i/>
          <w:sz w:val="24"/>
          <w:szCs w:val="24"/>
        </w:rPr>
        <w:t>Voksne (inklusive ældre patienter)</w:t>
      </w:r>
    </w:p>
    <w:p w:rsidR="009F6AF6" w:rsidRPr="00E77D14" w:rsidRDefault="009F6AF6" w:rsidP="009F6AF6">
      <w:pPr>
        <w:ind w:left="851"/>
        <w:rPr>
          <w:sz w:val="24"/>
          <w:szCs w:val="24"/>
        </w:rPr>
      </w:pPr>
      <w:r w:rsidRPr="00E77D14">
        <w:rPr>
          <w:sz w:val="24"/>
          <w:szCs w:val="24"/>
        </w:rPr>
        <w:t>Den anbefalede dosis er 4 mg én gang dagligt, undtagen hos patienter med nedsat leverfunktion eller svært nedsat nyrefunktion (GFR ≤ 30 ml/min), hos hvem den anbefalede dosis er 2 mg én gang dagligt (se pkt. 4.4 og 5.2). I tilfælde af generende bivirkninger kan dosis reduceres fra 4 mg til 2 mg én gang dagligt.</w:t>
      </w:r>
    </w:p>
    <w:p w:rsidR="009F6AF6" w:rsidRPr="00E77D14" w:rsidRDefault="009F6AF6" w:rsidP="009F6AF6">
      <w:pPr>
        <w:ind w:left="851"/>
        <w:rPr>
          <w:sz w:val="24"/>
          <w:szCs w:val="24"/>
        </w:rPr>
      </w:pPr>
      <w:r w:rsidRPr="00E77D14">
        <w:rPr>
          <w:sz w:val="24"/>
          <w:szCs w:val="24"/>
        </w:rPr>
        <w:t xml:space="preserve"> </w:t>
      </w:r>
    </w:p>
    <w:p w:rsidR="009F6AF6" w:rsidRPr="00E77D14" w:rsidRDefault="009F6AF6" w:rsidP="009F6AF6">
      <w:pPr>
        <w:ind w:left="851"/>
        <w:rPr>
          <w:sz w:val="24"/>
          <w:szCs w:val="24"/>
        </w:rPr>
      </w:pPr>
      <w:r w:rsidRPr="00E77D14">
        <w:rPr>
          <w:sz w:val="24"/>
          <w:szCs w:val="24"/>
        </w:rPr>
        <w:t>De hårde depotkapsler kan tages sammen med eller uden føde og skal synkes hele.</w:t>
      </w:r>
    </w:p>
    <w:p w:rsidR="009F6AF6" w:rsidRPr="00E77D14" w:rsidRDefault="009F6AF6" w:rsidP="009F6AF6">
      <w:pPr>
        <w:ind w:left="851"/>
        <w:rPr>
          <w:sz w:val="24"/>
          <w:szCs w:val="24"/>
        </w:rPr>
      </w:pPr>
    </w:p>
    <w:p w:rsidR="009F6AF6" w:rsidRPr="00E77D14" w:rsidRDefault="009F6AF6" w:rsidP="009F6AF6">
      <w:pPr>
        <w:ind w:left="851"/>
        <w:rPr>
          <w:sz w:val="24"/>
          <w:szCs w:val="24"/>
        </w:rPr>
      </w:pPr>
      <w:r w:rsidRPr="00E77D14">
        <w:rPr>
          <w:sz w:val="24"/>
          <w:szCs w:val="24"/>
        </w:rPr>
        <w:t>Effekten af behandlingen skal revurderes efter 2-3 måneder (se pkt. 5.1).</w:t>
      </w:r>
    </w:p>
    <w:p w:rsidR="009F6AF6" w:rsidRPr="00E77D14" w:rsidRDefault="009F6AF6" w:rsidP="009F6AF6">
      <w:pPr>
        <w:ind w:left="851"/>
        <w:rPr>
          <w:sz w:val="24"/>
          <w:szCs w:val="24"/>
        </w:rPr>
      </w:pPr>
    </w:p>
    <w:p w:rsidR="009F6AF6" w:rsidRPr="00E77D14" w:rsidRDefault="009F6AF6" w:rsidP="009F6AF6">
      <w:pPr>
        <w:ind w:left="851"/>
        <w:rPr>
          <w:i/>
          <w:sz w:val="24"/>
          <w:szCs w:val="24"/>
        </w:rPr>
      </w:pPr>
      <w:r w:rsidRPr="00E77D14">
        <w:rPr>
          <w:i/>
          <w:sz w:val="24"/>
          <w:szCs w:val="24"/>
        </w:rPr>
        <w:t>Pædiatrisk population</w:t>
      </w:r>
    </w:p>
    <w:p w:rsidR="009F6AF6" w:rsidRPr="00E77D14" w:rsidRDefault="009F6AF6" w:rsidP="009F6AF6">
      <w:pPr>
        <w:ind w:left="851"/>
        <w:rPr>
          <w:sz w:val="24"/>
          <w:szCs w:val="24"/>
        </w:rPr>
      </w:pPr>
      <w:r w:rsidRPr="00E77D14">
        <w:rPr>
          <w:sz w:val="24"/>
          <w:szCs w:val="24"/>
        </w:rPr>
        <w:t xml:space="preserve">Der er ikke påvist effekt af </w:t>
      </w:r>
      <w:proofErr w:type="spellStart"/>
      <w:r w:rsidRPr="00E77D14">
        <w:rPr>
          <w:sz w:val="24"/>
          <w:szCs w:val="24"/>
        </w:rPr>
        <w:t>Tolterodine</w:t>
      </w:r>
      <w:proofErr w:type="spellEnd"/>
      <w:r w:rsidRPr="00E77D14">
        <w:rPr>
          <w:sz w:val="24"/>
          <w:szCs w:val="24"/>
        </w:rPr>
        <w:t xml:space="preserve"> ”Sandoz” depotkapsler hos børn (se pkt. 5.1). Derfor er </w:t>
      </w:r>
      <w:proofErr w:type="spellStart"/>
      <w:r w:rsidRPr="00E77D14">
        <w:rPr>
          <w:sz w:val="24"/>
          <w:szCs w:val="24"/>
        </w:rPr>
        <w:t>Tolterodine</w:t>
      </w:r>
      <w:proofErr w:type="spellEnd"/>
      <w:r w:rsidRPr="00E77D14">
        <w:rPr>
          <w:sz w:val="24"/>
          <w:szCs w:val="24"/>
        </w:rPr>
        <w:t xml:space="preserve"> ”Sandoz” depotkapsler ikke anbefalet til brug hos børn.</w:t>
      </w:r>
    </w:p>
    <w:p w:rsidR="009F6AF6" w:rsidRPr="008048D6" w:rsidRDefault="009F6AF6" w:rsidP="009F6AF6">
      <w:pPr>
        <w:ind w:left="851" w:hanging="851"/>
        <w:rPr>
          <w:sz w:val="24"/>
          <w:szCs w:val="24"/>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t>Kontraindikationer</w:t>
      </w:r>
    </w:p>
    <w:p w:rsidR="009F6AF6" w:rsidRPr="008048D6" w:rsidRDefault="009F6AF6" w:rsidP="009F6AF6">
      <w:pPr>
        <w:ind w:left="851" w:hanging="851"/>
        <w:rPr>
          <w:sz w:val="24"/>
          <w:szCs w:val="24"/>
        </w:rPr>
      </w:pPr>
      <w:r w:rsidRPr="008048D6">
        <w:rPr>
          <w:sz w:val="24"/>
          <w:szCs w:val="24"/>
        </w:rPr>
        <w:tab/>
      </w:r>
      <w:proofErr w:type="spellStart"/>
      <w:r w:rsidRPr="008048D6">
        <w:rPr>
          <w:sz w:val="24"/>
          <w:szCs w:val="24"/>
        </w:rPr>
        <w:t>Tolterodin</w:t>
      </w:r>
      <w:proofErr w:type="spellEnd"/>
      <w:r w:rsidRPr="008048D6">
        <w:rPr>
          <w:sz w:val="24"/>
          <w:szCs w:val="24"/>
        </w:rPr>
        <w:t xml:space="preserve"> er kontraindiceret hos patienter med: </w:t>
      </w:r>
    </w:p>
    <w:p w:rsidR="009F6AF6" w:rsidRPr="004B3F78" w:rsidRDefault="009F6AF6" w:rsidP="009F6AF6">
      <w:pPr>
        <w:numPr>
          <w:ilvl w:val="0"/>
          <w:numId w:val="9"/>
        </w:numPr>
        <w:ind w:left="1276" w:hanging="425"/>
        <w:rPr>
          <w:sz w:val="24"/>
          <w:szCs w:val="24"/>
        </w:rPr>
      </w:pPr>
      <w:r w:rsidRPr="004B3F78">
        <w:rPr>
          <w:sz w:val="24"/>
          <w:szCs w:val="24"/>
        </w:rPr>
        <w:t>Overfølsomhed over det aktive stof eller over for et eller flere af hjælpestofferne anført i pkt. 6.1</w:t>
      </w:r>
    </w:p>
    <w:p w:rsidR="009F6AF6" w:rsidRPr="00D84BA9" w:rsidRDefault="009F6AF6" w:rsidP="009F6AF6">
      <w:pPr>
        <w:numPr>
          <w:ilvl w:val="0"/>
          <w:numId w:val="6"/>
        </w:numPr>
        <w:ind w:left="1276" w:hanging="425"/>
        <w:rPr>
          <w:sz w:val="24"/>
          <w:szCs w:val="24"/>
        </w:rPr>
      </w:pPr>
      <w:r w:rsidRPr="00D84BA9">
        <w:rPr>
          <w:sz w:val="24"/>
          <w:szCs w:val="24"/>
        </w:rPr>
        <w:t xml:space="preserve">Urinretention </w:t>
      </w:r>
    </w:p>
    <w:p w:rsidR="009F6AF6" w:rsidRPr="008048D6" w:rsidRDefault="009F6AF6" w:rsidP="009F6AF6">
      <w:pPr>
        <w:numPr>
          <w:ilvl w:val="0"/>
          <w:numId w:val="6"/>
        </w:numPr>
        <w:ind w:left="1276" w:hanging="425"/>
        <w:rPr>
          <w:sz w:val="24"/>
          <w:szCs w:val="24"/>
        </w:rPr>
      </w:pPr>
      <w:r w:rsidRPr="008048D6">
        <w:rPr>
          <w:sz w:val="24"/>
          <w:szCs w:val="24"/>
        </w:rPr>
        <w:t xml:space="preserve">Ukontrolleret snævervinklet </w:t>
      </w:r>
      <w:proofErr w:type="spellStart"/>
      <w:r w:rsidRPr="008048D6">
        <w:rPr>
          <w:sz w:val="24"/>
          <w:szCs w:val="24"/>
        </w:rPr>
        <w:t>glaukom</w:t>
      </w:r>
      <w:proofErr w:type="spellEnd"/>
      <w:r w:rsidRPr="008048D6">
        <w:rPr>
          <w:sz w:val="24"/>
          <w:szCs w:val="24"/>
        </w:rPr>
        <w:t xml:space="preserve"> </w:t>
      </w:r>
    </w:p>
    <w:p w:rsidR="009F6AF6" w:rsidRPr="008048D6" w:rsidRDefault="009F6AF6" w:rsidP="009F6AF6">
      <w:pPr>
        <w:numPr>
          <w:ilvl w:val="0"/>
          <w:numId w:val="6"/>
        </w:numPr>
        <w:ind w:left="1276" w:hanging="425"/>
        <w:rPr>
          <w:sz w:val="24"/>
          <w:szCs w:val="24"/>
        </w:rPr>
      </w:pPr>
      <w:proofErr w:type="spellStart"/>
      <w:r w:rsidRPr="008048D6">
        <w:rPr>
          <w:sz w:val="24"/>
          <w:szCs w:val="24"/>
        </w:rPr>
        <w:t>Myasthenia</w:t>
      </w:r>
      <w:proofErr w:type="spellEnd"/>
      <w:r w:rsidRPr="008048D6">
        <w:rPr>
          <w:sz w:val="24"/>
          <w:szCs w:val="24"/>
        </w:rPr>
        <w:t xml:space="preserve"> </w:t>
      </w:r>
      <w:proofErr w:type="spellStart"/>
      <w:r w:rsidRPr="008048D6">
        <w:rPr>
          <w:sz w:val="24"/>
          <w:szCs w:val="24"/>
        </w:rPr>
        <w:t>gravis</w:t>
      </w:r>
      <w:proofErr w:type="spellEnd"/>
      <w:r w:rsidRPr="008048D6">
        <w:rPr>
          <w:sz w:val="24"/>
          <w:szCs w:val="24"/>
        </w:rPr>
        <w:t xml:space="preserve"> </w:t>
      </w:r>
    </w:p>
    <w:p w:rsidR="009F6AF6" w:rsidRPr="008048D6" w:rsidRDefault="009F6AF6" w:rsidP="009F6AF6">
      <w:pPr>
        <w:numPr>
          <w:ilvl w:val="0"/>
          <w:numId w:val="6"/>
        </w:numPr>
        <w:ind w:left="1276" w:hanging="425"/>
        <w:rPr>
          <w:sz w:val="24"/>
          <w:szCs w:val="24"/>
        </w:rPr>
      </w:pPr>
      <w:r w:rsidRPr="008048D6">
        <w:rPr>
          <w:sz w:val="24"/>
          <w:szCs w:val="24"/>
        </w:rPr>
        <w:t xml:space="preserve">Svær colitis </w:t>
      </w:r>
      <w:proofErr w:type="spellStart"/>
      <w:r w:rsidRPr="008048D6">
        <w:rPr>
          <w:sz w:val="24"/>
          <w:szCs w:val="24"/>
        </w:rPr>
        <w:t>ulcerosa</w:t>
      </w:r>
      <w:proofErr w:type="spellEnd"/>
      <w:r w:rsidRPr="008048D6">
        <w:rPr>
          <w:sz w:val="24"/>
          <w:szCs w:val="24"/>
        </w:rPr>
        <w:t xml:space="preserve"> </w:t>
      </w:r>
    </w:p>
    <w:p w:rsidR="009F6AF6" w:rsidRPr="008048D6" w:rsidRDefault="009F6AF6" w:rsidP="009F6AF6">
      <w:pPr>
        <w:numPr>
          <w:ilvl w:val="0"/>
          <w:numId w:val="6"/>
        </w:numPr>
        <w:ind w:left="1276" w:hanging="425"/>
        <w:rPr>
          <w:sz w:val="24"/>
          <w:szCs w:val="24"/>
        </w:rPr>
      </w:pPr>
      <w:r w:rsidRPr="008048D6">
        <w:rPr>
          <w:sz w:val="24"/>
          <w:szCs w:val="24"/>
        </w:rPr>
        <w:t xml:space="preserve">Toksisk </w:t>
      </w:r>
      <w:proofErr w:type="spellStart"/>
      <w:r w:rsidRPr="008048D6">
        <w:rPr>
          <w:sz w:val="24"/>
          <w:szCs w:val="24"/>
        </w:rPr>
        <w:t>megacolon</w:t>
      </w:r>
      <w:proofErr w:type="spellEnd"/>
      <w:r w:rsidRPr="008048D6">
        <w:rPr>
          <w:sz w:val="24"/>
          <w:szCs w:val="24"/>
        </w:rPr>
        <w:t>.</w:t>
      </w:r>
    </w:p>
    <w:p w:rsidR="009F6AF6" w:rsidRPr="008048D6" w:rsidRDefault="009F6AF6" w:rsidP="009F6AF6">
      <w:pPr>
        <w:ind w:left="851" w:hanging="851"/>
        <w:rPr>
          <w:sz w:val="24"/>
          <w:szCs w:val="24"/>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t>Særlige advarsler og forsigtighedsregler vedrørende brugen</w:t>
      </w:r>
    </w:p>
    <w:p w:rsidR="009F6AF6" w:rsidRPr="008048D6" w:rsidRDefault="009F6AF6" w:rsidP="009F6AF6">
      <w:pPr>
        <w:ind w:left="851"/>
        <w:rPr>
          <w:sz w:val="24"/>
          <w:szCs w:val="24"/>
        </w:rPr>
      </w:pPr>
      <w:proofErr w:type="spellStart"/>
      <w:r w:rsidRPr="008048D6">
        <w:rPr>
          <w:sz w:val="24"/>
          <w:szCs w:val="24"/>
        </w:rPr>
        <w:t>Tolterodin</w:t>
      </w:r>
      <w:proofErr w:type="spellEnd"/>
      <w:r w:rsidRPr="008048D6">
        <w:rPr>
          <w:sz w:val="24"/>
          <w:szCs w:val="24"/>
        </w:rPr>
        <w:t xml:space="preserve"> skal anvendes med forsigtighed hos patienter med: </w:t>
      </w:r>
    </w:p>
    <w:p w:rsidR="009F6AF6" w:rsidRPr="008048D6" w:rsidRDefault="009F6AF6" w:rsidP="009F6AF6">
      <w:pPr>
        <w:numPr>
          <w:ilvl w:val="0"/>
          <w:numId w:val="6"/>
        </w:numPr>
        <w:ind w:left="1276" w:hanging="425"/>
        <w:rPr>
          <w:sz w:val="24"/>
          <w:szCs w:val="24"/>
        </w:rPr>
      </w:pPr>
      <w:r w:rsidRPr="008048D6">
        <w:rPr>
          <w:sz w:val="24"/>
          <w:szCs w:val="24"/>
        </w:rPr>
        <w:t xml:space="preserve">Signifikant </w:t>
      </w:r>
      <w:proofErr w:type="spellStart"/>
      <w:r w:rsidRPr="008048D6">
        <w:rPr>
          <w:sz w:val="24"/>
          <w:szCs w:val="24"/>
        </w:rPr>
        <w:t>infravesikal</w:t>
      </w:r>
      <w:proofErr w:type="spellEnd"/>
      <w:r w:rsidRPr="008048D6">
        <w:rPr>
          <w:sz w:val="24"/>
          <w:szCs w:val="24"/>
        </w:rPr>
        <w:t xml:space="preserve"> obstruktion med risiko for urinretention </w:t>
      </w:r>
    </w:p>
    <w:p w:rsidR="009F6AF6" w:rsidRPr="008048D6" w:rsidRDefault="009F6AF6" w:rsidP="009F6AF6">
      <w:pPr>
        <w:numPr>
          <w:ilvl w:val="0"/>
          <w:numId w:val="6"/>
        </w:numPr>
        <w:ind w:left="1276" w:hanging="425"/>
        <w:rPr>
          <w:sz w:val="24"/>
          <w:szCs w:val="24"/>
        </w:rPr>
      </w:pPr>
      <w:proofErr w:type="spellStart"/>
      <w:r w:rsidRPr="008048D6">
        <w:rPr>
          <w:sz w:val="24"/>
          <w:szCs w:val="24"/>
        </w:rPr>
        <w:t>Gastrointestinale</w:t>
      </w:r>
      <w:proofErr w:type="spellEnd"/>
      <w:r w:rsidRPr="008048D6">
        <w:rPr>
          <w:sz w:val="24"/>
          <w:szCs w:val="24"/>
        </w:rPr>
        <w:t xml:space="preserve"> obstruktive forstyrrelser, f.eks. stenosis </w:t>
      </w:r>
      <w:proofErr w:type="spellStart"/>
      <w:r w:rsidRPr="008048D6">
        <w:rPr>
          <w:sz w:val="24"/>
          <w:szCs w:val="24"/>
        </w:rPr>
        <w:t>pylori</w:t>
      </w:r>
      <w:proofErr w:type="spellEnd"/>
      <w:r w:rsidRPr="008048D6">
        <w:rPr>
          <w:sz w:val="24"/>
          <w:szCs w:val="24"/>
        </w:rPr>
        <w:t xml:space="preserve"> </w:t>
      </w:r>
    </w:p>
    <w:p w:rsidR="009F6AF6" w:rsidRPr="008048D6" w:rsidRDefault="009F6AF6" w:rsidP="009F6AF6">
      <w:pPr>
        <w:numPr>
          <w:ilvl w:val="0"/>
          <w:numId w:val="6"/>
        </w:numPr>
        <w:ind w:left="1276" w:hanging="425"/>
        <w:rPr>
          <w:sz w:val="24"/>
          <w:szCs w:val="24"/>
        </w:rPr>
      </w:pPr>
      <w:r w:rsidRPr="008048D6">
        <w:rPr>
          <w:sz w:val="24"/>
          <w:szCs w:val="24"/>
        </w:rPr>
        <w:t xml:space="preserve">Nedsat nyrefunktion (se pkt. 4.2 og 5.2) </w:t>
      </w:r>
    </w:p>
    <w:p w:rsidR="009F6AF6" w:rsidRPr="008048D6" w:rsidRDefault="009F6AF6" w:rsidP="009F6AF6">
      <w:pPr>
        <w:numPr>
          <w:ilvl w:val="0"/>
          <w:numId w:val="6"/>
        </w:numPr>
        <w:ind w:left="1276" w:hanging="425"/>
        <w:rPr>
          <w:sz w:val="24"/>
          <w:szCs w:val="24"/>
        </w:rPr>
      </w:pPr>
      <w:r w:rsidRPr="008048D6">
        <w:rPr>
          <w:sz w:val="24"/>
          <w:szCs w:val="24"/>
        </w:rPr>
        <w:t xml:space="preserve">Leversygdom (se pkt. 4.2 og 5.2) </w:t>
      </w:r>
    </w:p>
    <w:p w:rsidR="009F6AF6" w:rsidRPr="008048D6" w:rsidRDefault="009F6AF6" w:rsidP="009F6AF6">
      <w:pPr>
        <w:numPr>
          <w:ilvl w:val="0"/>
          <w:numId w:val="6"/>
        </w:numPr>
        <w:ind w:left="1276" w:hanging="425"/>
        <w:rPr>
          <w:sz w:val="24"/>
          <w:szCs w:val="24"/>
        </w:rPr>
      </w:pPr>
      <w:r w:rsidRPr="008048D6">
        <w:rPr>
          <w:sz w:val="24"/>
          <w:szCs w:val="24"/>
        </w:rPr>
        <w:t xml:space="preserve">Autonom </w:t>
      </w:r>
      <w:proofErr w:type="spellStart"/>
      <w:r w:rsidRPr="008048D6">
        <w:rPr>
          <w:sz w:val="24"/>
          <w:szCs w:val="24"/>
        </w:rPr>
        <w:t>neuropati</w:t>
      </w:r>
      <w:proofErr w:type="spellEnd"/>
      <w:r w:rsidRPr="008048D6">
        <w:rPr>
          <w:sz w:val="24"/>
          <w:szCs w:val="24"/>
        </w:rPr>
        <w:t xml:space="preserve"> </w:t>
      </w:r>
    </w:p>
    <w:p w:rsidR="009F6AF6" w:rsidRPr="008048D6" w:rsidRDefault="009F6AF6" w:rsidP="009F6AF6">
      <w:pPr>
        <w:numPr>
          <w:ilvl w:val="0"/>
          <w:numId w:val="6"/>
        </w:numPr>
        <w:ind w:left="1276" w:hanging="425"/>
        <w:rPr>
          <w:sz w:val="24"/>
          <w:szCs w:val="24"/>
        </w:rPr>
      </w:pPr>
      <w:proofErr w:type="spellStart"/>
      <w:r w:rsidRPr="008048D6">
        <w:rPr>
          <w:sz w:val="24"/>
          <w:szCs w:val="24"/>
        </w:rPr>
        <w:t>Hernia</w:t>
      </w:r>
      <w:proofErr w:type="spellEnd"/>
      <w:r w:rsidRPr="008048D6">
        <w:rPr>
          <w:sz w:val="24"/>
          <w:szCs w:val="24"/>
        </w:rPr>
        <w:t xml:space="preserve"> </w:t>
      </w:r>
      <w:proofErr w:type="spellStart"/>
      <w:r w:rsidRPr="008048D6">
        <w:rPr>
          <w:sz w:val="24"/>
          <w:szCs w:val="24"/>
        </w:rPr>
        <w:t>hiatus</w:t>
      </w:r>
      <w:proofErr w:type="spellEnd"/>
      <w:r w:rsidRPr="008048D6">
        <w:rPr>
          <w:sz w:val="24"/>
          <w:szCs w:val="24"/>
        </w:rPr>
        <w:t xml:space="preserve"> </w:t>
      </w:r>
    </w:p>
    <w:p w:rsidR="009F6AF6" w:rsidRPr="008048D6" w:rsidRDefault="009F6AF6" w:rsidP="009F6AF6">
      <w:pPr>
        <w:numPr>
          <w:ilvl w:val="0"/>
          <w:numId w:val="6"/>
        </w:numPr>
        <w:ind w:left="1276" w:hanging="425"/>
        <w:rPr>
          <w:sz w:val="24"/>
          <w:szCs w:val="24"/>
        </w:rPr>
      </w:pPr>
      <w:r w:rsidRPr="008048D6">
        <w:rPr>
          <w:sz w:val="24"/>
          <w:szCs w:val="24"/>
        </w:rPr>
        <w:t xml:space="preserve">Risiko for nedsat </w:t>
      </w:r>
      <w:proofErr w:type="spellStart"/>
      <w:r w:rsidRPr="008048D6">
        <w:rPr>
          <w:sz w:val="24"/>
          <w:szCs w:val="24"/>
        </w:rPr>
        <w:t>gastrointestinal</w:t>
      </w:r>
      <w:proofErr w:type="spellEnd"/>
      <w:r w:rsidRPr="008048D6">
        <w:rPr>
          <w:sz w:val="24"/>
          <w:szCs w:val="24"/>
        </w:rPr>
        <w:t xml:space="preserve"> </w:t>
      </w:r>
      <w:proofErr w:type="spellStart"/>
      <w:r w:rsidRPr="008048D6">
        <w:rPr>
          <w:sz w:val="24"/>
          <w:szCs w:val="24"/>
        </w:rPr>
        <w:t>motilitet</w:t>
      </w:r>
      <w:proofErr w:type="spellEnd"/>
      <w:r w:rsidRPr="008048D6">
        <w:rPr>
          <w:sz w:val="24"/>
          <w:szCs w:val="24"/>
        </w:rPr>
        <w:t>.</w:t>
      </w:r>
    </w:p>
    <w:p w:rsidR="009F6AF6" w:rsidRPr="008048D6" w:rsidRDefault="009F6AF6" w:rsidP="009F6AF6">
      <w:pPr>
        <w:ind w:left="851" w:hanging="851"/>
        <w:rPr>
          <w:sz w:val="24"/>
          <w:szCs w:val="24"/>
        </w:rPr>
      </w:pPr>
    </w:p>
    <w:p w:rsidR="009F6AF6" w:rsidRPr="008048D6" w:rsidRDefault="009F6AF6" w:rsidP="009F6AF6">
      <w:pPr>
        <w:ind w:left="851"/>
        <w:rPr>
          <w:sz w:val="24"/>
          <w:szCs w:val="24"/>
        </w:rPr>
      </w:pPr>
      <w:r w:rsidRPr="008048D6">
        <w:rPr>
          <w:sz w:val="24"/>
          <w:szCs w:val="24"/>
        </w:rPr>
        <w:t xml:space="preserve">Det har vist sig, at multiple orale totale doser af øjeblikkeligt frigivet </w:t>
      </w:r>
      <w:proofErr w:type="spellStart"/>
      <w:r w:rsidRPr="008048D6">
        <w:rPr>
          <w:sz w:val="24"/>
          <w:szCs w:val="24"/>
        </w:rPr>
        <w:t>tolterodin</w:t>
      </w:r>
      <w:proofErr w:type="spellEnd"/>
      <w:r w:rsidRPr="008048D6">
        <w:rPr>
          <w:sz w:val="24"/>
          <w:szCs w:val="24"/>
        </w:rPr>
        <w:t xml:space="preserve"> 4 mg (terapeutisk) og 8 mg (supraterapeutisk) forlænger </w:t>
      </w:r>
      <w:proofErr w:type="spellStart"/>
      <w:r w:rsidRPr="008048D6">
        <w:rPr>
          <w:sz w:val="24"/>
          <w:szCs w:val="24"/>
        </w:rPr>
        <w:t>QTc</w:t>
      </w:r>
      <w:proofErr w:type="spellEnd"/>
      <w:r w:rsidRPr="008048D6">
        <w:rPr>
          <w:sz w:val="24"/>
          <w:szCs w:val="24"/>
        </w:rPr>
        <w:t xml:space="preserve">-intervallet (se pkt. 5.1). Den kliniske relevans af disse fund er uklar og afhænger af den enkelte patients risikofaktorer og følsomhed. </w:t>
      </w:r>
    </w:p>
    <w:p w:rsidR="009F6AF6" w:rsidRPr="008048D6" w:rsidRDefault="009F6AF6" w:rsidP="009F6AF6">
      <w:pPr>
        <w:ind w:left="851" w:hanging="851"/>
        <w:rPr>
          <w:sz w:val="24"/>
          <w:szCs w:val="24"/>
        </w:rPr>
      </w:pPr>
    </w:p>
    <w:p w:rsidR="009F6AF6" w:rsidRPr="008048D6" w:rsidRDefault="009F6AF6" w:rsidP="009F6AF6">
      <w:pPr>
        <w:ind w:left="851"/>
        <w:rPr>
          <w:sz w:val="24"/>
          <w:szCs w:val="24"/>
        </w:rPr>
      </w:pPr>
      <w:proofErr w:type="spellStart"/>
      <w:r w:rsidRPr="008048D6">
        <w:rPr>
          <w:sz w:val="24"/>
          <w:szCs w:val="24"/>
        </w:rPr>
        <w:t>Tolterodin</w:t>
      </w:r>
      <w:proofErr w:type="spellEnd"/>
      <w:r w:rsidRPr="008048D6">
        <w:rPr>
          <w:sz w:val="24"/>
          <w:szCs w:val="24"/>
        </w:rPr>
        <w:t xml:space="preserve"> skal anvendes med forsigtighed hos patienter med risikofaktorer for QT-forlængelse, inklusive: </w:t>
      </w:r>
    </w:p>
    <w:p w:rsidR="009F6AF6" w:rsidRPr="008048D6" w:rsidRDefault="009F6AF6" w:rsidP="009F6AF6">
      <w:pPr>
        <w:numPr>
          <w:ilvl w:val="0"/>
          <w:numId w:val="6"/>
        </w:numPr>
        <w:ind w:left="1276" w:hanging="425"/>
        <w:rPr>
          <w:sz w:val="24"/>
          <w:szCs w:val="24"/>
        </w:rPr>
      </w:pPr>
      <w:r w:rsidRPr="008048D6">
        <w:rPr>
          <w:sz w:val="24"/>
          <w:szCs w:val="24"/>
        </w:rPr>
        <w:lastRenderedPageBreak/>
        <w:t xml:space="preserve">Medfødt eller dokumenteret erhvervet QT-forlængelse </w:t>
      </w:r>
    </w:p>
    <w:p w:rsidR="009F6AF6" w:rsidRPr="008048D6" w:rsidRDefault="009F6AF6" w:rsidP="009F6AF6">
      <w:pPr>
        <w:numPr>
          <w:ilvl w:val="0"/>
          <w:numId w:val="6"/>
        </w:numPr>
        <w:ind w:left="1276" w:hanging="425"/>
        <w:rPr>
          <w:sz w:val="24"/>
          <w:szCs w:val="24"/>
        </w:rPr>
      </w:pPr>
      <w:r w:rsidRPr="008048D6">
        <w:rPr>
          <w:sz w:val="24"/>
          <w:szCs w:val="24"/>
        </w:rPr>
        <w:t xml:space="preserve">Elektrolytforstyrrelser, såsom </w:t>
      </w:r>
      <w:proofErr w:type="spellStart"/>
      <w:r w:rsidRPr="008048D6">
        <w:rPr>
          <w:sz w:val="24"/>
          <w:szCs w:val="24"/>
        </w:rPr>
        <w:t>hypokaliæmi</w:t>
      </w:r>
      <w:proofErr w:type="spellEnd"/>
      <w:r w:rsidRPr="008048D6">
        <w:rPr>
          <w:sz w:val="24"/>
          <w:szCs w:val="24"/>
        </w:rPr>
        <w:t xml:space="preserve">, </w:t>
      </w:r>
      <w:proofErr w:type="spellStart"/>
      <w:r w:rsidRPr="008048D6">
        <w:rPr>
          <w:sz w:val="24"/>
          <w:szCs w:val="24"/>
        </w:rPr>
        <w:t>hypomagnesiæmi</w:t>
      </w:r>
      <w:proofErr w:type="spellEnd"/>
      <w:r w:rsidRPr="008048D6">
        <w:rPr>
          <w:sz w:val="24"/>
          <w:szCs w:val="24"/>
        </w:rPr>
        <w:t xml:space="preserve"> og </w:t>
      </w:r>
      <w:proofErr w:type="spellStart"/>
      <w:r w:rsidRPr="008048D6">
        <w:rPr>
          <w:sz w:val="24"/>
          <w:szCs w:val="24"/>
        </w:rPr>
        <w:t>hypokalcæmi</w:t>
      </w:r>
      <w:proofErr w:type="spellEnd"/>
      <w:r w:rsidRPr="008048D6">
        <w:rPr>
          <w:sz w:val="24"/>
          <w:szCs w:val="24"/>
        </w:rPr>
        <w:t xml:space="preserve"> </w:t>
      </w:r>
    </w:p>
    <w:p w:rsidR="009F6AF6" w:rsidRPr="008048D6" w:rsidRDefault="009F6AF6" w:rsidP="009F6AF6">
      <w:pPr>
        <w:numPr>
          <w:ilvl w:val="0"/>
          <w:numId w:val="6"/>
        </w:numPr>
        <w:ind w:left="1276" w:hanging="425"/>
        <w:rPr>
          <w:sz w:val="24"/>
          <w:szCs w:val="24"/>
        </w:rPr>
      </w:pPr>
      <w:r w:rsidRPr="008048D6">
        <w:rPr>
          <w:sz w:val="24"/>
          <w:szCs w:val="24"/>
        </w:rPr>
        <w:t xml:space="preserve">Bradykardi </w:t>
      </w:r>
    </w:p>
    <w:p w:rsidR="009F6AF6" w:rsidRPr="008048D6" w:rsidRDefault="009F6AF6" w:rsidP="009F6AF6">
      <w:pPr>
        <w:numPr>
          <w:ilvl w:val="0"/>
          <w:numId w:val="6"/>
        </w:numPr>
        <w:ind w:left="1276" w:hanging="425"/>
        <w:rPr>
          <w:sz w:val="24"/>
          <w:szCs w:val="24"/>
        </w:rPr>
      </w:pPr>
      <w:r w:rsidRPr="008048D6">
        <w:rPr>
          <w:sz w:val="24"/>
          <w:szCs w:val="24"/>
        </w:rPr>
        <w:t xml:space="preserve">Relevante eksisterende hjertesygdomme (f.eks. </w:t>
      </w:r>
      <w:proofErr w:type="spellStart"/>
      <w:r w:rsidRPr="008048D6">
        <w:rPr>
          <w:sz w:val="24"/>
          <w:szCs w:val="24"/>
        </w:rPr>
        <w:t>kardiomyopati</w:t>
      </w:r>
      <w:proofErr w:type="spellEnd"/>
      <w:r w:rsidRPr="008048D6">
        <w:rPr>
          <w:sz w:val="24"/>
          <w:szCs w:val="24"/>
        </w:rPr>
        <w:t xml:space="preserve">, </w:t>
      </w:r>
      <w:proofErr w:type="spellStart"/>
      <w:r w:rsidRPr="008048D6">
        <w:rPr>
          <w:sz w:val="24"/>
          <w:szCs w:val="24"/>
        </w:rPr>
        <w:t>myokardieiskæmi</w:t>
      </w:r>
      <w:proofErr w:type="spellEnd"/>
      <w:r w:rsidRPr="008048D6">
        <w:rPr>
          <w:sz w:val="24"/>
          <w:szCs w:val="24"/>
        </w:rPr>
        <w:t xml:space="preserve">, </w:t>
      </w:r>
      <w:proofErr w:type="spellStart"/>
      <w:r w:rsidRPr="008048D6">
        <w:rPr>
          <w:sz w:val="24"/>
          <w:szCs w:val="24"/>
        </w:rPr>
        <w:t>arytmier</w:t>
      </w:r>
      <w:proofErr w:type="spellEnd"/>
      <w:r w:rsidRPr="008048D6">
        <w:rPr>
          <w:sz w:val="24"/>
          <w:szCs w:val="24"/>
        </w:rPr>
        <w:t xml:space="preserve">, </w:t>
      </w:r>
      <w:proofErr w:type="spellStart"/>
      <w:r w:rsidRPr="008048D6">
        <w:rPr>
          <w:sz w:val="24"/>
          <w:szCs w:val="24"/>
        </w:rPr>
        <w:t>kongestivt</w:t>
      </w:r>
      <w:proofErr w:type="spellEnd"/>
      <w:r w:rsidRPr="008048D6">
        <w:rPr>
          <w:sz w:val="24"/>
          <w:szCs w:val="24"/>
        </w:rPr>
        <w:t xml:space="preserve"> hjertesvigt) </w:t>
      </w:r>
    </w:p>
    <w:p w:rsidR="009F6AF6" w:rsidRPr="008048D6" w:rsidRDefault="009F6AF6" w:rsidP="009F6AF6">
      <w:pPr>
        <w:numPr>
          <w:ilvl w:val="0"/>
          <w:numId w:val="6"/>
        </w:numPr>
        <w:ind w:left="1276" w:hanging="425"/>
        <w:rPr>
          <w:sz w:val="24"/>
          <w:szCs w:val="24"/>
        </w:rPr>
      </w:pPr>
      <w:r w:rsidRPr="008048D6">
        <w:rPr>
          <w:sz w:val="24"/>
          <w:szCs w:val="24"/>
        </w:rPr>
        <w:t xml:space="preserve">Samtidig administration af lægemidler, der vides at forlænge QT-intervallet, herunder </w:t>
      </w:r>
      <w:proofErr w:type="spellStart"/>
      <w:r w:rsidRPr="008048D6">
        <w:rPr>
          <w:sz w:val="24"/>
          <w:szCs w:val="24"/>
        </w:rPr>
        <w:t>antiarytmika</w:t>
      </w:r>
      <w:proofErr w:type="spellEnd"/>
      <w:r w:rsidRPr="008048D6">
        <w:rPr>
          <w:sz w:val="24"/>
          <w:szCs w:val="24"/>
        </w:rPr>
        <w:t xml:space="preserve"> i klasse IA (f.eks. </w:t>
      </w:r>
      <w:proofErr w:type="spellStart"/>
      <w:r w:rsidRPr="008048D6">
        <w:rPr>
          <w:sz w:val="24"/>
          <w:szCs w:val="24"/>
        </w:rPr>
        <w:t>quinidin</w:t>
      </w:r>
      <w:proofErr w:type="spellEnd"/>
      <w:r w:rsidRPr="008048D6">
        <w:rPr>
          <w:sz w:val="24"/>
          <w:szCs w:val="24"/>
        </w:rPr>
        <w:t xml:space="preserve">, </w:t>
      </w:r>
      <w:proofErr w:type="spellStart"/>
      <w:r w:rsidRPr="008048D6">
        <w:rPr>
          <w:sz w:val="24"/>
          <w:szCs w:val="24"/>
        </w:rPr>
        <w:t>procainamid</w:t>
      </w:r>
      <w:proofErr w:type="spellEnd"/>
      <w:r w:rsidRPr="008048D6">
        <w:rPr>
          <w:sz w:val="24"/>
          <w:szCs w:val="24"/>
        </w:rPr>
        <w:t xml:space="preserve">) og klasse III (f.eks. </w:t>
      </w:r>
      <w:proofErr w:type="spellStart"/>
      <w:r w:rsidRPr="008048D6">
        <w:rPr>
          <w:sz w:val="24"/>
          <w:szCs w:val="24"/>
        </w:rPr>
        <w:t>amiodaron</w:t>
      </w:r>
      <w:proofErr w:type="spellEnd"/>
      <w:r w:rsidRPr="008048D6">
        <w:rPr>
          <w:sz w:val="24"/>
          <w:szCs w:val="24"/>
        </w:rPr>
        <w:t xml:space="preserve">, </w:t>
      </w:r>
      <w:proofErr w:type="spellStart"/>
      <w:r w:rsidRPr="008048D6">
        <w:rPr>
          <w:sz w:val="24"/>
          <w:szCs w:val="24"/>
        </w:rPr>
        <w:t>sotalol</w:t>
      </w:r>
      <w:proofErr w:type="spellEnd"/>
      <w:r w:rsidRPr="008048D6">
        <w:rPr>
          <w:sz w:val="24"/>
          <w:szCs w:val="24"/>
        </w:rPr>
        <w:t xml:space="preserve">). </w:t>
      </w:r>
    </w:p>
    <w:p w:rsidR="009F6AF6" w:rsidRPr="008048D6" w:rsidRDefault="009F6AF6" w:rsidP="009F6AF6">
      <w:pPr>
        <w:ind w:left="851" w:hanging="851"/>
        <w:rPr>
          <w:sz w:val="24"/>
          <w:szCs w:val="24"/>
        </w:rPr>
      </w:pPr>
    </w:p>
    <w:p w:rsidR="009F6AF6" w:rsidRPr="008048D6" w:rsidRDefault="009F6AF6" w:rsidP="009F6AF6">
      <w:pPr>
        <w:ind w:left="851"/>
        <w:rPr>
          <w:sz w:val="24"/>
          <w:szCs w:val="24"/>
        </w:rPr>
      </w:pPr>
      <w:r w:rsidRPr="008048D6">
        <w:rPr>
          <w:sz w:val="24"/>
          <w:szCs w:val="24"/>
        </w:rPr>
        <w:t xml:space="preserve">Dette gør sig særligt gældende ved brug af potente CYP3A4-hæmmere (se pkt. 5.1). </w:t>
      </w:r>
    </w:p>
    <w:p w:rsidR="009F6AF6" w:rsidRPr="008048D6" w:rsidRDefault="009F6AF6" w:rsidP="009F6AF6">
      <w:pPr>
        <w:ind w:left="851" w:hanging="851"/>
        <w:rPr>
          <w:sz w:val="24"/>
          <w:szCs w:val="24"/>
        </w:rPr>
      </w:pPr>
    </w:p>
    <w:p w:rsidR="00F133D1" w:rsidRPr="008048D6" w:rsidRDefault="00F133D1" w:rsidP="00F133D1">
      <w:pPr>
        <w:ind w:left="851"/>
        <w:rPr>
          <w:sz w:val="24"/>
          <w:szCs w:val="24"/>
        </w:rPr>
      </w:pPr>
      <w:r w:rsidRPr="008048D6">
        <w:rPr>
          <w:sz w:val="24"/>
          <w:szCs w:val="24"/>
        </w:rPr>
        <w:t xml:space="preserve">Samtidig behandling med potente CYP3A4-hæmmere skal undgås (se pkt. 4.5).  </w:t>
      </w:r>
    </w:p>
    <w:p w:rsidR="00F133D1" w:rsidRPr="008048D6" w:rsidRDefault="00F133D1" w:rsidP="00F133D1">
      <w:pPr>
        <w:ind w:left="851" w:hanging="851"/>
        <w:rPr>
          <w:sz w:val="24"/>
          <w:szCs w:val="24"/>
        </w:rPr>
      </w:pPr>
    </w:p>
    <w:p w:rsidR="00F133D1" w:rsidRDefault="00F133D1" w:rsidP="00F133D1">
      <w:pPr>
        <w:ind w:left="851"/>
        <w:rPr>
          <w:sz w:val="24"/>
          <w:szCs w:val="24"/>
        </w:rPr>
      </w:pPr>
      <w:r w:rsidRPr="008048D6">
        <w:rPr>
          <w:sz w:val="24"/>
          <w:szCs w:val="24"/>
        </w:rPr>
        <w:t xml:space="preserve">Som det gør sig gældende for alle behandlinger af symptomer på </w:t>
      </w:r>
      <w:proofErr w:type="spellStart"/>
      <w:r w:rsidRPr="008048D6">
        <w:rPr>
          <w:sz w:val="24"/>
          <w:szCs w:val="24"/>
        </w:rPr>
        <w:t>imperiøs</w:t>
      </w:r>
      <w:proofErr w:type="spellEnd"/>
      <w:r w:rsidRPr="008048D6">
        <w:rPr>
          <w:sz w:val="24"/>
          <w:szCs w:val="24"/>
        </w:rPr>
        <w:t xml:space="preserve"> vandladning og trang-inkontinens, skal det overvejes, om der er organiske årsager til trang og hyppighed inden behandling. </w:t>
      </w:r>
    </w:p>
    <w:p w:rsidR="00F133D1" w:rsidRDefault="00F133D1" w:rsidP="00F133D1">
      <w:pPr>
        <w:ind w:left="851"/>
        <w:rPr>
          <w:sz w:val="24"/>
          <w:szCs w:val="24"/>
        </w:rPr>
      </w:pPr>
    </w:p>
    <w:p w:rsidR="00F133D1" w:rsidRDefault="00F133D1" w:rsidP="00F133D1">
      <w:pPr>
        <w:ind w:left="851"/>
        <w:rPr>
          <w:sz w:val="24"/>
          <w:szCs w:val="24"/>
        </w:rPr>
      </w:pPr>
      <w:proofErr w:type="spellStart"/>
      <w:r>
        <w:rPr>
          <w:sz w:val="24"/>
          <w:szCs w:val="24"/>
        </w:rPr>
        <w:t>Tolterodine</w:t>
      </w:r>
      <w:proofErr w:type="spellEnd"/>
      <w:r>
        <w:rPr>
          <w:sz w:val="24"/>
          <w:szCs w:val="24"/>
        </w:rPr>
        <w:t xml:space="preserve"> ”Sandoz” indeholder </w:t>
      </w:r>
      <w:proofErr w:type="spellStart"/>
      <w:r>
        <w:rPr>
          <w:sz w:val="24"/>
          <w:szCs w:val="24"/>
        </w:rPr>
        <w:t>lactose</w:t>
      </w:r>
      <w:proofErr w:type="spellEnd"/>
      <w:r>
        <w:rPr>
          <w:sz w:val="24"/>
          <w:szCs w:val="24"/>
        </w:rPr>
        <w:t xml:space="preserve"> og natrium</w:t>
      </w:r>
    </w:p>
    <w:p w:rsidR="00F133D1" w:rsidRDefault="00F133D1" w:rsidP="00F133D1">
      <w:pPr>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w:t>
      </w:r>
      <w:r w:rsidRPr="00782A85">
        <w:rPr>
          <w:sz w:val="24"/>
          <w:szCs w:val="24"/>
        </w:rPr>
        <w:t xml:space="preserve">Bør ikke anvendes til patienter med </w:t>
      </w:r>
      <w:r>
        <w:rPr>
          <w:sz w:val="24"/>
          <w:szCs w:val="24"/>
        </w:rPr>
        <w:t>hereditær</w:t>
      </w:r>
      <w:r w:rsidRPr="00782A85">
        <w:rPr>
          <w:sz w:val="24"/>
          <w:szCs w:val="24"/>
        </w:rPr>
        <w:t xml:space="preserve"> </w:t>
      </w:r>
      <w:proofErr w:type="spellStart"/>
      <w:r w:rsidRPr="00782A85">
        <w:rPr>
          <w:sz w:val="24"/>
          <w:szCs w:val="24"/>
        </w:rPr>
        <w:t>galactoseintolerans</w:t>
      </w:r>
      <w:proofErr w:type="spellEnd"/>
      <w:r w:rsidRPr="00782A85">
        <w:rPr>
          <w:sz w:val="24"/>
          <w:szCs w:val="24"/>
        </w:rPr>
        <w:t xml:space="preserve">, </w:t>
      </w:r>
      <w:r>
        <w:rPr>
          <w:sz w:val="24"/>
          <w:szCs w:val="24"/>
        </w:rPr>
        <w:t xml:space="preserve">total </w:t>
      </w:r>
      <w:proofErr w:type="spellStart"/>
      <w:r>
        <w:rPr>
          <w:sz w:val="24"/>
          <w:szCs w:val="24"/>
        </w:rPr>
        <w:t>lactasemangel</w:t>
      </w:r>
      <w:proofErr w:type="spellEnd"/>
      <w:r w:rsidRPr="00782A85">
        <w:rPr>
          <w:sz w:val="24"/>
          <w:szCs w:val="24"/>
        </w:rPr>
        <w:t xml:space="preserve"> eller </w:t>
      </w:r>
      <w:proofErr w:type="spellStart"/>
      <w:r w:rsidRPr="00782A85">
        <w:rPr>
          <w:sz w:val="24"/>
          <w:szCs w:val="24"/>
        </w:rPr>
        <w:t>glucose</w:t>
      </w:r>
      <w:proofErr w:type="spellEnd"/>
      <w:r w:rsidRPr="00782A85">
        <w:rPr>
          <w:sz w:val="24"/>
          <w:szCs w:val="24"/>
        </w:rPr>
        <w:t>/</w:t>
      </w:r>
      <w:proofErr w:type="spellStart"/>
      <w:r w:rsidRPr="00782A85">
        <w:rPr>
          <w:sz w:val="24"/>
          <w:szCs w:val="24"/>
        </w:rPr>
        <w:t>galactosemalabsorption</w:t>
      </w:r>
      <w:proofErr w:type="spellEnd"/>
      <w:r w:rsidRPr="00782A85">
        <w:rPr>
          <w:sz w:val="24"/>
          <w:szCs w:val="24"/>
        </w:rPr>
        <w:t>.</w:t>
      </w:r>
    </w:p>
    <w:p w:rsidR="00F133D1" w:rsidRDefault="00F133D1" w:rsidP="00F133D1">
      <w:pPr>
        <w:ind w:left="851"/>
        <w:rPr>
          <w:sz w:val="24"/>
          <w:szCs w:val="24"/>
        </w:rPr>
      </w:pPr>
    </w:p>
    <w:p w:rsidR="00F133D1" w:rsidRPr="008048D6" w:rsidRDefault="00F133D1" w:rsidP="00F133D1">
      <w:pPr>
        <w:ind w:left="851"/>
        <w:rPr>
          <w:sz w:val="24"/>
          <w:szCs w:val="24"/>
        </w:rPr>
      </w:pPr>
      <w:r>
        <w:rPr>
          <w:sz w:val="24"/>
          <w:szCs w:val="24"/>
        </w:rPr>
        <w:t xml:space="preserve">Dette lægemiddel indeholder mindre end 1 mmol (23 mg) natrium pr. depotkapsel, dvs. den er i det væsentlige natrium-fri. </w:t>
      </w:r>
    </w:p>
    <w:p w:rsidR="009F6AF6" w:rsidRPr="008048D6" w:rsidRDefault="009F6AF6" w:rsidP="009F6AF6">
      <w:pPr>
        <w:ind w:left="851"/>
        <w:rPr>
          <w:sz w:val="24"/>
          <w:szCs w:val="24"/>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t>Interaktion med andre lægemidler og andre former for interaktion</w:t>
      </w:r>
    </w:p>
    <w:p w:rsidR="009F6AF6" w:rsidRPr="00A27440" w:rsidRDefault="009F6AF6" w:rsidP="009F6AF6">
      <w:pPr>
        <w:ind w:left="851" w:hanging="851"/>
        <w:rPr>
          <w:sz w:val="24"/>
          <w:szCs w:val="24"/>
        </w:rPr>
      </w:pPr>
      <w:r w:rsidRPr="00A27440">
        <w:rPr>
          <w:sz w:val="24"/>
          <w:szCs w:val="24"/>
        </w:rPr>
        <w:tab/>
        <w:t xml:space="preserve">Samtidig systemisk medicinering med potente CYP3A4-hæmmere, såsom </w:t>
      </w:r>
      <w:proofErr w:type="spellStart"/>
      <w:r w:rsidRPr="00A27440">
        <w:rPr>
          <w:sz w:val="24"/>
          <w:szCs w:val="24"/>
        </w:rPr>
        <w:t>makrolidantibiotika</w:t>
      </w:r>
      <w:proofErr w:type="spellEnd"/>
      <w:r w:rsidRPr="00A27440">
        <w:rPr>
          <w:sz w:val="24"/>
          <w:szCs w:val="24"/>
        </w:rPr>
        <w:t xml:space="preserve"> (</w:t>
      </w:r>
      <w:proofErr w:type="spellStart"/>
      <w:r w:rsidRPr="00A27440">
        <w:rPr>
          <w:sz w:val="24"/>
          <w:szCs w:val="24"/>
        </w:rPr>
        <w:t>erythromycin</w:t>
      </w:r>
      <w:proofErr w:type="spellEnd"/>
      <w:r w:rsidRPr="00A27440">
        <w:rPr>
          <w:sz w:val="24"/>
          <w:szCs w:val="24"/>
        </w:rPr>
        <w:t xml:space="preserve"> og </w:t>
      </w:r>
      <w:proofErr w:type="spellStart"/>
      <w:r w:rsidRPr="00A27440">
        <w:rPr>
          <w:sz w:val="24"/>
          <w:szCs w:val="24"/>
        </w:rPr>
        <w:t>clarithromycin</w:t>
      </w:r>
      <w:proofErr w:type="spellEnd"/>
      <w:r w:rsidRPr="00A27440">
        <w:rPr>
          <w:sz w:val="24"/>
          <w:szCs w:val="24"/>
        </w:rPr>
        <w:t xml:space="preserve">), </w:t>
      </w:r>
      <w:proofErr w:type="spellStart"/>
      <w:r w:rsidRPr="00A27440">
        <w:rPr>
          <w:sz w:val="24"/>
          <w:szCs w:val="24"/>
        </w:rPr>
        <w:t>antimykotika</w:t>
      </w:r>
      <w:proofErr w:type="spellEnd"/>
      <w:r w:rsidRPr="00A27440">
        <w:rPr>
          <w:sz w:val="24"/>
          <w:szCs w:val="24"/>
        </w:rPr>
        <w:t xml:space="preserve"> (f.eks. </w:t>
      </w:r>
      <w:proofErr w:type="spellStart"/>
      <w:r w:rsidRPr="00A27440">
        <w:rPr>
          <w:sz w:val="24"/>
          <w:szCs w:val="24"/>
        </w:rPr>
        <w:t>ketoconazol</w:t>
      </w:r>
      <w:proofErr w:type="spellEnd"/>
      <w:r w:rsidRPr="00A27440">
        <w:rPr>
          <w:sz w:val="24"/>
          <w:szCs w:val="24"/>
        </w:rPr>
        <w:t xml:space="preserve"> og </w:t>
      </w:r>
      <w:proofErr w:type="spellStart"/>
      <w:r w:rsidRPr="00A27440">
        <w:rPr>
          <w:sz w:val="24"/>
          <w:szCs w:val="24"/>
        </w:rPr>
        <w:t>itraconazol</w:t>
      </w:r>
      <w:proofErr w:type="spellEnd"/>
      <w:r w:rsidRPr="00A27440">
        <w:rPr>
          <w:sz w:val="24"/>
          <w:szCs w:val="24"/>
        </w:rPr>
        <w:t xml:space="preserve">) og </w:t>
      </w:r>
      <w:proofErr w:type="spellStart"/>
      <w:r w:rsidRPr="00A27440">
        <w:rPr>
          <w:sz w:val="24"/>
          <w:szCs w:val="24"/>
        </w:rPr>
        <w:t>proteasehæmmere</w:t>
      </w:r>
      <w:proofErr w:type="spellEnd"/>
      <w:r w:rsidRPr="00A27440">
        <w:rPr>
          <w:sz w:val="24"/>
          <w:szCs w:val="24"/>
        </w:rPr>
        <w:t xml:space="preserve"> er ikke anbefalet på grund af øgede serumkoncentrationer af </w:t>
      </w:r>
      <w:proofErr w:type="spellStart"/>
      <w:r w:rsidRPr="00A27440">
        <w:rPr>
          <w:sz w:val="24"/>
          <w:szCs w:val="24"/>
        </w:rPr>
        <w:t>tolterodin</w:t>
      </w:r>
      <w:proofErr w:type="spellEnd"/>
      <w:r w:rsidRPr="00A27440">
        <w:rPr>
          <w:sz w:val="24"/>
          <w:szCs w:val="24"/>
        </w:rPr>
        <w:t xml:space="preserve"> hos personer med ringe CYP2D6-metabolisering og (deraf følgende) risiko for overdosering (se pkt. 4.4). </w:t>
      </w:r>
    </w:p>
    <w:p w:rsidR="009F6AF6" w:rsidRPr="00A27440" w:rsidRDefault="009F6AF6" w:rsidP="009F6AF6">
      <w:pPr>
        <w:ind w:left="851" w:hanging="851"/>
        <w:rPr>
          <w:sz w:val="24"/>
          <w:szCs w:val="24"/>
        </w:rPr>
      </w:pPr>
    </w:p>
    <w:p w:rsidR="009F6AF6" w:rsidRPr="00A27440" w:rsidRDefault="009F6AF6" w:rsidP="009F6AF6">
      <w:pPr>
        <w:ind w:left="851"/>
        <w:rPr>
          <w:sz w:val="24"/>
          <w:szCs w:val="24"/>
        </w:rPr>
      </w:pPr>
      <w:r w:rsidRPr="00A27440">
        <w:rPr>
          <w:sz w:val="24"/>
          <w:szCs w:val="24"/>
        </w:rPr>
        <w:t xml:space="preserve">Samtidig brug af andre lægemidler med </w:t>
      </w:r>
      <w:proofErr w:type="spellStart"/>
      <w:r w:rsidRPr="00A27440">
        <w:rPr>
          <w:sz w:val="24"/>
          <w:szCs w:val="24"/>
        </w:rPr>
        <w:t>antimuskarine</w:t>
      </w:r>
      <w:proofErr w:type="spellEnd"/>
      <w:r w:rsidRPr="00A27440">
        <w:rPr>
          <w:sz w:val="24"/>
          <w:szCs w:val="24"/>
        </w:rPr>
        <w:t xml:space="preserve"> egenskaber kan medføre mere udtalte terapeutiske effekter og bivirkninger. På modsat vis kan den terapeutiske effekt af </w:t>
      </w:r>
      <w:proofErr w:type="spellStart"/>
      <w:r w:rsidRPr="00A27440">
        <w:rPr>
          <w:sz w:val="24"/>
          <w:szCs w:val="24"/>
        </w:rPr>
        <w:t>tolterodin</w:t>
      </w:r>
      <w:proofErr w:type="spellEnd"/>
      <w:r w:rsidRPr="00A27440">
        <w:rPr>
          <w:sz w:val="24"/>
          <w:szCs w:val="24"/>
        </w:rPr>
        <w:t xml:space="preserve"> være nedsat ved samtidig administration af </w:t>
      </w:r>
      <w:proofErr w:type="spellStart"/>
      <w:r w:rsidRPr="00A27440">
        <w:rPr>
          <w:sz w:val="24"/>
          <w:szCs w:val="24"/>
        </w:rPr>
        <w:t>muskarine</w:t>
      </w:r>
      <w:proofErr w:type="spellEnd"/>
      <w:r w:rsidRPr="00A27440">
        <w:rPr>
          <w:sz w:val="24"/>
          <w:szCs w:val="24"/>
        </w:rPr>
        <w:t xml:space="preserve"> </w:t>
      </w:r>
      <w:proofErr w:type="spellStart"/>
      <w:r w:rsidRPr="00A27440">
        <w:rPr>
          <w:sz w:val="24"/>
          <w:szCs w:val="24"/>
        </w:rPr>
        <w:t>kolinerge</w:t>
      </w:r>
      <w:proofErr w:type="spellEnd"/>
      <w:r w:rsidRPr="00A27440">
        <w:rPr>
          <w:sz w:val="24"/>
          <w:szCs w:val="24"/>
        </w:rPr>
        <w:t xml:space="preserve"> receptoragonister. Reduceret gastrisk </w:t>
      </w:r>
      <w:proofErr w:type="spellStart"/>
      <w:r w:rsidRPr="00A27440">
        <w:rPr>
          <w:sz w:val="24"/>
          <w:szCs w:val="24"/>
        </w:rPr>
        <w:t>motilitet</w:t>
      </w:r>
      <w:proofErr w:type="spellEnd"/>
      <w:r w:rsidRPr="00A27440">
        <w:rPr>
          <w:sz w:val="24"/>
          <w:szCs w:val="24"/>
        </w:rPr>
        <w:t xml:space="preserve">, der er forårsaget af </w:t>
      </w:r>
      <w:proofErr w:type="spellStart"/>
      <w:r w:rsidRPr="00A27440">
        <w:rPr>
          <w:sz w:val="24"/>
          <w:szCs w:val="24"/>
        </w:rPr>
        <w:t>antimuskarine</w:t>
      </w:r>
      <w:proofErr w:type="spellEnd"/>
      <w:r w:rsidRPr="00A27440">
        <w:rPr>
          <w:sz w:val="24"/>
          <w:szCs w:val="24"/>
        </w:rPr>
        <w:t xml:space="preserve"> lægemidler, kan påvirke absorptionen af andre lægemidler. </w:t>
      </w:r>
    </w:p>
    <w:p w:rsidR="009F6AF6" w:rsidRPr="00A27440" w:rsidRDefault="009F6AF6" w:rsidP="009F6AF6">
      <w:pPr>
        <w:ind w:left="851"/>
        <w:rPr>
          <w:sz w:val="24"/>
          <w:szCs w:val="24"/>
        </w:rPr>
      </w:pPr>
    </w:p>
    <w:p w:rsidR="009F6AF6" w:rsidRPr="00A27440" w:rsidRDefault="009F6AF6" w:rsidP="009F6AF6">
      <w:pPr>
        <w:ind w:left="851"/>
        <w:rPr>
          <w:sz w:val="24"/>
          <w:szCs w:val="24"/>
        </w:rPr>
      </w:pPr>
      <w:proofErr w:type="spellStart"/>
      <w:r w:rsidRPr="00A27440">
        <w:rPr>
          <w:sz w:val="24"/>
          <w:szCs w:val="24"/>
        </w:rPr>
        <w:t>Tolterodin</w:t>
      </w:r>
      <w:proofErr w:type="spellEnd"/>
      <w:r w:rsidRPr="00A27440">
        <w:rPr>
          <w:sz w:val="24"/>
          <w:szCs w:val="24"/>
        </w:rPr>
        <w:t xml:space="preserve"> kan nedsætte effekten af </w:t>
      </w:r>
      <w:proofErr w:type="spellStart"/>
      <w:r w:rsidRPr="00A27440">
        <w:rPr>
          <w:sz w:val="24"/>
          <w:szCs w:val="24"/>
        </w:rPr>
        <w:t>prokinetika</w:t>
      </w:r>
      <w:proofErr w:type="spellEnd"/>
      <w:r w:rsidRPr="00A27440">
        <w:rPr>
          <w:sz w:val="24"/>
          <w:szCs w:val="24"/>
        </w:rPr>
        <w:t xml:space="preserve">, såsom </w:t>
      </w:r>
      <w:proofErr w:type="spellStart"/>
      <w:r w:rsidRPr="00A27440">
        <w:rPr>
          <w:sz w:val="24"/>
          <w:szCs w:val="24"/>
        </w:rPr>
        <w:t>metoclopramid</w:t>
      </w:r>
      <w:proofErr w:type="spellEnd"/>
      <w:r w:rsidRPr="00A27440">
        <w:rPr>
          <w:sz w:val="24"/>
          <w:szCs w:val="24"/>
        </w:rPr>
        <w:t xml:space="preserve"> og </w:t>
      </w:r>
      <w:proofErr w:type="spellStart"/>
      <w:r w:rsidRPr="00A27440">
        <w:rPr>
          <w:sz w:val="24"/>
          <w:szCs w:val="24"/>
        </w:rPr>
        <w:t>cisaprid</w:t>
      </w:r>
      <w:proofErr w:type="spellEnd"/>
      <w:r w:rsidRPr="00A27440">
        <w:rPr>
          <w:sz w:val="24"/>
          <w:szCs w:val="24"/>
        </w:rPr>
        <w:t xml:space="preserve">. </w:t>
      </w:r>
    </w:p>
    <w:p w:rsidR="009F6AF6" w:rsidRPr="00A27440" w:rsidRDefault="009F6AF6" w:rsidP="009F6AF6">
      <w:pPr>
        <w:ind w:left="851"/>
        <w:rPr>
          <w:sz w:val="24"/>
          <w:szCs w:val="24"/>
        </w:rPr>
      </w:pPr>
    </w:p>
    <w:p w:rsidR="009F6AF6" w:rsidRPr="00A27440" w:rsidRDefault="009F6AF6" w:rsidP="009F6AF6">
      <w:pPr>
        <w:ind w:left="851"/>
        <w:rPr>
          <w:sz w:val="24"/>
          <w:szCs w:val="24"/>
        </w:rPr>
      </w:pPr>
      <w:r w:rsidRPr="00A27440">
        <w:rPr>
          <w:sz w:val="24"/>
          <w:szCs w:val="24"/>
        </w:rPr>
        <w:t xml:space="preserve">Samtidig behandling med </w:t>
      </w:r>
      <w:proofErr w:type="spellStart"/>
      <w:r w:rsidRPr="00A27440">
        <w:rPr>
          <w:sz w:val="24"/>
          <w:szCs w:val="24"/>
        </w:rPr>
        <w:t>fluoxetin</w:t>
      </w:r>
      <w:proofErr w:type="spellEnd"/>
      <w:r w:rsidRPr="00A27440">
        <w:rPr>
          <w:sz w:val="24"/>
          <w:szCs w:val="24"/>
        </w:rPr>
        <w:t xml:space="preserve"> (en potent CYP2D6-hæmmer) medfører ikke klinisk signifikante interaktioner, idet </w:t>
      </w:r>
      <w:proofErr w:type="spellStart"/>
      <w:r w:rsidRPr="00A27440">
        <w:rPr>
          <w:sz w:val="24"/>
          <w:szCs w:val="24"/>
        </w:rPr>
        <w:t>tolterodin</w:t>
      </w:r>
      <w:proofErr w:type="spellEnd"/>
      <w:r w:rsidRPr="00A27440">
        <w:rPr>
          <w:sz w:val="24"/>
          <w:szCs w:val="24"/>
        </w:rPr>
        <w:t xml:space="preserve"> og dets CYP2D6-afhængige metabolit, 5-hydroxymethyl-tolterodin, er </w:t>
      </w:r>
      <w:proofErr w:type="spellStart"/>
      <w:r w:rsidRPr="00A27440">
        <w:rPr>
          <w:sz w:val="24"/>
          <w:szCs w:val="24"/>
        </w:rPr>
        <w:t>ækvipotente</w:t>
      </w:r>
      <w:proofErr w:type="spellEnd"/>
      <w:r w:rsidRPr="00A27440">
        <w:rPr>
          <w:sz w:val="24"/>
          <w:szCs w:val="24"/>
        </w:rPr>
        <w:t xml:space="preserve">. </w:t>
      </w:r>
    </w:p>
    <w:p w:rsidR="009F6AF6" w:rsidRPr="00A27440" w:rsidRDefault="009F6AF6" w:rsidP="009F6AF6">
      <w:pPr>
        <w:ind w:left="851"/>
        <w:rPr>
          <w:sz w:val="24"/>
          <w:szCs w:val="24"/>
        </w:rPr>
      </w:pPr>
    </w:p>
    <w:p w:rsidR="009F6AF6" w:rsidRPr="00A27440" w:rsidRDefault="009F6AF6" w:rsidP="009F6AF6">
      <w:pPr>
        <w:ind w:left="851"/>
        <w:rPr>
          <w:sz w:val="24"/>
          <w:szCs w:val="24"/>
        </w:rPr>
      </w:pPr>
      <w:r w:rsidRPr="00A27440">
        <w:rPr>
          <w:sz w:val="24"/>
          <w:szCs w:val="24"/>
        </w:rPr>
        <w:t xml:space="preserve">Der er ikke påvist nogen interaktioner med </w:t>
      </w:r>
      <w:proofErr w:type="spellStart"/>
      <w:r w:rsidRPr="00A27440">
        <w:rPr>
          <w:sz w:val="24"/>
          <w:szCs w:val="24"/>
        </w:rPr>
        <w:t>warfarin</w:t>
      </w:r>
      <w:proofErr w:type="spellEnd"/>
      <w:r w:rsidRPr="00A27440">
        <w:rPr>
          <w:sz w:val="24"/>
          <w:szCs w:val="24"/>
        </w:rPr>
        <w:t xml:space="preserve"> eller kombinerede orale </w:t>
      </w:r>
      <w:proofErr w:type="spellStart"/>
      <w:r w:rsidRPr="00A27440">
        <w:rPr>
          <w:sz w:val="24"/>
          <w:szCs w:val="24"/>
        </w:rPr>
        <w:t>kontraceptiva</w:t>
      </w:r>
      <w:proofErr w:type="spellEnd"/>
      <w:r w:rsidRPr="00A27440">
        <w:rPr>
          <w:sz w:val="24"/>
          <w:szCs w:val="24"/>
        </w:rPr>
        <w:t xml:space="preserve"> (</w:t>
      </w:r>
      <w:proofErr w:type="spellStart"/>
      <w:r w:rsidRPr="00A27440">
        <w:rPr>
          <w:sz w:val="24"/>
          <w:szCs w:val="24"/>
        </w:rPr>
        <w:t>ethinylestradiol</w:t>
      </w:r>
      <w:proofErr w:type="spellEnd"/>
      <w:r w:rsidRPr="00A27440">
        <w:rPr>
          <w:sz w:val="24"/>
          <w:szCs w:val="24"/>
        </w:rPr>
        <w:t>/</w:t>
      </w:r>
      <w:proofErr w:type="spellStart"/>
      <w:r w:rsidRPr="00A27440">
        <w:rPr>
          <w:sz w:val="24"/>
          <w:szCs w:val="24"/>
        </w:rPr>
        <w:t>levonorgestrel</w:t>
      </w:r>
      <w:proofErr w:type="spellEnd"/>
      <w:r w:rsidRPr="00A27440">
        <w:rPr>
          <w:sz w:val="24"/>
          <w:szCs w:val="24"/>
        </w:rPr>
        <w:t xml:space="preserve">) i interaktionsforsøg.  </w:t>
      </w:r>
    </w:p>
    <w:p w:rsidR="009F6AF6" w:rsidRPr="00A27440" w:rsidRDefault="009F6AF6" w:rsidP="009F6AF6">
      <w:pPr>
        <w:ind w:left="851"/>
        <w:rPr>
          <w:sz w:val="24"/>
          <w:szCs w:val="24"/>
        </w:rPr>
      </w:pPr>
    </w:p>
    <w:p w:rsidR="009F6AF6" w:rsidRPr="00A27440" w:rsidRDefault="009F6AF6" w:rsidP="009F6AF6">
      <w:pPr>
        <w:ind w:left="851"/>
        <w:rPr>
          <w:sz w:val="24"/>
          <w:szCs w:val="24"/>
        </w:rPr>
      </w:pPr>
      <w:r w:rsidRPr="00A27440">
        <w:rPr>
          <w:sz w:val="24"/>
          <w:szCs w:val="24"/>
        </w:rPr>
        <w:t xml:space="preserve">I et klinisk forsøg er der set tegn på, at </w:t>
      </w:r>
      <w:proofErr w:type="spellStart"/>
      <w:r w:rsidRPr="00A27440">
        <w:rPr>
          <w:sz w:val="24"/>
          <w:szCs w:val="24"/>
        </w:rPr>
        <w:t>tolterodin</w:t>
      </w:r>
      <w:proofErr w:type="spellEnd"/>
      <w:r w:rsidRPr="00A27440">
        <w:rPr>
          <w:sz w:val="24"/>
          <w:szCs w:val="24"/>
        </w:rPr>
        <w:t xml:space="preserve"> ikke er en metabolisk hæmmer af CYP2D6, 2C19, 2C9, 3A4 eller 1A2. Der forventes derfor ingen stigning i plasmaniveauerne af lægemidler, der </w:t>
      </w:r>
      <w:proofErr w:type="spellStart"/>
      <w:r w:rsidRPr="00A27440">
        <w:rPr>
          <w:sz w:val="24"/>
          <w:szCs w:val="24"/>
        </w:rPr>
        <w:t>metaboliseres</w:t>
      </w:r>
      <w:proofErr w:type="spellEnd"/>
      <w:r w:rsidRPr="00A27440">
        <w:rPr>
          <w:sz w:val="24"/>
          <w:szCs w:val="24"/>
        </w:rPr>
        <w:t xml:space="preserve"> af disse </w:t>
      </w:r>
      <w:proofErr w:type="spellStart"/>
      <w:r w:rsidRPr="00A27440">
        <w:rPr>
          <w:sz w:val="24"/>
          <w:szCs w:val="24"/>
        </w:rPr>
        <w:t>isoenzymer</w:t>
      </w:r>
      <w:proofErr w:type="spellEnd"/>
      <w:r w:rsidRPr="00A27440">
        <w:rPr>
          <w:sz w:val="24"/>
          <w:szCs w:val="24"/>
        </w:rPr>
        <w:t xml:space="preserve">, i kombination med </w:t>
      </w:r>
      <w:proofErr w:type="spellStart"/>
      <w:r w:rsidRPr="00A27440">
        <w:rPr>
          <w:sz w:val="24"/>
          <w:szCs w:val="24"/>
        </w:rPr>
        <w:t>tolterodin</w:t>
      </w:r>
      <w:proofErr w:type="spellEnd"/>
      <w:r w:rsidRPr="00A27440">
        <w:rPr>
          <w:sz w:val="24"/>
          <w:szCs w:val="24"/>
        </w:rPr>
        <w:t>.</w:t>
      </w:r>
    </w:p>
    <w:p w:rsidR="009F6AF6" w:rsidRPr="008048D6" w:rsidRDefault="009F6AF6" w:rsidP="009F6AF6">
      <w:pPr>
        <w:ind w:left="851" w:hanging="851"/>
        <w:rPr>
          <w:sz w:val="24"/>
          <w:szCs w:val="24"/>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lastRenderedPageBreak/>
        <w:t>Graviditet og amning</w:t>
      </w:r>
    </w:p>
    <w:p w:rsidR="009F6AF6" w:rsidRPr="008048D6" w:rsidRDefault="009F6AF6" w:rsidP="009F6AF6">
      <w:pPr>
        <w:ind w:left="851"/>
        <w:rPr>
          <w:i/>
          <w:sz w:val="24"/>
          <w:szCs w:val="24"/>
        </w:rPr>
      </w:pPr>
      <w:r w:rsidRPr="008048D6">
        <w:rPr>
          <w:i/>
          <w:sz w:val="24"/>
          <w:szCs w:val="24"/>
        </w:rPr>
        <w:t>Fertilitet</w:t>
      </w:r>
    </w:p>
    <w:p w:rsidR="009F6AF6" w:rsidRPr="008048D6" w:rsidRDefault="009F6AF6" w:rsidP="009F6AF6">
      <w:pPr>
        <w:ind w:left="851"/>
        <w:rPr>
          <w:sz w:val="24"/>
          <w:szCs w:val="24"/>
        </w:rPr>
      </w:pPr>
      <w:r w:rsidRPr="008048D6">
        <w:rPr>
          <w:sz w:val="24"/>
          <w:szCs w:val="24"/>
        </w:rPr>
        <w:t xml:space="preserve">Der foreligger ingen data fra fertilitetsforsøg. </w:t>
      </w:r>
    </w:p>
    <w:p w:rsidR="009F6AF6" w:rsidRDefault="009F6AF6" w:rsidP="009F6AF6">
      <w:pPr>
        <w:ind w:left="851" w:hanging="851"/>
        <w:rPr>
          <w:sz w:val="24"/>
          <w:szCs w:val="24"/>
        </w:rPr>
      </w:pPr>
    </w:p>
    <w:p w:rsidR="009F6AF6" w:rsidRPr="008048D6" w:rsidRDefault="009F6AF6" w:rsidP="009F6AF6">
      <w:pPr>
        <w:ind w:left="851" w:hanging="851"/>
        <w:rPr>
          <w:sz w:val="24"/>
          <w:szCs w:val="24"/>
        </w:rPr>
      </w:pPr>
      <w:r w:rsidRPr="008048D6">
        <w:rPr>
          <w:sz w:val="24"/>
          <w:szCs w:val="24"/>
        </w:rPr>
        <w:tab/>
      </w:r>
      <w:r w:rsidRPr="008048D6">
        <w:rPr>
          <w:i/>
          <w:sz w:val="24"/>
          <w:szCs w:val="24"/>
        </w:rPr>
        <w:t xml:space="preserve">Graviditet </w:t>
      </w:r>
    </w:p>
    <w:p w:rsidR="009F6AF6" w:rsidRPr="008048D6" w:rsidRDefault="009F6AF6" w:rsidP="009F6AF6">
      <w:pPr>
        <w:ind w:left="851"/>
        <w:rPr>
          <w:sz w:val="24"/>
          <w:szCs w:val="24"/>
        </w:rPr>
      </w:pPr>
      <w:r w:rsidRPr="008048D6">
        <w:rPr>
          <w:sz w:val="24"/>
          <w:szCs w:val="24"/>
        </w:rPr>
        <w:t xml:space="preserve">Der er ingen eller utilstrækkelige data fra anvendelse af </w:t>
      </w:r>
      <w:proofErr w:type="spellStart"/>
      <w:r w:rsidRPr="008048D6">
        <w:rPr>
          <w:sz w:val="24"/>
          <w:szCs w:val="24"/>
        </w:rPr>
        <w:t>tolterodin</w:t>
      </w:r>
      <w:proofErr w:type="spellEnd"/>
      <w:r w:rsidRPr="008048D6">
        <w:rPr>
          <w:sz w:val="24"/>
          <w:szCs w:val="24"/>
        </w:rPr>
        <w:t xml:space="preserve"> til gravide kvinder. Dyreforsøg har påvist reproduktionstoksicitet (se pkt. 5.3). Den potentielle risiko for mennesker er ukendt. </w:t>
      </w:r>
    </w:p>
    <w:p w:rsidR="009F6AF6" w:rsidRDefault="009F6AF6" w:rsidP="009F6AF6">
      <w:pPr>
        <w:ind w:left="851"/>
        <w:rPr>
          <w:sz w:val="24"/>
          <w:szCs w:val="24"/>
        </w:rPr>
      </w:pPr>
      <w:r w:rsidRPr="008048D6">
        <w:rPr>
          <w:sz w:val="24"/>
          <w:szCs w:val="24"/>
        </w:rPr>
        <w:t xml:space="preserve">Derfor er </w:t>
      </w:r>
      <w:proofErr w:type="spellStart"/>
      <w:r w:rsidRPr="008048D6">
        <w:rPr>
          <w:sz w:val="24"/>
          <w:szCs w:val="24"/>
        </w:rPr>
        <w:t>tolterodin</w:t>
      </w:r>
      <w:proofErr w:type="spellEnd"/>
      <w:r w:rsidRPr="008048D6">
        <w:rPr>
          <w:sz w:val="24"/>
          <w:szCs w:val="24"/>
        </w:rPr>
        <w:t xml:space="preserve"> ikke anbefalet under graviditet. </w:t>
      </w:r>
    </w:p>
    <w:p w:rsidR="009F6AF6" w:rsidRPr="008048D6" w:rsidRDefault="009F6AF6" w:rsidP="009F6AF6">
      <w:pPr>
        <w:ind w:left="851"/>
        <w:rPr>
          <w:sz w:val="24"/>
          <w:szCs w:val="24"/>
        </w:rPr>
      </w:pPr>
    </w:p>
    <w:p w:rsidR="009F6AF6" w:rsidRPr="008048D6" w:rsidRDefault="009F6AF6" w:rsidP="009F6AF6">
      <w:pPr>
        <w:ind w:left="851"/>
        <w:rPr>
          <w:sz w:val="24"/>
          <w:szCs w:val="24"/>
        </w:rPr>
      </w:pPr>
      <w:r w:rsidRPr="008048D6">
        <w:rPr>
          <w:i/>
          <w:sz w:val="24"/>
          <w:szCs w:val="24"/>
        </w:rPr>
        <w:t xml:space="preserve">Amning </w:t>
      </w:r>
    </w:p>
    <w:p w:rsidR="009F6AF6" w:rsidRPr="008048D6" w:rsidRDefault="009F6AF6" w:rsidP="009F6AF6">
      <w:pPr>
        <w:ind w:left="851"/>
        <w:rPr>
          <w:sz w:val="24"/>
          <w:szCs w:val="24"/>
        </w:rPr>
      </w:pPr>
      <w:r w:rsidRPr="008048D6">
        <w:rPr>
          <w:sz w:val="24"/>
          <w:szCs w:val="24"/>
        </w:rPr>
        <w:t xml:space="preserve">Der foreligger ingen data vedrørende udskillelsen af </w:t>
      </w:r>
      <w:proofErr w:type="spellStart"/>
      <w:r w:rsidRPr="008048D6">
        <w:rPr>
          <w:sz w:val="24"/>
          <w:szCs w:val="24"/>
        </w:rPr>
        <w:t>tolterodin</w:t>
      </w:r>
      <w:proofErr w:type="spellEnd"/>
      <w:r w:rsidRPr="008048D6">
        <w:rPr>
          <w:sz w:val="24"/>
          <w:szCs w:val="24"/>
        </w:rPr>
        <w:t xml:space="preserve"> i modermælk. </w:t>
      </w:r>
      <w:proofErr w:type="spellStart"/>
      <w:r w:rsidRPr="008048D6">
        <w:rPr>
          <w:sz w:val="24"/>
          <w:szCs w:val="24"/>
        </w:rPr>
        <w:t>Tolterodin</w:t>
      </w:r>
      <w:proofErr w:type="spellEnd"/>
      <w:r w:rsidRPr="008048D6">
        <w:rPr>
          <w:sz w:val="24"/>
          <w:szCs w:val="24"/>
        </w:rPr>
        <w:t xml:space="preserve"> skal undgås under amning.</w:t>
      </w:r>
    </w:p>
    <w:p w:rsidR="009F6AF6" w:rsidRPr="008048D6" w:rsidRDefault="009F6AF6" w:rsidP="009F6AF6">
      <w:pPr>
        <w:ind w:left="851" w:hanging="851"/>
        <w:rPr>
          <w:sz w:val="24"/>
          <w:szCs w:val="24"/>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t>Virkninger på evnen til at føre motorkøretøj eller betjene maskiner</w:t>
      </w:r>
    </w:p>
    <w:p w:rsidR="009F6AF6" w:rsidRPr="008048D6" w:rsidRDefault="009F6AF6" w:rsidP="009F6AF6">
      <w:pPr>
        <w:ind w:left="851" w:hanging="851"/>
        <w:rPr>
          <w:sz w:val="24"/>
          <w:szCs w:val="24"/>
        </w:rPr>
      </w:pPr>
      <w:r w:rsidRPr="008048D6">
        <w:rPr>
          <w:sz w:val="24"/>
          <w:szCs w:val="24"/>
        </w:rPr>
        <w:tab/>
        <w:t>Ikke mærkning.</w:t>
      </w:r>
    </w:p>
    <w:p w:rsidR="009F6AF6" w:rsidRPr="008048D6" w:rsidRDefault="009F6AF6" w:rsidP="009F6AF6">
      <w:pPr>
        <w:ind w:left="851"/>
        <w:rPr>
          <w:sz w:val="24"/>
          <w:szCs w:val="24"/>
        </w:rPr>
      </w:pPr>
      <w:r w:rsidRPr="008048D6">
        <w:rPr>
          <w:sz w:val="24"/>
          <w:szCs w:val="24"/>
        </w:rPr>
        <w:t>Da denne medicin kan forårsage akkommodationsforstyrrelser og påvirke reaktionstiden, kan evnen til at føre motorkøretøj og betjene maskiner være negativt påvirket.</w:t>
      </w:r>
    </w:p>
    <w:p w:rsidR="009F6AF6" w:rsidRPr="008048D6" w:rsidRDefault="009F6AF6" w:rsidP="009F6AF6">
      <w:pPr>
        <w:ind w:left="851" w:hanging="851"/>
        <w:rPr>
          <w:sz w:val="24"/>
          <w:szCs w:val="24"/>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t>Bivirkninger</w:t>
      </w:r>
    </w:p>
    <w:p w:rsidR="009F6AF6" w:rsidRPr="008048D6" w:rsidRDefault="009F6AF6" w:rsidP="009F6AF6">
      <w:pPr>
        <w:ind w:left="851" w:hanging="851"/>
        <w:rPr>
          <w:sz w:val="24"/>
          <w:szCs w:val="24"/>
        </w:rPr>
      </w:pPr>
      <w:r w:rsidRPr="008048D6">
        <w:rPr>
          <w:sz w:val="24"/>
          <w:szCs w:val="24"/>
        </w:rPr>
        <w:tab/>
      </w:r>
      <w:proofErr w:type="spellStart"/>
      <w:r w:rsidRPr="008048D6">
        <w:rPr>
          <w:sz w:val="24"/>
          <w:szCs w:val="24"/>
        </w:rPr>
        <w:t>Tolterodin</w:t>
      </w:r>
      <w:proofErr w:type="spellEnd"/>
      <w:r w:rsidRPr="008048D6">
        <w:rPr>
          <w:sz w:val="24"/>
          <w:szCs w:val="24"/>
        </w:rPr>
        <w:t xml:space="preserve"> kan på grund af sine farmakologiske effekter forårsage milde til moderate </w:t>
      </w:r>
      <w:proofErr w:type="spellStart"/>
      <w:r w:rsidRPr="008048D6">
        <w:rPr>
          <w:sz w:val="24"/>
          <w:szCs w:val="24"/>
        </w:rPr>
        <w:t>antimuskarine</w:t>
      </w:r>
      <w:proofErr w:type="spellEnd"/>
      <w:r w:rsidRPr="008048D6">
        <w:rPr>
          <w:sz w:val="24"/>
          <w:szCs w:val="24"/>
        </w:rPr>
        <w:t xml:space="preserve"> effekter, såsom mundtørhed, dyspepsi og tørre øjne. </w:t>
      </w:r>
    </w:p>
    <w:p w:rsidR="009F6AF6" w:rsidRPr="008048D6" w:rsidRDefault="009F6AF6" w:rsidP="009F6AF6">
      <w:pPr>
        <w:ind w:left="851"/>
        <w:rPr>
          <w:sz w:val="24"/>
          <w:szCs w:val="24"/>
        </w:rPr>
      </w:pPr>
      <w:r w:rsidRPr="008048D6">
        <w:rPr>
          <w:sz w:val="24"/>
          <w:szCs w:val="24"/>
        </w:rPr>
        <w:t>Bivirkninger er angivet nedenfor efter systemorganklasse og frekvens. Frekvenserne er defineret som: meget almindelig (≥ 1/10), almindelig (≥ 1/100 til &lt; 1/10), ikke almindelig (≥ 1/1.000 til &lt; 1/100), sjælden (≥ 1/10.000 til &lt; 1/1.000), meget sjælden (&lt; 1/10.000) og ikke kendt (kan ikke estimeres ud fra forhåndenværende data).</w:t>
      </w:r>
    </w:p>
    <w:p w:rsidR="009F6AF6" w:rsidRPr="008048D6" w:rsidRDefault="009F6AF6" w:rsidP="009F6AF6">
      <w:pPr>
        <w:ind w:left="851"/>
        <w:rPr>
          <w:sz w:val="24"/>
          <w:szCs w:val="24"/>
        </w:rPr>
      </w:pPr>
      <w:r w:rsidRPr="008048D6">
        <w:rPr>
          <w:sz w:val="24"/>
          <w:szCs w:val="24"/>
        </w:rPr>
        <w:t xml:space="preserve">Nedenstående tabel afspejler de data, der er indhentet under kliniske forsøg med </w:t>
      </w:r>
      <w:proofErr w:type="spellStart"/>
      <w:r w:rsidRPr="008048D6">
        <w:rPr>
          <w:sz w:val="24"/>
          <w:szCs w:val="24"/>
        </w:rPr>
        <w:t>tolterodin</w:t>
      </w:r>
      <w:proofErr w:type="spellEnd"/>
      <w:r w:rsidRPr="008048D6">
        <w:rPr>
          <w:sz w:val="24"/>
          <w:szCs w:val="24"/>
        </w:rPr>
        <w:t xml:space="preserve"> og efter markedsføring. De mest almindeligt indberettede bivirkninger var mundtørhed, som forekom hos 23,4 % af de patienter, der blev behandlet med langsomt frigivet </w:t>
      </w:r>
      <w:proofErr w:type="spellStart"/>
      <w:r w:rsidRPr="008048D6">
        <w:rPr>
          <w:sz w:val="24"/>
          <w:szCs w:val="24"/>
        </w:rPr>
        <w:t>tolterodin</w:t>
      </w:r>
      <w:proofErr w:type="spellEnd"/>
      <w:r w:rsidRPr="008048D6">
        <w:rPr>
          <w:sz w:val="24"/>
          <w:szCs w:val="24"/>
        </w:rPr>
        <w:t xml:space="preserve">, og hos 7,7 % af de patienter, der blev behandlet med placebo. </w:t>
      </w:r>
    </w:p>
    <w:p w:rsidR="009F6AF6" w:rsidRDefault="009F6AF6" w:rsidP="009F6AF6">
      <w:pPr>
        <w:ind w:left="851" w:hanging="851"/>
        <w:rPr>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164"/>
        <w:gridCol w:w="1330"/>
        <w:gridCol w:w="2429"/>
        <w:gridCol w:w="2047"/>
        <w:gridCol w:w="1668"/>
      </w:tblGrid>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Systemorgan-klasse</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b/>
                <w:sz w:val="22"/>
                <w:szCs w:val="22"/>
              </w:rPr>
            </w:pPr>
            <w:r>
              <w:rPr>
                <w:b/>
                <w:sz w:val="22"/>
                <w:szCs w:val="22"/>
              </w:rPr>
              <w:t xml:space="preserve">Meget </w:t>
            </w:r>
          </w:p>
          <w:p w:rsidR="009F6AF6" w:rsidRDefault="009F6AF6" w:rsidP="003B4BCE">
            <w:pPr>
              <w:rPr>
                <w:b/>
                <w:sz w:val="22"/>
                <w:szCs w:val="22"/>
              </w:rPr>
            </w:pPr>
            <w:r>
              <w:rPr>
                <w:b/>
                <w:sz w:val="22"/>
                <w:szCs w:val="22"/>
              </w:rPr>
              <w:t>almindelig</w:t>
            </w:r>
          </w:p>
          <w:p w:rsidR="009F6AF6" w:rsidRDefault="009F6AF6" w:rsidP="003B4BCE">
            <w:pPr>
              <w:rPr>
                <w:sz w:val="22"/>
                <w:szCs w:val="22"/>
              </w:rPr>
            </w:pPr>
            <w:r>
              <w:rPr>
                <w:sz w:val="22"/>
                <w:szCs w:val="22"/>
              </w:rPr>
              <w:t>(</w:t>
            </w:r>
            <w:r>
              <w:rPr>
                <w:b/>
                <w:sz w:val="22"/>
                <w:szCs w:val="22"/>
              </w:rPr>
              <w:t>≥</w:t>
            </w:r>
            <w:r>
              <w:rPr>
                <w:sz w:val="22"/>
                <w:szCs w:val="22"/>
              </w:rPr>
              <w:t xml:space="preserve"> 1/10)</w:t>
            </w: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b/>
                <w:sz w:val="22"/>
                <w:szCs w:val="22"/>
              </w:rPr>
            </w:pPr>
            <w:r>
              <w:rPr>
                <w:b/>
                <w:sz w:val="22"/>
                <w:szCs w:val="22"/>
              </w:rPr>
              <w:t>Almindelig</w:t>
            </w:r>
          </w:p>
          <w:p w:rsidR="009F6AF6" w:rsidRDefault="009F6AF6" w:rsidP="003B4BCE">
            <w:pPr>
              <w:rPr>
                <w:sz w:val="22"/>
                <w:szCs w:val="22"/>
              </w:rPr>
            </w:pPr>
            <w:r>
              <w:rPr>
                <w:sz w:val="22"/>
                <w:szCs w:val="22"/>
              </w:rPr>
              <w:t>(≥ 1/100 til &lt;1/10)</w:t>
            </w: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b/>
                <w:sz w:val="22"/>
                <w:szCs w:val="22"/>
              </w:rPr>
            </w:pPr>
            <w:r>
              <w:rPr>
                <w:b/>
                <w:sz w:val="22"/>
                <w:szCs w:val="22"/>
              </w:rPr>
              <w:t>Ikke almindelig</w:t>
            </w:r>
          </w:p>
          <w:p w:rsidR="009F6AF6" w:rsidRDefault="009F6AF6" w:rsidP="003B4BCE">
            <w:pPr>
              <w:rPr>
                <w:sz w:val="22"/>
                <w:szCs w:val="22"/>
              </w:rPr>
            </w:pPr>
            <w:r>
              <w:rPr>
                <w:sz w:val="22"/>
                <w:szCs w:val="22"/>
              </w:rPr>
              <w:t>(≥ 1/1.000 til &lt;1/100)</w:t>
            </w: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r>
              <w:rPr>
                <w:b/>
                <w:sz w:val="22"/>
                <w:szCs w:val="22"/>
              </w:rPr>
              <w:t>Ikke kendt</w:t>
            </w:r>
            <w:r>
              <w:rPr>
                <w:sz w:val="22"/>
                <w:szCs w:val="22"/>
              </w:rPr>
              <w:t xml:space="preserve"> </w:t>
            </w:r>
          </w:p>
          <w:p w:rsidR="009F6AF6" w:rsidRDefault="009F6AF6" w:rsidP="003B4BCE">
            <w:pPr>
              <w:rPr>
                <w:sz w:val="22"/>
                <w:szCs w:val="22"/>
              </w:rPr>
            </w:pPr>
            <w:r>
              <w:rPr>
                <w:sz w:val="22"/>
                <w:szCs w:val="22"/>
              </w:rPr>
              <w:t xml:space="preserve">(kan ikke </w:t>
            </w:r>
          </w:p>
          <w:p w:rsidR="009F6AF6" w:rsidRDefault="009F6AF6" w:rsidP="003B4BCE">
            <w:pPr>
              <w:rPr>
                <w:sz w:val="22"/>
                <w:szCs w:val="22"/>
              </w:rPr>
            </w:pPr>
            <w:r>
              <w:rPr>
                <w:sz w:val="22"/>
                <w:szCs w:val="22"/>
              </w:rPr>
              <w:t>estimeres ud fra forhånden-</w:t>
            </w:r>
          </w:p>
          <w:p w:rsidR="009F6AF6" w:rsidRDefault="009F6AF6" w:rsidP="003B4BCE">
            <w:pPr>
              <w:rPr>
                <w:sz w:val="22"/>
                <w:szCs w:val="22"/>
              </w:rPr>
            </w:pPr>
            <w:r>
              <w:rPr>
                <w:sz w:val="22"/>
                <w:szCs w:val="22"/>
              </w:rPr>
              <w:t>værende data)</w:t>
            </w: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 xml:space="preserve">Infektioner og </w:t>
            </w:r>
            <w:r>
              <w:rPr>
                <w:b/>
                <w:sz w:val="22"/>
                <w:szCs w:val="22"/>
              </w:rPr>
              <w:br/>
              <w:t xml:space="preserve">parasitære </w:t>
            </w:r>
            <w:r>
              <w:rPr>
                <w:b/>
                <w:sz w:val="22"/>
                <w:szCs w:val="22"/>
              </w:rPr>
              <w:br/>
              <w:t>sygdomme</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roofErr w:type="spellStart"/>
            <w:r>
              <w:rPr>
                <w:sz w:val="22"/>
                <w:szCs w:val="22"/>
              </w:rPr>
              <w:t>Sinuitis</w:t>
            </w:r>
            <w:proofErr w:type="spellEnd"/>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0"/>
                <w:lang w:eastAsia="da-DK"/>
              </w:rPr>
            </w:pP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Immunsystemet</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0"/>
                <w:lang w:eastAsia="da-DK"/>
              </w:rPr>
            </w:pP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Overfølsomhed, der ikke er specificeret på anden vis</w:t>
            </w: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roofErr w:type="spellStart"/>
            <w:r>
              <w:rPr>
                <w:sz w:val="22"/>
                <w:szCs w:val="22"/>
              </w:rPr>
              <w:t>Anafylaktoide</w:t>
            </w:r>
            <w:proofErr w:type="spellEnd"/>
            <w:r>
              <w:rPr>
                <w:sz w:val="22"/>
                <w:szCs w:val="22"/>
              </w:rPr>
              <w:t xml:space="preserve"> reaktioner</w:t>
            </w: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 xml:space="preserve">Psykiske </w:t>
            </w:r>
            <w:r>
              <w:rPr>
                <w:b/>
                <w:sz w:val="22"/>
                <w:szCs w:val="22"/>
              </w:rPr>
              <w:br/>
              <w:t>forstyrrelser</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0"/>
                <w:lang w:eastAsia="da-DK"/>
              </w:rPr>
            </w:pP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Nervøsitet</w:t>
            </w: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r>
              <w:rPr>
                <w:sz w:val="22"/>
                <w:szCs w:val="22"/>
              </w:rPr>
              <w:t>Forvirring, hallucinationer, desorientering</w:t>
            </w: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Nervesystemet</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Svimmelhed, døsighed, hovedpine</w:t>
            </w: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roofErr w:type="spellStart"/>
            <w:r>
              <w:rPr>
                <w:sz w:val="22"/>
                <w:szCs w:val="22"/>
              </w:rPr>
              <w:t>Paræstesi</w:t>
            </w:r>
            <w:proofErr w:type="spellEnd"/>
            <w:r>
              <w:rPr>
                <w:sz w:val="22"/>
                <w:szCs w:val="22"/>
              </w:rPr>
              <w:t xml:space="preserve">, </w:t>
            </w:r>
            <w:r>
              <w:rPr>
                <w:sz w:val="22"/>
                <w:szCs w:val="22"/>
              </w:rPr>
              <w:br/>
              <w:t>hukommelses-</w:t>
            </w:r>
            <w:r>
              <w:rPr>
                <w:sz w:val="22"/>
                <w:szCs w:val="22"/>
              </w:rPr>
              <w:br/>
              <w:t>svækkelse</w:t>
            </w: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lastRenderedPageBreak/>
              <w:t>Øjne</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 xml:space="preserve">Tørre øjne, unormalt syn (inklusiv </w:t>
            </w:r>
            <w:proofErr w:type="spellStart"/>
            <w:r>
              <w:rPr>
                <w:sz w:val="22"/>
                <w:szCs w:val="22"/>
              </w:rPr>
              <w:t>akkommoda</w:t>
            </w:r>
            <w:proofErr w:type="spellEnd"/>
            <w:r>
              <w:rPr>
                <w:sz w:val="22"/>
                <w:szCs w:val="22"/>
              </w:rPr>
              <w:noBreakHyphen/>
            </w:r>
            <w:r>
              <w:rPr>
                <w:sz w:val="22"/>
                <w:szCs w:val="22"/>
              </w:rPr>
              <w:br/>
            </w:r>
            <w:proofErr w:type="spellStart"/>
            <w:r>
              <w:rPr>
                <w:sz w:val="22"/>
                <w:szCs w:val="22"/>
              </w:rPr>
              <w:t>tionsforstyrrelser</w:t>
            </w:r>
            <w:proofErr w:type="spellEnd"/>
            <w:r>
              <w:rPr>
                <w:sz w:val="22"/>
                <w:szCs w:val="22"/>
              </w:rPr>
              <w:t>)</w:t>
            </w: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0"/>
                <w:lang w:eastAsia="da-DK"/>
              </w:rPr>
            </w:pP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Øre og labyrint</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0"/>
                <w:lang w:eastAsia="da-DK"/>
              </w:rPr>
            </w:pP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roofErr w:type="spellStart"/>
            <w:r>
              <w:rPr>
                <w:sz w:val="22"/>
                <w:szCs w:val="22"/>
              </w:rPr>
              <w:t>Vertigo</w:t>
            </w:r>
            <w:proofErr w:type="spellEnd"/>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Hjerte</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0"/>
                <w:lang w:eastAsia="da-DK"/>
              </w:rPr>
            </w:pP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roofErr w:type="spellStart"/>
            <w:r>
              <w:rPr>
                <w:sz w:val="22"/>
                <w:szCs w:val="22"/>
              </w:rPr>
              <w:t>Palpitationer</w:t>
            </w:r>
            <w:proofErr w:type="spellEnd"/>
            <w:r>
              <w:rPr>
                <w:sz w:val="22"/>
                <w:szCs w:val="22"/>
              </w:rPr>
              <w:t xml:space="preserve">, </w:t>
            </w:r>
            <w:r>
              <w:rPr>
                <w:sz w:val="22"/>
                <w:szCs w:val="22"/>
              </w:rPr>
              <w:br/>
              <w:t xml:space="preserve">hjertesvigt, </w:t>
            </w:r>
            <w:proofErr w:type="spellStart"/>
            <w:r>
              <w:rPr>
                <w:sz w:val="22"/>
                <w:szCs w:val="22"/>
              </w:rPr>
              <w:t>arytmier</w:t>
            </w:r>
            <w:proofErr w:type="spellEnd"/>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roofErr w:type="spellStart"/>
            <w:r>
              <w:rPr>
                <w:sz w:val="22"/>
                <w:szCs w:val="22"/>
              </w:rPr>
              <w:t>Takykardi</w:t>
            </w:r>
            <w:proofErr w:type="spellEnd"/>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proofErr w:type="spellStart"/>
            <w:r>
              <w:rPr>
                <w:b/>
                <w:sz w:val="22"/>
                <w:szCs w:val="22"/>
              </w:rPr>
              <w:t>Vaskulære</w:t>
            </w:r>
            <w:proofErr w:type="spellEnd"/>
            <w:r>
              <w:rPr>
                <w:b/>
                <w:sz w:val="22"/>
                <w:szCs w:val="22"/>
              </w:rPr>
              <w:t xml:space="preserve"> </w:t>
            </w:r>
            <w:r>
              <w:rPr>
                <w:b/>
                <w:sz w:val="22"/>
                <w:szCs w:val="22"/>
              </w:rPr>
              <w:br/>
              <w:t>sygdomme</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0"/>
                <w:lang w:eastAsia="da-DK"/>
              </w:rPr>
            </w:pP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0"/>
                <w:lang w:eastAsia="da-DK"/>
              </w:rPr>
            </w:pP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roofErr w:type="spellStart"/>
            <w:r>
              <w:rPr>
                <w:sz w:val="22"/>
                <w:szCs w:val="22"/>
              </w:rPr>
              <w:t>Blussen</w:t>
            </w:r>
            <w:proofErr w:type="spellEnd"/>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Mave-tarm-</w:t>
            </w:r>
            <w:r>
              <w:rPr>
                <w:b/>
                <w:sz w:val="22"/>
                <w:szCs w:val="22"/>
              </w:rPr>
              <w:br/>
              <w:t>kanalen</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Mundtørhed</w:t>
            </w: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 xml:space="preserve">Dyspepsi, obstipation, mavesmerter, </w:t>
            </w:r>
            <w:proofErr w:type="spellStart"/>
            <w:r>
              <w:rPr>
                <w:sz w:val="22"/>
                <w:szCs w:val="22"/>
              </w:rPr>
              <w:t>flatulens</w:t>
            </w:r>
            <w:proofErr w:type="spellEnd"/>
            <w:r>
              <w:rPr>
                <w:sz w:val="22"/>
                <w:szCs w:val="22"/>
              </w:rPr>
              <w:t>, diarré</w:t>
            </w: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roofErr w:type="spellStart"/>
            <w:r>
              <w:rPr>
                <w:sz w:val="22"/>
                <w:szCs w:val="22"/>
              </w:rPr>
              <w:t>Gastroøsofageal</w:t>
            </w:r>
            <w:proofErr w:type="spellEnd"/>
            <w:r>
              <w:rPr>
                <w:sz w:val="22"/>
                <w:szCs w:val="22"/>
              </w:rPr>
              <w:t xml:space="preserve"> </w:t>
            </w:r>
            <w:proofErr w:type="spellStart"/>
            <w:r>
              <w:rPr>
                <w:sz w:val="22"/>
                <w:szCs w:val="22"/>
              </w:rPr>
              <w:t>refluks</w:t>
            </w:r>
            <w:proofErr w:type="spellEnd"/>
            <w:r>
              <w:rPr>
                <w:sz w:val="22"/>
                <w:szCs w:val="22"/>
              </w:rPr>
              <w:t xml:space="preserve">, </w:t>
            </w:r>
            <w:r>
              <w:rPr>
                <w:sz w:val="22"/>
                <w:szCs w:val="22"/>
              </w:rPr>
              <w:br/>
              <w:t>opkastning</w:t>
            </w: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Hud og subkutane væv</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0"/>
                <w:lang w:eastAsia="da-DK"/>
              </w:rPr>
            </w:pP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0"/>
                <w:lang w:eastAsia="da-DK"/>
              </w:rPr>
            </w:pP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roofErr w:type="spellStart"/>
            <w:r>
              <w:rPr>
                <w:sz w:val="22"/>
                <w:szCs w:val="22"/>
              </w:rPr>
              <w:t>Angioødem</w:t>
            </w:r>
            <w:proofErr w:type="spellEnd"/>
            <w:r>
              <w:rPr>
                <w:sz w:val="22"/>
                <w:szCs w:val="22"/>
              </w:rPr>
              <w:t>, tør hud</w:t>
            </w: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Nyrer og urinveje</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roofErr w:type="spellStart"/>
            <w:r>
              <w:rPr>
                <w:sz w:val="22"/>
                <w:szCs w:val="22"/>
              </w:rPr>
              <w:t>Dysuri</w:t>
            </w:r>
            <w:proofErr w:type="spellEnd"/>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Urinretention</w:t>
            </w: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
        </w:tc>
      </w:tr>
      <w:tr w:rsidR="009F6AF6" w:rsidTr="003B4BCE">
        <w:trPr>
          <w:tblCellSpacing w:w="0" w:type="dxa"/>
        </w:trPr>
        <w:tc>
          <w:tcPr>
            <w:tcW w:w="975" w:type="pct"/>
            <w:tcBorders>
              <w:top w:val="outset" w:sz="6" w:space="0" w:color="auto"/>
              <w:left w:val="nil"/>
              <w:bottom w:val="outset" w:sz="6" w:space="0" w:color="auto"/>
              <w:right w:val="outset" w:sz="6" w:space="0" w:color="auto"/>
            </w:tcBorders>
            <w:hideMark/>
          </w:tcPr>
          <w:p w:rsidR="009F6AF6" w:rsidRDefault="009F6AF6" w:rsidP="003B4BCE">
            <w:pPr>
              <w:rPr>
                <w:sz w:val="22"/>
                <w:szCs w:val="22"/>
              </w:rPr>
            </w:pPr>
            <w:r>
              <w:rPr>
                <w:b/>
                <w:sz w:val="22"/>
                <w:szCs w:val="22"/>
              </w:rPr>
              <w:t xml:space="preserve">Almene </w:t>
            </w:r>
            <w:r>
              <w:rPr>
                <w:b/>
                <w:sz w:val="22"/>
                <w:szCs w:val="22"/>
              </w:rPr>
              <w:br/>
              <w:t xml:space="preserve">symptomer og </w:t>
            </w:r>
            <w:r>
              <w:rPr>
                <w:b/>
                <w:sz w:val="22"/>
                <w:szCs w:val="22"/>
              </w:rPr>
              <w:br/>
              <w:t xml:space="preserve">reaktioner på </w:t>
            </w:r>
            <w:r>
              <w:rPr>
                <w:b/>
                <w:sz w:val="22"/>
                <w:szCs w:val="22"/>
              </w:rPr>
              <w:br/>
              <w:t>administrationsstedet</w:t>
            </w:r>
          </w:p>
        </w:tc>
        <w:tc>
          <w:tcPr>
            <w:tcW w:w="72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p>
        </w:tc>
        <w:tc>
          <w:tcPr>
            <w:tcW w:w="1297"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 xml:space="preserve">Træthed, perifert ødem </w:t>
            </w:r>
          </w:p>
        </w:tc>
        <w:tc>
          <w:tcPr>
            <w:tcW w:w="1099" w:type="pct"/>
            <w:tcBorders>
              <w:top w:val="outset" w:sz="6" w:space="0" w:color="auto"/>
              <w:left w:val="outset" w:sz="6" w:space="0" w:color="auto"/>
              <w:bottom w:val="outset" w:sz="6" w:space="0" w:color="auto"/>
              <w:right w:val="outset" w:sz="6" w:space="0" w:color="auto"/>
            </w:tcBorders>
            <w:hideMark/>
          </w:tcPr>
          <w:p w:rsidR="009F6AF6" w:rsidRDefault="009F6AF6" w:rsidP="003B4BCE">
            <w:pPr>
              <w:rPr>
                <w:sz w:val="22"/>
                <w:szCs w:val="22"/>
              </w:rPr>
            </w:pPr>
            <w:r>
              <w:rPr>
                <w:sz w:val="22"/>
                <w:szCs w:val="22"/>
              </w:rPr>
              <w:t>Smerter i brystkassen</w:t>
            </w:r>
          </w:p>
        </w:tc>
        <w:tc>
          <w:tcPr>
            <w:tcW w:w="902" w:type="pct"/>
            <w:tcBorders>
              <w:top w:val="outset" w:sz="6" w:space="0" w:color="auto"/>
              <w:left w:val="outset" w:sz="6" w:space="0" w:color="auto"/>
              <w:bottom w:val="outset" w:sz="6" w:space="0" w:color="auto"/>
              <w:right w:val="nil"/>
            </w:tcBorders>
            <w:hideMark/>
          </w:tcPr>
          <w:p w:rsidR="009F6AF6" w:rsidRDefault="009F6AF6" w:rsidP="003B4BCE">
            <w:pPr>
              <w:rPr>
                <w:sz w:val="22"/>
                <w:szCs w:val="22"/>
              </w:rPr>
            </w:pPr>
          </w:p>
        </w:tc>
      </w:tr>
    </w:tbl>
    <w:p w:rsidR="009F6AF6" w:rsidRDefault="009F6AF6" w:rsidP="009F6AF6">
      <w:pPr>
        <w:ind w:left="851" w:hanging="851"/>
        <w:rPr>
          <w:sz w:val="22"/>
          <w:szCs w:val="22"/>
        </w:rPr>
      </w:pPr>
    </w:p>
    <w:p w:rsidR="009F6AF6" w:rsidRPr="00A27440" w:rsidRDefault="009F6AF6" w:rsidP="009F6AF6">
      <w:pPr>
        <w:ind w:left="851"/>
        <w:rPr>
          <w:sz w:val="24"/>
          <w:szCs w:val="24"/>
        </w:rPr>
      </w:pPr>
      <w:r w:rsidRPr="00A27440">
        <w:rPr>
          <w:sz w:val="24"/>
          <w:szCs w:val="24"/>
        </w:rPr>
        <w:t xml:space="preserve">Der er rapporteret om tilfælde af forværring af symptomer på demens (f.eks. forvirring, desorientering, vrangforestillinger) efter indledning af </w:t>
      </w:r>
      <w:proofErr w:type="spellStart"/>
      <w:r w:rsidRPr="00A27440">
        <w:rPr>
          <w:sz w:val="24"/>
          <w:szCs w:val="24"/>
        </w:rPr>
        <w:t>tolterodinbehandling</w:t>
      </w:r>
      <w:proofErr w:type="spellEnd"/>
      <w:r w:rsidRPr="00A27440">
        <w:rPr>
          <w:sz w:val="24"/>
          <w:szCs w:val="24"/>
        </w:rPr>
        <w:t xml:space="preserve"> hos patienter, der tog </w:t>
      </w:r>
      <w:proofErr w:type="spellStart"/>
      <w:r w:rsidRPr="00A27440">
        <w:rPr>
          <w:sz w:val="24"/>
          <w:szCs w:val="24"/>
        </w:rPr>
        <w:t>kolinesterasehæmmere</w:t>
      </w:r>
      <w:proofErr w:type="spellEnd"/>
      <w:r w:rsidRPr="00A27440">
        <w:rPr>
          <w:sz w:val="24"/>
          <w:szCs w:val="24"/>
        </w:rPr>
        <w:t xml:space="preserve"> til behandling af demens. </w:t>
      </w:r>
    </w:p>
    <w:p w:rsidR="009F6AF6" w:rsidRPr="00A27440" w:rsidRDefault="009F6AF6" w:rsidP="009F6AF6">
      <w:pPr>
        <w:ind w:left="851"/>
        <w:rPr>
          <w:sz w:val="24"/>
          <w:szCs w:val="24"/>
        </w:rPr>
      </w:pPr>
    </w:p>
    <w:p w:rsidR="009F6AF6" w:rsidRPr="00A27440" w:rsidRDefault="009F6AF6" w:rsidP="009F6AF6">
      <w:pPr>
        <w:ind w:left="851"/>
        <w:rPr>
          <w:i/>
          <w:sz w:val="24"/>
          <w:szCs w:val="24"/>
        </w:rPr>
      </w:pPr>
      <w:r w:rsidRPr="00A27440">
        <w:rPr>
          <w:i/>
          <w:sz w:val="24"/>
          <w:szCs w:val="24"/>
        </w:rPr>
        <w:t xml:space="preserve">Pædiatrisk population </w:t>
      </w:r>
    </w:p>
    <w:p w:rsidR="009F6AF6" w:rsidRPr="00A27440" w:rsidRDefault="009F6AF6" w:rsidP="009F6AF6">
      <w:pPr>
        <w:ind w:left="851"/>
        <w:rPr>
          <w:sz w:val="24"/>
          <w:szCs w:val="24"/>
        </w:rPr>
      </w:pPr>
      <w:r w:rsidRPr="00A27440">
        <w:rPr>
          <w:sz w:val="24"/>
          <w:szCs w:val="24"/>
        </w:rPr>
        <w:t xml:space="preserve">I to randomiserede, placebokontrollerede, dobbeltblinde fase III-forsøg med pædiatriske patienter udført over 12 uger, til hvilke der blev rekrutteret i alt 710 pædiatriske patienter, var andelen af patienter med urinvejsinfektioner, diarré og abnorm adfærd højere hos de patienter, der blev behandlet med </w:t>
      </w:r>
      <w:proofErr w:type="spellStart"/>
      <w:r w:rsidRPr="00A27440">
        <w:rPr>
          <w:sz w:val="24"/>
          <w:szCs w:val="24"/>
        </w:rPr>
        <w:t>tolterodin</w:t>
      </w:r>
      <w:proofErr w:type="spellEnd"/>
      <w:r w:rsidRPr="00A27440">
        <w:rPr>
          <w:sz w:val="24"/>
          <w:szCs w:val="24"/>
        </w:rPr>
        <w:t xml:space="preserve">, end hos de patienter, der fik placebo (urinvejsinfektion: </w:t>
      </w:r>
      <w:proofErr w:type="spellStart"/>
      <w:r w:rsidRPr="00A27440">
        <w:rPr>
          <w:sz w:val="24"/>
          <w:szCs w:val="24"/>
        </w:rPr>
        <w:t>tolterodin</w:t>
      </w:r>
      <w:proofErr w:type="spellEnd"/>
      <w:r w:rsidRPr="00A27440">
        <w:rPr>
          <w:sz w:val="24"/>
          <w:szCs w:val="24"/>
        </w:rPr>
        <w:t xml:space="preserve"> 6,8 %, placebo 3,6 %; diarré: </w:t>
      </w:r>
      <w:proofErr w:type="spellStart"/>
      <w:r w:rsidRPr="00A27440">
        <w:rPr>
          <w:sz w:val="24"/>
          <w:szCs w:val="24"/>
        </w:rPr>
        <w:t>tolterodin</w:t>
      </w:r>
      <w:proofErr w:type="spellEnd"/>
      <w:r w:rsidRPr="00A27440">
        <w:rPr>
          <w:sz w:val="24"/>
          <w:szCs w:val="24"/>
        </w:rPr>
        <w:t xml:space="preserve"> 3,3 %, placebo 0,9 %; abnorm adfærd: </w:t>
      </w:r>
      <w:proofErr w:type="spellStart"/>
      <w:r w:rsidRPr="00A27440">
        <w:rPr>
          <w:sz w:val="24"/>
          <w:szCs w:val="24"/>
        </w:rPr>
        <w:t>tolterodin</w:t>
      </w:r>
      <w:proofErr w:type="spellEnd"/>
      <w:r w:rsidRPr="00A27440">
        <w:rPr>
          <w:sz w:val="24"/>
          <w:szCs w:val="24"/>
        </w:rPr>
        <w:t xml:space="preserve"> 1,6 %, placebo 0,4 %) (se pkt. 5.1).</w:t>
      </w:r>
    </w:p>
    <w:p w:rsidR="009F6AF6" w:rsidRPr="00A27440" w:rsidRDefault="009F6AF6" w:rsidP="009F6AF6">
      <w:pPr>
        <w:ind w:left="851"/>
        <w:rPr>
          <w:sz w:val="24"/>
          <w:szCs w:val="24"/>
        </w:rPr>
      </w:pPr>
    </w:p>
    <w:p w:rsidR="009F6AF6" w:rsidRPr="00A27440" w:rsidRDefault="009F6AF6" w:rsidP="009F6AF6">
      <w:pPr>
        <w:ind w:left="851"/>
        <w:rPr>
          <w:sz w:val="24"/>
          <w:szCs w:val="24"/>
          <w:u w:val="single"/>
        </w:rPr>
      </w:pPr>
      <w:r w:rsidRPr="00A27440">
        <w:rPr>
          <w:sz w:val="24"/>
          <w:szCs w:val="24"/>
          <w:u w:val="single"/>
        </w:rPr>
        <w:t>Indberetning af formodede bivirkninger</w:t>
      </w:r>
    </w:p>
    <w:p w:rsidR="009F6AF6" w:rsidRPr="00A27440" w:rsidRDefault="009F6AF6" w:rsidP="009F6AF6">
      <w:pPr>
        <w:ind w:left="851"/>
        <w:rPr>
          <w:sz w:val="24"/>
          <w:szCs w:val="24"/>
        </w:rPr>
      </w:pPr>
      <w:r w:rsidRPr="00A27440">
        <w:rPr>
          <w:sz w:val="24"/>
          <w:szCs w:val="24"/>
        </w:rPr>
        <w:t>Når lægemidlet er godkendt, er indberetning af formodede bivirkninger vigtig. Det muliggør løbende overvågning af benefit/</w:t>
      </w:r>
      <w:proofErr w:type="spellStart"/>
      <w:r w:rsidRPr="00A27440">
        <w:rPr>
          <w:sz w:val="24"/>
          <w:szCs w:val="24"/>
        </w:rPr>
        <w:t>risk</w:t>
      </w:r>
      <w:proofErr w:type="spellEnd"/>
      <w:r w:rsidRPr="00A27440">
        <w:rPr>
          <w:sz w:val="24"/>
          <w:szCs w:val="24"/>
        </w:rPr>
        <w:t>-forholdet for lægemidlet. Læger og sundhedspersonale anmodes om at indberette alle formodede bivirkninger via:</w:t>
      </w:r>
    </w:p>
    <w:p w:rsidR="009F6AF6" w:rsidRPr="00A27440" w:rsidRDefault="009F6AF6" w:rsidP="009F6AF6">
      <w:pPr>
        <w:ind w:left="851"/>
        <w:rPr>
          <w:sz w:val="24"/>
          <w:szCs w:val="24"/>
        </w:rPr>
      </w:pPr>
      <w:r w:rsidRPr="00A27440">
        <w:rPr>
          <w:sz w:val="24"/>
          <w:szCs w:val="24"/>
        </w:rPr>
        <w:t>Lægemiddelstyrelsen</w:t>
      </w:r>
    </w:p>
    <w:p w:rsidR="009F6AF6" w:rsidRPr="00A27440" w:rsidRDefault="009F6AF6" w:rsidP="009F6AF6">
      <w:pPr>
        <w:ind w:left="851"/>
        <w:rPr>
          <w:sz w:val="24"/>
          <w:szCs w:val="24"/>
        </w:rPr>
      </w:pPr>
      <w:r w:rsidRPr="00A27440">
        <w:rPr>
          <w:sz w:val="24"/>
          <w:szCs w:val="24"/>
        </w:rPr>
        <w:t>Axel Heides Gade 1</w:t>
      </w:r>
    </w:p>
    <w:p w:rsidR="009F6AF6" w:rsidRPr="00A27440" w:rsidRDefault="009F6AF6" w:rsidP="009F6AF6">
      <w:pPr>
        <w:ind w:left="851"/>
        <w:rPr>
          <w:sz w:val="24"/>
          <w:szCs w:val="24"/>
        </w:rPr>
      </w:pPr>
      <w:r w:rsidRPr="00A27440">
        <w:rPr>
          <w:sz w:val="24"/>
          <w:szCs w:val="24"/>
        </w:rPr>
        <w:t>DK-2300 København S</w:t>
      </w:r>
    </w:p>
    <w:p w:rsidR="009F6AF6" w:rsidRDefault="009F6AF6" w:rsidP="009F6AF6">
      <w:pPr>
        <w:ind w:left="851"/>
        <w:rPr>
          <w:sz w:val="24"/>
          <w:szCs w:val="24"/>
          <w:lang w:val="en-US"/>
        </w:rPr>
      </w:pPr>
      <w:proofErr w:type="spellStart"/>
      <w:r w:rsidRPr="00A27440">
        <w:rPr>
          <w:sz w:val="24"/>
          <w:szCs w:val="24"/>
          <w:lang w:val="en-US"/>
        </w:rPr>
        <w:t>Websted</w:t>
      </w:r>
      <w:proofErr w:type="spellEnd"/>
      <w:r w:rsidRPr="00A27440">
        <w:rPr>
          <w:sz w:val="24"/>
          <w:szCs w:val="24"/>
          <w:lang w:val="en-US"/>
        </w:rPr>
        <w:t xml:space="preserve">: </w:t>
      </w:r>
      <w:hyperlink r:id="rId8" w:history="1">
        <w:r w:rsidR="00F133D1" w:rsidRPr="00D04B36">
          <w:rPr>
            <w:rStyle w:val="Hyperlink"/>
            <w:sz w:val="24"/>
            <w:szCs w:val="24"/>
            <w:lang w:val="en-US"/>
          </w:rPr>
          <w:t>www.meldenbivirkning.dk</w:t>
        </w:r>
      </w:hyperlink>
    </w:p>
    <w:p w:rsidR="009F6AF6" w:rsidRPr="00A27440" w:rsidRDefault="009F6AF6" w:rsidP="009F6AF6">
      <w:pPr>
        <w:pStyle w:val="Sidehoved"/>
        <w:tabs>
          <w:tab w:val="clear" w:pos="4819"/>
          <w:tab w:val="clear" w:pos="9638"/>
        </w:tabs>
        <w:ind w:left="851" w:hanging="851"/>
        <w:rPr>
          <w:szCs w:val="24"/>
          <w:lang w:val="en-US"/>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t>Overdosering</w:t>
      </w:r>
    </w:p>
    <w:p w:rsidR="009F6AF6" w:rsidRDefault="009F6AF6" w:rsidP="009F6AF6">
      <w:pPr>
        <w:ind w:left="851" w:hanging="851"/>
        <w:rPr>
          <w:sz w:val="24"/>
          <w:szCs w:val="24"/>
        </w:rPr>
      </w:pPr>
      <w:r w:rsidRPr="008048D6">
        <w:rPr>
          <w:sz w:val="24"/>
          <w:szCs w:val="24"/>
        </w:rPr>
        <w:tab/>
        <w:t xml:space="preserve">Den højeste dosis, der er givet til frivillige forsøgsdeltagere, er 12,8 mg </w:t>
      </w:r>
      <w:proofErr w:type="spellStart"/>
      <w:r w:rsidRPr="008048D6">
        <w:rPr>
          <w:sz w:val="24"/>
          <w:szCs w:val="24"/>
        </w:rPr>
        <w:t>tolterodintartrat</w:t>
      </w:r>
      <w:proofErr w:type="spellEnd"/>
      <w:r w:rsidRPr="008048D6">
        <w:rPr>
          <w:sz w:val="24"/>
          <w:szCs w:val="24"/>
        </w:rPr>
        <w:t xml:space="preserve"> som en enkelt dosis i en formulering med øjeblikkelig frigivelse. De sværeste bivirkninger, der blev set, var akkommodationsforstyrrelser og </w:t>
      </w:r>
      <w:proofErr w:type="spellStart"/>
      <w:r w:rsidRPr="008048D6">
        <w:rPr>
          <w:sz w:val="24"/>
          <w:szCs w:val="24"/>
        </w:rPr>
        <w:t>miktionsforstyrrelser</w:t>
      </w:r>
      <w:proofErr w:type="spellEnd"/>
      <w:r w:rsidRPr="008048D6">
        <w:rPr>
          <w:sz w:val="24"/>
          <w:szCs w:val="24"/>
        </w:rPr>
        <w:t>.</w:t>
      </w:r>
    </w:p>
    <w:p w:rsidR="009F6AF6" w:rsidRPr="008048D6" w:rsidRDefault="009F6AF6" w:rsidP="009F6AF6">
      <w:pPr>
        <w:ind w:left="851" w:hanging="851"/>
        <w:rPr>
          <w:sz w:val="24"/>
          <w:szCs w:val="24"/>
        </w:rPr>
      </w:pPr>
      <w:r w:rsidRPr="008048D6">
        <w:rPr>
          <w:sz w:val="24"/>
          <w:szCs w:val="24"/>
        </w:rPr>
        <w:t xml:space="preserve"> </w:t>
      </w:r>
    </w:p>
    <w:p w:rsidR="009F6AF6" w:rsidRPr="008048D6" w:rsidRDefault="009F6AF6" w:rsidP="009F6AF6">
      <w:pPr>
        <w:ind w:left="851"/>
        <w:rPr>
          <w:sz w:val="24"/>
          <w:szCs w:val="24"/>
        </w:rPr>
      </w:pPr>
      <w:r w:rsidRPr="008048D6">
        <w:rPr>
          <w:sz w:val="24"/>
          <w:szCs w:val="24"/>
        </w:rPr>
        <w:t xml:space="preserve">I tilfælde af overdosering af </w:t>
      </w:r>
      <w:proofErr w:type="spellStart"/>
      <w:r w:rsidRPr="008048D6">
        <w:rPr>
          <w:sz w:val="24"/>
          <w:szCs w:val="24"/>
        </w:rPr>
        <w:t>tolterodin</w:t>
      </w:r>
      <w:proofErr w:type="spellEnd"/>
      <w:r w:rsidRPr="008048D6">
        <w:rPr>
          <w:sz w:val="24"/>
          <w:szCs w:val="24"/>
        </w:rPr>
        <w:t xml:space="preserve"> behandles der med ventrikeltømning og aktivt kul. Symptomer behandles som følger: </w:t>
      </w:r>
    </w:p>
    <w:p w:rsidR="009F6AF6" w:rsidRPr="008048D6" w:rsidRDefault="009F6AF6" w:rsidP="009F6AF6">
      <w:pPr>
        <w:numPr>
          <w:ilvl w:val="0"/>
          <w:numId w:val="7"/>
        </w:numPr>
        <w:ind w:left="1276" w:hanging="425"/>
        <w:rPr>
          <w:sz w:val="24"/>
          <w:szCs w:val="24"/>
        </w:rPr>
      </w:pPr>
      <w:r w:rsidRPr="008048D6">
        <w:rPr>
          <w:sz w:val="24"/>
          <w:szCs w:val="24"/>
        </w:rPr>
        <w:lastRenderedPageBreak/>
        <w:t xml:space="preserve">Svære centrale </w:t>
      </w:r>
      <w:proofErr w:type="spellStart"/>
      <w:r w:rsidRPr="008048D6">
        <w:rPr>
          <w:sz w:val="24"/>
          <w:szCs w:val="24"/>
        </w:rPr>
        <w:t>antikolinerge</w:t>
      </w:r>
      <w:proofErr w:type="spellEnd"/>
      <w:r w:rsidRPr="008048D6">
        <w:rPr>
          <w:sz w:val="24"/>
          <w:szCs w:val="24"/>
        </w:rPr>
        <w:t xml:space="preserve"> effekter (f.eks. hallucinationer, svær ekscitation): Behandles med </w:t>
      </w:r>
      <w:proofErr w:type="spellStart"/>
      <w:r w:rsidRPr="008048D6">
        <w:rPr>
          <w:sz w:val="24"/>
          <w:szCs w:val="24"/>
        </w:rPr>
        <w:t>physostigmin</w:t>
      </w:r>
      <w:proofErr w:type="spellEnd"/>
      <w:r w:rsidRPr="008048D6">
        <w:rPr>
          <w:sz w:val="24"/>
          <w:szCs w:val="24"/>
        </w:rPr>
        <w:t xml:space="preserve"> </w:t>
      </w:r>
    </w:p>
    <w:p w:rsidR="009F6AF6" w:rsidRPr="008048D6" w:rsidRDefault="009F6AF6" w:rsidP="009F6AF6">
      <w:pPr>
        <w:numPr>
          <w:ilvl w:val="0"/>
          <w:numId w:val="7"/>
        </w:numPr>
        <w:ind w:left="1276" w:hanging="425"/>
        <w:rPr>
          <w:sz w:val="24"/>
          <w:szCs w:val="24"/>
        </w:rPr>
      </w:pPr>
      <w:r w:rsidRPr="008048D6">
        <w:rPr>
          <w:sz w:val="24"/>
          <w:szCs w:val="24"/>
        </w:rPr>
        <w:t xml:space="preserve">Krampeanfald eller udtalt ekscitation: Behandles med benzodiazepiner </w:t>
      </w:r>
    </w:p>
    <w:p w:rsidR="009F6AF6" w:rsidRPr="008048D6" w:rsidRDefault="009F6AF6" w:rsidP="009F6AF6">
      <w:pPr>
        <w:numPr>
          <w:ilvl w:val="0"/>
          <w:numId w:val="7"/>
        </w:numPr>
        <w:ind w:left="1276" w:hanging="425"/>
        <w:rPr>
          <w:sz w:val="24"/>
          <w:szCs w:val="24"/>
        </w:rPr>
      </w:pPr>
      <w:r w:rsidRPr="008048D6">
        <w:rPr>
          <w:sz w:val="24"/>
          <w:szCs w:val="24"/>
        </w:rPr>
        <w:t xml:space="preserve">Respirationsinsufficiens: Behandles med kunstig respiration </w:t>
      </w:r>
    </w:p>
    <w:p w:rsidR="009F6AF6" w:rsidRPr="008048D6" w:rsidRDefault="009F6AF6" w:rsidP="009F6AF6">
      <w:pPr>
        <w:numPr>
          <w:ilvl w:val="0"/>
          <w:numId w:val="7"/>
        </w:numPr>
        <w:ind w:left="1276" w:hanging="425"/>
        <w:rPr>
          <w:sz w:val="24"/>
          <w:szCs w:val="24"/>
        </w:rPr>
      </w:pPr>
      <w:proofErr w:type="spellStart"/>
      <w:r w:rsidRPr="008048D6">
        <w:rPr>
          <w:sz w:val="24"/>
          <w:szCs w:val="24"/>
        </w:rPr>
        <w:t>Takykardi</w:t>
      </w:r>
      <w:proofErr w:type="spellEnd"/>
      <w:r w:rsidRPr="008048D6">
        <w:rPr>
          <w:sz w:val="24"/>
          <w:szCs w:val="24"/>
        </w:rPr>
        <w:t xml:space="preserve">: Behandles med betablokkere </w:t>
      </w:r>
    </w:p>
    <w:p w:rsidR="009F6AF6" w:rsidRPr="008048D6" w:rsidRDefault="009F6AF6" w:rsidP="009F6AF6">
      <w:pPr>
        <w:numPr>
          <w:ilvl w:val="0"/>
          <w:numId w:val="7"/>
        </w:numPr>
        <w:ind w:left="1276" w:hanging="425"/>
        <w:rPr>
          <w:sz w:val="24"/>
          <w:szCs w:val="24"/>
        </w:rPr>
      </w:pPr>
      <w:r w:rsidRPr="008048D6">
        <w:rPr>
          <w:sz w:val="24"/>
          <w:szCs w:val="24"/>
        </w:rPr>
        <w:t xml:space="preserve">Urinretention: Behandles med </w:t>
      </w:r>
      <w:proofErr w:type="spellStart"/>
      <w:r w:rsidRPr="008048D6">
        <w:rPr>
          <w:sz w:val="24"/>
          <w:szCs w:val="24"/>
        </w:rPr>
        <w:t>kateterisering</w:t>
      </w:r>
      <w:proofErr w:type="spellEnd"/>
      <w:r w:rsidRPr="008048D6">
        <w:rPr>
          <w:sz w:val="24"/>
          <w:szCs w:val="24"/>
        </w:rPr>
        <w:t xml:space="preserve"> </w:t>
      </w:r>
    </w:p>
    <w:p w:rsidR="009F6AF6" w:rsidRPr="008048D6" w:rsidRDefault="009F6AF6" w:rsidP="009F6AF6">
      <w:pPr>
        <w:numPr>
          <w:ilvl w:val="0"/>
          <w:numId w:val="7"/>
        </w:numPr>
        <w:ind w:left="1276" w:hanging="425"/>
        <w:rPr>
          <w:sz w:val="24"/>
          <w:szCs w:val="24"/>
        </w:rPr>
      </w:pPr>
      <w:proofErr w:type="spellStart"/>
      <w:r w:rsidRPr="008048D6">
        <w:rPr>
          <w:sz w:val="24"/>
          <w:szCs w:val="24"/>
        </w:rPr>
        <w:t>Mydriasis</w:t>
      </w:r>
      <w:proofErr w:type="spellEnd"/>
      <w:r w:rsidRPr="008048D6">
        <w:rPr>
          <w:sz w:val="24"/>
          <w:szCs w:val="24"/>
        </w:rPr>
        <w:t xml:space="preserve">: Behandles med </w:t>
      </w:r>
      <w:proofErr w:type="spellStart"/>
      <w:r w:rsidRPr="008048D6">
        <w:rPr>
          <w:sz w:val="24"/>
          <w:szCs w:val="24"/>
        </w:rPr>
        <w:t>pilocarpin</w:t>
      </w:r>
      <w:proofErr w:type="spellEnd"/>
      <w:r w:rsidRPr="008048D6">
        <w:rPr>
          <w:sz w:val="24"/>
          <w:szCs w:val="24"/>
        </w:rPr>
        <w:t xml:space="preserve"> øjendråber og/eller placering af patienten i mørkekammer. </w:t>
      </w:r>
    </w:p>
    <w:p w:rsidR="009F6AF6" w:rsidRPr="008048D6" w:rsidRDefault="009F6AF6" w:rsidP="009F6AF6">
      <w:pPr>
        <w:ind w:left="851"/>
        <w:rPr>
          <w:sz w:val="24"/>
          <w:szCs w:val="24"/>
        </w:rPr>
      </w:pPr>
      <w:r w:rsidRPr="008048D6">
        <w:rPr>
          <w:sz w:val="24"/>
          <w:szCs w:val="24"/>
        </w:rPr>
        <w:t xml:space="preserve">Der blev set en stigning i QT-intervallet ved en total daglig dosis på 8 mg øjeblikkeligt frigivet </w:t>
      </w:r>
      <w:proofErr w:type="spellStart"/>
      <w:r w:rsidRPr="008048D6">
        <w:rPr>
          <w:sz w:val="24"/>
          <w:szCs w:val="24"/>
        </w:rPr>
        <w:t>tolterodin</w:t>
      </w:r>
      <w:proofErr w:type="spellEnd"/>
      <w:r w:rsidRPr="008048D6">
        <w:rPr>
          <w:sz w:val="24"/>
          <w:szCs w:val="24"/>
        </w:rPr>
        <w:t xml:space="preserve"> (to gange højere end den anbefalede daglige dosis af formuleringen med øjeblikkelig frigivelse og svarende til tre gange den maksimale eksponering for depotkapselformuleringen) administreret over fire dage. I tilfælde af overdosering af </w:t>
      </w:r>
      <w:proofErr w:type="spellStart"/>
      <w:r w:rsidRPr="008048D6">
        <w:rPr>
          <w:sz w:val="24"/>
          <w:szCs w:val="24"/>
        </w:rPr>
        <w:t>tolterodin</w:t>
      </w:r>
      <w:proofErr w:type="spellEnd"/>
      <w:r w:rsidRPr="008048D6">
        <w:rPr>
          <w:sz w:val="24"/>
          <w:szCs w:val="24"/>
        </w:rPr>
        <w:t xml:space="preserve"> skal der anvendes almene understøttende tiltag til behandling af QT-forlængelse.</w:t>
      </w:r>
    </w:p>
    <w:p w:rsidR="009F6AF6" w:rsidRPr="008048D6" w:rsidRDefault="009F6AF6" w:rsidP="009F6AF6">
      <w:pPr>
        <w:ind w:left="851" w:hanging="851"/>
        <w:rPr>
          <w:sz w:val="24"/>
          <w:szCs w:val="24"/>
        </w:rPr>
      </w:pPr>
    </w:p>
    <w:p w:rsidR="009F6AF6" w:rsidRPr="008048D6" w:rsidRDefault="009F6AF6" w:rsidP="009F6AF6">
      <w:pPr>
        <w:numPr>
          <w:ilvl w:val="1"/>
          <w:numId w:val="1"/>
        </w:numPr>
        <w:tabs>
          <w:tab w:val="clear" w:pos="855"/>
        </w:tabs>
        <w:ind w:left="851" w:hanging="851"/>
        <w:rPr>
          <w:b/>
          <w:sz w:val="24"/>
          <w:szCs w:val="24"/>
        </w:rPr>
      </w:pPr>
      <w:r w:rsidRPr="008048D6">
        <w:rPr>
          <w:b/>
          <w:sz w:val="24"/>
          <w:szCs w:val="24"/>
        </w:rPr>
        <w:t>Udlevering</w:t>
      </w:r>
    </w:p>
    <w:p w:rsidR="009F6AF6" w:rsidRPr="008048D6" w:rsidRDefault="009F6AF6" w:rsidP="009F6AF6">
      <w:pPr>
        <w:ind w:left="851" w:hanging="851"/>
        <w:rPr>
          <w:sz w:val="24"/>
          <w:szCs w:val="24"/>
        </w:rPr>
      </w:pPr>
      <w:r w:rsidRPr="008048D6">
        <w:rPr>
          <w:sz w:val="24"/>
          <w:szCs w:val="24"/>
        </w:rPr>
        <w:tab/>
        <w:t>B</w:t>
      </w:r>
    </w:p>
    <w:p w:rsidR="009F6AF6" w:rsidRPr="008048D6" w:rsidRDefault="009F6AF6" w:rsidP="009F6AF6">
      <w:pPr>
        <w:ind w:left="851" w:hanging="851"/>
        <w:rPr>
          <w:sz w:val="24"/>
          <w:szCs w:val="24"/>
        </w:rPr>
      </w:pPr>
    </w:p>
    <w:p w:rsidR="009F6AF6" w:rsidRPr="008048D6" w:rsidRDefault="009F6AF6" w:rsidP="009F6AF6">
      <w:pPr>
        <w:ind w:left="851" w:hanging="851"/>
        <w:rPr>
          <w:sz w:val="24"/>
          <w:szCs w:val="24"/>
        </w:rPr>
      </w:pPr>
    </w:p>
    <w:p w:rsidR="009F6AF6" w:rsidRPr="008048D6" w:rsidRDefault="009F6AF6" w:rsidP="009F6AF6">
      <w:pPr>
        <w:numPr>
          <w:ilvl w:val="0"/>
          <w:numId w:val="1"/>
        </w:numPr>
        <w:tabs>
          <w:tab w:val="clear" w:pos="855"/>
        </w:tabs>
        <w:ind w:left="851" w:hanging="851"/>
        <w:rPr>
          <w:b/>
          <w:sz w:val="24"/>
          <w:szCs w:val="24"/>
        </w:rPr>
      </w:pPr>
      <w:r w:rsidRPr="008048D6">
        <w:rPr>
          <w:b/>
          <w:sz w:val="24"/>
          <w:szCs w:val="24"/>
        </w:rPr>
        <w:t>FARMAKOLOGISKE EGENSKABER</w:t>
      </w:r>
    </w:p>
    <w:p w:rsidR="009F6AF6" w:rsidRPr="008048D6" w:rsidRDefault="009F6AF6" w:rsidP="009F6AF6">
      <w:pPr>
        <w:ind w:left="851" w:hanging="851"/>
        <w:rPr>
          <w:sz w:val="24"/>
          <w:szCs w:val="24"/>
        </w:rPr>
      </w:pPr>
    </w:p>
    <w:p w:rsidR="009F6AF6" w:rsidRPr="008048D6" w:rsidRDefault="009F6AF6" w:rsidP="009F6AF6">
      <w:pPr>
        <w:numPr>
          <w:ilvl w:val="0"/>
          <w:numId w:val="2"/>
        </w:numPr>
        <w:tabs>
          <w:tab w:val="clear" w:pos="855"/>
        </w:tabs>
        <w:ind w:left="851" w:hanging="851"/>
        <w:rPr>
          <w:b/>
          <w:sz w:val="24"/>
          <w:szCs w:val="24"/>
        </w:rPr>
      </w:pPr>
      <w:r w:rsidRPr="008048D6">
        <w:rPr>
          <w:b/>
          <w:sz w:val="24"/>
          <w:szCs w:val="24"/>
        </w:rPr>
        <w:t>Terapeutisk klassifikation</w:t>
      </w:r>
    </w:p>
    <w:p w:rsidR="009F6AF6" w:rsidRPr="008048D6" w:rsidRDefault="009F6AF6" w:rsidP="009F6AF6">
      <w:pPr>
        <w:ind w:left="851" w:hanging="851"/>
        <w:rPr>
          <w:sz w:val="24"/>
          <w:szCs w:val="24"/>
        </w:rPr>
      </w:pPr>
      <w:r w:rsidRPr="008048D6">
        <w:rPr>
          <w:sz w:val="24"/>
          <w:szCs w:val="24"/>
        </w:rPr>
        <w:tab/>
      </w:r>
      <w:r w:rsidRPr="008048D6">
        <w:rPr>
          <w:b/>
          <w:sz w:val="24"/>
          <w:szCs w:val="24"/>
        </w:rPr>
        <w:t>ATC-kode:</w:t>
      </w:r>
      <w:r w:rsidRPr="008048D6">
        <w:rPr>
          <w:sz w:val="24"/>
          <w:szCs w:val="24"/>
        </w:rPr>
        <w:t xml:space="preserve"> G04B D07, Urogenital system og kønshormoner, </w:t>
      </w:r>
      <w:r w:rsidRPr="008048D6">
        <w:rPr>
          <w:bCs/>
          <w:sz w:val="24"/>
          <w:szCs w:val="24"/>
        </w:rPr>
        <w:t xml:space="preserve">Urologiske </w:t>
      </w:r>
      <w:proofErr w:type="spellStart"/>
      <w:r w:rsidRPr="008048D6">
        <w:rPr>
          <w:bCs/>
          <w:sz w:val="24"/>
          <w:szCs w:val="24"/>
        </w:rPr>
        <w:t>antispasmodika</w:t>
      </w:r>
      <w:proofErr w:type="spellEnd"/>
    </w:p>
    <w:p w:rsidR="009F6AF6" w:rsidRPr="008048D6" w:rsidRDefault="009F6AF6" w:rsidP="009F6AF6">
      <w:pPr>
        <w:ind w:left="851" w:hanging="851"/>
        <w:rPr>
          <w:sz w:val="24"/>
          <w:szCs w:val="24"/>
        </w:rPr>
      </w:pPr>
    </w:p>
    <w:p w:rsidR="009F6AF6" w:rsidRPr="008048D6" w:rsidRDefault="009F6AF6" w:rsidP="009F6AF6">
      <w:pPr>
        <w:numPr>
          <w:ilvl w:val="1"/>
          <w:numId w:val="2"/>
        </w:numPr>
        <w:tabs>
          <w:tab w:val="clear" w:pos="2159"/>
        </w:tabs>
        <w:ind w:left="851" w:hanging="851"/>
        <w:rPr>
          <w:b/>
          <w:sz w:val="24"/>
          <w:szCs w:val="24"/>
        </w:rPr>
      </w:pPr>
      <w:proofErr w:type="spellStart"/>
      <w:r w:rsidRPr="008048D6">
        <w:rPr>
          <w:b/>
          <w:sz w:val="24"/>
          <w:szCs w:val="24"/>
        </w:rPr>
        <w:t>Farmakodynamiske</w:t>
      </w:r>
      <w:proofErr w:type="spellEnd"/>
      <w:r w:rsidRPr="008048D6">
        <w:rPr>
          <w:b/>
          <w:sz w:val="24"/>
          <w:szCs w:val="24"/>
        </w:rPr>
        <w:t xml:space="preserve"> egenskaber</w:t>
      </w:r>
    </w:p>
    <w:p w:rsidR="009F6AF6" w:rsidRPr="0087422B" w:rsidRDefault="009F6AF6" w:rsidP="009F6AF6">
      <w:pPr>
        <w:suppressAutoHyphens/>
        <w:ind w:firstLine="851"/>
        <w:rPr>
          <w:bCs/>
          <w:noProof/>
          <w:sz w:val="24"/>
          <w:szCs w:val="24"/>
          <w:u w:val="single"/>
        </w:rPr>
      </w:pPr>
      <w:r w:rsidRPr="0087422B">
        <w:rPr>
          <w:bCs/>
          <w:noProof/>
          <w:sz w:val="24"/>
          <w:szCs w:val="24"/>
          <w:u w:val="single"/>
        </w:rPr>
        <w:t>Virkningsmekanisme</w:t>
      </w:r>
    </w:p>
    <w:p w:rsidR="009F6AF6" w:rsidRPr="0087422B" w:rsidRDefault="009F6AF6" w:rsidP="009F6AF6">
      <w:pPr>
        <w:ind w:left="851" w:hanging="851"/>
        <w:rPr>
          <w:sz w:val="24"/>
          <w:szCs w:val="24"/>
        </w:rPr>
      </w:pPr>
      <w:r w:rsidRPr="0087422B">
        <w:rPr>
          <w:sz w:val="24"/>
          <w:szCs w:val="24"/>
        </w:rPr>
        <w:tab/>
      </w:r>
      <w:proofErr w:type="spellStart"/>
      <w:r w:rsidRPr="0087422B">
        <w:rPr>
          <w:sz w:val="24"/>
          <w:szCs w:val="24"/>
        </w:rPr>
        <w:t>Tolterodin</w:t>
      </w:r>
      <w:proofErr w:type="spellEnd"/>
      <w:r w:rsidRPr="0087422B">
        <w:rPr>
          <w:sz w:val="24"/>
          <w:szCs w:val="24"/>
        </w:rPr>
        <w:t xml:space="preserve"> er en </w:t>
      </w:r>
      <w:proofErr w:type="spellStart"/>
      <w:r w:rsidRPr="0087422B">
        <w:rPr>
          <w:sz w:val="24"/>
          <w:szCs w:val="24"/>
        </w:rPr>
        <w:t>kompetitiv</w:t>
      </w:r>
      <w:proofErr w:type="spellEnd"/>
      <w:r w:rsidRPr="0087422B">
        <w:rPr>
          <w:sz w:val="24"/>
          <w:szCs w:val="24"/>
        </w:rPr>
        <w:t xml:space="preserve">, specifik </w:t>
      </w:r>
      <w:proofErr w:type="spellStart"/>
      <w:r w:rsidRPr="0087422B">
        <w:rPr>
          <w:sz w:val="24"/>
          <w:szCs w:val="24"/>
        </w:rPr>
        <w:t>muskarinreceptorantagonist</w:t>
      </w:r>
      <w:proofErr w:type="spellEnd"/>
      <w:r w:rsidRPr="0087422B">
        <w:rPr>
          <w:sz w:val="24"/>
          <w:szCs w:val="24"/>
        </w:rPr>
        <w:t xml:space="preserve"> med selektivitet til urinblæren frem for spytkirtlerne in </w:t>
      </w:r>
      <w:proofErr w:type="spellStart"/>
      <w:r w:rsidRPr="0087422B">
        <w:rPr>
          <w:sz w:val="24"/>
          <w:szCs w:val="24"/>
        </w:rPr>
        <w:t>vivo</w:t>
      </w:r>
      <w:proofErr w:type="spellEnd"/>
      <w:r w:rsidRPr="0087422B">
        <w:rPr>
          <w:sz w:val="24"/>
          <w:szCs w:val="24"/>
        </w:rPr>
        <w:t xml:space="preserve">. En af </w:t>
      </w:r>
      <w:proofErr w:type="spellStart"/>
      <w:r w:rsidRPr="0087422B">
        <w:rPr>
          <w:sz w:val="24"/>
          <w:szCs w:val="24"/>
        </w:rPr>
        <w:t>tolterodinmetabolitterne</w:t>
      </w:r>
      <w:proofErr w:type="spellEnd"/>
      <w:r w:rsidRPr="0087422B">
        <w:rPr>
          <w:sz w:val="24"/>
          <w:szCs w:val="24"/>
        </w:rPr>
        <w:t xml:space="preserve"> (5-hydroxymethyl-derivat) udviser en farmakologisk profil, der ligner moderstoffets. Hos patienter med omfattende </w:t>
      </w:r>
      <w:proofErr w:type="spellStart"/>
      <w:r w:rsidRPr="0087422B">
        <w:rPr>
          <w:sz w:val="24"/>
          <w:szCs w:val="24"/>
        </w:rPr>
        <w:t>metabolisering</w:t>
      </w:r>
      <w:proofErr w:type="spellEnd"/>
      <w:r w:rsidRPr="0087422B">
        <w:rPr>
          <w:sz w:val="24"/>
          <w:szCs w:val="24"/>
        </w:rPr>
        <w:t xml:space="preserve"> medvirker denne metabolit i signifikant grad til den terapeutiske effekt (se pkt. 5.2). </w:t>
      </w:r>
    </w:p>
    <w:p w:rsidR="009F6AF6" w:rsidRPr="0087422B" w:rsidRDefault="009F6AF6" w:rsidP="009F6AF6">
      <w:pPr>
        <w:ind w:left="851" w:hanging="851"/>
        <w:rPr>
          <w:sz w:val="24"/>
          <w:szCs w:val="24"/>
        </w:rPr>
      </w:pPr>
    </w:p>
    <w:p w:rsidR="009F6AF6" w:rsidRPr="0087422B" w:rsidRDefault="009F6AF6" w:rsidP="009F6AF6">
      <w:pPr>
        <w:ind w:left="851"/>
        <w:rPr>
          <w:sz w:val="24"/>
          <w:szCs w:val="24"/>
        </w:rPr>
      </w:pPr>
      <w:r w:rsidRPr="0087422B">
        <w:rPr>
          <w:sz w:val="24"/>
          <w:szCs w:val="24"/>
        </w:rPr>
        <w:t xml:space="preserve">Der kan forventes effekt af behandlingen inden for 4 uger. </w:t>
      </w:r>
    </w:p>
    <w:p w:rsidR="009F6AF6" w:rsidRPr="0087422B" w:rsidRDefault="009F6AF6" w:rsidP="009F6AF6">
      <w:pPr>
        <w:ind w:left="851" w:hanging="851"/>
        <w:rPr>
          <w:sz w:val="24"/>
          <w:szCs w:val="24"/>
        </w:rPr>
      </w:pPr>
    </w:p>
    <w:p w:rsidR="009F6AF6" w:rsidRPr="0087422B" w:rsidRDefault="009F6AF6" w:rsidP="009F6AF6">
      <w:pPr>
        <w:suppressAutoHyphens/>
        <w:ind w:firstLine="851"/>
        <w:rPr>
          <w:bCs/>
          <w:noProof/>
          <w:sz w:val="24"/>
          <w:szCs w:val="24"/>
          <w:u w:val="single"/>
        </w:rPr>
      </w:pPr>
      <w:r w:rsidRPr="0087422B">
        <w:rPr>
          <w:bCs/>
          <w:noProof/>
          <w:sz w:val="24"/>
          <w:szCs w:val="24"/>
          <w:u w:val="single"/>
        </w:rPr>
        <w:t>Klinisk virkning og sikkerhed</w:t>
      </w:r>
    </w:p>
    <w:p w:rsidR="009F6AF6" w:rsidRPr="0087422B" w:rsidRDefault="009F6AF6" w:rsidP="009F6AF6">
      <w:pPr>
        <w:ind w:left="851"/>
        <w:rPr>
          <w:sz w:val="24"/>
          <w:szCs w:val="24"/>
        </w:rPr>
      </w:pPr>
      <w:r w:rsidRPr="0087422B">
        <w:rPr>
          <w:sz w:val="24"/>
          <w:szCs w:val="24"/>
        </w:rPr>
        <w:t xml:space="preserve">I fase III-programmet var det primære effektmål reduktion af inkontinente episoder per uge, og de sekundære effektmål var reduktion af vandladninger per 24 timer og øgning af udledt middelvolumen per vandladning. Disse parametre er vist i nedenstående tabel. </w:t>
      </w:r>
    </w:p>
    <w:p w:rsidR="009F6AF6" w:rsidRPr="0087422B" w:rsidRDefault="009F6AF6" w:rsidP="009F6AF6">
      <w:pPr>
        <w:ind w:left="851" w:hanging="851"/>
        <w:rPr>
          <w:sz w:val="24"/>
          <w:szCs w:val="24"/>
        </w:rPr>
      </w:pPr>
    </w:p>
    <w:p w:rsidR="009F6AF6" w:rsidRPr="0087422B" w:rsidRDefault="009F6AF6" w:rsidP="009F6AF6">
      <w:pPr>
        <w:ind w:left="851"/>
        <w:rPr>
          <w:sz w:val="24"/>
          <w:szCs w:val="24"/>
        </w:rPr>
      </w:pPr>
      <w:r w:rsidRPr="0087422B">
        <w:rPr>
          <w:sz w:val="24"/>
          <w:szCs w:val="24"/>
        </w:rPr>
        <w:t xml:space="preserve">Effekten af behandling med langsomt frigivet </w:t>
      </w:r>
      <w:proofErr w:type="spellStart"/>
      <w:r w:rsidRPr="0087422B">
        <w:rPr>
          <w:sz w:val="24"/>
          <w:szCs w:val="24"/>
        </w:rPr>
        <w:t>tolterodin</w:t>
      </w:r>
      <w:proofErr w:type="spellEnd"/>
      <w:r w:rsidRPr="0087422B">
        <w:rPr>
          <w:sz w:val="24"/>
          <w:szCs w:val="24"/>
        </w:rPr>
        <w:t xml:space="preserve"> 4 mg én gang dagligt kontra placebo efter 12 uger. Absolut ændring og procentvis ændring i forhold til baseline. Behandlingsforskel med </w:t>
      </w:r>
      <w:proofErr w:type="spellStart"/>
      <w:r w:rsidRPr="0087422B">
        <w:rPr>
          <w:sz w:val="24"/>
          <w:szCs w:val="24"/>
        </w:rPr>
        <w:t>tolterodin</w:t>
      </w:r>
      <w:proofErr w:type="spellEnd"/>
      <w:r w:rsidRPr="0087422B">
        <w:rPr>
          <w:sz w:val="24"/>
          <w:szCs w:val="24"/>
        </w:rPr>
        <w:t xml:space="preserve"> kontra placebo: Vurdering af middel ændring i mindste kvadrater og 95 % konfidensinterval. </w:t>
      </w:r>
    </w:p>
    <w:p w:rsidR="009F6AF6" w:rsidRPr="008048D6" w:rsidRDefault="009F6AF6" w:rsidP="009F6AF6">
      <w:pPr>
        <w:ind w:left="851" w:hanging="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007"/>
        <w:gridCol w:w="1465"/>
        <w:gridCol w:w="1463"/>
        <w:gridCol w:w="3032"/>
        <w:gridCol w:w="1671"/>
      </w:tblGrid>
      <w:tr w:rsidR="009F6AF6" w:rsidRPr="008048D6" w:rsidTr="003B4BCE">
        <w:trPr>
          <w:tblCellSpacing w:w="0" w:type="dxa"/>
        </w:trPr>
        <w:tc>
          <w:tcPr>
            <w:tcW w:w="1041" w:type="pct"/>
            <w:tcBorders>
              <w:top w:val="outset" w:sz="6" w:space="0" w:color="auto"/>
              <w:left w:val="nil"/>
              <w:bottom w:val="outset" w:sz="6" w:space="0" w:color="auto"/>
              <w:right w:val="outset" w:sz="6" w:space="0" w:color="auto"/>
            </w:tcBorders>
            <w:hideMark/>
          </w:tcPr>
          <w:p w:rsidR="009F6AF6" w:rsidRPr="008048D6" w:rsidRDefault="009F6AF6" w:rsidP="003B4BCE">
            <w:pPr>
              <w:rPr>
                <w:sz w:val="24"/>
                <w:szCs w:val="24"/>
              </w:rPr>
            </w:pPr>
          </w:p>
        </w:tc>
        <w:tc>
          <w:tcPr>
            <w:tcW w:w="760"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b/>
                <w:sz w:val="24"/>
                <w:szCs w:val="24"/>
              </w:rPr>
              <w:t xml:space="preserve">Langsomt frigivet </w:t>
            </w:r>
            <w:proofErr w:type="spellStart"/>
            <w:r w:rsidRPr="008048D6">
              <w:rPr>
                <w:b/>
                <w:sz w:val="24"/>
                <w:szCs w:val="24"/>
              </w:rPr>
              <w:t>tolterodin</w:t>
            </w:r>
            <w:proofErr w:type="spellEnd"/>
            <w:r w:rsidRPr="008048D6">
              <w:rPr>
                <w:b/>
                <w:sz w:val="24"/>
                <w:szCs w:val="24"/>
              </w:rPr>
              <w:t xml:space="preserve"> 4 mg én gang dagligt</w:t>
            </w:r>
          </w:p>
          <w:p w:rsidR="009F6AF6" w:rsidRPr="008048D6" w:rsidRDefault="009F6AF6" w:rsidP="003B4BCE">
            <w:pPr>
              <w:rPr>
                <w:sz w:val="24"/>
                <w:szCs w:val="24"/>
              </w:rPr>
            </w:pPr>
            <w:r w:rsidRPr="008048D6">
              <w:rPr>
                <w:b/>
                <w:sz w:val="24"/>
                <w:szCs w:val="24"/>
              </w:rPr>
              <w:t>(n=507)</w:t>
            </w:r>
          </w:p>
        </w:tc>
        <w:tc>
          <w:tcPr>
            <w:tcW w:w="759"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b/>
                <w:sz w:val="24"/>
                <w:szCs w:val="24"/>
              </w:rPr>
              <w:t>Placebo</w:t>
            </w:r>
          </w:p>
          <w:p w:rsidR="009F6AF6" w:rsidRPr="008048D6" w:rsidRDefault="009F6AF6" w:rsidP="003B4BCE">
            <w:pPr>
              <w:rPr>
                <w:sz w:val="24"/>
                <w:szCs w:val="24"/>
              </w:rPr>
            </w:pPr>
            <w:r w:rsidRPr="008048D6">
              <w:rPr>
                <w:b/>
                <w:sz w:val="24"/>
                <w:szCs w:val="24"/>
              </w:rPr>
              <w:t>(n=508)</w:t>
            </w:r>
          </w:p>
        </w:tc>
        <w:tc>
          <w:tcPr>
            <w:tcW w:w="1573"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b/>
                <w:sz w:val="24"/>
                <w:szCs w:val="24"/>
              </w:rPr>
              <w:t>Behandlingsforskel i forhold til placebo: Middel ændring og 95 % CI</w:t>
            </w:r>
          </w:p>
        </w:tc>
        <w:tc>
          <w:tcPr>
            <w:tcW w:w="868" w:type="pct"/>
            <w:tcBorders>
              <w:top w:val="outset" w:sz="6" w:space="0" w:color="auto"/>
              <w:left w:val="outset" w:sz="6" w:space="0" w:color="auto"/>
              <w:bottom w:val="outset" w:sz="6" w:space="0" w:color="auto"/>
              <w:right w:val="nil"/>
            </w:tcBorders>
            <w:hideMark/>
          </w:tcPr>
          <w:p w:rsidR="009F6AF6" w:rsidRPr="008048D6" w:rsidRDefault="009F6AF6" w:rsidP="003B4BCE">
            <w:pPr>
              <w:rPr>
                <w:b/>
                <w:sz w:val="24"/>
                <w:szCs w:val="24"/>
              </w:rPr>
            </w:pPr>
            <w:r w:rsidRPr="008048D6">
              <w:rPr>
                <w:b/>
                <w:sz w:val="24"/>
                <w:szCs w:val="24"/>
              </w:rPr>
              <w:t>Statistisk signifikans kontra placebo</w:t>
            </w:r>
          </w:p>
          <w:p w:rsidR="009F6AF6" w:rsidRPr="008048D6" w:rsidRDefault="009F6AF6" w:rsidP="003B4BCE">
            <w:pPr>
              <w:rPr>
                <w:sz w:val="24"/>
                <w:szCs w:val="24"/>
              </w:rPr>
            </w:pPr>
            <w:r w:rsidRPr="008048D6">
              <w:rPr>
                <w:b/>
                <w:sz w:val="24"/>
                <w:szCs w:val="24"/>
              </w:rPr>
              <w:t>(</w:t>
            </w:r>
            <w:proofErr w:type="spellStart"/>
            <w:r w:rsidRPr="008048D6">
              <w:rPr>
                <w:b/>
                <w:sz w:val="24"/>
                <w:szCs w:val="24"/>
              </w:rPr>
              <w:t>p-værdi</w:t>
            </w:r>
            <w:proofErr w:type="spellEnd"/>
            <w:r w:rsidRPr="008048D6">
              <w:rPr>
                <w:b/>
                <w:sz w:val="24"/>
                <w:szCs w:val="24"/>
              </w:rPr>
              <w:t>)</w:t>
            </w:r>
          </w:p>
        </w:tc>
      </w:tr>
      <w:tr w:rsidR="009F6AF6" w:rsidRPr="008048D6" w:rsidTr="003B4BCE">
        <w:trPr>
          <w:tblCellSpacing w:w="0" w:type="dxa"/>
        </w:trPr>
        <w:tc>
          <w:tcPr>
            <w:tcW w:w="1041" w:type="pct"/>
            <w:tcBorders>
              <w:top w:val="outset" w:sz="6" w:space="0" w:color="auto"/>
              <w:left w:val="nil"/>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lastRenderedPageBreak/>
              <w:t>Antal episoder med inkontinens per uge</w:t>
            </w:r>
          </w:p>
        </w:tc>
        <w:tc>
          <w:tcPr>
            <w:tcW w:w="760"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-11,8</w:t>
            </w:r>
          </w:p>
          <w:p w:rsidR="009F6AF6" w:rsidRPr="008048D6" w:rsidRDefault="009F6AF6" w:rsidP="003B4BCE">
            <w:pPr>
              <w:rPr>
                <w:sz w:val="24"/>
                <w:szCs w:val="24"/>
              </w:rPr>
            </w:pPr>
            <w:r w:rsidRPr="008048D6">
              <w:rPr>
                <w:sz w:val="24"/>
                <w:szCs w:val="24"/>
              </w:rPr>
              <w:t>(-54 %)</w:t>
            </w:r>
          </w:p>
        </w:tc>
        <w:tc>
          <w:tcPr>
            <w:tcW w:w="759"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-6,9</w:t>
            </w:r>
          </w:p>
          <w:p w:rsidR="009F6AF6" w:rsidRPr="008048D6" w:rsidRDefault="009F6AF6" w:rsidP="003B4BCE">
            <w:pPr>
              <w:rPr>
                <w:sz w:val="24"/>
                <w:szCs w:val="24"/>
              </w:rPr>
            </w:pPr>
            <w:r w:rsidRPr="008048D6">
              <w:rPr>
                <w:sz w:val="24"/>
                <w:szCs w:val="24"/>
              </w:rPr>
              <w:t>(-28 %)</w:t>
            </w:r>
          </w:p>
        </w:tc>
        <w:tc>
          <w:tcPr>
            <w:tcW w:w="1573"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-4,8</w:t>
            </w:r>
          </w:p>
          <w:p w:rsidR="009F6AF6" w:rsidRPr="008048D6" w:rsidRDefault="009F6AF6" w:rsidP="003B4BCE">
            <w:pPr>
              <w:rPr>
                <w:sz w:val="24"/>
                <w:szCs w:val="24"/>
              </w:rPr>
            </w:pPr>
            <w:r w:rsidRPr="008048D6">
              <w:rPr>
                <w:sz w:val="24"/>
                <w:szCs w:val="24"/>
              </w:rPr>
              <w:t>(-7,2; -2,</w:t>
            </w:r>
            <w:proofErr w:type="gramStart"/>
            <w:r w:rsidRPr="008048D6">
              <w:rPr>
                <w:sz w:val="24"/>
                <w:szCs w:val="24"/>
              </w:rPr>
              <w:t>5)*</w:t>
            </w:r>
            <w:proofErr w:type="gramEnd"/>
          </w:p>
        </w:tc>
        <w:tc>
          <w:tcPr>
            <w:tcW w:w="868" w:type="pct"/>
            <w:tcBorders>
              <w:top w:val="outset" w:sz="6" w:space="0" w:color="auto"/>
              <w:left w:val="outset" w:sz="6" w:space="0" w:color="auto"/>
              <w:bottom w:val="outset" w:sz="6" w:space="0" w:color="auto"/>
              <w:right w:val="nil"/>
            </w:tcBorders>
            <w:hideMark/>
          </w:tcPr>
          <w:p w:rsidR="009F6AF6" w:rsidRPr="008048D6" w:rsidRDefault="009F6AF6" w:rsidP="003B4BCE">
            <w:pPr>
              <w:rPr>
                <w:sz w:val="24"/>
                <w:szCs w:val="24"/>
              </w:rPr>
            </w:pPr>
            <w:r w:rsidRPr="008048D6">
              <w:rPr>
                <w:sz w:val="24"/>
                <w:szCs w:val="24"/>
              </w:rPr>
              <w:t>&lt; 0,001</w:t>
            </w:r>
          </w:p>
        </w:tc>
      </w:tr>
      <w:tr w:rsidR="009F6AF6" w:rsidRPr="008048D6" w:rsidTr="003B4BCE">
        <w:trPr>
          <w:tblCellSpacing w:w="0" w:type="dxa"/>
        </w:trPr>
        <w:tc>
          <w:tcPr>
            <w:tcW w:w="1041" w:type="pct"/>
            <w:tcBorders>
              <w:top w:val="outset" w:sz="6" w:space="0" w:color="auto"/>
              <w:left w:val="nil"/>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Antal vandladninger per 24 timer</w:t>
            </w:r>
          </w:p>
        </w:tc>
        <w:tc>
          <w:tcPr>
            <w:tcW w:w="760"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-1,8</w:t>
            </w:r>
          </w:p>
          <w:p w:rsidR="009F6AF6" w:rsidRPr="008048D6" w:rsidRDefault="009F6AF6" w:rsidP="003B4BCE">
            <w:pPr>
              <w:rPr>
                <w:sz w:val="24"/>
                <w:szCs w:val="24"/>
              </w:rPr>
            </w:pPr>
            <w:r w:rsidRPr="008048D6">
              <w:rPr>
                <w:sz w:val="24"/>
                <w:szCs w:val="24"/>
              </w:rPr>
              <w:t>(-13 %)</w:t>
            </w:r>
          </w:p>
        </w:tc>
        <w:tc>
          <w:tcPr>
            <w:tcW w:w="759"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-1,2</w:t>
            </w:r>
          </w:p>
          <w:p w:rsidR="009F6AF6" w:rsidRPr="008048D6" w:rsidRDefault="009F6AF6" w:rsidP="003B4BCE">
            <w:pPr>
              <w:rPr>
                <w:sz w:val="24"/>
                <w:szCs w:val="24"/>
              </w:rPr>
            </w:pPr>
            <w:r w:rsidRPr="008048D6">
              <w:rPr>
                <w:sz w:val="24"/>
                <w:szCs w:val="24"/>
              </w:rPr>
              <w:t>(-8 %)</w:t>
            </w:r>
          </w:p>
        </w:tc>
        <w:tc>
          <w:tcPr>
            <w:tcW w:w="1573"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-0,6</w:t>
            </w:r>
          </w:p>
          <w:p w:rsidR="009F6AF6" w:rsidRPr="008048D6" w:rsidRDefault="009F6AF6" w:rsidP="003B4BCE">
            <w:pPr>
              <w:rPr>
                <w:sz w:val="24"/>
                <w:szCs w:val="24"/>
              </w:rPr>
            </w:pPr>
            <w:r w:rsidRPr="008048D6">
              <w:rPr>
                <w:sz w:val="24"/>
                <w:szCs w:val="24"/>
              </w:rPr>
              <w:t>(-1,0; -0,2)</w:t>
            </w:r>
          </w:p>
        </w:tc>
        <w:tc>
          <w:tcPr>
            <w:tcW w:w="868" w:type="pct"/>
            <w:tcBorders>
              <w:top w:val="outset" w:sz="6" w:space="0" w:color="auto"/>
              <w:left w:val="outset" w:sz="6" w:space="0" w:color="auto"/>
              <w:bottom w:val="outset" w:sz="6" w:space="0" w:color="auto"/>
              <w:right w:val="nil"/>
            </w:tcBorders>
            <w:hideMark/>
          </w:tcPr>
          <w:p w:rsidR="009F6AF6" w:rsidRPr="008048D6" w:rsidRDefault="009F6AF6" w:rsidP="003B4BCE">
            <w:pPr>
              <w:rPr>
                <w:sz w:val="24"/>
                <w:szCs w:val="24"/>
              </w:rPr>
            </w:pPr>
            <w:r w:rsidRPr="008048D6">
              <w:rPr>
                <w:sz w:val="24"/>
                <w:szCs w:val="24"/>
              </w:rPr>
              <w:t>0,005</w:t>
            </w:r>
          </w:p>
        </w:tc>
      </w:tr>
      <w:tr w:rsidR="009F6AF6" w:rsidRPr="008048D6" w:rsidTr="003B4BCE">
        <w:trPr>
          <w:tblCellSpacing w:w="0" w:type="dxa"/>
        </w:trPr>
        <w:tc>
          <w:tcPr>
            <w:tcW w:w="1041" w:type="pct"/>
            <w:tcBorders>
              <w:top w:val="outset" w:sz="6" w:space="0" w:color="auto"/>
              <w:left w:val="nil"/>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Middelvolumen udledt per vandladning (ml)</w:t>
            </w:r>
          </w:p>
        </w:tc>
        <w:tc>
          <w:tcPr>
            <w:tcW w:w="760"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+34 (+27 %)</w:t>
            </w:r>
          </w:p>
        </w:tc>
        <w:tc>
          <w:tcPr>
            <w:tcW w:w="759"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+14 (+12 %)</w:t>
            </w:r>
          </w:p>
        </w:tc>
        <w:tc>
          <w:tcPr>
            <w:tcW w:w="1573" w:type="pct"/>
            <w:tcBorders>
              <w:top w:val="outset" w:sz="6" w:space="0" w:color="auto"/>
              <w:left w:val="outset" w:sz="6" w:space="0" w:color="auto"/>
              <w:bottom w:val="outset" w:sz="6" w:space="0" w:color="auto"/>
              <w:right w:val="outset" w:sz="6" w:space="0" w:color="auto"/>
            </w:tcBorders>
            <w:hideMark/>
          </w:tcPr>
          <w:p w:rsidR="009F6AF6" w:rsidRPr="008048D6" w:rsidRDefault="009F6AF6" w:rsidP="003B4BCE">
            <w:pPr>
              <w:rPr>
                <w:sz w:val="24"/>
                <w:szCs w:val="24"/>
              </w:rPr>
            </w:pPr>
            <w:r w:rsidRPr="008048D6">
              <w:rPr>
                <w:sz w:val="24"/>
                <w:szCs w:val="24"/>
              </w:rPr>
              <w:t>+20</w:t>
            </w:r>
          </w:p>
          <w:p w:rsidR="009F6AF6" w:rsidRPr="008048D6" w:rsidRDefault="009F6AF6" w:rsidP="003B4BCE">
            <w:pPr>
              <w:rPr>
                <w:sz w:val="24"/>
                <w:szCs w:val="24"/>
              </w:rPr>
            </w:pPr>
            <w:r w:rsidRPr="008048D6">
              <w:rPr>
                <w:sz w:val="24"/>
                <w:szCs w:val="24"/>
              </w:rPr>
              <w:t>(14; 26)</w:t>
            </w:r>
          </w:p>
        </w:tc>
        <w:tc>
          <w:tcPr>
            <w:tcW w:w="868" w:type="pct"/>
            <w:tcBorders>
              <w:top w:val="outset" w:sz="6" w:space="0" w:color="auto"/>
              <w:left w:val="outset" w:sz="6" w:space="0" w:color="auto"/>
              <w:bottom w:val="outset" w:sz="6" w:space="0" w:color="auto"/>
              <w:right w:val="nil"/>
            </w:tcBorders>
            <w:hideMark/>
          </w:tcPr>
          <w:p w:rsidR="009F6AF6" w:rsidRPr="008048D6" w:rsidRDefault="009F6AF6" w:rsidP="003B4BCE">
            <w:pPr>
              <w:rPr>
                <w:sz w:val="24"/>
                <w:szCs w:val="24"/>
              </w:rPr>
            </w:pPr>
            <w:r w:rsidRPr="008048D6">
              <w:rPr>
                <w:sz w:val="24"/>
                <w:szCs w:val="24"/>
              </w:rPr>
              <w:t>&lt; 0,001</w:t>
            </w:r>
          </w:p>
        </w:tc>
      </w:tr>
    </w:tbl>
    <w:p w:rsidR="009F6AF6" w:rsidRPr="008048D6" w:rsidRDefault="009F6AF6" w:rsidP="009F6AF6">
      <w:pPr>
        <w:ind w:left="851"/>
        <w:rPr>
          <w:sz w:val="24"/>
          <w:szCs w:val="24"/>
        </w:rPr>
      </w:pPr>
      <w:r w:rsidRPr="008048D6">
        <w:rPr>
          <w:sz w:val="24"/>
          <w:szCs w:val="24"/>
        </w:rPr>
        <w:t xml:space="preserve">*) 97,5 % konfidensinterval i henhold til </w:t>
      </w:r>
      <w:proofErr w:type="spellStart"/>
      <w:r w:rsidRPr="008048D6">
        <w:rPr>
          <w:sz w:val="24"/>
          <w:szCs w:val="24"/>
        </w:rPr>
        <w:t>Bonferroni</w:t>
      </w:r>
      <w:proofErr w:type="spellEnd"/>
      <w:r w:rsidRPr="008048D6">
        <w:rPr>
          <w:sz w:val="24"/>
          <w:szCs w:val="24"/>
        </w:rPr>
        <w:t>.</w:t>
      </w:r>
    </w:p>
    <w:p w:rsidR="009F6AF6" w:rsidRDefault="009F6AF6" w:rsidP="009F6AF6">
      <w:pPr>
        <w:ind w:left="851"/>
        <w:rPr>
          <w:sz w:val="24"/>
          <w:szCs w:val="24"/>
        </w:rPr>
      </w:pPr>
    </w:p>
    <w:p w:rsidR="009F6AF6" w:rsidRDefault="009F6AF6" w:rsidP="009F6AF6">
      <w:pPr>
        <w:ind w:left="851"/>
        <w:rPr>
          <w:sz w:val="24"/>
          <w:szCs w:val="24"/>
        </w:rPr>
      </w:pPr>
      <w:r w:rsidRPr="008048D6">
        <w:rPr>
          <w:sz w:val="24"/>
          <w:szCs w:val="24"/>
        </w:rPr>
        <w:t xml:space="preserve">Efter 12 ugers behandling rapporterede 23,8 % (121/507) af patienterne i gruppen med langsomt frigivet </w:t>
      </w:r>
      <w:proofErr w:type="spellStart"/>
      <w:r w:rsidRPr="008048D6">
        <w:rPr>
          <w:sz w:val="24"/>
          <w:szCs w:val="24"/>
        </w:rPr>
        <w:t>tolterodin</w:t>
      </w:r>
      <w:proofErr w:type="spellEnd"/>
      <w:r w:rsidRPr="008048D6">
        <w:rPr>
          <w:sz w:val="24"/>
          <w:szCs w:val="24"/>
        </w:rPr>
        <w:t xml:space="preserve"> 4 mg og 15,7 % (80/508) af patienterne i placebogruppen, at de subjektivt set ingen blæreproblemer havde eller kun minimale blæreproblemer. </w:t>
      </w:r>
    </w:p>
    <w:p w:rsidR="009F6AF6" w:rsidRPr="008048D6" w:rsidRDefault="009F6AF6" w:rsidP="009F6AF6">
      <w:pPr>
        <w:ind w:left="851"/>
        <w:rPr>
          <w:sz w:val="24"/>
          <w:szCs w:val="24"/>
        </w:rPr>
      </w:pPr>
    </w:p>
    <w:p w:rsidR="009F6AF6" w:rsidRDefault="009F6AF6" w:rsidP="009F6AF6">
      <w:pPr>
        <w:ind w:left="851"/>
        <w:rPr>
          <w:sz w:val="24"/>
          <w:szCs w:val="24"/>
        </w:rPr>
      </w:pPr>
      <w:r w:rsidRPr="008048D6">
        <w:rPr>
          <w:sz w:val="24"/>
          <w:szCs w:val="24"/>
        </w:rPr>
        <w:t xml:space="preserve">Effekten af </w:t>
      </w:r>
      <w:proofErr w:type="spellStart"/>
      <w:r w:rsidRPr="008048D6">
        <w:rPr>
          <w:sz w:val="24"/>
          <w:szCs w:val="24"/>
        </w:rPr>
        <w:t>tolterodin</w:t>
      </w:r>
      <w:proofErr w:type="spellEnd"/>
      <w:r w:rsidRPr="008048D6">
        <w:rPr>
          <w:sz w:val="24"/>
          <w:szCs w:val="24"/>
        </w:rPr>
        <w:t xml:space="preserve"> blev undersøgt hos patienter, der fik foretaget en urodynamisk vurdering ved baseline, og som på baggrund af de urodynamiske resultater blev allokeret til en urodynamisk positiv gruppe (motorisk trang) eller en urodynamisk negativ gruppe (sensorisk trang). Inden for hver gruppe blev patienterne randomiseret til at få enten </w:t>
      </w:r>
      <w:proofErr w:type="spellStart"/>
      <w:r w:rsidRPr="008048D6">
        <w:rPr>
          <w:sz w:val="24"/>
          <w:szCs w:val="24"/>
        </w:rPr>
        <w:t>tolterodin</w:t>
      </w:r>
      <w:proofErr w:type="spellEnd"/>
      <w:r w:rsidRPr="008048D6">
        <w:rPr>
          <w:sz w:val="24"/>
          <w:szCs w:val="24"/>
        </w:rPr>
        <w:t xml:space="preserve"> eller placebo. Under forsøget kunne der ikke fremskaffes overbevisende evidens for en bedre effekt af </w:t>
      </w:r>
      <w:proofErr w:type="spellStart"/>
      <w:r w:rsidRPr="008048D6">
        <w:rPr>
          <w:sz w:val="24"/>
          <w:szCs w:val="24"/>
        </w:rPr>
        <w:t>tolterodin</w:t>
      </w:r>
      <w:proofErr w:type="spellEnd"/>
      <w:r w:rsidRPr="008048D6">
        <w:rPr>
          <w:sz w:val="24"/>
          <w:szCs w:val="24"/>
        </w:rPr>
        <w:t xml:space="preserve"> end placebo hos patienter med sensorisk trang. </w:t>
      </w:r>
    </w:p>
    <w:p w:rsidR="009F6AF6" w:rsidRPr="008048D6" w:rsidRDefault="009F6AF6" w:rsidP="009F6AF6">
      <w:pPr>
        <w:ind w:left="851"/>
        <w:rPr>
          <w:sz w:val="24"/>
          <w:szCs w:val="24"/>
        </w:rPr>
      </w:pPr>
    </w:p>
    <w:p w:rsidR="009F6AF6" w:rsidRDefault="009F6AF6" w:rsidP="009F6AF6">
      <w:pPr>
        <w:ind w:left="851"/>
        <w:rPr>
          <w:sz w:val="24"/>
          <w:szCs w:val="24"/>
        </w:rPr>
      </w:pPr>
      <w:r w:rsidRPr="008048D6">
        <w:rPr>
          <w:sz w:val="24"/>
          <w:szCs w:val="24"/>
        </w:rPr>
        <w:t xml:space="preserve">De kliniske effekter af </w:t>
      </w:r>
      <w:proofErr w:type="spellStart"/>
      <w:r w:rsidRPr="008048D6">
        <w:rPr>
          <w:sz w:val="24"/>
          <w:szCs w:val="24"/>
        </w:rPr>
        <w:t>tolterodin</w:t>
      </w:r>
      <w:proofErr w:type="spellEnd"/>
      <w:r w:rsidRPr="008048D6">
        <w:rPr>
          <w:sz w:val="24"/>
          <w:szCs w:val="24"/>
        </w:rPr>
        <w:t xml:space="preserve"> på QT-intervallet blev studeret på </w:t>
      </w:r>
      <w:proofErr w:type="spellStart"/>
      <w:r w:rsidRPr="008048D6">
        <w:rPr>
          <w:sz w:val="24"/>
          <w:szCs w:val="24"/>
        </w:rPr>
        <w:t>EKG’er</w:t>
      </w:r>
      <w:proofErr w:type="spellEnd"/>
      <w:r w:rsidRPr="008048D6">
        <w:rPr>
          <w:sz w:val="24"/>
          <w:szCs w:val="24"/>
        </w:rPr>
        <w:t xml:space="preserve">, der blev indhentet fra mere end 600 behandlede patienter inklusive ældre patienter og patienter med eksisterende </w:t>
      </w:r>
      <w:proofErr w:type="spellStart"/>
      <w:r w:rsidRPr="008048D6">
        <w:rPr>
          <w:sz w:val="24"/>
          <w:szCs w:val="24"/>
        </w:rPr>
        <w:t>kardiovaskulær</w:t>
      </w:r>
      <w:proofErr w:type="spellEnd"/>
      <w:r w:rsidRPr="008048D6">
        <w:rPr>
          <w:sz w:val="24"/>
          <w:szCs w:val="24"/>
        </w:rPr>
        <w:t xml:space="preserve"> sygdom. Ændringerne i QT-intervallet var ikke signifikant forskellige imellem de grupper, der fik placebo og behandling. </w:t>
      </w:r>
    </w:p>
    <w:p w:rsidR="009F6AF6" w:rsidRPr="008048D6" w:rsidRDefault="009F6AF6" w:rsidP="009F6AF6">
      <w:pPr>
        <w:ind w:left="851"/>
        <w:rPr>
          <w:sz w:val="24"/>
          <w:szCs w:val="24"/>
        </w:rPr>
      </w:pPr>
    </w:p>
    <w:p w:rsidR="009F6AF6" w:rsidRPr="008048D6" w:rsidRDefault="009F6AF6" w:rsidP="009F6AF6">
      <w:pPr>
        <w:ind w:left="851"/>
        <w:rPr>
          <w:sz w:val="24"/>
          <w:szCs w:val="24"/>
        </w:rPr>
      </w:pPr>
      <w:r w:rsidRPr="008048D6">
        <w:rPr>
          <w:sz w:val="24"/>
          <w:szCs w:val="24"/>
        </w:rPr>
        <w:t xml:space="preserve">Effekten af </w:t>
      </w:r>
      <w:proofErr w:type="spellStart"/>
      <w:r w:rsidRPr="008048D6">
        <w:rPr>
          <w:sz w:val="24"/>
          <w:szCs w:val="24"/>
        </w:rPr>
        <w:t>tolterodin</w:t>
      </w:r>
      <w:proofErr w:type="spellEnd"/>
      <w:r w:rsidRPr="008048D6">
        <w:rPr>
          <w:sz w:val="24"/>
          <w:szCs w:val="24"/>
        </w:rPr>
        <w:t xml:space="preserve"> på QT-forlængelse blev yderligere undersøgt hos 48 raske mandlige og kvindelige frivillige i alderen 18-55 år. Forsøgsdeltagerne fik </w:t>
      </w:r>
      <w:proofErr w:type="spellStart"/>
      <w:r w:rsidRPr="008048D6">
        <w:rPr>
          <w:sz w:val="24"/>
          <w:szCs w:val="24"/>
        </w:rPr>
        <w:t>tolterodin</w:t>
      </w:r>
      <w:proofErr w:type="spellEnd"/>
      <w:r w:rsidRPr="008048D6">
        <w:rPr>
          <w:sz w:val="24"/>
          <w:szCs w:val="24"/>
        </w:rPr>
        <w:t xml:space="preserve"> 2 mg to gange dagligt og 4 mg to gange dagligt i formuleringer med øjeblikkelig frigivelse. Resultaterne (</w:t>
      </w:r>
      <w:proofErr w:type="spellStart"/>
      <w:r w:rsidRPr="008048D6">
        <w:rPr>
          <w:sz w:val="24"/>
          <w:szCs w:val="24"/>
        </w:rPr>
        <w:t>Fridericia</w:t>
      </w:r>
      <w:proofErr w:type="spellEnd"/>
      <w:r w:rsidRPr="008048D6">
        <w:rPr>
          <w:sz w:val="24"/>
          <w:szCs w:val="24"/>
        </w:rPr>
        <w:t xml:space="preserve">-korrigeret) ved de maksimale </w:t>
      </w:r>
      <w:proofErr w:type="spellStart"/>
      <w:r w:rsidRPr="008048D6">
        <w:rPr>
          <w:sz w:val="24"/>
          <w:szCs w:val="24"/>
        </w:rPr>
        <w:t>tolterodinkoncentrationer</w:t>
      </w:r>
      <w:proofErr w:type="spellEnd"/>
      <w:r w:rsidRPr="008048D6">
        <w:rPr>
          <w:sz w:val="24"/>
          <w:szCs w:val="24"/>
        </w:rPr>
        <w:t xml:space="preserve"> (1 time) viste middelstigninger i </w:t>
      </w:r>
      <w:proofErr w:type="spellStart"/>
      <w:r w:rsidRPr="008048D6">
        <w:rPr>
          <w:sz w:val="24"/>
          <w:szCs w:val="24"/>
        </w:rPr>
        <w:t>QTc</w:t>
      </w:r>
      <w:proofErr w:type="spellEnd"/>
      <w:r w:rsidRPr="008048D6">
        <w:rPr>
          <w:sz w:val="24"/>
          <w:szCs w:val="24"/>
        </w:rPr>
        <w:t xml:space="preserve">-intervallet på 5,0 og 11,8 </w:t>
      </w:r>
      <w:proofErr w:type="spellStart"/>
      <w:r w:rsidRPr="008048D6">
        <w:rPr>
          <w:sz w:val="24"/>
          <w:szCs w:val="24"/>
        </w:rPr>
        <w:t>msek</w:t>
      </w:r>
      <w:proofErr w:type="spellEnd"/>
      <w:r w:rsidRPr="008048D6">
        <w:rPr>
          <w:sz w:val="24"/>
          <w:szCs w:val="24"/>
        </w:rPr>
        <w:t xml:space="preserve"> ved </w:t>
      </w:r>
      <w:proofErr w:type="spellStart"/>
      <w:r w:rsidRPr="008048D6">
        <w:rPr>
          <w:sz w:val="24"/>
          <w:szCs w:val="24"/>
        </w:rPr>
        <w:t>tolterodindoser</w:t>
      </w:r>
      <w:proofErr w:type="spellEnd"/>
      <w:r w:rsidRPr="008048D6">
        <w:rPr>
          <w:sz w:val="24"/>
          <w:szCs w:val="24"/>
        </w:rPr>
        <w:t xml:space="preserve"> på hhv. 2 mg to gange dagligt og 4 mg to gange dagligt og 19,3 </w:t>
      </w:r>
      <w:proofErr w:type="spellStart"/>
      <w:r w:rsidRPr="008048D6">
        <w:rPr>
          <w:sz w:val="24"/>
          <w:szCs w:val="24"/>
        </w:rPr>
        <w:t>msek</w:t>
      </w:r>
      <w:proofErr w:type="spellEnd"/>
      <w:r w:rsidRPr="008048D6">
        <w:rPr>
          <w:sz w:val="24"/>
          <w:szCs w:val="24"/>
        </w:rPr>
        <w:t xml:space="preserve"> ved </w:t>
      </w:r>
      <w:proofErr w:type="spellStart"/>
      <w:r w:rsidRPr="008048D6">
        <w:rPr>
          <w:sz w:val="24"/>
          <w:szCs w:val="24"/>
        </w:rPr>
        <w:t>moxifloxacin</w:t>
      </w:r>
      <w:proofErr w:type="spellEnd"/>
      <w:r w:rsidRPr="008048D6">
        <w:rPr>
          <w:sz w:val="24"/>
          <w:szCs w:val="24"/>
        </w:rPr>
        <w:t xml:space="preserve"> (400 mg), som blev anvendt som aktiv intern kontrol. Det blev vurderet ud fra en </w:t>
      </w:r>
      <w:proofErr w:type="spellStart"/>
      <w:r w:rsidRPr="008048D6">
        <w:rPr>
          <w:sz w:val="24"/>
          <w:szCs w:val="24"/>
        </w:rPr>
        <w:t>farmakokinetisk</w:t>
      </w:r>
      <w:proofErr w:type="spellEnd"/>
      <w:r w:rsidRPr="008048D6">
        <w:rPr>
          <w:sz w:val="24"/>
          <w:szCs w:val="24"/>
        </w:rPr>
        <w:t>/</w:t>
      </w:r>
      <w:proofErr w:type="spellStart"/>
      <w:r w:rsidRPr="008048D6">
        <w:rPr>
          <w:sz w:val="24"/>
          <w:szCs w:val="24"/>
        </w:rPr>
        <w:t>farmakodynamisk</w:t>
      </w:r>
      <w:proofErr w:type="spellEnd"/>
      <w:r w:rsidRPr="008048D6">
        <w:rPr>
          <w:sz w:val="24"/>
          <w:szCs w:val="24"/>
        </w:rPr>
        <w:t xml:space="preserve"> model, at stigninger i </w:t>
      </w:r>
      <w:proofErr w:type="spellStart"/>
      <w:r w:rsidRPr="008048D6">
        <w:rPr>
          <w:sz w:val="24"/>
          <w:szCs w:val="24"/>
        </w:rPr>
        <w:t>QTc</w:t>
      </w:r>
      <w:proofErr w:type="spellEnd"/>
      <w:r w:rsidRPr="008048D6">
        <w:rPr>
          <w:sz w:val="24"/>
          <w:szCs w:val="24"/>
        </w:rPr>
        <w:t xml:space="preserve">-intervallet hos patienter med ringe </w:t>
      </w:r>
      <w:proofErr w:type="spellStart"/>
      <w:r w:rsidRPr="008048D6">
        <w:rPr>
          <w:sz w:val="24"/>
          <w:szCs w:val="24"/>
        </w:rPr>
        <w:t>metabolisering</w:t>
      </w:r>
      <w:proofErr w:type="spellEnd"/>
      <w:r w:rsidRPr="008048D6">
        <w:rPr>
          <w:sz w:val="24"/>
          <w:szCs w:val="24"/>
        </w:rPr>
        <w:t xml:space="preserve"> (uden CYP2D6), som blev behandlet med </w:t>
      </w:r>
      <w:proofErr w:type="spellStart"/>
      <w:r w:rsidRPr="008048D6">
        <w:rPr>
          <w:sz w:val="24"/>
          <w:szCs w:val="24"/>
        </w:rPr>
        <w:t>tolterodin</w:t>
      </w:r>
      <w:proofErr w:type="spellEnd"/>
      <w:r w:rsidRPr="008048D6">
        <w:rPr>
          <w:sz w:val="24"/>
          <w:szCs w:val="24"/>
        </w:rPr>
        <w:t xml:space="preserve"> 2 mg to gange dagligt, var sammenlignelige med de stigninger, der blev set hos patienter med omfattende </w:t>
      </w:r>
      <w:proofErr w:type="spellStart"/>
      <w:r w:rsidRPr="008048D6">
        <w:rPr>
          <w:sz w:val="24"/>
          <w:szCs w:val="24"/>
        </w:rPr>
        <w:t>metabolisering</w:t>
      </w:r>
      <w:proofErr w:type="spellEnd"/>
      <w:r w:rsidRPr="008048D6">
        <w:rPr>
          <w:sz w:val="24"/>
          <w:szCs w:val="24"/>
        </w:rPr>
        <w:t xml:space="preserve">, som fik 4 mg to gange dagligt. Ved begge doser af </w:t>
      </w:r>
      <w:proofErr w:type="spellStart"/>
      <w:r w:rsidRPr="008048D6">
        <w:rPr>
          <w:sz w:val="24"/>
          <w:szCs w:val="24"/>
        </w:rPr>
        <w:t>tolterodin</w:t>
      </w:r>
      <w:proofErr w:type="spellEnd"/>
      <w:r w:rsidRPr="008048D6">
        <w:rPr>
          <w:sz w:val="24"/>
          <w:szCs w:val="24"/>
        </w:rPr>
        <w:t xml:space="preserve"> var der ingen forsøgsdeltagere, uanset deres metaboliske profil, der havde et absolut </w:t>
      </w:r>
      <w:proofErr w:type="spellStart"/>
      <w:r w:rsidRPr="008048D6">
        <w:rPr>
          <w:sz w:val="24"/>
          <w:szCs w:val="24"/>
        </w:rPr>
        <w:t>QTcF</w:t>
      </w:r>
      <w:proofErr w:type="spellEnd"/>
      <w:r w:rsidRPr="008048D6">
        <w:rPr>
          <w:sz w:val="24"/>
          <w:szCs w:val="24"/>
        </w:rPr>
        <w:t xml:space="preserve">, der oversteg 500 </w:t>
      </w:r>
      <w:proofErr w:type="spellStart"/>
      <w:r w:rsidRPr="008048D6">
        <w:rPr>
          <w:sz w:val="24"/>
          <w:szCs w:val="24"/>
        </w:rPr>
        <w:t>msek</w:t>
      </w:r>
      <w:proofErr w:type="spellEnd"/>
      <w:r w:rsidRPr="008048D6">
        <w:rPr>
          <w:sz w:val="24"/>
          <w:szCs w:val="24"/>
        </w:rPr>
        <w:t xml:space="preserve">., eller ændringer i forhold til baseline over 60 </w:t>
      </w:r>
      <w:proofErr w:type="spellStart"/>
      <w:r w:rsidRPr="008048D6">
        <w:rPr>
          <w:sz w:val="24"/>
          <w:szCs w:val="24"/>
        </w:rPr>
        <w:t>msek</w:t>
      </w:r>
      <w:proofErr w:type="spellEnd"/>
      <w:r w:rsidRPr="008048D6">
        <w:rPr>
          <w:sz w:val="24"/>
          <w:szCs w:val="24"/>
        </w:rPr>
        <w:t>, hvilket anses for tærskler, der giver anledning til særlig bekymring. Doseringen med 4 mg to gange dagligt svarer til en maksimal eksponering (</w:t>
      </w:r>
      <w:proofErr w:type="spellStart"/>
      <w:r w:rsidRPr="008048D6">
        <w:rPr>
          <w:sz w:val="24"/>
          <w:szCs w:val="24"/>
        </w:rPr>
        <w:t>Cmax</w:t>
      </w:r>
      <w:proofErr w:type="spellEnd"/>
      <w:r w:rsidRPr="008048D6">
        <w:rPr>
          <w:sz w:val="24"/>
          <w:szCs w:val="24"/>
        </w:rPr>
        <w:t xml:space="preserve">), der er tre gange højere end den eksponering, der opnås med den højeste terapeutiske dosis af </w:t>
      </w:r>
      <w:proofErr w:type="spellStart"/>
      <w:r w:rsidRPr="008048D6">
        <w:rPr>
          <w:sz w:val="24"/>
          <w:szCs w:val="24"/>
        </w:rPr>
        <w:t>tolterodin</w:t>
      </w:r>
      <w:proofErr w:type="spellEnd"/>
      <w:r w:rsidRPr="008048D6">
        <w:rPr>
          <w:sz w:val="24"/>
          <w:szCs w:val="24"/>
        </w:rPr>
        <w:t xml:space="preserve"> 4 mg depotkapsler. </w:t>
      </w:r>
    </w:p>
    <w:p w:rsidR="009F6AF6" w:rsidRDefault="009F6AF6" w:rsidP="009F6AF6">
      <w:pPr>
        <w:ind w:left="851"/>
        <w:rPr>
          <w:sz w:val="24"/>
          <w:szCs w:val="24"/>
        </w:rPr>
      </w:pPr>
    </w:p>
    <w:p w:rsidR="009F6AF6" w:rsidRPr="0087422B" w:rsidRDefault="009F6AF6" w:rsidP="009F6AF6">
      <w:pPr>
        <w:ind w:left="851"/>
        <w:rPr>
          <w:sz w:val="24"/>
          <w:szCs w:val="24"/>
        </w:rPr>
      </w:pPr>
      <w:r w:rsidRPr="0087422B">
        <w:rPr>
          <w:sz w:val="24"/>
          <w:szCs w:val="24"/>
        </w:rPr>
        <w:t xml:space="preserve">Pædiatrisk population </w:t>
      </w:r>
    </w:p>
    <w:p w:rsidR="009F6AF6" w:rsidRPr="008048D6" w:rsidRDefault="009F6AF6" w:rsidP="009F6AF6">
      <w:pPr>
        <w:ind w:left="851"/>
        <w:rPr>
          <w:sz w:val="24"/>
          <w:szCs w:val="24"/>
        </w:rPr>
      </w:pPr>
      <w:r w:rsidRPr="008048D6">
        <w:rPr>
          <w:sz w:val="24"/>
          <w:szCs w:val="24"/>
        </w:rPr>
        <w:t xml:space="preserve">Der er ikke påvist nogen effekt i den pædiatriske population. Der er udført to randomiserede, placebokontrollerede, dobbeltblinde fase III-forsøg med børn, hvor der blev anvendt </w:t>
      </w:r>
      <w:proofErr w:type="spellStart"/>
      <w:r w:rsidRPr="008048D6">
        <w:rPr>
          <w:sz w:val="24"/>
          <w:szCs w:val="24"/>
        </w:rPr>
        <w:t>tolterodin</w:t>
      </w:r>
      <w:proofErr w:type="spellEnd"/>
      <w:r w:rsidRPr="008048D6">
        <w:rPr>
          <w:sz w:val="24"/>
          <w:szCs w:val="24"/>
        </w:rPr>
        <w:t xml:space="preserve"> depotkapsler over 12 uger. Der blev undersøgt i alt 710 pædiatriske patienter (468 på </w:t>
      </w:r>
      <w:proofErr w:type="spellStart"/>
      <w:r w:rsidRPr="008048D6">
        <w:rPr>
          <w:sz w:val="24"/>
          <w:szCs w:val="24"/>
        </w:rPr>
        <w:t>tolterodin</w:t>
      </w:r>
      <w:proofErr w:type="spellEnd"/>
      <w:r w:rsidRPr="008048D6">
        <w:rPr>
          <w:sz w:val="24"/>
          <w:szCs w:val="24"/>
        </w:rPr>
        <w:t xml:space="preserve"> og 224 på placebo) i alderen 5-10 år med øget </w:t>
      </w:r>
      <w:proofErr w:type="spellStart"/>
      <w:r w:rsidRPr="008048D6">
        <w:rPr>
          <w:sz w:val="24"/>
          <w:szCs w:val="24"/>
        </w:rPr>
        <w:t>urineringsfrekvens</w:t>
      </w:r>
      <w:proofErr w:type="spellEnd"/>
      <w:r w:rsidRPr="008048D6">
        <w:rPr>
          <w:sz w:val="24"/>
          <w:szCs w:val="24"/>
        </w:rPr>
        <w:t xml:space="preserve"> og trang-inkontinens. Der blev ikke set nogen signifikante forskelle </w:t>
      </w:r>
      <w:r w:rsidRPr="008048D6">
        <w:rPr>
          <w:sz w:val="24"/>
          <w:szCs w:val="24"/>
        </w:rPr>
        <w:lastRenderedPageBreak/>
        <w:t>mellem de to grupper i nogen af forsøgene, hvad angik ændringer i det totale antal af inkontinensepisoder/uge i forhold til baseline (se pkt. 4.8).</w:t>
      </w:r>
    </w:p>
    <w:p w:rsidR="009F6AF6" w:rsidRPr="008048D6" w:rsidRDefault="009F6AF6" w:rsidP="009F6AF6">
      <w:pPr>
        <w:ind w:left="851" w:hanging="851"/>
        <w:rPr>
          <w:sz w:val="24"/>
          <w:szCs w:val="24"/>
        </w:rPr>
      </w:pPr>
    </w:p>
    <w:p w:rsidR="009F6AF6" w:rsidRPr="008048D6" w:rsidRDefault="009F6AF6" w:rsidP="009F6AF6">
      <w:pPr>
        <w:numPr>
          <w:ilvl w:val="1"/>
          <w:numId w:val="3"/>
        </w:numPr>
        <w:tabs>
          <w:tab w:val="clear" w:pos="855"/>
        </w:tabs>
        <w:ind w:left="851" w:hanging="851"/>
        <w:rPr>
          <w:b/>
          <w:sz w:val="24"/>
          <w:szCs w:val="24"/>
        </w:rPr>
      </w:pPr>
      <w:proofErr w:type="spellStart"/>
      <w:r w:rsidRPr="008048D6">
        <w:rPr>
          <w:b/>
          <w:sz w:val="24"/>
          <w:szCs w:val="24"/>
        </w:rPr>
        <w:t>Farmakokinetiske</w:t>
      </w:r>
      <w:proofErr w:type="spellEnd"/>
      <w:r w:rsidRPr="008048D6">
        <w:rPr>
          <w:b/>
          <w:sz w:val="24"/>
          <w:szCs w:val="24"/>
        </w:rPr>
        <w:t xml:space="preserve"> egenskaber</w:t>
      </w:r>
    </w:p>
    <w:p w:rsidR="009F6AF6" w:rsidRPr="0021187A" w:rsidRDefault="009F6AF6" w:rsidP="009F6AF6">
      <w:pPr>
        <w:ind w:left="851"/>
        <w:rPr>
          <w:sz w:val="24"/>
          <w:szCs w:val="24"/>
          <w:u w:val="single"/>
        </w:rPr>
      </w:pPr>
      <w:proofErr w:type="spellStart"/>
      <w:r w:rsidRPr="0021187A">
        <w:rPr>
          <w:sz w:val="24"/>
          <w:szCs w:val="24"/>
          <w:u w:val="single"/>
        </w:rPr>
        <w:t>Farmakokinetiske</w:t>
      </w:r>
      <w:proofErr w:type="spellEnd"/>
      <w:r w:rsidRPr="0021187A">
        <w:rPr>
          <w:sz w:val="24"/>
          <w:szCs w:val="24"/>
          <w:u w:val="single"/>
        </w:rPr>
        <w:t xml:space="preserve"> karakteristika, der er specifikke for denne formulering</w:t>
      </w:r>
    </w:p>
    <w:p w:rsidR="009F6AF6" w:rsidRPr="0021187A" w:rsidRDefault="009F6AF6" w:rsidP="009F6AF6">
      <w:pPr>
        <w:ind w:left="851"/>
        <w:rPr>
          <w:sz w:val="24"/>
          <w:szCs w:val="24"/>
        </w:rPr>
      </w:pPr>
      <w:proofErr w:type="spellStart"/>
      <w:r w:rsidRPr="0021187A">
        <w:rPr>
          <w:sz w:val="24"/>
          <w:szCs w:val="24"/>
        </w:rPr>
        <w:t>Tolterodin</w:t>
      </w:r>
      <w:proofErr w:type="spellEnd"/>
      <w:r w:rsidRPr="0021187A">
        <w:rPr>
          <w:sz w:val="24"/>
          <w:szCs w:val="24"/>
        </w:rPr>
        <w:t xml:space="preserve"> hårde depotkapsler giver en langsommere absorption af </w:t>
      </w:r>
      <w:proofErr w:type="spellStart"/>
      <w:r w:rsidRPr="0021187A">
        <w:rPr>
          <w:sz w:val="24"/>
          <w:szCs w:val="24"/>
        </w:rPr>
        <w:t>tolterodin</w:t>
      </w:r>
      <w:proofErr w:type="spellEnd"/>
      <w:r w:rsidRPr="0021187A">
        <w:rPr>
          <w:sz w:val="24"/>
          <w:szCs w:val="24"/>
        </w:rPr>
        <w:t xml:space="preserve"> end tabletterne med øjeblikkelig frigivelse. Som følge deraf ses de maksimale serumkoncentrationer 4 (2-6) timer efter administration af kapslerne.</w:t>
      </w:r>
      <w:r w:rsidRPr="0021187A">
        <w:rPr>
          <w:i/>
          <w:sz w:val="24"/>
          <w:szCs w:val="24"/>
        </w:rPr>
        <w:t xml:space="preserve"> </w:t>
      </w:r>
      <w:r w:rsidRPr="0021187A">
        <w:rPr>
          <w:sz w:val="24"/>
          <w:szCs w:val="24"/>
        </w:rPr>
        <w:t xml:space="preserve">Den tilsyneladende halveringstid af </w:t>
      </w:r>
      <w:proofErr w:type="spellStart"/>
      <w:r w:rsidRPr="0021187A">
        <w:rPr>
          <w:sz w:val="24"/>
          <w:szCs w:val="24"/>
        </w:rPr>
        <w:t>tolterodin</w:t>
      </w:r>
      <w:proofErr w:type="spellEnd"/>
      <w:r w:rsidRPr="0021187A">
        <w:rPr>
          <w:sz w:val="24"/>
          <w:szCs w:val="24"/>
        </w:rPr>
        <w:t xml:space="preserve"> i form af kapsler er ca. 6 timer hos patienter med omfattende </w:t>
      </w:r>
      <w:proofErr w:type="spellStart"/>
      <w:r w:rsidRPr="0021187A">
        <w:rPr>
          <w:sz w:val="24"/>
          <w:szCs w:val="24"/>
        </w:rPr>
        <w:t>metabolisering</w:t>
      </w:r>
      <w:proofErr w:type="spellEnd"/>
      <w:r w:rsidRPr="0021187A">
        <w:rPr>
          <w:sz w:val="24"/>
          <w:szCs w:val="24"/>
        </w:rPr>
        <w:t xml:space="preserve"> og ca. 10 timer hos patienter med ringe </w:t>
      </w:r>
      <w:proofErr w:type="spellStart"/>
      <w:r w:rsidRPr="0021187A">
        <w:rPr>
          <w:sz w:val="24"/>
          <w:szCs w:val="24"/>
        </w:rPr>
        <w:t>metabolisering</w:t>
      </w:r>
      <w:proofErr w:type="spellEnd"/>
      <w:r w:rsidRPr="0021187A">
        <w:rPr>
          <w:sz w:val="24"/>
          <w:szCs w:val="24"/>
        </w:rPr>
        <w:t xml:space="preserve"> (uden CYP2D6).</w:t>
      </w:r>
      <w:r w:rsidRPr="0021187A">
        <w:rPr>
          <w:i/>
          <w:sz w:val="24"/>
          <w:szCs w:val="24"/>
        </w:rPr>
        <w:t xml:space="preserve"> </w:t>
      </w:r>
      <w:proofErr w:type="spellStart"/>
      <w:r w:rsidRPr="0021187A">
        <w:rPr>
          <w:sz w:val="24"/>
          <w:szCs w:val="24"/>
        </w:rPr>
        <w:t>Steady</w:t>
      </w:r>
      <w:proofErr w:type="spellEnd"/>
      <w:r w:rsidRPr="0021187A">
        <w:rPr>
          <w:sz w:val="24"/>
          <w:szCs w:val="24"/>
        </w:rPr>
        <w:t xml:space="preserve"> state-koncentrationerne opnås inden for 4 dage efter administration af kapslerne.</w:t>
      </w:r>
      <w:r w:rsidRPr="0021187A">
        <w:rPr>
          <w:i/>
          <w:sz w:val="24"/>
          <w:szCs w:val="24"/>
        </w:rPr>
        <w:t xml:space="preserve"> </w:t>
      </w:r>
    </w:p>
    <w:p w:rsidR="009F6AF6" w:rsidRPr="0021187A" w:rsidRDefault="009F6AF6" w:rsidP="009F6AF6">
      <w:pPr>
        <w:ind w:left="851"/>
        <w:rPr>
          <w:iCs/>
          <w:sz w:val="24"/>
          <w:szCs w:val="24"/>
        </w:rPr>
      </w:pPr>
    </w:p>
    <w:p w:rsidR="009F6AF6" w:rsidRPr="0021187A" w:rsidRDefault="009F6AF6" w:rsidP="009F6AF6">
      <w:pPr>
        <w:ind w:left="851"/>
        <w:rPr>
          <w:sz w:val="24"/>
          <w:szCs w:val="24"/>
        </w:rPr>
      </w:pPr>
      <w:r w:rsidRPr="0021187A">
        <w:rPr>
          <w:sz w:val="24"/>
          <w:szCs w:val="24"/>
        </w:rPr>
        <w:t>Biotilgængeligheden af kapslerne påvirkes ikke af føde.</w:t>
      </w:r>
      <w:r w:rsidRPr="0021187A">
        <w:rPr>
          <w:i/>
          <w:sz w:val="24"/>
          <w:szCs w:val="24"/>
        </w:rPr>
        <w:t xml:space="preserve"> </w:t>
      </w:r>
    </w:p>
    <w:p w:rsidR="009F6AF6" w:rsidRPr="0021187A" w:rsidRDefault="009F6AF6" w:rsidP="009F6AF6">
      <w:pPr>
        <w:ind w:left="851"/>
        <w:rPr>
          <w:iCs/>
          <w:sz w:val="24"/>
          <w:szCs w:val="24"/>
        </w:rPr>
      </w:pPr>
    </w:p>
    <w:p w:rsidR="009F6AF6" w:rsidRPr="0021187A" w:rsidRDefault="009F6AF6" w:rsidP="009F6AF6">
      <w:pPr>
        <w:ind w:left="851"/>
        <w:rPr>
          <w:sz w:val="24"/>
          <w:szCs w:val="24"/>
          <w:u w:val="single"/>
        </w:rPr>
      </w:pPr>
      <w:r w:rsidRPr="0021187A">
        <w:rPr>
          <w:sz w:val="24"/>
          <w:szCs w:val="24"/>
          <w:u w:val="single"/>
        </w:rPr>
        <w:t>Absorption</w:t>
      </w:r>
    </w:p>
    <w:p w:rsidR="009F6AF6" w:rsidRPr="0021187A" w:rsidRDefault="009F6AF6" w:rsidP="009F6AF6">
      <w:pPr>
        <w:ind w:left="851"/>
        <w:rPr>
          <w:sz w:val="24"/>
          <w:szCs w:val="24"/>
        </w:rPr>
      </w:pPr>
      <w:r w:rsidRPr="0021187A">
        <w:rPr>
          <w:sz w:val="24"/>
          <w:szCs w:val="24"/>
        </w:rPr>
        <w:t xml:space="preserve">Efter oral administration undergår </w:t>
      </w:r>
      <w:proofErr w:type="spellStart"/>
      <w:r w:rsidRPr="0021187A">
        <w:rPr>
          <w:sz w:val="24"/>
          <w:szCs w:val="24"/>
        </w:rPr>
        <w:t>tolterodin</w:t>
      </w:r>
      <w:proofErr w:type="spellEnd"/>
      <w:r w:rsidRPr="0021187A">
        <w:rPr>
          <w:sz w:val="24"/>
          <w:szCs w:val="24"/>
        </w:rPr>
        <w:t xml:space="preserve"> CYP2D6-katalyseret </w:t>
      </w:r>
      <w:proofErr w:type="spellStart"/>
      <w:r w:rsidRPr="0021187A">
        <w:rPr>
          <w:sz w:val="24"/>
          <w:szCs w:val="24"/>
        </w:rPr>
        <w:t>first</w:t>
      </w:r>
      <w:proofErr w:type="spellEnd"/>
      <w:r w:rsidRPr="0021187A">
        <w:rPr>
          <w:sz w:val="24"/>
          <w:szCs w:val="24"/>
        </w:rPr>
        <w:t>-</w:t>
      </w:r>
      <w:proofErr w:type="spellStart"/>
      <w:r w:rsidRPr="0021187A">
        <w:rPr>
          <w:sz w:val="24"/>
          <w:szCs w:val="24"/>
        </w:rPr>
        <w:t>pass</w:t>
      </w:r>
      <w:proofErr w:type="spellEnd"/>
      <w:r w:rsidRPr="0021187A">
        <w:rPr>
          <w:sz w:val="24"/>
          <w:szCs w:val="24"/>
        </w:rPr>
        <w:t xml:space="preserve">-metabolisme i leveren, hvilket fører til dannelsen af 5-hydroxymethyl-derivatet, som er en farmakologisk </w:t>
      </w:r>
      <w:proofErr w:type="spellStart"/>
      <w:r w:rsidRPr="0021187A">
        <w:rPr>
          <w:sz w:val="24"/>
          <w:szCs w:val="24"/>
        </w:rPr>
        <w:t>ækvipotent</w:t>
      </w:r>
      <w:proofErr w:type="spellEnd"/>
      <w:r w:rsidRPr="0021187A">
        <w:rPr>
          <w:sz w:val="24"/>
          <w:szCs w:val="24"/>
        </w:rPr>
        <w:t xml:space="preserve"> hovedmetabolit. </w:t>
      </w:r>
    </w:p>
    <w:p w:rsidR="009F6AF6" w:rsidRPr="0021187A" w:rsidRDefault="009F6AF6" w:rsidP="009F6AF6">
      <w:pPr>
        <w:ind w:left="851"/>
        <w:rPr>
          <w:sz w:val="24"/>
          <w:szCs w:val="24"/>
        </w:rPr>
      </w:pPr>
      <w:r w:rsidRPr="0021187A">
        <w:rPr>
          <w:sz w:val="24"/>
          <w:szCs w:val="24"/>
        </w:rPr>
        <w:t xml:space="preserve">Den absolutte biotilgængelighed af </w:t>
      </w:r>
      <w:proofErr w:type="spellStart"/>
      <w:r w:rsidRPr="0021187A">
        <w:rPr>
          <w:sz w:val="24"/>
          <w:szCs w:val="24"/>
        </w:rPr>
        <w:t>tolterodin</w:t>
      </w:r>
      <w:proofErr w:type="spellEnd"/>
      <w:r w:rsidRPr="0021187A">
        <w:rPr>
          <w:sz w:val="24"/>
          <w:szCs w:val="24"/>
        </w:rPr>
        <w:t xml:space="preserve"> er 17 % hos patienter med omfattende </w:t>
      </w:r>
      <w:proofErr w:type="spellStart"/>
      <w:r w:rsidRPr="0021187A">
        <w:rPr>
          <w:sz w:val="24"/>
          <w:szCs w:val="24"/>
        </w:rPr>
        <w:t>metabolisering</w:t>
      </w:r>
      <w:proofErr w:type="spellEnd"/>
      <w:r w:rsidRPr="0021187A">
        <w:rPr>
          <w:sz w:val="24"/>
          <w:szCs w:val="24"/>
        </w:rPr>
        <w:t xml:space="preserve">, altså størstedelen af patienter, og 65 % hos patienter med ringe </w:t>
      </w:r>
      <w:proofErr w:type="spellStart"/>
      <w:r w:rsidRPr="0021187A">
        <w:rPr>
          <w:sz w:val="24"/>
          <w:szCs w:val="24"/>
        </w:rPr>
        <w:t>metabolisering</w:t>
      </w:r>
      <w:proofErr w:type="spellEnd"/>
      <w:r w:rsidRPr="0021187A">
        <w:rPr>
          <w:sz w:val="24"/>
          <w:szCs w:val="24"/>
        </w:rPr>
        <w:t xml:space="preserve"> (uden CYP2D6). </w:t>
      </w:r>
    </w:p>
    <w:p w:rsidR="009F6AF6" w:rsidRPr="0021187A" w:rsidRDefault="009F6AF6" w:rsidP="009F6AF6">
      <w:pPr>
        <w:ind w:left="851"/>
        <w:rPr>
          <w:i/>
          <w:iCs/>
          <w:sz w:val="24"/>
          <w:szCs w:val="24"/>
        </w:rPr>
      </w:pPr>
    </w:p>
    <w:p w:rsidR="009F6AF6" w:rsidRPr="0021187A" w:rsidRDefault="009F6AF6" w:rsidP="009F6AF6">
      <w:pPr>
        <w:ind w:left="851"/>
        <w:rPr>
          <w:sz w:val="24"/>
          <w:szCs w:val="24"/>
          <w:u w:val="single"/>
        </w:rPr>
      </w:pPr>
      <w:r w:rsidRPr="0021187A">
        <w:rPr>
          <w:sz w:val="24"/>
          <w:szCs w:val="24"/>
          <w:u w:val="single"/>
        </w:rPr>
        <w:t>Fordeling</w:t>
      </w:r>
    </w:p>
    <w:p w:rsidR="009F6AF6" w:rsidRPr="0021187A" w:rsidRDefault="009F6AF6" w:rsidP="009F6AF6">
      <w:pPr>
        <w:ind w:left="851"/>
        <w:rPr>
          <w:sz w:val="24"/>
          <w:szCs w:val="24"/>
        </w:rPr>
      </w:pPr>
      <w:proofErr w:type="spellStart"/>
      <w:r w:rsidRPr="0021187A">
        <w:rPr>
          <w:sz w:val="24"/>
          <w:szCs w:val="24"/>
        </w:rPr>
        <w:t>Tolterodin</w:t>
      </w:r>
      <w:proofErr w:type="spellEnd"/>
      <w:r w:rsidRPr="0021187A">
        <w:rPr>
          <w:sz w:val="24"/>
          <w:szCs w:val="24"/>
        </w:rPr>
        <w:t xml:space="preserve"> og 5-hydroxymethyl-metabolitten bindes primært til </w:t>
      </w:r>
      <w:proofErr w:type="spellStart"/>
      <w:r w:rsidRPr="0021187A">
        <w:rPr>
          <w:sz w:val="24"/>
          <w:szCs w:val="24"/>
        </w:rPr>
        <w:t>orosomucoid</w:t>
      </w:r>
      <w:proofErr w:type="spellEnd"/>
      <w:r w:rsidRPr="0021187A">
        <w:rPr>
          <w:sz w:val="24"/>
          <w:szCs w:val="24"/>
        </w:rPr>
        <w:t xml:space="preserve">. De ubundne fraktioner er hhv. 3,7 % og 36 %. Fordelingsvolumenet af </w:t>
      </w:r>
      <w:proofErr w:type="spellStart"/>
      <w:r w:rsidRPr="0021187A">
        <w:rPr>
          <w:sz w:val="24"/>
          <w:szCs w:val="24"/>
        </w:rPr>
        <w:t>tolterodin</w:t>
      </w:r>
      <w:proofErr w:type="spellEnd"/>
      <w:r w:rsidRPr="0021187A">
        <w:rPr>
          <w:sz w:val="24"/>
          <w:szCs w:val="24"/>
        </w:rPr>
        <w:t xml:space="preserve"> er 113 l. </w:t>
      </w:r>
    </w:p>
    <w:p w:rsidR="009F6AF6" w:rsidRPr="0021187A" w:rsidRDefault="009F6AF6" w:rsidP="009F6AF6">
      <w:pPr>
        <w:ind w:left="851"/>
        <w:rPr>
          <w:i/>
          <w:iCs/>
          <w:sz w:val="24"/>
          <w:szCs w:val="24"/>
        </w:rPr>
      </w:pPr>
    </w:p>
    <w:p w:rsidR="009F6AF6" w:rsidRPr="0021187A" w:rsidRDefault="009F6AF6" w:rsidP="009F6AF6">
      <w:pPr>
        <w:ind w:left="851"/>
        <w:rPr>
          <w:sz w:val="24"/>
          <w:szCs w:val="24"/>
          <w:u w:val="single"/>
        </w:rPr>
      </w:pPr>
      <w:r w:rsidRPr="0021187A">
        <w:rPr>
          <w:sz w:val="24"/>
          <w:szCs w:val="24"/>
          <w:u w:val="single"/>
        </w:rPr>
        <w:t>Elimination</w:t>
      </w:r>
    </w:p>
    <w:p w:rsidR="009F6AF6" w:rsidRPr="0021187A" w:rsidRDefault="009F6AF6" w:rsidP="009F6AF6">
      <w:pPr>
        <w:ind w:left="851"/>
        <w:rPr>
          <w:sz w:val="24"/>
          <w:szCs w:val="24"/>
        </w:rPr>
      </w:pPr>
      <w:proofErr w:type="spellStart"/>
      <w:r w:rsidRPr="0021187A">
        <w:rPr>
          <w:sz w:val="24"/>
          <w:szCs w:val="24"/>
        </w:rPr>
        <w:t>Tolterodin</w:t>
      </w:r>
      <w:proofErr w:type="spellEnd"/>
      <w:r w:rsidRPr="0021187A">
        <w:rPr>
          <w:sz w:val="24"/>
          <w:szCs w:val="24"/>
        </w:rPr>
        <w:t xml:space="preserve"> </w:t>
      </w:r>
      <w:proofErr w:type="spellStart"/>
      <w:r w:rsidRPr="0021187A">
        <w:rPr>
          <w:sz w:val="24"/>
          <w:szCs w:val="24"/>
        </w:rPr>
        <w:t>metaboliseres</w:t>
      </w:r>
      <w:proofErr w:type="spellEnd"/>
      <w:r w:rsidRPr="0021187A">
        <w:rPr>
          <w:sz w:val="24"/>
          <w:szCs w:val="24"/>
        </w:rPr>
        <w:t xml:space="preserve"> i høj grad af leveren efter oral dosering. </w:t>
      </w:r>
      <w:proofErr w:type="spellStart"/>
      <w:r w:rsidRPr="0021187A">
        <w:rPr>
          <w:sz w:val="24"/>
          <w:szCs w:val="24"/>
        </w:rPr>
        <w:t>Metaboliseringen</w:t>
      </w:r>
      <w:proofErr w:type="spellEnd"/>
      <w:r w:rsidRPr="0021187A">
        <w:rPr>
          <w:sz w:val="24"/>
          <w:szCs w:val="24"/>
        </w:rPr>
        <w:t xml:space="preserve"> foregår primært via det polymorfe enzym CYP2D6 og medfører dannelsen af 5-hydroxymethyl-metabolitten. Yderligere </w:t>
      </w:r>
      <w:proofErr w:type="spellStart"/>
      <w:r w:rsidRPr="0021187A">
        <w:rPr>
          <w:sz w:val="24"/>
          <w:szCs w:val="24"/>
        </w:rPr>
        <w:t>metabolisering</w:t>
      </w:r>
      <w:proofErr w:type="spellEnd"/>
      <w:r w:rsidRPr="0021187A">
        <w:rPr>
          <w:sz w:val="24"/>
          <w:szCs w:val="24"/>
        </w:rPr>
        <w:t xml:space="preserve"> medfører dannelsen af 5-carboxylsyre- og N-dealkyleret-5-carboxysyre-metabolitter, som repræsenterer hhv. 51 % og 29 % af de metabolitter, der genfindes i urinen. En undergruppe (ca. 7 %) af befolkningen har ingen CYP2D6-aktivitet. Den </w:t>
      </w:r>
      <w:proofErr w:type="spellStart"/>
      <w:r w:rsidRPr="0021187A">
        <w:rPr>
          <w:sz w:val="24"/>
          <w:szCs w:val="24"/>
        </w:rPr>
        <w:t>metabolisering</w:t>
      </w:r>
      <w:proofErr w:type="spellEnd"/>
      <w:r w:rsidRPr="0021187A">
        <w:rPr>
          <w:sz w:val="24"/>
          <w:szCs w:val="24"/>
        </w:rPr>
        <w:t xml:space="preserve">, der er identificeret hos disse individer (med ringe </w:t>
      </w:r>
      <w:proofErr w:type="spellStart"/>
      <w:r w:rsidRPr="0021187A">
        <w:rPr>
          <w:sz w:val="24"/>
          <w:szCs w:val="24"/>
        </w:rPr>
        <w:t>metabolisering</w:t>
      </w:r>
      <w:proofErr w:type="spellEnd"/>
      <w:r w:rsidRPr="0021187A">
        <w:rPr>
          <w:sz w:val="24"/>
          <w:szCs w:val="24"/>
        </w:rPr>
        <w:t xml:space="preserve">), foregår ved </w:t>
      </w:r>
      <w:proofErr w:type="spellStart"/>
      <w:r w:rsidRPr="0021187A">
        <w:rPr>
          <w:sz w:val="24"/>
          <w:szCs w:val="24"/>
        </w:rPr>
        <w:t>dealkylering</w:t>
      </w:r>
      <w:proofErr w:type="spellEnd"/>
      <w:r w:rsidRPr="0021187A">
        <w:rPr>
          <w:sz w:val="24"/>
          <w:szCs w:val="24"/>
        </w:rPr>
        <w:t xml:space="preserve"> via CYP3A4 til N-dealkyleret </w:t>
      </w:r>
      <w:proofErr w:type="spellStart"/>
      <w:r w:rsidRPr="0021187A">
        <w:rPr>
          <w:sz w:val="24"/>
          <w:szCs w:val="24"/>
        </w:rPr>
        <w:t>tolterodin</w:t>
      </w:r>
      <w:proofErr w:type="spellEnd"/>
      <w:r w:rsidRPr="0021187A">
        <w:rPr>
          <w:sz w:val="24"/>
          <w:szCs w:val="24"/>
        </w:rPr>
        <w:t xml:space="preserve">, som ikke medvirker til den kliniske effekt. Resten af befolkningen har såkaldt omfattende </w:t>
      </w:r>
      <w:proofErr w:type="spellStart"/>
      <w:r w:rsidRPr="0021187A">
        <w:rPr>
          <w:sz w:val="24"/>
          <w:szCs w:val="24"/>
        </w:rPr>
        <w:t>metabolisering</w:t>
      </w:r>
      <w:proofErr w:type="spellEnd"/>
      <w:r w:rsidRPr="0021187A">
        <w:rPr>
          <w:sz w:val="24"/>
          <w:szCs w:val="24"/>
        </w:rPr>
        <w:t xml:space="preserve">. Den systemiske </w:t>
      </w:r>
      <w:proofErr w:type="spellStart"/>
      <w:r w:rsidRPr="0021187A">
        <w:rPr>
          <w:sz w:val="24"/>
          <w:szCs w:val="24"/>
        </w:rPr>
        <w:t>clearance</w:t>
      </w:r>
      <w:proofErr w:type="spellEnd"/>
      <w:r w:rsidRPr="0021187A">
        <w:rPr>
          <w:sz w:val="24"/>
          <w:szCs w:val="24"/>
        </w:rPr>
        <w:t xml:space="preserve"> af </w:t>
      </w:r>
      <w:proofErr w:type="spellStart"/>
      <w:r w:rsidRPr="0021187A">
        <w:rPr>
          <w:sz w:val="24"/>
          <w:szCs w:val="24"/>
        </w:rPr>
        <w:t>tolterodin</w:t>
      </w:r>
      <w:proofErr w:type="spellEnd"/>
      <w:r w:rsidRPr="0021187A">
        <w:rPr>
          <w:sz w:val="24"/>
          <w:szCs w:val="24"/>
        </w:rPr>
        <w:t xml:space="preserve"> hos patienter med omfattende </w:t>
      </w:r>
      <w:proofErr w:type="spellStart"/>
      <w:r w:rsidRPr="0021187A">
        <w:rPr>
          <w:sz w:val="24"/>
          <w:szCs w:val="24"/>
        </w:rPr>
        <w:t>metabolisering</w:t>
      </w:r>
      <w:proofErr w:type="spellEnd"/>
      <w:r w:rsidRPr="0021187A">
        <w:rPr>
          <w:sz w:val="24"/>
          <w:szCs w:val="24"/>
        </w:rPr>
        <w:t xml:space="preserve"> er ca. 30 l/t. Hos patienter med ringe </w:t>
      </w:r>
      <w:proofErr w:type="spellStart"/>
      <w:r w:rsidRPr="0021187A">
        <w:rPr>
          <w:sz w:val="24"/>
          <w:szCs w:val="24"/>
        </w:rPr>
        <w:t>metabolisering</w:t>
      </w:r>
      <w:proofErr w:type="spellEnd"/>
      <w:r w:rsidRPr="0021187A">
        <w:rPr>
          <w:sz w:val="24"/>
          <w:szCs w:val="24"/>
        </w:rPr>
        <w:t xml:space="preserve"> medfører den reducerede </w:t>
      </w:r>
      <w:proofErr w:type="spellStart"/>
      <w:r w:rsidRPr="0021187A">
        <w:rPr>
          <w:sz w:val="24"/>
          <w:szCs w:val="24"/>
        </w:rPr>
        <w:t>clearance</w:t>
      </w:r>
      <w:proofErr w:type="spellEnd"/>
      <w:r w:rsidRPr="0021187A">
        <w:rPr>
          <w:sz w:val="24"/>
          <w:szCs w:val="24"/>
        </w:rPr>
        <w:t xml:space="preserve"> signifikant højere serumkoncentrationer af </w:t>
      </w:r>
      <w:proofErr w:type="spellStart"/>
      <w:r w:rsidRPr="0021187A">
        <w:rPr>
          <w:sz w:val="24"/>
          <w:szCs w:val="24"/>
        </w:rPr>
        <w:t>tolterodin</w:t>
      </w:r>
      <w:proofErr w:type="spellEnd"/>
      <w:r w:rsidRPr="0021187A">
        <w:rPr>
          <w:sz w:val="24"/>
          <w:szCs w:val="24"/>
        </w:rPr>
        <w:t xml:space="preserve"> (ca. 7-doblet), og hos disse patienter ses der ubetydelige koncentrationer af 5-hydroxymethyl-metabolitten. </w:t>
      </w:r>
    </w:p>
    <w:p w:rsidR="009F6AF6" w:rsidRPr="0021187A" w:rsidRDefault="009F6AF6" w:rsidP="009F6AF6">
      <w:pPr>
        <w:ind w:left="851"/>
        <w:rPr>
          <w:sz w:val="24"/>
          <w:szCs w:val="24"/>
        </w:rPr>
      </w:pPr>
      <w:r w:rsidRPr="0021187A">
        <w:rPr>
          <w:sz w:val="24"/>
          <w:szCs w:val="24"/>
        </w:rPr>
        <w:t xml:space="preserve">5-hydroxymethyl-metabolitten er farmakologisk aktiv og </w:t>
      </w:r>
      <w:proofErr w:type="spellStart"/>
      <w:r w:rsidRPr="0021187A">
        <w:rPr>
          <w:sz w:val="24"/>
          <w:szCs w:val="24"/>
        </w:rPr>
        <w:t>ækvipotent</w:t>
      </w:r>
      <w:proofErr w:type="spellEnd"/>
      <w:r w:rsidRPr="0021187A">
        <w:rPr>
          <w:sz w:val="24"/>
          <w:szCs w:val="24"/>
        </w:rPr>
        <w:t xml:space="preserve"> med </w:t>
      </w:r>
      <w:proofErr w:type="spellStart"/>
      <w:r w:rsidRPr="0021187A">
        <w:rPr>
          <w:sz w:val="24"/>
          <w:szCs w:val="24"/>
        </w:rPr>
        <w:t>tolterodin</w:t>
      </w:r>
      <w:proofErr w:type="spellEnd"/>
      <w:r w:rsidRPr="0021187A">
        <w:rPr>
          <w:sz w:val="24"/>
          <w:szCs w:val="24"/>
        </w:rPr>
        <w:t xml:space="preserve">. På grund af forskellene i de proteinbindende egenskaber af </w:t>
      </w:r>
      <w:proofErr w:type="spellStart"/>
      <w:r w:rsidRPr="0021187A">
        <w:rPr>
          <w:sz w:val="24"/>
          <w:szCs w:val="24"/>
        </w:rPr>
        <w:t>tolterodin</w:t>
      </w:r>
      <w:proofErr w:type="spellEnd"/>
      <w:r w:rsidRPr="0021187A">
        <w:rPr>
          <w:sz w:val="24"/>
          <w:szCs w:val="24"/>
        </w:rPr>
        <w:t xml:space="preserve"> og 5-hydroxymethyl-metabolitten er eksponeringen (AUC) for ubunden </w:t>
      </w:r>
      <w:proofErr w:type="spellStart"/>
      <w:r w:rsidRPr="0021187A">
        <w:rPr>
          <w:sz w:val="24"/>
          <w:szCs w:val="24"/>
        </w:rPr>
        <w:t>tolterodin</w:t>
      </w:r>
      <w:proofErr w:type="spellEnd"/>
      <w:r w:rsidRPr="0021187A">
        <w:rPr>
          <w:sz w:val="24"/>
          <w:szCs w:val="24"/>
        </w:rPr>
        <w:t xml:space="preserve"> hos patienter med ringe </w:t>
      </w:r>
      <w:proofErr w:type="spellStart"/>
      <w:r w:rsidRPr="0021187A">
        <w:rPr>
          <w:sz w:val="24"/>
          <w:szCs w:val="24"/>
        </w:rPr>
        <w:t>metabolisering</w:t>
      </w:r>
      <w:proofErr w:type="spellEnd"/>
      <w:r w:rsidRPr="0021187A">
        <w:rPr>
          <w:sz w:val="24"/>
          <w:szCs w:val="24"/>
        </w:rPr>
        <w:t xml:space="preserve"> sammenlignelig med den kombinerede eksponering for ubunden </w:t>
      </w:r>
      <w:proofErr w:type="spellStart"/>
      <w:r w:rsidRPr="0021187A">
        <w:rPr>
          <w:sz w:val="24"/>
          <w:szCs w:val="24"/>
        </w:rPr>
        <w:t>tolterodin</w:t>
      </w:r>
      <w:proofErr w:type="spellEnd"/>
      <w:r w:rsidRPr="0021187A">
        <w:rPr>
          <w:sz w:val="24"/>
          <w:szCs w:val="24"/>
        </w:rPr>
        <w:t xml:space="preserve"> og 5-hydroxymethyl-metabolitten hos patienter med CYP2D6-aktivitet ved samme </w:t>
      </w:r>
      <w:proofErr w:type="spellStart"/>
      <w:r w:rsidRPr="0021187A">
        <w:rPr>
          <w:sz w:val="24"/>
          <w:szCs w:val="24"/>
        </w:rPr>
        <w:t>doseringsregimen</w:t>
      </w:r>
      <w:proofErr w:type="spellEnd"/>
      <w:r w:rsidRPr="0021187A">
        <w:rPr>
          <w:sz w:val="24"/>
          <w:szCs w:val="24"/>
        </w:rPr>
        <w:t xml:space="preserve">. Der er lignende sikkerhed, tolerance og klinisk respons uafhængigt af fænotype. </w:t>
      </w:r>
    </w:p>
    <w:p w:rsidR="009F6AF6" w:rsidRPr="0021187A" w:rsidRDefault="009F6AF6" w:rsidP="009F6AF6">
      <w:pPr>
        <w:ind w:left="851"/>
        <w:rPr>
          <w:sz w:val="24"/>
          <w:szCs w:val="24"/>
        </w:rPr>
      </w:pPr>
      <w:r w:rsidRPr="0021187A">
        <w:rPr>
          <w:sz w:val="24"/>
          <w:szCs w:val="24"/>
        </w:rPr>
        <w:t>Udskillelsen af radioaktivitet efter administration af [14</w:t>
      </w:r>
      <w:proofErr w:type="gramStart"/>
      <w:r w:rsidRPr="0021187A">
        <w:rPr>
          <w:sz w:val="24"/>
          <w:szCs w:val="24"/>
        </w:rPr>
        <w:t>C]-</w:t>
      </w:r>
      <w:proofErr w:type="spellStart"/>
      <w:proofErr w:type="gramEnd"/>
      <w:r w:rsidRPr="0021187A">
        <w:rPr>
          <w:sz w:val="24"/>
          <w:szCs w:val="24"/>
        </w:rPr>
        <w:t>tolterodin</w:t>
      </w:r>
      <w:proofErr w:type="spellEnd"/>
      <w:r w:rsidRPr="0021187A">
        <w:rPr>
          <w:sz w:val="24"/>
          <w:szCs w:val="24"/>
        </w:rPr>
        <w:t xml:space="preserve"> er ca. 77 % i urin og 17 % i fæces. Under 1 % af dosis genfindes som </w:t>
      </w:r>
      <w:proofErr w:type="spellStart"/>
      <w:r w:rsidRPr="0021187A">
        <w:rPr>
          <w:sz w:val="24"/>
          <w:szCs w:val="24"/>
        </w:rPr>
        <w:t>uomdannet</w:t>
      </w:r>
      <w:proofErr w:type="spellEnd"/>
      <w:r w:rsidRPr="0021187A">
        <w:rPr>
          <w:sz w:val="24"/>
          <w:szCs w:val="24"/>
        </w:rPr>
        <w:t xml:space="preserve"> stof og ca. 4 % som 5-hydroxymethyl-metabolitten. Den </w:t>
      </w:r>
      <w:proofErr w:type="spellStart"/>
      <w:r w:rsidRPr="0021187A">
        <w:rPr>
          <w:sz w:val="24"/>
          <w:szCs w:val="24"/>
        </w:rPr>
        <w:t>carboxylerede</w:t>
      </w:r>
      <w:proofErr w:type="spellEnd"/>
      <w:r w:rsidRPr="0021187A">
        <w:rPr>
          <w:sz w:val="24"/>
          <w:szCs w:val="24"/>
        </w:rPr>
        <w:t xml:space="preserve"> metabolit og den tilsvarende dealkylerede metabolit tegner sig for hhv. ca. 51 % og 29 % af genfundet stof i urinen. </w:t>
      </w:r>
    </w:p>
    <w:p w:rsidR="009F6AF6" w:rsidRPr="0021187A" w:rsidRDefault="009F6AF6" w:rsidP="009F6AF6">
      <w:pPr>
        <w:ind w:left="851"/>
        <w:rPr>
          <w:sz w:val="24"/>
          <w:szCs w:val="24"/>
        </w:rPr>
      </w:pPr>
      <w:r w:rsidRPr="0021187A">
        <w:rPr>
          <w:sz w:val="24"/>
          <w:szCs w:val="24"/>
        </w:rPr>
        <w:lastRenderedPageBreak/>
        <w:t xml:space="preserve">Farmakokinetikken er lineær inden for det terapeutiske doseringsområde. </w:t>
      </w:r>
    </w:p>
    <w:p w:rsidR="009F6AF6" w:rsidRPr="0021187A" w:rsidRDefault="009F6AF6" w:rsidP="009F6AF6">
      <w:pPr>
        <w:ind w:left="851"/>
        <w:rPr>
          <w:i/>
          <w:iCs/>
          <w:sz w:val="24"/>
          <w:szCs w:val="24"/>
        </w:rPr>
      </w:pPr>
    </w:p>
    <w:p w:rsidR="009F6AF6" w:rsidRPr="0021187A" w:rsidRDefault="009F6AF6" w:rsidP="009F6AF6">
      <w:pPr>
        <w:ind w:left="851"/>
        <w:rPr>
          <w:sz w:val="24"/>
          <w:szCs w:val="24"/>
          <w:u w:val="single"/>
        </w:rPr>
      </w:pPr>
      <w:r w:rsidRPr="0021187A">
        <w:rPr>
          <w:sz w:val="24"/>
          <w:szCs w:val="24"/>
          <w:u w:val="single"/>
        </w:rPr>
        <w:t>Særlige patientgrupper</w:t>
      </w:r>
    </w:p>
    <w:p w:rsidR="009F6AF6" w:rsidRPr="0021187A" w:rsidRDefault="009F6AF6" w:rsidP="009F6AF6">
      <w:pPr>
        <w:ind w:left="851"/>
        <w:rPr>
          <w:sz w:val="24"/>
          <w:szCs w:val="24"/>
        </w:rPr>
      </w:pPr>
      <w:r w:rsidRPr="0021187A">
        <w:rPr>
          <w:sz w:val="24"/>
          <w:szCs w:val="24"/>
        </w:rPr>
        <w:t xml:space="preserve">Patienter med nedsat leverfunktion: </w:t>
      </w:r>
    </w:p>
    <w:p w:rsidR="009F6AF6" w:rsidRPr="0021187A" w:rsidRDefault="009F6AF6" w:rsidP="009F6AF6">
      <w:pPr>
        <w:ind w:left="851"/>
        <w:rPr>
          <w:sz w:val="24"/>
          <w:szCs w:val="24"/>
        </w:rPr>
      </w:pPr>
      <w:r w:rsidRPr="0021187A">
        <w:rPr>
          <w:sz w:val="24"/>
          <w:szCs w:val="24"/>
        </w:rPr>
        <w:t xml:space="preserve">Eksponeringen for ubunden </w:t>
      </w:r>
      <w:proofErr w:type="spellStart"/>
      <w:r w:rsidRPr="0021187A">
        <w:rPr>
          <w:sz w:val="24"/>
          <w:szCs w:val="24"/>
        </w:rPr>
        <w:t>tolterodin</w:t>
      </w:r>
      <w:proofErr w:type="spellEnd"/>
      <w:r w:rsidRPr="0021187A">
        <w:rPr>
          <w:sz w:val="24"/>
          <w:szCs w:val="24"/>
        </w:rPr>
        <w:t xml:space="preserve"> og 5-hydroxymethyl-metabolitten er ca. 2 gange højere hos patienter med levercirrose (se pkt. 4.2 og 4.4). </w:t>
      </w:r>
    </w:p>
    <w:p w:rsidR="009F6AF6" w:rsidRPr="0021187A" w:rsidRDefault="009F6AF6" w:rsidP="009F6AF6">
      <w:pPr>
        <w:ind w:left="851"/>
        <w:rPr>
          <w:sz w:val="24"/>
          <w:szCs w:val="24"/>
        </w:rPr>
      </w:pPr>
    </w:p>
    <w:p w:rsidR="009F6AF6" w:rsidRPr="0021187A" w:rsidRDefault="009F6AF6" w:rsidP="009F6AF6">
      <w:pPr>
        <w:ind w:left="851"/>
        <w:rPr>
          <w:sz w:val="24"/>
          <w:szCs w:val="24"/>
        </w:rPr>
      </w:pPr>
      <w:r w:rsidRPr="0021187A">
        <w:rPr>
          <w:sz w:val="24"/>
          <w:szCs w:val="24"/>
        </w:rPr>
        <w:t xml:space="preserve">Patienter med nedsat nyrefunktion: </w:t>
      </w:r>
    </w:p>
    <w:p w:rsidR="009F6AF6" w:rsidRPr="0021187A" w:rsidRDefault="009F6AF6" w:rsidP="009F6AF6">
      <w:pPr>
        <w:ind w:left="851"/>
        <w:rPr>
          <w:sz w:val="24"/>
          <w:szCs w:val="24"/>
        </w:rPr>
      </w:pPr>
      <w:r w:rsidRPr="0021187A">
        <w:rPr>
          <w:sz w:val="24"/>
          <w:szCs w:val="24"/>
        </w:rPr>
        <w:t xml:space="preserve">Middeleksponeringen for ubunden </w:t>
      </w:r>
      <w:proofErr w:type="spellStart"/>
      <w:r w:rsidRPr="0021187A">
        <w:rPr>
          <w:sz w:val="24"/>
          <w:szCs w:val="24"/>
        </w:rPr>
        <w:t>tolterodin</w:t>
      </w:r>
      <w:proofErr w:type="spellEnd"/>
      <w:r w:rsidRPr="0021187A">
        <w:rPr>
          <w:sz w:val="24"/>
          <w:szCs w:val="24"/>
        </w:rPr>
        <w:t xml:space="preserve"> og 5-hydroxymethyl-metabolitten er fordoblet hos patienter med svært nedsat nyrefunktion (</w:t>
      </w:r>
      <w:proofErr w:type="spellStart"/>
      <w:r w:rsidRPr="0021187A">
        <w:rPr>
          <w:sz w:val="24"/>
          <w:szCs w:val="24"/>
        </w:rPr>
        <w:t>inulin-clearance</w:t>
      </w:r>
      <w:proofErr w:type="spellEnd"/>
      <w:r w:rsidRPr="0021187A">
        <w:rPr>
          <w:sz w:val="24"/>
          <w:szCs w:val="24"/>
        </w:rPr>
        <w:t xml:space="preserve"> GFR ≤ 30 ml/min). Plasmaniveauerne af andre metabolitter var markant (op til 12 gange) højere hos disse patienter. Den kliniske relevans af den øgede eksponering for disse metabolitter er ukendt. Der foreligger ingen data vedrørende mild til moderat nyreinsufficiens (se pkt. 4.2 og 4.4). </w:t>
      </w:r>
    </w:p>
    <w:p w:rsidR="009F6AF6" w:rsidRPr="0021187A" w:rsidRDefault="009F6AF6" w:rsidP="009F6AF6">
      <w:pPr>
        <w:ind w:left="851"/>
        <w:rPr>
          <w:iCs/>
          <w:sz w:val="24"/>
          <w:szCs w:val="24"/>
        </w:rPr>
      </w:pPr>
    </w:p>
    <w:p w:rsidR="009F6AF6" w:rsidRPr="0021187A" w:rsidRDefault="009F6AF6" w:rsidP="009F6AF6">
      <w:pPr>
        <w:ind w:left="851"/>
        <w:rPr>
          <w:sz w:val="24"/>
          <w:szCs w:val="24"/>
          <w:u w:val="single"/>
        </w:rPr>
      </w:pPr>
      <w:r w:rsidRPr="0021187A">
        <w:rPr>
          <w:sz w:val="24"/>
          <w:szCs w:val="24"/>
          <w:u w:val="single"/>
        </w:rPr>
        <w:t xml:space="preserve">Pædiatrisk population </w:t>
      </w:r>
    </w:p>
    <w:p w:rsidR="009F6AF6" w:rsidRPr="0021187A" w:rsidRDefault="009F6AF6" w:rsidP="009F6AF6">
      <w:pPr>
        <w:ind w:left="851"/>
        <w:rPr>
          <w:sz w:val="24"/>
          <w:szCs w:val="24"/>
        </w:rPr>
      </w:pPr>
      <w:r w:rsidRPr="0021187A">
        <w:rPr>
          <w:sz w:val="24"/>
          <w:szCs w:val="24"/>
        </w:rPr>
        <w:t>Eksponeringen for den aktive del pr. mg dosis er ensartet hos voksne og unge. Middeleksponeringen for den aktive del pr. mg dosis er ca. to gange højere hos børn på 5-10 år end hos voksne (se pkt. 4.2 og 5.1).</w:t>
      </w:r>
    </w:p>
    <w:p w:rsidR="009F6AF6" w:rsidRPr="008048D6" w:rsidRDefault="009F6AF6" w:rsidP="009F6AF6">
      <w:pPr>
        <w:ind w:left="851" w:hanging="851"/>
        <w:rPr>
          <w:sz w:val="24"/>
          <w:szCs w:val="24"/>
        </w:rPr>
      </w:pPr>
    </w:p>
    <w:p w:rsidR="009F6AF6" w:rsidRPr="008048D6" w:rsidRDefault="009F6AF6" w:rsidP="009F6AF6">
      <w:pPr>
        <w:numPr>
          <w:ilvl w:val="1"/>
          <w:numId w:val="4"/>
        </w:numPr>
        <w:tabs>
          <w:tab w:val="clear" w:pos="855"/>
        </w:tabs>
        <w:ind w:left="851" w:hanging="851"/>
        <w:rPr>
          <w:b/>
          <w:sz w:val="24"/>
          <w:szCs w:val="24"/>
        </w:rPr>
      </w:pPr>
      <w:r w:rsidRPr="008048D6">
        <w:rPr>
          <w:b/>
          <w:sz w:val="24"/>
          <w:szCs w:val="24"/>
        </w:rPr>
        <w:t>Prækliniske sikkerhedsdata</w:t>
      </w:r>
    </w:p>
    <w:p w:rsidR="009F6AF6" w:rsidRPr="008048D6" w:rsidRDefault="009F6AF6" w:rsidP="009F6AF6">
      <w:pPr>
        <w:ind w:left="851" w:hanging="851"/>
        <w:rPr>
          <w:sz w:val="24"/>
          <w:szCs w:val="24"/>
        </w:rPr>
      </w:pPr>
      <w:r w:rsidRPr="008048D6">
        <w:rPr>
          <w:sz w:val="24"/>
          <w:szCs w:val="24"/>
        </w:rPr>
        <w:tab/>
        <w:t xml:space="preserve">I farmakologiske forsøg vedrørende toksicitet, genotoksicitet, </w:t>
      </w:r>
      <w:proofErr w:type="spellStart"/>
      <w:r w:rsidRPr="008048D6">
        <w:rPr>
          <w:sz w:val="24"/>
          <w:szCs w:val="24"/>
        </w:rPr>
        <w:t>karcinogenicitet</w:t>
      </w:r>
      <w:proofErr w:type="spellEnd"/>
      <w:r w:rsidRPr="008048D6">
        <w:rPr>
          <w:sz w:val="24"/>
          <w:szCs w:val="24"/>
        </w:rPr>
        <w:t xml:space="preserve"> og sikkerhed blev der ikke set nogen klinisk relevante effekter udover de effekter, der er relateret til stoffets farmakologiske effekter.  </w:t>
      </w:r>
    </w:p>
    <w:p w:rsidR="009F6AF6" w:rsidRPr="008048D6" w:rsidRDefault="009F6AF6" w:rsidP="009F6AF6">
      <w:pPr>
        <w:ind w:left="851" w:hanging="851"/>
        <w:rPr>
          <w:sz w:val="24"/>
          <w:szCs w:val="24"/>
        </w:rPr>
      </w:pPr>
    </w:p>
    <w:p w:rsidR="009F6AF6" w:rsidRPr="008048D6" w:rsidRDefault="009F6AF6" w:rsidP="009F6AF6">
      <w:pPr>
        <w:ind w:left="851"/>
        <w:rPr>
          <w:sz w:val="24"/>
          <w:szCs w:val="24"/>
        </w:rPr>
      </w:pPr>
      <w:r w:rsidRPr="008048D6">
        <w:rPr>
          <w:sz w:val="24"/>
          <w:szCs w:val="24"/>
        </w:rPr>
        <w:t xml:space="preserve">Der er udført reproduktionstoksicitetsforsøg i mus og kaniner. </w:t>
      </w:r>
    </w:p>
    <w:p w:rsidR="009F6AF6" w:rsidRPr="008048D6" w:rsidRDefault="009F6AF6" w:rsidP="009F6AF6">
      <w:pPr>
        <w:ind w:left="851" w:hanging="851"/>
        <w:rPr>
          <w:sz w:val="24"/>
          <w:szCs w:val="24"/>
        </w:rPr>
      </w:pPr>
    </w:p>
    <w:p w:rsidR="009F6AF6" w:rsidRPr="008048D6" w:rsidRDefault="009F6AF6" w:rsidP="009F6AF6">
      <w:pPr>
        <w:ind w:left="851"/>
        <w:rPr>
          <w:sz w:val="24"/>
          <w:szCs w:val="24"/>
        </w:rPr>
      </w:pPr>
      <w:r w:rsidRPr="008048D6">
        <w:rPr>
          <w:sz w:val="24"/>
          <w:szCs w:val="24"/>
        </w:rPr>
        <w:t xml:space="preserve">I mus havde </w:t>
      </w:r>
      <w:proofErr w:type="spellStart"/>
      <w:r w:rsidRPr="008048D6">
        <w:rPr>
          <w:sz w:val="24"/>
          <w:szCs w:val="24"/>
        </w:rPr>
        <w:t>tolterodin</w:t>
      </w:r>
      <w:proofErr w:type="spellEnd"/>
      <w:r w:rsidRPr="008048D6">
        <w:rPr>
          <w:sz w:val="24"/>
          <w:szCs w:val="24"/>
        </w:rPr>
        <w:t xml:space="preserve"> ingen effekt på fertiliteten eller reproduktionsfunktionen. </w:t>
      </w:r>
      <w:proofErr w:type="spellStart"/>
      <w:r w:rsidRPr="008048D6">
        <w:rPr>
          <w:sz w:val="24"/>
          <w:szCs w:val="24"/>
        </w:rPr>
        <w:t>Tolterodin</w:t>
      </w:r>
      <w:proofErr w:type="spellEnd"/>
      <w:r w:rsidRPr="008048D6">
        <w:rPr>
          <w:sz w:val="24"/>
          <w:szCs w:val="24"/>
        </w:rPr>
        <w:t xml:space="preserve"> medførte embryodød og misdannelser ved plasmaeksponeringer (</w:t>
      </w:r>
      <w:proofErr w:type="spellStart"/>
      <w:r w:rsidRPr="008048D6">
        <w:rPr>
          <w:sz w:val="24"/>
          <w:szCs w:val="24"/>
        </w:rPr>
        <w:t>Cmax</w:t>
      </w:r>
      <w:proofErr w:type="spellEnd"/>
      <w:r w:rsidRPr="008048D6">
        <w:rPr>
          <w:sz w:val="24"/>
          <w:szCs w:val="24"/>
        </w:rPr>
        <w:t xml:space="preserve"> eller AUC), der var 20 eller 7 gange højere end dem, der ses hos mennesker i behandling. </w:t>
      </w:r>
    </w:p>
    <w:p w:rsidR="009F6AF6" w:rsidRPr="008048D6" w:rsidRDefault="009F6AF6" w:rsidP="009F6AF6">
      <w:pPr>
        <w:ind w:left="851" w:hanging="851"/>
        <w:rPr>
          <w:sz w:val="24"/>
          <w:szCs w:val="24"/>
        </w:rPr>
      </w:pPr>
    </w:p>
    <w:p w:rsidR="009F6AF6" w:rsidRPr="008048D6" w:rsidRDefault="009F6AF6" w:rsidP="009F6AF6">
      <w:pPr>
        <w:ind w:left="851"/>
        <w:rPr>
          <w:sz w:val="24"/>
          <w:szCs w:val="24"/>
        </w:rPr>
      </w:pPr>
      <w:r w:rsidRPr="008048D6">
        <w:rPr>
          <w:sz w:val="24"/>
          <w:szCs w:val="24"/>
        </w:rPr>
        <w:t>I kaniner blev der ikke set nogen misdannelser ved plasmaeksponeringer (</w:t>
      </w:r>
      <w:proofErr w:type="spellStart"/>
      <w:r w:rsidRPr="008048D6">
        <w:rPr>
          <w:sz w:val="24"/>
          <w:szCs w:val="24"/>
        </w:rPr>
        <w:t>Cmax</w:t>
      </w:r>
      <w:proofErr w:type="spellEnd"/>
      <w:r w:rsidRPr="008048D6">
        <w:rPr>
          <w:sz w:val="24"/>
          <w:szCs w:val="24"/>
        </w:rPr>
        <w:t xml:space="preserve"> eller AUC), der var 20 eller 3 gange højere end dem, der forventes hos mennesker. </w:t>
      </w:r>
    </w:p>
    <w:p w:rsidR="009F6AF6" w:rsidRPr="008048D6" w:rsidRDefault="009F6AF6" w:rsidP="009F6AF6">
      <w:pPr>
        <w:ind w:left="851" w:hanging="851"/>
        <w:rPr>
          <w:sz w:val="24"/>
          <w:szCs w:val="24"/>
        </w:rPr>
      </w:pPr>
    </w:p>
    <w:p w:rsidR="009F6AF6" w:rsidRPr="008048D6" w:rsidRDefault="009F6AF6" w:rsidP="009F6AF6">
      <w:pPr>
        <w:ind w:left="851"/>
        <w:rPr>
          <w:sz w:val="24"/>
          <w:szCs w:val="24"/>
        </w:rPr>
      </w:pPr>
      <w:proofErr w:type="spellStart"/>
      <w:r w:rsidRPr="008048D6">
        <w:rPr>
          <w:sz w:val="24"/>
          <w:szCs w:val="24"/>
        </w:rPr>
        <w:t>Tolterodin</w:t>
      </w:r>
      <w:proofErr w:type="spellEnd"/>
      <w:r w:rsidRPr="008048D6">
        <w:rPr>
          <w:sz w:val="24"/>
          <w:szCs w:val="24"/>
        </w:rPr>
        <w:t xml:space="preserve"> og dets aktive humane metabolitter forlænger varigheden af aktionspotentialet (90 % </w:t>
      </w:r>
      <w:proofErr w:type="spellStart"/>
      <w:r w:rsidRPr="008048D6">
        <w:rPr>
          <w:sz w:val="24"/>
          <w:szCs w:val="24"/>
        </w:rPr>
        <w:t>repolarisering</w:t>
      </w:r>
      <w:proofErr w:type="spellEnd"/>
      <w:r w:rsidRPr="008048D6">
        <w:rPr>
          <w:sz w:val="24"/>
          <w:szCs w:val="24"/>
        </w:rPr>
        <w:t xml:space="preserve">) i </w:t>
      </w:r>
      <w:proofErr w:type="spellStart"/>
      <w:r w:rsidRPr="008048D6">
        <w:rPr>
          <w:sz w:val="24"/>
          <w:szCs w:val="24"/>
        </w:rPr>
        <w:t>purkinjefibre</w:t>
      </w:r>
      <w:proofErr w:type="spellEnd"/>
      <w:r w:rsidRPr="008048D6">
        <w:rPr>
          <w:sz w:val="24"/>
          <w:szCs w:val="24"/>
        </w:rPr>
        <w:t xml:space="preserve"> fra hunde (14-75 gange højere end de terapeutiske niveauer) og blokerer K+-strømmen i klonede humane </w:t>
      </w:r>
      <w:proofErr w:type="spellStart"/>
      <w:r w:rsidRPr="008048D6">
        <w:rPr>
          <w:sz w:val="24"/>
          <w:szCs w:val="24"/>
        </w:rPr>
        <w:t>ether</w:t>
      </w:r>
      <w:proofErr w:type="spellEnd"/>
      <w:r w:rsidRPr="008048D6">
        <w:rPr>
          <w:sz w:val="24"/>
          <w:szCs w:val="24"/>
        </w:rPr>
        <w:t>-a-go-go-gen-(</w:t>
      </w:r>
      <w:proofErr w:type="spellStart"/>
      <w:proofErr w:type="gramStart"/>
      <w:r w:rsidRPr="008048D6">
        <w:rPr>
          <w:sz w:val="24"/>
          <w:szCs w:val="24"/>
        </w:rPr>
        <w:t>hERG</w:t>
      </w:r>
      <w:proofErr w:type="spellEnd"/>
      <w:r w:rsidRPr="008048D6">
        <w:rPr>
          <w:sz w:val="24"/>
          <w:szCs w:val="24"/>
        </w:rPr>
        <w:t>)-</w:t>
      </w:r>
      <w:proofErr w:type="gramEnd"/>
      <w:r w:rsidRPr="008048D6">
        <w:rPr>
          <w:sz w:val="24"/>
          <w:szCs w:val="24"/>
        </w:rPr>
        <w:t xml:space="preserve">kanaler (0,5-26,1 gange højere end de terapeutiske niveauer). I hunde er der set forlængelse af QT-intervallet efter anvendelse af </w:t>
      </w:r>
      <w:proofErr w:type="spellStart"/>
      <w:r w:rsidRPr="008048D6">
        <w:rPr>
          <w:sz w:val="24"/>
          <w:szCs w:val="24"/>
        </w:rPr>
        <w:t>tolterodin</w:t>
      </w:r>
      <w:proofErr w:type="spellEnd"/>
      <w:r w:rsidRPr="008048D6">
        <w:rPr>
          <w:sz w:val="24"/>
          <w:szCs w:val="24"/>
        </w:rPr>
        <w:t xml:space="preserve"> og dets humane metabolitter (3,1-61,0 gange højere end de terapeutiske niveauer). Den kliniske relevans af disse fund kendes ikke.</w:t>
      </w:r>
    </w:p>
    <w:p w:rsidR="009F6AF6" w:rsidRPr="008048D6" w:rsidRDefault="009F6AF6" w:rsidP="009F6AF6">
      <w:pPr>
        <w:ind w:left="851" w:hanging="851"/>
        <w:rPr>
          <w:sz w:val="24"/>
          <w:szCs w:val="24"/>
        </w:rPr>
      </w:pPr>
    </w:p>
    <w:p w:rsidR="009F6AF6" w:rsidRPr="008048D6" w:rsidRDefault="009F6AF6" w:rsidP="009F6AF6">
      <w:pPr>
        <w:ind w:left="851" w:hanging="851"/>
        <w:rPr>
          <w:sz w:val="24"/>
          <w:szCs w:val="24"/>
        </w:rPr>
      </w:pPr>
    </w:p>
    <w:p w:rsidR="009F6AF6" w:rsidRPr="008048D6" w:rsidRDefault="009F6AF6" w:rsidP="009F6AF6">
      <w:pPr>
        <w:numPr>
          <w:ilvl w:val="0"/>
          <w:numId w:val="3"/>
        </w:numPr>
        <w:tabs>
          <w:tab w:val="clear" w:pos="855"/>
        </w:tabs>
        <w:ind w:left="851" w:hanging="851"/>
        <w:rPr>
          <w:b/>
          <w:sz w:val="24"/>
          <w:szCs w:val="24"/>
        </w:rPr>
      </w:pPr>
      <w:r w:rsidRPr="008048D6">
        <w:rPr>
          <w:b/>
          <w:sz w:val="24"/>
          <w:szCs w:val="24"/>
        </w:rPr>
        <w:t>FARMACEUTISKE OPLYSNINGER</w:t>
      </w:r>
    </w:p>
    <w:p w:rsidR="009F6AF6" w:rsidRPr="008048D6" w:rsidRDefault="009F6AF6" w:rsidP="009F6AF6">
      <w:pPr>
        <w:ind w:left="851" w:hanging="851"/>
        <w:rPr>
          <w:b/>
          <w:sz w:val="24"/>
          <w:szCs w:val="24"/>
        </w:rPr>
      </w:pPr>
    </w:p>
    <w:p w:rsidR="009F6AF6" w:rsidRPr="008048D6" w:rsidRDefault="009F6AF6" w:rsidP="009F6AF6">
      <w:pPr>
        <w:numPr>
          <w:ilvl w:val="1"/>
          <w:numId w:val="5"/>
        </w:numPr>
        <w:tabs>
          <w:tab w:val="clear" w:pos="855"/>
        </w:tabs>
        <w:ind w:left="851" w:hanging="851"/>
        <w:rPr>
          <w:b/>
          <w:sz w:val="24"/>
          <w:szCs w:val="24"/>
        </w:rPr>
      </w:pPr>
      <w:r w:rsidRPr="008048D6">
        <w:rPr>
          <w:b/>
          <w:sz w:val="24"/>
          <w:szCs w:val="24"/>
        </w:rPr>
        <w:t>Hjælpestoffer</w:t>
      </w:r>
    </w:p>
    <w:p w:rsidR="00F133D1" w:rsidRPr="00F133D1" w:rsidRDefault="00F133D1" w:rsidP="00F133D1">
      <w:pPr>
        <w:ind w:left="851"/>
        <w:rPr>
          <w:i/>
          <w:sz w:val="24"/>
          <w:szCs w:val="24"/>
        </w:rPr>
      </w:pPr>
      <w:r w:rsidRPr="00F133D1">
        <w:rPr>
          <w:i/>
          <w:sz w:val="24"/>
          <w:szCs w:val="24"/>
        </w:rPr>
        <w:t xml:space="preserve">2 mg hårde depotkapsler: </w:t>
      </w:r>
    </w:p>
    <w:p w:rsidR="00F133D1" w:rsidRPr="00F133D1" w:rsidRDefault="00F133D1" w:rsidP="00F133D1">
      <w:pPr>
        <w:ind w:left="851"/>
        <w:rPr>
          <w:sz w:val="24"/>
          <w:szCs w:val="24"/>
        </w:rPr>
      </w:pPr>
      <w:proofErr w:type="spellStart"/>
      <w:r w:rsidRPr="00F133D1">
        <w:rPr>
          <w:sz w:val="24"/>
          <w:szCs w:val="24"/>
        </w:rPr>
        <w:t>Lactosemonohydrat</w:t>
      </w:r>
      <w:proofErr w:type="spellEnd"/>
      <w:r w:rsidRPr="00F133D1">
        <w:rPr>
          <w:sz w:val="24"/>
          <w:szCs w:val="24"/>
        </w:rPr>
        <w:t xml:space="preserve"> </w:t>
      </w:r>
    </w:p>
    <w:p w:rsidR="00F133D1" w:rsidRPr="00F133D1" w:rsidRDefault="00F133D1" w:rsidP="00F133D1">
      <w:pPr>
        <w:ind w:left="851"/>
        <w:rPr>
          <w:sz w:val="24"/>
          <w:szCs w:val="24"/>
        </w:rPr>
      </w:pPr>
      <w:r w:rsidRPr="00F133D1">
        <w:rPr>
          <w:sz w:val="24"/>
          <w:szCs w:val="24"/>
        </w:rPr>
        <w:t xml:space="preserve">Cellulose, mikrokrystallinsk  </w:t>
      </w:r>
    </w:p>
    <w:p w:rsidR="00F133D1" w:rsidRPr="00F133D1" w:rsidRDefault="00F133D1" w:rsidP="00F133D1">
      <w:pPr>
        <w:ind w:left="851"/>
        <w:rPr>
          <w:sz w:val="24"/>
          <w:szCs w:val="24"/>
        </w:rPr>
      </w:pPr>
      <w:proofErr w:type="spellStart"/>
      <w:r w:rsidRPr="00F133D1">
        <w:rPr>
          <w:sz w:val="24"/>
          <w:szCs w:val="24"/>
        </w:rPr>
        <w:t>Poly</w:t>
      </w:r>
      <w:proofErr w:type="spellEnd"/>
      <w:r w:rsidRPr="00F133D1">
        <w:rPr>
          <w:sz w:val="24"/>
          <w:szCs w:val="24"/>
        </w:rPr>
        <w:t xml:space="preserve">(vinylacetat) </w:t>
      </w:r>
    </w:p>
    <w:p w:rsidR="00F133D1" w:rsidRPr="00F133D1" w:rsidRDefault="00F133D1" w:rsidP="00F133D1">
      <w:pPr>
        <w:ind w:left="851"/>
        <w:rPr>
          <w:sz w:val="24"/>
          <w:szCs w:val="24"/>
        </w:rPr>
      </w:pPr>
      <w:proofErr w:type="spellStart"/>
      <w:r w:rsidRPr="00F133D1">
        <w:rPr>
          <w:sz w:val="24"/>
          <w:szCs w:val="24"/>
        </w:rPr>
        <w:t>Povidon</w:t>
      </w:r>
      <w:proofErr w:type="spellEnd"/>
    </w:p>
    <w:p w:rsidR="00F133D1" w:rsidRPr="00F133D1" w:rsidRDefault="00F133D1" w:rsidP="00F133D1">
      <w:pPr>
        <w:ind w:left="851"/>
        <w:rPr>
          <w:sz w:val="24"/>
          <w:szCs w:val="24"/>
        </w:rPr>
      </w:pPr>
      <w:proofErr w:type="spellStart"/>
      <w:r w:rsidRPr="00F133D1">
        <w:rPr>
          <w:sz w:val="24"/>
          <w:szCs w:val="24"/>
        </w:rPr>
        <w:t>Silica</w:t>
      </w:r>
      <w:proofErr w:type="spellEnd"/>
      <w:r w:rsidRPr="00F133D1">
        <w:rPr>
          <w:sz w:val="24"/>
          <w:szCs w:val="24"/>
        </w:rPr>
        <w:t>, kolloid vandfri</w:t>
      </w:r>
    </w:p>
    <w:p w:rsidR="00F133D1" w:rsidRPr="00F133D1" w:rsidRDefault="00F133D1" w:rsidP="00F133D1">
      <w:pPr>
        <w:ind w:left="851"/>
        <w:rPr>
          <w:sz w:val="24"/>
          <w:szCs w:val="24"/>
        </w:rPr>
      </w:pPr>
      <w:proofErr w:type="spellStart"/>
      <w:r w:rsidRPr="00F133D1">
        <w:rPr>
          <w:sz w:val="24"/>
          <w:szCs w:val="24"/>
        </w:rPr>
        <w:lastRenderedPageBreak/>
        <w:t>Natriumlaurilsulfat</w:t>
      </w:r>
      <w:proofErr w:type="spellEnd"/>
    </w:p>
    <w:p w:rsidR="00F133D1" w:rsidRPr="00F133D1" w:rsidRDefault="00F133D1" w:rsidP="00F133D1">
      <w:pPr>
        <w:ind w:left="851"/>
        <w:rPr>
          <w:sz w:val="24"/>
          <w:szCs w:val="24"/>
        </w:rPr>
      </w:pPr>
      <w:proofErr w:type="spellStart"/>
      <w:r w:rsidRPr="00F133D1">
        <w:rPr>
          <w:sz w:val="24"/>
          <w:szCs w:val="24"/>
        </w:rPr>
        <w:t>Docusatnatrium</w:t>
      </w:r>
      <w:proofErr w:type="spellEnd"/>
      <w:r w:rsidRPr="00F133D1">
        <w:rPr>
          <w:sz w:val="24"/>
          <w:szCs w:val="24"/>
        </w:rPr>
        <w:t xml:space="preserve"> </w:t>
      </w:r>
    </w:p>
    <w:p w:rsidR="00F133D1" w:rsidRPr="00F133D1" w:rsidRDefault="00F133D1" w:rsidP="00F133D1">
      <w:pPr>
        <w:ind w:left="851"/>
        <w:rPr>
          <w:sz w:val="24"/>
          <w:szCs w:val="24"/>
        </w:rPr>
      </w:pPr>
      <w:proofErr w:type="spellStart"/>
      <w:r w:rsidRPr="00F133D1">
        <w:rPr>
          <w:sz w:val="24"/>
          <w:szCs w:val="24"/>
        </w:rPr>
        <w:t>Magnesiumstearat</w:t>
      </w:r>
      <w:proofErr w:type="spellEnd"/>
      <w:r w:rsidRPr="00F133D1">
        <w:rPr>
          <w:sz w:val="24"/>
          <w:szCs w:val="24"/>
        </w:rPr>
        <w:t xml:space="preserve"> (E 470b)</w:t>
      </w:r>
    </w:p>
    <w:p w:rsidR="00F133D1" w:rsidRPr="00F133D1" w:rsidRDefault="00F133D1" w:rsidP="00F133D1">
      <w:pPr>
        <w:ind w:left="851"/>
        <w:rPr>
          <w:sz w:val="24"/>
          <w:szCs w:val="24"/>
        </w:rPr>
      </w:pPr>
      <w:proofErr w:type="spellStart"/>
      <w:r w:rsidRPr="00F133D1">
        <w:rPr>
          <w:sz w:val="24"/>
          <w:szCs w:val="24"/>
        </w:rPr>
        <w:t>Hydroxypropylmethylcellulose</w:t>
      </w:r>
      <w:proofErr w:type="spellEnd"/>
    </w:p>
    <w:p w:rsidR="00F133D1" w:rsidRPr="00F133D1" w:rsidRDefault="00F133D1" w:rsidP="00F133D1">
      <w:pPr>
        <w:ind w:left="851"/>
        <w:rPr>
          <w:sz w:val="24"/>
          <w:szCs w:val="24"/>
          <w:lang w:val="en-US"/>
        </w:rPr>
      </w:pPr>
      <w:proofErr w:type="spellStart"/>
      <w:r w:rsidRPr="00F133D1">
        <w:rPr>
          <w:sz w:val="24"/>
          <w:szCs w:val="24"/>
          <w:lang w:val="en-US"/>
        </w:rPr>
        <w:t>Indigocarmin</w:t>
      </w:r>
      <w:proofErr w:type="spellEnd"/>
      <w:r w:rsidRPr="00F133D1">
        <w:rPr>
          <w:sz w:val="24"/>
          <w:szCs w:val="24"/>
          <w:lang w:val="en-US"/>
        </w:rPr>
        <w:t xml:space="preserve"> (E 132)</w:t>
      </w:r>
    </w:p>
    <w:p w:rsidR="00F133D1" w:rsidRPr="00F133D1" w:rsidRDefault="00F133D1" w:rsidP="00F133D1">
      <w:pPr>
        <w:ind w:left="851"/>
        <w:rPr>
          <w:sz w:val="24"/>
          <w:szCs w:val="24"/>
          <w:lang w:val="en-US"/>
        </w:rPr>
      </w:pPr>
      <w:proofErr w:type="spellStart"/>
      <w:r w:rsidRPr="00F133D1">
        <w:rPr>
          <w:sz w:val="24"/>
          <w:szCs w:val="24"/>
          <w:lang w:val="en-US"/>
        </w:rPr>
        <w:t>Quinolingult</w:t>
      </w:r>
      <w:proofErr w:type="spellEnd"/>
      <w:r w:rsidRPr="00F133D1">
        <w:rPr>
          <w:sz w:val="24"/>
          <w:szCs w:val="24"/>
          <w:lang w:val="en-US"/>
        </w:rPr>
        <w:t xml:space="preserve"> (E104)</w:t>
      </w:r>
    </w:p>
    <w:p w:rsidR="00F133D1" w:rsidRPr="00F133D1" w:rsidRDefault="00F133D1" w:rsidP="00F133D1">
      <w:pPr>
        <w:ind w:left="851"/>
        <w:rPr>
          <w:sz w:val="24"/>
          <w:szCs w:val="24"/>
          <w:lang w:val="en-US"/>
        </w:rPr>
      </w:pPr>
      <w:proofErr w:type="spellStart"/>
      <w:r w:rsidRPr="00F133D1">
        <w:rPr>
          <w:sz w:val="24"/>
          <w:szCs w:val="24"/>
          <w:lang w:val="en-US"/>
        </w:rPr>
        <w:t>Titandioxid</w:t>
      </w:r>
      <w:proofErr w:type="spellEnd"/>
      <w:r w:rsidRPr="00F133D1">
        <w:rPr>
          <w:sz w:val="24"/>
          <w:szCs w:val="24"/>
          <w:lang w:val="en-US"/>
        </w:rPr>
        <w:t xml:space="preserve"> (E 171)</w:t>
      </w:r>
    </w:p>
    <w:p w:rsidR="00F133D1" w:rsidRPr="00F133D1" w:rsidRDefault="00F133D1" w:rsidP="00F133D1">
      <w:pPr>
        <w:ind w:left="851"/>
        <w:rPr>
          <w:sz w:val="24"/>
          <w:szCs w:val="24"/>
          <w:lang w:val="en-US"/>
        </w:rPr>
      </w:pPr>
      <w:proofErr w:type="spellStart"/>
      <w:r w:rsidRPr="00F133D1">
        <w:rPr>
          <w:sz w:val="24"/>
          <w:szCs w:val="24"/>
          <w:lang w:val="en-US"/>
        </w:rPr>
        <w:t>Gelatine</w:t>
      </w:r>
      <w:proofErr w:type="spellEnd"/>
    </w:p>
    <w:p w:rsidR="00F133D1" w:rsidRPr="00F133D1" w:rsidRDefault="00F133D1" w:rsidP="00F133D1">
      <w:pPr>
        <w:ind w:left="851"/>
        <w:rPr>
          <w:sz w:val="24"/>
          <w:szCs w:val="24"/>
          <w:lang w:val="en-US"/>
        </w:rPr>
      </w:pPr>
      <w:proofErr w:type="spellStart"/>
      <w:r w:rsidRPr="00F133D1">
        <w:rPr>
          <w:sz w:val="24"/>
          <w:szCs w:val="24"/>
          <w:lang w:val="en-US"/>
        </w:rPr>
        <w:t>Ethylcellulose</w:t>
      </w:r>
      <w:proofErr w:type="spellEnd"/>
    </w:p>
    <w:p w:rsidR="00F133D1" w:rsidRPr="00F133D1" w:rsidRDefault="00F133D1" w:rsidP="00F133D1">
      <w:pPr>
        <w:ind w:left="851"/>
        <w:rPr>
          <w:sz w:val="24"/>
          <w:szCs w:val="24"/>
          <w:lang w:val="en-US"/>
        </w:rPr>
      </w:pPr>
      <w:proofErr w:type="spellStart"/>
      <w:r w:rsidRPr="00F133D1">
        <w:rPr>
          <w:sz w:val="24"/>
          <w:szCs w:val="24"/>
          <w:lang w:val="en-US"/>
        </w:rPr>
        <w:t>Triethylcitrat</w:t>
      </w:r>
      <w:proofErr w:type="spellEnd"/>
    </w:p>
    <w:p w:rsidR="00F133D1" w:rsidRPr="00F133D1" w:rsidRDefault="00F133D1" w:rsidP="00F133D1">
      <w:pPr>
        <w:ind w:left="851"/>
        <w:rPr>
          <w:sz w:val="24"/>
          <w:szCs w:val="24"/>
          <w:lang w:val="en-US"/>
        </w:rPr>
      </w:pPr>
      <w:proofErr w:type="spellStart"/>
      <w:r w:rsidRPr="00F133D1">
        <w:rPr>
          <w:sz w:val="24"/>
          <w:szCs w:val="24"/>
          <w:lang w:val="en-US"/>
        </w:rPr>
        <w:t>Methacrylsyre-ethylacrylat</w:t>
      </w:r>
      <w:proofErr w:type="spellEnd"/>
      <w:r w:rsidRPr="00F133D1">
        <w:rPr>
          <w:sz w:val="24"/>
          <w:szCs w:val="24"/>
          <w:lang w:val="en-US"/>
        </w:rPr>
        <w:t xml:space="preserve"> copolymer</w:t>
      </w:r>
    </w:p>
    <w:p w:rsidR="00F133D1" w:rsidRPr="00F133D1" w:rsidRDefault="00F133D1" w:rsidP="00F133D1">
      <w:pPr>
        <w:ind w:left="851"/>
        <w:rPr>
          <w:sz w:val="24"/>
          <w:szCs w:val="24"/>
          <w:lang w:val="en-US"/>
        </w:rPr>
      </w:pPr>
      <w:r w:rsidRPr="00F133D1">
        <w:rPr>
          <w:sz w:val="24"/>
          <w:szCs w:val="24"/>
          <w:lang w:val="en-US"/>
        </w:rPr>
        <w:t>1,2-Propylenglycol</w:t>
      </w:r>
    </w:p>
    <w:p w:rsidR="00F133D1" w:rsidRPr="00F133D1" w:rsidRDefault="00F133D1" w:rsidP="00F133D1">
      <w:pPr>
        <w:ind w:left="851"/>
        <w:rPr>
          <w:sz w:val="24"/>
          <w:szCs w:val="24"/>
          <w:lang w:val="en-US"/>
        </w:rPr>
      </w:pPr>
    </w:p>
    <w:p w:rsidR="00F133D1" w:rsidRPr="00F133D1" w:rsidRDefault="00F133D1" w:rsidP="00F133D1">
      <w:pPr>
        <w:ind w:left="851"/>
        <w:rPr>
          <w:i/>
          <w:sz w:val="24"/>
          <w:szCs w:val="24"/>
          <w:lang w:val="en-US"/>
        </w:rPr>
      </w:pPr>
      <w:r w:rsidRPr="00F133D1">
        <w:rPr>
          <w:i/>
          <w:sz w:val="24"/>
          <w:szCs w:val="24"/>
          <w:lang w:val="en-US"/>
        </w:rPr>
        <w:t xml:space="preserve">4 mg </w:t>
      </w:r>
      <w:proofErr w:type="spellStart"/>
      <w:r w:rsidRPr="00F133D1">
        <w:rPr>
          <w:i/>
          <w:sz w:val="24"/>
          <w:szCs w:val="24"/>
          <w:lang w:val="en-US"/>
        </w:rPr>
        <w:t>hårde</w:t>
      </w:r>
      <w:proofErr w:type="spellEnd"/>
      <w:r w:rsidRPr="00F133D1">
        <w:rPr>
          <w:i/>
          <w:sz w:val="24"/>
          <w:szCs w:val="24"/>
          <w:lang w:val="en-US"/>
        </w:rPr>
        <w:t xml:space="preserve"> </w:t>
      </w:r>
      <w:proofErr w:type="spellStart"/>
      <w:r w:rsidRPr="00F133D1">
        <w:rPr>
          <w:i/>
          <w:sz w:val="24"/>
          <w:szCs w:val="24"/>
          <w:lang w:val="en-US"/>
        </w:rPr>
        <w:t>depotkapsler</w:t>
      </w:r>
      <w:proofErr w:type="spellEnd"/>
      <w:r w:rsidRPr="00F133D1">
        <w:rPr>
          <w:i/>
          <w:sz w:val="24"/>
          <w:szCs w:val="24"/>
          <w:lang w:val="en-US"/>
        </w:rPr>
        <w:t>:</w:t>
      </w:r>
    </w:p>
    <w:p w:rsidR="00F133D1" w:rsidRPr="00F133D1" w:rsidRDefault="00F133D1" w:rsidP="00F133D1">
      <w:pPr>
        <w:ind w:left="851"/>
        <w:rPr>
          <w:sz w:val="24"/>
          <w:szCs w:val="24"/>
          <w:lang w:val="en-US"/>
        </w:rPr>
      </w:pPr>
      <w:proofErr w:type="spellStart"/>
      <w:r w:rsidRPr="00F133D1">
        <w:rPr>
          <w:sz w:val="24"/>
          <w:szCs w:val="24"/>
          <w:lang w:val="en-US"/>
        </w:rPr>
        <w:t>Lactosemonohydrat</w:t>
      </w:r>
      <w:proofErr w:type="spellEnd"/>
      <w:r w:rsidRPr="00F133D1">
        <w:rPr>
          <w:sz w:val="24"/>
          <w:szCs w:val="24"/>
          <w:lang w:val="en-US"/>
        </w:rPr>
        <w:t xml:space="preserve"> </w:t>
      </w:r>
    </w:p>
    <w:p w:rsidR="00F133D1" w:rsidRPr="00F133D1" w:rsidRDefault="00F133D1" w:rsidP="00F133D1">
      <w:pPr>
        <w:ind w:left="851"/>
        <w:rPr>
          <w:sz w:val="24"/>
          <w:szCs w:val="24"/>
          <w:lang w:val="en-US"/>
        </w:rPr>
      </w:pPr>
      <w:r w:rsidRPr="00F133D1">
        <w:rPr>
          <w:sz w:val="24"/>
          <w:szCs w:val="24"/>
          <w:lang w:val="en-US"/>
        </w:rPr>
        <w:t xml:space="preserve">Cellulose, </w:t>
      </w:r>
      <w:proofErr w:type="spellStart"/>
      <w:r w:rsidRPr="00F133D1">
        <w:rPr>
          <w:sz w:val="24"/>
          <w:szCs w:val="24"/>
          <w:lang w:val="en-US"/>
        </w:rPr>
        <w:t>mikrokrystallinsk</w:t>
      </w:r>
      <w:proofErr w:type="spellEnd"/>
      <w:r w:rsidRPr="00F133D1">
        <w:rPr>
          <w:sz w:val="24"/>
          <w:szCs w:val="24"/>
          <w:lang w:val="en-US"/>
        </w:rPr>
        <w:t xml:space="preserve">  </w:t>
      </w:r>
    </w:p>
    <w:p w:rsidR="00F133D1" w:rsidRPr="00F133D1" w:rsidRDefault="00F133D1" w:rsidP="00F133D1">
      <w:pPr>
        <w:ind w:left="851"/>
        <w:rPr>
          <w:sz w:val="24"/>
          <w:szCs w:val="24"/>
          <w:lang w:val="en-US"/>
        </w:rPr>
      </w:pPr>
      <w:r w:rsidRPr="00F133D1">
        <w:rPr>
          <w:sz w:val="24"/>
          <w:szCs w:val="24"/>
          <w:lang w:val="en-US"/>
        </w:rPr>
        <w:t>Poly(</w:t>
      </w:r>
      <w:proofErr w:type="spellStart"/>
      <w:r w:rsidRPr="00F133D1">
        <w:rPr>
          <w:sz w:val="24"/>
          <w:szCs w:val="24"/>
          <w:lang w:val="en-US"/>
        </w:rPr>
        <w:t>vinylacetat</w:t>
      </w:r>
      <w:proofErr w:type="spellEnd"/>
      <w:r w:rsidRPr="00F133D1">
        <w:rPr>
          <w:sz w:val="24"/>
          <w:szCs w:val="24"/>
          <w:lang w:val="en-US"/>
        </w:rPr>
        <w:t xml:space="preserve">) </w:t>
      </w:r>
    </w:p>
    <w:p w:rsidR="00F133D1" w:rsidRPr="00F133D1" w:rsidRDefault="00F133D1" w:rsidP="00F133D1">
      <w:pPr>
        <w:ind w:left="851"/>
        <w:rPr>
          <w:sz w:val="24"/>
          <w:szCs w:val="24"/>
          <w:lang w:val="sv-SE"/>
        </w:rPr>
      </w:pPr>
      <w:proofErr w:type="spellStart"/>
      <w:r w:rsidRPr="00F133D1">
        <w:rPr>
          <w:sz w:val="24"/>
          <w:szCs w:val="24"/>
          <w:lang w:val="sv-SE"/>
        </w:rPr>
        <w:t>Povidon</w:t>
      </w:r>
      <w:proofErr w:type="spellEnd"/>
    </w:p>
    <w:p w:rsidR="00F133D1" w:rsidRPr="00F133D1" w:rsidRDefault="00F133D1" w:rsidP="00F133D1">
      <w:pPr>
        <w:ind w:left="851"/>
        <w:rPr>
          <w:sz w:val="24"/>
          <w:szCs w:val="24"/>
          <w:lang w:val="sv-SE"/>
        </w:rPr>
      </w:pPr>
      <w:proofErr w:type="spellStart"/>
      <w:r w:rsidRPr="00F133D1">
        <w:rPr>
          <w:sz w:val="24"/>
          <w:szCs w:val="24"/>
          <w:lang w:val="sv-SE"/>
        </w:rPr>
        <w:t>Silica</w:t>
      </w:r>
      <w:proofErr w:type="spellEnd"/>
      <w:r w:rsidRPr="00F133D1">
        <w:rPr>
          <w:sz w:val="24"/>
          <w:szCs w:val="24"/>
          <w:lang w:val="sv-SE"/>
        </w:rPr>
        <w:t xml:space="preserve">, kolloid </w:t>
      </w:r>
      <w:proofErr w:type="spellStart"/>
      <w:r w:rsidRPr="00F133D1">
        <w:rPr>
          <w:sz w:val="24"/>
          <w:szCs w:val="24"/>
          <w:lang w:val="sv-SE"/>
        </w:rPr>
        <w:t>vandfri</w:t>
      </w:r>
      <w:proofErr w:type="spellEnd"/>
    </w:p>
    <w:p w:rsidR="00F133D1" w:rsidRPr="00F133D1" w:rsidRDefault="00F133D1" w:rsidP="00F133D1">
      <w:pPr>
        <w:ind w:left="851"/>
        <w:rPr>
          <w:sz w:val="24"/>
          <w:szCs w:val="24"/>
          <w:lang w:val="sv-SE"/>
        </w:rPr>
      </w:pPr>
      <w:proofErr w:type="spellStart"/>
      <w:r w:rsidRPr="00F133D1">
        <w:rPr>
          <w:sz w:val="24"/>
          <w:szCs w:val="24"/>
          <w:lang w:val="sv-SE"/>
        </w:rPr>
        <w:t>Natriumlaurilsulfat</w:t>
      </w:r>
      <w:proofErr w:type="spellEnd"/>
    </w:p>
    <w:p w:rsidR="00F133D1" w:rsidRPr="00F133D1" w:rsidRDefault="00F133D1" w:rsidP="00F133D1">
      <w:pPr>
        <w:ind w:left="851"/>
        <w:rPr>
          <w:sz w:val="24"/>
          <w:szCs w:val="24"/>
          <w:lang w:val="sv-SE"/>
        </w:rPr>
      </w:pPr>
      <w:proofErr w:type="spellStart"/>
      <w:r w:rsidRPr="00F133D1">
        <w:rPr>
          <w:sz w:val="24"/>
          <w:szCs w:val="24"/>
          <w:lang w:val="sv-SE"/>
        </w:rPr>
        <w:t>Docusatnatrium</w:t>
      </w:r>
      <w:proofErr w:type="spellEnd"/>
      <w:r w:rsidRPr="00F133D1">
        <w:rPr>
          <w:sz w:val="24"/>
          <w:szCs w:val="24"/>
          <w:lang w:val="sv-SE"/>
        </w:rPr>
        <w:t xml:space="preserve"> </w:t>
      </w:r>
    </w:p>
    <w:p w:rsidR="00F133D1" w:rsidRPr="00F133D1" w:rsidRDefault="00F133D1" w:rsidP="00F133D1">
      <w:pPr>
        <w:ind w:left="851"/>
        <w:rPr>
          <w:sz w:val="24"/>
          <w:szCs w:val="24"/>
          <w:lang w:val="sv-SE"/>
        </w:rPr>
      </w:pPr>
      <w:proofErr w:type="spellStart"/>
      <w:r w:rsidRPr="00F133D1">
        <w:rPr>
          <w:sz w:val="24"/>
          <w:szCs w:val="24"/>
          <w:lang w:val="sv-SE"/>
        </w:rPr>
        <w:t>Magnesiumstearat</w:t>
      </w:r>
      <w:proofErr w:type="spellEnd"/>
      <w:r w:rsidRPr="00F133D1">
        <w:rPr>
          <w:sz w:val="24"/>
          <w:szCs w:val="24"/>
          <w:lang w:val="sv-SE"/>
        </w:rPr>
        <w:t xml:space="preserve"> (E 470b)</w:t>
      </w:r>
    </w:p>
    <w:p w:rsidR="00F133D1" w:rsidRPr="00F133D1" w:rsidRDefault="00F133D1" w:rsidP="00F133D1">
      <w:pPr>
        <w:ind w:left="851"/>
        <w:rPr>
          <w:sz w:val="24"/>
          <w:szCs w:val="24"/>
          <w:lang w:val="sv-SE"/>
        </w:rPr>
      </w:pPr>
      <w:proofErr w:type="spellStart"/>
      <w:r w:rsidRPr="00F133D1">
        <w:rPr>
          <w:sz w:val="24"/>
          <w:szCs w:val="24"/>
          <w:lang w:val="sv-SE"/>
        </w:rPr>
        <w:t>Hydroxypropylmethylcellulose</w:t>
      </w:r>
      <w:proofErr w:type="spellEnd"/>
    </w:p>
    <w:p w:rsidR="00F133D1" w:rsidRPr="00F133D1" w:rsidRDefault="00F133D1" w:rsidP="00F133D1">
      <w:pPr>
        <w:ind w:left="851"/>
        <w:rPr>
          <w:sz w:val="24"/>
          <w:szCs w:val="24"/>
          <w:lang w:val="sv-SE"/>
        </w:rPr>
      </w:pPr>
      <w:proofErr w:type="spellStart"/>
      <w:r w:rsidRPr="00F133D1">
        <w:rPr>
          <w:sz w:val="24"/>
          <w:szCs w:val="24"/>
          <w:lang w:val="sv-SE"/>
        </w:rPr>
        <w:t>Indigocarmin</w:t>
      </w:r>
      <w:proofErr w:type="spellEnd"/>
      <w:r w:rsidRPr="00F133D1">
        <w:rPr>
          <w:sz w:val="24"/>
          <w:szCs w:val="24"/>
          <w:lang w:val="sv-SE"/>
        </w:rPr>
        <w:t xml:space="preserve"> (E 132)</w:t>
      </w:r>
    </w:p>
    <w:p w:rsidR="00F133D1" w:rsidRPr="00F133D1" w:rsidRDefault="00F133D1" w:rsidP="00F133D1">
      <w:pPr>
        <w:ind w:left="851"/>
        <w:rPr>
          <w:sz w:val="24"/>
          <w:szCs w:val="24"/>
          <w:lang w:val="sv-SE"/>
        </w:rPr>
      </w:pPr>
      <w:r w:rsidRPr="00F133D1">
        <w:rPr>
          <w:sz w:val="24"/>
          <w:szCs w:val="24"/>
          <w:lang w:val="sv-SE"/>
        </w:rPr>
        <w:t>Titandioxid (E 171)</w:t>
      </w:r>
    </w:p>
    <w:p w:rsidR="00F133D1" w:rsidRPr="00F133D1" w:rsidRDefault="00F133D1" w:rsidP="00F133D1">
      <w:pPr>
        <w:ind w:left="851"/>
        <w:rPr>
          <w:sz w:val="24"/>
          <w:szCs w:val="24"/>
          <w:lang w:val="sv-SE"/>
        </w:rPr>
      </w:pPr>
      <w:proofErr w:type="spellStart"/>
      <w:r w:rsidRPr="00F133D1">
        <w:rPr>
          <w:sz w:val="24"/>
          <w:szCs w:val="24"/>
          <w:lang w:val="sv-SE"/>
        </w:rPr>
        <w:t>Gelatine</w:t>
      </w:r>
      <w:proofErr w:type="spellEnd"/>
    </w:p>
    <w:p w:rsidR="00F133D1" w:rsidRPr="00F133D1" w:rsidRDefault="00F133D1" w:rsidP="00F133D1">
      <w:pPr>
        <w:ind w:left="851"/>
        <w:rPr>
          <w:sz w:val="24"/>
          <w:szCs w:val="24"/>
          <w:lang w:val="sv-SE"/>
        </w:rPr>
      </w:pPr>
      <w:proofErr w:type="spellStart"/>
      <w:r w:rsidRPr="00F133D1">
        <w:rPr>
          <w:sz w:val="24"/>
          <w:szCs w:val="24"/>
          <w:lang w:val="sv-SE"/>
        </w:rPr>
        <w:t>Ethylcellulose</w:t>
      </w:r>
      <w:proofErr w:type="spellEnd"/>
    </w:p>
    <w:p w:rsidR="00F133D1" w:rsidRPr="00F133D1" w:rsidRDefault="00F133D1" w:rsidP="00F133D1">
      <w:pPr>
        <w:ind w:left="851"/>
        <w:rPr>
          <w:sz w:val="24"/>
          <w:szCs w:val="24"/>
          <w:lang w:val="sv-SE"/>
        </w:rPr>
      </w:pPr>
      <w:proofErr w:type="spellStart"/>
      <w:r w:rsidRPr="00F133D1">
        <w:rPr>
          <w:sz w:val="24"/>
          <w:szCs w:val="24"/>
          <w:lang w:val="sv-SE"/>
        </w:rPr>
        <w:t>Triethylcitrat</w:t>
      </w:r>
      <w:proofErr w:type="spellEnd"/>
    </w:p>
    <w:p w:rsidR="00F133D1" w:rsidRPr="00F133D1" w:rsidRDefault="00F133D1" w:rsidP="00F133D1">
      <w:pPr>
        <w:ind w:left="851"/>
        <w:rPr>
          <w:sz w:val="24"/>
          <w:szCs w:val="24"/>
          <w:lang w:val="sv-SE"/>
        </w:rPr>
      </w:pPr>
      <w:proofErr w:type="spellStart"/>
      <w:r w:rsidRPr="00F133D1">
        <w:rPr>
          <w:sz w:val="24"/>
          <w:szCs w:val="24"/>
          <w:lang w:val="sv-SE"/>
        </w:rPr>
        <w:t>Methacrylsyre-ethylacrylat</w:t>
      </w:r>
      <w:proofErr w:type="spellEnd"/>
      <w:r w:rsidRPr="00F133D1">
        <w:rPr>
          <w:sz w:val="24"/>
          <w:szCs w:val="24"/>
          <w:lang w:val="sv-SE"/>
        </w:rPr>
        <w:t xml:space="preserve"> </w:t>
      </w:r>
      <w:proofErr w:type="spellStart"/>
      <w:r w:rsidRPr="00F133D1">
        <w:rPr>
          <w:sz w:val="24"/>
          <w:szCs w:val="24"/>
          <w:lang w:val="sv-SE"/>
        </w:rPr>
        <w:t>copolymer</w:t>
      </w:r>
      <w:proofErr w:type="spellEnd"/>
    </w:p>
    <w:p w:rsidR="00F133D1" w:rsidRPr="00F133D1" w:rsidRDefault="00F133D1" w:rsidP="00F133D1">
      <w:pPr>
        <w:ind w:left="851"/>
        <w:rPr>
          <w:sz w:val="24"/>
          <w:szCs w:val="24"/>
        </w:rPr>
      </w:pPr>
      <w:r w:rsidRPr="00F133D1">
        <w:rPr>
          <w:sz w:val="24"/>
          <w:szCs w:val="24"/>
        </w:rPr>
        <w:t>1,2-Propylenglycol</w:t>
      </w:r>
    </w:p>
    <w:p w:rsidR="009F6AF6" w:rsidRPr="00F133D1" w:rsidRDefault="009F6AF6" w:rsidP="00F133D1">
      <w:pPr>
        <w:pStyle w:val="Listeafsnit"/>
        <w:ind w:left="855"/>
        <w:rPr>
          <w:sz w:val="24"/>
          <w:szCs w:val="24"/>
        </w:rPr>
      </w:pPr>
    </w:p>
    <w:p w:rsidR="009F6AF6" w:rsidRPr="008048D6" w:rsidRDefault="009F6AF6" w:rsidP="009F6AF6">
      <w:pPr>
        <w:numPr>
          <w:ilvl w:val="1"/>
          <w:numId w:val="5"/>
        </w:numPr>
        <w:tabs>
          <w:tab w:val="clear" w:pos="855"/>
        </w:tabs>
        <w:ind w:left="851" w:hanging="851"/>
        <w:rPr>
          <w:b/>
          <w:sz w:val="24"/>
          <w:szCs w:val="24"/>
        </w:rPr>
      </w:pPr>
      <w:r w:rsidRPr="008048D6">
        <w:rPr>
          <w:b/>
          <w:sz w:val="24"/>
          <w:szCs w:val="24"/>
        </w:rPr>
        <w:t>Uforligeligheder</w:t>
      </w:r>
    </w:p>
    <w:p w:rsidR="009F6AF6" w:rsidRPr="008048D6" w:rsidRDefault="009F6AF6" w:rsidP="009F6AF6">
      <w:pPr>
        <w:ind w:left="851" w:hanging="851"/>
        <w:rPr>
          <w:b/>
          <w:sz w:val="24"/>
          <w:szCs w:val="24"/>
        </w:rPr>
      </w:pPr>
      <w:r w:rsidRPr="008048D6">
        <w:rPr>
          <w:sz w:val="24"/>
          <w:szCs w:val="24"/>
        </w:rPr>
        <w:tab/>
      </w:r>
      <w:proofErr w:type="spellStart"/>
      <w:r w:rsidRPr="008048D6">
        <w:rPr>
          <w:sz w:val="24"/>
          <w:szCs w:val="24"/>
          <w:lang w:val="sv-SE"/>
        </w:rPr>
        <w:t>Ikke</w:t>
      </w:r>
      <w:proofErr w:type="spellEnd"/>
      <w:r w:rsidRPr="008048D6">
        <w:rPr>
          <w:sz w:val="24"/>
          <w:szCs w:val="24"/>
        </w:rPr>
        <w:t xml:space="preserve"> relevant.</w:t>
      </w:r>
    </w:p>
    <w:p w:rsidR="009F6AF6" w:rsidRPr="008048D6" w:rsidRDefault="009F6AF6" w:rsidP="009F6AF6">
      <w:pPr>
        <w:ind w:left="851" w:hanging="851"/>
        <w:rPr>
          <w:sz w:val="24"/>
          <w:szCs w:val="24"/>
        </w:rPr>
      </w:pPr>
    </w:p>
    <w:p w:rsidR="009F6AF6" w:rsidRPr="008048D6" w:rsidRDefault="009F6AF6" w:rsidP="009F6AF6">
      <w:pPr>
        <w:numPr>
          <w:ilvl w:val="1"/>
          <w:numId w:val="5"/>
        </w:numPr>
        <w:tabs>
          <w:tab w:val="clear" w:pos="855"/>
        </w:tabs>
        <w:ind w:left="851" w:hanging="851"/>
        <w:rPr>
          <w:b/>
          <w:sz w:val="24"/>
          <w:szCs w:val="24"/>
        </w:rPr>
      </w:pPr>
      <w:r w:rsidRPr="008048D6">
        <w:rPr>
          <w:b/>
          <w:sz w:val="24"/>
          <w:szCs w:val="24"/>
        </w:rPr>
        <w:t>Opbevaringstid</w:t>
      </w:r>
    </w:p>
    <w:p w:rsidR="00F133D1" w:rsidRPr="008048D6" w:rsidRDefault="009F6AF6" w:rsidP="00F133D1">
      <w:pPr>
        <w:ind w:left="851" w:hanging="851"/>
        <w:rPr>
          <w:sz w:val="24"/>
          <w:szCs w:val="24"/>
        </w:rPr>
      </w:pPr>
      <w:r w:rsidRPr="008048D6">
        <w:rPr>
          <w:sz w:val="24"/>
          <w:szCs w:val="24"/>
        </w:rPr>
        <w:tab/>
      </w:r>
      <w:r w:rsidR="00F133D1" w:rsidRPr="008048D6">
        <w:rPr>
          <w:sz w:val="24"/>
          <w:szCs w:val="24"/>
        </w:rPr>
        <w:t xml:space="preserve">2 </w:t>
      </w:r>
      <w:r w:rsidR="00F133D1">
        <w:rPr>
          <w:sz w:val="24"/>
          <w:szCs w:val="24"/>
        </w:rPr>
        <w:t>år</w:t>
      </w:r>
      <w:r w:rsidR="00F133D1" w:rsidRPr="008048D6">
        <w:rPr>
          <w:sz w:val="24"/>
          <w:szCs w:val="24"/>
        </w:rPr>
        <w:t>.</w:t>
      </w:r>
    </w:p>
    <w:p w:rsidR="00F133D1" w:rsidRPr="008048D6" w:rsidRDefault="00F133D1" w:rsidP="00F133D1">
      <w:pPr>
        <w:ind w:left="851" w:hanging="851"/>
        <w:rPr>
          <w:b/>
          <w:sz w:val="24"/>
          <w:szCs w:val="24"/>
        </w:rPr>
      </w:pPr>
    </w:p>
    <w:p w:rsidR="00F133D1" w:rsidRDefault="00F133D1" w:rsidP="00F133D1">
      <w:pPr>
        <w:ind w:left="851"/>
        <w:rPr>
          <w:sz w:val="24"/>
          <w:szCs w:val="24"/>
        </w:rPr>
      </w:pPr>
      <w:r w:rsidRPr="00B076FF">
        <w:rPr>
          <w:sz w:val="24"/>
          <w:szCs w:val="24"/>
        </w:rPr>
        <w:t>Holdbarhed efter første åbning</w:t>
      </w:r>
      <w:r>
        <w:rPr>
          <w:sz w:val="24"/>
          <w:szCs w:val="24"/>
        </w:rPr>
        <w:t xml:space="preserve">: </w:t>
      </w:r>
    </w:p>
    <w:p w:rsidR="00F133D1" w:rsidRPr="00B076FF" w:rsidRDefault="00F133D1" w:rsidP="00F133D1">
      <w:pPr>
        <w:ind w:left="851"/>
        <w:rPr>
          <w:sz w:val="24"/>
          <w:szCs w:val="24"/>
        </w:rPr>
      </w:pPr>
      <w:r>
        <w:rPr>
          <w:sz w:val="24"/>
          <w:szCs w:val="24"/>
        </w:rPr>
        <w:t xml:space="preserve">HDPE-beholder: </w:t>
      </w:r>
      <w:r w:rsidRPr="00B076FF">
        <w:rPr>
          <w:sz w:val="24"/>
          <w:szCs w:val="24"/>
        </w:rPr>
        <w:t>200 dage.</w:t>
      </w:r>
    </w:p>
    <w:p w:rsidR="009F6AF6" w:rsidRPr="008048D6" w:rsidRDefault="009F6AF6" w:rsidP="00F133D1">
      <w:pPr>
        <w:ind w:left="851" w:hanging="851"/>
        <w:rPr>
          <w:sz w:val="24"/>
          <w:szCs w:val="24"/>
        </w:rPr>
      </w:pPr>
    </w:p>
    <w:p w:rsidR="009F6AF6" w:rsidRPr="008048D6" w:rsidRDefault="009F6AF6" w:rsidP="009F6AF6">
      <w:pPr>
        <w:numPr>
          <w:ilvl w:val="1"/>
          <w:numId w:val="5"/>
        </w:numPr>
        <w:tabs>
          <w:tab w:val="clear" w:pos="855"/>
        </w:tabs>
        <w:ind w:left="851" w:hanging="851"/>
        <w:rPr>
          <w:b/>
          <w:sz w:val="24"/>
          <w:szCs w:val="24"/>
        </w:rPr>
      </w:pPr>
      <w:r w:rsidRPr="008048D6">
        <w:rPr>
          <w:b/>
          <w:sz w:val="24"/>
          <w:szCs w:val="24"/>
        </w:rPr>
        <w:t>Særlige opbevaringsforhold</w:t>
      </w:r>
    </w:p>
    <w:p w:rsidR="009F6AF6" w:rsidRPr="008048D6" w:rsidRDefault="009F6AF6" w:rsidP="009F6AF6">
      <w:pPr>
        <w:ind w:left="851" w:hanging="851"/>
        <w:rPr>
          <w:sz w:val="24"/>
          <w:szCs w:val="24"/>
        </w:rPr>
      </w:pPr>
      <w:r w:rsidRPr="008048D6">
        <w:rPr>
          <w:sz w:val="24"/>
          <w:szCs w:val="24"/>
        </w:rPr>
        <w:tab/>
        <w:t xml:space="preserve">Må ikke opbevares ved temperaturer over </w:t>
      </w:r>
      <w:r>
        <w:rPr>
          <w:sz w:val="22"/>
          <w:szCs w:val="22"/>
        </w:rPr>
        <w:t>25 °C</w:t>
      </w:r>
      <w:r w:rsidRPr="008048D6">
        <w:rPr>
          <w:sz w:val="24"/>
          <w:szCs w:val="24"/>
        </w:rPr>
        <w:t xml:space="preserve">. </w:t>
      </w:r>
    </w:p>
    <w:p w:rsidR="009F6AF6" w:rsidRPr="008048D6" w:rsidRDefault="009F6AF6" w:rsidP="009F6AF6">
      <w:pPr>
        <w:ind w:left="851" w:hanging="851"/>
        <w:rPr>
          <w:sz w:val="24"/>
          <w:szCs w:val="24"/>
        </w:rPr>
      </w:pPr>
    </w:p>
    <w:p w:rsidR="009F6AF6" w:rsidRPr="008048D6" w:rsidRDefault="009F6AF6" w:rsidP="009F6AF6">
      <w:pPr>
        <w:numPr>
          <w:ilvl w:val="1"/>
          <w:numId w:val="5"/>
        </w:numPr>
        <w:tabs>
          <w:tab w:val="clear" w:pos="855"/>
        </w:tabs>
        <w:ind w:left="851" w:hanging="851"/>
        <w:rPr>
          <w:b/>
          <w:sz w:val="24"/>
          <w:szCs w:val="24"/>
        </w:rPr>
      </w:pPr>
      <w:r w:rsidRPr="008048D6">
        <w:rPr>
          <w:b/>
          <w:sz w:val="24"/>
          <w:szCs w:val="24"/>
        </w:rPr>
        <w:t>Emballagetyper og pakningsstørrelser</w:t>
      </w:r>
    </w:p>
    <w:p w:rsidR="00F133D1" w:rsidRPr="008048D6" w:rsidRDefault="009F6AF6" w:rsidP="00F133D1">
      <w:pPr>
        <w:ind w:left="851"/>
        <w:rPr>
          <w:sz w:val="24"/>
          <w:szCs w:val="24"/>
        </w:rPr>
      </w:pPr>
      <w:r w:rsidRPr="008048D6">
        <w:rPr>
          <w:sz w:val="24"/>
          <w:szCs w:val="24"/>
        </w:rPr>
        <w:tab/>
      </w:r>
      <w:r w:rsidR="00F133D1">
        <w:rPr>
          <w:sz w:val="24"/>
          <w:szCs w:val="24"/>
        </w:rPr>
        <w:t xml:space="preserve">De hårde depotkapsler er enten pakket i </w:t>
      </w:r>
      <w:proofErr w:type="spellStart"/>
      <w:r w:rsidR="00F133D1">
        <w:rPr>
          <w:sz w:val="24"/>
          <w:szCs w:val="24"/>
        </w:rPr>
        <w:t>Alu</w:t>
      </w:r>
      <w:proofErr w:type="spellEnd"/>
      <w:r w:rsidR="00F133D1">
        <w:rPr>
          <w:sz w:val="24"/>
          <w:szCs w:val="24"/>
        </w:rPr>
        <w:t>/PVC/PE/</w:t>
      </w:r>
      <w:proofErr w:type="gramStart"/>
      <w:r w:rsidR="00F133D1">
        <w:rPr>
          <w:sz w:val="24"/>
          <w:szCs w:val="24"/>
        </w:rPr>
        <w:t>PVDC blister</w:t>
      </w:r>
      <w:proofErr w:type="gramEnd"/>
      <w:r w:rsidR="00F133D1">
        <w:rPr>
          <w:sz w:val="24"/>
          <w:szCs w:val="24"/>
        </w:rPr>
        <w:t xml:space="preserve">, eller pakket i en HDPE-beholder med anbrudssikret lukning og placeret i en æske. </w:t>
      </w:r>
    </w:p>
    <w:p w:rsidR="00F133D1" w:rsidRDefault="00F133D1" w:rsidP="00F133D1">
      <w:pPr>
        <w:ind w:left="851"/>
        <w:rPr>
          <w:sz w:val="24"/>
          <w:szCs w:val="24"/>
        </w:rPr>
      </w:pPr>
    </w:p>
    <w:p w:rsidR="00F133D1" w:rsidRDefault="00F133D1" w:rsidP="00F133D1">
      <w:pPr>
        <w:ind w:left="851"/>
        <w:rPr>
          <w:sz w:val="24"/>
          <w:szCs w:val="24"/>
          <w:u w:val="single"/>
        </w:rPr>
      </w:pPr>
      <w:r w:rsidRPr="0085412E">
        <w:rPr>
          <w:sz w:val="24"/>
          <w:szCs w:val="24"/>
          <w:u w:val="single"/>
        </w:rPr>
        <w:t>Pakningsstørrelser</w:t>
      </w:r>
      <w:r>
        <w:rPr>
          <w:sz w:val="24"/>
          <w:szCs w:val="24"/>
          <w:u w:val="single"/>
        </w:rPr>
        <w:t xml:space="preserve">: </w:t>
      </w:r>
    </w:p>
    <w:p w:rsidR="00F133D1" w:rsidRDefault="00F133D1" w:rsidP="00F133D1">
      <w:pPr>
        <w:ind w:left="851"/>
        <w:rPr>
          <w:sz w:val="24"/>
          <w:szCs w:val="24"/>
          <w:u w:val="single"/>
        </w:rPr>
      </w:pPr>
    </w:p>
    <w:p w:rsidR="00F133D1" w:rsidRPr="008048D6" w:rsidRDefault="00F133D1" w:rsidP="00F133D1">
      <w:pPr>
        <w:ind w:left="851"/>
        <w:rPr>
          <w:sz w:val="24"/>
          <w:szCs w:val="24"/>
        </w:rPr>
      </w:pPr>
      <w:r w:rsidRPr="00C37DD4">
        <w:rPr>
          <w:sz w:val="24"/>
          <w:szCs w:val="24"/>
        </w:rPr>
        <w:t>Blister:</w:t>
      </w:r>
      <w:r>
        <w:rPr>
          <w:sz w:val="24"/>
          <w:szCs w:val="24"/>
        </w:rPr>
        <w:t xml:space="preserve"> </w:t>
      </w:r>
      <w:r w:rsidRPr="008048D6">
        <w:rPr>
          <w:sz w:val="24"/>
          <w:szCs w:val="24"/>
        </w:rPr>
        <w:t>7,</w:t>
      </w:r>
      <w:r w:rsidRPr="008048D6">
        <w:rPr>
          <w:b/>
          <w:bCs/>
          <w:sz w:val="24"/>
          <w:szCs w:val="24"/>
        </w:rPr>
        <w:t xml:space="preserve"> </w:t>
      </w:r>
      <w:r w:rsidRPr="008048D6">
        <w:rPr>
          <w:sz w:val="24"/>
          <w:szCs w:val="24"/>
        </w:rPr>
        <w:t>14, 28, 30, 49, 50, 56, 80, 84, 90, 98, 100, 112, 160, 280, 320 depotkapsler, hårde.</w:t>
      </w:r>
    </w:p>
    <w:p w:rsidR="00F133D1" w:rsidRPr="008048D6" w:rsidRDefault="00F133D1" w:rsidP="00F133D1">
      <w:pPr>
        <w:ind w:left="851" w:hanging="851"/>
        <w:rPr>
          <w:sz w:val="24"/>
          <w:szCs w:val="24"/>
        </w:rPr>
      </w:pPr>
    </w:p>
    <w:p w:rsidR="00F133D1" w:rsidRPr="008048D6" w:rsidRDefault="00F133D1" w:rsidP="00F133D1">
      <w:pPr>
        <w:ind w:firstLine="851"/>
        <w:rPr>
          <w:sz w:val="24"/>
          <w:szCs w:val="24"/>
        </w:rPr>
      </w:pPr>
      <w:r>
        <w:rPr>
          <w:sz w:val="24"/>
          <w:szCs w:val="24"/>
        </w:rPr>
        <w:t xml:space="preserve">HDPE-beholder: </w:t>
      </w:r>
      <w:r w:rsidRPr="008048D6">
        <w:rPr>
          <w:sz w:val="24"/>
          <w:szCs w:val="24"/>
        </w:rPr>
        <w:t xml:space="preserve">30, </w:t>
      </w:r>
      <w:r>
        <w:rPr>
          <w:sz w:val="24"/>
          <w:szCs w:val="24"/>
        </w:rPr>
        <w:t xml:space="preserve">60, </w:t>
      </w:r>
      <w:r w:rsidRPr="008048D6">
        <w:rPr>
          <w:sz w:val="24"/>
          <w:szCs w:val="24"/>
        </w:rPr>
        <w:t xml:space="preserve">100 og 200 </w:t>
      </w:r>
      <w:r>
        <w:rPr>
          <w:sz w:val="24"/>
          <w:szCs w:val="24"/>
        </w:rPr>
        <w:t>depot</w:t>
      </w:r>
      <w:r w:rsidRPr="008048D6">
        <w:rPr>
          <w:sz w:val="24"/>
          <w:szCs w:val="24"/>
        </w:rPr>
        <w:t>kapsler</w:t>
      </w:r>
      <w:r>
        <w:rPr>
          <w:sz w:val="24"/>
          <w:szCs w:val="24"/>
        </w:rPr>
        <w:t>, hårde</w:t>
      </w:r>
      <w:r w:rsidRPr="008048D6">
        <w:rPr>
          <w:sz w:val="24"/>
          <w:szCs w:val="24"/>
        </w:rPr>
        <w:t>.</w:t>
      </w:r>
    </w:p>
    <w:p w:rsidR="00F133D1" w:rsidRPr="008048D6" w:rsidRDefault="00F133D1" w:rsidP="00F133D1">
      <w:pPr>
        <w:ind w:left="851" w:hanging="851"/>
        <w:rPr>
          <w:sz w:val="24"/>
          <w:szCs w:val="24"/>
        </w:rPr>
      </w:pPr>
    </w:p>
    <w:p w:rsidR="00F133D1" w:rsidRPr="008048D6" w:rsidRDefault="00F133D1" w:rsidP="00F133D1">
      <w:pPr>
        <w:ind w:left="851"/>
        <w:rPr>
          <w:sz w:val="24"/>
          <w:szCs w:val="24"/>
        </w:rPr>
      </w:pPr>
      <w:r w:rsidRPr="008048D6">
        <w:rPr>
          <w:sz w:val="24"/>
          <w:szCs w:val="24"/>
        </w:rPr>
        <w:t>Ikke alle pakningsstørrelser er nødvendigvis markedsført.</w:t>
      </w:r>
    </w:p>
    <w:p w:rsidR="009F6AF6" w:rsidRPr="008048D6" w:rsidRDefault="009F6AF6" w:rsidP="00F133D1">
      <w:pPr>
        <w:ind w:left="851" w:hanging="851"/>
        <w:rPr>
          <w:sz w:val="24"/>
          <w:szCs w:val="24"/>
        </w:rPr>
      </w:pPr>
    </w:p>
    <w:p w:rsidR="009F6AF6" w:rsidRPr="008048D6" w:rsidRDefault="009F6AF6" w:rsidP="009F6AF6">
      <w:pPr>
        <w:numPr>
          <w:ilvl w:val="1"/>
          <w:numId w:val="5"/>
        </w:numPr>
        <w:tabs>
          <w:tab w:val="clear" w:pos="855"/>
        </w:tabs>
        <w:ind w:left="851" w:hanging="851"/>
        <w:rPr>
          <w:b/>
          <w:sz w:val="24"/>
          <w:szCs w:val="24"/>
        </w:rPr>
      </w:pPr>
      <w:r w:rsidRPr="008048D6">
        <w:rPr>
          <w:b/>
          <w:sz w:val="24"/>
          <w:szCs w:val="24"/>
        </w:rPr>
        <w:t>Regler for destruktion og anden håndtering</w:t>
      </w:r>
    </w:p>
    <w:p w:rsidR="009F6AF6" w:rsidRPr="00B076FF" w:rsidRDefault="009F6AF6" w:rsidP="009F6AF6">
      <w:pPr>
        <w:ind w:left="851" w:hanging="851"/>
        <w:rPr>
          <w:sz w:val="24"/>
          <w:szCs w:val="24"/>
        </w:rPr>
      </w:pPr>
      <w:r w:rsidRPr="00B076FF">
        <w:rPr>
          <w:sz w:val="24"/>
          <w:szCs w:val="24"/>
        </w:rPr>
        <w:tab/>
        <w:t>Ingen særlige forholdsregler. Ikke anvendt lægemiddel samt affald heraf skal bortskaffes i henhold til lokale retningslinjer.</w:t>
      </w:r>
    </w:p>
    <w:p w:rsidR="009F6AF6" w:rsidRPr="008048D6" w:rsidRDefault="009F6AF6" w:rsidP="009F6AF6">
      <w:pPr>
        <w:ind w:left="851" w:hanging="851"/>
        <w:rPr>
          <w:sz w:val="24"/>
          <w:szCs w:val="24"/>
        </w:rPr>
      </w:pPr>
    </w:p>
    <w:p w:rsidR="009F6AF6" w:rsidRPr="008048D6" w:rsidRDefault="009F6AF6" w:rsidP="009F6AF6">
      <w:pPr>
        <w:ind w:left="851" w:hanging="851"/>
        <w:rPr>
          <w:b/>
          <w:sz w:val="24"/>
          <w:szCs w:val="24"/>
        </w:rPr>
      </w:pPr>
      <w:r w:rsidRPr="008048D6">
        <w:rPr>
          <w:b/>
          <w:sz w:val="24"/>
          <w:szCs w:val="24"/>
        </w:rPr>
        <w:t>7.</w:t>
      </w:r>
      <w:r w:rsidRPr="008048D6">
        <w:rPr>
          <w:b/>
          <w:sz w:val="24"/>
          <w:szCs w:val="24"/>
        </w:rPr>
        <w:tab/>
        <w:t>INDEHAVER AF MARKEDSFØRINGSTILLADELSEN</w:t>
      </w:r>
    </w:p>
    <w:p w:rsidR="009F6AF6" w:rsidRPr="00201A48" w:rsidRDefault="009F6AF6" w:rsidP="009F6AF6">
      <w:pPr>
        <w:ind w:left="851" w:hanging="851"/>
        <w:rPr>
          <w:sz w:val="24"/>
          <w:szCs w:val="24"/>
        </w:rPr>
      </w:pPr>
      <w:r w:rsidRPr="008048D6">
        <w:rPr>
          <w:sz w:val="24"/>
          <w:szCs w:val="24"/>
        </w:rPr>
        <w:tab/>
      </w:r>
      <w:r w:rsidRPr="00201A48">
        <w:rPr>
          <w:sz w:val="24"/>
          <w:szCs w:val="24"/>
        </w:rPr>
        <w:t>Sandoz A/S</w:t>
      </w:r>
    </w:p>
    <w:p w:rsidR="009F6AF6" w:rsidRPr="0085412E" w:rsidRDefault="009F6AF6" w:rsidP="009F6AF6">
      <w:pPr>
        <w:ind w:left="851"/>
        <w:rPr>
          <w:sz w:val="24"/>
          <w:szCs w:val="24"/>
        </w:rPr>
      </w:pPr>
      <w:r w:rsidRPr="0085412E">
        <w:rPr>
          <w:sz w:val="24"/>
          <w:szCs w:val="24"/>
        </w:rPr>
        <w:t>Edvard Thomsens Vej 14</w:t>
      </w:r>
    </w:p>
    <w:p w:rsidR="009F6AF6" w:rsidRDefault="009F6AF6" w:rsidP="009F6AF6">
      <w:pPr>
        <w:ind w:left="851"/>
        <w:rPr>
          <w:sz w:val="24"/>
          <w:szCs w:val="24"/>
        </w:rPr>
      </w:pPr>
      <w:r w:rsidRPr="008048D6">
        <w:rPr>
          <w:sz w:val="24"/>
          <w:szCs w:val="24"/>
        </w:rPr>
        <w:t>2300 København S</w:t>
      </w:r>
    </w:p>
    <w:p w:rsidR="009F6AF6" w:rsidRPr="008048D6" w:rsidRDefault="009F6AF6" w:rsidP="009F6AF6">
      <w:pPr>
        <w:ind w:left="851"/>
        <w:rPr>
          <w:sz w:val="24"/>
          <w:szCs w:val="24"/>
        </w:rPr>
      </w:pPr>
      <w:r>
        <w:rPr>
          <w:sz w:val="24"/>
          <w:szCs w:val="24"/>
        </w:rPr>
        <w:t>Danmark</w:t>
      </w:r>
    </w:p>
    <w:p w:rsidR="009F6AF6" w:rsidRPr="008048D6" w:rsidRDefault="009F6AF6" w:rsidP="009F6AF6">
      <w:pPr>
        <w:ind w:left="851" w:hanging="851"/>
        <w:rPr>
          <w:sz w:val="24"/>
          <w:szCs w:val="24"/>
        </w:rPr>
      </w:pPr>
    </w:p>
    <w:p w:rsidR="009F6AF6" w:rsidRPr="008048D6" w:rsidRDefault="009F6AF6" w:rsidP="009F6AF6">
      <w:pPr>
        <w:ind w:left="851" w:hanging="851"/>
        <w:rPr>
          <w:b/>
          <w:sz w:val="24"/>
          <w:szCs w:val="24"/>
        </w:rPr>
      </w:pPr>
      <w:r w:rsidRPr="008048D6">
        <w:rPr>
          <w:b/>
          <w:sz w:val="24"/>
          <w:szCs w:val="24"/>
        </w:rPr>
        <w:t>8.</w:t>
      </w:r>
      <w:r w:rsidRPr="008048D6">
        <w:rPr>
          <w:b/>
          <w:sz w:val="24"/>
          <w:szCs w:val="24"/>
        </w:rPr>
        <w:tab/>
        <w:t>MARKEDSFØRINGSTILLADELSESNUMMER (NUMRE)</w:t>
      </w:r>
    </w:p>
    <w:p w:rsidR="009F6AF6" w:rsidRPr="008048D6" w:rsidRDefault="009F6AF6" w:rsidP="009F6AF6">
      <w:pPr>
        <w:ind w:left="851" w:hanging="851"/>
        <w:rPr>
          <w:sz w:val="24"/>
          <w:szCs w:val="24"/>
        </w:rPr>
      </w:pPr>
      <w:r w:rsidRPr="008048D6">
        <w:rPr>
          <w:sz w:val="24"/>
          <w:szCs w:val="24"/>
        </w:rPr>
        <w:tab/>
        <w:t xml:space="preserve">2 mg: 47886 </w:t>
      </w:r>
    </w:p>
    <w:p w:rsidR="009F6AF6" w:rsidRPr="008048D6" w:rsidRDefault="009F6AF6" w:rsidP="009F6AF6">
      <w:pPr>
        <w:ind w:left="851"/>
        <w:rPr>
          <w:sz w:val="24"/>
          <w:szCs w:val="24"/>
        </w:rPr>
      </w:pPr>
      <w:r w:rsidRPr="008048D6">
        <w:rPr>
          <w:sz w:val="24"/>
          <w:szCs w:val="24"/>
        </w:rPr>
        <w:t>4 mg: 47887</w:t>
      </w:r>
    </w:p>
    <w:p w:rsidR="009F6AF6" w:rsidRPr="008048D6" w:rsidRDefault="009F6AF6" w:rsidP="009F6AF6">
      <w:pPr>
        <w:ind w:left="851" w:hanging="851"/>
        <w:jc w:val="both"/>
        <w:rPr>
          <w:sz w:val="24"/>
          <w:szCs w:val="24"/>
        </w:rPr>
      </w:pPr>
    </w:p>
    <w:p w:rsidR="009F6AF6" w:rsidRPr="008048D6" w:rsidRDefault="009F6AF6" w:rsidP="009F6AF6">
      <w:pPr>
        <w:ind w:left="851" w:hanging="851"/>
        <w:rPr>
          <w:b/>
          <w:sz w:val="24"/>
          <w:szCs w:val="24"/>
        </w:rPr>
      </w:pPr>
      <w:r w:rsidRPr="008048D6">
        <w:rPr>
          <w:b/>
          <w:sz w:val="24"/>
          <w:szCs w:val="24"/>
        </w:rPr>
        <w:t>9.</w:t>
      </w:r>
      <w:r w:rsidRPr="008048D6">
        <w:rPr>
          <w:b/>
          <w:sz w:val="24"/>
          <w:szCs w:val="24"/>
        </w:rPr>
        <w:tab/>
        <w:t>DATO FOR FØRSTE MARKEDSFØRINGSTILLADELSE</w:t>
      </w:r>
    </w:p>
    <w:p w:rsidR="009F6AF6" w:rsidRPr="008048D6" w:rsidRDefault="009F6AF6" w:rsidP="009F6AF6">
      <w:pPr>
        <w:ind w:left="851" w:hanging="851"/>
        <w:rPr>
          <w:sz w:val="24"/>
          <w:szCs w:val="24"/>
        </w:rPr>
      </w:pPr>
      <w:r w:rsidRPr="008048D6">
        <w:rPr>
          <w:sz w:val="24"/>
          <w:szCs w:val="24"/>
        </w:rPr>
        <w:tab/>
        <w:t>26. juni 2012</w:t>
      </w:r>
    </w:p>
    <w:p w:rsidR="009F6AF6" w:rsidRPr="008048D6" w:rsidRDefault="009F6AF6" w:rsidP="009F6AF6">
      <w:pPr>
        <w:ind w:left="851" w:hanging="851"/>
        <w:rPr>
          <w:sz w:val="24"/>
          <w:szCs w:val="24"/>
        </w:rPr>
      </w:pPr>
    </w:p>
    <w:p w:rsidR="009F6AF6" w:rsidRPr="008048D6" w:rsidRDefault="009F6AF6" w:rsidP="009F6AF6">
      <w:pPr>
        <w:ind w:left="851" w:hanging="851"/>
        <w:rPr>
          <w:b/>
          <w:sz w:val="24"/>
          <w:szCs w:val="24"/>
        </w:rPr>
      </w:pPr>
      <w:r w:rsidRPr="008048D6">
        <w:rPr>
          <w:b/>
          <w:sz w:val="24"/>
          <w:szCs w:val="24"/>
        </w:rPr>
        <w:t>10.</w:t>
      </w:r>
      <w:r w:rsidRPr="008048D6">
        <w:rPr>
          <w:b/>
          <w:sz w:val="24"/>
          <w:szCs w:val="24"/>
        </w:rPr>
        <w:tab/>
        <w:t>DATO FOR ÆNDRING AF TEKSTEN</w:t>
      </w:r>
    </w:p>
    <w:p w:rsidR="009F6AF6" w:rsidRPr="008048D6" w:rsidRDefault="009F6AF6" w:rsidP="009F6AF6">
      <w:pPr>
        <w:ind w:left="851" w:hanging="851"/>
        <w:rPr>
          <w:sz w:val="24"/>
          <w:szCs w:val="24"/>
        </w:rPr>
      </w:pPr>
      <w:r w:rsidRPr="008048D6">
        <w:rPr>
          <w:sz w:val="24"/>
          <w:szCs w:val="24"/>
        </w:rPr>
        <w:tab/>
      </w:r>
      <w:r w:rsidR="00877D71">
        <w:rPr>
          <w:szCs w:val="24"/>
        </w:rPr>
        <w:t>30</w:t>
      </w:r>
      <w:bookmarkStart w:id="0" w:name="_GoBack"/>
      <w:bookmarkEnd w:id="0"/>
      <w:r w:rsidR="00A11122">
        <w:rPr>
          <w:szCs w:val="24"/>
        </w:rPr>
        <w:t>. juni 2020</w:t>
      </w:r>
    </w:p>
    <w:p w:rsidR="009F6AF6" w:rsidRPr="000266F1" w:rsidRDefault="009F6AF6" w:rsidP="009F6AF6"/>
    <w:p w:rsidR="009F6AF6" w:rsidRPr="00D078D1" w:rsidRDefault="009F6AF6" w:rsidP="009F6AF6"/>
    <w:p w:rsidR="009260DE" w:rsidRPr="009F6AF6" w:rsidRDefault="009260DE" w:rsidP="009F6AF6"/>
    <w:sectPr w:rsidR="009260DE" w:rsidRPr="009F6AF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AF6" w:rsidRDefault="009F6AF6">
      <w:r>
        <w:separator/>
      </w:r>
    </w:p>
  </w:endnote>
  <w:endnote w:type="continuationSeparator" w:id="0">
    <w:p w:rsidR="009F6AF6" w:rsidRDefault="009F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F6AF6">
      <w:rPr>
        <w:i/>
        <w:noProof/>
        <w:sz w:val="18"/>
        <w:szCs w:val="18"/>
      </w:rPr>
      <w:t>Dokument5291</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AF6" w:rsidRDefault="009F6AF6">
      <w:r>
        <w:separator/>
      </w:r>
    </w:p>
  </w:footnote>
  <w:footnote w:type="continuationSeparator" w:id="0">
    <w:p w:rsidR="009F6AF6" w:rsidRDefault="009F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205"/>
    <w:multiLevelType w:val="hybridMultilevel"/>
    <w:tmpl w:val="D1D8F55C"/>
    <w:lvl w:ilvl="0" w:tplc="86C4A9FE">
      <w:start w:val="1"/>
      <w:numFmt w:val="bullet"/>
      <w:lvlText w:val="-"/>
      <w:lvlJc w:val="left"/>
      <w:pPr>
        <w:ind w:left="720" w:hanging="360"/>
      </w:pPr>
      <w:rPr>
        <w:rFonts w:ascii="Arial" w:hAnsi="Aria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107407"/>
    <w:multiLevelType w:val="hybridMultilevel"/>
    <w:tmpl w:val="F6385C14"/>
    <w:lvl w:ilvl="0" w:tplc="86C4A9FE">
      <w:start w:val="1"/>
      <w:numFmt w:val="bullet"/>
      <w:lvlText w:val="-"/>
      <w:lvlJc w:val="left"/>
      <w:pPr>
        <w:ind w:left="720" w:hanging="360"/>
      </w:pPr>
      <w:rPr>
        <w:rFonts w:ascii="Arial" w:hAnsi="Aria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2EB6DE2"/>
    <w:multiLevelType w:val="hybridMultilevel"/>
    <w:tmpl w:val="94449778"/>
    <w:lvl w:ilvl="0" w:tplc="86C4A9FE">
      <w:start w:val="1"/>
      <w:numFmt w:val="bullet"/>
      <w:lvlText w:val="-"/>
      <w:lvlJc w:val="left"/>
      <w:pPr>
        <w:ind w:left="720" w:hanging="360"/>
      </w:pPr>
      <w:rPr>
        <w:rFonts w:ascii="Arial" w:hAnsi="Aria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F6"/>
    <w:rsid w:val="000259B9"/>
    <w:rsid w:val="00041491"/>
    <w:rsid w:val="00050D16"/>
    <w:rsid w:val="00074F2A"/>
    <w:rsid w:val="000A1CA8"/>
    <w:rsid w:val="000A466B"/>
    <w:rsid w:val="000B058C"/>
    <w:rsid w:val="000E4EE6"/>
    <w:rsid w:val="001454E2"/>
    <w:rsid w:val="00206CE8"/>
    <w:rsid w:val="0021526C"/>
    <w:rsid w:val="00271583"/>
    <w:rsid w:val="00283A2B"/>
    <w:rsid w:val="002B30AD"/>
    <w:rsid w:val="002C2C01"/>
    <w:rsid w:val="003A29AE"/>
    <w:rsid w:val="003A32D7"/>
    <w:rsid w:val="003B4074"/>
    <w:rsid w:val="003C769A"/>
    <w:rsid w:val="003D3D90"/>
    <w:rsid w:val="003F1838"/>
    <w:rsid w:val="0045746C"/>
    <w:rsid w:val="0049104B"/>
    <w:rsid w:val="004E3B12"/>
    <w:rsid w:val="004F4E8F"/>
    <w:rsid w:val="00532310"/>
    <w:rsid w:val="00560ECC"/>
    <w:rsid w:val="00565F0F"/>
    <w:rsid w:val="00594A86"/>
    <w:rsid w:val="00596D86"/>
    <w:rsid w:val="00631F1D"/>
    <w:rsid w:val="00637F5A"/>
    <w:rsid w:val="006560B1"/>
    <w:rsid w:val="006756DD"/>
    <w:rsid w:val="00737275"/>
    <w:rsid w:val="00740EEC"/>
    <w:rsid w:val="0078011A"/>
    <w:rsid w:val="00782AF4"/>
    <w:rsid w:val="00790EE7"/>
    <w:rsid w:val="007B6649"/>
    <w:rsid w:val="0081546F"/>
    <w:rsid w:val="0082576E"/>
    <w:rsid w:val="00877D71"/>
    <w:rsid w:val="00907F75"/>
    <w:rsid w:val="009260DE"/>
    <w:rsid w:val="0093258A"/>
    <w:rsid w:val="009C7BA3"/>
    <w:rsid w:val="009D1F5A"/>
    <w:rsid w:val="009F6AF6"/>
    <w:rsid w:val="00A11122"/>
    <w:rsid w:val="00B003BF"/>
    <w:rsid w:val="00B10B57"/>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133D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DD36C"/>
  <w15:chartTrackingRefBased/>
  <w15:docId w15:val="{B9938EE6-C850-41BE-9129-B6DAA03B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133D1"/>
    <w:rPr>
      <w:color w:val="0563C1" w:themeColor="hyperlink"/>
      <w:u w:val="single"/>
    </w:rPr>
  </w:style>
  <w:style w:type="character" w:styleId="Ulstomtale">
    <w:name w:val="Unresolved Mention"/>
    <w:basedOn w:val="Standardskrifttypeiafsnit"/>
    <w:uiPriority w:val="99"/>
    <w:semiHidden/>
    <w:unhideWhenUsed/>
    <w:rsid w:val="00F133D1"/>
    <w:rPr>
      <w:color w:val="605E5C"/>
      <w:shd w:val="clear" w:color="auto" w:fill="E1DFDD"/>
    </w:rPr>
  </w:style>
  <w:style w:type="paragraph" w:styleId="Listeafsnit">
    <w:name w:val="List Paragraph"/>
    <w:basedOn w:val="Normal"/>
    <w:uiPriority w:val="34"/>
    <w:qFormat/>
    <w:rsid w:val="00F1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11</Pages>
  <Words>2993</Words>
  <Characters>19690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2019100502 - pkt. 2, 3, 4.4, 4.8, 6.1, 6.3, 6.5</dc:description>
  <cp:lastModifiedBy>Line Aaboe Würtz</cp:lastModifiedBy>
  <cp:revision>8</cp:revision>
  <cp:lastPrinted>2012-08-22T08:53:00Z</cp:lastPrinted>
  <dcterms:created xsi:type="dcterms:W3CDTF">2020-06-25T01:19:00Z</dcterms:created>
  <dcterms:modified xsi:type="dcterms:W3CDTF">2020-06-30T14:38:00Z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