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182EAE">
      <w:pPr>
        <w:pStyle w:val="Titel"/>
        <w:tabs>
          <w:tab w:val="right" w:pos="9356"/>
        </w:tabs>
        <w:jc w:val="left"/>
        <w:rPr>
          <w:b w:val="0"/>
          <w:szCs w:val="24"/>
          <w:lang w:eastAsia="en-US"/>
        </w:rPr>
      </w:pPr>
      <w:r w:rsidRPr="00C84483">
        <w:rPr>
          <w:b w:val="0"/>
          <w:szCs w:val="24"/>
          <w:lang w:eastAsia="en-US"/>
        </w:rPr>
        <w:tab/>
      </w:r>
      <w:r w:rsidR="00182EAE">
        <w:rPr>
          <w:szCs w:val="24"/>
        </w:rPr>
        <w:t>1</w:t>
      </w:r>
      <w:r w:rsidR="00876505">
        <w:rPr>
          <w:szCs w:val="24"/>
        </w:rPr>
        <w:t>4</w:t>
      </w:r>
      <w:r w:rsidR="00182EAE">
        <w:rPr>
          <w:szCs w:val="24"/>
        </w:rPr>
        <w:t xml:space="preserve">. </w:t>
      </w:r>
      <w:r w:rsidR="00876505">
        <w:rPr>
          <w:szCs w:val="24"/>
        </w:rPr>
        <w:t>november</w:t>
      </w:r>
      <w:r w:rsidR="00182EAE">
        <w:rPr>
          <w:szCs w:val="24"/>
        </w:rPr>
        <w:t xml:space="preserve"> 2023</w:t>
      </w: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1300FC" w:rsidP="009260DE">
      <w:pPr>
        <w:jc w:val="center"/>
        <w:rPr>
          <w:b/>
          <w:sz w:val="24"/>
          <w:szCs w:val="24"/>
        </w:rPr>
      </w:pPr>
      <w:proofErr w:type="spellStart"/>
      <w:r>
        <w:rPr>
          <w:b/>
          <w:sz w:val="24"/>
          <w:szCs w:val="24"/>
        </w:rPr>
        <w:t>Tolvaptan</w:t>
      </w:r>
      <w:proofErr w:type="spellEnd"/>
      <w:r>
        <w:rPr>
          <w:b/>
          <w:sz w:val="24"/>
          <w:szCs w:val="24"/>
        </w:rPr>
        <w:t xml:space="preserve"> "</w:t>
      </w:r>
      <w:proofErr w:type="spellStart"/>
      <w:r>
        <w:rPr>
          <w:b/>
          <w:sz w:val="24"/>
          <w:szCs w:val="24"/>
        </w:rPr>
        <w:t>Teva</w:t>
      </w:r>
      <w:proofErr w:type="spellEnd"/>
      <w:r>
        <w:rPr>
          <w:b/>
          <w:sz w:val="24"/>
          <w:szCs w:val="24"/>
        </w:rPr>
        <w:t>",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F1A54" w:rsidP="009260DE">
      <w:pPr>
        <w:tabs>
          <w:tab w:val="left" w:pos="851"/>
        </w:tabs>
        <w:ind w:left="851"/>
        <w:rPr>
          <w:sz w:val="24"/>
          <w:szCs w:val="24"/>
        </w:rPr>
      </w:pPr>
      <w:r>
        <w:rPr>
          <w:sz w:val="24"/>
          <w:szCs w:val="24"/>
        </w:rPr>
        <w:t>31361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F1A54" w:rsidP="009260DE">
      <w:pPr>
        <w:tabs>
          <w:tab w:val="left" w:pos="851"/>
        </w:tabs>
        <w:ind w:left="851"/>
        <w:rPr>
          <w:sz w:val="24"/>
          <w:szCs w:val="24"/>
        </w:rPr>
      </w:pPr>
      <w:proofErr w:type="spellStart"/>
      <w:r>
        <w:rPr>
          <w:sz w:val="24"/>
          <w:szCs w:val="24"/>
        </w:rPr>
        <w:t>Tolvaptan</w:t>
      </w:r>
      <w:proofErr w:type="spellEnd"/>
      <w:r>
        <w:rPr>
          <w:sz w:val="24"/>
          <w:szCs w:val="24"/>
        </w:rPr>
        <w:t xml:space="preserve"> "</w:t>
      </w:r>
      <w:proofErr w:type="spellStart"/>
      <w:r>
        <w:rPr>
          <w:sz w:val="24"/>
          <w:szCs w:val="24"/>
        </w:rPr>
        <w:t>Teva</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15967" w:rsidRDefault="00015967" w:rsidP="00015967">
      <w:pPr>
        <w:pStyle w:val="Default"/>
        <w:ind w:left="851"/>
      </w:pPr>
      <w:r>
        <w:t xml:space="preserve">Hver tablet indeholder 15 mg eller 30 mg </w:t>
      </w:r>
      <w:proofErr w:type="spellStart"/>
      <w:r>
        <w:t>tolvaptan</w:t>
      </w:r>
      <w:proofErr w:type="spellEnd"/>
      <w:r>
        <w:t xml:space="preserve">. </w:t>
      </w:r>
    </w:p>
    <w:p w:rsidR="00015967" w:rsidRDefault="00015967" w:rsidP="00015967">
      <w:pPr>
        <w:pStyle w:val="Default"/>
        <w:ind w:left="851"/>
      </w:pPr>
    </w:p>
    <w:p w:rsidR="00015967" w:rsidRDefault="00015967" w:rsidP="00015967">
      <w:pPr>
        <w:pStyle w:val="Default"/>
        <w:ind w:left="851"/>
        <w:rPr>
          <w:u w:val="single"/>
        </w:rPr>
      </w:pPr>
      <w:r>
        <w:rPr>
          <w:iCs/>
          <w:u w:val="single"/>
        </w:rPr>
        <w:t xml:space="preserve">Hjælpestoffer, som behandleren skal være opmærksom på </w:t>
      </w:r>
    </w:p>
    <w:p w:rsidR="00876505" w:rsidRPr="008332B2" w:rsidRDefault="00876505" w:rsidP="00876505">
      <w:pPr>
        <w:pStyle w:val="Default"/>
        <w:ind w:left="851"/>
      </w:pPr>
      <w:r w:rsidRPr="008332B2">
        <w:t xml:space="preserve">Hver 15 mg tablet indeholder ca. 20 mg </w:t>
      </w:r>
      <w:proofErr w:type="spellStart"/>
      <w:r w:rsidRPr="008332B2">
        <w:t>lactose</w:t>
      </w:r>
      <w:proofErr w:type="spellEnd"/>
      <w:r w:rsidRPr="008332B2">
        <w:t xml:space="preserve"> (som monohydrat). </w:t>
      </w:r>
    </w:p>
    <w:p w:rsidR="00876505" w:rsidRPr="008332B2" w:rsidRDefault="00876505" w:rsidP="00876505">
      <w:pPr>
        <w:pStyle w:val="Default"/>
        <w:ind w:left="851"/>
      </w:pPr>
      <w:r w:rsidRPr="008332B2">
        <w:t xml:space="preserve">Hver 30 mg tablet indeholder ca. 41 mg </w:t>
      </w:r>
      <w:proofErr w:type="spellStart"/>
      <w:r w:rsidRPr="008332B2">
        <w:t>lactose</w:t>
      </w:r>
      <w:proofErr w:type="spellEnd"/>
      <w:r w:rsidRPr="008332B2">
        <w:t xml:space="preserve"> (som monohydrat).</w:t>
      </w:r>
    </w:p>
    <w:p w:rsidR="009260DE" w:rsidRDefault="009260DE" w:rsidP="009260DE">
      <w:pPr>
        <w:tabs>
          <w:tab w:val="left" w:pos="851"/>
        </w:tabs>
        <w:ind w:left="851"/>
        <w:rPr>
          <w:sz w:val="24"/>
          <w:szCs w:val="24"/>
        </w:rPr>
      </w:pPr>
    </w:p>
    <w:p w:rsidR="00015967" w:rsidRPr="00015967" w:rsidRDefault="00015967" w:rsidP="00015967">
      <w:pPr>
        <w:tabs>
          <w:tab w:val="left" w:pos="851"/>
        </w:tabs>
        <w:ind w:left="851"/>
        <w:rPr>
          <w:sz w:val="24"/>
          <w:szCs w:val="24"/>
        </w:rPr>
      </w:pPr>
      <w:r w:rsidRPr="00015967">
        <w:rPr>
          <w:sz w:val="24"/>
          <w:szCs w:val="24"/>
        </w:rPr>
        <w:t>Alle hjælpestoffer er anført under pkt. 6.1.</w:t>
      </w:r>
    </w:p>
    <w:p w:rsidR="00015967" w:rsidRPr="00C84483" w:rsidRDefault="00015967"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15967" w:rsidRDefault="00015967" w:rsidP="00015967">
      <w:pPr>
        <w:tabs>
          <w:tab w:val="left" w:pos="851"/>
        </w:tabs>
        <w:ind w:left="851"/>
        <w:rPr>
          <w:sz w:val="24"/>
          <w:szCs w:val="24"/>
          <w:lang w:eastAsia="da-DK"/>
        </w:rPr>
      </w:pPr>
      <w:r>
        <w:rPr>
          <w:szCs w:val="24"/>
        </w:rPr>
        <w:t>Tabletter</w:t>
      </w:r>
    </w:p>
    <w:p w:rsidR="00015967" w:rsidRDefault="00015967" w:rsidP="00015967">
      <w:pPr>
        <w:tabs>
          <w:tab w:val="left" w:pos="851"/>
        </w:tabs>
        <w:ind w:left="851"/>
        <w:rPr>
          <w:szCs w:val="24"/>
        </w:rPr>
      </w:pPr>
    </w:p>
    <w:p w:rsidR="00015967" w:rsidRDefault="00015967" w:rsidP="00015967">
      <w:pPr>
        <w:pStyle w:val="Default"/>
        <w:ind w:left="851"/>
        <w:rPr>
          <w:u w:val="single"/>
        </w:rPr>
      </w:pPr>
      <w:r>
        <w:rPr>
          <w:u w:val="single"/>
        </w:rPr>
        <w:t xml:space="preserve">15 mg tabletter </w:t>
      </w:r>
    </w:p>
    <w:p w:rsidR="00182EAE" w:rsidRDefault="00182EAE" w:rsidP="00182EAE">
      <w:pPr>
        <w:pStyle w:val="Default"/>
        <w:ind w:left="851"/>
      </w:pPr>
      <w:r>
        <w:t xml:space="preserve">Hvid til råhvid, rund tablet uden overfladebehandling, med indhak og delekærv på begge sider. Tabletten er præget med ”A” og ”3” på hver side af delekærven på den ene side. </w:t>
      </w:r>
    </w:p>
    <w:p w:rsidR="00182EAE" w:rsidRDefault="00182EAE" w:rsidP="00182EAE">
      <w:pPr>
        <w:pStyle w:val="Default"/>
        <w:ind w:left="851"/>
      </w:pPr>
      <w:r>
        <w:t xml:space="preserve">Størrelse: ca. 5,50 mm. </w:t>
      </w:r>
    </w:p>
    <w:p w:rsidR="00182EAE" w:rsidRDefault="00182EAE" w:rsidP="00182EAE">
      <w:pPr>
        <w:pStyle w:val="Default"/>
        <w:ind w:left="851"/>
      </w:pPr>
      <w:r>
        <w:t>Tabletten kan deles i to lige store doser.</w:t>
      </w:r>
    </w:p>
    <w:p w:rsidR="00015967" w:rsidRDefault="00015967" w:rsidP="00015967">
      <w:pPr>
        <w:pStyle w:val="Default"/>
        <w:ind w:left="851"/>
      </w:pPr>
    </w:p>
    <w:p w:rsidR="00015967" w:rsidRDefault="00015967" w:rsidP="00015967">
      <w:pPr>
        <w:pStyle w:val="Default"/>
        <w:ind w:left="851"/>
        <w:rPr>
          <w:u w:val="single"/>
        </w:rPr>
      </w:pPr>
      <w:r>
        <w:rPr>
          <w:u w:val="single"/>
        </w:rPr>
        <w:t xml:space="preserve">30 mg tabletter </w:t>
      </w:r>
    </w:p>
    <w:p w:rsidR="00015967" w:rsidRDefault="00015967" w:rsidP="00015967">
      <w:pPr>
        <w:pStyle w:val="Default"/>
        <w:ind w:left="851"/>
      </w:pPr>
      <w:r>
        <w:t>Hvid til råhvid</w:t>
      </w:r>
      <w:r w:rsidR="00152D88">
        <w:t>,</w:t>
      </w:r>
      <w:r>
        <w:t xml:space="preserve"> rund tablet uden overfladebehandling, præget med ”T5” på den ene side og uden prægning på den anden side, størrelse ca. 6,80 mm.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52D88" w:rsidRPr="00152D88" w:rsidRDefault="00152D88" w:rsidP="00152D88">
      <w:pPr>
        <w:tabs>
          <w:tab w:val="left" w:pos="851"/>
        </w:tabs>
        <w:ind w:left="851"/>
        <w:rPr>
          <w:sz w:val="24"/>
          <w:szCs w:val="24"/>
        </w:rPr>
      </w:pPr>
      <w:proofErr w:type="spellStart"/>
      <w:r w:rsidRPr="00152D88">
        <w:rPr>
          <w:sz w:val="24"/>
          <w:szCs w:val="24"/>
        </w:rPr>
        <w:t>Tolvaptan</w:t>
      </w:r>
      <w:proofErr w:type="spellEnd"/>
      <w:r w:rsidRPr="00152D88">
        <w:rPr>
          <w:sz w:val="24"/>
          <w:szCs w:val="24"/>
        </w:rPr>
        <w:t xml:space="preserve"> "</w:t>
      </w:r>
      <w:proofErr w:type="spellStart"/>
      <w:r w:rsidRPr="00152D88">
        <w:rPr>
          <w:sz w:val="24"/>
          <w:szCs w:val="24"/>
        </w:rPr>
        <w:t>Teva</w:t>
      </w:r>
      <w:proofErr w:type="spellEnd"/>
      <w:r w:rsidRPr="00152D88">
        <w:rPr>
          <w:sz w:val="24"/>
          <w:szCs w:val="24"/>
        </w:rPr>
        <w:t xml:space="preserve">" er indiceret til behandling af voksne patienter med </w:t>
      </w:r>
      <w:proofErr w:type="spellStart"/>
      <w:r w:rsidRPr="00152D88">
        <w:rPr>
          <w:sz w:val="24"/>
          <w:szCs w:val="24"/>
        </w:rPr>
        <w:t>hyponatriæmi</w:t>
      </w:r>
      <w:proofErr w:type="spellEnd"/>
      <w:r w:rsidRPr="00152D88">
        <w:rPr>
          <w:sz w:val="24"/>
          <w:szCs w:val="24"/>
        </w:rPr>
        <w:t xml:space="preserve"> sekundært til SIADH (</w:t>
      </w:r>
      <w:proofErr w:type="spellStart"/>
      <w:r w:rsidRPr="00152D88">
        <w:rPr>
          <w:i/>
          <w:iCs/>
          <w:sz w:val="24"/>
          <w:szCs w:val="24"/>
        </w:rPr>
        <w:t>syndrome</w:t>
      </w:r>
      <w:proofErr w:type="spellEnd"/>
      <w:r w:rsidRPr="00152D88">
        <w:rPr>
          <w:i/>
          <w:iCs/>
          <w:sz w:val="24"/>
          <w:szCs w:val="24"/>
        </w:rPr>
        <w:t xml:space="preserve"> of </w:t>
      </w:r>
      <w:proofErr w:type="spellStart"/>
      <w:r w:rsidRPr="00152D88">
        <w:rPr>
          <w:i/>
          <w:iCs/>
          <w:sz w:val="24"/>
          <w:szCs w:val="24"/>
        </w:rPr>
        <w:t>inappropriate</w:t>
      </w:r>
      <w:proofErr w:type="spellEnd"/>
      <w:r w:rsidRPr="00152D88">
        <w:rPr>
          <w:i/>
          <w:iCs/>
          <w:sz w:val="24"/>
          <w:szCs w:val="24"/>
        </w:rPr>
        <w:t xml:space="preserve"> </w:t>
      </w:r>
      <w:proofErr w:type="spellStart"/>
      <w:r w:rsidRPr="00152D88">
        <w:rPr>
          <w:i/>
          <w:iCs/>
          <w:sz w:val="24"/>
          <w:szCs w:val="24"/>
        </w:rPr>
        <w:t>antidiuretic</w:t>
      </w:r>
      <w:proofErr w:type="spellEnd"/>
      <w:r w:rsidRPr="00152D88">
        <w:rPr>
          <w:i/>
          <w:iCs/>
          <w:sz w:val="24"/>
          <w:szCs w:val="24"/>
        </w:rPr>
        <w:t xml:space="preserve"> </w:t>
      </w:r>
      <w:proofErr w:type="spellStart"/>
      <w:r w:rsidRPr="00152D88">
        <w:rPr>
          <w:i/>
          <w:iCs/>
          <w:sz w:val="24"/>
          <w:szCs w:val="24"/>
        </w:rPr>
        <w:t>hormone</w:t>
      </w:r>
      <w:proofErr w:type="spellEnd"/>
      <w:r w:rsidRPr="00152D88">
        <w:rPr>
          <w:i/>
          <w:iCs/>
          <w:sz w:val="24"/>
          <w:szCs w:val="24"/>
        </w:rPr>
        <w:t xml:space="preserve"> </w:t>
      </w:r>
      <w:proofErr w:type="spellStart"/>
      <w:r w:rsidRPr="00152D88">
        <w:rPr>
          <w:i/>
          <w:iCs/>
          <w:sz w:val="24"/>
          <w:szCs w:val="24"/>
        </w:rPr>
        <w:t>secretion</w:t>
      </w:r>
      <w:proofErr w:type="spellEnd"/>
      <w:r w:rsidRPr="00152D88">
        <w:rPr>
          <w:sz w:val="24"/>
          <w:szCs w:val="24"/>
        </w:rPr>
        <w:t>).</w:t>
      </w:r>
    </w:p>
    <w:p w:rsidR="00152D88" w:rsidRDefault="00152D88">
      <w:pPr>
        <w:rPr>
          <w:sz w:val="24"/>
          <w:szCs w:val="24"/>
        </w:rPr>
      </w:pPr>
      <w:r>
        <w:rPr>
          <w:sz w:val="24"/>
          <w:szCs w:val="24"/>
        </w:rPr>
        <w:br w:type="page"/>
      </w:r>
    </w:p>
    <w:p w:rsidR="00152D88" w:rsidRPr="00152D88" w:rsidRDefault="00152D88" w:rsidP="00152D8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182EAE" w:rsidRPr="00BA4587">
        <w:rPr>
          <w:b/>
          <w:sz w:val="24"/>
          <w:szCs w:val="24"/>
        </w:rPr>
        <w:t>Dosering og administration</w:t>
      </w:r>
      <w:bookmarkEnd w:id="1"/>
    </w:p>
    <w:p w:rsidR="00152D88" w:rsidRPr="00152D88" w:rsidRDefault="00152D88" w:rsidP="00152D88">
      <w:pPr>
        <w:tabs>
          <w:tab w:val="left" w:pos="851"/>
        </w:tabs>
        <w:ind w:left="851"/>
        <w:rPr>
          <w:sz w:val="24"/>
          <w:szCs w:val="24"/>
        </w:rPr>
      </w:pPr>
      <w:r w:rsidRPr="00152D88">
        <w:rPr>
          <w:sz w:val="24"/>
          <w:szCs w:val="24"/>
        </w:rPr>
        <w:t xml:space="preserve">Behandling med </w:t>
      </w:r>
      <w:proofErr w:type="spellStart"/>
      <w:r w:rsidRPr="00152D88">
        <w:rPr>
          <w:sz w:val="24"/>
          <w:szCs w:val="24"/>
        </w:rPr>
        <w:t>Tolvaptan</w:t>
      </w:r>
      <w:proofErr w:type="spellEnd"/>
      <w:r w:rsidRPr="00152D88">
        <w:rPr>
          <w:sz w:val="24"/>
          <w:szCs w:val="24"/>
        </w:rPr>
        <w:t xml:space="preserve"> "</w:t>
      </w:r>
      <w:proofErr w:type="spellStart"/>
      <w:r w:rsidRPr="00152D88">
        <w:rPr>
          <w:sz w:val="24"/>
          <w:szCs w:val="24"/>
        </w:rPr>
        <w:t>Teva</w:t>
      </w:r>
      <w:proofErr w:type="spellEnd"/>
      <w:r w:rsidRPr="00152D88">
        <w:rPr>
          <w:sz w:val="24"/>
          <w:szCs w:val="24"/>
        </w:rPr>
        <w:t xml:space="preserve">" skal indledes på et hospital på grund af behov for en titreringsfase med nøje kontrol af serumnatrium og volumenstatus (se pkt. 4.4). </w:t>
      </w:r>
    </w:p>
    <w:p w:rsidR="00152D88" w:rsidRPr="00152D88" w:rsidRDefault="00152D88" w:rsidP="00152D88">
      <w:pPr>
        <w:tabs>
          <w:tab w:val="left" w:pos="851"/>
        </w:tabs>
        <w:ind w:left="851"/>
        <w:rPr>
          <w:sz w:val="24"/>
          <w:szCs w:val="24"/>
        </w:rPr>
      </w:pPr>
    </w:p>
    <w:p w:rsidR="00152D88" w:rsidRPr="00152D88" w:rsidRDefault="00152D88" w:rsidP="00152D88">
      <w:pPr>
        <w:tabs>
          <w:tab w:val="left" w:pos="851"/>
        </w:tabs>
        <w:ind w:left="851"/>
        <w:rPr>
          <w:b/>
          <w:sz w:val="24"/>
          <w:szCs w:val="24"/>
        </w:rPr>
      </w:pPr>
      <w:r w:rsidRPr="00152D88">
        <w:rPr>
          <w:b/>
          <w:sz w:val="24"/>
          <w:szCs w:val="24"/>
        </w:rPr>
        <w:t>Dosering</w:t>
      </w:r>
    </w:p>
    <w:p w:rsidR="00152D88" w:rsidRPr="00152D88" w:rsidRDefault="00152D88" w:rsidP="00152D88">
      <w:pPr>
        <w:tabs>
          <w:tab w:val="left" w:pos="851"/>
        </w:tabs>
        <w:ind w:left="851"/>
        <w:rPr>
          <w:sz w:val="24"/>
          <w:szCs w:val="24"/>
        </w:rPr>
      </w:pPr>
      <w:proofErr w:type="spellStart"/>
      <w:r w:rsidRPr="00152D88">
        <w:rPr>
          <w:sz w:val="24"/>
          <w:szCs w:val="24"/>
        </w:rPr>
        <w:t>Tolvaptan</w:t>
      </w:r>
      <w:proofErr w:type="spellEnd"/>
      <w:r w:rsidRPr="00152D88">
        <w:rPr>
          <w:sz w:val="24"/>
          <w:szCs w:val="24"/>
        </w:rPr>
        <w:t xml:space="preserve"> skal indledes med en dosis på 15 mg en gang </w:t>
      </w:r>
      <w:r w:rsidR="00A505CB">
        <w:rPr>
          <w:sz w:val="24"/>
          <w:szCs w:val="24"/>
        </w:rPr>
        <w:t>daglig</w:t>
      </w:r>
      <w:r w:rsidRPr="00152D88">
        <w:rPr>
          <w:sz w:val="24"/>
          <w:szCs w:val="24"/>
        </w:rPr>
        <w:t xml:space="preserve">. Dosis kan øges til maksimalt 60 mg en gang </w:t>
      </w:r>
      <w:r w:rsidR="00A505CB">
        <w:rPr>
          <w:sz w:val="24"/>
          <w:szCs w:val="24"/>
        </w:rPr>
        <w:t>daglig</w:t>
      </w:r>
      <w:r w:rsidRPr="00152D88">
        <w:rPr>
          <w:sz w:val="24"/>
          <w:szCs w:val="24"/>
        </w:rPr>
        <w:t xml:space="preserve"> afhængigt af tolerance for at opnå det ønskede indhold af serumnatrium.</w:t>
      </w:r>
    </w:p>
    <w:p w:rsidR="00152D88" w:rsidRPr="00152D88" w:rsidRDefault="00152D88" w:rsidP="00152D88">
      <w:pPr>
        <w:tabs>
          <w:tab w:val="left" w:pos="851"/>
        </w:tabs>
        <w:ind w:left="851"/>
        <w:rPr>
          <w:sz w:val="24"/>
          <w:szCs w:val="24"/>
        </w:rPr>
      </w:pPr>
      <w:r w:rsidRPr="00152D88">
        <w:rPr>
          <w:sz w:val="24"/>
          <w:szCs w:val="24"/>
        </w:rPr>
        <w:t xml:space="preserve"> </w:t>
      </w:r>
    </w:p>
    <w:p w:rsidR="00152D88" w:rsidRPr="00152D88" w:rsidRDefault="00152D88" w:rsidP="00152D88">
      <w:pPr>
        <w:tabs>
          <w:tab w:val="left" w:pos="851"/>
        </w:tabs>
        <w:ind w:left="851"/>
        <w:rPr>
          <w:sz w:val="24"/>
          <w:szCs w:val="24"/>
        </w:rPr>
      </w:pPr>
      <w:r w:rsidRPr="00152D88">
        <w:rPr>
          <w:sz w:val="24"/>
          <w:szCs w:val="24"/>
        </w:rPr>
        <w:t xml:space="preserve">Hos patienter med risiko for meget hurtig korrektion af natrium, f.eks. patienter med onkologiske tilstande, patienter med en meget lav </w:t>
      </w:r>
      <w:r w:rsidRPr="00152D88">
        <w:rPr>
          <w:i/>
          <w:iCs/>
          <w:sz w:val="24"/>
          <w:szCs w:val="24"/>
        </w:rPr>
        <w:t>baseline</w:t>
      </w:r>
      <w:r w:rsidRPr="00152D88">
        <w:rPr>
          <w:sz w:val="24"/>
          <w:szCs w:val="24"/>
        </w:rPr>
        <w:t xml:space="preserve">-værdi af serumnatrium, patienter som tager </w:t>
      </w:r>
      <w:proofErr w:type="spellStart"/>
      <w:r w:rsidRPr="00152D88">
        <w:rPr>
          <w:sz w:val="24"/>
          <w:szCs w:val="24"/>
        </w:rPr>
        <w:t>diuretika</w:t>
      </w:r>
      <w:proofErr w:type="spellEnd"/>
      <w:r w:rsidRPr="00152D88">
        <w:rPr>
          <w:sz w:val="24"/>
          <w:szCs w:val="24"/>
        </w:rPr>
        <w:t xml:space="preserve"> eller natriumtilskud, bør en dosis på 7,5 mg overvejes (se pkt. 4.4). </w:t>
      </w:r>
    </w:p>
    <w:p w:rsidR="00152D88" w:rsidRPr="00152D88" w:rsidRDefault="00152D88" w:rsidP="00152D88">
      <w:pPr>
        <w:tabs>
          <w:tab w:val="left" w:pos="851"/>
        </w:tabs>
        <w:ind w:left="851"/>
        <w:rPr>
          <w:sz w:val="24"/>
          <w:szCs w:val="24"/>
        </w:rPr>
      </w:pPr>
    </w:p>
    <w:p w:rsidR="00152D88" w:rsidRPr="00152D88" w:rsidRDefault="00152D88" w:rsidP="00152D88">
      <w:pPr>
        <w:tabs>
          <w:tab w:val="left" w:pos="851"/>
        </w:tabs>
        <w:ind w:left="851"/>
        <w:rPr>
          <w:sz w:val="24"/>
          <w:szCs w:val="24"/>
        </w:rPr>
      </w:pPr>
      <w:r w:rsidRPr="00152D88">
        <w:rPr>
          <w:sz w:val="24"/>
          <w:szCs w:val="24"/>
        </w:rPr>
        <w:t xml:space="preserve">Under titrering skal patientens serumnatrium og volumenstatus kontrolleres (se pkt. 4.4). I tilfælde af utilstrækkelig øgning af serumnatrium skal andre behandlingsformer overvejes, enten i stedet for eller udover </w:t>
      </w:r>
      <w:proofErr w:type="spellStart"/>
      <w:r w:rsidRPr="00152D88">
        <w:rPr>
          <w:sz w:val="24"/>
          <w:szCs w:val="24"/>
        </w:rPr>
        <w:t>tolvaptan</w:t>
      </w:r>
      <w:proofErr w:type="spellEnd"/>
      <w:r w:rsidRPr="00152D88">
        <w:rPr>
          <w:sz w:val="24"/>
          <w:szCs w:val="24"/>
        </w:rPr>
        <w:t xml:space="preserve">. Brug af </w:t>
      </w:r>
      <w:proofErr w:type="spellStart"/>
      <w:r w:rsidRPr="00152D88">
        <w:rPr>
          <w:sz w:val="24"/>
          <w:szCs w:val="24"/>
        </w:rPr>
        <w:t>tolvaptan</w:t>
      </w:r>
      <w:proofErr w:type="spellEnd"/>
      <w:r w:rsidRPr="00152D88">
        <w:rPr>
          <w:sz w:val="24"/>
          <w:szCs w:val="24"/>
        </w:rPr>
        <w:t xml:space="preserve"> i kombination med andre muligheder kan øge risikoen for en for hastig korrektion af serumnatrium (se pkt. 4.4 og 4.5). Hos patienter med passende øgning af serumnatrium skal den underliggende sygdom og serumnatrium kontrolleres jævnligt for at vurdere det videre behov for behandling med </w:t>
      </w:r>
      <w:proofErr w:type="spellStart"/>
      <w:r w:rsidRPr="00152D88">
        <w:rPr>
          <w:sz w:val="24"/>
          <w:szCs w:val="24"/>
        </w:rPr>
        <w:t>tolvaptan</w:t>
      </w:r>
      <w:proofErr w:type="spellEnd"/>
      <w:r w:rsidRPr="00152D88">
        <w:rPr>
          <w:sz w:val="24"/>
          <w:szCs w:val="24"/>
        </w:rPr>
        <w:t xml:space="preserve">. Ved </w:t>
      </w:r>
      <w:proofErr w:type="spellStart"/>
      <w:r w:rsidRPr="00152D88">
        <w:rPr>
          <w:sz w:val="24"/>
          <w:szCs w:val="24"/>
        </w:rPr>
        <w:t>hyponatriæmi</w:t>
      </w:r>
      <w:proofErr w:type="spellEnd"/>
      <w:r w:rsidRPr="00152D88">
        <w:rPr>
          <w:sz w:val="24"/>
          <w:szCs w:val="24"/>
        </w:rPr>
        <w:t xml:space="preserve"> bestemmes behandlingsvarigheden af den underliggende sygdom og behandlingen af denne. Behandling med </w:t>
      </w:r>
      <w:proofErr w:type="spellStart"/>
      <w:r w:rsidRPr="00152D88">
        <w:rPr>
          <w:sz w:val="24"/>
          <w:szCs w:val="24"/>
        </w:rPr>
        <w:t>tolvaptan</w:t>
      </w:r>
      <w:proofErr w:type="spellEnd"/>
      <w:r w:rsidRPr="00152D88">
        <w:rPr>
          <w:sz w:val="24"/>
          <w:szCs w:val="24"/>
        </w:rPr>
        <w:t xml:space="preserve"> forventes at vare, indtil den underliggende sygdom er tilstrækkeligt behandlet, eller indtil </w:t>
      </w:r>
      <w:proofErr w:type="spellStart"/>
      <w:r w:rsidRPr="00152D88">
        <w:rPr>
          <w:sz w:val="24"/>
          <w:szCs w:val="24"/>
        </w:rPr>
        <w:t>hyponatriæmien</w:t>
      </w:r>
      <w:proofErr w:type="spellEnd"/>
      <w:r w:rsidRPr="00152D88">
        <w:rPr>
          <w:sz w:val="24"/>
          <w:szCs w:val="24"/>
        </w:rPr>
        <w:t xml:space="preserve"> ikke længere er et klinisk problem. </w:t>
      </w:r>
      <w:proofErr w:type="spellStart"/>
      <w:r w:rsidRPr="00152D88">
        <w:rPr>
          <w:sz w:val="24"/>
          <w:szCs w:val="24"/>
        </w:rPr>
        <w:t>Tolvaptan</w:t>
      </w:r>
      <w:proofErr w:type="spellEnd"/>
      <w:r w:rsidRPr="00152D88">
        <w:rPr>
          <w:sz w:val="24"/>
          <w:szCs w:val="24"/>
        </w:rPr>
        <w:t xml:space="preserve"> "</w:t>
      </w:r>
      <w:proofErr w:type="spellStart"/>
      <w:r w:rsidRPr="00152D88">
        <w:rPr>
          <w:sz w:val="24"/>
          <w:szCs w:val="24"/>
        </w:rPr>
        <w:t>Teva</w:t>
      </w:r>
      <w:proofErr w:type="spellEnd"/>
      <w:r w:rsidRPr="00152D88">
        <w:rPr>
          <w:sz w:val="24"/>
          <w:szCs w:val="24"/>
        </w:rPr>
        <w:t>" må ikke tages med grapefrugtjuice (se pkt. 4.5).</w:t>
      </w:r>
    </w:p>
    <w:p w:rsidR="00152D88" w:rsidRPr="00152D88" w:rsidRDefault="00152D88" w:rsidP="00152D88">
      <w:pPr>
        <w:tabs>
          <w:tab w:val="left" w:pos="851"/>
        </w:tabs>
        <w:ind w:left="851"/>
        <w:rPr>
          <w:sz w:val="24"/>
          <w:szCs w:val="24"/>
        </w:rPr>
      </w:pPr>
      <w:r w:rsidRPr="00152D88">
        <w:rPr>
          <w:sz w:val="24"/>
          <w:szCs w:val="24"/>
        </w:rPr>
        <w:t xml:space="preserve"> </w:t>
      </w:r>
    </w:p>
    <w:p w:rsidR="00152D88" w:rsidRPr="00152D88" w:rsidRDefault="00152D88" w:rsidP="00152D88">
      <w:pPr>
        <w:tabs>
          <w:tab w:val="left" w:pos="851"/>
        </w:tabs>
        <w:ind w:left="851"/>
        <w:rPr>
          <w:sz w:val="24"/>
          <w:szCs w:val="24"/>
          <w:u w:val="single"/>
        </w:rPr>
      </w:pPr>
      <w:r w:rsidRPr="00152D88">
        <w:rPr>
          <w:sz w:val="24"/>
          <w:szCs w:val="24"/>
          <w:u w:val="single"/>
        </w:rPr>
        <w:t xml:space="preserve">Særlige populationer </w:t>
      </w:r>
    </w:p>
    <w:p w:rsidR="00152D88" w:rsidRPr="00152D88" w:rsidRDefault="00152D88" w:rsidP="00152D88">
      <w:pPr>
        <w:tabs>
          <w:tab w:val="left" w:pos="851"/>
        </w:tabs>
        <w:ind w:left="851"/>
        <w:rPr>
          <w:i/>
          <w:iCs/>
          <w:sz w:val="24"/>
          <w:szCs w:val="24"/>
        </w:rPr>
      </w:pPr>
    </w:p>
    <w:p w:rsidR="00152D88" w:rsidRPr="00152D88" w:rsidRDefault="00152D88" w:rsidP="00152D88">
      <w:pPr>
        <w:tabs>
          <w:tab w:val="left" w:pos="851"/>
        </w:tabs>
        <w:ind w:left="851"/>
        <w:rPr>
          <w:sz w:val="24"/>
          <w:szCs w:val="24"/>
        </w:rPr>
      </w:pPr>
      <w:r w:rsidRPr="00152D88">
        <w:rPr>
          <w:i/>
          <w:iCs/>
          <w:sz w:val="24"/>
          <w:szCs w:val="24"/>
        </w:rPr>
        <w:t xml:space="preserve">Nedsat nyrefunktion </w:t>
      </w:r>
    </w:p>
    <w:p w:rsidR="00152D88" w:rsidRPr="00152D88" w:rsidRDefault="00152D88" w:rsidP="00152D88">
      <w:pPr>
        <w:tabs>
          <w:tab w:val="left" w:pos="851"/>
        </w:tabs>
        <w:ind w:left="851"/>
        <w:rPr>
          <w:sz w:val="24"/>
          <w:szCs w:val="24"/>
        </w:rPr>
      </w:pPr>
      <w:proofErr w:type="spellStart"/>
      <w:r w:rsidRPr="00152D88">
        <w:rPr>
          <w:sz w:val="24"/>
          <w:szCs w:val="24"/>
        </w:rPr>
        <w:t>Tolvaptan</w:t>
      </w:r>
      <w:proofErr w:type="spellEnd"/>
      <w:r w:rsidRPr="00152D88">
        <w:rPr>
          <w:sz w:val="24"/>
          <w:szCs w:val="24"/>
        </w:rPr>
        <w:t xml:space="preserve"> er kontraindiceret til patienter med </w:t>
      </w:r>
      <w:proofErr w:type="spellStart"/>
      <w:r w:rsidRPr="00152D88">
        <w:rPr>
          <w:sz w:val="24"/>
          <w:szCs w:val="24"/>
        </w:rPr>
        <w:t>anuri</w:t>
      </w:r>
      <w:proofErr w:type="spellEnd"/>
      <w:r w:rsidRPr="00152D88">
        <w:rPr>
          <w:sz w:val="24"/>
          <w:szCs w:val="24"/>
        </w:rPr>
        <w:t xml:space="preserve"> (se pkt. 4.3). </w:t>
      </w:r>
    </w:p>
    <w:p w:rsidR="00152D88" w:rsidRPr="00152D88" w:rsidRDefault="00152D88" w:rsidP="00152D88">
      <w:pPr>
        <w:tabs>
          <w:tab w:val="left" w:pos="851"/>
        </w:tabs>
        <w:ind w:left="851"/>
        <w:rPr>
          <w:sz w:val="24"/>
          <w:szCs w:val="24"/>
        </w:rPr>
      </w:pPr>
      <w:proofErr w:type="spellStart"/>
      <w:r w:rsidRPr="00152D88">
        <w:rPr>
          <w:sz w:val="24"/>
          <w:szCs w:val="24"/>
        </w:rPr>
        <w:t>Tolvaptan</w:t>
      </w:r>
      <w:proofErr w:type="spellEnd"/>
      <w:r w:rsidRPr="00152D88">
        <w:rPr>
          <w:sz w:val="24"/>
          <w:szCs w:val="24"/>
        </w:rPr>
        <w:t xml:space="preserve"> er ikke undersøgt hos patienter med alvorligt nedsat nyrefunktion. Effekten og sikkerheden hos denne population er ikke kendt. </w:t>
      </w:r>
    </w:p>
    <w:p w:rsidR="00152D88" w:rsidRPr="00152D88" w:rsidRDefault="00152D88" w:rsidP="00152D88">
      <w:pPr>
        <w:tabs>
          <w:tab w:val="left" w:pos="851"/>
        </w:tabs>
        <w:ind w:left="851"/>
        <w:rPr>
          <w:sz w:val="24"/>
          <w:szCs w:val="24"/>
        </w:rPr>
      </w:pPr>
      <w:r w:rsidRPr="00152D88">
        <w:rPr>
          <w:sz w:val="24"/>
          <w:szCs w:val="24"/>
        </w:rPr>
        <w:t xml:space="preserve">Baseret på de tilgængelige data er dosisjustering ikke nødvendig hos patienter med let til moderat nedsat nyrefunktion. </w:t>
      </w:r>
    </w:p>
    <w:p w:rsidR="00152D88" w:rsidRPr="00152D88" w:rsidRDefault="00152D88" w:rsidP="00152D88">
      <w:pPr>
        <w:tabs>
          <w:tab w:val="left" w:pos="851"/>
        </w:tabs>
        <w:ind w:left="851"/>
        <w:rPr>
          <w:i/>
          <w:iCs/>
          <w:sz w:val="24"/>
          <w:szCs w:val="24"/>
        </w:rPr>
      </w:pPr>
    </w:p>
    <w:p w:rsidR="00152D88" w:rsidRPr="00152D88" w:rsidRDefault="00152D88" w:rsidP="00152D88">
      <w:pPr>
        <w:tabs>
          <w:tab w:val="left" w:pos="851"/>
        </w:tabs>
        <w:ind w:left="851"/>
        <w:rPr>
          <w:sz w:val="24"/>
          <w:szCs w:val="24"/>
        </w:rPr>
      </w:pPr>
      <w:r w:rsidRPr="00152D88">
        <w:rPr>
          <w:i/>
          <w:iCs/>
          <w:sz w:val="24"/>
          <w:szCs w:val="24"/>
        </w:rPr>
        <w:t xml:space="preserve">Nedsat leverfunktion </w:t>
      </w:r>
    </w:p>
    <w:p w:rsidR="00152D88" w:rsidRPr="00152D88" w:rsidRDefault="00152D88" w:rsidP="00152D88">
      <w:pPr>
        <w:tabs>
          <w:tab w:val="left" w:pos="851"/>
        </w:tabs>
        <w:ind w:left="851"/>
        <w:rPr>
          <w:sz w:val="24"/>
          <w:szCs w:val="24"/>
        </w:rPr>
      </w:pPr>
      <w:r w:rsidRPr="00152D88">
        <w:rPr>
          <w:sz w:val="24"/>
          <w:szCs w:val="24"/>
        </w:rPr>
        <w:t>Der er ingen oplysninger vedrørende patienter med alvorligt nedsat leverfunktion (Child-</w:t>
      </w:r>
      <w:proofErr w:type="spellStart"/>
      <w:r w:rsidRPr="00152D88">
        <w:rPr>
          <w:sz w:val="24"/>
          <w:szCs w:val="24"/>
        </w:rPr>
        <w:t>Pugh</w:t>
      </w:r>
      <w:proofErr w:type="spellEnd"/>
      <w:r w:rsidRPr="00152D88">
        <w:rPr>
          <w:sz w:val="24"/>
          <w:szCs w:val="24"/>
        </w:rPr>
        <w:t xml:space="preserve"> klasse C). Der skal udvises forsigtighed ved bestemmelse af dosis til disse patienter, og elektrolytbalance og volumenstatus skal kontrolleres (se pkt. 4.4). Dosisjustering er ikke nødvendig hos patienter med let eller moderat nedsat leverfunktion (Child-</w:t>
      </w:r>
      <w:proofErr w:type="spellStart"/>
      <w:r w:rsidRPr="00152D88">
        <w:rPr>
          <w:sz w:val="24"/>
          <w:szCs w:val="24"/>
        </w:rPr>
        <w:t>Pugh</w:t>
      </w:r>
      <w:proofErr w:type="spellEnd"/>
      <w:r w:rsidRPr="00152D88">
        <w:rPr>
          <w:sz w:val="24"/>
          <w:szCs w:val="24"/>
        </w:rPr>
        <w:t xml:space="preserve"> klasse A og B). </w:t>
      </w:r>
    </w:p>
    <w:p w:rsidR="00152D88" w:rsidRPr="00152D88" w:rsidRDefault="00152D88" w:rsidP="00152D88">
      <w:pPr>
        <w:tabs>
          <w:tab w:val="left" w:pos="851"/>
        </w:tabs>
        <w:ind w:left="851"/>
        <w:rPr>
          <w:i/>
          <w:iCs/>
          <w:sz w:val="24"/>
          <w:szCs w:val="24"/>
        </w:rPr>
      </w:pPr>
    </w:p>
    <w:p w:rsidR="00152D88" w:rsidRPr="00152D88" w:rsidRDefault="00152D88" w:rsidP="00152D88">
      <w:pPr>
        <w:tabs>
          <w:tab w:val="left" w:pos="851"/>
        </w:tabs>
        <w:ind w:left="851"/>
        <w:rPr>
          <w:sz w:val="24"/>
          <w:szCs w:val="24"/>
        </w:rPr>
      </w:pPr>
      <w:r w:rsidRPr="00152D88">
        <w:rPr>
          <w:i/>
          <w:iCs/>
          <w:sz w:val="24"/>
          <w:szCs w:val="24"/>
        </w:rPr>
        <w:t xml:space="preserve">Ældre patienter </w:t>
      </w:r>
    </w:p>
    <w:p w:rsidR="00152D88" w:rsidRPr="00152D88" w:rsidRDefault="00152D88" w:rsidP="00152D88">
      <w:pPr>
        <w:tabs>
          <w:tab w:val="left" w:pos="851"/>
        </w:tabs>
        <w:ind w:left="851"/>
        <w:rPr>
          <w:sz w:val="24"/>
          <w:szCs w:val="24"/>
        </w:rPr>
      </w:pPr>
      <w:r w:rsidRPr="00152D88">
        <w:rPr>
          <w:sz w:val="24"/>
          <w:szCs w:val="24"/>
        </w:rPr>
        <w:t xml:space="preserve">Dosisjustering er ikke nødvendig hos ældre patienter. </w:t>
      </w:r>
    </w:p>
    <w:p w:rsidR="00152D88" w:rsidRPr="00152D88" w:rsidRDefault="00152D88" w:rsidP="00152D88">
      <w:pPr>
        <w:tabs>
          <w:tab w:val="left" w:pos="851"/>
        </w:tabs>
        <w:ind w:left="851"/>
        <w:rPr>
          <w:sz w:val="24"/>
          <w:szCs w:val="24"/>
        </w:rPr>
      </w:pPr>
    </w:p>
    <w:p w:rsidR="00152D88" w:rsidRPr="00152D88" w:rsidRDefault="00152D88" w:rsidP="00152D88">
      <w:pPr>
        <w:tabs>
          <w:tab w:val="left" w:pos="851"/>
        </w:tabs>
        <w:ind w:left="851"/>
        <w:rPr>
          <w:sz w:val="24"/>
          <w:szCs w:val="24"/>
        </w:rPr>
      </w:pPr>
      <w:r w:rsidRPr="00152D88">
        <w:rPr>
          <w:i/>
          <w:iCs/>
          <w:sz w:val="24"/>
          <w:szCs w:val="24"/>
        </w:rPr>
        <w:t xml:space="preserve">Pædiatrisk population </w:t>
      </w:r>
    </w:p>
    <w:p w:rsidR="00152D88" w:rsidRPr="00152D88" w:rsidRDefault="00152D88" w:rsidP="00152D88">
      <w:pPr>
        <w:tabs>
          <w:tab w:val="left" w:pos="851"/>
        </w:tabs>
        <w:ind w:left="851"/>
        <w:rPr>
          <w:sz w:val="24"/>
          <w:szCs w:val="24"/>
        </w:rPr>
      </w:pPr>
      <w:proofErr w:type="spellStart"/>
      <w:r w:rsidRPr="00152D88">
        <w:rPr>
          <w:sz w:val="24"/>
          <w:szCs w:val="24"/>
        </w:rPr>
        <w:t>Tolvaptans</w:t>
      </w:r>
      <w:proofErr w:type="spellEnd"/>
      <w:r w:rsidRPr="00152D88">
        <w:rPr>
          <w:sz w:val="24"/>
          <w:szCs w:val="24"/>
        </w:rPr>
        <w:t xml:space="preserve"> sikkerhed og virkning hos børn og unge under 18 år er endnu ikke klarlagt. Det frarådes at anvende </w:t>
      </w:r>
      <w:proofErr w:type="spellStart"/>
      <w:r w:rsidRPr="00152D88">
        <w:rPr>
          <w:sz w:val="24"/>
          <w:szCs w:val="24"/>
        </w:rPr>
        <w:t>Tolvaptan</w:t>
      </w:r>
      <w:proofErr w:type="spellEnd"/>
      <w:r w:rsidRPr="00152D88">
        <w:rPr>
          <w:sz w:val="24"/>
          <w:szCs w:val="24"/>
        </w:rPr>
        <w:t xml:space="preserve"> "</w:t>
      </w:r>
      <w:proofErr w:type="spellStart"/>
      <w:r w:rsidRPr="00152D88">
        <w:rPr>
          <w:sz w:val="24"/>
          <w:szCs w:val="24"/>
        </w:rPr>
        <w:t>Teva</w:t>
      </w:r>
      <w:proofErr w:type="spellEnd"/>
      <w:r w:rsidRPr="00152D88">
        <w:rPr>
          <w:sz w:val="24"/>
          <w:szCs w:val="24"/>
        </w:rPr>
        <w:t xml:space="preserve">" til den pædiatriske population. </w:t>
      </w:r>
    </w:p>
    <w:p w:rsidR="00152D88" w:rsidRPr="00152D88" w:rsidRDefault="00152D88" w:rsidP="00152D88">
      <w:pPr>
        <w:tabs>
          <w:tab w:val="left" w:pos="851"/>
        </w:tabs>
        <w:ind w:left="851"/>
        <w:rPr>
          <w:sz w:val="24"/>
          <w:szCs w:val="24"/>
          <w:u w:val="single"/>
        </w:rPr>
      </w:pPr>
    </w:p>
    <w:p w:rsidR="00152D88" w:rsidRPr="00CE3D3A" w:rsidRDefault="00152D88" w:rsidP="00152D88">
      <w:pPr>
        <w:tabs>
          <w:tab w:val="left" w:pos="851"/>
        </w:tabs>
        <w:ind w:left="851"/>
        <w:rPr>
          <w:b/>
          <w:sz w:val="24"/>
          <w:szCs w:val="24"/>
        </w:rPr>
      </w:pPr>
      <w:r w:rsidRPr="00CE3D3A">
        <w:rPr>
          <w:b/>
          <w:sz w:val="24"/>
          <w:szCs w:val="24"/>
        </w:rPr>
        <w:t xml:space="preserve">Administration </w:t>
      </w:r>
    </w:p>
    <w:p w:rsidR="00152D88" w:rsidRPr="00152D88" w:rsidRDefault="00152D88" w:rsidP="00152D88">
      <w:pPr>
        <w:tabs>
          <w:tab w:val="left" w:pos="851"/>
        </w:tabs>
        <w:ind w:left="851"/>
        <w:rPr>
          <w:sz w:val="24"/>
          <w:szCs w:val="24"/>
        </w:rPr>
      </w:pPr>
      <w:r w:rsidRPr="00152D88">
        <w:rPr>
          <w:sz w:val="24"/>
          <w:szCs w:val="24"/>
        </w:rPr>
        <w:t xml:space="preserve">Oral anvendelse. </w:t>
      </w:r>
    </w:p>
    <w:p w:rsidR="00152D88" w:rsidRPr="00152D88" w:rsidRDefault="00152D88" w:rsidP="00152D88">
      <w:pPr>
        <w:tabs>
          <w:tab w:val="left" w:pos="851"/>
        </w:tabs>
        <w:ind w:left="851"/>
        <w:rPr>
          <w:sz w:val="24"/>
          <w:szCs w:val="24"/>
        </w:rPr>
      </w:pPr>
    </w:p>
    <w:p w:rsidR="00152D88" w:rsidRPr="00152D88" w:rsidRDefault="00152D88" w:rsidP="00152D88">
      <w:pPr>
        <w:tabs>
          <w:tab w:val="left" w:pos="851"/>
        </w:tabs>
        <w:ind w:left="851"/>
        <w:rPr>
          <w:sz w:val="24"/>
          <w:szCs w:val="24"/>
        </w:rPr>
      </w:pPr>
      <w:r w:rsidRPr="00152D88">
        <w:rPr>
          <w:sz w:val="24"/>
          <w:szCs w:val="24"/>
        </w:rPr>
        <w:t>Administreres fortrinsvis om morgenen uafhængigt af måltider. Tabletterne skal synkes sammen med et glas vand</w:t>
      </w:r>
      <w:r w:rsidR="00876505">
        <w:rPr>
          <w:sz w:val="24"/>
          <w:szCs w:val="24"/>
        </w:rPr>
        <w:t xml:space="preserve"> uden at tygges</w:t>
      </w:r>
      <w:r w:rsidRPr="00152D88">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CE3D3A" w:rsidRPr="00CE3D3A" w:rsidRDefault="00CE3D3A" w:rsidP="00CE3D3A">
      <w:pPr>
        <w:numPr>
          <w:ilvl w:val="1"/>
          <w:numId w:val="6"/>
        </w:numPr>
        <w:tabs>
          <w:tab w:val="left" w:pos="851"/>
        </w:tabs>
        <w:ind w:left="1134" w:hanging="283"/>
        <w:rPr>
          <w:sz w:val="24"/>
          <w:szCs w:val="24"/>
        </w:rPr>
      </w:pPr>
      <w:r w:rsidRPr="00CE3D3A">
        <w:rPr>
          <w:sz w:val="24"/>
          <w:szCs w:val="24"/>
        </w:rPr>
        <w:t xml:space="preserve">Overfølsomhed over for det aktive stof eller over for et eller flere af hjælpestofferne anført i pkt. 6.1 eller over for </w:t>
      </w:r>
      <w:proofErr w:type="spellStart"/>
      <w:r w:rsidRPr="00CE3D3A">
        <w:rPr>
          <w:sz w:val="24"/>
          <w:szCs w:val="24"/>
        </w:rPr>
        <w:t>benzazepin</w:t>
      </w:r>
      <w:proofErr w:type="spellEnd"/>
      <w:r w:rsidRPr="00CE3D3A">
        <w:rPr>
          <w:sz w:val="24"/>
          <w:szCs w:val="24"/>
        </w:rPr>
        <w:t xml:space="preserve"> eller </w:t>
      </w:r>
      <w:proofErr w:type="spellStart"/>
      <w:r w:rsidRPr="00CE3D3A">
        <w:rPr>
          <w:sz w:val="24"/>
          <w:szCs w:val="24"/>
        </w:rPr>
        <w:t>benzazepinderivater</w:t>
      </w:r>
      <w:proofErr w:type="spellEnd"/>
      <w:r w:rsidRPr="00CE3D3A">
        <w:rPr>
          <w:sz w:val="24"/>
          <w:szCs w:val="24"/>
        </w:rPr>
        <w:t xml:space="preserve"> (se pkt. 4.4)</w:t>
      </w:r>
    </w:p>
    <w:p w:rsidR="00CE3D3A" w:rsidRPr="00CE3D3A" w:rsidRDefault="00CE3D3A" w:rsidP="00CE3D3A">
      <w:pPr>
        <w:numPr>
          <w:ilvl w:val="1"/>
          <w:numId w:val="6"/>
        </w:numPr>
        <w:tabs>
          <w:tab w:val="left" w:pos="851"/>
        </w:tabs>
        <w:ind w:left="1134" w:hanging="283"/>
        <w:rPr>
          <w:sz w:val="24"/>
          <w:szCs w:val="24"/>
        </w:rPr>
      </w:pPr>
      <w:proofErr w:type="spellStart"/>
      <w:r w:rsidRPr="00CE3D3A">
        <w:rPr>
          <w:sz w:val="24"/>
          <w:szCs w:val="24"/>
        </w:rPr>
        <w:t>Anuri</w:t>
      </w:r>
      <w:proofErr w:type="spellEnd"/>
      <w:r w:rsidRPr="00CE3D3A">
        <w:rPr>
          <w:sz w:val="24"/>
          <w:szCs w:val="24"/>
        </w:rPr>
        <w:t xml:space="preserve"> </w:t>
      </w:r>
    </w:p>
    <w:p w:rsidR="00CE3D3A" w:rsidRPr="00CE3D3A" w:rsidRDefault="00CE3D3A" w:rsidP="00CE3D3A">
      <w:pPr>
        <w:numPr>
          <w:ilvl w:val="1"/>
          <w:numId w:val="6"/>
        </w:numPr>
        <w:tabs>
          <w:tab w:val="left" w:pos="851"/>
        </w:tabs>
        <w:ind w:left="1134" w:hanging="283"/>
        <w:rPr>
          <w:sz w:val="24"/>
          <w:szCs w:val="24"/>
        </w:rPr>
      </w:pPr>
      <w:proofErr w:type="spellStart"/>
      <w:r w:rsidRPr="00CE3D3A">
        <w:rPr>
          <w:sz w:val="24"/>
          <w:szCs w:val="24"/>
        </w:rPr>
        <w:t>Volumendepletering</w:t>
      </w:r>
      <w:proofErr w:type="spellEnd"/>
      <w:r w:rsidRPr="00CE3D3A">
        <w:rPr>
          <w:sz w:val="24"/>
          <w:szCs w:val="24"/>
        </w:rPr>
        <w:t xml:space="preserve"> </w:t>
      </w:r>
    </w:p>
    <w:p w:rsidR="00CE3D3A" w:rsidRPr="00CE3D3A" w:rsidRDefault="00CE3D3A" w:rsidP="00CE3D3A">
      <w:pPr>
        <w:numPr>
          <w:ilvl w:val="1"/>
          <w:numId w:val="6"/>
        </w:numPr>
        <w:tabs>
          <w:tab w:val="left" w:pos="851"/>
        </w:tabs>
        <w:ind w:left="1134" w:hanging="283"/>
        <w:rPr>
          <w:sz w:val="24"/>
          <w:szCs w:val="24"/>
        </w:rPr>
      </w:pPr>
      <w:proofErr w:type="spellStart"/>
      <w:r w:rsidRPr="00CE3D3A">
        <w:rPr>
          <w:sz w:val="24"/>
          <w:szCs w:val="24"/>
        </w:rPr>
        <w:t>Hypovolæmisk</w:t>
      </w:r>
      <w:proofErr w:type="spellEnd"/>
      <w:r w:rsidRPr="00CE3D3A">
        <w:rPr>
          <w:sz w:val="24"/>
          <w:szCs w:val="24"/>
        </w:rPr>
        <w:t xml:space="preserve"> </w:t>
      </w:r>
      <w:proofErr w:type="spellStart"/>
      <w:r w:rsidRPr="00CE3D3A">
        <w:rPr>
          <w:sz w:val="24"/>
          <w:szCs w:val="24"/>
        </w:rPr>
        <w:t>hyponatriæmi</w:t>
      </w:r>
      <w:proofErr w:type="spellEnd"/>
      <w:r w:rsidRPr="00CE3D3A">
        <w:rPr>
          <w:sz w:val="24"/>
          <w:szCs w:val="24"/>
        </w:rPr>
        <w:t xml:space="preserve"> </w:t>
      </w:r>
    </w:p>
    <w:p w:rsidR="00CE3D3A" w:rsidRPr="00CE3D3A" w:rsidRDefault="00CE3D3A" w:rsidP="00CE3D3A">
      <w:pPr>
        <w:numPr>
          <w:ilvl w:val="1"/>
          <w:numId w:val="6"/>
        </w:numPr>
        <w:tabs>
          <w:tab w:val="left" w:pos="851"/>
        </w:tabs>
        <w:ind w:left="1134" w:hanging="283"/>
        <w:rPr>
          <w:sz w:val="24"/>
          <w:szCs w:val="24"/>
        </w:rPr>
      </w:pPr>
      <w:proofErr w:type="spellStart"/>
      <w:r w:rsidRPr="00CE3D3A">
        <w:rPr>
          <w:sz w:val="24"/>
          <w:szCs w:val="24"/>
        </w:rPr>
        <w:t>Hypernatriæmi</w:t>
      </w:r>
      <w:proofErr w:type="spellEnd"/>
      <w:r w:rsidRPr="00CE3D3A">
        <w:rPr>
          <w:sz w:val="24"/>
          <w:szCs w:val="24"/>
        </w:rPr>
        <w:t xml:space="preserve"> </w:t>
      </w:r>
    </w:p>
    <w:p w:rsidR="00CE3D3A" w:rsidRPr="00CE3D3A" w:rsidRDefault="00CE3D3A" w:rsidP="00CE3D3A">
      <w:pPr>
        <w:numPr>
          <w:ilvl w:val="1"/>
          <w:numId w:val="6"/>
        </w:numPr>
        <w:tabs>
          <w:tab w:val="left" w:pos="851"/>
        </w:tabs>
        <w:ind w:left="1134" w:hanging="283"/>
        <w:rPr>
          <w:sz w:val="24"/>
          <w:szCs w:val="24"/>
        </w:rPr>
      </w:pPr>
      <w:r w:rsidRPr="00CE3D3A">
        <w:rPr>
          <w:sz w:val="24"/>
          <w:szCs w:val="24"/>
        </w:rPr>
        <w:t xml:space="preserve">Patienter, som ikke føler tørst </w:t>
      </w:r>
    </w:p>
    <w:p w:rsidR="00CE3D3A" w:rsidRPr="00CE3D3A" w:rsidRDefault="00CE3D3A" w:rsidP="00CE3D3A">
      <w:pPr>
        <w:numPr>
          <w:ilvl w:val="1"/>
          <w:numId w:val="6"/>
        </w:numPr>
        <w:tabs>
          <w:tab w:val="left" w:pos="851"/>
        </w:tabs>
        <w:ind w:left="1134" w:hanging="283"/>
        <w:rPr>
          <w:sz w:val="24"/>
          <w:szCs w:val="24"/>
        </w:rPr>
      </w:pPr>
      <w:r w:rsidRPr="00CE3D3A">
        <w:rPr>
          <w:sz w:val="24"/>
          <w:szCs w:val="24"/>
        </w:rPr>
        <w:t>Graviditet (se pkt. 4.6)</w:t>
      </w:r>
    </w:p>
    <w:p w:rsidR="00CE3D3A" w:rsidRPr="00CE3D3A" w:rsidRDefault="00CE3D3A" w:rsidP="00CE3D3A">
      <w:pPr>
        <w:numPr>
          <w:ilvl w:val="1"/>
          <w:numId w:val="6"/>
        </w:numPr>
        <w:tabs>
          <w:tab w:val="left" w:pos="851"/>
        </w:tabs>
        <w:ind w:left="1134" w:hanging="283"/>
        <w:rPr>
          <w:sz w:val="24"/>
          <w:szCs w:val="24"/>
        </w:rPr>
      </w:pPr>
      <w:r w:rsidRPr="00CE3D3A">
        <w:rPr>
          <w:sz w:val="24"/>
          <w:szCs w:val="24"/>
        </w:rPr>
        <w:t>Amning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E3D3A" w:rsidRDefault="00CE3D3A" w:rsidP="00CE3D3A">
      <w:pPr>
        <w:tabs>
          <w:tab w:val="left" w:pos="851"/>
        </w:tabs>
        <w:ind w:left="851"/>
        <w:rPr>
          <w:sz w:val="24"/>
          <w:szCs w:val="24"/>
          <w:u w:val="single"/>
        </w:rPr>
      </w:pPr>
    </w:p>
    <w:p w:rsidR="00CE3D3A" w:rsidRPr="00CE3D3A" w:rsidRDefault="00CE3D3A" w:rsidP="00CE3D3A">
      <w:pPr>
        <w:tabs>
          <w:tab w:val="left" w:pos="851"/>
        </w:tabs>
        <w:ind w:left="851"/>
        <w:rPr>
          <w:sz w:val="24"/>
          <w:szCs w:val="24"/>
          <w:u w:val="single"/>
        </w:rPr>
      </w:pPr>
      <w:r w:rsidRPr="00CE3D3A">
        <w:rPr>
          <w:sz w:val="24"/>
          <w:szCs w:val="24"/>
          <w:u w:val="single"/>
        </w:rPr>
        <w:t xml:space="preserve">Akut behov for øgning af serumnatrium </w:t>
      </w:r>
    </w:p>
    <w:p w:rsidR="00CE3D3A" w:rsidRPr="00CE3D3A" w:rsidRDefault="00CE3D3A" w:rsidP="00CE3D3A">
      <w:pPr>
        <w:tabs>
          <w:tab w:val="left" w:pos="851"/>
        </w:tabs>
        <w:ind w:left="851"/>
        <w:rPr>
          <w:sz w:val="24"/>
          <w:szCs w:val="24"/>
        </w:rPr>
      </w:pPr>
      <w:proofErr w:type="spellStart"/>
      <w:r w:rsidRPr="00CE3D3A">
        <w:rPr>
          <w:sz w:val="24"/>
          <w:szCs w:val="24"/>
        </w:rPr>
        <w:t>Tolvaptan</w:t>
      </w:r>
      <w:proofErr w:type="spellEnd"/>
      <w:r w:rsidRPr="00CE3D3A">
        <w:rPr>
          <w:sz w:val="24"/>
          <w:szCs w:val="24"/>
        </w:rPr>
        <w:t xml:space="preserve"> er ikke blevet undersøgt ved akut behov for øgning af serumnatrium. Anden behandling skal overvejes til patienter med et sådant akut behov.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Adgang til vand </w:t>
      </w:r>
    </w:p>
    <w:p w:rsidR="00CE3D3A" w:rsidRPr="00CE3D3A" w:rsidRDefault="00CE3D3A" w:rsidP="00CE3D3A">
      <w:pPr>
        <w:tabs>
          <w:tab w:val="left" w:pos="851"/>
        </w:tabs>
        <w:ind w:left="851"/>
        <w:rPr>
          <w:sz w:val="24"/>
          <w:szCs w:val="24"/>
        </w:rPr>
      </w:pPr>
      <w:proofErr w:type="spellStart"/>
      <w:r w:rsidRPr="00CE3D3A">
        <w:rPr>
          <w:sz w:val="24"/>
          <w:szCs w:val="24"/>
        </w:rPr>
        <w:t>Tolvaptan</w:t>
      </w:r>
      <w:proofErr w:type="spellEnd"/>
      <w:r w:rsidRPr="00CE3D3A">
        <w:rPr>
          <w:sz w:val="24"/>
          <w:szCs w:val="24"/>
        </w:rPr>
        <w:t xml:space="preserve"> kan forårsage bivirkninger, der er relateret til vandtab, såsom tørst, mundtørhed og dehydrering (se pkt. 4.8). Derfor skal patienter have adgang til vand og være i stand til at drikke tilstrækkeligt med vand. Hvis patienter, som er på væskerestriktion, behandles med </w:t>
      </w:r>
      <w:proofErr w:type="spellStart"/>
      <w:r w:rsidRPr="00CE3D3A">
        <w:rPr>
          <w:sz w:val="24"/>
          <w:szCs w:val="24"/>
        </w:rPr>
        <w:t>tolvaptan</w:t>
      </w:r>
      <w:proofErr w:type="spellEnd"/>
      <w:r w:rsidRPr="00CE3D3A">
        <w:rPr>
          <w:sz w:val="24"/>
          <w:szCs w:val="24"/>
        </w:rPr>
        <w:t xml:space="preserve">, skal der udvises ekstra forsigtighed for at sikre, at patienterne ikke bliver for dehydrerede.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Dehydrering </w:t>
      </w:r>
    </w:p>
    <w:p w:rsidR="00CE3D3A" w:rsidRPr="00CE3D3A" w:rsidRDefault="00CE3D3A" w:rsidP="00CE3D3A">
      <w:pPr>
        <w:tabs>
          <w:tab w:val="left" w:pos="851"/>
        </w:tabs>
        <w:ind w:left="851"/>
        <w:rPr>
          <w:sz w:val="24"/>
          <w:szCs w:val="24"/>
        </w:rPr>
      </w:pPr>
      <w:r w:rsidRPr="00CE3D3A">
        <w:rPr>
          <w:sz w:val="24"/>
          <w:szCs w:val="24"/>
        </w:rPr>
        <w:t xml:space="preserve">Væskestatus skal monitoreres hos alle patienter, som tager </w:t>
      </w:r>
      <w:proofErr w:type="spellStart"/>
      <w:r w:rsidRPr="00CE3D3A">
        <w:rPr>
          <w:sz w:val="24"/>
          <w:szCs w:val="24"/>
        </w:rPr>
        <w:t>tolvaptan</w:t>
      </w:r>
      <w:proofErr w:type="spellEnd"/>
      <w:r w:rsidRPr="00CE3D3A">
        <w:rPr>
          <w:sz w:val="24"/>
          <w:szCs w:val="24"/>
        </w:rPr>
        <w:t xml:space="preserve">, fordi behandling med </w:t>
      </w:r>
      <w:proofErr w:type="spellStart"/>
      <w:r w:rsidRPr="00CE3D3A">
        <w:rPr>
          <w:sz w:val="24"/>
          <w:szCs w:val="24"/>
        </w:rPr>
        <w:t>tolvaptan</w:t>
      </w:r>
      <w:proofErr w:type="spellEnd"/>
      <w:r w:rsidRPr="00CE3D3A">
        <w:rPr>
          <w:sz w:val="24"/>
          <w:szCs w:val="24"/>
        </w:rPr>
        <w:t xml:space="preserve"> kan resultere i svær dehydrering, hvilket udgør en risikofaktor for nyrefunktionsnedsættelse. Hvis dehydrering konstateres, skal der træffes passende foranstaltninger, hvilket kan inkludere </w:t>
      </w:r>
      <w:proofErr w:type="spellStart"/>
      <w:r w:rsidRPr="00CE3D3A">
        <w:rPr>
          <w:sz w:val="24"/>
          <w:szCs w:val="24"/>
        </w:rPr>
        <w:t>seponering</w:t>
      </w:r>
      <w:proofErr w:type="spellEnd"/>
      <w:r w:rsidRPr="00CE3D3A">
        <w:rPr>
          <w:sz w:val="24"/>
          <w:szCs w:val="24"/>
        </w:rPr>
        <w:t xml:space="preserve"> af </w:t>
      </w:r>
      <w:proofErr w:type="spellStart"/>
      <w:r w:rsidRPr="00CE3D3A">
        <w:rPr>
          <w:sz w:val="24"/>
          <w:szCs w:val="24"/>
        </w:rPr>
        <w:t>tolvaptan</w:t>
      </w:r>
      <w:proofErr w:type="spellEnd"/>
      <w:r w:rsidRPr="00CE3D3A">
        <w:rPr>
          <w:sz w:val="24"/>
          <w:szCs w:val="24"/>
        </w:rPr>
        <w:t xml:space="preserve"> eller nedsættelse af </w:t>
      </w:r>
      <w:proofErr w:type="spellStart"/>
      <w:r w:rsidRPr="00CE3D3A">
        <w:rPr>
          <w:sz w:val="24"/>
          <w:szCs w:val="24"/>
        </w:rPr>
        <w:t>tolvaptandosis</w:t>
      </w:r>
      <w:proofErr w:type="spellEnd"/>
      <w:r w:rsidRPr="00CE3D3A">
        <w:rPr>
          <w:sz w:val="24"/>
          <w:szCs w:val="24"/>
        </w:rPr>
        <w:t xml:space="preserve"> og øget væskeindtagelse.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Urinvejsobstruktion </w:t>
      </w:r>
    </w:p>
    <w:p w:rsidR="00CE3D3A" w:rsidRPr="00CE3D3A" w:rsidRDefault="00CE3D3A" w:rsidP="00CE3D3A">
      <w:pPr>
        <w:tabs>
          <w:tab w:val="left" w:pos="851"/>
        </w:tabs>
        <w:ind w:left="851"/>
        <w:rPr>
          <w:sz w:val="24"/>
          <w:szCs w:val="24"/>
        </w:rPr>
      </w:pPr>
      <w:r w:rsidRPr="00CE3D3A">
        <w:rPr>
          <w:sz w:val="24"/>
          <w:szCs w:val="24"/>
        </w:rPr>
        <w:t xml:space="preserve">Det skal sikres, at der ikke er urinvejsobstruktion. Patienter med partiel obstruktion af urinvejene, f.eks. patienter med prostatahypertrofi eller hæmning af </w:t>
      </w:r>
      <w:proofErr w:type="spellStart"/>
      <w:r w:rsidRPr="00CE3D3A">
        <w:rPr>
          <w:sz w:val="24"/>
          <w:szCs w:val="24"/>
        </w:rPr>
        <w:t>miktion</w:t>
      </w:r>
      <w:proofErr w:type="spellEnd"/>
      <w:r w:rsidRPr="00CE3D3A">
        <w:rPr>
          <w:sz w:val="24"/>
          <w:szCs w:val="24"/>
        </w:rPr>
        <w:t xml:space="preserve">, har øget risiko for at udvikle akut retention.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Væske- og elektrolytbalance </w:t>
      </w:r>
    </w:p>
    <w:p w:rsidR="00CE3D3A" w:rsidRPr="00CE3D3A" w:rsidRDefault="00CE3D3A" w:rsidP="00CE3D3A">
      <w:pPr>
        <w:tabs>
          <w:tab w:val="left" w:pos="851"/>
        </w:tabs>
        <w:ind w:left="851"/>
        <w:rPr>
          <w:sz w:val="24"/>
          <w:szCs w:val="24"/>
        </w:rPr>
      </w:pPr>
      <w:r w:rsidRPr="00CE3D3A">
        <w:rPr>
          <w:sz w:val="24"/>
          <w:szCs w:val="24"/>
        </w:rPr>
        <w:t xml:space="preserve">Væske- og elektrolytbalancen skal kontrolleres hos alle patienter og især hos patienter med nedsat nyre- og leverfunktion. Administration af </w:t>
      </w:r>
      <w:proofErr w:type="spellStart"/>
      <w:r w:rsidRPr="00CE3D3A">
        <w:rPr>
          <w:sz w:val="24"/>
          <w:szCs w:val="24"/>
        </w:rPr>
        <w:t>tolvaptan</w:t>
      </w:r>
      <w:proofErr w:type="spellEnd"/>
      <w:r w:rsidRPr="00CE3D3A">
        <w:rPr>
          <w:sz w:val="24"/>
          <w:szCs w:val="24"/>
        </w:rPr>
        <w:t xml:space="preserve"> kan medføre hurtig øgning af serumnatrium (≥ 12 mmol/l pr. døgn, se herunder). Derfor skal kontrol af serumnatrium indledes senest 4-6 timer efter påbegyndt behandling hos alle patienter. De første 1-2 dage og indtil </w:t>
      </w:r>
      <w:proofErr w:type="spellStart"/>
      <w:r w:rsidRPr="00CE3D3A">
        <w:rPr>
          <w:sz w:val="24"/>
          <w:szCs w:val="24"/>
        </w:rPr>
        <w:t>tolvaptandosis</w:t>
      </w:r>
      <w:proofErr w:type="spellEnd"/>
      <w:r w:rsidRPr="00CE3D3A">
        <w:rPr>
          <w:sz w:val="24"/>
          <w:szCs w:val="24"/>
        </w:rPr>
        <w:t xml:space="preserve"> er stabiliseret skal serumnatrium og volumenstatus kontrolleres mindst hver 6. time.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For hurtig korrektion af serumnatrium </w:t>
      </w:r>
    </w:p>
    <w:p w:rsidR="00CE3D3A" w:rsidRPr="00CE3D3A" w:rsidRDefault="00CE3D3A" w:rsidP="00CE3D3A">
      <w:pPr>
        <w:tabs>
          <w:tab w:val="left" w:pos="851"/>
        </w:tabs>
        <w:ind w:left="851"/>
        <w:rPr>
          <w:sz w:val="24"/>
          <w:szCs w:val="24"/>
        </w:rPr>
      </w:pPr>
      <w:r w:rsidRPr="00CE3D3A">
        <w:rPr>
          <w:sz w:val="24"/>
          <w:szCs w:val="24"/>
        </w:rPr>
        <w:t xml:space="preserve">Patienter med meget lave </w:t>
      </w:r>
      <w:r w:rsidRPr="00CE3D3A">
        <w:rPr>
          <w:i/>
          <w:iCs/>
          <w:sz w:val="24"/>
          <w:szCs w:val="24"/>
        </w:rPr>
        <w:t>baseline</w:t>
      </w:r>
      <w:r w:rsidRPr="00CE3D3A">
        <w:rPr>
          <w:sz w:val="24"/>
          <w:szCs w:val="24"/>
        </w:rPr>
        <w:t xml:space="preserve">-koncentrationer af serumnatrium kan have større risiko for en for hurtig korrektion af serumnatrium. </w:t>
      </w:r>
    </w:p>
    <w:p w:rsidR="00CE3D3A" w:rsidRPr="00CE3D3A" w:rsidRDefault="00CE3D3A" w:rsidP="00CE3D3A">
      <w:pPr>
        <w:tabs>
          <w:tab w:val="left" w:pos="851"/>
        </w:tabs>
        <w:ind w:left="851"/>
        <w:rPr>
          <w:sz w:val="24"/>
          <w:szCs w:val="24"/>
        </w:rPr>
      </w:pPr>
      <w:r w:rsidRPr="00CE3D3A">
        <w:rPr>
          <w:sz w:val="24"/>
          <w:szCs w:val="24"/>
        </w:rPr>
        <w:lastRenderedPageBreak/>
        <w:t xml:space="preserve">En for hurtig korrektion af </w:t>
      </w:r>
      <w:proofErr w:type="spellStart"/>
      <w:r w:rsidRPr="00CE3D3A">
        <w:rPr>
          <w:sz w:val="24"/>
          <w:szCs w:val="24"/>
        </w:rPr>
        <w:t>hyponatriæmi</w:t>
      </w:r>
      <w:proofErr w:type="spellEnd"/>
      <w:r w:rsidRPr="00CE3D3A">
        <w:rPr>
          <w:sz w:val="24"/>
          <w:szCs w:val="24"/>
        </w:rPr>
        <w:t xml:space="preserve"> (øgning ≥ 12 mmol/l/døgn) kan forårsage osmotisk </w:t>
      </w:r>
      <w:proofErr w:type="spellStart"/>
      <w:r w:rsidRPr="00CE3D3A">
        <w:rPr>
          <w:sz w:val="24"/>
          <w:szCs w:val="24"/>
        </w:rPr>
        <w:t>demyelinisering</w:t>
      </w:r>
      <w:proofErr w:type="spellEnd"/>
      <w:r w:rsidRPr="00CE3D3A">
        <w:rPr>
          <w:sz w:val="24"/>
          <w:szCs w:val="24"/>
        </w:rPr>
        <w:t xml:space="preserve"> og kan resultere i </w:t>
      </w:r>
      <w:proofErr w:type="spellStart"/>
      <w:r w:rsidRPr="00CE3D3A">
        <w:rPr>
          <w:sz w:val="24"/>
          <w:szCs w:val="24"/>
        </w:rPr>
        <w:t>dysartri</w:t>
      </w:r>
      <w:proofErr w:type="spellEnd"/>
      <w:r w:rsidRPr="00CE3D3A">
        <w:rPr>
          <w:sz w:val="24"/>
          <w:szCs w:val="24"/>
        </w:rPr>
        <w:t xml:space="preserve">, </w:t>
      </w:r>
      <w:proofErr w:type="spellStart"/>
      <w:r w:rsidRPr="00CE3D3A">
        <w:rPr>
          <w:sz w:val="24"/>
          <w:szCs w:val="24"/>
        </w:rPr>
        <w:t>mutisme</w:t>
      </w:r>
      <w:proofErr w:type="spellEnd"/>
      <w:r w:rsidRPr="00CE3D3A">
        <w:rPr>
          <w:sz w:val="24"/>
          <w:szCs w:val="24"/>
        </w:rPr>
        <w:t xml:space="preserve">, </w:t>
      </w:r>
      <w:proofErr w:type="spellStart"/>
      <w:r w:rsidRPr="00CE3D3A">
        <w:rPr>
          <w:sz w:val="24"/>
          <w:szCs w:val="24"/>
        </w:rPr>
        <w:t>dysfagi</w:t>
      </w:r>
      <w:proofErr w:type="spellEnd"/>
      <w:r w:rsidRPr="00CE3D3A">
        <w:rPr>
          <w:sz w:val="24"/>
          <w:szCs w:val="24"/>
        </w:rPr>
        <w:t xml:space="preserve">, letargi, affektive symptomer, spastisk </w:t>
      </w:r>
      <w:proofErr w:type="spellStart"/>
      <w:r w:rsidRPr="00CE3D3A">
        <w:rPr>
          <w:sz w:val="24"/>
          <w:szCs w:val="24"/>
        </w:rPr>
        <w:t>tetraparese</w:t>
      </w:r>
      <w:proofErr w:type="spellEnd"/>
      <w:r w:rsidRPr="00CE3D3A">
        <w:rPr>
          <w:sz w:val="24"/>
          <w:szCs w:val="24"/>
        </w:rPr>
        <w:t>, krampeanfald, koma eller død. Efter påbegyndelse af behandling skal serumnatrium og volumenstatus derfor monitoreres nøje (se ovenfor).</w:t>
      </w:r>
    </w:p>
    <w:p w:rsidR="00CE3D3A" w:rsidRPr="00CE3D3A" w:rsidRDefault="00CE3D3A" w:rsidP="00CE3D3A">
      <w:pPr>
        <w:tabs>
          <w:tab w:val="left" w:pos="851"/>
        </w:tabs>
        <w:ind w:left="851"/>
        <w:rPr>
          <w:sz w:val="24"/>
          <w:szCs w:val="24"/>
        </w:rPr>
      </w:pPr>
      <w:r w:rsidRPr="00CE3D3A">
        <w:rPr>
          <w:sz w:val="24"/>
          <w:szCs w:val="24"/>
        </w:rPr>
        <w:t xml:space="preserve"> </w:t>
      </w:r>
    </w:p>
    <w:p w:rsidR="00876505" w:rsidRPr="008332B2" w:rsidRDefault="00876505" w:rsidP="00876505">
      <w:pPr>
        <w:tabs>
          <w:tab w:val="left" w:pos="851"/>
        </w:tabs>
        <w:ind w:left="851"/>
        <w:rPr>
          <w:sz w:val="24"/>
          <w:szCs w:val="24"/>
        </w:rPr>
      </w:pPr>
      <w:r w:rsidRPr="008332B2">
        <w:rPr>
          <w:sz w:val="24"/>
          <w:szCs w:val="24"/>
        </w:rPr>
        <w:t xml:space="preserve">For at minimere risikoen for en for hurtig korrektion af </w:t>
      </w:r>
      <w:proofErr w:type="spellStart"/>
      <w:r w:rsidRPr="008332B2">
        <w:rPr>
          <w:sz w:val="24"/>
          <w:szCs w:val="24"/>
        </w:rPr>
        <w:t>hyponatriæmi</w:t>
      </w:r>
      <w:proofErr w:type="spellEnd"/>
      <w:r w:rsidRPr="008332B2">
        <w:rPr>
          <w:sz w:val="24"/>
          <w:szCs w:val="24"/>
        </w:rPr>
        <w:t xml:space="preserve"> bør øgningen af serumnatrium være under 10 mmol/l/døgn til 12 mmol/l/døgn og under 18 mmol/l/48 timer. Flere sikkerhedsgrænser er derfor gældende i den tidlige behandlingsfase. </w:t>
      </w:r>
    </w:p>
    <w:p w:rsidR="00CE3D3A" w:rsidRPr="00CE3D3A" w:rsidRDefault="00CE3D3A" w:rsidP="00CE3D3A">
      <w:pPr>
        <w:tabs>
          <w:tab w:val="left" w:pos="851"/>
        </w:tabs>
        <w:ind w:left="851"/>
        <w:rPr>
          <w:sz w:val="24"/>
          <w:szCs w:val="24"/>
        </w:rPr>
      </w:pPr>
    </w:p>
    <w:p w:rsidR="00876505" w:rsidRPr="008332B2" w:rsidRDefault="00876505" w:rsidP="00876505">
      <w:pPr>
        <w:tabs>
          <w:tab w:val="left" w:pos="851"/>
        </w:tabs>
        <w:ind w:left="851"/>
        <w:rPr>
          <w:sz w:val="24"/>
          <w:szCs w:val="24"/>
        </w:rPr>
      </w:pPr>
      <w:r w:rsidRPr="008332B2">
        <w:rPr>
          <w:sz w:val="24"/>
          <w:szCs w:val="24"/>
        </w:rPr>
        <w:t xml:space="preserve">Hvis korrektion af natrium overstiger 6 mmol/l i løbet af de første 6 timer efter administration eller 8 mmol/l i løbet af de første 6 til 12 timer bør det overvejes, om korrektionen af serumnatrium muligvis er for hurtig. Serumnatrium skal kontrolleres hyppigere hos disse patienter, og administration af </w:t>
      </w:r>
      <w:proofErr w:type="spellStart"/>
      <w:r w:rsidRPr="008332B2">
        <w:rPr>
          <w:sz w:val="24"/>
          <w:szCs w:val="24"/>
        </w:rPr>
        <w:t>hypoton</w:t>
      </w:r>
      <w:proofErr w:type="spellEnd"/>
      <w:r w:rsidRPr="008332B2">
        <w:rPr>
          <w:sz w:val="24"/>
          <w:szCs w:val="24"/>
        </w:rPr>
        <w:t xml:space="preserve"> væske anbefales. Hvis serumnatrium stiger ≥ 12 mmol/l inden for 24 timer eller ≥ 18 mmol/l inden for 48 timer, skal behandling med </w:t>
      </w:r>
      <w:proofErr w:type="spellStart"/>
      <w:r w:rsidRPr="008332B2">
        <w:rPr>
          <w:sz w:val="24"/>
          <w:szCs w:val="24"/>
        </w:rPr>
        <w:t>tolvaptan</w:t>
      </w:r>
      <w:proofErr w:type="spellEnd"/>
      <w:r w:rsidRPr="008332B2">
        <w:rPr>
          <w:sz w:val="24"/>
          <w:szCs w:val="24"/>
        </w:rPr>
        <w:t xml:space="preserve"> afbrydes eller seponeres og </w:t>
      </w:r>
      <w:proofErr w:type="spellStart"/>
      <w:r w:rsidRPr="008332B2">
        <w:rPr>
          <w:sz w:val="24"/>
          <w:szCs w:val="24"/>
        </w:rPr>
        <w:t>hypoton</w:t>
      </w:r>
      <w:proofErr w:type="spellEnd"/>
      <w:r w:rsidRPr="008332B2">
        <w:rPr>
          <w:sz w:val="24"/>
          <w:szCs w:val="24"/>
        </w:rPr>
        <w:t xml:space="preserve"> væske administreres.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rPr>
      </w:pPr>
      <w:r w:rsidRPr="00CE3D3A">
        <w:rPr>
          <w:sz w:val="24"/>
          <w:szCs w:val="24"/>
        </w:rPr>
        <w:t xml:space="preserve">Hos patienter med højere risiko for </w:t>
      </w:r>
      <w:proofErr w:type="spellStart"/>
      <w:r w:rsidRPr="00CE3D3A">
        <w:rPr>
          <w:sz w:val="24"/>
          <w:szCs w:val="24"/>
        </w:rPr>
        <w:t>demyeliniseringssyndrom</w:t>
      </w:r>
      <w:proofErr w:type="spellEnd"/>
      <w:r w:rsidRPr="00CE3D3A">
        <w:rPr>
          <w:sz w:val="24"/>
          <w:szCs w:val="24"/>
        </w:rPr>
        <w:t xml:space="preserve">, f.eks. patienter med </w:t>
      </w:r>
      <w:proofErr w:type="spellStart"/>
      <w:r w:rsidRPr="00CE3D3A">
        <w:rPr>
          <w:sz w:val="24"/>
          <w:szCs w:val="24"/>
        </w:rPr>
        <w:t>hypoksi</w:t>
      </w:r>
      <w:proofErr w:type="spellEnd"/>
      <w:r w:rsidRPr="00CE3D3A">
        <w:rPr>
          <w:sz w:val="24"/>
          <w:szCs w:val="24"/>
        </w:rPr>
        <w:t>, alkoholisme eller fejlernæring, kan den hensigtsmæssige hastighed for korrektion af serumnatrium være lavere end hos patienter uden risikofaktorer. Disse patienter skal kontrolleres meget nøje.</w:t>
      </w:r>
    </w:p>
    <w:p w:rsidR="00CE3D3A" w:rsidRPr="00CE3D3A" w:rsidRDefault="00CE3D3A" w:rsidP="00CE3D3A">
      <w:pPr>
        <w:tabs>
          <w:tab w:val="left" w:pos="851"/>
        </w:tabs>
        <w:ind w:left="851"/>
        <w:rPr>
          <w:sz w:val="24"/>
          <w:szCs w:val="24"/>
        </w:rPr>
      </w:pPr>
    </w:p>
    <w:p w:rsidR="00876505" w:rsidRPr="008332B2" w:rsidRDefault="00876505" w:rsidP="00876505">
      <w:pPr>
        <w:tabs>
          <w:tab w:val="left" w:pos="851"/>
        </w:tabs>
        <w:ind w:left="851"/>
        <w:rPr>
          <w:sz w:val="24"/>
          <w:szCs w:val="24"/>
        </w:rPr>
      </w:pPr>
      <w:r w:rsidRPr="008332B2">
        <w:rPr>
          <w:sz w:val="24"/>
          <w:szCs w:val="24"/>
        </w:rPr>
        <w:t xml:space="preserve">Patienter, der fik anden behandling for </w:t>
      </w:r>
      <w:proofErr w:type="spellStart"/>
      <w:r w:rsidRPr="008332B2">
        <w:rPr>
          <w:sz w:val="24"/>
          <w:szCs w:val="24"/>
        </w:rPr>
        <w:t>hyponatriæmi</w:t>
      </w:r>
      <w:proofErr w:type="spellEnd"/>
      <w:r w:rsidRPr="008332B2">
        <w:rPr>
          <w:sz w:val="24"/>
          <w:szCs w:val="24"/>
        </w:rPr>
        <w:t xml:space="preserve"> eller lægemidler, der øger serumnatrium (se pkt. 4.5), inden initiering af behandling med </w:t>
      </w:r>
      <w:proofErr w:type="spellStart"/>
      <w:r w:rsidRPr="008332B2">
        <w:rPr>
          <w:sz w:val="24"/>
          <w:szCs w:val="24"/>
        </w:rPr>
        <w:t>Tolvaptan</w:t>
      </w:r>
      <w:proofErr w:type="spellEnd"/>
      <w:r w:rsidRPr="008332B2">
        <w:rPr>
          <w:sz w:val="24"/>
          <w:szCs w:val="24"/>
        </w:rPr>
        <w:t xml:space="preserve"> "</w:t>
      </w:r>
      <w:proofErr w:type="spellStart"/>
      <w:r w:rsidRPr="008332B2">
        <w:rPr>
          <w:sz w:val="24"/>
          <w:szCs w:val="24"/>
        </w:rPr>
        <w:t>Teva</w:t>
      </w:r>
      <w:proofErr w:type="spellEnd"/>
      <w:r w:rsidRPr="008332B2">
        <w:rPr>
          <w:sz w:val="24"/>
          <w:szCs w:val="24"/>
        </w:rPr>
        <w:t xml:space="preserve">", skal kontrolleres meget nøje. Disse patienter kan have højere risiko for at udvikle hurtig korrektion af serumnatrium i løbet af de første 1 til 2 dage af behandlingen på grund af potential additiv virkning. </w:t>
      </w:r>
    </w:p>
    <w:p w:rsidR="00876505" w:rsidRPr="008332B2" w:rsidRDefault="00876505" w:rsidP="00876505">
      <w:pPr>
        <w:tabs>
          <w:tab w:val="left" w:pos="851"/>
        </w:tabs>
        <w:ind w:left="851"/>
        <w:rPr>
          <w:sz w:val="24"/>
          <w:szCs w:val="24"/>
        </w:rPr>
      </w:pPr>
      <w:r w:rsidRPr="008332B2">
        <w:rPr>
          <w:sz w:val="24"/>
          <w:szCs w:val="24"/>
        </w:rPr>
        <w:t xml:space="preserve">Samtidig administration af </w:t>
      </w:r>
      <w:proofErr w:type="spellStart"/>
      <w:r w:rsidRPr="008332B2">
        <w:rPr>
          <w:sz w:val="24"/>
          <w:szCs w:val="24"/>
        </w:rPr>
        <w:t>Tolvaptan</w:t>
      </w:r>
      <w:proofErr w:type="spellEnd"/>
      <w:r w:rsidRPr="008332B2">
        <w:rPr>
          <w:sz w:val="24"/>
          <w:szCs w:val="24"/>
        </w:rPr>
        <w:t xml:space="preserve"> "</w:t>
      </w:r>
      <w:proofErr w:type="spellStart"/>
      <w:r w:rsidRPr="008332B2">
        <w:rPr>
          <w:sz w:val="24"/>
          <w:szCs w:val="24"/>
        </w:rPr>
        <w:t>Teva</w:t>
      </w:r>
      <w:proofErr w:type="spellEnd"/>
      <w:r w:rsidRPr="008332B2">
        <w:rPr>
          <w:sz w:val="24"/>
          <w:szCs w:val="24"/>
        </w:rPr>
        <w:t xml:space="preserve">" og anden behandling for </w:t>
      </w:r>
      <w:proofErr w:type="spellStart"/>
      <w:r w:rsidRPr="008332B2">
        <w:rPr>
          <w:sz w:val="24"/>
          <w:szCs w:val="24"/>
        </w:rPr>
        <w:t>hyponatriæmi</w:t>
      </w:r>
      <w:proofErr w:type="spellEnd"/>
      <w:r w:rsidRPr="008332B2">
        <w:rPr>
          <w:sz w:val="24"/>
          <w:szCs w:val="24"/>
        </w:rPr>
        <w:t xml:space="preserve"> eller medicin, der øger serumnatrium, frarådes under den indledende behandling eller for andre patienter med meget lave </w:t>
      </w:r>
      <w:r w:rsidRPr="008332B2">
        <w:rPr>
          <w:i/>
          <w:sz w:val="24"/>
          <w:szCs w:val="24"/>
        </w:rPr>
        <w:t>baseline</w:t>
      </w:r>
      <w:r w:rsidRPr="008332B2">
        <w:rPr>
          <w:sz w:val="24"/>
          <w:szCs w:val="24"/>
        </w:rPr>
        <w:t xml:space="preserve">-koncentrationer af serumnatrium (se pkt. 4.5). </w:t>
      </w:r>
    </w:p>
    <w:p w:rsidR="00876505" w:rsidRPr="008332B2" w:rsidRDefault="00876505" w:rsidP="00876505">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Diabetes mellitus </w:t>
      </w:r>
    </w:p>
    <w:p w:rsidR="00CE3D3A" w:rsidRPr="00CE3D3A" w:rsidRDefault="00CE3D3A" w:rsidP="00CE3D3A">
      <w:pPr>
        <w:tabs>
          <w:tab w:val="left" w:pos="851"/>
        </w:tabs>
        <w:ind w:left="851"/>
        <w:rPr>
          <w:sz w:val="24"/>
          <w:szCs w:val="24"/>
        </w:rPr>
      </w:pPr>
      <w:r w:rsidRPr="00CE3D3A">
        <w:rPr>
          <w:sz w:val="24"/>
          <w:szCs w:val="24"/>
        </w:rPr>
        <w:t xml:space="preserve">Diabetespatienter med forhøjet </w:t>
      </w:r>
      <w:proofErr w:type="spellStart"/>
      <w:r w:rsidRPr="00CE3D3A">
        <w:rPr>
          <w:sz w:val="24"/>
          <w:szCs w:val="24"/>
        </w:rPr>
        <w:t>glucosekoncentration</w:t>
      </w:r>
      <w:proofErr w:type="spellEnd"/>
      <w:r w:rsidRPr="00CE3D3A">
        <w:rPr>
          <w:sz w:val="24"/>
          <w:szCs w:val="24"/>
        </w:rPr>
        <w:t xml:space="preserve"> (f.eks. over 300 mg/dl) kan have </w:t>
      </w:r>
      <w:proofErr w:type="spellStart"/>
      <w:r w:rsidRPr="00CE3D3A">
        <w:rPr>
          <w:sz w:val="24"/>
          <w:szCs w:val="24"/>
        </w:rPr>
        <w:t>pseudohyponatriæmi</w:t>
      </w:r>
      <w:proofErr w:type="spellEnd"/>
      <w:r w:rsidRPr="00CE3D3A">
        <w:rPr>
          <w:sz w:val="24"/>
          <w:szCs w:val="24"/>
        </w:rPr>
        <w:t xml:space="preserve">. Denne tilstand skal udelukkes inden og under behandling med </w:t>
      </w:r>
      <w:proofErr w:type="spellStart"/>
      <w:r w:rsidRPr="00CE3D3A">
        <w:rPr>
          <w:sz w:val="24"/>
          <w:szCs w:val="24"/>
        </w:rPr>
        <w:t>tolvaptan</w:t>
      </w:r>
      <w:proofErr w:type="spellEnd"/>
      <w:r w:rsidRPr="00CE3D3A">
        <w:rPr>
          <w:sz w:val="24"/>
          <w:szCs w:val="24"/>
        </w:rPr>
        <w:t xml:space="preserve">. </w:t>
      </w:r>
    </w:p>
    <w:p w:rsidR="00CE3D3A" w:rsidRPr="00CE3D3A" w:rsidRDefault="00CE3D3A" w:rsidP="00CE3D3A">
      <w:pPr>
        <w:tabs>
          <w:tab w:val="left" w:pos="851"/>
        </w:tabs>
        <w:ind w:left="851"/>
        <w:rPr>
          <w:sz w:val="24"/>
          <w:szCs w:val="24"/>
        </w:rPr>
      </w:pPr>
      <w:proofErr w:type="spellStart"/>
      <w:r w:rsidRPr="00CE3D3A">
        <w:rPr>
          <w:sz w:val="24"/>
          <w:szCs w:val="24"/>
        </w:rPr>
        <w:t>Tolvaptan</w:t>
      </w:r>
      <w:proofErr w:type="spellEnd"/>
      <w:r w:rsidRPr="00CE3D3A">
        <w:rPr>
          <w:sz w:val="24"/>
          <w:szCs w:val="24"/>
        </w:rPr>
        <w:t xml:space="preserve"> kan forårsage </w:t>
      </w:r>
      <w:proofErr w:type="spellStart"/>
      <w:r w:rsidRPr="00CE3D3A">
        <w:rPr>
          <w:sz w:val="24"/>
          <w:szCs w:val="24"/>
        </w:rPr>
        <w:t>hyperglykæmi</w:t>
      </w:r>
      <w:proofErr w:type="spellEnd"/>
      <w:r w:rsidRPr="00CE3D3A">
        <w:rPr>
          <w:sz w:val="24"/>
          <w:szCs w:val="24"/>
        </w:rPr>
        <w:t xml:space="preserve"> (se pkt. 4.8). Derfor skal diabetespatienter på </w:t>
      </w:r>
      <w:proofErr w:type="spellStart"/>
      <w:r w:rsidRPr="00CE3D3A">
        <w:rPr>
          <w:sz w:val="24"/>
          <w:szCs w:val="24"/>
        </w:rPr>
        <w:t>tolvaptan</w:t>
      </w:r>
      <w:proofErr w:type="spellEnd"/>
      <w:r w:rsidRPr="00CE3D3A">
        <w:rPr>
          <w:sz w:val="24"/>
          <w:szCs w:val="24"/>
        </w:rPr>
        <w:t xml:space="preserve"> behandles med forsigtighed. Dette gælder især for patienter med utilstrækkeligt kontrolleret type 2 diabetes.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Idiosynkratisk levertoksicitet </w:t>
      </w:r>
    </w:p>
    <w:p w:rsidR="00876505" w:rsidRPr="008332B2" w:rsidRDefault="00876505" w:rsidP="00876505">
      <w:pPr>
        <w:tabs>
          <w:tab w:val="left" w:pos="851"/>
        </w:tabs>
        <w:ind w:left="851"/>
        <w:rPr>
          <w:sz w:val="24"/>
          <w:szCs w:val="24"/>
        </w:rPr>
      </w:pPr>
      <w:r w:rsidRPr="008332B2">
        <w:rPr>
          <w:sz w:val="24"/>
          <w:szCs w:val="24"/>
        </w:rPr>
        <w:t xml:space="preserve">Leverskade induceret af </w:t>
      </w:r>
      <w:proofErr w:type="spellStart"/>
      <w:r w:rsidRPr="008332B2">
        <w:rPr>
          <w:sz w:val="24"/>
          <w:szCs w:val="24"/>
        </w:rPr>
        <w:t>tolvaptan</w:t>
      </w:r>
      <w:proofErr w:type="spellEnd"/>
      <w:r w:rsidRPr="008332B2">
        <w:rPr>
          <w:sz w:val="24"/>
          <w:szCs w:val="24"/>
        </w:rPr>
        <w:t xml:space="preserve"> er observeret i kliniske studier, der undersøgte en anden indikation (</w:t>
      </w:r>
      <w:proofErr w:type="spellStart"/>
      <w:r w:rsidRPr="008332B2">
        <w:rPr>
          <w:sz w:val="24"/>
          <w:szCs w:val="24"/>
        </w:rPr>
        <w:t>autosomal</w:t>
      </w:r>
      <w:proofErr w:type="spellEnd"/>
      <w:r w:rsidRPr="008332B2">
        <w:rPr>
          <w:sz w:val="24"/>
          <w:szCs w:val="24"/>
        </w:rPr>
        <w:t xml:space="preserve"> dominant polycystisk nyresygdom [ADPKD]), ved langvarig anvendelse af </w:t>
      </w:r>
      <w:proofErr w:type="spellStart"/>
      <w:r w:rsidRPr="008332B2">
        <w:rPr>
          <w:sz w:val="24"/>
          <w:szCs w:val="24"/>
        </w:rPr>
        <w:t>tolvaptan</w:t>
      </w:r>
      <w:proofErr w:type="spellEnd"/>
      <w:r w:rsidRPr="008332B2">
        <w:rPr>
          <w:sz w:val="24"/>
          <w:szCs w:val="24"/>
        </w:rPr>
        <w:t xml:space="preserve"> i højere doser end for den godkendte indikation (se pkt. 4.8). </w:t>
      </w:r>
    </w:p>
    <w:p w:rsidR="00876505" w:rsidRPr="008332B2" w:rsidRDefault="00876505" w:rsidP="00876505">
      <w:pPr>
        <w:tabs>
          <w:tab w:val="left" w:pos="851"/>
        </w:tabs>
        <w:ind w:left="851"/>
        <w:rPr>
          <w:sz w:val="24"/>
          <w:szCs w:val="24"/>
        </w:rPr>
      </w:pPr>
      <w:r w:rsidRPr="008332B2">
        <w:rPr>
          <w:sz w:val="24"/>
          <w:szCs w:val="24"/>
        </w:rPr>
        <w:t xml:space="preserve">Efter markedsføringen er der ved brug af </w:t>
      </w:r>
      <w:proofErr w:type="spellStart"/>
      <w:r w:rsidRPr="008332B2">
        <w:rPr>
          <w:sz w:val="24"/>
          <w:szCs w:val="24"/>
        </w:rPr>
        <w:t>tolvaptan</w:t>
      </w:r>
      <w:proofErr w:type="spellEnd"/>
      <w:r w:rsidRPr="008332B2">
        <w:rPr>
          <w:sz w:val="24"/>
          <w:szCs w:val="24"/>
        </w:rPr>
        <w:t xml:space="preserve"> til behandling af ADPKD rapporteret om akut leversvigt, hvor levertransplantation var påkrævet (se pkt. 4.8).</w:t>
      </w:r>
    </w:p>
    <w:p w:rsidR="00876505" w:rsidRPr="008332B2" w:rsidRDefault="00876505" w:rsidP="00876505">
      <w:pPr>
        <w:tabs>
          <w:tab w:val="left" w:pos="851"/>
        </w:tabs>
        <w:ind w:left="851"/>
        <w:rPr>
          <w:sz w:val="24"/>
          <w:szCs w:val="24"/>
        </w:rPr>
      </w:pPr>
      <w:r w:rsidRPr="008332B2">
        <w:rPr>
          <w:sz w:val="24"/>
          <w:szCs w:val="24"/>
        </w:rPr>
        <w:t xml:space="preserve">I disse kliniske studier blev der observeret klinisk signifikante stigninger (større end 3 × den øvre normalgrænse, </w:t>
      </w:r>
      <w:r w:rsidRPr="008332B2">
        <w:rPr>
          <w:i/>
          <w:sz w:val="24"/>
          <w:szCs w:val="24"/>
        </w:rPr>
        <w:t>Upper Limit of Normal</w:t>
      </w:r>
      <w:r w:rsidRPr="008332B2">
        <w:rPr>
          <w:sz w:val="24"/>
          <w:szCs w:val="24"/>
        </w:rPr>
        <w:t xml:space="preserve"> </w:t>
      </w:r>
      <w:r w:rsidRPr="008332B2">
        <w:rPr>
          <w:sz w:val="22"/>
          <w:szCs w:val="22"/>
        </w:rPr>
        <w:t>[ULN]</w:t>
      </w:r>
      <w:r w:rsidRPr="008332B2">
        <w:rPr>
          <w:sz w:val="24"/>
          <w:szCs w:val="24"/>
        </w:rPr>
        <w:t>) i serum-</w:t>
      </w:r>
      <w:proofErr w:type="spellStart"/>
      <w:r w:rsidRPr="008332B2">
        <w:rPr>
          <w:sz w:val="24"/>
          <w:szCs w:val="24"/>
        </w:rPr>
        <w:t>alaninaminotransferase</w:t>
      </w:r>
      <w:proofErr w:type="spellEnd"/>
      <w:r w:rsidRPr="008332B2">
        <w:rPr>
          <w:sz w:val="24"/>
          <w:szCs w:val="24"/>
        </w:rPr>
        <w:t xml:space="preserve"> (ALAT) samt klinisk signifikante stigninger (større end 2 × ULN) i total-serum-bilirubin hos 3 patienter behandlet med </w:t>
      </w:r>
      <w:proofErr w:type="spellStart"/>
      <w:r w:rsidRPr="008332B2">
        <w:rPr>
          <w:sz w:val="24"/>
          <w:szCs w:val="24"/>
        </w:rPr>
        <w:t>tolvaptan</w:t>
      </w:r>
      <w:proofErr w:type="spellEnd"/>
      <w:r w:rsidRPr="008332B2">
        <w:rPr>
          <w:sz w:val="24"/>
          <w:szCs w:val="24"/>
        </w:rPr>
        <w:t xml:space="preserve">. Der blev desuden observeret en øget forekomst af signifikante stigninger i ALAT hos patienter behandlet med </w:t>
      </w:r>
      <w:proofErr w:type="spellStart"/>
      <w:r w:rsidRPr="008332B2">
        <w:rPr>
          <w:sz w:val="24"/>
          <w:szCs w:val="24"/>
        </w:rPr>
        <w:t>tolvaptan</w:t>
      </w:r>
      <w:proofErr w:type="spellEnd"/>
      <w:r w:rsidRPr="008332B2">
        <w:rPr>
          <w:sz w:val="24"/>
          <w:szCs w:val="24"/>
        </w:rPr>
        <w:t xml:space="preserve"> [4,4 % (42/958)] sammenlignet med patienter, der fik placebo [1,0 % (5/484)]. Der blev observeret en stigning (&gt; 3 × ULN) i serum-</w:t>
      </w:r>
      <w:proofErr w:type="spellStart"/>
      <w:r w:rsidRPr="008332B2">
        <w:rPr>
          <w:sz w:val="24"/>
          <w:szCs w:val="24"/>
        </w:rPr>
        <w:t>aspartataminotransferase</w:t>
      </w:r>
      <w:proofErr w:type="spellEnd"/>
      <w:r w:rsidRPr="008332B2">
        <w:rPr>
          <w:sz w:val="24"/>
          <w:szCs w:val="24"/>
        </w:rPr>
        <w:t xml:space="preserve"> (ASAT) hos 3,1 % (30/958) af </w:t>
      </w:r>
      <w:r w:rsidRPr="008332B2">
        <w:rPr>
          <w:sz w:val="24"/>
          <w:szCs w:val="24"/>
        </w:rPr>
        <w:lastRenderedPageBreak/>
        <w:t xml:space="preserve">patienterne på </w:t>
      </w:r>
      <w:proofErr w:type="spellStart"/>
      <w:r w:rsidRPr="008332B2">
        <w:rPr>
          <w:sz w:val="24"/>
          <w:szCs w:val="24"/>
        </w:rPr>
        <w:t>tolvaptan</w:t>
      </w:r>
      <w:proofErr w:type="spellEnd"/>
      <w:r w:rsidRPr="008332B2">
        <w:rPr>
          <w:sz w:val="24"/>
          <w:szCs w:val="24"/>
        </w:rPr>
        <w:t xml:space="preserve"> og hos 0,8 % (4/484) af patienterne på placebo. De fleste leverenzymforstyrrelser blev observeret i løbet af de første 18 måneder af behandlingen. Stigningerne svandt gradvist efter </w:t>
      </w:r>
      <w:proofErr w:type="spellStart"/>
      <w:r w:rsidRPr="008332B2">
        <w:rPr>
          <w:sz w:val="24"/>
          <w:szCs w:val="24"/>
        </w:rPr>
        <w:t>seponering</w:t>
      </w:r>
      <w:proofErr w:type="spellEnd"/>
      <w:r w:rsidRPr="008332B2">
        <w:rPr>
          <w:sz w:val="24"/>
          <w:szCs w:val="24"/>
        </w:rPr>
        <w:t xml:space="preserve"> af </w:t>
      </w:r>
      <w:proofErr w:type="spellStart"/>
      <w:r w:rsidRPr="008332B2">
        <w:rPr>
          <w:sz w:val="24"/>
          <w:szCs w:val="24"/>
        </w:rPr>
        <w:t>tolvaptan</w:t>
      </w:r>
      <w:proofErr w:type="spellEnd"/>
      <w:r w:rsidRPr="008332B2">
        <w:rPr>
          <w:sz w:val="24"/>
          <w:szCs w:val="24"/>
        </w:rPr>
        <w:t xml:space="preserve">. Disse fund kan antyde, at </w:t>
      </w:r>
      <w:proofErr w:type="spellStart"/>
      <w:r w:rsidRPr="008332B2">
        <w:rPr>
          <w:sz w:val="24"/>
          <w:szCs w:val="24"/>
        </w:rPr>
        <w:t>tolvaptan</w:t>
      </w:r>
      <w:proofErr w:type="spellEnd"/>
      <w:r w:rsidRPr="008332B2">
        <w:rPr>
          <w:sz w:val="24"/>
          <w:szCs w:val="24"/>
        </w:rPr>
        <w:t xml:space="preserve"> muligvis kan forårsage irreversibel og potentielt dødelig leverskade.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rPr>
      </w:pPr>
      <w:r w:rsidRPr="00CE3D3A">
        <w:rPr>
          <w:sz w:val="24"/>
          <w:szCs w:val="24"/>
        </w:rPr>
        <w:t xml:space="preserve">I et sikkerhedsmæssigt studie af </w:t>
      </w:r>
      <w:proofErr w:type="spellStart"/>
      <w:r w:rsidRPr="00CE3D3A">
        <w:rPr>
          <w:sz w:val="24"/>
          <w:szCs w:val="24"/>
        </w:rPr>
        <w:t>tolvaptan</w:t>
      </w:r>
      <w:proofErr w:type="spellEnd"/>
      <w:r w:rsidRPr="00CE3D3A">
        <w:rPr>
          <w:sz w:val="24"/>
          <w:szCs w:val="24"/>
        </w:rPr>
        <w:t xml:space="preserve"> efter tilladelse til markedsføring hos patienter med </w:t>
      </w:r>
      <w:proofErr w:type="spellStart"/>
      <w:r w:rsidRPr="00CE3D3A">
        <w:rPr>
          <w:sz w:val="24"/>
          <w:szCs w:val="24"/>
        </w:rPr>
        <w:t>hyponatriæmi</w:t>
      </w:r>
      <w:proofErr w:type="spellEnd"/>
      <w:r w:rsidRPr="00CE3D3A">
        <w:rPr>
          <w:sz w:val="24"/>
          <w:szCs w:val="24"/>
        </w:rPr>
        <w:t xml:space="preserve"> sekundært til SIADH sås der adskillige tilfælde af leversygdomme og forhøjede </w:t>
      </w:r>
      <w:proofErr w:type="spellStart"/>
      <w:r w:rsidRPr="00CE3D3A">
        <w:rPr>
          <w:sz w:val="24"/>
          <w:szCs w:val="24"/>
        </w:rPr>
        <w:t>transaminaser</w:t>
      </w:r>
      <w:proofErr w:type="spellEnd"/>
      <w:r w:rsidRPr="00CE3D3A">
        <w:rPr>
          <w:sz w:val="24"/>
          <w:szCs w:val="24"/>
        </w:rPr>
        <w:t xml:space="preserve"> (se pkt. 4.8).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rPr>
      </w:pPr>
      <w:r w:rsidRPr="00CE3D3A">
        <w:rPr>
          <w:sz w:val="24"/>
          <w:szCs w:val="24"/>
        </w:rPr>
        <w:t xml:space="preserve">Der bør straks tages leverfunktionsprøver hos patienter i behandling med </w:t>
      </w:r>
      <w:proofErr w:type="spellStart"/>
      <w:r w:rsidRPr="00CE3D3A">
        <w:rPr>
          <w:sz w:val="24"/>
          <w:szCs w:val="24"/>
        </w:rPr>
        <w:t>tolvaptan</w:t>
      </w:r>
      <w:proofErr w:type="spellEnd"/>
      <w:r w:rsidRPr="00CE3D3A">
        <w:rPr>
          <w:sz w:val="24"/>
          <w:szCs w:val="24"/>
        </w:rPr>
        <w:t xml:space="preserve">, som rapporterer symptomer, der kan være tegn på leverskade, inklusive træthed, appetitløshed, ubehag i øverste højre del af abdomen, mørk urin eller gulsot. Hvis der er mistanke om leverskade, skal </w:t>
      </w:r>
      <w:proofErr w:type="spellStart"/>
      <w:r w:rsidRPr="00CE3D3A">
        <w:rPr>
          <w:sz w:val="24"/>
          <w:szCs w:val="24"/>
        </w:rPr>
        <w:t>tolvaptan</w:t>
      </w:r>
      <w:proofErr w:type="spellEnd"/>
      <w:r w:rsidRPr="00CE3D3A">
        <w:rPr>
          <w:sz w:val="24"/>
          <w:szCs w:val="24"/>
        </w:rPr>
        <w:t xml:space="preserve"> seponeres omgående, passende behandling skal initieres og undersøgelser skal iværksættes for at bestemme den mulige årsag. </w:t>
      </w:r>
      <w:proofErr w:type="spellStart"/>
      <w:r w:rsidRPr="00CE3D3A">
        <w:rPr>
          <w:sz w:val="24"/>
          <w:szCs w:val="24"/>
        </w:rPr>
        <w:t>Tolvaptanbehandling</w:t>
      </w:r>
      <w:proofErr w:type="spellEnd"/>
      <w:r w:rsidRPr="00CE3D3A">
        <w:rPr>
          <w:sz w:val="24"/>
          <w:szCs w:val="24"/>
        </w:rPr>
        <w:t xml:space="preserve"> bør ikke genstartes, medmindre det kan fastlægges med sikkerhed, at årsagen til den observerede leverskade ikke har relation til </w:t>
      </w:r>
      <w:proofErr w:type="spellStart"/>
      <w:r w:rsidRPr="00CE3D3A">
        <w:rPr>
          <w:sz w:val="24"/>
          <w:szCs w:val="24"/>
        </w:rPr>
        <w:t>tolvaptanbehandlingen</w:t>
      </w:r>
      <w:proofErr w:type="spellEnd"/>
      <w:r w:rsidRPr="00CE3D3A">
        <w:rPr>
          <w:sz w:val="24"/>
          <w:szCs w:val="24"/>
        </w:rPr>
        <w:t xml:space="preserve">.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r w:rsidRPr="00CE3D3A">
        <w:rPr>
          <w:sz w:val="24"/>
          <w:szCs w:val="24"/>
          <w:u w:val="single"/>
        </w:rPr>
        <w:t xml:space="preserve">Anafylaksi </w:t>
      </w:r>
    </w:p>
    <w:p w:rsidR="00CE3D3A" w:rsidRPr="00CE3D3A" w:rsidRDefault="00CE3D3A" w:rsidP="00CE3D3A">
      <w:pPr>
        <w:tabs>
          <w:tab w:val="left" w:pos="851"/>
        </w:tabs>
        <w:ind w:left="851"/>
        <w:rPr>
          <w:sz w:val="24"/>
          <w:szCs w:val="24"/>
        </w:rPr>
      </w:pPr>
      <w:r w:rsidRPr="00CE3D3A">
        <w:rPr>
          <w:sz w:val="24"/>
          <w:szCs w:val="24"/>
        </w:rPr>
        <w:t xml:space="preserve">Ved erfaring efter markedsføring er der rapporteret meget sjældne tilfælde af anafylaksi (herunder </w:t>
      </w:r>
      <w:proofErr w:type="spellStart"/>
      <w:r w:rsidRPr="00CE3D3A">
        <w:rPr>
          <w:sz w:val="24"/>
          <w:szCs w:val="24"/>
        </w:rPr>
        <w:t>anafylaktisk</w:t>
      </w:r>
      <w:proofErr w:type="spellEnd"/>
      <w:r w:rsidRPr="00CE3D3A">
        <w:rPr>
          <w:sz w:val="24"/>
          <w:szCs w:val="24"/>
        </w:rPr>
        <w:t xml:space="preserve"> </w:t>
      </w:r>
      <w:proofErr w:type="spellStart"/>
      <w:r w:rsidRPr="00CE3D3A">
        <w:rPr>
          <w:sz w:val="24"/>
          <w:szCs w:val="24"/>
        </w:rPr>
        <w:t>shock</w:t>
      </w:r>
      <w:proofErr w:type="spellEnd"/>
      <w:r w:rsidRPr="00CE3D3A">
        <w:rPr>
          <w:sz w:val="24"/>
          <w:szCs w:val="24"/>
        </w:rPr>
        <w:t xml:space="preserve"> og generaliseret udslæt) efter administration af </w:t>
      </w:r>
      <w:proofErr w:type="spellStart"/>
      <w:r w:rsidRPr="00CE3D3A">
        <w:rPr>
          <w:sz w:val="24"/>
          <w:szCs w:val="24"/>
        </w:rPr>
        <w:t>tolvaptan</w:t>
      </w:r>
      <w:proofErr w:type="spellEnd"/>
      <w:r w:rsidRPr="00CE3D3A">
        <w:rPr>
          <w:sz w:val="24"/>
          <w:szCs w:val="24"/>
        </w:rPr>
        <w:t xml:space="preserve">. Patienterne skal overvåges omhyggeligt under behandlingen. Patienter med kendt overfølsomhed over for </w:t>
      </w:r>
      <w:proofErr w:type="spellStart"/>
      <w:r w:rsidRPr="00CE3D3A">
        <w:rPr>
          <w:sz w:val="24"/>
          <w:szCs w:val="24"/>
        </w:rPr>
        <w:t>benzazepiner</w:t>
      </w:r>
      <w:proofErr w:type="spellEnd"/>
      <w:r w:rsidRPr="00CE3D3A">
        <w:rPr>
          <w:sz w:val="24"/>
          <w:szCs w:val="24"/>
        </w:rPr>
        <w:t xml:space="preserve"> eller </w:t>
      </w:r>
      <w:proofErr w:type="spellStart"/>
      <w:r w:rsidRPr="00CE3D3A">
        <w:rPr>
          <w:sz w:val="24"/>
          <w:szCs w:val="24"/>
        </w:rPr>
        <w:t>benzazepinderivater</w:t>
      </w:r>
      <w:proofErr w:type="spellEnd"/>
      <w:r w:rsidRPr="00CE3D3A">
        <w:rPr>
          <w:sz w:val="24"/>
          <w:szCs w:val="24"/>
        </w:rPr>
        <w:t xml:space="preserve"> (f.eks. </w:t>
      </w:r>
      <w:proofErr w:type="spellStart"/>
      <w:r w:rsidRPr="00CE3D3A">
        <w:rPr>
          <w:sz w:val="24"/>
          <w:szCs w:val="24"/>
        </w:rPr>
        <w:t>benazepril</w:t>
      </w:r>
      <w:proofErr w:type="spellEnd"/>
      <w:r w:rsidRPr="00CE3D3A">
        <w:rPr>
          <w:sz w:val="24"/>
          <w:szCs w:val="24"/>
        </w:rPr>
        <w:t xml:space="preserve">, </w:t>
      </w:r>
      <w:proofErr w:type="spellStart"/>
      <w:r w:rsidRPr="00CE3D3A">
        <w:rPr>
          <w:sz w:val="24"/>
          <w:szCs w:val="24"/>
        </w:rPr>
        <w:t>conivaptan</w:t>
      </w:r>
      <w:proofErr w:type="spellEnd"/>
      <w:r w:rsidRPr="00CE3D3A">
        <w:rPr>
          <w:sz w:val="24"/>
          <w:szCs w:val="24"/>
        </w:rPr>
        <w:t xml:space="preserve">, </w:t>
      </w:r>
      <w:proofErr w:type="spellStart"/>
      <w:r w:rsidRPr="00CE3D3A">
        <w:rPr>
          <w:sz w:val="24"/>
          <w:szCs w:val="24"/>
        </w:rPr>
        <w:t>fenoldopammesylat</w:t>
      </w:r>
      <w:proofErr w:type="spellEnd"/>
      <w:r w:rsidRPr="00CE3D3A">
        <w:rPr>
          <w:sz w:val="24"/>
          <w:szCs w:val="24"/>
        </w:rPr>
        <w:t xml:space="preserve"> eller </w:t>
      </w:r>
      <w:proofErr w:type="spellStart"/>
      <w:r w:rsidRPr="00CE3D3A">
        <w:rPr>
          <w:sz w:val="24"/>
          <w:szCs w:val="24"/>
        </w:rPr>
        <w:t>mirtazapin</w:t>
      </w:r>
      <w:proofErr w:type="spellEnd"/>
      <w:r w:rsidRPr="00CE3D3A">
        <w:rPr>
          <w:sz w:val="24"/>
          <w:szCs w:val="24"/>
        </w:rPr>
        <w:t xml:space="preserve">) kan have en risiko for overfølsomhedsreaktioner over for </w:t>
      </w:r>
      <w:proofErr w:type="spellStart"/>
      <w:r w:rsidRPr="00CE3D3A">
        <w:rPr>
          <w:sz w:val="24"/>
          <w:szCs w:val="24"/>
        </w:rPr>
        <w:t>tolvaptan</w:t>
      </w:r>
      <w:proofErr w:type="spellEnd"/>
      <w:r w:rsidRPr="00CE3D3A">
        <w:rPr>
          <w:sz w:val="24"/>
          <w:szCs w:val="24"/>
        </w:rPr>
        <w:t xml:space="preserve"> (se pkt. 4.3 ”Kontraindikationer”).</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rPr>
      </w:pPr>
      <w:r w:rsidRPr="00CE3D3A">
        <w:rPr>
          <w:sz w:val="24"/>
          <w:szCs w:val="24"/>
        </w:rPr>
        <w:t xml:space="preserve">Hvis der opstår en </w:t>
      </w:r>
      <w:proofErr w:type="spellStart"/>
      <w:r w:rsidRPr="00CE3D3A">
        <w:rPr>
          <w:sz w:val="24"/>
          <w:szCs w:val="24"/>
        </w:rPr>
        <w:t>anafylaktisk</w:t>
      </w:r>
      <w:proofErr w:type="spellEnd"/>
      <w:r w:rsidRPr="00CE3D3A">
        <w:rPr>
          <w:sz w:val="24"/>
          <w:szCs w:val="24"/>
        </w:rPr>
        <w:t xml:space="preserve"> reaktion eller andre alvorlige allergiske reaktioner, skal administrationen af </w:t>
      </w:r>
      <w:proofErr w:type="spellStart"/>
      <w:r w:rsidRPr="00CE3D3A">
        <w:rPr>
          <w:sz w:val="24"/>
          <w:szCs w:val="24"/>
        </w:rPr>
        <w:t>Tolvaptan</w:t>
      </w:r>
      <w:proofErr w:type="spellEnd"/>
      <w:r w:rsidRPr="00CE3D3A">
        <w:rPr>
          <w:sz w:val="24"/>
          <w:szCs w:val="24"/>
        </w:rPr>
        <w:t xml:space="preserve"> "</w:t>
      </w:r>
      <w:proofErr w:type="spellStart"/>
      <w:r w:rsidRPr="00CE3D3A">
        <w:rPr>
          <w:sz w:val="24"/>
          <w:szCs w:val="24"/>
        </w:rPr>
        <w:t>Teva</w:t>
      </w:r>
      <w:proofErr w:type="spellEnd"/>
      <w:r w:rsidRPr="00CE3D3A">
        <w:rPr>
          <w:sz w:val="24"/>
          <w:szCs w:val="24"/>
        </w:rPr>
        <w:t xml:space="preserve">" seponeres omgående, og passende behandling skal iværksættes. Da overfølsomhed er en kontraindikation (se pkt. 4.3), må behandlingen aldrig påbegyndes igen efter en </w:t>
      </w:r>
      <w:proofErr w:type="spellStart"/>
      <w:r w:rsidRPr="00CE3D3A">
        <w:rPr>
          <w:sz w:val="24"/>
          <w:szCs w:val="24"/>
        </w:rPr>
        <w:t>anafylaktisk</w:t>
      </w:r>
      <w:proofErr w:type="spellEnd"/>
      <w:r w:rsidRPr="00CE3D3A">
        <w:rPr>
          <w:sz w:val="24"/>
          <w:szCs w:val="24"/>
        </w:rPr>
        <w:t xml:space="preserve"> reaktion eller andre alvorlige allergiske reaktioner. </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u w:val="single"/>
        </w:rPr>
      </w:pPr>
      <w:proofErr w:type="spellStart"/>
      <w:r w:rsidRPr="00CE3D3A">
        <w:rPr>
          <w:sz w:val="24"/>
          <w:szCs w:val="24"/>
          <w:u w:val="single"/>
        </w:rPr>
        <w:t>Lactose</w:t>
      </w:r>
      <w:proofErr w:type="spellEnd"/>
      <w:r w:rsidRPr="00CE3D3A">
        <w:rPr>
          <w:sz w:val="24"/>
          <w:szCs w:val="24"/>
          <w:u w:val="single"/>
        </w:rPr>
        <w:t xml:space="preserve"> </w:t>
      </w:r>
    </w:p>
    <w:p w:rsidR="00CE3D3A" w:rsidRPr="00CE3D3A" w:rsidRDefault="00CE3D3A" w:rsidP="00CE3D3A">
      <w:pPr>
        <w:tabs>
          <w:tab w:val="left" w:pos="851"/>
        </w:tabs>
        <w:ind w:left="851"/>
        <w:rPr>
          <w:sz w:val="24"/>
          <w:szCs w:val="24"/>
        </w:rPr>
      </w:pPr>
      <w:proofErr w:type="spellStart"/>
      <w:r w:rsidRPr="00CE3D3A">
        <w:rPr>
          <w:sz w:val="24"/>
          <w:szCs w:val="24"/>
        </w:rPr>
        <w:t>Tolvaptan</w:t>
      </w:r>
      <w:proofErr w:type="spellEnd"/>
      <w:r w:rsidRPr="00CE3D3A">
        <w:rPr>
          <w:sz w:val="24"/>
          <w:szCs w:val="24"/>
        </w:rPr>
        <w:t xml:space="preserve"> "</w:t>
      </w:r>
      <w:proofErr w:type="spellStart"/>
      <w:r w:rsidRPr="00CE3D3A">
        <w:rPr>
          <w:sz w:val="24"/>
          <w:szCs w:val="24"/>
        </w:rPr>
        <w:t>Teva</w:t>
      </w:r>
      <w:proofErr w:type="spellEnd"/>
      <w:r w:rsidRPr="00CE3D3A">
        <w:rPr>
          <w:sz w:val="24"/>
          <w:szCs w:val="24"/>
        </w:rPr>
        <w:t xml:space="preserve">" indeholder </w:t>
      </w:r>
      <w:proofErr w:type="spellStart"/>
      <w:r w:rsidRPr="00CE3D3A">
        <w:rPr>
          <w:sz w:val="24"/>
          <w:szCs w:val="24"/>
        </w:rPr>
        <w:t>lactose</w:t>
      </w:r>
      <w:proofErr w:type="spellEnd"/>
      <w:r w:rsidRPr="00CE3D3A">
        <w:rPr>
          <w:sz w:val="24"/>
          <w:szCs w:val="24"/>
        </w:rPr>
        <w:t xml:space="preserve"> som hjælpestof. Bør ikke anvendes til patienter med arvelig </w:t>
      </w:r>
      <w:proofErr w:type="spellStart"/>
      <w:r w:rsidRPr="00CE3D3A">
        <w:rPr>
          <w:sz w:val="24"/>
          <w:szCs w:val="24"/>
        </w:rPr>
        <w:t>galactoseintolerans</w:t>
      </w:r>
      <w:proofErr w:type="spellEnd"/>
      <w:r w:rsidRPr="00CE3D3A">
        <w:rPr>
          <w:sz w:val="24"/>
          <w:szCs w:val="24"/>
        </w:rPr>
        <w:t xml:space="preserve">, en særlig form af hereditær </w:t>
      </w:r>
      <w:proofErr w:type="spellStart"/>
      <w:r w:rsidRPr="00CE3D3A">
        <w:rPr>
          <w:sz w:val="24"/>
          <w:szCs w:val="24"/>
        </w:rPr>
        <w:t>lactasemangel</w:t>
      </w:r>
      <w:proofErr w:type="spellEnd"/>
      <w:r w:rsidRPr="00CE3D3A">
        <w:rPr>
          <w:sz w:val="24"/>
          <w:szCs w:val="24"/>
        </w:rPr>
        <w:t xml:space="preserve"> (total </w:t>
      </w:r>
      <w:proofErr w:type="spellStart"/>
      <w:r w:rsidRPr="00CE3D3A">
        <w:rPr>
          <w:sz w:val="24"/>
          <w:szCs w:val="24"/>
        </w:rPr>
        <w:t>lactase</w:t>
      </w:r>
      <w:proofErr w:type="spellEnd"/>
      <w:r w:rsidRPr="00CE3D3A">
        <w:rPr>
          <w:sz w:val="24"/>
          <w:szCs w:val="24"/>
        </w:rPr>
        <w:t xml:space="preserve"> </w:t>
      </w:r>
      <w:proofErr w:type="spellStart"/>
      <w:r w:rsidRPr="00CE3D3A">
        <w:rPr>
          <w:sz w:val="24"/>
          <w:szCs w:val="24"/>
        </w:rPr>
        <w:t>deficiency</w:t>
      </w:r>
      <w:proofErr w:type="spellEnd"/>
      <w:r w:rsidRPr="00CE3D3A">
        <w:rPr>
          <w:sz w:val="24"/>
          <w:szCs w:val="24"/>
        </w:rPr>
        <w:t xml:space="preserve">) eller </w:t>
      </w:r>
      <w:proofErr w:type="spellStart"/>
      <w:r w:rsidRPr="00CE3D3A">
        <w:rPr>
          <w:sz w:val="24"/>
          <w:szCs w:val="24"/>
        </w:rPr>
        <w:t>glucose</w:t>
      </w:r>
      <w:proofErr w:type="spellEnd"/>
      <w:r w:rsidRPr="00CE3D3A">
        <w:rPr>
          <w:sz w:val="24"/>
          <w:szCs w:val="24"/>
        </w:rPr>
        <w:t>/</w:t>
      </w:r>
      <w:proofErr w:type="spellStart"/>
      <w:r w:rsidRPr="00CE3D3A">
        <w:rPr>
          <w:sz w:val="24"/>
          <w:szCs w:val="24"/>
        </w:rPr>
        <w:t>galactosemalabsorption</w:t>
      </w:r>
      <w:proofErr w:type="spellEnd"/>
      <w:r w:rsidRPr="00CE3D3A">
        <w:rPr>
          <w:sz w:val="24"/>
          <w:szCs w:val="24"/>
        </w:rPr>
        <w:t>.</w:t>
      </w:r>
    </w:p>
    <w:p w:rsidR="00CE3D3A" w:rsidRPr="00CE3D3A" w:rsidRDefault="00CE3D3A" w:rsidP="00CE3D3A">
      <w:pPr>
        <w:tabs>
          <w:tab w:val="left" w:pos="851"/>
        </w:tabs>
        <w:ind w:left="851"/>
        <w:rPr>
          <w:sz w:val="24"/>
          <w:szCs w:val="24"/>
        </w:rPr>
      </w:pPr>
    </w:p>
    <w:p w:rsidR="00CE3D3A" w:rsidRPr="00CE3D3A" w:rsidRDefault="00CE3D3A" w:rsidP="00CE3D3A">
      <w:pPr>
        <w:tabs>
          <w:tab w:val="left" w:pos="851"/>
        </w:tabs>
        <w:ind w:left="851"/>
        <w:rPr>
          <w:sz w:val="24"/>
          <w:szCs w:val="24"/>
        </w:rPr>
      </w:pPr>
      <w:r w:rsidRPr="00CE3D3A">
        <w:rPr>
          <w:sz w:val="24"/>
          <w:szCs w:val="24"/>
          <w:u w:val="single"/>
        </w:rPr>
        <w:t>Natrium</w:t>
      </w:r>
    </w:p>
    <w:p w:rsidR="00CE3D3A" w:rsidRPr="00CE3D3A" w:rsidRDefault="00CE3D3A" w:rsidP="00CE3D3A">
      <w:pPr>
        <w:tabs>
          <w:tab w:val="left" w:pos="851"/>
        </w:tabs>
        <w:ind w:left="851"/>
        <w:rPr>
          <w:sz w:val="24"/>
          <w:szCs w:val="24"/>
        </w:rPr>
      </w:pPr>
      <w:r w:rsidRPr="00CE3D3A">
        <w:rPr>
          <w:sz w:val="24"/>
          <w:szCs w:val="24"/>
        </w:rPr>
        <w:t>Dette lægemiddel indeholder mindre end 1 mmol natrium (23 mg) pr. tablet, dvs. det er i det væsentlige ”natriumfrit”.</w:t>
      </w:r>
    </w:p>
    <w:p w:rsidR="009260DE" w:rsidRPr="00C84483" w:rsidRDefault="009260DE" w:rsidP="00876505">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F3A8E" w:rsidRDefault="009F3A8E" w:rsidP="009F3A8E">
      <w:pPr>
        <w:tabs>
          <w:tab w:val="left" w:pos="851"/>
        </w:tabs>
        <w:ind w:left="851"/>
        <w:rPr>
          <w:sz w:val="24"/>
          <w:szCs w:val="24"/>
          <w:u w:val="single"/>
        </w:rPr>
      </w:pPr>
    </w:p>
    <w:p w:rsidR="009F3A8E" w:rsidRPr="009F3A8E" w:rsidRDefault="009F3A8E" w:rsidP="009F3A8E">
      <w:pPr>
        <w:tabs>
          <w:tab w:val="left" w:pos="851"/>
        </w:tabs>
        <w:ind w:left="851"/>
        <w:rPr>
          <w:sz w:val="24"/>
          <w:szCs w:val="24"/>
          <w:u w:val="single"/>
        </w:rPr>
      </w:pPr>
      <w:r w:rsidRPr="009F3A8E">
        <w:rPr>
          <w:sz w:val="24"/>
          <w:szCs w:val="24"/>
          <w:u w:val="single"/>
        </w:rPr>
        <w:t xml:space="preserve">Samtidig administration af anden behandling for </w:t>
      </w:r>
      <w:proofErr w:type="spellStart"/>
      <w:r w:rsidRPr="009F3A8E">
        <w:rPr>
          <w:sz w:val="24"/>
          <w:szCs w:val="24"/>
          <w:u w:val="single"/>
        </w:rPr>
        <w:t>hyponatriæmi</w:t>
      </w:r>
      <w:proofErr w:type="spellEnd"/>
      <w:r w:rsidRPr="009F3A8E">
        <w:rPr>
          <w:sz w:val="24"/>
          <w:szCs w:val="24"/>
          <w:u w:val="single"/>
        </w:rPr>
        <w:t xml:space="preserve"> og lægemidler, der øger serumnatrium </w:t>
      </w:r>
    </w:p>
    <w:p w:rsidR="009F3A8E" w:rsidRDefault="009F3A8E" w:rsidP="009F3A8E">
      <w:pPr>
        <w:tabs>
          <w:tab w:val="left" w:pos="851"/>
        </w:tabs>
        <w:ind w:left="851"/>
        <w:rPr>
          <w:sz w:val="24"/>
          <w:szCs w:val="24"/>
        </w:rPr>
      </w:pPr>
      <w:r w:rsidRPr="009F3A8E">
        <w:rPr>
          <w:sz w:val="24"/>
          <w:szCs w:val="24"/>
        </w:rPr>
        <w:t xml:space="preserve">Der er ingen erfaring fra kontrollerede kliniske studier med samtidig anvendelse af </w:t>
      </w:r>
      <w:proofErr w:type="spellStart"/>
      <w:r w:rsidRPr="009F3A8E">
        <w:rPr>
          <w:sz w:val="24"/>
          <w:szCs w:val="24"/>
        </w:rPr>
        <w:t>tolvaptan</w:t>
      </w:r>
      <w:proofErr w:type="spellEnd"/>
      <w:r w:rsidRPr="009F3A8E">
        <w:rPr>
          <w:sz w:val="24"/>
          <w:szCs w:val="24"/>
        </w:rPr>
        <w:t xml:space="preserve"> og andre behandlinger for </w:t>
      </w:r>
      <w:proofErr w:type="spellStart"/>
      <w:r w:rsidRPr="009F3A8E">
        <w:rPr>
          <w:sz w:val="24"/>
          <w:szCs w:val="24"/>
        </w:rPr>
        <w:t>hyponatriæmi</w:t>
      </w:r>
      <w:proofErr w:type="spellEnd"/>
      <w:r w:rsidRPr="009F3A8E">
        <w:rPr>
          <w:sz w:val="24"/>
          <w:szCs w:val="24"/>
        </w:rPr>
        <w:t xml:space="preserve">, f.eks. </w:t>
      </w:r>
      <w:proofErr w:type="spellStart"/>
      <w:r w:rsidRPr="009F3A8E">
        <w:rPr>
          <w:sz w:val="24"/>
          <w:szCs w:val="24"/>
        </w:rPr>
        <w:t>hyperton</w:t>
      </w:r>
      <w:proofErr w:type="spellEnd"/>
      <w:r w:rsidRPr="009F3A8E">
        <w:rPr>
          <w:sz w:val="24"/>
          <w:szCs w:val="24"/>
        </w:rPr>
        <w:t xml:space="preserve"> </w:t>
      </w:r>
      <w:proofErr w:type="spellStart"/>
      <w:r w:rsidRPr="009F3A8E">
        <w:rPr>
          <w:sz w:val="24"/>
          <w:szCs w:val="24"/>
        </w:rPr>
        <w:t>natriumchloridopløsning</w:t>
      </w:r>
      <w:proofErr w:type="spellEnd"/>
      <w:r w:rsidRPr="009F3A8E">
        <w:rPr>
          <w:sz w:val="24"/>
          <w:szCs w:val="24"/>
        </w:rPr>
        <w:t xml:space="preserve">, orale natriumpræparater og lægemidler, der øger serumnatrium. Lægemidler med højt natriumindhold, f.eks. analgetiske brusetabletter og visse natriumholdige præparater mod dyspepsi, kan også øge serumnatrium. Samtidig anvendelse af </w:t>
      </w:r>
      <w:proofErr w:type="spellStart"/>
      <w:r w:rsidRPr="009F3A8E">
        <w:rPr>
          <w:sz w:val="24"/>
          <w:szCs w:val="24"/>
        </w:rPr>
        <w:t>Tolvaptan</w:t>
      </w:r>
      <w:proofErr w:type="spellEnd"/>
      <w:r w:rsidRPr="009F3A8E">
        <w:rPr>
          <w:sz w:val="24"/>
          <w:szCs w:val="24"/>
        </w:rPr>
        <w:t xml:space="preserve"> "</w:t>
      </w:r>
      <w:proofErr w:type="spellStart"/>
      <w:r w:rsidRPr="009F3A8E">
        <w:rPr>
          <w:sz w:val="24"/>
          <w:szCs w:val="24"/>
        </w:rPr>
        <w:t>Teva</w:t>
      </w:r>
      <w:proofErr w:type="spellEnd"/>
      <w:r w:rsidRPr="009F3A8E">
        <w:rPr>
          <w:sz w:val="24"/>
          <w:szCs w:val="24"/>
        </w:rPr>
        <w:t xml:space="preserve">" og anden behandling for </w:t>
      </w:r>
      <w:proofErr w:type="spellStart"/>
      <w:r w:rsidRPr="009F3A8E">
        <w:rPr>
          <w:sz w:val="24"/>
          <w:szCs w:val="24"/>
        </w:rPr>
        <w:t>hyponatriæmi</w:t>
      </w:r>
      <w:proofErr w:type="spellEnd"/>
      <w:r w:rsidRPr="009F3A8E">
        <w:rPr>
          <w:sz w:val="24"/>
          <w:szCs w:val="24"/>
        </w:rPr>
        <w:t xml:space="preserve"> eller andre lægemidler, der øger serumnatrium, kan medføre en højere risiko for at udvikle hurtig </w:t>
      </w:r>
      <w:r w:rsidRPr="009F3A8E">
        <w:rPr>
          <w:sz w:val="24"/>
          <w:szCs w:val="24"/>
        </w:rPr>
        <w:lastRenderedPageBreak/>
        <w:t xml:space="preserve">korrektion af serumnatrium (se pkt. 4.4) og frarådes derfor under den indledende behandling eller for andre patienter med en meget lav </w:t>
      </w:r>
      <w:r w:rsidRPr="009F3A8E">
        <w:rPr>
          <w:i/>
          <w:sz w:val="24"/>
          <w:szCs w:val="24"/>
        </w:rPr>
        <w:t>baseline</w:t>
      </w:r>
      <w:r w:rsidRPr="009F3A8E">
        <w:rPr>
          <w:sz w:val="24"/>
          <w:szCs w:val="24"/>
        </w:rPr>
        <w:t xml:space="preserve">-koncentration af serumnatrium, hvor en for hurtig korrektion kan øge risikoen for osmotisk </w:t>
      </w:r>
      <w:proofErr w:type="spellStart"/>
      <w:r w:rsidRPr="009F3A8E">
        <w:rPr>
          <w:sz w:val="24"/>
          <w:szCs w:val="24"/>
        </w:rPr>
        <w:t>demyelering</w:t>
      </w:r>
      <w:proofErr w:type="spellEnd"/>
      <w:r w:rsidRPr="009F3A8E">
        <w:rPr>
          <w:sz w:val="24"/>
          <w:szCs w:val="24"/>
        </w:rPr>
        <w:t xml:space="preserve"> (se pkt. 4.4).</w:t>
      </w:r>
    </w:p>
    <w:p w:rsidR="00876505" w:rsidRDefault="00876505" w:rsidP="009F3A8E">
      <w:pPr>
        <w:tabs>
          <w:tab w:val="left" w:pos="851"/>
        </w:tabs>
        <w:ind w:left="851"/>
        <w:rPr>
          <w:sz w:val="24"/>
          <w:szCs w:val="24"/>
        </w:rPr>
      </w:pPr>
    </w:p>
    <w:p w:rsidR="00876505" w:rsidRPr="009F3A8E" w:rsidRDefault="00876505" w:rsidP="009F3A8E">
      <w:pPr>
        <w:tabs>
          <w:tab w:val="left" w:pos="851"/>
        </w:tabs>
        <w:ind w:left="851"/>
        <w:rPr>
          <w:sz w:val="24"/>
          <w:szCs w:val="24"/>
        </w:rPr>
      </w:pPr>
      <w:r w:rsidRPr="004F79B2">
        <w:rPr>
          <w:sz w:val="24"/>
          <w:szCs w:val="24"/>
          <w:u w:val="single"/>
        </w:rPr>
        <w:t xml:space="preserve">Virkningen af andre lægemidler på </w:t>
      </w:r>
      <w:proofErr w:type="spellStart"/>
      <w:r w:rsidRPr="004F79B2">
        <w:rPr>
          <w:sz w:val="24"/>
          <w:szCs w:val="24"/>
          <w:u w:val="single"/>
        </w:rPr>
        <w:t>tolvaptans</w:t>
      </w:r>
      <w:proofErr w:type="spellEnd"/>
      <w:r w:rsidRPr="004F79B2">
        <w:rPr>
          <w:sz w:val="24"/>
          <w:szCs w:val="24"/>
          <w:u w:val="single"/>
        </w:rPr>
        <w:t xml:space="preserve"> farmakokinetik</w:t>
      </w:r>
    </w:p>
    <w:p w:rsidR="009F3A8E" w:rsidRPr="009F3A8E" w:rsidRDefault="009F3A8E" w:rsidP="009F3A8E">
      <w:pPr>
        <w:tabs>
          <w:tab w:val="left" w:pos="851"/>
        </w:tabs>
        <w:ind w:left="851"/>
        <w:rPr>
          <w:sz w:val="24"/>
          <w:szCs w:val="24"/>
        </w:rPr>
      </w:pPr>
    </w:p>
    <w:p w:rsidR="009F3A8E" w:rsidRPr="009F3A8E" w:rsidRDefault="009F3A8E" w:rsidP="009F3A8E">
      <w:pPr>
        <w:tabs>
          <w:tab w:val="left" w:pos="851"/>
        </w:tabs>
        <w:ind w:left="851"/>
        <w:rPr>
          <w:sz w:val="24"/>
          <w:szCs w:val="24"/>
          <w:u w:val="single"/>
        </w:rPr>
      </w:pPr>
      <w:r w:rsidRPr="009F3A8E">
        <w:rPr>
          <w:sz w:val="24"/>
          <w:szCs w:val="24"/>
          <w:u w:val="single"/>
        </w:rPr>
        <w:t xml:space="preserve">CYP3A4-hæmmere </w:t>
      </w:r>
    </w:p>
    <w:p w:rsidR="00876505" w:rsidRPr="008332B2" w:rsidRDefault="00876505" w:rsidP="00876505">
      <w:pPr>
        <w:tabs>
          <w:tab w:val="left" w:pos="851"/>
        </w:tabs>
        <w:ind w:left="851"/>
        <w:rPr>
          <w:sz w:val="24"/>
          <w:szCs w:val="24"/>
        </w:rPr>
      </w:pPr>
      <w:r w:rsidRPr="008332B2">
        <w:rPr>
          <w:sz w:val="24"/>
          <w:szCs w:val="24"/>
        </w:rPr>
        <w:t xml:space="preserve">Koncentrationer af </w:t>
      </w:r>
      <w:proofErr w:type="spellStart"/>
      <w:r w:rsidRPr="008332B2">
        <w:rPr>
          <w:sz w:val="24"/>
          <w:szCs w:val="24"/>
        </w:rPr>
        <w:t>tolvaptan</w:t>
      </w:r>
      <w:proofErr w:type="spellEnd"/>
      <w:r w:rsidRPr="008332B2">
        <w:rPr>
          <w:sz w:val="24"/>
          <w:szCs w:val="24"/>
        </w:rPr>
        <w:t xml:space="preserve"> i plasma er blevet øget med op til 5,4 gange arealet under tidskurven for plasmakoncentration (AUC) efter administration af stærke CYP3A4-hæmmere. Der skal udvises forsigtighed ved samtidig administration af CYP3A4-hæmmere (f.eks. </w:t>
      </w:r>
      <w:proofErr w:type="spellStart"/>
      <w:r w:rsidRPr="008332B2">
        <w:rPr>
          <w:sz w:val="24"/>
          <w:szCs w:val="24"/>
        </w:rPr>
        <w:t>ketoconazol</w:t>
      </w:r>
      <w:proofErr w:type="spellEnd"/>
      <w:r w:rsidRPr="008332B2">
        <w:rPr>
          <w:sz w:val="24"/>
          <w:szCs w:val="24"/>
        </w:rPr>
        <w:t xml:space="preserve">, </w:t>
      </w:r>
      <w:proofErr w:type="spellStart"/>
      <w:r w:rsidRPr="008332B2">
        <w:rPr>
          <w:sz w:val="24"/>
          <w:szCs w:val="24"/>
        </w:rPr>
        <w:t>makrolidantibiotika</w:t>
      </w:r>
      <w:proofErr w:type="spellEnd"/>
      <w:r w:rsidRPr="008332B2">
        <w:rPr>
          <w:sz w:val="24"/>
          <w:szCs w:val="24"/>
        </w:rPr>
        <w:t xml:space="preserve">, </w:t>
      </w:r>
      <w:proofErr w:type="spellStart"/>
      <w:r w:rsidRPr="008332B2">
        <w:rPr>
          <w:sz w:val="24"/>
          <w:szCs w:val="24"/>
        </w:rPr>
        <w:t>diltiazem</w:t>
      </w:r>
      <w:proofErr w:type="spellEnd"/>
      <w:r w:rsidRPr="008332B2">
        <w:rPr>
          <w:sz w:val="24"/>
          <w:szCs w:val="24"/>
        </w:rPr>
        <w:t xml:space="preserve">) og </w:t>
      </w:r>
      <w:proofErr w:type="spellStart"/>
      <w:r w:rsidRPr="008332B2">
        <w:rPr>
          <w:sz w:val="24"/>
          <w:szCs w:val="24"/>
        </w:rPr>
        <w:t>tolvaptan</w:t>
      </w:r>
      <w:proofErr w:type="spellEnd"/>
      <w:r w:rsidRPr="008332B2">
        <w:rPr>
          <w:sz w:val="24"/>
          <w:szCs w:val="24"/>
        </w:rPr>
        <w:t xml:space="preserve">. </w:t>
      </w:r>
    </w:p>
    <w:p w:rsidR="00876505" w:rsidRPr="008332B2" w:rsidRDefault="00876505" w:rsidP="00876505">
      <w:pPr>
        <w:tabs>
          <w:tab w:val="left" w:pos="851"/>
        </w:tabs>
        <w:ind w:left="851"/>
        <w:rPr>
          <w:sz w:val="24"/>
          <w:szCs w:val="24"/>
        </w:rPr>
      </w:pPr>
      <w:r w:rsidRPr="008332B2">
        <w:rPr>
          <w:sz w:val="24"/>
          <w:szCs w:val="24"/>
        </w:rPr>
        <w:t xml:space="preserve">Samtidig indtagelse af grapefrugtjuice og </w:t>
      </w:r>
      <w:proofErr w:type="spellStart"/>
      <w:r w:rsidRPr="008332B2">
        <w:rPr>
          <w:sz w:val="24"/>
          <w:szCs w:val="24"/>
        </w:rPr>
        <w:t>tolvaptan</w:t>
      </w:r>
      <w:proofErr w:type="spellEnd"/>
      <w:r w:rsidRPr="008332B2">
        <w:rPr>
          <w:sz w:val="24"/>
          <w:szCs w:val="24"/>
        </w:rPr>
        <w:t xml:space="preserve"> resulterede i en 1,8 gange større eksponering for </w:t>
      </w:r>
      <w:proofErr w:type="spellStart"/>
      <w:r w:rsidRPr="008332B2">
        <w:rPr>
          <w:sz w:val="24"/>
          <w:szCs w:val="24"/>
        </w:rPr>
        <w:t>tolvaptan</w:t>
      </w:r>
      <w:proofErr w:type="spellEnd"/>
      <w:r w:rsidRPr="008332B2">
        <w:rPr>
          <w:sz w:val="24"/>
          <w:szCs w:val="24"/>
        </w:rPr>
        <w:t xml:space="preserve">. Patienter, der tager </w:t>
      </w:r>
      <w:proofErr w:type="spellStart"/>
      <w:r w:rsidRPr="008332B2">
        <w:rPr>
          <w:sz w:val="24"/>
          <w:szCs w:val="24"/>
        </w:rPr>
        <w:t>tolvaptan</w:t>
      </w:r>
      <w:proofErr w:type="spellEnd"/>
      <w:r w:rsidRPr="008332B2">
        <w:rPr>
          <w:sz w:val="24"/>
          <w:szCs w:val="24"/>
        </w:rPr>
        <w:t xml:space="preserve">, skal undlade at indtage grapefrugtjuice. </w:t>
      </w:r>
    </w:p>
    <w:p w:rsidR="009F3A8E" w:rsidRPr="009F3A8E" w:rsidRDefault="009F3A8E" w:rsidP="009F3A8E">
      <w:pPr>
        <w:tabs>
          <w:tab w:val="left" w:pos="851"/>
        </w:tabs>
        <w:ind w:left="851"/>
        <w:rPr>
          <w:sz w:val="24"/>
          <w:szCs w:val="24"/>
        </w:rPr>
      </w:pPr>
    </w:p>
    <w:p w:rsidR="009F3A8E" w:rsidRPr="009F3A8E" w:rsidRDefault="009F3A8E" w:rsidP="009F3A8E">
      <w:pPr>
        <w:tabs>
          <w:tab w:val="left" w:pos="851"/>
        </w:tabs>
        <w:ind w:left="851"/>
        <w:rPr>
          <w:sz w:val="24"/>
          <w:szCs w:val="24"/>
          <w:u w:val="single"/>
        </w:rPr>
      </w:pPr>
      <w:r w:rsidRPr="009F3A8E">
        <w:rPr>
          <w:sz w:val="24"/>
          <w:szCs w:val="24"/>
          <w:u w:val="single"/>
        </w:rPr>
        <w:t xml:space="preserve">CYP3A4-inducere </w:t>
      </w:r>
    </w:p>
    <w:p w:rsidR="009F3A8E" w:rsidRDefault="009F3A8E" w:rsidP="009F3A8E">
      <w:pPr>
        <w:tabs>
          <w:tab w:val="left" w:pos="851"/>
        </w:tabs>
        <w:ind w:left="851"/>
        <w:rPr>
          <w:sz w:val="24"/>
          <w:szCs w:val="24"/>
        </w:rPr>
      </w:pPr>
      <w:r w:rsidRPr="009F3A8E">
        <w:rPr>
          <w:sz w:val="24"/>
          <w:szCs w:val="24"/>
        </w:rPr>
        <w:t xml:space="preserve">Koncentrationer af </w:t>
      </w:r>
      <w:proofErr w:type="spellStart"/>
      <w:r w:rsidRPr="009F3A8E">
        <w:rPr>
          <w:sz w:val="24"/>
          <w:szCs w:val="24"/>
        </w:rPr>
        <w:t>tolvaptan</w:t>
      </w:r>
      <w:proofErr w:type="spellEnd"/>
      <w:r w:rsidRPr="009F3A8E">
        <w:rPr>
          <w:sz w:val="24"/>
          <w:szCs w:val="24"/>
        </w:rPr>
        <w:t xml:space="preserve"> i plasma er blevet reduceret med op til 87 % (AUC) efter administration af CYP3A4-inducere. Der skal udvises forsigtighed ved samtidig administration af CYP3A4-inducere (f.eks. </w:t>
      </w:r>
      <w:proofErr w:type="spellStart"/>
      <w:r w:rsidRPr="009F3A8E">
        <w:rPr>
          <w:sz w:val="24"/>
          <w:szCs w:val="24"/>
        </w:rPr>
        <w:t>rifampicin</w:t>
      </w:r>
      <w:proofErr w:type="spellEnd"/>
      <w:r w:rsidRPr="009F3A8E">
        <w:rPr>
          <w:sz w:val="24"/>
          <w:szCs w:val="24"/>
        </w:rPr>
        <w:t xml:space="preserve">, barbiturater) og </w:t>
      </w:r>
      <w:proofErr w:type="spellStart"/>
      <w:r w:rsidRPr="009F3A8E">
        <w:rPr>
          <w:sz w:val="24"/>
          <w:szCs w:val="24"/>
        </w:rPr>
        <w:t>tolvaptan</w:t>
      </w:r>
      <w:proofErr w:type="spellEnd"/>
      <w:r w:rsidRPr="009F3A8E">
        <w:rPr>
          <w:sz w:val="24"/>
          <w:szCs w:val="24"/>
        </w:rPr>
        <w:t xml:space="preserve">. </w:t>
      </w:r>
    </w:p>
    <w:p w:rsidR="00876505" w:rsidRDefault="00876505" w:rsidP="009F3A8E">
      <w:pPr>
        <w:tabs>
          <w:tab w:val="left" w:pos="851"/>
        </w:tabs>
        <w:ind w:left="851"/>
        <w:rPr>
          <w:sz w:val="24"/>
          <w:szCs w:val="24"/>
        </w:rPr>
      </w:pPr>
    </w:p>
    <w:p w:rsidR="00876505" w:rsidRPr="009F3A8E" w:rsidRDefault="00876505" w:rsidP="009F3A8E">
      <w:pPr>
        <w:tabs>
          <w:tab w:val="left" w:pos="851"/>
        </w:tabs>
        <w:ind w:left="851"/>
        <w:rPr>
          <w:sz w:val="24"/>
          <w:szCs w:val="24"/>
        </w:rPr>
      </w:pPr>
      <w:proofErr w:type="spellStart"/>
      <w:r w:rsidRPr="004F79B2">
        <w:rPr>
          <w:sz w:val="24"/>
          <w:szCs w:val="24"/>
          <w:u w:val="single"/>
        </w:rPr>
        <w:t>Tolvaptans</w:t>
      </w:r>
      <w:proofErr w:type="spellEnd"/>
      <w:r w:rsidRPr="004F79B2">
        <w:rPr>
          <w:sz w:val="24"/>
          <w:szCs w:val="24"/>
          <w:u w:val="single"/>
        </w:rPr>
        <w:t xml:space="preserve"> virkning på andre lægemidlers farmakokinetik  </w:t>
      </w:r>
    </w:p>
    <w:p w:rsidR="009F3A8E" w:rsidRPr="009F3A8E" w:rsidRDefault="009F3A8E" w:rsidP="009F3A8E">
      <w:pPr>
        <w:tabs>
          <w:tab w:val="left" w:pos="851"/>
        </w:tabs>
        <w:ind w:left="851"/>
        <w:rPr>
          <w:sz w:val="24"/>
          <w:szCs w:val="24"/>
        </w:rPr>
      </w:pPr>
    </w:p>
    <w:p w:rsidR="00876505" w:rsidRPr="008332B2" w:rsidRDefault="00876505" w:rsidP="00876505">
      <w:pPr>
        <w:tabs>
          <w:tab w:val="left" w:pos="851"/>
        </w:tabs>
        <w:ind w:left="851"/>
        <w:rPr>
          <w:sz w:val="24"/>
          <w:szCs w:val="24"/>
          <w:u w:val="single"/>
        </w:rPr>
      </w:pPr>
      <w:r w:rsidRPr="008332B2">
        <w:rPr>
          <w:sz w:val="24"/>
          <w:szCs w:val="24"/>
          <w:u w:val="single"/>
        </w:rPr>
        <w:t xml:space="preserve">CYP3A4-substrater </w:t>
      </w:r>
    </w:p>
    <w:p w:rsidR="00876505" w:rsidRDefault="00876505" w:rsidP="00876505">
      <w:pPr>
        <w:tabs>
          <w:tab w:val="left" w:pos="851"/>
        </w:tabs>
        <w:ind w:left="851"/>
        <w:rPr>
          <w:sz w:val="24"/>
          <w:szCs w:val="24"/>
        </w:rPr>
      </w:pPr>
      <w:r w:rsidRPr="008332B2">
        <w:rPr>
          <w:sz w:val="24"/>
          <w:szCs w:val="24"/>
        </w:rPr>
        <w:t xml:space="preserve">Hos raske personer havde </w:t>
      </w:r>
      <w:proofErr w:type="spellStart"/>
      <w:r w:rsidRPr="008332B2">
        <w:rPr>
          <w:sz w:val="24"/>
          <w:szCs w:val="24"/>
        </w:rPr>
        <w:t>tolvaptan</w:t>
      </w:r>
      <w:proofErr w:type="spellEnd"/>
      <w:r w:rsidRPr="008332B2">
        <w:rPr>
          <w:sz w:val="24"/>
          <w:szCs w:val="24"/>
        </w:rPr>
        <w:t xml:space="preserve">, et CYP3A4-substrat, ingen virkning på plasmakoncentrationerne af visse andre CYP3A4-substrater (f.eks. </w:t>
      </w:r>
      <w:proofErr w:type="spellStart"/>
      <w:r w:rsidRPr="008332B2">
        <w:rPr>
          <w:sz w:val="24"/>
          <w:szCs w:val="24"/>
        </w:rPr>
        <w:t>warfarin</w:t>
      </w:r>
      <w:proofErr w:type="spellEnd"/>
      <w:r w:rsidRPr="008332B2">
        <w:rPr>
          <w:sz w:val="24"/>
          <w:szCs w:val="24"/>
        </w:rPr>
        <w:t xml:space="preserve"> eller </w:t>
      </w:r>
      <w:proofErr w:type="spellStart"/>
      <w:r w:rsidRPr="008332B2">
        <w:rPr>
          <w:sz w:val="24"/>
          <w:szCs w:val="24"/>
        </w:rPr>
        <w:t>amiodaron</w:t>
      </w:r>
      <w:proofErr w:type="spellEnd"/>
      <w:r w:rsidRPr="008332B2">
        <w:rPr>
          <w:sz w:val="24"/>
          <w:szCs w:val="24"/>
        </w:rPr>
        <w:t xml:space="preserve">). </w:t>
      </w:r>
      <w:proofErr w:type="spellStart"/>
      <w:r w:rsidRPr="008332B2">
        <w:rPr>
          <w:sz w:val="24"/>
          <w:szCs w:val="24"/>
        </w:rPr>
        <w:t>Tolvaptan</w:t>
      </w:r>
      <w:proofErr w:type="spellEnd"/>
      <w:r w:rsidRPr="008332B2">
        <w:rPr>
          <w:sz w:val="24"/>
          <w:szCs w:val="24"/>
        </w:rPr>
        <w:t xml:space="preserve"> øgede indholdet af </w:t>
      </w:r>
      <w:proofErr w:type="spellStart"/>
      <w:r w:rsidRPr="008332B2">
        <w:rPr>
          <w:sz w:val="24"/>
          <w:szCs w:val="24"/>
        </w:rPr>
        <w:t>lovastatin</w:t>
      </w:r>
      <w:proofErr w:type="spellEnd"/>
      <w:r w:rsidRPr="008332B2">
        <w:rPr>
          <w:sz w:val="24"/>
          <w:szCs w:val="24"/>
        </w:rPr>
        <w:t xml:space="preserve"> i plasma 1,3 gange til 1,5 gange. Selvom denne øgning ikke har klinisk relevans, indikerer det, at </w:t>
      </w:r>
      <w:proofErr w:type="spellStart"/>
      <w:r w:rsidRPr="008332B2">
        <w:rPr>
          <w:sz w:val="24"/>
          <w:szCs w:val="24"/>
        </w:rPr>
        <w:t>tolvaptan</w:t>
      </w:r>
      <w:proofErr w:type="spellEnd"/>
      <w:r w:rsidRPr="008332B2">
        <w:rPr>
          <w:sz w:val="24"/>
          <w:szCs w:val="24"/>
        </w:rPr>
        <w:t xml:space="preserve"> potentielt kan øge eksponering for CYP3A4-substrater.</w:t>
      </w:r>
    </w:p>
    <w:p w:rsidR="00876505" w:rsidRDefault="00876505" w:rsidP="00876505">
      <w:pPr>
        <w:tabs>
          <w:tab w:val="left" w:pos="851"/>
        </w:tabs>
        <w:ind w:left="851"/>
        <w:rPr>
          <w:sz w:val="24"/>
          <w:szCs w:val="24"/>
        </w:rPr>
      </w:pPr>
    </w:p>
    <w:p w:rsidR="00876505" w:rsidRPr="008332B2" w:rsidRDefault="00876505" w:rsidP="00876505">
      <w:pPr>
        <w:pStyle w:val="Default"/>
        <w:ind w:firstLine="851"/>
        <w:rPr>
          <w:u w:val="single"/>
        </w:rPr>
      </w:pPr>
      <w:r w:rsidRPr="004F79B2">
        <w:rPr>
          <w:u w:val="single"/>
        </w:rPr>
        <w:t xml:space="preserve">Transportørsubstrater </w:t>
      </w:r>
    </w:p>
    <w:p w:rsidR="00876505" w:rsidRPr="004F79B2" w:rsidRDefault="00876505" w:rsidP="00876505">
      <w:pPr>
        <w:pStyle w:val="Default"/>
        <w:ind w:firstLine="851"/>
        <w:rPr>
          <w:u w:val="single"/>
        </w:rPr>
      </w:pPr>
    </w:p>
    <w:p w:rsidR="00876505" w:rsidRPr="008332B2" w:rsidRDefault="00876505" w:rsidP="00876505">
      <w:pPr>
        <w:pStyle w:val="Default"/>
        <w:ind w:firstLine="851"/>
      </w:pPr>
      <w:r w:rsidRPr="008332B2">
        <w:rPr>
          <w:i/>
          <w:iCs/>
        </w:rPr>
        <w:t>Substrater for P-</w:t>
      </w:r>
      <w:proofErr w:type="spellStart"/>
      <w:r w:rsidRPr="008332B2">
        <w:rPr>
          <w:i/>
          <w:iCs/>
        </w:rPr>
        <w:t>glykoprotein</w:t>
      </w:r>
      <w:proofErr w:type="spellEnd"/>
      <w:r w:rsidRPr="008332B2">
        <w:rPr>
          <w:i/>
          <w:iCs/>
        </w:rPr>
        <w:t xml:space="preserve"> </w:t>
      </w:r>
    </w:p>
    <w:p w:rsidR="00876505" w:rsidRPr="008332B2" w:rsidRDefault="00876505" w:rsidP="00876505">
      <w:pPr>
        <w:pStyle w:val="Default"/>
        <w:ind w:left="851"/>
      </w:pPr>
      <w:r w:rsidRPr="008332B2">
        <w:rPr>
          <w:i/>
          <w:iCs/>
        </w:rPr>
        <w:t>In-</w:t>
      </w:r>
      <w:proofErr w:type="spellStart"/>
      <w:r w:rsidRPr="008332B2">
        <w:rPr>
          <w:i/>
          <w:iCs/>
        </w:rPr>
        <w:t>vitro</w:t>
      </w:r>
      <w:proofErr w:type="spellEnd"/>
      <w:r w:rsidRPr="008332B2">
        <w:t xml:space="preserve">-studier indikerer, at </w:t>
      </w:r>
      <w:proofErr w:type="spellStart"/>
      <w:r w:rsidRPr="008332B2">
        <w:t>tolvaptan</w:t>
      </w:r>
      <w:proofErr w:type="spellEnd"/>
      <w:r w:rsidRPr="008332B2">
        <w:t xml:space="preserve"> er et substrat og en </w:t>
      </w:r>
      <w:proofErr w:type="spellStart"/>
      <w:r w:rsidRPr="008332B2">
        <w:t>kompetitiv</w:t>
      </w:r>
      <w:proofErr w:type="spellEnd"/>
      <w:r w:rsidRPr="008332B2">
        <w:t xml:space="preserve"> hæmmer af P-</w:t>
      </w:r>
      <w:proofErr w:type="spellStart"/>
      <w:r w:rsidRPr="008332B2">
        <w:t>glykoprotein</w:t>
      </w:r>
      <w:proofErr w:type="spellEnd"/>
      <w:r w:rsidRPr="008332B2">
        <w:t xml:space="preserve"> (P-gp). </w:t>
      </w:r>
      <w:proofErr w:type="spellStart"/>
      <w:r w:rsidRPr="008332B2">
        <w:rPr>
          <w:iCs/>
        </w:rPr>
        <w:t>Steady</w:t>
      </w:r>
      <w:proofErr w:type="spellEnd"/>
      <w:r w:rsidRPr="008332B2">
        <w:rPr>
          <w:iCs/>
        </w:rPr>
        <w:t xml:space="preserve"> </w:t>
      </w:r>
      <w:proofErr w:type="spellStart"/>
      <w:r w:rsidRPr="008332B2">
        <w:rPr>
          <w:iCs/>
        </w:rPr>
        <w:t>state</w:t>
      </w:r>
      <w:r w:rsidRPr="008332B2">
        <w:t>-digoxinkoncentrationer</w:t>
      </w:r>
      <w:proofErr w:type="spellEnd"/>
      <w:r w:rsidRPr="008332B2">
        <w:t xml:space="preserve"> er set øget (1,3 gange øgning i maksimal observeret plasmakoncentration [</w:t>
      </w:r>
      <w:proofErr w:type="spellStart"/>
      <w:r w:rsidRPr="008332B2">
        <w:t>C</w:t>
      </w:r>
      <w:r w:rsidRPr="008332B2">
        <w:rPr>
          <w:vertAlign w:val="subscript"/>
        </w:rPr>
        <w:t>max</w:t>
      </w:r>
      <w:proofErr w:type="spellEnd"/>
      <w:r w:rsidRPr="008332B2">
        <w:t>] og 1,2 gange øgning af arealet under tidskurven for plasmakoncentration over doseringsintervallet [</w:t>
      </w:r>
      <w:proofErr w:type="spellStart"/>
      <w:r w:rsidRPr="008332B2">
        <w:t>AUC</w:t>
      </w:r>
      <w:r w:rsidRPr="008332B2">
        <w:rPr>
          <w:vertAlign w:val="subscript"/>
        </w:rPr>
        <w:t>τ</w:t>
      </w:r>
      <w:proofErr w:type="spellEnd"/>
      <w:r w:rsidRPr="008332B2">
        <w:t xml:space="preserve">]) ved samtidig administration af flere doser </w:t>
      </w:r>
      <w:proofErr w:type="spellStart"/>
      <w:r w:rsidRPr="008332B2">
        <w:t>tolvaptan</w:t>
      </w:r>
      <w:proofErr w:type="spellEnd"/>
      <w:r w:rsidRPr="008332B2">
        <w:t xml:space="preserve"> på 60 mg én gang dagligt. Patienter, der får </w:t>
      </w:r>
      <w:proofErr w:type="spellStart"/>
      <w:r w:rsidRPr="008332B2">
        <w:t>digoxin</w:t>
      </w:r>
      <w:proofErr w:type="spellEnd"/>
      <w:r w:rsidRPr="008332B2">
        <w:t xml:space="preserve"> eller andre smalle terapeutiske P-gp-substrater (f.eks. </w:t>
      </w:r>
      <w:proofErr w:type="spellStart"/>
      <w:r w:rsidRPr="008332B2">
        <w:t>dabigatranetexilat</w:t>
      </w:r>
      <w:proofErr w:type="spellEnd"/>
      <w:r w:rsidRPr="008332B2">
        <w:t xml:space="preserve">), skal derfor kontrolleres nøje og evalueres for overdreven effekt, når de behandles med </w:t>
      </w:r>
      <w:proofErr w:type="spellStart"/>
      <w:r w:rsidRPr="008332B2">
        <w:t>tolvaptan</w:t>
      </w:r>
      <w:proofErr w:type="spellEnd"/>
      <w:r w:rsidRPr="008332B2">
        <w:t xml:space="preserve">. </w:t>
      </w:r>
    </w:p>
    <w:p w:rsidR="00876505" w:rsidRPr="008332B2" w:rsidRDefault="00876505" w:rsidP="00876505">
      <w:pPr>
        <w:pStyle w:val="Default"/>
        <w:ind w:firstLine="851"/>
        <w:rPr>
          <w:i/>
          <w:iCs/>
        </w:rPr>
      </w:pPr>
    </w:p>
    <w:p w:rsidR="00876505" w:rsidRPr="008332B2" w:rsidRDefault="00876505" w:rsidP="00876505">
      <w:pPr>
        <w:pStyle w:val="Default"/>
        <w:ind w:firstLine="851"/>
      </w:pPr>
      <w:r w:rsidRPr="008332B2">
        <w:rPr>
          <w:i/>
          <w:iCs/>
        </w:rPr>
        <w:t xml:space="preserve">BCRP og OCT1 </w:t>
      </w:r>
    </w:p>
    <w:p w:rsidR="00876505" w:rsidRPr="008332B2" w:rsidRDefault="00876505" w:rsidP="00876505">
      <w:pPr>
        <w:pStyle w:val="Default"/>
        <w:ind w:left="851"/>
      </w:pPr>
      <w:r w:rsidRPr="008332B2">
        <w:t xml:space="preserve">Samtidig administration af </w:t>
      </w:r>
      <w:proofErr w:type="spellStart"/>
      <w:r w:rsidRPr="008332B2">
        <w:t>tolvaptan</w:t>
      </w:r>
      <w:proofErr w:type="spellEnd"/>
      <w:r w:rsidRPr="008332B2">
        <w:t xml:space="preserve"> (90 mg) og </w:t>
      </w:r>
      <w:proofErr w:type="spellStart"/>
      <w:r w:rsidRPr="008332B2">
        <w:t>rosuvastatin</w:t>
      </w:r>
      <w:proofErr w:type="spellEnd"/>
      <w:r w:rsidRPr="008332B2">
        <w:t xml:space="preserve"> (5 mg), et BCRP-substrat, øgede </w:t>
      </w:r>
      <w:proofErr w:type="spellStart"/>
      <w:r w:rsidRPr="008332B2">
        <w:t>C</w:t>
      </w:r>
      <w:r w:rsidRPr="008332B2">
        <w:rPr>
          <w:vertAlign w:val="subscript"/>
        </w:rPr>
        <w:t>max</w:t>
      </w:r>
      <w:proofErr w:type="spellEnd"/>
      <w:r w:rsidRPr="008332B2">
        <w:rPr>
          <w:vertAlign w:val="subscript"/>
        </w:rPr>
        <w:t xml:space="preserve"> </w:t>
      </w:r>
      <w:r w:rsidRPr="008332B2">
        <w:t xml:space="preserve">og </w:t>
      </w:r>
      <w:proofErr w:type="spellStart"/>
      <w:r w:rsidRPr="008332B2">
        <w:t>AUC</w:t>
      </w:r>
      <w:r w:rsidRPr="008332B2">
        <w:rPr>
          <w:vertAlign w:val="subscript"/>
        </w:rPr>
        <w:t>t</w:t>
      </w:r>
      <w:proofErr w:type="spellEnd"/>
      <w:r w:rsidRPr="008332B2">
        <w:t xml:space="preserve"> for </w:t>
      </w:r>
      <w:proofErr w:type="spellStart"/>
      <w:r w:rsidRPr="008332B2">
        <w:t>rosuvastatin</w:t>
      </w:r>
      <w:proofErr w:type="spellEnd"/>
      <w:r w:rsidRPr="008332B2">
        <w:t xml:space="preserve"> med hhv. 54 % og 69 %. Hvis BCRP-substrater (f.eks. </w:t>
      </w:r>
      <w:proofErr w:type="spellStart"/>
      <w:r w:rsidRPr="008332B2">
        <w:t>sulfasalazin</w:t>
      </w:r>
      <w:proofErr w:type="spellEnd"/>
      <w:r w:rsidRPr="008332B2">
        <w:t xml:space="preserve">) administreres samtidig med </w:t>
      </w:r>
      <w:proofErr w:type="spellStart"/>
      <w:r w:rsidRPr="008332B2">
        <w:t>tolvaptan</w:t>
      </w:r>
      <w:proofErr w:type="spellEnd"/>
      <w:r w:rsidRPr="008332B2">
        <w:t xml:space="preserve">, skal patienterne behandles med forsigtighed og vurderes for kraftig effekt af disse lægemidler. </w:t>
      </w:r>
    </w:p>
    <w:p w:rsidR="00876505" w:rsidRPr="008332B2" w:rsidRDefault="00876505" w:rsidP="00876505">
      <w:pPr>
        <w:tabs>
          <w:tab w:val="left" w:pos="851"/>
        </w:tabs>
        <w:ind w:left="851"/>
        <w:rPr>
          <w:sz w:val="24"/>
          <w:szCs w:val="24"/>
        </w:rPr>
      </w:pPr>
      <w:r w:rsidRPr="008332B2">
        <w:rPr>
          <w:sz w:val="24"/>
          <w:szCs w:val="24"/>
        </w:rPr>
        <w:t xml:space="preserve">Hvis OCT1-substrater (f.eks. </w:t>
      </w:r>
      <w:proofErr w:type="spellStart"/>
      <w:r w:rsidRPr="008332B2">
        <w:rPr>
          <w:sz w:val="24"/>
          <w:szCs w:val="24"/>
        </w:rPr>
        <w:t>metformin</w:t>
      </w:r>
      <w:proofErr w:type="spellEnd"/>
      <w:r w:rsidRPr="008332B2">
        <w:rPr>
          <w:sz w:val="24"/>
          <w:szCs w:val="24"/>
        </w:rPr>
        <w:t xml:space="preserve">) administreres samtidig med </w:t>
      </w:r>
      <w:proofErr w:type="spellStart"/>
      <w:r w:rsidRPr="008332B2">
        <w:rPr>
          <w:sz w:val="24"/>
          <w:szCs w:val="24"/>
        </w:rPr>
        <w:t>tolvaptan</w:t>
      </w:r>
      <w:proofErr w:type="spellEnd"/>
      <w:r w:rsidRPr="008332B2">
        <w:rPr>
          <w:sz w:val="24"/>
          <w:szCs w:val="24"/>
        </w:rPr>
        <w:t xml:space="preserve">, skal patienterne behandles med forsigtighed og vurderes for kraftig effekt af disse lægemidler.  </w:t>
      </w:r>
    </w:p>
    <w:p w:rsidR="00876505" w:rsidRPr="008332B2" w:rsidRDefault="00876505" w:rsidP="00876505">
      <w:pPr>
        <w:tabs>
          <w:tab w:val="left" w:pos="851"/>
        </w:tabs>
        <w:ind w:left="851"/>
        <w:rPr>
          <w:sz w:val="24"/>
          <w:szCs w:val="24"/>
        </w:rPr>
      </w:pPr>
    </w:p>
    <w:p w:rsidR="009F3A8E" w:rsidRPr="009F3A8E" w:rsidRDefault="009F3A8E" w:rsidP="009F3A8E">
      <w:pPr>
        <w:tabs>
          <w:tab w:val="left" w:pos="851"/>
        </w:tabs>
        <w:ind w:left="851"/>
        <w:rPr>
          <w:sz w:val="24"/>
          <w:szCs w:val="24"/>
        </w:rPr>
      </w:pPr>
    </w:p>
    <w:p w:rsidR="009F3A8E" w:rsidRPr="009F3A8E" w:rsidRDefault="009F3A8E" w:rsidP="009F3A8E">
      <w:pPr>
        <w:tabs>
          <w:tab w:val="left" w:pos="851"/>
        </w:tabs>
        <w:ind w:left="851"/>
        <w:rPr>
          <w:sz w:val="24"/>
          <w:szCs w:val="24"/>
          <w:u w:val="single"/>
        </w:rPr>
      </w:pPr>
      <w:proofErr w:type="spellStart"/>
      <w:r w:rsidRPr="009F3A8E">
        <w:rPr>
          <w:sz w:val="24"/>
          <w:szCs w:val="24"/>
          <w:u w:val="single"/>
        </w:rPr>
        <w:t>Diuretika</w:t>
      </w:r>
      <w:proofErr w:type="spellEnd"/>
      <w:r w:rsidRPr="009F3A8E">
        <w:rPr>
          <w:sz w:val="24"/>
          <w:szCs w:val="24"/>
          <w:u w:val="single"/>
        </w:rPr>
        <w:t xml:space="preserve"> </w:t>
      </w:r>
    </w:p>
    <w:p w:rsidR="009F3A8E" w:rsidRPr="009F3A8E" w:rsidRDefault="009F3A8E" w:rsidP="009F3A8E">
      <w:pPr>
        <w:tabs>
          <w:tab w:val="left" w:pos="851"/>
        </w:tabs>
        <w:ind w:left="851"/>
        <w:rPr>
          <w:sz w:val="24"/>
          <w:szCs w:val="24"/>
        </w:rPr>
      </w:pPr>
      <w:r w:rsidRPr="009F3A8E">
        <w:rPr>
          <w:sz w:val="24"/>
          <w:szCs w:val="24"/>
        </w:rPr>
        <w:lastRenderedPageBreak/>
        <w:t xml:space="preserve">Selv om det ikke ser ud til, at der er en </w:t>
      </w:r>
      <w:proofErr w:type="spellStart"/>
      <w:r w:rsidRPr="009F3A8E">
        <w:rPr>
          <w:sz w:val="24"/>
          <w:szCs w:val="24"/>
        </w:rPr>
        <w:t>synergistisk</w:t>
      </w:r>
      <w:proofErr w:type="spellEnd"/>
      <w:r w:rsidRPr="009F3A8E">
        <w:rPr>
          <w:sz w:val="24"/>
          <w:szCs w:val="24"/>
        </w:rPr>
        <w:t xml:space="preserve"> eller additiv virkning ved samtidig administration af </w:t>
      </w:r>
      <w:proofErr w:type="spellStart"/>
      <w:r w:rsidRPr="009F3A8E">
        <w:rPr>
          <w:sz w:val="24"/>
          <w:szCs w:val="24"/>
        </w:rPr>
        <w:t>tolvaptan</w:t>
      </w:r>
      <w:proofErr w:type="spellEnd"/>
      <w:r w:rsidRPr="009F3A8E">
        <w:rPr>
          <w:sz w:val="24"/>
          <w:szCs w:val="24"/>
        </w:rPr>
        <w:t xml:space="preserve"> og loop- og </w:t>
      </w:r>
      <w:proofErr w:type="spellStart"/>
      <w:r w:rsidRPr="009F3A8E">
        <w:rPr>
          <w:sz w:val="24"/>
          <w:szCs w:val="24"/>
        </w:rPr>
        <w:t>thiaziddiuretika</w:t>
      </w:r>
      <w:proofErr w:type="spellEnd"/>
      <w:r w:rsidRPr="009F3A8E">
        <w:rPr>
          <w:sz w:val="24"/>
          <w:szCs w:val="24"/>
        </w:rPr>
        <w:t xml:space="preserve">, kan hver præparatklasse potentielt føre til svær dehydrering, hvilket udgør en risikofaktor for nyrefunktionsnedsættelse. Hvis der konstateres dehydrering eller nedsat nyrefunktion, skal der træffes passende foranstaltninger, hvilket kan inkludere </w:t>
      </w:r>
      <w:proofErr w:type="spellStart"/>
      <w:r w:rsidRPr="009F3A8E">
        <w:rPr>
          <w:sz w:val="24"/>
          <w:szCs w:val="24"/>
        </w:rPr>
        <w:t>seponering</w:t>
      </w:r>
      <w:proofErr w:type="spellEnd"/>
      <w:r w:rsidRPr="009F3A8E">
        <w:rPr>
          <w:sz w:val="24"/>
          <w:szCs w:val="24"/>
        </w:rPr>
        <w:t xml:space="preserve"> af </w:t>
      </w:r>
      <w:proofErr w:type="spellStart"/>
      <w:r w:rsidRPr="009F3A8E">
        <w:rPr>
          <w:sz w:val="24"/>
          <w:szCs w:val="24"/>
        </w:rPr>
        <w:t>tolvaptan</w:t>
      </w:r>
      <w:proofErr w:type="spellEnd"/>
      <w:r w:rsidRPr="009F3A8E">
        <w:rPr>
          <w:sz w:val="24"/>
          <w:szCs w:val="24"/>
        </w:rPr>
        <w:t xml:space="preserve"> eller dosisnedsættelse af </w:t>
      </w:r>
      <w:proofErr w:type="spellStart"/>
      <w:r w:rsidRPr="009F3A8E">
        <w:rPr>
          <w:sz w:val="24"/>
          <w:szCs w:val="24"/>
        </w:rPr>
        <w:t>tolvaptan</w:t>
      </w:r>
      <w:proofErr w:type="spellEnd"/>
      <w:r w:rsidRPr="009F3A8E">
        <w:rPr>
          <w:sz w:val="24"/>
          <w:szCs w:val="24"/>
        </w:rPr>
        <w:t xml:space="preserve"> og/eller </w:t>
      </w:r>
      <w:proofErr w:type="spellStart"/>
      <w:r w:rsidRPr="009F3A8E">
        <w:rPr>
          <w:sz w:val="24"/>
          <w:szCs w:val="24"/>
        </w:rPr>
        <w:t>diuretika</w:t>
      </w:r>
      <w:proofErr w:type="spellEnd"/>
      <w:r w:rsidRPr="009F3A8E">
        <w:rPr>
          <w:sz w:val="24"/>
          <w:szCs w:val="24"/>
        </w:rPr>
        <w:t xml:space="preserve">, øget væskeindtagelse samt evaluering og korrektion af andre mulige årsager til nyrefunktionsnedsættelse eller dehydrering. </w:t>
      </w:r>
    </w:p>
    <w:p w:rsidR="009F3A8E" w:rsidRPr="009F3A8E" w:rsidRDefault="009F3A8E" w:rsidP="00876505">
      <w:pPr>
        <w:tabs>
          <w:tab w:val="left" w:pos="851"/>
        </w:tabs>
        <w:rPr>
          <w:sz w:val="24"/>
          <w:szCs w:val="24"/>
        </w:rPr>
      </w:pPr>
    </w:p>
    <w:p w:rsidR="009F3A8E" w:rsidRPr="009F3A8E" w:rsidRDefault="009F3A8E" w:rsidP="009F3A8E">
      <w:pPr>
        <w:tabs>
          <w:tab w:val="left" w:pos="851"/>
        </w:tabs>
        <w:ind w:left="851"/>
        <w:rPr>
          <w:sz w:val="24"/>
          <w:szCs w:val="24"/>
          <w:u w:val="single"/>
        </w:rPr>
      </w:pPr>
      <w:r w:rsidRPr="009F3A8E">
        <w:rPr>
          <w:sz w:val="24"/>
          <w:szCs w:val="24"/>
          <w:u w:val="single"/>
        </w:rPr>
        <w:t xml:space="preserve">Samtidig administration af </w:t>
      </w:r>
      <w:proofErr w:type="spellStart"/>
      <w:r w:rsidRPr="009F3A8E">
        <w:rPr>
          <w:sz w:val="24"/>
          <w:szCs w:val="24"/>
          <w:u w:val="single"/>
        </w:rPr>
        <w:t>vasopressinanaloger</w:t>
      </w:r>
      <w:proofErr w:type="spellEnd"/>
      <w:r w:rsidRPr="009F3A8E">
        <w:rPr>
          <w:sz w:val="24"/>
          <w:szCs w:val="24"/>
          <w:u w:val="single"/>
        </w:rPr>
        <w:t xml:space="preserve"> </w:t>
      </w:r>
    </w:p>
    <w:p w:rsidR="009F3A8E" w:rsidRPr="009F3A8E" w:rsidRDefault="009F3A8E" w:rsidP="009F3A8E">
      <w:pPr>
        <w:tabs>
          <w:tab w:val="left" w:pos="851"/>
        </w:tabs>
        <w:ind w:left="851"/>
        <w:rPr>
          <w:sz w:val="24"/>
          <w:szCs w:val="24"/>
        </w:rPr>
      </w:pPr>
      <w:r w:rsidRPr="009F3A8E">
        <w:rPr>
          <w:sz w:val="24"/>
          <w:szCs w:val="24"/>
        </w:rPr>
        <w:t xml:space="preserve">Ud over dets virkning på </w:t>
      </w:r>
      <w:proofErr w:type="spellStart"/>
      <w:r w:rsidRPr="009F3A8E">
        <w:rPr>
          <w:sz w:val="24"/>
          <w:szCs w:val="24"/>
        </w:rPr>
        <w:t>reabsorptionen</w:t>
      </w:r>
      <w:proofErr w:type="spellEnd"/>
      <w:r w:rsidRPr="009F3A8E">
        <w:rPr>
          <w:sz w:val="24"/>
          <w:szCs w:val="24"/>
        </w:rPr>
        <w:t xml:space="preserve"> af vand i nyrerne er </w:t>
      </w:r>
      <w:proofErr w:type="spellStart"/>
      <w:r w:rsidRPr="009F3A8E">
        <w:rPr>
          <w:sz w:val="24"/>
          <w:szCs w:val="24"/>
        </w:rPr>
        <w:t>tolvaptan</w:t>
      </w:r>
      <w:proofErr w:type="spellEnd"/>
      <w:r w:rsidRPr="009F3A8E">
        <w:rPr>
          <w:sz w:val="24"/>
          <w:szCs w:val="24"/>
        </w:rPr>
        <w:t xml:space="preserve"> i stand til at blokere </w:t>
      </w:r>
      <w:proofErr w:type="spellStart"/>
      <w:r w:rsidRPr="009F3A8E">
        <w:rPr>
          <w:sz w:val="24"/>
          <w:szCs w:val="24"/>
        </w:rPr>
        <w:t>vaskulære</w:t>
      </w:r>
      <w:proofErr w:type="spellEnd"/>
      <w:r w:rsidRPr="009F3A8E">
        <w:rPr>
          <w:sz w:val="24"/>
          <w:szCs w:val="24"/>
        </w:rPr>
        <w:t xml:space="preserve"> vasopressin-V2-receptorer, der er involveret i frigivelsen af koagulationsfaktorer (f.eks. von Willebrands-faktor) fra </w:t>
      </w:r>
      <w:proofErr w:type="spellStart"/>
      <w:r w:rsidRPr="009F3A8E">
        <w:rPr>
          <w:sz w:val="24"/>
          <w:szCs w:val="24"/>
        </w:rPr>
        <w:t>endotelceller</w:t>
      </w:r>
      <w:proofErr w:type="spellEnd"/>
      <w:r w:rsidRPr="009F3A8E">
        <w:rPr>
          <w:sz w:val="24"/>
          <w:szCs w:val="24"/>
        </w:rPr>
        <w:t xml:space="preserve">. Virkningen af </w:t>
      </w:r>
      <w:proofErr w:type="spellStart"/>
      <w:r w:rsidRPr="009F3A8E">
        <w:rPr>
          <w:sz w:val="24"/>
          <w:szCs w:val="24"/>
        </w:rPr>
        <w:t>vasopressinanaloger</w:t>
      </w:r>
      <w:proofErr w:type="spellEnd"/>
      <w:r w:rsidRPr="009F3A8E">
        <w:rPr>
          <w:sz w:val="24"/>
          <w:szCs w:val="24"/>
        </w:rPr>
        <w:t xml:space="preserve">, f.eks. </w:t>
      </w:r>
      <w:proofErr w:type="spellStart"/>
      <w:r w:rsidRPr="009F3A8E">
        <w:rPr>
          <w:sz w:val="24"/>
          <w:szCs w:val="24"/>
        </w:rPr>
        <w:t>desmopressin</w:t>
      </w:r>
      <w:proofErr w:type="spellEnd"/>
      <w:r w:rsidRPr="009F3A8E">
        <w:rPr>
          <w:sz w:val="24"/>
          <w:szCs w:val="24"/>
        </w:rPr>
        <w:t xml:space="preserve">, kan derfor nedsættes hos patienter, som anvender disse </w:t>
      </w:r>
      <w:proofErr w:type="spellStart"/>
      <w:r w:rsidRPr="009F3A8E">
        <w:rPr>
          <w:sz w:val="24"/>
          <w:szCs w:val="24"/>
        </w:rPr>
        <w:t>analoger</w:t>
      </w:r>
      <w:proofErr w:type="spellEnd"/>
      <w:r w:rsidRPr="009F3A8E">
        <w:rPr>
          <w:sz w:val="24"/>
          <w:szCs w:val="24"/>
        </w:rPr>
        <w:t xml:space="preserve"> for at forhindre eller kontrollere blødning, når de administreres samtidigt med </w:t>
      </w:r>
      <w:proofErr w:type="spellStart"/>
      <w:r w:rsidRPr="009F3A8E">
        <w:rPr>
          <w:sz w:val="24"/>
          <w:szCs w:val="24"/>
        </w:rPr>
        <w:t>tolvaptan</w:t>
      </w:r>
      <w:proofErr w:type="spellEnd"/>
      <w:r w:rsidRPr="009F3A8E">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182EAE" w:rsidRPr="00BA4587">
        <w:rPr>
          <w:b/>
          <w:noProof/>
          <w:sz w:val="24"/>
          <w:szCs w:val="24"/>
        </w:rPr>
        <w:t>Fertilitet, g</w:t>
      </w:r>
      <w:r w:rsidR="00182EAE" w:rsidRPr="00BA4587">
        <w:rPr>
          <w:b/>
          <w:sz w:val="24"/>
          <w:szCs w:val="24"/>
        </w:rPr>
        <w:t>raviditet og amning</w:t>
      </w:r>
      <w:bookmarkEnd w:id="2"/>
    </w:p>
    <w:p w:rsidR="009F3A8E" w:rsidRDefault="009F3A8E" w:rsidP="009F3A8E">
      <w:pPr>
        <w:tabs>
          <w:tab w:val="left" w:pos="851"/>
        </w:tabs>
        <w:ind w:left="851"/>
        <w:rPr>
          <w:sz w:val="24"/>
          <w:szCs w:val="24"/>
          <w:u w:val="single"/>
        </w:rPr>
      </w:pPr>
    </w:p>
    <w:p w:rsidR="009F3A8E" w:rsidRPr="009F3A8E" w:rsidRDefault="009F3A8E" w:rsidP="009F3A8E">
      <w:pPr>
        <w:tabs>
          <w:tab w:val="left" w:pos="851"/>
        </w:tabs>
        <w:ind w:left="851"/>
        <w:rPr>
          <w:sz w:val="24"/>
          <w:szCs w:val="24"/>
          <w:u w:val="single"/>
        </w:rPr>
      </w:pPr>
      <w:r w:rsidRPr="009F3A8E">
        <w:rPr>
          <w:sz w:val="24"/>
          <w:szCs w:val="24"/>
          <w:u w:val="single"/>
        </w:rPr>
        <w:t xml:space="preserve">Graviditet </w:t>
      </w:r>
    </w:p>
    <w:p w:rsidR="009F3A8E" w:rsidRPr="009F3A8E" w:rsidRDefault="009F3A8E" w:rsidP="009F3A8E">
      <w:pPr>
        <w:tabs>
          <w:tab w:val="left" w:pos="851"/>
        </w:tabs>
        <w:ind w:left="851"/>
        <w:rPr>
          <w:sz w:val="24"/>
          <w:szCs w:val="24"/>
        </w:rPr>
      </w:pPr>
      <w:r w:rsidRPr="009F3A8E">
        <w:rPr>
          <w:sz w:val="24"/>
          <w:szCs w:val="24"/>
        </w:rPr>
        <w:t xml:space="preserve">Der er ingen eller utilstrækkelige data fra anvendelse af </w:t>
      </w:r>
      <w:proofErr w:type="spellStart"/>
      <w:r w:rsidRPr="009F3A8E">
        <w:rPr>
          <w:sz w:val="24"/>
          <w:szCs w:val="24"/>
        </w:rPr>
        <w:t>tolvaptan</w:t>
      </w:r>
      <w:proofErr w:type="spellEnd"/>
      <w:r w:rsidRPr="009F3A8E">
        <w:rPr>
          <w:sz w:val="24"/>
          <w:szCs w:val="24"/>
        </w:rPr>
        <w:t xml:space="preserve"> til gravide kvinder. Dyrestudier har påvist reproduktionstoksicitet (se pkt. 5.3). Den potentielle risiko for mennesker er ukendt. </w:t>
      </w:r>
      <w:proofErr w:type="spellStart"/>
      <w:r w:rsidRPr="009F3A8E">
        <w:rPr>
          <w:sz w:val="24"/>
          <w:szCs w:val="24"/>
        </w:rPr>
        <w:t>Tolvaptan</w:t>
      </w:r>
      <w:proofErr w:type="spellEnd"/>
      <w:r w:rsidRPr="009F3A8E">
        <w:rPr>
          <w:sz w:val="24"/>
          <w:szCs w:val="24"/>
        </w:rPr>
        <w:t xml:space="preserve"> "</w:t>
      </w:r>
      <w:proofErr w:type="spellStart"/>
      <w:r w:rsidRPr="009F3A8E">
        <w:rPr>
          <w:sz w:val="24"/>
          <w:szCs w:val="24"/>
        </w:rPr>
        <w:t>Teva</w:t>
      </w:r>
      <w:proofErr w:type="spellEnd"/>
      <w:r w:rsidRPr="009F3A8E">
        <w:rPr>
          <w:sz w:val="24"/>
          <w:szCs w:val="24"/>
        </w:rPr>
        <w:t xml:space="preserve">" er kontraindiceret under graviditet (se pkt. 4.3). Kvinder i den fertile alder skal anvende sikker </w:t>
      </w:r>
      <w:proofErr w:type="spellStart"/>
      <w:r w:rsidRPr="009F3A8E">
        <w:rPr>
          <w:sz w:val="24"/>
          <w:szCs w:val="24"/>
        </w:rPr>
        <w:t>kontraception</w:t>
      </w:r>
      <w:proofErr w:type="spellEnd"/>
      <w:r w:rsidRPr="009F3A8E">
        <w:rPr>
          <w:sz w:val="24"/>
          <w:szCs w:val="24"/>
        </w:rPr>
        <w:t xml:space="preserve"> under behandlingen med </w:t>
      </w:r>
      <w:proofErr w:type="spellStart"/>
      <w:r w:rsidRPr="009F3A8E">
        <w:rPr>
          <w:sz w:val="24"/>
          <w:szCs w:val="24"/>
        </w:rPr>
        <w:t>tolvaptan</w:t>
      </w:r>
      <w:proofErr w:type="spellEnd"/>
      <w:r w:rsidRPr="009F3A8E">
        <w:rPr>
          <w:sz w:val="24"/>
          <w:szCs w:val="24"/>
        </w:rPr>
        <w:t xml:space="preserve">. </w:t>
      </w:r>
    </w:p>
    <w:p w:rsidR="009F3A8E" w:rsidRPr="009F3A8E" w:rsidRDefault="009F3A8E" w:rsidP="009F3A8E">
      <w:pPr>
        <w:tabs>
          <w:tab w:val="left" w:pos="851"/>
        </w:tabs>
        <w:ind w:left="851"/>
        <w:rPr>
          <w:sz w:val="24"/>
          <w:szCs w:val="24"/>
          <w:u w:val="single"/>
        </w:rPr>
      </w:pPr>
    </w:p>
    <w:p w:rsidR="009F3A8E" w:rsidRPr="009F3A8E" w:rsidRDefault="009F3A8E" w:rsidP="009F3A8E">
      <w:pPr>
        <w:tabs>
          <w:tab w:val="left" w:pos="851"/>
        </w:tabs>
        <w:ind w:left="851"/>
        <w:rPr>
          <w:sz w:val="24"/>
          <w:szCs w:val="24"/>
          <w:u w:val="single"/>
        </w:rPr>
      </w:pPr>
      <w:r w:rsidRPr="009F3A8E">
        <w:rPr>
          <w:sz w:val="24"/>
          <w:szCs w:val="24"/>
          <w:u w:val="single"/>
        </w:rPr>
        <w:t xml:space="preserve">Amning </w:t>
      </w:r>
    </w:p>
    <w:p w:rsidR="009F3A8E" w:rsidRPr="009F3A8E" w:rsidRDefault="009F3A8E" w:rsidP="009F3A8E">
      <w:pPr>
        <w:tabs>
          <w:tab w:val="left" w:pos="851"/>
        </w:tabs>
        <w:ind w:left="851"/>
        <w:rPr>
          <w:sz w:val="24"/>
          <w:szCs w:val="24"/>
        </w:rPr>
      </w:pPr>
      <w:r w:rsidRPr="009F3A8E">
        <w:rPr>
          <w:sz w:val="24"/>
          <w:szCs w:val="24"/>
        </w:rPr>
        <w:t xml:space="preserve">Det vides ikke, om </w:t>
      </w:r>
      <w:proofErr w:type="spellStart"/>
      <w:r w:rsidRPr="009F3A8E">
        <w:rPr>
          <w:sz w:val="24"/>
          <w:szCs w:val="24"/>
        </w:rPr>
        <w:t>tolvaptan</w:t>
      </w:r>
      <w:proofErr w:type="spellEnd"/>
      <w:r w:rsidRPr="009F3A8E">
        <w:rPr>
          <w:sz w:val="24"/>
          <w:szCs w:val="24"/>
        </w:rPr>
        <w:t xml:space="preserve"> udskilles i brystmælk hos mennesker. </w:t>
      </w:r>
    </w:p>
    <w:p w:rsidR="009F3A8E" w:rsidRPr="009F3A8E" w:rsidRDefault="009F3A8E" w:rsidP="009F3A8E">
      <w:pPr>
        <w:tabs>
          <w:tab w:val="left" w:pos="851"/>
        </w:tabs>
        <w:ind w:left="851"/>
        <w:rPr>
          <w:sz w:val="24"/>
          <w:szCs w:val="24"/>
        </w:rPr>
      </w:pPr>
      <w:r w:rsidRPr="009F3A8E">
        <w:rPr>
          <w:sz w:val="24"/>
          <w:szCs w:val="24"/>
        </w:rPr>
        <w:t xml:space="preserve">De tilgængelige </w:t>
      </w:r>
      <w:proofErr w:type="spellStart"/>
      <w:r w:rsidRPr="009F3A8E">
        <w:rPr>
          <w:sz w:val="24"/>
          <w:szCs w:val="24"/>
        </w:rPr>
        <w:t>farmakodynamiske</w:t>
      </w:r>
      <w:proofErr w:type="spellEnd"/>
      <w:r w:rsidRPr="009F3A8E">
        <w:rPr>
          <w:sz w:val="24"/>
          <w:szCs w:val="24"/>
        </w:rPr>
        <w:t xml:space="preserve">/toksikologiske data fra dyrestudier har vist, at </w:t>
      </w:r>
      <w:proofErr w:type="spellStart"/>
      <w:r w:rsidRPr="009F3A8E">
        <w:rPr>
          <w:sz w:val="24"/>
          <w:szCs w:val="24"/>
        </w:rPr>
        <w:t>tolvaptan</w:t>
      </w:r>
      <w:proofErr w:type="spellEnd"/>
      <w:r w:rsidRPr="009F3A8E">
        <w:rPr>
          <w:sz w:val="24"/>
          <w:szCs w:val="24"/>
        </w:rPr>
        <w:t xml:space="preserve"> udskilles i brystmælk (se pkt. 5.3). </w:t>
      </w:r>
    </w:p>
    <w:p w:rsidR="009F3A8E" w:rsidRPr="009F3A8E" w:rsidRDefault="009F3A8E" w:rsidP="009F3A8E">
      <w:pPr>
        <w:tabs>
          <w:tab w:val="left" w:pos="851"/>
        </w:tabs>
        <w:ind w:left="851"/>
        <w:rPr>
          <w:sz w:val="24"/>
          <w:szCs w:val="24"/>
        </w:rPr>
      </w:pPr>
      <w:r w:rsidRPr="009F3A8E">
        <w:rPr>
          <w:sz w:val="24"/>
          <w:szCs w:val="24"/>
        </w:rPr>
        <w:t xml:space="preserve">Den potentielle risiko for mennesker er ukendt. </w:t>
      </w:r>
    </w:p>
    <w:p w:rsidR="009F3A8E" w:rsidRPr="009F3A8E" w:rsidRDefault="009F3A8E" w:rsidP="009F3A8E">
      <w:pPr>
        <w:tabs>
          <w:tab w:val="left" w:pos="851"/>
        </w:tabs>
        <w:ind w:left="851"/>
        <w:rPr>
          <w:sz w:val="24"/>
          <w:szCs w:val="24"/>
        </w:rPr>
      </w:pPr>
      <w:proofErr w:type="spellStart"/>
      <w:r w:rsidRPr="009F3A8E">
        <w:rPr>
          <w:sz w:val="24"/>
          <w:szCs w:val="24"/>
        </w:rPr>
        <w:t>Tolvaptan</w:t>
      </w:r>
      <w:proofErr w:type="spellEnd"/>
      <w:r w:rsidRPr="009F3A8E">
        <w:rPr>
          <w:sz w:val="24"/>
          <w:szCs w:val="24"/>
        </w:rPr>
        <w:t xml:space="preserve"> "</w:t>
      </w:r>
      <w:proofErr w:type="spellStart"/>
      <w:r w:rsidRPr="009F3A8E">
        <w:rPr>
          <w:sz w:val="24"/>
          <w:szCs w:val="24"/>
        </w:rPr>
        <w:t>Teva</w:t>
      </w:r>
      <w:proofErr w:type="spellEnd"/>
      <w:r w:rsidRPr="009F3A8E">
        <w:rPr>
          <w:sz w:val="24"/>
          <w:szCs w:val="24"/>
        </w:rPr>
        <w:t xml:space="preserve">" er kontraindiceret under amning (se pkt. 4.3). </w:t>
      </w:r>
    </w:p>
    <w:p w:rsidR="009F3A8E" w:rsidRPr="009F3A8E" w:rsidRDefault="009F3A8E" w:rsidP="009F3A8E">
      <w:pPr>
        <w:tabs>
          <w:tab w:val="left" w:pos="851"/>
        </w:tabs>
        <w:ind w:left="851"/>
        <w:rPr>
          <w:sz w:val="24"/>
          <w:szCs w:val="24"/>
          <w:u w:val="single"/>
        </w:rPr>
      </w:pPr>
    </w:p>
    <w:p w:rsidR="009F3A8E" w:rsidRPr="009F3A8E" w:rsidRDefault="009F3A8E" w:rsidP="009F3A8E">
      <w:pPr>
        <w:tabs>
          <w:tab w:val="left" w:pos="851"/>
        </w:tabs>
        <w:ind w:left="851"/>
        <w:rPr>
          <w:sz w:val="24"/>
          <w:szCs w:val="24"/>
          <w:u w:val="single"/>
        </w:rPr>
      </w:pPr>
      <w:r w:rsidRPr="009F3A8E">
        <w:rPr>
          <w:sz w:val="24"/>
          <w:szCs w:val="24"/>
          <w:u w:val="single"/>
        </w:rPr>
        <w:t xml:space="preserve">Fertilitet </w:t>
      </w:r>
    </w:p>
    <w:p w:rsidR="009F3A8E" w:rsidRPr="009F3A8E" w:rsidRDefault="009F3A8E" w:rsidP="009F3A8E">
      <w:pPr>
        <w:tabs>
          <w:tab w:val="left" w:pos="851"/>
        </w:tabs>
        <w:ind w:left="851"/>
        <w:rPr>
          <w:sz w:val="24"/>
          <w:szCs w:val="24"/>
        </w:rPr>
      </w:pPr>
      <w:r w:rsidRPr="009F3A8E">
        <w:rPr>
          <w:sz w:val="24"/>
          <w:szCs w:val="24"/>
        </w:rPr>
        <w:t>Dyrestudier har påvist reproduktionstoksicitet (se pkt. 5.3). Den potentielle risiko for mennesker er ukendt.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3" w:name="_Hlk121750171"/>
      <w:r w:rsidR="00182EAE" w:rsidRPr="00BA4587">
        <w:rPr>
          <w:b/>
          <w:sz w:val="24"/>
          <w:szCs w:val="24"/>
        </w:rPr>
        <w:t xml:space="preserve">Virkning på evnen til at føre motorkøretøj </w:t>
      </w:r>
      <w:r w:rsidR="00182EAE" w:rsidRPr="00BA4587">
        <w:rPr>
          <w:b/>
          <w:noProof/>
          <w:sz w:val="24"/>
          <w:szCs w:val="24"/>
        </w:rPr>
        <w:t>og</w:t>
      </w:r>
      <w:r w:rsidR="00182EAE" w:rsidRPr="00BA4587">
        <w:rPr>
          <w:b/>
          <w:sz w:val="24"/>
          <w:szCs w:val="24"/>
        </w:rPr>
        <w:t xml:space="preserve"> betjene maskiner</w:t>
      </w:r>
      <w:bookmarkEnd w:id="3"/>
    </w:p>
    <w:p w:rsidR="00365F5A" w:rsidRPr="00365F5A" w:rsidRDefault="00365F5A" w:rsidP="00365F5A">
      <w:pPr>
        <w:tabs>
          <w:tab w:val="left" w:pos="851"/>
        </w:tabs>
        <w:ind w:left="851"/>
        <w:rPr>
          <w:sz w:val="24"/>
          <w:szCs w:val="24"/>
        </w:rPr>
      </w:pPr>
      <w:r w:rsidRPr="00365F5A">
        <w:rPr>
          <w:sz w:val="24"/>
          <w:szCs w:val="24"/>
        </w:rPr>
        <w:t>Ikke mærkning</w:t>
      </w:r>
    </w:p>
    <w:p w:rsidR="00365F5A" w:rsidRPr="00365F5A" w:rsidRDefault="00365F5A" w:rsidP="00365F5A">
      <w:pPr>
        <w:tabs>
          <w:tab w:val="left" w:pos="851"/>
        </w:tabs>
        <w:ind w:left="851"/>
        <w:rPr>
          <w:sz w:val="24"/>
          <w:szCs w:val="24"/>
        </w:rPr>
      </w:pPr>
      <w:proofErr w:type="spellStart"/>
      <w:r w:rsidRPr="00365F5A">
        <w:rPr>
          <w:sz w:val="24"/>
          <w:szCs w:val="24"/>
        </w:rPr>
        <w:t>Tolvaptan</w:t>
      </w:r>
      <w:proofErr w:type="spellEnd"/>
      <w:r w:rsidRPr="00365F5A">
        <w:rPr>
          <w:sz w:val="24"/>
          <w:szCs w:val="24"/>
        </w:rPr>
        <w:t xml:space="preserve"> påvirker ikke eller kun i ubetydelig grad evnen til at føre motorkøretøj og betjene maskiner. Dog skal der ved kørsel eller betjening af maskiner tages højde for, at der kan forekomme svimmelhed, asteni eller synkope.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65F5A" w:rsidRDefault="00365F5A" w:rsidP="00365F5A">
      <w:pPr>
        <w:pStyle w:val="Sidehoved"/>
        <w:tabs>
          <w:tab w:val="left" w:pos="851"/>
        </w:tabs>
        <w:ind w:left="851"/>
        <w:rPr>
          <w:szCs w:val="24"/>
          <w:u w:val="single"/>
        </w:rPr>
      </w:pPr>
    </w:p>
    <w:p w:rsidR="00365F5A" w:rsidRPr="00365F5A" w:rsidRDefault="00365F5A" w:rsidP="00365F5A">
      <w:pPr>
        <w:pStyle w:val="Sidehoved"/>
        <w:tabs>
          <w:tab w:val="left" w:pos="851"/>
        </w:tabs>
        <w:ind w:left="851"/>
        <w:rPr>
          <w:szCs w:val="24"/>
          <w:u w:val="single"/>
        </w:rPr>
      </w:pPr>
      <w:r w:rsidRPr="00365F5A">
        <w:rPr>
          <w:szCs w:val="24"/>
          <w:u w:val="single"/>
        </w:rPr>
        <w:t xml:space="preserve">Sammendrag af sikkerhedsprofilen </w:t>
      </w:r>
    </w:p>
    <w:p w:rsidR="00365F5A" w:rsidRPr="00365F5A" w:rsidRDefault="00365F5A" w:rsidP="00365F5A">
      <w:pPr>
        <w:pStyle w:val="Sidehoved"/>
        <w:tabs>
          <w:tab w:val="left" w:pos="851"/>
        </w:tabs>
        <w:ind w:left="851"/>
        <w:rPr>
          <w:szCs w:val="24"/>
        </w:rPr>
      </w:pPr>
      <w:proofErr w:type="spellStart"/>
      <w:r w:rsidRPr="00365F5A">
        <w:rPr>
          <w:szCs w:val="24"/>
        </w:rPr>
        <w:t>Tolvaptans</w:t>
      </w:r>
      <w:proofErr w:type="spellEnd"/>
      <w:r w:rsidRPr="00365F5A">
        <w:rPr>
          <w:szCs w:val="24"/>
        </w:rPr>
        <w:t xml:space="preserve"> bivirkningsprofil ved behandling for SIADH er baseret på en database fra kliniske studier med 3.294 patienter, der blev behandlet med </w:t>
      </w:r>
      <w:proofErr w:type="spellStart"/>
      <w:r w:rsidRPr="00365F5A">
        <w:rPr>
          <w:szCs w:val="24"/>
        </w:rPr>
        <w:t>tolvaptan</w:t>
      </w:r>
      <w:proofErr w:type="spellEnd"/>
      <w:r w:rsidRPr="00365F5A">
        <w:rPr>
          <w:szCs w:val="24"/>
        </w:rPr>
        <w:t xml:space="preserve">, og er i overensstemmelse med det aktive stofs farmakologi. De </w:t>
      </w:r>
      <w:proofErr w:type="spellStart"/>
      <w:r w:rsidRPr="00365F5A">
        <w:rPr>
          <w:szCs w:val="24"/>
        </w:rPr>
        <w:t>farmakodynamisk</w:t>
      </w:r>
      <w:proofErr w:type="spellEnd"/>
      <w:r w:rsidRPr="00365F5A">
        <w:rPr>
          <w:szCs w:val="24"/>
        </w:rPr>
        <w:t xml:space="preserve"> forudsigelige og mest almindeligt rapporterede bivirkninger er tørst, mundtørhed og </w:t>
      </w:r>
      <w:proofErr w:type="spellStart"/>
      <w:r w:rsidRPr="00365F5A">
        <w:rPr>
          <w:szCs w:val="24"/>
        </w:rPr>
        <w:t>pollakisuri</w:t>
      </w:r>
      <w:proofErr w:type="spellEnd"/>
      <w:r w:rsidRPr="00365F5A">
        <w:rPr>
          <w:szCs w:val="24"/>
        </w:rPr>
        <w:t xml:space="preserve">, som forekommer hos ca. 18 %, 9 % og 6 % af patienterne. </w:t>
      </w:r>
    </w:p>
    <w:p w:rsidR="00365F5A" w:rsidRPr="00365F5A" w:rsidRDefault="00365F5A" w:rsidP="00365F5A">
      <w:pPr>
        <w:pStyle w:val="Sidehoved"/>
        <w:tabs>
          <w:tab w:val="left" w:pos="851"/>
        </w:tabs>
        <w:ind w:left="851"/>
        <w:rPr>
          <w:szCs w:val="24"/>
          <w:u w:val="single"/>
        </w:rPr>
      </w:pPr>
    </w:p>
    <w:p w:rsidR="00365F5A" w:rsidRPr="00365F5A" w:rsidRDefault="00365F5A" w:rsidP="00365F5A">
      <w:pPr>
        <w:pStyle w:val="Sidehoved"/>
        <w:tabs>
          <w:tab w:val="left" w:pos="851"/>
        </w:tabs>
        <w:ind w:left="851"/>
        <w:rPr>
          <w:szCs w:val="24"/>
          <w:u w:val="single"/>
        </w:rPr>
      </w:pPr>
      <w:r w:rsidRPr="00365F5A">
        <w:rPr>
          <w:szCs w:val="24"/>
          <w:u w:val="single"/>
        </w:rPr>
        <w:lastRenderedPageBreak/>
        <w:t xml:space="preserve">Tabel over bivirkninger </w:t>
      </w:r>
    </w:p>
    <w:p w:rsidR="00365F5A" w:rsidRPr="00365F5A" w:rsidRDefault="00365F5A" w:rsidP="00365F5A">
      <w:pPr>
        <w:pStyle w:val="Sidehoved"/>
        <w:tabs>
          <w:tab w:val="left" w:pos="851"/>
        </w:tabs>
        <w:ind w:left="851"/>
        <w:rPr>
          <w:szCs w:val="24"/>
        </w:rPr>
      </w:pPr>
      <w:r w:rsidRPr="00365F5A">
        <w:rPr>
          <w:szCs w:val="24"/>
        </w:rPr>
        <w:t xml:space="preserve">Hyppighederne for bivirkningerne i kliniske studier er angivet som meget almindelig (≥ 1/10), almindelig (≥ 1/100 til &lt; 1/10), ikke almindelig (≥ 1/1.000 til &lt; 1/100), sjælden (≥ 1/10.000 til &lt; 1/1.000), meget sjælden (&lt; 1/10.000) og ikke kendt (kan ikke estimeres ud fra forhåndenværende data). Inden for hver hyppighedsgruppering er bivirkningerne angivet efter faldende sværhedsgrad. </w:t>
      </w:r>
    </w:p>
    <w:p w:rsidR="00365F5A" w:rsidRPr="00365F5A" w:rsidRDefault="00365F5A" w:rsidP="00365F5A">
      <w:pPr>
        <w:pStyle w:val="Sidehoved"/>
        <w:ind w:left="851"/>
        <w:rPr>
          <w:szCs w:val="24"/>
        </w:rPr>
      </w:pPr>
    </w:p>
    <w:p w:rsidR="00365F5A" w:rsidRPr="00365F5A" w:rsidRDefault="00365F5A" w:rsidP="00365F5A">
      <w:pPr>
        <w:pStyle w:val="Sidehoved"/>
        <w:ind w:left="851"/>
        <w:rPr>
          <w:szCs w:val="24"/>
        </w:rPr>
      </w:pPr>
      <w:r w:rsidRPr="00365F5A">
        <w:rPr>
          <w:szCs w:val="24"/>
        </w:rPr>
        <w:t>Hyppigheden af bivirkninger, der er rapporteret efter markedsføringen, kan ikke fastsættes, da der er tale om spontane indberetninger. Hyppigheden af sådanne bivirkninger er derfor angivet som "ikke kendt".</w:t>
      </w:r>
    </w:p>
    <w:p w:rsidR="00365F5A" w:rsidRPr="00365F5A" w:rsidRDefault="00365F5A" w:rsidP="00130319">
      <w:pPr>
        <w:pStyle w:val="Sidehoved"/>
        <w:ind w:left="142"/>
        <w:rPr>
          <w:szCs w:val="24"/>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659"/>
        <w:gridCol w:w="2651"/>
        <w:gridCol w:w="1505"/>
        <w:gridCol w:w="1539"/>
      </w:tblGrid>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b/>
                <w:szCs w:val="24"/>
              </w:rPr>
              <w:t>Systemorganklasse</w:t>
            </w:r>
          </w:p>
        </w:tc>
        <w:tc>
          <w:tcPr>
            <w:tcW w:w="7354" w:type="dxa"/>
            <w:gridSpan w:val="4"/>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b/>
                <w:szCs w:val="24"/>
              </w:rPr>
              <w:t>Hyppighed</w:t>
            </w: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80"/>
              </w:tabs>
              <w:ind w:left="29"/>
              <w:rPr>
                <w:szCs w:val="24"/>
              </w:rPr>
            </w:pPr>
          </w:p>
        </w:tc>
        <w:tc>
          <w:tcPr>
            <w:tcW w:w="1659" w:type="dxa"/>
            <w:tcBorders>
              <w:top w:val="single" w:sz="4" w:space="0" w:color="auto"/>
              <w:left w:val="single" w:sz="4" w:space="0" w:color="auto"/>
              <w:bottom w:val="single" w:sz="4" w:space="0" w:color="auto"/>
              <w:right w:val="single" w:sz="4" w:space="0" w:color="auto"/>
            </w:tcBorders>
            <w:hideMark/>
          </w:tcPr>
          <w:p w:rsidR="00365F5A" w:rsidRPr="00365F5A" w:rsidRDefault="00C1540E" w:rsidP="00C1540E">
            <w:pPr>
              <w:pStyle w:val="Sidehoved"/>
              <w:tabs>
                <w:tab w:val="left" w:pos="851"/>
              </w:tabs>
              <w:ind w:left="49"/>
              <w:rPr>
                <w:szCs w:val="24"/>
              </w:rPr>
            </w:pPr>
            <w:r>
              <w:rPr>
                <w:szCs w:val="24"/>
              </w:rPr>
              <w:t>Meget almindelig</w:t>
            </w: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Almindelig</w:t>
            </w:r>
          </w:p>
        </w:tc>
        <w:tc>
          <w:tcPr>
            <w:tcW w:w="150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Ikke almindelig</w:t>
            </w:r>
          </w:p>
        </w:tc>
        <w:tc>
          <w:tcPr>
            <w:tcW w:w="1539"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Ikke kendt</w:t>
            </w: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Immunsystemet</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0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39"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proofErr w:type="spellStart"/>
            <w:r w:rsidRPr="00365F5A">
              <w:rPr>
                <w:szCs w:val="24"/>
              </w:rPr>
              <w:t>Anafylaktisk</w:t>
            </w:r>
            <w:proofErr w:type="spellEnd"/>
            <w:r w:rsidRPr="00365F5A">
              <w:rPr>
                <w:szCs w:val="24"/>
              </w:rPr>
              <w:t xml:space="preserve"> </w:t>
            </w:r>
            <w:proofErr w:type="spellStart"/>
            <w:r w:rsidRPr="00365F5A">
              <w:rPr>
                <w:szCs w:val="24"/>
              </w:rPr>
              <w:t>shock</w:t>
            </w:r>
            <w:proofErr w:type="spellEnd"/>
            <w:r w:rsidRPr="00365F5A">
              <w:rPr>
                <w:szCs w:val="24"/>
              </w:rPr>
              <w:t>, generaliseret udslæt</w:t>
            </w: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Metabolisme og ernæring</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 xml:space="preserve">Polydipsi, dehydrering, </w:t>
            </w:r>
            <w:proofErr w:type="spellStart"/>
            <w:r w:rsidRPr="00365F5A">
              <w:rPr>
                <w:szCs w:val="24"/>
              </w:rPr>
              <w:t>hyperkaliæmi</w:t>
            </w:r>
            <w:proofErr w:type="spellEnd"/>
            <w:r w:rsidRPr="00365F5A">
              <w:rPr>
                <w:szCs w:val="24"/>
              </w:rPr>
              <w:t xml:space="preserve">, </w:t>
            </w:r>
            <w:proofErr w:type="spellStart"/>
            <w:r w:rsidRPr="00365F5A">
              <w:rPr>
                <w:szCs w:val="24"/>
              </w:rPr>
              <w:t>hyperglykæmi</w:t>
            </w:r>
            <w:proofErr w:type="spellEnd"/>
            <w:r w:rsidRPr="00365F5A">
              <w:rPr>
                <w:szCs w:val="24"/>
              </w:rPr>
              <w:t>, hypoglykæmi</w:t>
            </w:r>
            <w:r w:rsidRPr="00365F5A">
              <w:rPr>
                <w:szCs w:val="24"/>
                <w:vertAlign w:val="superscript"/>
              </w:rPr>
              <w:t>1</w:t>
            </w:r>
            <w:r w:rsidRPr="00365F5A">
              <w:rPr>
                <w:szCs w:val="24"/>
              </w:rPr>
              <w:t>, hypernatriæmi</w:t>
            </w:r>
            <w:r w:rsidRPr="00365F5A">
              <w:rPr>
                <w:szCs w:val="24"/>
                <w:vertAlign w:val="superscript"/>
              </w:rPr>
              <w:t>1</w:t>
            </w:r>
            <w:r w:rsidRPr="00365F5A">
              <w:rPr>
                <w:szCs w:val="24"/>
              </w:rPr>
              <w:t>, hyperurikæmi</w:t>
            </w:r>
            <w:r w:rsidRPr="00365F5A">
              <w:rPr>
                <w:szCs w:val="24"/>
                <w:vertAlign w:val="superscript"/>
              </w:rPr>
              <w:t>1</w:t>
            </w:r>
            <w:r w:rsidRPr="00365F5A">
              <w:rPr>
                <w:szCs w:val="24"/>
              </w:rPr>
              <w:t>, nedsat appetit</w:t>
            </w:r>
          </w:p>
        </w:tc>
        <w:tc>
          <w:tcPr>
            <w:tcW w:w="150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Nervesystemet</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Synkope</w:t>
            </w:r>
            <w:r w:rsidRPr="00365F5A">
              <w:rPr>
                <w:szCs w:val="24"/>
                <w:vertAlign w:val="superscript"/>
              </w:rPr>
              <w:t>1</w:t>
            </w:r>
            <w:r w:rsidRPr="00365F5A">
              <w:rPr>
                <w:szCs w:val="24"/>
              </w:rPr>
              <w:t>,</w:t>
            </w:r>
          </w:p>
          <w:p w:rsidR="00365F5A" w:rsidRPr="00365F5A" w:rsidRDefault="00365F5A" w:rsidP="00C1540E">
            <w:pPr>
              <w:pStyle w:val="Sidehoved"/>
              <w:tabs>
                <w:tab w:val="left" w:pos="851"/>
              </w:tabs>
              <w:ind w:left="49"/>
              <w:rPr>
                <w:szCs w:val="24"/>
              </w:rPr>
            </w:pPr>
            <w:r w:rsidRPr="00365F5A">
              <w:rPr>
                <w:szCs w:val="24"/>
              </w:rPr>
              <w:t>hovedpine</w:t>
            </w:r>
            <w:r w:rsidRPr="00365F5A">
              <w:rPr>
                <w:szCs w:val="24"/>
                <w:vertAlign w:val="superscript"/>
              </w:rPr>
              <w:t>1</w:t>
            </w:r>
            <w:r w:rsidRPr="00365F5A">
              <w:rPr>
                <w:szCs w:val="24"/>
              </w:rPr>
              <w:t>,</w:t>
            </w:r>
          </w:p>
          <w:p w:rsidR="00365F5A" w:rsidRPr="00365F5A" w:rsidRDefault="00365F5A" w:rsidP="00C1540E">
            <w:pPr>
              <w:pStyle w:val="Sidehoved"/>
              <w:tabs>
                <w:tab w:val="left" w:pos="851"/>
              </w:tabs>
              <w:ind w:left="49"/>
              <w:rPr>
                <w:szCs w:val="24"/>
              </w:rPr>
            </w:pPr>
            <w:r w:rsidRPr="00365F5A">
              <w:rPr>
                <w:szCs w:val="24"/>
              </w:rPr>
              <w:t>svimmelhed</w:t>
            </w:r>
            <w:r w:rsidRPr="00365F5A">
              <w:rPr>
                <w:szCs w:val="24"/>
                <w:vertAlign w:val="superscript"/>
              </w:rPr>
              <w:t>1</w:t>
            </w:r>
          </w:p>
        </w:tc>
        <w:tc>
          <w:tcPr>
            <w:tcW w:w="150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proofErr w:type="spellStart"/>
            <w:r w:rsidRPr="00365F5A">
              <w:rPr>
                <w:szCs w:val="24"/>
              </w:rPr>
              <w:t>Dysgeusi</w:t>
            </w:r>
            <w:proofErr w:type="spellEnd"/>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proofErr w:type="spellStart"/>
            <w:r w:rsidRPr="00365F5A">
              <w:rPr>
                <w:szCs w:val="24"/>
              </w:rPr>
              <w:t>Vaskulære</w:t>
            </w:r>
            <w:proofErr w:type="spellEnd"/>
            <w:r w:rsidRPr="00365F5A">
              <w:rPr>
                <w:szCs w:val="24"/>
              </w:rPr>
              <w:t xml:space="preserve"> sygdomme</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proofErr w:type="spellStart"/>
            <w:r w:rsidRPr="00365F5A">
              <w:rPr>
                <w:szCs w:val="24"/>
              </w:rPr>
              <w:t>Ortostatisk</w:t>
            </w:r>
            <w:proofErr w:type="spellEnd"/>
            <w:r w:rsidRPr="00365F5A">
              <w:rPr>
                <w:szCs w:val="24"/>
              </w:rPr>
              <w:t xml:space="preserve"> hypotension</w:t>
            </w:r>
          </w:p>
        </w:tc>
        <w:tc>
          <w:tcPr>
            <w:tcW w:w="150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Mave-tarm-kanalen</w:t>
            </w:r>
          </w:p>
        </w:tc>
        <w:tc>
          <w:tcPr>
            <w:tcW w:w="1659"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Kvalme</w:t>
            </w: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Forstoppelse, diarré</w:t>
            </w:r>
            <w:r w:rsidRPr="00365F5A">
              <w:rPr>
                <w:szCs w:val="24"/>
                <w:vertAlign w:val="superscript"/>
              </w:rPr>
              <w:t>1</w:t>
            </w:r>
            <w:r w:rsidRPr="00365F5A">
              <w:rPr>
                <w:szCs w:val="24"/>
              </w:rPr>
              <w:t>, tør mund</w:t>
            </w:r>
          </w:p>
        </w:tc>
        <w:tc>
          <w:tcPr>
            <w:tcW w:w="150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Hud og subkutane væv</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proofErr w:type="spellStart"/>
            <w:r w:rsidRPr="00365F5A">
              <w:rPr>
                <w:szCs w:val="24"/>
              </w:rPr>
              <w:t>Ekkymose</w:t>
            </w:r>
            <w:proofErr w:type="spellEnd"/>
            <w:r w:rsidRPr="00365F5A">
              <w:rPr>
                <w:szCs w:val="24"/>
              </w:rPr>
              <w:t xml:space="preserve">, </w:t>
            </w:r>
            <w:proofErr w:type="spellStart"/>
            <w:r w:rsidRPr="00365F5A">
              <w:rPr>
                <w:szCs w:val="24"/>
              </w:rPr>
              <w:t>pruritus</w:t>
            </w:r>
            <w:proofErr w:type="spellEnd"/>
          </w:p>
        </w:tc>
        <w:tc>
          <w:tcPr>
            <w:tcW w:w="150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proofErr w:type="spellStart"/>
            <w:r w:rsidRPr="00365F5A">
              <w:rPr>
                <w:szCs w:val="24"/>
              </w:rPr>
              <w:t>Prurisk</w:t>
            </w:r>
            <w:proofErr w:type="spellEnd"/>
            <w:r w:rsidRPr="00365F5A">
              <w:rPr>
                <w:szCs w:val="24"/>
              </w:rPr>
              <w:t xml:space="preserve"> udslæt</w:t>
            </w:r>
            <w:r w:rsidRPr="00365F5A">
              <w:rPr>
                <w:szCs w:val="24"/>
                <w:vertAlign w:val="superscript"/>
              </w:rPr>
              <w:t>1</w:t>
            </w:r>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Nyrer og urinveje</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proofErr w:type="spellStart"/>
            <w:r w:rsidRPr="00365F5A">
              <w:rPr>
                <w:szCs w:val="24"/>
              </w:rPr>
              <w:t>Pollakiuria</w:t>
            </w:r>
            <w:proofErr w:type="spellEnd"/>
            <w:r w:rsidRPr="00365F5A">
              <w:rPr>
                <w:szCs w:val="24"/>
              </w:rPr>
              <w:t xml:space="preserve">, </w:t>
            </w:r>
            <w:proofErr w:type="spellStart"/>
            <w:r w:rsidRPr="00365F5A">
              <w:rPr>
                <w:szCs w:val="24"/>
              </w:rPr>
              <w:t>polyuria</w:t>
            </w:r>
            <w:proofErr w:type="spellEnd"/>
          </w:p>
        </w:tc>
        <w:tc>
          <w:tcPr>
            <w:tcW w:w="150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Nedsat nyrefunktion</w:t>
            </w:r>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Almene symptomer og reaktioner på administrationsstedet</w:t>
            </w:r>
          </w:p>
        </w:tc>
        <w:tc>
          <w:tcPr>
            <w:tcW w:w="1659"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Tørst</w:t>
            </w: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 xml:space="preserve">Asteni, </w:t>
            </w:r>
            <w:proofErr w:type="spellStart"/>
            <w:r w:rsidRPr="00365F5A">
              <w:rPr>
                <w:szCs w:val="24"/>
              </w:rPr>
              <w:t>pyreksi</w:t>
            </w:r>
            <w:proofErr w:type="spellEnd"/>
            <w:r w:rsidRPr="00365F5A">
              <w:rPr>
                <w:szCs w:val="24"/>
              </w:rPr>
              <w:t>, utilpashed</w:t>
            </w:r>
            <w:r w:rsidRPr="00365F5A">
              <w:rPr>
                <w:szCs w:val="24"/>
                <w:vertAlign w:val="superscript"/>
              </w:rPr>
              <w:t>1</w:t>
            </w:r>
          </w:p>
        </w:tc>
        <w:tc>
          <w:tcPr>
            <w:tcW w:w="150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Lever og galdeveje</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0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39" w:type="dxa"/>
            <w:tcBorders>
              <w:top w:val="single" w:sz="4" w:space="0" w:color="auto"/>
              <w:left w:val="single" w:sz="4" w:space="0" w:color="auto"/>
              <w:bottom w:val="single" w:sz="4" w:space="0" w:color="auto"/>
              <w:right w:val="single" w:sz="4" w:space="0" w:color="auto"/>
            </w:tcBorders>
            <w:hideMark/>
          </w:tcPr>
          <w:p w:rsidR="00365F5A" w:rsidRPr="00365F5A" w:rsidRDefault="00876505" w:rsidP="00C1540E">
            <w:pPr>
              <w:pStyle w:val="Sidehoved"/>
              <w:tabs>
                <w:tab w:val="left" w:pos="851"/>
              </w:tabs>
              <w:ind w:left="49"/>
              <w:rPr>
                <w:szCs w:val="24"/>
              </w:rPr>
            </w:pPr>
            <w:r w:rsidRPr="008332B2">
              <w:rPr>
                <w:szCs w:val="24"/>
              </w:rPr>
              <w:t>Leversyg</w:t>
            </w:r>
            <w:r w:rsidRPr="008332B2">
              <w:rPr>
                <w:szCs w:val="24"/>
              </w:rPr>
              <w:softHyphen/>
              <w:t>domme</w:t>
            </w:r>
            <w:r w:rsidRPr="008332B2">
              <w:rPr>
                <w:szCs w:val="24"/>
                <w:vertAlign w:val="superscript"/>
              </w:rPr>
              <w:t>2</w:t>
            </w:r>
            <w:r w:rsidRPr="008332B2">
              <w:rPr>
                <w:szCs w:val="24"/>
              </w:rPr>
              <w:t>,</w:t>
            </w:r>
            <w:r w:rsidRPr="008332B2">
              <w:rPr>
                <w:szCs w:val="24"/>
                <w:vertAlign w:val="superscript"/>
              </w:rPr>
              <w:t xml:space="preserve"> </w:t>
            </w:r>
            <w:r w:rsidRPr="008332B2">
              <w:rPr>
                <w:szCs w:val="24"/>
              </w:rPr>
              <w:t>akut leversvigt</w:t>
            </w:r>
            <w:r w:rsidRPr="008332B2">
              <w:rPr>
                <w:szCs w:val="24"/>
                <w:vertAlign w:val="superscript"/>
              </w:rPr>
              <w:t>3</w:t>
            </w: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t>Undersøgelser</w:t>
            </w:r>
          </w:p>
        </w:tc>
        <w:tc>
          <w:tcPr>
            <w:tcW w:w="165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2651"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Blod i urinen</w:t>
            </w:r>
            <w:r w:rsidRPr="00365F5A">
              <w:rPr>
                <w:szCs w:val="24"/>
                <w:vertAlign w:val="superscript"/>
              </w:rPr>
              <w:t>1</w:t>
            </w:r>
            <w:r w:rsidRPr="00365F5A">
              <w:rPr>
                <w:szCs w:val="24"/>
              </w:rPr>
              <w:t xml:space="preserve">, øget </w:t>
            </w:r>
            <w:proofErr w:type="spellStart"/>
            <w:r w:rsidRPr="00365F5A">
              <w:rPr>
                <w:szCs w:val="24"/>
              </w:rPr>
              <w:t>alaninaminotransferse</w:t>
            </w:r>
            <w:proofErr w:type="spellEnd"/>
            <w:r w:rsidRPr="00365F5A">
              <w:rPr>
                <w:szCs w:val="24"/>
              </w:rPr>
              <w:t xml:space="preserve"> (se pkt. 4.4)</w:t>
            </w:r>
            <w:r w:rsidRPr="00365F5A">
              <w:rPr>
                <w:szCs w:val="24"/>
                <w:vertAlign w:val="superscript"/>
              </w:rPr>
              <w:t>1</w:t>
            </w:r>
            <w:r w:rsidRPr="00365F5A">
              <w:rPr>
                <w:szCs w:val="24"/>
              </w:rPr>
              <w:t xml:space="preserve">, øget </w:t>
            </w:r>
            <w:proofErr w:type="spellStart"/>
            <w:r w:rsidRPr="00365F5A">
              <w:rPr>
                <w:szCs w:val="24"/>
              </w:rPr>
              <w:t>aspartataminotransferase</w:t>
            </w:r>
            <w:proofErr w:type="spellEnd"/>
            <w:r w:rsidRPr="00365F5A">
              <w:rPr>
                <w:szCs w:val="24"/>
              </w:rPr>
              <w:t xml:space="preserve"> (se pkt. 4.4)</w:t>
            </w:r>
            <w:r w:rsidRPr="00365F5A">
              <w:rPr>
                <w:szCs w:val="24"/>
                <w:vertAlign w:val="superscript"/>
              </w:rPr>
              <w:t>1</w:t>
            </w:r>
            <w:r w:rsidRPr="00365F5A">
              <w:rPr>
                <w:szCs w:val="24"/>
              </w:rPr>
              <w:t xml:space="preserve">, øget </w:t>
            </w:r>
            <w:proofErr w:type="spellStart"/>
            <w:r w:rsidRPr="00365F5A">
              <w:rPr>
                <w:szCs w:val="24"/>
              </w:rPr>
              <w:t>kreatinin</w:t>
            </w:r>
            <w:proofErr w:type="spellEnd"/>
            <w:r w:rsidRPr="00365F5A">
              <w:rPr>
                <w:szCs w:val="24"/>
              </w:rPr>
              <w:t xml:space="preserve"> i blodet</w:t>
            </w:r>
          </w:p>
        </w:tc>
        <w:tc>
          <w:tcPr>
            <w:tcW w:w="150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Øget bilirubin (se pkt. 4.4)</w:t>
            </w:r>
            <w:r w:rsidRPr="00365F5A">
              <w:rPr>
                <w:szCs w:val="24"/>
                <w:vertAlign w:val="superscript"/>
              </w:rPr>
              <w:t>1</w:t>
            </w:r>
          </w:p>
        </w:tc>
        <w:tc>
          <w:tcPr>
            <w:tcW w:w="1539" w:type="dxa"/>
            <w:tcBorders>
              <w:top w:val="single" w:sz="4" w:space="0" w:color="auto"/>
              <w:left w:val="single" w:sz="4" w:space="0" w:color="auto"/>
              <w:bottom w:val="single" w:sz="4" w:space="0" w:color="auto"/>
              <w:right w:val="single" w:sz="4" w:space="0" w:color="auto"/>
            </w:tcBorders>
            <w:hideMark/>
          </w:tcPr>
          <w:p w:rsidR="00365F5A" w:rsidRPr="00365F5A" w:rsidRDefault="00876505" w:rsidP="00C1540E">
            <w:pPr>
              <w:pStyle w:val="Sidehoved"/>
              <w:tabs>
                <w:tab w:val="left" w:pos="851"/>
              </w:tabs>
              <w:ind w:left="49"/>
              <w:rPr>
                <w:szCs w:val="24"/>
              </w:rPr>
            </w:pPr>
            <w:r w:rsidRPr="008332B2">
              <w:rPr>
                <w:szCs w:val="24"/>
              </w:rPr>
              <w:t>Forhøjede transamina</w:t>
            </w:r>
            <w:r w:rsidRPr="008332B2">
              <w:rPr>
                <w:szCs w:val="24"/>
              </w:rPr>
              <w:softHyphen/>
              <w:t>ser</w:t>
            </w:r>
            <w:r w:rsidRPr="008332B2">
              <w:rPr>
                <w:szCs w:val="24"/>
                <w:vertAlign w:val="superscript"/>
              </w:rPr>
              <w:t>2</w:t>
            </w:r>
          </w:p>
        </w:tc>
      </w:tr>
      <w:tr w:rsidR="00365F5A" w:rsidRPr="00365F5A" w:rsidTr="00C1540E">
        <w:tc>
          <w:tcPr>
            <w:tcW w:w="2285"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80"/>
              </w:tabs>
              <w:ind w:left="29"/>
              <w:rPr>
                <w:szCs w:val="24"/>
              </w:rPr>
            </w:pPr>
            <w:r w:rsidRPr="00365F5A">
              <w:rPr>
                <w:szCs w:val="24"/>
              </w:rPr>
              <w:lastRenderedPageBreak/>
              <w:t>Kirurgiske og medicinske procedurer</w:t>
            </w:r>
          </w:p>
        </w:tc>
        <w:tc>
          <w:tcPr>
            <w:tcW w:w="1659" w:type="dxa"/>
            <w:tcBorders>
              <w:top w:val="single" w:sz="4" w:space="0" w:color="auto"/>
              <w:left w:val="single" w:sz="4" w:space="0" w:color="auto"/>
              <w:bottom w:val="single" w:sz="4" w:space="0" w:color="auto"/>
              <w:right w:val="single" w:sz="4" w:space="0" w:color="auto"/>
            </w:tcBorders>
            <w:hideMark/>
          </w:tcPr>
          <w:p w:rsidR="00365F5A" w:rsidRPr="00365F5A" w:rsidRDefault="00365F5A" w:rsidP="00C1540E">
            <w:pPr>
              <w:pStyle w:val="Sidehoved"/>
              <w:tabs>
                <w:tab w:val="left" w:pos="851"/>
              </w:tabs>
              <w:ind w:left="49"/>
              <w:rPr>
                <w:szCs w:val="24"/>
              </w:rPr>
            </w:pPr>
            <w:r w:rsidRPr="00365F5A">
              <w:rPr>
                <w:szCs w:val="24"/>
              </w:rPr>
              <w:t xml:space="preserve">Hurtig korrektion af </w:t>
            </w:r>
            <w:proofErr w:type="spellStart"/>
            <w:r w:rsidRPr="00365F5A">
              <w:rPr>
                <w:szCs w:val="24"/>
              </w:rPr>
              <w:t>hyponatriæmi</w:t>
            </w:r>
            <w:proofErr w:type="spellEnd"/>
            <w:r w:rsidRPr="00365F5A">
              <w:rPr>
                <w:szCs w:val="24"/>
              </w:rPr>
              <w:t>, hvilket sommetider medfører neurologiske symptomer</w:t>
            </w:r>
          </w:p>
        </w:tc>
        <w:tc>
          <w:tcPr>
            <w:tcW w:w="2651"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05"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c>
          <w:tcPr>
            <w:tcW w:w="1539" w:type="dxa"/>
            <w:tcBorders>
              <w:top w:val="single" w:sz="4" w:space="0" w:color="auto"/>
              <w:left w:val="single" w:sz="4" w:space="0" w:color="auto"/>
              <w:bottom w:val="single" w:sz="4" w:space="0" w:color="auto"/>
              <w:right w:val="single" w:sz="4" w:space="0" w:color="auto"/>
            </w:tcBorders>
          </w:tcPr>
          <w:p w:rsidR="00365F5A" w:rsidRPr="00365F5A" w:rsidRDefault="00365F5A" w:rsidP="00C1540E">
            <w:pPr>
              <w:pStyle w:val="Sidehoved"/>
              <w:tabs>
                <w:tab w:val="left" w:pos="851"/>
              </w:tabs>
              <w:ind w:left="49"/>
              <w:rPr>
                <w:szCs w:val="24"/>
              </w:rPr>
            </w:pPr>
          </w:p>
        </w:tc>
      </w:tr>
    </w:tbl>
    <w:p w:rsidR="00365F5A" w:rsidRPr="00365F5A" w:rsidRDefault="00365F5A" w:rsidP="00365F5A">
      <w:pPr>
        <w:pStyle w:val="Sidehoved"/>
        <w:rPr>
          <w:szCs w:val="24"/>
        </w:rPr>
      </w:pPr>
    </w:p>
    <w:p w:rsidR="00876505" w:rsidRPr="008332B2" w:rsidRDefault="00876505" w:rsidP="00876505">
      <w:pPr>
        <w:pStyle w:val="Sidehoved"/>
        <w:tabs>
          <w:tab w:val="left" w:pos="1134"/>
        </w:tabs>
        <w:ind w:left="1134" w:hanging="283"/>
        <w:rPr>
          <w:sz w:val="22"/>
          <w:szCs w:val="22"/>
        </w:rPr>
      </w:pPr>
      <w:r w:rsidRPr="008332B2">
        <w:rPr>
          <w:sz w:val="22"/>
          <w:szCs w:val="22"/>
          <w:vertAlign w:val="superscript"/>
        </w:rPr>
        <w:t>1</w:t>
      </w:r>
      <w:r w:rsidRPr="008332B2">
        <w:rPr>
          <w:sz w:val="22"/>
          <w:szCs w:val="22"/>
        </w:rPr>
        <w:tab/>
        <w:t xml:space="preserve">observeret i kliniske studier, der undersøgte andre indikationer. </w:t>
      </w:r>
    </w:p>
    <w:p w:rsidR="00876505" w:rsidRPr="008332B2" w:rsidRDefault="00876505" w:rsidP="00876505">
      <w:pPr>
        <w:pStyle w:val="Sidehoved"/>
        <w:tabs>
          <w:tab w:val="left" w:pos="1134"/>
        </w:tabs>
        <w:ind w:left="1134" w:hanging="283"/>
        <w:rPr>
          <w:sz w:val="22"/>
          <w:szCs w:val="22"/>
        </w:rPr>
      </w:pPr>
      <w:r w:rsidRPr="008332B2">
        <w:rPr>
          <w:sz w:val="22"/>
          <w:szCs w:val="22"/>
          <w:vertAlign w:val="superscript"/>
        </w:rPr>
        <w:t>2</w:t>
      </w:r>
      <w:r w:rsidRPr="008332B2">
        <w:rPr>
          <w:sz w:val="22"/>
          <w:szCs w:val="22"/>
        </w:rPr>
        <w:tab/>
        <w:t xml:space="preserve">observeret i sikkerhedsstudie efter markedsføring ved </w:t>
      </w:r>
      <w:proofErr w:type="spellStart"/>
      <w:r w:rsidRPr="008332B2">
        <w:rPr>
          <w:sz w:val="22"/>
          <w:szCs w:val="22"/>
        </w:rPr>
        <w:t>hyponatriæmi</w:t>
      </w:r>
      <w:proofErr w:type="spellEnd"/>
      <w:r w:rsidRPr="008332B2">
        <w:rPr>
          <w:sz w:val="22"/>
          <w:szCs w:val="22"/>
        </w:rPr>
        <w:t xml:space="preserve"> sekundært til SIADH.</w:t>
      </w:r>
    </w:p>
    <w:p w:rsidR="00876505" w:rsidRPr="008332B2" w:rsidRDefault="00876505" w:rsidP="00876505">
      <w:pPr>
        <w:pStyle w:val="Sidehoved"/>
        <w:tabs>
          <w:tab w:val="left" w:pos="1134"/>
        </w:tabs>
        <w:ind w:left="1134" w:hanging="283"/>
        <w:rPr>
          <w:sz w:val="22"/>
          <w:szCs w:val="22"/>
        </w:rPr>
      </w:pPr>
      <w:r w:rsidRPr="008332B2">
        <w:rPr>
          <w:sz w:val="22"/>
          <w:szCs w:val="22"/>
          <w:vertAlign w:val="superscript"/>
        </w:rPr>
        <w:t>3</w:t>
      </w:r>
      <w:r w:rsidRPr="008332B2">
        <w:rPr>
          <w:sz w:val="22"/>
          <w:szCs w:val="22"/>
        </w:rPr>
        <w:tab/>
        <w:t xml:space="preserve">observeret efter markedsføring ved brug af </w:t>
      </w:r>
      <w:proofErr w:type="spellStart"/>
      <w:r w:rsidRPr="008332B2">
        <w:rPr>
          <w:sz w:val="22"/>
          <w:szCs w:val="22"/>
        </w:rPr>
        <w:t>tolvaptan</w:t>
      </w:r>
      <w:proofErr w:type="spellEnd"/>
      <w:r w:rsidRPr="008332B2">
        <w:rPr>
          <w:sz w:val="22"/>
          <w:szCs w:val="22"/>
        </w:rPr>
        <w:t xml:space="preserve"> til behandling af ADPKD. Levertransplantation var påkrævet. </w:t>
      </w:r>
    </w:p>
    <w:p w:rsidR="00365F5A" w:rsidRPr="00365F5A" w:rsidRDefault="00365F5A" w:rsidP="00365F5A">
      <w:pPr>
        <w:pStyle w:val="Sidehoved"/>
        <w:tabs>
          <w:tab w:val="left" w:pos="851"/>
        </w:tabs>
        <w:ind w:left="851"/>
        <w:rPr>
          <w:szCs w:val="24"/>
        </w:rPr>
      </w:pPr>
    </w:p>
    <w:p w:rsidR="00365F5A" w:rsidRPr="00365F5A" w:rsidRDefault="00365F5A" w:rsidP="00365F5A">
      <w:pPr>
        <w:pStyle w:val="Sidehoved"/>
        <w:tabs>
          <w:tab w:val="left" w:pos="851"/>
        </w:tabs>
        <w:ind w:left="851"/>
        <w:rPr>
          <w:szCs w:val="24"/>
          <w:u w:val="single"/>
        </w:rPr>
      </w:pPr>
      <w:r w:rsidRPr="00365F5A">
        <w:rPr>
          <w:szCs w:val="24"/>
          <w:u w:val="single"/>
        </w:rPr>
        <w:t xml:space="preserve">Beskrivelse af udvalgte bivirkninger </w:t>
      </w:r>
    </w:p>
    <w:p w:rsidR="00365F5A" w:rsidRPr="00365F5A" w:rsidRDefault="00365F5A" w:rsidP="00365F5A">
      <w:pPr>
        <w:pStyle w:val="Sidehoved"/>
        <w:tabs>
          <w:tab w:val="left" w:pos="851"/>
        </w:tabs>
        <w:ind w:left="851"/>
        <w:rPr>
          <w:i/>
          <w:iCs/>
          <w:szCs w:val="24"/>
        </w:rPr>
      </w:pPr>
    </w:p>
    <w:p w:rsidR="00365F5A" w:rsidRPr="00365F5A" w:rsidRDefault="00365F5A" w:rsidP="00365F5A">
      <w:pPr>
        <w:pStyle w:val="Sidehoved"/>
        <w:tabs>
          <w:tab w:val="left" w:pos="851"/>
        </w:tabs>
        <w:ind w:left="851"/>
        <w:rPr>
          <w:szCs w:val="24"/>
        </w:rPr>
      </w:pPr>
      <w:r w:rsidRPr="00365F5A">
        <w:rPr>
          <w:i/>
          <w:iCs/>
          <w:szCs w:val="24"/>
        </w:rPr>
        <w:t xml:space="preserve">Hurtig korrektion af </w:t>
      </w:r>
      <w:proofErr w:type="spellStart"/>
      <w:r w:rsidRPr="00365F5A">
        <w:rPr>
          <w:i/>
          <w:iCs/>
          <w:szCs w:val="24"/>
        </w:rPr>
        <w:t>hyponatriæmi</w:t>
      </w:r>
      <w:proofErr w:type="spellEnd"/>
      <w:r w:rsidRPr="00365F5A">
        <w:rPr>
          <w:i/>
          <w:iCs/>
          <w:szCs w:val="24"/>
        </w:rPr>
        <w:t xml:space="preserve"> </w:t>
      </w:r>
    </w:p>
    <w:p w:rsidR="00365F5A" w:rsidRPr="00365F5A" w:rsidRDefault="00365F5A" w:rsidP="00365F5A">
      <w:pPr>
        <w:pStyle w:val="Sidehoved"/>
        <w:tabs>
          <w:tab w:val="left" w:pos="851"/>
        </w:tabs>
        <w:ind w:left="851"/>
        <w:rPr>
          <w:szCs w:val="24"/>
        </w:rPr>
      </w:pPr>
      <w:r w:rsidRPr="00365F5A">
        <w:rPr>
          <w:szCs w:val="24"/>
        </w:rPr>
        <w:t xml:space="preserve">I et sikkerhedsstudie af </w:t>
      </w:r>
      <w:proofErr w:type="spellStart"/>
      <w:r w:rsidRPr="00365F5A">
        <w:rPr>
          <w:szCs w:val="24"/>
        </w:rPr>
        <w:t>tolvaptan</w:t>
      </w:r>
      <w:proofErr w:type="spellEnd"/>
      <w:r w:rsidRPr="00365F5A">
        <w:rPr>
          <w:szCs w:val="24"/>
        </w:rPr>
        <w:t xml:space="preserve"> efter tilladelse til markedsføring hos patienter med </w:t>
      </w:r>
      <w:proofErr w:type="spellStart"/>
      <w:r w:rsidRPr="00365F5A">
        <w:rPr>
          <w:szCs w:val="24"/>
        </w:rPr>
        <w:t>hyponatriæmi</w:t>
      </w:r>
      <w:proofErr w:type="spellEnd"/>
      <w:r w:rsidRPr="00365F5A">
        <w:rPr>
          <w:szCs w:val="24"/>
        </w:rPr>
        <w:t xml:space="preserve"> sekundært til SIADH, herunder en stor andel af patienter med tumorer (især småcellet lungekræft), hos patienter med en lav natriumværdi ved </w:t>
      </w:r>
      <w:r w:rsidRPr="00365F5A">
        <w:rPr>
          <w:i/>
          <w:szCs w:val="24"/>
        </w:rPr>
        <w:t>baseline</w:t>
      </w:r>
      <w:r w:rsidRPr="00365F5A">
        <w:rPr>
          <w:szCs w:val="24"/>
        </w:rPr>
        <w:t xml:space="preserve"> og hos patienter med samtidig brug af </w:t>
      </w:r>
      <w:proofErr w:type="spellStart"/>
      <w:r w:rsidRPr="00365F5A">
        <w:rPr>
          <w:szCs w:val="24"/>
        </w:rPr>
        <w:t>diuretika</w:t>
      </w:r>
      <w:proofErr w:type="spellEnd"/>
      <w:r w:rsidRPr="00365F5A">
        <w:rPr>
          <w:szCs w:val="24"/>
        </w:rPr>
        <w:t xml:space="preserve"> og/eller </w:t>
      </w:r>
      <w:proofErr w:type="spellStart"/>
      <w:r w:rsidRPr="00365F5A">
        <w:rPr>
          <w:szCs w:val="24"/>
        </w:rPr>
        <w:t>natriumchloridopløsning</w:t>
      </w:r>
      <w:proofErr w:type="spellEnd"/>
      <w:r w:rsidRPr="00365F5A">
        <w:rPr>
          <w:szCs w:val="24"/>
        </w:rPr>
        <w:t xml:space="preserve"> var </w:t>
      </w:r>
      <w:proofErr w:type="spellStart"/>
      <w:r w:rsidRPr="00365F5A">
        <w:rPr>
          <w:szCs w:val="24"/>
        </w:rPr>
        <w:t>incidensen</w:t>
      </w:r>
      <w:proofErr w:type="spellEnd"/>
      <w:r w:rsidRPr="00365F5A">
        <w:rPr>
          <w:szCs w:val="24"/>
        </w:rPr>
        <w:t xml:space="preserve"> af hurtig korrektion af </w:t>
      </w:r>
      <w:proofErr w:type="spellStart"/>
      <w:r w:rsidRPr="00365F5A">
        <w:rPr>
          <w:szCs w:val="24"/>
        </w:rPr>
        <w:t>hyponatriæmi</w:t>
      </w:r>
      <w:proofErr w:type="spellEnd"/>
      <w:r w:rsidRPr="00365F5A">
        <w:rPr>
          <w:szCs w:val="24"/>
        </w:rPr>
        <w:t xml:space="preserve"> højere end i de kliniske studier. </w:t>
      </w:r>
    </w:p>
    <w:p w:rsidR="00365F5A" w:rsidRPr="00365F5A" w:rsidRDefault="00365F5A" w:rsidP="00365F5A">
      <w:pPr>
        <w:pStyle w:val="Sidehoved"/>
        <w:tabs>
          <w:tab w:val="left" w:pos="851"/>
        </w:tabs>
        <w:ind w:left="851"/>
        <w:rPr>
          <w:szCs w:val="24"/>
        </w:rPr>
      </w:pPr>
    </w:p>
    <w:p w:rsidR="00365F5A" w:rsidRPr="00324D76" w:rsidRDefault="00365F5A" w:rsidP="00365F5A">
      <w:pPr>
        <w:pStyle w:val="Sidehoved"/>
        <w:tabs>
          <w:tab w:val="left" w:pos="851"/>
        </w:tabs>
        <w:ind w:left="851"/>
        <w:rPr>
          <w:szCs w:val="24"/>
          <w:u w:val="single"/>
        </w:rPr>
      </w:pPr>
      <w:r w:rsidRPr="00324D76">
        <w:rPr>
          <w:bCs/>
          <w:szCs w:val="24"/>
          <w:u w:val="single"/>
        </w:rPr>
        <w:t>Indberetning af formodede bivirkninger</w:t>
      </w:r>
    </w:p>
    <w:p w:rsidR="00365F5A" w:rsidRDefault="00365F5A" w:rsidP="00365F5A">
      <w:pPr>
        <w:pStyle w:val="Sidehoved"/>
        <w:tabs>
          <w:tab w:val="left" w:pos="851"/>
        </w:tabs>
        <w:ind w:left="851"/>
        <w:rPr>
          <w:szCs w:val="24"/>
        </w:rPr>
      </w:pPr>
      <w:r w:rsidRPr="00365F5A">
        <w:rPr>
          <w:szCs w:val="24"/>
        </w:rPr>
        <w:t>Når lægemidlet er godkendt, er indberetning af formodede bivirkninger vigtig. Det muliggør løbende overvågning af benefit/</w:t>
      </w:r>
      <w:proofErr w:type="spellStart"/>
      <w:r w:rsidRPr="00365F5A">
        <w:rPr>
          <w:szCs w:val="24"/>
        </w:rPr>
        <w:t>risk</w:t>
      </w:r>
      <w:proofErr w:type="spellEnd"/>
      <w:r w:rsidRPr="00365F5A">
        <w:rPr>
          <w:szCs w:val="24"/>
        </w:rPr>
        <w:t xml:space="preserve">-forholdet for lægemidlet. Sundhedspersoner anmodes om at indberette alle formodede bivirkninger via: </w:t>
      </w:r>
    </w:p>
    <w:p w:rsidR="00324D76" w:rsidRPr="00365F5A" w:rsidRDefault="00324D76" w:rsidP="00365F5A">
      <w:pPr>
        <w:pStyle w:val="Sidehoved"/>
        <w:tabs>
          <w:tab w:val="left" w:pos="851"/>
        </w:tabs>
        <w:ind w:left="851"/>
        <w:rPr>
          <w:szCs w:val="24"/>
        </w:rPr>
      </w:pPr>
    </w:p>
    <w:p w:rsidR="00365F5A" w:rsidRPr="00365F5A" w:rsidRDefault="00365F5A" w:rsidP="00365F5A">
      <w:pPr>
        <w:pStyle w:val="Sidehoved"/>
        <w:tabs>
          <w:tab w:val="left" w:pos="851"/>
        </w:tabs>
        <w:ind w:left="851"/>
        <w:rPr>
          <w:b/>
          <w:szCs w:val="24"/>
        </w:rPr>
      </w:pPr>
      <w:r w:rsidRPr="00365F5A">
        <w:rPr>
          <w:szCs w:val="24"/>
        </w:rPr>
        <w:t>Lægemiddelstyrelsen</w:t>
      </w:r>
      <w:r w:rsidRPr="00365F5A">
        <w:rPr>
          <w:szCs w:val="24"/>
        </w:rPr>
        <w:br/>
        <w:t>Axel Heides Gade 1</w:t>
      </w:r>
      <w:r w:rsidRPr="00365F5A">
        <w:rPr>
          <w:szCs w:val="24"/>
        </w:rPr>
        <w:br/>
        <w:t>DK-2300 København S</w:t>
      </w:r>
      <w:r w:rsidRPr="00365F5A">
        <w:rPr>
          <w:szCs w:val="24"/>
        </w:rPr>
        <w:br/>
        <w:t xml:space="preserve">Websted: </w:t>
      </w:r>
      <w:r w:rsidRPr="00324D76">
        <w:rPr>
          <w:szCs w:val="24"/>
        </w:rPr>
        <w:t>www.meldenbivirkning.dk</w:t>
      </w:r>
    </w:p>
    <w:p w:rsidR="009260DE" w:rsidRPr="00C84483" w:rsidRDefault="009260DE" w:rsidP="00365F5A">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7481D" w:rsidRDefault="00C7481D" w:rsidP="00C7481D">
      <w:pPr>
        <w:pStyle w:val="Default"/>
        <w:ind w:left="851"/>
      </w:pPr>
      <w:r>
        <w:t xml:space="preserve">Enkeltdoser på op til 480 mg og gentagne doser på op til 300 mg daglig i 5 dage har været tolereret i kliniske studier hos raske frivillige. Der findes ingen specifik </w:t>
      </w:r>
      <w:proofErr w:type="spellStart"/>
      <w:r>
        <w:t>antidot</w:t>
      </w:r>
      <w:proofErr w:type="spellEnd"/>
      <w:r>
        <w:t xml:space="preserve"> til forgiftning med </w:t>
      </w:r>
      <w:proofErr w:type="spellStart"/>
      <w:r>
        <w:t>tolvaptan</w:t>
      </w:r>
      <w:proofErr w:type="spellEnd"/>
      <w:r>
        <w:t xml:space="preserve">. Tegn og symptomer på en akut overdosis kan forventes at være som ved overdreven farmakologisk virkning: en stigning i koncentrationen af serumnatrium, </w:t>
      </w:r>
      <w:proofErr w:type="spellStart"/>
      <w:r>
        <w:t>polyuri</w:t>
      </w:r>
      <w:proofErr w:type="spellEnd"/>
      <w:r>
        <w:t>, tørst og dehydrering/</w:t>
      </w:r>
      <w:proofErr w:type="spellStart"/>
      <w:r>
        <w:t>hypovolæmi</w:t>
      </w:r>
      <w:proofErr w:type="spellEnd"/>
      <w:r>
        <w:t xml:space="preserve"> (kraftig og forlænget </w:t>
      </w:r>
      <w:proofErr w:type="spellStart"/>
      <w:r>
        <w:t>aquaresis</w:t>
      </w:r>
      <w:proofErr w:type="spellEnd"/>
      <w:r>
        <w:t xml:space="preserve">). </w:t>
      </w:r>
    </w:p>
    <w:p w:rsidR="00C7481D" w:rsidRDefault="00C7481D" w:rsidP="00C7481D">
      <w:pPr>
        <w:pStyle w:val="Default"/>
        <w:ind w:left="851"/>
      </w:pPr>
    </w:p>
    <w:p w:rsidR="00C7481D" w:rsidRDefault="00C7481D" w:rsidP="00C7481D">
      <w:pPr>
        <w:tabs>
          <w:tab w:val="left" w:pos="851"/>
        </w:tabs>
        <w:ind w:left="851"/>
        <w:rPr>
          <w:szCs w:val="24"/>
        </w:rPr>
      </w:pPr>
      <w:r>
        <w:rPr>
          <w:szCs w:val="24"/>
        </w:rPr>
        <w:t xml:space="preserve">Hos patienter, hvor der er mistanke om </w:t>
      </w:r>
      <w:proofErr w:type="spellStart"/>
      <w:r>
        <w:rPr>
          <w:szCs w:val="24"/>
        </w:rPr>
        <w:t>tolvaptanoverdosering</w:t>
      </w:r>
      <w:proofErr w:type="spellEnd"/>
      <w:r>
        <w:rPr>
          <w:szCs w:val="24"/>
        </w:rPr>
        <w:t xml:space="preserve">, anbefales vurdering af blodtryk, puls og temperatur, elektrolytkoncentrationer, ekg og væskestatus. Passende erstatning af vand og/eller elektrolytter skal fortsættes, indtil </w:t>
      </w:r>
      <w:proofErr w:type="spellStart"/>
      <w:r>
        <w:rPr>
          <w:szCs w:val="24"/>
        </w:rPr>
        <w:t>aquaresis</w:t>
      </w:r>
      <w:proofErr w:type="spellEnd"/>
      <w:r>
        <w:rPr>
          <w:szCs w:val="24"/>
        </w:rPr>
        <w:t xml:space="preserve"> ophører. Dialyse virker måske ikke med hensyn til at fjerne </w:t>
      </w:r>
      <w:proofErr w:type="spellStart"/>
      <w:r>
        <w:rPr>
          <w:szCs w:val="24"/>
        </w:rPr>
        <w:t>tolvaptan</w:t>
      </w:r>
      <w:proofErr w:type="spellEnd"/>
      <w:r>
        <w:rPr>
          <w:szCs w:val="24"/>
        </w:rPr>
        <w:t xml:space="preserve"> på grund af dets høje bindingsaffinitet for </w:t>
      </w:r>
      <w:proofErr w:type="gramStart"/>
      <w:r>
        <w:rPr>
          <w:szCs w:val="24"/>
        </w:rPr>
        <w:t>human plasmaprotein</w:t>
      </w:r>
      <w:proofErr w:type="gramEnd"/>
      <w:r>
        <w:rPr>
          <w:szCs w:val="24"/>
        </w:rPr>
        <w:t xml:space="preserve"> (&gt; 98 %).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D93BC9"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182EA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lastRenderedPageBreak/>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82EAE" w:rsidRDefault="00182EAE" w:rsidP="00182EAE">
      <w:pPr>
        <w:pStyle w:val="Default"/>
        <w:ind w:left="851"/>
      </w:pPr>
      <w:bookmarkStart w:id="4" w:name="_Hlk121753973"/>
      <w:bookmarkStart w:id="5" w:name="_Hlk121742993"/>
      <w:proofErr w:type="spellStart"/>
      <w:r>
        <w:t>Farmakoterapeutisk</w:t>
      </w:r>
      <w:proofErr w:type="spellEnd"/>
      <w:r>
        <w:t xml:space="preserve"> klassifikation:</w:t>
      </w:r>
      <w:bookmarkEnd w:id="4"/>
      <w:bookmarkEnd w:id="5"/>
      <w:r>
        <w:t xml:space="preserve"> </w:t>
      </w:r>
      <w:proofErr w:type="spellStart"/>
      <w:r>
        <w:t>Diuretika</w:t>
      </w:r>
      <w:proofErr w:type="spellEnd"/>
      <w:r>
        <w:t xml:space="preserve">, </w:t>
      </w:r>
      <w:proofErr w:type="spellStart"/>
      <w:r>
        <w:t>vasopressin</w:t>
      </w:r>
      <w:proofErr w:type="spellEnd"/>
      <w:r>
        <w:t>-antagonister.</w:t>
      </w:r>
      <w:r w:rsidRPr="00182EAE">
        <w:t xml:space="preserve"> </w:t>
      </w:r>
      <w:r>
        <w:t xml:space="preserve">ATC-kode: C 03 XA 01. </w:t>
      </w:r>
    </w:p>
    <w:p w:rsidR="00A11C18" w:rsidRDefault="00A11C18" w:rsidP="00A11C18">
      <w:pPr>
        <w:tabs>
          <w:tab w:val="left" w:pos="851"/>
        </w:tabs>
        <w:ind w:left="851"/>
        <w:rPr>
          <w:sz w:val="24"/>
          <w:szCs w:val="24"/>
          <w:u w:val="single"/>
        </w:rPr>
      </w:pPr>
    </w:p>
    <w:p w:rsidR="00A11C18" w:rsidRPr="00A11C18" w:rsidRDefault="00A11C18" w:rsidP="00A11C18">
      <w:pPr>
        <w:tabs>
          <w:tab w:val="left" w:pos="851"/>
        </w:tabs>
        <w:ind w:left="851"/>
        <w:rPr>
          <w:sz w:val="24"/>
          <w:szCs w:val="24"/>
          <w:u w:val="single"/>
        </w:rPr>
      </w:pPr>
      <w:r w:rsidRPr="00A11C18">
        <w:rPr>
          <w:sz w:val="24"/>
          <w:szCs w:val="24"/>
          <w:u w:val="single"/>
        </w:rPr>
        <w:t xml:space="preserve">Virkningsmekanisme </w:t>
      </w:r>
    </w:p>
    <w:p w:rsidR="00A11C18" w:rsidRPr="00A11C18" w:rsidRDefault="00A11C18" w:rsidP="00A11C18">
      <w:pPr>
        <w:tabs>
          <w:tab w:val="left" w:pos="851"/>
        </w:tabs>
        <w:ind w:left="851"/>
        <w:rPr>
          <w:sz w:val="24"/>
          <w:szCs w:val="24"/>
        </w:rPr>
      </w:pPr>
      <w:proofErr w:type="spellStart"/>
      <w:r w:rsidRPr="00A11C18">
        <w:rPr>
          <w:sz w:val="24"/>
          <w:szCs w:val="24"/>
        </w:rPr>
        <w:t>Tolvaptan</w:t>
      </w:r>
      <w:proofErr w:type="spellEnd"/>
      <w:r w:rsidRPr="00A11C18">
        <w:rPr>
          <w:sz w:val="24"/>
          <w:szCs w:val="24"/>
        </w:rPr>
        <w:t xml:space="preserve"> er en selektiv vasopressin-V2-receptorantagonist, der specifikt blokerer bindingen af </w:t>
      </w:r>
      <w:proofErr w:type="spellStart"/>
      <w:r w:rsidRPr="00A11C18">
        <w:rPr>
          <w:sz w:val="24"/>
          <w:szCs w:val="24"/>
        </w:rPr>
        <w:t>argininvasopressin</w:t>
      </w:r>
      <w:proofErr w:type="spellEnd"/>
      <w:r w:rsidRPr="00A11C18">
        <w:rPr>
          <w:sz w:val="24"/>
          <w:szCs w:val="24"/>
        </w:rPr>
        <w:t xml:space="preserve"> (AVP) ved V2-receptorerne af de </w:t>
      </w:r>
      <w:proofErr w:type="spellStart"/>
      <w:r w:rsidRPr="00A11C18">
        <w:rPr>
          <w:sz w:val="24"/>
          <w:szCs w:val="24"/>
        </w:rPr>
        <w:t>distale</w:t>
      </w:r>
      <w:proofErr w:type="spellEnd"/>
      <w:r w:rsidRPr="00A11C18">
        <w:rPr>
          <w:sz w:val="24"/>
          <w:szCs w:val="24"/>
        </w:rPr>
        <w:t xml:space="preserve"> dele af </w:t>
      </w:r>
      <w:proofErr w:type="spellStart"/>
      <w:r w:rsidRPr="00A11C18">
        <w:rPr>
          <w:sz w:val="24"/>
          <w:szCs w:val="24"/>
        </w:rPr>
        <w:t>nefronen</w:t>
      </w:r>
      <w:proofErr w:type="spellEnd"/>
      <w:r w:rsidRPr="00A11C18">
        <w:rPr>
          <w:sz w:val="24"/>
          <w:szCs w:val="24"/>
        </w:rPr>
        <w:t xml:space="preserve">. </w:t>
      </w:r>
      <w:proofErr w:type="spellStart"/>
      <w:r w:rsidRPr="00A11C18">
        <w:rPr>
          <w:sz w:val="24"/>
          <w:szCs w:val="24"/>
        </w:rPr>
        <w:t>Tolvaptans</w:t>
      </w:r>
      <w:proofErr w:type="spellEnd"/>
      <w:r w:rsidRPr="00A11C18">
        <w:rPr>
          <w:sz w:val="24"/>
          <w:szCs w:val="24"/>
        </w:rPr>
        <w:t xml:space="preserve"> affinitet for den humane V2-receptor er 1,8 gange større end for det </w:t>
      </w:r>
      <w:proofErr w:type="spellStart"/>
      <w:r w:rsidRPr="00A11C18">
        <w:rPr>
          <w:sz w:val="24"/>
          <w:szCs w:val="24"/>
        </w:rPr>
        <w:t>native</w:t>
      </w:r>
      <w:proofErr w:type="spellEnd"/>
      <w:r w:rsidRPr="00A11C18">
        <w:rPr>
          <w:sz w:val="24"/>
          <w:szCs w:val="24"/>
        </w:rPr>
        <w:t xml:space="preserve"> AVP. </w:t>
      </w:r>
    </w:p>
    <w:p w:rsidR="00A11C18" w:rsidRPr="00A11C18" w:rsidRDefault="00A11C18" w:rsidP="00A11C18">
      <w:pPr>
        <w:tabs>
          <w:tab w:val="left" w:pos="851"/>
        </w:tabs>
        <w:ind w:left="851"/>
        <w:rPr>
          <w:sz w:val="24"/>
          <w:szCs w:val="24"/>
        </w:rPr>
      </w:pPr>
    </w:p>
    <w:p w:rsidR="00876505" w:rsidRPr="008332B2" w:rsidRDefault="00876505" w:rsidP="00876505">
      <w:pPr>
        <w:tabs>
          <w:tab w:val="left" w:pos="851"/>
        </w:tabs>
        <w:ind w:left="851"/>
        <w:rPr>
          <w:sz w:val="24"/>
          <w:szCs w:val="24"/>
        </w:rPr>
      </w:pPr>
      <w:r w:rsidRPr="008332B2">
        <w:rPr>
          <w:sz w:val="24"/>
          <w:szCs w:val="24"/>
        </w:rPr>
        <w:t xml:space="preserve">Oral administration af doser på 7,5 mg til 120 mg </w:t>
      </w:r>
      <w:proofErr w:type="spellStart"/>
      <w:r w:rsidRPr="008332B2">
        <w:rPr>
          <w:sz w:val="24"/>
          <w:szCs w:val="24"/>
        </w:rPr>
        <w:t>tolvaptan</w:t>
      </w:r>
      <w:proofErr w:type="spellEnd"/>
      <w:r w:rsidRPr="008332B2">
        <w:rPr>
          <w:sz w:val="24"/>
          <w:szCs w:val="24"/>
        </w:rPr>
        <w:t xml:space="preserve"> hos raske voksne forsøgspersoner medførte en øgning af urinudskillelseshastigheden inden for 2 timer efter dosering. Efter orale enkeltdoser på 7,5 mg til 60 mg steg døgnurinvolumenen dosisafhængigt med døgnvolumener fra 3 til 9 liter. Ved alle doser vendte urinudskillelseshastigheden tilbage til </w:t>
      </w:r>
      <w:r w:rsidRPr="008332B2">
        <w:rPr>
          <w:i/>
          <w:sz w:val="24"/>
          <w:szCs w:val="24"/>
        </w:rPr>
        <w:t>baseline</w:t>
      </w:r>
      <w:r w:rsidRPr="008332B2">
        <w:rPr>
          <w:sz w:val="24"/>
          <w:szCs w:val="24"/>
        </w:rPr>
        <w:t xml:space="preserve">-niveauet efter 24 timer. Ved enkeltdoser a 60-480 mg blev der udskilt gennemsnitligt 7 liter i løbet af 0-12 timer uafhængigt af dosis. Mærkbart højere doser </w:t>
      </w:r>
      <w:proofErr w:type="spellStart"/>
      <w:r w:rsidRPr="008332B2">
        <w:rPr>
          <w:sz w:val="24"/>
          <w:szCs w:val="24"/>
        </w:rPr>
        <w:t>tolvaptan</w:t>
      </w:r>
      <w:proofErr w:type="spellEnd"/>
      <w:r w:rsidRPr="008332B2">
        <w:rPr>
          <w:sz w:val="24"/>
          <w:szCs w:val="24"/>
        </w:rPr>
        <w:t xml:space="preserve"> giver mere vedvarende respons uden at påvirke omfanget af udskillelsen, eftersom aktive koncentrationer af </w:t>
      </w:r>
      <w:proofErr w:type="spellStart"/>
      <w:r w:rsidRPr="008332B2">
        <w:rPr>
          <w:sz w:val="24"/>
          <w:szCs w:val="24"/>
        </w:rPr>
        <w:t>tolvaptan</w:t>
      </w:r>
      <w:proofErr w:type="spellEnd"/>
      <w:r w:rsidRPr="008332B2">
        <w:rPr>
          <w:sz w:val="24"/>
          <w:szCs w:val="24"/>
        </w:rPr>
        <w:t xml:space="preserve"> er til stede gennem længere perioder. </w:t>
      </w:r>
    </w:p>
    <w:p w:rsidR="00A11C18" w:rsidRPr="00A11C18" w:rsidRDefault="00A11C18" w:rsidP="00A11C18">
      <w:pPr>
        <w:tabs>
          <w:tab w:val="left" w:pos="851"/>
        </w:tabs>
        <w:ind w:left="851"/>
        <w:rPr>
          <w:sz w:val="24"/>
          <w:szCs w:val="24"/>
        </w:rPr>
      </w:pPr>
    </w:p>
    <w:p w:rsidR="00A11C18" w:rsidRPr="00A11C18" w:rsidRDefault="00A11C18" w:rsidP="00A11C18">
      <w:pPr>
        <w:tabs>
          <w:tab w:val="left" w:pos="851"/>
        </w:tabs>
        <w:ind w:left="851"/>
        <w:rPr>
          <w:sz w:val="24"/>
          <w:szCs w:val="24"/>
          <w:u w:val="single"/>
        </w:rPr>
      </w:pPr>
      <w:r w:rsidRPr="00A11C18">
        <w:rPr>
          <w:sz w:val="24"/>
          <w:szCs w:val="24"/>
          <w:u w:val="single"/>
        </w:rPr>
        <w:t xml:space="preserve">Klinisk virkning og sikkerhed </w:t>
      </w:r>
    </w:p>
    <w:p w:rsidR="00A11C18" w:rsidRDefault="00A11C18" w:rsidP="00A11C18">
      <w:pPr>
        <w:tabs>
          <w:tab w:val="left" w:pos="851"/>
        </w:tabs>
        <w:ind w:left="851"/>
        <w:rPr>
          <w:i/>
          <w:iCs/>
          <w:sz w:val="24"/>
          <w:szCs w:val="24"/>
        </w:rPr>
      </w:pPr>
    </w:p>
    <w:p w:rsidR="00A11C18" w:rsidRPr="00A11C18" w:rsidRDefault="00A11C18" w:rsidP="00A11C18">
      <w:pPr>
        <w:tabs>
          <w:tab w:val="left" w:pos="851"/>
        </w:tabs>
        <w:ind w:left="851"/>
        <w:rPr>
          <w:sz w:val="24"/>
          <w:szCs w:val="24"/>
        </w:rPr>
      </w:pPr>
      <w:proofErr w:type="spellStart"/>
      <w:r w:rsidRPr="00A11C18">
        <w:rPr>
          <w:i/>
          <w:iCs/>
          <w:sz w:val="24"/>
          <w:szCs w:val="24"/>
        </w:rPr>
        <w:t>Hyponatriæmi</w:t>
      </w:r>
      <w:proofErr w:type="spellEnd"/>
      <w:r w:rsidRPr="00A11C18">
        <w:rPr>
          <w:i/>
          <w:iCs/>
          <w:sz w:val="24"/>
          <w:szCs w:val="24"/>
        </w:rPr>
        <w:t xml:space="preserve"> </w:t>
      </w:r>
    </w:p>
    <w:p w:rsidR="00876505" w:rsidRPr="008332B2" w:rsidRDefault="00876505" w:rsidP="00876505">
      <w:pPr>
        <w:tabs>
          <w:tab w:val="left" w:pos="851"/>
        </w:tabs>
        <w:ind w:left="851"/>
        <w:rPr>
          <w:sz w:val="24"/>
          <w:szCs w:val="24"/>
        </w:rPr>
      </w:pPr>
      <w:r w:rsidRPr="008332B2">
        <w:rPr>
          <w:sz w:val="24"/>
          <w:szCs w:val="24"/>
        </w:rPr>
        <w:t xml:space="preserve">I 2 pivotale, dobbeltblindede, placebokontrollerede, kliniske studier blev i alt 424 patienter med </w:t>
      </w:r>
      <w:proofErr w:type="spellStart"/>
      <w:r w:rsidRPr="008332B2">
        <w:rPr>
          <w:sz w:val="24"/>
          <w:szCs w:val="24"/>
        </w:rPr>
        <w:t>euvolæmisk</w:t>
      </w:r>
      <w:proofErr w:type="spellEnd"/>
      <w:r w:rsidRPr="008332B2">
        <w:rPr>
          <w:sz w:val="24"/>
          <w:szCs w:val="24"/>
        </w:rPr>
        <w:t xml:space="preserve"> eller </w:t>
      </w:r>
      <w:proofErr w:type="spellStart"/>
      <w:r w:rsidRPr="008332B2">
        <w:rPr>
          <w:sz w:val="24"/>
          <w:szCs w:val="24"/>
        </w:rPr>
        <w:t>hypervolæmisk</w:t>
      </w:r>
      <w:proofErr w:type="spellEnd"/>
      <w:r w:rsidRPr="008332B2">
        <w:rPr>
          <w:sz w:val="24"/>
          <w:szCs w:val="24"/>
        </w:rPr>
        <w:t xml:space="preserve"> </w:t>
      </w:r>
      <w:proofErr w:type="spellStart"/>
      <w:r w:rsidRPr="008332B2">
        <w:rPr>
          <w:sz w:val="24"/>
          <w:szCs w:val="24"/>
        </w:rPr>
        <w:t>hyponatriæmi</w:t>
      </w:r>
      <w:proofErr w:type="spellEnd"/>
      <w:r w:rsidRPr="008332B2">
        <w:rPr>
          <w:sz w:val="24"/>
          <w:szCs w:val="24"/>
        </w:rPr>
        <w:t xml:space="preserve"> (serumnatrium &lt; 135 </w:t>
      </w:r>
      <w:proofErr w:type="spellStart"/>
      <w:r w:rsidRPr="008332B2">
        <w:rPr>
          <w:sz w:val="24"/>
          <w:szCs w:val="24"/>
        </w:rPr>
        <w:t>mEq</w:t>
      </w:r>
      <w:proofErr w:type="spellEnd"/>
      <w:r w:rsidRPr="008332B2">
        <w:rPr>
          <w:sz w:val="24"/>
          <w:szCs w:val="24"/>
        </w:rPr>
        <w:t xml:space="preserve">/l) grundet en række underliggende årsager (hjertesvigt, </w:t>
      </w:r>
      <w:proofErr w:type="spellStart"/>
      <w:r w:rsidRPr="008332B2">
        <w:rPr>
          <w:sz w:val="24"/>
          <w:szCs w:val="24"/>
        </w:rPr>
        <w:t>levercirrhose</w:t>
      </w:r>
      <w:proofErr w:type="spellEnd"/>
      <w:r w:rsidRPr="008332B2">
        <w:rPr>
          <w:sz w:val="24"/>
          <w:szCs w:val="24"/>
        </w:rPr>
        <w:t xml:space="preserve">, SIADH m.fl.) behandlet i 30 dage med </w:t>
      </w:r>
      <w:proofErr w:type="spellStart"/>
      <w:r w:rsidRPr="008332B2">
        <w:rPr>
          <w:sz w:val="24"/>
          <w:szCs w:val="24"/>
        </w:rPr>
        <w:t>tolvaptan</w:t>
      </w:r>
      <w:proofErr w:type="spellEnd"/>
      <w:r w:rsidRPr="008332B2">
        <w:rPr>
          <w:sz w:val="24"/>
          <w:szCs w:val="24"/>
        </w:rPr>
        <w:t xml:space="preserve"> (n = 216) eller placebo (n = 208) med en indledende dosis på 15 mg daglig. Dosis kunne øges til 30 mg og 60 mg daglig afhængigt af respons ifølge en plan for titrering over 3 dage. Gennemsnitskoncentrationen af serumnatrium ved studiets start var 129 </w:t>
      </w:r>
      <w:proofErr w:type="spellStart"/>
      <w:r w:rsidRPr="008332B2">
        <w:rPr>
          <w:sz w:val="24"/>
          <w:szCs w:val="24"/>
        </w:rPr>
        <w:t>mEq</w:t>
      </w:r>
      <w:proofErr w:type="spellEnd"/>
      <w:r w:rsidRPr="008332B2">
        <w:rPr>
          <w:sz w:val="24"/>
          <w:szCs w:val="24"/>
        </w:rPr>
        <w:t xml:space="preserve">/l (område 114 </w:t>
      </w:r>
      <w:proofErr w:type="spellStart"/>
      <w:r w:rsidRPr="008332B2">
        <w:rPr>
          <w:sz w:val="24"/>
          <w:szCs w:val="24"/>
        </w:rPr>
        <w:t>mEq</w:t>
      </w:r>
      <w:proofErr w:type="spellEnd"/>
      <w:r w:rsidRPr="008332B2">
        <w:rPr>
          <w:sz w:val="24"/>
          <w:szCs w:val="24"/>
        </w:rPr>
        <w:t xml:space="preserve">/l til 136 </w:t>
      </w:r>
      <w:proofErr w:type="spellStart"/>
      <w:r w:rsidRPr="008332B2">
        <w:rPr>
          <w:sz w:val="24"/>
          <w:szCs w:val="24"/>
        </w:rPr>
        <w:t>mEq</w:t>
      </w:r>
      <w:proofErr w:type="spellEnd"/>
      <w:r w:rsidRPr="008332B2">
        <w:rPr>
          <w:sz w:val="24"/>
          <w:szCs w:val="24"/>
        </w:rPr>
        <w:t xml:space="preserve">/l). </w:t>
      </w:r>
    </w:p>
    <w:p w:rsidR="00876505" w:rsidRPr="008332B2" w:rsidRDefault="00876505" w:rsidP="00876505">
      <w:pPr>
        <w:tabs>
          <w:tab w:val="left" w:pos="851"/>
        </w:tabs>
        <w:ind w:left="851"/>
        <w:rPr>
          <w:sz w:val="24"/>
          <w:szCs w:val="24"/>
        </w:rPr>
      </w:pPr>
    </w:p>
    <w:p w:rsidR="00876505" w:rsidRPr="008332B2" w:rsidRDefault="00876505" w:rsidP="00876505">
      <w:pPr>
        <w:tabs>
          <w:tab w:val="left" w:pos="851"/>
        </w:tabs>
        <w:ind w:left="851"/>
        <w:rPr>
          <w:sz w:val="24"/>
          <w:szCs w:val="24"/>
        </w:rPr>
      </w:pPr>
      <w:r w:rsidRPr="008332B2">
        <w:rPr>
          <w:sz w:val="24"/>
          <w:szCs w:val="24"/>
        </w:rPr>
        <w:t xml:space="preserve">Det primære endepunkt for disse studier var den gennemsnitlige daglige AUC for ændring i serumnatrium fra </w:t>
      </w:r>
      <w:r w:rsidRPr="008332B2">
        <w:rPr>
          <w:i/>
          <w:sz w:val="24"/>
          <w:szCs w:val="24"/>
        </w:rPr>
        <w:t>baseline</w:t>
      </w:r>
      <w:r w:rsidRPr="008332B2">
        <w:rPr>
          <w:sz w:val="24"/>
          <w:szCs w:val="24"/>
        </w:rPr>
        <w:t xml:space="preserve"> til dag 4 og fra </w:t>
      </w:r>
      <w:r w:rsidRPr="008332B2">
        <w:rPr>
          <w:i/>
          <w:sz w:val="24"/>
          <w:szCs w:val="24"/>
        </w:rPr>
        <w:t>baseline</w:t>
      </w:r>
      <w:r w:rsidRPr="008332B2">
        <w:rPr>
          <w:sz w:val="24"/>
          <w:szCs w:val="24"/>
        </w:rPr>
        <w:t xml:space="preserve"> til dag 30. </w:t>
      </w:r>
      <w:proofErr w:type="spellStart"/>
      <w:r w:rsidRPr="008332B2">
        <w:rPr>
          <w:sz w:val="24"/>
          <w:szCs w:val="24"/>
        </w:rPr>
        <w:t>Tolvaptan</w:t>
      </w:r>
      <w:proofErr w:type="spellEnd"/>
      <w:r w:rsidRPr="008332B2">
        <w:rPr>
          <w:sz w:val="24"/>
          <w:szCs w:val="24"/>
        </w:rPr>
        <w:t xml:space="preserve"> var bedre i forhold til placebo (p&lt; 0,0001) i begge perioder i begge studier. Virkningen sås hos alle patienter, de alvorlige (serumnatrium: &lt; 130 </w:t>
      </w:r>
      <w:proofErr w:type="spellStart"/>
      <w:r w:rsidRPr="008332B2">
        <w:rPr>
          <w:sz w:val="24"/>
          <w:szCs w:val="24"/>
        </w:rPr>
        <w:t>mEq</w:t>
      </w:r>
      <w:proofErr w:type="spellEnd"/>
      <w:r w:rsidRPr="008332B2">
        <w:rPr>
          <w:sz w:val="24"/>
          <w:szCs w:val="24"/>
        </w:rPr>
        <w:t xml:space="preserve">/l) og lette (serumnatrium: 130 </w:t>
      </w:r>
      <w:proofErr w:type="spellStart"/>
      <w:r w:rsidRPr="008332B2">
        <w:rPr>
          <w:sz w:val="24"/>
          <w:szCs w:val="24"/>
        </w:rPr>
        <w:t>mEq</w:t>
      </w:r>
      <w:proofErr w:type="spellEnd"/>
      <w:r w:rsidRPr="008332B2">
        <w:rPr>
          <w:sz w:val="24"/>
          <w:szCs w:val="24"/>
        </w:rPr>
        <w:t xml:space="preserve">/l til &lt; 135 </w:t>
      </w:r>
      <w:proofErr w:type="spellStart"/>
      <w:r w:rsidRPr="008332B2">
        <w:rPr>
          <w:sz w:val="24"/>
          <w:szCs w:val="24"/>
        </w:rPr>
        <w:t>mEq</w:t>
      </w:r>
      <w:proofErr w:type="spellEnd"/>
      <w:r w:rsidRPr="008332B2">
        <w:rPr>
          <w:sz w:val="24"/>
          <w:szCs w:val="24"/>
        </w:rPr>
        <w:t xml:space="preserve">/l) undergrupper og for alle undergrupper af sygdomsætiologi (f.eks. hjertesvigt, </w:t>
      </w:r>
      <w:proofErr w:type="spellStart"/>
      <w:r w:rsidRPr="008332B2">
        <w:rPr>
          <w:sz w:val="24"/>
          <w:szCs w:val="24"/>
        </w:rPr>
        <w:t>cirrhose</w:t>
      </w:r>
      <w:proofErr w:type="spellEnd"/>
      <w:r w:rsidRPr="008332B2">
        <w:rPr>
          <w:sz w:val="24"/>
          <w:szCs w:val="24"/>
        </w:rPr>
        <w:t xml:space="preserve">, SIADH m.fl.). 7 dage efter </w:t>
      </w:r>
      <w:proofErr w:type="spellStart"/>
      <w:r w:rsidRPr="008332B2">
        <w:rPr>
          <w:sz w:val="24"/>
          <w:szCs w:val="24"/>
        </w:rPr>
        <w:t>seponering</w:t>
      </w:r>
      <w:proofErr w:type="spellEnd"/>
      <w:r w:rsidRPr="008332B2">
        <w:rPr>
          <w:sz w:val="24"/>
          <w:szCs w:val="24"/>
        </w:rPr>
        <w:t xml:space="preserve"> af behandlingen blev natriumindholdet reduceret til samme niveau som hos de placebobehandlede patienter. </w:t>
      </w:r>
    </w:p>
    <w:p w:rsidR="00876505" w:rsidRDefault="00876505" w:rsidP="00A11C18">
      <w:pPr>
        <w:tabs>
          <w:tab w:val="left" w:pos="851"/>
        </w:tabs>
        <w:ind w:left="851"/>
        <w:rPr>
          <w:sz w:val="24"/>
          <w:szCs w:val="24"/>
        </w:rPr>
      </w:pPr>
    </w:p>
    <w:p w:rsidR="00A11C18" w:rsidRPr="00A11C18" w:rsidRDefault="00A11C18" w:rsidP="00A11C18">
      <w:pPr>
        <w:tabs>
          <w:tab w:val="left" w:pos="851"/>
        </w:tabs>
        <w:ind w:left="851"/>
        <w:rPr>
          <w:sz w:val="24"/>
          <w:szCs w:val="24"/>
        </w:rPr>
      </w:pPr>
      <w:r w:rsidRPr="00A11C18">
        <w:rPr>
          <w:sz w:val="24"/>
          <w:szCs w:val="24"/>
        </w:rPr>
        <w:t xml:space="preserve">Efter 3 dages behandling viste den samlede analyse fra de to studier, at fem gange så mange patienter, der fik </w:t>
      </w:r>
      <w:proofErr w:type="spellStart"/>
      <w:r w:rsidRPr="00A11C18">
        <w:rPr>
          <w:sz w:val="24"/>
          <w:szCs w:val="24"/>
        </w:rPr>
        <w:t>tolvaptan</w:t>
      </w:r>
      <w:proofErr w:type="spellEnd"/>
      <w:r w:rsidRPr="00A11C18">
        <w:rPr>
          <w:sz w:val="24"/>
          <w:szCs w:val="24"/>
        </w:rPr>
        <w:t xml:space="preserve">, i forhold til antallet af placebobehandlede patienter, opnåede normaliserede koncentrationer af serumnatrium (49 % vs. 11 %). Denne virkning fortsatte til dag 30, hvor flere patienter på </w:t>
      </w:r>
      <w:proofErr w:type="spellStart"/>
      <w:r w:rsidRPr="00A11C18">
        <w:rPr>
          <w:sz w:val="24"/>
          <w:szCs w:val="24"/>
        </w:rPr>
        <w:t>tolvaptan</w:t>
      </w:r>
      <w:proofErr w:type="spellEnd"/>
      <w:r w:rsidRPr="00A11C18">
        <w:rPr>
          <w:sz w:val="24"/>
          <w:szCs w:val="24"/>
        </w:rPr>
        <w:t xml:space="preserve"> end på placebo stadig havde normale koncentrationer (60 % vs. 27 %). Disse responser sås hos patienterne uanset underliggende sygdom. Resultaterne af selvvurderet helbredstilstand vha. </w:t>
      </w:r>
      <w:r w:rsidRPr="00A11C18">
        <w:rPr>
          <w:i/>
          <w:iCs/>
          <w:sz w:val="24"/>
          <w:szCs w:val="24"/>
        </w:rPr>
        <w:t xml:space="preserve">SF-12 Health </w:t>
      </w:r>
      <w:proofErr w:type="spellStart"/>
      <w:r w:rsidRPr="00A11C18">
        <w:rPr>
          <w:i/>
          <w:iCs/>
          <w:sz w:val="24"/>
          <w:szCs w:val="24"/>
        </w:rPr>
        <w:t>Survey</w:t>
      </w:r>
      <w:proofErr w:type="spellEnd"/>
      <w:r w:rsidRPr="00A11C18">
        <w:rPr>
          <w:i/>
          <w:iCs/>
          <w:sz w:val="24"/>
          <w:szCs w:val="24"/>
        </w:rPr>
        <w:t xml:space="preserve"> </w:t>
      </w:r>
      <w:r w:rsidRPr="00A11C18">
        <w:rPr>
          <w:sz w:val="24"/>
          <w:szCs w:val="24"/>
        </w:rPr>
        <w:t xml:space="preserve">(spørgeskema) om helbredstilstand ved de mentale scores viste statistisk signifikante og klinisk relevante forbedringer ved behandling med </w:t>
      </w:r>
      <w:proofErr w:type="spellStart"/>
      <w:r w:rsidRPr="00A11C18">
        <w:rPr>
          <w:sz w:val="24"/>
          <w:szCs w:val="24"/>
        </w:rPr>
        <w:t>tolvaptan</w:t>
      </w:r>
      <w:proofErr w:type="spellEnd"/>
      <w:r w:rsidRPr="00A11C18">
        <w:rPr>
          <w:sz w:val="24"/>
          <w:szCs w:val="24"/>
        </w:rPr>
        <w:t xml:space="preserve"> i sammenligning med placebo. </w:t>
      </w:r>
    </w:p>
    <w:p w:rsidR="00A11C18" w:rsidRPr="00A11C18" w:rsidRDefault="00A11C18" w:rsidP="00A11C18">
      <w:pPr>
        <w:tabs>
          <w:tab w:val="left" w:pos="851"/>
        </w:tabs>
        <w:ind w:left="851"/>
        <w:rPr>
          <w:sz w:val="24"/>
          <w:szCs w:val="24"/>
        </w:rPr>
      </w:pPr>
    </w:p>
    <w:p w:rsidR="00A11C18" w:rsidRPr="00A11C18" w:rsidRDefault="00A11C18" w:rsidP="00A11C18">
      <w:pPr>
        <w:tabs>
          <w:tab w:val="left" w:pos="851"/>
        </w:tabs>
        <w:ind w:left="851"/>
        <w:rPr>
          <w:sz w:val="24"/>
          <w:szCs w:val="24"/>
        </w:rPr>
      </w:pPr>
      <w:r w:rsidRPr="00A11C18">
        <w:rPr>
          <w:sz w:val="24"/>
          <w:szCs w:val="24"/>
        </w:rPr>
        <w:t xml:space="preserve">Data for den langvarige sikkerhed og effekt af </w:t>
      </w:r>
      <w:proofErr w:type="spellStart"/>
      <w:r w:rsidRPr="00A11C18">
        <w:rPr>
          <w:sz w:val="24"/>
          <w:szCs w:val="24"/>
        </w:rPr>
        <w:t>tolvaptan</w:t>
      </w:r>
      <w:proofErr w:type="spellEnd"/>
      <w:r w:rsidRPr="00A11C18">
        <w:rPr>
          <w:sz w:val="24"/>
          <w:szCs w:val="24"/>
        </w:rPr>
        <w:t xml:space="preserve"> blev vurderet i op til 106 uger i et klinisk studie hos patienter (alle ætiologier), som forinden havde gennemført et af de </w:t>
      </w:r>
      <w:r w:rsidRPr="00A11C18">
        <w:rPr>
          <w:sz w:val="24"/>
          <w:szCs w:val="24"/>
        </w:rPr>
        <w:lastRenderedPageBreak/>
        <w:t xml:space="preserve">pivotale studier med </w:t>
      </w:r>
      <w:proofErr w:type="spellStart"/>
      <w:r w:rsidRPr="00A11C18">
        <w:rPr>
          <w:sz w:val="24"/>
          <w:szCs w:val="24"/>
        </w:rPr>
        <w:t>hyponatriæmi</w:t>
      </w:r>
      <w:proofErr w:type="spellEnd"/>
      <w:r w:rsidRPr="00A11C18">
        <w:rPr>
          <w:sz w:val="24"/>
          <w:szCs w:val="24"/>
        </w:rPr>
        <w:t xml:space="preserve">. I alt 111 patienter påbegyndte behandling med </w:t>
      </w:r>
      <w:proofErr w:type="spellStart"/>
      <w:r w:rsidRPr="00A11C18">
        <w:rPr>
          <w:sz w:val="24"/>
          <w:szCs w:val="24"/>
        </w:rPr>
        <w:t>tolvaptan</w:t>
      </w:r>
      <w:proofErr w:type="spellEnd"/>
      <w:r w:rsidRPr="00A11C18">
        <w:rPr>
          <w:sz w:val="24"/>
          <w:szCs w:val="24"/>
        </w:rPr>
        <w:t xml:space="preserve"> i et </w:t>
      </w:r>
      <w:proofErr w:type="gramStart"/>
      <w:r w:rsidRPr="00A11C18">
        <w:rPr>
          <w:i/>
          <w:iCs/>
          <w:sz w:val="24"/>
          <w:szCs w:val="24"/>
        </w:rPr>
        <w:t xml:space="preserve">open-label </w:t>
      </w:r>
      <w:r w:rsidRPr="00A11C18">
        <w:rPr>
          <w:sz w:val="24"/>
          <w:szCs w:val="24"/>
        </w:rPr>
        <w:t>forlængelsesstudie</w:t>
      </w:r>
      <w:proofErr w:type="gramEnd"/>
      <w:r w:rsidRPr="00A11C18">
        <w:rPr>
          <w:sz w:val="24"/>
          <w:szCs w:val="24"/>
        </w:rPr>
        <w:t xml:space="preserve">, uanset deres tidligere </w:t>
      </w:r>
      <w:proofErr w:type="spellStart"/>
      <w:r w:rsidRPr="00A11C18">
        <w:rPr>
          <w:sz w:val="24"/>
          <w:szCs w:val="24"/>
        </w:rPr>
        <w:t>randomisering</w:t>
      </w:r>
      <w:proofErr w:type="spellEnd"/>
      <w:r w:rsidRPr="00A11C18">
        <w:rPr>
          <w:sz w:val="24"/>
          <w:szCs w:val="24"/>
        </w:rPr>
        <w:t xml:space="preserve">. Forbedringer i indholdet af serumnatrium blev observeret så tidligt som den første dag efter dosering og fortsatte ved vurderinger under behandlingen op til uge 106. Da behandlingen blev seponeret, reduceredes koncentrationerne af serumnatrium til ca. </w:t>
      </w:r>
      <w:r w:rsidRPr="00A11C18">
        <w:rPr>
          <w:i/>
          <w:iCs/>
          <w:sz w:val="24"/>
          <w:szCs w:val="24"/>
        </w:rPr>
        <w:t>baseline</w:t>
      </w:r>
      <w:r w:rsidRPr="00A11C18">
        <w:rPr>
          <w:sz w:val="24"/>
          <w:szCs w:val="24"/>
        </w:rPr>
        <w:t xml:space="preserve"> på trods af genoptaget standardbehandling. </w:t>
      </w:r>
    </w:p>
    <w:p w:rsidR="00A11C18" w:rsidRPr="00A11C18" w:rsidRDefault="00A11C18" w:rsidP="00A11C18">
      <w:pPr>
        <w:tabs>
          <w:tab w:val="left" w:pos="851"/>
        </w:tabs>
        <w:ind w:left="851"/>
        <w:rPr>
          <w:sz w:val="24"/>
          <w:szCs w:val="24"/>
        </w:rPr>
      </w:pPr>
    </w:p>
    <w:p w:rsidR="00876505" w:rsidRPr="008332B2" w:rsidRDefault="00876505" w:rsidP="00876505">
      <w:pPr>
        <w:tabs>
          <w:tab w:val="left" w:pos="851"/>
        </w:tabs>
        <w:ind w:left="851"/>
        <w:rPr>
          <w:sz w:val="24"/>
          <w:szCs w:val="24"/>
        </w:rPr>
      </w:pPr>
      <w:r w:rsidRPr="008332B2">
        <w:rPr>
          <w:sz w:val="24"/>
          <w:szCs w:val="24"/>
        </w:rPr>
        <w:t xml:space="preserve">I et randomiseret (1:1:1), dobbeltblindet pilotstudie med 30 patienter med </w:t>
      </w:r>
      <w:proofErr w:type="spellStart"/>
      <w:r w:rsidRPr="008332B2">
        <w:rPr>
          <w:sz w:val="24"/>
          <w:szCs w:val="24"/>
        </w:rPr>
        <w:t>hyponatriæmi</w:t>
      </w:r>
      <w:proofErr w:type="spellEnd"/>
      <w:r w:rsidRPr="008332B2">
        <w:rPr>
          <w:sz w:val="24"/>
          <w:szCs w:val="24"/>
        </w:rPr>
        <w:t xml:space="preserve"> sekundært til SIADH blev </w:t>
      </w:r>
      <w:proofErr w:type="spellStart"/>
      <w:r w:rsidRPr="008332B2">
        <w:rPr>
          <w:sz w:val="24"/>
          <w:szCs w:val="24"/>
        </w:rPr>
        <w:t>tolvaptans</w:t>
      </w:r>
      <w:proofErr w:type="spellEnd"/>
      <w:r w:rsidRPr="008332B2">
        <w:rPr>
          <w:sz w:val="24"/>
          <w:szCs w:val="24"/>
        </w:rPr>
        <w:t xml:space="preserve"> </w:t>
      </w:r>
      <w:proofErr w:type="spellStart"/>
      <w:r w:rsidRPr="008332B2">
        <w:rPr>
          <w:sz w:val="24"/>
          <w:szCs w:val="24"/>
        </w:rPr>
        <w:t>farmakodynamik</w:t>
      </w:r>
      <w:proofErr w:type="spellEnd"/>
      <w:r w:rsidRPr="008332B2">
        <w:rPr>
          <w:sz w:val="24"/>
          <w:szCs w:val="24"/>
        </w:rPr>
        <w:t xml:space="preserve"> efter enkeltdoser af 3,75 mg, 7,5 mg og 15 mg undersøgt. Resultaterne var stærkt varierende med store overlap mellem dosisgrupperne; ændringerne var ikke signifikant korreleret med </w:t>
      </w:r>
      <w:proofErr w:type="spellStart"/>
      <w:r w:rsidRPr="008332B2">
        <w:rPr>
          <w:sz w:val="24"/>
          <w:szCs w:val="24"/>
        </w:rPr>
        <w:t>tolvaptan</w:t>
      </w:r>
      <w:proofErr w:type="spellEnd"/>
      <w:r w:rsidRPr="008332B2">
        <w:rPr>
          <w:sz w:val="24"/>
          <w:szCs w:val="24"/>
        </w:rPr>
        <w:t xml:space="preserve">-eksponering. De gennemsnitlige maksimale ændringer i serumnatrium var højest efter 15 mg-dosen (7,9 mmol/l), mens de </w:t>
      </w:r>
      <w:proofErr w:type="spellStart"/>
      <w:r w:rsidRPr="008332B2">
        <w:rPr>
          <w:sz w:val="24"/>
          <w:szCs w:val="24"/>
        </w:rPr>
        <w:t>mediane</w:t>
      </w:r>
      <w:proofErr w:type="spellEnd"/>
      <w:r w:rsidRPr="008332B2">
        <w:rPr>
          <w:sz w:val="24"/>
          <w:szCs w:val="24"/>
        </w:rPr>
        <w:t xml:space="preserve"> maksimale ændringer var højest for 7,5 mg-dosen (6,0 mmol/l). De individuelle maksimale stigninger i serumnatrium var negativt korreleret med væskebalance; den gennemsnitlige ændring i væskebalance viste et dosisafhængigt fald. Den gennemsnitlige ændring fra </w:t>
      </w:r>
      <w:r w:rsidRPr="008332B2">
        <w:rPr>
          <w:i/>
          <w:sz w:val="24"/>
          <w:szCs w:val="24"/>
        </w:rPr>
        <w:t>baseline</w:t>
      </w:r>
      <w:r w:rsidRPr="008332B2">
        <w:rPr>
          <w:sz w:val="24"/>
          <w:szCs w:val="24"/>
        </w:rPr>
        <w:t xml:space="preserve"> i kumulativ urinvolumen og urinudskillelseshastighed var 2 gange højere for 15 mg-dosen sammenholdt med 7,5 mg- og 3,75 mg-dosen, hvis respons var omtrent den samme. </w:t>
      </w:r>
    </w:p>
    <w:p w:rsidR="00A11C18" w:rsidRPr="00A11C18" w:rsidRDefault="00A11C18" w:rsidP="00A11C18">
      <w:pPr>
        <w:tabs>
          <w:tab w:val="left" w:pos="851"/>
        </w:tabs>
        <w:ind w:left="851"/>
        <w:rPr>
          <w:sz w:val="24"/>
          <w:szCs w:val="24"/>
        </w:rPr>
      </w:pPr>
    </w:p>
    <w:p w:rsidR="00A11C18" w:rsidRPr="00A11C18" w:rsidRDefault="00A11C18" w:rsidP="00A11C18">
      <w:pPr>
        <w:tabs>
          <w:tab w:val="left" w:pos="851"/>
        </w:tabs>
        <w:ind w:left="851"/>
        <w:rPr>
          <w:sz w:val="24"/>
          <w:szCs w:val="24"/>
        </w:rPr>
      </w:pPr>
      <w:r w:rsidRPr="00A11C18">
        <w:rPr>
          <w:i/>
          <w:iCs/>
          <w:sz w:val="24"/>
          <w:szCs w:val="24"/>
        </w:rPr>
        <w:t xml:space="preserve">Hjertesvigt </w:t>
      </w:r>
    </w:p>
    <w:p w:rsidR="00A11C18" w:rsidRPr="00A11C18" w:rsidRDefault="00A11C18" w:rsidP="00A11C18">
      <w:pPr>
        <w:tabs>
          <w:tab w:val="left" w:pos="851"/>
        </w:tabs>
        <w:ind w:left="851"/>
        <w:rPr>
          <w:sz w:val="24"/>
          <w:szCs w:val="24"/>
        </w:rPr>
      </w:pPr>
      <w:r w:rsidRPr="00A11C18">
        <w:rPr>
          <w:sz w:val="24"/>
          <w:szCs w:val="24"/>
        </w:rPr>
        <w:t xml:space="preserve">EVEREST </w:t>
      </w:r>
      <w:r w:rsidRPr="00A11C18">
        <w:rPr>
          <w:i/>
          <w:iCs/>
          <w:sz w:val="24"/>
          <w:szCs w:val="24"/>
        </w:rPr>
        <w:t>(</w:t>
      </w:r>
      <w:proofErr w:type="spellStart"/>
      <w:r w:rsidRPr="00A11C18">
        <w:rPr>
          <w:i/>
          <w:iCs/>
          <w:sz w:val="24"/>
          <w:szCs w:val="24"/>
        </w:rPr>
        <w:t>Efficacy</w:t>
      </w:r>
      <w:proofErr w:type="spellEnd"/>
      <w:r w:rsidRPr="00A11C18">
        <w:rPr>
          <w:i/>
          <w:iCs/>
          <w:sz w:val="24"/>
          <w:szCs w:val="24"/>
        </w:rPr>
        <w:t xml:space="preserve"> of </w:t>
      </w:r>
      <w:proofErr w:type="spellStart"/>
      <w:r w:rsidRPr="00A11C18">
        <w:rPr>
          <w:i/>
          <w:iCs/>
          <w:sz w:val="24"/>
          <w:szCs w:val="24"/>
        </w:rPr>
        <w:t>Vasopressin</w:t>
      </w:r>
      <w:proofErr w:type="spellEnd"/>
      <w:r w:rsidRPr="00A11C18">
        <w:rPr>
          <w:i/>
          <w:iCs/>
          <w:sz w:val="24"/>
          <w:szCs w:val="24"/>
        </w:rPr>
        <w:t xml:space="preserve"> </w:t>
      </w:r>
      <w:proofErr w:type="spellStart"/>
      <w:r w:rsidRPr="00A11C18">
        <w:rPr>
          <w:i/>
          <w:iCs/>
          <w:sz w:val="24"/>
          <w:szCs w:val="24"/>
        </w:rPr>
        <w:t>Antagonism</w:t>
      </w:r>
      <w:proofErr w:type="spellEnd"/>
      <w:r w:rsidRPr="00A11C18">
        <w:rPr>
          <w:i/>
          <w:iCs/>
          <w:sz w:val="24"/>
          <w:szCs w:val="24"/>
        </w:rPr>
        <w:t xml:space="preserve"> in Heart </w:t>
      </w:r>
      <w:proofErr w:type="spellStart"/>
      <w:r w:rsidRPr="00A11C18">
        <w:rPr>
          <w:i/>
          <w:iCs/>
          <w:sz w:val="24"/>
          <w:szCs w:val="24"/>
        </w:rPr>
        <w:t>Failure</w:t>
      </w:r>
      <w:proofErr w:type="spellEnd"/>
      <w:r w:rsidRPr="00A11C18">
        <w:rPr>
          <w:i/>
          <w:iCs/>
          <w:sz w:val="24"/>
          <w:szCs w:val="24"/>
        </w:rPr>
        <w:t xml:space="preserve"> </w:t>
      </w:r>
      <w:proofErr w:type="spellStart"/>
      <w:r w:rsidRPr="00A11C18">
        <w:rPr>
          <w:i/>
          <w:iCs/>
          <w:sz w:val="24"/>
          <w:szCs w:val="24"/>
        </w:rPr>
        <w:t>Outcome</w:t>
      </w:r>
      <w:proofErr w:type="spellEnd"/>
      <w:r w:rsidRPr="00A11C18">
        <w:rPr>
          <w:i/>
          <w:iCs/>
          <w:sz w:val="24"/>
          <w:szCs w:val="24"/>
        </w:rPr>
        <w:t xml:space="preserve"> </w:t>
      </w:r>
      <w:proofErr w:type="spellStart"/>
      <w:r w:rsidRPr="00A11C18">
        <w:rPr>
          <w:i/>
          <w:iCs/>
          <w:sz w:val="24"/>
          <w:szCs w:val="24"/>
        </w:rPr>
        <w:t>Study</w:t>
      </w:r>
      <w:proofErr w:type="spellEnd"/>
      <w:r w:rsidRPr="00A11C18">
        <w:rPr>
          <w:i/>
          <w:iCs/>
          <w:sz w:val="24"/>
          <w:szCs w:val="24"/>
        </w:rPr>
        <w:t xml:space="preserve"> with </w:t>
      </w:r>
      <w:proofErr w:type="spellStart"/>
      <w:r w:rsidRPr="00A11C18">
        <w:rPr>
          <w:i/>
          <w:iCs/>
          <w:sz w:val="24"/>
          <w:szCs w:val="24"/>
        </w:rPr>
        <w:t>Tolvaptan</w:t>
      </w:r>
      <w:proofErr w:type="spellEnd"/>
      <w:r w:rsidRPr="00A11C18">
        <w:rPr>
          <w:i/>
          <w:iCs/>
          <w:sz w:val="24"/>
          <w:szCs w:val="24"/>
        </w:rPr>
        <w:t xml:space="preserve">) </w:t>
      </w:r>
      <w:r w:rsidRPr="00A11C18">
        <w:rPr>
          <w:sz w:val="24"/>
          <w:szCs w:val="24"/>
        </w:rPr>
        <w:t xml:space="preserve">var et langvarigt, dobbeltblindet, kontrolleret, klinisk studie med patienter indlagt med forværring af hjertesvigt og tegn og symptomer på volumenbelastning. I det langvarige studie blev i alt 2.072 patienter behandlet med 30 mg </w:t>
      </w:r>
      <w:proofErr w:type="spellStart"/>
      <w:r w:rsidRPr="00A11C18">
        <w:rPr>
          <w:sz w:val="24"/>
          <w:szCs w:val="24"/>
        </w:rPr>
        <w:t>tolvaptan</w:t>
      </w:r>
      <w:proofErr w:type="spellEnd"/>
      <w:r w:rsidRPr="00A11C18">
        <w:rPr>
          <w:sz w:val="24"/>
          <w:szCs w:val="24"/>
        </w:rPr>
        <w:t xml:space="preserve"> med standardbehandling, og 2.061 fik placebo med standardbehandling. Det primære formål med studiet var at sammenligne virkningen af </w:t>
      </w:r>
      <w:proofErr w:type="spellStart"/>
      <w:r w:rsidRPr="00A11C18">
        <w:rPr>
          <w:sz w:val="24"/>
          <w:szCs w:val="24"/>
        </w:rPr>
        <w:t>tolvaptan</w:t>
      </w:r>
      <w:proofErr w:type="spellEnd"/>
      <w:r w:rsidRPr="00A11C18">
        <w:rPr>
          <w:sz w:val="24"/>
          <w:szCs w:val="24"/>
        </w:rPr>
        <w:t xml:space="preserve"> + standardbehandling med placebo + standardbehandling i forhold til tiden til mortalitet af alle årsager og tiden til første forekomst af </w:t>
      </w:r>
      <w:proofErr w:type="spellStart"/>
      <w:r w:rsidRPr="00A11C18">
        <w:rPr>
          <w:sz w:val="24"/>
          <w:szCs w:val="24"/>
        </w:rPr>
        <w:t>kardiovaskulær</w:t>
      </w:r>
      <w:proofErr w:type="spellEnd"/>
      <w:r w:rsidRPr="00A11C18">
        <w:rPr>
          <w:sz w:val="24"/>
          <w:szCs w:val="24"/>
        </w:rPr>
        <w:t xml:space="preserve"> mortalitet eller indlæggelse for hjertesvigt. Behandling med </w:t>
      </w:r>
      <w:proofErr w:type="spellStart"/>
      <w:r w:rsidRPr="00A11C18">
        <w:rPr>
          <w:sz w:val="24"/>
          <w:szCs w:val="24"/>
        </w:rPr>
        <w:t>tolvaptan</w:t>
      </w:r>
      <w:proofErr w:type="spellEnd"/>
      <w:r w:rsidRPr="00A11C18">
        <w:rPr>
          <w:sz w:val="24"/>
          <w:szCs w:val="24"/>
        </w:rPr>
        <w:t xml:space="preserve"> havde ingen statistisk signifikante favorable eller ikke-favorable virkninger på generel overlevelse eller det kombinerede endepunkt for </w:t>
      </w:r>
      <w:proofErr w:type="spellStart"/>
      <w:r w:rsidRPr="00A11C18">
        <w:rPr>
          <w:sz w:val="24"/>
          <w:szCs w:val="24"/>
        </w:rPr>
        <w:t>kardiovaskulær</w:t>
      </w:r>
      <w:proofErr w:type="spellEnd"/>
      <w:r w:rsidRPr="00A11C18">
        <w:rPr>
          <w:sz w:val="24"/>
          <w:szCs w:val="24"/>
        </w:rPr>
        <w:t xml:space="preserve"> mortalitet eller indlæggelse for hjertesvigt, og gav ikke overbevisende evidens for klinisk relevant gavn. </w:t>
      </w:r>
    </w:p>
    <w:p w:rsidR="00A11C18" w:rsidRPr="00A11C18" w:rsidRDefault="00A11C18" w:rsidP="00A11C18">
      <w:pPr>
        <w:tabs>
          <w:tab w:val="left" w:pos="851"/>
        </w:tabs>
        <w:ind w:left="851"/>
        <w:rPr>
          <w:sz w:val="24"/>
          <w:szCs w:val="24"/>
        </w:rPr>
      </w:pPr>
    </w:p>
    <w:p w:rsidR="00A11C18" w:rsidRPr="00A11C18" w:rsidRDefault="00A11C18" w:rsidP="00A11C18">
      <w:pPr>
        <w:tabs>
          <w:tab w:val="left" w:pos="851"/>
        </w:tabs>
        <w:ind w:left="851"/>
        <w:rPr>
          <w:sz w:val="24"/>
          <w:szCs w:val="24"/>
        </w:rPr>
      </w:pPr>
      <w:r w:rsidRPr="00A11C18">
        <w:rPr>
          <w:sz w:val="24"/>
          <w:szCs w:val="24"/>
        </w:rPr>
        <w:t xml:space="preserve">Det Europæiske Lægemiddelagentur har udsat forpligtelsen til at fremlægge resultaterne af studier med referenceproduktet indeholdende </w:t>
      </w:r>
      <w:proofErr w:type="spellStart"/>
      <w:r w:rsidRPr="00A11C18">
        <w:rPr>
          <w:sz w:val="24"/>
          <w:szCs w:val="24"/>
        </w:rPr>
        <w:t>tolvaptan</w:t>
      </w:r>
      <w:proofErr w:type="spellEnd"/>
      <w:r w:rsidRPr="00A11C18">
        <w:rPr>
          <w:sz w:val="24"/>
          <w:szCs w:val="24"/>
        </w:rPr>
        <w:t xml:space="preserve"> i en eller flere undergrupper af den pædiatriske population i behandling for </w:t>
      </w:r>
      <w:proofErr w:type="spellStart"/>
      <w:r w:rsidRPr="00A11C18">
        <w:rPr>
          <w:sz w:val="24"/>
          <w:szCs w:val="24"/>
        </w:rPr>
        <w:t>fortyndingshyponatræmi</w:t>
      </w:r>
      <w:proofErr w:type="spellEnd"/>
      <w:r w:rsidRPr="00A11C18">
        <w:rPr>
          <w:sz w:val="24"/>
          <w:szCs w:val="24"/>
        </w:rPr>
        <w:t xml:space="preserve"> (se pkt. 4.2 for oplysninger om pædiatrisk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53B7A" w:rsidRDefault="00653B7A" w:rsidP="00653B7A">
      <w:pPr>
        <w:tabs>
          <w:tab w:val="left" w:pos="851"/>
        </w:tabs>
        <w:ind w:left="851"/>
        <w:rPr>
          <w:sz w:val="24"/>
          <w:szCs w:val="24"/>
          <w:u w:val="single"/>
        </w:rPr>
      </w:pPr>
    </w:p>
    <w:p w:rsidR="00653B7A" w:rsidRPr="00653B7A" w:rsidRDefault="00653B7A" w:rsidP="00653B7A">
      <w:pPr>
        <w:tabs>
          <w:tab w:val="left" w:pos="851"/>
        </w:tabs>
        <w:ind w:left="851"/>
        <w:rPr>
          <w:sz w:val="24"/>
          <w:szCs w:val="24"/>
          <w:u w:val="single"/>
        </w:rPr>
      </w:pPr>
      <w:r w:rsidRPr="00653B7A">
        <w:rPr>
          <w:sz w:val="24"/>
          <w:szCs w:val="24"/>
          <w:u w:val="single"/>
        </w:rPr>
        <w:t xml:space="preserve">Absorption </w:t>
      </w:r>
    </w:p>
    <w:p w:rsidR="00653B7A" w:rsidRPr="00653B7A" w:rsidRDefault="00653B7A" w:rsidP="00653B7A">
      <w:pPr>
        <w:tabs>
          <w:tab w:val="left" w:pos="851"/>
        </w:tabs>
        <w:ind w:left="851"/>
        <w:rPr>
          <w:sz w:val="24"/>
          <w:szCs w:val="24"/>
        </w:rPr>
      </w:pPr>
      <w:r w:rsidRPr="00653B7A">
        <w:rPr>
          <w:sz w:val="24"/>
          <w:szCs w:val="24"/>
        </w:rPr>
        <w:t xml:space="preserve">Efter oral administration absorberes </w:t>
      </w:r>
      <w:proofErr w:type="spellStart"/>
      <w:r w:rsidRPr="00653B7A">
        <w:rPr>
          <w:sz w:val="24"/>
          <w:szCs w:val="24"/>
        </w:rPr>
        <w:t>tolvaptan</w:t>
      </w:r>
      <w:proofErr w:type="spellEnd"/>
      <w:r w:rsidRPr="00653B7A">
        <w:rPr>
          <w:sz w:val="24"/>
          <w:szCs w:val="24"/>
        </w:rPr>
        <w:t xml:space="preserve"> hurtigt med maksimale plasmakoncentrationer ca. 2 timer efter dosering. Den absolutte biotilgængelighed af </w:t>
      </w:r>
      <w:proofErr w:type="spellStart"/>
      <w:r w:rsidRPr="00653B7A">
        <w:rPr>
          <w:sz w:val="24"/>
          <w:szCs w:val="24"/>
        </w:rPr>
        <w:t>tolvaptan</w:t>
      </w:r>
      <w:proofErr w:type="spellEnd"/>
      <w:r w:rsidRPr="00653B7A">
        <w:rPr>
          <w:sz w:val="24"/>
          <w:szCs w:val="24"/>
        </w:rPr>
        <w:t xml:space="preserve"> er ca. 56 %. Administration af en dosis på 60 mg sammen med et fedtholdigt måltid øger den højeste koncentration med 1,4 gange uden ændring af AUC og urinvolumen. Efter orale enkeltdoser på ≥ 300 mg tyder det på, at maksimale plasmakoncentrationer bliver stabile, muligvis på grund af mættet absorption. </w:t>
      </w:r>
    </w:p>
    <w:p w:rsidR="00653B7A" w:rsidRPr="00653B7A" w:rsidRDefault="00653B7A" w:rsidP="00653B7A">
      <w:pPr>
        <w:tabs>
          <w:tab w:val="left" w:pos="851"/>
        </w:tabs>
        <w:ind w:left="851"/>
        <w:rPr>
          <w:sz w:val="24"/>
          <w:szCs w:val="24"/>
        </w:rPr>
      </w:pPr>
    </w:p>
    <w:p w:rsidR="00653B7A" w:rsidRPr="00653B7A" w:rsidRDefault="00653B7A" w:rsidP="00653B7A">
      <w:pPr>
        <w:tabs>
          <w:tab w:val="left" w:pos="851"/>
        </w:tabs>
        <w:ind w:left="851"/>
        <w:rPr>
          <w:sz w:val="24"/>
          <w:szCs w:val="24"/>
          <w:u w:val="single"/>
        </w:rPr>
      </w:pPr>
      <w:r w:rsidRPr="00653B7A">
        <w:rPr>
          <w:sz w:val="24"/>
          <w:szCs w:val="24"/>
          <w:u w:val="single"/>
        </w:rPr>
        <w:t xml:space="preserve">Fordeling </w:t>
      </w:r>
    </w:p>
    <w:p w:rsidR="00653B7A" w:rsidRPr="00653B7A" w:rsidRDefault="00653B7A" w:rsidP="00653B7A">
      <w:pPr>
        <w:tabs>
          <w:tab w:val="left" w:pos="851"/>
        </w:tabs>
        <w:ind w:left="851"/>
        <w:rPr>
          <w:sz w:val="24"/>
          <w:szCs w:val="24"/>
        </w:rPr>
      </w:pPr>
      <w:proofErr w:type="spellStart"/>
      <w:r w:rsidRPr="00653B7A">
        <w:rPr>
          <w:sz w:val="24"/>
          <w:szCs w:val="24"/>
        </w:rPr>
        <w:t>Tolvaptan</w:t>
      </w:r>
      <w:proofErr w:type="spellEnd"/>
      <w:r w:rsidRPr="00653B7A">
        <w:rPr>
          <w:sz w:val="24"/>
          <w:szCs w:val="24"/>
        </w:rPr>
        <w:t xml:space="preserve"> binder sig reversibelt (98 %) til plasmaproteiner. </w:t>
      </w:r>
    </w:p>
    <w:p w:rsidR="00653B7A" w:rsidRPr="00653B7A" w:rsidRDefault="00653B7A" w:rsidP="00653B7A">
      <w:pPr>
        <w:tabs>
          <w:tab w:val="left" w:pos="851"/>
        </w:tabs>
        <w:ind w:left="851"/>
        <w:rPr>
          <w:sz w:val="24"/>
          <w:szCs w:val="24"/>
        </w:rPr>
      </w:pPr>
    </w:p>
    <w:p w:rsidR="00653B7A" w:rsidRPr="00653B7A" w:rsidRDefault="00653B7A" w:rsidP="00653B7A">
      <w:pPr>
        <w:tabs>
          <w:tab w:val="left" w:pos="851"/>
        </w:tabs>
        <w:ind w:left="851"/>
        <w:rPr>
          <w:sz w:val="24"/>
          <w:szCs w:val="24"/>
          <w:u w:val="single"/>
        </w:rPr>
      </w:pPr>
      <w:r w:rsidRPr="00653B7A">
        <w:rPr>
          <w:sz w:val="24"/>
          <w:szCs w:val="24"/>
          <w:u w:val="single"/>
        </w:rPr>
        <w:t xml:space="preserve">Biotransformation </w:t>
      </w:r>
    </w:p>
    <w:p w:rsidR="00653B7A" w:rsidRDefault="00653B7A" w:rsidP="00653B7A">
      <w:pPr>
        <w:tabs>
          <w:tab w:val="left" w:pos="851"/>
        </w:tabs>
        <w:ind w:left="851"/>
        <w:rPr>
          <w:sz w:val="24"/>
          <w:szCs w:val="24"/>
        </w:rPr>
      </w:pPr>
      <w:proofErr w:type="spellStart"/>
      <w:r w:rsidRPr="00653B7A">
        <w:rPr>
          <w:sz w:val="24"/>
          <w:szCs w:val="24"/>
        </w:rPr>
        <w:lastRenderedPageBreak/>
        <w:t>Tolvaptan</w:t>
      </w:r>
      <w:proofErr w:type="spellEnd"/>
      <w:r w:rsidRPr="00653B7A">
        <w:rPr>
          <w:sz w:val="24"/>
          <w:szCs w:val="24"/>
        </w:rPr>
        <w:t xml:space="preserve"> </w:t>
      </w:r>
      <w:proofErr w:type="spellStart"/>
      <w:r w:rsidRPr="00653B7A">
        <w:rPr>
          <w:sz w:val="24"/>
          <w:szCs w:val="24"/>
        </w:rPr>
        <w:t>metaboliseres</w:t>
      </w:r>
      <w:proofErr w:type="spellEnd"/>
      <w:r w:rsidRPr="00653B7A">
        <w:rPr>
          <w:sz w:val="24"/>
          <w:szCs w:val="24"/>
        </w:rPr>
        <w:t xml:space="preserve"> i høj grad i leveren. Mindre end 1 % </w:t>
      </w:r>
      <w:proofErr w:type="spellStart"/>
      <w:r w:rsidRPr="00653B7A">
        <w:rPr>
          <w:sz w:val="24"/>
          <w:szCs w:val="24"/>
        </w:rPr>
        <w:t>uomdannet</w:t>
      </w:r>
      <w:proofErr w:type="spellEnd"/>
      <w:r w:rsidRPr="00653B7A">
        <w:rPr>
          <w:sz w:val="24"/>
          <w:szCs w:val="24"/>
        </w:rPr>
        <w:t xml:space="preserve"> aktivt stof udskilles uændret med urinen. </w:t>
      </w:r>
    </w:p>
    <w:p w:rsidR="00876505" w:rsidRPr="008332B2" w:rsidRDefault="00876505" w:rsidP="00876505">
      <w:pPr>
        <w:tabs>
          <w:tab w:val="left" w:pos="851"/>
        </w:tabs>
        <w:ind w:left="851"/>
        <w:rPr>
          <w:sz w:val="24"/>
          <w:szCs w:val="24"/>
        </w:rPr>
      </w:pPr>
      <w:r w:rsidRPr="008332B2">
        <w:rPr>
          <w:i/>
          <w:iCs/>
          <w:sz w:val="24"/>
          <w:szCs w:val="24"/>
        </w:rPr>
        <w:t>In-</w:t>
      </w:r>
      <w:proofErr w:type="spellStart"/>
      <w:r w:rsidRPr="008332B2">
        <w:rPr>
          <w:i/>
          <w:iCs/>
          <w:sz w:val="24"/>
          <w:szCs w:val="24"/>
        </w:rPr>
        <w:t>vitro</w:t>
      </w:r>
      <w:proofErr w:type="spellEnd"/>
      <w:r w:rsidRPr="008332B2">
        <w:rPr>
          <w:sz w:val="24"/>
          <w:szCs w:val="24"/>
        </w:rPr>
        <w:t xml:space="preserve">-studier indikerer, at </w:t>
      </w:r>
      <w:proofErr w:type="spellStart"/>
      <w:r w:rsidRPr="008332B2">
        <w:rPr>
          <w:sz w:val="24"/>
          <w:szCs w:val="24"/>
        </w:rPr>
        <w:t>tolvaptan</w:t>
      </w:r>
      <w:proofErr w:type="spellEnd"/>
      <w:r w:rsidRPr="008332B2">
        <w:rPr>
          <w:sz w:val="24"/>
          <w:szCs w:val="24"/>
        </w:rPr>
        <w:t xml:space="preserve"> og dets </w:t>
      </w:r>
      <w:proofErr w:type="spellStart"/>
      <w:r w:rsidRPr="008332B2">
        <w:rPr>
          <w:sz w:val="24"/>
          <w:szCs w:val="24"/>
        </w:rPr>
        <w:t>oxobutylsyremetabolit</w:t>
      </w:r>
      <w:proofErr w:type="spellEnd"/>
      <w:r w:rsidRPr="008332B2">
        <w:rPr>
          <w:sz w:val="24"/>
          <w:szCs w:val="24"/>
        </w:rPr>
        <w:t xml:space="preserve"> kan have potentialet for at hæmme OATP1B1-, OAT3-, BCRP- og OCT1-transportører. Administration af </w:t>
      </w:r>
      <w:proofErr w:type="spellStart"/>
      <w:r w:rsidRPr="008332B2">
        <w:rPr>
          <w:sz w:val="24"/>
          <w:szCs w:val="24"/>
        </w:rPr>
        <w:t>rosuvastatin</w:t>
      </w:r>
      <w:proofErr w:type="spellEnd"/>
      <w:r w:rsidRPr="008332B2">
        <w:rPr>
          <w:sz w:val="24"/>
          <w:szCs w:val="24"/>
        </w:rPr>
        <w:t xml:space="preserve"> (OATP1B1-substrat) eller </w:t>
      </w:r>
      <w:proofErr w:type="spellStart"/>
      <w:r w:rsidRPr="008332B2">
        <w:rPr>
          <w:sz w:val="24"/>
          <w:szCs w:val="24"/>
        </w:rPr>
        <w:t>furosemid</w:t>
      </w:r>
      <w:proofErr w:type="spellEnd"/>
      <w:r w:rsidRPr="008332B2">
        <w:rPr>
          <w:sz w:val="24"/>
          <w:szCs w:val="24"/>
        </w:rPr>
        <w:t xml:space="preserve"> (OAT3-substrat) hos raske forsøgspersoner med øget plasmakoncentration af </w:t>
      </w:r>
      <w:proofErr w:type="spellStart"/>
      <w:r w:rsidRPr="008332B2">
        <w:rPr>
          <w:sz w:val="24"/>
          <w:szCs w:val="24"/>
        </w:rPr>
        <w:t>oxobutylsyremetabolitten</w:t>
      </w:r>
      <w:proofErr w:type="spellEnd"/>
      <w:r w:rsidRPr="008332B2">
        <w:rPr>
          <w:sz w:val="24"/>
          <w:szCs w:val="24"/>
        </w:rPr>
        <w:t xml:space="preserve"> (hæmmer af OATP1B1 og OAT3) havde ikke væsentlig indvirkning på </w:t>
      </w:r>
      <w:proofErr w:type="spellStart"/>
      <w:r w:rsidRPr="008332B2">
        <w:rPr>
          <w:sz w:val="24"/>
          <w:szCs w:val="24"/>
        </w:rPr>
        <w:t>rosuvastatins</w:t>
      </w:r>
      <w:proofErr w:type="spellEnd"/>
      <w:r w:rsidRPr="008332B2">
        <w:rPr>
          <w:sz w:val="24"/>
          <w:szCs w:val="24"/>
        </w:rPr>
        <w:t xml:space="preserve"> eller </w:t>
      </w:r>
      <w:proofErr w:type="spellStart"/>
      <w:r w:rsidRPr="008332B2">
        <w:rPr>
          <w:sz w:val="24"/>
          <w:szCs w:val="24"/>
        </w:rPr>
        <w:t>furosemids</w:t>
      </w:r>
      <w:proofErr w:type="spellEnd"/>
      <w:r w:rsidRPr="008332B2">
        <w:rPr>
          <w:sz w:val="24"/>
          <w:szCs w:val="24"/>
        </w:rPr>
        <w:t xml:space="preserve"> farmakokinetik. Se pkt. 4.5.  </w:t>
      </w:r>
    </w:p>
    <w:p w:rsidR="00653B7A" w:rsidRPr="00653B7A" w:rsidRDefault="00653B7A" w:rsidP="00653B7A">
      <w:pPr>
        <w:tabs>
          <w:tab w:val="left" w:pos="851"/>
        </w:tabs>
        <w:ind w:left="851"/>
        <w:rPr>
          <w:sz w:val="24"/>
          <w:szCs w:val="24"/>
        </w:rPr>
      </w:pPr>
    </w:p>
    <w:p w:rsidR="00653B7A" w:rsidRPr="00653B7A" w:rsidRDefault="00653B7A" w:rsidP="00653B7A">
      <w:pPr>
        <w:tabs>
          <w:tab w:val="left" w:pos="851"/>
        </w:tabs>
        <w:ind w:left="851"/>
        <w:rPr>
          <w:sz w:val="24"/>
          <w:szCs w:val="24"/>
          <w:u w:val="single"/>
        </w:rPr>
      </w:pPr>
      <w:r w:rsidRPr="00653B7A">
        <w:rPr>
          <w:sz w:val="24"/>
          <w:szCs w:val="24"/>
          <w:u w:val="single"/>
        </w:rPr>
        <w:t xml:space="preserve">Elimination </w:t>
      </w:r>
    </w:p>
    <w:p w:rsidR="00653B7A" w:rsidRPr="00653B7A" w:rsidRDefault="00653B7A" w:rsidP="00653B7A">
      <w:pPr>
        <w:tabs>
          <w:tab w:val="left" w:pos="851"/>
        </w:tabs>
        <w:ind w:left="851"/>
        <w:rPr>
          <w:sz w:val="24"/>
          <w:szCs w:val="24"/>
        </w:rPr>
      </w:pPr>
      <w:r w:rsidRPr="00653B7A">
        <w:rPr>
          <w:sz w:val="24"/>
          <w:szCs w:val="24"/>
        </w:rPr>
        <w:t xml:space="preserve">Den terminale eliminationshalveringstid er ca. 8 timer, og </w:t>
      </w:r>
      <w:proofErr w:type="spellStart"/>
      <w:r w:rsidRPr="00653B7A">
        <w:rPr>
          <w:sz w:val="24"/>
          <w:szCs w:val="24"/>
        </w:rPr>
        <w:t>steady</w:t>
      </w:r>
      <w:proofErr w:type="spellEnd"/>
      <w:r w:rsidRPr="00653B7A">
        <w:rPr>
          <w:sz w:val="24"/>
          <w:szCs w:val="24"/>
        </w:rPr>
        <w:t xml:space="preserve"> state-koncentrationer af </w:t>
      </w:r>
      <w:proofErr w:type="spellStart"/>
      <w:r w:rsidRPr="00653B7A">
        <w:rPr>
          <w:sz w:val="24"/>
          <w:szCs w:val="24"/>
        </w:rPr>
        <w:t>tolvaptan</w:t>
      </w:r>
      <w:proofErr w:type="spellEnd"/>
      <w:r w:rsidRPr="00653B7A">
        <w:rPr>
          <w:sz w:val="24"/>
          <w:szCs w:val="24"/>
        </w:rPr>
        <w:t xml:space="preserve"> opnås efter første dosis. </w:t>
      </w:r>
    </w:p>
    <w:p w:rsidR="00653B7A" w:rsidRPr="00653B7A" w:rsidRDefault="00653B7A" w:rsidP="00653B7A">
      <w:pPr>
        <w:tabs>
          <w:tab w:val="left" w:pos="851"/>
        </w:tabs>
        <w:ind w:left="851"/>
        <w:rPr>
          <w:sz w:val="24"/>
          <w:szCs w:val="24"/>
        </w:rPr>
      </w:pPr>
    </w:p>
    <w:p w:rsidR="00653B7A" w:rsidRPr="00653B7A" w:rsidRDefault="00653B7A" w:rsidP="00653B7A">
      <w:pPr>
        <w:tabs>
          <w:tab w:val="left" w:pos="851"/>
        </w:tabs>
        <w:ind w:left="851"/>
        <w:rPr>
          <w:sz w:val="24"/>
          <w:szCs w:val="24"/>
        </w:rPr>
      </w:pPr>
      <w:r w:rsidRPr="00653B7A">
        <w:rPr>
          <w:sz w:val="24"/>
          <w:szCs w:val="24"/>
        </w:rPr>
        <w:t xml:space="preserve">Studier med radioaktivt mærket </w:t>
      </w:r>
      <w:proofErr w:type="spellStart"/>
      <w:r w:rsidRPr="00653B7A">
        <w:rPr>
          <w:sz w:val="24"/>
          <w:szCs w:val="24"/>
        </w:rPr>
        <w:t>tolvaptan</w:t>
      </w:r>
      <w:proofErr w:type="spellEnd"/>
      <w:r w:rsidRPr="00653B7A">
        <w:rPr>
          <w:sz w:val="24"/>
          <w:szCs w:val="24"/>
        </w:rPr>
        <w:t xml:space="preserve"> viste, at 40 % af radioaktiviteten blev genfundet i urinen, og 59 % blev genfundet i fæces, hvor </w:t>
      </w:r>
      <w:proofErr w:type="spellStart"/>
      <w:r w:rsidRPr="00653B7A">
        <w:rPr>
          <w:sz w:val="24"/>
          <w:szCs w:val="24"/>
        </w:rPr>
        <w:t>uomdannet</w:t>
      </w:r>
      <w:proofErr w:type="spellEnd"/>
      <w:r w:rsidRPr="00653B7A">
        <w:rPr>
          <w:sz w:val="24"/>
          <w:szCs w:val="24"/>
        </w:rPr>
        <w:t xml:space="preserve"> </w:t>
      </w:r>
      <w:proofErr w:type="spellStart"/>
      <w:r w:rsidRPr="00653B7A">
        <w:rPr>
          <w:sz w:val="24"/>
          <w:szCs w:val="24"/>
        </w:rPr>
        <w:t>tolvaptan</w:t>
      </w:r>
      <w:proofErr w:type="spellEnd"/>
      <w:r w:rsidRPr="00653B7A">
        <w:rPr>
          <w:sz w:val="24"/>
          <w:szCs w:val="24"/>
        </w:rPr>
        <w:t xml:space="preserve"> udgjorde 32 % af radioaktiviteten. </w:t>
      </w:r>
      <w:proofErr w:type="spellStart"/>
      <w:r w:rsidRPr="00653B7A">
        <w:rPr>
          <w:sz w:val="24"/>
          <w:szCs w:val="24"/>
        </w:rPr>
        <w:t>Tolvaptan</w:t>
      </w:r>
      <w:proofErr w:type="spellEnd"/>
      <w:r w:rsidRPr="00653B7A">
        <w:rPr>
          <w:sz w:val="24"/>
          <w:szCs w:val="24"/>
        </w:rPr>
        <w:t xml:space="preserve"> er kun en mindre komponent i plasma (3 %). </w:t>
      </w:r>
    </w:p>
    <w:p w:rsidR="00653B7A" w:rsidRPr="00653B7A" w:rsidRDefault="00653B7A" w:rsidP="00653B7A">
      <w:pPr>
        <w:tabs>
          <w:tab w:val="left" w:pos="851"/>
        </w:tabs>
        <w:ind w:left="851"/>
        <w:rPr>
          <w:sz w:val="24"/>
          <w:szCs w:val="24"/>
          <w:u w:val="single"/>
        </w:rPr>
      </w:pPr>
    </w:p>
    <w:p w:rsidR="00653B7A" w:rsidRPr="00653B7A" w:rsidRDefault="00653B7A" w:rsidP="00653B7A">
      <w:pPr>
        <w:tabs>
          <w:tab w:val="left" w:pos="851"/>
        </w:tabs>
        <w:ind w:left="851"/>
        <w:rPr>
          <w:sz w:val="24"/>
          <w:szCs w:val="24"/>
          <w:u w:val="single"/>
        </w:rPr>
      </w:pPr>
      <w:r w:rsidRPr="00653B7A">
        <w:rPr>
          <w:sz w:val="24"/>
          <w:szCs w:val="24"/>
          <w:u w:val="single"/>
        </w:rPr>
        <w:t xml:space="preserve">Linearitet </w:t>
      </w:r>
    </w:p>
    <w:p w:rsidR="00653B7A" w:rsidRPr="00653B7A" w:rsidRDefault="00653B7A" w:rsidP="00653B7A">
      <w:pPr>
        <w:tabs>
          <w:tab w:val="left" w:pos="851"/>
        </w:tabs>
        <w:ind w:left="851"/>
        <w:rPr>
          <w:sz w:val="24"/>
          <w:szCs w:val="24"/>
        </w:rPr>
      </w:pPr>
      <w:proofErr w:type="spellStart"/>
      <w:r w:rsidRPr="00653B7A">
        <w:rPr>
          <w:sz w:val="24"/>
          <w:szCs w:val="24"/>
        </w:rPr>
        <w:t>Tolvaptan</w:t>
      </w:r>
      <w:proofErr w:type="spellEnd"/>
      <w:r w:rsidRPr="00653B7A">
        <w:rPr>
          <w:sz w:val="24"/>
          <w:szCs w:val="24"/>
        </w:rPr>
        <w:t xml:space="preserve"> har lineær farmakokinetik ved doser på 7,5</w:t>
      </w:r>
      <w:r w:rsidR="00876505">
        <w:rPr>
          <w:sz w:val="24"/>
          <w:szCs w:val="24"/>
        </w:rPr>
        <w:t xml:space="preserve"> mg</w:t>
      </w:r>
      <w:r w:rsidRPr="00653B7A">
        <w:rPr>
          <w:sz w:val="24"/>
          <w:szCs w:val="24"/>
        </w:rPr>
        <w:t xml:space="preserve"> til 60 mg. </w:t>
      </w:r>
    </w:p>
    <w:p w:rsidR="00653B7A" w:rsidRPr="00653B7A" w:rsidRDefault="00653B7A" w:rsidP="00653B7A">
      <w:pPr>
        <w:tabs>
          <w:tab w:val="left" w:pos="851"/>
        </w:tabs>
        <w:ind w:left="851"/>
        <w:rPr>
          <w:sz w:val="24"/>
          <w:szCs w:val="24"/>
        </w:rPr>
      </w:pPr>
    </w:p>
    <w:p w:rsidR="00653B7A" w:rsidRPr="00653B7A" w:rsidRDefault="00653B7A" w:rsidP="00653B7A">
      <w:pPr>
        <w:tabs>
          <w:tab w:val="left" w:pos="851"/>
        </w:tabs>
        <w:ind w:left="851"/>
        <w:rPr>
          <w:sz w:val="24"/>
          <w:szCs w:val="24"/>
          <w:u w:val="single"/>
        </w:rPr>
      </w:pPr>
      <w:r w:rsidRPr="00653B7A">
        <w:rPr>
          <w:sz w:val="24"/>
          <w:szCs w:val="24"/>
          <w:u w:val="single"/>
        </w:rPr>
        <w:t xml:space="preserve">Farmakokinetik i særlige patientgrupper </w:t>
      </w:r>
    </w:p>
    <w:p w:rsidR="00653B7A" w:rsidRPr="00653B7A" w:rsidRDefault="00653B7A" w:rsidP="00653B7A">
      <w:pPr>
        <w:tabs>
          <w:tab w:val="left" w:pos="851"/>
        </w:tabs>
        <w:ind w:left="851"/>
        <w:rPr>
          <w:i/>
          <w:iCs/>
          <w:sz w:val="24"/>
          <w:szCs w:val="24"/>
        </w:rPr>
      </w:pPr>
    </w:p>
    <w:p w:rsidR="00653B7A" w:rsidRPr="00653B7A" w:rsidRDefault="00653B7A" w:rsidP="00653B7A">
      <w:pPr>
        <w:tabs>
          <w:tab w:val="left" w:pos="851"/>
        </w:tabs>
        <w:ind w:left="851"/>
        <w:rPr>
          <w:sz w:val="24"/>
          <w:szCs w:val="24"/>
        </w:rPr>
      </w:pPr>
      <w:r w:rsidRPr="00653B7A">
        <w:rPr>
          <w:i/>
          <w:iCs/>
          <w:sz w:val="24"/>
          <w:szCs w:val="24"/>
        </w:rPr>
        <w:t xml:space="preserve">Alder </w:t>
      </w:r>
    </w:p>
    <w:p w:rsidR="00653B7A" w:rsidRPr="00653B7A" w:rsidRDefault="00653B7A" w:rsidP="00653B7A">
      <w:pPr>
        <w:tabs>
          <w:tab w:val="left" w:pos="851"/>
        </w:tabs>
        <w:ind w:left="851"/>
        <w:rPr>
          <w:sz w:val="24"/>
          <w:szCs w:val="24"/>
        </w:rPr>
      </w:pPr>
      <w:proofErr w:type="spellStart"/>
      <w:r w:rsidRPr="00653B7A">
        <w:rPr>
          <w:sz w:val="24"/>
          <w:szCs w:val="24"/>
        </w:rPr>
        <w:t>Tolvaptans</w:t>
      </w:r>
      <w:proofErr w:type="spellEnd"/>
      <w:r w:rsidRPr="00653B7A">
        <w:rPr>
          <w:sz w:val="24"/>
          <w:szCs w:val="24"/>
        </w:rPr>
        <w:t xml:space="preserve"> </w:t>
      </w:r>
      <w:proofErr w:type="spellStart"/>
      <w:r w:rsidRPr="00653B7A">
        <w:rPr>
          <w:sz w:val="24"/>
          <w:szCs w:val="24"/>
        </w:rPr>
        <w:t>clearance</w:t>
      </w:r>
      <w:proofErr w:type="spellEnd"/>
      <w:r w:rsidRPr="00653B7A">
        <w:rPr>
          <w:sz w:val="24"/>
          <w:szCs w:val="24"/>
        </w:rPr>
        <w:t xml:space="preserve"> påvirkes ikke signifikant af alder. </w:t>
      </w:r>
    </w:p>
    <w:p w:rsidR="00653B7A" w:rsidRPr="00653B7A" w:rsidRDefault="00653B7A" w:rsidP="00653B7A">
      <w:pPr>
        <w:tabs>
          <w:tab w:val="left" w:pos="851"/>
        </w:tabs>
        <w:ind w:left="851"/>
        <w:rPr>
          <w:i/>
          <w:iCs/>
          <w:sz w:val="24"/>
          <w:szCs w:val="24"/>
        </w:rPr>
      </w:pPr>
    </w:p>
    <w:p w:rsidR="00653B7A" w:rsidRPr="00653B7A" w:rsidRDefault="00653B7A" w:rsidP="00653B7A">
      <w:pPr>
        <w:tabs>
          <w:tab w:val="left" w:pos="851"/>
        </w:tabs>
        <w:ind w:left="851"/>
        <w:rPr>
          <w:sz w:val="24"/>
          <w:szCs w:val="24"/>
        </w:rPr>
      </w:pPr>
      <w:r w:rsidRPr="00653B7A">
        <w:rPr>
          <w:i/>
          <w:iCs/>
          <w:sz w:val="24"/>
          <w:szCs w:val="24"/>
        </w:rPr>
        <w:t xml:space="preserve">Nedsat leverfunktion </w:t>
      </w:r>
    </w:p>
    <w:p w:rsidR="00653B7A" w:rsidRPr="00653B7A" w:rsidRDefault="00653B7A" w:rsidP="00653B7A">
      <w:pPr>
        <w:tabs>
          <w:tab w:val="left" w:pos="851"/>
        </w:tabs>
        <w:ind w:left="851"/>
        <w:rPr>
          <w:sz w:val="24"/>
          <w:szCs w:val="24"/>
        </w:rPr>
      </w:pPr>
      <w:r w:rsidRPr="00653B7A">
        <w:rPr>
          <w:sz w:val="24"/>
          <w:szCs w:val="24"/>
        </w:rPr>
        <w:t>Virkningen af let eller moderat nedsat leverfunktion (Child-</w:t>
      </w:r>
      <w:proofErr w:type="spellStart"/>
      <w:r w:rsidRPr="00653B7A">
        <w:rPr>
          <w:sz w:val="24"/>
          <w:szCs w:val="24"/>
        </w:rPr>
        <w:t>Pugh</w:t>
      </w:r>
      <w:proofErr w:type="spellEnd"/>
      <w:r w:rsidRPr="00653B7A">
        <w:rPr>
          <w:sz w:val="24"/>
          <w:szCs w:val="24"/>
        </w:rPr>
        <w:t xml:space="preserve"> klasse A og B) på </w:t>
      </w:r>
      <w:proofErr w:type="spellStart"/>
      <w:r w:rsidRPr="00653B7A">
        <w:rPr>
          <w:sz w:val="24"/>
          <w:szCs w:val="24"/>
        </w:rPr>
        <w:t>tolvaptans</w:t>
      </w:r>
      <w:proofErr w:type="spellEnd"/>
      <w:r w:rsidRPr="00653B7A">
        <w:rPr>
          <w:sz w:val="24"/>
          <w:szCs w:val="24"/>
        </w:rPr>
        <w:t xml:space="preserve"> farmakokinetik blev undersøgt hos 87 patienter med leversygdom af forskellig oprindelse. Ingen klinisk signifikante ændringer er blevet set ved </w:t>
      </w:r>
      <w:proofErr w:type="spellStart"/>
      <w:r w:rsidRPr="00653B7A">
        <w:rPr>
          <w:sz w:val="24"/>
          <w:szCs w:val="24"/>
        </w:rPr>
        <w:t>clearance</w:t>
      </w:r>
      <w:proofErr w:type="spellEnd"/>
      <w:r w:rsidRPr="00653B7A">
        <w:rPr>
          <w:sz w:val="24"/>
          <w:szCs w:val="24"/>
        </w:rPr>
        <w:t xml:space="preserve"> ved doser på 5 </w:t>
      </w:r>
      <w:r w:rsidR="00876505">
        <w:rPr>
          <w:sz w:val="24"/>
          <w:szCs w:val="24"/>
        </w:rPr>
        <w:t xml:space="preserve">mg </w:t>
      </w:r>
      <w:r w:rsidRPr="00653B7A">
        <w:rPr>
          <w:sz w:val="24"/>
          <w:szCs w:val="24"/>
        </w:rPr>
        <w:t>til 60 mg. Der er meget begrænset information tilgængelig for patienter med alvorligt nedsat leverfunktion (Child-</w:t>
      </w:r>
      <w:proofErr w:type="spellStart"/>
      <w:r w:rsidRPr="00653B7A">
        <w:rPr>
          <w:sz w:val="24"/>
          <w:szCs w:val="24"/>
        </w:rPr>
        <w:t>Pugh</w:t>
      </w:r>
      <w:proofErr w:type="spellEnd"/>
      <w:r w:rsidRPr="00653B7A">
        <w:rPr>
          <w:sz w:val="24"/>
          <w:szCs w:val="24"/>
        </w:rPr>
        <w:t xml:space="preserve"> klasse C). </w:t>
      </w:r>
    </w:p>
    <w:p w:rsidR="00653B7A" w:rsidRPr="00653B7A" w:rsidRDefault="00653B7A" w:rsidP="00653B7A">
      <w:pPr>
        <w:tabs>
          <w:tab w:val="left" w:pos="851"/>
        </w:tabs>
        <w:ind w:left="851"/>
        <w:rPr>
          <w:sz w:val="24"/>
          <w:szCs w:val="24"/>
        </w:rPr>
      </w:pPr>
    </w:p>
    <w:p w:rsidR="00653B7A" w:rsidRPr="00653B7A" w:rsidRDefault="00653B7A" w:rsidP="00653B7A">
      <w:pPr>
        <w:tabs>
          <w:tab w:val="left" w:pos="851"/>
        </w:tabs>
        <w:ind w:left="851"/>
        <w:rPr>
          <w:sz w:val="24"/>
          <w:szCs w:val="24"/>
        </w:rPr>
      </w:pPr>
      <w:r w:rsidRPr="00653B7A">
        <w:rPr>
          <w:sz w:val="24"/>
          <w:szCs w:val="24"/>
        </w:rPr>
        <w:t xml:space="preserve">I en </w:t>
      </w:r>
      <w:proofErr w:type="spellStart"/>
      <w:r w:rsidRPr="00653B7A">
        <w:rPr>
          <w:sz w:val="24"/>
          <w:szCs w:val="24"/>
        </w:rPr>
        <w:t>farmakokinetisk</w:t>
      </w:r>
      <w:proofErr w:type="spellEnd"/>
      <w:r w:rsidRPr="00653B7A">
        <w:rPr>
          <w:sz w:val="24"/>
          <w:szCs w:val="24"/>
        </w:rPr>
        <w:t xml:space="preserve"> populationsanalyse af patienter med </w:t>
      </w:r>
      <w:proofErr w:type="spellStart"/>
      <w:r w:rsidRPr="00653B7A">
        <w:rPr>
          <w:sz w:val="24"/>
          <w:szCs w:val="24"/>
        </w:rPr>
        <w:t>hepatisk</w:t>
      </w:r>
      <w:proofErr w:type="spellEnd"/>
      <w:r w:rsidRPr="00653B7A">
        <w:rPr>
          <w:sz w:val="24"/>
          <w:szCs w:val="24"/>
        </w:rPr>
        <w:t xml:space="preserve"> ødem var AUC for </w:t>
      </w:r>
      <w:proofErr w:type="spellStart"/>
      <w:r w:rsidRPr="00653B7A">
        <w:rPr>
          <w:sz w:val="24"/>
          <w:szCs w:val="24"/>
        </w:rPr>
        <w:t>tolvaptan</w:t>
      </w:r>
      <w:proofErr w:type="spellEnd"/>
      <w:r w:rsidRPr="00653B7A">
        <w:rPr>
          <w:sz w:val="24"/>
          <w:szCs w:val="24"/>
        </w:rPr>
        <w:t xml:space="preserve"> hos patienter med svært (Child-</w:t>
      </w:r>
      <w:proofErr w:type="spellStart"/>
      <w:r w:rsidRPr="00653B7A">
        <w:rPr>
          <w:sz w:val="24"/>
          <w:szCs w:val="24"/>
        </w:rPr>
        <w:t>Pugh</w:t>
      </w:r>
      <w:proofErr w:type="spellEnd"/>
      <w:r w:rsidRPr="00653B7A">
        <w:rPr>
          <w:sz w:val="24"/>
          <w:szCs w:val="24"/>
        </w:rPr>
        <w:t xml:space="preserve"> klasse C) og mildt eller moderat (Child-</w:t>
      </w:r>
      <w:proofErr w:type="spellStart"/>
      <w:r w:rsidRPr="00653B7A">
        <w:rPr>
          <w:sz w:val="24"/>
          <w:szCs w:val="24"/>
        </w:rPr>
        <w:t>Pugh</w:t>
      </w:r>
      <w:proofErr w:type="spellEnd"/>
      <w:r w:rsidRPr="00653B7A">
        <w:rPr>
          <w:sz w:val="24"/>
          <w:szCs w:val="24"/>
        </w:rPr>
        <w:t xml:space="preserve"> klasse A og B) nedsat leverfunktion 3,1 </w:t>
      </w:r>
      <w:r w:rsidR="00876505">
        <w:rPr>
          <w:sz w:val="24"/>
          <w:szCs w:val="24"/>
        </w:rPr>
        <w:t xml:space="preserve">gange </w:t>
      </w:r>
      <w:r w:rsidRPr="00653B7A">
        <w:rPr>
          <w:sz w:val="24"/>
          <w:szCs w:val="24"/>
        </w:rPr>
        <w:t xml:space="preserve">og 2,3 gange højere end hos raske forsøgspersoner. </w:t>
      </w:r>
    </w:p>
    <w:p w:rsidR="00653B7A" w:rsidRPr="00653B7A" w:rsidRDefault="00653B7A" w:rsidP="00653B7A">
      <w:pPr>
        <w:tabs>
          <w:tab w:val="left" w:pos="851"/>
        </w:tabs>
        <w:ind w:left="851"/>
        <w:rPr>
          <w:i/>
          <w:iCs/>
          <w:sz w:val="24"/>
          <w:szCs w:val="24"/>
        </w:rPr>
      </w:pPr>
    </w:p>
    <w:p w:rsidR="00653B7A" w:rsidRPr="00653B7A" w:rsidRDefault="00653B7A" w:rsidP="00653B7A">
      <w:pPr>
        <w:tabs>
          <w:tab w:val="left" w:pos="851"/>
        </w:tabs>
        <w:ind w:left="851"/>
        <w:rPr>
          <w:sz w:val="24"/>
          <w:szCs w:val="24"/>
        </w:rPr>
      </w:pPr>
      <w:r w:rsidRPr="00653B7A">
        <w:rPr>
          <w:i/>
          <w:iCs/>
          <w:sz w:val="24"/>
          <w:szCs w:val="24"/>
        </w:rPr>
        <w:t xml:space="preserve">Nedsat nyrefunktion </w:t>
      </w:r>
    </w:p>
    <w:p w:rsidR="00876505" w:rsidRPr="008332B2" w:rsidRDefault="00876505" w:rsidP="00876505">
      <w:pPr>
        <w:tabs>
          <w:tab w:val="left" w:pos="851"/>
        </w:tabs>
        <w:ind w:left="851"/>
        <w:rPr>
          <w:sz w:val="24"/>
          <w:szCs w:val="24"/>
        </w:rPr>
      </w:pPr>
      <w:r w:rsidRPr="008332B2">
        <w:rPr>
          <w:sz w:val="24"/>
          <w:szCs w:val="24"/>
        </w:rPr>
        <w:t xml:space="preserve">I en analyse af populationsfarmakokinetik hos patienter med hjertesvigt var </w:t>
      </w:r>
      <w:proofErr w:type="spellStart"/>
      <w:r w:rsidRPr="008332B2">
        <w:rPr>
          <w:sz w:val="24"/>
          <w:szCs w:val="24"/>
        </w:rPr>
        <w:t>tolvaptankoncentrationer</w:t>
      </w:r>
      <w:proofErr w:type="spellEnd"/>
      <w:r w:rsidRPr="008332B2">
        <w:rPr>
          <w:sz w:val="24"/>
          <w:szCs w:val="24"/>
        </w:rPr>
        <w:t xml:space="preserve"> hos patienter med let (</w:t>
      </w:r>
      <w:proofErr w:type="spellStart"/>
      <w:r w:rsidRPr="008332B2">
        <w:rPr>
          <w:sz w:val="24"/>
          <w:szCs w:val="24"/>
        </w:rPr>
        <w:t>kreatininclearance</w:t>
      </w:r>
      <w:proofErr w:type="spellEnd"/>
      <w:r w:rsidRPr="008332B2">
        <w:rPr>
          <w:sz w:val="24"/>
          <w:szCs w:val="24"/>
        </w:rPr>
        <w:t xml:space="preserve"> </w:t>
      </w:r>
      <w:r w:rsidRPr="008332B2">
        <w:rPr>
          <w:sz w:val="22"/>
          <w:szCs w:val="22"/>
        </w:rPr>
        <w:t>[</w:t>
      </w:r>
      <w:proofErr w:type="spellStart"/>
      <w:r w:rsidRPr="008332B2">
        <w:rPr>
          <w:sz w:val="22"/>
          <w:szCs w:val="22"/>
        </w:rPr>
        <w:t>C</w:t>
      </w:r>
      <w:r w:rsidRPr="008332B2">
        <w:rPr>
          <w:sz w:val="14"/>
          <w:szCs w:val="14"/>
        </w:rPr>
        <w:t>cr</w:t>
      </w:r>
      <w:proofErr w:type="spellEnd"/>
      <w:r w:rsidRPr="008332B2">
        <w:rPr>
          <w:sz w:val="22"/>
          <w:szCs w:val="22"/>
        </w:rPr>
        <w:t xml:space="preserve">] </w:t>
      </w:r>
      <w:r w:rsidRPr="008332B2">
        <w:rPr>
          <w:sz w:val="24"/>
          <w:szCs w:val="24"/>
        </w:rPr>
        <w:t>50 ml/min til 80 ml/min.) eller moderat (</w:t>
      </w:r>
      <w:proofErr w:type="spellStart"/>
      <w:r w:rsidRPr="008332B2">
        <w:rPr>
          <w:sz w:val="22"/>
          <w:szCs w:val="22"/>
        </w:rPr>
        <w:t>C</w:t>
      </w:r>
      <w:r w:rsidRPr="008332B2">
        <w:rPr>
          <w:sz w:val="14"/>
          <w:szCs w:val="14"/>
        </w:rPr>
        <w:t>cr</w:t>
      </w:r>
      <w:proofErr w:type="spellEnd"/>
      <w:r w:rsidRPr="008332B2">
        <w:rPr>
          <w:sz w:val="24"/>
          <w:szCs w:val="24"/>
        </w:rPr>
        <w:t xml:space="preserve"> 20 ml/min til 50 ml/min.) nedsat nyrefunktion ikke signifikant anderledes end </w:t>
      </w:r>
      <w:proofErr w:type="spellStart"/>
      <w:r w:rsidRPr="008332B2">
        <w:rPr>
          <w:sz w:val="24"/>
          <w:szCs w:val="24"/>
        </w:rPr>
        <w:t>tolvaptankoncentrationer</w:t>
      </w:r>
      <w:proofErr w:type="spellEnd"/>
      <w:r w:rsidRPr="008332B2">
        <w:rPr>
          <w:sz w:val="24"/>
          <w:szCs w:val="24"/>
        </w:rPr>
        <w:t xml:space="preserve"> hos patienter med normal nyrefunktion (</w:t>
      </w:r>
      <w:proofErr w:type="spellStart"/>
      <w:r w:rsidRPr="008332B2">
        <w:rPr>
          <w:sz w:val="22"/>
          <w:szCs w:val="22"/>
        </w:rPr>
        <w:t>C</w:t>
      </w:r>
      <w:r w:rsidRPr="008332B2">
        <w:rPr>
          <w:sz w:val="14"/>
          <w:szCs w:val="14"/>
        </w:rPr>
        <w:t>cr</w:t>
      </w:r>
      <w:proofErr w:type="spellEnd"/>
      <w:r w:rsidRPr="008332B2">
        <w:rPr>
          <w:sz w:val="14"/>
          <w:szCs w:val="14"/>
        </w:rPr>
        <w:t xml:space="preserve"> </w:t>
      </w:r>
      <w:r w:rsidRPr="008332B2">
        <w:rPr>
          <w:sz w:val="24"/>
          <w:szCs w:val="24"/>
        </w:rPr>
        <w:t xml:space="preserve">80 ml/min til 150 ml/min.). Virkning og sikkerhed af </w:t>
      </w:r>
      <w:proofErr w:type="spellStart"/>
      <w:r w:rsidRPr="008332B2">
        <w:rPr>
          <w:sz w:val="24"/>
          <w:szCs w:val="24"/>
        </w:rPr>
        <w:t>tolvaptan</w:t>
      </w:r>
      <w:proofErr w:type="spellEnd"/>
      <w:r w:rsidRPr="008332B2">
        <w:rPr>
          <w:sz w:val="24"/>
          <w:szCs w:val="24"/>
        </w:rPr>
        <w:t xml:space="preserve"> hos patienter med </w:t>
      </w:r>
      <w:proofErr w:type="spellStart"/>
      <w:r w:rsidRPr="008332B2">
        <w:rPr>
          <w:sz w:val="24"/>
          <w:szCs w:val="24"/>
        </w:rPr>
        <w:t>kreatininclearance</w:t>
      </w:r>
      <w:proofErr w:type="spellEnd"/>
      <w:r w:rsidRPr="008332B2">
        <w:rPr>
          <w:sz w:val="24"/>
          <w:szCs w:val="24"/>
        </w:rPr>
        <w:t xml:space="preserve"> &lt; 10 ml/min er ikke vurderet og er derfor ikke kendt.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182EAE" w:rsidRPr="00BA4587">
        <w:rPr>
          <w:b/>
          <w:sz w:val="24"/>
          <w:szCs w:val="24"/>
        </w:rPr>
        <w:t>Non-kliniske sikkerhedsdata</w:t>
      </w:r>
      <w:bookmarkEnd w:id="6"/>
    </w:p>
    <w:p w:rsidR="008963AF" w:rsidRPr="008963AF" w:rsidRDefault="008963AF" w:rsidP="008963AF">
      <w:pPr>
        <w:tabs>
          <w:tab w:val="left" w:pos="851"/>
        </w:tabs>
        <w:ind w:left="851"/>
        <w:rPr>
          <w:sz w:val="24"/>
          <w:szCs w:val="24"/>
        </w:rPr>
      </w:pPr>
      <w:r w:rsidRPr="008963AF">
        <w:rPr>
          <w:sz w:val="24"/>
          <w:szCs w:val="24"/>
        </w:rPr>
        <w:t xml:space="preserve">Non-kliniske data viser ingen speciel risiko for mennesker vurderet ud fra konventionelle studier af sikkerhedsfarmakologi, toksicitet efter gentagne doser, genotoksicitet eller </w:t>
      </w:r>
      <w:proofErr w:type="spellStart"/>
      <w:r w:rsidRPr="008963AF">
        <w:rPr>
          <w:sz w:val="24"/>
          <w:szCs w:val="24"/>
        </w:rPr>
        <w:t>karcinogenicitet</w:t>
      </w:r>
      <w:proofErr w:type="spellEnd"/>
      <w:r w:rsidRPr="008963AF">
        <w:rPr>
          <w:sz w:val="24"/>
          <w:szCs w:val="24"/>
        </w:rPr>
        <w:t xml:space="preserve">. </w:t>
      </w:r>
    </w:p>
    <w:p w:rsidR="008963AF" w:rsidRPr="008963AF" w:rsidRDefault="008963AF" w:rsidP="008963AF">
      <w:pPr>
        <w:tabs>
          <w:tab w:val="left" w:pos="851"/>
        </w:tabs>
        <w:ind w:left="851"/>
        <w:rPr>
          <w:sz w:val="24"/>
          <w:szCs w:val="24"/>
        </w:rPr>
      </w:pPr>
    </w:p>
    <w:p w:rsidR="004F79B2" w:rsidRPr="008332B2" w:rsidRDefault="004F79B2" w:rsidP="004F79B2">
      <w:pPr>
        <w:tabs>
          <w:tab w:val="left" w:pos="851"/>
        </w:tabs>
        <w:ind w:left="851"/>
        <w:rPr>
          <w:sz w:val="24"/>
          <w:szCs w:val="24"/>
        </w:rPr>
      </w:pPr>
      <w:proofErr w:type="spellStart"/>
      <w:r w:rsidRPr="008332B2">
        <w:rPr>
          <w:sz w:val="24"/>
          <w:szCs w:val="24"/>
        </w:rPr>
        <w:lastRenderedPageBreak/>
        <w:t>Teratogenicitet</w:t>
      </w:r>
      <w:proofErr w:type="spellEnd"/>
      <w:r w:rsidRPr="008332B2">
        <w:rPr>
          <w:sz w:val="24"/>
          <w:szCs w:val="24"/>
        </w:rPr>
        <w:t xml:space="preserve"> sås hos kaniner, der fik 1.000 mg/kg/dag (3,9 gange eksponeringen hos mennesker ved 60 mg-dosen baseret på AUC). Ingen </w:t>
      </w:r>
      <w:proofErr w:type="spellStart"/>
      <w:r w:rsidRPr="008332B2">
        <w:rPr>
          <w:sz w:val="24"/>
          <w:szCs w:val="24"/>
        </w:rPr>
        <w:t>teratogen</w:t>
      </w:r>
      <w:proofErr w:type="spellEnd"/>
      <w:r w:rsidRPr="008332B2">
        <w:rPr>
          <w:sz w:val="24"/>
          <w:szCs w:val="24"/>
        </w:rPr>
        <w:t xml:space="preserve"> effekt sås hos kaniner ved 300 mg/kg/dag (op til 1,9 gange eksponeringen hos mennesker ved 60 mg-dosen baseret på AUC). </w:t>
      </w:r>
    </w:p>
    <w:p w:rsidR="004F79B2" w:rsidRPr="008332B2" w:rsidRDefault="004F79B2" w:rsidP="004F79B2">
      <w:pPr>
        <w:tabs>
          <w:tab w:val="left" w:pos="851"/>
        </w:tabs>
        <w:ind w:left="851"/>
        <w:rPr>
          <w:sz w:val="24"/>
          <w:szCs w:val="24"/>
        </w:rPr>
      </w:pPr>
      <w:r w:rsidRPr="008332B2">
        <w:rPr>
          <w:sz w:val="24"/>
          <w:szCs w:val="24"/>
        </w:rPr>
        <w:t xml:space="preserve">I et peri- og </w:t>
      </w:r>
      <w:proofErr w:type="spellStart"/>
      <w:r w:rsidRPr="008332B2">
        <w:rPr>
          <w:sz w:val="24"/>
          <w:szCs w:val="24"/>
        </w:rPr>
        <w:t>postnatalt</w:t>
      </w:r>
      <w:proofErr w:type="spellEnd"/>
      <w:r w:rsidRPr="008332B2">
        <w:rPr>
          <w:sz w:val="24"/>
          <w:szCs w:val="24"/>
        </w:rPr>
        <w:t xml:space="preserve"> studie med rotter sås forsinket </w:t>
      </w:r>
      <w:proofErr w:type="spellStart"/>
      <w:r w:rsidRPr="008332B2">
        <w:rPr>
          <w:sz w:val="24"/>
          <w:szCs w:val="24"/>
        </w:rPr>
        <w:t>ossifikation</w:t>
      </w:r>
      <w:proofErr w:type="spellEnd"/>
      <w:r w:rsidRPr="008332B2">
        <w:rPr>
          <w:sz w:val="24"/>
          <w:szCs w:val="24"/>
        </w:rPr>
        <w:t xml:space="preserve"> og reduceret kropsvægt hos ungerne ved den høje dosis på 1.000 mg/kg/dag. </w:t>
      </w:r>
    </w:p>
    <w:p w:rsidR="004F79B2" w:rsidRPr="008332B2" w:rsidRDefault="004F79B2" w:rsidP="004F79B2">
      <w:pPr>
        <w:tabs>
          <w:tab w:val="left" w:pos="851"/>
        </w:tabs>
        <w:ind w:left="851"/>
        <w:rPr>
          <w:sz w:val="24"/>
          <w:szCs w:val="24"/>
        </w:rPr>
      </w:pPr>
      <w:r w:rsidRPr="008332B2">
        <w:rPr>
          <w:sz w:val="24"/>
          <w:szCs w:val="24"/>
        </w:rPr>
        <w:t xml:space="preserve">To fertilitetsstudier med rotter viste påvirkning på den </w:t>
      </w:r>
      <w:proofErr w:type="spellStart"/>
      <w:r w:rsidRPr="008332B2">
        <w:rPr>
          <w:sz w:val="24"/>
          <w:szCs w:val="24"/>
        </w:rPr>
        <w:t>parentale</w:t>
      </w:r>
      <w:proofErr w:type="spellEnd"/>
      <w:r w:rsidRPr="008332B2">
        <w:rPr>
          <w:sz w:val="24"/>
          <w:szCs w:val="24"/>
        </w:rPr>
        <w:t xml:space="preserve"> generation (nedsat fødeindtag, langsommere kropsvægtforøgelse, spytflåd), men </w:t>
      </w:r>
      <w:proofErr w:type="spellStart"/>
      <w:r w:rsidRPr="008332B2">
        <w:rPr>
          <w:sz w:val="24"/>
          <w:szCs w:val="24"/>
        </w:rPr>
        <w:t>tolvaptan</w:t>
      </w:r>
      <w:proofErr w:type="spellEnd"/>
      <w:r w:rsidRPr="008332B2">
        <w:rPr>
          <w:sz w:val="24"/>
          <w:szCs w:val="24"/>
        </w:rPr>
        <w:t xml:space="preserve"> påvirkede ikke reproduktionsevnen hos hanrotter, og der sås ingen påvirkning på fostre. Hos hunrotter blev der i begge studier observeret abnorme </w:t>
      </w:r>
      <w:proofErr w:type="spellStart"/>
      <w:r w:rsidRPr="008332B2">
        <w:rPr>
          <w:sz w:val="24"/>
          <w:szCs w:val="24"/>
        </w:rPr>
        <w:t>østralperioder</w:t>
      </w:r>
      <w:proofErr w:type="spellEnd"/>
      <w:r w:rsidRPr="008332B2">
        <w:rPr>
          <w:sz w:val="24"/>
          <w:szCs w:val="24"/>
        </w:rPr>
        <w:t xml:space="preserve">. </w:t>
      </w:r>
    </w:p>
    <w:p w:rsidR="004F79B2" w:rsidRPr="008332B2" w:rsidRDefault="004F79B2" w:rsidP="004F79B2">
      <w:pPr>
        <w:tabs>
          <w:tab w:val="left" w:pos="851"/>
        </w:tabs>
        <w:ind w:left="851"/>
        <w:rPr>
          <w:sz w:val="24"/>
          <w:szCs w:val="24"/>
        </w:rPr>
      </w:pPr>
      <w:r w:rsidRPr="008332B2">
        <w:rPr>
          <w:sz w:val="24"/>
          <w:szCs w:val="24"/>
        </w:rPr>
        <w:t>NOAEL-niveauet (niveauet uden observeret negativ effekt) for indvirkning på reproduktionsevnen hos hunrotter (100 mg/kg/dag) var ca. 6,7 gange eksponeringen hos mennesker ved 60 mg-dosen baseret på AUC.</w:t>
      </w:r>
    </w:p>
    <w:p w:rsidR="009260DE" w:rsidRDefault="009260DE" w:rsidP="009260DE">
      <w:pPr>
        <w:tabs>
          <w:tab w:val="left" w:pos="851"/>
        </w:tabs>
        <w:ind w:left="851"/>
        <w:rPr>
          <w:sz w:val="24"/>
          <w:szCs w:val="24"/>
        </w:rPr>
      </w:pPr>
    </w:p>
    <w:p w:rsidR="004F79B2" w:rsidRPr="00C84483" w:rsidRDefault="004F79B2"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963AF" w:rsidRPr="00D93BC9" w:rsidRDefault="008963AF" w:rsidP="008963AF">
      <w:pPr>
        <w:tabs>
          <w:tab w:val="left" w:pos="851"/>
        </w:tabs>
        <w:ind w:left="851"/>
        <w:rPr>
          <w:sz w:val="24"/>
          <w:szCs w:val="24"/>
        </w:rPr>
      </w:pPr>
      <w:proofErr w:type="spellStart"/>
      <w:r w:rsidRPr="00D93BC9">
        <w:rPr>
          <w:sz w:val="24"/>
          <w:szCs w:val="24"/>
        </w:rPr>
        <w:t>Natriumlaurylsulfat</w:t>
      </w:r>
      <w:proofErr w:type="spellEnd"/>
    </w:p>
    <w:p w:rsidR="008963AF" w:rsidRPr="00D93BC9" w:rsidRDefault="008963AF" w:rsidP="008963AF">
      <w:pPr>
        <w:tabs>
          <w:tab w:val="left" w:pos="851"/>
        </w:tabs>
        <w:ind w:left="851"/>
        <w:rPr>
          <w:sz w:val="24"/>
          <w:szCs w:val="24"/>
        </w:rPr>
      </w:pPr>
      <w:proofErr w:type="spellStart"/>
      <w:r w:rsidRPr="00D93BC9">
        <w:rPr>
          <w:sz w:val="24"/>
          <w:szCs w:val="24"/>
        </w:rPr>
        <w:t>Povidon</w:t>
      </w:r>
      <w:proofErr w:type="spellEnd"/>
    </w:p>
    <w:p w:rsidR="008963AF" w:rsidRPr="00D93BC9" w:rsidRDefault="008963AF" w:rsidP="008963AF">
      <w:pPr>
        <w:tabs>
          <w:tab w:val="left" w:pos="851"/>
        </w:tabs>
        <w:ind w:left="851"/>
        <w:rPr>
          <w:sz w:val="24"/>
          <w:szCs w:val="24"/>
        </w:rPr>
      </w:pPr>
      <w:proofErr w:type="spellStart"/>
      <w:r w:rsidRPr="00D93BC9">
        <w:rPr>
          <w:sz w:val="24"/>
          <w:szCs w:val="24"/>
        </w:rPr>
        <w:t>Lactosemonohydrat</w:t>
      </w:r>
      <w:proofErr w:type="spellEnd"/>
    </w:p>
    <w:p w:rsidR="008963AF" w:rsidRPr="00D93BC9" w:rsidRDefault="008963AF" w:rsidP="008963AF">
      <w:pPr>
        <w:tabs>
          <w:tab w:val="left" w:pos="851"/>
        </w:tabs>
        <w:ind w:left="851"/>
        <w:rPr>
          <w:sz w:val="24"/>
          <w:szCs w:val="24"/>
        </w:rPr>
      </w:pPr>
      <w:r w:rsidRPr="00D93BC9">
        <w:rPr>
          <w:sz w:val="24"/>
          <w:szCs w:val="24"/>
        </w:rPr>
        <w:t>Cellulose, mikrokrystallinsk</w:t>
      </w:r>
    </w:p>
    <w:p w:rsidR="008963AF" w:rsidRPr="00D93BC9" w:rsidRDefault="008963AF" w:rsidP="008963AF">
      <w:pPr>
        <w:tabs>
          <w:tab w:val="left" w:pos="851"/>
        </w:tabs>
        <w:ind w:left="851"/>
        <w:rPr>
          <w:sz w:val="24"/>
          <w:szCs w:val="24"/>
        </w:rPr>
      </w:pPr>
      <w:proofErr w:type="spellStart"/>
      <w:r w:rsidRPr="00D93BC9">
        <w:rPr>
          <w:sz w:val="24"/>
          <w:szCs w:val="24"/>
        </w:rPr>
        <w:t>Croscarmellosenatrium</w:t>
      </w:r>
      <w:proofErr w:type="spellEnd"/>
    </w:p>
    <w:p w:rsidR="008963AF" w:rsidRPr="008963AF" w:rsidRDefault="008963AF" w:rsidP="008963AF">
      <w:pPr>
        <w:tabs>
          <w:tab w:val="left" w:pos="851"/>
        </w:tabs>
        <w:ind w:left="851"/>
        <w:rPr>
          <w:sz w:val="24"/>
          <w:szCs w:val="24"/>
        </w:rPr>
      </w:pPr>
      <w:proofErr w:type="spellStart"/>
      <w:r w:rsidRPr="008963AF">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963AF" w:rsidRPr="008963AF" w:rsidRDefault="008963AF" w:rsidP="008963AF">
      <w:pPr>
        <w:tabs>
          <w:tab w:val="left" w:pos="851"/>
        </w:tabs>
        <w:ind w:left="851"/>
        <w:rPr>
          <w:sz w:val="24"/>
          <w:szCs w:val="24"/>
        </w:rPr>
      </w:pPr>
      <w:r w:rsidRPr="008963AF">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963AF" w:rsidRPr="008963AF" w:rsidRDefault="008963AF" w:rsidP="008963AF">
      <w:pPr>
        <w:tabs>
          <w:tab w:val="left" w:pos="851"/>
        </w:tabs>
        <w:ind w:left="851"/>
        <w:rPr>
          <w:sz w:val="24"/>
          <w:szCs w:val="24"/>
        </w:rPr>
      </w:pPr>
      <w:r w:rsidRPr="008963AF">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963AF" w:rsidRPr="008963AF" w:rsidRDefault="008963AF" w:rsidP="008963AF">
      <w:pPr>
        <w:tabs>
          <w:tab w:val="left" w:pos="851"/>
        </w:tabs>
        <w:ind w:left="851"/>
        <w:rPr>
          <w:sz w:val="24"/>
          <w:szCs w:val="24"/>
        </w:rPr>
      </w:pPr>
      <w:r w:rsidRPr="008963AF">
        <w:rPr>
          <w:sz w:val="24"/>
          <w:szCs w:val="24"/>
        </w:rPr>
        <w:t>Opbevares i den originale pakning for at beskytte mod lys.</w:t>
      </w:r>
    </w:p>
    <w:p w:rsidR="008963AF" w:rsidRPr="008963AF" w:rsidRDefault="008963AF" w:rsidP="008963AF">
      <w:pPr>
        <w:tabs>
          <w:tab w:val="left" w:pos="851"/>
        </w:tabs>
        <w:ind w:left="851"/>
        <w:rPr>
          <w:sz w:val="24"/>
          <w:szCs w:val="24"/>
        </w:rPr>
      </w:pPr>
      <w:r w:rsidRPr="008963AF">
        <w:rPr>
          <w:sz w:val="24"/>
          <w:szCs w:val="24"/>
        </w:rPr>
        <w:t>Der er ingen særlige krav vedrørende opbevaringstemperaturer for dette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182EAE">
        <w:rPr>
          <w:b/>
          <w:sz w:val="24"/>
          <w:szCs w:val="24"/>
        </w:rPr>
        <w:t>Emballagetype og pakningsstørrelser</w:t>
      </w:r>
      <w:bookmarkEnd w:id="7"/>
    </w:p>
    <w:p w:rsidR="00633339" w:rsidRDefault="00633339" w:rsidP="00FB6572">
      <w:pPr>
        <w:tabs>
          <w:tab w:val="left" w:pos="851"/>
        </w:tabs>
        <w:ind w:left="851"/>
        <w:rPr>
          <w:sz w:val="24"/>
          <w:szCs w:val="24"/>
        </w:rPr>
      </w:pPr>
    </w:p>
    <w:p w:rsidR="00FB6572" w:rsidRPr="00633339" w:rsidRDefault="00FB6572" w:rsidP="00FB6572">
      <w:pPr>
        <w:tabs>
          <w:tab w:val="left" w:pos="851"/>
        </w:tabs>
        <w:ind w:left="851"/>
        <w:rPr>
          <w:sz w:val="24"/>
          <w:szCs w:val="24"/>
          <w:u w:val="single"/>
        </w:rPr>
      </w:pPr>
      <w:r w:rsidRPr="00633339">
        <w:rPr>
          <w:sz w:val="24"/>
          <w:szCs w:val="24"/>
          <w:u w:val="single"/>
        </w:rPr>
        <w:t>Blisterpakning og enkeltdosisblisterpakning</w:t>
      </w:r>
    </w:p>
    <w:p w:rsidR="00FB6572" w:rsidRPr="00FB6572" w:rsidRDefault="00FB6572" w:rsidP="00014618">
      <w:pPr>
        <w:tabs>
          <w:tab w:val="left" w:pos="851"/>
        </w:tabs>
        <w:ind w:left="851"/>
        <w:rPr>
          <w:sz w:val="24"/>
          <w:szCs w:val="24"/>
        </w:rPr>
      </w:pPr>
      <w:r w:rsidRPr="00FB6572">
        <w:rPr>
          <w:sz w:val="24"/>
          <w:szCs w:val="24"/>
        </w:rPr>
        <w:t>Blisterpakning af PVC/</w:t>
      </w:r>
      <w:proofErr w:type="spellStart"/>
      <w:r w:rsidRPr="00FB6572">
        <w:rPr>
          <w:sz w:val="24"/>
          <w:szCs w:val="24"/>
        </w:rPr>
        <w:t>Aclar</w:t>
      </w:r>
      <w:proofErr w:type="spellEnd"/>
      <w:r w:rsidRPr="00FB6572">
        <w:rPr>
          <w:sz w:val="24"/>
          <w:szCs w:val="24"/>
        </w:rPr>
        <w:t xml:space="preserve">/PVC med folielåg af papir/PET/aluminium. </w:t>
      </w:r>
    </w:p>
    <w:p w:rsidR="00FB6572" w:rsidRPr="00FB6572" w:rsidRDefault="00FB6572" w:rsidP="00014618">
      <w:pPr>
        <w:tabs>
          <w:tab w:val="left" w:pos="851"/>
        </w:tabs>
        <w:ind w:left="851"/>
        <w:rPr>
          <w:sz w:val="24"/>
          <w:szCs w:val="24"/>
        </w:rPr>
      </w:pPr>
      <w:r w:rsidRPr="00FB6572">
        <w:rPr>
          <w:sz w:val="24"/>
          <w:szCs w:val="24"/>
        </w:rPr>
        <w:t>Blisterpakning af PVC/</w:t>
      </w:r>
      <w:proofErr w:type="spellStart"/>
      <w:r w:rsidRPr="00FB6572">
        <w:rPr>
          <w:sz w:val="24"/>
          <w:szCs w:val="24"/>
        </w:rPr>
        <w:t>Aclar</w:t>
      </w:r>
      <w:proofErr w:type="spellEnd"/>
      <w:r w:rsidRPr="00FB6572">
        <w:rPr>
          <w:sz w:val="24"/>
          <w:szCs w:val="24"/>
        </w:rPr>
        <w:t>/PVC med folielåg af aluminium.</w:t>
      </w:r>
    </w:p>
    <w:p w:rsidR="00FB6572" w:rsidRPr="00FB6572" w:rsidRDefault="00FB6572" w:rsidP="00014618">
      <w:pPr>
        <w:tabs>
          <w:tab w:val="left" w:pos="851"/>
        </w:tabs>
        <w:ind w:left="851"/>
        <w:rPr>
          <w:sz w:val="24"/>
          <w:szCs w:val="24"/>
        </w:rPr>
      </w:pPr>
      <w:r w:rsidRPr="00FB6572">
        <w:rPr>
          <w:sz w:val="24"/>
          <w:szCs w:val="24"/>
        </w:rPr>
        <w:t>Blisterpakning af OPA/aluminium/PVC med folielåg af papir/PET/aluminium.</w:t>
      </w:r>
    </w:p>
    <w:p w:rsidR="00FB6572" w:rsidRPr="00FB6572" w:rsidRDefault="00FB6572" w:rsidP="00FB6572">
      <w:pPr>
        <w:tabs>
          <w:tab w:val="left" w:pos="851"/>
        </w:tabs>
        <w:ind w:left="851"/>
        <w:rPr>
          <w:sz w:val="24"/>
          <w:szCs w:val="24"/>
        </w:rPr>
      </w:pPr>
      <w:r w:rsidRPr="00FB6572">
        <w:rPr>
          <w:sz w:val="24"/>
          <w:szCs w:val="24"/>
        </w:rPr>
        <w:tab/>
      </w:r>
    </w:p>
    <w:p w:rsidR="00FB6572" w:rsidRPr="00633339" w:rsidRDefault="00FB6572" w:rsidP="00FB6572">
      <w:pPr>
        <w:tabs>
          <w:tab w:val="left" w:pos="851"/>
        </w:tabs>
        <w:ind w:left="851"/>
        <w:rPr>
          <w:sz w:val="24"/>
          <w:szCs w:val="24"/>
          <w:u w:val="single"/>
        </w:rPr>
      </w:pPr>
      <w:r w:rsidRPr="00633339">
        <w:rPr>
          <w:sz w:val="24"/>
          <w:szCs w:val="24"/>
          <w:u w:val="single"/>
        </w:rPr>
        <w:t>Pakningsstørrelser</w:t>
      </w:r>
    </w:p>
    <w:p w:rsidR="00FB6572" w:rsidRDefault="00FB6572" w:rsidP="00FB6572">
      <w:pPr>
        <w:tabs>
          <w:tab w:val="left" w:pos="851"/>
        </w:tabs>
        <w:ind w:left="851"/>
        <w:rPr>
          <w:sz w:val="24"/>
          <w:szCs w:val="24"/>
        </w:rPr>
      </w:pPr>
      <w:r>
        <w:rPr>
          <w:sz w:val="24"/>
          <w:szCs w:val="24"/>
        </w:rPr>
        <w:t xml:space="preserve">Blisterpakning: </w:t>
      </w:r>
      <w:r w:rsidRPr="00FB6572">
        <w:rPr>
          <w:sz w:val="24"/>
          <w:szCs w:val="24"/>
        </w:rPr>
        <w:t xml:space="preserve">10 </w:t>
      </w:r>
      <w:r>
        <w:rPr>
          <w:sz w:val="24"/>
          <w:szCs w:val="24"/>
        </w:rPr>
        <w:t>og</w:t>
      </w:r>
      <w:r w:rsidRPr="00FB6572">
        <w:rPr>
          <w:sz w:val="24"/>
          <w:szCs w:val="24"/>
        </w:rPr>
        <w:t xml:space="preserve"> 30 tabletter</w:t>
      </w:r>
      <w:r w:rsidR="00633339">
        <w:rPr>
          <w:sz w:val="24"/>
          <w:szCs w:val="24"/>
        </w:rPr>
        <w:t>.</w:t>
      </w:r>
    </w:p>
    <w:p w:rsidR="00FB6572" w:rsidRPr="00FB6572" w:rsidRDefault="00633339" w:rsidP="00FB6572">
      <w:pPr>
        <w:tabs>
          <w:tab w:val="left" w:pos="851"/>
        </w:tabs>
        <w:ind w:left="851"/>
        <w:rPr>
          <w:sz w:val="24"/>
          <w:szCs w:val="24"/>
        </w:rPr>
      </w:pPr>
      <w:r>
        <w:rPr>
          <w:sz w:val="24"/>
          <w:szCs w:val="24"/>
        </w:rPr>
        <w:t>E</w:t>
      </w:r>
      <w:r w:rsidR="00FB6572" w:rsidRPr="00FB6572">
        <w:rPr>
          <w:sz w:val="24"/>
          <w:szCs w:val="24"/>
        </w:rPr>
        <w:t>nkeltdosis</w:t>
      </w:r>
      <w:r>
        <w:rPr>
          <w:sz w:val="24"/>
          <w:szCs w:val="24"/>
        </w:rPr>
        <w:t xml:space="preserve">blisterpakning: </w:t>
      </w:r>
      <w:r w:rsidR="00FB6572" w:rsidRPr="00FB6572">
        <w:rPr>
          <w:sz w:val="24"/>
          <w:szCs w:val="24"/>
        </w:rPr>
        <w:t>10</w:t>
      </w:r>
      <w:r>
        <w:rPr>
          <w:sz w:val="24"/>
          <w:szCs w:val="24"/>
        </w:rPr>
        <w:t>×</w:t>
      </w:r>
      <w:r w:rsidR="00FB6572" w:rsidRPr="00FB6572">
        <w:rPr>
          <w:sz w:val="24"/>
          <w:szCs w:val="24"/>
        </w:rPr>
        <w:t xml:space="preserve">1 </w:t>
      </w:r>
      <w:r>
        <w:rPr>
          <w:sz w:val="24"/>
          <w:szCs w:val="24"/>
        </w:rPr>
        <w:t>og</w:t>
      </w:r>
      <w:r w:rsidR="00FB6572" w:rsidRPr="00FB6572">
        <w:rPr>
          <w:sz w:val="24"/>
          <w:szCs w:val="24"/>
        </w:rPr>
        <w:t xml:space="preserve"> 30</w:t>
      </w:r>
      <w:r>
        <w:rPr>
          <w:sz w:val="24"/>
          <w:szCs w:val="24"/>
        </w:rPr>
        <w:t>×</w:t>
      </w:r>
      <w:r w:rsidR="00FB6572" w:rsidRPr="00FB6572">
        <w:rPr>
          <w:sz w:val="24"/>
          <w:szCs w:val="24"/>
        </w:rPr>
        <w:t>1 tablet.</w:t>
      </w:r>
    </w:p>
    <w:p w:rsidR="00FB6572" w:rsidRPr="00FB6572" w:rsidRDefault="00FB6572" w:rsidP="00FB6572">
      <w:pPr>
        <w:tabs>
          <w:tab w:val="left" w:pos="851"/>
        </w:tabs>
        <w:ind w:left="851"/>
        <w:rPr>
          <w:sz w:val="24"/>
          <w:szCs w:val="24"/>
        </w:rPr>
      </w:pPr>
    </w:p>
    <w:p w:rsidR="00FB6572" w:rsidRPr="00FB6572" w:rsidRDefault="00FB6572" w:rsidP="00FB6572">
      <w:pPr>
        <w:tabs>
          <w:tab w:val="left" w:pos="851"/>
        </w:tabs>
        <w:ind w:left="851"/>
        <w:rPr>
          <w:sz w:val="24"/>
          <w:szCs w:val="24"/>
        </w:rPr>
      </w:pPr>
      <w:r w:rsidRPr="00FB6572">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182EAE">
        <w:rPr>
          <w:b/>
          <w:noProof/>
          <w:sz w:val="24"/>
          <w:szCs w:val="24"/>
        </w:rPr>
        <w:t>Regler for bortskaffelse og anden håndtering</w:t>
      </w:r>
      <w:bookmarkEnd w:id="8"/>
    </w:p>
    <w:p w:rsidR="00014618" w:rsidRPr="00014618" w:rsidRDefault="00014618" w:rsidP="00014618">
      <w:pPr>
        <w:tabs>
          <w:tab w:val="left" w:pos="851"/>
        </w:tabs>
        <w:ind w:left="851"/>
        <w:jc w:val="both"/>
        <w:rPr>
          <w:sz w:val="24"/>
          <w:szCs w:val="24"/>
        </w:rPr>
      </w:pPr>
      <w:r w:rsidRPr="00014618">
        <w:rPr>
          <w:sz w:val="24"/>
          <w:szCs w:val="24"/>
        </w:rPr>
        <w:t>Ingen særlige forholdsregler.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014618" w:rsidRPr="00014618" w:rsidRDefault="00014618" w:rsidP="00014618">
      <w:pPr>
        <w:tabs>
          <w:tab w:val="left" w:pos="851"/>
        </w:tabs>
        <w:ind w:left="851"/>
        <w:rPr>
          <w:sz w:val="24"/>
          <w:szCs w:val="24"/>
          <w:lang w:val="en-US"/>
        </w:rPr>
      </w:pPr>
      <w:r w:rsidRPr="00014618">
        <w:rPr>
          <w:sz w:val="24"/>
          <w:szCs w:val="24"/>
          <w:lang w:val="en-US"/>
        </w:rPr>
        <w:t>Teva B.V.</w:t>
      </w:r>
    </w:p>
    <w:p w:rsidR="00014618" w:rsidRPr="00014618" w:rsidRDefault="00014618" w:rsidP="00014618">
      <w:pPr>
        <w:tabs>
          <w:tab w:val="left" w:pos="851"/>
        </w:tabs>
        <w:ind w:left="851"/>
        <w:rPr>
          <w:sz w:val="24"/>
          <w:szCs w:val="24"/>
          <w:lang w:val="en-US"/>
        </w:rPr>
      </w:pPr>
      <w:proofErr w:type="spellStart"/>
      <w:r w:rsidRPr="00014618">
        <w:rPr>
          <w:sz w:val="24"/>
          <w:szCs w:val="24"/>
          <w:lang w:val="en-US"/>
        </w:rPr>
        <w:t>Swensweg</w:t>
      </w:r>
      <w:proofErr w:type="spellEnd"/>
      <w:r w:rsidRPr="00014618">
        <w:rPr>
          <w:sz w:val="24"/>
          <w:szCs w:val="24"/>
          <w:lang w:val="en-US"/>
        </w:rPr>
        <w:t xml:space="preserve"> 5</w:t>
      </w:r>
    </w:p>
    <w:p w:rsidR="00014618" w:rsidRPr="00014618" w:rsidRDefault="00014618" w:rsidP="00014618">
      <w:pPr>
        <w:tabs>
          <w:tab w:val="left" w:pos="851"/>
        </w:tabs>
        <w:ind w:left="851"/>
        <w:rPr>
          <w:sz w:val="24"/>
          <w:szCs w:val="24"/>
          <w:lang w:val="en-US"/>
        </w:rPr>
      </w:pPr>
      <w:r w:rsidRPr="00014618">
        <w:rPr>
          <w:sz w:val="24"/>
          <w:szCs w:val="24"/>
          <w:lang w:val="en-US"/>
        </w:rPr>
        <w:t>2031 GA Haarlem</w:t>
      </w:r>
    </w:p>
    <w:p w:rsidR="00014618" w:rsidRPr="00014618" w:rsidRDefault="00014618" w:rsidP="00014618">
      <w:pPr>
        <w:tabs>
          <w:tab w:val="left" w:pos="851"/>
        </w:tabs>
        <w:ind w:left="851"/>
        <w:rPr>
          <w:sz w:val="24"/>
          <w:szCs w:val="24"/>
          <w:lang w:val="en-US"/>
        </w:rPr>
      </w:pPr>
      <w:r w:rsidRPr="00014618">
        <w:rPr>
          <w:sz w:val="24"/>
          <w:szCs w:val="24"/>
          <w:lang w:val="en-US"/>
        </w:rPr>
        <w:t>Holland</w:t>
      </w:r>
    </w:p>
    <w:p w:rsidR="00014618" w:rsidRPr="00014618" w:rsidRDefault="00014618" w:rsidP="00014618">
      <w:pPr>
        <w:tabs>
          <w:tab w:val="left" w:pos="851"/>
        </w:tabs>
        <w:ind w:left="851"/>
        <w:rPr>
          <w:sz w:val="24"/>
          <w:szCs w:val="24"/>
          <w:lang w:val="en-US"/>
        </w:rPr>
      </w:pPr>
    </w:p>
    <w:p w:rsidR="00014618" w:rsidRPr="00014618" w:rsidRDefault="00014618" w:rsidP="00014618">
      <w:pPr>
        <w:tabs>
          <w:tab w:val="left" w:pos="851"/>
        </w:tabs>
        <w:ind w:left="851"/>
        <w:rPr>
          <w:b/>
          <w:sz w:val="24"/>
          <w:szCs w:val="24"/>
          <w:lang w:val="en-US"/>
        </w:rPr>
      </w:pPr>
      <w:proofErr w:type="spellStart"/>
      <w:r w:rsidRPr="00014618">
        <w:rPr>
          <w:b/>
          <w:sz w:val="24"/>
          <w:szCs w:val="24"/>
          <w:lang w:val="en-US"/>
        </w:rPr>
        <w:t>Repræsentant</w:t>
      </w:r>
      <w:proofErr w:type="spellEnd"/>
    </w:p>
    <w:p w:rsidR="00014618" w:rsidRPr="00014618" w:rsidRDefault="00014618" w:rsidP="00014618">
      <w:pPr>
        <w:tabs>
          <w:tab w:val="left" w:pos="851"/>
        </w:tabs>
        <w:ind w:left="851"/>
        <w:rPr>
          <w:sz w:val="24"/>
          <w:szCs w:val="24"/>
          <w:lang w:val="en-US"/>
        </w:rPr>
      </w:pPr>
      <w:r w:rsidRPr="00014618">
        <w:rPr>
          <w:sz w:val="24"/>
          <w:szCs w:val="24"/>
          <w:lang w:val="en-US"/>
        </w:rPr>
        <w:t>Teva Denmark A/S</w:t>
      </w:r>
    </w:p>
    <w:p w:rsidR="00014618" w:rsidRPr="00014618" w:rsidRDefault="00014618" w:rsidP="00014618">
      <w:pPr>
        <w:tabs>
          <w:tab w:val="left" w:pos="851"/>
        </w:tabs>
        <w:ind w:left="851"/>
        <w:rPr>
          <w:sz w:val="24"/>
          <w:szCs w:val="24"/>
        </w:rPr>
      </w:pPr>
      <w:r w:rsidRPr="00014618">
        <w:rPr>
          <w:sz w:val="24"/>
          <w:szCs w:val="24"/>
        </w:rPr>
        <w:t>Vandtårnsvej 83A</w:t>
      </w:r>
    </w:p>
    <w:p w:rsidR="00014618" w:rsidRPr="00014618" w:rsidRDefault="00014618" w:rsidP="00014618">
      <w:pPr>
        <w:tabs>
          <w:tab w:val="left" w:pos="851"/>
        </w:tabs>
        <w:ind w:left="851"/>
        <w:rPr>
          <w:sz w:val="24"/>
          <w:szCs w:val="24"/>
        </w:rPr>
      </w:pPr>
      <w:r w:rsidRPr="00014618">
        <w:rPr>
          <w:sz w:val="24"/>
          <w:szCs w:val="24"/>
        </w:rPr>
        <w:t>2860 Søborg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82EAE">
        <w:rPr>
          <w:b/>
          <w:sz w:val="24"/>
          <w:szCs w:val="24"/>
        </w:rPr>
        <w:t>-</w:t>
      </w:r>
      <w:r w:rsidRPr="00C84483">
        <w:rPr>
          <w:b/>
          <w:sz w:val="24"/>
          <w:szCs w:val="24"/>
        </w:rPr>
        <w:t>NUMRE)</w:t>
      </w:r>
    </w:p>
    <w:p w:rsidR="009260DE" w:rsidRDefault="00014618" w:rsidP="00014618">
      <w:pPr>
        <w:tabs>
          <w:tab w:val="left" w:pos="851"/>
          <w:tab w:val="left" w:pos="1701"/>
        </w:tabs>
        <w:ind w:left="851"/>
        <w:rPr>
          <w:sz w:val="24"/>
          <w:szCs w:val="24"/>
        </w:rPr>
      </w:pPr>
      <w:r>
        <w:rPr>
          <w:sz w:val="24"/>
          <w:szCs w:val="24"/>
        </w:rPr>
        <w:t>15 mg:</w:t>
      </w:r>
      <w:r>
        <w:rPr>
          <w:sz w:val="24"/>
          <w:szCs w:val="24"/>
        </w:rPr>
        <w:tab/>
        <w:t>61805</w:t>
      </w:r>
    </w:p>
    <w:p w:rsidR="00014618" w:rsidRPr="00C84483" w:rsidRDefault="00014618" w:rsidP="00014618">
      <w:pPr>
        <w:tabs>
          <w:tab w:val="left" w:pos="851"/>
          <w:tab w:val="left" w:pos="1701"/>
        </w:tabs>
        <w:ind w:left="851"/>
        <w:rPr>
          <w:sz w:val="24"/>
          <w:szCs w:val="24"/>
        </w:rPr>
      </w:pPr>
      <w:r>
        <w:rPr>
          <w:sz w:val="24"/>
          <w:szCs w:val="24"/>
        </w:rPr>
        <w:t>30 mg:</w:t>
      </w:r>
      <w:r>
        <w:rPr>
          <w:sz w:val="24"/>
          <w:szCs w:val="24"/>
        </w:rPr>
        <w:tab/>
        <w:t>61806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875FA" w:rsidP="009260DE">
      <w:pPr>
        <w:tabs>
          <w:tab w:val="left" w:pos="851"/>
        </w:tabs>
        <w:ind w:left="851"/>
        <w:rPr>
          <w:sz w:val="24"/>
          <w:szCs w:val="24"/>
        </w:rPr>
      </w:pPr>
      <w:r>
        <w:rPr>
          <w:sz w:val="24"/>
          <w:szCs w:val="24"/>
        </w:rPr>
        <w:t>18. juni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182EAE" w:rsidP="009260DE">
      <w:pPr>
        <w:tabs>
          <w:tab w:val="left" w:pos="851"/>
        </w:tabs>
        <w:ind w:left="851"/>
        <w:rPr>
          <w:sz w:val="24"/>
          <w:szCs w:val="24"/>
        </w:rPr>
      </w:pPr>
      <w:r>
        <w:rPr>
          <w:sz w:val="24"/>
          <w:szCs w:val="24"/>
        </w:rPr>
        <w:t>1</w:t>
      </w:r>
      <w:r w:rsidR="004F79B2">
        <w:rPr>
          <w:sz w:val="24"/>
          <w:szCs w:val="24"/>
        </w:rPr>
        <w:t>4</w:t>
      </w:r>
      <w:r>
        <w:rPr>
          <w:sz w:val="24"/>
          <w:szCs w:val="24"/>
        </w:rPr>
        <w:t xml:space="preserve">. </w:t>
      </w:r>
      <w:r w:rsidR="004F79B2">
        <w:rPr>
          <w:sz w:val="24"/>
          <w:szCs w:val="24"/>
        </w:rPr>
        <w:t>november</w:t>
      </w:r>
      <w:r>
        <w:rPr>
          <w:sz w:val="24"/>
          <w:szCs w:val="24"/>
        </w:rPr>
        <w:t xml:space="preserve">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0FC" w:rsidRDefault="001300FC">
      <w:r>
        <w:separator/>
      </w:r>
    </w:p>
  </w:endnote>
  <w:endnote w:type="continuationSeparator" w:id="0">
    <w:p w:rsidR="001300FC" w:rsidRDefault="0013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52D88">
      <w:rPr>
        <w:i/>
        <w:noProof/>
        <w:sz w:val="18"/>
        <w:szCs w:val="18"/>
      </w:rPr>
      <w:t>Tolvaptan Teva, tabletter 15 mg og 30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0FC" w:rsidRDefault="001300FC">
      <w:r>
        <w:separator/>
      </w:r>
    </w:p>
  </w:footnote>
  <w:footnote w:type="continuationSeparator" w:id="0">
    <w:p w:rsidR="001300FC" w:rsidRDefault="0013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406710"/>
    <w:multiLevelType w:val="hybridMultilevel"/>
    <w:tmpl w:val="187EED7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9DE4201"/>
    <w:multiLevelType w:val="hybridMultilevel"/>
    <w:tmpl w:val="B498C192"/>
    <w:lvl w:ilvl="0" w:tplc="E892BF88">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18A6A10"/>
    <w:multiLevelType w:val="hybridMultilevel"/>
    <w:tmpl w:val="7DEC2A1C"/>
    <w:lvl w:ilvl="0" w:tplc="F08486C6">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D4156B3"/>
    <w:multiLevelType w:val="hybridMultilevel"/>
    <w:tmpl w:val="B5A6579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FC"/>
    <w:rsid w:val="00004ABC"/>
    <w:rsid w:val="00014618"/>
    <w:rsid w:val="00015967"/>
    <w:rsid w:val="000259B9"/>
    <w:rsid w:val="00040B84"/>
    <w:rsid w:val="00041491"/>
    <w:rsid w:val="00050D16"/>
    <w:rsid w:val="00074F2A"/>
    <w:rsid w:val="000A1CA8"/>
    <w:rsid w:val="000A466B"/>
    <w:rsid w:val="000B058C"/>
    <w:rsid w:val="000D71DB"/>
    <w:rsid w:val="000E4EE6"/>
    <w:rsid w:val="0010106D"/>
    <w:rsid w:val="001300FC"/>
    <w:rsid w:val="00130319"/>
    <w:rsid w:val="001454E2"/>
    <w:rsid w:val="00152D88"/>
    <w:rsid w:val="00182EAE"/>
    <w:rsid w:val="00206CE8"/>
    <w:rsid w:val="0021526C"/>
    <w:rsid w:val="00283A2B"/>
    <w:rsid w:val="00293A9B"/>
    <w:rsid w:val="002B30AD"/>
    <w:rsid w:val="002C2C01"/>
    <w:rsid w:val="00324D76"/>
    <w:rsid w:val="00365F5A"/>
    <w:rsid w:val="003A29AE"/>
    <w:rsid w:val="003A32D7"/>
    <w:rsid w:val="003B4074"/>
    <w:rsid w:val="003C769A"/>
    <w:rsid w:val="003F1838"/>
    <w:rsid w:val="0045746C"/>
    <w:rsid w:val="0049104B"/>
    <w:rsid w:val="004E3B12"/>
    <w:rsid w:val="004F79B2"/>
    <w:rsid w:val="00532310"/>
    <w:rsid w:val="00565F0F"/>
    <w:rsid w:val="00594A86"/>
    <w:rsid w:val="00596D86"/>
    <w:rsid w:val="00633339"/>
    <w:rsid w:val="00637F5A"/>
    <w:rsid w:val="00653B7A"/>
    <w:rsid w:val="006560B1"/>
    <w:rsid w:val="006756DD"/>
    <w:rsid w:val="006F1A54"/>
    <w:rsid w:val="00737275"/>
    <w:rsid w:val="00740EEC"/>
    <w:rsid w:val="0078011A"/>
    <w:rsid w:val="00782AF4"/>
    <w:rsid w:val="00790EE7"/>
    <w:rsid w:val="007B6649"/>
    <w:rsid w:val="00821487"/>
    <w:rsid w:val="0082576E"/>
    <w:rsid w:val="00876505"/>
    <w:rsid w:val="008963AF"/>
    <w:rsid w:val="00907F75"/>
    <w:rsid w:val="009260DE"/>
    <w:rsid w:val="0093258A"/>
    <w:rsid w:val="009C7BA3"/>
    <w:rsid w:val="009D1F5A"/>
    <w:rsid w:val="009F3A8E"/>
    <w:rsid w:val="00A11C18"/>
    <w:rsid w:val="00A505CB"/>
    <w:rsid w:val="00B003BF"/>
    <w:rsid w:val="00B373D7"/>
    <w:rsid w:val="00C1540E"/>
    <w:rsid w:val="00C36276"/>
    <w:rsid w:val="00C42586"/>
    <w:rsid w:val="00C60CCD"/>
    <w:rsid w:val="00C7481D"/>
    <w:rsid w:val="00C84483"/>
    <w:rsid w:val="00C95551"/>
    <w:rsid w:val="00CA1343"/>
    <w:rsid w:val="00CB20D7"/>
    <w:rsid w:val="00CE3D3A"/>
    <w:rsid w:val="00D020B0"/>
    <w:rsid w:val="00D11748"/>
    <w:rsid w:val="00D366CF"/>
    <w:rsid w:val="00D93BC9"/>
    <w:rsid w:val="00DA71A0"/>
    <w:rsid w:val="00E108AA"/>
    <w:rsid w:val="00E3749A"/>
    <w:rsid w:val="00E7437F"/>
    <w:rsid w:val="00E865B8"/>
    <w:rsid w:val="00E875FA"/>
    <w:rsid w:val="00EC0B9B"/>
    <w:rsid w:val="00ED5E9F"/>
    <w:rsid w:val="00F66D4F"/>
    <w:rsid w:val="00FB657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7355B-0EBF-4E5E-AC60-A33EF963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015967"/>
    <w:pPr>
      <w:autoSpaceDE w:val="0"/>
      <w:autoSpaceDN w:val="0"/>
      <w:adjustRightInd w:val="0"/>
    </w:pPr>
    <w:rPr>
      <w:color w:val="000000"/>
      <w:sz w:val="24"/>
      <w:szCs w:val="24"/>
    </w:rPr>
  </w:style>
  <w:style w:type="character" w:styleId="Hyperlink">
    <w:name w:val="Hyperlink"/>
    <w:basedOn w:val="Standardskrifttypeiafsnit"/>
    <w:uiPriority w:val="99"/>
    <w:unhideWhenUsed/>
    <w:rsid w:val="00365F5A"/>
    <w:rPr>
      <w:color w:val="0563C1" w:themeColor="hyperlink"/>
      <w:u w:val="single"/>
    </w:rPr>
  </w:style>
  <w:style w:type="character" w:styleId="Ulstomtale">
    <w:name w:val="Unresolved Mention"/>
    <w:basedOn w:val="Standardskrifttypeiafsnit"/>
    <w:uiPriority w:val="99"/>
    <w:semiHidden/>
    <w:unhideWhenUsed/>
    <w:rsid w:val="00365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6073">
      <w:bodyDiv w:val="1"/>
      <w:marLeft w:val="0"/>
      <w:marRight w:val="0"/>
      <w:marTop w:val="0"/>
      <w:marBottom w:val="0"/>
      <w:divBdr>
        <w:top w:val="none" w:sz="0" w:space="0" w:color="auto"/>
        <w:left w:val="none" w:sz="0" w:space="0" w:color="auto"/>
        <w:bottom w:val="none" w:sz="0" w:space="0" w:color="auto"/>
        <w:right w:val="none" w:sz="0" w:space="0" w:color="auto"/>
      </w:divBdr>
    </w:div>
    <w:div w:id="1449005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3273211">
      <w:bodyDiv w:val="1"/>
      <w:marLeft w:val="0"/>
      <w:marRight w:val="0"/>
      <w:marTop w:val="0"/>
      <w:marBottom w:val="0"/>
      <w:divBdr>
        <w:top w:val="none" w:sz="0" w:space="0" w:color="auto"/>
        <w:left w:val="none" w:sz="0" w:space="0" w:color="auto"/>
        <w:bottom w:val="none" w:sz="0" w:space="0" w:color="auto"/>
        <w:right w:val="none" w:sz="0" w:space="0" w:color="auto"/>
      </w:divBdr>
    </w:div>
    <w:div w:id="237717508">
      <w:bodyDiv w:val="1"/>
      <w:marLeft w:val="0"/>
      <w:marRight w:val="0"/>
      <w:marTop w:val="0"/>
      <w:marBottom w:val="0"/>
      <w:divBdr>
        <w:top w:val="none" w:sz="0" w:space="0" w:color="auto"/>
        <w:left w:val="none" w:sz="0" w:space="0" w:color="auto"/>
        <w:bottom w:val="none" w:sz="0" w:space="0" w:color="auto"/>
        <w:right w:val="none" w:sz="0" w:space="0" w:color="auto"/>
      </w:divBdr>
    </w:div>
    <w:div w:id="405107484">
      <w:bodyDiv w:val="1"/>
      <w:marLeft w:val="0"/>
      <w:marRight w:val="0"/>
      <w:marTop w:val="0"/>
      <w:marBottom w:val="0"/>
      <w:divBdr>
        <w:top w:val="none" w:sz="0" w:space="0" w:color="auto"/>
        <w:left w:val="none" w:sz="0" w:space="0" w:color="auto"/>
        <w:bottom w:val="none" w:sz="0" w:space="0" w:color="auto"/>
        <w:right w:val="none" w:sz="0" w:space="0" w:color="auto"/>
      </w:divBdr>
    </w:div>
    <w:div w:id="413556571">
      <w:bodyDiv w:val="1"/>
      <w:marLeft w:val="0"/>
      <w:marRight w:val="0"/>
      <w:marTop w:val="0"/>
      <w:marBottom w:val="0"/>
      <w:divBdr>
        <w:top w:val="none" w:sz="0" w:space="0" w:color="auto"/>
        <w:left w:val="none" w:sz="0" w:space="0" w:color="auto"/>
        <w:bottom w:val="none" w:sz="0" w:space="0" w:color="auto"/>
        <w:right w:val="none" w:sz="0" w:space="0" w:color="auto"/>
      </w:divBdr>
    </w:div>
    <w:div w:id="508494326">
      <w:bodyDiv w:val="1"/>
      <w:marLeft w:val="0"/>
      <w:marRight w:val="0"/>
      <w:marTop w:val="0"/>
      <w:marBottom w:val="0"/>
      <w:divBdr>
        <w:top w:val="none" w:sz="0" w:space="0" w:color="auto"/>
        <w:left w:val="none" w:sz="0" w:space="0" w:color="auto"/>
        <w:bottom w:val="none" w:sz="0" w:space="0" w:color="auto"/>
        <w:right w:val="none" w:sz="0" w:space="0" w:color="auto"/>
      </w:divBdr>
    </w:div>
    <w:div w:id="575014502">
      <w:bodyDiv w:val="1"/>
      <w:marLeft w:val="0"/>
      <w:marRight w:val="0"/>
      <w:marTop w:val="0"/>
      <w:marBottom w:val="0"/>
      <w:divBdr>
        <w:top w:val="none" w:sz="0" w:space="0" w:color="auto"/>
        <w:left w:val="none" w:sz="0" w:space="0" w:color="auto"/>
        <w:bottom w:val="none" w:sz="0" w:space="0" w:color="auto"/>
        <w:right w:val="none" w:sz="0" w:space="0" w:color="auto"/>
      </w:divBdr>
    </w:div>
    <w:div w:id="584727165">
      <w:bodyDiv w:val="1"/>
      <w:marLeft w:val="0"/>
      <w:marRight w:val="0"/>
      <w:marTop w:val="0"/>
      <w:marBottom w:val="0"/>
      <w:divBdr>
        <w:top w:val="none" w:sz="0" w:space="0" w:color="auto"/>
        <w:left w:val="none" w:sz="0" w:space="0" w:color="auto"/>
        <w:bottom w:val="none" w:sz="0" w:space="0" w:color="auto"/>
        <w:right w:val="none" w:sz="0" w:space="0" w:color="auto"/>
      </w:divBdr>
    </w:div>
    <w:div w:id="610429571">
      <w:bodyDiv w:val="1"/>
      <w:marLeft w:val="0"/>
      <w:marRight w:val="0"/>
      <w:marTop w:val="0"/>
      <w:marBottom w:val="0"/>
      <w:divBdr>
        <w:top w:val="none" w:sz="0" w:space="0" w:color="auto"/>
        <w:left w:val="none" w:sz="0" w:space="0" w:color="auto"/>
        <w:bottom w:val="none" w:sz="0" w:space="0" w:color="auto"/>
        <w:right w:val="none" w:sz="0" w:space="0" w:color="auto"/>
      </w:divBdr>
    </w:div>
    <w:div w:id="651325127">
      <w:bodyDiv w:val="1"/>
      <w:marLeft w:val="0"/>
      <w:marRight w:val="0"/>
      <w:marTop w:val="0"/>
      <w:marBottom w:val="0"/>
      <w:divBdr>
        <w:top w:val="none" w:sz="0" w:space="0" w:color="auto"/>
        <w:left w:val="none" w:sz="0" w:space="0" w:color="auto"/>
        <w:bottom w:val="none" w:sz="0" w:space="0" w:color="auto"/>
        <w:right w:val="none" w:sz="0" w:space="0" w:color="auto"/>
      </w:divBdr>
    </w:div>
    <w:div w:id="665472742">
      <w:bodyDiv w:val="1"/>
      <w:marLeft w:val="0"/>
      <w:marRight w:val="0"/>
      <w:marTop w:val="0"/>
      <w:marBottom w:val="0"/>
      <w:divBdr>
        <w:top w:val="none" w:sz="0" w:space="0" w:color="auto"/>
        <w:left w:val="none" w:sz="0" w:space="0" w:color="auto"/>
        <w:bottom w:val="none" w:sz="0" w:space="0" w:color="auto"/>
        <w:right w:val="none" w:sz="0" w:space="0" w:color="auto"/>
      </w:divBdr>
    </w:div>
    <w:div w:id="695158365">
      <w:bodyDiv w:val="1"/>
      <w:marLeft w:val="0"/>
      <w:marRight w:val="0"/>
      <w:marTop w:val="0"/>
      <w:marBottom w:val="0"/>
      <w:divBdr>
        <w:top w:val="none" w:sz="0" w:space="0" w:color="auto"/>
        <w:left w:val="none" w:sz="0" w:space="0" w:color="auto"/>
        <w:bottom w:val="none" w:sz="0" w:space="0" w:color="auto"/>
        <w:right w:val="none" w:sz="0" w:space="0" w:color="auto"/>
      </w:divBdr>
    </w:div>
    <w:div w:id="810292525">
      <w:bodyDiv w:val="1"/>
      <w:marLeft w:val="0"/>
      <w:marRight w:val="0"/>
      <w:marTop w:val="0"/>
      <w:marBottom w:val="0"/>
      <w:divBdr>
        <w:top w:val="none" w:sz="0" w:space="0" w:color="auto"/>
        <w:left w:val="none" w:sz="0" w:space="0" w:color="auto"/>
        <w:bottom w:val="none" w:sz="0" w:space="0" w:color="auto"/>
        <w:right w:val="none" w:sz="0" w:space="0" w:color="auto"/>
      </w:divBdr>
    </w:div>
    <w:div w:id="926354144">
      <w:bodyDiv w:val="1"/>
      <w:marLeft w:val="0"/>
      <w:marRight w:val="0"/>
      <w:marTop w:val="0"/>
      <w:marBottom w:val="0"/>
      <w:divBdr>
        <w:top w:val="none" w:sz="0" w:space="0" w:color="auto"/>
        <w:left w:val="none" w:sz="0" w:space="0" w:color="auto"/>
        <w:bottom w:val="none" w:sz="0" w:space="0" w:color="auto"/>
        <w:right w:val="none" w:sz="0" w:space="0" w:color="auto"/>
      </w:divBdr>
    </w:div>
    <w:div w:id="956257417">
      <w:bodyDiv w:val="1"/>
      <w:marLeft w:val="0"/>
      <w:marRight w:val="0"/>
      <w:marTop w:val="0"/>
      <w:marBottom w:val="0"/>
      <w:divBdr>
        <w:top w:val="none" w:sz="0" w:space="0" w:color="auto"/>
        <w:left w:val="none" w:sz="0" w:space="0" w:color="auto"/>
        <w:bottom w:val="none" w:sz="0" w:space="0" w:color="auto"/>
        <w:right w:val="none" w:sz="0" w:space="0" w:color="auto"/>
      </w:divBdr>
    </w:div>
    <w:div w:id="1021934314">
      <w:bodyDiv w:val="1"/>
      <w:marLeft w:val="0"/>
      <w:marRight w:val="0"/>
      <w:marTop w:val="0"/>
      <w:marBottom w:val="0"/>
      <w:divBdr>
        <w:top w:val="none" w:sz="0" w:space="0" w:color="auto"/>
        <w:left w:val="none" w:sz="0" w:space="0" w:color="auto"/>
        <w:bottom w:val="none" w:sz="0" w:space="0" w:color="auto"/>
        <w:right w:val="none" w:sz="0" w:space="0" w:color="auto"/>
      </w:divBdr>
    </w:div>
    <w:div w:id="1028217385">
      <w:bodyDiv w:val="1"/>
      <w:marLeft w:val="0"/>
      <w:marRight w:val="0"/>
      <w:marTop w:val="0"/>
      <w:marBottom w:val="0"/>
      <w:divBdr>
        <w:top w:val="none" w:sz="0" w:space="0" w:color="auto"/>
        <w:left w:val="none" w:sz="0" w:space="0" w:color="auto"/>
        <w:bottom w:val="none" w:sz="0" w:space="0" w:color="auto"/>
        <w:right w:val="none" w:sz="0" w:space="0" w:color="auto"/>
      </w:divBdr>
    </w:div>
    <w:div w:id="1057970696">
      <w:bodyDiv w:val="1"/>
      <w:marLeft w:val="0"/>
      <w:marRight w:val="0"/>
      <w:marTop w:val="0"/>
      <w:marBottom w:val="0"/>
      <w:divBdr>
        <w:top w:val="none" w:sz="0" w:space="0" w:color="auto"/>
        <w:left w:val="none" w:sz="0" w:space="0" w:color="auto"/>
        <w:bottom w:val="none" w:sz="0" w:space="0" w:color="auto"/>
        <w:right w:val="none" w:sz="0" w:space="0" w:color="auto"/>
      </w:divBdr>
    </w:div>
    <w:div w:id="1100374306">
      <w:bodyDiv w:val="1"/>
      <w:marLeft w:val="0"/>
      <w:marRight w:val="0"/>
      <w:marTop w:val="0"/>
      <w:marBottom w:val="0"/>
      <w:divBdr>
        <w:top w:val="none" w:sz="0" w:space="0" w:color="auto"/>
        <w:left w:val="none" w:sz="0" w:space="0" w:color="auto"/>
        <w:bottom w:val="none" w:sz="0" w:space="0" w:color="auto"/>
        <w:right w:val="none" w:sz="0" w:space="0" w:color="auto"/>
      </w:divBdr>
    </w:div>
    <w:div w:id="1145977000">
      <w:bodyDiv w:val="1"/>
      <w:marLeft w:val="0"/>
      <w:marRight w:val="0"/>
      <w:marTop w:val="0"/>
      <w:marBottom w:val="0"/>
      <w:divBdr>
        <w:top w:val="none" w:sz="0" w:space="0" w:color="auto"/>
        <w:left w:val="none" w:sz="0" w:space="0" w:color="auto"/>
        <w:bottom w:val="none" w:sz="0" w:space="0" w:color="auto"/>
        <w:right w:val="none" w:sz="0" w:space="0" w:color="auto"/>
      </w:divBdr>
    </w:div>
    <w:div w:id="1150440021">
      <w:bodyDiv w:val="1"/>
      <w:marLeft w:val="0"/>
      <w:marRight w:val="0"/>
      <w:marTop w:val="0"/>
      <w:marBottom w:val="0"/>
      <w:divBdr>
        <w:top w:val="none" w:sz="0" w:space="0" w:color="auto"/>
        <w:left w:val="none" w:sz="0" w:space="0" w:color="auto"/>
        <w:bottom w:val="none" w:sz="0" w:space="0" w:color="auto"/>
        <w:right w:val="none" w:sz="0" w:space="0" w:color="auto"/>
      </w:divBdr>
    </w:div>
    <w:div w:id="1219709085">
      <w:bodyDiv w:val="1"/>
      <w:marLeft w:val="0"/>
      <w:marRight w:val="0"/>
      <w:marTop w:val="0"/>
      <w:marBottom w:val="0"/>
      <w:divBdr>
        <w:top w:val="none" w:sz="0" w:space="0" w:color="auto"/>
        <w:left w:val="none" w:sz="0" w:space="0" w:color="auto"/>
        <w:bottom w:val="none" w:sz="0" w:space="0" w:color="auto"/>
        <w:right w:val="none" w:sz="0" w:space="0" w:color="auto"/>
      </w:divBdr>
    </w:div>
    <w:div w:id="1228414679">
      <w:bodyDiv w:val="1"/>
      <w:marLeft w:val="0"/>
      <w:marRight w:val="0"/>
      <w:marTop w:val="0"/>
      <w:marBottom w:val="0"/>
      <w:divBdr>
        <w:top w:val="none" w:sz="0" w:space="0" w:color="auto"/>
        <w:left w:val="none" w:sz="0" w:space="0" w:color="auto"/>
        <w:bottom w:val="none" w:sz="0" w:space="0" w:color="auto"/>
        <w:right w:val="none" w:sz="0" w:space="0" w:color="auto"/>
      </w:divBdr>
    </w:div>
    <w:div w:id="1230725588">
      <w:bodyDiv w:val="1"/>
      <w:marLeft w:val="0"/>
      <w:marRight w:val="0"/>
      <w:marTop w:val="0"/>
      <w:marBottom w:val="0"/>
      <w:divBdr>
        <w:top w:val="none" w:sz="0" w:space="0" w:color="auto"/>
        <w:left w:val="none" w:sz="0" w:space="0" w:color="auto"/>
        <w:bottom w:val="none" w:sz="0" w:space="0" w:color="auto"/>
        <w:right w:val="none" w:sz="0" w:space="0" w:color="auto"/>
      </w:divBdr>
    </w:div>
    <w:div w:id="1284075164">
      <w:bodyDiv w:val="1"/>
      <w:marLeft w:val="0"/>
      <w:marRight w:val="0"/>
      <w:marTop w:val="0"/>
      <w:marBottom w:val="0"/>
      <w:divBdr>
        <w:top w:val="none" w:sz="0" w:space="0" w:color="auto"/>
        <w:left w:val="none" w:sz="0" w:space="0" w:color="auto"/>
        <w:bottom w:val="none" w:sz="0" w:space="0" w:color="auto"/>
        <w:right w:val="none" w:sz="0" w:space="0" w:color="auto"/>
      </w:divBdr>
    </w:div>
    <w:div w:id="1444304384">
      <w:bodyDiv w:val="1"/>
      <w:marLeft w:val="0"/>
      <w:marRight w:val="0"/>
      <w:marTop w:val="0"/>
      <w:marBottom w:val="0"/>
      <w:divBdr>
        <w:top w:val="none" w:sz="0" w:space="0" w:color="auto"/>
        <w:left w:val="none" w:sz="0" w:space="0" w:color="auto"/>
        <w:bottom w:val="none" w:sz="0" w:space="0" w:color="auto"/>
        <w:right w:val="none" w:sz="0" w:space="0" w:color="auto"/>
      </w:divBdr>
    </w:div>
    <w:div w:id="1548103517">
      <w:bodyDiv w:val="1"/>
      <w:marLeft w:val="0"/>
      <w:marRight w:val="0"/>
      <w:marTop w:val="0"/>
      <w:marBottom w:val="0"/>
      <w:divBdr>
        <w:top w:val="none" w:sz="0" w:space="0" w:color="auto"/>
        <w:left w:val="none" w:sz="0" w:space="0" w:color="auto"/>
        <w:bottom w:val="none" w:sz="0" w:space="0" w:color="auto"/>
        <w:right w:val="none" w:sz="0" w:space="0" w:color="auto"/>
      </w:divBdr>
    </w:div>
    <w:div w:id="1612934794">
      <w:bodyDiv w:val="1"/>
      <w:marLeft w:val="0"/>
      <w:marRight w:val="0"/>
      <w:marTop w:val="0"/>
      <w:marBottom w:val="0"/>
      <w:divBdr>
        <w:top w:val="none" w:sz="0" w:space="0" w:color="auto"/>
        <w:left w:val="none" w:sz="0" w:space="0" w:color="auto"/>
        <w:bottom w:val="none" w:sz="0" w:space="0" w:color="auto"/>
        <w:right w:val="none" w:sz="0" w:space="0" w:color="auto"/>
      </w:divBdr>
    </w:div>
    <w:div w:id="1685283986">
      <w:bodyDiv w:val="1"/>
      <w:marLeft w:val="0"/>
      <w:marRight w:val="0"/>
      <w:marTop w:val="0"/>
      <w:marBottom w:val="0"/>
      <w:divBdr>
        <w:top w:val="none" w:sz="0" w:space="0" w:color="auto"/>
        <w:left w:val="none" w:sz="0" w:space="0" w:color="auto"/>
        <w:bottom w:val="none" w:sz="0" w:space="0" w:color="auto"/>
        <w:right w:val="none" w:sz="0" w:space="0" w:color="auto"/>
      </w:divBdr>
    </w:div>
    <w:div w:id="1700467541">
      <w:bodyDiv w:val="1"/>
      <w:marLeft w:val="0"/>
      <w:marRight w:val="0"/>
      <w:marTop w:val="0"/>
      <w:marBottom w:val="0"/>
      <w:divBdr>
        <w:top w:val="none" w:sz="0" w:space="0" w:color="auto"/>
        <w:left w:val="none" w:sz="0" w:space="0" w:color="auto"/>
        <w:bottom w:val="none" w:sz="0" w:space="0" w:color="auto"/>
        <w:right w:val="none" w:sz="0" w:space="0" w:color="auto"/>
      </w:divBdr>
    </w:div>
    <w:div w:id="1778283990">
      <w:bodyDiv w:val="1"/>
      <w:marLeft w:val="0"/>
      <w:marRight w:val="0"/>
      <w:marTop w:val="0"/>
      <w:marBottom w:val="0"/>
      <w:divBdr>
        <w:top w:val="none" w:sz="0" w:space="0" w:color="auto"/>
        <w:left w:val="none" w:sz="0" w:space="0" w:color="auto"/>
        <w:bottom w:val="none" w:sz="0" w:space="0" w:color="auto"/>
        <w:right w:val="none" w:sz="0" w:space="0" w:color="auto"/>
      </w:divBdr>
    </w:div>
    <w:div w:id="1785223330">
      <w:bodyDiv w:val="1"/>
      <w:marLeft w:val="0"/>
      <w:marRight w:val="0"/>
      <w:marTop w:val="0"/>
      <w:marBottom w:val="0"/>
      <w:divBdr>
        <w:top w:val="none" w:sz="0" w:space="0" w:color="auto"/>
        <w:left w:val="none" w:sz="0" w:space="0" w:color="auto"/>
        <w:bottom w:val="none" w:sz="0" w:space="0" w:color="auto"/>
        <w:right w:val="none" w:sz="0" w:space="0" w:color="auto"/>
      </w:divBdr>
    </w:div>
    <w:div w:id="1798916271">
      <w:bodyDiv w:val="1"/>
      <w:marLeft w:val="0"/>
      <w:marRight w:val="0"/>
      <w:marTop w:val="0"/>
      <w:marBottom w:val="0"/>
      <w:divBdr>
        <w:top w:val="none" w:sz="0" w:space="0" w:color="auto"/>
        <w:left w:val="none" w:sz="0" w:space="0" w:color="auto"/>
        <w:bottom w:val="none" w:sz="0" w:space="0" w:color="auto"/>
        <w:right w:val="none" w:sz="0" w:space="0" w:color="auto"/>
      </w:divBdr>
    </w:div>
    <w:div w:id="1835103654">
      <w:bodyDiv w:val="1"/>
      <w:marLeft w:val="0"/>
      <w:marRight w:val="0"/>
      <w:marTop w:val="0"/>
      <w:marBottom w:val="0"/>
      <w:divBdr>
        <w:top w:val="none" w:sz="0" w:space="0" w:color="auto"/>
        <w:left w:val="none" w:sz="0" w:space="0" w:color="auto"/>
        <w:bottom w:val="none" w:sz="0" w:space="0" w:color="auto"/>
        <w:right w:val="none" w:sz="0" w:space="0" w:color="auto"/>
      </w:divBdr>
    </w:div>
    <w:div w:id="1845516035">
      <w:bodyDiv w:val="1"/>
      <w:marLeft w:val="0"/>
      <w:marRight w:val="0"/>
      <w:marTop w:val="0"/>
      <w:marBottom w:val="0"/>
      <w:divBdr>
        <w:top w:val="none" w:sz="0" w:space="0" w:color="auto"/>
        <w:left w:val="none" w:sz="0" w:space="0" w:color="auto"/>
        <w:bottom w:val="none" w:sz="0" w:space="0" w:color="auto"/>
        <w:right w:val="none" w:sz="0" w:space="0" w:color="auto"/>
      </w:divBdr>
    </w:div>
    <w:div w:id="1858495880">
      <w:bodyDiv w:val="1"/>
      <w:marLeft w:val="0"/>
      <w:marRight w:val="0"/>
      <w:marTop w:val="0"/>
      <w:marBottom w:val="0"/>
      <w:divBdr>
        <w:top w:val="none" w:sz="0" w:space="0" w:color="auto"/>
        <w:left w:val="none" w:sz="0" w:space="0" w:color="auto"/>
        <w:bottom w:val="none" w:sz="0" w:space="0" w:color="auto"/>
        <w:right w:val="none" w:sz="0" w:space="0" w:color="auto"/>
      </w:divBdr>
    </w:div>
    <w:div w:id="1874882194">
      <w:bodyDiv w:val="1"/>
      <w:marLeft w:val="0"/>
      <w:marRight w:val="0"/>
      <w:marTop w:val="0"/>
      <w:marBottom w:val="0"/>
      <w:divBdr>
        <w:top w:val="none" w:sz="0" w:space="0" w:color="auto"/>
        <w:left w:val="none" w:sz="0" w:space="0" w:color="auto"/>
        <w:bottom w:val="none" w:sz="0" w:space="0" w:color="auto"/>
        <w:right w:val="none" w:sz="0" w:space="0" w:color="auto"/>
      </w:divBdr>
    </w:div>
    <w:div w:id="1973096824">
      <w:bodyDiv w:val="1"/>
      <w:marLeft w:val="0"/>
      <w:marRight w:val="0"/>
      <w:marTop w:val="0"/>
      <w:marBottom w:val="0"/>
      <w:divBdr>
        <w:top w:val="none" w:sz="0" w:space="0" w:color="auto"/>
        <w:left w:val="none" w:sz="0" w:space="0" w:color="auto"/>
        <w:bottom w:val="none" w:sz="0" w:space="0" w:color="auto"/>
        <w:right w:val="none" w:sz="0" w:space="0" w:color="auto"/>
      </w:divBdr>
    </w:div>
    <w:div w:id="1991590997">
      <w:bodyDiv w:val="1"/>
      <w:marLeft w:val="0"/>
      <w:marRight w:val="0"/>
      <w:marTop w:val="0"/>
      <w:marBottom w:val="0"/>
      <w:divBdr>
        <w:top w:val="none" w:sz="0" w:space="0" w:color="auto"/>
        <w:left w:val="none" w:sz="0" w:space="0" w:color="auto"/>
        <w:bottom w:val="none" w:sz="0" w:space="0" w:color="auto"/>
        <w:right w:val="none" w:sz="0" w:space="0" w:color="auto"/>
      </w:divBdr>
    </w:div>
    <w:div w:id="2028672992">
      <w:bodyDiv w:val="1"/>
      <w:marLeft w:val="0"/>
      <w:marRight w:val="0"/>
      <w:marTop w:val="0"/>
      <w:marBottom w:val="0"/>
      <w:divBdr>
        <w:top w:val="none" w:sz="0" w:space="0" w:color="auto"/>
        <w:left w:val="none" w:sz="0" w:space="0" w:color="auto"/>
        <w:bottom w:val="none" w:sz="0" w:space="0" w:color="auto"/>
        <w:right w:val="none" w:sz="0" w:space="0" w:color="auto"/>
      </w:divBdr>
    </w:div>
    <w:div w:id="2087069863">
      <w:bodyDiv w:val="1"/>
      <w:marLeft w:val="0"/>
      <w:marRight w:val="0"/>
      <w:marTop w:val="0"/>
      <w:marBottom w:val="0"/>
      <w:divBdr>
        <w:top w:val="none" w:sz="0" w:space="0" w:color="auto"/>
        <w:left w:val="none" w:sz="0" w:space="0" w:color="auto"/>
        <w:bottom w:val="none" w:sz="0" w:space="0" w:color="auto"/>
        <w:right w:val="none" w:sz="0" w:space="0" w:color="auto"/>
      </w:divBdr>
    </w:div>
    <w:div w:id="2087343168">
      <w:bodyDiv w:val="1"/>
      <w:marLeft w:val="0"/>
      <w:marRight w:val="0"/>
      <w:marTop w:val="0"/>
      <w:marBottom w:val="0"/>
      <w:divBdr>
        <w:top w:val="none" w:sz="0" w:space="0" w:color="auto"/>
        <w:left w:val="none" w:sz="0" w:space="0" w:color="auto"/>
        <w:bottom w:val="none" w:sz="0" w:space="0" w:color="auto"/>
        <w:right w:val="none" w:sz="0" w:space="0" w:color="auto"/>
      </w:divBdr>
    </w:div>
    <w:div w:id="21125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4422</Words>
  <Characters>28723</Characters>
  <Application>Microsoft Office Word</Application>
  <DocSecurity>0</DocSecurity>
  <Lines>239</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2021064273 + 2023033457 pkt. 2, 4.2, 4.4, 4.5, 4.8, 5.1, 5.2, 5.3</dc:description>
  <cp:lastModifiedBy>Helle Søndersted</cp:lastModifiedBy>
  <cp:revision>2</cp:revision>
  <cp:lastPrinted>2012-08-22T08:53:00Z</cp:lastPrinted>
  <dcterms:created xsi:type="dcterms:W3CDTF">2023-11-16T07:47:00Z</dcterms:created>
  <dcterms:modified xsi:type="dcterms:W3CDTF">2023-11-16T07:47:00Z</dcterms:modified>
</cp:coreProperties>
</file>