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E56FB" w:rsidRPr="00C32FFF" w:rsidRDefault="006E56FB" w:rsidP="006E56FB">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255151">
        <w:fldChar w:fldCharType="begin"/>
      </w:r>
      <w:r w:rsidR="00255151">
        <w:instrText xml:space="preserve"> INCLUDEPICTURE  "cid:image004.jpg@01D117E9.E5553340" \* MERGEFORMATINET </w:instrText>
      </w:r>
      <w:r w:rsidR="00255151">
        <w:fldChar w:fldCharType="separate"/>
      </w:r>
      <w:r w:rsidR="00F46DB3">
        <w:fldChar w:fldCharType="begin"/>
      </w:r>
      <w:r w:rsidR="00F46DB3">
        <w:instrText xml:space="preserve"> INCLUDEPICTURE  "cid:image004.jpg@01D117E9.E5553340" \* MERGEFORMATINET </w:instrText>
      </w:r>
      <w:r w:rsidR="00F46DB3">
        <w:fldChar w:fldCharType="separate"/>
      </w:r>
      <w:r w:rsidR="00E7345C">
        <w:fldChar w:fldCharType="begin"/>
      </w:r>
      <w:r w:rsidR="00E7345C">
        <w:instrText xml:space="preserve"> INCLUDEPICTURE  "cid:image004.jpg@01D117E9.E5553340" \* MERGEFORMATINET </w:instrText>
      </w:r>
      <w:r w:rsidR="00E7345C">
        <w:fldChar w:fldCharType="separate"/>
      </w:r>
      <w:r w:rsidR="001348E7">
        <w:fldChar w:fldCharType="begin"/>
      </w:r>
      <w:r w:rsidR="001348E7">
        <w:instrText xml:space="preserve"> INCLUDEPICTURE  "cid:image004.jpg@01D117E9.E5553340" \* MERGEFORMATINET </w:instrText>
      </w:r>
      <w:r w:rsidR="001348E7">
        <w:fldChar w:fldCharType="separate"/>
      </w:r>
      <w:r w:rsidR="00B975EF">
        <w:fldChar w:fldCharType="begin"/>
      </w:r>
      <w:r w:rsidR="00B975EF">
        <w:instrText xml:space="preserve"> </w:instrText>
      </w:r>
      <w:r w:rsidR="00B975EF">
        <w:instrText>INCLUDEPICTURE  "cid:image004.jpg@01D117E9.E5553340" \* MERGEFORMATINET</w:instrText>
      </w:r>
      <w:r w:rsidR="00B975EF">
        <w:instrText xml:space="preserve"> </w:instrText>
      </w:r>
      <w:r w:rsidR="00B975EF">
        <w:fldChar w:fldCharType="separate"/>
      </w:r>
      <w:r w:rsidR="00B975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B975EF">
        <w:fldChar w:fldCharType="end"/>
      </w:r>
      <w:r w:rsidR="001348E7">
        <w:fldChar w:fldCharType="end"/>
      </w:r>
      <w:r w:rsidR="00E7345C">
        <w:fldChar w:fldCharType="end"/>
      </w:r>
      <w:r w:rsidR="00F46DB3">
        <w:fldChar w:fldCharType="end"/>
      </w:r>
      <w:r w:rsidR="00255151">
        <w:fldChar w:fldCharType="end"/>
      </w:r>
      <w:r>
        <w:fldChar w:fldCharType="end"/>
      </w:r>
      <w:r>
        <w:fldChar w:fldCharType="end"/>
      </w:r>
      <w:r>
        <w:fldChar w:fldCharType="end"/>
      </w:r>
      <w:r>
        <w:fldChar w:fldCharType="end"/>
      </w:r>
      <w:r>
        <w:fldChar w:fldCharType="end"/>
      </w:r>
      <w:r>
        <w:fldChar w:fldCharType="end"/>
      </w:r>
    </w:p>
    <w:p w:rsidR="006E56FB" w:rsidRPr="00C32FFF" w:rsidRDefault="006E56FB" w:rsidP="006E56FB">
      <w:pPr>
        <w:pStyle w:val="Titel"/>
        <w:tabs>
          <w:tab w:val="right" w:pos="9356"/>
        </w:tabs>
        <w:jc w:val="left"/>
        <w:rPr>
          <w:szCs w:val="24"/>
        </w:rPr>
      </w:pPr>
      <w:r w:rsidRPr="00C32FFF">
        <w:rPr>
          <w:b w:val="0"/>
          <w:szCs w:val="24"/>
          <w:lang w:eastAsia="en-US"/>
        </w:rPr>
        <w:tab/>
      </w:r>
      <w:r w:rsidR="00A75A90">
        <w:rPr>
          <w:szCs w:val="24"/>
        </w:rPr>
        <w:t>24</w:t>
      </w:r>
      <w:r>
        <w:rPr>
          <w:szCs w:val="24"/>
        </w:rPr>
        <w:t xml:space="preserve">. </w:t>
      </w:r>
      <w:r w:rsidR="00E7345C">
        <w:rPr>
          <w:szCs w:val="24"/>
        </w:rPr>
        <w:t>november</w:t>
      </w:r>
      <w:r>
        <w:rPr>
          <w:szCs w:val="24"/>
        </w:rPr>
        <w:t xml:space="preserve"> 20</w:t>
      </w:r>
      <w:r w:rsidR="00F46DB3">
        <w:rPr>
          <w:szCs w:val="24"/>
        </w:rPr>
        <w:t>21</w:t>
      </w:r>
    </w:p>
    <w:p w:rsidR="006E56FB" w:rsidRDefault="006E56FB" w:rsidP="006E56FB">
      <w:pPr>
        <w:pStyle w:val="Titel"/>
        <w:jc w:val="left"/>
        <w:rPr>
          <w:b w:val="0"/>
          <w:szCs w:val="24"/>
        </w:rPr>
      </w:pPr>
    </w:p>
    <w:p w:rsidR="00F46DB3" w:rsidRPr="00C32FFF" w:rsidRDefault="00F46DB3" w:rsidP="006E56FB">
      <w:pPr>
        <w:pStyle w:val="Titel"/>
        <w:jc w:val="left"/>
        <w:rPr>
          <w:b w:val="0"/>
          <w:szCs w:val="24"/>
        </w:rPr>
      </w:pPr>
    </w:p>
    <w:p w:rsidR="006E56FB" w:rsidRPr="00C32FFF" w:rsidRDefault="006E56FB" w:rsidP="006E56FB">
      <w:pPr>
        <w:jc w:val="center"/>
        <w:rPr>
          <w:b/>
          <w:sz w:val="24"/>
          <w:szCs w:val="24"/>
        </w:rPr>
      </w:pPr>
      <w:r w:rsidRPr="00C32FFF">
        <w:rPr>
          <w:b/>
          <w:sz w:val="24"/>
          <w:szCs w:val="24"/>
        </w:rPr>
        <w:t>PRODUKTRESUMÉ</w:t>
      </w:r>
    </w:p>
    <w:p w:rsidR="006E56FB" w:rsidRPr="00C32FFF" w:rsidRDefault="006E56FB" w:rsidP="006E56FB">
      <w:pPr>
        <w:jc w:val="center"/>
        <w:rPr>
          <w:b/>
          <w:sz w:val="24"/>
          <w:szCs w:val="24"/>
        </w:rPr>
      </w:pPr>
    </w:p>
    <w:p w:rsidR="006E56FB" w:rsidRPr="00C32FFF" w:rsidRDefault="006E56FB" w:rsidP="006E56FB">
      <w:pPr>
        <w:jc w:val="center"/>
        <w:rPr>
          <w:b/>
          <w:sz w:val="24"/>
          <w:szCs w:val="24"/>
        </w:rPr>
      </w:pPr>
      <w:r w:rsidRPr="00C32FFF">
        <w:rPr>
          <w:b/>
          <w:sz w:val="24"/>
          <w:szCs w:val="24"/>
        </w:rPr>
        <w:t>for</w:t>
      </w:r>
    </w:p>
    <w:p w:rsidR="006E56FB" w:rsidRPr="00C32FFF" w:rsidRDefault="006E56FB" w:rsidP="006E56FB">
      <w:pPr>
        <w:jc w:val="center"/>
        <w:rPr>
          <w:b/>
          <w:sz w:val="24"/>
          <w:szCs w:val="24"/>
        </w:rPr>
      </w:pPr>
    </w:p>
    <w:p w:rsidR="006E56FB" w:rsidRPr="00C32FFF" w:rsidRDefault="006E56FB" w:rsidP="006E56FB">
      <w:pPr>
        <w:jc w:val="center"/>
        <w:rPr>
          <w:b/>
          <w:sz w:val="24"/>
          <w:szCs w:val="24"/>
        </w:rPr>
      </w:pPr>
      <w:r w:rsidRPr="00C32FFF">
        <w:rPr>
          <w:b/>
          <w:sz w:val="24"/>
          <w:szCs w:val="24"/>
        </w:rPr>
        <w:t>Topotecan ”Ebewe”, koncentrat til infusionsvæske, opløsning</w:t>
      </w:r>
    </w:p>
    <w:p w:rsidR="006E56FB" w:rsidRPr="00C32FFF" w:rsidRDefault="006E56FB" w:rsidP="006E56FB">
      <w:pPr>
        <w:jc w:val="both"/>
        <w:rPr>
          <w:sz w:val="24"/>
          <w:szCs w:val="24"/>
        </w:rPr>
      </w:pPr>
    </w:p>
    <w:p w:rsidR="006E56FB" w:rsidRPr="00C32FFF" w:rsidRDefault="006E56FB" w:rsidP="006E56FB">
      <w:pPr>
        <w:ind w:left="851" w:hanging="851"/>
        <w:jc w:val="both"/>
        <w:rPr>
          <w:sz w:val="24"/>
          <w:szCs w:val="24"/>
        </w:rPr>
      </w:pPr>
    </w:p>
    <w:p w:rsidR="006E56FB" w:rsidRPr="00C32FFF" w:rsidRDefault="006E56FB" w:rsidP="006E56FB">
      <w:pPr>
        <w:numPr>
          <w:ilvl w:val="0"/>
          <w:numId w:val="9"/>
        </w:numPr>
        <w:tabs>
          <w:tab w:val="clear" w:pos="855"/>
          <w:tab w:val="left" w:pos="851"/>
        </w:tabs>
        <w:ind w:left="851" w:hanging="851"/>
        <w:rPr>
          <w:b/>
          <w:sz w:val="24"/>
          <w:szCs w:val="24"/>
        </w:rPr>
      </w:pPr>
      <w:r w:rsidRPr="00C32FFF">
        <w:rPr>
          <w:b/>
          <w:sz w:val="24"/>
          <w:szCs w:val="24"/>
        </w:rPr>
        <w:t>D.SP.NR.</w:t>
      </w:r>
    </w:p>
    <w:p w:rsidR="006E56FB" w:rsidRPr="00C32FFF" w:rsidRDefault="006E56FB" w:rsidP="006E56FB">
      <w:pPr>
        <w:tabs>
          <w:tab w:val="left" w:pos="851"/>
        </w:tabs>
        <w:ind w:left="851" w:hanging="851"/>
        <w:rPr>
          <w:sz w:val="24"/>
          <w:szCs w:val="24"/>
        </w:rPr>
      </w:pPr>
      <w:r w:rsidRPr="00C32FFF">
        <w:rPr>
          <w:sz w:val="24"/>
          <w:szCs w:val="24"/>
        </w:rPr>
        <w:tab/>
        <w:t>26784</w:t>
      </w:r>
    </w:p>
    <w:p w:rsidR="006E56FB" w:rsidRPr="00C32FFF" w:rsidRDefault="006E56FB" w:rsidP="006E56FB">
      <w:pPr>
        <w:tabs>
          <w:tab w:val="left" w:pos="851"/>
        </w:tabs>
        <w:ind w:left="851" w:hanging="851"/>
        <w:rPr>
          <w:sz w:val="24"/>
          <w:szCs w:val="24"/>
        </w:rPr>
      </w:pPr>
    </w:p>
    <w:p w:rsidR="006E56FB" w:rsidRPr="00C32FFF" w:rsidRDefault="006E56FB" w:rsidP="006E56FB">
      <w:pPr>
        <w:numPr>
          <w:ilvl w:val="0"/>
          <w:numId w:val="9"/>
        </w:numPr>
        <w:ind w:left="851" w:hanging="851"/>
        <w:rPr>
          <w:b/>
          <w:sz w:val="24"/>
          <w:szCs w:val="24"/>
        </w:rPr>
      </w:pPr>
      <w:r w:rsidRPr="00C32FFF">
        <w:rPr>
          <w:b/>
          <w:sz w:val="24"/>
          <w:szCs w:val="24"/>
        </w:rPr>
        <w:t>LÆGEMIDLETS NAVN</w:t>
      </w:r>
    </w:p>
    <w:p w:rsidR="006E56FB" w:rsidRPr="00C32FFF" w:rsidRDefault="006E56FB" w:rsidP="006E56FB">
      <w:pPr>
        <w:tabs>
          <w:tab w:val="left" w:pos="851"/>
        </w:tabs>
        <w:ind w:left="851" w:hanging="851"/>
        <w:rPr>
          <w:sz w:val="24"/>
          <w:szCs w:val="24"/>
        </w:rPr>
      </w:pPr>
      <w:r w:rsidRPr="00C32FFF">
        <w:rPr>
          <w:sz w:val="24"/>
          <w:szCs w:val="24"/>
        </w:rPr>
        <w:tab/>
        <w:t>Topotecan ”Ebewe”</w:t>
      </w:r>
    </w:p>
    <w:p w:rsidR="006E56FB" w:rsidRPr="00C32FFF" w:rsidRDefault="006E56FB" w:rsidP="006E56FB">
      <w:pPr>
        <w:tabs>
          <w:tab w:val="left" w:pos="851"/>
        </w:tabs>
        <w:ind w:left="851" w:hanging="851"/>
        <w:rPr>
          <w:sz w:val="24"/>
          <w:szCs w:val="24"/>
        </w:rPr>
      </w:pPr>
      <w:r w:rsidRPr="00C32FFF">
        <w:rPr>
          <w:sz w:val="24"/>
          <w:szCs w:val="24"/>
        </w:rPr>
        <w:tab/>
      </w:r>
    </w:p>
    <w:p w:rsidR="006E56FB" w:rsidRPr="00C32FFF" w:rsidRDefault="006E56FB" w:rsidP="006E56FB">
      <w:pPr>
        <w:numPr>
          <w:ilvl w:val="0"/>
          <w:numId w:val="9"/>
        </w:numPr>
        <w:ind w:left="851" w:hanging="851"/>
        <w:rPr>
          <w:b/>
          <w:sz w:val="24"/>
          <w:szCs w:val="24"/>
        </w:rPr>
      </w:pPr>
      <w:r w:rsidRPr="00C32FFF">
        <w:rPr>
          <w:b/>
          <w:sz w:val="24"/>
          <w:szCs w:val="24"/>
        </w:rPr>
        <w:t>KVALITATIV OG KVANTITATIV SAMMENSÆTNING</w:t>
      </w:r>
    </w:p>
    <w:p w:rsidR="006E56FB" w:rsidRPr="00C32FFF" w:rsidRDefault="006E56FB" w:rsidP="006E56FB">
      <w:pPr>
        <w:autoSpaceDE w:val="0"/>
        <w:autoSpaceDN w:val="0"/>
        <w:adjustRightInd w:val="0"/>
        <w:ind w:left="851" w:hanging="851"/>
        <w:rPr>
          <w:color w:val="000000"/>
          <w:sz w:val="24"/>
          <w:szCs w:val="24"/>
        </w:rPr>
      </w:pPr>
      <w:r w:rsidRPr="00C32FFF">
        <w:rPr>
          <w:sz w:val="24"/>
          <w:szCs w:val="24"/>
        </w:rPr>
        <w:tab/>
      </w:r>
      <w:r>
        <w:rPr>
          <w:sz w:val="24"/>
          <w:szCs w:val="24"/>
        </w:rPr>
        <w:t>Hver</w:t>
      </w:r>
      <w:r w:rsidRPr="00C32FFF">
        <w:rPr>
          <w:sz w:val="24"/>
          <w:szCs w:val="24"/>
        </w:rPr>
        <w:t xml:space="preserve"> milliliter koncentrat til infusionsvæske, opløsning, indeholder 1 mg topotecan (som hydrochlorid).</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Hvert 1 ml hætteglas indeholder 1 mg topotecan</w:t>
      </w:r>
      <w:r>
        <w:rPr>
          <w:sz w:val="24"/>
          <w:szCs w:val="24"/>
        </w:rPr>
        <w:t xml:space="preserve"> (som hydrochlorid)</w:t>
      </w:r>
      <w:r w:rsidRPr="00C32FFF">
        <w:rPr>
          <w:sz w:val="24"/>
          <w:szCs w:val="24"/>
        </w:rPr>
        <w:t>.</w:t>
      </w:r>
    </w:p>
    <w:p w:rsidR="006E56FB" w:rsidRPr="00C32FFF" w:rsidRDefault="006E56FB" w:rsidP="006E56FB">
      <w:pPr>
        <w:autoSpaceDE w:val="0"/>
        <w:autoSpaceDN w:val="0"/>
        <w:adjustRightInd w:val="0"/>
        <w:ind w:left="851"/>
        <w:rPr>
          <w:color w:val="000000"/>
          <w:sz w:val="24"/>
          <w:szCs w:val="24"/>
        </w:rPr>
      </w:pPr>
      <w:r w:rsidRPr="00C32FFF">
        <w:rPr>
          <w:sz w:val="24"/>
          <w:szCs w:val="24"/>
        </w:rPr>
        <w:t>Hvert 3 ml hætteglas indeholder 3 mg topotecan</w:t>
      </w:r>
      <w:r>
        <w:rPr>
          <w:sz w:val="24"/>
          <w:szCs w:val="24"/>
        </w:rPr>
        <w:t xml:space="preserve"> (som hydrochlorid)</w:t>
      </w:r>
      <w:r w:rsidRPr="00C32FFF">
        <w:rPr>
          <w:sz w:val="24"/>
          <w:szCs w:val="24"/>
        </w:rPr>
        <w:t>.</w:t>
      </w:r>
    </w:p>
    <w:p w:rsidR="006E56FB" w:rsidRPr="00C32FFF" w:rsidRDefault="006E56FB" w:rsidP="006E56FB">
      <w:pPr>
        <w:autoSpaceDE w:val="0"/>
        <w:autoSpaceDN w:val="0"/>
        <w:adjustRightInd w:val="0"/>
        <w:spacing w:line="278" w:lineRule="auto"/>
        <w:ind w:left="851"/>
        <w:rPr>
          <w:color w:val="000000"/>
          <w:sz w:val="24"/>
          <w:szCs w:val="24"/>
        </w:rPr>
      </w:pPr>
      <w:r w:rsidRPr="00C32FFF">
        <w:rPr>
          <w:sz w:val="24"/>
          <w:szCs w:val="24"/>
        </w:rPr>
        <w:t>Hvert 4 ml hætteglas indeholder 4 mg topotecan</w:t>
      </w:r>
      <w:r>
        <w:rPr>
          <w:sz w:val="24"/>
          <w:szCs w:val="24"/>
        </w:rPr>
        <w:t xml:space="preserve"> (som hydrochlorid)</w:t>
      </w:r>
      <w:r w:rsidRPr="00C32FFF">
        <w:rPr>
          <w:sz w:val="24"/>
          <w:szCs w:val="24"/>
        </w:rPr>
        <w:t>.</w:t>
      </w:r>
    </w:p>
    <w:p w:rsidR="006E56FB" w:rsidRDefault="006E56FB" w:rsidP="006E56FB">
      <w:pPr>
        <w:autoSpaceDE w:val="0"/>
        <w:autoSpaceDN w:val="0"/>
        <w:adjustRightInd w:val="0"/>
        <w:ind w:left="851"/>
        <w:rPr>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Alle hjælpestoffer er anført under pkt. 6.1.</w:t>
      </w:r>
    </w:p>
    <w:p w:rsidR="006E56FB" w:rsidRPr="00C32FFF" w:rsidRDefault="006E56FB" w:rsidP="006E56FB">
      <w:pPr>
        <w:autoSpaceDE w:val="0"/>
        <w:autoSpaceDN w:val="0"/>
        <w:adjustRightInd w:val="0"/>
        <w:ind w:left="851" w:hanging="851"/>
        <w:rPr>
          <w:sz w:val="24"/>
          <w:szCs w:val="24"/>
        </w:rPr>
      </w:pPr>
    </w:p>
    <w:p w:rsidR="006E56FB" w:rsidRPr="00C32FFF" w:rsidRDefault="006E56FB" w:rsidP="006E56FB">
      <w:pPr>
        <w:numPr>
          <w:ilvl w:val="0"/>
          <w:numId w:val="9"/>
        </w:numPr>
        <w:ind w:left="851" w:hanging="851"/>
        <w:rPr>
          <w:b/>
          <w:sz w:val="24"/>
          <w:szCs w:val="24"/>
        </w:rPr>
      </w:pPr>
      <w:r w:rsidRPr="00C32FFF">
        <w:rPr>
          <w:b/>
          <w:sz w:val="24"/>
          <w:szCs w:val="24"/>
        </w:rPr>
        <w:t>LÆGEMIDDELFORM</w:t>
      </w:r>
    </w:p>
    <w:p w:rsidR="006E56FB" w:rsidRPr="00C32FFF" w:rsidRDefault="006E56FB" w:rsidP="006E56FB">
      <w:pPr>
        <w:autoSpaceDE w:val="0"/>
        <w:autoSpaceDN w:val="0"/>
        <w:adjustRightInd w:val="0"/>
        <w:ind w:left="851"/>
        <w:rPr>
          <w:color w:val="000000"/>
          <w:sz w:val="24"/>
          <w:szCs w:val="24"/>
        </w:rPr>
      </w:pPr>
      <w:r w:rsidRPr="00C32FFF">
        <w:rPr>
          <w:sz w:val="24"/>
          <w:szCs w:val="24"/>
        </w:rPr>
        <w:t>Koncentrat til infusionsvæske, opløsning</w:t>
      </w:r>
    </w:p>
    <w:p w:rsidR="006E56FB" w:rsidRPr="00CC7C82" w:rsidRDefault="006E56FB" w:rsidP="006E56FB">
      <w:pPr>
        <w:autoSpaceDE w:val="0"/>
        <w:autoSpaceDN w:val="0"/>
        <w:adjustRightInd w:val="0"/>
        <w:ind w:left="851"/>
        <w:rPr>
          <w:sz w:val="24"/>
          <w:szCs w:val="24"/>
        </w:rPr>
      </w:pPr>
      <w:r w:rsidRPr="00CC7C82">
        <w:rPr>
          <w:sz w:val="24"/>
          <w:szCs w:val="24"/>
        </w:rPr>
        <w:t>Klar gul opløsning, praktisk taget fri for synlige partikler.</w:t>
      </w:r>
    </w:p>
    <w:p w:rsidR="006E56FB" w:rsidRPr="00C32FFF" w:rsidRDefault="006E56FB" w:rsidP="006E56FB">
      <w:pPr>
        <w:autoSpaceDE w:val="0"/>
        <w:autoSpaceDN w:val="0"/>
        <w:adjustRightInd w:val="0"/>
        <w:ind w:left="851"/>
        <w:rPr>
          <w:color w:val="000000"/>
          <w:sz w:val="24"/>
          <w:szCs w:val="24"/>
        </w:rPr>
      </w:pPr>
      <w:r w:rsidRPr="00C32FFF">
        <w:rPr>
          <w:sz w:val="24"/>
          <w:szCs w:val="24"/>
        </w:rPr>
        <w:t>pH 2,0 – 2,5</w:t>
      </w:r>
    </w:p>
    <w:p w:rsidR="006E56FB" w:rsidRPr="00C32FFF" w:rsidRDefault="006E56FB" w:rsidP="006E56FB">
      <w:pPr>
        <w:tabs>
          <w:tab w:val="left" w:pos="851"/>
        </w:tabs>
        <w:ind w:left="851" w:hanging="851"/>
        <w:rPr>
          <w:sz w:val="24"/>
          <w:szCs w:val="24"/>
        </w:rPr>
      </w:pPr>
    </w:p>
    <w:p w:rsidR="006E56FB" w:rsidRPr="00C32FFF" w:rsidRDefault="006E56FB" w:rsidP="006E56FB">
      <w:pPr>
        <w:tabs>
          <w:tab w:val="left" w:pos="851"/>
        </w:tabs>
        <w:ind w:left="851" w:hanging="851"/>
        <w:rPr>
          <w:sz w:val="24"/>
          <w:szCs w:val="24"/>
        </w:rPr>
      </w:pPr>
    </w:p>
    <w:p w:rsidR="006E56FB" w:rsidRPr="00C32FFF" w:rsidRDefault="006E56FB" w:rsidP="006E56FB">
      <w:pPr>
        <w:numPr>
          <w:ilvl w:val="0"/>
          <w:numId w:val="9"/>
        </w:numPr>
        <w:ind w:left="851" w:hanging="851"/>
        <w:rPr>
          <w:b/>
          <w:sz w:val="24"/>
          <w:szCs w:val="24"/>
        </w:rPr>
      </w:pPr>
      <w:r w:rsidRPr="00C32FFF">
        <w:rPr>
          <w:b/>
          <w:sz w:val="24"/>
          <w:szCs w:val="24"/>
        </w:rPr>
        <w:t>KLINISKE OPLYSNINGER</w:t>
      </w:r>
    </w:p>
    <w:p w:rsidR="006E56FB" w:rsidRPr="00C32FFF" w:rsidRDefault="006E56FB" w:rsidP="006E56FB">
      <w:pPr>
        <w:tabs>
          <w:tab w:val="left" w:pos="851"/>
        </w:tabs>
        <w:ind w:left="851" w:hanging="851"/>
        <w:rPr>
          <w:b/>
          <w:sz w:val="24"/>
          <w:szCs w:val="24"/>
        </w:rPr>
      </w:pPr>
    </w:p>
    <w:p w:rsidR="006E56FB" w:rsidRPr="00C32FFF" w:rsidRDefault="006E56FB" w:rsidP="006E56FB">
      <w:pPr>
        <w:numPr>
          <w:ilvl w:val="1"/>
          <w:numId w:val="9"/>
        </w:numPr>
        <w:rPr>
          <w:b/>
          <w:sz w:val="24"/>
          <w:szCs w:val="24"/>
          <w:u w:val="single"/>
        </w:rPr>
      </w:pPr>
      <w:r w:rsidRPr="00C32FFF">
        <w:rPr>
          <w:b/>
          <w:sz w:val="24"/>
          <w:szCs w:val="24"/>
        </w:rPr>
        <w:t>Terapeutiske indikationer</w:t>
      </w:r>
    </w:p>
    <w:p w:rsidR="006E56FB" w:rsidRPr="00C32FFF" w:rsidRDefault="006E56FB" w:rsidP="006E56FB">
      <w:pPr>
        <w:autoSpaceDE w:val="0"/>
        <w:autoSpaceDN w:val="0"/>
        <w:adjustRightInd w:val="0"/>
        <w:ind w:left="851"/>
        <w:rPr>
          <w:color w:val="000000"/>
          <w:sz w:val="24"/>
          <w:szCs w:val="24"/>
        </w:rPr>
      </w:pPr>
      <w:r w:rsidRPr="00C32FFF">
        <w:rPr>
          <w:sz w:val="24"/>
          <w:szCs w:val="24"/>
        </w:rPr>
        <w:t>Topotecan-monoterapi er indiceret til behandling af:</w:t>
      </w:r>
    </w:p>
    <w:p w:rsidR="006E56FB" w:rsidRPr="00C32FFF" w:rsidRDefault="006E56FB" w:rsidP="006E56FB">
      <w:pPr>
        <w:numPr>
          <w:ilvl w:val="0"/>
          <w:numId w:val="10"/>
        </w:numPr>
        <w:autoSpaceDE w:val="0"/>
        <w:autoSpaceDN w:val="0"/>
        <w:adjustRightInd w:val="0"/>
        <w:snapToGrid w:val="0"/>
        <w:ind w:left="1276" w:hanging="425"/>
        <w:rPr>
          <w:color w:val="000000"/>
          <w:sz w:val="24"/>
          <w:szCs w:val="24"/>
        </w:rPr>
      </w:pPr>
      <w:r w:rsidRPr="00C32FFF">
        <w:rPr>
          <w:sz w:val="24"/>
          <w:szCs w:val="24"/>
        </w:rPr>
        <w:t>patienter med metastatisk ovariekarcinom, efter svigt af førstevalgsbehandling eller efterfølgende behandling.</w:t>
      </w:r>
    </w:p>
    <w:p w:rsidR="006E56FB" w:rsidRPr="00C32FFF" w:rsidRDefault="006E56FB" w:rsidP="006E56FB">
      <w:pPr>
        <w:numPr>
          <w:ilvl w:val="0"/>
          <w:numId w:val="10"/>
        </w:numPr>
        <w:autoSpaceDE w:val="0"/>
        <w:autoSpaceDN w:val="0"/>
        <w:adjustRightInd w:val="0"/>
        <w:snapToGrid w:val="0"/>
        <w:ind w:left="1276" w:hanging="425"/>
        <w:rPr>
          <w:color w:val="000000"/>
          <w:sz w:val="24"/>
          <w:szCs w:val="24"/>
        </w:rPr>
      </w:pPr>
      <w:r w:rsidRPr="00C32FFF">
        <w:rPr>
          <w:sz w:val="24"/>
          <w:szCs w:val="24"/>
        </w:rPr>
        <w:t>patienter med recidiverende, småcellet lungecancer (SCLC) for hvem gentagelse af behandling med førstevalgsbehandling ikke anses for hensigtsmæssig (se pkt. 5.1).</w:t>
      </w:r>
    </w:p>
    <w:p w:rsidR="006E56FB" w:rsidRPr="00C32FFF" w:rsidRDefault="006E56FB" w:rsidP="006E56FB">
      <w:pPr>
        <w:autoSpaceDE w:val="0"/>
        <w:autoSpaceDN w:val="0"/>
        <w:adjustRightInd w:val="0"/>
        <w:ind w:left="851" w:hanging="851"/>
        <w:rPr>
          <w:color w:val="000000"/>
          <w:sz w:val="24"/>
          <w:szCs w:val="24"/>
        </w:rPr>
      </w:pPr>
    </w:p>
    <w:p w:rsidR="006E56FB" w:rsidRDefault="006E56FB" w:rsidP="006E56FB">
      <w:pPr>
        <w:autoSpaceDE w:val="0"/>
        <w:autoSpaceDN w:val="0"/>
        <w:adjustRightInd w:val="0"/>
        <w:ind w:left="851"/>
        <w:rPr>
          <w:sz w:val="24"/>
          <w:szCs w:val="24"/>
        </w:rPr>
      </w:pPr>
      <w:r w:rsidRPr="00C32FFF">
        <w:rPr>
          <w:sz w:val="24"/>
          <w:szCs w:val="24"/>
        </w:rPr>
        <w:t>Topotecan i kombination med cisplatin er indiceret til behandling af patienter med cervixkarcinom, som recidiverer efter strålebehandling og til patienter i sygdomsstadie IVB.</w:t>
      </w:r>
      <w:r w:rsidRPr="00C32FFF">
        <w:rPr>
          <w:color w:val="000000"/>
          <w:sz w:val="24"/>
          <w:szCs w:val="24"/>
        </w:rPr>
        <w:t xml:space="preserve"> </w:t>
      </w:r>
      <w:r w:rsidRPr="00C32FFF">
        <w:rPr>
          <w:sz w:val="24"/>
          <w:szCs w:val="24"/>
        </w:rPr>
        <w:t>For at berettige kombinationsbehandling skal patienter, der tidligere har fået cisplatin, have et vedvarende behandlingsfrit interval (se pkt. 5.1).</w:t>
      </w:r>
    </w:p>
    <w:p w:rsidR="006E56FB" w:rsidRDefault="006E56FB" w:rsidP="006E56FB">
      <w:pPr>
        <w:autoSpaceDE w:val="0"/>
        <w:autoSpaceDN w:val="0"/>
        <w:adjustRightInd w:val="0"/>
        <w:ind w:left="851"/>
        <w:rPr>
          <w:sz w:val="24"/>
          <w:szCs w:val="24"/>
        </w:rPr>
      </w:pPr>
    </w:p>
    <w:p w:rsidR="006E56FB" w:rsidRDefault="006E56FB" w:rsidP="006E56FB">
      <w:pPr>
        <w:rPr>
          <w:sz w:val="24"/>
          <w:szCs w:val="24"/>
        </w:rPr>
      </w:pPr>
      <w:r>
        <w:rPr>
          <w:sz w:val="24"/>
          <w:szCs w:val="24"/>
        </w:rPr>
        <w:br w:type="page"/>
      </w:r>
    </w:p>
    <w:p w:rsidR="006E56FB" w:rsidRPr="00C32FFF" w:rsidRDefault="006E56FB" w:rsidP="006E56FB">
      <w:pPr>
        <w:autoSpaceDE w:val="0"/>
        <w:autoSpaceDN w:val="0"/>
        <w:adjustRightInd w:val="0"/>
        <w:ind w:left="851"/>
        <w:rPr>
          <w:sz w:val="24"/>
          <w:szCs w:val="24"/>
        </w:rPr>
      </w:pPr>
    </w:p>
    <w:p w:rsidR="006E56FB" w:rsidRPr="002378EE" w:rsidRDefault="006E56FB" w:rsidP="006E56FB">
      <w:pPr>
        <w:tabs>
          <w:tab w:val="left" w:pos="851"/>
        </w:tabs>
        <w:rPr>
          <w:b/>
          <w:sz w:val="24"/>
          <w:szCs w:val="24"/>
        </w:rPr>
      </w:pPr>
      <w:r w:rsidRPr="009D34A1">
        <w:rPr>
          <w:b/>
          <w:sz w:val="24"/>
          <w:szCs w:val="24"/>
        </w:rPr>
        <w:t>4.2</w:t>
      </w:r>
      <w:r>
        <w:rPr>
          <w:sz w:val="24"/>
          <w:szCs w:val="24"/>
        </w:rPr>
        <w:t xml:space="preserve"> </w:t>
      </w:r>
      <w:r>
        <w:rPr>
          <w:sz w:val="24"/>
          <w:szCs w:val="24"/>
        </w:rPr>
        <w:tab/>
      </w:r>
      <w:r w:rsidRPr="00C32FFF">
        <w:rPr>
          <w:b/>
          <w:sz w:val="24"/>
          <w:szCs w:val="24"/>
        </w:rPr>
        <w:t>Dosering og indgivelsesmåde</w:t>
      </w:r>
    </w:p>
    <w:p w:rsidR="006E56FB" w:rsidRPr="00C32FFF" w:rsidRDefault="006E56FB" w:rsidP="006E56FB">
      <w:pPr>
        <w:autoSpaceDE w:val="0"/>
        <w:autoSpaceDN w:val="0"/>
        <w:adjustRightInd w:val="0"/>
        <w:ind w:left="851"/>
        <w:rPr>
          <w:color w:val="000000"/>
          <w:sz w:val="24"/>
          <w:szCs w:val="24"/>
        </w:rPr>
      </w:pPr>
      <w:r w:rsidRPr="00C32FFF">
        <w:rPr>
          <w:sz w:val="24"/>
          <w:szCs w:val="24"/>
        </w:rPr>
        <w:t>Brug af topotecan bør begrænses til afdelinger, som er specialiseret i brug af cytotoksisk kemoterapi</w:t>
      </w:r>
      <w:r>
        <w:rPr>
          <w:sz w:val="24"/>
          <w:szCs w:val="24"/>
        </w:rPr>
        <w:t>.</w:t>
      </w:r>
      <w:r w:rsidRPr="00C32FFF">
        <w:rPr>
          <w:sz w:val="24"/>
          <w:szCs w:val="24"/>
        </w:rPr>
        <w:t xml:space="preserve"> </w:t>
      </w:r>
      <w:r>
        <w:rPr>
          <w:sz w:val="22"/>
          <w:szCs w:val="22"/>
        </w:rPr>
        <w:t xml:space="preserve">Topotecan </w:t>
      </w:r>
      <w:r w:rsidRPr="00C32FFF">
        <w:rPr>
          <w:sz w:val="24"/>
          <w:szCs w:val="24"/>
        </w:rPr>
        <w:t>bør kun administreres under overvågning af en læge, der har erfaring i brugen af kemoterapi (se pkt. 6.6).</w:t>
      </w:r>
    </w:p>
    <w:p w:rsidR="006E56FB" w:rsidRDefault="006E56FB" w:rsidP="006E56FB">
      <w:pPr>
        <w:autoSpaceDE w:val="0"/>
        <w:autoSpaceDN w:val="0"/>
        <w:adjustRightInd w:val="0"/>
        <w:ind w:left="851" w:hanging="851"/>
        <w:rPr>
          <w:color w:val="000000"/>
          <w:sz w:val="24"/>
          <w:szCs w:val="24"/>
        </w:rPr>
      </w:pPr>
    </w:p>
    <w:p w:rsidR="006E56FB" w:rsidRPr="00B74681" w:rsidRDefault="006E56FB" w:rsidP="006E56FB">
      <w:pPr>
        <w:autoSpaceDE w:val="0"/>
        <w:autoSpaceDN w:val="0"/>
        <w:adjustRightInd w:val="0"/>
        <w:ind w:left="851" w:hanging="851"/>
        <w:rPr>
          <w:color w:val="000000"/>
          <w:sz w:val="24"/>
          <w:szCs w:val="24"/>
        </w:rPr>
      </w:pPr>
      <w:r>
        <w:rPr>
          <w:color w:val="000000"/>
          <w:sz w:val="24"/>
          <w:szCs w:val="24"/>
        </w:rPr>
        <w:tab/>
      </w:r>
      <w:r>
        <w:rPr>
          <w:color w:val="000000"/>
          <w:sz w:val="24"/>
          <w:szCs w:val="24"/>
          <w:u w:val="single"/>
        </w:rPr>
        <w:t>Dosering</w:t>
      </w: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Ved brug </w:t>
      </w:r>
      <w:r>
        <w:rPr>
          <w:sz w:val="24"/>
          <w:szCs w:val="24"/>
        </w:rPr>
        <w:t xml:space="preserve">af topotecan </w:t>
      </w:r>
      <w:r w:rsidRPr="00C32FFF">
        <w:rPr>
          <w:sz w:val="24"/>
          <w:szCs w:val="24"/>
        </w:rPr>
        <w:t>i kombination med cisplatin skal al ordinationsinformation for cisplatin være bekendt.</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Før administration af det første behandlingsforløb med topotecan skal patienterne have et neutrofiltal ved baseline på</w:t>
      </w:r>
      <w:r w:rsidRPr="00C32FFF">
        <w:rPr>
          <w:color w:val="000000"/>
          <w:sz w:val="24"/>
          <w:szCs w:val="24"/>
        </w:rPr>
        <w:t xml:space="preserve"> </w:t>
      </w:r>
      <w:r w:rsidRPr="00C32FFF">
        <w:rPr>
          <w:sz w:val="24"/>
          <w:szCs w:val="24"/>
        </w:rPr>
        <w:sym w:font="Symbol" w:char="00B3"/>
      </w:r>
      <w:r w:rsidRPr="00C32FFF">
        <w:rPr>
          <w:color w:val="000000"/>
          <w:sz w:val="24"/>
          <w:szCs w:val="24"/>
        </w:rPr>
        <w:t xml:space="preserve"> 1,5 x 10</w:t>
      </w:r>
      <w:r w:rsidRPr="00C32FFF">
        <w:rPr>
          <w:color w:val="000000"/>
          <w:sz w:val="24"/>
          <w:szCs w:val="24"/>
          <w:vertAlign w:val="superscript"/>
        </w:rPr>
        <w:t>9</w:t>
      </w:r>
      <w:r w:rsidRPr="00C32FFF">
        <w:rPr>
          <w:color w:val="000000"/>
          <w:sz w:val="24"/>
          <w:szCs w:val="24"/>
        </w:rPr>
        <w:t>/l, et trombocyttal på ≥ 100 x 10</w:t>
      </w:r>
      <w:r w:rsidRPr="00C32FFF">
        <w:rPr>
          <w:color w:val="000000"/>
          <w:sz w:val="24"/>
          <w:szCs w:val="24"/>
          <w:vertAlign w:val="superscript"/>
        </w:rPr>
        <w:t>9</w:t>
      </w:r>
      <w:r w:rsidRPr="00C32FFF">
        <w:rPr>
          <w:color w:val="000000"/>
          <w:sz w:val="24"/>
          <w:szCs w:val="24"/>
        </w:rPr>
        <w:t xml:space="preserve">/l og et hæmoglobinniveau på </w:t>
      </w:r>
      <w:r w:rsidRPr="00C32FFF">
        <w:rPr>
          <w:sz w:val="24"/>
          <w:szCs w:val="24"/>
        </w:rPr>
        <w:sym w:font="Symbol" w:char="00B3"/>
      </w:r>
      <w:r w:rsidRPr="00C32FFF">
        <w:rPr>
          <w:color w:val="000000"/>
          <w:sz w:val="24"/>
          <w:szCs w:val="24"/>
        </w:rPr>
        <w:t xml:space="preserve"> 9 g/dl (om nødvendigt efter transfusion).</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Ovariekarcinom og småcellet lungecancer</w:t>
      </w:r>
    </w:p>
    <w:p w:rsidR="006E56FB" w:rsidRPr="00C32FFF" w:rsidRDefault="006E56FB" w:rsidP="006E56FB">
      <w:pPr>
        <w:autoSpaceDE w:val="0"/>
        <w:autoSpaceDN w:val="0"/>
        <w:adjustRightInd w:val="0"/>
        <w:ind w:left="851" w:hanging="851"/>
        <w:rPr>
          <w:i/>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Indledende dosis</w:t>
      </w:r>
    </w:p>
    <w:p w:rsidR="006E56FB" w:rsidRPr="00C32FFF" w:rsidRDefault="006E56FB" w:rsidP="006E56FB">
      <w:pPr>
        <w:autoSpaceDE w:val="0"/>
        <w:autoSpaceDN w:val="0"/>
        <w:adjustRightInd w:val="0"/>
        <w:ind w:left="851"/>
        <w:rPr>
          <w:sz w:val="24"/>
          <w:szCs w:val="24"/>
        </w:rPr>
      </w:pPr>
      <w:r w:rsidRPr="00C32FFF">
        <w:rPr>
          <w:sz w:val="24"/>
          <w:szCs w:val="24"/>
        </w:rPr>
        <w:t>Den anbefalede topotecandosis er 1,5 mg/m</w:t>
      </w:r>
      <w:r w:rsidRPr="00C32FFF">
        <w:rPr>
          <w:sz w:val="24"/>
          <w:szCs w:val="24"/>
          <w:vertAlign w:val="superscript"/>
        </w:rPr>
        <w:t>2</w:t>
      </w:r>
      <w:r w:rsidRPr="00C32FFF">
        <w:rPr>
          <w:sz w:val="24"/>
          <w:szCs w:val="24"/>
        </w:rPr>
        <w:t xml:space="preserve"> legemsoverflade</w:t>
      </w:r>
      <w:r>
        <w:rPr>
          <w:sz w:val="24"/>
          <w:szCs w:val="24"/>
        </w:rPr>
        <w:t xml:space="preserve"> pr. </w:t>
      </w:r>
      <w:r w:rsidRPr="00C32FFF">
        <w:rPr>
          <w:sz w:val="24"/>
          <w:szCs w:val="24"/>
        </w:rPr>
        <w:t xml:space="preserve">dag. Dosis gives som en 30 minutters intravenøs infusion dagligt </w:t>
      </w:r>
      <w:r>
        <w:rPr>
          <w:sz w:val="24"/>
          <w:szCs w:val="24"/>
        </w:rPr>
        <w:t>fem</w:t>
      </w:r>
      <w:r w:rsidRPr="00C32FFF">
        <w:rPr>
          <w:sz w:val="24"/>
          <w:szCs w:val="24"/>
        </w:rPr>
        <w:t xml:space="preserve"> dage i træk med et interval på </w:t>
      </w:r>
      <w:r>
        <w:rPr>
          <w:sz w:val="24"/>
          <w:szCs w:val="24"/>
        </w:rPr>
        <w:t>tre</w:t>
      </w:r>
      <w:r w:rsidRPr="00C32FFF">
        <w:rPr>
          <w:sz w:val="24"/>
          <w:szCs w:val="24"/>
        </w:rPr>
        <w:t xml:space="preserve"> uger mellem begyndelsen af hvert behandlingsforløb.</w:t>
      </w:r>
      <w:r w:rsidRPr="00C32FFF">
        <w:rPr>
          <w:color w:val="000000"/>
          <w:sz w:val="24"/>
          <w:szCs w:val="24"/>
        </w:rPr>
        <w:t xml:space="preserve"> </w:t>
      </w:r>
      <w:r w:rsidRPr="00C32FFF">
        <w:rPr>
          <w:sz w:val="24"/>
          <w:szCs w:val="24"/>
        </w:rPr>
        <w:t>Hvis behandlingen tåles godt, kan den fortsættes, indtil sygdommen progredierer (se pkt. 4.8 og 5.1).</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Efterfølgende doser</w:t>
      </w:r>
    </w:p>
    <w:p w:rsidR="006E56FB" w:rsidRPr="00C32FFF" w:rsidRDefault="006E56FB" w:rsidP="006E56FB">
      <w:pPr>
        <w:autoSpaceDE w:val="0"/>
        <w:autoSpaceDN w:val="0"/>
        <w:adjustRightInd w:val="0"/>
        <w:ind w:left="851"/>
        <w:rPr>
          <w:color w:val="000000"/>
          <w:sz w:val="24"/>
          <w:szCs w:val="24"/>
        </w:rPr>
      </w:pPr>
      <w:r w:rsidRPr="00C32FFF">
        <w:rPr>
          <w:color w:val="000000"/>
          <w:sz w:val="24"/>
          <w:szCs w:val="24"/>
        </w:rPr>
        <w:t xml:space="preserve">Topotecan bør ikke gives igen, med mindre neutrofiltallet er </w:t>
      </w:r>
      <w:r w:rsidRPr="00C32FFF">
        <w:rPr>
          <w:sz w:val="24"/>
          <w:szCs w:val="24"/>
        </w:rPr>
        <w:sym w:font="Symbol" w:char="00B3"/>
      </w:r>
      <w:r w:rsidRPr="00C32FFF">
        <w:rPr>
          <w:color w:val="000000"/>
          <w:sz w:val="24"/>
          <w:szCs w:val="24"/>
        </w:rPr>
        <w:t xml:space="preserve"> 1 x 10</w:t>
      </w:r>
      <w:r w:rsidRPr="00C32FFF">
        <w:rPr>
          <w:color w:val="000000"/>
          <w:sz w:val="24"/>
          <w:szCs w:val="24"/>
          <w:vertAlign w:val="superscript"/>
        </w:rPr>
        <w:t>9</w:t>
      </w:r>
      <w:r w:rsidRPr="00C32FFF">
        <w:rPr>
          <w:color w:val="000000"/>
          <w:sz w:val="24"/>
          <w:szCs w:val="24"/>
        </w:rPr>
        <w:t xml:space="preserve">/l, trombocyttallet er </w:t>
      </w:r>
      <w:r w:rsidRPr="00C32FFF">
        <w:rPr>
          <w:sz w:val="24"/>
          <w:szCs w:val="24"/>
        </w:rPr>
        <w:sym w:font="Symbol" w:char="00B3"/>
      </w:r>
      <w:r w:rsidRPr="00C32FFF">
        <w:rPr>
          <w:color w:val="000000"/>
          <w:sz w:val="24"/>
          <w:szCs w:val="24"/>
        </w:rPr>
        <w:t xml:space="preserve"> 100 x 10</w:t>
      </w:r>
      <w:r w:rsidRPr="00C32FFF">
        <w:rPr>
          <w:color w:val="000000"/>
          <w:sz w:val="24"/>
          <w:szCs w:val="24"/>
          <w:vertAlign w:val="superscript"/>
        </w:rPr>
        <w:t>9</w:t>
      </w:r>
      <w:r w:rsidRPr="00C32FFF">
        <w:rPr>
          <w:color w:val="000000"/>
          <w:sz w:val="24"/>
          <w:szCs w:val="24"/>
        </w:rPr>
        <w:t>/l og hæmoglobinniveauet er ≥ 9 g/dl (om nødvendigt efter transfusion).</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For at opretholde neutrofiltallet er det standard onkologisk praksis ved behandling af neutropeni enten at administrere topotecan sammen med </w:t>
      </w:r>
      <w:r>
        <w:rPr>
          <w:sz w:val="24"/>
          <w:szCs w:val="24"/>
        </w:rPr>
        <w:t>andre lægemidler</w:t>
      </w:r>
      <w:r w:rsidRPr="00C32FFF">
        <w:rPr>
          <w:sz w:val="24"/>
          <w:szCs w:val="24"/>
        </w:rPr>
        <w:t xml:space="preserve"> (f.eks. G-CSF) eller at reducere dosis.</w:t>
      </w:r>
    </w:p>
    <w:p w:rsidR="006E56FB" w:rsidRPr="00C32FFF" w:rsidRDefault="006E56FB" w:rsidP="006E56FB">
      <w:pPr>
        <w:autoSpaceDE w:val="0"/>
        <w:autoSpaceDN w:val="0"/>
        <w:adjustRightInd w:val="0"/>
        <w:spacing w:before="240"/>
        <w:ind w:left="851"/>
        <w:rPr>
          <w:color w:val="000000"/>
          <w:sz w:val="24"/>
          <w:szCs w:val="24"/>
        </w:rPr>
      </w:pPr>
      <w:r w:rsidRPr="00C32FFF">
        <w:rPr>
          <w:color w:val="000000"/>
          <w:sz w:val="24"/>
          <w:szCs w:val="24"/>
        </w:rPr>
        <w:t>Hvis der tages beslutning om at reducere dosis hos patienter, der får svær neutropeni (neutrofiltal &lt; 0,5 x 10</w:t>
      </w:r>
      <w:r w:rsidRPr="00C32FFF">
        <w:rPr>
          <w:color w:val="000000"/>
          <w:sz w:val="24"/>
          <w:szCs w:val="24"/>
          <w:vertAlign w:val="superscript"/>
        </w:rPr>
        <w:t>9</w:t>
      </w:r>
      <w:r w:rsidRPr="00C32FFF">
        <w:rPr>
          <w:color w:val="000000"/>
          <w:sz w:val="24"/>
          <w:szCs w:val="24"/>
        </w:rPr>
        <w:t xml:space="preserve">/l) i </w:t>
      </w:r>
      <w:r>
        <w:rPr>
          <w:color w:val="000000"/>
          <w:sz w:val="24"/>
          <w:szCs w:val="24"/>
        </w:rPr>
        <w:t>syv</w:t>
      </w:r>
      <w:r w:rsidRPr="00C32FFF">
        <w:rPr>
          <w:color w:val="000000"/>
          <w:sz w:val="24"/>
          <w:szCs w:val="24"/>
        </w:rPr>
        <w:t xml:space="preserve"> dage eller mere eller svær neutropeni ledsaget af feber eller infektion, eller hos patienter, som har fået behandlingen udskudt på grund af neutropeni, skal dosis reduceres med 0,25 mg/m</w:t>
      </w:r>
      <w:r w:rsidRPr="00C32FFF">
        <w:rPr>
          <w:color w:val="000000"/>
          <w:sz w:val="24"/>
          <w:szCs w:val="24"/>
          <w:vertAlign w:val="superscript"/>
        </w:rPr>
        <w:t>2</w:t>
      </w:r>
      <w:r w:rsidRPr="00C32FFF">
        <w:rPr>
          <w:color w:val="000000"/>
          <w:sz w:val="24"/>
          <w:szCs w:val="24"/>
        </w:rPr>
        <w:t>/dag til 1,25 mg/m</w:t>
      </w:r>
      <w:r w:rsidRPr="00C32FFF">
        <w:rPr>
          <w:color w:val="000000"/>
          <w:sz w:val="24"/>
          <w:szCs w:val="24"/>
          <w:vertAlign w:val="superscript"/>
        </w:rPr>
        <w:t>2</w:t>
      </w:r>
      <w:r w:rsidRPr="00C32FFF">
        <w:rPr>
          <w:color w:val="000000"/>
          <w:sz w:val="24"/>
          <w:szCs w:val="24"/>
        </w:rPr>
        <w:t>/dag (og om nødvendigt derefter til 1,0 mg/m</w:t>
      </w:r>
      <w:r w:rsidRPr="00C32FFF">
        <w:rPr>
          <w:color w:val="000000"/>
          <w:sz w:val="24"/>
          <w:szCs w:val="24"/>
          <w:vertAlign w:val="superscript"/>
        </w:rPr>
        <w:t>2</w:t>
      </w:r>
      <w:r w:rsidRPr="00C32FFF">
        <w:rPr>
          <w:color w:val="000000"/>
          <w:sz w:val="24"/>
          <w:szCs w:val="24"/>
        </w:rPr>
        <w:t>/dag).</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Dosis skal ligeledes reduceres, hvis trombocyttallet falder til under 25 x 10</w:t>
      </w:r>
      <w:r w:rsidRPr="00C32FFF">
        <w:rPr>
          <w:sz w:val="24"/>
          <w:szCs w:val="24"/>
          <w:vertAlign w:val="superscript"/>
        </w:rPr>
        <w:t>9</w:t>
      </w:r>
      <w:r w:rsidRPr="00C32FFF">
        <w:rPr>
          <w:sz w:val="24"/>
          <w:szCs w:val="24"/>
        </w:rPr>
        <w:t xml:space="preserve">/l. I kliniske </w:t>
      </w:r>
      <w:r>
        <w:rPr>
          <w:sz w:val="24"/>
          <w:szCs w:val="24"/>
        </w:rPr>
        <w:t>studier</w:t>
      </w:r>
      <w:r w:rsidRPr="00C32FFF">
        <w:rPr>
          <w:sz w:val="24"/>
          <w:szCs w:val="24"/>
        </w:rPr>
        <w:t xml:space="preserve"> blev behandlingen med topotecan seponeret, hvis dosis var blevet reduceret til 1,0 mg/m</w:t>
      </w:r>
      <w:r w:rsidRPr="00C32FFF">
        <w:rPr>
          <w:sz w:val="24"/>
          <w:szCs w:val="24"/>
          <w:vertAlign w:val="superscript"/>
        </w:rPr>
        <w:t>2</w:t>
      </w:r>
      <w:r>
        <w:rPr>
          <w:sz w:val="24"/>
          <w:szCs w:val="24"/>
        </w:rPr>
        <w:t>/dag,</w:t>
      </w:r>
      <w:r w:rsidRPr="00C32FFF">
        <w:rPr>
          <w:sz w:val="24"/>
          <w:szCs w:val="24"/>
        </w:rPr>
        <w:t xml:space="preserve"> og det blev nødvendigt med yderligere reduktion af dosis for at håndtere bivirkninger.</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Cervixkarcinom</w:t>
      </w:r>
    </w:p>
    <w:p w:rsidR="006E56FB" w:rsidRPr="00C32FFF" w:rsidRDefault="006E56FB" w:rsidP="006E56FB">
      <w:pPr>
        <w:autoSpaceDE w:val="0"/>
        <w:autoSpaceDN w:val="0"/>
        <w:adjustRightInd w:val="0"/>
        <w:ind w:left="851" w:hanging="851"/>
        <w:rPr>
          <w:i/>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Indledende dosis</w:t>
      </w:r>
    </w:p>
    <w:p w:rsidR="006E56FB" w:rsidRPr="00C32FFF" w:rsidRDefault="006E56FB" w:rsidP="006E56FB">
      <w:pPr>
        <w:autoSpaceDE w:val="0"/>
        <w:autoSpaceDN w:val="0"/>
        <w:adjustRightInd w:val="0"/>
        <w:ind w:left="851"/>
        <w:rPr>
          <w:sz w:val="24"/>
          <w:szCs w:val="24"/>
        </w:rPr>
      </w:pPr>
      <w:r w:rsidRPr="00C32FFF">
        <w:rPr>
          <w:sz w:val="24"/>
          <w:szCs w:val="24"/>
        </w:rPr>
        <w:t>Den anbefalede topotecandosis er 0,75 mg/m</w:t>
      </w:r>
      <w:r w:rsidRPr="00C32FFF">
        <w:rPr>
          <w:sz w:val="24"/>
          <w:szCs w:val="24"/>
          <w:vertAlign w:val="superscript"/>
        </w:rPr>
        <w:t>2</w:t>
      </w:r>
      <w:r w:rsidRPr="00C32FFF">
        <w:rPr>
          <w:sz w:val="24"/>
          <w:szCs w:val="24"/>
        </w:rPr>
        <w:t xml:space="preserve">/dag. Dosis gives som </w:t>
      </w:r>
      <w:r>
        <w:rPr>
          <w:sz w:val="24"/>
          <w:szCs w:val="24"/>
        </w:rPr>
        <w:t xml:space="preserve">en </w:t>
      </w:r>
      <w:r w:rsidRPr="00C32FFF">
        <w:rPr>
          <w:sz w:val="24"/>
          <w:szCs w:val="24"/>
        </w:rPr>
        <w:t>intravenøs infusion over 30 minutter på dag 1, 2 og 3. Cisplatin gives efter topotecandosis som intravenøs infusion på dag 1 med en dosis på 50 mg/m</w:t>
      </w:r>
      <w:r w:rsidRPr="00C32FFF">
        <w:rPr>
          <w:sz w:val="24"/>
          <w:szCs w:val="24"/>
          <w:vertAlign w:val="superscript"/>
        </w:rPr>
        <w:t>2</w:t>
      </w:r>
      <w:r w:rsidRPr="00C32FFF">
        <w:rPr>
          <w:sz w:val="24"/>
          <w:szCs w:val="24"/>
        </w:rPr>
        <w:t>/dag efter topotecandosen.</w:t>
      </w:r>
      <w:r w:rsidRPr="00C32FFF">
        <w:rPr>
          <w:color w:val="000000"/>
          <w:sz w:val="24"/>
          <w:szCs w:val="24"/>
        </w:rPr>
        <w:t xml:space="preserve"> </w:t>
      </w:r>
      <w:r w:rsidRPr="00C32FFF">
        <w:rPr>
          <w:sz w:val="24"/>
          <w:szCs w:val="24"/>
        </w:rPr>
        <w:t xml:space="preserve">Denne behandlingsplan gentages hver 21. dag i </w:t>
      </w:r>
      <w:r>
        <w:rPr>
          <w:sz w:val="24"/>
          <w:szCs w:val="24"/>
        </w:rPr>
        <w:t>seks</w:t>
      </w:r>
      <w:r w:rsidRPr="00C32FFF">
        <w:rPr>
          <w:sz w:val="24"/>
          <w:szCs w:val="24"/>
        </w:rPr>
        <w:t xml:space="preserve"> forløb eller indtil sygdomsprogression.</w:t>
      </w:r>
    </w:p>
    <w:p w:rsidR="006E56FB" w:rsidRPr="00C32FFF" w:rsidRDefault="006E56FB" w:rsidP="006E56FB">
      <w:pPr>
        <w:autoSpaceDE w:val="0"/>
        <w:autoSpaceDN w:val="0"/>
        <w:adjustRightInd w:val="0"/>
        <w:ind w:left="851" w:hanging="851"/>
        <w:rPr>
          <w:color w:val="000000"/>
          <w:sz w:val="24"/>
          <w:szCs w:val="24"/>
        </w:rPr>
      </w:pPr>
    </w:p>
    <w:p w:rsidR="006E56FB" w:rsidRDefault="006E56FB" w:rsidP="006E56FB">
      <w:pPr>
        <w:rPr>
          <w:i/>
          <w:sz w:val="24"/>
          <w:szCs w:val="24"/>
        </w:rPr>
      </w:pPr>
      <w:r>
        <w:rPr>
          <w:i/>
          <w:sz w:val="24"/>
          <w:szCs w:val="24"/>
        </w:rPr>
        <w:br w:type="page"/>
      </w:r>
    </w:p>
    <w:p w:rsidR="006E56FB" w:rsidRPr="00C32FFF" w:rsidRDefault="006E56FB" w:rsidP="006E56FB">
      <w:pPr>
        <w:autoSpaceDE w:val="0"/>
        <w:autoSpaceDN w:val="0"/>
        <w:adjustRightInd w:val="0"/>
        <w:ind w:left="851"/>
        <w:rPr>
          <w:i/>
          <w:color w:val="000000"/>
          <w:sz w:val="24"/>
          <w:szCs w:val="24"/>
        </w:rPr>
      </w:pPr>
      <w:r w:rsidRPr="00C32FFF">
        <w:rPr>
          <w:i/>
          <w:sz w:val="24"/>
          <w:szCs w:val="24"/>
        </w:rPr>
        <w:lastRenderedPageBreak/>
        <w:t>Efterfølgende doser</w:t>
      </w: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Der bør ikke gives topotecan igen, med mindre neutrofiltallet er </w:t>
      </w:r>
      <w:r w:rsidRPr="00746888">
        <w:rPr>
          <w:color w:val="000000"/>
        </w:rPr>
        <w:t>≥</w:t>
      </w:r>
      <w:r>
        <w:rPr>
          <w:color w:val="000000"/>
        </w:rPr>
        <w:t xml:space="preserve"> </w:t>
      </w:r>
      <w:r w:rsidRPr="00C32FFF">
        <w:rPr>
          <w:sz w:val="24"/>
          <w:szCs w:val="24"/>
        </w:rPr>
        <w:t>1,5 x 10</w:t>
      </w:r>
      <w:r w:rsidRPr="00C32FFF">
        <w:rPr>
          <w:sz w:val="24"/>
          <w:szCs w:val="24"/>
          <w:vertAlign w:val="superscript"/>
        </w:rPr>
        <w:t>9</w:t>
      </w:r>
      <w:r w:rsidRPr="00C32FFF">
        <w:rPr>
          <w:sz w:val="24"/>
          <w:szCs w:val="24"/>
        </w:rPr>
        <w:t xml:space="preserve">/l, trombocyttallet er </w:t>
      </w:r>
      <w:r w:rsidRPr="00746888">
        <w:rPr>
          <w:color w:val="000000"/>
        </w:rPr>
        <w:t>≥</w:t>
      </w:r>
      <w:r>
        <w:rPr>
          <w:color w:val="000000"/>
        </w:rPr>
        <w:t xml:space="preserve"> </w:t>
      </w:r>
      <w:r w:rsidRPr="00C32FFF">
        <w:rPr>
          <w:sz w:val="24"/>
          <w:szCs w:val="24"/>
        </w:rPr>
        <w:t>100 x 10</w:t>
      </w:r>
      <w:r w:rsidRPr="00C32FFF">
        <w:rPr>
          <w:sz w:val="24"/>
          <w:szCs w:val="24"/>
          <w:vertAlign w:val="superscript"/>
        </w:rPr>
        <w:t>9</w:t>
      </w:r>
      <w:r w:rsidRPr="00C32FFF">
        <w:rPr>
          <w:sz w:val="24"/>
          <w:szCs w:val="24"/>
        </w:rPr>
        <w:t xml:space="preserve">/l og hæmoglobinniveauet er </w:t>
      </w:r>
      <w:r w:rsidRPr="00746888">
        <w:rPr>
          <w:color w:val="000000"/>
        </w:rPr>
        <w:t>≥</w:t>
      </w:r>
      <w:r>
        <w:rPr>
          <w:color w:val="000000"/>
        </w:rPr>
        <w:t xml:space="preserve"> </w:t>
      </w:r>
      <w:r w:rsidRPr="00C32FFF">
        <w:rPr>
          <w:sz w:val="24"/>
          <w:szCs w:val="24"/>
        </w:rPr>
        <w:t>9 g/dl (om nødvendigt efter transfusion).</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For at opretholde neutrofiltallet er det standard onkologisk praksis ved behandling af neutropeni enten at administrere topotecan sammen med </w:t>
      </w:r>
      <w:r>
        <w:rPr>
          <w:sz w:val="24"/>
          <w:szCs w:val="24"/>
        </w:rPr>
        <w:t>andre lægemidler</w:t>
      </w:r>
      <w:r w:rsidRPr="00C32FFF">
        <w:rPr>
          <w:sz w:val="24"/>
          <w:szCs w:val="24"/>
        </w:rPr>
        <w:t xml:space="preserve"> (f.eks. G-CSF) eller at reducere dosis.</w:t>
      </w:r>
    </w:p>
    <w:p w:rsidR="006E56FB" w:rsidRPr="00C32FFF" w:rsidRDefault="006E56FB" w:rsidP="006E56FB">
      <w:pPr>
        <w:autoSpaceDE w:val="0"/>
        <w:autoSpaceDN w:val="0"/>
        <w:adjustRightInd w:val="0"/>
        <w:spacing w:before="240"/>
        <w:ind w:left="851"/>
        <w:rPr>
          <w:color w:val="000000"/>
          <w:sz w:val="24"/>
          <w:szCs w:val="24"/>
        </w:rPr>
      </w:pPr>
      <w:r w:rsidRPr="00C32FFF">
        <w:rPr>
          <w:color w:val="000000"/>
          <w:sz w:val="24"/>
          <w:szCs w:val="24"/>
        </w:rPr>
        <w:t>Hvis der tages beslutning om at reducere dosis hos patienter, der får svær neutropeni (neutrofiltal &lt; 0,5 x 10</w:t>
      </w:r>
      <w:r w:rsidRPr="00C32FFF">
        <w:rPr>
          <w:color w:val="000000"/>
          <w:sz w:val="24"/>
          <w:szCs w:val="24"/>
          <w:vertAlign w:val="superscript"/>
        </w:rPr>
        <w:t>9</w:t>
      </w:r>
      <w:r w:rsidRPr="00C32FFF">
        <w:rPr>
          <w:color w:val="000000"/>
          <w:sz w:val="24"/>
          <w:szCs w:val="24"/>
        </w:rPr>
        <w:t xml:space="preserve">/l) i </w:t>
      </w:r>
      <w:r>
        <w:rPr>
          <w:color w:val="000000"/>
          <w:sz w:val="24"/>
          <w:szCs w:val="24"/>
        </w:rPr>
        <w:t>syv</w:t>
      </w:r>
      <w:r w:rsidRPr="00C32FFF">
        <w:rPr>
          <w:color w:val="000000"/>
          <w:sz w:val="24"/>
          <w:szCs w:val="24"/>
        </w:rPr>
        <w:t xml:space="preserve"> dage eller mere eller svær neutropeni ledsaget af feber eller infektion, eller hos patienter, som har fået behandlingen udskudt på grund af neutropeni, skal dosis reduceres med 20 % til 0,60 mg/m</w:t>
      </w:r>
      <w:r w:rsidRPr="00C32FFF">
        <w:rPr>
          <w:color w:val="000000"/>
          <w:sz w:val="24"/>
          <w:szCs w:val="24"/>
          <w:vertAlign w:val="superscript"/>
        </w:rPr>
        <w:t>2</w:t>
      </w:r>
      <w:r w:rsidRPr="00C32FFF">
        <w:rPr>
          <w:color w:val="000000"/>
          <w:sz w:val="24"/>
          <w:szCs w:val="24"/>
        </w:rPr>
        <w:t>/dag ved de efterfølgende kure (og om nødvendigt derefter til 0,45 mg/m</w:t>
      </w:r>
      <w:r w:rsidRPr="00C32FFF">
        <w:rPr>
          <w:color w:val="000000"/>
          <w:sz w:val="24"/>
          <w:szCs w:val="24"/>
          <w:vertAlign w:val="superscript"/>
        </w:rPr>
        <w:t>2</w:t>
      </w:r>
      <w:r w:rsidRPr="00C32FFF">
        <w:rPr>
          <w:color w:val="000000"/>
          <w:sz w:val="24"/>
          <w:szCs w:val="24"/>
        </w:rPr>
        <w:t>/dag).</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Dosis bør ligeledes reduceres, hvis trombocyttallet falder til under 25 x 10</w:t>
      </w:r>
      <w:r w:rsidRPr="00C32FFF">
        <w:rPr>
          <w:sz w:val="24"/>
          <w:szCs w:val="24"/>
          <w:vertAlign w:val="superscript"/>
        </w:rPr>
        <w:t>9</w:t>
      </w:r>
      <w:r w:rsidRPr="00C32FFF">
        <w:rPr>
          <w:sz w:val="24"/>
          <w:szCs w:val="24"/>
        </w:rPr>
        <w:t>/l.</w:t>
      </w:r>
    </w:p>
    <w:p w:rsidR="006E56FB" w:rsidRDefault="006E56FB" w:rsidP="006E56FB">
      <w:pPr>
        <w:autoSpaceDE w:val="0"/>
        <w:autoSpaceDN w:val="0"/>
        <w:adjustRightInd w:val="0"/>
        <w:ind w:left="851" w:hanging="851"/>
        <w:rPr>
          <w:i/>
          <w:color w:val="000000"/>
          <w:sz w:val="24"/>
          <w:szCs w:val="24"/>
        </w:rPr>
      </w:pPr>
    </w:p>
    <w:p w:rsidR="006E56FB" w:rsidRPr="00746888" w:rsidRDefault="006E56FB" w:rsidP="006E56FB">
      <w:pPr>
        <w:autoSpaceDE w:val="0"/>
        <w:autoSpaceDN w:val="0"/>
        <w:adjustRightInd w:val="0"/>
        <w:ind w:left="851" w:hanging="851"/>
        <w:rPr>
          <w:i/>
          <w:color w:val="000000"/>
          <w:sz w:val="24"/>
          <w:szCs w:val="24"/>
          <w:u w:val="single"/>
        </w:rPr>
      </w:pPr>
      <w:r>
        <w:rPr>
          <w:i/>
          <w:color w:val="000000"/>
          <w:sz w:val="24"/>
          <w:szCs w:val="24"/>
        </w:rPr>
        <w:tab/>
      </w:r>
      <w:r w:rsidRPr="00746888">
        <w:rPr>
          <w:i/>
          <w:color w:val="000000"/>
          <w:sz w:val="24"/>
          <w:szCs w:val="24"/>
          <w:u w:val="single"/>
        </w:rPr>
        <w:t>Særlige patientgrupper</w:t>
      </w:r>
    </w:p>
    <w:p w:rsidR="006E56FB" w:rsidRPr="00C32FFF" w:rsidRDefault="006E56FB" w:rsidP="006E56FB">
      <w:pPr>
        <w:autoSpaceDE w:val="0"/>
        <w:autoSpaceDN w:val="0"/>
        <w:adjustRightInd w:val="0"/>
        <w:ind w:left="851"/>
        <w:rPr>
          <w:i/>
          <w:color w:val="000000"/>
          <w:sz w:val="24"/>
          <w:szCs w:val="24"/>
        </w:rPr>
      </w:pPr>
      <w:r>
        <w:rPr>
          <w:i/>
          <w:sz w:val="24"/>
          <w:szCs w:val="24"/>
        </w:rPr>
        <w:t>P</w:t>
      </w:r>
      <w:r w:rsidRPr="00C32FFF">
        <w:rPr>
          <w:i/>
          <w:sz w:val="24"/>
          <w:szCs w:val="24"/>
        </w:rPr>
        <w:t>atienter med nedsat nyrefunktion</w:t>
      </w:r>
    </w:p>
    <w:p w:rsidR="006E56FB" w:rsidRPr="00C32FFF" w:rsidRDefault="006E56FB" w:rsidP="006E56FB">
      <w:pPr>
        <w:autoSpaceDE w:val="0"/>
        <w:autoSpaceDN w:val="0"/>
        <w:adjustRightInd w:val="0"/>
        <w:ind w:left="851"/>
        <w:rPr>
          <w:i/>
          <w:color w:val="000000"/>
          <w:sz w:val="24"/>
          <w:szCs w:val="24"/>
        </w:rPr>
      </w:pPr>
      <w:r w:rsidRPr="00C32FFF">
        <w:rPr>
          <w:i/>
          <w:sz w:val="24"/>
          <w:szCs w:val="24"/>
        </w:rPr>
        <w:t>Monoterapi (ovariekarcinom eller småcellet lungecancer)</w:t>
      </w:r>
      <w:r>
        <w:rPr>
          <w:i/>
          <w:sz w:val="24"/>
          <w:szCs w:val="24"/>
        </w:rPr>
        <w:t>:</w:t>
      </w:r>
    </w:p>
    <w:p w:rsidR="006E56FB" w:rsidRPr="00C32FFF" w:rsidRDefault="006E56FB" w:rsidP="006E56FB">
      <w:pPr>
        <w:autoSpaceDE w:val="0"/>
        <w:autoSpaceDN w:val="0"/>
        <w:adjustRightInd w:val="0"/>
        <w:ind w:left="851"/>
        <w:rPr>
          <w:sz w:val="24"/>
          <w:szCs w:val="24"/>
        </w:rPr>
      </w:pPr>
      <w:r w:rsidRPr="00746888">
        <w:rPr>
          <w:sz w:val="24"/>
          <w:szCs w:val="24"/>
        </w:rPr>
        <w:t>Der er utilstrækkelig erfaring med anvendelsen af topotecan hos patienter med alvorligt nedsat nyrefunktion (kreatininclearance &lt; 20 ml/min). Anvendelse af topotecan i denne gruppe af patienter frarådes (se pkt. 4.4).</w:t>
      </w:r>
      <w:r>
        <w:rPr>
          <w:sz w:val="22"/>
          <w:szCs w:val="22"/>
        </w:rPr>
        <w:t xml:space="preserve"> </w:t>
      </w:r>
      <w:r w:rsidRPr="00C32FFF">
        <w:rPr>
          <w:sz w:val="24"/>
          <w:szCs w:val="24"/>
        </w:rPr>
        <w:t>Begrænsede data tyder på, at dosis bør reduceres hos patienter med moderat nedsat nyrefunktion.</w:t>
      </w:r>
      <w:r w:rsidRPr="00C32FFF">
        <w:rPr>
          <w:color w:val="000000"/>
          <w:sz w:val="24"/>
          <w:szCs w:val="24"/>
        </w:rPr>
        <w:t xml:space="preserve"> </w:t>
      </w:r>
      <w:r w:rsidRPr="00C32FFF">
        <w:rPr>
          <w:sz w:val="24"/>
          <w:szCs w:val="24"/>
        </w:rPr>
        <w:t>Den anbefalede topotecandosis ved monoterapi til patienter med ovariekarcinom eller småcellet lungecancer og en kreatininclearance mellem 20 og 39 ml/min er 0,75 mg/m</w:t>
      </w:r>
      <w:r w:rsidRPr="00C32FFF">
        <w:rPr>
          <w:sz w:val="24"/>
          <w:szCs w:val="24"/>
          <w:vertAlign w:val="superscript"/>
        </w:rPr>
        <w:t xml:space="preserve">2 </w:t>
      </w:r>
      <w:r w:rsidRPr="00C32FFF">
        <w:rPr>
          <w:sz w:val="24"/>
          <w:szCs w:val="24"/>
        </w:rPr>
        <w:t xml:space="preserve">/dag i </w:t>
      </w:r>
      <w:r>
        <w:rPr>
          <w:sz w:val="24"/>
          <w:szCs w:val="24"/>
        </w:rPr>
        <w:t>fem</w:t>
      </w:r>
      <w:r w:rsidRPr="00C32FFF">
        <w:rPr>
          <w:sz w:val="24"/>
          <w:szCs w:val="24"/>
        </w:rPr>
        <w:t xml:space="preserve"> på hinanden følgende dage.</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Kombinationsbehandling (cervixkarcinom)</w:t>
      </w:r>
      <w:r>
        <w:rPr>
          <w:i/>
          <w:sz w:val="24"/>
          <w:szCs w:val="24"/>
        </w:rPr>
        <w:t>:</w:t>
      </w:r>
    </w:p>
    <w:p w:rsidR="006E56FB" w:rsidRPr="00C32FFF" w:rsidRDefault="006E56FB" w:rsidP="006E56FB">
      <w:pPr>
        <w:autoSpaceDE w:val="0"/>
        <w:autoSpaceDN w:val="0"/>
        <w:adjustRightInd w:val="0"/>
        <w:ind w:left="851"/>
        <w:rPr>
          <w:sz w:val="24"/>
          <w:szCs w:val="24"/>
        </w:rPr>
      </w:pPr>
      <w:r w:rsidRPr="00C32FFF">
        <w:rPr>
          <w:sz w:val="24"/>
          <w:szCs w:val="24"/>
        </w:rPr>
        <w:t>I kliniske undersøgelser af kombinationsbehandling med topotecan og cisplatin til behandling af cervixcancer, blev behandlingen kun initieret hos patienter med serum-kreatinin mindre end eller lig med 1,5 mg/dl.</w:t>
      </w:r>
      <w:r w:rsidRPr="00C32FFF">
        <w:rPr>
          <w:color w:val="000000"/>
          <w:sz w:val="24"/>
          <w:szCs w:val="24"/>
        </w:rPr>
        <w:t xml:space="preserve"> </w:t>
      </w:r>
      <w:r w:rsidRPr="00C32FFF">
        <w:rPr>
          <w:sz w:val="24"/>
          <w:szCs w:val="24"/>
        </w:rPr>
        <w:t>Hvis serum-kreatinin under kombinationsbehandling med topotecan og cisplatin overstiger 1,5 mg/dl, anbefales det at konsultere den eksisterende ordineringsinformation for rådgivning angående dosisreduktion og fortsat behandling med cisplatin.</w:t>
      </w:r>
      <w:r w:rsidRPr="00C32FFF">
        <w:rPr>
          <w:color w:val="000000"/>
          <w:sz w:val="24"/>
          <w:szCs w:val="24"/>
        </w:rPr>
        <w:t xml:space="preserve"> </w:t>
      </w:r>
    </w:p>
    <w:p w:rsidR="006E56FB" w:rsidRPr="00C32FFF" w:rsidRDefault="006E56FB" w:rsidP="006E56FB">
      <w:pPr>
        <w:autoSpaceDE w:val="0"/>
        <w:autoSpaceDN w:val="0"/>
        <w:adjustRightInd w:val="0"/>
        <w:ind w:left="851"/>
        <w:rPr>
          <w:color w:val="000000"/>
          <w:sz w:val="24"/>
          <w:szCs w:val="24"/>
        </w:rPr>
      </w:pPr>
      <w:r w:rsidRPr="00C32FFF">
        <w:rPr>
          <w:sz w:val="24"/>
          <w:szCs w:val="24"/>
        </w:rPr>
        <w:t>Hvis behandling med cisplatin seponeres, er der utilstrækkelige data om fortsat monoterapi med topotecan til patienter med cervixcancer.</w:t>
      </w:r>
    </w:p>
    <w:p w:rsidR="006E56FB" w:rsidRPr="00C32FFF" w:rsidRDefault="006E56FB" w:rsidP="006E56FB">
      <w:pPr>
        <w:autoSpaceDE w:val="0"/>
        <w:autoSpaceDN w:val="0"/>
        <w:adjustRightInd w:val="0"/>
        <w:ind w:left="851" w:hanging="851"/>
        <w:rPr>
          <w:color w:val="000000"/>
          <w:sz w:val="24"/>
          <w:szCs w:val="24"/>
        </w:rPr>
      </w:pPr>
    </w:p>
    <w:p w:rsidR="006E56FB" w:rsidRPr="00422977" w:rsidRDefault="006E56FB" w:rsidP="006E56FB">
      <w:pPr>
        <w:autoSpaceDE w:val="0"/>
        <w:autoSpaceDN w:val="0"/>
        <w:adjustRightInd w:val="0"/>
        <w:ind w:left="851"/>
        <w:rPr>
          <w:i/>
          <w:iCs/>
          <w:color w:val="000000"/>
          <w:sz w:val="24"/>
          <w:szCs w:val="24"/>
        </w:rPr>
      </w:pPr>
      <w:r w:rsidRPr="00422977">
        <w:rPr>
          <w:i/>
          <w:color w:val="000000"/>
          <w:sz w:val="24"/>
          <w:szCs w:val="24"/>
        </w:rPr>
        <w:t>Patienter med nedsat leverfunktion</w:t>
      </w:r>
    </w:p>
    <w:p w:rsidR="006E56FB" w:rsidRPr="00422977" w:rsidRDefault="006E56FB" w:rsidP="006E56FB">
      <w:pPr>
        <w:autoSpaceDE w:val="0"/>
        <w:autoSpaceDN w:val="0"/>
        <w:adjustRightInd w:val="0"/>
        <w:ind w:left="851"/>
        <w:rPr>
          <w:sz w:val="24"/>
          <w:szCs w:val="24"/>
        </w:rPr>
      </w:pPr>
      <w:r w:rsidRPr="00422977">
        <w:rPr>
          <w:sz w:val="24"/>
          <w:szCs w:val="24"/>
        </w:rPr>
        <w:t>Et mindre antal patienter med nedsat leverfunktion (serumbilirubin mellem 1,5 og 10 mg/dl) fik intravenøst 1,5 mg/m</w:t>
      </w:r>
      <w:r w:rsidRPr="00422977">
        <w:rPr>
          <w:sz w:val="24"/>
          <w:szCs w:val="24"/>
          <w:vertAlign w:val="superscript"/>
        </w:rPr>
        <w:t>2</w:t>
      </w:r>
      <w:r w:rsidRPr="00422977">
        <w:rPr>
          <w:sz w:val="24"/>
          <w:szCs w:val="24"/>
        </w:rPr>
        <w:t>/dag topotecan i fem dage hver tredje uge. Der blev observeret en reduktion i topotecan-clearance. Der er dog ikke tilstrækkelige data til rådighed til at foretage en dosisanbefaling til denne patientgruppe (se pkt. 4.4).</w:t>
      </w:r>
    </w:p>
    <w:p w:rsidR="006E56FB" w:rsidRPr="00422977" w:rsidRDefault="006E56FB" w:rsidP="006E56FB">
      <w:pPr>
        <w:autoSpaceDE w:val="0"/>
        <w:autoSpaceDN w:val="0"/>
        <w:adjustRightInd w:val="0"/>
        <w:ind w:left="851"/>
        <w:rPr>
          <w:sz w:val="24"/>
          <w:szCs w:val="24"/>
        </w:rPr>
      </w:pPr>
      <w:r w:rsidRPr="00422977">
        <w:rPr>
          <w:sz w:val="24"/>
          <w:szCs w:val="24"/>
        </w:rPr>
        <w:t xml:space="preserve">Der er utilstrækkelig erfaring med brugen af topotecan hos patienter med alvorligt nedsat leverfunktion (serumbilirubin </w:t>
      </w:r>
      <w:r w:rsidRPr="00F13244">
        <w:rPr>
          <w:rFonts w:ascii="Symbol" w:hAnsi="Symbol" w:cs="Symbol"/>
          <w:lang w:val="en-US"/>
        </w:rPr>
        <w:t></w:t>
      </w:r>
      <w:r w:rsidRPr="00422977">
        <w:rPr>
          <w:rFonts w:cs="Symbol"/>
          <w:sz w:val="24"/>
          <w:szCs w:val="24"/>
        </w:rPr>
        <w:t xml:space="preserve">10 mg/dl) på grund af cirrose. </w:t>
      </w:r>
      <w:r w:rsidRPr="00422977">
        <w:rPr>
          <w:sz w:val="24"/>
          <w:szCs w:val="24"/>
        </w:rPr>
        <w:t>Det frarådes at anvende topotecan i denne patientgruppe (se pkt. 4.4).</w:t>
      </w:r>
    </w:p>
    <w:p w:rsidR="006E56FB" w:rsidRDefault="006E56FB" w:rsidP="006E56FB">
      <w:pPr>
        <w:autoSpaceDE w:val="0"/>
        <w:autoSpaceDN w:val="0"/>
        <w:adjustRightInd w:val="0"/>
        <w:ind w:left="851"/>
        <w:rPr>
          <w:i/>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Pædiatrisk population</w:t>
      </w:r>
    </w:p>
    <w:p w:rsidR="006E56FB" w:rsidRPr="00422977" w:rsidRDefault="006E56FB" w:rsidP="006E56FB">
      <w:pPr>
        <w:autoSpaceDE w:val="0"/>
        <w:autoSpaceDN w:val="0"/>
        <w:adjustRightInd w:val="0"/>
        <w:ind w:left="851"/>
        <w:rPr>
          <w:sz w:val="24"/>
          <w:szCs w:val="24"/>
        </w:rPr>
      </w:pPr>
      <w:r w:rsidRPr="00422977">
        <w:rPr>
          <w:sz w:val="24"/>
          <w:szCs w:val="24"/>
        </w:rPr>
        <w:t>De foreliggende data er beskrevet i pkt. 5.1 og 5.2, men der kan ikke gives nogen anbefalinger vedrørende dosering.</w:t>
      </w:r>
    </w:p>
    <w:p w:rsidR="006E56FB" w:rsidRPr="00422977" w:rsidRDefault="006E56FB" w:rsidP="006E56FB">
      <w:pPr>
        <w:autoSpaceDE w:val="0"/>
        <w:autoSpaceDN w:val="0"/>
        <w:adjustRightInd w:val="0"/>
        <w:ind w:firstLine="851"/>
        <w:rPr>
          <w:color w:val="000000"/>
          <w:sz w:val="24"/>
          <w:szCs w:val="24"/>
        </w:rPr>
      </w:pPr>
    </w:p>
    <w:p w:rsidR="006E56FB" w:rsidRPr="00422977" w:rsidRDefault="006E56FB" w:rsidP="006E56FB">
      <w:pPr>
        <w:autoSpaceDE w:val="0"/>
        <w:autoSpaceDN w:val="0"/>
        <w:adjustRightInd w:val="0"/>
        <w:ind w:firstLine="851"/>
        <w:rPr>
          <w:sz w:val="24"/>
          <w:szCs w:val="24"/>
          <w:u w:val="single"/>
        </w:rPr>
      </w:pPr>
      <w:r w:rsidRPr="00422977">
        <w:rPr>
          <w:sz w:val="24"/>
          <w:szCs w:val="24"/>
          <w:u w:val="single"/>
        </w:rPr>
        <w:lastRenderedPageBreak/>
        <w:t>Administration</w:t>
      </w:r>
    </w:p>
    <w:p w:rsidR="006E56FB" w:rsidRPr="00C32FFF" w:rsidRDefault="006E56FB" w:rsidP="006E56FB">
      <w:pPr>
        <w:autoSpaceDE w:val="0"/>
        <w:autoSpaceDN w:val="0"/>
        <w:adjustRightInd w:val="0"/>
        <w:ind w:firstLine="851"/>
        <w:rPr>
          <w:color w:val="000000"/>
          <w:sz w:val="24"/>
          <w:szCs w:val="24"/>
        </w:rPr>
      </w:pPr>
      <w:r w:rsidRPr="00C32FFF">
        <w:rPr>
          <w:sz w:val="24"/>
          <w:szCs w:val="24"/>
        </w:rPr>
        <w:t>Topotecan ”Ebewe”</w:t>
      </w:r>
      <w:r>
        <w:rPr>
          <w:sz w:val="24"/>
          <w:szCs w:val="24"/>
        </w:rPr>
        <w:t xml:space="preserve"> </w:t>
      </w:r>
      <w:r w:rsidRPr="00422977">
        <w:rPr>
          <w:color w:val="000000"/>
          <w:sz w:val="24"/>
          <w:szCs w:val="24"/>
        </w:rPr>
        <w:t>skal fortyndes yderligere inden anvendelse (se pkt. 6.6).</w:t>
      </w:r>
    </w:p>
    <w:p w:rsidR="006E56FB" w:rsidRPr="00C32FFF" w:rsidRDefault="006E56FB" w:rsidP="006E56FB">
      <w:pPr>
        <w:tabs>
          <w:tab w:val="left" w:pos="851"/>
        </w:tabs>
        <w:ind w:left="851" w:hanging="851"/>
        <w:rPr>
          <w:sz w:val="24"/>
          <w:szCs w:val="24"/>
        </w:rPr>
      </w:pPr>
    </w:p>
    <w:p w:rsidR="006E56FB" w:rsidRPr="00C32FFF" w:rsidRDefault="006E56FB" w:rsidP="006E56FB">
      <w:pPr>
        <w:tabs>
          <w:tab w:val="left" w:pos="851"/>
        </w:tabs>
        <w:rPr>
          <w:b/>
          <w:sz w:val="24"/>
          <w:szCs w:val="24"/>
        </w:rPr>
      </w:pPr>
      <w:r>
        <w:rPr>
          <w:b/>
          <w:sz w:val="24"/>
          <w:szCs w:val="24"/>
        </w:rPr>
        <w:t>4.3</w:t>
      </w:r>
      <w:r>
        <w:rPr>
          <w:b/>
          <w:sz w:val="24"/>
          <w:szCs w:val="24"/>
        </w:rPr>
        <w:tab/>
      </w:r>
      <w:r w:rsidRPr="00C32FFF">
        <w:rPr>
          <w:b/>
          <w:sz w:val="24"/>
          <w:szCs w:val="24"/>
        </w:rPr>
        <w:t>Kontraindikationer</w:t>
      </w:r>
    </w:p>
    <w:p w:rsidR="006E56FB" w:rsidRPr="00C32FFF" w:rsidRDefault="006E56FB" w:rsidP="006E56FB">
      <w:pPr>
        <w:numPr>
          <w:ilvl w:val="0"/>
          <w:numId w:val="11"/>
        </w:numPr>
        <w:autoSpaceDE w:val="0"/>
        <w:autoSpaceDN w:val="0"/>
        <w:adjustRightInd w:val="0"/>
        <w:snapToGrid w:val="0"/>
        <w:ind w:left="1276" w:hanging="425"/>
        <w:rPr>
          <w:color w:val="000000"/>
          <w:sz w:val="24"/>
          <w:szCs w:val="24"/>
        </w:rPr>
      </w:pPr>
      <w:r>
        <w:rPr>
          <w:sz w:val="24"/>
          <w:szCs w:val="24"/>
        </w:rPr>
        <w:t>Alvorlig</w:t>
      </w:r>
      <w:r w:rsidRPr="00C32FFF">
        <w:rPr>
          <w:sz w:val="24"/>
          <w:szCs w:val="24"/>
        </w:rPr>
        <w:t xml:space="preserve"> overfølsom</w:t>
      </w:r>
      <w:r>
        <w:rPr>
          <w:sz w:val="24"/>
          <w:szCs w:val="24"/>
        </w:rPr>
        <w:t>hed</w:t>
      </w:r>
      <w:r w:rsidRPr="00C32FFF">
        <w:rPr>
          <w:sz w:val="24"/>
          <w:szCs w:val="24"/>
        </w:rPr>
        <w:t xml:space="preserve"> over for det aktive stof eller over for et eller flere af hjælpestofferne</w:t>
      </w:r>
      <w:r>
        <w:rPr>
          <w:sz w:val="24"/>
          <w:szCs w:val="24"/>
        </w:rPr>
        <w:t>.</w:t>
      </w:r>
    </w:p>
    <w:p w:rsidR="006E56FB" w:rsidRPr="00C32FFF" w:rsidRDefault="006E56FB" w:rsidP="006E56FB">
      <w:pPr>
        <w:numPr>
          <w:ilvl w:val="0"/>
          <w:numId w:val="11"/>
        </w:numPr>
        <w:autoSpaceDE w:val="0"/>
        <w:autoSpaceDN w:val="0"/>
        <w:adjustRightInd w:val="0"/>
        <w:snapToGrid w:val="0"/>
        <w:ind w:left="1276" w:hanging="425"/>
        <w:rPr>
          <w:color w:val="000000"/>
          <w:sz w:val="24"/>
          <w:szCs w:val="24"/>
        </w:rPr>
      </w:pPr>
      <w:r>
        <w:rPr>
          <w:sz w:val="24"/>
          <w:szCs w:val="24"/>
        </w:rPr>
        <w:t>Amning</w:t>
      </w:r>
      <w:r w:rsidRPr="00C32FFF">
        <w:rPr>
          <w:sz w:val="24"/>
          <w:szCs w:val="24"/>
        </w:rPr>
        <w:t xml:space="preserve"> (se pkt. 4.6)</w:t>
      </w:r>
      <w:r>
        <w:rPr>
          <w:sz w:val="24"/>
          <w:szCs w:val="24"/>
        </w:rPr>
        <w:t>.</w:t>
      </w:r>
    </w:p>
    <w:p w:rsidR="006E56FB" w:rsidRPr="00C32FFF" w:rsidRDefault="006E56FB" w:rsidP="006E56FB">
      <w:pPr>
        <w:numPr>
          <w:ilvl w:val="0"/>
          <w:numId w:val="11"/>
        </w:numPr>
        <w:autoSpaceDE w:val="0"/>
        <w:autoSpaceDN w:val="0"/>
        <w:adjustRightInd w:val="0"/>
        <w:snapToGrid w:val="0"/>
        <w:ind w:left="1276" w:hanging="425"/>
        <w:rPr>
          <w:color w:val="000000"/>
          <w:sz w:val="24"/>
          <w:szCs w:val="24"/>
        </w:rPr>
      </w:pPr>
      <w:r>
        <w:rPr>
          <w:sz w:val="24"/>
          <w:szCs w:val="24"/>
        </w:rPr>
        <w:t>A</w:t>
      </w:r>
      <w:r w:rsidRPr="00C32FFF">
        <w:rPr>
          <w:sz w:val="24"/>
          <w:szCs w:val="24"/>
        </w:rPr>
        <w:t>lvorlig knoglemarvssuppression før det første behandlingsforløb indledes, hvilket vises ved et baseline neutrofiltal på &lt; 1,5 x 10</w:t>
      </w:r>
      <w:r w:rsidRPr="00C32FFF">
        <w:rPr>
          <w:sz w:val="24"/>
          <w:szCs w:val="24"/>
          <w:vertAlign w:val="superscript"/>
        </w:rPr>
        <w:t>9</w:t>
      </w:r>
      <w:r w:rsidRPr="00C32FFF">
        <w:rPr>
          <w:sz w:val="24"/>
          <w:szCs w:val="24"/>
        </w:rPr>
        <w:t>/l og/eller et trombocyttal på &lt; 100 x 10</w:t>
      </w:r>
      <w:r w:rsidRPr="00C32FFF">
        <w:rPr>
          <w:sz w:val="24"/>
          <w:szCs w:val="24"/>
          <w:vertAlign w:val="superscript"/>
        </w:rPr>
        <w:t>9</w:t>
      </w:r>
      <w:r w:rsidRPr="00C32FFF">
        <w:rPr>
          <w:sz w:val="24"/>
          <w:szCs w:val="24"/>
        </w:rPr>
        <w:t>/l.</w:t>
      </w:r>
    </w:p>
    <w:p w:rsidR="006E56FB" w:rsidRPr="00C32FFF" w:rsidRDefault="006E56FB" w:rsidP="006E56FB">
      <w:pPr>
        <w:rPr>
          <w:sz w:val="24"/>
          <w:szCs w:val="24"/>
        </w:rPr>
      </w:pPr>
    </w:p>
    <w:p w:rsidR="006E56FB" w:rsidRPr="002378EE" w:rsidRDefault="006E56FB" w:rsidP="006E56FB">
      <w:pPr>
        <w:tabs>
          <w:tab w:val="left" w:pos="851"/>
        </w:tabs>
        <w:rPr>
          <w:b/>
          <w:sz w:val="24"/>
          <w:szCs w:val="24"/>
        </w:rPr>
      </w:pPr>
      <w:r>
        <w:rPr>
          <w:b/>
          <w:sz w:val="24"/>
          <w:szCs w:val="24"/>
        </w:rPr>
        <w:t xml:space="preserve">4.4 </w:t>
      </w:r>
      <w:r>
        <w:rPr>
          <w:b/>
          <w:sz w:val="24"/>
          <w:szCs w:val="24"/>
        </w:rPr>
        <w:tab/>
      </w:r>
      <w:r w:rsidRPr="00C32FFF">
        <w:rPr>
          <w:b/>
          <w:sz w:val="24"/>
          <w:szCs w:val="24"/>
        </w:rPr>
        <w:t>Særlige advarsler og forsigtighedsregler vedrørende brugen</w:t>
      </w: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Den hæmatologiske toksicitet er dosisafhængig, og det samlede blodbillede, herunder trombocyttallet, bør </w:t>
      </w:r>
      <w:r>
        <w:rPr>
          <w:sz w:val="24"/>
          <w:szCs w:val="24"/>
        </w:rPr>
        <w:t>fastlægges</w:t>
      </w:r>
      <w:r w:rsidRPr="00C32FFF">
        <w:rPr>
          <w:sz w:val="24"/>
          <w:szCs w:val="24"/>
        </w:rPr>
        <w:t xml:space="preserve"> </w:t>
      </w:r>
      <w:r>
        <w:rPr>
          <w:sz w:val="24"/>
          <w:szCs w:val="24"/>
        </w:rPr>
        <w:t>jævnligt</w:t>
      </w:r>
      <w:r w:rsidRPr="00C32FFF">
        <w:rPr>
          <w:sz w:val="24"/>
          <w:szCs w:val="24"/>
        </w:rPr>
        <w:t xml:space="preserve"> (se pkt. 4.2).</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Topotecan kan som andre cytotoksiske lægemidler forårsage svær myelosuppression.</w:t>
      </w:r>
      <w:r w:rsidRPr="00C32FFF">
        <w:rPr>
          <w:color w:val="000000"/>
          <w:sz w:val="24"/>
          <w:szCs w:val="24"/>
        </w:rPr>
        <w:t xml:space="preserve"> </w:t>
      </w:r>
    </w:p>
    <w:p w:rsidR="006E56FB" w:rsidRPr="00C32FFF" w:rsidRDefault="006E56FB" w:rsidP="006E56FB">
      <w:pPr>
        <w:autoSpaceDE w:val="0"/>
        <w:autoSpaceDN w:val="0"/>
        <w:adjustRightInd w:val="0"/>
        <w:ind w:left="851"/>
        <w:rPr>
          <w:color w:val="000000"/>
          <w:sz w:val="24"/>
          <w:szCs w:val="24"/>
        </w:rPr>
      </w:pPr>
      <w:r w:rsidRPr="00C32FFF">
        <w:rPr>
          <w:sz w:val="24"/>
          <w:szCs w:val="24"/>
        </w:rPr>
        <w:t>Hos patienter, der behandles med topotecan, er der rapporteret om myelosuppression, der har ført til sepsis, og dødsfald på grund af sepsis (se pkt. 4.8).</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Neutropeni, som er induceret af topotecan, kan medføre neutropenisk kolitis.</w:t>
      </w:r>
      <w:r w:rsidRPr="00C32FFF">
        <w:rPr>
          <w:color w:val="000000"/>
          <w:sz w:val="24"/>
          <w:szCs w:val="24"/>
        </w:rPr>
        <w:t xml:space="preserve"> </w:t>
      </w:r>
      <w:r w:rsidRPr="00C32FFF">
        <w:rPr>
          <w:sz w:val="24"/>
          <w:szCs w:val="24"/>
        </w:rPr>
        <w:t xml:space="preserve">I de kliniske </w:t>
      </w:r>
      <w:r>
        <w:rPr>
          <w:sz w:val="24"/>
          <w:szCs w:val="24"/>
        </w:rPr>
        <w:t>studier</w:t>
      </w:r>
      <w:r w:rsidRPr="00C32FFF">
        <w:rPr>
          <w:sz w:val="24"/>
          <w:szCs w:val="24"/>
        </w:rPr>
        <w:t xml:space="preserve"> med topotecan er dødsfald forårsaget af neutropenisk kolitis blevet rapporteret.</w:t>
      </w:r>
      <w:r w:rsidRPr="00C32FFF">
        <w:rPr>
          <w:color w:val="000000"/>
          <w:sz w:val="24"/>
          <w:szCs w:val="24"/>
        </w:rPr>
        <w:t xml:space="preserve"> </w:t>
      </w:r>
      <w:r w:rsidRPr="00C32FFF">
        <w:rPr>
          <w:sz w:val="24"/>
          <w:szCs w:val="24"/>
        </w:rPr>
        <w:t>Risikoen for neutropenisk kolitis bør overvejes hos patienter, som har feber, neutropeni og et kompatibelt mønster med mavesmerter.</w:t>
      </w:r>
    </w:p>
    <w:p w:rsidR="006E56FB" w:rsidRPr="00C32FFF" w:rsidRDefault="006E56FB" w:rsidP="006E56FB">
      <w:pPr>
        <w:autoSpaceDE w:val="0"/>
        <w:autoSpaceDN w:val="0"/>
        <w:adjustRightInd w:val="0"/>
        <w:ind w:left="851" w:hanging="851"/>
        <w:rPr>
          <w:color w:val="000000"/>
          <w:sz w:val="24"/>
          <w:szCs w:val="24"/>
        </w:rPr>
      </w:pPr>
    </w:p>
    <w:p w:rsidR="006E56FB" w:rsidRPr="00CC7C82" w:rsidRDefault="006E56FB" w:rsidP="006E56FB">
      <w:pPr>
        <w:autoSpaceDE w:val="0"/>
        <w:autoSpaceDN w:val="0"/>
        <w:adjustRightInd w:val="0"/>
        <w:ind w:left="851"/>
        <w:rPr>
          <w:sz w:val="24"/>
          <w:szCs w:val="24"/>
        </w:rPr>
      </w:pPr>
      <w:r w:rsidRPr="00CC7C82">
        <w:rPr>
          <w:sz w:val="24"/>
          <w:szCs w:val="24"/>
        </w:rPr>
        <w:t>Topotecan er blevet forbundet med rapporter om interstitiel lungesygdom (ILD), hvoraf nogle var fatale (se pkt. 4.8).</w:t>
      </w:r>
      <w:r w:rsidRPr="00CC7C82">
        <w:rPr>
          <w:color w:val="000000"/>
          <w:sz w:val="24"/>
          <w:szCs w:val="24"/>
        </w:rPr>
        <w:t xml:space="preserve"> </w:t>
      </w:r>
      <w:r w:rsidRPr="00CC7C82">
        <w:rPr>
          <w:sz w:val="24"/>
          <w:szCs w:val="24"/>
        </w:rPr>
        <w:t xml:space="preserve">Underliggende risikofaktorer omfatter tidligere ILD, lungefibrose, lungecancer, eksponering af thorax over for stråler og anvendelse af pneumotoksiske </w:t>
      </w:r>
      <w:r>
        <w:rPr>
          <w:sz w:val="24"/>
          <w:szCs w:val="24"/>
        </w:rPr>
        <w:t>stoffer</w:t>
      </w:r>
      <w:r w:rsidRPr="00CC7C82">
        <w:rPr>
          <w:sz w:val="24"/>
          <w:szCs w:val="24"/>
        </w:rPr>
        <w:t xml:space="preserve"> og/eller kolonistimulerende faktorer.</w:t>
      </w:r>
      <w:r w:rsidRPr="00CC7C82">
        <w:rPr>
          <w:color w:val="000000"/>
          <w:sz w:val="24"/>
          <w:szCs w:val="24"/>
        </w:rPr>
        <w:t xml:space="preserve"> </w:t>
      </w:r>
      <w:r w:rsidRPr="00CC7C82">
        <w:rPr>
          <w:sz w:val="24"/>
          <w:szCs w:val="24"/>
        </w:rPr>
        <w:t>Patienter bør overvåges for lungesymptomer, der tyder på en ILD (f.eks. hoste, feber, dyspnø og/eller hypoksi). Topotecan bør seponeres, hvis en ny diagnose af ILD bekræftes.</w:t>
      </w:r>
    </w:p>
    <w:p w:rsidR="006E56FB" w:rsidRPr="00CC7C82"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C7C82">
        <w:rPr>
          <w:sz w:val="24"/>
          <w:szCs w:val="24"/>
        </w:rPr>
        <w:t>Topotecan-monoterapi og topotecan i kombination med cisplatin forbindes ofte med klinisk relevant trombocytopeni.</w:t>
      </w:r>
      <w:r w:rsidRPr="00CC7C82">
        <w:rPr>
          <w:color w:val="000000"/>
          <w:sz w:val="24"/>
          <w:szCs w:val="24"/>
        </w:rPr>
        <w:t xml:space="preserve"> </w:t>
      </w:r>
      <w:r w:rsidRPr="00CC7C82">
        <w:rPr>
          <w:sz w:val="24"/>
          <w:szCs w:val="24"/>
        </w:rPr>
        <w:t xml:space="preserve">Det bør der tages hensyn til, </w:t>
      </w:r>
      <w:r>
        <w:rPr>
          <w:sz w:val="24"/>
          <w:szCs w:val="24"/>
        </w:rPr>
        <w:t xml:space="preserve">når topotecan ordineres, </w:t>
      </w:r>
      <w:r w:rsidRPr="00CC7C82">
        <w:rPr>
          <w:sz w:val="24"/>
          <w:szCs w:val="24"/>
        </w:rPr>
        <w:t>hvis det f.eks. overvejes at behandle patienter med en øget risiko for tumorblødning.</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 xml:space="preserve">Som </w:t>
      </w:r>
      <w:r>
        <w:rPr>
          <w:sz w:val="24"/>
          <w:szCs w:val="24"/>
        </w:rPr>
        <w:t xml:space="preserve">det ville være </w:t>
      </w:r>
      <w:r w:rsidRPr="00C32FFF">
        <w:rPr>
          <w:sz w:val="24"/>
          <w:szCs w:val="24"/>
        </w:rPr>
        <w:t>forventet</w:t>
      </w:r>
      <w:r>
        <w:rPr>
          <w:sz w:val="24"/>
          <w:szCs w:val="24"/>
        </w:rPr>
        <w:t>,</w:t>
      </w:r>
      <w:r w:rsidRPr="00C32FFF">
        <w:rPr>
          <w:sz w:val="24"/>
          <w:szCs w:val="24"/>
        </w:rPr>
        <w:t xml:space="preserve"> har patienter med dårlig performance status (PS&gt;1) en lavere responsrate og en øget incidens af komplikationer såsom feber, infektion og sepsis (se pkt. 4.8).</w:t>
      </w:r>
      <w:r w:rsidRPr="00C32FFF">
        <w:rPr>
          <w:color w:val="000000"/>
          <w:sz w:val="24"/>
          <w:szCs w:val="24"/>
        </w:rPr>
        <w:t xml:space="preserve"> </w:t>
      </w:r>
      <w:r w:rsidRPr="00C32FFF">
        <w:rPr>
          <w:sz w:val="24"/>
          <w:szCs w:val="24"/>
        </w:rPr>
        <w:t xml:space="preserve">Det er vigtigt at vurdere performance status omhyggeligt ved påbegyndelse af behandlingen for at sikre, at patienternes performance status ikke forværres til </w:t>
      </w:r>
      <w:r>
        <w:rPr>
          <w:sz w:val="24"/>
          <w:szCs w:val="24"/>
        </w:rPr>
        <w:t>PS</w:t>
      </w:r>
      <w:r w:rsidRPr="00C32FFF">
        <w:rPr>
          <w:sz w:val="24"/>
          <w:szCs w:val="24"/>
        </w:rPr>
        <w:t xml:space="preserve"> 3.</w:t>
      </w:r>
    </w:p>
    <w:p w:rsidR="006E56FB" w:rsidRPr="00C32FFF" w:rsidRDefault="006E56FB" w:rsidP="006E56FB">
      <w:pPr>
        <w:autoSpaceDE w:val="0"/>
        <w:autoSpaceDN w:val="0"/>
        <w:adjustRightInd w:val="0"/>
        <w:ind w:left="851" w:hanging="851"/>
        <w:rPr>
          <w:color w:val="000000"/>
          <w:sz w:val="24"/>
          <w:szCs w:val="24"/>
        </w:rPr>
      </w:pPr>
    </w:p>
    <w:p w:rsidR="006E56FB" w:rsidRPr="00746888" w:rsidRDefault="006E56FB" w:rsidP="006E56FB">
      <w:pPr>
        <w:autoSpaceDE w:val="0"/>
        <w:autoSpaceDN w:val="0"/>
        <w:adjustRightInd w:val="0"/>
        <w:ind w:left="851"/>
        <w:rPr>
          <w:color w:val="000000"/>
          <w:sz w:val="24"/>
          <w:szCs w:val="24"/>
        </w:rPr>
      </w:pPr>
      <w:r w:rsidRPr="00C32FFF">
        <w:rPr>
          <w:color w:val="000000"/>
          <w:sz w:val="24"/>
          <w:szCs w:val="24"/>
        </w:rPr>
        <w:t xml:space="preserve">Der er ikke tilstrækkelig erfaring med brug af topotecan til patienter med svært nedsat nyrefunktion (kreatinin-clearance &lt; 20 ml/min) eller svært nedsat leverfunktion (serum-bilirubin </w:t>
      </w:r>
      <w:r w:rsidRPr="00C32FFF">
        <w:rPr>
          <w:sz w:val="24"/>
          <w:szCs w:val="24"/>
        </w:rPr>
        <w:sym w:font="Symbol" w:char="00B3"/>
      </w:r>
      <w:r w:rsidRPr="00C32FFF">
        <w:rPr>
          <w:color w:val="000000"/>
          <w:sz w:val="24"/>
          <w:szCs w:val="24"/>
        </w:rPr>
        <w:t xml:space="preserve"> 10 mg/dl) på grund af cirrose. </w:t>
      </w:r>
      <w:r w:rsidRPr="00746888">
        <w:rPr>
          <w:sz w:val="24"/>
          <w:szCs w:val="24"/>
        </w:rPr>
        <w:t>Anvendelse af topotecan i disse patientgrupper frarådes (se pkt. 4.2).</w:t>
      </w:r>
    </w:p>
    <w:p w:rsidR="006E56FB" w:rsidRPr="00C32FFF" w:rsidRDefault="006E56FB" w:rsidP="006E56FB">
      <w:pPr>
        <w:autoSpaceDE w:val="0"/>
        <w:autoSpaceDN w:val="0"/>
        <w:adjustRightInd w:val="0"/>
        <w:ind w:left="851" w:hanging="851"/>
        <w:rPr>
          <w:color w:val="000000"/>
          <w:sz w:val="24"/>
          <w:szCs w:val="24"/>
        </w:rPr>
      </w:pPr>
    </w:p>
    <w:p w:rsidR="006E56FB" w:rsidRPr="00CC7C82" w:rsidRDefault="006E56FB" w:rsidP="006E56FB">
      <w:pPr>
        <w:autoSpaceDE w:val="0"/>
        <w:autoSpaceDN w:val="0"/>
        <w:adjustRightInd w:val="0"/>
        <w:ind w:left="851"/>
        <w:rPr>
          <w:color w:val="000000"/>
          <w:sz w:val="24"/>
          <w:szCs w:val="24"/>
        </w:rPr>
      </w:pPr>
      <w:r w:rsidRPr="00CC7C82">
        <w:rPr>
          <w:color w:val="000000"/>
          <w:sz w:val="24"/>
          <w:szCs w:val="24"/>
        </w:rPr>
        <w:t>Et lille antal hepatisk svækkede patienter (serumbilirubin mellem 1,5 og 10 mg/dl) fik topotecan 1,5 mg/m</w:t>
      </w:r>
      <w:r w:rsidRPr="00CC7C82">
        <w:rPr>
          <w:color w:val="000000"/>
          <w:sz w:val="24"/>
          <w:szCs w:val="24"/>
          <w:vertAlign w:val="superscript"/>
        </w:rPr>
        <w:t>2</w:t>
      </w:r>
      <w:r>
        <w:rPr>
          <w:color w:val="000000"/>
          <w:sz w:val="24"/>
          <w:szCs w:val="24"/>
        </w:rPr>
        <w:t xml:space="preserve">/dag </w:t>
      </w:r>
      <w:r w:rsidRPr="00CC7C82">
        <w:rPr>
          <w:color w:val="000000"/>
          <w:sz w:val="24"/>
          <w:szCs w:val="24"/>
        </w:rPr>
        <w:t>intravenøst i fem dage hver tredje uge. En reduktion i clearance af topotecan blev observeret. Der er dog ikke en tilstrækkelig mængde data tilgængelig til at kunne give en anbefaling vedrørende dosering til denne patientgruppe</w:t>
      </w:r>
      <w:r>
        <w:rPr>
          <w:color w:val="000000"/>
          <w:sz w:val="24"/>
          <w:szCs w:val="24"/>
        </w:rPr>
        <w:t xml:space="preserve"> (se pkt. 4.2)</w:t>
      </w:r>
      <w:r w:rsidRPr="00CC7C82">
        <w:rPr>
          <w:color w:val="000000"/>
          <w:sz w:val="24"/>
          <w:szCs w:val="24"/>
        </w:rPr>
        <w:t>.</w:t>
      </w:r>
    </w:p>
    <w:p w:rsidR="006E56FB" w:rsidRPr="00C32FFF" w:rsidRDefault="006E56FB" w:rsidP="006E56FB">
      <w:pPr>
        <w:autoSpaceDE w:val="0"/>
        <w:autoSpaceDN w:val="0"/>
        <w:adjustRightInd w:val="0"/>
        <w:ind w:left="851"/>
        <w:rPr>
          <w:sz w:val="24"/>
          <w:szCs w:val="24"/>
        </w:rPr>
      </w:pPr>
    </w:p>
    <w:p w:rsidR="006E56FB" w:rsidRPr="002378EE" w:rsidRDefault="006E56FB" w:rsidP="006E56FB">
      <w:pPr>
        <w:keepNext/>
        <w:tabs>
          <w:tab w:val="left" w:pos="851"/>
        </w:tabs>
        <w:rPr>
          <w:b/>
          <w:sz w:val="24"/>
          <w:szCs w:val="24"/>
        </w:rPr>
      </w:pPr>
      <w:r>
        <w:rPr>
          <w:b/>
          <w:sz w:val="24"/>
          <w:szCs w:val="24"/>
        </w:rPr>
        <w:lastRenderedPageBreak/>
        <w:t xml:space="preserve">4.5 </w:t>
      </w:r>
      <w:r>
        <w:rPr>
          <w:b/>
          <w:sz w:val="24"/>
          <w:szCs w:val="24"/>
        </w:rPr>
        <w:tab/>
      </w:r>
      <w:r w:rsidRPr="00C32FFF">
        <w:rPr>
          <w:b/>
          <w:sz w:val="24"/>
          <w:szCs w:val="24"/>
        </w:rPr>
        <w:t>Interaktion med andre lægemidler og andre former for interaktion</w:t>
      </w:r>
    </w:p>
    <w:p w:rsidR="006E56FB" w:rsidRPr="00C32FFF" w:rsidRDefault="006E56FB" w:rsidP="006E56FB">
      <w:pPr>
        <w:autoSpaceDE w:val="0"/>
        <w:autoSpaceDN w:val="0"/>
        <w:adjustRightInd w:val="0"/>
        <w:ind w:left="851"/>
        <w:rPr>
          <w:iCs/>
          <w:color w:val="000000"/>
          <w:sz w:val="24"/>
          <w:szCs w:val="24"/>
        </w:rPr>
      </w:pPr>
      <w:r w:rsidRPr="00C32FFF">
        <w:rPr>
          <w:sz w:val="24"/>
          <w:szCs w:val="24"/>
        </w:rPr>
        <w:t xml:space="preserve">Der er ikke udført </w:t>
      </w:r>
      <w:r w:rsidRPr="00C32FFF">
        <w:rPr>
          <w:i/>
          <w:sz w:val="24"/>
          <w:szCs w:val="24"/>
        </w:rPr>
        <w:t xml:space="preserve">in vivo </w:t>
      </w:r>
      <w:r w:rsidRPr="00C32FFF">
        <w:rPr>
          <w:iCs/>
          <w:sz w:val="24"/>
          <w:szCs w:val="24"/>
        </w:rPr>
        <w:t>farmakokinetiske interaktionsundersøgelser på mennesker.</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Topotecan hæmmer ikke humane P450-enzymer (se pkt. 5.2).</w:t>
      </w:r>
      <w:r w:rsidRPr="00C32FFF">
        <w:rPr>
          <w:color w:val="000000"/>
          <w:sz w:val="24"/>
          <w:szCs w:val="24"/>
        </w:rPr>
        <w:t xml:space="preserve"> </w:t>
      </w:r>
      <w:r w:rsidRPr="00C32FFF">
        <w:rPr>
          <w:sz w:val="24"/>
          <w:szCs w:val="24"/>
        </w:rPr>
        <w:t xml:space="preserve">I </w:t>
      </w:r>
      <w:r>
        <w:rPr>
          <w:sz w:val="24"/>
          <w:szCs w:val="24"/>
        </w:rPr>
        <w:t>et</w:t>
      </w:r>
      <w:r w:rsidRPr="00C32FFF">
        <w:rPr>
          <w:sz w:val="24"/>
          <w:szCs w:val="24"/>
        </w:rPr>
        <w:t xml:space="preserve"> populations</w:t>
      </w:r>
      <w:r>
        <w:rPr>
          <w:sz w:val="24"/>
          <w:szCs w:val="24"/>
        </w:rPr>
        <w:t>studie med intravenøs administration</w:t>
      </w:r>
      <w:r w:rsidRPr="00C32FFF">
        <w:rPr>
          <w:sz w:val="24"/>
          <w:szCs w:val="24"/>
        </w:rPr>
        <w:t xml:space="preserve"> blev farmakokinetikken for total topotecan (aktiv og inaktiv form) ikke påvirket signifikant af samtidig administration af granisetron, ondansetron, morfin eller kortikosteroider.</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Når topotecan gives sammen med andre kemoterapeutika</w:t>
      </w:r>
      <w:r>
        <w:rPr>
          <w:sz w:val="24"/>
          <w:szCs w:val="24"/>
        </w:rPr>
        <w:t>,</w:t>
      </w:r>
      <w:r w:rsidRPr="00C32FFF">
        <w:rPr>
          <w:sz w:val="24"/>
          <w:szCs w:val="24"/>
        </w:rPr>
        <w:t xml:space="preserve"> kan det være nødvendigt at reducere dosis af de enkelte lægemidler for at forbedre tolerabiliteten.</w:t>
      </w:r>
      <w:r w:rsidRPr="00C32FFF">
        <w:rPr>
          <w:color w:val="000000"/>
          <w:sz w:val="24"/>
          <w:szCs w:val="24"/>
        </w:rPr>
        <w:t xml:space="preserve"> </w:t>
      </w:r>
      <w:r>
        <w:rPr>
          <w:sz w:val="24"/>
          <w:szCs w:val="24"/>
        </w:rPr>
        <w:t>Ved</w:t>
      </w:r>
      <w:r w:rsidRPr="00C32FFF">
        <w:rPr>
          <w:sz w:val="24"/>
          <w:szCs w:val="24"/>
        </w:rPr>
        <w:t xml:space="preserve"> kombination med stoffer indeholdende platin er der dog en særlig sekvensafhængig interaktion, afhængig af om stoffet indeholdende platin gives på dag 1 eller 5 i løbet af doseringen med topotecan.</w:t>
      </w:r>
      <w:r w:rsidRPr="00C32FFF">
        <w:rPr>
          <w:color w:val="000000"/>
          <w:sz w:val="24"/>
          <w:szCs w:val="24"/>
        </w:rPr>
        <w:t xml:space="preserve"> </w:t>
      </w:r>
      <w:r w:rsidRPr="00C32FFF">
        <w:rPr>
          <w:sz w:val="24"/>
          <w:szCs w:val="24"/>
        </w:rPr>
        <w:t>Hvis cisplatin eller carboplatin gives på dag 1 for dosering med topotecan, skal der gives en lavere dosis af begge stoffer for at forbedre tolerabiliteten, sammenlignet med den dosis, der kan gives af stofferne indeholdende platin, hvis de gives på dag 5 for dosering med topotecan.</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Hvis topotecan (0,75 mg/m</w:t>
      </w:r>
      <w:r w:rsidRPr="00C32FFF">
        <w:rPr>
          <w:sz w:val="24"/>
          <w:szCs w:val="24"/>
          <w:vertAlign w:val="superscript"/>
        </w:rPr>
        <w:t>2</w:t>
      </w:r>
      <w:r w:rsidRPr="00C32FFF">
        <w:rPr>
          <w:sz w:val="24"/>
          <w:szCs w:val="24"/>
        </w:rPr>
        <w:t>/dag i 5 på hinanden følgende dage) og cisplatin (60 mg/m</w:t>
      </w:r>
      <w:r w:rsidRPr="00C32FFF">
        <w:rPr>
          <w:sz w:val="24"/>
          <w:szCs w:val="24"/>
          <w:vertAlign w:val="superscript"/>
        </w:rPr>
        <w:t>2</w:t>
      </w:r>
      <w:r w:rsidRPr="00C32FFF">
        <w:rPr>
          <w:sz w:val="24"/>
          <w:szCs w:val="24"/>
        </w:rPr>
        <w:t>/dag på dag 1) gives til 13 patienter med ovariecancer, blev der set en lille stigning i AUC (12 %, n = 9) og i C</w:t>
      </w:r>
      <w:r w:rsidRPr="00C32FFF">
        <w:rPr>
          <w:sz w:val="24"/>
          <w:szCs w:val="24"/>
          <w:vertAlign w:val="subscript"/>
        </w:rPr>
        <w:t>max</w:t>
      </w:r>
      <w:r w:rsidRPr="00C32FFF">
        <w:rPr>
          <w:sz w:val="24"/>
          <w:szCs w:val="24"/>
        </w:rPr>
        <w:t xml:space="preserve"> (23 %, n = 11) på dag 5. Det anses for usandsynligt, at denne stigning har klinisk relevans.</w:t>
      </w:r>
    </w:p>
    <w:p w:rsidR="006E56FB" w:rsidRPr="00C32FFF" w:rsidRDefault="006E56FB" w:rsidP="006E56FB">
      <w:pPr>
        <w:tabs>
          <w:tab w:val="left" w:pos="851"/>
        </w:tabs>
        <w:ind w:left="851" w:hanging="851"/>
        <w:rPr>
          <w:sz w:val="24"/>
          <w:szCs w:val="24"/>
        </w:rPr>
      </w:pPr>
    </w:p>
    <w:p w:rsidR="006E56FB" w:rsidRPr="00C32FFF" w:rsidRDefault="006E56FB" w:rsidP="006E56FB">
      <w:pPr>
        <w:tabs>
          <w:tab w:val="left" w:pos="851"/>
        </w:tabs>
        <w:rPr>
          <w:b/>
          <w:sz w:val="24"/>
          <w:szCs w:val="24"/>
        </w:rPr>
      </w:pPr>
      <w:r>
        <w:rPr>
          <w:b/>
          <w:sz w:val="24"/>
          <w:szCs w:val="24"/>
        </w:rPr>
        <w:t xml:space="preserve">4.6 </w:t>
      </w:r>
      <w:r>
        <w:rPr>
          <w:b/>
          <w:sz w:val="24"/>
          <w:szCs w:val="24"/>
        </w:rPr>
        <w:tab/>
      </w:r>
      <w:r w:rsidRPr="00C32FFF">
        <w:rPr>
          <w:b/>
          <w:sz w:val="24"/>
          <w:szCs w:val="24"/>
        </w:rPr>
        <w:t>Graviditet og amning</w:t>
      </w:r>
    </w:p>
    <w:p w:rsidR="006E56FB" w:rsidRPr="00FD44B6" w:rsidRDefault="006E56FB" w:rsidP="006E56FB">
      <w:pPr>
        <w:autoSpaceDE w:val="0"/>
        <w:autoSpaceDN w:val="0"/>
        <w:adjustRightInd w:val="0"/>
        <w:ind w:left="851"/>
        <w:rPr>
          <w:sz w:val="24"/>
          <w:szCs w:val="24"/>
          <w:u w:val="single"/>
        </w:rPr>
      </w:pPr>
      <w:r w:rsidRPr="00FD44B6">
        <w:rPr>
          <w:sz w:val="24"/>
          <w:szCs w:val="24"/>
          <w:u w:val="single"/>
        </w:rPr>
        <w:t xml:space="preserve">Kvinder i den fertile alder/prævention til mænd og kvinder </w:t>
      </w:r>
    </w:p>
    <w:p w:rsidR="006E56FB" w:rsidRPr="00422977" w:rsidRDefault="006E56FB" w:rsidP="006E56FB">
      <w:pPr>
        <w:autoSpaceDE w:val="0"/>
        <w:autoSpaceDN w:val="0"/>
        <w:adjustRightInd w:val="0"/>
        <w:ind w:left="851"/>
        <w:rPr>
          <w:color w:val="000000"/>
          <w:sz w:val="24"/>
          <w:szCs w:val="24"/>
        </w:rPr>
      </w:pPr>
      <w:r w:rsidRPr="00422977">
        <w:rPr>
          <w:color w:val="000000"/>
          <w:sz w:val="24"/>
          <w:szCs w:val="24"/>
        </w:rPr>
        <w:t>Prækliniske studier har vist, at topotecan medfører embryo-/fosterdødelighed og misdannelser (se pkt. 5.3). Som for andre cytostatika kan topotecan forårsage fosterskader,</w:t>
      </w:r>
      <w:r>
        <w:rPr>
          <w:color w:val="000000"/>
          <w:sz w:val="24"/>
          <w:szCs w:val="24"/>
        </w:rPr>
        <w:t xml:space="preserve"> </w:t>
      </w:r>
      <w:r w:rsidRPr="00422977">
        <w:rPr>
          <w:color w:val="000000"/>
          <w:sz w:val="24"/>
          <w:szCs w:val="24"/>
        </w:rPr>
        <w:t>hvorfor kvinder i den fertile alder bør rådes til at undgå graviditet, hvis de er i behandling med topotecan.</w:t>
      </w:r>
    </w:p>
    <w:p w:rsidR="006E56FB" w:rsidRPr="00422977" w:rsidRDefault="006E56FB" w:rsidP="006E56FB">
      <w:pPr>
        <w:autoSpaceDE w:val="0"/>
        <w:autoSpaceDN w:val="0"/>
        <w:adjustRightInd w:val="0"/>
        <w:rPr>
          <w:color w:val="000000"/>
          <w:sz w:val="24"/>
          <w:szCs w:val="24"/>
        </w:rPr>
      </w:pPr>
    </w:p>
    <w:p w:rsidR="006E56FB" w:rsidRPr="00422977" w:rsidRDefault="006E56FB" w:rsidP="006E56FB">
      <w:pPr>
        <w:autoSpaceDE w:val="0"/>
        <w:autoSpaceDN w:val="0"/>
        <w:adjustRightInd w:val="0"/>
        <w:ind w:left="851"/>
        <w:rPr>
          <w:color w:val="000000"/>
          <w:sz w:val="24"/>
          <w:szCs w:val="24"/>
        </w:rPr>
      </w:pPr>
      <w:r w:rsidRPr="00422977">
        <w:rPr>
          <w:color w:val="000000"/>
          <w:sz w:val="24"/>
          <w:szCs w:val="24"/>
        </w:rPr>
        <w:t>Som med al cytotoksisk kemoterapi skal patienter, der behandles med topotecan, rådes til, at de eller deres partner skal anvende en effektiv præventionsmetode.</w:t>
      </w:r>
    </w:p>
    <w:p w:rsidR="006E56FB" w:rsidRDefault="006E56FB" w:rsidP="006E56FB">
      <w:pPr>
        <w:autoSpaceDE w:val="0"/>
        <w:autoSpaceDN w:val="0"/>
        <w:adjustRightInd w:val="0"/>
        <w:rPr>
          <w:color w:val="000000"/>
          <w:sz w:val="24"/>
          <w:szCs w:val="24"/>
        </w:rPr>
      </w:pPr>
    </w:p>
    <w:p w:rsidR="006E56FB" w:rsidRDefault="006E56FB" w:rsidP="006E56FB">
      <w:pPr>
        <w:autoSpaceDE w:val="0"/>
        <w:autoSpaceDN w:val="0"/>
        <w:adjustRightInd w:val="0"/>
        <w:ind w:left="851"/>
        <w:rPr>
          <w:sz w:val="24"/>
          <w:szCs w:val="24"/>
        </w:rPr>
      </w:pPr>
      <w:r w:rsidRPr="00BF0770">
        <w:rPr>
          <w:sz w:val="24"/>
          <w:szCs w:val="24"/>
          <w:u w:val="single"/>
        </w:rPr>
        <w:t>Graviditet</w:t>
      </w:r>
      <w:r w:rsidRPr="00C32FFF">
        <w:rPr>
          <w:sz w:val="24"/>
          <w:szCs w:val="24"/>
        </w:rPr>
        <w:t xml:space="preserve"> </w:t>
      </w:r>
    </w:p>
    <w:p w:rsidR="006E56FB" w:rsidRPr="00C32FFF" w:rsidRDefault="006E56FB" w:rsidP="006E56FB">
      <w:pPr>
        <w:autoSpaceDE w:val="0"/>
        <w:autoSpaceDN w:val="0"/>
        <w:adjustRightInd w:val="0"/>
        <w:ind w:left="851"/>
        <w:rPr>
          <w:sz w:val="24"/>
          <w:szCs w:val="24"/>
        </w:rPr>
      </w:pPr>
      <w:r w:rsidRPr="00C32FFF">
        <w:rPr>
          <w:sz w:val="24"/>
          <w:szCs w:val="24"/>
        </w:rPr>
        <w:t>Hvis topotecan anvendes under graviditeten, eller hvis patienten bliver gravid i løbet af behandlingen med topotecan, skal patienten advares om den potentielle risiko for fostret.</w:t>
      </w:r>
    </w:p>
    <w:p w:rsidR="006E56FB" w:rsidRPr="00C32FFF" w:rsidRDefault="006E56FB" w:rsidP="006E56FB">
      <w:pPr>
        <w:autoSpaceDE w:val="0"/>
        <w:autoSpaceDN w:val="0"/>
        <w:adjustRightInd w:val="0"/>
        <w:ind w:left="851" w:hanging="851"/>
        <w:rPr>
          <w:color w:val="000000"/>
          <w:sz w:val="24"/>
          <w:szCs w:val="24"/>
        </w:rPr>
      </w:pPr>
    </w:p>
    <w:p w:rsidR="006E56FB" w:rsidRPr="00BF0770" w:rsidRDefault="006E56FB" w:rsidP="006E56FB">
      <w:pPr>
        <w:autoSpaceDE w:val="0"/>
        <w:autoSpaceDN w:val="0"/>
        <w:adjustRightInd w:val="0"/>
        <w:ind w:left="851"/>
        <w:rPr>
          <w:sz w:val="24"/>
          <w:szCs w:val="24"/>
          <w:u w:val="single"/>
        </w:rPr>
      </w:pPr>
      <w:r w:rsidRPr="00BF0770">
        <w:rPr>
          <w:sz w:val="24"/>
          <w:szCs w:val="24"/>
          <w:u w:val="single"/>
        </w:rPr>
        <w:t>Amning</w:t>
      </w:r>
    </w:p>
    <w:p w:rsidR="006E56FB" w:rsidRPr="00C32FFF" w:rsidRDefault="006E56FB" w:rsidP="006E56FB">
      <w:pPr>
        <w:autoSpaceDE w:val="0"/>
        <w:autoSpaceDN w:val="0"/>
        <w:adjustRightInd w:val="0"/>
        <w:ind w:left="851"/>
        <w:rPr>
          <w:sz w:val="24"/>
          <w:szCs w:val="24"/>
        </w:rPr>
      </w:pPr>
      <w:r w:rsidRPr="00C32FFF">
        <w:rPr>
          <w:sz w:val="24"/>
          <w:szCs w:val="24"/>
        </w:rPr>
        <w:t>Topotecan er kontraindiceret til ammende kvinder (se pkt. 4.3).</w:t>
      </w:r>
      <w:r w:rsidRPr="00C32FFF">
        <w:rPr>
          <w:color w:val="000000"/>
          <w:sz w:val="24"/>
          <w:szCs w:val="24"/>
        </w:rPr>
        <w:t xml:space="preserve"> </w:t>
      </w:r>
      <w:r w:rsidRPr="00C32FFF">
        <w:rPr>
          <w:sz w:val="24"/>
          <w:szCs w:val="24"/>
        </w:rPr>
        <w:t>Selvom det er ukendt, om topotecan udskilles i human brystmælk, skal amning ophøre ved behandlingsstart.</w:t>
      </w:r>
    </w:p>
    <w:p w:rsidR="006E56FB" w:rsidRPr="00C32FFF" w:rsidRDefault="006E56FB" w:rsidP="006E56FB">
      <w:pPr>
        <w:autoSpaceDE w:val="0"/>
        <w:autoSpaceDN w:val="0"/>
        <w:adjustRightInd w:val="0"/>
        <w:ind w:left="851" w:hanging="851"/>
        <w:rPr>
          <w:color w:val="000000"/>
          <w:sz w:val="24"/>
          <w:szCs w:val="24"/>
        </w:rPr>
      </w:pPr>
    </w:p>
    <w:p w:rsidR="006E56FB" w:rsidRDefault="006E56FB" w:rsidP="006E56FB">
      <w:pPr>
        <w:autoSpaceDE w:val="0"/>
        <w:autoSpaceDN w:val="0"/>
        <w:adjustRightInd w:val="0"/>
        <w:ind w:left="851"/>
        <w:rPr>
          <w:sz w:val="24"/>
          <w:szCs w:val="24"/>
        </w:rPr>
      </w:pPr>
      <w:r w:rsidRPr="00BF0770">
        <w:rPr>
          <w:sz w:val="24"/>
          <w:szCs w:val="24"/>
          <w:u w:val="single"/>
        </w:rPr>
        <w:t>Fertilitet</w:t>
      </w:r>
      <w:r w:rsidRPr="00C32FFF">
        <w:rPr>
          <w:sz w:val="24"/>
          <w:szCs w:val="24"/>
        </w:rPr>
        <w:t xml:space="preserve"> </w:t>
      </w:r>
    </w:p>
    <w:p w:rsidR="006E56FB" w:rsidRPr="00C32FFF" w:rsidRDefault="006E56FB" w:rsidP="006E56FB">
      <w:pPr>
        <w:autoSpaceDE w:val="0"/>
        <w:autoSpaceDN w:val="0"/>
        <w:adjustRightInd w:val="0"/>
        <w:ind w:left="851"/>
        <w:rPr>
          <w:sz w:val="24"/>
          <w:szCs w:val="24"/>
        </w:rPr>
      </w:pPr>
      <w:r w:rsidRPr="00C32FFF">
        <w:rPr>
          <w:sz w:val="24"/>
          <w:szCs w:val="24"/>
        </w:rPr>
        <w:t>I reproduktionstoksiske undersøgelser med rotter er der ikke set påvirkning af fertilitet hos hverken hanner eller hunner (se pkt. 5.3).</w:t>
      </w:r>
      <w:r w:rsidRPr="00C32FFF">
        <w:rPr>
          <w:color w:val="000000"/>
          <w:sz w:val="24"/>
          <w:szCs w:val="24"/>
        </w:rPr>
        <w:t xml:space="preserve"> </w:t>
      </w:r>
      <w:r w:rsidRPr="00C32FFF">
        <w:rPr>
          <w:sz w:val="24"/>
          <w:szCs w:val="24"/>
        </w:rPr>
        <w:t>Topotecan er dog som andre cytotoksiske lægemidler genotoksisk og påvirkning af fertiliteten, herunder den mandlige fertilitet, kan ikke udelukkes.</w:t>
      </w:r>
    </w:p>
    <w:p w:rsidR="006E56FB" w:rsidRPr="00C32FFF" w:rsidRDefault="006E56FB" w:rsidP="006E56FB">
      <w:pPr>
        <w:tabs>
          <w:tab w:val="left" w:pos="851"/>
        </w:tabs>
        <w:ind w:left="851" w:hanging="851"/>
        <w:rPr>
          <w:sz w:val="24"/>
          <w:szCs w:val="24"/>
        </w:rPr>
      </w:pPr>
    </w:p>
    <w:p w:rsidR="006E56FB" w:rsidRPr="00C32FFF" w:rsidRDefault="006E56FB" w:rsidP="006E56FB">
      <w:pPr>
        <w:numPr>
          <w:ilvl w:val="1"/>
          <w:numId w:val="13"/>
        </w:numPr>
        <w:rPr>
          <w:b/>
          <w:sz w:val="24"/>
          <w:szCs w:val="24"/>
        </w:rPr>
      </w:pPr>
      <w:r w:rsidRPr="00C32FFF">
        <w:rPr>
          <w:b/>
          <w:sz w:val="24"/>
          <w:szCs w:val="24"/>
        </w:rPr>
        <w:t>Virkninger på evnen til at føre motorkøretøj eller betjene maskiner</w:t>
      </w:r>
    </w:p>
    <w:p w:rsidR="006E56FB" w:rsidRPr="00C32FFF" w:rsidRDefault="006E56FB" w:rsidP="006E56FB">
      <w:pPr>
        <w:autoSpaceDE w:val="0"/>
        <w:autoSpaceDN w:val="0"/>
        <w:adjustRightInd w:val="0"/>
        <w:ind w:left="1702" w:hanging="851"/>
        <w:rPr>
          <w:color w:val="000000"/>
          <w:sz w:val="24"/>
          <w:szCs w:val="24"/>
        </w:rPr>
      </w:pPr>
      <w:r w:rsidRPr="00C32FFF">
        <w:rPr>
          <w:color w:val="000000"/>
          <w:sz w:val="24"/>
          <w:szCs w:val="24"/>
        </w:rPr>
        <w:t>Ikke mærkning.</w:t>
      </w:r>
    </w:p>
    <w:p w:rsidR="006E56FB" w:rsidRPr="00C32FFF" w:rsidRDefault="006E56FB" w:rsidP="006E56FB">
      <w:pPr>
        <w:autoSpaceDE w:val="0"/>
        <w:autoSpaceDN w:val="0"/>
        <w:adjustRightInd w:val="0"/>
        <w:ind w:left="851"/>
        <w:rPr>
          <w:sz w:val="24"/>
          <w:szCs w:val="24"/>
        </w:rPr>
      </w:pPr>
      <w:r w:rsidRPr="00C32FFF">
        <w:rPr>
          <w:sz w:val="24"/>
          <w:szCs w:val="24"/>
        </w:rPr>
        <w:t>Der er ikke foretaget undersøgelser af virkningen på evnen til at føre motorkøretøj eller betjene maskiner.</w:t>
      </w:r>
      <w:r w:rsidRPr="00C32FFF">
        <w:rPr>
          <w:color w:val="000000"/>
          <w:sz w:val="24"/>
          <w:szCs w:val="24"/>
        </w:rPr>
        <w:t xml:space="preserve"> </w:t>
      </w:r>
      <w:r w:rsidRPr="00C32FFF">
        <w:rPr>
          <w:sz w:val="24"/>
          <w:szCs w:val="24"/>
        </w:rPr>
        <w:t>Hvis der forekommer vedvarende træthed og asteni, bør der dog udvises forsigtighed når der føres motorkøretøj eller betjenes maskiner.</w:t>
      </w:r>
    </w:p>
    <w:p w:rsidR="006E56FB" w:rsidRPr="00C32FFF" w:rsidRDefault="006E56FB" w:rsidP="006E56FB">
      <w:pPr>
        <w:tabs>
          <w:tab w:val="left" w:pos="851"/>
        </w:tabs>
        <w:ind w:left="851" w:hanging="851"/>
        <w:rPr>
          <w:sz w:val="24"/>
          <w:szCs w:val="24"/>
        </w:rPr>
      </w:pPr>
    </w:p>
    <w:p w:rsidR="006E56FB" w:rsidRPr="002378EE" w:rsidRDefault="006E56FB" w:rsidP="006E56FB">
      <w:pPr>
        <w:numPr>
          <w:ilvl w:val="1"/>
          <w:numId w:val="13"/>
        </w:numPr>
        <w:ind w:left="851" w:hanging="851"/>
        <w:rPr>
          <w:b/>
          <w:sz w:val="24"/>
          <w:szCs w:val="24"/>
        </w:rPr>
      </w:pPr>
      <w:r w:rsidRPr="00C32FFF">
        <w:rPr>
          <w:b/>
          <w:sz w:val="24"/>
          <w:szCs w:val="24"/>
        </w:rPr>
        <w:t>Bivirkninger</w:t>
      </w:r>
    </w:p>
    <w:p w:rsidR="006E56FB" w:rsidRPr="00C32FFF" w:rsidRDefault="006E56FB" w:rsidP="006E56FB">
      <w:pPr>
        <w:autoSpaceDE w:val="0"/>
        <w:autoSpaceDN w:val="0"/>
        <w:adjustRightInd w:val="0"/>
        <w:ind w:left="851"/>
        <w:rPr>
          <w:sz w:val="24"/>
          <w:szCs w:val="24"/>
        </w:rPr>
      </w:pPr>
      <w:r w:rsidRPr="00746888">
        <w:rPr>
          <w:sz w:val="24"/>
          <w:szCs w:val="24"/>
        </w:rPr>
        <w:t>I studier til dosisbestemmelse</w:t>
      </w:r>
      <w:r w:rsidRPr="00FD44B6">
        <w:rPr>
          <w:sz w:val="24"/>
          <w:szCs w:val="24"/>
        </w:rPr>
        <w:t>,</w:t>
      </w:r>
      <w:r w:rsidRPr="00C32FFF">
        <w:rPr>
          <w:sz w:val="24"/>
          <w:szCs w:val="24"/>
        </w:rPr>
        <w:t xml:space="preserve"> der omfattede 523 patienter med recidiverende ovariecancer og 631 patienter med recidiverende småcellet lungecancer, var den dosisbegrænsende toksicitet af monoterapi med topotecan af hæmatologisk art.</w:t>
      </w:r>
      <w:r w:rsidRPr="00C32FFF">
        <w:rPr>
          <w:color w:val="000000"/>
          <w:sz w:val="24"/>
          <w:szCs w:val="24"/>
        </w:rPr>
        <w:t xml:space="preserve"> </w:t>
      </w:r>
      <w:r w:rsidRPr="00C32FFF">
        <w:rPr>
          <w:sz w:val="24"/>
          <w:szCs w:val="24"/>
        </w:rPr>
        <w:t>Toksiciteten var forudsigelig og reversibel.</w:t>
      </w:r>
      <w:r w:rsidRPr="00C32FFF">
        <w:rPr>
          <w:color w:val="000000"/>
          <w:sz w:val="24"/>
          <w:szCs w:val="24"/>
        </w:rPr>
        <w:t xml:space="preserve"> </w:t>
      </w:r>
      <w:r w:rsidRPr="00C32FFF">
        <w:rPr>
          <w:sz w:val="24"/>
          <w:szCs w:val="24"/>
        </w:rPr>
        <w:t>Der blev ikke fundet tegn på kumulativ hæmatologisk eller ikke-hæmatologisk toksicitet.</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Pr>
          <w:sz w:val="24"/>
          <w:szCs w:val="24"/>
        </w:rPr>
        <w:t>Sikkerheds</w:t>
      </w:r>
      <w:r w:rsidRPr="00C32FFF">
        <w:rPr>
          <w:sz w:val="24"/>
          <w:szCs w:val="24"/>
        </w:rPr>
        <w:t xml:space="preserve">profilen fra kliniske </w:t>
      </w:r>
      <w:r>
        <w:rPr>
          <w:sz w:val="24"/>
          <w:szCs w:val="24"/>
        </w:rPr>
        <w:t>studier</w:t>
      </w:r>
      <w:r w:rsidRPr="00C32FFF">
        <w:rPr>
          <w:sz w:val="24"/>
          <w:szCs w:val="24"/>
        </w:rPr>
        <w:t xml:space="preserve"> af behandling af cervixcancer med topotecan i kombination med cisplatin er i overensstemmelse med, hvad der er set efter monoterapi med topotecan.</w:t>
      </w:r>
      <w:r w:rsidRPr="00C32FFF">
        <w:rPr>
          <w:color w:val="000000"/>
          <w:sz w:val="24"/>
          <w:szCs w:val="24"/>
        </w:rPr>
        <w:t xml:space="preserve"> </w:t>
      </w:r>
      <w:r w:rsidRPr="00C32FFF">
        <w:rPr>
          <w:sz w:val="24"/>
          <w:szCs w:val="24"/>
        </w:rPr>
        <w:t>Den samlede hæmatologiske toksicitet er lavere hos patienter behandlet med topotecan i kombination med cisplatin sammenlignet med monoterapi med topotecan, men højere end med cisplatin alene.</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 xml:space="preserve">Der blev set yderligere bivirkninger, når topotecan blev givet i kombination med cisplatin. Disse bivirkninger er dog set med monoterapi med cisplatin og </w:t>
      </w:r>
      <w:r>
        <w:rPr>
          <w:sz w:val="24"/>
          <w:szCs w:val="24"/>
        </w:rPr>
        <w:t xml:space="preserve">skyldtes </w:t>
      </w:r>
      <w:r w:rsidRPr="00C32FFF">
        <w:rPr>
          <w:sz w:val="24"/>
          <w:szCs w:val="24"/>
        </w:rPr>
        <w:t>ikke topotecan.</w:t>
      </w:r>
      <w:r w:rsidRPr="00C32FFF">
        <w:rPr>
          <w:color w:val="000000"/>
          <w:sz w:val="24"/>
          <w:szCs w:val="24"/>
        </w:rPr>
        <w:t xml:space="preserve"> </w:t>
      </w:r>
      <w:r w:rsidRPr="00C32FFF">
        <w:rPr>
          <w:sz w:val="24"/>
          <w:szCs w:val="24"/>
        </w:rPr>
        <w:t>Ordinationsinformationen for cisplatin skal konsulteres for at få oplysninger om alle bivirkninger, som er forbundet med brugen af cisplatin.</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De samlede sikkerhedsdata for monoterapi med topotecan fremgår af nedenstående tabel.</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C7C82">
        <w:rPr>
          <w:sz w:val="24"/>
          <w:szCs w:val="24"/>
        </w:rPr>
        <w:t>Bivirkningerne nævnt herunder er opdelt efter systemorganklasse og absolut hyppighed (alle indberettede hændelser). Hyppigheden defineres som: meget almindelig (≥ 1/10), almindelig (≥ 1/100 til &lt; 1/10), ikke almindelig (≥ 1/1.000 til &lt; 1/100), sjælden (≥ 1/10.000 til &lt; 1/1.000), meget sjælden (&lt; 1/10.000) og ikke kendt (kan ikke estimeres ud fra forhåndenværende data).</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Inden for hver gruppering af hyppighed, præsenteres bivirkningerne efter faldende sværhedsgrad.</w:t>
      </w:r>
    </w:p>
    <w:p w:rsidR="006E56FB" w:rsidRDefault="006E56FB" w:rsidP="006E56FB">
      <w:pPr>
        <w:autoSpaceDE w:val="0"/>
        <w:autoSpaceDN w:val="0"/>
        <w:adjustRightInd w:val="0"/>
        <w:ind w:left="851" w:hanging="851"/>
        <w:rPr>
          <w:color w:val="000000"/>
          <w:sz w:val="24"/>
          <w:szCs w:val="24"/>
        </w:rPr>
      </w:pPr>
    </w:p>
    <w:p w:rsidR="006E56FB" w:rsidRPr="00BF0770" w:rsidRDefault="006E56FB" w:rsidP="006E56FB">
      <w:pPr>
        <w:autoSpaceDE w:val="0"/>
        <w:autoSpaceDN w:val="0"/>
        <w:adjustRightInd w:val="0"/>
        <w:ind w:left="851"/>
        <w:rPr>
          <w:b/>
          <w:sz w:val="24"/>
          <w:szCs w:val="24"/>
        </w:rPr>
      </w:pPr>
      <w:r w:rsidRPr="00BF0770">
        <w:rPr>
          <w:b/>
          <w:sz w:val="24"/>
          <w:szCs w:val="24"/>
        </w:rPr>
        <w:t>Infektioner og parasitære sygdomme</w:t>
      </w:r>
    </w:p>
    <w:p w:rsidR="006E56FB" w:rsidRPr="00BF0770" w:rsidRDefault="006E56FB" w:rsidP="006E56FB">
      <w:pPr>
        <w:autoSpaceDE w:val="0"/>
        <w:autoSpaceDN w:val="0"/>
        <w:adjustRightInd w:val="0"/>
        <w:ind w:left="851"/>
        <w:rPr>
          <w:sz w:val="24"/>
          <w:szCs w:val="24"/>
        </w:rPr>
      </w:pPr>
      <w:r w:rsidRPr="00BF0770">
        <w:rPr>
          <w:sz w:val="24"/>
          <w:szCs w:val="24"/>
        </w:rPr>
        <w:t>Meget almindelig: infektion</w:t>
      </w:r>
    </w:p>
    <w:p w:rsidR="006E56FB" w:rsidRPr="00BF0770" w:rsidRDefault="006E56FB" w:rsidP="006E56FB">
      <w:pPr>
        <w:autoSpaceDE w:val="0"/>
        <w:autoSpaceDN w:val="0"/>
        <w:adjustRightInd w:val="0"/>
        <w:ind w:left="851"/>
        <w:rPr>
          <w:sz w:val="24"/>
          <w:szCs w:val="24"/>
        </w:rPr>
      </w:pPr>
      <w:r w:rsidRPr="00BF0770">
        <w:rPr>
          <w:sz w:val="24"/>
          <w:szCs w:val="24"/>
        </w:rPr>
        <w:t>Almindelig: sepsis</w:t>
      </w:r>
      <w:r w:rsidRPr="00CC7C82">
        <w:rPr>
          <w:sz w:val="24"/>
          <w:szCs w:val="24"/>
          <w:vertAlign w:val="superscript"/>
        </w:rPr>
        <w:t>1</w:t>
      </w:r>
    </w:p>
    <w:p w:rsidR="006E56FB" w:rsidRPr="00CC7C82" w:rsidRDefault="006E56FB" w:rsidP="006E56FB">
      <w:pPr>
        <w:autoSpaceDE w:val="0"/>
        <w:autoSpaceDN w:val="0"/>
        <w:adjustRightInd w:val="0"/>
        <w:ind w:left="851"/>
        <w:rPr>
          <w:sz w:val="24"/>
          <w:szCs w:val="24"/>
          <w:vertAlign w:val="superscript"/>
        </w:rPr>
      </w:pPr>
    </w:p>
    <w:p w:rsidR="006E56FB" w:rsidRPr="00C32FFF" w:rsidRDefault="006E56FB" w:rsidP="006E56FB">
      <w:pPr>
        <w:autoSpaceDE w:val="0"/>
        <w:autoSpaceDN w:val="0"/>
        <w:adjustRightInd w:val="0"/>
        <w:ind w:left="851"/>
        <w:rPr>
          <w:b/>
          <w:color w:val="000000"/>
          <w:sz w:val="24"/>
          <w:szCs w:val="24"/>
        </w:rPr>
      </w:pPr>
      <w:r w:rsidRPr="00C32FFF">
        <w:rPr>
          <w:b/>
          <w:sz w:val="24"/>
          <w:szCs w:val="24"/>
        </w:rPr>
        <w:t>Blod og lymfesystem</w:t>
      </w:r>
    </w:p>
    <w:p w:rsidR="006E56FB" w:rsidRPr="00CC7C82" w:rsidRDefault="006E56FB" w:rsidP="006E56FB">
      <w:pPr>
        <w:autoSpaceDE w:val="0"/>
        <w:autoSpaceDN w:val="0"/>
        <w:adjustRightInd w:val="0"/>
        <w:ind w:left="851"/>
        <w:rPr>
          <w:sz w:val="24"/>
          <w:szCs w:val="24"/>
        </w:rPr>
      </w:pPr>
      <w:r w:rsidRPr="00CC7C82">
        <w:rPr>
          <w:sz w:val="24"/>
          <w:szCs w:val="24"/>
        </w:rPr>
        <w:t>Meget almindelig: febril neutropeni, neutropeni (se</w:t>
      </w:r>
      <w:r w:rsidRPr="00746888">
        <w:rPr>
          <w:color w:val="000000"/>
        </w:rPr>
        <w:t xml:space="preserve"> “</w:t>
      </w:r>
      <w:r w:rsidRPr="00CC7C82">
        <w:rPr>
          <w:sz w:val="24"/>
          <w:szCs w:val="24"/>
        </w:rPr>
        <w:t>Mave-tarm-kanalen</w:t>
      </w:r>
      <w:r w:rsidRPr="00746888">
        <w:rPr>
          <w:color w:val="000000"/>
        </w:rPr>
        <w:t>”</w:t>
      </w:r>
      <w:r w:rsidRPr="00CC7C82">
        <w:rPr>
          <w:sz w:val="24"/>
          <w:szCs w:val="24"/>
        </w:rPr>
        <w:t>), trombocytopeni,</w:t>
      </w:r>
      <w:r>
        <w:rPr>
          <w:sz w:val="24"/>
          <w:szCs w:val="24"/>
        </w:rPr>
        <w:t xml:space="preserve"> </w:t>
      </w:r>
      <w:r w:rsidRPr="00CC7C82">
        <w:rPr>
          <w:sz w:val="24"/>
          <w:szCs w:val="24"/>
        </w:rPr>
        <w:t>anæmi, leukopeni</w:t>
      </w:r>
    </w:p>
    <w:p w:rsidR="006E56FB" w:rsidRPr="00CC7C82" w:rsidRDefault="006E56FB" w:rsidP="006E56FB">
      <w:pPr>
        <w:autoSpaceDE w:val="0"/>
        <w:autoSpaceDN w:val="0"/>
        <w:adjustRightInd w:val="0"/>
        <w:ind w:left="851"/>
        <w:rPr>
          <w:sz w:val="24"/>
          <w:szCs w:val="24"/>
        </w:rPr>
      </w:pPr>
      <w:r w:rsidRPr="00CC7C82">
        <w:rPr>
          <w:sz w:val="24"/>
          <w:szCs w:val="24"/>
        </w:rPr>
        <w:t>Almindelig: pancytopeni</w:t>
      </w:r>
    </w:p>
    <w:p w:rsidR="006E56FB" w:rsidRPr="00CC7C82" w:rsidRDefault="006E56FB" w:rsidP="006E56FB">
      <w:pPr>
        <w:autoSpaceDE w:val="0"/>
        <w:autoSpaceDN w:val="0"/>
        <w:adjustRightInd w:val="0"/>
        <w:ind w:left="851"/>
        <w:rPr>
          <w:sz w:val="24"/>
          <w:szCs w:val="24"/>
        </w:rPr>
      </w:pPr>
      <w:r w:rsidRPr="00CC7C82">
        <w:rPr>
          <w:sz w:val="24"/>
          <w:szCs w:val="24"/>
        </w:rPr>
        <w:t>Ikke kendt: alvorlig blødning (associeret med trombocytopeni)</w:t>
      </w:r>
    </w:p>
    <w:p w:rsidR="006E56FB" w:rsidRPr="00CC7C82" w:rsidRDefault="006E56FB" w:rsidP="006E56FB">
      <w:pPr>
        <w:autoSpaceDE w:val="0"/>
        <w:autoSpaceDN w:val="0"/>
        <w:adjustRightInd w:val="0"/>
        <w:ind w:left="851"/>
        <w:rPr>
          <w:sz w:val="24"/>
          <w:szCs w:val="24"/>
        </w:rPr>
      </w:pPr>
    </w:p>
    <w:p w:rsidR="006E56FB" w:rsidRPr="00BF0770" w:rsidRDefault="006E56FB" w:rsidP="006E56FB">
      <w:pPr>
        <w:autoSpaceDE w:val="0"/>
        <w:autoSpaceDN w:val="0"/>
        <w:adjustRightInd w:val="0"/>
        <w:ind w:left="851"/>
        <w:rPr>
          <w:b/>
          <w:sz w:val="24"/>
          <w:szCs w:val="24"/>
        </w:rPr>
      </w:pPr>
      <w:r w:rsidRPr="00BF0770">
        <w:rPr>
          <w:b/>
          <w:sz w:val="24"/>
          <w:szCs w:val="24"/>
        </w:rPr>
        <w:t>Immunsystemet</w:t>
      </w:r>
    </w:p>
    <w:p w:rsidR="006E56FB" w:rsidRPr="00CC7C82" w:rsidRDefault="006E56FB" w:rsidP="006E56FB">
      <w:pPr>
        <w:autoSpaceDE w:val="0"/>
        <w:autoSpaceDN w:val="0"/>
        <w:adjustRightInd w:val="0"/>
        <w:ind w:left="851"/>
        <w:rPr>
          <w:sz w:val="24"/>
          <w:szCs w:val="24"/>
        </w:rPr>
      </w:pPr>
      <w:r w:rsidRPr="00CC7C82">
        <w:rPr>
          <w:sz w:val="24"/>
          <w:szCs w:val="24"/>
        </w:rPr>
        <w:t>Almindelig: overfølsomhedsreaktion herunder udslæt</w:t>
      </w:r>
    </w:p>
    <w:p w:rsidR="006E56FB" w:rsidRPr="00CC7C82" w:rsidRDefault="006E56FB" w:rsidP="006E56FB">
      <w:pPr>
        <w:autoSpaceDE w:val="0"/>
        <w:autoSpaceDN w:val="0"/>
        <w:adjustRightInd w:val="0"/>
        <w:ind w:left="851"/>
        <w:rPr>
          <w:sz w:val="24"/>
          <w:szCs w:val="24"/>
        </w:rPr>
      </w:pPr>
      <w:r w:rsidRPr="00CC7C82">
        <w:rPr>
          <w:sz w:val="24"/>
          <w:szCs w:val="24"/>
        </w:rPr>
        <w:t>Sjælden: anafylaktisk reaktion, angioødem, urticaria</w:t>
      </w:r>
    </w:p>
    <w:p w:rsidR="006E56FB" w:rsidRPr="00CC7C82" w:rsidRDefault="006E56FB" w:rsidP="006E56FB">
      <w:pPr>
        <w:autoSpaceDE w:val="0"/>
        <w:autoSpaceDN w:val="0"/>
        <w:adjustRightInd w:val="0"/>
        <w:ind w:left="851"/>
        <w:rPr>
          <w:sz w:val="24"/>
          <w:szCs w:val="24"/>
        </w:rPr>
      </w:pPr>
    </w:p>
    <w:p w:rsidR="006E56FB" w:rsidRPr="00BF0770" w:rsidRDefault="006E56FB" w:rsidP="006E56FB">
      <w:pPr>
        <w:autoSpaceDE w:val="0"/>
        <w:autoSpaceDN w:val="0"/>
        <w:adjustRightInd w:val="0"/>
        <w:ind w:left="851"/>
        <w:rPr>
          <w:b/>
          <w:sz w:val="24"/>
          <w:szCs w:val="24"/>
        </w:rPr>
      </w:pPr>
      <w:r w:rsidRPr="00BF0770">
        <w:rPr>
          <w:b/>
          <w:sz w:val="24"/>
          <w:szCs w:val="24"/>
        </w:rPr>
        <w:t>Metabolisme og ernæring</w:t>
      </w:r>
    </w:p>
    <w:p w:rsidR="006E56FB" w:rsidRPr="00CC7C82" w:rsidRDefault="006E56FB" w:rsidP="006E56FB">
      <w:pPr>
        <w:autoSpaceDE w:val="0"/>
        <w:autoSpaceDN w:val="0"/>
        <w:adjustRightInd w:val="0"/>
        <w:ind w:left="851"/>
        <w:rPr>
          <w:sz w:val="24"/>
          <w:szCs w:val="24"/>
        </w:rPr>
      </w:pPr>
      <w:r w:rsidRPr="00CC7C82">
        <w:rPr>
          <w:sz w:val="24"/>
          <w:szCs w:val="24"/>
        </w:rPr>
        <w:t>Meget almindelig: anoreksi (muligvis alvorlig)</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b/>
          <w:color w:val="000000"/>
          <w:sz w:val="24"/>
          <w:szCs w:val="24"/>
        </w:rPr>
      </w:pPr>
      <w:r w:rsidRPr="00C32FFF">
        <w:rPr>
          <w:b/>
          <w:sz w:val="24"/>
          <w:szCs w:val="24"/>
        </w:rPr>
        <w:t>Luftveje, thorax og mediastinum</w:t>
      </w:r>
    </w:p>
    <w:p w:rsidR="006E56FB" w:rsidRPr="00C32FFF" w:rsidRDefault="006E56FB" w:rsidP="006E56FB">
      <w:pPr>
        <w:autoSpaceDE w:val="0"/>
        <w:autoSpaceDN w:val="0"/>
        <w:adjustRightInd w:val="0"/>
        <w:ind w:left="851"/>
        <w:rPr>
          <w:sz w:val="24"/>
          <w:szCs w:val="24"/>
        </w:rPr>
      </w:pPr>
      <w:r w:rsidRPr="00C32FFF">
        <w:rPr>
          <w:sz w:val="24"/>
          <w:szCs w:val="24"/>
        </w:rPr>
        <w:t>Sjælden:</w:t>
      </w:r>
      <w:r w:rsidRPr="00C32FFF">
        <w:rPr>
          <w:color w:val="000000"/>
          <w:sz w:val="24"/>
          <w:szCs w:val="24"/>
        </w:rPr>
        <w:t xml:space="preserve"> </w:t>
      </w:r>
      <w:r w:rsidRPr="00C32FFF">
        <w:rPr>
          <w:sz w:val="24"/>
          <w:szCs w:val="24"/>
        </w:rPr>
        <w:t>interstitiel lungesygdom</w:t>
      </w:r>
      <w:r>
        <w:rPr>
          <w:sz w:val="24"/>
          <w:szCs w:val="24"/>
        </w:rPr>
        <w:t xml:space="preserve"> </w:t>
      </w:r>
      <w:r w:rsidRPr="00CC7C82">
        <w:rPr>
          <w:sz w:val="24"/>
          <w:szCs w:val="24"/>
        </w:rPr>
        <w:t>(nogle tilfælde har været letale)</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keepNext/>
        <w:autoSpaceDE w:val="0"/>
        <w:autoSpaceDN w:val="0"/>
        <w:adjustRightInd w:val="0"/>
        <w:ind w:left="851"/>
        <w:rPr>
          <w:b/>
          <w:color w:val="000000"/>
          <w:sz w:val="24"/>
          <w:szCs w:val="24"/>
        </w:rPr>
      </w:pPr>
      <w:r w:rsidRPr="00C32FFF">
        <w:rPr>
          <w:b/>
          <w:sz w:val="24"/>
          <w:szCs w:val="24"/>
        </w:rPr>
        <w:lastRenderedPageBreak/>
        <w:t>Mave-tarm-kanalen</w:t>
      </w:r>
    </w:p>
    <w:p w:rsidR="006E56FB" w:rsidRDefault="006E56FB" w:rsidP="006E56FB">
      <w:pPr>
        <w:autoSpaceDE w:val="0"/>
        <w:autoSpaceDN w:val="0"/>
        <w:adjustRightInd w:val="0"/>
        <w:ind w:left="851"/>
        <w:rPr>
          <w:sz w:val="24"/>
          <w:szCs w:val="24"/>
        </w:rPr>
      </w:pPr>
      <w:r w:rsidRPr="00CC7C82">
        <w:rPr>
          <w:sz w:val="24"/>
          <w:szCs w:val="24"/>
        </w:rPr>
        <w:t>Meget almindelig:</w:t>
      </w:r>
      <w:r w:rsidRPr="00CC7C82">
        <w:rPr>
          <w:color w:val="000000"/>
          <w:sz w:val="24"/>
          <w:szCs w:val="24"/>
        </w:rPr>
        <w:t xml:space="preserve"> </w:t>
      </w:r>
      <w:r>
        <w:rPr>
          <w:sz w:val="24"/>
          <w:szCs w:val="24"/>
        </w:rPr>
        <w:t>k</w:t>
      </w:r>
      <w:r w:rsidRPr="00CC7C82">
        <w:rPr>
          <w:sz w:val="24"/>
          <w:szCs w:val="24"/>
        </w:rPr>
        <w:t>valme, opkastning og diarré (som alle kan være svære), obstipation, mavesmerter</w:t>
      </w:r>
      <w:r w:rsidRPr="00BF0770">
        <w:rPr>
          <w:sz w:val="24"/>
          <w:szCs w:val="24"/>
          <w:vertAlign w:val="superscript"/>
        </w:rPr>
        <w:t>2</w:t>
      </w:r>
      <w:r w:rsidRPr="00CC7C82">
        <w:rPr>
          <w:sz w:val="24"/>
          <w:szCs w:val="24"/>
        </w:rPr>
        <w:t>, mukositis</w:t>
      </w:r>
    </w:p>
    <w:p w:rsidR="006E56FB" w:rsidRPr="00422977" w:rsidRDefault="006E56FB" w:rsidP="006E56FB">
      <w:pPr>
        <w:autoSpaceDE w:val="0"/>
        <w:autoSpaceDN w:val="0"/>
        <w:adjustRightInd w:val="0"/>
        <w:ind w:left="851"/>
        <w:rPr>
          <w:color w:val="000000"/>
          <w:sz w:val="24"/>
          <w:szCs w:val="24"/>
        </w:rPr>
      </w:pPr>
      <w:r w:rsidRPr="00746888">
        <w:rPr>
          <w:color w:val="000000"/>
          <w:sz w:val="24"/>
          <w:szCs w:val="24"/>
        </w:rPr>
        <w:t>Ikke kendt:</w:t>
      </w:r>
      <w:r w:rsidRPr="00422977">
        <w:rPr>
          <w:color w:val="000000"/>
          <w:sz w:val="24"/>
          <w:szCs w:val="24"/>
        </w:rPr>
        <w:t xml:space="preserve"> </w:t>
      </w:r>
      <w:r>
        <w:rPr>
          <w:color w:val="000000"/>
          <w:sz w:val="24"/>
          <w:szCs w:val="24"/>
        </w:rPr>
        <w:t>g</w:t>
      </w:r>
      <w:r w:rsidRPr="00422977">
        <w:rPr>
          <w:color w:val="000000"/>
          <w:sz w:val="24"/>
          <w:szCs w:val="24"/>
        </w:rPr>
        <w:t>astrointestinal perforation</w:t>
      </w:r>
    </w:p>
    <w:p w:rsidR="006E56FB" w:rsidRDefault="006E56FB" w:rsidP="006E56FB">
      <w:pPr>
        <w:rPr>
          <w:b/>
          <w:sz w:val="24"/>
          <w:szCs w:val="24"/>
        </w:rPr>
      </w:pPr>
    </w:p>
    <w:p w:rsidR="006E56FB" w:rsidRPr="00BF0770" w:rsidRDefault="006E56FB" w:rsidP="006E56FB">
      <w:pPr>
        <w:autoSpaceDE w:val="0"/>
        <w:autoSpaceDN w:val="0"/>
        <w:adjustRightInd w:val="0"/>
        <w:ind w:left="851"/>
        <w:rPr>
          <w:b/>
          <w:sz w:val="24"/>
          <w:szCs w:val="24"/>
        </w:rPr>
      </w:pPr>
      <w:r w:rsidRPr="00BF0770">
        <w:rPr>
          <w:b/>
          <w:sz w:val="24"/>
          <w:szCs w:val="24"/>
        </w:rPr>
        <w:t>Lever- og galdeveje</w:t>
      </w:r>
    </w:p>
    <w:p w:rsidR="006E56FB" w:rsidRPr="00C32FFF" w:rsidRDefault="006E56FB" w:rsidP="006E56FB">
      <w:pPr>
        <w:autoSpaceDE w:val="0"/>
        <w:autoSpaceDN w:val="0"/>
        <w:adjustRightInd w:val="0"/>
        <w:ind w:left="851"/>
        <w:rPr>
          <w:color w:val="000000"/>
          <w:sz w:val="24"/>
          <w:szCs w:val="24"/>
        </w:rPr>
      </w:pPr>
      <w:r w:rsidRPr="00BF0770">
        <w:rPr>
          <w:sz w:val="24"/>
          <w:szCs w:val="24"/>
        </w:rPr>
        <w:t>Almindelig: hyperbilirubinæmi</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b/>
          <w:color w:val="000000"/>
          <w:sz w:val="24"/>
          <w:szCs w:val="24"/>
        </w:rPr>
      </w:pPr>
      <w:r w:rsidRPr="00C32FFF">
        <w:rPr>
          <w:b/>
          <w:sz w:val="24"/>
          <w:szCs w:val="24"/>
        </w:rPr>
        <w:t>Hud og subkutane væv</w:t>
      </w:r>
    </w:p>
    <w:p w:rsidR="006E56FB" w:rsidRPr="00C32FFF" w:rsidRDefault="006E56FB" w:rsidP="006E56FB">
      <w:pPr>
        <w:autoSpaceDE w:val="0"/>
        <w:autoSpaceDN w:val="0"/>
        <w:adjustRightInd w:val="0"/>
        <w:ind w:left="851"/>
        <w:rPr>
          <w:sz w:val="24"/>
          <w:szCs w:val="24"/>
        </w:rPr>
      </w:pPr>
      <w:r w:rsidRPr="00C32FFF">
        <w:rPr>
          <w:sz w:val="24"/>
          <w:szCs w:val="24"/>
        </w:rPr>
        <w:t>Meget almindelig:</w:t>
      </w:r>
      <w:r w:rsidRPr="00C32FFF">
        <w:rPr>
          <w:color w:val="000000"/>
          <w:sz w:val="24"/>
          <w:szCs w:val="24"/>
        </w:rPr>
        <w:t xml:space="preserve"> </w:t>
      </w:r>
      <w:r w:rsidRPr="00C32FFF">
        <w:rPr>
          <w:sz w:val="24"/>
          <w:szCs w:val="24"/>
        </w:rPr>
        <w:t>alopeci</w:t>
      </w:r>
    </w:p>
    <w:p w:rsidR="006E56FB" w:rsidRPr="00C32FFF" w:rsidRDefault="006E56FB" w:rsidP="006E56FB">
      <w:pPr>
        <w:autoSpaceDE w:val="0"/>
        <w:autoSpaceDN w:val="0"/>
        <w:adjustRightInd w:val="0"/>
        <w:ind w:left="851"/>
        <w:rPr>
          <w:sz w:val="24"/>
          <w:szCs w:val="24"/>
        </w:rPr>
      </w:pPr>
      <w:r w:rsidRPr="00C32FFF">
        <w:rPr>
          <w:sz w:val="24"/>
          <w:szCs w:val="24"/>
        </w:rPr>
        <w:t>Almindelig:</w:t>
      </w:r>
      <w:r w:rsidRPr="00C32FFF">
        <w:rPr>
          <w:color w:val="000000"/>
          <w:sz w:val="24"/>
          <w:szCs w:val="24"/>
        </w:rPr>
        <w:t xml:space="preserve"> </w:t>
      </w:r>
      <w:r w:rsidRPr="00C32FFF">
        <w:rPr>
          <w:sz w:val="24"/>
          <w:szCs w:val="24"/>
        </w:rPr>
        <w:t>pruritus</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b/>
          <w:color w:val="000000"/>
          <w:sz w:val="24"/>
          <w:szCs w:val="24"/>
        </w:rPr>
      </w:pPr>
      <w:r w:rsidRPr="00C32FFF">
        <w:rPr>
          <w:b/>
          <w:sz w:val="24"/>
          <w:szCs w:val="24"/>
        </w:rPr>
        <w:t>Almene symptomer og reaktioner på administrationsstedet</w:t>
      </w:r>
    </w:p>
    <w:p w:rsidR="006E56FB" w:rsidRPr="00C32FFF" w:rsidRDefault="006E56FB" w:rsidP="006E56FB">
      <w:pPr>
        <w:autoSpaceDE w:val="0"/>
        <w:autoSpaceDN w:val="0"/>
        <w:adjustRightInd w:val="0"/>
        <w:ind w:left="851"/>
        <w:rPr>
          <w:sz w:val="24"/>
          <w:szCs w:val="24"/>
        </w:rPr>
      </w:pPr>
      <w:r w:rsidRPr="00C32FFF">
        <w:rPr>
          <w:sz w:val="24"/>
          <w:szCs w:val="24"/>
        </w:rPr>
        <w:t>Meget almindelig:</w:t>
      </w:r>
      <w:r w:rsidRPr="00C32FFF">
        <w:rPr>
          <w:color w:val="000000"/>
          <w:sz w:val="24"/>
          <w:szCs w:val="24"/>
        </w:rPr>
        <w:t xml:space="preserve"> </w:t>
      </w:r>
      <w:r w:rsidRPr="00C32FFF">
        <w:rPr>
          <w:sz w:val="24"/>
          <w:szCs w:val="24"/>
        </w:rPr>
        <w:t>pyreksi, asteni, træthed</w:t>
      </w:r>
    </w:p>
    <w:p w:rsidR="006E56FB" w:rsidRPr="00C32FFF" w:rsidRDefault="006E56FB" w:rsidP="006E56FB">
      <w:pPr>
        <w:autoSpaceDE w:val="0"/>
        <w:autoSpaceDN w:val="0"/>
        <w:adjustRightInd w:val="0"/>
        <w:ind w:left="851"/>
        <w:rPr>
          <w:sz w:val="24"/>
          <w:szCs w:val="24"/>
        </w:rPr>
      </w:pPr>
      <w:r w:rsidRPr="00C32FFF">
        <w:rPr>
          <w:sz w:val="24"/>
          <w:szCs w:val="24"/>
        </w:rPr>
        <w:t>Almindelig:</w:t>
      </w:r>
      <w:r w:rsidRPr="00C32FFF">
        <w:rPr>
          <w:color w:val="000000"/>
          <w:sz w:val="24"/>
          <w:szCs w:val="24"/>
        </w:rPr>
        <w:t xml:space="preserve"> </w:t>
      </w:r>
      <w:r w:rsidRPr="00C32FFF">
        <w:rPr>
          <w:sz w:val="24"/>
          <w:szCs w:val="24"/>
        </w:rPr>
        <w:t>utilpashed</w:t>
      </w:r>
    </w:p>
    <w:p w:rsidR="006E56FB" w:rsidRPr="00CC7C82" w:rsidRDefault="006E56FB" w:rsidP="006E56FB">
      <w:pPr>
        <w:autoSpaceDE w:val="0"/>
        <w:autoSpaceDN w:val="0"/>
        <w:adjustRightInd w:val="0"/>
        <w:ind w:left="851"/>
        <w:rPr>
          <w:sz w:val="24"/>
          <w:szCs w:val="24"/>
        </w:rPr>
      </w:pPr>
      <w:r w:rsidRPr="00CC7C82">
        <w:rPr>
          <w:sz w:val="24"/>
          <w:szCs w:val="24"/>
        </w:rPr>
        <w:t>Meget sjælden:</w:t>
      </w:r>
      <w:r w:rsidRPr="00CC7C82">
        <w:rPr>
          <w:color w:val="000000"/>
          <w:sz w:val="24"/>
          <w:szCs w:val="24"/>
        </w:rPr>
        <w:t xml:space="preserve"> </w:t>
      </w:r>
      <w:r w:rsidRPr="00CC7C82">
        <w:rPr>
          <w:sz w:val="24"/>
          <w:szCs w:val="24"/>
        </w:rPr>
        <w:t>ekstravasation</w:t>
      </w:r>
      <w:r w:rsidRPr="00BF0770">
        <w:rPr>
          <w:sz w:val="24"/>
          <w:szCs w:val="24"/>
          <w:vertAlign w:val="superscript"/>
        </w:rPr>
        <w:t>3</w:t>
      </w:r>
    </w:p>
    <w:p w:rsidR="006E56FB" w:rsidRPr="00422977" w:rsidRDefault="006E56FB" w:rsidP="006E56FB">
      <w:pPr>
        <w:autoSpaceDE w:val="0"/>
        <w:autoSpaceDN w:val="0"/>
        <w:adjustRightInd w:val="0"/>
        <w:ind w:left="851"/>
        <w:rPr>
          <w:color w:val="000000"/>
          <w:sz w:val="24"/>
          <w:szCs w:val="24"/>
        </w:rPr>
      </w:pPr>
      <w:r w:rsidRPr="00C5429E">
        <w:rPr>
          <w:color w:val="000000"/>
          <w:sz w:val="24"/>
          <w:szCs w:val="24"/>
        </w:rPr>
        <w:t>Ikke kendt:</w:t>
      </w:r>
      <w:r w:rsidRPr="00422977">
        <w:rPr>
          <w:i/>
          <w:color w:val="000000"/>
          <w:sz w:val="24"/>
          <w:szCs w:val="24"/>
        </w:rPr>
        <w:t xml:space="preserve"> </w:t>
      </w:r>
      <w:r>
        <w:rPr>
          <w:color w:val="000000"/>
          <w:sz w:val="24"/>
          <w:szCs w:val="24"/>
        </w:rPr>
        <w:t>s</w:t>
      </w:r>
      <w:r w:rsidRPr="00422977">
        <w:rPr>
          <w:color w:val="000000"/>
          <w:sz w:val="24"/>
          <w:szCs w:val="24"/>
        </w:rPr>
        <w:t>limhindeinflammation</w:t>
      </w:r>
    </w:p>
    <w:p w:rsidR="006E56FB" w:rsidRPr="00422977" w:rsidRDefault="006E56FB" w:rsidP="006E56FB">
      <w:pPr>
        <w:autoSpaceDE w:val="0"/>
        <w:autoSpaceDN w:val="0"/>
        <w:adjustRightInd w:val="0"/>
        <w:ind w:left="851"/>
        <w:rPr>
          <w:color w:val="000000"/>
          <w:sz w:val="24"/>
          <w:szCs w:val="24"/>
          <w:vertAlign w:val="superscript"/>
        </w:rPr>
      </w:pPr>
    </w:p>
    <w:p w:rsidR="006E56FB" w:rsidRPr="00422977" w:rsidRDefault="006E56FB" w:rsidP="006E56FB">
      <w:pPr>
        <w:autoSpaceDE w:val="0"/>
        <w:autoSpaceDN w:val="0"/>
        <w:adjustRightInd w:val="0"/>
        <w:ind w:left="851"/>
        <w:rPr>
          <w:color w:val="000000"/>
          <w:sz w:val="24"/>
          <w:szCs w:val="24"/>
        </w:rPr>
      </w:pPr>
      <w:r w:rsidRPr="00422977">
        <w:rPr>
          <w:color w:val="000000"/>
          <w:sz w:val="24"/>
          <w:szCs w:val="24"/>
          <w:vertAlign w:val="superscript"/>
        </w:rPr>
        <w:t>1</w:t>
      </w:r>
      <w:r w:rsidRPr="00422977">
        <w:rPr>
          <w:color w:val="000000"/>
          <w:sz w:val="24"/>
          <w:szCs w:val="24"/>
        </w:rPr>
        <w:t>Dødsfald på grund af sepsis er rapporteret for patienter i behandling med topotecan (se pkt. 4.4)</w:t>
      </w:r>
      <w:r>
        <w:rPr>
          <w:color w:val="000000"/>
          <w:sz w:val="24"/>
          <w:szCs w:val="24"/>
        </w:rPr>
        <w:t>.</w:t>
      </w:r>
    </w:p>
    <w:p w:rsidR="006E56FB" w:rsidRPr="00422977" w:rsidRDefault="006E56FB" w:rsidP="006E56FB">
      <w:pPr>
        <w:autoSpaceDE w:val="0"/>
        <w:autoSpaceDN w:val="0"/>
        <w:adjustRightInd w:val="0"/>
        <w:ind w:left="851"/>
        <w:rPr>
          <w:color w:val="000000"/>
          <w:sz w:val="24"/>
          <w:szCs w:val="24"/>
        </w:rPr>
      </w:pPr>
      <w:r w:rsidRPr="00746888">
        <w:rPr>
          <w:color w:val="000000"/>
          <w:sz w:val="24"/>
          <w:szCs w:val="24"/>
          <w:vertAlign w:val="superscript"/>
        </w:rPr>
        <w:t>2</w:t>
      </w:r>
      <w:r w:rsidRPr="00422977">
        <w:rPr>
          <w:color w:val="000000"/>
          <w:sz w:val="24"/>
          <w:szCs w:val="24"/>
        </w:rPr>
        <w:t>Neutropenisk colitis, herunder letal neutropenisk colitis, er set som en komplikation til topotecan-induceret neutropeni (se pkt. 4.4).</w:t>
      </w:r>
    </w:p>
    <w:p w:rsidR="006E56FB" w:rsidRPr="00CC7C82" w:rsidRDefault="006E56FB" w:rsidP="006E56FB">
      <w:pPr>
        <w:autoSpaceDE w:val="0"/>
        <w:autoSpaceDN w:val="0"/>
        <w:adjustRightInd w:val="0"/>
        <w:ind w:left="851"/>
        <w:rPr>
          <w:sz w:val="24"/>
          <w:szCs w:val="24"/>
        </w:rPr>
      </w:pPr>
      <w:r w:rsidRPr="00BF0770">
        <w:rPr>
          <w:sz w:val="24"/>
          <w:szCs w:val="24"/>
          <w:vertAlign w:val="superscript"/>
        </w:rPr>
        <w:t>3</w:t>
      </w:r>
      <w:r w:rsidRPr="00CC7C82">
        <w:rPr>
          <w:sz w:val="24"/>
          <w:szCs w:val="24"/>
        </w:rPr>
        <w:t>Reaktionerne har været milde og har generelt ikke krævet speciel behandling.</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De ovenfor anførte bivirkninger kan forekomme med større hyppighed hos patienter, som har en dårlig performance status (se pkt. 4.4).</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Hyppighederne, som er forbundet med hæmatologiske og ikke-hæmatologiske bivirkninger, er anført nedenfor og repræsenterer de rapporter af bivirkninger, som anses for at være relateret eller muligvis relateret til behandling med topotecan.</w:t>
      </w:r>
    </w:p>
    <w:p w:rsidR="006E56FB" w:rsidRPr="00C32FFF" w:rsidRDefault="006E56FB" w:rsidP="006E56FB">
      <w:pPr>
        <w:autoSpaceDE w:val="0"/>
        <w:autoSpaceDN w:val="0"/>
        <w:adjustRightInd w:val="0"/>
        <w:rPr>
          <w:color w:val="000000"/>
          <w:sz w:val="24"/>
          <w:szCs w:val="24"/>
        </w:rPr>
      </w:pPr>
    </w:p>
    <w:p w:rsidR="006E56FB" w:rsidRDefault="006E56FB" w:rsidP="006E56FB">
      <w:pPr>
        <w:autoSpaceDE w:val="0"/>
        <w:autoSpaceDN w:val="0"/>
        <w:adjustRightInd w:val="0"/>
        <w:ind w:left="851"/>
        <w:rPr>
          <w:sz w:val="24"/>
          <w:szCs w:val="24"/>
          <w:u w:val="single"/>
        </w:rPr>
      </w:pPr>
      <w:r w:rsidRPr="00C5429E">
        <w:rPr>
          <w:sz w:val="24"/>
          <w:szCs w:val="24"/>
          <w:u w:val="single"/>
        </w:rPr>
        <w:t>Hæmatologisk</w:t>
      </w:r>
    </w:p>
    <w:p w:rsidR="006E56FB" w:rsidRPr="00C5429E" w:rsidRDefault="006E56FB" w:rsidP="006E56FB">
      <w:pPr>
        <w:autoSpaceDE w:val="0"/>
        <w:autoSpaceDN w:val="0"/>
        <w:adjustRightInd w:val="0"/>
        <w:ind w:left="851"/>
        <w:rPr>
          <w:color w:val="000000"/>
          <w:sz w:val="24"/>
          <w:szCs w:val="24"/>
          <w:u w:val="single"/>
        </w:rPr>
      </w:pPr>
    </w:p>
    <w:p w:rsidR="006E56FB" w:rsidRDefault="006E56FB" w:rsidP="006E56FB">
      <w:pPr>
        <w:autoSpaceDE w:val="0"/>
        <w:autoSpaceDN w:val="0"/>
        <w:adjustRightInd w:val="0"/>
        <w:ind w:left="851"/>
        <w:rPr>
          <w:color w:val="000000"/>
          <w:sz w:val="24"/>
          <w:szCs w:val="24"/>
        </w:rPr>
      </w:pPr>
      <w:r w:rsidRPr="00746888">
        <w:rPr>
          <w:i/>
          <w:sz w:val="24"/>
          <w:szCs w:val="24"/>
          <w:u w:val="single"/>
        </w:rPr>
        <w:t>Neutropeni</w:t>
      </w:r>
      <w:r w:rsidRPr="00C32FFF">
        <w:rPr>
          <w:color w:val="000000"/>
          <w:sz w:val="24"/>
          <w:szCs w:val="24"/>
        </w:rPr>
        <w:t xml:space="preserve"> </w:t>
      </w:r>
    </w:p>
    <w:p w:rsidR="006E56FB" w:rsidRPr="00C32FFF" w:rsidRDefault="006E56FB" w:rsidP="006E56FB">
      <w:pPr>
        <w:autoSpaceDE w:val="0"/>
        <w:autoSpaceDN w:val="0"/>
        <w:adjustRightInd w:val="0"/>
        <w:ind w:left="851"/>
        <w:rPr>
          <w:sz w:val="24"/>
          <w:szCs w:val="24"/>
        </w:rPr>
      </w:pPr>
      <w:r w:rsidRPr="00C32FFF">
        <w:rPr>
          <w:color w:val="000000"/>
          <w:sz w:val="24"/>
          <w:szCs w:val="24"/>
        </w:rPr>
        <w:t>Svær (neutrofiltal &lt; 0,5 x 10</w:t>
      </w:r>
      <w:r w:rsidRPr="00C32FFF">
        <w:rPr>
          <w:color w:val="000000"/>
          <w:sz w:val="24"/>
          <w:szCs w:val="24"/>
          <w:vertAlign w:val="superscript"/>
        </w:rPr>
        <w:t>9</w:t>
      </w:r>
      <w:r w:rsidRPr="00C32FFF">
        <w:rPr>
          <w:color w:val="000000"/>
          <w:sz w:val="24"/>
          <w:szCs w:val="24"/>
        </w:rPr>
        <w:t xml:space="preserve">/l) i løbet af behandlingsforløb 1 blev set hos 55 % af patienterne med en varighed </w:t>
      </w:r>
      <w:r w:rsidRPr="00C32FFF">
        <w:rPr>
          <w:sz w:val="24"/>
          <w:szCs w:val="24"/>
        </w:rPr>
        <w:sym w:font="Symbol" w:char="00B3"/>
      </w:r>
      <w:r w:rsidRPr="00C32FFF">
        <w:rPr>
          <w:color w:val="000000"/>
          <w:sz w:val="24"/>
          <w:szCs w:val="24"/>
        </w:rPr>
        <w:t xml:space="preserve"> </w:t>
      </w:r>
      <w:r>
        <w:rPr>
          <w:color w:val="000000"/>
          <w:sz w:val="24"/>
          <w:szCs w:val="24"/>
        </w:rPr>
        <w:t>syv</w:t>
      </w:r>
      <w:r w:rsidRPr="00C32FFF">
        <w:rPr>
          <w:color w:val="000000"/>
          <w:sz w:val="24"/>
          <w:szCs w:val="24"/>
        </w:rPr>
        <w:t xml:space="preserve"> dage hos 20 %. I alt hos 77 % af patienterne (39 % af behandlingsforløbene). </w:t>
      </w:r>
      <w:r w:rsidRPr="00C32FFF">
        <w:rPr>
          <w:sz w:val="24"/>
          <w:szCs w:val="24"/>
        </w:rPr>
        <w:t>Sammen med svær neutropeni forekom der feber eller infektion hos 16 % af patienterne i løbet af behandlingsforløb 1 og i alt hos 23 % af patienterne (6 % af behandlingsforløbene).</w:t>
      </w:r>
      <w:r w:rsidRPr="00C32FFF">
        <w:rPr>
          <w:color w:val="000000"/>
          <w:sz w:val="24"/>
          <w:szCs w:val="24"/>
        </w:rPr>
        <w:t xml:space="preserve"> </w:t>
      </w:r>
      <w:r w:rsidRPr="00C32FFF">
        <w:rPr>
          <w:sz w:val="24"/>
          <w:szCs w:val="24"/>
        </w:rPr>
        <w:t xml:space="preserve">Den mediane tid til indtræden af svær neutropeni var </w:t>
      </w:r>
      <w:r>
        <w:rPr>
          <w:sz w:val="24"/>
          <w:szCs w:val="24"/>
        </w:rPr>
        <w:t>ni</w:t>
      </w:r>
      <w:r w:rsidRPr="00C32FFF">
        <w:rPr>
          <w:sz w:val="24"/>
          <w:szCs w:val="24"/>
        </w:rPr>
        <w:t xml:space="preserve"> dage, og den mediane varighed var </w:t>
      </w:r>
      <w:r>
        <w:rPr>
          <w:sz w:val="24"/>
          <w:szCs w:val="24"/>
        </w:rPr>
        <w:t>syv</w:t>
      </w:r>
      <w:r w:rsidRPr="00C32FFF">
        <w:rPr>
          <w:sz w:val="24"/>
          <w:szCs w:val="24"/>
        </w:rPr>
        <w:t xml:space="preserve"> dage.</w:t>
      </w:r>
      <w:r w:rsidRPr="00C32FFF">
        <w:rPr>
          <w:color w:val="000000"/>
          <w:sz w:val="24"/>
          <w:szCs w:val="24"/>
        </w:rPr>
        <w:t xml:space="preserve"> </w:t>
      </w:r>
      <w:r w:rsidRPr="00C32FFF">
        <w:rPr>
          <w:sz w:val="24"/>
          <w:szCs w:val="24"/>
        </w:rPr>
        <w:t xml:space="preserve">Svær neutropeni varede længere end </w:t>
      </w:r>
      <w:r>
        <w:rPr>
          <w:sz w:val="24"/>
          <w:szCs w:val="24"/>
        </w:rPr>
        <w:t xml:space="preserve">syv </w:t>
      </w:r>
      <w:r w:rsidRPr="00C32FFF">
        <w:rPr>
          <w:sz w:val="24"/>
          <w:szCs w:val="24"/>
        </w:rPr>
        <w:t>dage i 11 % af alle behandlingsforløbene.</w:t>
      </w:r>
      <w:r>
        <w:rPr>
          <w:sz w:val="24"/>
          <w:szCs w:val="24"/>
        </w:rPr>
        <w:t xml:space="preserve"> </w:t>
      </w:r>
      <w:r w:rsidRPr="00C32FFF">
        <w:rPr>
          <w:sz w:val="24"/>
          <w:szCs w:val="24"/>
        </w:rPr>
        <w:t xml:space="preserve">Blandt alle patienter, der blev behandlet i de kliniske </w:t>
      </w:r>
      <w:r>
        <w:rPr>
          <w:sz w:val="24"/>
          <w:szCs w:val="24"/>
        </w:rPr>
        <w:t>studier</w:t>
      </w:r>
      <w:r w:rsidRPr="00C32FFF">
        <w:rPr>
          <w:sz w:val="24"/>
          <w:szCs w:val="24"/>
        </w:rPr>
        <w:t xml:space="preserve"> (herunder både patienter med svær neutropeni og patienter, der ikke fik svær neutropeni), udviklede 11 % (4 % af behandlingsforløbene) feber og 26 % (9 % af behandlingsforløbene) udviklede infektion.</w:t>
      </w:r>
      <w:r w:rsidRPr="00C32FFF">
        <w:rPr>
          <w:color w:val="000000"/>
          <w:sz w:val="24"/>
          <w:szCs w:val="24"/>
        </w:rPr>
        <w:t xml:space="preserve"> </w:t>
      </w:r>
      <w:r w:rsidRPr="00C32FFF">
        <w:rPr>
          <w:sz w:val="24"/>
          <w:szCs w:val="24"/>
        </w:rPr>
        <w:t>Endvidere udviklede 5 % af alle de behandlede patienter (1 % af behandlingsforløbene) sepsis (se pkt. 4.4).</w:t>
      </w:r>
    </w:p>
    <w:p w:rsidR="006E56FB" w:rsidRPr="00C32FFF" w:rsidRDefault="006E56FB" w:rsidP="006E56FB">
      <w:pPr>
        <w:autoSpaceDE w:val="0"/>
        <w:autoSpaceDN w:val="0"/>
        <w:adjustRightInd w:val="0"/>
        <w:ind w:left="851" w:hanging="851"/>
        <w:rPr>
          <w:color w:val="000000"/>
          <w:sz w:val="24"/>
          <w:szCs w:val="24"/>
        </w:rPr>
      </w:pPr>
    </w:p>
    <w:p w:rsidR="006E56FB" w:rsidRDefault="006E56FB" w:rsidP="006E56FB">
      <w:pPr>
        <w:autoSpaceDE w:val="0"/>
        <w:autoSpaceDN w:val="0"/>
        <w:adjustRightInd w:val="0"/>
        <w:ind w:left="851"/>
        <w:rPr>
          <w:i/>
          <w:color w:val="000000"/>
          <w:sz w:val="24"/>
          <w:szCs w:val="24"/>
        </w:rPr>
      </w:pPr>
      <w:r w:rsidRPr="00746888">
        <w:rPr>
          <w:i/>
          <w:sz w:val="24"/>
          <w:szCs w:val="24"/>
          <w:u w:val="single"/>
        </w:rPr>
        <w:t>Trombocytopeni</w:t>
      </w:r>
      <w:r w:rsidRPr="00C32FFF">
        <w:rPr>
          <w:i/>
          <w:color w:val="000000"/>
          <w:sz w:val="24"/>
          <w:szCs w:val="24"/>
        </w:rPr>
        <w:t xml:space="preserve"> </w:t>
      </w:r>
    </w:p>
    <w:p w:rsidR="006E56FB" w:rsidRPr="00C32FFF" w:rsidRDefault="006E56FB" w:rsidP="006E56FB">
      <w:pPr>
        <w:autoSpaceDE w:val="0"/>
        <w:autoSpaceDN w:val="0"/>
        <w:adjustRightInd w:val="0"/>
        <w:ind w:left="851"/>
        <w:rPr>
          <w:sz w:val="24"/>
          <w:szCs w:val="24"/>
        </w:rPr>
      </w:pPr>
      <w:r w:rsidRPr="00C32FFF">
        <w:rPr>
          <w:sz w:val="24"/>
          <w:szCs w:val="24"/>
        </w:rPr>
        <w:t xml:space="preserve">Svær (trombocyttal </w:t>
      </w:r>
      <w:r w:rsidRPr="0038045C">
        <w:rPr>
          <w:sz w:val="24"/>
          <w:szCs w:val="24"/>
        </w:rPr>
        <w:t>&lt;</w:t>
      </w:r>
      <w:r>
        <w:rPr>
          <w:sz w:val="24"/>
          <w:szCs w:val="24"/>
        </w:rPr>
        <w:t xml:space="preserve"> </w:t>
      </w:r>
      <w:r w:rsidRPr="00C32FFF">
        <w:rPr>
          <w:sz w:val="24"/>
          <w:szCs w:val="24"/>
        </w:rPr>
        <w:t>25 x 10</w:t>
      </w:r>
      <w:r w:rsidRPr="00C32FFF">
        <w:rPr>
          <w:sz w:val="24"/>
          <w:szCs w:val="24"/>
          <w:vertAlign w:val="superscript"/>
        </w:rPr>
        <w:t>9</w:t>
      </w:r>
      <w:r w:rsidRPr="00C32FFF">
        <w:rPr>
          <w:sz w:val="24"/>
          <w:szCs w:val="24"/>
        </w:rPr>
        <w:t>/l) hos 25 % af patienterne (8 % af behandlingsforløbene), moderat (trombocyttal mellem 25,0 og 50,0 x 10</w:t>
      </w:r>
      <w:r w:rsidRPr="00C32FFF">
        <w:rPr>
          <w:sz w:val="24"/>
          <w:szCs w:val="24"/>
          <w:vertAlign w:val="superscript"/>
        </w:rPr>
        <w:t>9</w:t>
      </w:r>
      <w:r w:rsidRPr="00C32FFF">
        <w:rPr>
          <w:sz w:val="24"/>
          <w:szCs w:val="24"/>
        </w:rPr>
        <w:t>/l) hos 25 % af patienterne (15 % af behandlingsforløbene).</w:t>
      </w:r>
      <w:r w:rsidRPr="00C32FFF">
        <w:rPr>
          <w:color w:val="000000"/>
          <w:sz w:val="24"/>
          <w:szCs w:val="24"/>
        </w:rPr>
        <w:t xml:space="preserve"> </w:t>
      </w:r>
      <w:r w:rsidRPr="00C32FFF">
        <w:rPr>
          <w:sz w:val="24"/>
          <w:szCs w:val="24"/>
        </w:rPr>
        <w:t xml:space="preserve">Den mediane tid til indtræden af svær neutropeni var </w:t>
      </w:r>
      <w:r>
        <w:rPr>
          <w:sz w:val="24"/>
          <w:szCs w:val="24"/>
        </w:rPr>
        <w:t xml:space="preserve">dag </w:t>
      </w:r>
      <w:r w:rsidRPr="00C32FFF">
        <w:rPr>
          <w:sz w:val="24"/>
          <w:szCs w:val="24"/>
        </w:rPr>
        <w:t xml:space="preserve">15, og den mediane varighed var </w:t>
      </w:r>
      <w:r>
        <w:rPr>
          <w:sz w:val="24"/>
          <w:szCs w:val="24"/>
        </w:rPr>
        <w:t>fem</w:t>
      </w:r>
      <w:r w:rsidRPr="00C32FFF">
        <w:rPr>
          <w:sz w:val="24"/>
          <w:szCs w:val="24"/>
        </w:rPr>
        <w:t xml:space="preserve"> dage.</w:t>
      </w:r>
      <w:r w:rsidRPr="00C32FFF">
        <w:rPr>
          <w:color w:val="000000"/>
          <w:sz w:val="24"/>
          <w:szCs w:val="24"/>
        </w:rPr>
        <w:t xml:space="preserve"> </w:t>
      </w:r>
      <w:r w:rsidRPr="00C32FFF">
        <w:rPr>
          <w:sz w:val="24"/>
          <w:szCs w:val="24"/>
        </w:rPr>
        <w:t xml:space="preserve">Der blev givet trombocyttransfusioner i 4 % af </w:t>
      </w:r>
      <w:r w:rsidRPr="00C32FFF">
        <w:rPr>
          <w:sz w:val="24"/>
          <w:szCs w:val="24"/>
        </w:rPr>
        <w:lastRenderedPageBreak/>
        <w:t>behandlingsforløbene.</w:t>
      </w:r>
      <w:r w:rsidRPr="00C32FFF">
        <w:rPr>
          <w:color w:val="000000"/>
          <w:sz w:val="24"/>
          <w:szCs w:val="24"/>
        </w:rPr>
        <w:t xml:space="preserve"> </w:t>
      </w:r>
      <w:r w:rsidRPr="00C32FFF">
        <w:rPr>
          <w:sz w:val="24"/>
          <w:szCs w:val="24"/>
        </w:rPr>
        <w:t>Der blev sjældent rapporteret om signifikante sequelae af trombocytopeni, herunder dødelig udgang, der skyldes tumorblødning.</w:t>
      </w:r>
    </w:p>
    <w:p w:rsidR="006E56FB" w:rsidRPr="00C32FFF" w:rsidRDefault="006E56FB" w:rsidP="006E56FB">
      <w:pPr>
        <w:autoSpaceDE w:val="0"/>
        <w:autoSpaceDN w:val="0"/>
        <w:adjustRightInd w:val="0"/>
        <w:ind w:left="851" w:hanging="851"/>
        <w:rPr>
          <w:color w:val="000000"/>
          <w:sz w:val="24"/>
          <w:szCs w:val="24"/>
        </w:rPr>
      </w:pPr>
    </w:p>
    <w:p w:rsidR="006E56FB" w:rsidRDefault="006E56FB" w:rsidP="006E56FB">
      <w:pPr>
        <w:autoSpaceDE w:val="0"/>
        <w:autoSpaceDN w:val="0"/>
        <w:adjustRightInd w:val="0"/>
        <w:ind w:left="851"/>
        <w:rPr>
          <w:i/>
          <w:sz w:val="24"/>
          <w:szCs w:val="24"/>
        </w:rPr>
      </w:pPr>
      <w:r w:rsidRPr="00746888">
        <w:rPr>
          <w:i/>
          <w:sz w:val="24"/>
          <w:szCs w:val="24"/>
          <w:u w:val="single"/>
        </w:rPr>
        <w:t>Anæmi</w:t>
      </w:r>
    </w:p>
    <w:p w:rsidR="006E56FB" w:rsidRPr="00C32FFF" w:rsidRDefault="006E56FB" w:rsidP="006E56FB">
      <w:pPr>
        <w:autoSpaceDE w:val="0"/>
        <w:autoSpaceDN w:val="0"/>
        <w:adjustRightInd w:val="0"/>
        <w:ind w:left="851"/>
        <w:rPr>
          <w:sz w:val="24"/>
          <w:szCs w:val="24"/>
        </w:rPr>
      </w:pPr>
      <w:r w:rsidRPr="00C32FFF">
        <w:rPr>
          <w:color w:val="000000"/>
          <w:sz w:val="24"/>
          <w:szCs w:val="24"/>
        </w:rPr>
        <w:t xml:space="preserve">Moderat til svær (Hb </w:t>
      </w:r>
      <w:r w:rsidRPr="00C32FFF">
        <w:rPr>
          <w:sz w:val="24"/>
          <w:szCs w:val="24"/>
        </w:rPr>
        <w:sym w:font="Symbol" w:char="00A3"/>
      </w:r>
      <w:r w:rsidRPr="00C32FFF">
        <w:rPr>
          <w:color w:val="000000"/>
          <w:sz w:val="24"/>
          <w:szCs w:val="24"/>
        </w:rPr>
        <w:t xml:space="preserve"> 8,0 g/dl) hos 37 % af patienterne (14 % af behandlingsforløbene). </w:t>
      </w:r>
      <w:r w:rsidRPr="00C32FFF">
        <w:rPr>
          <w:sz w:val="24"/>
          <w:szCs w:val="24"/>
        </w:rPr>
        <w:t>Der blev givet transfusion af røde blodlegemer til 52 % af patienterne (21 % af behandlingsforløbene).</w:t>
      </w:r>
    </w:p>
    <w:p w:rsidR="006E56FB" w:rsidRPr="00C32FFF" w:rsidRDefault="006E56FB" w:rsidP="006E56FB">
      <w:pPr>
        <w:autoSpaceDE w:val="0"/>
        <w:autoSpaceDN w:val="0"/>
        <w:adjustRightInd w:val="0"/>
        <w:ind w:left="851" w:hanging="851"/>
        <w:rPr>
          <w:color w:val="000000"/>
          <w:sz w:val="24"/>
          <w:szCs w:val="24"/>
        </w:rPr>
      </w:pPr>
    </w:p>
    <w:p w:rsidR="006E56FB" w:rsidRPr="00746888" w:rsidRDefault="006E56FB" w:rsidP="006E56FB">
      <w:pPr>
        <w:autoSpaceDE w:val="0"/>
        <w:autoSpaceDN w:val="0"/>
        <w:adjustRightInd w:val="0"/>
        <w:ind w:left="851"/>
        <w:rPr>
          <w:color w:val="000000"/>
          <w:sz w:val="24"/>
          <w:szCs w:val="24"/>
          <w:u w:val="single"/>
        </w:rPr>
      </w:pPr>
      <w:r w:rsidRPr="00746888">
        <w:rPr>
          <w:sz w:val="24"/>
          <w:szCs w:val="24"/>
          <w:u w:val="single"/>
        </w:rPr>
        <w:t>Ikke-hæmatologisk</w:t>
      </w:r>
    </w:p>
    <w:p w:rsidR="006E56FB" w:rsidRPr="00C32FFF" w:rsidRDefault="006E56FB" w:rsidP="006E56FB">
      <w:pPr>
        <w:autoSpaceDE w:val="0"/>
        <w:autoSpaceDN w:val="0"/>
        <w:adjustRightInd w:val="0"/>
        <w:ind w:left="851"/>
        <w:rPr>
          <w:sz w:val="24"/>
          <w:szCs w:val="24"/>
        </w:rPr>
      </w:pPr>
      <w:r w:rsidRPr="00C32FFF">
        <w:rPr>
          <w:sz w:val="24"/>
          <w:szCs w:val="24"/>
        </w:rPr>
        <w:t>De hyppigst rapporterede ikke-hæmatologiske virkninger var i mave-tarm-kanalen, såsom kvalme (52 %), opkastning (32 %), og diarré (18 %), obstipation (9 %) og mukositis (</w:t>
      </w:r>
      <w:r>
        <w:rPr>
          <w:sz w:val="24"/>
          <w:szCs w:val="24"/>
        </w:rPr>
        <w:t>14</w:t>
      </w:r>
      <w:r w:rsidRPr="00C32FFF">
        <w:rPr>
          <w:sz w:val="24"/>
          <w:szCs w:val="24"/>
        </w:rPr>
        <w:t xml:space="preserve"> %).</w:t>
      </w:r>
      <w:r w:rsidRPr="00C32FFF">
        <w:rPr>
          <w:color w:val="000000"/>
          <w:sz w:val="24"/>
          <w:szCs w:val="24"/>
        </w:rPr>
        <w:t xml:space="preserve"> </w:t>
      </w:r>
      <w:r>
        <w:rPr>
          <w:sz w:val="24"/>
          <w:szCs w:val="24"/>
        </w:rPr>
        <w:t>Hyppigheden</w:t>
      </w:r>
      <w:r w:rsidRPr="00C32FFF">
        <w:rPr>
          <w:sz w:val="24"/>
          <w:szCs w:val="24"/>
        </w:rPr>
        <w:t xml:space="preserve"> af svær (grad 3 eller 4) kvalme, opkastning, diarré og mukositis var hhv. 4, 3, 2 og 1 %.</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Der blev rapporteret om lette mavesmerter hos 4 % af patienterne.</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Der blev observeret træthed hos ca. 25 % og asteni hos 16 % af patienterne, mens de blev behandlet med topotecan.</w:t>
      </w:r>
      <w:r w:rsidRPr="00C32FFF">
        <w:rPr>
          <w:color w:val="000000"/>
          <w:sz w:val="24"/>
          <w:szCs w:val="24"/>
        </w:rPr>
        <w:t xml:space="preserve"> </w:t>
      </w:r>
      <w:r>
        <w:rPr>
          <w:sz w:val="24"/>
          <w:szCs w:val="24"/>
        </w:rPr>
        <w:t>Hyppigheden</w:t>
      </w:r>
      <w:r w:rsidRPr="00C32FFF">
        <w:rPr>
          <w:sz w:val="24"/>
          <w:szCs w:val="24"/>
        </w:rPr>
        <w:t xml:space="preserve"> af svær (grad 3 eller 4) træthed og asteni var </w:t>
      </w:r>
      <w:r>
        <w:rPr>
          <w:sz w:val="24"/>
          <w:szCs w:val="24"/>
        </w:rPr>
        <w:t xml:space="preserve">i begge tilfælde </w:t>
      </w:r>
      <w:r w:rsidRPr="00C32FFF">
        <w:rPr>
          <w:sz w:val="24"/>
          <w:szCs w:val="24"/>
        </w:rPr>
        <w:t>3 %.</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Der blev observeret total eller udtalt alopeci hos 30 % af patienterne og delvis alopeci hos 15 % af patienterne.</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Andre alvorlige hændelser, der blev registreret som relateret eller muligt relateret til behandling med topotecan, var anoreksi (12 %), utilpashed (3 %) og hyperbilirubinæmi (1 %).</w:t>
      </w:r>
    </w:p>
    <w:p w:rsidR="006E56FB" w:rsidRPr="00C32FFF" w:rsidRDefault="006E56FB" w:rsidP="006E56FB">
      <w:pPr>
        <w:autoSpaceDE w:val="0"/>
        <w:autoSpaceDN w:val="0"/>
        <w:adjustRightInd w:val="0"/>
        <w:ind w:left="851" w:hanging="851"/>
        <w:rPr>
          <w:color w:val="000000"/>
          <w:sz w:val="24"/>
          <w:szCs w:val="24"/>
        </w:rPr>
      </w:pPr>
    </w:p>
    <w:p w:rsidR="006E56FB" w:rsidRDefault="006E56FB" w:rsidP="006E56FB">
      <w:pPr>
        <w:autoSpaceDE w:val="0"/>
        <w:autoSpaceDN w:val="0"/>
        <w:adjustRightInd w:val="0"/>
        <w:ind w:left="851"/>
        <w:rPr>
          <w:sz w:val="24"/>
          <w:szCs w:val="24"/>
        </w:rPr>
      </w:pPr>
      <w:r w:rsidRPr="00C32FFF">
        <w:rPr>
          <w:sz w:val="24"/>
          <w:szCs w:val="24"/>
        </w:rPr>
        <w:t>I sjældne tilfælde er der rapporteret om overfølsomhedsreaktioner, herunder hududslæt, urticaria, angioødem og anafylaktiske reaktioner.</w:t>
      </w:r>
      <w:r w:rsidRPr="00C32FFF">
        <w:rPr>
          <w:color w:val="000000"/>
          <w:sz w:val="24"/>
          <w:szCs w:val="24"/>
        </w:rPr>
        <w:t xml:space="preserve"> </w:t>
      </w:r>
      <w:r w:rsidRPr="00C32FFF">
        <w:rPr>
          <w:sz w:val="24"/>
          <w:szCs w:val="24"/>
        </w:rPr>
        <w:t xml:space="preserve">I kliniske </w:t>
      </w:r>
      <w:r>
        <w:rPr>
          <w:sz w:val="24"/>
          <w:szCs w:val="24"/>
        </w:rPr>
        <w:t>studier</w:t>
      </w:r>
      <w:r w:rsidRPr="00C32FFF">
        <w:rPr>
          <w:sz w:val="24"/>
          <w:szCs w:val="24"/>
        </w:rPr>
        <w:t xml:space="preserve"> er der rapporteret om hududslæt hos 4 % af patienter og pruritus hos 1,5 % af patienterne.</w:t>
      </w:r>
    </w:p>
    <w:p w:rsidR="006E56FB" w:rsidRDefault="006E56FB" w:rsidP="006E56FB">
      <w:pPr>
        <w:autoSpaceDE w:val="0"/>
        <w:autoSpaceDN w:val="0"/>
        <w:adjustRightInd w:val="0"/>
        <w:ind w:left="851"/>
        <w:rPr>
          <w:sz w:val="24"/>
          <w:szCs w:val="24"/>
        </w:rPr>
      </w:pPr>
    </w:p>
    <w:p w:rsidR="006E56FB" w:rsidRPr="008F49E1" w:rsidRDefault="006E56FB" w:rsidP="006E56FB">
      <w:pPr>
        <w:autoSpaceDE w:val="0"/>
        <w:autoSpaceDN w:val="0"/>
        <w:ind w:left="851"/>
        <w:rPr>
          <w:u w:val="single"/>
        </w:rPr>
      </w:pPr>
      <w:r w:rsidRPr="008F49E1">
        <w:rPr>
          <w:u w:val="single"/>
        </w:rPr>
        <w:t>Indberetning af formodede bivirkninger</w:t>
      </w:r>
    </w:p>
    <w:p w:rsidR="006E56FB" w:rsidRPr="008F49E1" w:rsidRDefault="006E56FB" w:rsidP="006E56FB">
      <w:pPr>
        <w:ind w:left="851"/>
      </w:pPr>
      <w:r w:rsidRPr="008F49E1">
        <w:t>Når lægemidlet er godkendt, er indberetning af formodede bivirkninger vigtig. Det muliggør løbende overvågning af benefit/risk-forholdet for lægemidlet.</w:t>
      </w:r>
      <w:r w:rsidR="00F46DB3">
        <w:t xml:space="preserve"> Sundhedspersoner </w:t>
      </w:r>
      <w:r w:rsidRPr="008F49E1">
        <w:t>anmodes om at indberette alle formodede bivirkninger via:</w:t>
      </w:r>
    </w:p>
    <w:p w:rsidR="006E56FB" w:rsidRPr="008F49E1" w:rsidRDefault="006E56FB" w:rsidP="006E56FB">
      <w:pPr>
        <w:ind w:left="851"/>
      </w:pPr>
    </w:p>
    <w:p w:rsidR="006E56FB" w:rsidRPr="007A276A" w:rsidRDefault="006E56FB" w:rsidP="006E56FB">
      <w:pPr>
        <w:ind w:left="851"/>
      </w:pPr>
      <w:r w:rsidRPr="007A276A">
        <w:t>Lægemiddelstyrelsen</w:t>
      </w:r>
    </w:p>
    <w:p w:rsidR="006E56FB" w:rsidRPr="007A276A" w:rsidRDefault="006E56FB" w:rsidP="006E56FB">
      <w:pPr>
        <w:ind w:left="851"/>
      </w:pPr>
      <w:r w:rsidRPr="007A276A">
        <w:t>Axel Heides Gade 1</w:t>
      </w:r>
    </w:p>
    <w:p w:rsidR="006E56FB" w:rsidRPr="007A276A" w:rsidRDefault="006E56FB" w:rsidP="006E56FB">
      <w:pPr>
        <w:ind w:left="851"/>
      </w:pPr>
      <w:r w:rsidRPr="007A276A">
        <w:t>DK-2300 København S</w:t>
      </w:r>
    </w:p>
    <w:p w:rsidR="006E56FB" w:rsidRPr="00D21321" w:rsidRDefault="006E56FB" w:rsidP="006E56FB">
      <w:pPr>
        <w:ind w:left="851"/>
      </w:pPr>
      <w:r w:rsidRPr="00D21321">
        <w:t xml:space="preserve">Websted: </w:t>
      </w:r>
      <w:hyperlink r:id="rId9" w:history="1">
        <w:r w:rsidRPr="00D21321">
          <w:rPr>
            <w:color w:val="0000FF"/>
            <w:u w:val="single"/>
          </w:rPr>
          <w:t>www.meldenbivirkning.dk</w:t>
        </w:r>
      </w:hyperlink>
    </w:p>
    <w:p w:rsidR="006E56FB" w:rsidRPr="00D21321" w:rsidRDefault="006E56FB" w:rsidP="006E56FB">
      <w:pPr>
        <w:pStyle w:val="Sidehoved"/>
        <w:tabs>
          <w:tab w:val="left" w:pos="851"/>
        </w:tabs>
        <w:ind w:left="851" w:hanging="851"/>
        <w:rPr>
          <w:szCs w:val="24"/>
        </w:rPr>
      </w:pPr>
    </w:p>
    <w:p w:rsidR="006E56FB" w:rsidRPr="002378EE" w:rsidRDefault="006E56FB" w:rsidP="006E56FB">
      <w:pPr>
        <w:numPr>
          <w:ilvl w:val="1"/>
          <w:numId w:val="13"/>
        </w:numPr>
        <w:ind w:left="851" w:hanging="851"/>
        <w:rPr>
          <w:b/>
          <w:sz w:val="24"/>
          <w:szCs w:val="24"/>
        </w:rPr>
      </w:pPr>
      <w:r w:rsidRPr="00C32FFF">
        <w:rPr>
          <w:b/>
          <w:sz w:val="24"/>
          <w:szCs w:val="24"/>
        </w:rPr>
        <w:t>Overdosering</w:t>
      </w:r>
    </w:p>
    <w:p w:rsidR="006E56FB" w:rsidRPr="00CC7C82" w:rsidRDefault="006E56FB" w:rsidP="006E56FB">
      <w:pPr>
        <w:autoSpaceDE w:val="0"/>
        <w:autoSpaceDN w:val="0"/>
        <w:adjustRightInd w:val="0"/>
        <w:ind w:left="851"/>
        <w:rPr>
          <w:sz w:val="24"/>
          <w:szCs w:val="24"/>
        </w:rPr>
      </w:pPr>
      <w:r w:rsidRPr="00CC7C82">
        <w:rPr>
          <w:sz w:val="24"/>
          <w:szCs w:val="24"/>
        </w:rPr>
        <w:t>Overdosering er blevet rapporteret hos patienter i behandling med intravenøs topotecan (op til 10 gange den anbefalede dosis) og topotecan kapsler (op til 5 gange den anbefalede dosis). De tegn og symptomer</w:t>
      </w:r>
      <w:r>
        <w:rPr>
          <w:sz w:val="24"/>
          <w:szCs w:val="24"/>
        </w:rPr>
        <w:t>, der blev observeret efter</w:t>
      </w:r>
      <w:r w:rsidRPr="00CC7C82">
        <w:rPr>
          <w:sz w:val="24"/>
          <w:szCs w:val="24"/>
        </w:rPr>
        <w:t xml:space="preserve"> overdosering</w:t>
      </w:r>
      <w:r>
        <w:rPr>
          <w:sz w:val="24"/>
          <w:szCs w:val="24"/>
        </w:rPr>
        <w:t>,</w:t>
      </w:r>
      <w:r w:rsidRPr="00CC7C82">
        <w:rPr>
          <w:sz w:val="24"/>
          <w:szCs w:val="24"/>
        </w:rPr>
        <w:t xml:space="preserve"> var i overensstemmelse med de kendte bivirkninger forbundet med topotecan (se pkt. 4.8). De primære komplikationer forbundet med overdosering er knoglemarvssuppression og mucositis. Yderligere er forhøjede leverenzymer blevet rapporteret ved overdosering med topotecan intravenøst.</w:t>
      </w:r>
    </w:p>
    <w:p w:rsidR="006E56FB" w:rsidRPr="00CC7C82" w:rsidRDefault="006E56FB" w:rsidP="006E56FB">
      <w:pPr>
        <w:tabs>
          <w:tab w:val="left" w:pos="851"/>
        </w:tabs>
        <w:ind w:left="851" w:hanging="851"/>
        <w:rPr>
          <w:sz w:val="24"/>
          <w:szCs w:val="24"/>
        </w:rPr>
      </w:pPr>
    </w:p>
    <w:p w:rsidR="006E56FB" w:rsidRPr="00CC7C82" w:rsidRDefault="006E56FB" w:rsidP="006E56FB">
      <w:pPr>
        <w:tabs>
          <w:tab w:val="left" w:pos="851"/>
        </w:tabs>
        <w:ind w:left="851"/>
        <w:rPr>
          <w:sz w:val="24"/>
          <w:szCs w:val="24"/>
        </w:rPr>
      </w:pPr>
      <w:r w:rsidRPr="00CC7C82">
        <w:rPr>
          <w:sz w:val="24"/>
          <w:szCs w:val="24"/>
        </w:rPr>
        <w:t>Der findes ikke nogen kendt antidot mod topotecan-overdosering. Yderligere behandling bør være som klinisk indiceret eller efter anbefaling fra Giftlinjen.</w:t>
      </w:r>
    </w:p>
    <w:p w:rsidR="006E56FB" w:rsidRPr="00C32FFF" w:rsidRDefault="006E56FB" w:rsidP="006E56FB">
      <w:pPr>
        <w:tabs>
          <w:tab w:val="left" w:pos="851"/>
        </w:tabs>
        <w:ind w:left="851" w:hanging="851"/>
        <w:rPr>
          <w:sz w:val="24"/>
          <w:szCs w:val="24"/>
        </w:rPr>
      </w:pPr>
    </w:p>
    <w:p w:rsidR="006E56FB" w:rsidRPr="00C32FFF" w:rsidRDefault="006E56FB" w:rsidP="006E56FB">
      <w:pPr>
        <w:numPr>
          <w:ilvl w:val="1"/>
          <w:numId w:val="13"/>
        </w:numPr>
        <w:ind w:left="851" w:hanging="851"/>
        <w:rPr>
          <w:b/>
          <w:sz w:val="24"/>
          <w:szCs w:val="24"/>
        </w:rPr>
      </w:pPr>
      <w:r w:rsidRPr="00C32FFF">
        <w:rPr>
          <w:b/>
          <w:sz w:val="24"/>
          <w:szCs w:val="24"/>
        </w:rPr>
        <w:t>Udlevering</w:t>
      </w:r>
    </w:p>
    <w:p w:rsidR="006E56FB" w:rsidRPr="00C32FFF" w:rsidRDefault="006E56FB" w:rsidP="006E56FB">
      <w:pPr>
        <w:autoSpaceDE w:val="0"/>
        <w:autoSpaceDN w:val="0"/>
        <w:adjustRightInd w:val="0"/>
        <w:ind w:left="851" w:hanging="851"/>
        <w:rPr>
          <w:color w:val="000000"/>
          <w:sz w:val="24"/>
          <w:szCs w:val="24"/>
        </w:rPr>
      </w:pPr>
      <w:r w:rsidRPr="00C32FFF">
        <w:rPr>
          <w:sz w:val="24"/>
          <w:szCs w:val="24"/>
        </w:rPr>
        <w:tab/>
      </w:r>
      <w:r w:rsidRPr="00C32FFF">
        <w:rPr>
          <w:color w:val="000000"/>
          <w:sz w:val="24"/>
          <w:szCs w:val="24"/>
        </w:rPr>
        <w:t>BEGR</w:t>
      </w:r>
    </w:p>
    <w:p w:rsidR="006E56FB" w:rsidRDefault="006E56FB" w:rsidP="00F46DB3">
      <w:pPr>
        <w:tabs>
          <w:tab w:val="left" w:pos="851"/>
        </w:tabs>
        <w:rPr>
          <w:sz w:val="24"/>
          <w:szCs w:val="24"/>
        </w:rPr>
      </w:pPr>
    </w:p>
    <w:p w:rsidR="00A75A90" w:rsidRPr="00C32FFF" w:rsidRDefault="00A75A90" w:rsidP="00F46DB3">
      <w:pPr>
        <w:tabs>
          <w:tab w:val="left" w:pos="851"/>
        </w:tabs>
        <w:rPr>
          <w:sz w:val="24"/>
          <w:szCs w:val="24"/>
        </w:rPr>
      </w:pPr>
    </w:p>
    <w:p w:rsidR="006E56FB" w:rsidRPr="00C32FFF" w:rsidRDefault="006E56FB" w:rsidP="006E56FB">
      <w:pPr>
        <w:numPr>
          <w:ilvl w:val="0"/>
          <w:numId w:val="13"/>
        </w:numPr>
        <w:ind w:left="851" w:hanging="851"/>
        <w:rPr>
          <w:b/>
          <w:sz w:val="24"/>
          <w:szCs w:val="24"/>
        </w:rPr>
      </w:pPr>
      <w:r w:rsidRPr="00C32FFF">
        <w:rPr>
          <w:b/>
          <w:sz w:val="24"/>
          <w:szCs w:val="24"/>
        </w:rPr>
        <w:t>FARMAKOLOGISKE EGENSKABER</w:t>
      </w:r>
    </w:p>
    <w:p w:rsidR="006E56FB" w:rsidRPr="00C32FFF" w:rsidRDefault="006E56FB" w:rsidP="006E56FB">
      <w:pPr>
        <w:tabs>
          <w:tab w:val="left" w:pos="851"/>
        </w:tabs>
        <w:ind w:left="851" w:hanging="851"/>
        <w:rPr>
          <w:sz w:val="24"/>
          <w:szCs w:val="24"/>
        </w:rPr>
      </w:pPr>
    </w:p>
    <w:p w:rsidR="006E56FB" w:rsidRPr="00C32FFF" w:rsidRDefault="006E56FB" w:rsidP="006E56FB">
      <w:pPr>
        <w:numPr>
          <w:ilvl w:val="0"/>
          <w:numId w:val="2"/>
        </w:numPr>
        <w:ind w:left="851" w:hanging="851"/>
        <w:rPr>
          <w:b/>
          <w:sz w:val="24"/>
          <w:szCs w:val="24"/>
        </w:rPr>
      </w:pPr>
      <w:r w:rsidRPr="00C32FFF">
        <w:rPr>
          <w:b/>
          <w:sz w:val="24"/>
          <w:szCs w:val="24"/>
        </w:rPr>
        <w:t>Terapeutisk klassifikation</w:t>
      </w:r>
    </w:p>
    <w:p w:rsidR="00E7345C" w:rsidRPr="00A75A90" w:rsidRDefault="00E7345C" w:rsidP="00A75A90">
      <w:pPr>
        <w:autoSpaceDE w:val="0"/>
        <w:autoSpaceDN w:val="0"/>
        <w:adjustRightInd w:val="0"/>
        <w:ind w:firstLine="851"/>
        <w:rPr>
          <w:sz w:val="24"/>
          <w:szCs w:val="24"/>
        </w:rPr>
      </w:pPr>
      <w:r w:rsidRPr="00A75A90">
        <w:rPr>
          <w:sz w:val="24"/>
          <w:szCs w:val="24"/>
        </w:rPr>
        <w:t>ATC-kode:</w:t>
      </w:r>
      <w:r w:rsidRPr="00A75A90">
        <w:rPr>
          <w:color w:val="000000"/>
          <w:sz w:val="24"/>
          <w:szCs w:val="24"/>
        </w:rPr>
        <w:t xml:space="preserve"> </w:t>
      </w:r>
      <w:r w:rsidRPr="00A75A90">
        <w:rPr>
          <w:sz w:val="24"/>
          <w:szCs w:val="24"/>
        </w:rPr>
        <w:t>L01CE01</w:t>
      </w:r>
      <w:r w:rsidR="0005167D">
        <w:rPr>
          <w:sz w:val="24"/>
          <w:szCs w:val="24"/>
        </w:rPr>
        <w:t>. A</w:t>
      </w:r>
      <w:r w:rsidRPr="00A75A90">
        <w:rPr>
          <w:sz w:val="24"/>
          <w:szCs w:val="24"/>
        </w:rPr>
        <w:t>ndre antineoplastiske stoffer.</w:t>
      </w:r>
    </w:p>
    <w:p w:rsidR="006E56FB" w:rsidRPr="00C32FFF" w:rsidRDefault="006E56FB" w:rsidP="006E56FB">
      <w:pPr>
        <w:autoSpaceDE w:val="0"/>
        <w:autoSpaceDN w:val="0"/>
        <w:adjustRightInd w:val="0"/>
        <w:ind w:left="851"/>
        <w:rPr>
          <w:sz w:val="24"/>
          <w:szCs w:val="24"/>
        </w:rPr>
      </w:pPr>
    </w:p>
    <w:p w:rsidR="006E56FB" w:rsidRPr="002378EE" w:rsidRDefault="006E56FB" w:rsidP="006E56FB">
      <w:pPr>
        <w:numPr>
          <w:ilvl w:val="1"/>
          <w:numId w:val="2"/>
        </w:numPr>
        <w:tabs>
          <w:tab w:val="num" w:pos="851"/>
        </w:tabs>
        <w:ind w:left="851" w:hanging="851"/>
        <w:rPr>
          <w:b/>
          <w:sz w:val="24"/>
          <w:szCs w:val="24"/>
        </w:rPr>
      </w:pPr>
      <w:r w:rsidRPr="00C32FFF">
        <w:rPr>
          <w:b/>
          <w:sz w:val="24"/>
          <w:szCs w:val="24"/>
        </w:rPr>
        <w:t>Farmakodynamiske egenskaber</w:t>
      </w:r>
    </w:p>
    <w:p w:rsidR="006E56FB" w:rsidRDefault="006E56FB" w:rsidP="006E56FB">
      <w:pPr>
        <w:autoSpaceDE w:val="0"/>
        <w:autoSpaceDN w:val="0"/>
        <w:adjustRightInd w:val="0"/>
        <w:ind w:left="1702" w:hanging="851"/>
        <w:rPr>
          <w:sz w:val="24"/>
          <w:szCs w:val="24"/>
          <w:u w:val="single"/>
        </w:rPr>
      </w:pPr>
      <w:r>
        <w:rPr>
          <w:sz w:val="24"/>
          <w:szCs w:val="24"/>
          <w:u w:val="single"/>
        </w:rPr>
        <w:t>Virkningsmekanisme</w:t>
      </w:r>
    </w:p>
    <w:p w:rsidR="006E56FB" w:rsidRDefault="006E56FB" w:rsidP="006E56FB">
      <w:pPr>
        <w:autoSpaceDE w:val="0"/>
        <w:autoSpaceDN w:val="0"/>
        <w:adjustRightInd w:val="0"/>
        <w:ind w:left="851"/>
        <w:rPr>
          <w:sz w:val="24"/>
          <w:szCs w:val="24"/>
        </w:rPr>
      </w:pPr>
      <w:r w:rsidRPr="00C32FFF">
        <w:rPr>
          <w:sz w:val="24"/>
          <w:szCs w:val="24"/>
        </w:rPr>
        <w:t>Topotecans anti-tumoraktivitet involverer hæmning af topoisomerase-I, et enzym, som er stærkt involveret i DNA-replikationen, da det lindrer torsionsbelastningen, der opstår foran den bevægelige replikationsgaffel.</w:t>
      </w:r>
      <w:r w:rsidRPr="00C32FFF">
        <w:rPr>
          <w:color w:val="000000"/>
          <w:sz w:val="24"/>
          <w:szCs w:val="24"/>
        </w:rPr>
        <w:t xml:space="preserve"> </w:t>
      </w:r>
      <w:r w:rsidRPr="00C32FFF">
        <w:rPr>
          <w:sz w:val="24"/>
          <w:szCs w:val="24"/>
        </w:rPr>
        <w:t>Topotecan hæmmer topoisomerase-I ved at stabilisere det kovalente kompleks af enzym og strengkløvet DNA, som er et mellemprodukt af den katalytiske mekanisme.</w:t>
      </w:r>
      <w:r w:rsidRPr="00C32FFF">
        <w:rPr>
          <w:color w:val="000000"/>
          <w:sz w:val="24"/>
          <w:szCs w:val="24"/>
        </w:rPr>
        <w:t xml:space="preserve"> </w:t>
      </w:r>
      <w:r w:rsidRPr="00C32FFF">
        <w:rPr>
          <w:sz w:val="24"/>
          <w:szCs w:val="24"/>
        </w:rPr>
        <w:t>Det cellulære sequelae af hæmningen af topoisomerase-I, som er forårsaget af topotecan, er en induktion af proteinassocierede enkelstrengsbrud på DNA.</w:t>
      </w:r>
    </w:p>
    <w:p w:rsidR="006E56FB" w:rsidRDefault="006E56FB" w:rsidP="006E56FB">
      <w:pPr>
        <w:autoSpaceDE w:val="0"/>
        <w:autoSpaceDN w:val="0"/>
        <w:adjustRightInd w:val="0"/>
        <w:ind w:left="851" w:hanging="851"/>
        <w:rPr>
          <w:color w:val="000000"/>
          <w:sz w:val="24"/>
          <w:szCs w:val="24"/>
        </w:rPr>
      </w:pPr>
    </w:p>
    <w:p w:rsidR="006E56FB" w:rsidRPr="00746888" w:rsidRDefault="006E56FB" w:rsidP="006E56FB">
      <w:pPr>
        <w:autoSpaceDE w:val="0"/>
        <w:autoSpaceDN w:val="0"/>
        <w:adjustRightInd w:val="0"/>
        <w:ind w:left="851" w:hanging="851"/>
        <w:rPr>
          <w:color w:val="000000"/>
          <w:sz w:val="24"/>
          <w:szCs w:val="24"/>
          <w:u w:val="single"/>
        </w:rPr>
      </w:pPr>
      <w:r>
        <w:rPr>
          <w:color w:val="000000"/>
          <w:sz w:val="24"/>
          <w:szCs w:val="24"/>
        </w:rPr>
        <w:tab/>
      </w:r>
      <w:r>
        <w:rPr>
          <w:color w:val="000000"/>
          <w:sz w:val="24"/>
          <w:szCs w:val="24"/>
          <w:u w:val="single"/>
        </w:rPr>
        <w:t>Klinisk virkning og sikkerhed</w:t>
      </w:r>
    </w:p>
    <w:p w:rsidR="006E56FB" w:rsidRPr="00746888" w:rsidRDefault="006E56FB" w:rsidP="006E56FB">
      <w:pPr>
        <w:autoSpaceDE w:val="0"/>
        <w:autoSpaceDN w:val="0"/>
        <w:adjustRightInd w:val="0"/>
        <w:ind w:left="851"/>
        <w:rPr>
          <w:i/>
          <w:color w:val="000000"/>
          <w:sz w:val="24"/>
          <w:szCs w:val="24"/>
          <w:u w:val="single"/>
        </w:rPr>
      </w:pPr>
      <w:r w:rsidRPr="00746888">
        <w:rPr>
          <w:i/>
          <w:sz w:val="24"/>
          <w:szCs w:val="24"/>
          <w:u w:val="single"/>
        </w:rPr>
        <w:t>Recidiverende ovariecancer</w:t>
      </w:r>
    </w:p>
    <w:p w:rsidR="006E56FB" w:rsidRPr="00C32FFF" w:rsidRDefault="006E56FB" w:rsidP="006E56FB">
      <w:pPr>
        <w:autoSpaceDE w:val="0"/>
        <w:autoSpaceDN w:val="0"/>
        <w:adjustRightInd w:val="0"/>
        <w:ind w:left="851"/>
        <w:rPr>
          <w:sz w:val="24"/>
          <w:szCs w:val="24"/>
        </w:rPr>
      </w:pPr>
      <w:r w:rsidRPr="00C32FFF">
        <w:rPr>
          <w:sz w:val="24"/>
          <w:szCs w:val="24"/>
        </w:rPr>
        <w:t>I en komparativ undersøgelse af topotecan og paclitaxel hos patienter med tidligere behandling for ovariekarcinom med platinbaseret kemoterapi (hhv. n = 112 og 114) var responsraten (95 % CI) 20,5 % (13 %; 28 %) versus 14 % (8 %; 20 %) og median tid til progression 19 uger versus 15 uger (hazard ratio 0,7 [0,6; 1,0]), for hhv. topotecan og paclitaxel.</w:t>
      </w:r>
      <w:r w:rsidRPr="00C32FFF">
        <w:rPr>
          <w:color w:val="000000"/>
          <w:sz w:val="24"/>
          <w:szCs w:val="24"/>
        </w:rPr>
        <w:t xml:space="preserve"> </w:t>
      </w:r>
      <w:r w:rsidRPr="00C32FFF">
        <w:rPr>
          <w:sz w:val="24"/>
          <w:szCs w:val="24"/>
        </w:rPr>
        <w:t>Median samlet overlevelse var 62 uger for topotecan versus 53 uger for paclitaxel (hazard ratio 0,9 [0,6; 1,3]).</w:t>
      </w:r>
      <w:r w:rsidRPr="00C32FFF">
        <w:rPr>
          <w:color w:val="000000"/>
          <w:sz w:val="24"/>
          <w:szCs w:val="24"/>
        </w:rPr>
        <w:t xml:space="preserve"> </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Responsraten i hele programmet for ovariekarcinom (n = 392, alle tidligere behandlet med cisplatin eller cisplatin og paclitaxel) var 16 %.</w:t>
      </w:r>
      <w:r w:rsidRPr="00C32FFF">
        <w:rPr>
          <w:color w:val="000000"/>
          <w:sz w:val="24"/>
          <w:szCs w:val="24"/>
        </w:rPr>
        <w:t xml:space="preserve"> </w:t>
      </w:r>
      <w:r w:rsidRPr="00C32FFF">
        <w:rPr>
          <w:sz w:val="24"/>
          <w:szCs w:val="24"/>
        </w:rPr>
        <w:t xml:space="preserve">Median tid til respons i kliniske </w:t>
      </w:r>
      <w:r>
        <w:rPr>
          <w:sz w:val="24"/>
          <w:szCs w:val="24"/>
        </w:rPr>
        <w:t>studier</w:t>
      </w:r>
      <w:r w:rsidRPr="00C32FFF">
        <w:rPr>
          <w:sz w:val="24"/>
          <w:szCs w:val="24"/>
        </w:rPr>
        <w:t xml:space="preserve"> var 7,6- 11,6 uger.</w:t>
      </w:r>
      <w:r w:rsidRPr="00C32FFF">
        <w:rPr>
          <w:color w:val="000000"/>
          <w:sz w:val="24"/>
          <w:szCs w:val="24"/>
        </w:rPr>
        <w:t xml:space="preserve"> </w:t>
      </w:r>
      <w:r w:rsidRPr="00C32FFF">
        <w:rPr>
          <w:sz w:val="24"/>
          <w:szCs w:val="24"/>
        </w:rPr>
        <w:t>Hos patienter, som var refraktære til, eller recidiverende inden for 3 måneder efter behandling med cisplatin (n = 186), var responsraten 10 %.</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Disse data bør evalueres på baggrund af den samlede sikkerhedsprofil for lægemidlet, især den </w:t>
      </w:r>
      <w:r>
        <w:rPr>
          <w:sz w:val="24"/>
          <w:szCs w:val="24"/>
        </w:rPr>
        <w:t>signifikante</w:t>
      </w:r>
      <w:r w:rsidRPr="00C32FFF">
        <w:rPr>
          <w:sz w:val="24"/>
          <w:szCs w:val="24"/>
        </w:rPr>
        <w:t xml:space="preserve"> hæmatologiske toksicitet (se pkt. 4.8).</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En supplerende retrospektiv analyse blev udført på data fra 523 patienter med recidiverende ovariecancer.</w:t>
      </w:r>
      <w:r w:rsidRPr="00C32FFF">
        <w:rPr>
          <w:color w:val="000000"/>
          <w:sz w:val="24"/>
          <w:szCs w:val="24"/>
        </w:rPr>
        <w:t xml:space="preserve"> </w:t>
      </w:r>
      <w:r>
        <w:rPr>
          <w:sz w:val="24"/>
          <w:szCs w:val="24"/>
        </w:rPr>
        <w:t>Samlet set</w:t>
      </w:r>
      <w:r w:rsidRPr="00C32FFF">
        <w:rPr>
          <w:sz w:val="24"/>
          <w:szCs w:val="24"/>
        </w:rPr>
        <w:t xml:space="preserve"> blev fuldstændigt og delvist respons observeret for 87 patienter, hvoraf 13 af disse forekom i løbet af behandlingsrunde 5 og 6 og 3 forekom derefter.</w:t>
      </w:r>
      <w:r w:rsidRPr="00C32FFF">
        <w:rPr>
          <w:color w:val="000000"/>
          <w:sz w:val="24"/>
          <w:szCs w:val="24"/>
        </w:rPr>
        <w:t xml:space="preserve"> </w:t>
      </w:r>
      <w:r>
        <w:rPr>
          <w:sz w:val="24"/>
          <w:szCs w:val="24"/>
        </w:rPr>
        <w:t>Af de</w:t>
      </w:r>
      <w:r w:rsidRPr="00C32FFF">
        <w:rPr>
          <w:sz w:val="24"/>
          <w:szCs w:val="24"/>
        </w:rPr>
        <w:t xml:space="preserve"> patienter, som fik </w:t>
      </w:r>
      <w:r>
        <w:rPr>
          <w:sz w:val="24"/>
          <w:szCs w:val="24"/>
        </w:rPr>
        <w:t>flere end</w:t>
      </w:r>
      <w:r w:rsidRPr="00C32FFF">
        <w:rPr>
          <w:sz w:val="24"/>
          <w:szCs w:val="24"/>
        </w:rPr>
        <w:t xml:space="preserve"> 6 runder med behandling, gennemførte 91 % </w:t>
      </w:r>
      <w:r>
        <w:rPr>
          <w:sz w:val="24"/>
          <w:szCs w:val="24"/>
        </w:rPr>
        <w:t>studiet</w:t>
      </w:r>
      <w:r w:rsidRPr="00C32FFF">
        <w:rPr>
          <w:sz w:val="24"/>
          <w:szCs w:val="24"/>
        </w:rPr>
        <w:t xml:space="preserve"> som planlagt, eller de blev behandlet indtil sygdomsprogression, og kun 3 % blev trukket ud af undersøgelsen pga. bivirkninger.</w:t>
      </w:r>
    </w:p>
    <w:p w:rsidR="006E56FB" w:rsidRPr="00C32FFF" w:rsidRDefault="006E56FB" w:rsidP="006E56FB">
      <w:pPr>
        <w:autoSpaceDE w:val="0"/>
        <w:autoSpaceDN w:val="0"/>
        <w:adjustRightInd w:val="0"/>
        <w:ind w:left="851" w:hanging="851"/>
        <w:rPr>
          <w:color w:val="000000"/>
          <w:sz w:val="24"/>
          <w:szCs w:val="24"/>
        </w:rPr>
      </w:pPr>
    </w:p>
    <w:p w:rsidR="006E56FB" w:rsidRPr="00746888" w:rsidRDefault="006E56FB" w:rsidP="006E56FB">
      <w:pPr>
        <w:autoSpaceDE w:val="0"/>
        <w:autoSpaceDN w:val="0"/>
        <w:adjustRightInd w:val="0"/>
        <w:ind w:left="851"/>
        <w:rPr>
          <w:i/>
          <w:color w:val="000000"/>
          <w:sz w:val="24"/>
          <w:szCs w:val="24"/>
          <w:u w:val="single"/>
        </w:rPr>
      </w:pPr>
      <w:r w:rsidRPr="00746888">
        <w:rPr>
          <w:i/>
          <w:sz w:val="24"/>
          <w:szCs w:val="24"/>
          <w:u w:val="single"/>
        </w:rPr>
        <w:t>Recidiverende SCLC</w:t>
      </w:r>
    </w:p>
    <w:p w:rsidR="006E56FB" w:rsidRPr="00C32FFF" w:rsidRDefault="006E56FB" w:rsidP="006E56FB">
      <w:pPr>
        <w:autoSpaceDE w:val="0"/>
        <w:autoSpaceDN w:val="0"/>
        <w:adjustRightInd w:val="0"/>
        <w:ind w:left="851"/>
        <w:rPr>
          <w:sz w:val="24"/>
          <w:szCs w:val="24"/>
        </w:rPr>
      </w:pPr>
      <w:r w:rsidRPr="00C32FFF">
        <w:rPr>
          <w:sz w:val="24"/>
          <w:szCs w:val="24"/>
        </w:rPr>
        <w:t xml:space="preserve">I </w:t>
      </w:r>
      <w:r>
        <w:rPr>
          <w:sz w:val="24"/>
          <w:szCs w:val="24"/>
        </w:rPr>
        <w:t>et</w:t>
      </w:r>
      <w:r w:rsidRPr="00C32FFF">
        <w:rPr>
          <w:sz w:val="24"/>
          <w:szCs w:val="24"/>
        </w:rPr>
        <w:t xml:space="preserve"> fase III-</w:t>
      </w:r>
      <w:r>
        <w:rPr>
          <w:sz w:val="24"/>
          <w:szCs w:val="24"/>
        </w:rPr>
        <w:t>studie (studie 478)</w:t>
      </w:r>
      <w:r w:rsidRPr="00C32FFF">
        <w:rPr>
          <w:sz w:val="24"/>
          <w:szCs w:val="24"/>
        </w:rPr>
        <w:t xml:space="preserve"> blev oral topotecan plus </w:t>
      </w:r>
      <w:r>
        <w:rPr>
          <w:sz w:val="24"/>
          <w:szCs w:val="24"/>
        </w:rPr>
        <w:t>b</w:t>
      </w:r>
      <w:r w:rsidRPr="00C32FFF">
        <w:rPr>
          <w:sz w:val="24"/>
          <w:szCs w:val="24"/>
        </w:rPr>
        <w:t xml:space="preserve">est </w:t>
      </w:r>
      <w:r>
        <w:rPr>
          <w:sz w:val="24"/>
          <w:szCs w:val="24"/>
        </w:rPr>
        <w:t>s</w:t>
      </w:r>
      <w:r w:rsidRPr="00C32FFF">
        <w:rPr>
          <w:sz w:val="24"/>
          <w:szCs w:val="24"/>
        </w:rPr>
        <w:t xml:space="preserve">upportive </w:t>
      </w:r>
      <w:r>
        <w:rPr>
          <w:sz w:val="24"/>
          <w:szCs w:val="24"/>
        </w:rPr>
        <w:t>c</w:t>
      </w:r>
      <w:r w:rsidRPr="00C32FFF">
        <w:rPr>
          <w:sz w:val="24"/>
          <w:szCs w:val="24"/>
        </w:rPr>
        <w:t xml:space="preserve">are </w:t>
      </w:r>
      <w:r>
        <w:rPr>
          <w:sz w:val="24"/>
          <w:szCs w:val="24"/>
        </w:rPr>
        <w:t>(</w:t>
      </w:r>
      <w:r w:rsidRPr="00C32FFF">
        <w:rPr>
          <w:sz w:val="24"/>
          <w:szCs w:val="24"/>
        </w:rPr>
        <w:t>BSC</w:t>
      </w:r>
      <w:r>
        <w:rPr>
          <w:sz w:val="24"/>
          <w:szCs w:val="24"/>
        </w:rPr>
        <w:t>)</w:t>
      </w:r>
      <w:r w:rsidRPr="00C32FFF">
        <w:rPr>
          <w:sz w:val="24"/>
          <w:szCs w:val="24"/>
        </w:rPr>
        <w:t xml:space="preserve"> </w:t>
      </w:r>
      <w:r>
        <w:rPr>
          <w:sz w:val="24"/>
          <w:szCs w:val="24"/>
        </w:rPr>
        <w:t>(</w:t>
      </w:r>
      <w:r w:rsidRPr="00C32FFF">
        <w:rPr>
          <w:sz w:val="24"/>
          <w:szCs w:val="24"/>
        </w:rPr>
        <w:t>n = 71</w:t>
      </w:r>
      <w:r>
        <w:rPr>
          <w:sz w:val="24"/>
          <w:szCs w:val="24"/>
        </w:rPr>
        <w:t>)</w:t>
      </w:r>
      <w:r w:rsidRPr="00C32FFF">
        <w:rPr>
          <w:sz w:val="24"/>
          <w:szCs w:val="24"/>
        </w:rPr>
        <w:t xml:space="preserve"> sammenlignet med BSC alene </w:t>
      </w:r>
      <w:r>
        <w:rPr>
          <w:sz w:val="24"/>
          <w:szCs w:val="24"/>
        </w:rPr>
        <w:t>(</w:t>
      </w:r>
      <w:r w:rsidRPr="00C32FFF">
        <w:rPr>
          <w:sz w:val="24"/>
          <w:szCs w:val="24"/>
        </w:rPr>
        <w:t>n = 70</w:t>
      </w:r>
      <w:r>
        <w:rPr>
          <w:sz w:val="24"/>
          <w:szCs w:val="24"/>
        </w:rPr>
        <w:t>)</w:t>
      </w:r>
      <w:r w:rsidRPr="00C32FFF">
        <w:rPr>
          <w:sz w:val="24"/>
          <w:szCs w:val="24"/>
        </w:rPr>
        <w:t xml:space="preserve"> hos patienter, som havde tilbagefald efter førstevalgsbehandling </w:t>
      </w:r>
      <w:r>
        <w:rPr>
          <w:sz w:val="24"/>
          <w:szCs w:val="24"/>
        </w:rPr>
        <w:t>(</w:t>
      </w:r>
      <w:r w:rsidRPr="00C32FFF">
        <w:rPr>
          <w:sz w:val="24"/>
          <w:szCs w:val="24"/>
        </w:rPr>
        <w:t>mediantid til progression [TTP] fra førstevalgsbehandling:</w:t>
      </w:r>
      <w:r w:rsidRPr="00C32FFF">
        <w:rPr>
          <w:color w:val="000000"/>
          <w:sz w:val="24"/>
          <w:szCs w:val="24"/>
        </w:rPr>
        <w:t xml:space="preserve"> </w:t>
      </w:r>
      <w:r w:rsidRPr="00C32FFF">
        <w:rPr>
          <w:sz w:val="24"/>
          <w:szCs w:val="24"/>
        </w:rPr>
        <w:t xml:space="preserve">84 dage for oral topotecan </w:t>
      </w:r>
      <w:r>
        <w:rPr>
          <w:sz w:val="24"/>
          <w:szCs w:val="24"/>
        </w:rPr>
        <w:t>plus</w:t>
      </w:r>
      <w:r w:rsidRPr="00C32FFF">
        <w:rPr>
          <w:sz w:val="24"/>
          <w:szCs w:val="24"/>
        </w:rPr>
        <w:t xml:space="preserve"> BSC, 90 dage for BSC</w:t>
      </w:r>
      <w:r>
        <w:rPr>
          <w:sz w:val="24"/>
          <w:szCs w:val="24"/>
        </w:rPr>
        <w:t xml:space="preserve"> alene)</w:t>
      </w:r>
      <w:r w:rsidRPr="00C32FFF">
        <w:rPr>
          <w:sz w:val="24"/>
          <w:szCs w:val="24"/>
        </w:rPr>
        <w:t xml:space="preserve"> og hos patienter hos hvem gentagelse af behandling med intravenøs kemoterapi ikke blev anset for hensigtsmæssig.</w:t>
      </w:r>
      <w:r w:rsidRPr="00C32FFF">
        <w:rPr>
          <w:color w:val="000000"/>
          <w:sz w:val="24"/>
          <w:szCs w:val="24"/>
        </w:rPr>
        <w:t xml:space="preserve"> </w:t>
      </w:r>
      <w:r>
        <w:rPr>
          <w:color w:val="000000"/>
          <w:sz w:val="24"/>
          <w:szCs w:val="24"/>
        </w:rPr>
        <w:t>I</w:t>
      </w:r>
      <w:r w:rsidRPr="00C32FFF">
        <w:rPr>
          <w:sz w:val="24"/>
          <w:szCs w:val="24"/>
        </w:rPr>
        <w:t xml:space="preserve"> gruppen, der fik oral topotecan plus BSC</w:t>
      </w:r>
      <w:r>
        <w:rPr>
          <w:sz w:val="24"/>
          <w:szCs w:val="24"/>
        </w:rPr>
        <w:t>,</w:t>
      </w:r>
      <w:r w:rsidRPr="00C32FFF">
        <w:rPr>
          <w:sz w:val="24"/>
          <w:szCs w:val="24"/>
        </w:rPr>
        <w:t xml:space="preserve"> var </w:t>
      </w:r>
      <w:r>
        <w:rPr>
          <w:sz w:val="24"/>
          <w:szCs w:val="24"/>
        </w:rPr>
        <w:t xml:space="preserve">der </w:t>
      </w:r>
      <w:r w:rsidRPr="00C32FFF">
        <w:rPr>
          <w:sz w:val="24"/>
          <w:szCs w:val="24"/>
        </w:rPr>
        <w:t>en statistisk signifikant forbedring i samlet overlevelse sammenlignet med gruppen, der fik BSC alene (log-rank p = 0,0104).</w:t>
      </w:r>
      <w:r w:rsidRPr="00C32FFF">
        <w:rPr>
          <w:color w:val="000000"/>
          <w:sz w:val="24"/>
          <w:szCs w:val="24"/>
        </w:rPr>
        <w:t xml:space="preserve"> </w:t>
      </w:r>
      <w:r w:rsidRPr="00C32FFF">
        <w:rPr>
          <w:sz w:val="24"/>
          <w:szCs w:val="24"/>
        </w:rPr>
        <w:t xml:space="preserve">Den </w:t>
      </w:r>
      <w:r w:rsidRPr="00C32FFF">
        <w:rPr>
          <w:sz w:val="24"/>
          <w:szCs w:val="24"/>
        </w:rPr>
        <w:lastRenderedPageBreak/>
        <w:t>ikke-justerede hazard ratio for gruppen, der fik oral topotecan plus BSC i forhold til gruppen</w:t>
      </w:r>
      <w:r>
        <w:rPr>
          <w:sz w:val="24"/>
          <w:szCs w:val="24"/>
        </w:rPr>
        <w:t>,</w:t>
      </w:r>
      <w:r w:rsidRPr="00C32FFF">
        <w:rPr>
          <w:sz w:val="24"/>
          <w:szCs w:val="24"/>
        </w:rPr>
        <w:t xml:space="preserve"> der kun fik BSC</w:t>
      </w:r>
      <w:r>
        <w:rPr>
          <w:sz w:val="24"/>
          <w:szCs w:val="24"/>
        </w:rPr>
        <w:t>,</w:t>
      </w:r>
      <w:r w:rsidRPr="00C32FFF">
        <w:rPr>
          <w:sz w:val="24"/>
          <w:szCs w:val="24"/>
        </w:rPr>
        <w:t xml:space="preserve"> var 0,64 (95 % CI:</w:t>
      </w:r>
      <w:r w:rsidRPr="00C32FFF">
        <w:rPr>
          <w:color w:val="000000"/>
          <w:sz w:val="24"/>
          <w:szCs w:val="24"/>
        </w:rPr>
        <w:t xml:space="preserve"> 0,45; 0,90). </w:t>
      </w:r>
      <w:r w:rsidRPr="00C32FFF">
        <w:rPr>
          <w:sz w:val="24"/>
          <w:szCs w:val="24"/>
        </w:rPr>
        <w:t xml:space="preserve">Den mediane overlevelse </w:t>
      </w:r>
      <w:r>
        <w:rPr>
          <w:sz w:val="24"/>
          <w:szCs w:val="24"/>
        </w:rPr>
        <w:t>hos</w:t>
      </w:r>
      <w:r w:rsidRPr="00C32FFF">
        <w:rPr>
          <w:sz w:val="24"/>
          <w:szCs w:val="24"/>
        </w:rPr>
        <w:t xml:space="preserve"> patienter, som blev behandlet med </w:t>
      </w:r>
      <w:r>
        <w:rPr>
          <w:sz w:val="24"/>
          <w:szCs w:val="24"/>
        </w:rPr>
        <w:t xml:space="preserve">oral </w:t>
      </w:r>
      <w:r w:rsidRPr="00C32FFF">
        <w:rPr>
          <w:sz w:val="24"/>
          <w:szCs w:val="24"/>
        </w:rPr>
        <w:t xml:space="preserve">topotecan </w:t>
      </w:r>
      <w:r>
        <w:rPr>
          <w:sz w:val="24"/>
          <w:szCs w:val="24"/>
        </w:rPr>
        <w:t>plus</w:t>
      </w:r>
      <w:r w:rsidRPr="00C32FFF">
        <w:rPr>
          <w:sz w:val="24"/>
          <w:szCs w:val="24"/>
        </w:rPr>
        <w:t xml:space="preserve"> BSC</w:t>
      </w:r>
      <w:r>
        <w:rPr>
          <w:sz w:val="24"/>
          <w:szCs w:val="24"/>
        </w:rPr>
        <w:t>,</w:t>
      </w:r>
      <w:r w:rsidRPr="00C32FFF">
        <w:rPr>
          <w:sz w:val="24"/>
          <w:szCs w:val="24"/>
        </w:rPr>
        <w:t xml:space="preserve"> var 25,9 uger </w:t>
      </w:r>
      <w:r>
        <w:rPr>
          <w:sz w:val="24"/>
          <w:szCs w:val="24"/>
        </w:rPr>
        <w:t>(</w:t>
      </w:r>
      <w:r w:rsidRPr="00C32FFF">
        <w:rPr>
          <w:sz w:val="24"/>
          <w:szCs w:val="24"/>
        </w:rPr>
        <w:t>95 % CI:</w:t>
      </w:r>
      <w:r w:rsidRPr="00C32FFF">
        <w:rPr>
          <w:color w:val="000000"/>
          <w:sz w:val="24"/>
          <w:szCs w:val="24"/>
        </w:rPr>
        <w:t xml:space="preserve"> </w:t>
      </w:r>
      <w:r w:rsidRPr="00C32FFF">
        <w:rPr>
          <w:sz w:val="24"/>
          <w:szCs w:val="24"/>
        </w:rPr>
        <w:t>18,3; 31,6</w:t>
      </w:r>
      <w:r>
        <w:rPr>
          <w:sz w:val="24"/>
          <w:szCs w:val="24"/>
        </w:rPr>
        <w:t>)</w:t>
      </w:r>
      <w:r w:rsidRPr="00C32FFF">
        <w:rPr>
          <w:sz w:val="24"/>
          <w:szCs w:val="24"/>
        </w:rPr>
        <w:t xml:space="preserve"> sammenlignet med 13,9 uger </w:t>
      </w:r>
      <w:r>
        <w:rPr>
          <w:sz w:val="24"/>
          <w:szCs w:val="24"/>
        </w:rPr>
        <w:t>(</w:t>
      </w:r>
      <w:r w:rsidRPr="00C32FFF">
        <w:rPr>
          <w:sz w:val="24"/>
          <w:szCs w:val="24"/>
        </w:rPr>
        <w:t>95 % CI:</w:t>
      </w:r>
      <w:r w:rsidRPr="00C32FFF">
        <w:rPr>
          <w:color w:val="000000"/>
          <w:sz w:val="24"/>
          <w:szCs w:val="24"/>
        </w:rPr>
        <w:t xml:space="preserve"> </w:t>
      </w:r>
      <w:r w:rsidRPr="00C32FFF">
        <w:rPr>
          <w:sz w:val="24"/>
          <w:szCs w:val="24"/>
        </w:rPr>
        <w:t>11,1; 18,6</w:t>
      </w:r>
      <w:r>
        <w:rPr>
          <w:sz w:val="24"/>
          <w:szCs w:val="24"/>
        </w:rPr>
        <w:t>)</w:t>
      </w:r>
      <w:r w:rsidRPr="00C32FFF">
        <w:rPr>
          <w:sz w:val="24"/>
          <w:szCs w:val="24"/>
        </w:rPr>
        <w:t xml:space="preserve"> for patienter, der fik BSC alene </w:t>
      </w:r>
      <w:r>
        <w:rPr>
          <w:sz w:val="24"/>
          <w:szCs w:val="24"/>
        </w:rPr>
        <w:t>(</w:t>
      </w:r>
      <w:r w:rsidRPr="00C32FFF">
        <w:rPr>
          <w:sz w:val="24"/>
          <w:szCs w:val="24"/>
        </w:rPr>
        <w:t>p = 0,0104</w:t>
      </w:r>
      <w:r>
        <w:rPr>
          <w:sz w:val="24"/>
          <w:szCs w:val="24"/>
        </w:rPr>
        <w:t>)</w:t>
      </w:r>
      <w:r w:rsidRPr="00C32FFF">
        <w:rPr>
          <w:sz w:val="24"/>
          <w:szCs w:val="24"/>
        </w:rPr>
        <w:t>.</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 xml:space="preserve">Patienternes egen rapportering af symptomer ved brug af ublindede vurderinger viste en konsistent tendens til symptomforbedring med oral topotecan </w:t>
      </w:r>
      <w:r>
        <w:rPr>
          <w:sz w:val="24"/>
          <w:szCs w:val="24"/>
        </w:rPr>
        <w:t>plus</w:t>
      </w:r>
      <w:r w:rsidRPr="00C32FFF">
        <w:rPr>
          <w:sz w:val="24"/>
          <w:szCs w:val="24"/>
        </w:rPr>
        <w:t xml:space="preserve"> BSC.</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color w:val="000000"/>
          <w:sz w:val="24"/>
          <w:szCs w:val="24"/>
        </w:rPr>
        <w:t xml:space="preserve">Der blev foretaget </w:t>
      </w:r>
      <w:r>
        <w:rPr>
          <w:color w:val="000000"/>
          <w:sz w:val="24"/>
          <w:szCs w:val="24"/>
        </w:rPr>
        <w:t>et</w:t>
      </w:r>
      <w:r w:rsidRPr="00C32FFF">
        <w:rPr>
          <w:color w:val="000000"/>
          <w:sz w:val="24"/>
          <w:szCs w:val="24"/>
        </w:rPr>
        <w:t xml:space="preserve"> fase II-</w:t>
      </w:r>
      <w:r>
        <w:rPr>
          <w:color w:val="000000"/>
          <w:sz w:val="24"/>
          <w:szCs w:val="24"/>
        </w:rPr>
        <w:t>studie</w:t>
      </w:r>
      <w:r w:rsidRPr="00C32FFF">
        <w:rPr>
          <w:color w:val="000000"/>
          <w:sz w:val="24"/>
          <w:szCs w:val="24"/>
        </w:rPr>
        <w:t> (</w:t>
      </w:r>
      <w:r>
        <w:rPr>
          <w:color w:val="000000"/>
          <w:sz w:val="24"/>
          <w:szCs w:val="24"/>
        </w:rPr>
        <w:t>studie</w:t>
      </w:r>
      <w:r w:rsidRPr="00C32FFF">
        <w:rPr>
          <w:color w:val="000000"/>
          <w:sz w:val="24"/>
          <w:szCs w:val="24"/>
        </w:rPr>
        <w:t xml:space="preserve"> 065) og </w:t>
      </w:r>
      <w:r>
        <w:rPr>
          <w:color w:val="000000"/>
          <w:sz w:val="24"/>
          <w:szCs w:val="24"/>
        </w:rPr>
        <w:t>et</w:t>
      </w:r>
      <w:r w:rsidRPr="00C32FFF">
        <w:rPr>
          <w:color w:val="000000"/>
          <w:sz w:val="24"/>
          <w:szCs w:val="24"/>
        </w:rPr>
        <w:t xml:space="preserve"> fase III-</w:t>
      </w:r>
      <w:r>
        <w:rPr>
          <w:color w:val="000000"/>
          <w:sz w:val="24"/>
          <w:szCs w:val="24"/>
        </w:rPr>
        <w:t>studie</w:t>
      </w:r>
      <w:r w:rsidRPr="00C32FFF">
        <w:rPr>
          <w:color w:val="000000"/>
          <w:sz w:val="24"/>
          <w:szCs w:val="24"/>
        </w:rPr>
        <w:t xml:space="preserve"> (</w:t>
      </w:r>
      <w:r>
        <w:rPr>
          <w:color w:val="000000"/>
          <w:sz w:val="24"/>
          <w:szCs w:val="24"/>
        </w:rPr>
        <w:t>studie</w:t>
      </w:r>
      <w:r w:rsidRPr="00C32FFF">
        <w:rPr>
          <w:color w:val="000000"/>
          <w:sz w:val="24"/>
          <w:szCs w:val="24"/>
        </w:rPr>
        <w:t xml:space="preserve"> 396) til evaluering af virkningen af oral topotecan versus intravenøs topotecan hos patienter, der havde fået tilbagefald </w:t>
      </w:r>
      <w:r w:rsidRPr="00C32FFF">
        <w:rPr>
          <w:sz w:val="24"/>
          <w:szCs w:val="24"/>
        </w:rPr>
        <w:sym w:font="Symbol" w:char="00B3"/>
      </w:r>
      <w:r w:rsidRPr="00C32FFF">
        <w:rPr>
          <w:color w:val="000000"/>
          <w:sz w:val="24"/>
          <w:szCs w:val="24"/>
        </w:rPr>
        <w:t xml:space="preserve"> 90 dage efter gennemførslen af et tidligere behandlingsforløb med kemoterapi (se tabel 1). </w:t>
      </w:r>
      <w:r w:rsidRPr="00C32FFF">
        <w:rPr>
          <w:sz w:val="24"/>
          <w:szCs w:val="24"/>
        </w:rPr>
        <w:t xml:space="preserve">I begge </w:t>
      </w:r>
      <w:r>
        <w:rPr>
          <w:sz w:val="24"/>
          <w:szCs w:val="24"/>
        </w:rPr>
        <w:t>studier</w:t>
      </w:r>
      <w:r w:rsidRPr="00C32FFF">
        <w:rPr>
          <w:sz w:val="24"/>
          <w:szCs w:val="24"/>
        </w:rPr>
        <w:t xml:space="preserve"> var oral og intravenøs topotecan forbundet med en sammenlignelig symptomlindring hos patienter med recidiverende, sensitiv SCLC i henhold til patienternes egne rapportering på en ublindet symptomskala.</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b/>
          <w:color w:val="000000"/>
          <w:sz w:val="24"/>
          <w:szCs w:val="24"/>
        </w:rPr>
      </w:pPr>
      <w:r w:rsidRPr="00C32FFF">
        <w:rPr>
          <w:b/>
          <w:sz w:val="24"/>
          <w:szCs w:val="24"/>
        </w:rPr>
        <w:t>Tabel 1. Oversigt over overlevelse, responsrate og tid til progression hos patienter med SCLC, der blev behandlet med oral eller intravenøs topotecan</w:t>
      </w:r>
    </w:p>
    <w:p w:rsidR="006E56FB" w:rsidRPr="00C32FFF" w:rsidRDefault="006E56FB" w:rsidP="006E56FB">
      <w:pPr>
        <w:autoSpaceDE w:val="0"/>
        <w:autoSpaceDN w:val="0"/>
        <w:adjustRightInd w:val="0"/>
        <w:ind w:left="851" w:hanging="851"/>
        <w:rPr>
          <w:color w:val="00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949"/>
        <w:gridCol w:w="1669"/>
        <w:gridCol w:w="1668"/>
        <w:gridCol w:w="1668"/>
        <w:gridCol w:w="98"/>
        <w:gridCol w:w="1570"/>
      </w:tblGrid>
      <w:tr w:rsidR="006E56FB" w:rsidRPr="00C32FFF" w:rsidTr="00E7345C">
        <w:trPr>
          <w:tblCellSpacing w:w="0" w:type="dxa"/>
        </w:trPr>
        <w:tc>
          <w:tcPr>
            <w:tcW w:w="1532" w:type="pct"/>
            <w:vMerge w:val="restart"/>
            <w:tcBorders>
              <w:top w:val="outset" w:sz="6" w:space="0" w:color="auto"/>
              <w:left w:val="outset" w:sz="6" w:space="0" w:color="auto"/>
              <w:bottom w:val="outset" w:sz="6" w:space="0" w:color="auto"/>
              <w:right w:val="outset" w:sz="6" w:space="0" w:color="auto"/>
            </w:tcBorders>
          </w:tcPr>
          <w:p w:rsidR="006E56FB" w:rsidRPr="00C32FFF" w:rsidRDefault="006E56FB" w:rsidP="00E7345C">
            <w:pPr>
              <w:autoSpaceDE w:val="0"/>
              <w:autoSpaceDN w:val="0"/>
              <w:adjustRightInd w:val="0"/>
              <w:snapToGrid w:val="0"/>
              <w:rPr>
                <w:color w:val="000000"/>
                <w:sz w:val="24"/>
                <w:szCs w:val="24"/>
                <w:lang w:eastAsia="en-GB"/>
              </w:rPr>
            </w:pPr>
          </w:p>
        </w:tc>
        <w:tc>
          <w:tcPr>
            <w:tcW w:w="1734" w:type="pct"/>
            <w:gridSpan w:val="2"/>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Pr>
                <w:b/>
                <w:sz w:val="24"/>
                <w:szCs w:val="24"/>
              </w:rPr>
              <w:t>Studie</w:t>
            </w:r>
            <w:r w:rsidRPr="00C32FFF">
              <w:rPr>
                <w:b/>
                <w:sz w:val="24"/>
                <w:szCs w:val="24"/>
              </w:rPr>
              <w:t xml:space="preserve"> 065</w:t>
            </w:r>
          </w:p>
        </w:tc>
        <w:tc>
          <w:tcPr>
            <w:tcW w:w="1734" w:type="pct"/>
            <w:gridSpan w:val="3"/>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Pr>
                <w:b/>
                <w:sz w:val="24"/>
                <w:szCs w:val="24"/>
              </w:rPr>
              <w:t>Studie</w:t>
            </w:r>
            <w:r w:rsidRPr="00C32FFF">
              <w:rPr>
                <w:b/>
                <w:sz w:val="24"/>
                <w:szCs w:val="24"/>
              </w:rPr>
              <w:t xml:space="preserve"> 396</w:t>
            </w:r>
          </w:p>
        </w:tc>
      </w:tr>
      <w:tr w:rsidR="006E56FB" w:rsidRPr="00C32FFF" w:rsidTr="00E7345C">
        <w:trPr>
          <w:tblCellSpacing w:w="0" w:type="dxa"/>
        </w:trPr>
        <w:tc>
          <w:tcPr>
            <w:tcW w:w="1532" w:type="pct"/>
            <w:vMerge/>
            <w:tcBorders>
              <w:top w:val="outset" w:sz="6" w:space="0" w:color="auto"/>
              <w:left w:val="outset" w:sz="6" w:space="0" w:color="auto"/>
              <w:bottom w:val="outset" w:sz="6" w:space="0" w:color="auto"/>
              <w:right w:val="outset" w:sz="6" w:space="0" w:color="auto"/>
            </w:tcBorders>
            <w:vAlign w:val="center"/>
            <w:hideMark/>
          </w:tcPr>
          <w:p w:rsidR="006E56FB" w:rsidRPr="00C32FFF" w:rsidRDefault="006E56FB" w:rsidP="00E7345C">
            <w:pPr>
              <w:rPr>
                <w:color w:val="000000"/>
                <w:sz w:val="24"/>
                <w:szCs w:val="24"/>
                <w:lang w:eastAsia="en-GB"/>
              </w:rPr>
            </w:pPr>
          </w:p>
        </w:tc>
        <w:tc>
          <w:tcPr>
            <w:tcW w:w="867"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Oral</w:t>
            </w:r>
            <w:r w:rsidRPr="00C32FFF">
              <w:rPr>
                <w:sz w:val="24"/>
                <w:szCs w:val="24"/>
              </w:rPr>
              <w:t xml:space="preserve"> </w:t>
            </w:r>
            <w:r w:rsidRPr="00746888">
              <w:rPr>
                <w:b/>
                <w:sz w:val="24"/>
                <w:szCs w:val="24"/>
              </w:rPr>
              <w:t>topotecan</w:t>
            </w:r>
          </w:p>
        </w:tc>
        <w:tc>
          <w:tcPr>
            <w:tcW w:w="867"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 xml:space="preserve">Intravenøs </w:t>
            </w:r>
            <w:r w:rsidRPr="00746888">
              <w:rPr>
                <w:b/>
                <w:sz w:val="24"/>
                <w:szCs w:val="24"/>
              </w:rPr>
              <w:t>topotecan</w:t>
            </w:r>
          </w:p>
        </w:tc>
        <w:tc>
          <w:tcPr>
            <w:tcW w:w="867"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Oral</w:t>
            </w:r>
            <w:r w:rsidRPr="00C32FFF">
              <w:rPr>
                <w:sz w:val="24"/>
                <w:szCs w:val="24"/>
              </w:rPr>
              <w:t xml:space="preserve"> </w:t>
            </w:r>
            <w:r w:rsidRPr="00746888">
              <w:rPr>
                <w:b/>
                <w:sz w:val="24"/>
                <w:szCs w:val="24"/>
              </w:rPr>
              <w:t>topotecan</w:t>
            </w:r>
          </w:p>
        </w:tc>
        <w:tc>
          <w:tcPr>
            <w:tcW w:w="867" w:type="pct"/>
            <w:gridSpan w:val="2"/>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 xml:space="preserve">Intravenøs </w:t>
            </w:r>
            <w:r w:rsidRPr="00746888">
              <w:rPr>
                <w:b/>
                <w:sz w:val="24"/>
                <w:szCs w:val="24"/>
              </w:rPr>
              <w:t>topotecan</w:t>
            </w:r>
          </w:p>
        </w:tc>
      </w:tr>
      <w:tr w:rsidR="006E56FB" w:rsidRPr="00C32FFF" w:rsidTr="00E7345C">
        <w:trPr>
          <w:tblCellSpacing w:w="0" w:type="dxa"/>
        </w:trPr>
        <w:tc>
          <w:tcPr>
            <w:tcW w:w="1532" w:type="pct"/>
            <w:vMerge/>
            <w:tcBorders>
              <w:top w:val="outset" w:sz="6" w:space="0" w:color="auto"/>
              <w:left w:val="outset" w:sz="6" w:space="0" w:color="auto"/>
              <w:bottom w:val="outset" w:sz="6" w:space="0" w:color="auto"/>
              <w:right w:val="outset" w:sz="6" w:space="0" w:color="auto"/>
            </w:tcBorders>
            <w:vAlign w:val="center"/>
            <w:hideMark/>
          </w:tcPr>
          <w:p w:rsidR="006E56FB" w:rsidRPr="00C32FFF" w:rsidRDefault="006E56FB" w:rsidP="00E7345C">
            <w:pPr>
              <w:rPr>
                <w:color w:val="000000"/>
                <w:sz w:val="24"/>
                <w:szCs w:val="24"/>
                <w:lang w:eastAsia="en-GB"/>
              </w:rPr>
            </w:pPr>
          </w:p>
        </w:tc>
        <w:tc>
          <w:tcPr>
            <w:tcW w:w="867"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(N = 52)</w:t>
            </w:r>
          </w:p>
        </w:tc>
        <w:tc>
          <w:tcPr>
            <w:tcW w:w="867"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(N = 54)</w:t>
            </w:r>
          </w:p>
        </w:tc>
        <w:tc>
          <w:tcPr>
            <w:tcW w:w="867"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(N = 153)</w:t>
            </w:r>
          </w:p>
        </w:tc>
        <w:tc>
          <w:tcPr>
            <w:tcW w:w="867" w:type="pct"/>
            <w:gridSpan w:val="2"/>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sz w:val="24"/>
                <w:szCs w:val="24"/>
                <w:lang w:eastAsia="en-GB"/>
              </w:rPr>
            </w:pPr>
            <w:r w:rsidRPr="00C32FFF">
              <w:rPr>
                <w:b/>
                <w:sz w:val="24"/>
                <w:szCs w:val="24"/>
              </w:rPr>
              <w:t>(N = 151)</w:t>
            </w:r>
          </w:p>
        </w:tc>
      </w:tr>
      <w:tr w:rsidR="006E56FB" w:rsidRPr="00C32FFF" w:rsidTr="00E7345C">
        <w:trPr>
          <w:trHeight w:val="636"/>
          <w:tblCellSpacing w:w="0" w:type="dxa"/>
        </w:trPr>
        <w:tc>
          <w:tcPr>
            <w:tcW w:w="1532"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rPr>
                <w:sz w:val="24"/>
                <w:szCs w:val="24"/>
                <w:lang w:eastAsia="en-GB"/>
              </w:rPr>
            </w:pPr>
            <w:r w:rsidRPr="00C32FFF">
              <w:rPr>
                <w:b/>
                <w:sz w:val="24"/>
                <w:szCs w:val="24"/>
              </w:rPr>
              <w:t>Median overlevelse (uger)</w:t>
            </w:r>
            <w:r w:rsidRPr="00C32FFF">
              <w:rPr>
                <w:b/>
                <w:color w:val="000000"/>
                <w:sz w:val="24"/>
                <w:szCs w:val="24"/>
              </w:rPr>
              <w:t xml:space="preserve"> </w:t>
            </w:r>
          </w:p>
          <w:p w:rsidR="006E56FB" w:rsidRPr="00C32FFF" w:rsidRDefault="006E56FB" w:rsidP="00E7345C">
            <w:pPr>
              <w:autoSpaceDE w:val="0"/>
              <w:autoSpaceDN w:val="0"/>
              <w:adjustRightInd w:val="0"/>
              <w:snapToGrid w:val="0"/>
              <w:spacing w:line="278" w:lineRule="auto"/>
              <w:rPr>
                <w:sz w:val="24"/>
                <w:szCs w:val="24"/>
                <w:lang w:eastAsia="en-GB"/>
              </w:rPr>
            </w:pPr>
            <w:r w:rsidRPr="00C32FFF">
              <w:rPr>
                <w:sz w:val="24"/>
                <w:szCs w:val="24"/>
              </w:rPr>
              <w:t>(95 % CI)</w:t>
            </w:r>
            <w:r w:rsidRPr="00C32FFF">
              <w:rPr>
                <w:color w:val="000000"/>
                <w:sz w:val="24"/>
                <w:szCs w:val="24"/>
              </w:rPr>
              <w:t xml:space="preserve"> </w:t>
            </w:r>
          </w:p>
        </w:tc>
        <w:tc>
          <w:tcPr>
            <w:tcW w:w="867"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32,3</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(26,3; 40,9)</w:t>
            </w:r>
          </w:p>
        </w:tc>
        <w:tc>
          <w:tcPr>
            <w:tcW w:w="867"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25,1</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(21,1; 33,0)</w:t>
            </w:r>
          </w:p>
        </w:tc>
        <w:tc>
          <w:tcPr>
            <w:tcW w:w="867"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33,0</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(29,1; 42,4)</w:t>
            </w:r>
          </w:p>
        </w:tc>
        <w:tc>
          <w:tcPr>
            <w:tcW w:w="867" w:type="pct"/>
            <w:gridSpan w:val="2"/>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35,0</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(31,0; 37,1)</w:t>
            </w:r>
          </w:p>
        </w:tc>
      </w:tr>
      <w:tr w:rsidR="006E56FB" w:rsidRPr="00C32FFF" w:rsidTr="00E7345C">
        <w:trPr>
          <w:tblCellSpacing w:w="0" w:type="dxa"/>
        </w:trPr>
        <w:tc>
          <w:tcPr>
            <w:tcW w:w="1532"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rPr>
                <w:sz w:val="24"/>
                <w:szCs w:val="24"/>
                <w:lang w:eastAsia="en-GB"/>
              </w:rPr>
            </w:pPr>
            <w:r w:rsidRPr="00C32FFF">
              <w:rPr>
                <w:sz w:val="24"/>
                <w:szCs w:val="24"/>
              </w:rPr>
              <w:t>Hazard ratio (95 % CI)</w:t>
            </w:r>
          </w:p>
        </w:tc>
        <w:tc>
          <w:tcPr>
            <w:tcW w:w="1734" w:type="pct"/>
            <w:gridSpan w:val="2"/>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color w:val="000000"/>
                <w:sz w:val="24"/>
                <w:szCs w:val="24"/>
                <w:lang w:eastAsia="en-GB"/>
              </w:rPr>
            </w:pPr>
            <w:r w:rsidRPr="00C32FFF">
              <w:rPr>
                <w:color w:val="000000"/>
                <w:sz w:val="24"/>
                <w:szCs w:val="24"/>
              </w:rPr>
              <w:t>0;88 (0,59; 1,31)</w:t>
            </w:r>
          </w:p>
        </w:tc>
        <w:tc>
          <w:tcPr>
            <w:tcW w:w="1734" w:type="pct"/>
            <w:gridSpan w:val="3"/>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color w:val="000000"/>
                <w:sz w:val="24"/>
                <w:szCs w:val="24"/>
                <w:lang w:eastAsia="en-GB"/>
              </w:rPr>
            </w:pPr>
            <w:r w:rsidRPr="00C32FFF">
              <w:rPr>
                <w:color w:val="000000"/>
                <w:sz w:val="24"/>
                <w:szCs w:val="24"/>
              </w:rPr>
              <w:t>0,88 (0,7; 1,11)</w:t>
            </w:r>
          </w:p>
        </w:tc>
      </w:tr>
      <w:tr w:rsidR="006E56FB" w:rsidRPr="00C32FFF" w:rsidTr="00E7345C">
        <w:trPr>
          <w:trHeight w:val="596"/>
          <w:tblCellSpacing w:w="0" w:type="dxa"/>
        </w:trPr>
        <w:tc>
          <w:tcPr>
            <w:tcW w:w="1532"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rPr>
                <w:b/>
                <w:color w:val="000000"/>
                <w:sz w:val="24"/>
                <w:szCs w:val="24"/>
                <w:lang w:eastAsia="en-GB"/>
              </w:rPr>
            </w:pPr>
            <w:r w:rsidRPr="00C32FFF">
              <w:rPr>
                <w:b/>
                <w:sz w:val="24"/>
                <w:szCs w:val="24"/>
              </w:rPr>
              <w:t>Responsrate (</w:t>
            </w:r>
            <w:r>
              <w:rPr>
                <w:b/>
                <w:sz w:val="24"/>
                <w:szCs w:val="24"/>
              </w:rPr>
              <w:t>%</w:t>
            </w:r>
            <w:r w:rsidRPr="00C32FFF">
              <w:rPr>
                <w:b/>
                <w:sz w:val="24"/>
                <w:szCs w:val="24"/>
              </w:rPr>
              <w:t>)</w:t>
            </w:r>
          </w:p>
          <w:p w:rsidR="006E56FB" w:rsidRPr="00C32FFF" w:rsidRDefault="006E56FB" w:rsidP="00E7345C">
            <w:pPr>
              <w:autoSpaceDE w:val="0"/>
              <w:autoSpaceDN w:val="0"/>
              <w:adjustRightInd w:val="0"/>
              <w:snapToGrid w:val="0"/>
              <w:spacing w:line="278" w:lineRule="auto"/>
              <w:rPr>
                <w:sz w:val="24"/>
                <w:szCs w:val="24"/>
                <w:lang w:eastAsia="en-GB"/>
              </w:rPr>
            </w:pPr>
            <w:r w:rsidRPr="00C32FFF">
              <w:rPr>
                <w:sz w:val="24"/>
                <w:szCs w:val="24"/>
              </w:rPr>
              <w:t>(95 % CI)</w:t>
            </w:r>
            <w:r w:rsidRPr="00C32FFF">
              <w:rPr>
                <w:color w:val="000000"/>
                <w:sz w:val="24"/>
                <w:szCs w:val="24"/>
              </w:rPr>
              <w:t xml:space="preserve"> </w:t>
            </w:r>
          </w:p>
        </w:tc>
        <w:tc>
          <w:tcPr>
            <w:tcW w:w="867"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23,1</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(11,6; 34,5)</w:t>
            </w:r>
          </w:p>
        </w:tc>
        <w:tc>
          <w:tcPr>
            <w:tcW w:w="867"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14</w:t>
            </w:r>
            <w:r>
              <w:rPr>
                <w:color w:val="000000"/>
                <w:sz w:val="24"/>
                <w:szCs w:val="24"/>
              </w:rPr>
              <w:t>,</w:t>
            </w:r>
            <w:r w:rsidRPr="00C32FFF">
              <w:rPr>
                <w:color w:val="000000"/>
                <w:sz w:val="24"/>
                <w:szCs w:val="24"/>
              </w:rPr>
              <w:t>8</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(5,3; 24,3)</w:t>
            </w:r>
          </w:p>
        </w:tc>
        <w:tc>
          <w:tcPr>
            <w:tcW w:w="918" w:type="pct"/>
            <w:gridSpan w:val="2"/>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18,3</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(12,2; 24;4)</w:t>
            </w:r>
          </w:p>
        </w:tc>
        <w:tc>
          <w:tcPr>
            <w:tcW w:w="816"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21,9</w:t>
            </w: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(15,3; 28,5)</w:t>
            </w:r>
          </w:p>
        </w:tc>
      </w:tr>
      <w:tr w:rsidR="006E56FB" w:rsidRPr="00C32FFF" w:rsidTr="00E7345C">
        <w:trPr>
          <w:tblCellSpacing w:w="0" w:type="dxa"/>
        </w:trPr>
        <w:tc>
          <w:tcPr>
            <w:tcW w:w="1532"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rPr>
                <w:sz w:val="24"/>
                <w:szCs w:val="24"/>
                <w:lang w:eastAsia="en-GB"/>
              </w:rPr>
            </w:pPr>
            <w:r w:rsidRPr="00C32FFF">
              <w:rPr>
                <w:b/>
                <w:sz w:val="24"/>
                <w:szCs w:val="24"/>
              </w:rPr>
              <w:t>Forskel i responsrate (95 % CI)</w:t>
            </w:r>
          </w:p>
        </w:tc>
        <w:tc>
          <w:tcPr>
            <w:tcW w:w="1734" w:type="pct"/>
            <w:gridSpan w:val="2"/>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color w:val="000000"/>
                <w:sz w:val="24"/>
                <w:szCs w:val="24"/>
                <w:lang w:eastAsia="en-GB"/>
              </w:rPr>
            </w:pPr>
            <w:r w:rsidRPr="00C32FFF">
              <w:rPr>
                <w:color w:val="000000"/>
                <w:sz w:val="24"/>
                <w:szCs w:val="24"/>
              </w:rPr>
              <w:t>8,3 (-6,6; 23,1)</w:t>
            </w:r>
          </w:p>
        </w:tc>
        <w:tc>
          <w:tcPr>
            <w:tcW w:w="1734" w:type="pct"/>
            <w:gridSpan w:val="3"/>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color w:val="000000"/>
                <w:sz w:val="24"/>
                <w:szCs w:val="24"/>
                <w:lang w:eastAsia="en-GB"/>
              </w:rPr>
            </w:pPr>
            <w:r w:rsidRPr="00C32FFF">
              <w:rPr>
                <w:color w:val="000000"/>
                <w:sz w:val="24"/>
                <w:szCs w:val="24"/>
              </w:rPr>
              <w:t>-3,6 (-12,6; 5,5)</w:t>
            </w:r>
          </w:p>
        </w:tc>
      </w:tr>
      <w:tr w:rsidR="006E56FB" w:rsidRPr="00C32FFF" w:rsidTr="00E7345C">
        <w:trPr>
          <w:trHeight w:val="914"/>
          <w:tblCellSpacing w:w="0" w:type="dxa"/>
        </w:trPr>
        <w:tc>
          <w:tcPr>
            <w:tcW w:w="1532" w:type="pct"/>
            <w:tcBorders>
              <w:top w:val="outset" w:sz="6" w:space="0" w:color="auto"/>
              <w:left w:val="outset" w:sz="6" w:space="0" w:color="auto"/>
              <w:bottom w:val="nil"/>
              <w:right w:val="outset" w:sz="6" w:space="0" w:color="auto"/>
            </w:tcBorders>
            <w:hideMark/>
          </w:tcPr>
          <w:p w:rsidR="006E56FB" w:rsidRPr="00C32FFF" w:rsidRDefault="006E56FB" w:rsidP="00E7345C">
            <w:pPr>
              <w:autoSpaceDE w:val="0"/>
              <w:autoSpaceDN w:val="0"/>
              <w:adjustRightInd w:val="0"/>
              <w:rPr>
                <w:sz w:val="24"/>
                <w:szCs w:val="24"/>
                <w:lang w:eastAsia="en-GB"/>
              </w:rPr>
            </w:pPr>
            <w:r w:rsidRPr="00C32FFF">
              <w:rPr>
                <w:b/>
                <w:sz w:val="24"/>
                <w:szCs w:val="24"/>
              </w:rPr>
              <w:t>Median tid til progression (uger)</w:t>
            </w:r>
            <w:r w:rsidRPr="00C32FFF">
              <w:rPr>
                <w:b/>
                <w:color w:val="000000"/>
                <w:sz w:val="24"/>
                <w:szCs w:val="24"/>
              </w:rPr>
              <w:t xml:space="preserve"> </w:t>
            </w:r>
          </w:p>
          <w:p w:rsidR="006E56FB" w:rsidRPr="00C32FFF" w:rsidRDefault="006E56FB" w:rsidP="00E7345C">
            <w:pPr>
              <w:autoSpaceDE w:val="0"/>
              <w:autoSpaceDN w:val="0"/>
              <w:adjustRightInd w:val="0"/>
              <w:snapToGrid w:val="0"/>
              <w:spacing w:line="278" w:lineRule="auto"/>
              <w:rPr>
                <w:sz w:val="24"/>
                <w:szCs w:val="24"/>
                <w:lang w:eastAsia="en-GB"/>
              </w:rPr>
            </w:pPr>
            <w:r w:rsidRPr="00C32FFF">
              <w:rPr>
                <w:sz w:val="24"/>
                <w:szCs w:val="24"/>
              </w:rPr>
              <w:t>(95 % CI)</w:t>
            </w:r>
            <w:r w:rsidRPr="00C32FFF">
              <w:rPr>
                <w:color w:val="000000"/>
                <w:sz w:val="24"/>
                <w:szCs w:val="24"/>
              </w:rPr>
              <w:t xml:space="preserve"> </w:t>
            </w:r>
          </w:p>
        </w:tc>
        <w:tc>
          <w:tcPr>
            <w:tcW w:w="867" w:type="pct"/>
            <w:tcBorders>
              <w:top w:val="outset" w:sz="6" w:space="0" w:color="auto"/>
              <w:left w:val="outset" w:sz="6" w:space="0" w:color="auto"/>
              <w:bottom w:val="nil"/>
              <w:right w:val="outset" w:sz="6" w:space="0" w:color="auto"/>
            </w:tcBorders>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14,9</w:t>
            </w:r>
          </w:p>
          <w:p w:rsidR="006E56FB" w:rsidRPr="00C32FFF" w:rsidRDefault="006E56FB" w:rsidP="00E7345C">
            <w:pPr>
              <w:autoSpaceDE w:val="0"/>
              <w:autoSpaceDN w:val="0"/>
              <w:adjustRightInd w:val="0"/>
              <w:jc w:val="center"/>
              <w:rPr>
                <w:color w:val="000000"/>
                <w:sz w:val="24"/>
                <w:szCs w:val="24"/>
              </w:rPr>
            </w:pP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(8,3; 21,3)</w:t>
            </w:r>
          </w:p>
        </w:tc>
        <w:tc>
          <w:tcPr>
            <w:tcW w:w="867" w:type="pct"/>
            <w:tcBorders>
              <w:top w:val="outset" w:sz="6" w:space="0" w:color="auto"/>
              <w:left w:val="outset" w:sz="6" w:space="0" w:color="auto"/>
              <w:bottom w:val="nil"/>
              <w:right w:val="outset" w:sz="6" w:space="0" w:color="auto"/>
            </w:tcBorders>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13,1</w:t>
            </w:r>
          </w:p>
          <w:p w:rsidR="006E56FB" w:rsidRPr="00C32FFF" w:rsidRDefault="006E56FB" w:rsidP="00E7345C">
            <w:pPr>
              <w:autoSpaceDE w:val="0"/>
              <w:autoSpaceDN w:val="0"/>
              <w:adjustRightInd w:val="0"/>
              <w:jc w:val="center"/>
              <w:rPr>
                <w:color w:val="000000"/>
                <w:sz w:val="24"/>
                <w:szCs w:val="24"/>
              </w:rPr>
            </w:pP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(11,6; 18,3)</w:t>
            </w:r>
          </w:p>
        </w:tc>
        <w:tc>
          <w:tcPr>
            <w:tcW w:w="918" w:type="pct"/>
            <w:gridSpan w:val="2"/>
            <w:tcBorders>
              <w:top w:val="outset" w:sz="6" w:space="0" w:color="auto"/>
              <w:left w:val="outset" w:sz="6" w:space="0" w:color="auto"/>
              <w:bottom w:val="nil"/>
              <w:right w:val="outset" w:sz="6" w:space="0" w:color="auto"/>
            </w:tcBorders>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11,9</w:t>
            </w:r>
          </w:p>
          <w:p w:rsidR="006E56FB" w:rsidRPr="00C32FFF" w:rsidRDefault="006E56FB" w:rsidP="00E7345C">
            <w:pPr>
              <w:autoSpaceDE w:val="0"/>
              <w:autoSpaceDN w:val="0"/>
              <w:adjustRightInd w:val="0"/>
              <w:jc w:val="center"/>
              <w:rPr>
                <w:color w:val="000000"/>
                <w:sz w:val="24"/>
                <w:szCs w:val="24"/>
              </w:rPr>
            </w:pP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(9,7; 14,1)</w:t>
            </w:r>
          </w:p>
        </w:tc>
        <w:tc>
          <w:tcPr>
            <w:tcW w:w="816" w:type="pct"/>
            <w:tcBorders>
              <w:top w:val="outset" w:sz="6" w:space="0" w:color="auto"/>
              <w:left w:val="outset" w:sz="6" w:space="0" w:color="auto"/>
              <w:bottom w:val="nil"/>
              <w:right w:val="outset" w:sz="6" w:space="0" w:color="auto"/>
            </w:tcBorders>
          </w:tcPr>
          <w:p w:rsidR="006E56FB" w:rsidRPr="00C32FFF" w:rsidRDefault="006E56FB" w:rsidP="00E7345C">
            <w:pPr>
              <w:autoSpaceDE w:val="0"/>
              <w:autoSpaceDN w:val="0"/>
              <w:adjustRightInd w:val="0"/>
              <w:jc w:val="center"/>
              <w:rPr>
                <w:color w:val="000000"/>
                <w:sz w:val="24"/>
                <w:szCs w:val="24"/>
                <w:lang w:eastAsia="en-GB"/>
              </w:rPr>
            </w:pPr>
            <w:r w:rsidRPr="00C32FFF">
              <w:rPr>
                <w:color w:val="000000"/>
                <w:sz w:val="24"/>
                <w:szCs w:val="24"/>
              </w:rPr>
              <w:t>14,6</w:t>
            </w:r>
          </w:p>
          <w:p w:rsidR="006E56FB" w:rsidRPr="00C32FFF" w:rsidRDefault="006E56FB" w:rsidP="00E7345C">
            <w:pPr>
              <w:autoSpaceDE w:val="0"/>
              <w:autoSpaceDN w:val="0"/>
              <w:adjustRightInd w:val="0"/>
              <w:jc w:val="center"/>
              <w:rPr>
                <w:color w:val="000000"/>
                <w:sz w:val="24"/>
                <w:szCs w:val="24"/>
              </w:rPr>
            </w:pPr>
          </w:p>
          <w:p w:rsidR="006E56FB" w:rsidRPr="00C32FFF" w:rsidRDefault="006E56FB" w:rsidP="00E7345C">
            <w:pPr>
              <w:autoSpaceDE w:val="0"/>
              <w:autoSpaceDN w:val="0"/>
              <w:adjustRightInd w:val="0"/>
              <w:snapToGrid w:val="0"/>
              <w:spacing w:line="276" w:lineRule="auto"/>
              <w:jc w:val="center"/>
              <w:rPr>
                <w:color w:val="000000"/>
                <w:sz w:val="24"/>
                <w:szCs w:val="24"/>
                <w:lang w:eastAsia="en-GB"/>
              </w:rPr>
            </w:pPr>
            <w:r w:rsidRPr="00C32FFF">
              <w:rPr>
                <w:color w:val="000000"/>
                <w:sz w:val="24"/>
                <w:szCs w:val="24"/>
              </w:rPr>
              <w:t>(13,3; 18,9)</w:t>
            </w:r>
          </w:p>
        </w:tc>
      </w:tr>
      <w:tr w:rsidR="006E56FB" w:rsidRPr="00C32FFF" w:rsidTr="00E7345C">
        <w:trPr>
          <w:tblCellSpacing w:w="0" w:type="dxa"/>
        </w:trPr>
        <w:tc>
          <w:tcPr>
            <w:tcW w:w="1532" w:type="pct"/>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rPr>
                <w:sz w:val="24"/>
                <w:szCs w:val="24"/>
                <w:lang w:eastAsia="en-GB"/>
              </w:rPr>
            </w:pPr>
            <w:r w:rsidRPr="00C32FFF">
              <w:rPr>
                <w:sz w:val="24"/>
                <w:szCs w:val="24"/>
              </w:rPr>
              <w:t>Hazard ratio (95 % CI)</w:t>
            </w:r>
          </w:p>
        </w:tc>
        <w:tc>
          <w:tcPr>
            <w:tcW w:w="1734" w:type="pct"/>
            <w:gridSpan w:val="2"/>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color w:val="000000"/>
                <w:sz w:val="24"/>
                <w:szCs w:val="24"/>
                <w:lang w:eastAsia="en-GB"/>
              </w:rPr>
            </w:pPr>
            <w:r w:rsidRPr="00C32FFF">
              <w:rPr>
                <w:color w:val="000000"/>
                <w:sz w:val="24"/>
                <w:szCs w:val="24"/>
              </w:rPr>
              <w:t>0;90 (0,60; 1,35)</w:t>
            </w:r>
          </w:p>
        </w:tc>
        <w:tc>
          <w:tcPr>
            <w:tcW w:w="1734" w:type="pct"/>
            <w:gridSpan w:val="3"/>
            <w:tcBorders>
              <w:top w:val="outset" w:sz="6" w:space="0" w:color="auto"/>
              <w:left w:val="outset" w:sz="6" w:space="0" w:color="auto"/>
              <w:bottom w:val="outset" w:sz="6" w:space="0" w:color="auto"/>
              <w:right w:val="outset" w:sz="6" w:space="0" w:color="auto"/>
            </w:tcBorders>
            <w:hideMark/>
          </w:tcPr>
          <w:p w:rsidR="006E56FB" w:rsidRPr="00C32FFF" w:rsidRDefault="006E56FB" w:rsidP="00E7345C">
            <w:pPr>
              <w:autoSpaceDE w:val="0"/>
              <w:autoSpaceDN w:val="0"/>
              <w:adjustRightInd w:val="0"/>
              <w:snapToGrid w:val="0"/>
              <w:jc w:val="center"/>
              <w:rPr>
                <w:color w:val="000000"/>
                <w:sz w:val="24"/>
                <w:szCs w:val="24"/>
                <w:lang w:eastAsia="en-GB"/>
              </w:rPr>
            </w:pPr>
            <w:r w:rsidRPr="00C32FFF">
              <w:rPr>
                <w:color w:val="000000"/>
                <w:sz w:val="24"/>
                <w:szCs w:val="24"/>
              </w:rPr>
              <w:t>1,21 (0,96; 1,53)</w:t>
            </w:r>
          </w:p>
        </w:tc>
      </w:tr>
    </w:tbl>
    <w:p w:rsidR="006E56FB" w:rsidRPr="00C32FFF" w:rsidRDefault="006E56FB" w:rsidP="006E56FB">
      <w:pPr>
        <w:autoSpaceDE w:val="0"/>
        <w:autoSpaceDN w:val="0"/>
        <w:adjustRightInd w:val="0"/>
        <w:ind w:left="851" w:hanging="851"/>
        <w:rPr>
          <w:color w:val="000000"/>
          <w:sz w:val="24"/>
          <w:szCs w:val="24"/>
          <w:lang w:eastAsia="en-GB"/>
        </w:rPr>
      </w:pPr>
      <w:r w:rsidRPr="00C32FFF">
        <w:rPr>
          <w:sz w:val="24"/>
          <w:szCs w:val="24"/>
        </w:rPr>
        <w:t>N = totalt antal behandlede patienter.</w:t>
      </w:r>
    </w:p>
    <w:p w:rsidR="006E56FB" w:rsidRPr="00C32FFF" w:rsidRDefault="006E56FB" w:rsidP="006E56FB">
      <w:pPr>
        <w:autoSpaceDE w:val="0"/>
        <w:autoSpaceDN w:val="0"/>
        <w:adjustRightInd w:val="0"/>
        <w:ind w:left="851" w:hanging="851"/>
        <w:rPr>
          <w:color w:val="000000"/>
          <w:sz w:val="24"/>
          <w:szCs w:val="24"/>
        </w:rPr>
      </w:pPr>
      <w:r w:rsidRPr="00C32FFF">
        <w:rPr>
          <w:sz w:val="24"/>
          <w:szCs w:val="24"/>
        </w:rPr>
        <w:t xml:space="preserve">CI = </w:t>
      </w:r>
      <w:r>
        <w:rPr>
          <w:sz w:val="24"/>
          <w:szCs w:val="24"/>
        </w:rPr>
        <w:t>k</w:t>
      </w:r>
      <w:r w:rsidRPr="00C32FFF">
        <w:rPr>
          <w:sz w:val="24"/>
          <w:szCs w:val="24"/>
        </w:rPr>
        <w:t>onfidensinterval</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 xml:space="preserve">I </w:t>
      </w:r>
      <w:r>
        <w:rPr>
          <w:sz w:val="24"/>
          <w:szCs w:val="24"/>
        </w:rPr>
        <w:t>et</w:t>
      </w:r>
      <w:r w:rsidRPr="00C32FFF">
        <w:rPr>
          <w:sz w:val="24"/>
          <w:szCs w:val="24"/>
        </w:rPr>
        <w:t xml:space="preserve"> ande</w:t>
      </w:r>
      <w:r>
        <w:rPr>
          <w:sz w:val="24"/>
          <w:szCs w:val="24"/>
        </w:rPr>
        <w:t>t</w:t>
      </w:r>
      <w:r w:rsidRPr="00C32FFF">
        <w:rPr>
          <w:sz w:val="24"/>
          <w:szCs w:val="24"/>
        </w:rPr>
        <w:t xml:space="preserve"> randomiseret fase III-</w:t>
      </w:r>
      <w:r>
        <w:rPr>
          <w:sz w:val="24"/>
          <w:szCs w:val="24"/>
        </w:rPr>
        <w:t>studie</w:t>
      </w:r>
      <w:r w:rsidRPr="00C32FFF">
        <w:rPr>
          <w:sz w:val="24"/>
          <w:szCs w:val="24"/>
        </w:rPr>
        <w:t>, som sammenlignede intravenøs topotecan med cyclophosphamid, adriamycin (doxorubicin) og vincristin (CAV) hos patienter med recidiverende, sensitiv SCLC var den samlede responsrate 24,3 % for topotecan-gruppen sammenlignet med 18,3 % for CAV-gruppen.</w:t>
      </w:r>
      <w:r w:rsidRPr="00C32FFF">
        <w:rPr>
          <w:color w:val="000000"/>
          <w:sz w:val="24"/>
          <w:szCs w:val="24"/>
        </w:rPr>
        <w:t xml:space="preserve"> </w:t>
      </w:r>
      <w:r w:rsidRPr="00C32FFF">
        <w:rPr>
          <w:sz w:val="24"/>
          <w:szCs w:val="24"/>
        </w:rPr>
        <w:t>Median tid til progression var sammenlignelig i de to grupper (hhv. 13,3 uger og 12,3 uger).</w:t>
      </w:r>
      <w:r w:rsidRPr="00C32FFF">
        <w:rPr>
          <w:color w:val="000000"/>
          <w:sz w:val="24"/>
          <w:szCs w:val="24"/>
        </w:rPr>
        <w:t xml:space="preserve"> </w:t>
      </w:r>
      <w:r w:rsidRPr="00C32FFF">
        <w:rPr>
          <w:sz w:val="24"/>
          <w:szCs w:val="24"/>
        </w:rPr>
        <w:t>Den mediane overlevelse for de to grupper var hhv. 25,0 og 24,7 uger.</w:t>
      </w:r>
      <w:r w:rsidRPr="00C32FFF">
        <w:rPr>
          <w:color w:val="000000"/>
          <w:sz w:val="24"/>
          <w:szCs w:val="24"/>
        </w:rPr>
        <w:t xml:space="preserve"> </w:t>
      </w:r>
      <w:r w:rsidRPr="00C32FFF">
        <w:rPr>
          <w:sz w:val="24"/>
          <w:szCs w:val="24"/>
        </w:rPr>
        <w:t xml:space="preserve">Hazard ratio for overlevelse </w:t>
      </w:r>
      <w:r>
        <w:rPr>
          <w:sz w:val="24"/>
          <w:szCs w:val="24"/>
        </w:rPr>
        <w:t>med</w:t>
      </w:r>
      <w:r w:rsidRPr="00C32FFF">
        <w:rPr>
          <w:sz w:val="24"/>
          <w:szCs w:val="24"/>
        </w:rPr>
        <w:t xml:space="preserve"> intravenøs topotecan i forhold til CAV var 1,04 (95 % CI 0,78 – 1,40).</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lastRenderedPageBreak/>
        <w:t xml:space="preserve">Responsraten for topotecan i det kombinerede program for småcellet lungecancer </w:t>
      </w:r>
      <w:r>
        <w:rPr>
          <w:sz w:val="24"/>
          <w:szCs w:val="24"/>
        </w:rPr>
        <w:t>(</w:t>
      </w:r>
      <w:r w:rsidRPr="00C32FFF">
        <w:rPr>
          <w:sz w:val="24"/>
          <w:szCs w:val="24"/>
        </w:rPr>
        <w:t>n = 480</w:t>
      </w:r>
      <w:r>
        <w:rPr>
          <w:sz w:val="24"/>
          <w:szCs w:val="24"/>
        </w:rPr>
        <w:t>)</w:t>
      </w:r>
      <w:r w:rsidRPr="00C32FFF">
        <w:rPr>
          <w:sz w:val="24"/>
          <w:szCs w:val="24"/>
        </w:rPr>
        <w:t xml:space="preserve"> for patienter med recidiverende sygdom sensitiv til førstevalgsbehandling var 20,2 %.</w:t>
      </w:r>
      <w:r w:rsidRPr="00C32FFF">
        <w:rPr>
          <w:color w:val="000000"/>
          <w:sz w:val="24"/>
          <w:szCs w:val="24"/>
        </w:rPr>
        <w:t xml:space="preserve"> </w:t>
      </w:r>
      <w:r>
        <w:rPr>
          <w:sz w:val="24"/>
          <w:szCs w:val="24"/>
        </w:rPr>
        <w:t>M</w:t>
      </w:r>
      <w:r w:rsidRPr="00C32FFF">
        <w:rPr>
          <w:sz w:val="24"/>
          <w:szCs w:val="24"/>
        </w:rPr>
        <w:t>edianoverlevelse</w:t>
      </w:r>
      <w:r>
        <w:rPr>
          <w:sz w:val="24"/>
          <w:szCs w:val="24"/>
        </w:rPr>
        <w:t>n</w:t>
      </w:r>
      <w:r w:rsidRPr="00C32FFF">
        <w:rPr>
          <w:sz w:val="24"/>
          <w:szCs w:val="24"/>
        </w:rPr>
        <w:t xml:space="preserve"> var 30,3 uger (95 % CI:</w:t>
      </w:r>
      <w:r w:rsidRPr="00C32FFF">
        <w:rPr>
          <w:color w:val="000000"/>
          <w:sz w:val="24"/>
          <w:szCs w:val="24"/>
        </w:rPr>
        <w:t xml:space="preserve"> 27,6; 33,4).</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I patientpopulationen med refraktær SCLC (patienter, som ikke responderer på førstevalgsbehandling) var responsraten efter behandling med topotecan 4,0 %.</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i/>
          <w:color w:val="000000"/>
          <w:sz w:val="24"/>
          <w:szCs w:val="24"/>
        </w:rPr>
      </w:pPr>
      <w:r w:rsidRPr="00C32FFF">
        <w:rPr>
          <w:i/>
          <w:sz w:val="24"/>
          <w:szCs w:val="24"/>
        </w:rPr>
        <w:t>Cervixkarcinom</w:t>
      </w:r>
    </w:p>
    <w:p w:rsidR="006E56FB" w:rsidRPr="00C32FFF" w:rsidRDefault="006E56FB" w:rsidP="006E56FB">
      <w:pPr>
        <w:autoSpaceDE w:val="0"/>
        <w:autoSpaceDN w:val="0"/>
        <w:adjustRightInd w:val="0"/>
        <w:ind w:left="851"/>
        <w:rPr>
          <w:sz w:val="24"/>
          <w:szCs w:val="24"/>
        </w:rPr>
      </w:pPr>
      <w:r w:rsidRPr="00C32FFF">
        <w:rPr>
          <w:sz w:val="24"/>
          <w:szCs w:val="24"/>
        </w:rPr>
        <w:t xml:space="preserve">I </w:t>
      </w:r>
      <w:r>
        <w:rPr>
          <w:sz w:val="24"/>
          <w:szCs w:val="24"/>
        </w:rPr>
        <w:t>et</w:t>
      </w:r>
      <w:r w:rsidRPr="00C32FFF">
        <w:rPr>
          <w:sz w:val="24"/>
          <w:szCs w:val="24"/>
        </w:rPr>
        <w:t xml:space="preserve"> randomiseret, komparativ fase III-</w:t>
      </w:r>
      <w:r>
        <w:rPr>
          <w:sz w:val="24"/>
          <w:szCs w:val="24"/>
        </w:rPr>
        <w:t>studie</w:t>
      </w:r>
      <w:r w:rsidRPr="00C32FFF">
        <w:rPr>
          <w:sz w:val="24"/>
          <w:szCs w:val="24"/>
        </w:rPr>
        <w:t>, som blev udført af Gynaecological Oncology Group (GOG 0179), blev topotecan plus cisplatin (n = 147) sammenlignet med cisplatin alene (n = 146) i behandlingen af histologisk bekræftet, persisterende, recidiverende eller stadium IVB cervixkarcinom, hvor kurativ behandling med kirurgi og/eller strålebehandling ikke var vurderet hensigtsmæssig.</w:t>
      </w:r>
      <w:r w:rsidRPr="00C32FFF">
        <w:rPr>
          <w:color w:val="000000"/>
          <w:sz w:val="24"/>
          <w:szCs w:val="24"/>
        </w:rPr>
        <w:t xml:space="preserve"> </w:t>
      </w:r>
      <w:r w:rsidRPr="00C32FFF">
        <w:rPr>
          <w:sz w:val="24"/>
          <w:szCs w:val="24"/>
        </w:rPr>
        <w:t>Behandling med topotecan plus cisplatin resulterede i en statistisk signifikant fordel i samlet overlevelse i forhold til monoterapi med cisplatin, efter justering for interimanalyser (log-rank p = 0,033).</w:t>
      </w:r>
    </w:p>
    <w:p w:rsidR="006E56FB" w:rsidRPr="00C32FFF" w:rsidRDefault="006E56FB" w:rsidP="006E56FB">
      <w:pPr>
        <w:autoSpaceDE w:val="0"/>
        <w:autoSpaceDN w:val="0"/>
        <w:adjustRightInd w:val="0"/>
        <w:ind w:left="851" w:hanging="851"/>
        <w:rPr>
          <w:b/>
          <w:color w:val="000000"/>
          <w:sz w:val="24"/>
          <w:szCs w:val="24"/>
        </w:rPr>
      </w:pPr>
    </w:p>
    <w:p w:rsidR="00E7345C" w:rsidRDefault="00E7345C" w:rsidP="00E7345C">
      <w:pPr>
        <w:autoSpaceDE w:val="0"/>
        <w:autoSpaceDN w:val="0"/>
        <w:adjustRightInd w:val="0"/>
        <w:ind w:left="851"/>
        <w:rPr>
          <w:b/>
          <w:color w:val="000000"/>
          <w:sz w:val="24"/>
          <w:szCs w:val="24"/>
        </w:rPr>
      </w:pPr>
      <w:r>
        <w:rPr>
          <w:b/>
          <w:sz w:val="24"/>
          <w:szCs w:val="24"/>
        </w:rPr>
        <w:t>Tabel 2.</w:t>
      </w:r>
      <w:r>
        <w:rPr>
          <w:b/>
          <w:sz w:val="24"/>
          <w:szCs w:val="24"/>
        </w:rPr>
        <w:tab/>
        <w:t>Studie</w:t>
      </w:r>
      <w:r w:rsidRPr="00C32FFF">
        <w:rPr>
          <w:b/>
          <w:sz w:val="24"/>
          <w:szCs w:val="24"/>
        </w:rPr>
        <w:t xml:space="preserve">resultater </w:t>
      </w:r>
      <w:r>
        <w:rPr>
          <w:b/>
          <w:sz w:val="24"/>
          <w:szCs w:val="24"/>
        </w:rPr>
        <w:t>studie</w:t>
      </w:r>
      <w:r w:rsidRPr="00C32FFF">
        <w:rPr>
          <w:b/>
          <w:sz w:val="24"/>
          <w:szCs w:val="24"/>
        </w:rPr>
        <w:t xml:space="preserve"> GOG-0179</w:t>
      </w:r>
    </w:p>
    <w:p w:rsidR="00E7345C" w:rsidRPr="00C32FFF" w:rsidRDefault="00E7345C" w:rsidP="00E7345C">
      <w:pPr>
        <w:autoSpaceDE w:val="0"/>
        <w:autoSpaceDN w:val="0"/>
        <w:adjustRightInd w:val="0"/>
        <w:ind w:left="851" w:hanging="851"/>
        <w:rPr>
          <w:b/>
          <w:color w:val="000000"/>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3670"/>
        <w:gridCol w:w="2584"/>
        <w:gridCol w:w="3368"/>
      </w:tblGrid>
      <w:tr w:rsidR="00E7345C" w:rsidRPr="00C32FFF" w:rsidTr="00E7345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ITT-population</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tcPr>
          <w:p w:rsidR="00E7345C" w:rsidRPr="00C32FFF" w:rsidRDefault="00E7345C" w:rsidP="00E7345C">
            <w:pPr>
              <w:autoSpaceDE w:val="0"/>
              <w:autoSpaceDN w:val="0"/>
              <w:adjustRightInd w:val="0"/>
              <w:snapToGrid w:val="0"/>
              <w:jc w:val="center"/>
              <w:rPr>
                <w:color w:val="000000"/>
                <w:sz w:val="24"/>
                <w:szCs w:val="24"/>
                <w:lang w:eastAsia="en-GB"/>
              </w:rPr>
            </w:pPr>
          </w:p>
        </w:tc>
        <w:tc>
          <w:tcPr>
            <w:tcW w:w="1343" w:type="pct"/>
            <w:tcBorders>
              <w:top w:val="outset" w:sz="6" w:space="0" w:color="auto"/>
              <w:left w:val="outset" w:sz="6" w:space="0" w:color="auto"/>
              <w:bottom w:val="outset" w:sz="6" w:space="0" w:color="auto"/>
              <w:right w:val="outset" w:sz="6" w:space="0" w:color="auto"/>
            </w:tcBorders>
            <w:hideMark/>
          </w:tcPr>
          <w:p w:rsidR="00E7345C" w:rsidRPr="004C49D3" w:rsidRDefault="00E7345C" w:rsidP="00E7345C">
            <w:pPr>
              <w:autoSpaceDE w:val="0"/>
              <w:autoSpaceDN w:val="0"/>
              <w:adjustRightInd w:val="0"/>
              <w:jc w:val="center"/>
              <w:rPr>
                <w:b/>
                <w:color w:val="000000"/>
                <w:sz w:val="24"/>
                <w:szCs w:val="24"/>
                <w:lang w:val="sv-SE" w:eastAsia="en-GB"/>
              </w:rPr>
            </w:pPr>
            <w:r w:rsidRPr="004C49D3">
              <w:rPr>
                <w:b/>
                <w:sz w:val="24"/>
                <w:szCs w:val="24"/>
                <w:lang w:val="sv-SE"/>
              </w:rPr>
              <w:t>Cisplatin</w:t>
            </w:r>
          </w:p>
          <w:p w:rsidR="00E7345C" w:rsidRPr="004C49D3" w:rsidRDefault="00E7345C" w:rsidP="00E7345C">
            <w:pPr>
              <w:autoSpaceDE w:val="0"/>
              <w:autoSpaceDN w:val="0"/>
              <w:adjustRightInd w:val="0"/>
              <w:jc w:val="center"/>
              <w:rPr>
                <w:b/>
                <w:color w:val="000000"/>
                <w:sz w:val="24"/>
                <w:szCs w:val="24"/>
                <w:lang w:val="sv-SE"/>
              </w:rPr>
            </w:pPr>
            <w:r w:rsidRPr="004C49D3">
              <w:rPr>
                <w:b/>
                <w:sz w:val="24"/>
                <w:szCs w:val="24"/>
                <w:lang w:val="sv-SE"/>
              </w:rPr>
              <w:t>50 mg/m</w:t>
            </w:r>
            <w:r w:rsidRPr="004C49D3">
              <w:rPr>
                <w:b/>
                <w:sz w:val="24"/>
                <w:szCs w:val="24"/>
                <w:vertAlign w:val="superscript"/>
                <w:lang w:val="sv-SE"/>
              </w:rPr>
              <w:t>2</w:t>
            </w:r>
            <w:r w:rsidRPr="004C49D3">
              <w:rPr>
                <w:b/>
                <w:sz w:val="24"/>
                <w:szCs w:val="24"/>
                <w:lang w:val="sv-SE"/>
              </w:rPr>
              <w:t xml:space="preserve"> på dag 1,</w:t>
            </w:r>
          </w:p>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hver 21. dag</w:t>
            </w:r>
          </w:p>
        </w:tc>
        <w:tc>
          <w:tcPr>
            <w:tcW w:w="1750" w:type="pct"/>
            <w:tcBorders>
              <w:top w:val="outset" w:sz="6" w:space="0" w:color="auto"/>
              <w:left w:val="outset" w:sz="6" w:space="0" w:color="auto"/>
              <w:bottom w:val="outset" w:sz="6" w:space="0" w:color="auto"/>
              <w:right w:val="outset" w:sz="6" w:space="0" w:color="auto"/>
            </w:tcBorders>
            <w:hideMark/>
          </w:tcPr>
          <w:p w:rsidR="00E7345C" w:rsidRPr="004C49D3" w:rsidRDefault="00E7345C" w:rsidP="00E7345C">
            <w:pPr>
              <w:autoSpaceDE w:val="0"/>
              <w:autoSpaceDN w:val="0"/>
              <w:adjustRightInd w:val="0"/>
              <w:jc w:val="center"/>
              <w:rPr>
                <w:b/>
                <w:color w:val="000000"/>
                <w:sz w:val="24"/>
                <w:szCs w:val="24"/>
                <w:lang w:val="sv-SE" w:eastAsia="en-GB"/>
              </w:rPr>
            </w:pPr>
            <w:r w:rsidRPr="004C49D3">
              <w:rPr>
                <w:b/>
                <w:sz w:val="24"/>
                <w:szCs w:val="24"/>
                <w:lang w:val="sv-SE"/>
              </w:rPr>
              <w:t>Cisplatin</w:t>
            </w:r>
          </w:p>
          <w:p w:rsidR="00E7345C" w:rsidRPr="004C49D3" w:rsidRDefault="00E7345C" w:rsidP="00E7345C">
            <w:pPr>
              <w:autoSpaceDE w:val="0"/>
              <w:autoSpaceDN w:val="0"/>
              <w:adjustRightInd w:val="0"/>
              <w:jc w:val="center"/>
              <w:rPr>
                <w:b/>
                <w:color w:val="000000"/>
                <w:sz w:val="24"/>
                <w:szCs w:val="24"/>
                <w:lang w:val="sv-SE"/>
              </w:rPr>
            </w:pPr>
            <w:r w:rsidRPr="004C49D3">
              <w:rPr>
                <w:b/>
                <w:sz w:val="24"/>
                <w:szCs w:val="24"/>
                <w:lang w:val="sv-SE"/>
              </w:rPr>
              <w:t>50 mg/m</w:t>
            </w:r>
            <w:r w:rsidRPr="004C49D3">
              <w:rPr>
                <w:b/>
                <w:sz w:val="24"/>
                <w:szCs w:val="24"/>
                <w:vertAlign w:val="superscript"/>
                <w:lang w:val="sv-SE"/>
              </w:rPr>
              <w:t>2</w:t>
            </w:r>
            <w:r w:rsidRPr="004C49D3">
              <w:rPr>
                <w:b/>
                <w:sz w:val="24"/>
                <w:szCs w:val="24"/>
                <w:lang w:val="sv-SE"/>
              </w:rPr>
              <w:t xml:space="preserve"> på dag 1 +</w:t>
            </w:r>
          </w:p>
          <w:p w:rsidR="00E7345C" w:rsidRPr="00C32FFF" w:rsidRDefault="00E7345C" w:rsidP="00E7345C">
            <w:pPr>
              <w:autoSpaceDE w:val="0"/>
              <w:autoSpaceDN w:val="0"/>
              <w:adjustRightInd w:val="0"/>
              <w:jc w:val="center"/>
              <w:rPr>
                <w:b/>
                <w:color w:val="000000"/>
                <w:sz w:val="24"/>
                <w:szCs w:val="24"/>
              </w:rPr>
            </w:pPr>
            <w:r w:rsidRPr="00C32FFF">
              <w:rPr>
                <w:b/>
                <w:sz w:val="24"/>
                <w:szCs w:val="24"/>
              </w:rPr>
              <w:t>topotecan</w:t>
            </w:r>
          </w:p>
          <w:p w:rsidR="00E7345C" w:rsidRPr="00C32FFF" w:rsidRDefault="00E7345C" w:rsidP="00E7345C">
            <w:pPr>
              <w:autoSpaceDE w:val="0"/>
              <w:autoSpaceDN w:val="0"/>
              <w:adjustRightInd w:val="0"/>
              <w:jc w:val="center"/>
              <w:rPr>
                <w:b/>
                <w:color w:val="000000"/>
                <w:sz w:val="24"/>
                <w:szCs w:val="24"/>
              </w:rPr>
            </w:pPr>
            <w:r w:rsidRPr="00C32FFF">
              <w:rPr>
                <w:b/>
                <w:sz w:val="24"/>
                <w:szCs w:val="24"/>
              </w:rPr>
              <w:t>0,75</w:t>
            </w:r>
            <w:r>
              <w:rPr>
                <w:b/>
                <w:sz w:val="24"/>
                <w:szCs w:val="24"/>
              </w:rPr>
              <w:t xml:space="preserve"> </w:t>
            </w:r>
            <w:r w:rsidRPr="00C32FFF">
              <w:rPr>
                <w:b/>
                <w:sz w:val="24"/>
                <w:szCs w:val="24"/>
              </w:rPr>
              <w:t>mg/m</w:t>
            </w:r>
            <w:r w:rsidRPr="00C32FFF">
              <w:rPr>
                <w:b/>
                <w:sz w:val="24"/>
                <w:szCs w:val="24"/>
                <w:vertAlign w:val="superscript"/>
              </w:rPr>
              <w:t>2</w:t>
            </w:r>
            <w:r w:rsidRPr="00C32FFF">
              <w:rPr>
                <w:b/>
                <w:sz w:val="24"/>
                <w:szCs w:val="24"/>
              </w:rPr>
              <w:t xml:space="preserve"> </w:t>
            </w:r>
            <w:r>
              <w:rPr>
                <w:b/>
                <w:sz w:val="24"/>
                <w:szCs w:val="24"/>
              </w:rPr>
              <w:t>på dag 1-</w:t>
            </w:r>
            <w:r w:rsidRPr="00C32FFF">
              <w:rPr>
                <w:b/>
                <w:sz w:val="24"/>
                <w:szCs w:val="24"/>
              </w:rPr>
              <w:t>3</w:t>
            </w:r>
            <w:r>
              <w:rPr>
                <w:b/>
                <w:sz w:val="24"/>
                <w:szCs w:val="24"/>
              </w:rPr>
              <w:t>,</w:t>
            </w:r>
          </w:p>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hver 21. dag</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b/>
                <w:sz w:val="24"/>
                <w:szCs w:val="24"/>
              </w:rPr>
              <w:t>Overlevelse (måneder)</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(n = 146)</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(n = 147)</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sz w:val="24"/>
                <w:szCs w:val="24"/>
              </w:rPr>
              <w:t>Median (95 % CI)</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6,5 (5,8; 8;8)</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9,4 (7,9; 11,9)</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sz w:val="24"/>
                <w:szCs w:val="24"/>
              </w:rPr>
              <w:t>Hazard ratio (95 % CI)</w:t>
            </w:r>
          </w:p>
        </w:tc>
        <w:tc>
          <w:tcPr>
            <w:tcW w:w="3093" w:type="pct"/>
            <w:gridSpan w:val="2"/>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0,76 (0,59-0,98)</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sz w:val="24"/>
                <w:szCs w:val="24"/>
              </w:rPr>
              <w:t>Log rank p-værdi</w:t>
            </w:r>
          </w:p>
        </w:tc>
        <w:tc>
          <w:tcPr>
            <w:tcW w:w="3093" w:type="pct"/>
            <w:gridSpan w:val="2"/>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0,033</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rPr>
                <w:color w:val="000000"/>
                <w:sz w:val="24"/>
                <w:szCs w:val="24"/>
                <w:lang w:eastAsia="en-GB"/>
              </w:rPr>
            </w:pPr>
            <w:r w:rsidRPr="00C32FFF">
              <w:rPr>
                <w:color w:val="000000"/>
                <w:sz w:val="24"/>
                <w:szCs w:val="24"/>
              </w:rPr>
              <w:t> </w:t>
            </w:r>
          </w:p>
          <w:p w:rsidR="00E7345C" w:rsidRPr="00C32FFF" w:rsidRDefault="00E7345C" w:rsidP="00E7345C">
            <w:pPr>
              <w:autoSpaceDE w:val="0"/>
              <w:autoSpaceDN w:val="0"/>
              <w:adjustRightInd w:val="0"/>
              <w:snapToGrid w:val="0"/>
              <w:rPr>
                <w:sz w:val="24"/>
                <w:szCs w:val="24"/>
                <w:lang w:eastAsia="en-GB"/>
              </w:rPr>
            </w:pPr>
            <w:r w:rsidRPr="00C32FFF">
              <w:rPr>
                <w:color w:val="000000"/>
                <w:sz w:val="24"/>
                <w:szCs w:val="24"/>
              </w:rPr>
              <w:t> </w:t>
            </w:r>
          </w:p>
        </w:tc>
        <w:tc>
          <w:tcPr>
            <w:tcW w:w="3093" w:type="pct"/>
            <w:gridSpan w:val="2"/>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rPr>
                <w:color w:val="000000"/>
                <w:sz w:val="24"/>
                <w:szCs w:val="24"/>
                <w:lang w:eastAsia="en-GB"/>
              </w:rPr>
            </w:pPr>
            <w:r w:rsidRPr="00C32FFF">
              <w:rPr>
                <w:color w:val="000000"/>
                <w:sz w:val="24"/>
                <w:szCs w:val="24"/>
              </w:rPr>
              <w:t> </w:t>
            </w:r>
          </w:p>
          <w:p w:rsidR="00E7345C" w:rsidRPr="00C32FFF" w:rsidRDefault="00E7345C" w:rsidP="00E7345C">
            <w:pPr>
              <w:autoSpaceDE w:val="0"/>
              <w:autoSpaceDN w:val="0"/>
              <w:adjustRightInd w:val="0"/>
              <w:snapToGrid w:val="0"/>
              <w:rPr>
                <w:sz w:val="24"/>
                <w:szCs w:val="24"/>
                <w:lang w:eastAsia="en-GB"/>
              </w:rPr>
            </w:pPr>
            <w:r w:rsidRPr="00C32FFF">
              <w:rPr>
                <w:color w:val="000000"/>
                <w:sz w:val="24"/>
                <w:szCs w:val="24"/>
              </w:rPr>
              <w:t> </w:t>
            </w:r>
          </w:p>
        </w:tc>
      </w:tr>
      <w:tr w:rsidR="00E7345C" w:rsidRPr="00C32FFF" w:rsidTr="00E7345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Patienter uden forudgående kemoterapi og strålebehandling med cisplatin</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color w:val="000000"/>
                <w:sz w:val="24"/>
                <w:szCs w:val="24"/>
              </w:rPr>
              <w:t> </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Cisplatin</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Topotecan/Cisplatin</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b/>
                <w:sz w:val="24"/>
                <w:szCs w:val="24"/>
              </w:rPr>
              <w:t>Overlevelse (måneder)</w:t>
            </w:r>
            <w:r w:rsidRPr="00C32FFF">
              <w:rPr>
                <w:b/>
                <w:color w:val="000000"/>
                <w:sz w:val="24"/>
                <w:szCs w:val="24"/>
              </w:rPr>
              <w:t xml:space="preserve"> </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(n = 46)</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sz w:val="24"/>
                <w:szCs w:val="24"/>
                <w:lang w:eastAsia="en-GB"/>
              </w:rPr>
            </w:pPr>
            <w:r w:rsidRPr="00C32FFF">
              <w:rPr>
                <w:b/>
                <w:sz w:val="24"/>
                <w:szCs w:val="24"/>
              </w:rPr>
              <w:t>(n = 44)</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sz w:val="24"/>
                <w:szCs w:val="24"/>
              </w:rPr>
              <w:t>Median (95 % CI)</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8,8 (6,4; 11,5)</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15,7 (11,9; 17,7)</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sz w:val="24"/>
                <w:szCs w:val="24"/>
              </w:rPr>
              <w:t>Hazard ratio (95 % CI)</w:t>
            </w:r>
          </w:p>
        </w:tc>
        <w:tc>
          <w:tcPr>
            <w:tcW w:w="3093" w:type="pct"/>
            <w:gridSpan w:val="2"/>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0,51 (0,31; 0,82)</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rPr>
                <w:color w:val="000000"/>
                <w:sz w:val="24"/>
                <w:szCs w:val="24"/>
                <w:lang w:eastAsia="en-GB"/>
              </w:rPr>
            </w:pPr>
            <w:r w:rsidRPr="00C32FFF">
              <w:rPr>
                <w:color w:val="000000"/>
                <w:sz w:val="24"/>
                <w:szCs w:val="24"/>
              </w:rPr>
              <w:t> </w:t>
            </w:r>
          </w:p>
          <w:p w:rsidR="00E7345C" w:rsidRPr="00C32FFF" w:rsidRDefault="00E7345C" w:rsidP="00E7345C">
            <w:pPr>
              <w:autoSpaceDE w:val="0"/>
              <w:autoSpaceDN w:val="0"/>
              <w:adjustRightInd w:val="0"/>
              <w:snapToGrid w:val="0"/>
              <w:rPr>
                <w:sz w:val="24"/>
                <w:szCs w:val="24"/>
                <w:lang w:eastAsia="en-GB"/>
              </w:rPr>
            </w:pPr>
            <w:r w:rsidRPr="00C32FFF">
              <w:rPr>
                <w:color w:val="000000"/>
                <w:sz w:val="24"/>
                <w:szCs w:val="24"/>
              </w:rPr>
              <w:t> </w:t>
            </w:r>
          </w:p>
        </w:tc>
        <w:tc>
          <w:tcPr>
            <w:tcW w:w="3093" w:type="pct"/>
            <w:gridSpan w:val="2"/>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rPr>
                <w:color w:val="000000"/>
                <w:sz w:val="24"/>
                <w:szCs w:val="24"/>
                <w:lang w:eastAsia="en-GB"/>
              </w:rPr>
            </w:pPr>
            <w:r w:rsidRPr="00C32FFF">
              <w:rPr>
                <w:color w:val="000000"/>
                <w:sz w:val="24"/>
                <w:szCs w:val="24"/>
              </w:rPr>
              <w:t> </w:t>
            </w:r>
          </w:p>
          <w:p w:rsidR="00E7345C" w:rsidRPr="00C32FFF" w:rsidRDefault="00E7345C" w:rsidP="00E7345C">
            <w:pPr>
              <w:autoSpaceDE w:val="0"/>
              <w:autoSpaceDN w:val="0"/>
              <w:adjustRightInd w:val="0"/>
              <w:snapToGrid w:val="0"/>
              <w:rPr>
                <w:sz w:val="24"/>
                <w:szCs w:val="24"/>
                <w:lang w:eastAsia="en-GB"/>
              </w:rPr>
            </w:pPr>
            <w:r w:rsidRPr="00C32FFF">
              <w:rPr>
                <w:color w:val="000000"/>
                <w:sz w:val="24"/>
                <w:szCs w:val="24"/>
              </w:rPr>
              <w:t> </w:t>
            </w:r>
          </w:p>
        </w:tc>
      </w:tr>
      <w:tr w:rsidR="00E7345C" w:rsidRPr="00C32FFF" w:rsidTr="00E7345C">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sz w:val="24"/>
                <w:szCs w:val="24"/>
                <w:lang w:eastAsia="en-GB"/>
              </w:rPr>
            </w:pPr>
            <w:r w:rsidRPr="00C32FFF">
              <w:rPr>
                <w:b/>
                <w:sz w:val="24"/>
                <w:szCs w:val="24"/>
              </w:rPr>
              <w:lastRenderedPageBreak/>
              <w:t>Patienter med forudgående kemoterapi og strålebehandling med cisplatin</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rPr>
                <w:sz w:val="24"/>
                <w:szCs w:val="24"/>
                <w:lang w:eastAsia="en-GB"/>
              </w:rPr>
            </w:pPr>
            <w:r w:rsidRPr="00C32FFF">
              <w:rPr>
                <w:color w:val="000000"/>
                <w:sz w:val="24"/>
                <w:szCs w:val="24"/>
              </w:rPr>
              <w:t> </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sz w:val="24"/>
                <w:szCs w:val="24"/>
                <w:lang w:eastAsia="en-GB"/>
              </w:rPr>
            </w:pPr>
            <w:r w:rsidRPr="00C32FFF">
              <w:rPr>
                <w:b/>
                <w:sz w:val="24"/>
                <w:szCs w:val="24"/>
              </w:rPr>
              <w:t>Cisplatin</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sz w:val="24"/>
                <w:szCs w:val="24"/>
                <w:lang w:eastAsia="en-GB"/>
              </w:rPr>
            </w:pPr>
            <w:r w:rsidRPr="00C32FFF">
              <w:rPr>
                <w:b/>
                <w:sz w:val="24"/>
                <w:szCs w:val="24"/>
              </w:rPr>
              <w:t>Topotecan/Cisplatin</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rPr>
                <w:sz w:val="24"/>
                <w:szCs w:val="24"/>
                <w:lang w:eastAsia="en-GB"/>
              </w:rPr>
            </w:pPr>
            <w:r w:rsidRPr="00C32FFF">
              <w:rPr>
                <w:b/>
                <w:sz w:val="24"/>
                <w:szCs w:val="24"/>
              </w:rPr>
              <w:t>Overlevelse (måneder)</w:t>
            </w:r>
            <w:r w:rsidRPr="00C32FFF">
              <w:rPr>
                <w:b/>
                <w:color w:val="000000"/>
                <w:sz w:val="24"/>
                <w:szCs w:val="24"/>
              </w:rPr>
              <w:t xml:space="preserve"> </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sz w:val="24"/>
                <w:szCs w:val="24"/>
                <w:lang w:eastAsia="en-GB"/>
              </w:rPr>
            </w:pPr>
            <w:r w:rsidRPr="00C32FFF">
              <w:rPr>
                <w:b/>
                <w:sz w:val="24"/>
                <w:szCs w:val="24"/>
              </w:rPr>
              <w:t>(n = 72)</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sz w:val="24"/>
                <w:szCs w:val="24"/>
                <w:lang w:eastAsia="en-GB"/>
              </w:rPr>
            </w:pPr>
            <w:r w:rsidRPr="00C32FFF">
              <w:rPr>
                <w:b/>
                <w:sz w:val="24"/>
                <w:szCs w:val="24"/>
              </w:rPr>
              <w:t>(n = 69)</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rPr>
                <w:sz w:val="24"/>
                <w:szCs w:val="24"/>
                <w:lang w:eastAsia="en-GB"/>
              </w:rPr>
            </w:pPr>
            <w:r w:rsidRPr="00C32FFF">
              <w:rPr>
                <w:sz w:val="24"/>
                <w:szCs w:val="24"/>
              </w:rPr>
              <w:t>Median (95 % CI)</w:t>
            </w:r>
            <w:r w:rsidRPr="00C32FFF">
              <w:rPr>
                <w:color w:val="000000"/>
                <w:sz w:val="24"/>
                <w:szCs w:val="24"/>
              </w:rPr>
              <w:t xml:space="preserve"> </w:t>
            </w:r>
          </w:p>
        </w:tc>
        <w:tc>
          <w:tcPr>
            <w:tcW w:w="1343"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color w:val="000000"/>
                <w:sz w:val="24"/>
                <w:szCs w:val="24"/>
                <w:lang w:eastAsia="en-GB"/>
              </w:rPr>
            </w:pPr>
            <w:r w:rsidRPr="00C32FFF">
              <w:rPr>
                <w:color w:val="000000"/>
                <w:sz w:val="24"/>
                <w:szCs w:val="24"/>
              </w:rPr>
              <w:t>5,9 (4,7; 8,8)</w:t>
            </w:r>
          </w:p>
        </w:tc>
        <w:tc>
          <w:tcPr>
            <w:tcW w:w="1750" w:type="pct"/>
            <w:tcBorders>
              <w:top w:val="outset" w:sz="6" w:space="0" w:color="auto"/>
              <w:left w:val="outset" w:sz="6" w:space="0" w:color="auto"/>
              <w:bottom w:val="outset" w:sz="6" w:space="0" w:color="auto"/>
              <w:right w:val="outset" w:sz="6" w:space="0" w:color="auto"/>
            </w:tcBorders>
            <w:hideMark/>
          </w:tcPr>
          <w:p w:rsidR="00E7345C" w:rsidRPr="00C32FFF" w:rsidRDefault="00E7345C" w:rsidP="00AC7458">
            <w:pPr>
              <w:keepNext/>
              <w:autoSpaceDE w:val="0"/>
              <w:autoSpaceDN w:val="0"/>
              <w:adjustRightInd w:val="0"/>
              <w:snapToGrid w:val="0"/>
              <w:jc w:val="center"/>
              <w:rPr>
                <w:color w:val="000000"/>
                <w:sz w:val="24"/>
                <w:szCs w:val="24"/>
                <w:lang w:eastAsia="en-GB"/>
              </w:rPr>
            </w:pPr>
            <w:r w:rsidRPr="00C32FFF">
              <w:rPr>
                <w:color w:val="000000"/>
                <w:sz w:val="24"/>
                <w:szCs w:val="24"/>
              </w:rPr>
              <w:t>7,9 (5,5; 10,9)</w:t>
            </w:r>
          </w:p>
        </w:tc>
      </w:tr>
      <w:tr w:rsidR="00E7345C" w:rsidRPr="00C32FFF" w:rsidTr="00E7345C">
        <w:trPr>
          <w:tblCellSpacing w:w="0" w:type="dxa"/>
        </w:trPr>
        <w:tc>
          <w:tcPr>
            <w:tcW w:w="1907" w:type="pct"/>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rPr>
                <w:sz w:val="24"/>
                <w:szCs w:val="24"/>
                <w:lang w:eastAsia="en-GB"/>
              </w:rPr>
            </w:pPr>
            <w:r w:rsidRPr="00C32FFF">
              <w:rPr>
                <w:sz w:val="24"/>
                <w:szCs w:val="24"/>
              </w:rPr>
              <w:t>Hazard ratio (95 % CI)</w:t>
            </w:r>
          </w:p>
        </w:tc>
        <w:tc>
          <w:tcPr>
            <w:tcW w:w="3093" w:type="pct"/>
            <w:gridSpan w:val="2"/>
            <w:tcBorders>
              <w:top w:val="outset" w:sz="6" w:space="0" w:color="auto"/>
              <w:left w:val="outset" w:sz="6" w:space="0" w:color="auto"/>
              <w:bottom w:val="outset" w:sz="6" w:space="0" w:color="auto"/>
              <w:right w:val="outset" w:sz="6" w:space="0" w:color="auto"/>
            </w:tcBorders>
            <w:hideMark/>
          </w:tcPr>
          <w:p w:rsidR="00E7345C" w:rsidRPr="00C32FFF" w:rsidRDefault="00E7345C" w:rsidP="00E7345C">
            <w:pPr>
              <w:autoSpaceDE w:val="0"/>
              <w:autoSpaceDN w:val="0"/>
              <w:adjustRightInd w:val="0"/>
              <w:snapToGrid w:val="0"/>
              <w:jc w:val="center"/>
              <w:rPr>
                <w:color w:val="000000"/>
                <w:sz w:val="24"/>
                <w:szCs w:val="24"/>
                <w:lang w:eastAsia="en-GB"/>
              </w:rPr>
            </w:pPr>
            <w:r w:rsidRPr="00C32FFF">
              <w:rPr>
                <w:color w:val="000000"/>
                <w:sz w:val="24"/>
                <w:szCs w:val="24"/>
              </w:rPr>
              <w:t>0,85 (0,59; 1,21)</w:t>
            </w:r>
          </w:p>
        </w:tc>
      </w:tr>
    </w:tbl>
    <w:p w:rsidR="006E56FB" w:rsidRPr="00C32FFF" w:rsidRDefault="006E56FB" w:rsidP="006E56FB">
      <w:pPr>
        <w:autoSpaceDE w:val="0"/>
        <w:autoSpaceDN w:val="0"/>
        <w:adjustRightInd w:val="0"/>
        <w:ind w:left="851" w:hanging="851"/>
        <w:rPr>
          <w:b/>
          <w:color w:val="000000"/>
          <w:sz w:val="24"/>
          <w:szCs w:val="24"/>
          <w:lang w:eastAsia="en-GB"/>
        </w:rPr>
      </w:pPr>
    </w:p>
    <w:p w:rsidR="006E56FB" w:rsidRPr="00C32FFF" w:rsidRDefault="006E56FB" w:rsidP="006E56FB">
      <w:pPr>
        <w:autoSpaceDE w:val="0"/>
        <w:autoSpaceDN w:val="0"/>
        <w:adjustRightInd w:val="0"/>
        <w:ind w:left="851"/>
        <w:rPr>
          <w:sz w:val="24"/>
          <w:szCs w:val="24"/>
        </w:rPr>
      </w:pPr>
      <w:r w:rsidRPr="00C32FFF">
        <w:rPr>
          <w:sz w:val="24"/>
          <w:szCs w:val="24"/>
        </w:rPr>
        <w:t>Hos patienter (n = 39) med recidiv inden for 180 dage efter kemoterapi/strålebehandling med cisplatin, var den mediane overlevelse i den gruppe, der fik topotecan plus cisplatin 4,6 måneder (95 % CI:</w:t>
      </w:r>
      <w:r w:rsidRPr="00C32FFF">
        <w:rPr>
          <w:color w:val="000000"/>
          <w:sz w:val="24"/>
          <w:szCs w:val="24"/>
        </w:rPr>
        <w:t xml:space="preserve"> </w:t>
      </w:r>
      <w:r w:rsidRPr="00C32FFF">
        <w:rPr>
          <w:sz w:val="24"/>
          <w:szCs w:val="24"/>
        </w:rPr>
        <w:t>2,6; 6,1) versus 4,5 måneder (95 % CI:</w:t>
      </w:r>
      <w:r w:rsidRPr="00C32FFF">
        <w:rPr>
          <w:color w:val="000000"/>
          <w:sz w:val="24"/>
          <w:szCs w:val="24"/>
        </w:rPr>
        <w:t xml:space="preserve"> </w:t>
      </w:r>
      <w:r w:rsidRPr="00C32FFF">
        <w:rPr>
          <w:sz w:val="24"/>
          <w:szCs w:val="24"/>
        </w:rPr>
        <w:t>2,9; 9,6) for gruppen med cisplatin med en hazard ratio på 1,15 (0,59; 2,23).</w:t>
      </w:r>
      <w:r w:rsidRPr="00C32FFF">
        <w:rPr>
          <w:color w:val="000000"/>
          <w:sz w:val="24"/>
          <w:szCs w:val="24"/>
        </w:rPr>
        <w:t xml:space="preserve"> </w:t>
      </w:r>
      <w:r w:rsidRPr="00C32FFF">
        <w:rPr>
          <w:sz w:val="24"/>
          <w:szCs w:val="24"/>
        </w:rPr>
        <w:t>Hos de patienter (n = 102) med recidiv efter 180 dage var medianoverlevelse</w:t>
      </w:r>
      <w:r>
        <w:rPr>
          <w:sz w:val="24"/>
          <w:szCs w:val="24"/>
        </w:rPr>
        <w:t>n</w:t>
      </w:r>
      <w:r w:rsidRPr="00C32FFF">
        <w:rPr>
          <w:sz w:val="24"/>
          <w:szCs w:val="24"/>
        </w:rPr>
        <w:t xml:space="preserve"> i den gruppe, der fik topotecan plus cisplatin</w:t>
      </w:r>
      <w:r>
        <w:rPr>
          <w:sz w:val="24"/>
          <w:szCs w:val="24"/>
        </w:rPr>
        <w:t>,</w:t>
      </w:r>
      <w:r w:rsidRPr="00C32FFF">
        <w:rPr>
          <w:sz w:val="24"/>
          <w:szCs w:val="24"/>
        </w:rPr>
        <w:t xml:space="preserve"> 9,9 måneder (95 % CI:</w:t>
      </w:r>
      <w:r w:rsidRPr="00C32FFF">
        <w:rPr>
          <w:color w:val="000000"/>
          <w:sz w:val="24"/>
          <w:szCs w:val="24"/>
        </w:rPr>
        <w:t xml:space="preserve"> </w:t>
      </w:r>
      <w:r w:rsidRPr="00C32FFF">
        <w:rPr>
          <w:sz w:val="24"/>
          <w:szCs w:val="24"/>
        </w:rPr>
        <w:t>7; 12,6) versus 6,3 måneder (95 % CI:</w:t>
      </w:r>
      <w:r w:rsidRPr="00C32FFF">
        <w:rPr>
          <w:color w:val="000000"/>
          <w:sz w:val="24"/>
          <w:szCs w:val="24"/>
        </w:rPr>
        <w:t xml:space="preserve"> </w:t>
      </w:r>
      <w:r w:rsidRPr="00C32FFF">
        <w:rPr>
          <w:sz w:val="24"/>
          <w:szCs w:val="24"/>
        </w:rPr>
        <w:t>4,9; 9,5) for gruppen med cisplatin med en hazard ratio på 0,75 (0,49; 1,16).</w:t>
      </w:r>
    </w:p>
    <w:p w:rsidR="006E56FB" w:rsidRPr="00C32FFF" w:rsidRDefault="006E56FB" w:rsidP="006E56FB">
      <w:pPr>
        <w:autoSpaceDE w:val="0"/>
        <w:autoSpaceDN w:val="0"/>
        <w:adjustRightInd w:val="0"/>
        <w:ind w:left="851" w:hanging="851"/>
        <w:rPr>
          <w:color w:val="000000"/>
          <w:sz w:val="24"/>
          <w:szCs w:val="24"/>
        </w:rPr>
      </w:pPr>
    </w:p>
    <w:p w:rsidR="006E56FB" w:rsidRPr="00746888" w:rsidRDefault="006E56FB" w:rsidP="006E56FB">
      <w:pPr>
        <w:autoSpaceDE w:val="0"/>
        <w:autoSpaceDN w:val="0"/>
        <w:adjustRightInd w:val="0"/>
        <w:ind w:left="851"/>
        <w:rPr>
          <w:i/>
          <w:color w:val="000000"/>
          <w:sz w:val="24"/>
          <w:szCs w:val="24"/>
          <w:u w:val="single"/>
        </w:rPr>
      </w:pPr>
      <w:r w:rsidRPr="00746888">
        <w:rPr>
          <w:i/>
          <w:sz w:val="24"/>
          <w:szCs w:val="24"/>
          <w:u w:val="single"/>
        </w:rPr>
        <w:t>Pædiatrisk population</w:t>
      </w:r>
    </w:p>
    <w:p w:rsidR="006E56FB" w:rsidRPr="00C32FFF" w:rsidRDefault="006E56FB" w:rsidP="006E56FB">
      <w:pPr>
        <w:autoSpaceDE w:val="0"/>
        <w:autoSpaceDN w:val="0"/>
        <w:adjustRightInd w:val="0"/>
        <w:ind w:left="851"/>
        <w:rPr>
          <w:color w:val="000000"/>
          <w:sz w:val="24"/>
          <w:szCs w:val="24"/>
        </w:rPr>
      </w:pPr>
      <w:r w:rsidRPr="00C32FFF">
        <w:rPr>
          <w:sz w:val="24"/>
          <w:szCs w:val="24"/>
        </w:rPr>
        <w:t>Topotecan er også evalueret i den pædiatriske population, men der foreligger kun begrænsede data om virkning og sikkerhed.</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 xml:space="preserve">I </w:t>
      </w:r>
      <w:r>
        <w:rPr>
          <w:sz w:val="24"/>
          <w:szCs w:val="24"/>
        </w:rPr>
        <w:t xml:space="preserve">et </w:t>
      </w:r>
      <w:r w:rsidRPr="00C32FFF">
        <w:rPr>
          <w:sz w:val="24"/>
          <w:szCs w:val="24"/>
        </w:rPr>
        <w:t>åben</w:t>
      </w:r>
      <w:r>
        <w:rPr>
          <w:sz w:val="24"/>
          <w:szCs w:val="24"/>
        </w:rPr>
        <w:t>t studie</w:t>
      </w:r>
      <w:r w:rsidRPr="00C32FFF">
        <w:rPr>
          <w:sz w:val="24"/>
          <w:szCs w:val="24"/>
        </w:rPr>
        <w:t xml:space="preserve"> hos børn (n = 108, aldersgruppe:</w:t>
      </w:r>
      <w:r w:rsidRPr="00C32FFF">
        <w:rPr>
          <w:color w:val="000000"/>
          <w:sz w:val="24"/>
          <w:szCs w:val="24"/>
        </w:rPr>
        <w:t xml:space="preserve"> </w:t>
      </w:r>
      <w:r w:rsidRPr="00C32FFF">
        <w:rPr>
          <w:sz w:val="24"/>
          <w:szCs w:val="24"/>
        </w:rPr>
        <w:t>spædbørn til 16 år) med recidiverende eller progredierende faste tumorer, blev topotecan givet i en startdosis på 2,0 mg/m</w:t>
      </w:r>
      <w:r w:rsidRPr="00C32FFF">
        <w:rPr>
          <w:sz w:val="24"/>
          <w:szCs w:val="24"/>
          <w:vertAlign w:val="superscript"/>
        </w:rPr>
        <w:t>2</w:t>
      </w:r>
      <w:r w:rsidRPr="00C32FFF">
        <w:rPr>
          <w:sz w:val="24"/>
          <w:szCs w:val="24"/>
        </w:rPr>
        <w:t>, som intravenøs infusion over 30 minutter i 5 dage. Behandlingen blev gentaget hver 3. uge i op til et år afhængig af behandlingsrespons.</w:t>
      </w:r>
      <w:r w:rsidRPr="00C32FFF">
        <w:rPr>
          <w:color w:val="000000"/>
          <w:sz w:val="24"/>
          <w:szCs w:val="24"/>
        </w:rPr>
        <w:t xml:space="preserve"> </w:t>
      </w:r>
      <w:r w:rsidRPr="00C32FFF">
        <w:rPr>
          <w:sz w:val="24"/>
          <w:szCs w:val="24"/>
        </w:rPr>
        <w:t>De inkluderede tumortyper var: Ewings sarkom/primitiv neuroektoderm tumor, neuroblastom, osteoblastom og rhabdomyosarkom.</w:t>
      </w:r>
      <w:r w:rsidRPr="00C32FFF">
        <w:rPr>
          <w:color w:val="000000"/>
          <w:sz w:val="24"/>
          <w:szCs w:val="24"/>
        </w:rPr>
        <w:t xml:space="preserve"> </w:t>
      </w:r>
      <w:r w:rsidRPr="00C32FFF">
        <w:rPr>
          <w:sz w:val="24"/>
          <w:szCs w:val="24"/>
        </w:rPr>
        <w:t>Der blev primært påvist antitumoraktivitet hos patienter med neuroblastom.</w:t>
      </w:r>
      <w:r w:rsidRPr="00C32FFF">
        <w:rPr>
          <w:color w:val="000000"/>
          <w:sz w:val="24"/>
          <w:szCs w:val="24"/>
        </w:rPr>
        <w:t xml:space="preserve"> </w:t>
      </w:r>
      <w:r w:rsidRPr="00C32FFF">
        <w:rPr>
          <w:sz w:val="24"/>
          <w:szCs w:val="24"/>
        </w:rPr>
        <w:t>Toksiciteten af topotecan hos pædiatriske patienter med recidiverende og refraktære faste tumorer svarer til, hvad der tidligere er set for voksne patienter.</w:t>
      </w:r>
      <w:r w:rsidRPr="00C32FFF">
        <w:rPr>
          <w:color w:val="000000"/>
          <w:sz w:val="24"/>
          <w:szCs w:val="24"/>
        </w:rPr>
        <w:t xml:space="preserve"> </w:t>
      </w:r>
      <w:r w:rsidRPr="00C32FFF">
        <w:rPr>
          <w:sz w:val="24"/>
          <w:szCs w:val="24"/>
        </w:rPr>
        <w:t xml:space="preserve">I </w:t>
      </w:r>
      <w:r>
        <w:rPr>
          <w:sz w:val="24"/>
          <w:szCs w:val="24"/>
        </w:rPr>
        <w:t>dette studie</w:t>
      </w:r>
      <w:r w:rsidRPr="00C32FFF">
        <w:rPr>
          <w:sz w:val="24"/>
          <w:szCs w:val="24"/>
        </w:rPr>
        <w:t xml:space="preserve"> fik 46 patienter (43 %) G-CSF i 192 (42,1 %) behandlingsforløb; 65 (60 %) fik transfusion af pakkede røde blodlegemer</w:t>
      </w:r>
      <w:r>
        <w:rPr>
          <w:sz w:val="24"/>
          <w:szCs w:val="24"/>
        </w:rPr>
        <w:t>,</w:t>
      </w:r>
      <w:r w:rsidRPr="00C32FFF">
        <w:rPr>
          <w:sz w:val="24"/>
          <w:szCs w:val="24"/>
        </w:rPr>
        <w:t xml:space="preserve"> og 50 (46 %) fik transfusion af trombocytter i hhv. 139 og 159 behandlingsforløb (30,5 % og 34.9 %).</w:t>
      </w:r>
      <w:r w:rsidRPr="00C32FFF">
        <w:rPr>
          <w:color w:val="000000"/>
          <w:sz w:val="24"/>
          <w:szCs w:val="24"/>
        </w:rPr>
        <w:t xml:space="preserve"> </w:t>
      </w:r>
      <w:r w:rsidRPr="00C32FFF">
        <w:rPr>
          <w:sz w:val="24"/>
          <w:szCs w:val="24"/>
        </w:rPr>
        <w:t>I en farmakologisk undersøgelse af pædiatriske patienter med refraktære faste tumorer blev den maksimalt tolererede dosis (MTD) fastsat til 2,0 mg/m</w:t>
      </w:r>
      <w:r w:rsidRPr="00C32FFF">
        <w:rPr>
          <w:sz w:val="24"/>
          <w:szCs w:val="24"/>
          <w:vertAlign w:val="superscript"/>
        </w:rPr>
        <w:t>2</w:t>
      </w:r>
      <w:r w:rsidRPr="00C32FFF">
        <w:rPr>
          <w:sz w:val="24"/>
          <w:szCs w:val="24"/>
        </w:rPr>
        <w:t>/dag med G-CSF og 1,4 mg/m</w:t>
      </w:r>
      <w:r w:rsidRPr="00C32FFF">
        <w:rPr>
          <w:sz w:val="24"/>
          <w:szCs w:val="24"/>
          <w:vertAlign w:val="superscript"/>
        </w:rPr>
        <w:t>2</w:t>
      </w:r>
      <w:r w:rsidRPr="00C32FFF">
        <w:rPr>
          <w:sz w:val="24"/>
          <w:szCs w:val="24"/>
        </w:rPr>
        <w:t>/dag uden G-CSF på baggrund af den dosisbegrænsende toksicitet af myelosuppression (se pkt. 5.2).</w:t>
      </w:r>
    </w:p>
    <w:p w:rsidR="006E56FB" w:rsidRPr="00C32FFF" w:rsidRDefault="006E56FB" w:rsidP="006E56FB">
      <w:pPr>
        <w:tabs>
          <w:tab w:val="left" w:pos="851"/>
        </w:tabs>
        <w:ind w:left="851" w:hanging="851"/>
        <w:rPr>
          <w:sz w:val="24"/>
          <w:szCs w:val="24"/>
        </w:rPr>
      </w:pPr>
    </w:p>
    <w:p w:rsidR="006E56FB" w:rsidRPr="00C32FFF" w:rsidRDefault="006E56FB" w:rsidP="006E56FB">
      <w:pPr>
        <w:numPr>
          <w:ilvl w:val="1"/>
          <w:numId w:val="3"/>
        </w:numPr>
        <w:ind w:left="851" w:hanging="851"/>
        <w:rPr>
          <w:b/>
          <w:sz w:val="24"/>
          <w:szCs w:val="24"/>
        </w:rPr>
      </w:pPr>
      <w:r w:rsidRPr="00C32FFF">
        <w:rPr>
          <w:b/>
          <w:sz w:val="24"/>
          <w:szCs w:val="24"/>
        </w:rPr>
        <w:t>Farmakokinetiske egenskaber</w:t>
      </w:r>
    </w:p>
    <w:p w:rsidR="006E56FB" w:rsidRDefault="006E56FB" w:rsidP="006E56FB">
      <w:pPr>
        <w:autoSpaceDE w:val="0"/>
        <w:autoSpaceDN w:val="0"/>
        <w:adjustRightInd w:val="0"/>
        <w:ind w:left="851"/>
        <w:rPr>
          <w:sz w:val="24"/>
          <w:szCs w:val="24"/>
          <w:u w:val="single"/>
        </w:rPr>
      </w:pPr>
    </w:p>
    <w:p w:rsidR="006E56FB" w:rsidRPr="00BE3D78" w:rsidRDefault="006E56FB" w:rsidP="006E56FB">
      <w:pPr>
        <w:autoSpaceDE w:val="0"/>
        <w:autoSpaceDN w:val="0"/>
        <w:adjustRightInd w:val="0"/>
        <w:ind w:left="851"/>
        <w:rPr>
          <w:sz w:val="24"/>
          <w:szCs w:val="24"/>
          <w:u w:val="single"/>
        </w:rPr>
      </w:pPr>
      <w:r w:rsidRPr="00BE3D78">
        <w:rPr>
          <w:sz w:val="24"/>
          <w:szCs w:val="24"/>
          <w:u w:val="single"/>
        </w:rPr>
        <w:t>Fordeling</w:t>
      </w:r>
    </w:p>
    <w:p w:rsidR="006E56FB" w:rsidRPr="00BE3D78" w:rsidRDefault="006E56FB" w:rsidP="00E7345C">
      <w:pPr>
        <w:autoSpaceDE w:val="0"/>
        <w:autoSpaceDN w:val="0"/>
        <w:adjustRightInd w:val="0"/>
        <w:ind w:left="851"/>
        <w:rPr>
          <w:sz w:val="24"/>
          <w:szCs w:val="24"/>
        </w:rPr>
      </w:pPr>
      <w:r w:rsidRPr="00BE3D78">
        <w:rPr>
          <w:sz w:val="24"/>
          <w:szCs w:val="24"/>
        </w:rPr>
        <w:t>Topotecan havde en høj plasmaclearance på 62 l/t (SD 22) efter intravenøs indgivelse af topotecan med doser på 0,5 til 1,5 mg/m</w:t>
      </w:r>
      <w:r w:rsidRPr="00BE3D78">
        <w:rPr>
          <w:sz w:val="24"/>
          <w:szCs w:val="24"/>
          <w:vertAlign w:val="superscript"/>
        </w:rPr>
        <w:t>2</w:t>
      </w:r>
      <w:r w:rsidRPr="00BE3D78">
        <w:rPr>
          <w:sz w:val="24"/>
          <w:szCs w:val="24"/>
        </w:rPr>
        <w:t xml:space="preserve"> givet som en 30-minutters infusion dagligt i 5 dage. Det svarer til ca. 2/3 af blodgennemstrømningen gennem leveren.</w:t>
      </w:r>
      <w:r w:rsidRPr="00BE3D78">
        <w:rPr>
          <w:color w:val="000000"/>
          <w:sz w:val="24"/>
          <w:szCs w:val="24"/>
        </w:rPr>
        <w:t xml:space="preserve"> </w:t>
      </w:r>
      <w:r w:rsidRPr="00BE3D78">
        <w:rPr>
          <w:sz w:val="24"/>
          <w:szCs w:val="24"/>
        </w:rPr>
        <w:t>Topotecan havde ligeledes et højt distributionsvolumen på omkring 132 l (SD 57) og en relativ kort halveringstid på 2 - 3 timer.</w:t>
      </w:r>
      <w:r w:rsidRPr="00BE3D78">
        <w:rPr>
          <w:color w:val="000000"/>
          <w:sz w:val="24"/>
          <w:szCs w:val="24"/>
        </w:rPr>
        <w:t xml:space="preserve"> </w:t>
      </w:r>
      <w:r w:rsidRPr="00BE3D78">
        <w:rPr>
          <w:sz w:val="24"/>
          <w:szCs w:val="24"/>
        </w:rPr>
        <w:t>En sammenligning af de farmakokinetiske parametre tydede ikke på farmakokinetiske ændringer i løbet af de 5 doseringsdage.</w:t>
      </w:r>
      <w:r w:rsidRPr="00BE3D78">
        <w:rPr>
          <w:color w:val="000000"/>
          <w:sz w:val="24"/>
          <w:szCs w:val="24"/>
        </w:rPr>
        <w:t xml:space="preserve"> </w:t>
      </w:r>
      <w:r w:rsidRPr="00BE3D78">
        <w:rPr>
          <w:sz w:val="24"/>
          <w:szCs w:val="24"/>
        </w:rPr>
        <w:t>Arealet under kurven øgedes omtrent i proportionalt med dosisforøgelsen.</w:t>
      </w:r>
      <w:r w:rsidRPr="00BE3D78">
        <w:rPr>
          <w:color w:val="000000"/>
          <w:sz w:val="24"/>
          <w:szCs w:val="24"/>
        </w:rPr>
        <w:t xml:space="preserve"> </w:t>
      </w:r>
      <w:r w:rsidRPr="00BE3D78">
        <w:rPr>
          <w:sz w:val="24"/>
          <w:szCs w:val="24"/>
        </w:rPr>
        <w:t>Der er ringe eller ingen akkumulering af topotecan efter gentagen daglig dosering, og der er ingen tegn på ændringer i farmakokinetikken efter flere doser.</w:t>
      </w:r>
      <w:r w:rsidRPr="00BE3D78">
        <w:rPr>
          <w:color w:val="000000"/>
          <w:sz w:val="24"/>
          <w:szCs w:val="24"/>
        </w:rPr>
        <w:t xml:space="preserve"> </w:t>
      </w:r>
      <w:r w:rsidRPr="00BE3D78">
        <w:rPr>
          <w:sz w:val="24"/>
          <w:szCs w:val="24"/>
        </w:rPr>
        <w:t>Prækliniske undersøgelser indikerer, at topotecans plasmaproteinbinding er lav (35 %), og at fordelingen mellem blodceller og plasma er ret homogen.</w:t>
      </w:r>
    </w:p>
    <w:p w:rsidR="006E56FB" w:rsidRPr="00BE3D78" w:rsidRDefault="006E56FB" w:rsidP="006E56FB">
      <w:pPr>
        <w:autoSpaceDE w:val="0"/>
        <w:autoSpaceDN w:val="0"/>
        <w:adjustRightInd w:val="0"/>
        <w:ind w:left="851"/>
        <w:rPr>
          <w:sz w:val="24"/>
          <w:szCs w:val="24"/>
        </w:rPr>
      </w:pPr>
    </w:p>
    <w:p w:rsidR="006E56FB" w:rsidRPr="00BE3D78" w:rsidRDefault="006E56FB" w:rsidP="006E56FB">
      <w:pPr>
        <w:autoSpaceDE w:val="0"/>
        <w:autoSpaceDN w:val="0"/>
        <w:adjustRightInd w:val="0"/>
        <w:ind w:left="851"/>
        <w:rPr>
          <w:sz w:val="24"/>
          <w:szCs w:val="24"/>
        </w:rPr>
      </w:pPr>
      <w:r w:rsidRPr="00BE3D78">
        <w:rPr>
          <w:color w:val="000000"/>
          <w:sz w:val="24"/>
          <w:szCs w:val="24"/>
          <w:u w:val="single"/>
        </w:rPr>
        <w:lastRenderedPageBreak/>
        <w:t>Biotransformation</w:t>
      </w:r>
    </w:p>
    <w:p w:rsidR="006E56FB" w:rsidRPr="00BE3D78" w:rsidRDefault="006E56FB" w:rsidP="006E56FB">
      <w:pPr>
        <w:autoSpaceDE w:val="0"/>
        <w:autoSpaceDN w:val="0"/>
        <w:adjustRightInd w:val="0"/>
        <w:ind w:left="851"/>
        <w:rPr>
          <w:sz w:val="24"/>
          <w:szCs w:val="24"/>
        </w:rPr>
      </w:pPr>
      <w:r w:rsidRPr="00BE3D78">
        <w:rPr>
          <w:sz w:val="24"/>
          <w:szCs w:val="24"/>
        </w:rPr>
        <w:t>Elimineringen af topotecan er kun delvist undersøgt hos mennesker.</w:t>
      </w:r>
      <w:r w:rsidRPr="00BE3D78">
        <w:rPr>
          <w:color w:val="000000"/>
          <w:sz w:val="24"/>
          <w:szCs w:val="24"/>
        </w:rPr>
        <w:t xml:space="preserve"> </w:t>
      </w:r>
      <w:r w:rsidRPr="00BE3D78">
        <w:rPr>
          <w:sz w:val="24"/>
          <w:szCs w:val="24"/>
        </w:rPr>
        <w:t>Hydrolyse af laktonringen med dannelse af et ringåbnet carboxylat er en vigtig udskillelsesvej for topotecan.</w:t>
      </w:r>
    </w:p>
    <w:p w:rsidR="006E56FB" w:rsidRPr="00BE3D78" w:rsidRDefault="006E56FB" w:rsidP="006E56FB">
      <w:pPr>
        <w:autoSpaceDE w:val="0"/>
        <w:autoSpaceDN w:val="0"/>
        <w:adjustRightInd w:val="0"/>
        <w:ind w:left="851"/>
        <w:rPr>
          <w:color w:val="000000"/>
          <w:sz w:val="24"/>
          <w:szCs w:val="24"/>
        </w:rPr>
      </w:pPr>
    </w:p>
    <w:p w:rsidR="006E56FB" w:rsidRPr="00BE3D78" w:rsidRDefault="006E56FB" w:rsidP="006E56FB">
      <w:pPr>
        <w:autoSpaceDE w:val="0"/>
        <w:autoSpaceDN w:val="0"/>
        <w:adjustRightInd w:val="0"/>
        <w:ind w:left="851"/>
        <w:rPr>
          <w:sz w:val="24"/>
          <w:szCs w:val="24"/>
        </w:rPr>
      </w:pPr>
      <w:r w:rsidRPr="00BE3D78">
        <w:rPr>
          <w:sz w:val="24"/>
          <w:szCs w:val="24"/>
        </w:rPr>
        <w:t>Under 10 % topotecan udskilles via metabolisering.</w:t>
      </w:r>
      <w:r w:rsidRPr="00BE3D78">
        <w:rPr>
          <w:color w:val="000000"/>
          <w:sz w:val="24"/>
          <w:szCs w:val="24"/>
        </w:rPr>
        <w:t xml:space="preserve"> </w:t>
      </w:r>
      <w:r w:rsidRPr="00BE3D78">
        <w:rPr>
          <w:sz w:val="24"/>
          <w:szCs w:val="24"/>
        </w:rPr>
        <w:t>I urin, plasma og fæces er der fundet en N-desmethylmetabolit, som i en cellebaseret assay har vist sig at have samme eller mindre aktivitet end udgangsstoffet.</w:t>
      </w:r>
      <w:r w:rsidRPr="00BE3D78">
        <w:rPr>
          <w:color w:val="000000"/>
          <w:sz w:val="24"/>
          <w:szCs w:val="24"/>
        </w:rPr>
        <w:t xml:space="preserve"> </w:t>
      </w:r>
      <w:r w:rsidRPr="00BE3D78">
        <w:rPr>
          <w:sz w:val="24"/>
          <w:szCs w:val="24"/>
        </w:rPr>
        <w:t>Det gennemsnitlige forhold mellem hovedmetabolittens og udgangsstoffets AUC var  &lt; 10 % for både total topotecan og topotecanlakton.</w:t>
      </w:r>
      <w:r w:rsidRPr="00BE3D78">
        <w:rPr>
          <w:color w:val="000000"/>
          <w:sz w:val="24"/>
          <w:szCs w:val="24"/>
        </w:rPr>
        <w:t xml:space="preserve"> </w:t>
      </w:r>
      <w:r w:rsidRPr="00BE3D78">
        <w:rPr>
          <w:sz w:val="24"/>
          <w:szCs w:val="24"/>
        </w:rPr>
        <w:t>Der er fundet en O-glucuroniseret metabolit af topotecan og N-desmethyltopotecan i urinen.</w:t>
      </w:r>
    </w:p>
    <w:p w:rsidR="006E56FB" w:rsidRPr="00BE3D78" w:rsidRDefault="006E56FB" w:rsidP="006E56FB">
      <w:pPr>
        <w:autoSpaceDE w:val="0"/>
        <w:autoSpaceDN w:val="0"/>
        <w:adjustRightInd w:val="0"/>
        <w:ind w:left="851"/>
        <w:rPr>
          <w:sz w:val="24"/>
          <w:szCs w:val="24"/>
        </w:rPr>
      </w:pPr>
    </w:p>
    <w:p w:rsidR="006E56FB" w:rsidRPr="00BE3D78" w:rsidRDefault="006E56FB" w:rsidP="006E56FB">
      <w:pPr>
        <w:autoSpaceDE w:val="0"/>
        <w:autoSpaceDN w:val="0"/>
        <w:adjustRightInd w:val="0"/>
        <w:ind w:left="851"/>
        <w:rPr>
          <w:sz w:val="24"/>
          <w:szCs w:val="24"/>
        </w:rPr>
      </w:pPr>
      <w:r w:rsidRPr="00BE3D78">
        <w:rPr>
          <w:color w:val="000000"/>
          <w:sz w:val="24"/>
          <w:szCs w:val="24"/>
          <w:u w:val="single"/>
        </w:rPr>
        <w:t>Elimination</w:t>
      </w:r>
    </w:p>
    <w:p w:rsidR="006E56FB" w:rsidRPr="00BE3D78" w:rsidRDefault="006E56FB" w:rsidP="006E56FB">
      <w:pPr>
        <w:autoSpaceDE w:val="0"/>
        <w:autoSpaceDN w:val="0"/>
        <w:adjustRightInd w:val="0"/>
        <w:ind w:left="851"/>
        <w:rPr>
          <w:sz w:val="24"/>
          <w:szCs w:val="24"/>
        </w:rPr>
      </w:pPr>
      <w:r w:rsidRPr="00BE3D78">
        <w:rPr>
          <w:sz w:val="24"/>
          <w:szCs w:val="24"/>
        </w:rPr>
        <w:t>Efter fem daglige topotecandoser blev der i alt genfundet 71 til 76 % af topotecan-materiale fra den indgivne intravenøse dosis.</w:t>
      </w:r>
      <w:r w:rsidRPr="00BE3D78">
        <w:rPr>
          <w:color w:val="000000"/>
          <w:sz w:val="24"/>
          <w:szCs w:val="24"/>
        </w:rPr>
        <w:t xml:space="preserve"> </w:t>
      </w:r>
      <w:r w:rsidRPr="00BE3D78">
        <w:rPr>
          <w:sz w:val="24"/>
          <w:szCs w:val="24"/>
        </w:rPr>
        <w:t>Ca. 51 % blev udskilt som total topotecan og 3 % blev udskilt som N-desmethyl topotecan i urinen.</w:t>
      </w:r>
      <w:r w:rsidRPr="00BE3D78">
        <w:rPr>
          <w:color w:val="000000"/>
          <w:sz w:val="24"/>
          <w:szCs w:val="24"/>
        </w:rPr>
        <w:t xml:space="preserve"> </w:t>
      </w:r>
      <w:r w:rsidRPr="00BE3D78">
        <w:rPr>
          <w:sz w:val="24"/>
          <w:szCs w:val="24"/>
        </w:rPr>
        <w:t>Udskillelsen af total topotecan med fæces udgjorde 18 %, mens den fækale eliminering af N-desmethyltopotecan var 1,7 %.</w:t>
      </w:r>
      <w:r w:rsidRPr="00BE3D78">
        <w:rPr>
          <w:color w:val="000000"/>
          <w:sz w:val="24"/>
          <w:szCs w:val="24"/>
        </w:rPr>
        <w:t xml:space="preserve"> </w:t>
      </w:r>
      <w:r w:rsidRPr="00BE3D78">
        <w:rPr>
          <w:sz w:val="24"/>
          <w:szCs w:val="24"/>
        </w:rPr>
        <w:t>Samlet set bidrog N-desmethylmetabolitten med mindre end 7 % (interval 4 - 9 %) af det totale lægemiddelrelaterede materiale, som blev genfundet i urin og fæces.</w:t>
      </w:r>
      <w:r w:rsidRPr="00BE3D78">
        <w:rPr>
          <w:color w:val="000000"/>
          <w:sz w:val="24"/>
          <w:szCs w:val="24"/>
        </w:rPr>
        <w:t xml:space="preserve"> </w:t>
      </w:r>
      <w:r w:rsidRPr="00BE3D78">
        <w:rPr>
          <w:sz w:val="24"/>
          <w:szCs w:val="24"/>
        </w:rPr>
        <w:t>Topotecan-O-glucuronid og N-desmethyltopotecan-O-glucuronid i urinen udgjorde mindre end 2,0 %.</w:t>
      </w:r>
    </w:p>
    <w:p w:rsidR="006E56FB" w:rsidRPr="00BE3D78" w:rsidRDefault="006E56FB" w:rsidP="006E56FB">
      <w:pPr>
        <w:autoSpaceDE w:val="0"/>
        <w:autoSpaceDN w:val="0"/>
        <w:adjustRightInd w:val="0"/>
        <w:ind w:left="851"/>
        <w:rPr>
          <w:color w:val="000000"/>
          <w:sz w:val="24"/>
          <w:szCs w:val="24"/>
        </w:rPr>
      </w:pPr>
    </w:p>
    <w:p w:rsidR="006E56FB" w:rsidRPr="00BE3D78" w:rsidRDefault="006E56FB" w:rsidP="006E56FB">
      <w:pPr>
        <w:autoSpaceDE w:val="0"/>
        <w:autoSpaceDN w:val="0"/>
        <w:adjustRightInd w:val="0"/>
        <w:ind w:left="851"/>
        <w:rPr>
          <w:sz w:val="24"/>
          <w:szCs w:val="24"/>
        </w:rPr>
      </w:pPr>
      <w:r w:rsidRPr="00BE3D78">
        <w:rPr>
          <w:i/>
          <w:sz w:val="24"/>
          <w:szCs w:val="24"/>
        </w:rPr>
        <w:t xml:space="preserve">In vitro </w:t>
      </w:r>
      <w:r w:rsidRPr="00BE3D78">
        <w:rPr>
          <w:sz w:val="24"/>
          <w:szCs w:val="24"/>
        </w:rPr>
        <w:t>data fra humane levermikrosomer tyder på dannelsen af små mængder N-demethyleret topotecan.</w:t>
      </w:r>
      <w:r w:rsidRPr="00BE3D78">
        <w:rPr>
          <w:color w:val="000000"/>
          <w:sz w:val="24"/>
          <w:szCs w:val="24"/>
        </w:rPr>
        <w:t xml:space="preserve"> </w:t>
      </w:r>
      <w:r w:rsidRPr="00BE3D78">
        <w:rPr>
          <w:i/>
          <w:sz w:val="24"/>
          <w:szCs w:val="24"/>
        </w:rPr>
        <w:t>In vitro</w:t>
      </w:r>
      <w:r w:rsidRPr="00BE3D78">
        <w:rPr>
          <w:sz w:val="24"/>
          <w:szCs w:val="24"/>
        </w:rPr>
        <w:t xml:space="preserve"> hæmmede topotecan hverken de humane P450-enzymer CYP1A2, CYP2A6, CYP2C8/9, CYP2C19, CYP2D6, CYP2E, CYP3A eller CYP4A eller de humane cytosoliske enzymer dihydropyrimidin eller xanthinoxidase.</w:t>
      </w:r>
    </w:p>
    <w:p w:rsidR="006E56FB" w:rsidRPr="00BE3D78" w:rsidRDefault="006E56FB" w:rsidP="006E56FB">
      <w:pPr>
        <w:autoSpaceDE w:val="0"/>
        <w:autoSpaceDN w:val="0"/>
        <w:adjustRightInd w:val="0"/>
        <w:ind w:left="851"/>
        <w:rPr>
          <w:color w:val="000000"/>
          <w:sz w:val="24"/>
          <w:szCs w:val="24"/>
        </w:rPr>
      </w:pPr>
    </w:p>
    <w:p w:rsidR="006E56FB" w:rsidRPr="00BE3D78" w:rsidRDefault="006E56FB" w:rsidP="006E56FB">
      <w:pPr>
        <w:autoSpaceDE w:val="0"/>
        <w:autoSpaceDN w:val="0"/>
        <w:adjustRightInd w:val="0"/>
        <w:ind w:left="851"/>
        <w:rPr>
          <w:sz w:val="24"/>
          <w:szCs w:val="24"/>
        </w:rPr>
      </w:pPr>
      <w:r w:rsidRPr="00BE3D78">
        <w:rPr>
          <w:sz w:val="24"/>
          <w:szCs w:val="24"/>
        </w:rPr>
        <w:t>Ved indgivelse i kombination med cisplatin (cisplatin på dag 1, topotecan på dag 1 til 5) blev topotecans clearance reduceret på dag 5 sammenlignet med dag 1 (19,1 l/t/m</w:t>
      </w:r>
      <w:r w:rsidRPr="00BE3D78">
        <w:rPr>
          <w:sz w:val="24"/>
          <w:szCs w:val="24"/>
          <w:vertAlign w:val="superscript"/>
        </w:rPr>
        <w:t>2</w:t>
      </w:r>
      <w:r w:rsidRPr="00BE3D78">
        <w:rPr>
          <w:sz w:val="24"/>
          <w:szCs w:val="24"/>
        </w:rPr>
        <w:t xml:space="preserve"> sammenlignet med 21,3 l/t/m</w:t>
      </w:r>
      <w:r w:rsidRPr="00BE3D78">
        <w:rPr>
          <w:sz w:val="24"/>
          <w:szCs w:val="24"/>
          <w:vertAlign w:val="superscript"/>
        </w:rPr>
        <w:t>2</w:t>
      </w:r>
      <w:r w:rsidRPr="00BE3D78">
        <w:rPr>
          <w:sz w:val="24"/>
          <w:szCs w:val="24"/>
        </w:rPr>
        <w:t xml:space="preserve"> [n = 9]) (se pkt. 4.5).</w:t>
      </w:r>
    </w:p>
    <w:p w:rsidR="006E56FB" w:rsidRPr="00BE3D78" w:rsidRDefault="006E56FB" w:rsidP="006E56FB">
      <w:pPr>
        <w:autoSpaceDE w:val="0"/>
        <w:autoSpaceDN w:val="0"/>
        <w:adjustRightInd w:val="0"/>
        <w:ind w:left="851"/>
        <w:rPr>
          <w:sz w:val="24"/>
          <w:szCs w:val="24"/>
        </w:rPr>
      </w:pPr>
    </w:p>
    <w:p w:rsidR="006E56FB" w:rsidRDefault="006E56FB" w:rsidP="006E56FB">
      <w:pPr>
        <w:autoSpaceDE w:val="0"/>
        <w:autoSpaceDN w:val="0"/>
        <w:adjustRightInd w:val="0"/>
        <w:ind w:left="851"/>
      </w:pPr>
      <w:r>
        <w:t xml:space="preserve">Særlige patientgrupper </w:t>
      </w:r>
    </w:p>
    <w:p w:rsidR="006E56FB" w:rsidRPr="00BE3D78" w:rsidRDefault="006E56FB" w:rsidP="006E56FB">
      <w:pPr>
        <w:autoSpaceDE w:val="0"/>
        <w:autoSpaceDN w:val="0"/>
        <w:adjustRightInd w:val="0"/>
        <w:ind w:left="851"/>
        <w:rPr>
          <w:color w:val="000000"/>
          <w:sz w:val="24"/>
          <w:szCs w:val="24"/>
          <w:u w:val="single"/>
        </w:rPr>
      </w:pPr>
      <w:r w:rsidRPr="00BE3D78">
        <w:rPr>
          <w:i/>
          <w:iCs/>
          <w:sz w:val="24"/>
          <w:szCs w:val="24"/>
          <w:u w:val="single"/>
        </w:rPr>
        <w:t>Nedsat leverfunktion</w:t>
      </w:r>
    </w:p>
    <w:p w:rsidR="006E56FB" w:rsidRPr="00BE3D78" w:rsidRDefault="006E56FB" w:rsidP="006E56FB">
      <w:pPr>
        <w:autoSpaceDE w:val="0"/>
        <w:autoSpaceDN w:val="0"/>
        <w:adjustRightInd w:val="0"/>
        <w:ind w:left="851"/>
        <w:rPr>
          <w:sz w:val="24"/>
          <w:szCs w:val="24"/>
        </w:rPr>
      </w:pPr>
      <w:r w:rsidRPr="00BE3D78">
        <w:rPr>
          <w:sz w:val="24"/>
          <w:szCs w:val="24"/>
        </w:rPr>
        <w:t>Plasmaclearance hos patienter med nedsat leverfunktion (serum-bilirubin mellem 1,5 og 10 mg/dl) faldt til ca. 67 %, sammenlignet med en kontrolgruppe af patienter.</w:t>
      </w:r>
      <w:r w:rsidRPr="00BE3D78">
        <w:rPr>
          <w:color w:val="000000"/>
          <w:sz w:val="24"/>
          <w:szCs w:val="24"/>
        </w:rPr>
        <w:t xml:space="preserve"> </w:t>
      </w:r>
      <w:r w:rsidRPr="00BE3D78">
        <w:rPr>
          <w:sz w:val="24"/>
          <w:szCs w:val="24"/>
        </w:rPr>
        <w:t>Topotecans halveringstid steg med ca. 30 %, men der blev ikke set nogen klar ændring i fordelingsvoluminet.</w:t>
      </w:r>
      <w:r w:rsidRPr="00BE3D78">
        <w:rPr>
          <w:color w:val="000000"/>
          <w:sz w:val="24"/>
          <w:szCs w:val="24"/>
        </w:rPr>
        <w:t xml:space="preserve"> </w:t>
      </w:r>
      <w:r w:rsidRPr="00BE3D78">
        <w:rPr>
          <w:sz w:val="24"/>
          <w:szCs w:val="24"/>
        </w:rPr>
        <w:t>Sammenlignet med kontrolgruppen af patienter faldt plasmaclearance af total topotecan (aktiv og inaktiv form) hos patienter med nedsat leverfunktion kun med omkring 10 %.</w:t>
      </w:r>
    </w:p>
    <w:p w:rsidR="006E56FB" w:rsidRPr="00BE3D78" w:rsidRDefault="006E56FB" w:rsidP="006E56FB">
      <w:pPr>
        <w:autoSpaceDE w:val="0"/>
        <w:autoSpaceDN w:val="0"/>
        <w:adjustRightInd w:val="0"/>
        <w:ind w:left="851"/>
        <w:rPr>
          <w:color w:val="000000"/>
          <w:sz w:val="24"/>
          <w:szCs w:val="24"/>
        </w:rPr>
      </w:pPr>
    </w:p>
    <w:p w:rsidR="006E56FB" w:rsidRPr="00BE3D78" w:rsidRDefault="006E56FB" w:rsidP="006E56FB">
      <w:pPr>
        <w:autoSpaceDE w:val="0"/>
        <w:autoSpaceDN w:val="0"/>
        <w:adjustRightInd w:val="0"/>
        <w:ind w:left="851"/>
        <w:rPr>
          <w:color w:val="000000"/>
          <w:sz w:val="24"/>
          <w:szCs w:val="24"/>
          <w:u w:val="single"/>
        </w:rPr>
      </w:pPr>
      <w:r w:rsidRPr="00BE3D78">
        <w:rPr>
          <w:i/>
          <w:iCs/>
          <w:sz w:val="24"/>
          <w:szCs w:val="24"/>
          <w:u w:val="single"/>
        </w:rPr>
        <w:t>Nedsat nyrefunktion</w:t>
      </w:r>
    </w:p>
    <w:p w:rsidR="006E56FB" w:rsidRPr="00BE3D78" w:rsidRDefault="006E56FB" w:rsidP="006E56FB">
      <w:pPr>
        <w:autoSpaceDE w:val="0"/>
        <w:autoSpaceDN w:val="0"/>
        <w:adjustRightInd w:val="0"/>
        <w:ind w:left="851"/>
        <w:rPr>
          <w:sz w:val="24"/>
          <w:szCs w:val="24"/>
        </w:rPr>
      </w:pPr>
      <w:r w:rsidRPr="00BE3D78">
        <w:rPr>
          <w:sz w:val="24"/>
          <w:szCs w:val="24"/>
        </w:rPr>
        <w:t>Plasmaclearance hos patienter med nedsat nyrefunktion (kreatinin-clearance 41 - 60 ml/min) faldt til omkring 67 % sammenlignet med en kontrolgruppe af patienter.</w:t>
      </w:r>
      <w:r w:rsidRPr="00BE3D78">
        <w:rPr>
          <w:color w:val="000000"/>
          <w:sz w:val="24"/>
          <w:szCs w:val="24"/>
        </w:rPr>
        <w:t xml:space="preserve"> </w:t>
      </w:r>
      <w:r w:rsidRPr="00BE3D78">
        <w:rPr>
          <w:sz w:val="24"/>
          <w:szCs w:val="24"/>
        </w:rPr>
        <w:t>Fordelingsvoluminet var let nedsat, hvorved halveringstiden kun steg med 14 %.</w:t>
      </w:r>
      <w:r w:rsidRPr="00BE3D78">
        <w:rPr>
          <w:color w:val="000000"/>
          <w:sz w:val="24"/>
          <w:szCs w:val="24"/>
        </w:rPr>
        <w:t xml:space="preserve"> </w:t>
      </w:r>
      <w:r w:rsidRPr="00BE3D78">
        <w:rPr>
          <w:sz w:val="24"/>
          <w:szCs w:val="24"/>
        </w:rPr>
        <w:t>Hos patienter med moderat nedsat nyrefunktion faldt topotecans plasmaclearance med 34 % af værdien hos patienter i kontrolgruppen.</w:t>
      </w:r>
      <w:r w:rsidRPr="00BE3D78">
        <w:rPr>
          <w:color w:val="000000"/>
          <w:sz w:val="24"/>
          <w:szCs w:val="24"/>
        </w:rPr>
        <w:t xml:space="preserve"> </w:t>
      </w:r>
      <w:r w:rsidRPr="00BE3D78">
        <w:rPr>
          <w:sz w:val="24"/>
          <w:szCs w:val="24"/>
        </w:rPr>
        <w:t>Den gennemsnitlige halveringstid steg fra 1,9 timer til 4,9 timer.</w:t>
      </w:r>
    </w:p>
    <w:p w:rsidR="006E56FB" w:rsidRPr="00BE3D78" w:rsidRDefault="006E56FB" w:rsidP="006E56FB">
      <w:pPr>
        <w:autoSpaceDE w:val="0"/>
        <w:autoSpaceDN w:val="0"/>
        <w:adjustRightInd w:val="0"/>
        <w:ind w:left="851"/>
        <w:rPr>
          <w:color w:val="000000"/>
          <w:sz w:val="24"/>
          <w:szCs w:val="24"/>
        </w:rPr>
      </w:pPr>
      <w:r w:rsidRPr="00BE3D78">
        <w:rPr>
          <w:color w:val="000000"/>
          <w:sz w:val="24"/>
          <w:szCs w:val="24"/>
        </w:rPr>
        <w:tab/>
      </w:r>
    </w:p>
    <w:p w:rsidR="006E56FB" w:rsidRPr="00BE3D78" w:rsidRDefault="006E56FB" w:rsidP="006E56FB">
      <w:pPr>
        <w:autoSpaceDE w:val="0"/>
        <w:autoSpaceDN w:val="0"/>
        <w:adjustRightInd w:val="0"/>
        <w:ind w:left="851"/>
        <w:rPr>
          <w:i/>
          <w:color w:val="000000"/>
          <w:sz w:val="24"/>
          <w:szCs w:val="24"/>
          <w:u w:val="single"/>
        </w:rPr>
      </w:pPr>
      <w:r w:rsidRPr="00BE3D78">
        <w:rPr>
          <w:i/>
          <w:color w:val="000000"/>
          <w:sz w:val="24"/>
          <w:szCs w:val="24"/>
          <w:u w:val="single"/>
        </w:rPr>
        <w:t>Alder/vægt</w:t>
      </w:r>
    </w:p>
    <w:p w:rsidR="006E56FB" w:rsidRPr="00BE3D78" w:rsidRDefault="006E56FB" w:rsidP="006E56FB">
      <w:pPr>
        <w:autoSpaceDE w:val="0"/>
        <w:autoSpaceDN w:val="0"/>
        <w:adjustRightInd w:val="0"/>
        <w:ind w:left="851"/>
        <w:rPr>
          <w:color w:val="000000"/>
          <w:sz w:val="24"/>
          <w:szCs w:val="24"/>
        </w:rPr>
      </w:pPr>
      <w:r w:rsidRPr="00BE3D78">
        <w:rPr>
          <w:sz w:val="24"/>
          <w:szCs w:val="24"/>
        </w:rPr>
        <w:t>I en populationsundersøgelse havde flere faktorer, herunder alder, vægt og ascites, ingen signifikant virkning på clearance af total topotecan (aktiv og inaktiv form).</w:t>
      </w:r>
    </w:p>
    <w:p w:rsidR="006E56FB" w:rsidRPr="00BE3D78" w:rsidRDefault="006E56FB" w:rsidP="006E56FB">
      <w:pPr>
        <w:autoSpaceDE w:val="0"/>
        <w:autoSpaceDN w:val="0"/>
        <w:adjustRightInd w:val="0"/>
        <w:ind w:left="851"/>
        <w:rPr>
          <w:color w:val="000000"/>
          <w:sz w:val="24"/>
          <w:szCs w:val="24"/>
        </w:rPr>
      </w:pPr>
    </w:p>
    <w:p w:rsidR="006E56FB" w:rsidRPr="00BE3D78" w:rsidRDefault="006E56FB" w:rsidP="006E56FB">
      <w:pPr>
        <w:autoSpaceDE w:val="0"/>
        <w:autoSpaceDN w:val="0"/>
        <w:adjustRightInd w:val="0"/>
        <w:ind w:left="851"/>
        <w:rPr>
          <w:i/>
          <w:color w:val="000000"/>
          <w:sz w:val="24"/>
          <w:szCs w:val="24"/>
        </w:rPr>
      </w:pPr>
      <w:r w:rsidRPr="00BE3D78">
        <w:rPr>
          <w:i/>
          <w:sz w:val="24"/>
          <w:szCs w:val="24"/>
        </w:rPr>
        <w:lastRenderedPageBreak/>
        <w:t>Pædiatrisk population</w:t>
      </w:r>
    </w:p>
    <w:p w:rsidR="006E56FB" w:rsidRPr="00BE3D78" w:rsidRDefault="006E56FB" w:rsidP="006E56FB">
      <w:pPr>
        <w:autoSpaceDE w:val="0"/>
        <w:autoSpaceDN w:val="0"/>
        <w:adjustRightInd w:val="0"/>
        <w:ind w:left="851"/>
        <w:rPr>
          <w:sz w:val="24"/>
          <w:szCs w:val="24"/>
        </w:rPr>
      </w:pPr>
      <w:r w:rsidRPr="00BE3D78">
        <w:rPr>
          <w:sz w:val="24"/>
          <w:szCs w:val="24"/>
        </w:rPr>
        <w:t>Topotecans farmakokinetik efter intravenøs infusion over 30 minutter i 5 dage blev evalueret i to undersøgelser.</w:t>
      </w:r>
      <w:r w:rsidRPr="00BE3D78">
        <w:rPr>
          <w:color w:val="000000"/>
          <w:sz w:val="24"/>
          <w:szCs w:val="24"/>
        </w:rPr>
        <w:t xml:space="preserve"> </w:t>
      </w:r>
      <w:r w:rsidRPr="00BE3D78">
        <w:rPr>
          <w:sz w:val="24"/>
          <w:szCs w:val="24"/>
        </w:rPr>
        <w:t>Den ene undersøgelse brugte et doseringsinterval på 1,4 mg/m</w:t>
      </w:r>
      <w:r w:rsidRPr="00BE3D78">
        <w:rPr>
          <w:sz w:val="24"/>
          <w:szCs w:val="24"/>
          <w:vertAlign w:val="superscript"/>
        </w:rPr>
        <w:t>2</w:t>
      </w:r>
      <w:r w:rsidRPr="00BE3D78">
        <w:rPr>
          <w:sz w:val="24"/>
          <w:szCs w:val="24"/>
        </w:rPr>
        <w:t xml:space="preserve"> til 2,4 mg/m</w:t>
      </w:r>
      <w:r w:rsidRPr="00BE3D78">
        <w:rPr>
          <w:sz w:val="24"/>
          <w:szCs w:val="24"/>
          <w:vertAlign w:val="superscript"/>
        </w:rPr>
        <w:t>2</w:t>
      </w:r>
      <w:r w:rsidRPr="00BE3D78">
        <w:rPr>
          <w:sz w:val="24"/>
          <w:szCs w:val="24"/>
        </w:rPr>
        <w:t xml:space="preserve"> til børn (fra 2 til 12 år, n = 18), unge (fra 12 til 16 år, n = 9) og unge voksne (fra 16 til 21 år, n = 9) med refraktære, faste tumorer.</w:t>
      </w:r>
      <w:r w:rsidRPr="00BE3D78">
        <w:rPr>
          <w:color w:val="000000"/>
          <w:sz w:val="24"/>
          <w:szCs w:val="24"/>
        </w:rPr>
        <w:t xml:space="preserve"> </w:t>
      </w:r>
      <w:r w:rsidRPr="00BE3D78">
        <w:rPr>
          <w:sz w:val="24"/>
          <w:szCs w:val="24"/>
        </w:rPr>
        <w:t>Den anden undersøgelse brugte et doseringsinterval på 2,0</w:t>
      </w:r>
      <w:r w:rsidRPr="00BE3D78">
        <w:rPr>
          <w:sz w:val="24"/>
          <w:szCs w:val="24"/>
          <w:vertAlign w:val="superscript"/>
        </w:rPr>
        <w:t xml:space="preserve"> </w:t>
      </w:r>
      <w:r w:rsidRPr="00BE3D78">
        <w:rPr>
          <w:sz w:val="24"/>
          <w:szCs w:val="24"/>
        </w:rPr>
        <w:t>til 5,2 mg/m</w:t>
      </w:r>
      <w:r w:rsidRPr="00BE3D78">
        <w:rPr>
          <w:sz w:val="24"/>
          <w:szCs w:val="24"/>
          <w:vertAlign w:val="superscript"/>
        </w:rPr>
        <w:t>2</w:t>
      </w:r>
      <w:r w:rsidRPr="00BE3D78">
        <w:rPr>
          <w:sz w:val="24"/>
          <w:szCs w:val="24"/>
        </w:rPr>
        <w:t xml:space="preserve"> til børn (n = 8), unge (n = 3) og unge voksne(n = 3) med leukæmi.</w:t>
      </w:r>
      <w:r w:rsidRPr="00BE3D78">
        <w:rPr>
          <w:color w:val="000000"/>
          <w:sz w:val="24"/>
          <w:szCs w:val="24"/>
        </w:rPr>
        <w:t xml:space="preserve"> </w:t>
      </w:r>
      <w:r w:rsidRPr="00BE3D78">
        <w:rPr>
          <w:sz w:val="24"/>
          <w:szCs w:val="24"/>
        </w:rPr>
        <w:t>I disse undersøgelser var der ingen synlige forskelle i topotecans farmakokinetik hos børn, unge og unge voksne med faste tumorer eller leukæmi, men der er for få data til en definitiv konklusion.</w:t>
      </w:r>
    </w:p>
    <w:p w:rsidR="006E56FB" w:rsidRPr="00C32FFF" w:rsidRDefault="006E56FB" w:rsidP="006E56FB">
      <w:pPr>
        <w:tabs>
          <w:tab w:val="left" w:pos="851"/>
        </w:tabs>
        <w:ind w:left="851" w:hanging="851"/>
        <w:rPr>
          <w:sz w:val="24"/>
          <w:szCs w:val="24"/>
        </w:rPr>
      </w:pPr>
    </w:p>
    <w:p w:rsidR="006E56FB" w:rsidRPr="00C32FFF" w:rsidRDefault="006E56FB" w:rsidP="006E56FB">
      <w:pPr>
        <w:keepNext/>
        <w:numPr>
          <w:ilvl w:val="1"/>
          <w:numId w:val="4"/>
        </w:numPr>
        <w:ind w:left="851" w:hanging="851"/>
        <w:rPr>
          <w:b/>
          <w:sz w:val="24"/>
          <w:szCs w:val="24"/>
        </w:rPr>
      </w:pPr>
      <w:r w:rsidRPr="00C32FFF">
        <w:rPr>
          <w:b/>
          <w:sz w:val="24"/>
          <w:szCs w:val="24"/>
        </w:rPr>
        <w:t>Prækliniske sikkerhedsdata</w:t>
      </w:r>
    </w:p>
    <w:p w:rsidR="006E56FB" w:rsidRPr="00C32FFF" w:rsidRDefault="006E56FB" w:rsidP="006E56FB">
      <w:pPr>
        <w:autoSpaceDE w:val="0"/>
        <w:autoSpaceDN w:val="0"/>
        <w:adjustRightInd w:val="0"/>
        <w:ind w:left="851"/>
        <w:rPr>
          <w:sz w:val="24"/>
          <w:szCs w:val="24"/>
        </w:rPr>
      </w:pPr>
      <w:r w:rsidRPr="00C32FFF">
        <w:rPr>
          <w:sz w:val="24"/>
          <w:szCs w:val="24"/>
        </w:rPr>
        <w:t xml:space="preserve">Som følge af dets virkningsmekanisme er topotecan genotoksisk over for pattedyrsceller (lymfonceller hos mus og humane lymfocytter) </w:t>
      </w:r>
      <w:r w:rsidRPr="00C32FFF">
        <w:rPr>
          <w:i/>
          <w:sz w:val="24"/>
          <w:szCs w:val="24"/>
        </w:rPr>
        <w:t xml:space="preserve">in vitro </w:t>
      </w:r>
      <w:r w:rsidRPr="00C32FFF">
        <w:rPr>
          <w:sz w:val="24"/>
          <w:szCs w:val="24"/>
        </w:rPr>
        <w:t xml:space="preserve">samt knoglemarvsceller hos mus </w:t>
      </w:r>
      <w:r w:rsidRPr="00C32FFF">
        <w:rPr>
          <w:i/>
          <w:sz w:val="24"/>
          <w:szCs w:val="24"/>
        </w:rPr>
        <w:t>in vivo</w:t>
      </w:r>
      <w:r w:rsidRPr="00C32FFF">
        <w:rPr>
          <w:sz w:val="24"/>
          <w:szCs w:val="24"/>
        </w:rPr>
        <w:t>.</w:t>
      </w:r>
      <w:r w:rsidRPr="00C32FFF">
        <w:rPr>
          <w:color w:val="000000"/>
          <w:sz w:val="24"/>
          <w:szCs w:val="24"/>
        </w:rPr>
        <w:t xml:space="preserve"> </w:t>
      </w:r>
      <w:r w:rsidRPr="00C32FFF">
        <w:rPr>
          <w:sz w:val="24"/>
          <w:szCs w:val="24"/>
        </w:rPr>
        <w:t>Topotecan har også vist sig at forårsage embryo-føtal dødelighed, når det gives til rotter og kaniner.</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I reproduktionstoksiske undersøgelser med topotecan til rotter sås ingen effekt på fertiliteten hos hverken hanner eller hunner. Hos hunnerne blev dog set super-ovulation og let forhøjet præimplantationstab.</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rPr>
      </w:pPr>
      <w:r w:rsidRPr="00C32FFF">
        <w:rPr>
          <w:sz w:val="24"/>
          <w:szCs w:val="24"/>
        </w:rPr>
        <w:t>Det karcinogene potentiale af topotecan er ikke undersøgt.</w:t>
      </w:r>
    </w:p>
    <w:p w:rsidR="006E56FB" w:rsidRDefault="006E56FB" w:rsidP="006E56FB">
      <w:pPr>
        <w:tabs>
          <w:tab w:val="left" w:pos="851"/>
        </w:tabs>
        <w:ind w:left="851" w:hanging="851"/>
        <w:rPr>
          <w:sz w:val="24"/>
          <w:szCs w:val="24"/>
        </w:rPr>
      </w:pPr>
    </w:p>
    <w:p w:rsidR="006E56FB" w:rsidRPr="00C32FFF" w:rsidRDefault="006E56FB" w:rsidP="006E56FB">
      <w:pPr>
        <w:rPr>
          <w:sz w:val="24"/>
          <w:szCs w:val="24"/>
        </w:rPr>
      </w:pPr>
    </w:p>
    <w:p w:rsidR="006E56FB" w:rsidRPr="00C32FFF" w:rsidRDefault="006E56FB" w:rsidP="006E56FB">
      <w:pPr>
        <w:numPr>
          <w:ilvl w:val="0"/>
          <w:numId w:val="3"/>
        </w:numPr>
        <w:ind w:left="851" w:hanging="851"/>
        <w:rPr>
          <w:b/>
          <w:sz w:val="24"/>
          <w:szCs w:val="24"/>
        </w:rPr>
      </w:pPr>
      <w:r w:rsidRPr="00C32FFF">
        <w:rPr>
          <w:b/>
          <w:sz w:val="24"/>
          <w:szCs w:val="24"/>
        </w:rPr>
        <w:t>FARMACEUTISKE OPLYSNINGER</w:t>
      </w:r>
    </w:p>
    <w:p w:rsidR="006E56FB" w:rsidRPr="00C32FFF" w:rsidRDefault="006E56FB" w:rsidP="006E56FB">
      <w:pPr>
        <w:tabs>
          <w:tab w:val="left" w:pos="851"/>
        </w:tabs>
        <w:ind w:left="851" w:hanging="851"/>
        <w:rPr>
          <w:b/>
          <w:sz w:val="24"/>
          <w:szCs w:val="24"/>
        </w:rPr>
      </w:pPr>
    </w:p>
    <w:p w:rsidR="006E56FB" w:rsidRPr="00C32FFF" w:rsidRDefault="006E56FB" w:rsidP="006E56FB">
      <w:pPr>
        <w:numPr>
          <w:ilvl w:val="1"/>
          <w:numId w:val="5"/>
        </w:numPr>
        <w:ind w:left="851" w:hanging="851"/>
        <w:rPr>
          <w:b/>
          <w:sz w:val="24"/>
          <w:szCs w:val="24"/>
        </w:rPr>
      </w:pPr>
      <w:r w:rsidRPr="00C32FFF">
        <w:rPr>
          <w:b/>
          <w:sz w:val="24"/>
          <w:szCs w:val="24"/>
        </w:rPr>
        <w:t>Hjælpestoffer</w:t>
      </w:r>
    </w:p>
    <w:p w:rsidR="006E56FB" w:rsidRPr="00C32FFF" w:rsidRDefault="006E56FB" w:rsidP="006E56FB">
      <w:pPr>
        <w:autoSpaceDE w:val="0"/>
        <w:autoSpaceDN w:val="0"/>
        <w:adjustRightInd w:val="0"/>
        <w:ind w:left="851" w:hanging="851"/>
        <w:rPr>
          <w:sz w:val="24"/>
          <w:szCs w:val="24"/>
        </w:rPr>
      </w:pPr>
      <w:r w:rsidRPr="00C32FFF">
        <w:rPr>
          <w:sz w:val="24"/>
          <w:szCs w:val="24"/>
        </w:rPr>
        <w:tab/>
        <w:t>Vinsyre</w:t>
      </w:r>
      <w:r w:rsidRPr="00C32FFF">
        <w:rPr>
          <w:color w:val="000000"/>
          <w:sz w:val="24"/>
          <w:szCs w:val="24"/>
        </w:rPr>
        <w:t xml:space="preserve"> </w:t>
      </w:r>
    </w:p>
    <w:p w:rsidR="006E56FB" w:rsidRPr="00C32FFF" w:rsidRDefault="006E56FB" w:rsidP="006E56FB">
      <w:pPr>
        <w:autoSpaceDE w:val="0"/>
        <w:autoSpaceDN w:val="0"/>
        <w:adjustRightInd w:val="0"/>
        <w:ind w:left="851"/>
        <w:rPr>
          <w:sz w:val="24"/>
          <w:szCs w:val="24"/>
        </w:rPr>
      </w:pPr>
      <w:r>
        <w:rPr>
          <w:sz w:val="24"/>
          <w:szCs w:val="24"/>
        </w:rPr>
        <w:t>Fortyndet s</w:t>
      </w:r>
      <w:r w:rsidRPr="00C32FFF">
        <w:rPr>
          <w:sz w:val="24"/>
          <w:szCs w:val="24"/>
        </w:rPr>
        <w:t xml:space="preserve">altsyre </w:t>
      </w:r>
    </w:p>
    <w:p w:rsidR="006E56FB" w:rsidRPr="00C32FFF" w:rsidRDefault="006E56FB" w:rsidP="006E56FB">
      <w:pPr>
        <w:autoSpaceDE w:val="0"/>
        <w:autoSpaceDN w:val="0"/>
        <w:adjustRightInd w:val="0"/>
        <w:ind w:left="851"/>
        <w:rPr>
          <w:sz w:val="24"/>
          <w:szCs w:val="24"/>
        </w:rPr>
      </w:pPr>
      <w:r w:rsidRPr="00C32FFF">
        <w:rPr>
          <w:sz w:val="24"/>
          <w:szCs w:val="24"/>
        </w:rPr>
        <w:t>Vand til injektionsvæsker</w:t>
      </w:r>
      <w:r w:rsidRPr="00C32FFF">
        <w:rPr>
          <w:color w:val="000000"/>
          <w:sz w:val="24"/>
          <w:szCs w:val="24"/>
        </w:rPr>
        <w:t xml:space="preserve"> </w:t>
      </w:r>
    </w:p>
    <w:p w:rsidR="006E56FB" w:rsidRPr="00C32FFF" w:rsidRDefault="006E56FB" w:rsidP="006E56FB">
      <w:pPr>
        <w:autoSpaceDE w:val="0"/>
        <w:autoSpaceDN w:val="0"/>
        <w:adjustRightInd w:val="0"/>
        <w:ind w:left="851" w:hanging="851"/>
        <w:rPr>
          <w:sz w:val="24"/>
          <w:szCs w:val="24"/>
        </w:rPr>
      </w:pPr>
    </w:p>
    <w:p w:rsidR="006E56FB" w:rsidRPr="00C32FFF" w:rsidRDefault="006E56FB" w:rsidP="006E56FB">
      <w:pPr>
        <w:numPr>
          <w:ilvl w:val="1"/>
          <w:numId w:val="5"/>
        </w:numPr>
        <w:ind w:left="851" w:hanging="851"/>
        <w:rPr>
          <w:b/>
          <w:sz w:val="24"/>
          <w:szCs w:val="24"/>
        </w:rPr>
      </w:pPr>
      <w:r w:rsidRPr="00C32FFF">
        <w:rPr>
          <w:b/>
          <w:sz w:val="24"/>
          <w:szCs w:val="24"/>
        </w:rPr>
        <w:t>Uforligeligheder</w:t>
      </w:r>
    </w:p>
    <w:p w:rsidR="006E56FB" w:rsidRPr="00C32FFF" w:rsidRDefault="006E56FB" w:rsidP="006E56FB">
      <w:pPr>
        <w:autoSpaceDE w:val="0"/>
        <w:autoSpaceDN w:val="0"/>
        <w:adjustRightInd w:val="0"/>
        <w:ind w:left="851"/>
        <w:rPr>
          <w:color w:val="000000"/>
          <w:sz w:val="24"/>
          <w:szCs w:val="24"/>
        </w:rPr>
      </w:pPr>
      <w:r w:rsidRPr="00C32FFF">
        <w:rPr>
          <w:sz w:val="24"/>
          <w:szCs w:val="24"/>
        </w:rPr>
        <w:t>Dette lægemiddel må ikke blandes med andre lægemidler end dem, der er anført under pkt. 6.6.</w:t>
      </w:r>
    </w:p>
    <w:p w:rsidR="006E56FB" w:rsidRPr="00C32FFF" w:rsidRDefault="006E56FB" w:rsidP="006E56FB">
      <w:pPr>
        <w:tabs>
          <w:tab w:val="left" w:pos="851"/>
        </w:tabs>
        <w:ind w:left="851" w:hanging="851"/>
        <w:rPr>
          <w:sz w:val="24"/>
          <w:szCs w:val="24"/>
        </w:rPr>
      </w:pPr>
    </w:p>
    <w:p w:rsidR="006E56FB" w:rsidRPr="00C32FFF" w:rsidRDefault="006E56FB" w:rsidP="006E56FB">
      <w:pPr>
        <w:numPr>
          <w:ilvl w:val="1"/>
          <w:numId w:val="5"/>
        </w:numPr>
        <w:ind w:left="851" w:hanging="851"/>
        <w:rPr>
          <w:b/>
          <w:sz w:val="24"/>
          <w:szCs w:val="24"/>
        </w:rPr>
      </w:pPr>
      <w:r w:rsidRPr="00C32FFF">
        <w:rPr>
          <w:b/>
          <w:sz w:val="24"/>
          <w:szCs w:val="24"/>
        </w:rPr>
        <w:t>Opbevaringstid</w:t>
      </w:r>
    </w:p>
    <w:p w:rsidR="006E56FB" w:rsidRPr="00C32FFF" w:rsidRDefault="006E56FB" w:rsidP="006E56FB">
      <w:pPr>
        <w:autoSpaceDE w:val="0"/>
        <w:autoSpaceDN w:val="0"/>
        <w:adjustRightInd w:val="0"/>
        <w:ind w:left="851"/>
        <w:rPr>
          <w:i/>
          <w:color w:val="000000"/>
          <w:sz w:val="24"/>
          <w:szCs w:val="24"/>
        </w:rPr>
      </w:pPr>
      <w:r w:rsidRPr="00C32FFF">
        <w:rPr>
          <w:i/>
          <w:sz w:val="24"/>
          <w:szCs w:val="24"/>
        </w:rPr>
        <w:t>Uåbnede hætteglas</w:t>
      </w:r>
    </w:p>
    <w:p w:rsidR="006E56FB" w:rsidRPr="002378EE" w:rsidRDefault="006E56FB" w:rsidP="006E56FB">
      <w:pPr>
        <w:autoSpaceDE w:val="0"/>
        <w:autoSpaceDN w:val="0"/>
        <w:adjustRightInd w:val="0"/>
        <w:ind w:left="851"/>
        <w:rPr>
          <w:color w:val="000000"/>
          <w:sz w:val="24"/>
          <w:szCs w:val="24"/>
        </w:rPr>
      </w:pPr>
      <w:r w:rsidRPr="002378EE">
        <w:rPr>
          <w:noProof/>
          <w:color w:val="000000"/>
          <w:sz w:val="24"/>
          <w:szCs w:val="24"/>
        </w:rPr>
        <w:t>30 måneder</w:t>
      </w:r>
    </w:p>
    <w:p w:rsidR="006E56FB" w:rsidRPr="00C32FFF" w:rsidRDefault="006E56FB" w:rsidP="006E56FB">
      <w:pPr>
        <w:autoSpaceDE w:val="0"/>
        <w:autoSpaceDN w:val="0"/>
        <w:adjustRightInd w:val="0"/>
        <w:ind w:left="851" w:hanging="851"/>
        <w:rPr>
          <w:i/>
          <w:color w:val="000000"/>
          <w:sz w:val="24"/>
          <w:szCs w:val="24"/>
        </w:rPr>
      </w:pPr>
    </w:p>
    <w:p w:rsidR="006E56FB" w:rsidRPr="00C32FFF" w:rsidRDefault="006E56FB" w:rsidP="006E56FB">
      <w:pPr>
        <w:autoSpaceDE w:val="0"/>
        <w:autoSpaceDN w:val="0"/>
        <w:adjustRightInd w:val="0"/>
        <w:ind w:left="851"/>
        <w:rPr>
          <w:sz w:val="24"/>
          <w:szCs w:val="24"/>
        </w:rPr>
      </w:pPr>
      <w:r w:rsidRPr="00C32FFF">
        <w:rPr>
          <w:i/>
          <w:sz w:val="24"/>
          <w:szCs w:val="24"/>
        </w:rPr>
        <w:t>Stabilitet efter anbrud og fortynding</w:t>
      </w:r>
    </w:p>
    <w:p w:rsidR="006E56FB" w:rsidRPr="00C32FFF" w:rsidRDefault="006E56FB" w:rsidP="006E56FB">
      <w:pPr>
        <w:autoSpaceDE w:val="0"/>
        <w:autoSpaceDN w:val="0"/>
        <w:adjustRightInd w:val="0"/>
        <w:ind w:left="851"/>
        <w:rPr>
          <w:sz w:val="24"/>
          <w:szCs w:val="24"/>
        </w:rPr>
      </w:pPr>
      <w:r w:rsidRPr="00C32FFF">
        <w:rPr>
          <w:sz w:val="24"/>
          <w:szCs w:val="24"/>
        </w:rPr>
        <w:t>Der er påvist kemisk og fysisk stabilitet</w:t>
      </w:r>
      <w:r>
        <w:rPr>
          <w:sz w:val="24"/>
          <w:szCs w:val="24"/>
        </w:rPr>
        <w:t xml:space="preserve"> efter anbrud og fortynding i 7</w:t>
      </w:r>
      <w:r w:rsidRPr="00C32FFF">
        <w:rPr>
          <w:sz w:val="24"/>
          <w:szCs w:val="24"/>
        </w:rPr>
        <w:t xml:space="preserve"> dage, når produktet fortyndes til en koncentration på 0,01 – 0,05 mg/ml med glucose 5 % eller natriumchlorid 0,9 % og opbevares ved temperaturer mellem 2 °C og 8 °C og stuetemperatur (20 °C til 25 °C).</w:t>
      </w:r>
    </w:p>
    <w:p w:rsidR="006E56FB" w:rsidRPr="00C32FFF" w:rsidRDefault="006E56FB" w:rsidP="006E56FB">
      <w:pPr>
        <w:autoSpaceDE w:val="0"/>
        <w:autoSpaceDN w:val="0"/>
        <w:adjustRightInd w:val="0"/>
        <w:ind w:left="851"/>
        <w:rPr>
          <w:sz w:val="24"/>
          <w:szCs w:val="24"/>
        </w:rPr>
      </w:pPr>
      <w:r w:rsidRPr="00C32FFF">
        <w:rPr>
          <w:sz w:val="24"/>
          <w:szCs w:val="24"/>
        </w:rPr>
        <w:t>Fra et mikrobiologisk synspunkt bør produktet anvendes umiddelbart. Hvis det ikke bruges straks, er opbevaringstiderne og betingelserne efter anbrud og indtil anvendelsen brugerens ansvar. Opbevaringstiden vil normalt ikke være længere end 24 timer ved temperaturer mellem 2 °C og 8</w:t>
      </w:r>
      <w:r>
        <w:rPr>
          <w:sz w:val="24"/>
          <w:szCs w:val="24"/>
        </w:rPr>
        <w:t xml:space="preserve"> </w:t>
      </w:r>
      <w:r w:rsidRPr="00C32FFF">
        <w:rPr>
          <w:sz w:val="24"/>
          <w:szCs w:val="24"/>
        </w:rPr>
        <w:t>°C, med mindre fortyndingen er sket under kontrollerede og validerede aseptiske forhold.</w:t>
      </w:r>
    </w:p>
    <w:p w:rsidR="006E56FB" w:rsidRPr="00C32FFF" w:rsidRDefault="006E56FB" w:rsidP="006E56FB">
      <w:pPr>
        <w:tabs>
          <w:tab w:val="left" w:pos="851"/>
        </w:tabs>
        <w:ind w:left="851" w:hanging="851"/>
        <w:rPr>
          <w:sz w:val="24"/>
          <w:szCs w:val="24"/>
        </w:rPr>
      </w:pPr>
    </w:p>
    <w:p w:rsidR="006E56FB" w:rsidRPr="00C32FFF" w:rsidRDefault="006E56FB" w:rsidP="006E56FB">
      <w:pPr>
        <w:keepNext/>
        <w:numPr>
          <w:ilvl w:val="1"/>
          <w:numId w:val="5"/>
        </w:numPr>
        <w:ind w:left="851" w:hanging="851"/>
        <w:rPr>
          <w:b/>
          <w:sz w:val="24"/>
          <w:szCs w:val="24"/>
        </w:rPr>
      </w:pPr>
      <w:r w:rsidRPr="00C32FFF">
        <w:rPr>
          <w:b/>
          <w:sz w:val="24"/>
          <w:szCs w:val="24"/>
        </w:rPr>
        <w:lastRenderedPageBreak/>
        <w:t>Særlige opbevaringsforhold</w:t>
      </w:r>
    </w:p>
    <w:p w:rsidR="006E56FB" w:rsidRPr="00C32FFF" w:rsidRDefault="006E56FB" w:rsidP="006E56FB">
      <w:pPr>
        <w:autoSpaceDE w:val="0"/>
        <w:autoSpaceDN w:val="0"/>
        <w:adjustRightInd w:val="0"/>
        <w:ind w:left="851"/>
        <w:rPr>
          <w:bCs/>
          <w:sz w:val="24"/>
          <w:szCs w:val="24"/>
        </w:rPr>
      </w:pPr>
      <w:r w:rsidRPr="00C32FFF">
        <w:rPr>
          <w:bCs/>
          <w:sz w:val="24"/>
          <w:szCs w:val="24"/>
        </w:rPr>
        <w:t>Opbevares i køleskab (2 °C – 8 °C).</w:t>
      </w:r>
      <w:r w:rsidRPr="00C32FFF">
        <w:rPr>
          <w:bCs/>
          <w:color w:val="000000"/>
          <w:sz w:val="24"/>
          <w:szCs w:val="24"/>
        </w:rPr>
        <w:t xml:space="preserve"> </w:t>
      </w:r>
      <w:r w:rsidRPr="00C32FFF">
        <w:rPr>
          <w:bCs/>
          <w:sz w:val="24"/>
          <w:szCs w:val="24"/>
        </w:rPr>
        <w:t>Opbevar hætteglasset i den ydre karton for at beskytte mod lys.</w:t>
      </w:r>
      <w:r w:rsidRPr="00C32FFF">
        <w:rPr>
          <w:bCs/>
          <w:color w:val="000000"/>
          <w:sz w:val="24"/>
          <w:szCs w:val="24"/>
        </w:rPr>
        <w:t xml:space="preserve"> </w:t>
      </w:r>
    </w:p>
    <w:p w:rsidR="006E56FB" w:rsidRPr="00C32FFF" w:rsidRDefault="006E56FB" w:rsidP="006E56FB">
      <w:pPr>
        <w:autoSpaceDE w:val="0"/>
        <w:autoSpaceDN w:val="0"/>
        <w:adjustRightInd w:val="0"/>
        <w:ind w:left="851"/>
        <w:rPr>
          <w:bCs/>
          <w:color w:val="000000"/>
          <w:sz w:val="24"/>
          <w:szCs w:val="24"/>
        </w:rPr>
      </w:pPr>
      <w:r w:rsidRPr="00C32FFF">
        <w:rPr>
          <w:bCs/>
          <w:sz w:val="24"/>
          <w:szCs w:val="24"/>
        </w:rPr>
        <w:t>Må ikke nedfryses.</w:t>
      </w:r>
    </w:p>
    <w:p w:rsidR="006E56FB" w:rsidRPr="00C32FFF" w:rsidRDefault="006E56FB" w:rsidP="006E56FB">
      <w:pPr>
        <w:autoSpaceDE w:val="0"/>
        <w:autoSpaceDN w:val="0"/>
        <w:adjustRightInd w:val="0"/>
        <w:ind w:left="851"/>
        <w:rPr>
          <w:bCs/>
          <w:color w:val="000000"/>
          <w:sz w:val="24"/>
          <w:szCs w:val="24"/>
        </w:rPr>
      </w:pPr>
      <w:r w:rsidRPr="00CC7C82">
        <w:rPr>
          <w:bCs/>
          <w:sz w:val="24"/>
          <w:szCs w:val="24"/>
        </w:rPr>
        <w:t>Opbevaringsforhold efter fortynding af lægemidlet, se pkt. 6.3.</w:t>
      </w:r>
    </w:p>
    <w:p w:rsidR="00E7345C" w:rsidRPr="00C32FFF" w:rsidRDefault="00E7345C" w:rsidP="006E56FB">
      <w:pPr>
        <w:tabs>
          <w:tab w:val="left" w:pos="851"/>
        </w:tabs>
        <w:rPr>
          <w:sz w:val="24"/>
          <w:szCs w:val="24"/>
        </w:rPr>
      </w:pPr>
    </w:p>
    <w:p w:rsidR="006E56FB" w:rsidRPr="00C32FFF" w:rsidRDefault="006E56FB" w:rsidP="006E56FB">
      <w:pPr>
        <w:numPr>
          <w:ilvl w:val="1"/>
          <w:numId w:val="5"/>
        </w:numPr>
        <w:ind w:left="851" w:hanging="851"/>
        <w:rPr>
          <w:b/>
          <w:sz w:val="24"/>
          <w:szCs w:val="24"/>
        </w:rPr>
      </w:pPr>
      <w:r w:rsidRPr="00C32FFF">
        <w:rPr>
          <w:b/>
          <w:sz w:val="24"/>
          <w:szCs w:val="24"/>
        </w:rPr>
        <w:t>Emballagetyper og pakningsstørrelser</w:t>
      </w:r>
    </w:p>
    <w:p w:rsidR="00A75A90" w:rsidRPr="00A75A90" w:rsidRDefault="00A75A90" w:rsidP="00A75A90">
      <w:pPr>
        <w:autoSpaceDE w:val="0"/>
        <w:autoSpaceDN w:val="0"/>
        <w:adjustRightInd w:val="0"/>
        <w:ind w:left="851"/>
        <w:rPr>
          <w:sz w:val="24"/>
          <w:szCs w:val="24"/>
        </w:rPr>
      </w:pPr>
      <w:r w:rsidRPr="00A75A90">
        <w:rPr>
          <w:sz w:val="24"/>
          <w:szCs w:val="24"/>
        </w:rPr>
        <w:t>Farveløse hætteglas af type 1 med grå gummipropper og aluminiumforseglinger med flip-off låg af plast, med eller uden plastbeskyttelse (Onco-Safe eller beskyttelsesfolie).</w:t>
      </w:r>
      <w:r w:rsidRPr="00A75A90">
        <w:rPr>
          <w:color w:val="000000"/>
          <w:sz w:val="24"/>
          <w:szCs w:val="24"/>
        </w:rPr>
        <w:t xml:space="preserve"> Onco-Safe og beskyttelsesfolie har ingen kontakt med lægemidlet og øger sikkerheden for medicinsk og farmaceutisk personale under transport. </w:t>
      </w:r>
      <w:r w:rsidRPr="00A75A90">
        <w:rPr>
          <w:sz w:val="24"/>
          <w:szCs w:val="24"/>
        </w:rPr>
        <w:t>Hætteglassene er forseglede med krympelåg af aluminium.</w:t>
      </w:r>
      <w:r w:rsidRPr="00A75A90">
        <w:rPr>
          <w:color w:val="000000"/>
          <w:sz w:val="24"/>
          <w:szCs w:val="24"/>
        </w:rPr>
        <w:t xml:space="preserve"> </w:t>
      </w:r>
    </w:p>
    <w:p w:rsidR="00E7345C" w:rsidRPr="00E7345C" w:rsidRDefault="00E7345C" w:rsidP="00E7345C">
      <w:pPr>
        <w:pStyle w:val="Listeafsnit"/>
        <w:autoSpaceDE w:val="0"/>
        <w:autoSpaceDN w:val="0"/>
        <w:adjustRightInd w:val="0"/>
        <w:ind w:left="855"/>
        <w:rPr>
          <w:color w:val="000000"/>
          <w:sz w:val="24"/>
          <w:szCs w:val="24"/>
        </w:rPr>
      </w:pPr>
    </w:p>
    <w:p w:rsidR="00E7345C" w:rsidRPr="00E7345C" w:rsidRDefault="00E7345C" w:rsidP="00E7345C">
      <w:pPr>
        <w:pStyle w:val="Listeafsnit"/>
        <w:keepNext/>
        <w:autoSpaceDE w:val="0"/>
        <w:autoSpaceDN w:val="0"/>
        <w:adjustRightInd w:val="0"/>
        <w:ind w:left="855"/>
        <w:rPr>
          <w:sz w:val="24"/>
          <w:szCs w:val="24"/>
        </w:rPr>
      </w:pPr>
      <w:r w:rsidRPr="00E7345C">
        <w:rPr>
          <w:sz w:val="24"/>
          <w:szCs w:val="24"/>
        </w:rPr>
        <w:t>Pakningsstørrelser:</w:t>
      </w:r>
      <w:r w:rsidRPr="00E7345C">
        <w:rPr>
          <w:color w:val="000000"/>
          <w:sz w:val="24"/>
          <w:szCs w:val="24"/>
        </w:rPr>
        <w:t xml:space="preserve"> </w:t>
      </w:r>
    </w:p>
    <w:p w:rsidR="00E7345C" w:rsidRPr="00E7345C" w:rsidRDefault="00E7345C" w:rsidP="00E7345C">
      <w:pPr>
        <w:pStyle w:val="Listeafsnit"/>
        <w:ind w:left="855"/>
        <w:rPr>
          <w:noProof/>
          <w:sz w:val="24"/>
          <w:szCs w:val="24"/>
        </w:rPr>
      </w:pPr>
      <w:r w:rsidRPr="00E7345C">
        <w:rPr>
          <w:sz w:val="24"/>
          <w:szCs w:val="24"/>
        </w:rPr>
        <w:t>1 x 1 ml, 5 x 1 ml, 10 x 1 ml</w:t>
      </w:r>
      <w:r w:rsidRPr="00E7345C">
        <w:rPr>
          <w:noProof/>
          <w:sz w:val="24"/>
          <w:szCs w:val="24"/>
        </w:rPr>
        <w:t xml:space="preserve"> </w:t>
      </w:r>
    </w:p>
    <w:p w:rsidR="00E7345C" w:rsidRPr="00E7345C" w:rsidRDefault="00E7345C" w:rsidP="00E7345C">
      <w:pPr>
        <w:pStyle w:val="Listeafsnit"/>
        <w:ind w:left="855"/>
        <w:rPr>
          <w:noProof/>
          <w:sz w:val="24"/>
          <w:szCs w:val="24"/>
        </w:rPr>
      </w:pPr>
      <w:r w:rsidRPr="00E7345C">
        <w:rPr>
          <w:sz w:val="24"/>
          <w:szCs w:val="24"/>
        </w:rPr>
        <w:t>1 x 3 ml, 5 x 3 ml, 10 x 3 ml</w:t>
      </w:r>
      <w:r w:rsidRPr="00E7345C">
        <w:rPr>
          <w:noProof/>
          <w:sz w:val="24"/>
          <w:szCs w:val="24"/>
        </w:rPr>
        <w:t xml:space="preserve"> </w:t>
      </w:r>
    </w:p>
    <w:p w:rsidR="00E7345C" w:rsidRPr="00E7345C" w:rsidRDefault="00E7345C" w:rsidP="00E7345C">
      <w:pPr>
        <w:pStyle w:val="Listeafsnit"/>
        <w:ind w:left="855"/>
        <w:rPr>
          <w:noProof/>
          <w:sz w:val="24"/>
          <w:szCs w:val="24"/>
        </w:rPr>
      </w:pPr>
      <w:r w:rsidRPr="00E7345C">
        <w:rPr>
          <w:sz w:val="24"/>
          <w:szCs w:val="24"/>
        </w:rPr>
        <w:t>1 x 4 ml, 5 x 4 ml, 10 x 4 ml</w:t>
      </w:r>
      <w:r w:rsidRPr="00E7345C">
        <w:rPr>
          <w:noProof/>
          <w:sz w:val="24"/>
          <w:szCs w:val="24"/>
        </w:rPr>
        <w:t xml:space="preserve"> </w:t>
      </w:r>
    </w:p>
    <w:p w:rsidR="00F46DB3" w:rsidRPr="00F46DB3" w:rsidRDefault="00F46DB3" w:rsidP="00F46DB3">
      <w:pPr>
        <w:pStyle w:val="Listeafsnit"/>
        <w:autoSpaceDE w:val="0"/>
        <w:autoSpaceDN w:val="0"/>
        <w:adjustRightInd w:val="0"/>
        <w:ind w:left="855"/>
        <w:rPr>
          <w:color w:val="000000"/>
          <w:sz w:val="24"/>
          <w:szCs w:val="24"/>
        </w:rPr>
      </w:pPr>
    </w:p>
    <w:p w:rsidR="00F46DB3" w:rsidRPr="00F46DB3" w:rsidRDefault="00F46DB3" w:rsidP="00F46DB3">
      <w:pPr>
        <w:pStyle w:val="Listeafsnit"/>
        <w:autoSpaceDE w:val="0"/>
        <w:autoSpaceDN w:val="0"/>
        <w:adjustRightInd w:val="0"/>
        <w:ind w:left="855"/>
        <w:rPr>
          <w:color w:val="FF0000"/>
          <w:sz w:val="24"/>
          <w:szCs w:val="24"/>
        </w:rPr>
      </w:pPr>
      <w:r w:rsidRPr="00F46DB3">
        <w:rPr>
          <w:sz w:val="24"/>
          <w:szCs w:val="24"/>
        </w:rPr>
        <w:t>Ikke alle pakningsstørrelser er nødvendigvis markedsført.</w:t>
      </w:r>
    </w:p>
    <w:p w:rsidR="006E56FB" w:rsidRPr="00C32FFF" w:rsidRDefault="006E56FB" w:rsidP="006E56FB">
      <w:pPr>
        <w:tabs>
          <w:tab w:val="left" w:pos="851"/>
        </w:tabs>
        <w:ind w:left="851" w:hanging="851"/>
        <w:rPr>
          <w:sz w:val="24"/>
          <w:szCs w:val="24"/>
        </w:rPr>
      </w:pPr>
    </w:p>
    <w:p w:rsidR="006E56FB" w:rsidRPr="003E00E3" w:rsidRDefault="006E56FB" w:rsidP="006E56FB">
      <w:pPr>
        <w:numPr>
          <w:ilvl w:val="1"/>
          <w:numId w:val="5"/>
        </w:numPr>
        <w:ind w:left="851" w:hanging="851"/>
        <w:rPr>
          <w:b/>
          <w:sz w:val="24"/>
          <w:szCs w:val="24"/>
        </w:rPr>
      </w:pPr>
      <w:r w:rsidRPr="00C32FFF">
        <w:rPr>
          <w:b/>
          <w:sz w:val="24"/>
          <w:szCs w:val="24"/>
        </w:rPr>
        <w:t>Regler for destruktion og anden håndtering</w:t>
      </w:r>
    </w:p>
    <w:p w:rsidR="006E56FB" w:rsidRPr="0040210B" w:rsidRDefault="006E56FB" w:rsidP="006E56FB">
      <w:pPr>
        <w:autoSpaceDE w:val="0"/>
        <w:autoSpaceDN w:val="0"/>
        <w:adjustRightInd w:val="0"/>
        <w:ind w:left="851"/>
        <w:rPr>
          <w:color w:val="000000"/>
          <w:sz w:val="24"/>
          <w:szCs w:val="24"/>
          <w:u w:val="single"/>
        </w:rPr>
      </w:pPr>
      <w:r w:rsidRPr="0040210B">
        <w:rPr>
          <w:sz w:val="24"/>
          <w:szCs w:val="24"/>
          <w:u w:val="single"/>
        </w:rPr>
        <w:t>Inspektion før anvendelse</w:t>
      </w:r>
    </w:p>
    <w:p w:rsidR="006E56FB" w:rsidRPr="00C32FFF" w:rsidRDefault="006E56FB" w:rsidP="006E56FB">
      <w:pPr>
        <w:autoSpaceDE w:val="0"/>
        <w:autoSpaceDN w:val="0"/>
        <w:adjustRightInd w:val="0"/>
        <w:ind w:left="851"/>
        <w:rPr>
          <w:b/>
          <w:color w:val="000000"/>
          <w:sz w:val="24"/>
          <w:szCs w:val="24"/>
        </w:rPr>
      </w:pPr>
      <w:r w:rsidRPr="00C32FFF">
        <w:rPr>
          <w:sz w:val="24"/>
          <w:szCs w:val="24"/>
        </w:rPr>
        <w:t xml:space="preserve">Som for alle parenterale lægemiddelprodukter skal Topotecan </w:t>
      </w:r>
      <w:r>
        <w:rPr>
          <w:sz w:val="24"/>
          <w:szCs w:val="24"/>
        </w:rPr>
        <w:t>”Ebewe”</w:t>
      </w:r>
      <w:r w:rsidRPr="00C32FFF">
        <w:rPr>
          <w:sz w:val="24"/>
          <w:szCs w:val="24"/>
        </w:rPr>
        <w:t xml:space="preserve"> koncentration til infusionsvæske, opløsning, undersøges visuelt for partikler og misfarvning før anvendelse. Hvis der bemærkes visse tegn på nedbrydning, må Topotecan </w:t>
      </w:r>
      <w:r>
        <w:rPr>
          <w:sz w:val="24"/>
          <w:szCs w:val="24"/>
        </w:rPr>
        <w:t>”Ebewe”</w:t>
      </w:r>
      <w:r w:rsidRPr="00C32FFF">
        <w:rPr>
          <w:sz w:val="24"/>
          <w:szCs w:val="24"/>
        </w:rPr>
        <w:t xml:space="preserve"> ikke bruges.</w:t>
      </w:r>
    </w:p>
    <w:p w:rsidR="006E56FB" w:rsidRPr="00C32FFF" w:rsidRDefault="006E56FB" w:rsidP="006E56FB">
      <w:pPr>
        <w:autoSpaceDE w:val="0"/>
        <w:autoSpaceDN w:val="0"/>
        <w:adjustRightInd w:val="0"/>
        <w:ind w:left="851" w:hanging="851"/>
        <w:rPr>
          <w:b/>
          <w:color w:val="000000"/>
          <w:sz w:val="24"/>
          <w:szCs w:val="24"/>
        </w:rPr>
      </w:pPr>
    </w:p>
    <w:p w:rsidR="006E56FB" w:rsidRPr="00C32FFF" w:rsidRDefault="006E56FB" w:rsidP="006E56FB">
      <w:pPr>
        <w:autoSpaceDE w:val="0"/>
        <w:autoSpaceDN w:val="0"/>
        <w:adjustRightInd w:val="0"/>
        <w:ind w:left="851"/>
        <w:rPr>
          <w:color w:val="000000"/>
          <w:sz w:val="24"/>
          <w:szCs w:val="24"/>
          <w:u w:val="single"/>
        </w:rPr>
      </w:pPr>
      <w:r w:rsidRPr="00C32FFF">
        <w:rPr>
          <w:sz w:val="24"/>
          <w:szCs w:val="24"/>
          <w:u w:val="single"/>
        </w:rPr>
        <w:t>Vejledning for fortynding</w:t>
      </w:r>
    </w:p>
    <w:p w:rsidR="006E56FB" w:rsidRPr="00C32FFF" w:rsidRDefault="006E56FB" w:rsidP="006E56FB">
      <w:pPr>
        <w:autoSpaceDE w:val="0"/>
        <w:autoSpaceDN w:val="0"/>
        <w:adjustRightInd w:val="0"/>
        <w:ind w:left="851"/>
        <w:rPr>
          <w:color w:val="000000"/>
          <w:sz w:val="24"/>
          <w:szCs w:val="24"/>
        </w:rPr>
      </w:pPr>
      <w:r w:rsidRPr="00C32FFF">
        <w:rPr>
          <w:sz w:val="24"/>
          <w:szCs w:val="24"/>
        </w:rPr>
        <w:t>Skal fortyndes inden brug.</w:t>
      </w:r>
    </w:p>
    <w:p w:rsidR="006E56FB" w:rsidRPr="00C32FFF" w:rsidRDefault="006E56FB" w:rsidP="006E56FB">
      <w:pPr>
        <w:autoSpaceDE w:val="0"/>
        <w:autoSpaceDN w:val="0"/>
        <w:adjustRightInd w:val="0"/>
        <w:ind w:left="851" w:hanging="851"/>
        <w:rPr>
          <w:b/>
          <w:i/>
          <w:color w:val="000000"/>
          <w:sz w:val="24"/>
          <w:szCs w:val="24"/>
          <w:u w:val="single"/>
        </w:rPr>
      </w:pPr>
    </w:p>
    <w:p w:rsidR="006E56FB" w:rsidRPr="00C32FFF" w:rsidRDefault="006E56FB" w:rsidP="006E56FB">
      <w:pPr>
        <w:autoSpaceDE w:val="0"/>
        <w:autoSpaceDN w:val="0"/>
        <w:adjustRightInd w:val="0"/>
        <w:ind w:left="851"/>
        <w:rPr>
          <w:sz w:val="24"/>
          <w:szCs w:val="24"/>
        </w:rPr>
      </w:pPr>
      <w:r w:rsidRPr="00C32FFF">
        <w:rPr>
          <w:sz w:val="24"/>
          <w:szCs w:val="24"/>
        </w:rPr>
        <w:t>Der kræves yderligere fortynding med et passende volumen af koncentratet til infusionsvæske, opløsning, med enten 0,9 % natriumchlorid intravenøs infusion eller 5 % glucose intravenøs infusion for at opnå en slutkoncentration på mellem 10 og 50 mikrogram/ml (0,01 mg/ml, 0,025 mg/ml og 0,05 mg/ml).</w:t>
      </w:r>
      <w:r w:rsidRPr="00C32FFF">
        <w:rPr>
          <w:color w:val="000000"/>
          <w:sz w:val="24"/>
          <w:szCs w:val="24"/>
        </w:rPr>
        <w:t xml:space="preserve"> </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ind w:left="851"/>
        <w:rPr>
          <w:iCs/>
          <w:sz w:val="24"/>
          <w:szCs w:val="24"/>
        </w:rPr>
      </w:pPr>
      <w:r w:rsidRPr="00C32FFF">
        <w:rPr>
          <w:iCs/>
          <w:sz w:val="24"/>
          <w:szCs w:val="24"/>
        </w:rPr>
        <w:t>Det påkrævede volumen kan udtages direkte fra hætteglasset.</w:t>
      </w:r>
    </w:p>
    <w:p w:rsidR="006E56FB" w:rsidRPr="00C32FFF" w:rsidRDefault="006E56FB" w:rsidP="006E56FB">
      <w:pPr>
        <w:ind w:left="851"/>
        <w:rPr>
          <w:sz w:val="24"/>
          <w:szCs w:val="24"/>
        </w:rPr>
      </w:pPr>
      <w:r w:rsidRPr="00C32FFF">
        <w:rPr>
          <w:sz w:val="24"/>
          <w:szCs w:val="24"/>
        </w:rPr>
        <w:t>Det kan være nødvendigt med mere end et hætteglas for at opnå den påkrævede dosis for patienten. Baseret på den påkrævede dosis for patienten, udtrykt i mg, udtages det korresponderende volumen indeholdende 1 mg/ml topotecan aseptisk fra det passende antal hætteglas, ved at anvende dosisinddelte injektionssprøjter. For eksempel vil en dosis på 2,7 mg topotecan kræve 2,7 ml topotecan koncentrat for infusionsvæske, opløsning.</w:t>
      </w:r>
    </w:p>
    <w:p w:rsidR="006E56FB" w:rsidRPr="00C32FFF" w:rsidRDefault="006E56FB" w:rsidP="006E56FB">
      <w:pPr>
        <w:ind w:left="851"/>
        <w:rPr>
          <w:sz w:val="24"/>
          <w:szCs w:val="24"/>
        </w:rPr>
      </w:pPr>
      <w:r w:rsidRPr="00C32FFF">
        <w:rPr>
          <w:sz w:val="24"/>
          <w:szCs w:val="24"/>
        </w:rPr>
        <w:t xml:space="preserve">Det påkrævede volumen injiceres i en 100 ml infusionspose eller flaske indeholdende enten 5 % glucoseopløsning eller 0,9 % natriumchloridopløsning. </w:t>
      </w:r>
    </w:p>
    <w:p w:rsidR="006E56FB" w:rsidRPr="00C32FFF" w:rsidRDefault="006E56FB" w:rsidP="006E56FB">
      <w:pPr>
        <w:ind w:left="851"/>
        <w:rPr>
          <w:sz w:val="24"/>
          <w:szCs w:val="24"/>
        </w:rPr>
      </w:pPr>
      <w:r w:rsidRPr="00C32FFF">
        <w:rPr>
          <w:sz w:val="24"/>
          <w:szCs w:val="24"/>
        </w:rPr>
        <w:t>Hvis en dosis over 5 mg topotecan påkræves, anvendes et større volumen infusionsvæske som hjælpestof, så en koncentration på 0,05 mg/ml topotecan ikke overskrides.</w:t>
      </w:r>
    </w:p>
    <w:p w:rsidR="006E56FB" w:rsidRPr="00C32FFF" w:rsidRDefault="006E56FB" w:rsidP="006E56FB">
      <w:pPr>
        <w:autoSpaceDE w:val="0"/>
        <w:autoSpaceDN w:val="0"/>
        <w:adjustRightInd w:val="0"/>
        <w:ind w:left="851"/>
        <w:rPr>
          <w:color w:val="000000"/>
          <w:sz w:val="24"/>
          <w:szCs w:val="24"/>
        </w:rPr>
      </w:pPr>
      <w:r w:rsidRPr="00C32FFF">
        <w:rPr>
          <w:sz w:val="24"/>
          <w:szCs w:val="24"/>
        </w:rPr>
        <w:t>Infusionsposen eller flasken blandes manuelt med en vuggende bevægelse.</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color w:val="000000"/>
          <w:sz w:val="24"/>
          <w:szCs w:val="24"/>
          <w:u w:val="single"/>
        </w:rPr>
      </w:pPr>
      <w:r w:rsidRPr="00C32FFF">
        <w:rPr>
          <w:sz w:val="24"/>
          <w:szCs w:val="24"/>
          <w:u w:val="single"/>
        </w:rPr>
        <w:t>Generelle forholdsregler</w:t>
      </w:r>
    </w:p>
    <w:p w:rsidR="006E56FB" w:rsidRPr="00C32FFF" w:rsidRDefault="006E56FB" w:rsidP="006E56FB">
      <w:pPr>
        <w:autoSpaceDE w:val="0"/>
        <w:autoSpaceDN w:val="0"/>
        <w:adjustRightInd w:val="0"/>
        <w:ind w:left="851"/>
        <w:rPr>
          <w:color w:val="000000"/>
          <w:sz w:val="24"/>
          <w:szCs w:val="24"/>
        </w:rPr>
      </w:pPr>
      <w:r w:rsidRPr="00C32FFF">
        <w:rPr>
          <w:sz w:val="24"/>
          <w:szCs w:val="24"/>
        </w:rPr>
        <w:t>De normale procedurer for korrekt håndtering og bortskaffelse af anticancermedicin skal overholdes, dvs.:</w:t>
      </w:r>
    </w:p>
    <w:p w:rsidR="006E56FB" w:rsidRPr="00C32FFF" w:rsidRDefault="006E56FB" w:rsidP="006E56FB">
      <w:pPr>
        <w:numPr>
          <w:ilvl w:val="0"/>
          <w:numId w:val="14"/>
        </w:numPr>
        <w:autoSpaceDE w:val="0"/>
        <w:autoSpaceDN w:val="0"/>
        <w:adjustRightInd w:val="0"/>
        <w:snapToGrid w:val="0"/>
        <w:ind w:left="851" w:firstLine="0"/>
        <w:rPr>
          <w:color w:val="000000"/>
          <w:sz w:val="24"/>
          <w:szCs w:val="24"/>
        </w:rPr>
      </w:pPr>
      <w:r w:rsidRPr="00C32FFF">
        <w:rPr>
          <w:sz w:val="24"/>
          <w:szCs w:val="24"/>
        </w:rPr>
        <w:t>Personalet skal oplæres i fortynding af lægemidlet.</w:t>
      </w:r>
    </w:p>
    <w:p w:rsidR="006E56FB" w:rsidRPr="00C32FFF" w:rsidRDefault="006E56FB" w:rsidP="006E56FB">
      <w:pPr>
        <w:numPr>
          <w:ilvl w:val="0"/>
          <w:numId w:val="14"/>
        </w:numPr>
        <w:autoSpaceDE w:val="0"/>
        <w:autoSpaceDN w:val="0"/>
        <w:adjustRightInd w:val="0"/>
        <w:snapToGrid w:val="0"/>
        <w:ind w:left="851" w:firstLine="0"/>
        <w:rPr>
          <w:color w:val="000000"/>
          <w:sz w:val="24"/>
          <w:szCs w:val="24"/>
        </w:rPr>
      </w:pPr>
      <w:r w:rsidRPr="00C32FFF">
        <w:rPr>
          <w:sz w:val="24"/>
          <w:szCs w:val="24"/>
        </w:rPr>
        <w:t>Gravide kvinder blandt personalet må ikke arbejde med dette lægemiddel.</w:t>
      </w:r>
    </w:p>
    <w:p w:rsidR="006E56FB" w:rsidRPr="00C32FFF" w:rsidRDefault="006E56FB" w:rsidP="006E56FB">
      <w:pPr>
        <w:numPr>
          <w:ilvl w:val="0"/>
          <w:numId w:val="14"/>
        </w:numPr>
        <w:autoSpaceDE w:val="0"/>
        <w:autoSpaceDN w:val="0"/>
        <w:adjustRightInd w:val="0"/>
        <w:snapToGrid w:val="0"/>
        <w:ind w:left="1304" w:hanging="453"/>
        <w:rPr>
          <w:color w:val="000000"/>
          <w:sz w:val="24"/>
          <w:szCs w:val="24"/>
        </w:rPr>
      </w:pPr>
      <w:r w:rsidRPr="00C32FFF">
        <w:rPr>
          <w:sz w:val="24"/>
          <w:szCs w:val="24"/>
        </w:rPr>
        <w:lastRenderedPageBreak/>
        <w:t>Personale, som håndterer dette lægemiddel, skal bære beskyttelsesdragt, herunder maske, beskyttelsesbriller og handsker.</w:t>
      </w:r>
    </w:p>
    <w:p w:rsidR="006E56FB" w:rsidRPr="00C32FFF" w:rsidRDefault="006E56FB" w:rsidP="006E56FB">
      <w:pPr>
        <w:numPr>
          <w:ilvl w:val="0"/>
          <w:numId w:val="14"/>
        </w:numPr>
        <w:autoSpaceDE w:val="0"/>
        <w:autoSpaceDN w:val="0"/>
        <w:adjustRightInd w:val="0"/>
        <w:snapToGrid w:val="0"/>
        <w:ind w:left="1304" w:hanging="453"/>
        <w:rPr>
          <w:sz w:val="24"/>
          <w:szCs w:val="24"/>
        </w:rPr>
      </w:pPr>
      <w:r w:rsidRPr="00C32FFF">
        <w:rPr>
          <w:sz w:val="24"/>
          <w:szCs w:val="24"/>
        </w:rPr>
        <w:t>Alle genstande, som er brugt under administration eller rengøring, herunder handsker, skal anbringes i højrisikoaffaldsposer til forbrænding ved høj temperatur.</w:t>
      </w:r>
      <w:r w:rsidRPr="00C32FFF">
        <w:rPr>
          <w:color w:val="000000"/>
          <w:sz w:val="24"/>
          <w:szCs w:val="24"/>
        </w:rPr>
        <w:t xml:space="preserve"> </w:t>
      </w:r>
      <w:r w:rsidRPr="00C32FFF">
        <w:rPr>
          <w:sz w:val="24"/>
          <w:szCs w:val="24"/>
        </w:rPr>
        <w:t>Flydende affald kan skylles ud med rigelige mængder vand.</w:t>
      </w:r>
    </w:p>
    <w:p w:rsidR="006E56FB" w:rsidRPr="00C32FFF" w:rsidRDefault="006E56FB" w:rsidP="006E56FB">
      <w:pPr>
        <w:numPr>
          <w:ilvl w:val="0"/>
          <w:numId w:val="14"/>
        </w:numPr>
        <w:autoSpaceDE w:val="0"/>
        <w:autoSpaceDN w:val="0"/>
        <w:adjustRightInd w:val="0"/>
        <w:snapToGrid w:val="0"/>
        <w:ind w:left="1304" w:hanging="453"/>
        <w:rPr>
          <w:color w:val="000000"/>
          <w:sz w:val="24"/>
          <w:szCs w:val="24"/>
        </w:rPr>
      </w:pPr>
      <w:r w:rsidRPr="00C32FFF">
        <w:rPr>
          <w:sz w:val="24"/>
          <w:szCs w:val="24"/>
        </w:rPr>
        <w:t>Hvis man ved et uheld får lægemidlet på huden eller i øjnene, skal der straks skylles med rigelige mængder vand.</w:t>
      </w:r>
    </w:p>
    <w:p w:rsidR="006E56FB" w:rsidRPr="00C32FFF" w:rsidRDefault="006E56FB" w:rsidP="006E56FB">
      <w:pPr>
        <w:autoSpaceDE w:val="0"/>
        <w:autoSpaceDN w:val="0"/>
        <w:adjustRightInd w:val="0"/>
        <w:ind w:left="851"/>
        <w:rPr>
          <w:color w:val="000000"/>
          <w:sz w:val="24"/>
          <w:szCs w:val="24"/>
        </w:rPr>
      </w:pPr>
    </w:p>
    <w:p w:rsidR="006E56FB" w:rsidRPr="00C32FFF" w:rsidRDefault="006E56FB" w:rsidP="006E56FB">
      <w:pPr>
        <w:autoSpaceDE w:val="0"/>
        <w:autoSpaceDN w:val="0"/>
        <w:adjustRightInd w:val="0"/>
        <w:ind w:left="851"/>
        <w:rPr>
          <w:iCs/>
          <w:sz w:val="24"/>
          <w:szCs w:val="24"/>
        </w:rPr>
      </w:pPr>
      <w:r w:rsidRPr="00C32FFF">
        <w:rPr>
          <w:iCs/>
          <w:sz w:val="24"/>
          <w:szCs w:val="24"/>
        </w:rPr>
        <w:t>Ikke anvendt lægemid</w:t>
      </w:r>
      <w:r>
        <w:rPr>
          <w:iCs/>
          <w:sz w:val="24"/>
          <w:szCs w:val="24"/>
        </w:rPr>
        <w:t>del</w:t>
      </w:r>
      <w:r w:rsidRPr="00C32FFF">
        <w:rPr>
          <w:iCs/>
          <w:sz w:val="24"/>
          <w:szCs w:val="24"/>
        </w:rPr>
        <w:t xml:space="preserve"> samt affald heraf </w:t>
      </w:r>
      <w:r>
        <w:rPr>
          <w:iCs/>
          <w:sz w:val="24"/>
          <w:szCs w:val="24"/>
        </w:rPr>
        <w:t xml:space="preserve">skal bortskaffes </w:t>
      </w:r>
      <w:r w:rsidRPr="00C32FFF">
        <w:rPr>
          <w:iCs/>
          <w:sz w:val="24"/>
          <w:szCs w:val="24"/>
        </w:rPr>
        <w:t>i henhold til lokale retningslinjer.</w:t>
      </w:r>
    </w:p>
    <w:p w:rsidR="006E56FB" w:rsidRPr="00C32FFF" w:rsidRDefault="006E56FB" w:rsidP="006E56FB">
      <w:pPr>
        <w:autoSpaceDE w:val="0"/>
        <w:autoSpaceDN w:val="0"/>
        <w:adjustRightInd w:val="0"/>
        <w:ind w:left="851" w:hanging="851"/>
        <w:rPr>
          <w:color w:val="000000"/>
          <w:sz w:val="24"/>
          <w:szCs w:val="24"/>
        </w:rPr>
      </w:pPr>
    </w:p>
    <w:p w:rsidR="006E56FB" w:rsidRPr="00C32FFF" w:rsidRDefault="006E56FB" w:rsidP="006E56FB">
      <w:pPr>
        <w:autoSpaceDE w:val="0"/>
        <w:autoSpaceDN w:val="0"/>
        <w:adjustRightInd w:val="0"/>
        <w:ind w:left="851"/>
        <w:rPr>
          <w:sz w:val="24"/>
          <w:szCs w:val="24"/>
        </w:rPr>
      </w:pPr>
      <w:r w:rsidRPr="00C32FFF">
        <w:rPr>
          <w:sz w:val="24"/>
          <w:szCs w:val="24"/>
        </w:rPr>
        <w:t>Dette lægemiddel er kun til engangsbrug.</w:t>
      </w:r>
      <w:r w:rsidRPr="00C32FFF">
        <w:rPr>
          <w:color w:val="000000"/>
          <w:sz w:val="24"/>
          <w:szCs w:val="24"/>
        </w:rPr>
        <w:t xml:space="preserve"> </w:t>
      </w:r>
    </w:p>
    <w:p w:rsidR="006E56FB" w:rsidRPr="00C32FFF" w:rsidRDefault="006E56FB" w:rsidP="006E56FB">
      <w:pPr>
        <w:tabs>
          <w:tab w:val="left" w:pos="851"/>
        </w:tabs>
        <w:ind w:left="851" w:hanging="851"/>
        <w:jc w:val="both"/>
        <w:rPr>
          <w:sz w:val="24"/>
          <w:szCs w:val="24"/>
        </w:rPr>
      </w:pPr>
    </w:p>
    <w:p w:rsidR="006E56FB" w:rsidRPr="00C32FFF" w:rsidRDefault="006E56FB" w:rsidP="006E56FB">
      <w:pPr>
        <w:tabs>
          <w:tab w:val="left" w:pos="851"/>
        </w:tabs>
        <w:ind w:left="851" w:hanging="851"/>
        <w:rPr>
          <w:b/>
          <w:sz w:val="24"/>
          <w:szCs w:val="24"/>
        </w:rPr>
      </w:pPr>
      <w:r w:rsidRPr="00C32FFF">
        <w:rPr>
          <w:b/>
          <w:sz w:val="24"/>
          <w:szCs w:val="24"/>
        </w:rPr>
        <w:t>7.</w:t>
      </w:r>
      <w:r w:rsidRPr="00C32FFF">
        <w:rPr>
          <w:b/>
          <w:sz w:val="24"/>
          <w:szCs w:val="24"/>
        </w:rPr>
        <w:tab/>
        <w:t>INDEHAVER AF MARKEDSFØRINGSTILLADELSEN</w:t>
      </w:r>
    </w:p>
    <w:p w:rsidR="006E56FB" w:rsidRDefault="006E56FB" w:rsidP="006E56FB">
      <w:pPr>
        <w:tabs>
          <w:tab w:val="left" w:pos="851"/>
        </w:tabs>
        <w:ind w:left="851" w:hanging="851"/>
        <w:rPr>
          <w:snapToGrid w:val="0"/>
          <w:sz w:val="24"/>
          <w:szCs w:val="24"/>
        </w:rPr>
      </w:pPr>
      <w:r w:rsidRPr="00C32FFF">
        <w:rPr>
          <w:sz w:val="24"/>
          <w:szCs w:val="24"/>
        </w:rPr>
        <w:tab/>
      </w:r>
      <w:r w:rsidRPr="00CE23B8">
        <w:rPr>
          <w:snapToGrid w:val="0"/>
          <w:sz w:val="24"/>
          <w:szCs w:val="24"/>
        </w:rPr>
        <w:t>Ebewe Pharma Ges.m.b.H. Nfg.KG</w:t>
      </w:r>
      <w:r w:rsidRPr="00CE23B8">
        <w:rPr>
          <w:snapToGrid w:val="0"/>
          <w:sz w:val="24"/>
          <w:szCs w:val="24"/>
        </w:rPr>
        <w:br/>
        <w:t xml:space="preserve">Mondseestraße 11 </w:t>
      </w:r>
      <w:r w:rsidRPr="00CE23B8">
        <w:rPr>
          <w:snapToGrid w:val="0"/>
          <w:sz w:val="24"/>
          <w:szCs w:val="24"/>
        </w:rPr>
        <w:br/>
        <w:t xml:space="preserve">A-4866 Unterach </w:t>
      </w:r>
    </w:p>
    <w:p w:rsidR="006E56FB" w:rsidRPr="00CE23B8" w:rsidRDefault="006E56FB" w:rsidP="006E56FB">
      <w:pPr>
        <w:tabs>
          <w:tab w:val="left" w:pos="851"/>
        </w:tabs>
        <w:ind w:left="851" w:hanging="851"/>
        <w:rPr>
          <w:snapToGrid w:val="0"/>
          <w:sz w:val="24"/>
          <w:szCs w:val="24"/>
        </w:rPr>
      </w:pPr>
      <w:r>
        <w:rPr>
          <w:snapToGrid w:val="0"/>
          <w:sz w:val="24"/>
          <w:szCs w:val="24"/>
        </w:rPr>
        <w:tab/>
        <w:t>Østrig</w:t>
      </w:r>
    </w:p>
    <w:p w:rsidR="006E56FB" w:rsidRPr="00CE23B8" w:rsidRDefault="006E56FB" w:rsidP="006E56FB">
      <w:pPr>
        <w:tabs>
          <w:tab w:val="left" w:pos="851"/>
        </w:tabs>
        <w:ind w:left="851" w:hanging="851"/>
        <w:rPr>
          <w:sz w:val="24"/>
          <w:szCs w:val="24"/>
        </w:rPr>
      </w:pPr>
    </w:p>
    <w:p w:rsidR="006E56FB" w:rsidRPr="00C32FFF" w:rsidRDefault="006E56FB" w:rsidP="006E56FB">
      <w:pPr>
        <w:tabs>
          <w:tab w:val="left" w:pos="851"/>
        </w:tabs>
        <w:ind w:left="851" w:hanging="851"/>
        <w:rPr>
          <w:b/>
          <w:sz w:val="24"/>
          <w:szCs w:val="24"/>
        </w:rPr>
      </w:pPr>
      <w:r w:rsidRPr="00C32FFF">
        <w:rPr>
          <w:b/>
          <w:sz w:val="24"/>
          <w:szCs w:val="24"/>
        </w:rPr>
        <w:t>8.</w:t>
      </w:r>
      <w:r w:rsidRPr="00C32FFF">
        <w:rPr>
          <w:b/>
          <w:sz w:val="24"/>
          <w:szCs w:val="24"/>
        </w:rPr>
        <w:tab/>
        <w:t>MARKEDSFØRINGSTILLADELSESNUMMER (NUMRE)</w:t>
      </w:r>
    </w:p>
    <w:p w:rsidR="006E56FB" w:rsidRPr="00C32FFF" w:rsidRDefault="006E56FB" w:rsidP="006E56FB">
      <w:pPr>
        <w:tabs>
          <w:tab w:val="left" w:pos="851"/>
        </w:tabs>
        <w:ind w:left="851" w:hanging="851"/>
        <w:rPr>
          <w:sz w:val="24"/>
          <w:szCs w:val="24"/>
        </w:rPr>
      </w:pPr>
      <w:r w:rsidRPr="00C32FFF">
        <w:rPr>
          <w:sz w:val="24"/>
          <w:szCs w:val="24"/>
        </w:rPr>
        <w:tab/>
        <w:t>45500</w:t>
      </w:r>
    </w:p>
    <w:p w:rsidR="006E56FB" w:rsidRPr="00C32FFF" w:rsidRDefault="006E56FB" w:rsidP="006E56FB">
      <w:pPr>
        <w:tabs>
          <w:tab w:val="left" w:pos="851"/>
        </w:tabs>
        <w:ind w:left="851" w:hanging="851"/>
        <w:jc w:val="both"/>
        <w:rPr>
          <w:sz w:val="24"/>
          <w:szCs w:val="24"/>
        </w:rPr>
      </w:pPr>
    </w:p>
    <w:p w:rsidR="006E56FB" w:rsidRPr="00C32FFF" w:rsidRDefault="006E56FB" w:rsidP="006E56FB">
      <w:pPr>
        <w:tabs>
          <w:tab w:val="left" w:pos="851"/>
        </w:tabs>
        <w:ind w:left="851" w:hanging="851"/>
        <w:rPr>
          <w:b/>
          <w:sz w:val="24"/>
          <w:szCs w:val="24"/>
        </w:rPr>
      </w:pPr>
      <w:r w:rsidRPr="00C32FFF">
        <w:rPr>
          <w:b/>
          <w:sz w:val="24"/>
          <w:szCs w:val="24"/>
        </w:rPr>
        <w:t>9.</w:t>
      </w:r>
      <w:r w:rsidRPr="00C32FFF">
        <w:rPr>
          <w:b/>
          <w:sz w:val="24"/>
          <w:szCs w:val="24"/>
        </w:rPr>
        <w:tab/>
        <w:t>DATO FOR FØRSTE MARKEDSFØRINGSTILLADELSE</w:t>
      </w:r>
    </w:p>
    <w:p w:rsidR="006E56FB" w:rsidRPr="00C32FFF" w:rsidRDefault="006E56FB" w:rsidP="006E56FB">
      <w:pPr>
        <w:tabs>
          <w:tab w:val="left" w:pos="851"/>
        </w:tabs>
        <w:ind w:left="851" w:hanging="851"/>
        <w:rPr>
          <w:sz w:val="24"/>
          <w:szCs w:val="24"/>
        </w:rPr>
      </w:pPr>
      <w:r w:rsidRPr="00C32FFF">
        <w:rPr>
          <w:sz w:val="24"/>
          <w:szCs w:val="24"/>
        </w:rPr>
        <w:tab/>
        <w:t>20. juli 2011</w:t>
      </w:r>
    </w:p>
    <w:p w:rsidR="006E56FB" w:rsidRPr="00C32FFF" w:rsidRDefault="006E56FB" w:rsidP="006E56FB">
      <w:pPr>
        <w:tabs>
          <w:tab w:val="left" w:pos="851"/>
        </w:tabs>
        <w:ind w:left="851" w:hanging="851"/>
        <w:rPr>
          <w:sz w:val="24"/>
          <w:szCs w:val="24"/>
        </w:rPr>
      </w:pPr>
    </w:p>
    <w:p w:rsidR="006E56FB" w:rsidRPr="00C32FFF" w:rsidRDefault="006E56FB" w:rsidP="006E56FB">
      <w:pPr>
        <w:tabs>
          <w:tab w:val="left" w:pos="851"/>
        </w:tabs>
        <w:ind w:left="851" w:hanging="851"/>
        <w:rPr>
          <w:b/>
          <w:sz w:val="24"/>
          <w:szCs w:val="24"/>
        </w:rPr>
      </w:pPr>
      <w:r w:rsidRPr="00C32FFF">
        <w:rPr>
          <w:b/>
          <w:sz w:val="24"/>
          <w:szCs w:val="24"/>
        </w:rPr>
        <w:t>10.</w:t>
      </w:r>
      <w:r w:rsidRPr="00C32FFF">
        <w:rPr>
          <w:b/>
          <w:sz w:val="24"/>
          <w:szCs w:val="24"/>
        </w:rPr>
        <w:tab/>
        <w:t>DATO FOR ÆNDRING AF TEKSTEN</w:t>
      </w:r>
    </w:p>
    <w:p w:rsidR="006E56FB" w:rsidRPr="00C32FFF" w:rsidRDefault="006E56FB" w:rsidP="006E56FB">
      <w:pPr>
        <w:tabs>
          <w:tab w:val="left" w:pos="851"/>
        </w:tabs>
        <w:ind w:left="851" w:hanging="851"/>
        <w:rPr>
          <w:sz w:val="24"/>
          <w:szCs w:val="24"/>
        </w:rPr>
      </w:pPr>
      <w:r w:rsidRPr="00C32FFF">
        <w:rPr>
          <w:sz w:val="24"/>
          <w:szCs w:val="24"/>
        </w:rPr>
        <w:tab/>
      </w:r>
      <w:r w:rsidR="00AC7458">
        <w:rPr>
          <w:sz w:val="24"/>
          <w:szCs w:val="24"/>
        </w:rPr>
        <w:t>24</w:t>
      </w:r>
      <w:r w:rsidR="00E7345C">
        <w:rPr>
          <w:sz w:val="24"/>
          <w:szCs w:val="24"/>
        </w:rPr>
        <w:t>. november 2021</w:t>
      </w:r>
    </w:p>
    <w:p w:rsidR="006E56FB" w:rsidRPr="00F83C83" w:rsidRDefault="006E56FB" w:rsidP="006E56FB"/>
    <w:p w:rsidR="006E56FB" w:rsidRPr="00F438BC" w:rsidRDefault="006E56FB" w:rsidP="006E56FB"/>
    <w:p w:rsidR="009260DE" w:rsidRPr="006E56FB" w:rsidRDefault="009260DE" w:rsidP="006E56FB"/>
    <w:sectPr w:rsidR="009260DE" w:rsidRPr="006E56F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45C" w:rsidRDefault="00E7345C">
      <w:r>
        <w:separator/>
      </w:r>
    </w:p>
  </w:endnote>
  <w:endnote w:type="continuationSeparator" w:id="0">
    <w:p w:rsidR="00E7345C" w:rsidRDefault="00E7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5C" w:rsidRDefault="00E7345C">
    <w:pPr>
      <w:pStyle w:val="Sidefod"/>
      <w:pBdr>
        <w:bottom w:val="single" w:sz="6" w:space="1" w:color="auto"/>
      </w:pBdr>
    </w:pPr>
  </w:p>
  <w:p w:rsidR="00E7345C" w:rsidRDefault="00E7345C" w:rsidP="00C42586">
    <w:pPr>
      <w:pStyle w:val="Sidefod"/>
      <w:tabs>
        <w:tab w:val="clear" w:pos="4819"/>
        <w:tab w:val="left" w:pos="8505"/>
      </w:tabs>
      <w:rPr>
        <w:i/>
        <w:sz w:val="18"/>
        <w:szCs w:val="18"/>
      </w:rPr>
    </w:pPr>
  </w:p>
  <w:p w:rsidR="00E7345C" w:rsidRPr="00B373D7" w:rsidRDefault="00E7345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Topotecan Ebewe, koncentrat til infusionsvæske,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45C" w:rsidRDefault="00E7345C">
      <w:r>
        <w:separator/>
      </w:r>
    </w:p>
  </w:footnote>
  <w:footnote w:type="continuationSeparator" w:id="0">
    <w:p w:rsidR="00E7345C" w:rsidRDefault="00E7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03E"/>
    <w:multiLevelType w:val="hybridMultilevel"/>
    <w:tmpl w:val="CE6C804C"/>
    <w:lvl w:ilvl="0" w:tplc="70F6122E">
      <w:start w:val="4"/>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02703E8"/>
    <w:multiLevelType w:val="hybridMultilevel"/>
    <w:tmpl w:val="FF2840E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A43111F"/>
    <w:multiLevelType w:val="multilevel"/>
    <w:tmpl w:val="6212AB82"/>
    <w:lvl w:ilvl="0">
      <w:start w:val="4"/>
      <w:numFmt w:val="decimal"/>
      <w:lvlText w:val="%1."/>
      <w:lvlJc w:val="left"/>
      <w:pPr>
        <w:tabs>
          <w:tab w:val="num" w:pos="855"/>
        </w:tabs>
        <w:ind w:left="855" w:hanging="855"/>
      </w:pPr>
      <w:rPr>
        <w:rFonts w:hint="default"/>
      </w:rPr>
    </w:lvl>
    <w:lvl w:ilvl="1">
      <w:start w:val="7"/>
      <w:numFmt w:val="decimal"/>
      <w:isLgl/>
      <w:lvlText w:val="%1.%2"/>
      <w:lvlJc w:val="left"/>
      <w:pPr>
        <w:tabs>
          <w:tab w:val="num" w:pos="855"/>
        </w:tabs>
        <w:ind w:left="855" w:hanging="855"/>
      </w:pPr>
      <w:rPr>
        <w:rFonts w:hint="default"/>
        <w:strike w:val="0"/>
        <w:dstrike w:val="0"/>
        <w:u w:val="none"/>
        <w:effect w:val="none"/>
      </w:rPr>
    </w:lvl>
    <w:lvl w:ilvl="2">
      <w:start w:val="1"/>
      <w:numFmt w:val="decimal"/>
      <w:isLgl/>
      <w:lvlText w:val="%1.%2.%3"/>
      <w:lvlJc w:val="left"/>
      <w:pPr>
        <w:tabs>
          <w:tab w:val="num" w:pos="855"/>
        </w:tabs>
        <w:ind w:left="855" w:hanging="855"/>
      </w:pPr>
      <w:rPr>
        <w:rFonts w:hint="default"/>
        <w:strike w:val="0"/>
        <w:dstrike w:val="0"/>
        <w:u w:val="none"/>
        <w:effect w:val="none"/>
      </w:rPr>
    </w:lvl>
    <w:lvl w:ilvl="3">
      <w:start w:val="1"/>
      <w:numFmt w:val="decimal"/>
      <w:isLgl/>
      <w:lvlText w:val="%1.%2.%3.%4"/>
      <w:lvlJc w:val="left"/>
      <w:pPr>
        <w:tabs>
          <w:tab w:val="num" w:pos="855"/>
        </w:tabs>
        <w:ind w:left="855" w:hanging="855"/>
      </w:pPr>
      <w:rPr>
        <w:rFonts w:hint="default"/>
        <w:strike w:val="0"/>
        <w:dstrike w:val="0"/>
        <w:u w:val="none"/>
        <w:effect w:val="none"/>
      </w:rPr>
    </w:lvl>
    <w:lvl w:ilvl="4">
      <w:start w:val="1"/>
      <w:numFmt w:val="decimal"/>
      <w:isLgl/>
      <w:lvlText w:val="%1.%2.%3.%4.%5"/>
      <w:lvlJc w:val="left"/>
      <w:pPr>
        <w:tabs>
          <w:tab w:val="num" w:pos="1080"/>
        </w:tabs>
        <w:ind w:left="1080" w:hanging="1080"/>
      </w:pPr>
      <w:rPr>
        <w:rFonts w:hint="default"/>
        <w:strike w:val="0"/>
        <w:dstrike w:val="0"/>
        <w:u w:val="none"/>
        <w:effect w:val="none"/>
      </w:rPr>
    </w:lvl>
    <w:lvl w:ilvl="5">
      <w:start w:val="1"/>
      <w:numFmt w:val="decimal"/>
      <w:isLgl/>
      <w:lvlText w:val="%1.%2.%3.%4.%5.%6"/>
      <w:lvlJc w:val="left"/>
      <w:pPr>
        <w:tabs>
          <w:tab w:val="num" w:pos="1080"/>
        </w:tabs>
        <w:ind w:left="1080" w:hanging="1080"/>
      </w:pPr>
      <w:rPr>
        <w:rFonts w:hint="default"/>
        <w:strike w:val="0"/>
        <w:dstrike w:val="0"/>
        <w:u w:val="none"/>
        <w:effect w:val="none"/>
      </w:rPr>
    </w:lvl>
    <w:lvl w:ilvl="6">
      <w:start w:val="1"/>
      <w:numFmt w:val="decimal"/>
      <w:isLgl/>
      <w:lvlText w:val="%1.%2.%3.%4.%5.%6.%7"/>
      <w:lvlJc w:val="left"/>
      <w:pPr>
        <w:tabs>
          <w:tab w:val="num" w:pos="1440"/>
        </w:tabs>
        <w:ind w:left="1440" w:hanging="1440"/>
      </w:pPr>
      <w:rPr>
        <w:rFonts w:hint="default"/>
        <w:strike w:val="0"/>
        <w:dstrike w:val="0"/>
        <w:u w:val="none"/>
        <w:effect w:val="none"/>
      </w:rPr>
    </w:lvl>
    <w:lvl w:ilvl="7">
      <w:start w:val="1"/>
      <w:numFmt w:val="decimal"/>
      <w:isLgl/>
      <w:lvlText w:val="%1.%2.%3.%4.%5.%6.%7.%8"/>
      <w:lvlJc w:val="left"/>
      <w:pPr>
        <w:tabs>
          <w:tab w:val="num" w:pos="1440"/>
        </w:tabs>
        <w:ind w:left="1440" w:hanging="1440"/>
      </w:pPr>
      <w:rPr>
        <w:rFonts w:hint="default"/>
        <w:strike w:val="0"/>
        <w:dstrike w:val="0"/>
        <w:u w:val="none"/>
        <w:effect w:val="none"/>
      </w:rPr>
    </w:lvl>
    <w:lvl w:ilvl="8">
      <w:start w:val="1"/>
      <w:numFmt w:val="decimal"/>
      <w:isLgl/>
      <w:lvlText w:val="%1.%2.%3.%4.%5.%6.%7.%8.%9"/>
      <w:lvlJc w:val="left"/>
      <w:pPr>
        <w:tabs>
          <w:tab w:val="num" w:pos="1800"/>
        </w:tabs>
        <w:ind w:left="1800" w:hanging="1800"/>
      </w:pPr>
      <w:rPr>
        <w:rFonts w:hint="default"/>
        <w:strike w:val="0"/>
        <w:dstrike w:val="0"/>
        <w:u w:val="none"/>
        <w:effect w:val="no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9F7466"/>
    <w:multiLevelType w:val="hybridMultilevel"/>
    <w:tmpl w:val="7FF6951A"/>
    <w:lvl w:ilvl="0" w:tplc="0406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Times New Roman"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Times New Roman"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Times New Roman"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39B063EB"/>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0"/>
  </w:num>
  <w:num w:numId="9">
    <w:abstractNumId w:val="8"/>
  </w:num>
  <w:num w:numId="10">
    <w:abstractNumId w:val="1"/>
  </w:num>
  <w:num w:numId="11">
    <w:abstractNumId w:val="0"/>
  </w:num>
  <w:num w:numId="12">
    <w:abstractNumId w:val="7"/>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FB"/>
    <w:rsid w:val="000259B9"/>
    <w:rsid w:val="00041491"/>
    <w:rsid w:val="00050D16"/>
    <w:rsid w:val="0005167D"/>
    <w:rsid w:val="00074F2A"/>
    <w:rsid w:val="000A1CA8"/>
    <w:rsid w:val="000A466B"/>
    <w:rsid w:val="000B058C"/>
    <w:rsid w:val="000E4EE6"/>
    <w:rsid w:val="00127EFC"/>
    <w:rsid w:val="001348E7"/>
    <w:rsid w:val="001454E2"/>
    <w:rsid w:val="00206CE8"/>
    <w:rsid w:val="0021526C"/>
    <w:rsid w:val="00255151"/>
    <w:rsid w:val="00283A2B"/>
    <w:rsid w:val="002B30AD"/>
    <w:rsid w:val="002C2C01"/>
    <w:rsid w:val="002C7CCE"/>
    <w:rsid w:val="003A29AE"/>
    <w:rsid w:val="003A32D7"/>
    <w:rsid w:val="003B4074"/>
    <w:rsid w:val="003C769A"/>
    <w:rsid w:val="003F1838"/>
    <w:rsid w:val="0045746C"/>
    <w:rsid w:val="0049104B"/>
    <w:rsid w:val="004E3B12"/>
    <w:rsid w:val="00513818"/>
    <w:rsid w:val="00532310"/>
    <w:rsid w:val="00560ECC"/>
    <w:rsid w:val="00565F0F"/>
    <w:rsid w:val="00594A86"/>
    <w:rsid w:val="00596D86"/>
    <w:rsid w:val="005A45EA"/>
    <w:rsid w:val="00637F5A"/>
    <w:rsid w:val="006560B1"/>
    <w:rsid w:val="006756DD"/>
    <w:rsid w:val="006E56FB"/>
    <w:rsid w:val="00737275"/>
    <w:rsid w:val="00740EEC"/>
    <w:rsid w:val="0078011A"/>
    <w:rsid w:val="00782AF4"/>
    <w:rsid w:val="00790EE7"/>
    <w:rsid w:val="007B6649"/>
    <w:rsid w:val="0081546F"/>
    <w:rsid w:val="0082576E"/>
    <w:rsid w:val="00907F75"/>
    <w:rsid w:val="009260DE"/>
    <w:rsid w:val="0093258A"/>
    <w:rsid w:val="009C7BA3"/>
    <w:rsid w:val="009D1F5A"/>
    <w:rsid w:val="00A75A90"/>
    <w:rsid w:val="00AC7458"/>
    <w:rsid w:val="00AD3F08"/>
    <w:rsid w:val="00B003BF"/>
    <w:rsid w:val="00B373D7"/>
    <w:rsid w:val="00B975EF"/>
    <w:rsid w:val="00C36276"/>
    <w:rsid w:val="00C42586"/>
    <w:rsid w:val="00C60CCD"/>
    <w:rsid w:val="00C84483"/>
    <w:rsid w:val="00C95551"/>
    <w:rsid w:val="00CB20D7"/>
    <w:rsid w:val="00D020B0"/>
    <w:rsid w:val="00D11748"/>
    <w:rsid w:val="00D21321"/>
    <w:rsid w:val="00D366CF"/>
    <w:rsid w:val="00E108AA"/>
    <w:rsid w:val="00E31812"/>
    <w:rsid w:val="00E3749A"/>
    <w:rsid w:val="00E7345C"/>
    <w:rsid w:val="00E7437F"/>
    <w:rsid w:val="00E865B8"/>
    <w:rsid w:val="00EC0B9B"/>
    <w:rsid w:val="00ED5E9F"/>
    <w:rsid w:val="00F46DB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25001F6-6D2D-47EC-9F7B-F2E92D2C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6E56FB"/>
    <w:rPr>
      <w:color w:val="808080"/>
    </w:rPr>
  </w:style>
  <w:style w:type="paragraph" w:styleId="Listeafsnit">
    <w:name w:val="List Paragraph"/>
    <w:basedOn w:val="Normal"/>
    <w:uiPriority w:val="34"/>
    <w:qFormat/>
    <w:rsid w:val="006E5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666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16</Pages>
  <Words>5523</Words>
  <Characters>33666</Characters>
  <Application>Microsoft Office Word</Application>
  <DocSecurity>0</DocSecurity>
  <Lines>280</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2021053171_x000d_
Pkt: 5.0, 5.1, 6.5_x000d_
Rettelse foretaget i pkt. 6.5 og 5.0 / BEWA 24-11-2021</dc:description>
  <cp:lastModifiedBy>Betty Winther Andersen</cp:lastModifiedBy>
  <cp:revision>7</cp:revision>
  <cp:lastPrinted>2012-08-22T08:53:00Z</cp:lastPrinted>
  <dcterms:created xsi:type="dcterms:W3CDTF">2021-11-24T11:17:00Z</dcterms:created>
  <dcterms:modified xsi:type="dcterms:W3CDTF">2021-11-24T11:28:00Z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