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8A" w:rsidRPr="00CB304B" w:rsidRDefault="00487D8A" w:rsidP="00487D8A">
      <w:pPr>
        <w:rPr>
          <w:sz w:val="24"/>
          <w:szCs w:val="24"/>
        </w:rPr>
      </w:pPr>
      <w:bookmarkStart w:id="0" w:name="_GoBack"/>
      <w:bookmarkEnd w:id="0"/>
      <w:r w:rsidRPr="00CB304B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88AD23C" wp14:editId="00B033B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304B">
        <w:rPr>
          <w:sz w:val="24"/>
          <w:szCs w:val="24"/>
        </w:rPr>
        <w:br w:type="textWrapping" w:clear="all"/>
      </w:r>
    </w:p>
    <w:p w:rsidR="00487D8A" w:rsidRPr="00CB304B" w:rsidRDefault="00487D8A" w:rsidP="00487D8A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B304B">
        <w:rPr>
          <w:b w:val="0"/>
          <w:szCs w:val="24"/>
          <w:lang w:eastAsia="en-US"/>
        </w:rPr>
        <w:tab/>
      </w:r>
      <w:r w:rsidR="00202226">
        <w:rPr>
          <w:szCs w:val="24"/>
        </w:rPr>
        <w:t>13. juli 2023</w:t>
      </w:r>
    </w:p>
    <w:p w:rsidR="00487D8A" w:rsidRDefault="00487D8A" w:rsidP="00487D8A">
      <w:pPr>
        <w:pStyle w:val="Titel"/>
        <w:jc w:val="left"/>
        <w:rPr>
          <w:b w:val="0"/>
          <w:szCs w:val="24"/>
        </w:rPr>
      </w:pPr>
    </w:p>
    <w:p w:rsidR="00487D8A" w:rsidRPr="00CB304B" w:rsidRDefault="00487D8A" w:rsidP="00487D8A">
      <w:pPr>
        <w:pStyle w:val="Titel"/>
        <w:jc w:val="left"/>
        <w:rPr>
          <w:b w:val="0"/>
          <w:szCs w:val="24"/>
        </w:rPr>
      </w:pPr>
    </w:p>
    <w:p w:rsidR="00487D8A" w:rsidRPr="00CB304B" w:rsidRDefault="00487D8A" w:rsidP="00487D8A">
      <w:pPr>
        <w:pStyle w:val="Titel"/>
        <w:jc w:val="left"/>
        <w:rPr>
          <w:b w:val="0"/>
          <w:szCs w:val="24"/>
        </w:rPr>
      </w:pP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PRODUKTRESUMÉ</w:t>
      </w: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for</w:t>
      </w: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  <w:proofErr w:type="spellStart"/>
      <w:r w:rsidRPr="00CB304B">
        <w:rPr>
          <w:b/>
          <w:sz w:val="24"/>
          <w:szCs w:val="24"/>
        </w:rPr>
        <w:t>Tracafour</w:t>
      </w:r>
      <w:proofErr w:type="spellEnd"/>
      <w:r w:rsidRPr="00CB304B">
        <w:rPr>
          <w:b/>
          <w:sz w:val="24"/>
          <w:szCs w:val="24"/>
        </w:rPr>
        <w:t>, filmovertrukne tabletter</w:t>
      </w:r>
    </w:p>
    <w:p w:rsidR="00487D8A" w:rsidRPr="00CB304B" w:rsidRDefault="00487D8A" w:rsidP="00487D8A">
      <w:pPr>
        <w:jc w:val="both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jc w:val="both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0.</w:t>
      </w:r>
      <w:r w:rsidRPr="00CB304B">
        <w:rPr>
          <w:b/>
          <w:sz w:val="24"/>
          <w:szCs w:val="24"/>
        </w:rPr>
        <w:tab/>
        <w:t>D.SP.NR.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  <w:t>30083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1.</w:t>
      </w:r>
      <w:r w:rsidRPr="00CB304B">
        <w:rPr>
          <w:b/>
          <w:sz w:val="24"/>
          <w:szCs w:val="24"/>
        </w:rPr>
        <w:tab/>
        <w:t>LÆGEMIDLETS NAVN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</w:r>
      <w:proofErr w:type="spellStart"/>
      <w:r w:rsidRPr="00CB304B">
        <w:rPr>
          <w:sz w:val="24"/>
          <w:szCs w:val="24"/>
        </w:rPr>
        <w:t>Tracafour</w:t>
      </w:r>
      <w:proofErr w:type="spellEnd"/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2.</w:t>
      </w:r>
      <w:r w:rsidRPr="00CB304B">
        <w:rPr>
          <w:b/>
          <w:sz w:val="24"/>
          <w:szCs w:val="24"/>
        </w:rPr>
        <w:tab/>
        <w:t>KVALITATIV OG KVANTITATIV SAMMENSÆTNING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  <w:t xml:space="preserve">Hver filmovertrukket tablet indeholder 500 mg </w:t>
      </w:r>
      <w:proofErr w:type="spellStart"/>
      <w:r w:rsidRPr="00CB304B">
        <w:rPr>
          <w:sz w:val="24"/>
          <w:szCs w:val="24"/>
        </w:rPr>
        <w:t>tranexamsyre</w:t>
      </w:r>
      <w:proofErr w:type="spellEnd"/>
      <w:r w:rsidRPr="00CB304B">
        <w:rPr>
          <w:sz w:val="24"/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Alle hjælpestoffer er anført under pkt. 6.1.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3.</w:t>
      </w:r>
      <w:r w:rsidRPr="00CB304B">
        <w:rPr>
          <w:b/>
          <w:sz w:val="24"/>
          <w:szCs w:val="24"/>
        </w:rPr>
        <w:tab/>
        <w:t>LÆGEMIDDELFORM</w:t>
      </w: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pacing w:val="-3"/>
          <w:sz w:val="24"/>
          <w:szCs w:val="24"/>
        </w:rPr>
        <w:t>Filmovertrukne tabletter</w:t>
      </w:r>
    </w:p>
    <w:p w:rsidR="00487D8A" w:rsidRPr="00CB304B" w:rsidRDefault="00487D8A" w:rsidP="00487D8A">
      <w:pPr>
        <w:suppressAutoHyphens/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suppressAutoHyphens/>
        <w:ind w:left="851"/>
        <w:rPr>
          <w:szCs w:val="24"/>
        </w:rPr>
      </w:pPr>
      <w:r w:rsidRPr="00CB304B">
        <w:rPr>
          <w:szCs w:val="24"/>
        </w:rPr>
        <w:t xml:space="preserve">Kapselformede, </w:t>
      </w:r>
      <w:proofErr w:type="spellStart"/>
      <w:r w:rsidRPr="00CB304B">
        <w:rPr>
          <w:szCs w:val="24"/>
        </w:rPr>
        <w:t>bikonvekse</w:t>
      </w:r>
      <w:proofErr w:type="spellEnd"/>
      <w:r w:rsidRPr="00CB304B">
        <w:rPr>
          <w:szCs w:val="24"/>
        </w:rPr>
        <w:t xml:space="preserve"> filmovertrukne tabletter med en delekærv på den ene side og "500" præget på den anden side.</w:t>
      </w:r>
    </w:p>
    <w:p w:rsidR="00487D8A" w:rsidRPr="00CB304B" w:rsidRDefault="00487D8A" w:rsidP="00487D8A">
      <w:pPr>
        <w:suppressAutoHyphens/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z w:val="24"/>
          <w:szCs w:val="24"/>
        </w:rPr>
        <w:t>Tabletten kan deles i to lige store doser.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</w:t>
      </w:r>
      <w:r w:rsidRPr="00CB304B">
        <w:rPr>
          <w:b/>
          <w:sz w:val="24"/>
          <w:szCs w:val="24"/>
        </w:rPr>
        <w:tab/>
        <w:t>KLINISKE OPLYSNINGER</w:t>
      </w: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  <w:u w:val="single"/>
        </w:rPr>
      </w:pPr>
      <w:r w:rsidRPr="00CB304B">
        <w:rPr>
          <w:b/>
          <w:sz w:val="24"/>
          <w:szCs w:val="24"/>
        </w:rPr>
        <w:t>4.1</w:t>
      </w:r>
      <w:r w:rsidRPr="00CB304B">
        <w:rPr>
          <w:b/>
          <w:sz w:val="24"/>
          <w:szCs w:val="24"/>
        </w:rPr>
        <w:tab/>
        <w:t>Terapeutiske indikationer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Blødninger forårsaget af </w:t>
      </w:r>
      <w:proofErr w:type="spellStart"/>
      <w:r w:rsidRPr="00CB304B">
        <w:rPr>
          <w:sz w:val="24"/>
          <w:szCs w:val="24"/>
        </w:rPr>
        <w:t>fibrinolyse</w:t>
      </w:r>
      <w:proofErr w:type="spellEnd"/>
      <w:r w:rsidRPr="00CB304B">
        <w:rPr>
          <w:sz w:val="24"/>
          <w:szCs w:val="24"/>
        </w:rPr>
        <w:t xml:space="preserve"> og </w:t>
      </w:r>
      <w:proofErr w:type="spellStart"/>
      <w:r w:rsidRPr="00CB304B">
        <w:rPr>
          <w:sz w:val="24"/>
          <w:szCs w:val="24"/>
        </w:rPr>
        <w:t>fibrinogenolyse</w:t>
      </w:r>
      <w:proofErr w:type="spellEnd"/>
      <w:r w:rsidRPr="00CB304B">
        <w:rPr>
          <w:sz w:val="24"/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4.2</w:t>
      </w:r>
      <w:r w:rsidRPr="00CB304B">
        <w:rPr>
          <w:b/>
          <w:sz w:val="24"/>
          <w:szCs w:val="24"/>
        </w:rPr>
        <w:tab/>
        <w:t xml:space="preserve">Dosering og </w:t>
      </w:r>
      <w:r w:rsidR="00202226">
        <w:rPr>
          <w:b/>
          <w:sz w:val="24"/>
          <w:szCs w:val="24"/>
        </w:rPr>
        <w:t>administration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z w:val="24"/>
          <w:szCs w:val="24"/>
        </w:rPr>
        <w:tab/>
      </w:r>
      <w:r w:rsidRPr="00CB304B">
        <w:rPr>
          <w:spacing w:val="-3"/>
          <w:sz w:val="24"/>
          <w:szCs w:val="24"/>
        </w:rPr>
        <w:t>Den anbefalede normaldosering er 1-1,5 g (2-3 tabletter) 2-3 gange daglig.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Ved nedenfor nævnte indikationer kan følgende standarddosering anvendes: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proofErr w:type="spellStart"/>
      <w:r w:rsidRPr="00CB304B">
        <w:rPr>
          <w:spacing w:val="-3"/>
          <w:sz w:val="24"/>
          <w:szCs w:val="24"/>
        </w:rPr>
        <w:t>Prostatektomi</w:t>
      </w:r>
      <w:proofErr w:type="spellEnd"/>
      <w:r w:rsidRPr="00CB304B">
        <w:rPr>
          <w:spacing w:val="-3"/>
          <w:sz w:val="24"/>
          <w:szCs w:val="24"/>
        </w:rPr>
        <w:t>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Efter 3. postoperative dag 2-3 tabletter 2-3 gange daglig til makroskopisk hæmaturi ikke længere foreligger. </w:t>
      </w:r>
    </w:p>
    <w:p w:rsidR="00487D8A" w:rsidRDefault="00487D8A" w:rsidP="00487D8A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Hæmaturi: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2-3 tabletter 2-3 gange daglig til makroskopisk hæmaturi ikke længere foreligger.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Svære næseblødninger: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3 tabletter 3 gange daglig i 4-10 døgn afhængig af, hvornår tamponaden fjernes.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proofErr w:type="spellStart"/>
      <w:r w:rsidRPr="00CB304B">
        <w:rPr>
          <w:spacing w:val="-3"/>
          <w:sz w:val="24"/>
          <w:szCs w:val="24"/>
        </w:rPr>
        <w:t>Menoragi</w:t>
      </w:r>
      <w:proofErr w:type="spellEnd"/>
      <w:r w:rsidRPr="00CB304B">
        <w:rPr>
          <w:spacing w:val="-3"/>
          <w:sz w:val="24"/>
          <w:szCs w:val="24"/>
        </w:rPr>
        <w:t>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2 tabletter 3 gange daglig så længe som nødvendigt i op til 4 dage. Ved kraftig menstruationsblødning kan dosis øges. En totaldosis på </w:t>
      </w:r>
      <w:smartTag w:uri="urn:schemas-microsoft-com:office:smarttags" w:element="metricconverter">
        <w:smartTagPr>
          <w:attr w:name="ProductID" w:val="4 g"/>
        </w:smartTagPr>
        <w:r w:rsidRPr="00CB304B">
          <w:rPr>
            <w:spacing w:val="-3"/>
            <w:sz w:val="24"/>
            <w:szCs w:val="24"/>
          </w:rPr>
          <w:t>4 g</w:t>
        </w:r>
      </w:smartTag>
      <w:r w:rsidRPr="00CB304B">
        <w:rPr>
          <w:spacing w:val="-3"/>
          <w:sz w:val="24"/>
          <w:szCs w:val="24"/>
        </w:rPr>
        <w:t xml:space="preserve"> daglig (8 tabletter) bør ikke overskrides. Behandlingen påbegyndes først, når rigelig blødning indtræder.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Kvinder med </w:t>
      </w:r>
      <w:proofErr w:type="spellStart"/>
      <w:r w:rsidRPr="00CB304B">
        <w:rPr>
          <w:spacing w:val="-3"/>
          <w:sz w:val="24"/>
          <w:szCs w:val="24"/>
        </w:rPr>
        <w:t>menoragi</w:t>
      </w:r>
      <w:proofErr w:type="spellEnd"/>
      <w:r w:rsidRPr="00CB304B">
        <w:rPr>
          <w:spacing w:val="-3"/>
          <w:sz w:val="24"/>
          <w:szCs w:val="24"/>
        </w:rPr>
        <w:t xml:space="preserve"> kan inddeles i 2 grupper: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r w:rsidRPr="00CB304B">
        <w:rPr>
          <w:spacing w:val="-3"/>
          <w:sz w:val="24"/>
          <w:szCs w:val="24"/>
          <w:u w:val="single"/>
        </w:rPr>
        <w:t xml:space="preserve">Kvinder med påviselig organisk årsag til </w:t>
      </w:r>
      <w:proofErr w:type="spellStart"/>
      <w:r w:rsidRPr="00CB304B">
        <w:rPr>
          <w:spacing w:val="-3"/>
          <w:sz w:val="24"/>
          <w:szCs w:val="24"/>
          <w:u w:val="single"/>
        </w:rPr>
        <w:t>menoragi</w:t>
      </w:r>
      <w:proofErr w:type="spellEnd"/>
      <w:r w:rsidRPr="00CB304B">
        <w:rPr>
          <w:spacing w:val="-3"/>
          <w:sz w:val="24"/>
          <w:szCs w:val="24"/>
        </w:rPr>
        <w:t xml:space="preserve"> (f.eks. </w:t>
      </w:r>
      <w:proofErr w:type="spellStart"/>
      <w:r w:rsidRPr="00CB304B">
        <w:rPr>
          <w:spacing w:val="-3"/>
          <w:sz w:val="24"/>
          <w:szCs w:val="24"/>
        </w:rPr>
        <w:t>myom</w:t>
      </w:r>
      <w:proofErr w:type="spellEnd"/>
      <w:r w:rsidRPr="00CB304B">
        <w:rPr>
          <w:spacing w:val="-3"/>
          <w:sz w:val="24"/>
          <w:szCs w:val="24"/>
        </w:rPr>
        <w:t xml:space="preserve">, corpus polypper, </w:t>
      </w:r>
      <w:proofErr w:type="spellStart"/>
      <w:r w:rsidRPr="00CB304B">
        <w:rPr>
          <w:spacing w:val="-3"/>
          <w:sz w:val="24"/>
          <w:szCs w:val="24"/>
        </w:rPr>
        <w:t>adenomyose</w:t>
      </w:r>
      <w:proofErr w:type="spellEnd"/>
      <w:r w:rsidRPr="00CB304B">
        <w:rPr>
          <w:spacing w:val="-3"/>
          <w:sz w:val="24"/>
          <w:szCs w:val="24"/>
        </w:rPr>
        <w:t xml:space="preserve">). Ældre kvinder nær menopausen kan behandles med </w:t>
      </w:r>
      <w:proofErr w:type="spellStart"/>
      <w:r w:rsidRPr="00CB304B">
        <w:rPr>
          <w:spacing w:val="-3"/>
          <w:sz w:val="24"/>
          <w:szCs w:val="24"/>
        </w:rPr>
        <w:t>Tracafour</w:t>
      </w:r>
      <w:proofErr w:type="spellEnd"/>
      <w:r w:rsidRPr="00CB304B">
        <w:rPr>
          <w:spacing w:val="-3"/>
          <w:sz w:val="24"/>
          <w:szCs w:val="24"/>
        </w:rPr>
        <w:t xml:space="preserve">. Unge eller midaldrende kvinder bør fortrinsvis behandles kirurgisk. I undtagelsestilfælde kan disse kvinder dog behandles med </w:t>
      </w:r>
      <w:proofErr w:type="spellStart"/>
      <w:r w:rsidRPr="00CB304B">
        <w:rPr>
          <w:spacing w:val="-3"/>
          <w:sz w:val="24"/>
          <w:szCs w:val="24"/>
        </w:rPr>
        <w:t>Tracafour</w:t>
      </w:r>
      <w:proofErr w:type="spellEnd"/>
      <w:r w:rsidRPr="00CB304B">
        <w:rPr>
          <w:spacing w:val="-3"/>
          <w:sz w:val="24"/>
          <w:szCs w:val="24"/>
        </w:rPr>
        <w:t xml:space="preserve"> i kortere perioder.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r w:rsidRPr="00CB304B">
        <w:rPr>
          <w:spacing w:val="-3"/>
          <w:sz w:val="24"/>
          <w:szCs w:val="24"/>
          <w:u w:val="single"/>
        </w:rPr>
        <w:t xml:space="preserve">Kvinder uden påviselig organisk årsag til </w:t>
      </w:r>
      <w:proofErr w:type="spellStart"/>
      <w:r w:rsidRPr="00CB304B">
        <w:rPr>
          <w:spacing w:val="-3"/>
          <w:sz w:val="24"/>
          <w:szCs w:val="24"/>
          <w:u w:val="single"/>
        </w:rPr>
        <w:t>menoragi</w:t>
      </w:r>
      <w:proofErr w:type="spellEnd"/>
      <w:r w:rsidRPr="00CB304B">
        <w:rPr>
          <w:spacing w:val="-3"/>
          <w:sz w:val="24"/>
          <w:szCs w:val="24"/>
          <w:u w:val="single"/>
        </w:rPr>
        <w:t>.</w:t>
      </w:r>
      <w:r w:rsidRPr="00CB304B">
        <w:rPr>
          <w:spacing w:val="-3"/>
          <w:sz w:val="24"/>
          <w:szCs w:val="24"/>
        </w:rPr>
        <w:t xml:space="preserve"> Unge kvinder, hvor fertiliteten skal bibeholdes, behandles enten med perorale antikonceptionsmidler eller med </w:t>
      </w:r>
      <w:proofErr w:type="spellStart"/>
      <w:r w:rsidRPr="00CB304B">
        <w:rPr>
          <w:spacing w:val="-3"/>
          <w:sz w:val="24"/>
          <w:szCs w:val="24"/>
        </w:rPr>
        <w:t>Tracafour</w:t>
      </w:r>
      <w:proofErr w:type="spellEnd"/>
      <w:r w:rsidRPr="00CB304B">
        <w:rPr>
          <w:spacing w:val="-3"/>
          <w:sz w:val="24"/>
          <w:szCs w:val="24"/>
        </w:rPr>
        <w:t xml:space="preserve">. Visse kvinder i denne gruppe vil derfor blive behandlet med </w:t>
      </w:r>
      <w:proofErr w:type="spellStart"/>
      <w:r w:rsidRPr="00CB304B">
        <w:rPr>
          <w:spacing w:val="-3"/>
          <w:sz w:val="24"/>
          <w:szCs w:val="24"/>
        </w:rPr>
        <w:t>Tracafour</w:t>
      </w:r>
      <w:proofErr w:type="spellEnd"/>
      <w:r w:rsidRPr="00CB304B">
        <w:rPr>
          <w:spacing w:val="-3"/>
          <w:sz w:val="24"/>
          <w:szCs w:val="24"/>
        </w:rPr>
        <w:t xml:space="preserve"> i lang tid. Dette gælder især kvinder, hvor det er kontraindi</w:t>
      </w:r>
      <w:r w:rsidRPr="00CB304B">
        <w:rPr>
          <w:spacing w:val="-3"/>
          <w:sz w:val="24"/>
          <w:szCs w:val="24"/>
        </w:rPr>
        <w:softHyphen/>
        <w:t xml:space="preserve">ceret at behandle med perorale antikonceptionsmidler. Midaldrende kvinder med svær </w:t>
      </w:r>
      <w:proofErr w:type="spellStart"/>
      <w:r w:rsidRPr="00CB304B">
        <w:rPr>
          <w:spacing w:val="-3"/>
          <w:sz w:val="24"/>
          <w:szCs w:val="24"/>
        </w:rPr>
        <w:t>menoragi</w:t>
      </w:r>
      <w:proofErr w:type="spellEnd"/>
      <w:r w:rsidRPr="00CB304B">
        <w:rPr>
          <w:spacing w:val="-3"/>
          <w:sz w:val="24"/>
          <w:szCs w:val="24"/>
        </w:rPr>
        <w:t>, som ikke længere har ønske om at være fertile, bør behandles kirurgisk. Et alternativ er perorale antikonceptionsmidler.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Ældre kvinder nær menopausen kan behandles med </w:t>
      </w:r>
      <w:proofErr w:type="spellStart"/>
      <w:r w:rsidRPr="00CB304B">
        <w:rPr>
          <w:spacing w:val="-3"/>
          <w:sz w:val="24"/>
          <w:szCs w:val="24"/>
        </w:rPr>
        <w:t>Tracafour</w:t>
      </w:r>
      <w:proofErr w:type="spellEnd"/>
      <w:r w:rsidRPr="00CB304B">
        <w:rPr>
          <w:spacing w:val="-3"/>
          <w:sz w:val="24"/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proofErr w:type="spellStart"/>
      <w:r w:rsidRPr="00CB304B">
        <w:rPr>
          <w:spacing w:val="-3"/>
          <w:sz w:val="24"/>
          <w:szCs w:val="24"/>
        </w:rPr>
        <w:t>Konisation</w:t>
      </w:r>
      <w:proofErr w:type="spellEnd"/>
      <w:r w:rsidRPr="00CB304B">
        <w:rPr>
          <w:spacing w:val="-3"/>
          <w:sz w:val="24"/>
          <w:szCs w:val="24"/>
        </w:rPr>
        <w:t>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3 tabletter 3 gange daglig i 12-14 døgn postoperativt.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Hereditært </w:t>
      </w:r>
      <w:proofErr w:type="spellStart"/>
      <w:r w:rsidRPr="00CB304B">
        <w:rPr>
          <w:spacing w:val="-3"/>
          <w:sz w:val="24"/>
          <w:szCs w:val="24"/>
        </w:rPr>
        <w:t>angioneurotisk</w:t>
      </w:r>
      <w:proofErr w:type="spellEnd"/>
      <w:r w:rsidRPr="00CB304B">
        <w:rPr>
          <w:spacing w:val="-3"/>
          <w:sz w:val="24"/>
          <w:szCs w:val="24"/>
        </w:rPr>
        <w:t xml:space="preserve"> ødem: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Ved anfald 2-3 tabletter 2-3 gange daglig i nogle dage. Profylaktisk 2 tabletter 3-4 gange daglig.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Ved ekstrapolering fra </w:t>
      </w:r>
      <w:proofErr w:type="spellStart"/>
      <w:r w:rsidRPr="00CB304B">
        <w:rPr>
          <w:szCs w:val="24"/>
        </w:rPr>
        <w:t>clearance</w:t>
      </w:r>
      <w:proofErr w:type="spellEnd"/>
      <w:r w:rsidRPr="00CB304B">
        <w:rPr>
          <w:szCs w:val="24"/>
        </w:rPr>
        <w:t xml:space="preserve"> data relateret til den intravenøse lægemiddelform anbefales følgende reduktion i oral dosis til patienter med mild til moderat nyreinsufficiens: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  <w:tab w:val="left" w:pos="3969"/>
        </w:tabs>
        <w:ind w:left="851" w:hanging="851"/>
        <w:rPr>
          <w:szCs w:val="24"/>
        </w:rPr>
      </w:pPr>
      <w:r w:rsidRPr="00CB304B">
        <w:rPr>
          <w:szCs w:val="24"/>
        </w:rPr>
        <w:tab/>
      </w:r>
      <w:r w:rsidRPr="00CB304B">
        <w:rPr>
          <w:szCs w:val="24"/>
          <w:u w:val="single"/>
        </w:rPr>
        <w:t xml:space="preserve">Serum </w:t>
      </w:r>
      <w:proofErr w:type="spellStart"/>
      <w:r w:rsidRPr="00CB304B">
        <w:rPr>
          <w:szCs w:val="24"/>
          <w:u w:val="single"/>
        </w:rPr>
        <w:t>creatinin</w:t>
      </w:r>
      <w:proofErr w:type="spellEnd"/>
      <w:r w:rsidRPr="00CB304B">
        <w:rPr>
          <w:szCs w:val="24"/>
          <w:u w:val="single"/>
        </w:rPr>
        <w:t xml:space="preserve"> (mikromol/l)</w:t>
      </w:r>
      <w:r w:rsidRPr="00CB304B">
        <w:rPr>
          <w:szCs w:val="24"/>
        </w:rPr>
        <w:tab/>
      </w:r>
      <w:r w:rsidRPr="00CB304B">
        <w:rPr>
          <w:szCs w:val="24"/>
          <w:u w:val="single"/>
        </w:rPr>
        <w:t xml:space="preserve">Dosis </w:t>
      </w:r>
      <w:proofErr w:type="spellStart"/>
      <w:r w:rsidRPr="00CB304B">
        <w:rPr>
          <w:szCs w:val="24"/>
          <w:u w:val="single"/>
        </w:rPr>
        <w:t>tranexamsyre</w:t>
      </w:r>
      <w:proofErr w:type="spellEnd"/>
    </w:p>
    <w:p w:rsidR="00487D8A" w:rsidRPr="00CB304B" w:rsidRDefault="00487D8A" w:rsidP="00487D8A">
      <w:pPr>
        <w:pStyle w:val="Sidehoved"/>
        <w:numPr>
          <w:ilvl w:val="2"/>
          <w:numId w:val="6"/>
        </w:numPr>
        <w:tabs>
          <w:tab w:val="clear" w:pos="4819"/>
          <w:tab w:val="clear" w:pos="6802"/>
          <w:tab w:val="clear" w:pos="9638"/>
          <w:tab w:val="left" w:pos="3969"/>
        </w:tabs>
        <w:ind w:left="851" w:firstLine="0"/>
        <w:rPr>
          <w:szCs w:val="24"/>
        </w:rPr>
      </w:pPr>
      <w:r w:rsidRPr="00CB304B">
        <w:rPr>
          <w:szCs w:val="24"/>
        </w:rPr>
        <w:t>15 mg/kg legemsvægt 2 gange daglig</w:t>
      </w:r>
    </w:p>
    <w:p w:rsidR="00487D8A" w:rsidRPr="00CB304B" w:rsidRDefault="00487D8A" w:rsidP="00487D8A">
      <w:pPr>
        <w:pStyle w:val="Sidehoved"/>
        <w:numPr>
          <w:ilvl w:val="1"/>
          <w:numId w:val="7"/>
        </w:numPr>
        <w:tabs>
          <w:tab w:val="clear" w:pos="4819"/>
          <w:tab w:val="clear" w:pos="5385"/>
          <w:tab w:val="clear" w:pos="9638"/>
          <w:tab w:val="left" w:pos="3969"/>
        </w:tabs>
        <w:ind w:left="851" w:firstLine="0"/>
        <w:rPr>
          <w:szCs w:val="24"/>
        </w:rPr>
      </w:pPr>
      <w:r w:rsidRPr="00CB304B">
        <w:rPr>
          <w:szCs w:val="24"/>
        </w:rPr>
        <w:t>15 mg/kg legemsvægt daglig</w:t>
      </w:r>
    </w:p>
    <w:p w:rsidR="00487D8A" w:rsidRPr="00CB304B" w:rsidRDefault="00487D8A" w:rsidP="00487D8A">
      <w:pPr>
        <w:tabs>
          <w:tab w:val="left" w:pos="3969"/>
        </w:tabs>
        <w:ind w:left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>&gt;500</w:t>
      </w:r>
      <w:r w:rsidRPr="00CB304B">
        <w:rPr>
          <w:spacing w:val="-3"/>
          <w:sz w:val="24"/>
          <w:szCs w:val="24"/>
        </w:rPr>
        <w:tab/>
        <w:t>7,5 mg/kg legemsvægt daglig</w:t>
      </w:r>
    </w:p>
    <w:p w:rsidR="00487D8A" w:rsidRPr="00CB304B" w:rsidRDefault="00487D8A" w:rsidP="00487D8A">
      <w:pPr>
        <w:ind w:left="851" w:hanging="851"/>
        <w:jc w:val="both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4.3</w:t>
      </w:r>
      <w:r w:rsidRPr="00CB304B">
        <w:rPr>
          <w:b/>
          <w:sz w:val="24"/>
          <w:szCs w:val="24"/>
        </w:rPr>
        <w:tab/>
        <w:t>Kontraindikationer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r w:rsidRPr="00CB304B">
        <w:rPr>
          <w:szCs w:val="24"/>
        </w:rPr>
        <w:t xml:space="preserve">Overfølsomhed </w:t>
      </w:r>
      <w:r w:rsidR="00202226">
        <w:rPr>
          <w:szCs w:val="24"/>
        </w:rPr>
        <w:t>over for det aktive stof eller over for et eller flere af hjælpestofferne anført i pkt. 6.1.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r w:rsidRPr="00CB304B">
        <w:rPr>
          <w:szCs w:val="24"/>
        </w:rPr>
        <w:t xml:space="preserve">Aktiv </w:t>
      </w:r>
      <w:proofErr w:type="spellStart"/>
      <w:r w:rsidRPr="00CB304B">
        <w:rPr>
          <w:szCs w:val="24"/>
        </w:rPr>
        <w:t>tromboembolisk</w:t>
      </w:r>
      <w:proofErr w:type="spellEnd"/>
      <w:r w:rsidRPr="00CB304B">
        <w:rPr>
          <w:szCs w:val="24"/>
        </w:rPr>
        <w:t xml:space="preserve"> lidelse som dyb venetrombose, </w:t>
      </w:r>
      <w:proofErr w:type="spellStart"/>
      <w:r w:rsidRPr="00CB304B">
        <w:rPr>
          <w:szCs w:val="24"/>
        </w:rPr>
        <w:t>lungeemboli</w:t>
      </w:r>
      <w:proofErr w:type="spellEnd"/>
      <w:r w:rsidRPr="00CB304B">
        <w:rPr>
          <w:szCs w:val="24"/>
        </w:rPr>
        <w:t xml:space="preserve"> og cerebral trombose. 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proofErr w:type="spellStart"/>
      <w:r w:rsidRPr="00CB304B">
        <w:rPr>
          <w:szCs w:val="24"/>
        </w:rPr>
        <w:t>Subaraknoidal</w:t>
      </w:r>
      <w:proofErr w:type="spellEnd"/>
      <w:r w:rsidRPr="00CB304B">
        <w:rPr>
          <w:szCs w:val="24"/>
        </w:rPr>
        <w:t xml:space="preserve"> blødning. 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r w:rsidRPr="00CB304B">
        <w:rPr>
          <w:szCs w:val="24"/>
        </w:rPr>
        <w:t>Alvorlig nyreinsufficiens (risiko for akkumulation).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r w:rsidRPr="00CB304B">
        <w:rPr>
          <w:szCs w:val="24"/>
        </w:rPr>
        <w:t>Tidligere tilfælde af kramper.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spacing w:line="216" w:lineRule="auto"/>
        <w:ind w:left="851" w:hanging="851"/>
        <w:rPr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lastRenderedPageBreak/>
        <w:t>4.4</w:t>
      </w:r>
      <w:r w:rsidRPr="00CB304B">
        <w:rPr>
          <w:b/>
          <w:sz w:val="24"/>
          <w:szCs w:val="24"/>
        </w:rPr>
        <w:tab/>
        <w:t>Særlige advarsler og forsigtighedsregler vedrørende brugen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Patienter med tidligere </w:t>
      </w:r>
      <w:proofErr w:type="spellStart"/>
      <w:r w:rsidRPr="00CB304B">
        <w:rPr>
          <w:szCs w:val="24"/>
        </w:rPr>
        <w:t>tromboembolisk</w:t>
      </w:r>
      <w:proofErr w:type="spellEnd"/>
      <w:r w:rsidRPr="00CB304B">
        <w:rPr>
          <w:szCs w:val="24"/>
        </w:rPr>
        <w:t xml:space="preserve"> tilfælde og familiær forekomst af </w:t>
      </w:r>
      <w:proofErr w:type="spellStart"/>
      <w:r w:rsidRPr="00CB304B">
        <w:rPr>
          <w:szCs w:val="24"/>
        </w:rPr>
        <w:t>tromboembolisk</w:t>
      </w:r>
      <w:proofErr w:type="spellEnd"/>
      <w:r w:rsidRPr="00CB304B">
        <w:rPr>
          <w:szCs w:val="24"/>
        </w:rPr>
        <w:t xml:space="preserve"> sygdom (patienter med </w:t>
      </w:r>
      <w:proofErr w:type="spellStart"/>
      <w:r w:rsidRPr="00CB304B">
        <w:rPr>
          <w:szCs w:val="24"/>
        </w:rPr>
        <w:t>trombofili</w:t>
      </w:r>
      <w:proofErr w:type="spellEnd"/>
      <w:r w:rsidRPr="00CB304B">
        <w:rPr>
          <w:szCs w:val="24"/>
        </w:rPr>
        <w:t xml:space="preserve">) bør kun anvende </w:t>
      </w:r>
      <w:proofErr w:type="spellStart"/>
      <w:r w:rsidRPr="00CB304B">
        <w:rPr>
          <w:szCs w:val="24"/>
        </w:rPr>
        <w:t>Tracafour</w:t>
      </w:r>
      <w:proofErr w:type="spellEnd"/>
      <w:r w:rsidRPr="00CB304B">
        <w:rPr>
          <w:szCs w:val="24"/>
        </w:rPr>
        <w:t>, hvis der er tale om en stærk medicinsk indikation og da under nøje lægeovervågning.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CB304B">
        <w:rPr>
          <w:szCs w:val="24"/>
        </w:rPr>
        <w:tab/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Anvendelse af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kan ikke anbefales i tilfælde af forhøjet </w:t>
      </w:r>
      <w:proofErr w:type="spellStart"/>
      <w:r w:rsidRPr="00CB304B">
        <w:rPr>
          <w:szCs w:val="24"/>
        </w:rPr>
        <w:t>fibrinolyse</w:t>
      </w:r>
      <w:proofErr w:type="spellEnd"/>
      <w:r w:rsidRPr="00CB304B">
        <w:rPr>
          <w:szCs w:val="24"/>
        </w:rPr>
        <w:t xml:space="preserve"> på grund af dissemineret </w:t>
      </w:r>
      <w:proofErr w:type="spellStart"/>
      <w:r w:rsidRPr="00CB304B">
        <w:rPr>
          <w:szCs w:val="24"/>
        </w:rPr>
        <w:t>intravaskulær</w:t>
      </w:r>
      <w:proofErr w:type="spellEnd"/>
      <w:r w:rsidRPr="00CB304B">
        <w:rPr>
          <w:szCs w:val="24"/>
        </w:rPr>
        <w:t xml:space="preserve"> koagulation. Patienter med dissemineret </w:t>
      </w:r>
      <w:proofErr w:type="spellStart"/>
      <w:r w:rsidRPr="00CB304B">
        <w:rPr>
          <w:szCs w:val="24"/>
        </w:rPr>
        <w:t>intravaskulær</w:t>
      </w:r>
      <w:proofErr w:type="spellEnd"/>
      <w:r w:rsidRPr="00CB304B">
        <w:rPr>
          <w:szCs w:val="24"/>
        </w:rPr>
        <w:t xml:space="preserve"> koagulation (DIC), der behøver behandling med </w:t>
      </w:r>
      <w:proofErr w:type="spellStart"/>
      <w:r w:rsidRPr="00CB304B">
        <w:rPr>
          <w:szCs w:val="24"/>
        </w:rPr>
        <w:t>Tracafour</w:t>
      </w:r>
      <w:proofErr w:type="spellEnd"/>
      <w:r w:rsidRPr="00CB304B">
        <w:rPr>
          <w:szCs w:val="24"/>
        </w:rPr>
        <w:t xml:space="preserve">, skal derfor nøje overvåges af en læge med særligt kendskab til behandling af denne lidelse. 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CB304B">
        <w:rPr>
          <w:szCs w:val="24"/>
        </w:rPr>
        <w:t xml:space="preserve"> 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Patienter med uregelmæssig menstruation bør ikke anvende </w:t>
      </w:r>
      <w:proofErr w:type="spellStart"/>
      <w:r w:rsidRPr="00CB304B">
        <w:rPr>
          <w:szCs w:val="24"/>
        </w:rPr>
        <w:t>Tracafour</w:t>
      </w:r>
      <w:proofErr w:type="spellEnd"/>
      <w:r w:rsidRPr="00CB304B">
        <w:rPr>
          <w:szCs w:val="24"/>
        </w:rPr>
        <w:t>, før årsagen til blødningerne er fastslået.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Hvis menstruationsblødningen ikke reduceres tilstrækkeligt af </w:t>
      </w:r>
      <w:proofErr w:type="spellStart"/>
      <w:r w:rsidRPr="00CB304B">
        <w:rPr>
          <w:szCs w:val="24"/>
        </w:rPr>
        <w:t>Tracafour</w:t>
      </w:r>
      <w:proofErr w:type="spellEnd"/>
      <w:r w:rsidRPr="00CB304B">
        <w:rPr>
          <w:szCs w:val="24"/>
        </w:rPr>
        <w:t>, bør alternativ behandling overvejes.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i/>
          <w:szCs w:val="24"/>
        </w:rPr>
      </w:pPr>
      <w:r w:rsidRPr="00CB304B">
        <w:rPr>
          <w:szCs w:val="24"/>
        </w:rPr>
        <w:t xml:space="preserve">Hos patienter med nyreinsufficiens kan anvendelse af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forårsage forhøjet serumkoncentration med risiko for kumulation. Derfor anbefales en dosisreduktion (se pkt. 4.2). 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Der er rapporteret om tilfælde med kramper i forbindelse med behandling med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>. I forbindelse med hjertekirurgi blev de fleste tilfælde rapporteret ved anvendelse af intravenøs (</w:t>
      </w:r>
      <w:proofErr w:type="spellStart"/>
      <w:r w:rsidRPr="00CB304B">
        <w:rPr>
          <w:szCs w:val="24"/>
        </w:rPr>
        <w:t>i.v</w:t>
      </w:r>
      <w:proofErr w:type="spellEnd"/>
      <w:r w:rsidRPr="00CB304B">
        <w:rPr>
          <w:szCs w:val="24"/>
        </w:rPr>
        <w:t xml:space="preserve">.) injektion af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i høje doser.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Ved hæmaturi i de øvrige urinveje kan </w:t>
      </w:r>
      <w:proofErr w:type="spellStart"/>
      <w:r w:rsidRPr="00CB304B">
        <w:rPr>
          <w:szCs w:val="24"/>
        </w:rPr>
        <w:t>koageldannelse</w:t>
      </w:r>
      <w:proofErr w:type="spellEnd"/>
      <w:r w:rsidRPr="00CB304B">
        <w:rPr>
          <w:szCs w:val="24"/>
        </w:rPr>
        <w:t xml:space="preserve"> i få tilfælde føre til obstruktion af </w:t>
      </w:r>
      <w:proofErr w:type="spellStart"/>
      <w:r w:rsidRPr="00CB304B">
        <w:rPr>
          <w:szCs w:val="24"/>
        </w:rPr>
        <w:t>ureter</w:t>
      </w:r>
      <w:proofErr w:type="spellEnd"/>
      <w:r w:rsidRPr="00CB304B">
        <w:rPr>
          <w:szCs w:val="24"/>
        </w:rPr>
        <w:t>.</w:t>
      </w:r>
    </w:p>
    <w:p w:rsidR="00487D8A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02226" w:rsidRDefault="00202226" w:rsidP="00202226">
      <w:pPr>
        <w:pStyle w:val="Sidehoved"/>
        <w:tabs>
          <w:tab w:val="clear" w:pos="4819"/>
          <w:tab w:val="left" w:pos="355"/>
          <w:tab w:val="left" w:pos="5387"/>
        </w:tabs>
        <w:ind w:left="851"/>
        <w:rPr>
          <w:szCs w:val="24"/>
        </w:rPr>
      </w:pPr>
      <w:proofErr w:type="spellStart"/>
      <w:r>
        <w:rPr>
          <w:szCs w:val="24"/>
        </w:rPr>
        <w:t>Tranexamsyre</w:t>
      </w:r>
      <w:proofErr w:type="spellEnd"/>
      <w:r>
        <w:rPr>
          <w:szCs w:val="24"/>
        </w:rPr>
        <w:t xml:space="preserve"> </w:t>
      </w:r>
      <w:r>
        <w:rPr>
          <w:color w:val="000000"/>
        </w:rPr>
        <w:t xml:space="preserve">bør administreres med forsigtighed til patienter, der får orale </w:t>
      </w:r>
      <w:proofErr w:type="spellStart"/>
      <w:r>
        <w:rPr>
          <w:color w:val="000000"/>
        </w:rPr>
        <w:t>kontraceptiva</w:t>
      </w:r>
      <w:proofErr w:type="spellEnd"/>
      <w:r>
        <w:rPr>
          <w:color w:val="000000"/>
        </w:rPr>
        <w:t>, på grund af øget risiko for trombose (se pkt. 4.5).</w:t>
      </w:r>
    </w:p>
    <w:p w:rsidR="00202226" w:rsidRPr="00CB304B" w:rsidRDefault="00202226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Der er ikke klinisk erfaring med </w:t>
      </w:r>
      <w:proofErr w:type="spellStart"/>
      <w:r w:rsidRPr="00CB304B">
        <w:rPr>
          <w:szCs w:val="24"/>
        </w:rPr>
        <w:t>Tracafour</w:t>
      </w:r>
      <w:proofErr w:type="spellEnd"/>
      <w:r w:rsidRPr="00CB304B">
        <w:rPr>
          <w:szCs w:val="24"/>
        </w:rPr>
        <w:t xml:space="preserve"> til børn under 15 år med </w:t>
      </w:r>
      <w:proofErr w:type="spellStart"/>
      <w:r w:rsidRPr="00CB304B">
        <w:rPr>
          <w:szCs w:val="24"/>
        </w:rPr>
        <w:t>menorrhagi</w:t>
      </w:r>
      <w:proofErr w:type="spellEnd"/>
      <w:r w:rsidRPr="00CB304B">
        <w:rPr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4.5</w:t>
      </w:r>
      <w:r w:rsidRPr="00CB304B">
        <w:rPr>
          <w:b/>
          <w:sz w:val="24"/>
          <w:szCs w:val="24"/>
        </w:rPr>
        <w:tab/>
        <w:t>Interaktion med andre lægemidler og andre former for interaktion</w:t>
      </w:r>
    </w:p>
    <w:p w:rsidR="00202226" w:rsidRDefault="00202226" w:rsidP="00202226">
      <w:pPr>
        <w:pStyle w:val="Sidehoved"/>
        <w:tabs>
          <w:tab w:val="left" w:pos="1304"/>
        </w:tabs>
        <w:ind w:left="851"/>
        <w:rPr>
          <w:szCs w:val="24"/>
        </w:rPr>
      </w:pPr>
      <w:r>
        <w:rPr>
          <w:szCs w:val="24"/>
        </w:rPr>
        <w:t xml:space="preserve">Der er ikke observeret klinisk betydende interaktioner med </w:t>
      </w:r>
      <w:proofErr w:type="spellStart"/>
      <w:r>
        <w:rPr>
          <w:szCs w:val="24"/>
        </w:rPr>
        <w:t>tranexamsyretabletter</w:t>
      </w:r>
      <w:proofErr w:type="spellEnd"/>
      <w:r>
        <w:rPr>
          <w:szCs w:val="24"/>
        </w:rPr>
        <w:t xml:space="preserve">. </w:t>
      </w:r>
    </w:p>
    <w:p w:rsidR="00487D8A" w:rsidRPr="00CB304B" w:rsidRDefault="00202226" w:rsidP="00202226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>
        <w:rPr>
          <w:szCs w:val="24"/>
        </w:rPr>
        <w:t xml:space="preserve">På grund af manglen på interaktionsstudier, skal samtidig behandling med </w:t>
      </w:r>
      <w:proofErr w:type="spellStart"/>
      <w:r>
        <w:rPr>
          <w:szCs w:val="24"/>
        </w:rPr>
        <w:t>antikoagulantia</w:t>
      </w:r>
      <w:proofErr w:type="spellEnd"/>
      <w:r>
        <w:rPr>
          <w:szCs w:val="24"/>
        </w:rPr>
        <w:t xml:space="preserve"> ske under nøje overvågning af en læge med erfaring inden for området. Lægemidler, der påvirker </w:t>
      </w:r>
      <w:proofErr w:type="spellStart"/>
      <w:r>
        <w:rPr>
          <w:szCs w:val="24"/>
        </w:rPr>
        <w:t>hæmostasen</w:t>
      </w:r>
      <w:proofErr w:type="spellEnd"/>
      <w:r>
        <w:rPr>
          <w:szCs w:val="24"/>
        </w:rPr>
        <w:t xml:space="preserve">, bør gives med forsigtighed til patienter i behandling med </w:t>
      </w:r>
      <w:proofErr w:type="spellStart"/>
      <w:r>
        <w:rPr>
          <w:szCs w:val="24"/>
        </w:rPr>
        <w:t>tranexamsyre</w:t>
      </w:r>
      <w:proofErr w:type="spellEnd"/>
      <w:r>
        <w:rPr>
          <w:szCs w:val="24"/>
        </w:rPr>
        <w:t>. Der er en teoretisk risiko for øget trombosedannelse, for eksempel med østrogener (se pkt. 4.4).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4.6</w:t>
      </w:r>
      <w:r w:rsidRPr="00CB304B">
        <w:rPr>
          <w:b/>
          <w:sz w:val="24"/>
          <w:szCs w:val="24"/>
        </w:rPr>
        <w:tab/>
      </w:r>
      <w:r w:rsidR="00202226">
        <w:rPr>
          <w:b/>
          <w:sz w:val="24"/>
          <w:szCs w:val="24"/>
        </w:rPr>
        <w:t>Fertilitet, g</w:t>
      </w:r>
      <w:r w:rsidRPr="00CB304B">
        <w:rPr>
          <w:b/>
          <w:sz w:val="24"/>
          <w:szCs w:val="24"/>
        </w:rPr>
        <w:t>raviditet og amning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b/>
          <w:szCs w:val="24"/>
        </w:rPr>
      </w:pPr>
      <w:r w:rsidRPr="00CB304B">
        <w:rPr>
          <w:b/>
          <w:szCs w:val="24"/>
        </w:rPr>
        <w:t xml:space="preserve">Graviditet 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Erfaringsgrundlaget for anvendelse af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til gravide er utilstrækkeligt.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passerer placenta. Dyreforsøg har ikke vist tegn på øget hyppighed af fosterskader.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b/>
          <w:sz w:val="24"/>
          <w:szCs w:val="24"/>
        </w:rPr>
        <w:t>Amning</w:t>
      </w:r>
      <w:r w:rsidRPr="00CB304B">
        <w:rPr>
          <w:sz w:val="24"/>
          <w:szCs w:val="24"/>
        </w:rPr>
        <w:t xml:space="preserve"> 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Tranexamsyre</w:t>
      </w:r>
      <w:proofErr w:type="spellEnd"/>
      <w:r w:rsidRPr="00CB304B">
        <w:rPr>
          <w:sz w:val="24"/>
          <w:szCs w:val="24"/>
        </w:rPr>
        <w:t xml:space="preserve"> udskilles i modermælk, men påvirker sandsynligvis ikke barnet ved terapeutiske dose</w:t>
      </w:r>
      <w:r w:rsidR="00202226">
        <w:rPr>
          <w:sz w:val="24"/>
          <w:szCs w:val="24"/>
        </w:rPr>
        <w:t>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4.7</w:t>
      </w:r>
      <w:r w:rsidRPr="00CB304B">
        <w:rPr>
          <w:b/>
          <w:sz w:val="24"/>
          <w:szCs w:val="24"/>
        </w:rPr>
        <w:tab/>
        <w:t xml:space="preserve">Virkning på evnen til at føre motorkøretøj </w:t>
      </w:r>
      <w:r w:rsidR="00202226">
        <w:rPr>
          <w:b/>
          <w:sz w:val="24"/>
          <w:szCs w:val="24"/>
        </w:rPr>
        <w:t>og</w:t>
      </w:r>
      <w:r w:rsidRPr="00CB304B">
        <w:rPr>
          <w:b/>
          <w:sz w:val="24"/>
          <w:szCs w:val="24"/>
        </w:rPr>
        <w:t xml:space="preserve"> betjene maskiner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Ikke mærkning.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Tracafour</w:t>
      </w:r>
      <w:proofErr w:type="spellEnd"/>
      <w:r w:rsidRPr="00CB304B">
        <w:rPr>
          <w:sz w:val="24"/>
          <w:szCs w:val="24"/>
        </w:rPr>
        <w:t xml:space="preserve"> påvirker ikke eller kun i ubetydelig grad evnen til at føre motorkøretøj eller betjene maskiner. 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lastRenderedPageBreak/>
        <w:t>4.8</w:t>
      </w:r>
      <w:r w:rsidRPr="00CB304B">
        <w:rPr>
          <w:b/>
          <w:sz w:val="24"/>
          <w:szCs w:val="24"/>
        </w:rPr>
        <w:tab/>
        <w:t>Bivirkninger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Dosisafhængigt </w:t>
      </w:r>
      <w:proofErr w:type="spellStart"/>
      <w:r w:rsidRPr="00CB304B">
        <w:rPr>
          <w:szCs w:val="24"/>
        </w:rPr>
        <w:t>gastrointestinalt</w:t>
      </w:r>
      <w:proofErr w:type="spellEnd"/>
      <w:r w:rsidRPr="00CB304B">
        <w:rPr>
          <w:szCs w:val="24"/>
        </w:rPr>
        <w:t xml:space="preserve"> ubehag er den hyppigst rapporterede bivirkning, men det er normalt mildt og forbigående.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Hyppighed af bivirkninger ved en dosis på 4 g daglig: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tbl>
      <w:tblPr>
        <w:tblW w:w="864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487D8A" w:rsidRPr="00CB304B" w:rsidTr="003B4BCE">
        <w:trPr>
          <w:trHeight w:val="5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r w:rsidRPr="00CB304B">
              <w:rPr>
                <w:b/>
                <w:sz w:val="24"/>
                <w:szCs w:val="24"/>
              </w:rPr>
              <w:t xml:space="preserve">Nervesystemet  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Sjælden (≥1/10.000 til &lt;1/1.000)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Ikke kendt (frekvens kan ikke estimeres ud fra forhåndenværende data)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Svimmelhed.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Kramper (se pkt. 4.3 og 4.4).</w:t>
            </w:r>
          </w:p>
        </w:tc>
      </w:tr>
      <w:tr w:rsidR="00487D8A" w:rsidRPr="00CB304B" w:rsidTr="003B4BCE">
        <w:trPr>
          <w:trHeight w:val="5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r w:rsidRPr="00CB304B">
              <w:rPr>
                <w:b/>
                <w:sz w:val="24"/>
                <w:szCs w:val="24"/>
              </w:rPr>
              <w:t>Øjne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Sjælden (≥1/10.000 til &lt;1/1.000)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Nedsat farvesyn og andre synsforstyrrelser.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</w:tc>
      </w:tr>
      <w:tr w:rsidR="00487D8A" w:rsidRPr="00CB304B" w:rsidTr="003B4BCE">
        <w:trPr>
          <w:trHeight w:val="5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proofErr w:type="spellStart"/>
            <w:r w:rsidRPr="00CB304B">
              <w:rPr>
                <w:b/>
                <w:sz w:val="24"/>
                <w:szCs w:val="24"/>
              </w:rPr>
              <w:t>Mave-tarmkanalen</w:t>
            </w:r>
            <w:proofErr w:type="spellEnd"/>
            <w:r w:rsidRPr="00CB304B">
              <w:rPr>
                <w:b/>
                <w:sz w:val="24"/>
                <w:szCs w:val="24"/>
              </w:rPr>
              <w:t xml:space="preserve">  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Almindelig (≥1/100 til &lt;1/10)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 xml:space="preserve">Kvalme, opkastning, </w:t>
            </w:r>
            <w:proofErr w:type="spellStart"/>
            <w:r w:rsidRPr="00CB304B">
              <w:rPr>
                <w:sz w:val="24"/>
                <w:szCs w:val="24"/>
              </w:rPr>
              <w:t>diaré</w:t>
            </w:r>
            <w:proofErr w:type="spellEnd"/>
            <w:r w:rsidRPr="00CB304B">
              <w:rPr>
                <w:sz w:val="24"/>
                <w:szCs w:val="24"/>
              </w:rPr>
              <w:t>.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</w:tc>
      </w:tr>
      <w:tr w:rsidR="00487D8A" w:rsidRPr="00CB304B" w:rsidTr="003B4BCE">
        <w:trPr>
          <w:trHeight w:val="5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r w:rsidRPr="00CB304B">
              <w:rPr>
                <w:b/>
                <w:sz w:val="24"/>
                <w:szCs w:val="24"/>
              </w:rPr>
              <w:t xml:space="preserve">Hud og subkutant væv 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Ikke almindelig (≥1/1.000 til &lt;1/100)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Allergiske hudreaktioner.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</w:tc>
      </w:tr>
      <w:tr w:rsidR="00487D8A" w:rsidRPr="00CB304B" w:rsidTr="003B4BCE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proofErr w:type="spellStart"/>
            <w:r w:rsidRPr="00CB304B">
              <w:rPr>
                <w:b/>
                <w:sz w:val="24"/>
                <w:szCs w:val="24"/>
              </w:rPr>
              <w:t>Vaskulære</w:t>
            </w:r>
            <w:proofErr w:type="spellEnd"/>
            <w:r w:rsidRPr="00CB304B">
              <w:rPr>
                <w:b/>
                <w:sz w:val="24"/>
                <w:szCs w:val="24"/>
              </w:rPr>
              <w:t xml:space="preserve"> sygdomme   </w:t>
            </w:r>
          </w:p>
          <w:p w:rsidR="00487D8A" w:rsidRPr="00CB304B" w:rsidRDefault="00487D8A" w:rsidP="003B4BCE">
            <w:pPr>
              <w:rPr>
                <w:i/>
                <w:strike/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 xml:space="preserve"> Sjælden (≥1/10.000 til &lt;1/1.000) 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proofErr w:type="spellStart"/>
            <w:r w:rsidRPr="00CB304B">
              <w:rPr>
                <w:sz w:val="24"/>
                <w:szCs w:val="24"/>
              </w:rPr>
              <w:t>Tromboembolisme</w:t>
            </w:r>
            <w:proofErr w:type="spellEnd"/>
            <w:r w:rsidRPr="00CB304B">
              <w:rPr>
                <w:sz w:val="24"/>
                <w:szCs w:val="24"/>
              </w:rPr>
              <w:t>.</w:t>
            </w:r>
          </w:p>
        </w:tc>
      </w:tr>
    </w:tbl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  <w:u w:val="single"/>
        </w:rPr>
      </w:pPr>
      <w:r w:rsidRPr="00CB304B">
        <w:rPr>
          <w:szCs w:val="24"/>
          <w:u w:val="single"/>
        </w:rPr>
        <w:t>Indberetning af formodede bivirkninger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CB304B">
        <w:rPr>
          <w:sz w:val="24"/>
          <w:szCs w:val="24"/>
        </w:rPr>
        <w:t>risk</w:t>
      </w:r>
      <w:proofErr w:type="spellEnd"/>
      <w:r w:rsidRPr="00CB304B">
        <w:rPr>
          <w:sz w:val="24"/>
          <w:szCs w:val="24"/>
        </w:rPr>
        <w:t xml:space="preserve">-forholdet for lægemidlet. </w:t>
      </w:r>
      <w:r w:rsidR="00202226">
        <w:rPr>
          <w:sz w:val="24"/>
          <w:szCs w:val="24"/>
        </w:rPr>
        <w:t>S</w:t>
      </w:r>
      <w:r w:rsidRPr="00CB304B">
        <w:rPr>
          <w:sz w:val="24"/>
          <w:szCs w:val="24"/>
        </w:rPr>
        <w:t>undhedspersone</w:t>
      </w:r>
      <w:r w:rsidR="00202226">
        <w:rPr>
          <w:sz w:val="24"/>
          <w:szCs w:val="24"/>
        </w:rPr>
        <w:t>r</w:t>
      </w:r>
      <w:r w:rsidRPr="00CB304B">
        <w:rPr>
          <w:sz w:val="24"/>
          <w:szCs w:val="24"/>
        </w:rPr>
        <w:t xml:space="preserve"> anmodes om at indberette alle formodede bivirkninger via: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Lægemiddelstyrelsen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Axel Heides Gade 1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DK-2300 København S</w:t>
      </w:r>
    </w:p>
    <w:p w:rsidR="00487D8A" w:rsidRPr="008D5F4C" w:rsidRDefault="00487D8A" w:rsidP="001E7C31">
      <w:pPr>
        <w:ind w:left="851"/>
        <w:rPr>
          <w:sz w:val="24"/>
          <w:szCs w:val="24"/>
          <w:lang w:val="en-US"/>
        </w:rPr>
      </w:pPr>
      <w:proofErr w:type="spellStart"/>
      <w:r w:rsidRPr="008D5F4C">
        <w:rPr>
          <w:sz w:val="24"/>
          <w:szCs w:val="24"/>
          <w:lang w:val="en-US"/>
        </w:rPr>
        <w:t>Websted</w:t>
      </w:r>
      <w:proofErr w:type="spellEnd"/>
      <w:r w:rsidRPr="008D5F4C">
        <w:rPr>
          <w:sz w:val="24"/>
          <w:szCs w:val="24"/>
          <w:lang w:val="en-US"/>
        </w:rPr>
        <w:t xml:space="preserve">: </w:t>
      </w:r>
      <w:hyperlink r:id="rId8" w:history="1">
        <w:r w:rsidRPr="008D5F4C">
          <w:rPr>
            <w:rStyle w:val="Hyperlink"/>
            <w:szCs w:val="24"/>
            <w:lang w:val="en-US"/>
          </w:rPr>
          <w:t>www.meldenbivirkning.dk</w:t>
        </w:r>
      </w:hyperlink>
    </w:p>
    <w:p w:rsidR="00487D8A" w:rsidRPr="008D5F4C" w:rsidRDefault="00487D8A" w:rsidP="00487D8A">
      <w:pPr>
        <w:ind w:left="851" w:hanging="851"/>
        <w:rPr>
          <w:sz w:val="24"/>
          <w:szCs w:val="24"/>
          <w:lang w:val="en-US"/>
        </w:rPr>
      </w:pPr>
    </w:p>
    <w:p w:rsidR="00487D8A" w:rsidRPr="00051CEE" w:rsidRDefault="00487D8A" w:rsidP="00487D8A">
      <w:pPr>
        <w:ind w:left="851" w:hanging="851"/>
        <w:rPr>
          <w:b/>
          <w:sz w:val="24"/>
          <w:szCs w:val="24"/>
          <w:lang w:val="en-US"/>
        </w:rPr>
      </w:pPr>
      <w:r w:rsidRPr="00051CEE">
        <w:rPr>
          <w:b/>
          <w:sz w:val="24"/>
          <w:szCs w:val="24"/>
          <w:lang w:val="en-US"/>
        </w:rPr>
        <w:t>4.9</w:t>
      </w:r>
      <w:r w:rsidRPr="00051CEE">
        <w:rPr>
          <w:b/>
          <w:sz w:val="24"/>
          <w:szCs w:val="24"/>
          <w:lang w:val="en-US"/>
        </w:rPr>
        <w:tab/>
      </w:r>
      <w:proofErr w:type="spellStart"/>
      <w:r w:rsidRPr="00051CEE">
        <w:rPr>
          <w:b/>
          <w:sz w:val="24"/>
          <w:szCs w:val="24"/>
          <w:lang w:val="en-US"/>
        </w:rPr>
        <w:t>Overdosering</w:t>
      </w:r>
      <w:proofErr w:type="spellEnd"/>
    </w:p>
    <w:p w:rsidR="00487D8A" w:rsidRPr="00051CEE" w:rsidRDefault="00487D8A" w:rsidP="00487D8A">
      <w:pPr>
        <w:ind w:left="851" w:hanging="851"/>
        <w:rPr>
          <w:i/>
          <w:sz w:val="24"/>
          <w:szCs w:val="24"/>
          <w:lang w:val="en-US"/>
        </w:rPr>
      </w:pPr>
    </w:p>
    <w:p w:rsidR="00487D8A" w:rsidRPr="00051CEE" w:rsidRDefault="00487D8A" w:rsidP="00487D8A">
      <w:pPr>
        <w:ind w:left="851"/>
        <w:rPr>
          <w:sz w:val="24"/>
          <w:szCs w:val="24"/>
          <w:lang w:val="en-US"/>
        </w:rPr>
      </w:pPr>
      <w:proofErr w:type="spellStart"/>
      <w:r w:rsidRPr="00051CEE">
        <w:rPr>
          <w:i/>
          <w:sz w:val="24"/>
          <w:szCs w:val="24"/>
          <w:lang w:val="en-US"/>
        </w:rPr>
        <w:t>Symptomer</w:t>
      </w:r>
      <w:proofErr w:type="spellEnd"/>
      <w:r w:rsidRPr="00051CEE">
        <w:rPr>
          <w:i/>
          <w:sz w:val="24"/>
          <w:szCs w:val="24"/>
          <w:lang w:val="en-US"/>
        </w:rPr>
        <w:t>:</w:t>
      </w:r>
      <w:r w:rsidRPr="00051CEE">
        <w:rPr>
          <w:sz w:val="24"/>
          <w:szCs w:val="24"/>
          <w:lang w:val="en-US"/>
        </w:rPr>
        <w:t xml:space="preserve"> 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Kvalme, </w:t>
      </w:r>
      <w:proofErr w:type="spellStart"/>
      <w:r w:rsidRPr="00CB304B">
        <w:rPr>
          <w:sz w:val="24"/>
          <w:szCs w:val="24"/>
        </w:rPr>
        <w:t>diaré</w:t>
      </w:r>
      <w:proofErr w:type="spellEnd"/>
      <w:r w:rsidRPr="00CB304B">
        <w:rPr>
          <w:sz w:val="24"/>
          <w:szCs w:val="24"/>
        </w:rPr>
        <w:t xml:space="preserve">, svimmelhed og hovedpine. </w:t>
      </w:r>
      <w:proofErr w:type="spellStart"/>
      <w:r w:rsidRPr="00CB304B">
        <w:rPr>
          <w:sz w:val="24"/>
          <w:szCs w:val="24"/>
        </w:rPr>
        <w:t>Ortostatiske</w:t>
      </w:r>
      <w:proofErr w:type="spellEnd"/>
      <w:r w:rsidRPr="00CB304B">
        <w:rPr>
          <w:sz w:val="24"/>
          <w:szCs w:val="24"/>
        </w:rPr>
        <w:t xml:space="preserve"> symptomer, hypotension, </w:t>
      </w:r>
      <w:proofErr w:type="spellStart"/>
      <w:r w:rsidRPr="00CB304B">
        <w:rPr>
          <w:sz w:val="24"/>
          <w:szCs w:val="24"/>
        </w:rPr>
        <w:t>myopati</w:t>
      </w:r>
      <w:proofErr w:type="spellEnd"/>
      <w:r w:rsidRPr="00CB304B">
        <w:rPr>
          <w:sz w:val="24"/>
          <w:szCs w:val="24"/>
        </w:rPr>
        <w:t xml:space="preserve"> og kramper kan forekomme. Kramper forekommer hyppigere ved anvendelse af højere doser.  Risiko for trombose hos prædisponerede personer.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i/>
          <w:sz w:val="24"/>
          <w:szCs w:val="24"/>
        </w:rPr>
        <w:t>Behandling af overdosering:</w:t>
      </w:r>
      <w:r w:rsidRPr="00CB304B">
        <w:rPr>
          <w:sz w:val="24"/>
          <w:szCs w:val="24"/>
        </w:rPr>
        <w:t xml:space="preserve"> 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Fremprovokation af opkastning, herefter skylning af mavesækken, kulterapi og symptomatisk behandling. Oprethold tilstrækkelig diurese. </w:t>
      </w:r>
      <w:proofErr w:type="spellStart"/>
      <w:r w:rsidRPr="00CB304B">
        <w:rPr>
          <w:sz w:val="24"/>
          <w:szCs w:val="24"/>
        </w:rPr>
        <w:t>Antikoagulationsbehandling</w:t>
      </w:r>
      <w:proofErr w:type="spellEnd"/>
      <w:r w:rsidRPr="00CB304B">
        <w:rPr>
          <w:sz w:val="24"/>
          <w:szCs w:val="24"/>
        </w:rPr>
        <w:t xml:space="preserve"> bør overvejes.</w:t>
      </w:r>
    </w:p>
    <w:p w:rsidR="00487D8A" w:rsidRPr="00CB304B" w:rsidRDefault="00487D8A" w:rsidP="00487D8A">
      <w:pPr>
        <w:ind w:left="851" w:hanging="851"/>
        <w:rPr>
          <w:i/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i/>
          <w:sz w:val="24"/>
          <w:szCs w:val="24"/>
        </w:rPr>
        <w:t>Toksicitet:</w:t>
      </w:r>
      <w:r w:rsidRPr="00CB304B">
        <w:rPr>
          <w:sz w:val="24"/>
          <w:szCs w:val="24"/>
        </w:rPr>
        <w:t xml:space="preserve"> </w:t>
      </w:r>
    </w:p>
    <w:p w:rsidR="00487D8A" w:rsidRPr="00CB304B" w:rsidRDefault="00487D8A" w:rsidP="00487D8A">
      <w:pPr>
        <w:ind w:left="851"/>
        <w:rPr>
          <w:i/>
          <w:sz w:val="24"/>
          <w:szCs w:val="24"/>
        </w:rPr>
      </w:pPr>
      <w:r w:rsidRPr="00CB304B">
        <w:rPr>
          <w:sz w:val="24"/>
          <w:szCs w:val="24"/>
        </w:rPr>
        <w:t xml:space="preserve">37 g </w:t>
      </w:r>
      <w:proofErr w:type="spellStart"/>
      <w:r w:rsidRPr="00CB304B">
        <w:rPr>
          <w:sz w:val="24"/>
          <w:szCs w:val="24"/>
        </w:rPr>
        <w:t>tranexamsyre</w:t>
      </w:r>
      <w:proofErr w:type="spellEnd"/>
      <w:r w:rsidRPr="00CB304B">
        <w:rPr>
          <w:sz w:val="24"/>
          <w:szCs w:val="24"/>
        </w:rPr>
        <w:t xml:space="preserve"> til en 17 årig person forårsagede mild forgiftning efter maveskylning.</w:t>
      </w:r>
    </w:p>
    <w:p w:rsidR="001E7C31" w:rsidRPr="00CB304B" w:rsidRDefault="001E7C31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lastRenderedPageBreak/>
        <w:t>4.10</w:t>
      </w:r>
      <w:r w:rsidRPr="00CB304B">
        <w:rPr>
          <w:b/>
          <w:sz w:val="24"/>
          <w:szCs w:val="24"/>
        </w:rPr>
        <w:tab/>
        <w:t>Udlevering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B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5.</w:t>
      </w:r>
      <w:r w:rsidRPr="00CB304B">
        <w:rPr>
          <w:b/>
          <w:sz w:val="24"/>
          <w:szCs w:val="24"/>
        </w:rPr>
        <w:tab/>
        <w:t>FARMAKOLOGISKE EGENSKABER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5.1</w:t>
      </w:r>
      <w:r w:rsidRPr="00CB304B">
        <w:rPr>
          <w:b/>
          <w:sz w:val="24"/>
          <w:szCs w:val="24"/>
        </w:rPr>
        <w:tab/>
      </w:r>
      <w:proofErr w:type="spellStart"/>
      <w:r w:rsidRPr="00CB304B">
        <w:rPr>
          <w:b/>
          <w:sz w:val="24"/>
          <w:szCs w:val="24"/>
        </w:rPr>
        <w:t>Farmakodynamiske</w:t>
      </w:r>
      <w:proofErr w:type="spellEnd"/>
      <w:r w:rsidRPr="00CB304B">
        <w:rPr>
          <w:b/>
          <w:sz w:val="24"/>
          <w:szCs w:val="24"/>
        </w:rPr>
        <w:t xml:space="preserve"> egenskaber</w:t>
      </w:r>
    </w:p>
    <w:p w:rsidR="00202226" w:rsidRDefault="00487D8A" w:rsidP="00202226">
      <w:pPr>
        <w:ind w:left="851" w:hanging="851"/>
        <w:rPr>
          <w:sz w:val="24"/>
          <w:szCs w:val="24"/>
        </w:rPr>
      </w:pPr>
      <w:r w:rsidRPr="00202226">
        <w:rPr>
          <w:sz w:val="24"/>
          <w:szCs w:val="24"/>
        </w:rPr>
        <w:tab/>
      </w:r>
      <w:proofErr w:type="spellStart"/>
      <w:r w:rsidR="00202226" w:rsidRPr="00202226">
        <w:rPr>
          <w:sz w:val="24"/>
          <w:szCs w:val="24"/>
        </w:rPr>
        <w:t>Farmakoterapeutisk</w:t>
      </w:r>
      <w:proofErr w:type="spellEnd"/>
      <w:r w:rsidR="00202226" w:rsidRPr="00202226">
        <w:rPr>
          <w:sz w:val="24"/>
          <w:szCs w:val="24"/>
        </w:rPr>
        <w:t xml:space="preserve"> klassifikation</w:t>
      </w:r>
      <w:r w:rsidR="00202226">
        <w:rPr>
          <w:sz w:val="24"/>
          <w:szCs w:val="24"/>
        </w:rPr>
        <w:t xml:space="preserve">: </w:t>
      </w:r>
      <w:proofErr w:type="spellStart"/>
      <w:r w:rsidR="00202226" w:rsidRPr="00CB304B">
        <w:rPr>
          <w:sz w:val="24"/>
          <w:szCs w:val="24"/>
        </w:rPr>
        <w:t>Hæmostatika</w:t>
      </w:r>
      <w:proofErr w:type="spellEnd"/>
      <w:r w:rsidR="00202226" w:rsidRPr="00CB304B">
        <w:rPr>
          <w:sz w:val="24"/>
          <w:szCs w:val="24"/>
        </w:rPr>
        <w:t>.</w:t>
      </w:r>
      <w:r w:rsidR="00202226">
        <w:rPr>
          <w:sz w:val="24"/>
          <w:szCs w:val="24"/>
        </w:rPr>
        <w:t xml:space="preserve"> </w:t>
      </w:r>
      <w:r w:rsidR="00202226" w:rsidRPr="00CB304B">
        <w:rPr>
          <w:sz w:val="24"/>
          <w:szCs w:val="24"/>
        </w:rPr>
        <w:t>ATC-kode: B 02 AA 02.</w:t>
      </w:r>
    </w:p>
    <w:p w:rsidR="00202226" w:rsidRPr="00CB304B" w:rsidRDefault="00202226" w:rsidP="00202226">
      <w:pPr>
        <w:ind w:left="851" w:hanging="851"/>
        <w:rPr>
          <w:sz w:val="24"/>
          <w:szCs w:val="24"/>
        </w:rPr>
      </w:pPr>
    </w:p>
    <w:p w:rsidR="00487D8A" w:rsidRPr="00CB304B" w:rsidRDefault="00487D8A" w:rsidP="00202226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Tracafour</w:t>
      </w:r>
      <w:proofErr w:type="spellEnd"/>
      <w:r w:rsidRPr="00CB304B">
        <w:rPr>
          <w:sz w:val="24"/>
          <w:szCs w:val="24"/>
        </w:rPr>
        <w:t xml:space="preserve"> indeholder </w:t>
      </w:r>
      <w:proofErr w:type="spellStart"/>
      <w:r w:rsidRPr="00CB304B">
        <w:rPr>
          <w:sz w:val="24"/>
          <w:szCs w:val="24"/>
        </w:rPr>
        <w:t>tranexamsyre</w:t>
      </w:r>
      <w:proofErr w:type="spellEnd"/>
      <w:r w:rsidRPr="00CB304B">
        <w:rPr>
          <w:sz w:val="24"/>
          <w:szCs w:val="24"/>
        </w:rPr>
        <w:t xml:space="preserve">, som har en hæmmende effekt på aktiveringen af </w:t>
      </w:r>
      <w:proofErr w:type="spellStart"/>
      <w:r w:rsidRPr="00CB304B">
        <w:rPr>
          <w:sz w:val="24"/>
          <w:szCs w:val="24"/>
        </w:rPr>
        <w:t>plasminogen</w:t>
      </w:r>
      <w:proofErr w:type="spellEnd"/>
      <w:r w:rsidRPr="00CB304B">
        <w:rPr>
          <w:sz w:val="24"/>
          <w:szCs w:val="24"/>
        </w:rPr>
        <w:t xml:space="preserve">, dvs. omdannelsen af </w:t>
      </w:r>
      <w:proofErr w:type="spellStart"/>
      <w:r w:rsidRPr="00CB304B">
        <w:rPr>
          <w:sz w:val="24"/>
          <w:szCs w:val="24"/>
        </w:rPr>
        <w:t>plasminogen</w:t>
      </w:r>
      <w:proofErr w:type="spellEnd"/>
      <w:r w:rsidRPr="00CB304B">
        <w:rPr>
          <w:sz w:val="24"/>
          <w:szCs w:val="24"/>
        </w:rPr>
        <w:t xml:space="preserve"> til </w:t>
      </w:r>
      <w:proofErr w:type="spellStart"/>
      <w:r w:rsidRPr="00CB304B">
        <w:rPr>
          <w:sz w:val="24"/>
          <w:szCs w:val="24"/>
        </w:rPr>
        <w:t>plasmin</w:t>
      </w:r>
      <w:proofErr w:type="spellEnd"/>
      <w:r w:rsidRPr="00CB304B">
        <w:rPr>
          <w:sz w:val="24"/>
          <w:szCs w:val="24"/>
        </w:rPr>
        <w:t xml:space="preserve">, i det </w:t>
      </w:r>
      <w:proofErr w:type="spellStart"/>
      <w:r w:rsidRPr="00CB304B">
        <w:rPr>
          <w:sz w:val="24"/>
          <w:szCs w:val="24"/>
        </w:rPr>
        <w:t>fibrinolytiske</w:t>
      </w:r>
      <w:proofErr w:type="spellEnd"/>
      <w:r w:rsidRPr="00CB304B">
        <w:rPr>
          <w:sz w:val="24"/>
          <w:szCs w:val="24"/>
        </w:rPr>
        <w:t xml:space="preserve"> system. </w:t>
      </w:r>
      <w:proofErr w:type="spellStart"/>
      <w:r w:rsidRPr="00CB304B">
        <w:rPr>
          <w:sz w:val="24"/>
          <w:szCs w:val="24"/>
        </w:rPr>
        <w:t>Tranexamsyre</w:t>
      </w:r>
      <w:proofErr w:type="spellEnd"/>
      <w:r w:rsidRPr="00CB304B">
        <w:rPr>
          <w:sz w:val="24"/>
          <w:szCs w:val="24"/>
        </w:rPr>
        <w:t xml:space="preserve"> anvendes ved tilfælde af </w:t>
      </w:r>
      <w:proofErr w:type="spellStart"/>
      <w:r w:rsidRPr="00CB304B">
        <w:rPr>
          <w:sz w:val="24"/>
          <w:szCs w:val="24"/>
        </w:rPr>
        <w:t>fibrinolytisk</w:t>
      </w:r>
      <w:proofErr w:type="spellEnd"/>
      <w:r w:rsidRPr="00CB304B">
        <w:rPr>
          <w:sz w:val="24"/>
          <w:szCs w:val="24"/>
        </w:rPr>
        <w:t xml:space="preserve"> blødning, som kan opstå i forskellige kliniske situationer, som involverer stimulation af aktiveringsmekanismen.</w:t>
      </w:r>
    </w:p>
    <w:p w:rsidR="00487D8A" w:rsidRPr="00CB304B" w:rsidRDefault="00487D8A" w:rsidP="00487D8A">
      <w:pPr>
        <w:pStyle w:val="Brdtekst"/>
        <w:tabs>
          <w:tab w:val="clear" w:pos="851"/>
        </w:tabs>
        <w:ind w:left="851" w:hanging="851"/>
        <w:rPr>
          <w:b w:val="0"/>
          <w:szCs w:val="24"/>
        </w:rPr>
      </w:pPr>
      <w:r w:rsidRPr="00CB304B">
        <w:rPr>
          <w:szCs w:val="24"/>
        </w:rPr>
        <w:tab/>
      </w:r>
      <w:r w:rsidRPr="00CB304B">
        <w:rPr>
          <w:b w:val="0"/>
          <w:szCs w:val="24"/>
        </w:rPr>
        <w:t xml:space="preserve">Behandlingen af </w:t>
      </w:r>
      <w:proofErr w:type="spellStart"/>
      <w:r w:rsidRPr="00CB304B">
        <w:rPr>
          <w:b w:val="0"/>
          <w:szCs w:val="24"/>
        </w:rPr>
        <w:t>menorrhagi</w:t>
      </w:r>
      <w:proofErr w:type="spellEnd"/>
      <w:r w:rsidRPr="00CB304B">
        <w:rPr>
          <w:b w:val="0"/>
          <w:szCs w:val="24"/>
        </w:rPr>
        <w:t xml:space="preserve"> er symptomatisk, da den ikke påvirker den underliggende patogenese for den øgede menstruationsblødning.</w:t>
      </w:r>
    </w:p>
    <w:p w:rsidR="00487D8A" w:rsidRPr="00CB304B" w:rsidRDefault="00487D8A" w:rsidP="00487D8A">
      <w:pPr>
        <w:pStyle w:val="Brdtekst"/>
        <w:tabs>
          <w:tab w:val="clear" w:pos="851"/>
        </w:tabs>
        <w:ind w:left="851" w:hanging="851"/>
        <w:rPr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5.2</w:t>
      </w:r>
      <w:r w:rsidRPr="00CB304B">
        <w:rPr>
          <w:b/>
          <w:sz w:val="24"/>
          <w:szCs w:val="24"/>
        </w:rPr>
        <w:tab/>
      </w:r>
      <w:proofErr w:type="spellStart"/>
      <w:r w:rsidRPr="00CB304B">
        <w:rPr>
          <w:b/>
          <w:sz w:val="24"/>
          <w:szCs w:val="24"/>
        </w:rPr>
        <w:t>Farmakokinetiske</w:t>
      </w:r>
      <w:proofErr w:type="spellEnd"/>
      <w:r w:rsidRPr="00CB304B">
        <w:rPr>
          <w:b/>
          <w:sz w:val="24"/>
          <w:szCs w:val="24"/>
        </w:rPr>
        <w:t xml:space="preserve"> egenskaber</w:t>
      </w:r>
    </w:p>
    <w:p w:rsidR="00487D8A" w:rsidRPr="00CB304B" w:rsidRDefault="00487D8A" w:rsidP="00487D8A">
      <w:pPr>
        <w:pStyle w:val="Brdtekstindrykning"/>
        <w:tabs>
          <w:tab w:val="clear" w:pos="851"/>
        </w:tabs>
        <w:ind w:left="851"/>
        <w:rPr>
          <w:strike w:val="0"/>
          <w:szCs w:val="24"/>
        </w:rPr>
      </w:pPr>
      <w:r w:rsidRPr="00CB304B">
        <w:rPr>
          <w:strike w:val="0"/>
          <w:szCs w:val="24"/>
        </w:rPr>
        <w:t xml:space="preserve">Biotilgængeligheden er ca. 35 % i dosisintervallet 0,5-2 g og påvirkes ikke af samtidig fødeindtagelse. Efter en oral enkeltdosis stiger </w:t>
      </w:r>
      <w:proofErr w:type="spellStart"/>
      <w:r w:rsidRPr="00CB304B">
        <w:rPr>
          <w:strike w:val="0"/>
          <w:szCs w:val="24"/>
        </w:rPr>
        <w:t>C</w:t>
      </w:r>
      <w:r w:rsidRPr="00CB304B">
        <w:rPr>
          <w:strike w:val="0"/>
          <w:szCs w:val="24"/>
          <w:vertAlign w:val="subscript"/>
        </w:rPr>
        <w:t>max</w:t>
      </w:r>
      <w:proofErr w:type="spellEnd"/>
      <w:r w:rsidRPr="00CB304B">
        <w:rPr>
          <w:strike w:val="0"/>
          <w:szCs w:val="24"/>
        </w:rPr>
        <w:t xml:space="preserve"> og udskillelse via urinen lineært ved doser på mellem 0,5 og 2 g. Efter en oral enkeltdosis på 0,5 g er </w:t>
      </w:r>
      <w:proofErr w:type="spellStart"/>
      <w:r w:rsidRPr="00CB304B">
        <w:rPr>
          <w:strike w:val="0"/>
          <w:szCs w:val="24"/>
        </w:rPr>
        <w:t>C</w:t>
      </w:r>
      <w:r w:rsidRPr="00CB304B">
        <w:rPr>
          <w:strike w:val="0"/>
          <w:szCs w:val="24"/>
          <w:vertAlign w:val="subscript"/>
        </w:rPr>
        <w:t>max</w:t>
      </w:r>
      <w:proofErr w:type="spellEnd"/>
      <w:r w:rsidRPr="00CB304B">
        <w:rPr>
          <w:strike w:val="0"/>
          <w:szCs w:val="24"/>
        </w:rPr>
        <w:t xml:space="preserve"> ca. 5 </w:t>
      </w:r>
      <w:proofErr w:type="spellStart"/>
      <w:r w:rsidRPr="00CB304B">
        <w:rPr>
          <w:strike w:val="0"/>
          <w:szCs w:val="24"/>
        </w:rPr>
        <w:t>mikrog</w:t>
      </w:r>
      <w:proofErr w:type="spellEnd"/>
      <w:r w:rsidRPr="00CB304B">
        <w:rPr>
          <w:strike w:val="0"/>
          <w:szCs w:val="24"/>
        </w:rPr>
        <w:t xml:space="preserve">/ml og efter en dosis på 2 g er </w:t>
      </w:r>
      <w:proofErr w:type="spellStart"/>
      <w:r w:rsidRPr="00CB304B">
        <w:rPr>
          <w:strike w:val="0"/>
          <w:szCs w:val="24"/>
        </w:rPr>
        <w:t>C</w:t>
      </w:r>
      <w:r w:rsidRPr="00CB304B">
        <w:rPr>
          <w:strike w:val="0"/>
          <w:szCs w:val="24"/>
          <w:vertAlign w:val="subscript"/>
        </w:rPr>
        <w:t>max</w:t>
      </w:r>
      <w:proofErr w:type="spellEnd"/>
      <w:r w:rsidRPr="00CB304B">
        <w:rPr>
          <w:strike w:val="0"/>
          <w:szCs w:val="24"/>
          <w:vertAlign w:val="subscript"/>
        </w:rPr>
        <w:t xml:space="preserve"> </w:t>
      </w:r>
      <w:r w:rsidRPr="00CB304B">
        <w:rPr>
          <w:strike w:val="0"/>
          <w:szCs w:val="24"/>
        </w:rPr>
        <w:t xml:space="preserve">15 </w:t>
      </w:r>
      <w:proofErr w:type="spellStart"/>
      <w:r w:rsidRPr="00CB304B">
        <w:rPr>
          <w:strike w:val="0"/>
          <w:szCs w:val="24"/>
        </w:rPr>
        <w:t>mikrog</w:t>
      </w:r>
      <w:proofErr w:type="spellEnd"/>
      <w:r w:rsidRPr="00CB304B">
        <w:rPr>
          <w:strike w:val="0"/>
          <w:szCs w:val="24"/>
        </w:rPr>
        <w:t>/ml.</w:t>
      </w:r>
    </w:p>
    <w:p w:rsidR="00487D8A" w:rsidRPr="00CB304B" w:rsidRDefault="00487D8A" w:rsidP="00487D8A">
      <w:pPr>
        <w:pStyle w:val="Brdtekstindrykning"/>
        <w:tabs>
          <w:tab w:val="clear" w:pos="851"/>
        </w:tabs>
        <w:ind w:left="851" w:hanging="851"/>
        <w:rPr>
          <w:strike w:val="0"/>
          <w:szCs w:val="24"/>
        </w:rPr>
      </w:pPr>
    </w:p>
    <w:p w:rsidR="00487D8A" w:rsidRPr="00CB304B" w:rsidRDefault="00487D8A" w:rsidP="00487D8A">
      <w:pPr>
        <w:pStyle w:val="Brdtekstindrykning"/>
        <w:tabs>
          <w:tab w:val="clear" w:pos="851"/>
        </w:tabs>
        <w:ind w:left="851"/>
        <w:rPr>
          <w:strike w:val="0"/>
          <w:szCs w:val="24"/>
        </w:rPr>
      </w:pPr>
      <w:r w:rsidRPr="00CB304B">
        <w:rPr>
          <w:strike w:val="0"/>
          <w:szCs w:val="24"/>
        </w:rPr>
        <w:t>Terapeutisk koncentration opretholdes i plasma op til 6 timer efter en oral enkeltdosis på 2</w:t>
      </w:r>
      <w:r w:rsidR="00F8011D">
        <w:rPr>
          <w:strike w:val="0"/>
          <w:szCs w:val="24"/>
        </w:rPr>
        <w:t> </w:t>
      </w:r>
      <w:r w:rsidRPr="00CB304B">
        <w:rPr>
          <w:strike w:val="0"/>
          <w:szCs w:val="24"/>
        </w:rPr>
        <w:t>g. Binding til plasmaproteiner (</w:t>
      </w:r>
      <w:proofErr w:type="spellStart"/>
      <w:r w:rsidRPr="00CB304B">
        <w:rPr>
          <w:strike w:val="0"/>
          <w:szCs w:val="24"/>
        </w:rPr>
        <w:t>plasminogen</w:t>
      </w:r>
      <w:proofErr w:type="spellEnd"/>
      <w:r w:rsidRPr="00CB304B">
        <w:rPr>
          <w:strike w:val="0"/>
          <w:szCs w:val="24"/>
        </w:rPr>
        <w:t xml:space="preserve">) er ca. 3 % ved terapeutiske plasmaniveauer. </w:t>
      </w:r>
      <w:proofErr w:type="spellStart"/>
      <w:r w:rsidRPr="00CB304B">
        <w:rPr>
          <w:strike w:val="0"/>
          <w:szCs w:val="24"/>
        </w:rPr>
        <w:t>Plasmaclearance</w:t>
      </w:r>
      <w:proofErr w:type="spellEnd"/>
      <w:r w:rsidRPr="00CB304B">
        <w:rPr>
          <w:strike w:val="0"/>
          <w:szCs w:val="24"/>
        </w:rPr>
        <w:t xml:space="preserve"> er ca. 7 l/time. Typisk plasma halveringstid er ca. 2 timer efter en enkelt intravenøs dosis. Efter gentagen oral administration er halveringstiden længere. Den terminale halveringstid er ca. 3 timer. Ca. 95 % af den absorberede dosis udskilles </w:t>
      </w:r>
      <w:proofErr w:type="spellStart"/>
      <w:r w:rsidRPr="00CB304B">
        <w:rPr>
          <w:strike w:val="0"/>
          <w:szCs w:val="24"/>
        </w:rPr>
        <w:t>uomdannet</w:t>
      </w:r>
      <w:proofErr w:type="spellEnd"/>
      <w:r w:rsidRPr="00CB304B">
        <w:rPr>
          <w:strike w:val="0"/>
          <w:szCs w:val="24"/>
        </w:rPr>
        <w:t xml:space="preserve"> i urinen. Der er identificeret 2 metabolitter: et N-</w:t>
      </w:r>
      <w:proofErr w:type="spellStart"/>
      <w:r w:rsidRPr="00CB304B">
        <w:rPr>
          <w:strike w:val="0"/>
          <w:szCs w:val="24"/>
        </w:rPr>
        <w:t>acetyleret</w:t>
      </w:r>
      <w:proofErr w:type="spellEnd"/>
      <w:r w:rsidRPr="00CB304B">
        <w:rPr>
          <w:strike w:val="0"/>
          <w:szCs w:val="24"/>
        </w:rPr>
        <w:t xml:space="preserve"> og et </w:t>
      </w:r>
      <w:proofErr w:type="spellStart"/>
      <w:r w:rsidRPr="00CB304B">
        <w:rPr>
          <w:strike w:val="0"/>
          <w:szCs w:val="24"/>
        </w:rPr>
        <w:t>deamineret</w:t>
      </w:r>
      <w:proofErr w:type="spellEnd"/>
      <w:r w:rsidRPr="00CB304B">
        <w:rPr>
          <w:strike w:val="0"/>
          <w:szCs w:val="24"/>
        </w:rPr>
        <w:t xml:space="preserve"> derivat.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5.3</w:t>
      </w:r>
      <w:r w:rsidRPr="00CB304B">
        <w:rPr>
          <w:b/>
          <w:sz w:val="24"/>
          <w:szCs w:val="24"/>
        </w:rPr>
        <w:tab/>
      </w:r>
      <w:r w:rsidR="00202226">
        <w:rPr>
          <w:b/>
          <w:sz w:val="24"/>
          <w:szCs w:val="24"/>
        </w:rPr>
        <w:t>Non-</w:t>
      </w:r>
      <w:r w:rsidRPr="00CB304B">
        <w:rPr>
          <w:b/>
          <w:sz w:val="24"/>
          <w:szCs w:val="24"/>
        </w:rPr>
        <w:t>kliniske sikkerhedsdata</w:t>
      </w:r>
    </w:p>
    <w:p w:rsidR="00487D8A" w:rsidRPr="00CB304B" w:rsidRDefault="00487D8A" w:rsidP="00487D8A">
      <w:pPr>
        <w:pStyle w:val="Brdtekstindrykning3"/>
        <w:tabs>
          <w:tab w:val="clear" w:pos="851"/>
        </w:tabs>
        <w:rPr>
          <w:szCs w:val="24"/>
        </w:rPr>
      </w:pPr>
      <w:r w:rsidRPr="00CB304B">
        <w:rPr>
          <w:b/>
          <w:szCs w:val="24"/>
        </w:rPr>
        <w:tab/>
      </w:r>
      <w:r w:rsidR="00202226">
        <w:rPr>
          <w:szCs w:val="24"/>
        </w:rPr>
        <w:t>Non-</w:t>
      </w:r>
      <w:r w:rsidRPr="00CB304B">
        <w:rPr>
          <w:szCs w:val="24"/>
        </w:rPr>
        <w:t xml:space="preserve">kliniske data viser ingen særlig risiko for mennesker ud over, hvad der er nævnt under andre afsnit i produktresuméet. Disse data er baseret på konventionelle undersøgelser af sikkerhedsfarmakologi, gentagen dosistoksicitet, reproduktionstoksicitet, genotoksicitet og </w:t>
      </w:r>
      <w:proofErr w:type="spellStart"/>
      <w:r w:rsidRPr="00CB304B">
        <w:rPr>
          <w:szCs w:val="24"/>
        </w:rPr>
        <w:t>carcinogenicitet</w:t>
      </w:r>
      <w:proofErr w:type="spellEnd"/>
      <w:r w:rsidRPr="00CB304B">
        <w:rPr>
          <w:szCs w:val="24"/>
        </w:rPr>
        <w:t>.</w:t>
      </w:r>
    </w:p>
    <w:p w:rsidR="00487D8A" w:rsidRPr="00CB304B" w:rsidRDefault="00487D8A" w:rsidP="00487D8A">
      <w:pPr>
        <w:pStyle w:val="Brdtekstindrykning3"/>
        <w:tabs>
          <w:tab w:val="clear" w:pos="851"/>
        </w:tabs>
        <w:rPr>
          <w:szCs w:val="24"/>
        </w:rPr>
      </w:pPr>
    </w:p>
    <w:p w:rsidR="00487D8A" w:rsidRPr="00CB304B" w:rsidRDefault="00487D8A" w:rsidP="00487D8A">
      <w:pPr>
        <w:pStyle w:val="Brdtekstindrykning3"/>
        <w:tabs>
          <w:tab w:val="clear" w:pos="851"/>
        </w:tabs>
        <w:rPr>
          <w:szCs w:val="24"/>
        </w:rPr>
      </w:pPr>
      <w:r w:rsidRPr="00CB304B">
        <w:rPr>
          <w:szCs w:val="24"/>
        </w:rPr>
        <w:tab/>
        <w:t xml:space="preserve">Der blev fundet </w:t>
      </w:r>
      <w:proofErr w:type="spellStart"/>
      <w:r w:rsidRPr="00CB304B">
        <w:rPr>
          <w:szCs w:val="24"/>
        </w:rPr>
        <w:t>retinale</w:t>
      </w:r>
      <w:proofErr w:type="spellEnd"/>
      <w:r w:rsidRPr="00CB304B">
        <w:rPr>
          <w:szCs w:val="24"/>
        </w:rPr>
        <w:t xml:space="preserve"> abnormiteter i langtidstoksicitetsundersøgelserne på hund og kat: øget </w:t>
      </w:r>
      <w:proofErr w:type="spellStart"/>
      <w:r w:rsidRPr="00CB304B">
        <w:rPr>
          <w:szCs w:val="24"/>
        </w:rPr>
        <w:t>reflektivitet</w:t>
      </w:r>
      <w:proofErr w:type="spellEnd"/>
      <w:r w:rsidRPr="00CB304B">
        <w:rPr>
          <w:szCs w:val="24"/>
        </w:rPr>
        <w:t xml:space="preserve">, </w:t>
      </w:r>
      <w:proofErr w:type="spellStart"/>
      <w:r w:rsidRPr="00CB304B">
        <w:rPr>
          <w:szCs w:val="24"/>
        </w:rPr>
        <w:t>segmentel</w:t>
      </w:r>
      <w:proofErr w:type="spellEnd"/>
      <w:r w:rsidRPr="00CB304B">
        <w:rPr>
          <w:szCs w:val="24"/>
        </w:rPr>
        <w:t xml:space="preserve"> </w:t>
      </w:r>
      <w:proofErr w:type="spellStart"/>
      <w:r w:rsidRPr="00CB304B">
        <w:rPr>
          <w:szCs w:val="24"/>
        </w:rPr>
        <w:t>photoreceptoratrofi</w:t>
      </w:r>
      <w:proofErr w:type="spellEnd"/>
      <w:r w:rsidRPr="00CB304B">
        <w:rPr>
          <w:szCs w:val="24"/>
        </w:rPr>
        <w:t xml:space="preserve">, perifer </w:t>
      </w:r>
      <w:proofErr w:type="spellStart"/>
      <w:r w:rsidRPr="00CB304B">
        <w:rPr>
          <w:szCs w:val="24"/>
        </w:rPr>
        <w:t>retinaatrofi</w:t>
      </w:r>
      <w:proofErr w:type="spellEnd"/>
      <w:r w:rsidRPr="00CB304B">
        <w:rPr>
          <w:szCs w:val="24"/>
        </w:rPr>
        <w:t xml:space="preserve">, </w:t>
      </w:r>
      <w:proofErr w:type="spellStart"/>
      <w:r w:rsidRPr="00CB304B">
        <w:rPr>
          <w:szCs w:val="24"/>
        </w:rPr>
        <w:t>afrofi</w:t>
      </w:r>
      <w:proofErr w:type="spellEnd"/>
      <w:r w:rsidRPr="00CB304B">
        <w:rPr>
          <w:szCs w:val="24"/>
        </w:rPr>
        <w:t xml:space="preserve"> af stave og tappe. Disse </w:t>
      </w:r>
      <w:proofErr w:type="spellStart"/>
      <w:r w:rsidRPr="00CB304B">
        <w:rPr>
          <w:szCs w:val="24"/>
        </w:rPr>
        <w:t>okulære</w:t>
      </w:r>
      <w:proofErr w:type="spellEnd"/>
      <w:r w:rsidRPr="00CB304B">
        <w:rPr>
          <w:szCs w:val="24"/>
        </w:rPr>
        <w:t xml:space="preserve"> ændringer var dosisrelaterede og forekom ved høje doser.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</w:t>
      </w:r>
      <w:r w:rsidRPr="00CB304B">
        <w:rPr>
          <w:b/>
          <w:sz w:val="24"/>
          <w:szCs w:val="24"/>
        </w:rPr>
        <w:tab/>
        <w:t>FARMACEUTISKE OPLYSNINGER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6.1</w:t>
      </w:r>
      <w:r w:rsidRPr="00CB304B">
        <w:rPr>
          <w:b/>
          <w:sz w:val="24"/>
          <w:szCs w:val="24"/>
        </w:rPr>
        <w:tab/>
        <w:t>Hjælpestoffer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  <w:u w:val="single"/>
        </w:rPr>
      </w:pPr>
      <w:r w:rsidRPr="00CB304B">
        <w:rPr>
          <w:sz w:val="24"/>
          <w:szCs w:val="24"/>
          <w:u w:val="single"/>
        </w:rPr>
        <w:t>Kerne: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Mikrokrystallinsk cellulose (101, 102) (E460)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Lavsubstitueret </w:t>
      </w:r>
      <w:proofErr w:type="spellStart"/>
      <w:r w:rsidRPr="00CB304B">
        <w:rPr>
          <w:sz w:val="24"/>
          <w:szCs w:val="24"/>
        </w:rPr>
        <w:t>hydroxypropylcellulose</w:t>
      </w:r>
      <w:proofErr w:type="spellEnd"/>
      <w:r w:rsidRPr="00CB304B">
        <w:rPr>
          <w:sz w:val="24"/>
          <w:szCs w:val="24"/>
        </w:rPr>
        <w:t xml:space="preserve"> (LH-21)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Talcum</w:t>
      </w:r>
      <w:proofErr w:type="spellEnd"/>
      <w:r w:rsidRPr="00CB304B">
        <w:rPr>
          <w:sz w:val="24"/>
          <w:szCs w:val="24"/>
        </w:rPr>
        <w:t xml:space="preserve"> (E553b)</w:t>
      </w:r>
    </w:p>
    <w:p w:rsidR="00487D8A" w:rsidRPr="00051CEE" w:rsidRDefault="00487D8A" w:rsidP="00487D8A">
      <w:pPr>
        <w:ind w:left="851"/>
        <w:rPr>
          <w:sz w:val="24"/>
          <w:szCs w:val="24"/>
          <w:lang w:val="de-DE"/>
        </w:rPr>
      </w:pPr>
      <w:r w:rsidRPr="00051CEE">
        <w:rPr>
          <w:sz w:val="24"/>
          <w:szCs w:val="24"/>
          <w:lang w:val="de-DE"/>
        </w:rPr>
        <w:t>Magnesiumstearat (E470b)</w:t>
      </w:r>
    </w:p>
    <w:p w:rsidR="00487D8A" w:rsidRPr="00051CEE" w:rsidRDefault="00487D8A" w:rsidP="00487D8A">
      <w:pPr>
        <w:ind w:left="851"/>
        <w:rPr>
          <w:sz w:val="24"/>
          <w:szCs w:val="24"/>
          <w:lang w:val="de-DE"/>
        </w:rPr>
      </w:pPr>
      <w:r w:rsidRPr="00051CEE">
        <w:rPr>
          <w:sz w:val="24"/>
          <w:szCs w:val="24"/>
          <w:lang w:val="de-DE"/>
        </w:rPr>
        <w:lastRenderedPageBreak/>
        <w:t xml:space="preserve">Silica, kolloid </w:t>
      </w:r>
      <w:proofErr w:type="spellStart"/>
      <w:r w:rsidRPr="00051CEE">
        <w:rPr>
          <w:sz w:val="24"/>
          <w:szCs w:val="24"/>
          <w:lang w:val="de-DE"/>
        </w:rPr>
        <w:t>vandfri</w:t>
      </w:r>
      <w:proofErr w:type="spellEnd"/>
      <w:r w:rsidRPr="00051CEE">
        <w:rPr>
          <w:sz w:val="24"/>
          <w:szCs w:val="24"/>
          <w:lang w:val="de-DE"/>
        </w:rPr>
        <w:t xml:space="preserve"> (E551)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Povidon</w:t>
      </w:r>
      <w:proofErr w:type="spellEnd"/>
      <w:r w:rsidRPr="00CB304B">
        <w:rPr>
          <w:sz w:val="24"/>
          <w:szCs w:val="24"/>
        </w:rPr>
        <w:t xml:space="preserve"> K 30 (E1201)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  <w:u w:val="single"/>
        </w:rPr>
      </w:pPr>
      <w:r w:rsidRPr="00CB304B">
        <w:rPr>
          <w:sz w:val="24"/>
          <w:szCs w:val="24"/>
          <w:u w:val="single"/>
        </w:rPr>
        <w:t>Filmovertræk: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Grundlæggende </w:t>
      </w:r>
      <w:proofErr w:type="spellStart"/>
      <w:r w:rsidRPr="00CB304B">
        <w:rPr>
          <w:sz w:val="24"/>
          <w:szCs w:val="24"/>
        </w:rPr>
        <w:t>butyleret</w:t>
      </w:r>
      <w:proofErr w:type="spellEnd"/>
      <w:r w:rsidRPr="00CB304B">
        <w:rPr>
          <w:sz w:val="24"/>
          <w:szCs w:val="24"/>
        </w:rPr>
        <w:t xml:space="preserve"> </w:t>
      </w:r>
      <w:proofErr w:type="spellStart"/>
      <w:r w:rsidRPr="00CB304B">
        <w:rPr>
          <w:sz w:val="24"/>
          <w:szCs w:val="24"/>
        </w:rPr>
        <w:t>methacrylatcopolymer</w:t>
      </w:r>
      <w:proofErr w:type="spellEnd"/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Natriumlaurylsulfat</w:t>
      </w:r>
      <w:proofErr w:type="spellEnd"/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Stearinsyre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Talcum</w:t>
      </w:r>
      <w:proofErr w:type="spellEnd"/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6.2</w:t>
      </w:r>
      <w:r w:rsidRPr="00CB304B">
        <w:rPr>
          <w:b/>
          <w:sz w:val="24"/>
          <w:szCs w:val="24"/>
        </w:rPr>
        <w:tab/>
        <w:t>Uforligeligheder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Ikke relevant.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</w: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6.3</w:t>
      </w:r>
      <w:r w:rsidRPr="00CB304B">
        <w:rPr>
          <w:b/>
          <w:sz w:val="24"/>
          <w:szCs w:val="24"/>
        </w:rPr>
        <w:tab/>
        <w:t>Opbevaringstid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CB304B">
        <w:rPr>
          <w:sz w:val="24"/>
          <w:szCs w:val="24"/>
        </w:rPr>
        <w:t xml:space="preserve"> år.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6.4</w:t>
      </w:r>
      <w:r w:rsidRPr="00CB304B">
        <w:rPr>
          <w:b/>
          <w:sz w:val="24"/>
          <w:szCs w:val="24"/>
        </w:rPr>
        <w:tab/>
        <w:t>Særlige opbevaringsforhold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Må ikke opbevares ved temperaturer over 30 °C.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6.5</w:t>
      </w:r>
      <w:r w:rsidRPr="00CB304B">
        <w:rPr>
          <w:b/>
          <w:sz w:val="24"/>
          <w:szCs w:val="24"/>
        </w:rPr>
        <w:tab/>
        <w:t>Emballagetype og pakningsstørrelser</w:t>
      </w: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z w:val="24"/>
          <w:szCs w:val="24"/>
        </w:rPr>
        <w:t>Al/PVC folieblistre og HDPE beholdere.</w:t>
      </w:r>
    </w:p>
    <w:p w:rsidR="00487D8A" w:rsidRPr="00CB304B" w:rsidRDefault="00487D8A" w:rsidP="00487D8A">
      <w:pPr>
        <w:suppressAutoHyphens/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</w: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z w:val="24"/>
          <w:szCs w:val="24"/>
        </w:rPr>
        <w:t>Blister: 20, 30, 50, 60 og 100 filmovertrukne tabletter</w:t>
      </w: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z w:val="24"/>
          <w:szCs w:val="24"/>
        </w:rPr>
        <w:t>HDPE-beholder: 20, 30, 60 og 100 filmovertrukne tabletter</w:t>
      </w: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z w:val="24"/>
          <w:szCs w:val="24"/>
        </w:rPr>
        <w:t>Blistre/beholdere er placeret sammen med en indlægsseddel i papæsker.</w:t>
      </w: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Ikke alle pakningsstørrelser er nødvendigvis markedsført.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6.6</w:t>
      </w:r>
      <w:r w:rsidRPr="00CB304B">
        <w:rPr>
          <w:b/>
          <w:sz w:val="24"/>
          <w:szCs w:val="24"/>
        </w:rPr>
        <w:tab/>
        <w:t xml:space="preserve">Regler for </w:t>
      </w:r>
      <w:r w:rsidR="00202226">
        <w:rPr>
          <w:b/>
          <w:sz w:val="24"/>
          <w:szCs w:val="24"/>
        </w:rPr>
        <w:t>bortskaffelse</w:t>
      </w:r>
      <w:r w:rsidRPr="00CB304B">
        <w:rPr>
          <w:b/>
          <w:sz w:val="24"/>
          <w:szCs w:val="24"/>
        </w:rPr>
        <w:t xml:space="preserve"> og anden håndtering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Ingen særlige forholdsregler.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Ikke anvendt lægemiddel samt affald heraf bør destrueres i henhold til lokale retningslinjer.</w:t>
      </w:r>
    </w:p>
    <w:p w:rsidR="00487D8A" w:rsidRPr="00CB304B" w:rsidRDefault="00487D8A" w:rsidP="00487D8A">
      <w:pPr>
        <w:ind w:left="851" w:hanging="851"/>
        <w:jc w:val="both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7.</w:t>
      </w:r>
      <w:r w:rsidRPr="00CB304B">
        <w:rPr>
          <w:b/>
          <w:sz w:val="24"/>
          <w:szCs w:val="24"/>
        </w:rPr>
        <w:tab/>
        <w:t>INDEHAVER AF MARKEDSFØRINGSTILLADELSEN</w:t>
      </w:r>
    </w:p>
    <w:p w:rsidR="001E7C31" w:rsidRDefault="001E7C31" w:rsidP="00487D8A">
      <w:pPr>
        <w:ind w:left="851"/>
        <w:rPr>
          <w:sz w:val="24"/>
          <w:szCs w:val="24"/>
        </w:rPr>
      </w:pPr>
      <w:r w:rsidRPr="001E7C31">
        <w:rPr>
          <w:sz w:val="24"/>
          <w:szCs w:val="24"/>
        </w:rPr>
        <w:t xml:space="preserve">2care4 </w:t>
      </w:r>
      <w:proofErr w:type="spellStart"/>
      <w:r w:rsidRPr="001E7C31">
        <w:rPr>
          <w:sz w:val="24"/>
          <w:szCs w:val="24"/>
        </w:rPr>
        <w:t>Generics</w:t>
      </w:r>
      <w:proofErr w:type="spellEnd"/>
      <w:r w:rsidRPr="001E7C31">
        <w:rPr>
          <w:sz w:val="24"/>
          <w:szCs w:val="24"/>
        </w:rPr>
        <w:t xml:space="preserve"> ApS </w:t>
      </w:r>
    </w:p>
    <w:p w:rsidR="001E7C31" w:rsidRDefault="001E7C31" w:rsidP="00487D8A">
      <w:pPr>
        <w:ind w:left="851"/>
        <w:rPr>
          <w:sz w:val="24"/>
          <w:szCs w:val="24"/>
        </w:rPr>
      </w:pPr>
      <w:r w:rsidRPr="001E7C31">
        <w:rPr>
          <w:sz w:val="24"/>
          <w:szCs w:val="24"/>
        </w:rPr>
        <w:t xml:space="preserve">Stenhuggervej 12-14 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6710 Esbjerg V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8.</w:t>
      </w:r>
      <w:r w:rsidRPr="00CB304B">
        <w:rPr>
          <w:b/>
          <w:sz w:val="24"/>
          <w:szCs w:val="24"/>
        </w:rPr>
        <w:tab/>
        <w:t>MARKEDSFØRINGSTILLADELSESNUMMER (</w:t>
      </w:r>
      <w:r w:rsidR="00202226">
        <w:rPr>
          <w:b/>
          <w:sz w:val="24"/>
          <w:szCs w:val="24"/>
        </w:rPr>
        <w:t>-</w:t>
      </w:r>
      <w:r w:rsidRPr="00CB304B">
        <w:rPr>
          <w:b/>
          <w:sz w:val="24"/>
          <w:szCs w:val="24"/>
        </w:rPr>
        <w:t>NUMRE)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57021</w:t>
      </w:r>
    </w:p>
    <w:p w:rsidR="00487D8A" w:rsidRPr="00CB304B" w:rsidRDefault="00487D8A" w:rsidP="00487D8A">
      <w:pPr>
        <w:ind w:left="851" w:hanging="851"/>
        <w:jc w:val="both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9.</w:t>
      </w:r>
      <w:r w:rsidRPr="00CB304B">
        <w:rPr>
          <w:b/>
          <w:sz w:val="24"/>
          <w:szCs w:val="24"/>
        </w:rPr>
        <w:tab/>
        <w:t>DATO FOR FØRSTE MARKEDSFØRINGSTILLADELSE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>
        <w:rPr>
          <w:sz w:val="24"/>
          <w:szCs w:val="24"/>
        </w:rPr>
        <w:t>16. juni 2017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10.</w:t>
      </w:r>
      <w:r w:rsidRPr="00CB304B">
        <w:rPr>
          <w:b/>
          <w:sz w:val="24"/>
          <w:szCs w:val="24"/>
        </w:rPr>
        <w:tab/>
        <w:t>DATO FOR ÆNDRING AF TEKSTEN</w:t>
      </w:r>
    </w:p>
    <w:p w:rsidR="00487D8A" w:rsidRPr="00CB304B" w:rsidRDefault="00202226" w:rsidP="00487D8A">
      <w:pPr>
        <w:ind w:left="851"/>
        <w:rPr>
          <w:sz w:val="24"/>
          <w:szCs w:val="24"/>
        </w:rPr>
      </w:pPr>
      <w:r w:rsidRPr="00202226">
        <w:rPr>
          <w:sz w:val="24"/>
          <w:szCs w:val="24"/>
        </w:rPr>
        <w:t>13. juli 2023</w:t>
      </w:r>
    </w:p>
    <w:p w:rsidR="009260DE" w:rsidRPr="00487D8A" w:rsidRDefault="009260DE" w:rsidP="00487D8A"/>
    <w:sectPr w:rsidR="009260DE" w:rsidRPr="00487D8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D8A" w:rsidRDefault="00487D8A">
      <w:r>
        <w:separator/>
      </w:r>
    </w:p>
  </w:endnote>
  <w:endnote w:type="continuationSeparator" w:id="0">
    <w:p w:rsidR="00487D8A" w:rsidRDefault="0048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7104C">
      <w:rPr>
        <w:i/>
        <w:noProof/>
        <w:sz w:val="18"/>
        <w:szCs w:val="18"/>
      </w:rPr>
      <w:t>Tracafour, filmovertrukne tabletter 500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D8A" w:rsidRDefault="00487D8A">
      <w:r>
        <w:separator/>
      </w:r>
    </w:p>
  </w:footnote>
  <w:footnote w:type="continuationSeparator" w:id="0">
    <w:p w:rsidR="00487D8A" w:rsidRDefault="0048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A43347C"/>
    <w:multiLevelType w:val="multilevel"/>
    <w:tmpl w:val="87FEBA72"/>
    <w:lvl w:ilvl="0">
      <w:start w:val="250"/>
      <w:numFmt w:val="decimal"/>
      <w:lvlText w:val="%1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500"/>
      <w:numFmt w:val="decimal"/>
      <w:lvlText w:val="%1-%2"/>
      <w:lvlJc w:val="left"/>
      <w:pPr>
        <w:tabs>
          <w:tab w:val="num" w:pos="5385"/>
        </w:tabs>
        <w:ind w:left="5385" w:hanging="3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810"/>
        </w:tabs>
        <w:ind w:left="6810" w:hanging="3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35"/>
        </w:tabs>
        <w:ind w:left="8235" w:hanging="3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60"/>
        </w:tabs>
        <w:ind w:left="9660" w:hanging="3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85"/>
        </w:tabs>
        <w:ind w:left="11085" w:hanging="39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510"/>
        </w:tabs>
        <w:ind w:left="12510" w:hanging="39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935"/>
        </w:tabs>
        <w:ind w:left="13935" w:hanging="39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360"/>
        </w:tabs>
        <w:ind w:left="15360" w:hanging="3960"/>
      </w:pPr>
      <w:rPr>
        <w:rFonts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B834E24"/>
    <w:multiLevelType w:val="hybridMultilevel"/>
    <w:tmpl w:val="2320F3EC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D56261E"/>
    <w:multiLevelType w:val="multilevel"/>
    <w:tmpl w:val="E9062A04"/>
    <w:lvl w:ilvl="0">
      <w:start w:val="120"/>
      <w:numFmt w:val="decimal"/>
      <w:lvlText w:val="%1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249"/>
      <w:numFmt w:val="decimal"/>
      <w:lvlText w:val="%1-%2"/>
      <w:lvlJc w:val="left"/>
      <w:pPr>
        <w:tabs>
          <w:tab w:val="num" w:pos="5381"/>
        </w:tabs>
        <w:ind w:left="5381" w:hanging="3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802"/>
        </w:tabs>
        <w:ind w:left="6802" w:hanging="3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23"/>
        </w:tabs>
        <w:ind w:left="8223" w:hanging="3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44"/>
        </w:tabs>
        <w:ind w:left="9644" w:hanging="3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65"/>
        </w:tabs>
        <w:ind w:left="11065" w:hanging="39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486"/>
        </w:tabs>
        <w:ind w:left="12486" w:hanging="39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907"/>
        </w:tabs>
        <w:ind w:left="13907" w:hanging="39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328"/>
        </w:tabs>
        <w:ind w:left="15328" w:hanging="396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A"/>
    <w:rsid w:val="000259B9"/>
    <w:rsid w:val="00041491"/>
    <w:rsid w:val="00050D16"/>
    <w:rsid w:val="00051CEE"/>
    <w:rsid w:val="000573A6"/>
    <w:rsid w:val="00074F2A"/>
    <w:rsid w:val="000A1CA8"/>
    <w:rsid w:val="000A466B"/>
    <w:rsid w:val="000B058C"/>
    <w:rsid w:val="000E4EE6"/>
    <w:rsid w:val="001454E2"/>
    <w:rsid w:val="001E7C31"/>
    <w:rsid w:val="00202226"/>
    <w:rsid w:val="00206CE8"/>
    <w:rsid w:val="0021526C"/>
    <w:rsid w:val="00283A2B"/>
    <w:rsid w:val="002B30AD"/>
    <w:rsid w:val="002C2C01"/>
    <w:rsid w:val="002E10B3"/>
    <w:rsid w:val="0037104C"/>
    <w:rsid w:val="003A29AE"/>
    <w:rsid w:val="003A32D7"/>
    <w:rsid w:val="003B4074"/>
    <w:rsid w:val="003C769A"/>
    <w:rsid w:val="003F1838"/>
    <w:rsid w:val="0045746C"/>
    <w:rsid w:val="00487D8A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66C0B"/>
    <w:rsid w:val="00C84483"/>
    <w:rsid w:val="00C95551"/>
    <w:rsid w:val="00CB20D7"/>
    <w:rsid w:val="00D020B0"/>
    <w:rsid w:val="00D11748"/>
    <w:rsid w:val="00D1275E"/>
    <w:rsid w:val="00D366CF"/>
    <w:rsid w:val="00DF70D7"/>
    <w:rsid w:val="00E108AA"/>
    <w:rsid w:val="00E31812"/>
    <w:rsid w:val="00E3749A"/>
    <w:rsid w:val="00E7437F"/>
    <w:rsid w:val="00E865B8"/>
    <w:rsid w:val="00EC0B9B"/>
    <w:rsid w:val="00ED5E9F"/>
    <w:rsid w:val="00F66D4F"/>
    <w:rsid w:val="00F8011D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3090D"/>
  <w15:chartTrackingRefBased/>
  <w15:docId w15:val="{F8E1380F-04B4-489B-B785-9D48EF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">
    <w:name w:val="Body Text Indent"/>
    <w:basedOn w:val="Normal"/>
    <w:link w:val="BrdtekstindrykningTegn"/>
    <w:rsid w:val="00487D8A"/>
    <w:pPr>
      <w:tabs>
        <w:tab w:val="left" w:pos="851"/>
      </w:tabs>
      <w:ind w:left="855"/>
    </w:pPr>
    <w:rPr>
      <w:strike/>
      <w:sz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487D8A"/>
    <w:rPr>
      <w:strike/>
      <w:sz w:val="24"/>
    </w:rPr>
  </w:style>
  <w:style w:type="paragraph" w:styleId="Brdtekst">
    <w:name w:val="Body Text"/>
    <w:basedOn w:val="Normal"/>
    <w:link w:val="BrdtekstTegn"/>
    <w:rsid w:val="00487D8A"/>
    <w:pPr>
      <w:tabs>
        <w:tab w:val="left" w:pos="851"/>
      </w:tabs>
    </w:pPr>
    <w:rPr>
      <w:b/>
      <w:sz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87D8A"/>
    <w:rPr>
      <w:b/>
      <w:sz w:val="24"/>
    </w:rPr>
  </w:style>
  <w:style w:type="paragraph" w:styleId="Brdtekstindrykning3">
    <w:name w:val="Body Text Indent 3"/>
    <w:basedOn w:val="Normal"/>
    <w:link w:val="Brdtekstindrykning3Tegn"/>
    <w:rsid w:val="00487D8A"/>
    <w:pPr>
      <w:tabs>
        <w:tab w:val="left" w:pos="851"/>
      </w:tabs>
      <w:ind w:left="851" w:hanging="851"/>
    </w:pPr>
    <w:rPr>
      <w:sz w:val="24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rsid w:val="00487D8A"/>
    <w:rPr>
      <w:sz w:val="24"/>
    </w:rPr>
  </w:style>
  <w:style w:type="character" w:styleId="Hyperlink">
    <w:name w:val="Hyperlink"/>
    <w:uiPriority w:val="99"/>
    <w:semiHidden/>
    <w:unhideWhenUsed/>
    <w:rsid w:val="00487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6</TotalTime>
  <Pages>6</Pages>
  <Words>1398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2022074322_x000d_
SPC pkt. 4.3-4-6, 4.8, 5.3 samt overskrifter iht. QRD9.</dc:description>
  <cp:lastModifiedBy>Betty Winther Andersen</cp:lastModifiedBy>
  <cp:revision>5</cp:revision>
  <cp:lastPrinted>2012-08-22T08:53:00Z</cp:lastPrinted>
  <dcterms:created xsi:type="dcterms:W3CDTF">2023-07-11T09:09:00Z</dcterms:created>
  <dcterms:modified xsi:type="dcterms:W3CDTF">2023-07-11T09:17:00Z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