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689" w:rsidRPr="008F49E1" w:rsidRDefault="00B52689" w:rsidP="00B52689">
      <w:pPr>
        <w:rPr>
          <w:sz w:val="24"/>
          <w:szCs w:val="24"/>
        </w:rPr>
      </w:pPr>
      <w:bookmarkStart w:id="0" w:name="_GoBack"/>
      <w:bookmarkEnd w:id="0"/>
      <w:r w:rsidRPr="008F49E1">
        <w:rPr>
          <w:noProof/>
          <w:sz w:val="24"/>
          <w:szCs w:val="24"/>
          <w:lang w:eastAsia="da-DK"/>
        </w:rPr>
        <w:drawing>
          <wp:inline distT="0" distB="0" distL="0" distR="0" wp14:anchorId="4E7CA7CA" wp14:editId="1F3DBE29">
            <wp:extent cx="2430780" cy="683657"/>
            <wp:effectExtent l="0" t="0" r="7620" b="2540"/>
            <wp:docPr id="3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698" cy="693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689" w:rsidRPr="006F7C59" w:rsidRDefault="00B52689" w:rsidP="00B52689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B52689" w:rsidRPr="006F7C59" w:rsidRDefault="00B52689" w:rsidP="00B52689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6F7C59">
        <w:rPr>
          <w:b w:val="0"/>
          <w:szCs w:val="24"/>
          <w:lang w:eastAsia="en-US"/>
        </w:rPr>
        <w:tab/>
      </w:r>
      <w:r w:rsidR="00641D1E">
        <w:rPr>
          <w:szCs w:val="24"/>
        </w:rPr>
        <w:t>1</w:t>
      </w:r>
      <w:r w:rsidR="00911F8A">
        <w:rPr>
          <w:szCs w:val="24"/>
        </w:rPr>
        <w:t>7</w:t>
      </w:r>
      <w:r w:rsidR="00641D1E">
        <w:rPr>
          <w:szCs w:val="24"/>
        </w:rPr>
        <w:t>. marts 2022</w:t>
      </w:r>
    </w:p>
    <w:p w:rsidR="009354E8" w:rsidRDefault="009354E8" w:rsidP="00B52689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641D1E" w:rsidRDefault="00641D1E" w:rsidP="00B52689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641D1E" w:rsidRPr="006F7C59" w:rsidRDefault="00641D1E" w:rsidP="00B52689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B52689" w:rsidRPr="006F7C59" w:rsidRDefault="00B52689" w:rsidP="00B52689">
      <w:pPr>
        <w:jc w:val="center"/>
        <w:rPr>
          <w:b/>
          <w:sz w:val="24"/>
          <w:szCs w:val="24"/>
        </w:rPr>
      </w:pPr>
      <w:r w:rsidRPr="006F7C59">
        <w:rPr>
          <w:b/>
          <w:sz w:val="24"/>
          <w:szCs w:val="24"/>
        </w:rPr>
        <w:t>PRODUKTRESUMÉ</w:t>
      </w:r>
    </w:p>
    <w:p w:rsidR="00B52689" w:rsidRPr="006F7C59" w:rsidRDefault="00B52689" w:rsidP="00B52689">
      <w:pPr>
        <w:jc w:val="center"/>
        <w:rPr>
          <w:b/>
          <w:sz w:val="24"/>
          <w:szCs w:val="24"/>
        </w:rPr>
      </w:pPr>
    </w:p>
    <w:p w:rsidR="00B52689" w:rsidRPr="006F7C59" w:rsidRDefault="00B52689" w:rsidP="00B52689">
      <w:pPr>
        <w:jc w:val="center"/>
        <w:rPr>
          <w:b/>
          <w:sz w:val="24"/>
          <w:szCs w:val="24"/>
        </w:rPr>
      </w:pPr>
      <w:r w:rsidRPr="006F7C59">
        <w:rPr>
          <w:b/>
          <w:sz w:val="24"/>
          <w:szCs w:val="24"/>
        </w:rPr>
        <w:t>for</w:t>
      </w:r>
    </w:p>
    <w:p w:rsidR="00B52689" w:rsidRPr="006F7C59" w:rsidRDefault="00B52689" w:rsidP="00B52689">
      <w:pPr>
        <w:jc w:val="center"/>
        <w:rPr>
          <w:b/>
          <w:sz w:val="24"/>
          <w:szCs w:val="24"/>
        </w:rPr>
      </w:pPr>
    </w:p>
    <w:p w:rsidR="00B52689" w:rsidRPr="006F7C59" w:rsidRDefault="00B52689" w:rsidP="00B52689">
      <w:pPr>
        <w:jc w:val="center"/>
        <w:rPr>
          <w:b/>
          <w:sz w:val="24"/>
          <w:szCs w:val="24"/>
        </w:rPr>
      </w:pPr>
      <w:proofErr w:type="spellStart"/>
      <w:r w:rsidRPr="006F7C59">
        <w:rPr>
          <w:b/>
          <w:sz w:val="24"/>
          <w:szCs w:val="24"/>
        </w:rPr>
        <w:t>Traxidot</w:t>
      </w:r>
      <w:proofErr w:type="spellEnd"/>
      <w:r w:rsidRPr="006F7C59">
        <w:rPr>
          <w:b/>
          <w:sz w:val="24"/>
          <w:szCs w:val="24"/>
        </w:rPr>
        <w:t>, injektionsvæske, opløsning</w:t>
      </w:r>
    </w:p>
    <w:p w:rsidR="00B52689" w:rsidRPr="006F7C59" w:rsidRDefault="00B52689" w:rsidP="00B52689">
      <w:pPr>
        <w:jc w:val="both"/>
        <w:rPr>
          <w:sz w:val="24"/>
          <w:szCs w:val="24"/>
        </w:rPr>
      </w:pPr>
    </w:p>
    <w:p w:rsidR="00B52689" w:rsidRPr="005316B5" w:rsidRDefault="00B52689" w:rsidP="00B52689">
      <w:pPr>
        <w:jc w:val="both"/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0.</w:t>
      </w:r>
      <w:r w:rsidRPr="005316B5">
        <w:rPr>
          <w:b/>
          <w:sz w:val="24"/>
          <w:szCs w:val="24"/>
        </w:rPr>
        <w:tab/>
        <w:t>D.SP.NR.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  <w:r w:rsidRPr="005316B5">
        <w:rPr>
          <w:sz w:val="24"/>
          <w:szCs w:val="24"/>
        </w:rPr>
        <w:tab/>
        <w:t>29615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1.</w:t>
      </w:r>
      <w:r w:rsidRPr="005316B5">
        <w:rPr>
          <w:b/>
          <w:sz w:val="24"/>
          <w:szCs w:val="24"/>
        </w:rPr>
        <w:tab/>
        <w:t>LÆGEMIDLETS NAVN</w:t>
      </w:r>
    </w:p>
    <w:p w:rsidR="00B52689" w:rsidRPr="005316B5" w:rsidRDefault="00B52689" w:rsidP="00641D1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Traxidot</w:t>
      </w:r>
      <w:proofErr w:type="spellEnd"/>
    </w:p>
    <w:p w:rsidR="00B52689" w:rsidRPr="005316B5" w:rsidRDefault="00B52689" w:rsidP="00641D1E">
      <w:pPr>
        <w:tabs>
          <w:tab w:val="left" w:pos="851"/>
        </w:tabs>
        <w:ind w:left="851"/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2.</w:t>
      </w:r>
      <w:r w:rsidRPr="005316B5">
        <w:rPr>
          <w:b/>
          <w:sz w:val="24"/>
          <w:szCs w:val="24"/>
        </w:rPr>
        <w:tab/>
        <w:t>KVALITATIV OG KVANTITATIV SAMMENSÆTNING</w:t>
      </w:r>
    </w:p>
    <w:p w:rsidR="00B52689" w:rsidRPr="005316B5" w:rsidRDefault="00B52689" w:rsidP="00641D1E">
      <w:pPr>
        <w:ind w:left="851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100 mg/ml.</w:t>
      </w:r>
    </w:p>
    <w:p w:rsidR="00EA0D81" w:rsidRPr="005316B5" w:rsidRDefault="00EA0D81" w:rsidP="00641D1E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Hver ml indeholder 100 mg </w:t>
      </w:r>
      <w:proofErr w:type="spellStart"/>
      <w:r w:rsidR="005316B5">
        <w:rPr>
          <w:sz w:val="24"/>
          <w:szCs w:val="24"/>
        </w:rPr>
        <w:t>t</w:t>
      </w:r>
      <w:r w:rsidRPr="005316B5">
        <w:rPr>
          <w:sz w:val="24"/>
          <w:szCs w:val="24"/>
        </w:rPr>
        <w:t>ranexamsyre</w:t>
      </w:r>
      <w:proofErr w:type="spellEnd"/>
      <w:r w:rsidRPr="005316B5">
        <w:rPr>
          <w:sz w:val="24"/>
          <w:szCs w:val="24"/>
        </w:rPr>
        <w:t>.</w:t>
      </w:r>
    </w:p>
    <w:p w:rsidR="00EA0D81" w:rsidRPr="005316B5" w:rsidRDefault="00EA0D81" w:rsidP="00641D1E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Hver ampul med 5 ml injektionsvæske, opløsning indeholder 500 mg </w:t>
      </w:r>
      <w:proofErr w:type="spellStart"/>
      <w:r w:rsidR="005316B5">
        <w:rPr>
          <w:sz w:val="24"/>
          <w:szCs w:val="24"/>
        </w:rPr>
        <w:t>t</w:t>
      </w:r>
      <w:r w:rsidRPr="005316B5">
        <w:rPr>
          <w:sz w:val="24"/>
          <w:szCs w:val="24"/>
        </w:rPr>
        <w:t>ranexamsyre</w:t>
      </w:r>
      <w:proofErr w:type="spellEnd"/>
      <w:r w:rsidRPr="005316B5">
        <w:rPr>
          <w:sz w:val="24"/>
          <w:szCs w:val="24"/>
        </w:rPr>
        <w:t>.</w:t>
      </w:r>
    </w:p>
    <w:p w:rsidR="00EA0D81" w:rsidRPr="005316B5" w:rsidRDefault="00EA0D81" w:rsidP="00641D1E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Hver ampul med 10 ml injektionsvæske, opløsning indeholder 1000 mg </w:t>
      </w:r>
      <w:proofErr w:type="spellStart"/>
      <w:r w:rsidR="005316B5">
        <w:rPr>
          <w:sz w:val="24"/>
          <w:szCs w:val="24"/>
        </w:rPr>
        <w:t>t</w:t>
      </w:r>
      <w:r w:rsidRPr="005316B5">
        <w:rPr>
          <w:sz w:val="24"/>
          <w:szCs w:val="24"/>
        </w:rPr>
        <w:t>ranexamsyre</w:t>
      </w:r>
      <w:proofErr w:type="spellEnd"/>
      <w:r w:rsidRPr="005316B5">
        <w:rPr>
          <w:sz w:val="24"/>
          <w:szCs w:val="24"/>
        </w:rPr>
        <w:t>.</w:t>
      </w:r>
    </w:p>
    <w:p w:rsidR="00B52689" w:rsidRPr="005316B5" w:rsidRDefault="00B52689" w:rsidP="00641D1E">
      <w:pPr>
        <w:ind w:left="851"/>
        <w:rPr>
          <w:sz w:val="24"/>
          <w:szCs w:val="24"/>
        </w:rPr>
      </w:pPr>
    </w:p>
    <w:p w:rsidR="00B52689" w:rsidRPr="005316B5" w:rsidRDefault="00B52689" w:rsidP="00641D1E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Alle hjælpestoffer er anført under pkt. 6.1.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3.</w:t>
      </w:r>
      <w:r w:rsidRPr="005316B5">
        <w:rPr>
          <w:b/>
          <w:sz w:val="24"/>
          <w:szCs w:val="24"/>
        </w:rPr>
        <w:tab/>
        <w:t>LÆGEMIDDELFORM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  <w:r w:rsidRPr="005316B5">
        <w:rPr>
          <w:sz w:val="24"/>
          <w:szCs w:val="24"/>
        </w:rPr>
        <w:tab/>
        <w:t>Injektionsvæske, opløsning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  <w:r w:rsidRPr="005316B5">
        <w:rPr>
          <w:sz w:val="24"/>
          <w:szCs w:val="24"/>
        </w:rPr>
        <w:tab/>
        <w:t>Klar, farveløs opløsning med pH 6,5-8,0.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4.</w:t>
      </w:r>
      <w:r w:rsidRPr="005316B5">
        <w:rPr>
          <w:b/>
          <w:sz w:val="24"/>
          <w:szCs w:val="24"/>
        </w:rPr>
        <w:tab/>
        <w:t>KLINISKE OPLYSNINGER</w:t>
      </w:r>
    </w:p>
    <w:p w:rsidR="00B52689" w:rsidRPr="005316B5" w:rsidRDefault="00B52689" w:rsidP="00B52689">
      <w:pPr>
        <w:tabs>
          <w:tab w:val="left" w:pos="851"/>
        </w:tabs>
        <w:rPr>
          <w:b/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5316B5">
        <w:rPr>
          <w:b/>
          <w:sz w:val="24"/>
          <w:szCs w:val="24"/>
        </w:rPr>
        <w:t>4.1</w:t>
      </w:r>
      <w:r w:rsidRPr="005316B5">
        <w:rPr>
          <w:b/>
          <w:sz w:val="24"/>
          <w:szCs w:val="24"/>
        </w:rPr>
        <w:tab/>
        <w:t>Terapeutiske indikationer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Forebyggelse og behandling af blødninger forårsaget af generel eller lokal </w:t>
      </w:r>
      <w:proofErr w:type="spellStart"/>
      <w:r w:rsidRPr="005316B5">
        <w:rPr>
          <w:sz w:val="24"/>
          <w:szCs w:val="24"/>
        </w:rPr>
        <w:t>fibrinolyse</w:t>
      </w:r>
      <w:proofErr w:type="spellEnd"/>
      <w:r w:rsidRPr="005316B5">
        <w:rPr>
          <w:sz w:val="24"/>
          <w:szCs w:val="24"/>
        </w:rPr>
        <w:t xml:space="preserve"> hos voksne og børn over 1 år.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Specifikke indikationer omfatter:</w:t>
      </w:r>
    </w:p>
    <w:p w:rsidR="00B52689" w:rsidRPr="005316B5" w:rsidRDefault="00B52689" w:rsidP="00B52689">
      <w:pPr>
        <w:numPr>
          <w:ilvl w:val="0"/>
          <w:numId w:val="6"/>
        </w:numPr>
        <w:tabs>
          <w:tab w:val="clear" w:pos="360"/>
        </w:tabs>
        <w:ind w:left="1134" w:hanging="283"/>
        <w:rPr>
          <w:sz w:val="24"/>
          <w:szCs w:val="24"/>
        </w:rPr>
      </w:pPr>
      <w:r w:rsidRPr="005316B5">
        <w:rPr>
          <w:sz w:val="24"/>
          <w:szCs w:val="24"/>
        </w:rPr>
        <w:t xml:space="preserve">Blødning forårsaget af generel eller lokal </w:t>
      </w:r>
      <w:proofErr w:type="spellStart"/>
      <w:r w:rsidRPr="005316B5">
        <w:rPr>
          <w:sz w:val="24"/>
          <w:szCs w:val="24"/>
        </w:rPr>
        <w:t>fibrinolyse</w:t>
      </w:r>
      <w:proofErr w:type="spellEnd"/>
      <w:r w:rsidRPr="005316B5">
        <w:rPr>
          <w:sz w:val="24"/>
          <w:szCs w:val="24"/>
        </w:rPr>
        <w:t>, f.eks.</w:t>
      </w:r>
    </w:p>
    <w:p w:rsidR="00B52689" w:rsidRPr="005316B5" w:rsidRDefault="00B52689" w:rsidP="00B52689">
      <w:pPr>
        <w:numPr>
          <w:ilvl w:val="0"/>
          <w:numId w:val="11"/>
        </w:numPr>
        <w:ind w:hanging="219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Menoragi</w:t>
      </w:r>
      <w:proofErr w:type="spellEnd"/>
      <w:r w:rsidRPr="005316B5">
        <w:rPr>
          <w:sz w:val="24"/>
          <w:szCs w:val="24"/>
        </w:rPr>
        <w:t xml:space="preserve"> og </w:t>
      </w:r>
      <w:proofErr w:type="spellStart"/>
      <w:r w:rsidRPr="005316B5">
        <w:rPr>
          <w:sz w:val="24"/>
          <w:szCs w:val="24"/>
        </w:rPr>
        <w:t>metroragi</w:t>
      </w:r>
      <w:proofErr w:type="spellEnd"/>
    </w:p>
    <w:p w:rsidR="00B52689" w:rsidRPr="005316B5" w:rsidRDefault="00B52689" w:rsidP="00B52689">
      <w:pPr>
        <w:numPr>
          <w:ilvl w:val="0"/>
          <w:numId w:val="11"/>
        </w:numPr>
        <w:ind w:hanging="219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Gastrointestinal</w:t>
      </w:r>
      <w:proofErr w:type="spellEnd"/>
      <w:r w:rsidRPr="005316B5">
        <w:rPr>
          <w:sz w:val="24"/>
          <w:szCs w:val="24"/>
        </w:rPr>
        <w:t xml:space="preserve"> blødning</w:t>
      </w:r>
    </w:p>
    <w:p w:rsidR="00B52689" w:rsidRPr="005316B5" w:rsidRDefault="00B52689" w:rsidP="00B52689">
      <w:pPr>
        <w:numPr>
          <w:ilvl w:val="0"/>
          <w:numId w:val="11"/>
        </w:numPr>
        <w:ind w:hanging="219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Hæmoragiske</w:t>
      </w:r>
      <w:proofErr w:type="spellEnd"/>
      <w:r w:rsidRPr="005316B5">
        <w:rPr>
          <w:sz w:val="24"/>
          <w:szCs w:val="24"/>
        </w:rPr>
        <w:t xml:space="preserve"> urinvejssygdomme i fortsættelse af prostatakirurgi eller kirurgiske indgreb i urinvejene</w:t>
      </w:r>
    </w:p>
    <w:p w:rsidR="00B52689" w:rsidRPr="005316B5" w:rsidRDefault="00B52689" w:rsidP="00B52689">
      <w:pPr>
        <w:numPr>
          <w:ilvl w:val="0"/>
          <w:numId w:val="6"/>
        </w:numPr>
        <w:tabs>
          <w:tab w:val="clear" w:pos="360"/>
        </w:tabs>
        <w:ind w:left="1134" w:hanging="283"/>
        <w:rPr>
          <w:sz w:val="24"/>
          <w:szCs w:val="24"/>
        </w:rPr>
      </w:pPr>
      <w:r w:rsidRPr="005316B5">
        <w:rPr>
          <w:sz w:val="24"/>
          <w:szCs w:val="24"/>
        </w:rPr>
        <w:t>Øre-næse-halskirurgi (</w:t>
      </w:r>
      <w:proofErr w:type="spellStart"/>
      <w:r w:rsidRPr="005316B5">
        <w:rPr>
          <w:sz w:val="24"/>
          <w:szCs w:val="24"/>
        </w:rPr>
        <w:t>adenodektomi</w:t>
      </w:r>
      <w:proofErr w:type="spellEnd"/>
      <w:r w:rsidRPr="005316B5">
        <w:rPr>
          <w:sz w:val="24"/>
          <w:szCs w:val="24"/>
        </w:rPr>
        <w:t xml:space="preserve">, </w:t>
      </w:r>
      <w:proofErr w:type="spellStart"/>
      <w:r w:rsidRPr="005316B5">
        <w:rPr>
          <w:sz w:val="24"/>
          <w:szCs w:val="24"/>
        </w:rPr>
        <w:t>tonsillektomi</w:t>
      </w:r>
      <w:proofErr w:type="spellEnd"/>
      <w:r w:rsidRPr="005316B5">
        <w:rPr>
          <w:sz w:val="24"/>
          <w:szCs w:val="24"/>
        </w:rPr>
        <w:t>, tandudtrækning)</w:t>
      </w:r>
    </w:p>
    <w:p w:rsidR="00B52689" w:rsidRPr="005316B5" w:rsidRDefault="00B52689" w:rsidP="00B52689">
      <w:pPr>
        <w:numPr>
          <w:ilvl w:val="0"/>
          <w:numId w:val="6"/>
        </w:numPr>
        <w:tabs>
          <w:tab w:val="clear" w:pos="360"/>
        </w:tabs>
        <w:ind w:left="1134" w:hanging="283"/>
        <w:rPr>
          <w:sz w:val="24"/>
          <w:szCs w:val="24"/>
        </w:rPr>
      </w:pPr>
      <w:r w:rsidRPr="005316B5">
        <w:rPr>
          <w:sz w:val="24"/>
          <w:szCs w:val="24"/>
        </w:rPr>
        <w:t>Gynækologisk operation eller fødselsrelaterede sygdomme</w:t>
      </w:r>
    </w:p>
    <w:p w:rsidR="00B52689" w:rsidRPr="005316B5" w:rsidRDefault="00B52689" w:rsidP="00B52689">
      <w:pPr>
        <w:numPr>
          <w:ilvl w:val="0"/>
          <w:numId w:val="6"/>
        </w:numPr>
        <w:tabs>
          <w:tab w:val="clear" w:pos="360"/>
        </w:tabs>
        <w:ind w:left="1134" w:hanging="283"/>
        <w:rPr>
          <w:sz w:val="24"/>
          <w:szCs w:val="24"/>
        </w:rPr>
      </w:pPr>
      <w:r w:rsidRPr="005316B5">
        <w:rPr>
          <w:sz w:val="24"/>
          <w:szCs w:val="24"/>
        </w:rPr>
        <w:lastRenderedPageBreak/>
        <w:t xml:space="preserve">Thoraxkirurgi og </w:t>
      </w:r>
      <w:proofErr w:type="spellStart"/>
      <w:r w:rsidRPr="005316B5">
        <w:rPr>
          <w:sz w:val="24"/>
          <w:szCs w:val="24"/>
        </w:rPr>
        <w:t>abdominalkirurgi</w:t>
      </w:r>
      <w:proofErr w:type="spellEnd"/>
      <w:r w:rsidRPr="005316B5">
        <w:rPr>
          <w:sz w:val="24"/>
          <w:szCs w:val="24"/>
        </w:rPr>
        <w:t xml:space="preserve"> og andre større kirurgiske indgreb, f.eks. </w:t>
      </w:r>
      <w:proofErr w:type="spellStart"/>
      <w:r w:rsidRPr="005316B5">
        <w:rPr>
          <w:sz w:val="24"/>
          <w:szCs w:val="24"/>
        </w:rPr>
        <w:t>kardiovaskulær</w:t>
      </w:r>
      <w:proofErr w:type="spellEnd"/>
      <w:r w:rsidRPr="005316B5">
        <w:rPr>
          <w:sz w:val="24"/>
          <w:szCs w:val="24"/>
        </w:rPr>
        <w:t xml:space="preserve"> kirurgi</w:t>
      </w:r>
    </w:p>
    <w:p w:rsidR="00B52689" w:rsidRPr="005316B5" w:rsidRDefault="00B52689" w:rsidP="00B52689">
      <w:pPr>
        <w:numPr>
          <w:ilvl w:val="0"/>
          <w:numId w:val="6"/>
        </w:numPr>
        <w:tabs>
          <w:tab w:val="clear" w:pos="360"/>
        </w:tabs>
        <w:ind w:left="1134" w:hanging="283"/>
        <w:rPr>
          <w:sz w:val="24"/>
          <w:szCs w:val="24"/>
        </w:rPr>
      </w:pPr>
      <w:r w:rsidRPr="005316B5">
        <w:rPr>
          <w:sz w:val="24"/>
          <w:szCs w:val="24"/>
        </w:rPr>
        <w:t xml:space="preserve">Kontrol af blødning forårsaget af administration af </w:t>
      </w:r>
      <w:proofErr w:type="spellStart"/>
      <w:r w:rsidRPr="005316B5">
        <w:rPr>
          <w:sz w:val="24"/>
          <w:szCs w:val="24"/>
        </w:rPr>
        <w:t>fibrinolytika</w:t>
      </w:r>
      <w:proofErr w:type="spellEnd"/>
      <w:r w:rsidRPr="005316B5">
        <w:rPr>
          <w:sz w:val="24"/>
          <w:szCs w:val="24"/>
        </w:rPr>
        <w:t xml:space="preserve">. 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4.2</w:t>
      </w:r>
      <w:r w:rsidRPr="005316B5">
        <w:rPr>
          <w:b/>
          <w:sz w:val="24"/>
          <w:szCs w:val="24"/>
        </w:rPr>
        <w:tab/>
        <w:t>Dosering og indgivelsesmåde</w:t>
      </w: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</w:p>
    <w:p w:rsidR="00B52689" w:rsidRPr="005316B5" w:rsidRDefault="00B52689" w:rsidP="00B52689">
      <w:pPr>
        <w:ind w:left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Dosering</w:t>
      </w:r>
    </w:p>
    <w:p w:rsidR="00B52689" w:rsidRPr="005316B5" w:rsidRDefault="00B52689" w:rsidP="00B52689">
      <w:pPr>
        <w:ind w:left="851"/>
        <w:rPr>
          <w:i/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Voksne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Medmindre andet er ordineret, anbefales følgende dosering:</w:t>
      </w:r>
    </w:p>
    <w:p w:rsidR="00B52689" w:rsidRPr="005316B5" w:rsidRDefault="00B52689" w:rsidP="00B52689">
      <w:pPr>
        <w:numPr>
          <w:ilvl w:val="0"/>
          <w:numId w:val="7"/>
        </w:numPr>
        <w:ind w:left="1134" w:hanging="283"/>
        <w:rPr>
          <w:sz w:val="24"/>
          <w:szCs w:val="24"/>
        </w:rPr>
      </w:pPr>
      <w:r w:rsidRPr="005316B5">
        <w:rPr>
          <w:sz w:val="24"/>
          <w:szCs w:val="24"/>
        </w:rPr>
        <w:t xml:space="preserve">Standardbehandling ved lokal </w:t>
      </w:r>
      <w:proofErr w:type="spellStart"/>
      <w:r w:rsidRPr="005316B5">
        <w:rPr>
          <w:sz w:val="24"/>
          <w:szCs w:val="24"/>
        </w:rPr>
        <w:t>fibrinolyse</w:t>
      </w:r>
      <w:proofErr w:type="spellEnd"/>
      <w:r w:rsidRPr="005316B5">
        <w:rPr>
          <w:sz w:val="24"/>
          <w:szCs w:val="24"/>
        </w:rPr>
        <w:t>:</w:t>
      </w:r>
      <w:r w:rsidRPr="005316B5">
        <w:rPr>
          <w:sz w:val="24"/>
          <w:szCs w:val="24"/>
        </w:rPr>
        <w:br/>
        <w:t xml:space="preserve">0,5 g (1 ampul med 5 ml) til 1 g (1 ampul med 10 ml eller 2 ampuller med 5 ml)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som langsom intravenøs injektion (= 1 ml/min.) 2-3 gange dagligt</w:t>
      </w:r>
    </w:p>
    <w:p w:rsidR="00B52689" w:rsidRPr="005316B5" w:rsidRDefault="00B52689" w:rsidP="00B52689">
      <w:pPr>
        <w:numPr>
          <w:ilvl w:val="0"/>
          <w:numId w:val="7"/>
        </w:numPr>
        <w:ind w:left="1134" w:hanging="283"/>
        <w:rPr>
          <w:sz w:val="24"/>
          <w:szCs w:val="24"/>
        </w:rPr>
      </w:pPr>
      <w:r w:rsidRPr="005316B5">
        <w:rPr>
          <w:sz w:val="24"/>
          <w:szCs w:val="24"/>
        </w:rPr>
        <w:t xml:space="preserve">Standardbehandling ved generel </w:t>
      </w:r>
      <w:proofErr w:type="spellStart"/>
      <w:r w:rsidRPr="005316B5">
        <w:rPr>
          <w:sz w:val="24"/>
          <w:szCs w:val="24"/>
        </w:rPr>
        <w:t>fibrinolyse</w:t>
      </w:r>
      <w:proofErr w:type="spellEnd"/>
      <w:r w:rsidRPr="005316B5">
        <w:rPr>
          <w:sz w:val="24"/>
          <w:szCs w:val="24"/>
        </w:rPr>
        <w:t>:</w:t>
      </w:r>
      <w:r w:rsidRPr="005316B5">
        <w:rPr>
          <w:sz w:val="24"/>
          <w:szCs w:val="24"/>
        </w:rPr>
        <w:br/>
        <w:t xml:space="preserve">1 g (1 ampul med 10 ml eller 2 ampuller med 5 ml)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som langsom intravenøs injektion (= 1 ml/min.) hver 6.-8. time, svarende til 15 mg/kg.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Nedsat nyrefunktion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er kontraindiceret hos patienter med alvorligt nedsat nyrefunktion pga. risiko for akkumulering (se pkt. 4.3). Hos patienter med let til moderat nedsat nyrefunktion skal dosis nedsættes i henhold til </w:t>
      </w:r>
      <w:proofErr w:type="spellStart"/>
      <w:r w:rsidRPr="005316B5">
        <w:rPr>
          <w:sz w:val="24"/>
          <w:szCs w:val="24"/>
        </w:rPr>
        <w:t>serumkreatinin</w:t>
      </w:r>
      <w:proofErr w:type="spellEnd"/>
      <w:r w:rsidRPr="005316B5">
        <w:rPr>
          <w:sz w:val="24"/>
          <w:szCs w:val="24"/>
        </w:rPr>
        <w:t>:</w:t>
      </w:r>
    </w:p>
    <w:p w:rsidR="00B52689" w:rsidRPr="005316B5" w:rsidRDefault="00B52689" w:rsidP="00B52689">
      <w:pPr>
        <w:ind w:left="851" w:hanging="851"/>
        <w:rPr>
          <w:sz w:val="24"/>
          <w:szCs w:val="24"/>
          <w:u w:val="single"/>
        </w:rPr>
      </w:pPr>
    </w:p>
    <w:tbl>
      <w:tblPr>
        <w:tblW w:w="8435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70"/>
        <w:gridCol w:w="2321"/>
        <w:gridCol w:w="2322"/>
        <w:gridCol w:w="2322"/>
      </w:tblGrid>
      <w:tr w:rsidR="00B52689" w:rsidRPr="005316B5" w:rsidTr="005316B5">
        <w:tc>
          <w:tcPr>
            <w:tcW w:w="3791" w:type="dxa"/>
            <w:gridSpan w:val="2"/>
            <w:tcBorders>
              <w:bottom w:val="nil"/>
            </w:tcBorders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5316B5">
              <w:rPr>
                <w:sz w:val="24"/>
                <w:szCs w:val="24"/>
                <w:lang w:val="en-GB"/>
              </w:rPr>
              <w:t>Serumkreatinin</w:t>
            </w:r>
            <w:proofErr w:type="spellEnd"/>
          </w:p>
        </w:tc>
        <w:tc>
          <w:tcPr>
            <w:tcW w:w="2322" w:type="dxa"/>
            <w:vMerge w:val="restart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5316B5">
              <w:rPr>
                <w:sz w:val="24"/>
                <w:szCs w:val="24"/>
                <w:lang w:val="en-GB"/>
              </w:rPr>
              <w:t>Dosis</w:t>
            </w:r>
            <w:proofErr w:type="spellEnd"/>
            <w:r w:rsidRPr="005316B5"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5316B5">
              <w:rPr>
                <w:sz w:val="24"/>
                <w:szCs w:val="24"/>
                <w:lang w:val="en-GB"/>
              </w:rPr>
              <w:t>i.v.</w:t>
            </w:r>
            <w:proofErr w:type="spellEnd"/>
          </w:p>
        </w:tc>
        <w:tc>
          <w:tcPr>
            <w:tcW w:w="2322" w:type="dxa"/>
            <w:vMerge w:val="restart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  <w:lang w:val="en-GB"/>
              </w:rPr>
            </w:pPr>
            <w:r w:rsidRPr="005316B5">
              <w:rPr>
                <w:sz w:val="24"/>
                <w:szCs w:val="24"/>
                <w:lang w:val="en-GB"/>
              </w:rPr>
              <w:t>Administration</w:t>
            </w:r>
          </w:p>
        </w:tc>
      </w:tr>
      <w:tr w:rsidR="00B52689" w:rsidRPr="005316B5" w:rsidTr="005316B5">
        <w:tc>
          <w:tcPr>
            <w:tcW w:w="1470" w:type="dxa"/>
            <w:tcBorders>
              <w:top w:val="nil"/>
            </w:tcBorders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  <w:lang w:val="en-GB"/>
              </w:rPr>
            </w:pPr>
            <w:proofErr w:type="spellStart"/>
            <w:r w:rsidRPr="005316B5">
              <w:rPr>
                <w:sz w:val="24"/>
                <w:szCs w:val="24"/>
                <w:lang w:val="en-GB"/>
              </w:rPr>
              <w:t>μmol</w:t>
            </w:r>
            <w:proofErr w:type="spellEnd"/>
            <w:r w:rsidRPr="005316B5">
              <w:rPr>
                <w:sz w:val="24"/>
                <w:szCs w:val="24"/>
                <w:lang w:val="en-GB"/>
              </w:rPr>
              <w:t>/l</w:t>
            </w:r>
          </w:p>
        </w:tc>
        <w:tc>
          <w:tcPr>
            <w:tcW w:w="2321" w:type="dxa"/>
            <w:tcBorders>
              <w:top w:val="nil"/>
            </w:tcBorders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  <w:lang w:val="en-GB"/>
              </w:rPr>
            </w:pPr>
            <w:r w:rsidRPr="005316B5">
              <w:rPr>
                <w:sz w:val="24"/>
                <w:szCs w:val="24"/>
                <w:lang w:val="en-GB"/>
              </w:rPr>
              <w:t>mg/10 ml</w:t>
            </w:r>
          </w:p>
        </w:tc>
        <w:tc>
          <w:tcPr>
            <w:tcW w:w="2322" w:type="dxa"/>
            <w:vMerge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322" w:type="dxa"/>
            <w:vMerge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B52689" w:rsidRPr="005316B5" w:rsidTr="005316B5">
        <w:tc>
          <w:tcPr>
            <w:tcW w:w="1470" w:type="dxa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  <w:lang w:val="en-GB"/>
              </w:rPr>
            </w:pPr>
            <w:r w:rsidRPr="005316B5">
              <w:rPr>
                <w:sz w:val="24"/>
                <w:szCs w:val="24"/>
                <w:lang w:val="en-GB"/>
              </w:rPr>
              <w:t>120-249</w:t>
            </w:r>
          </w:p>
        </w:tc>
        <w:tc>
          <w:tcPr>
            <w:tcW w:w="2321" w:type="dxa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  <w:lang w:val="en-GB"/>
              </w:rPr>
            </w:pPr>
            <w:r w:rsidRPr="005316B5">
              <w:rPr>
                <w:sz w:val="24"/>
                <w:szCs w:val="24"/>
                <w:lang w:val="en-GB"/>
              </w:rPr>
              <w:t>1,35-2,82</w:t>
            </w:r>
          </w:p>
        </w:tc>
        <w:tc>
          <w:tcPr>
            <w:tcW w:w="2322" w:type="dxa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  <w:lang w:val="en-GB"/>
              </w:rPr>
            </w:pPr>
            <w:r w:rsidRPr="005316B5">
              <w:rPr>
                <w:sz w:val="24"/>
                <w:szCs w:val="24"/>
                <w:lang w:val="en-GB"/>
              </w:rPr>
              <w:t>10 mg/kg</w:t>
            </w:r>
          </w:p>
        </w:tc>
        <w:tc>
          <w:tcPr>
            <w:tcW w:w="2322" w:type="dxa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</w:rPr>
            </w:pPr>
            <w:r w:rsidRPr="005316B5">
              <w:rPr>
                <w:sz w:val="24"/>
                <w:szCs w:val="24"/>
              </w:rPr>
              <w:t>Hver 12. time</w:t>
            </w:r>
          </w:p>
        </w:tc>
      </w:tr>
      <w:tr w:rsidR="00B52689" w:rsidRPr="005316B5" w:rsidTr="005316B5">
        <w:tc>
          <w:tcPr>
            <w:tcW w:w="1470" w:type="dxa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</w:rPr>
            </w:pPr>
            <w:r w:rsidRPr="005316B5">
              <w:rPr>
                <w:sz w:val="24"/>
                <w:szCs w:val="24"/>
              </w:rPr>
              <w:t>250-500</w:t>
            </w:r>
          </w:p>
        </w:tc>
        <w:tc>
          <w:tcPr>
            <w:tcW w:w="2321" w:type="dxa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</w:rPr>
            </w:pPr>
            <w:r w:rsidRPr="005316B5">
              <w:rPr>
                <w:sz w:val="24"/>
                <w:szCs w:val="24"/>
              </w:rPr>
              <w:t>2,82-5,65</w:t>
            </w:r>
          </w:p>
        </w:tc>
        <w:tc>
          <w:tcPr>
            <w:tcW w:w="2322" w:type="dxa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</w:rPr>
            </w:pPr>
            <w:r w:rsidRPr="005316B5">
              <w:rPr>
                <w:sz w:val="24"/>
                <w:szCs w:val="24"/>
              </w:rPr>
              <w:t>10 mg/kg</w:t>
            </w:r>
          </w:p>
        </w:tc>
        <w:tc>
          <w:tcPr>
            <w:tcW w:w="2322" w:type="dxa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</w:rPr>
            </w:pPr>
            <w:r w:rsidRPr="005316B5">
              <w:rPr>
                <w:sz w:val="24"/>
                <w:szCs w:val="24"/>
              </w:rPr>
              <w:t>Hver 24. time</w:t>
            </w:r>
          </w:p>
        </w:tc>
      </w:tr>
      <w:tr w:rsidR="00B52689" w:rsidRPr="005316B5" w:rsidTr="005316B5">
        <w:tc>
          <w:tcPr>
            <w:tcW w:w="1470" w:type="dxa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</w:rPr>
            </w:pPr>
            <w:r w:rsidRPr="005316B5">
              <w:rPr>
                <w:sz w:val="24"/>
                <w:szCs w:val="24"/>
              </w:rPr>
              <w:t>&gt; 500</w:t>
            </w:r>
          </w:p>
        </w:tc>
        <w:tc>
          <w:tcPr>
            <w:tcW w:w="2321" w:type="dxa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</w:rPr>
            </w:pPr>
            <w:r w:rsidRPr="005316B5">
              <w:rPr>
                <w:sz w:val="24"/>
                <w:szCs w:val="24"/>
              </w:rPr>
              <w:t>&gt; 5,65</w:t>
            </w:r>
          </w:p>
        </w:tc>
        <w:tc>
          <w:tcPr>
            <w:tcW w:w="2322" w:type="dxa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</w:rPr>
            </w:pPr>
            <w:r w:rsidRPr="005316B5">
              <w:rPr>
                <w:sz w:val="24"/>
                <w:szCs w:val="24"/>
              </w:rPr>
              <w:t>5 mg/kg</w:t>
            </w:r>
          </w:p>
        </w:tc>
        <w:tc>
          <w:tcPr>
            <w:tcW w:w="2322" w:type="dxa"/>
          </w:tcPr>
          <w:p w:rsidR="00B52689" w:rsidRPr="005316B5" w:rsidRDefault="00B52689" w:rsidP="003B4BCE">
            <w:pPr>
              <w:jc w:val="center"/>
              <w:rPr>
                <w:sz w:val="24"/>
                <w:szCs w:val="24"/>
              </w:rPr>
            </w:pPr>
            <w:r w:rsidRPr="005316B5">
              <w:rPr>
                <w:sz w:val="24"/>
                <w:szCs w:val="24"/>
              </w:rPr>
              <w:t>Hver 24. time</w:t>
            </w:r>
          </w:p>
        </w:tc>
      </w:tr>
    </w:tbl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Nedsat leverfunktion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Dosisjustering er ikke nødvendig til patienter med nedsat leverfunktion.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Pædiatrisk population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Dosis til børn over 1 år ved de godkendte indikationer, som er beskrevet i pkt. 4.1, er ca. 20 mg/kg/døgn. Data vedrørende virkning, dosering og sikkerhed ved disse indikationer er dog begrænsede.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Virkning, dosering og sikkerhed af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til børn i forbindelse med hjertekirurgi er ikke fuldt klarlagt. De foreliggende data er begrænsede og er beskrevet i pkt. 5.1.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Ældre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Dosisnedsættelse er ikke nødvendig, medmindre der er tegn på nedsat nyrefunktion.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Administration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skal udelukkende administreres som langsom intravenøs injektion.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4.3</w:t>
      </w:r>
      <w:r w:rsidRPr="005316B5">
        <w:rPr>
          <w:b/>
          <w:sz w:val="24"/>
          <w:szCs w:val="24"/>
        </w:rPr>
        <w:tab/>
        <w:t>Kontraindikationer</w:t>
      </w:r>
    </w:p>
    <w:p w:rsidR="00B52689" w:rsidRPr="005316B5" w:rsidRDefault="00B52689" w:rsidP="003F5B6D">
      <w:pPr>
        <w:numPr>
          <w:ilvl w:val="0"/>
          <w:numId w:val="6"/>
        </w:numPr>
        <w:tabs>
          <w:tab w:val="clear" w:pos="360"/>
        </w:tabs>
        <w:ind w:left="1134" w:hanging="283"/>
        <w:rPr>
          <w:sz w:val="24"/>
          <w:szCs w:val="24"/>
        </w:rPr>
      </w:pPr>
      <w:r w:rsidRPr="005316B5">
        <w:rPr>
          <w:sz w:val="24"/>
          <w:szCs w:val="24"/>
        </w:rPr>
        <w:t>Overfølsomhed over for det aktive stof eller over for et eller flere af hjælpestofferne anført i pkt. 6.1.</w:t>
      </w:r>
    </w:p>
    <w:p w:rsidR="00B52689" w:rsidRPr="005316B5" w:rsidRDefault="00B52689" w:rsidP="003F5B6D">
      <w:pPr>
        <w:numPr>
          <w:ilvl w:val="0"/>
          <w:numId w:val="6"/>
        </w:numPr>
        <w:tabs>
          <w:tab w:val="clear" w:pos="360"/>
        </w:tabs>
        <w:ind w:left="1134" w:hanging="283"/>
        <w:rPr>
          <w:sz w:val="24"/>
          <w:szCs w:val="24"/>
        </w:rPr>
      </w:pPr>
      <w:r w:rsidRPr="005316B5">
        <w:rPr>
          <w:sz w:val="24"/>
          <w:szCs w:val="24"/>
        </w:rPr>
        <w:t>Akut venetrombose eller arteriel trombose (se pkt. 4.4).</w:t>
      </w:r>
    </w:p>
    <w:p w:rsidR="00B52689" w:rsidRPr="005316B5" w:rsidRDefault="00B52689" w:rsidP="003F5B6D">
      <w:pPr>
        <w:numPr>
          <w:ilvl w:val="0"/>
          <w:numId w:val="6"/>
        </w:numPr>
        <w:tabs>
          <w:tab w:val="clear" w:pos="360"/>
        </w:tabs>
        <w:ind w:left="1134" w:hanging="283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Fibrinolytiske</w:t>
      </w:r>
      <w:proofErr w:type="spellEnd"/>
      <w:r w:rsidRPr="005316B5">
        <w:rPr>
          <w:sz w:val="24"/>
          <w:szCs w:val="24"/>
        </w:rPr>
        <w:t xml:space="preserve"> forhold som følge af dissemineret </w:t>
      </w:r>
      <w:proofErr w:type="spellStart"/>
      <w:r w:rsidRPr="005316B5">
        <w:rPr>
          <w:sz w:val="24"/>
          <w:szCs w:val="24"/>
        </w:rPr>
        <w:t>intravaskulær</w:t>
      </w:r>
      <w:proofErr w:type="spellEnd"/>
      <w:r w:rsidRPr="005316B5">
        <w:rPr>
          <w:sz w:val="24"/>
          <w:szCs w:val="24"/>
        </w:rPr>
        <w:t xml:space="preserve"> koagulation undtagen tilfælde med overvejende aktivering af det </w:t>
      </w:r>
      <w:proofErr w:type="spellStart"/>
      <w:r w:rsidRPr="005316B5">
        <w:rPr>
          <w:sz w:val="24"/>
          <w:szCs w:val="24"/>
        </w:rPr>
        <w:t>fibrinolytiske</w:t>
      </w:r>
      <w:proofErr w:type="spellEnd"/>
      <w:r w:rsidRPr="005316B5">
        <w:rPr>
          <w:sz w:val="24"/>
          <w:szCs w:val="24"/>
        </w:rPr>
        <w:t xml:space="preserve"> system med akut alvorlig blødning (se pkt. 4.4).</w:t>
      </w:r>
    </w:p>
    <w:p w:rsidR="00B52689" w:rsidRPr="005316B5" w:rsidRDefault="00B52689" w:rsidP="003F5B6D">
      <w:pPr>
        <w:numPr>
          <w:ilvl w:val="0"/>
          <w:numId w:val="6"/>
        </w:numPr>
        <w:tabs>
          <w:tab w:val="clear" w:pos="360"/>
        </w:tabs>
        <w:ind w:left="1134" w:hanging="283"/>
        <w:rPr>
          <w:sz w:val="24"/>
          <w:szCs w:val="24"/>
        </w:rPr>
      </w:pPr>
      <w:r w:rsidRPr="005316B5">
        <w:rPr>
          <w:sz w:val="24"/>
          <w:szCs w:val="24"/>
        </w:rPr>
        <w:t>Alvorligt nedsat nyrefunktion (risiko for akkumulering).</w:t>
      </w:r>
    </w:p>
    <w:p w:rsidR="00B52689" w:rsidRPr="005316B5" w:rsidRDefault="00B52689" w:rsidP="003F5B6D">
      <w:pPr>
        <w:numPr>
          <w:ilvl w:val="0"/>
          <w:numId w:val="6"/>
        </w:numPr>
        <w:tabs>
          <w:tab w:val="clear" w:pos="360"/>
        </w:tabs>
        <w:ind w:left="1134" w:hanging="283"/>
        <w:rPr>
          <w:sz w:val="24"/>
          <w:szCs w:val="24"/>
        </w:rPr>
      </w:pPr>
      <w:r w:rsidRPr="005316B5">
        <w:rPr>
          <w:sz w:val="24"/>
          <w:szCs w:val="24"/>
        </w:rPr>
        <w:t>Kramper i anamnesen.</w:t>
      </w:r>
    </w:p>
    <w:p w:rsidR="00B52689" w:rsidRPr="005316B5" w:rsidRDefault="00B52689" w:rsidP="003F5B6D">
      <w:pPr>
        <w:numPr>
          <w:ilvl w:val="0"/>
          <w:numId w:val="6"/>
        </w:numPr>
        <w:tabs>
          <w:tab w:val="clear" w:pos="360"/>
        </w:tabs>
        <w:ind w:left="1134" w:hanging="283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Intratekal</w:t>
      </w:r>
      <w:proofErr w:type="spellEnd"/>
      <w:r w:rsidRPr="005316B5">
        <w:rPr>
          <w:sz w:val="24"/>
          <w:szCs w:val="24"/>
        </w:rPr>
        <w:t xml:space="preserve"> og </w:t>
      </w:r>
      <w:proofErr w:type="spellStart"/>
      <w:r w:rsidRPr="005316B5">
        <w:rPr>
          <w:sz w:val="24"/>
          <w:szCs w:val="24"/>
        </w:rPr>
        <w:t>intraventrikulær</w:t>
      </w:r>
      <w:proofErr w:type="spellEnd"/>
      <w:r w:rsidRPr="005316B5">
        <w:rPr>
          <w:sz w:val="24"/>
          <w:szCs w:val="24"/>
        </w:rPr>
        <w:t xml:space="preserve"> injektion, intracerebral applikation (risiko for cerebralt ødem og kramper).</w:t>
      </w:r>
    </w:p>
    <w:p w:rsidR="00B52689" w:rsidRPr="005316B5" w:rsidRDefault="00B52689" w:rsidP="003F5B6D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4.4</w:t>
      </w:r>
      <w:r w:rsidRPr="005316B5">
        <w:rPr>
          <w:b/>
          <w:sz w:val="24"/>
          <w:szCs w:val="24"/>
        </w:rPr>
        <w:tab/>
        <w:t>Særlige advarsler og forsigtighedsregler vedrørende brugen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Indikationer og administration angivet ovenfor skal overholdes meget nøje:</w:t>
      </w:r>
    </w:p>
    <w:p w:rsidR="00B52689" w:rsidRPr="005316B5" w:rsidRDefault="00B52689" w:rsidP="00B52689">
      <w:pPr>
        <w:numPr>
          <w:ilvl w:val="0"/>
          <w:numId w:val="6"/>
        </w:numPr>
        <w:tabs>
          <w:tab w:val="clear" w:pos="360"/>
        </w:tabs>
        <w:ind w:left="1134" w:hanging="283"/>
        <w:rPr>
          <w:sz w:val="24"/>
          <w:szCs w:val="24"/>
        </w:rPr>
      </w:pPr>
      <w:r w:rsidRPr="005316B5">
        <w:rPr>
          <w:sz w:val="24"/>
          <w:szCs w:val="24"/>
        </w:rPr>
        <w:t>Intravenøs injektion skal gives meget langsomt</w:t>
      </w:r>
    </w:p>
    <w:p w:rsidR="00B52689" w:rsidRPr="005316B5" w:rsidRDefault="00B52689" w:rsidP="00B52689">
      <w:pPr>
        <w:numPr>
          <w:ilvl w:val="0"/>
          <w:numId w:val="6"/>
        </w:numPr>
        <w:tabs>
          <w:tab w:val="clear" w:pos="360"/>
        </w:tabs>
        <w:ind w:left="1134" w:hanging="283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må ikke gives intramuskulært</w:t>
      </w:r>
    </w:p>
    <w:p w:rsidR="00B52689" w:rsidRPr="005316B5" w:rsidRDefault="00B52689" w:rsidP="00B52689">
      <w:pPr>
        <w:ind w:left="1134" w:hanging="283"/>
        <w:rPr>
          <w:sz w:val="24"/>
          <w:szCs w:val="24"/>
        </w:rPr>
      </w:pPr>
    </w:p>
    <w:p w:rsidR="00B52689" w:rsidRPr="005316B5" w:rsidRDefault="00B52689" w:rsidP="003F5B6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Kramper</w:t>
      </w:r>
    </w:p>
    <w:p w:rsidR="00B52689" w:rsidRPr="005316B5" w:rsidRDefault="00B52689" w:rsidP="003F5B6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Der er set tilfælde af kramper i forbindelse med behandling med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>. Ved koronararterie-bypass-operation (CABG) ses de fleste tilfælde efter intravenøs (</w:t>
      </w:r>
      <w:proofErr w:type="spellStart"/>
      <w:r w:rsidRPr="005316B5">
        <w:rPr>
          <w:sz w:val="24"/>
          <w:szCs w:val="24"/>
        </w:rPr>
        <w:t>i.v</w:t>
      </w:r>
      <w:proofErr w:type="spellEnd"/>
      <w:r w:rsidRPr="005316B5">
        <w:rPr>
          <w:sz w:val="24"/>
          <w:szCs w:val="24"/>
        </w:rPr>
        <w:t xml:space="preserve">.) injektion af høje doser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. Ved administration af de anbefalede lavere doser af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er hyppigheden af post-operative kramper på samme niveau som hos ubehandlede patienter.</w:t>
      </w:r>
    </w:p>
    <w:p w:rsidR="00B52689" w:rsidRPr="005316B5" w:rsidRDefault="00B52689" w:rsidP="003F5B6D">
      <w:pPr>
        <w:ind w:left="851"/>
        <w:rPr>
          <w:sz w:val="24"/>
          <w:szCs w:val="24"/>
        </w:rPr>
      </w:pPr>
    </w:p>
    <w:p w:rsidR="00B52689" w:rsidRPr="005316B5" w:rsidRDefault="00B52689" w:rsidP="003F5B6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Synsforstyrrelser</w:t>
      </w:r>
    </w:p>
    <w:p w:rsidR="00B52689" w:rsidRPr="005316B5" w:rsidRDefault="00B52689" w:rsidP="003F5B6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Der bør udvises opmærksomhed over for mulige synsforstyrrelser, herunder nedsat syn, sløret syn og påvirket farvesyn, og om nødvendigt skal behandlingen seponeres. Ved kontinuerlig langtidsbehandling med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-injektionsvæske er regelmæssig øjenkontrol (øjenundersøgelser herunder visuel skarphed, farvesyn, </w:t>
      </w:r>
      <w:proofErr w:type="spellStart"/>
      <w:r w:rsidRPr="005316B5">
        <w:rPr>
          <w:sz w:val="24"/>
          <w:szCs w:val="24"/>
        </w:rPr>
        <w:t>fundus</w:t>
      </w:r>
      <w:proofErr w:type="spellEnd"/>
      <w:r w:rsidRPr="005316B5">
        <w:rPr>
          <w:sz w:val="24"/>
          <w:szCs w:val="24"/>
        </w:rPr>
        <w:t xml:space="preserve">, synsfelt etc.) indiceret. Ved patologiske øjenforandringer, især ved sygdomme i </w:t>
      </w:r>
      <w:proofErr w:type="spellStart"/>
      <w:r w:rsidRPr="005316B5">
        <w:rPr>
          <w:sz w:val="24"/>
          <w:szCs w:val="24"/>
        </w:rPr>
        <w:t>retina</w:t>
      </w:r>
      <w:proofErr w:type="spellEnd"/>
      <w:r w:rsidRPr="005316B5">
        <w:rPr>
          <w:sz w:val="24"/>
          <w:szCs w:val="24"/>
        </w:rPr>
        <w:t xml:space="preserve">, må lægen i hvert enkelt tilfælde og efter at have konsulteret en specialist afgøre, om langtidsbehandling med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>-injektionsvæske er nødvendig.</w:t>
      </w:r>
    </w:p>
    <w:p w:rsidR="00B52689" w:rsidRPr="005316B5" w:rsidRDefault="00B52689" w:rsidP="003F5B6D">
      <w:pPr>
        <w:ind w:left="851"/>
        <w:rPr>
          <w:sz w:val="24"/>
          <w:szCs w:val="24"/>
        </w:rPr>
      </w:pPr>
    </w:p>
    <w:p w:rsidR="00B52689" w:rsidRPr="005316B5" w:rsidRDefault="00B52689" w:rsidP="003F5B6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Hæmaturi</w:t>
      </w:r>
    </w:p>
    <w:p w:rsidR="00B52689" w:rsidRPr="005316B5" w:rsidRDefault="00B52689" w:rsidP="003F5B6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Ved hæmaturi i de øvre urinveje er der øget risiko for obstruktion af </w:t>
      </w:r>
      <w:proofErr w:type="spellStart"/>
      <w:r w:rsidRPr="005316B5">
        <w:rPr>
          <w:sz w:val="24"/>
          <w:szCs w:val="24"/>
        </w:rPr>
        <w:t>ureter</w:t>
      </w:r>
      <w:proofErr w:type="spellEnd"/>
      <w:r w:rsidRPr="005316B5">
        <w:rPr>
          <w:sz w:val="24"/>
          <w:szCs w:val="24"/>
        </w:rPr>
        <w:t>.</w:t>
      </w:r>
    </w:p>
    <w:p w:rsidR="00B52689" w:rsidRPr="005316B5" w:rsidRDefault="00B52689" w:rsidP="003F5B6D">
      <w:pPr>
        <w:ind w:left="851"/>
        <w:rPr>
          <w:sz w:val="24"/>
          <w:szCs w:val="24"/>
        </w:rPr>
      </w:pPr>
    </w:p>
    <w:p w:rsidR="00B52689" w:rsidRPr="005316B5" w:rsidRDefault="00B52689" w:rsidP="003F5B6D">
      <w:pPr>
        <w:ind w:left="851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Tromboemboliske</w:t>
      </w:r>
      <w:proofErr w:type="spellEnd"/>
      <w:r w:rsidRPr="005316B5">
        <w:rPr>
          <w:sz w:val="24"/>
          <w:szCs w:val="24"/>
        </w:rPr>
        <w:t xml:space="preserve"> hændelser</w:t>
      </w:r>
    </w:p>
    <w:p w:rsidR="00B52689" w:rsidRPr="005316B5" w:rsidRDefault="00B52689" w:rsidP="003F5B6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Før administration af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skal risikofaktorer for </w:t>
      </w:r>
      <w:proofErr w:type="spellStart"/>
      <w:r w:rsidRPr="005316B5">
        <w:rPr>
          <w:sz w:val="24"/>
          <w:szCs w:val="24"/>
        </w:rPr>
        <w:t>tromboemboliske</w:t>
      </w:r>
      <w:proofErr w:type="spellEnd"/>
      <w:r w:rsidRPr="005316B5">
        <w:rPr>
          <w:sz w:val="24"/>
          <w:szCs w:val="24"/>
        </w:rPr>
        <w:t xml:space="preserve"> sygdomme vurderes. Hos patienter med </w:t>
      </w:r>
      <w:proofErr w:type="spellStart"/>
      <w:r w:rsidRPr="005316B5">
        <w:rPr>
          <w:sz w:val="24"/>
          <w:szCs w:val="24"/>
        </w:rPr>
        <w:t>tromboemboliske</w:t>
      </w:r>
      <w:proofErr w:type="spellEnd"/>
      <w:r w:rsidRPr="005316B5">
        <w:rPr>
          <w:sz w:val="24"/>
          <w:szCs w:val="24"/>
        </w:rPr>
        <w:t xml:space="preserve"> sygdomme i anamnesen eller med øget familiær forekomst af </w:t>
      </w:r>
      <w:proofErr w:type="spellStart"/>
      <w:r w:rsidRPr="005316B5">
        <w:rPr>
          <w:sz w:val="24"/>
          <w:szCs w:val="24"/>
        </w:rPr>
        <w:t>tromboemboliske</w:t>
      </w:r>
      <w:proofErr w:type="spellEnd"/>
      <w:r w:rsidRPr="005316B5">
        <w:rPr>
          <w:sz w:val="24"/>
          <w:szCs w:val="24"/>
        </w:rPr>
        <w:t xml:space="preserve"> hændelser (patienter med høj risiko for </w:t>
      </w:r>
      <w:proofErr w:type="spellStart"/>
      <w:r w:rsidRPr="005316B5">
        <w:rPr>
          <w:sz w:val="24"/>
          <w:szCs w:val="24"/>
        </w:rPr>
        <w:t>trombofili</w:t>
      </w:r>
      <w:proofErr w:type="spellEnd"/>
      <w:r w:rsidRPr="005316B5">
        <w:rPr>
          <w:sz w:val="24"/>
          <w:szCs w:val="24"/>
        </w:rPr>
        <w:t xml:space="preserve">) bør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>-injektions</w:t>
      </w:r>
      <w:r w:rsidRPr="005316B5">
        <w:rPr>
          <w:sz w:val="24"/>
          <w:szCs w:val="24"/>
        </w:rPr>
        <w:softHyphen/>
        <w:t xml:space="preserve">væske kun anvendes, hvis der er tale om en stærk medicinsk indikation ifølge vurdering af en læge med særlig kendskab til </w:t>
      </w:r>
      <w:proofErr w:type="spellStart"/>
      <w:r w:rsidRPr="005316B5">
        <w:rPr>
          <w:sz w:val="24"/>
          <w:szCs w:val="24"/>
        </w:rPr>
        <w:t>hæmostasiologi</w:t>
      </w:r>
      <w:proofErr w:type="spellEnd"/>
      <w:r w:rsidRPr="005316B5">
        <w:rPr>
          <w:sz w:val="24"/>
          <w:szCs w:val="24"/>
        </w:rPr>
        <w:t xml:space="preserve"> og kun under nøje overvågning (se pkt. 4.3).</w:t>
      </w:r>
    </w:p>
    <w:p w:rsidR="00B52689" w:rsidRPr="005316B5" w:rsidRDefault="00B52689" w:rsidP="003F5B6D">
      <w:pPr>
        <w:ind w:left="851"/>
        <w:rPr>
          <w:sz w:val="24"/>
          <w:szCs w:val="24"/>
        </w:rPr>
      </w:pPr>
    </w:p>
    <w:p w:rsidR="00B52689" w:rsidRPr="005316B5" w:rsidRDefault="00B52689" w:rsidP="003F5B6D">
      <w:pPr>
        <w:ind w:left="851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bør administreres med forsigtighed til patienter i behandling med orale </w:t>
      </w:r>
      <w:proofErr w:type="spellStart"/>
      <w:r w:rsidRPr="005316B5">
        <w:rPr>
          <w:sz w:val="24"/>
          <w:szCs w:val="24"/>
        </w:rPr>
        <w:t>kontraceptiva</w:t>
      </w:r>
      <w:proofErr w:type="spellEnd"/>
      <w:r w:rsidRPr="005316B5">
        <w:rPr>
          <w:sz w:val="24"/>
          <w:szCs w:val="24"/>
        </w:rPr>
        <w:t xml:space="preserve"> på grund af øget risiko for tromboser (se pkt. 4.5).</w:t>
      </w:r>
    </w:p>
    <w:p w:rsidR="00B52689" w:rsidRPr="005316B5" w:rsidRDefault="00B52689" w:rsidP="003F5B6D">
      <w:pPr>
        <w:ind w:left="851"/>
        <w:rPr>
          <w:sz w:val="24"/>
          <w:szCs w:val="24"/>
        </w:rPr>
      </w:pPr>
    </w:p>
    <w:p w:rsidR="00B52689" w:rsidRPr="005316B5" w:rsidRDefault="00B52689" w:rsidP="003F5B6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Dissemineret </w:t>
      </w:r>
      <w:proofErr w:type="spellStart"/>
      <w:r w:rsidRPr="005316B5">
        <w:rPr>
          <w:sz w:val="24"/>
          <w:szCs w:val="24"/>
        </w:rPr>
        <w:t>intravaskulær</w:t>
      </w:r>
      <w:proofErr w:type="spellEnd"/>
      <w:r w:rsidRPr="005316B5">
        <w:rPr>
          <w:sz w:val="24"/>
          <w:szCs w:val="24"/>
        </w:rPr>
        <w:t xml:space="preserve"> koagulation</w:t>
      </w:r>
    </w:p>
    <w:p w:rsidR="00B52689" w:rsidRPr="005316B5" w:rsidRDefault="00B52689" w:rsidP="003F5B6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Patienter med dissemineret </w:t>
      </w:r>
      <w:proofErr w:type="spellStart"/>
      <w:r w:rsidRPr="005316B5">
        <w:rPr>
          <w:sz w:val="24"/>
          <w:szCs w:val="24"/>
        </w:rPr>
        <w:t>intravaskulær</w:t>
      </w:r>
      <w:proofErr w:type="spellEnd"/>
      <w:r w:rsidRPr="005316B5">
        <w:rPr>
          <w:sz w:val="24"/>
          <w:szCs w:val="24"/>
        </w:rPr>
        <w:t xml:space="preserve"> koagulation (DIC) bør i de fleste tilfælde ikke behandles med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(se pkt. 4.3). Hvis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gives, skal det forbeholdes patienter, som primært har aktivering af det </w:t>
      </w:r>
      <w:proofErr w:type="spellStart"/>
      <w:r w:rsidRPr="005316B5">
        <w:rPr>
          <w:sz w:val="24"/>
          <w:szCs w:val="24"/>
        </w:rPr>
        <w:t>fibrinolytiske</w:t>
      </w:r>
      <w:proofErr w:type="spellEnd"/>
      <w:r w:rsidRPr="005316B5">
        <w:rPr>
          <w:sz w:val="24"/>
          <w:szCs w:val="24"/>
        </w:rPr>
        <w:t xml:space="preserve"> system med akut alvorlig blødning.</w:t>
      </w:r>
    </w:p>
    <w:p w:rsidR="00B52689" w:rsidRPr="005316B5" w:rsidRDefault="00B52689" w:rsidP="003F5B6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Karakteristisk nærmer den hæmatologiske profil sig følgende: nedsat </w:t>
      </w:r>
      <w:proofErr w:type="spellStart"/>
      <w:r w:rsidRPr="005316B5">
        <w:rPr>
          <w:sz w:val="24"/>
          <w:szCs w:val="24"/>
        </w:rPr>
        <w:t>euglobulin</w:t>
      </w:r>
      <w:proofErr w:type="spellEnd"/>
      <w:r w:rsidRPr="005316B5">
        <w:rPr>
          <w:sz w:val="24"/>
          <w:szCs w:val="24"/>
        </w:rPr>
        <w:t xml:space="preserve"> </w:t>
      </w:r>
      <w:proofErr w:type="spellStart"/>
      <w:r w:rsidRPr="005316B5">
        <w:rPr>
          <w:sz w:val="24"/>
          <w:szCs w:val="24"/>
        </w:rPr>
        <w:t>clot</w:t>
      </w:r>
      <w:proofErr w:type="spellEnd"/>
      <w:r w:rsidRPr="005316B5">
        <w:rPr>
          <w:sz w:val="24"/>
          <w:szCs w:val="24"/>
        </w:rPr>
        <w:t xml:space="preserve">-lyse-tid; forlænget </w:t>
      </w:r>
      <w:proofErr w:type="spellStart"/>
      <w:r w:rsidRPr="005316B5">
        <w:rPr>
          <w:sz w:val="24"/>
          <w:szCs w:val="24"/>
        </w:rPr>
        <w:t>protrombintid</w:t>
      </w:r>
      <w:proofErr w:type="spellEnd"/>
      <w:r w:rsidRPr="005316B5">
        <w:rPr>
          <w:sz w:val="24"/>
          <w:szCs w:val="24"/>
        </w:rPr>
        <w:t xml:space="preserve">; nedsat plasmaniveau af </w:t>
      </w:r>
      <w:proofErr w:type="spellStart"/>
      <w:r w:rsidRPr="005316B5">
        <w:rPr>
          <w:sz w:val="24"/>
          <w:szCs w:val="24"/>
        </w:rPr>
        <w:t>fibrinogen</w:t>
      </w:r>
      <w:proofErr w:type="spellEnd"/>
      <w:r w:rsidRPr="005316B5">
        <w:rPr>
          <w:sz w:val="24"/>
          <w:szCs w:val="24"/>
        </w:rPr>
        <w:t xml:space="preserve">, faktor V og VIII, </w:t>
      </w:r>
      <w:proofErr w:type="spellStart"/>
      <w:r w:rsidRPr="005316B5">
        <w:rPr>
          <w:sz w:val="24"/>
          <w:szCs w:val="24"/>
        </w:rPr>
        <w:t>plasminogenfibrino</w:t>
      </w:r>
      <w:r w:rsidRPr="005316B5">
        <w:rPr>
          <w:sz w:val="24"/>
          <w:szCs w:val="24"/>
        </w:rPr>
        <w:softHyphen/>
        <w:t>lysin</w:t>
      </w:r>
      <w:proofErr w:type="spellEnd"/>
      <w:r w:rsidRPr="005316B5">
        <w:rPr>
          <w:sz w:val="24"/>
          <w:szCs w:val="24"/>
        </w:rPr>
        <w:t xml:space="preserve"> og alfa-2 </w:t>
      </w:r>
      <w:proofErr w:type="spellStart"/>
      <w:r w:rsidRPr="005316B5">
        <w:rPr>
          <w:sz w:val="24"/>
          <w:szCs w:val="24"/>
        </w:rPr>
        <w:t>makroglobulin</w:t>
      </w:r>
      <w:proofErr w:type="spellEnd"/>
      <w:r w:rsidRPr="005316B5">
        <w:rPr>
          <w:sz w:val="24"/>
          <w:szCs w:val="24"/>
        </w:rPr>
        <w:t>; normale plasmaniveauer af P og P-kompleks, dvs. faktor II (</w:t>
      </w:r>
      <w:proofErr w:type="spellStart"/>
      <w:r w:rsidRPr="005316B5">
        <w:rPr>
          <w:sz w:val="24"/>
          <w:szCs w:val="24"/>
        </w:rPr>
        <w:t>protrombin</w:t>
      </w:r>
      <w:proofErr w:type="spellEnd"/>
      <w:r w:rsidRPr="005316B5">
        <w:rPr>
          <w:sz w:val="24"/>
          <w:szCs w:val="24"/>
        </w:rPr>
        <w:t xml:space="preserve">), VIII og X; øgede plasmaniveauer af </w:t>
      </w:r>
      <w:proofErr w:type="spellStart"/>
      <w:r w:rsidRPr="005316B5">
        <w:rPr>
          <w:sz w:val="24"/>
          <w:szCs w:val="24"/>
        </w:rPr>
        <w:t>fibrinogennedbrydningsprodukter</w:t>
      </w:r>
      <w:proofErr w:type="spellEnd"/>
      <w:r w:rsidRPr="005316B5">
        <w:rPr>
          <w:sz w:val="24"/>
          <w:szCs w:val="24"/>
        </w:rPr>
        <w:t xml:space="preserve">; normal blodpladetælling. Det føromtalte forudsætter, at den underliggende sygdomstilstand ikke i sig selv ændrer de forskellige elementer i profilen. I sådanne akutte tilfælde er en enkelt dosis på 1 g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hyppigst tilstrækkelig til at kontrollere blødningen. Administration af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ved DIC bør kun overvejes, hvis passende hæmatologiske laboratoriefaciliteter og ekspertise er tilgængelig.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4.5</w:t>
      </w:r>
      <w:r w:rsidRPr="005316B5">
        <w:rPr>
          <w:b/>
          <w:sz w:val="24"/>
          <w:szCs w:val="24"/>
        </w:rPr>
        <w:tab/>
        <w:t>Interaktion med andre lægemidler og andre former for interaktion</w:t>
      </w:r>
    </w:p>
    <w:p w:rsidR="00B52689" w:rsidRPr="005316B5" w:rsidRDefault="00B52689" w:rsidP="003F5B6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Der er ikke udført interaktionsstudier. Samtidig behandling med </w:t>
      </w:r>
      <w:proofErr w:type="spellStart"/>
      <w:r w:rsidRPr="005316B5">
        <w:rPr>
          <w:sz w:val="24"/>
          <w:szCs w:val="24"/>
        </w:rPr>
        <w:t>antikoagulantia</w:t>
      </w:r>
      <w:proofErr w:type="spellEnd"/>
      <w:r w:rsidRPr="005316B5">
        <w:rPr>
          <w:sz w:val="24"/>
          <w:szCs w:val="24"/>
        </w:rPr>
        <w:t xml:space="preserve"> skal ske under nøje supervision af en læge med erfaring inden for området.</w:t>
      </w:r>
    </w:p>
    <w:p w:rsidR="00B52689" w:rsidRPr="005316B5" w:rsidRDefault="00B52689" w:rsidP="003F5B6D">
      <w:pPr>
        <w:ind w:left="851"/>
        <w:rPr>
          <w:sz w:val="24"/>
          <w:szCs w:val="24"/>
        </w:rPr>
      </w:pPr>
    </w:p>
    <w:p w:rsidR="00B52689" w:rsidRPr="005316B5" w:rsidRDefault="00B52689" w:rsidP="003F5B6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Lægemidler, der påvirker </w:t>
      </w:r>
      <w:proofErr w:type="spellStart"/>
      <w:r w:rsidRPr="005316B5">
        <w:rPr>
          <w:sz w:val="24"/>
          <w:szCs w:val="24"/>
        </w:rPr>
        <w:t>hæmostasen</w:t>
      </w:r>
      <w:proofErr w:type="spellEnd"/>
      <w:r w:rsidRPr="005316B5">
        <w:rPr>
          <w:sz w:val="24"/>
          <w:szCs w:val="24"/>
        </w:rPr>
        <w:t xml:space="preserve">, bør gives med forsigtighed til patienter i behandling med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. Der er en teoretisk risiko for øget </w:t>
      </w:r>
      <w:proofErr w:type="spellStart"/>
      <w:r w:rsidRPr="005316B5">
        <w:rPr>
          <w:sz w:val="24"/>
          <w:szCs w:val="24"/>
        </w:rPr>
        <w:t>trombedannelse</w:t>
      </w:r>
      <w:proofErr w:type="spellEnd"/>
      <w:r w:rsidRPr="005316B5">
        <w:rPr>
          <w:sz w:val="24"/>
          <w:szCs w:val="24"/>
        </w:rPr>
        <w:t xml:space="preserve">, for eksempel med østrogener. På den anden side kan den </w:t>
      </w:r>
      <w:proofErr w:type="spellStart"/>
      <w:r w:rsidRPr="005316B5">
        <w:rPr>
          <w:sz w:val="24"/>
          <w:szCs w:val="24"/>
        </w:rPr>
        <w:t>antifibrinolytiske</w:t>
      </w:r>
      <w:proofErr w:type="spellEnd"/>
      <w:r w:rsidRPr="005316B5">
        <w:rPr>
          <w:sz w:val="24"/>
          <w:szCs w:val="24"/>
        </w:rPr>
        <w:t xml:space="preserve"> virkning af lægemidlet </w:t>
      </w:r>
      <w:proofErr w:type="spellStart"/>
      <w:r w:rsidRPr="005316B5">
        <w:rPr>
          <w:sz w:val="24"/>
          <w:szCs w:val="24"/>
        </w:rPr>
        <w:t>antagoniseres</w:t>
      </w:r>
      <w:proofErr w:type="spellEnd"/>
      <w:r w:rsidRPr="005316B5">
        <w:rPr>
          <w:sz w:val="24"/>
          <w:szCs w:val="24"/>
        </w:rPr>
        <w:t xml:space="preserve"> med </w:t>
      </w:r>
      <w:proofErr w:type="spellStart"/>
      <w:r w:rsidRPr="005316B5">
        <w:rPr>
          <w:sz w:val="24"/>
          <w:szCs w:val="24"/>
        </w:rPr>
        <w:t>trombolytika</w:t>
      </w:r>
      <w:proofErr w:type="spellEnd"/>
      <w:r w:rsidRPr="005316B5">
        <w:rPr>
          <w:sz w:val="24"/>
          <w:szCs w:val="24"/>
        </w:rPr>
        <w:t>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4.6</w:t>
      </w:r>
      <w:r w:rsidRPr="005316B5">
        <w:rPr>
          <w:b/>
          <w:sz w:val="24"/>
          <w:szCs w:val="24"/>
        </w:rPr>
        <w:tab/>
        <w:t>Graviditet og amning</w:t>
      </w:r>
    </w:p>
    <w:p w:rsidR="00B52689" w:rsidRPr="005316B5" w:rsidRDefault="00B52689" w:rsidP="00B52689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 w:rsidRPr="005316B5">
        <w:rPr>
          <w:noProof/>
          <w:szCs w:val="24"/>
        </w:rPr>
        <w:t>Kvinder i den fertile alder skal anvende sikker kontraception under behandlingen.</w:t>
      </w:r>
    </w:p>
    <w:p w:rsidR="00B52689" w:rsidRPr="005316B5" w:rsidRDefault="00B52689" w:rsidP="00B52689">
      <w:pPr>
        <w:ind w:left="851" w:hanging="851"/>
        <w:rPr>
          <w:sz w:val="24"/>
          <w:szCs w:val="24"/>
          <w:u w:val="single"/>
        </w:rPr>
      </w:pP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Fertilitet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Der foreligger ingen kliniske data om </w:t>
      </w:r>
      <w:proofErr w:type="spellStart"/>
      <w:r w:rsidRPr="005316B5">
        <w:rPr>
          <w:sz w:val="24"/>
          <w:szCs w:val="24"/>
        </w:rPr>
        <w:t>tranexamsyres</w:t>
      </w:r>
      <w:proofErr w:type="spellEnd"/>
      <w:r w:rsidRPr="005316B5">
        <w:rPr>
          <w:sz w:val="24"/>
          <w:szCs w:val="24"/>
        </w:rPr>
        <w:t xml:space="preserve"> virkning på fertilitet.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Graviditet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Der er utilstrækkelige kliniske data fra anvendelse af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til gravide kvinder. Som følge deraf bør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for en sikkerheds skyld ikke anvendes i første trimester, heller ikke selvom dyrestudier ikke indikerer </w:t>
      </w:r>
      <w:proofErr w:type="spellStart"/>
      <w:r w:rsidRPr="005316B5">
        <w:rPr>
          <w:sz w:val="24"/>
          <w:szCs w:val="24"/>
        </w:rPr>
        <w:t>teratogene</w:t>
      </w:r>
      <w:proofErr w:type="spellEnd"/>
      <w:r w:rsidRPr="005316B5">
        <w:rPr>
          <w:sz w:val="24"/>
          <w:szCs w:val="24"/>
        </w:rPr>
        <w:t xml:space="preserve"> virkninger.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Begrænsede kliniske data fra anvendelse af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i forskellige kliniske blødningssituationer under andet og tredje trimester viste ikke skadelige virkninger på fosteret.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bør kun anvendes under graviditet, hvis de forventede fordele opvejer den mulige risiko.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Amning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udskilles i human mælk. Derfor frarådes amning.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4.7</w:t>
      </w:r>
      <w:r w:rsidRPr="005316B5">
        <w:rPr>
          <w:b/>
          <w:sz w:val="24"/>
          <w:szCs w:val="24"/>
        </w:rPr>
        <w:tab/>
        <w:t>Virkninger på evnen til at føre motorkøretøj eller betjene maskiner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Ikke mærkning.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Det er ikke undersøgt, om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påvirker evnen til at føre motorkøretøj eller betjene maskiner.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4.8</w:t>
      </w:r>
      <w:r w:rsidRPr="005316B5">
        <w:rPr>
          <w:b/>
          <w:sz w:val="24"/>
          <w:szCs w:val="24"/>
        </w:rPr>
        <w:tab/>
        <w:t>Bivirkninger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Bivirkninger set i kliniske forsøg og efter markedsføring anføres nedenfor i henhold til systemorgan</w:t>
      </w:r>
      <w:r w:rsidRPr="005316B5">
        <w:rPr>
          <w:sz w:val="24"/>
          <w:szCs w:val="24"/>
        </w:rPr>
        <w:softHyphen/>
        <w:t>klasse.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Bivirkningstabel</w:t>
      </w:r>
    </w:p>
    <w:p w:rsidR="00B52689" w:rsidRPr="005316B5" w:rsidRDefault="00B52689" w:rsidP="00B52689">
      <w:pPr>
        <w:ind w:left="851"/>
        <w:rPr>
          <w:noProof/>
          <w:sz w:val="24"/>
          <w:szCs w:val="24"/>
        </w:rPr>
      </w:pPr>
      <w:r w:rsidRPr="005316B5">
        <w:rPr>
          <w:sz w:val="24"/>
          <w:szCs w:val="24"/>
        </w:rPr>
        <w:t xml:space="preserve">Rapporterede bivirkninger fremgår af nedenstående tabel. Bivirkningerne er anført i henhold til </w:t>
      </w:r>
      <w:proofErr w:type="spellStart"/>
      <w:r w:rsidRPr="005316B5">
        <w:rPr>
          <w:sz w:val="24"/>
          <w:szCs w:val="24"/>
        </w:rPr>
        <w:t>MedDRA's</w:t>
      </w:r>
      <w:proofErr w:type="spellEnd"/>
      <w:r w:rsidRPr="005316B5">
        <w:rPr>
          <w:sz w:val="24"/>
          <w:szCs w:val="24"/>
        </w:rPr>
        <w:t xml:space="preserve"> primære systemorganklasser. Inden for hver enkelt systemorganklasse er bivirkningerne opstillet efter frekvens. Inden for hver enkelt frekvensgruppe er bivirkningerne opstillet efter, hvor alvorlige de er. Frekvenser er defineret som følger: Meget almindelige (≥ 1/10), almindelige (≥ 1/100 til &lt; 1/10), ikke almindelige (≥ 1/1.000 til &lt; 1/100),</w:t>
      </w:r>
      <w:r w:rsidRPr="005316B5">
        <w:rPr>
          <w:b/>
          <w:bCs/>
          <w:sz w:val="24"/>
          <w:szCs w:val="24"/>
        </w:rPr>
        <w:t xml:space="preserve"> </w:t>
      </w:r>
      <w:r w:rsidRPr="005316B5">
        <w:rPr>
          <w:sz w:val="24"/>
          <w:szCs w:val="24"/>
        </w:rPr>
        <w:t>ikke kendt (kan ikke estimeres ud fra forhåndenværende data).</w:t>
      </w:r>
    </w:p>
    <w:tbl>
      <w:tblPr>
        <w:tblW w:w="8363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835"/>
        <w:gridCol w:w="2977"/>
      </w:tblGrid>
      <w:tr w:rsidR="00B52689" w:rsidRPr="00E11CF9" w:rsidTr="009D118B">
        <w:trPr>
          <w:trHeight w:val="567"/>
        </w:trPr>
        <w:tc>
          <w:tcPr>
            <w:tcW w:w="2551" w:type="dxa"/>
            <w:shd w:val="clear" w:color="auto" w:fill="E6E6E6"/>
            <w:vAlign w:val="center"/>
          </w:tcPr>
          <w:p w:rsidR="00B52689" w:rsidRPr="00E11CF9" w:rsidRDefault="00B52689" w:rsidP="003B4BCE">
            <w:pPr>
              <w:keepNext/>
              <w:rPr>
                <w:b/>
                <w:sz w:val="24"/>
                <w:szCs w:val="24"/>
              </w:rPr>
            </w:pPr>
            <w:proofErr w:type="spellStart"/>
            <w:r w:rsidRPr="00E11CF9">
              <w:rPr>
                <w:b/>
                <w:sz w:val="24"/>
                <w:szCs w:val="24"/>
              </w:rPr>
              <w:t>MedDRA</w:t>
            </w:r>
            <w:proofErr w:type="spellEnd"/>
          </w:p>
          <w:p w:rsidR="00B52689" w:rsidRPr="00E11CF9" w:rsidRDefault="00B52689" w:rsidP="003B4BCE">
            <w:pPr>
              <w:keepNext/>
              <w:rPr>
                <w:b/>
                <w:sz w:val="24"/>
                <w:szCs w:val="24"/>
              </w:rPr>
            </w:pPr>
            <w:r w:rsidRPr="00E11CF9">
              <w:rPr>
                <w:b/>
                <w:sz w:val="24"/>
                <w:szCs w:val="24"/>
              </w:rPr>
              <w:t>systemorganklasse</w:t>
            </w:r>
          </w:p>
          <w:p w:rsidR="00B52689" w:rsidRPr="00E11CF9" w:rsidRDefault="00B52689" w:rsidP="003B4BCE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E6E6E6"/>
            <w:vAlign w:val="center"/>
          </w:tcPr>
          <w:p w:rsidR="00B52689" w:rsidRPr="00E11CF9" w:rsidRDefault="00B52689" w:rsidP="003B4BCE">
            <w:pPr>
              <w:keepNext/>
              <w:rPr>
                <w:b/>
                <w:sz w:val="24"/>
                <w:szCs w:val="24"/>
              </w:rPr>
            </w:pPr>
            <w:r w:rsidRPr="00E11CF9">
              <w:rPr>
                <w:b/>
                <w:sz w:val="24"/>
                <w:szCs w:val="24"/>
              </w:rPr>
              <w:t>Frekvens</w:t>
            </w:r>
          </w:p>
        </w:tc>
        <w:tc>
          <w:tcPr>
            <w:tcW w:w="2977" w:type="dxa"/>
            <w:shd w:val="clear" w:color="auto" w:fill="E6E6E6"/>
            <w:vAlign w:val="center"/>
          </w:tcPr>
          <w:p w:rsidR="00B52689" w:rsidRPr="00E11CF9" w:rsidRDefault="00B52689" w:rsidP="003B4BCE">
            <w:pPr>
              <w:keepNext/>
              <w:tabs>
                <w:tab w:val="left" w:pos="205"/>
              </w:tabs>
              <w:ind w:left="346" w:hanging="346"/>
              <w:rPr>
                <w:b/>
                <w:sz w:val="24"/>
                <w:szCs w:val="24"/>
              </w:rPr>
            </w:pPr>
            <w:r w:rsidRPr="00E11CF9">
              <w:rPr>
                <w:b/>
                <w:sz w:val="24"/>
                <w:szCs w:val="24"/>
              </w:rPr>
              <w:t>Bivirkning</w:t>
            </w:r>
          </w:p>
        </w:tc>
      </w:tr>
      <w:tr w:rsidR="00B52689" w:rsidRPr="00E11CF9" w:rsidTr="009D118B">
        <w:trPr>
          <w:trHeight w:val="567"/>
        </w:trPr>
        <w:tc>
          <w:tcPr>
            <w:tcW w:w="2551" w:type="dxa"/>
          </w:tcPr>
          <w:p w:rsidR="00B52689" w:rsidRPr="00E11CF9" w:rsidRDefault="00B52689" w:rsidP="003B4BCE">
            <w:pPr>
              <w:keepNext/>
              <w:rPr>
                <w:b/>
                <w:sz w:val="24"/>
                <w:szCs w:val="24"/>
              </w:rPr>
            </w:pPr>
            <w:r w:rsidRPr="00E11CF9">
              <w:rPr>
                <w:b/>
                <w:noProof/>
                <w:sz w:val="24"/>
                <w:szCs w:val="24"/>
              </w:rPr>
              <w:t>Immunsystemet</w:t>
            </w:r>
          </w:p>
        </w:tc>
        <w:tc>
          <w:tcPr>
            <w:tcW w:w="2835" w:type="dxa"/>
          </w:tcPr>
          <w:p w:rsidR="00B52689" w:rsidRPr="00E11CF9" w:rsidRDefault="00B52689" w:rsidP="003B4BCE">
            <w:pPr>
              <w:keepNext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>Ikke kendt</w:t>
            </w:r>
          </w:p>
        </w:tc>
        <w:tc>
          <w:tcPr>
            <w:tcW w:w="2977" w:type="dxa"/>
          </w:tcPr>
          <w:p w:rsidR="00B52689" w:rsidRPr="00E11CF9" w:rsidRDefault="00B52689" w:rsidP="00B52689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05"/>
              </w:tabs>
              <w:ind w:left="205" w:hanging="205"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>Overfølsomhedsreaktioner, herunder anafylaksi</w:t>
            </w:r>
          </w:p>
        </w:tc>
      </w:tr>
      <w:tr w:rsidR="00B52689" w:rsidRPr="00E11CF9" w:rsidTr="009D118B">
        <w:trPr>
          <w:trHeight w:val="567"/>
        </w:trPr>
        <w:tc>
          <w:tcPr>
            <w:tcW w:w="2551" w:type="dxa"/>
          </w:tcPr>
          <w:p w:rsidR="00B52689" w:rsidRPr="00E11CF9" w:rsidRDefault="00B52689" w:rsidP="003B4BCE">
            <w:pPr>
              <w:keepNext/>
              <w:rPr>
                <w:b/>
                <w:sz w:val="24"/>
                <w:szCs w:val="24"/>
              </w:rPr>
            </w:pPr>
            <w:r w:rsidRPr="00E11CF9">
              <w:rPr>
                <w:b/>
                <w:bCs/>
                <w:noProof/>
                <w:sz w:val="24"/>
                <w:szCs w:val="24"/>
              </w:rPr>
              <w:t>Nervesystemet</w:t>
            </w:r>
          </w:p>
        </w:tc>
        <w:tc>
          <w:tcPr>
            <w:tcW w:w="2835" w:type="dxa"/>
          </w:tcPr>
          <w:p w:rsidR="00B52689" w:rsidRPr="00E11CF9" w:rsidRDefault="00B52689" w:rsidP="003B4BCE">
            <w:pPr>
              <w:keepNext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>Ikke kendt</w:t>
            </w:r>
          </w:p>
        </w:tc>
        <w:tc>
          <w:tcPr>
            <w:tcW w:w="2977" w:type="dxa"/>
          </w:tcPr>
          <w:p w:rsidR="00B52689" w:rsidRPr="00E11CF9" w:rsidRDefault="00B52689" w:rsidP="00B52689">
            <w:pPr>
              <w:keepNext/>
              <w:widowControl w:val="0"/>
              <w:numPr>
                <w:ilvl w:val="0"/>
                <w:numId w:val="9"/>
              </w:numPr>
              <w:tabs>
                <w:tab w:val="left" w:pos="205"/>
              </w:tabs>
              <w:ind w:left="205" w:hanging="205"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>Kramper især i forbindelse med forkert anvendelse (se pkt. 4.3 og 4.4)</w:t>
            </w:r>
          </w:p>
        </w:tc>
      </w:tr>
      <w:tr w:rsidR="00B52689" w:rsidRPr="00E11CF9" w:rsidTr="009D118B">
        <w:trPr>
          <w:trHeight w:val="567"/>
        </w:trPr>
        <w:tc>
          <w:tcPr>
            <w:tcW w:w="2551" w:type="dxa"/>
          </w:tcPr>
          <w:p w:rsidR="00B52689" w:rsidRPr="00E11CF9" w:rsidRDefault="00B52689" w:rsidP="003B4BCE">
            <w:pPr>
              <w:keepNext/>
              <w:rPr>
                <w:b/>
                <w:sz w:val="24"/>
                <w:szCs w:val="24"/>
              </w:rPr>
            </w:pPr>
            <w:r w:rsidRPr="00E11CF9">
              <w:rPr>
                <w:b/>
                <w:noProof/>
                <w:sz w:val="24"/>
                <w:szCs w:val="24"/>
              </w:rPr>
              <w:t>Øjne</w:t>
            </w:r>
          </w:p>
        </w:tc>
        <w:tc>
          <w:tcPr>
            <w:tcW w:w="2835" w:type="dxa"/>
          </w:tcPr>
          <w:p w:rsidR="00B52689" w:rsidRPr="00E11CF9" w:rsidRDefault="00B52689" w:rsidP="003B4BCE">
            <w:pPr>
              <w:keepNext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>Ikke kendt</w:t>
            </w:r>
          </w:p>
        </w:tc>
        <w:tc>
          <w:tcPr>
            <w:tcW w:w="2977" w:type="dxa"/>
          </w:tcPr>
          <w:p w:rsidR="00B52689" w:rsidRPr="00E11CF9" w:rsidRDefault="00B52689" w:rsidP="00B52689">
            <w:pPr>
              <w:keepNext/>
              <w:widowControl w:val="0"/>
              <w:numPr>
                <w:ilvl w:val="0"/>
                <w:numId w:val="9"/>
              </w:numPr>
              <w:tabs>
                <w:tab w:val="left" w:pos="205"/>
              </w:tabs>
              <w:ind w:left="205" w:hanging="205"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>Synsforstyrrelser, herunder påvirket farvesyn</w:t>
            </w:r>
          </w:p>
        </w:tc>
      </w:tr>
      <w:tr w:rsidR="00B52689" w:rsidRPr="00E11CF9" w:rsidTr="009D118B">
        <w:trPr>
          <w:trHeight w:val="567"/>
        </w:trPr>
        <w:tc>
          <w:tcPr>
            <w:tcW w:w="2551" w:type="dxa"/>
          </w:tcPr>
          <w:p w:rsidR="00B52689" w:rsidRPr="00E11CF9" w:rsidRDefault="00B52689" w:rsidP="003B4BCE">
            <w:pPr>
              <w:keepNext/>
              <w:rPr>
                <w:b/>
                <w:sz w:val="24"/>
                <w:szCs w:val="24"/>
              </w:rPr>
            </w:pPr>
            <w:r w:rsidRPr="00E11CF9">
              <w:rPr>
                <w:b/>
                <w:noProof/>
                <w:sz w:val="24"/>
                <w:szCs w:val="24"/>
              </w:rPr>
              <w:t>Vaskulære sygdomme</w:t>
            </w:r>
          </w:p>
        </w:tc>
        <w:tc>
          <w:tcPr>
            <w:tcW w:w="2835" w:type="dxa"/>
          </w:tcPr>
          <w:p w:rsidR="00B52689" w:rsidRPr="00E11CF9" w:rsidRDefault="00B52689" w:rsidP="003B4BCE">
            <w:pPr>
              <w:keepNext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>Ikke kendt</w:t>
            </w:r>
          </w:p>
        </w:tc>
        <w:tc>
          <w:tcPr>
            <w:tcW w:w="2977" w:type="dxa"/>
          </w:tcPr>
          <w:p w:rsidR="00B52689" w:rsidRPr="00E11CF9" w:rsidRDefault="00B52689" w:rsidP="00B52689">
            <w:pPr>
              <w:keepNext/>
              <w:widowControl w:val="0"/>
              <w:numPr>
                <w:ilvl w:val="0"/>
                <w:numId w:val="9"/>
              </w:numPr>
              <w:tabs>
                <w:tab w:val="left" w:pos="205"/>
              </w:tabs>
              <w:ind w:left="205" w:hanging="205"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>Utilpashed med hypotension med eller uden bevidsthedstab (normalt som følge af for hurtig intravenøs injektion, undtagelsesvist efter oral administration)</w:t>
            </w:r>
          </w:p>
          <w:p w:rsidR="00B52689" w:rsidRPr="00E11CF9" w:rsidRDefault="00B52689" w:rsidP="00B52689">
            <w:pPr>
              <w:keepNext/>
              <w:widowControl w:val="0"/>
              <w:numPr>
                <w:ilvl w:val="0"/>
                <w:numId w:val="9"/>
              </w:numPr>
              <w:tabs>
                <w:tab w:val="left" w:pos="205"/>
              </w:tabs>
              <w:ind w:left="205" w:hanging="205"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 xml:space="preserve">Arterie- eller </w:t>
            </w:r>
            <w:proofErr w:type="spellStart"/>
            <w:r w:rsidRPr="00E11CF9">
              <w:rPr>
                <w:sz w:val="24"/>
                <w:szCs w:val="24"/>
              </w:rPr>
              <w:t>veneemboli</w:t>
            </w:r>
            <w:proofErr w:type="spellEnd"/>
            <w:r w:rsidRPr="00E11CF9">
              <w:rPr>
                <w:sz w:val="24"/>
                <w:szCs w:val="24"/>
              </w:rPr>
              <w:t xml:space="preserve"> et hvilket som helst sted</w:t>
            </w:r>
          </w:p>
        </w:tc>
      </w:tr>
      <w:tr w:rsidR="00B52689" w:rsidRPr="00E11CF9" w:rsidTr="009D118B">
        <w:trPr>
          <w:trHeight w:val="567"/>
        </w:trPr>
        <w:tc>
          <w:tcPr>
            <w:tcW w:w="2551" w:type="dxa"/>
          </w:tcPr>
          <w:p w:rsidR="00B52689" w:rsidRPr="00E11CF9" w:rsidDel="00F64972" w:rsidRDefault="00B52689" w:rsidP="003B4BCE">
            <w:pPr>
              <w:keepNext/>
              <w:rPr>
                <w:b/>
                <w:noProof/>
                <w:sz w:val="24"/>
                <w:szCs w:val="24"/>
              </w:rPr>
            </w:pPr>
            <w:r w:rsidRPr="00E11CF9">
              <w:rPr>
                <w:b/>
                <w:noProof/>
                <w:sz w:val="24"/>
                <w:szCs w:val="24"/>
              </w:rPr>
              <w:t>Mave-tarm-kanalen</w:t>
            </w:r>
          </w:p>
        </w:tc>
        <w:tc>
          <w:tcPr>
            <w:tcW w:w="2835" w:type="dxa"/>
          </w:tcPr>
          <w:p w:rsidR="00B52689" w:rsidRPr="00E11CF9" w:rsidDel="00F64972" w:rsidRDefault="00B52689" w:rsidP="003B4BCE">
            <w:pPr>
              <w:keepNext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>Almindelig</w:t>
            </w:r>
          </w:p>
        </w:tc>
        <w:tc>
          <w:tcPr>
            <w:tcW w:w="2977" w:type="dxa"/>
          </w:tcPr>
          <w:p w:rsidR="00B52689" w:rsidRPr="00E11CF9" w:rsidRDefault="00B52689" w:rsidP="00B52689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05"/>
              </w:tabs>
              <w:ind w:left="205" w:hanging="205"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>Diarré</w:t>
            </w:r>
          </w:p>
          <w:p w:rsidR="00B52689" w:rsidRPr="00E11CF9" w:rsidRDefault="00B52689" w:rsidP="00B52689">
            <w:pPr>
              <w:keepNext/>
              <w:widowControl w:val="0"/>
              <w:numPr>
                <w:ilvl w:val="0"/>
                <w:numId w:val="8"/>
              </w:numPr>
              <w:tabs>
                <w:tab w:val="left" w:pos="205"/>
              </w:tabs>
              <w:ind w:left="205" w:hanging="205"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>Opkastning</w:t>
            </w:r>
          </w:p>
          <w:p w:rsidR="00B52689" w:rsidRPr="00E11CF9" w:rsidDel="00F64972" w:rsidRDefault="00B52689" w:rsidP="00B52689">
            <w:pPr>
              <w:keepNext/>
              <w:widowControl w:val="0"/>
              <w:numPr>
                <w:ilvl w:val="0"/>
                <w:numId w:val="10"/>
              </w:numPr>
              <w:tabs>
                <w:tab w:val="left" w:pos="205"/>
              </w:tabs>
              <w:ind w:left="205" w:hanging="205"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>Kvalme</w:t>
            </w:r>
          </w:p>
        </w:tc>
      </w:tr>
      <w:tr w:rsidR="00B52689" w:rsidRPr="00E11CF9" w:rsidTr="009D118B">
        <w:trPr>
          <w:trHeight w:val="567"/>
        </w:trPr>
        <w:tc>
          <w:tcPr>
            <w:tcW w:w="2551" w:type="dxa"/>
          </w:tcPr>
          <w:p w:rsidR="00B52689" w:rsidRPr="00E11CF9" w:rsidDel="00F64972" w:rsidRDefault="00B52689" w:rsidP="003B4BCE">
            <w:pPr>
              <w:keepNext/>
              <w:rPr>
                <w:b/>
                <w:noProof/>
                <w:sz w:val="24"/>
                <w:szCs w:val="24"/>
              </w:rPr>
            </w:pPr>
            <w:r w:rsidRPr="00E11CF9">
              <w:rPr>
                <w:b/>
                <w:noProof/>
                <w:sz w:val="24"/>
                <w:szCs w:val="24"/>
              </w:rPr>
              <w:t>Hud og subkutane væv</w:t>
            </w:r>
          </w:p>
        </w:tc>
        <w:tc>
          <w:tcPr>
            <w:tcW w:w="2835" w:type="dxa"/>
          </w:tcPr>
          <w:p w:rsidR="00B52689" w:rsidRPr="00E11CF9" w:rsidDel="00F64972" w:rsidRDefault="00B52689" w:rsidP="003B4BCE">
            <w:pPr>
              <w:keepNext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>Ikke almindelig</w:t>
            </w:r>
          </w:p>
        </w:tc>
        <w:tc>
          <w:tcPr>
            <w:tcW w:w="2977" w:type="dxa"/>
          </w:tcPr>
          <w:p w:rsidR="00B52689" w:rsidRPr="00E11CF9" w:rsidDel="00F64972" w:rsidRDefault="00B52689" w:rsidP="00B52689">
            <w:pPr>
              <w:keepNext/>
              <w:widowControl w:val="0"/>
              <w:numPr>
                <w:ilvl w:val="0"/>
                <w:numId w:val="10"/>
              </w:numPr>
              <w:tabs>
                <w:tab w:val="left" w:pos="205"/>
              </w:tabs>
              <w:ind w:left="205" w:hanging="205"/>
              <w:rPr>
                <w:sz w:val="24"/>
                <w:szCs w:val="24"/>
              </w:rPr>
            </w:pPr>
            <w:r w:rsidRPr="00E11CF9">
              <w:rPr>
                <w:sz w:val="24"/>
                <w:szCs w:val="24"/>
              </w:rPr>
              <w:t xml:space="preserve">Allergisk </w:t>
            </w:r>
            <w:proofErr w:type="spellStart"/>
            <w:r w:rsidRPr="00E11CF9">
              <w:rPr>
                <w:sz w:val="24"/>
                <w:szCs w:val="24"/>
              </w:rPr>
              <w:t>dermatitis</w:t>
            </w:r>
            <w:proofErr w:type="spellEnd"/>
          </w:p>
        </w:tc>
      </w:tr>
    </w:tbl>
    <w:p w:rsidR="00B52689" w:rsidRPr="005316B5" w:rsidRDefault="00B52689" w:rsidP="00B52689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B52689" w:rsidRPr="005316B5" w:rsidRDefault="00B52689" w:rsidP="00B52689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5316B5">
        <w:rPr>
          <w:sz w:val="24"/>
          <w:szCs w:val="24"/>
          <w:u w:val="single"/>
          <w:lang w:eastAsia="da-DK"/>
        </w:rPr>
        <w:t>Indberetning af formodede bivirkninger</w:t>
      </w:r>
    </w:p>
    <w:p w:rsidR="00B52689" w:rsidRPr="005316B5" w:rsidRDefault="00B52689" w:rsidP="00B52689">
      <w:pPr>
        <w:ind w:left="851"/>
        <w:rPr>
          <w:sz w:val="24"/>
          <w:szCs w:val="24"/>
          <w:lang w:eastAsia="da-DK"/>
        </w:rPr>
      </w:pPr>
      <w:r w:rsidRPr="005316B5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5316B5">
        <w:rPr>
          <w:sz w:val="24"/>
          <w:szCs w:val="24"/>
          <w:lang w:eastAsia="da-DK"/>
        </w:rPr>
        <w:t>risk</w:t>
      </w:r>
      <w:proofErr w:type="spellEnd"/>
      <w:r w:rsidRPr="005316B5">
        <w:rPr>
          <w:sz w:val="24"/>
          <w:szCs w:val="24"/>
          <w:lang w:eastAsia="da-DK"/>
        </w:rPr>
        <w:t xml:space="preserve">-forholdet for lægemidlet. </w:t>
      </w:r>
      <w:r w:rsidR="0025568D" w:rsidRPr="005316B5">
        <w:rPr>
          <w:sz w:val="24"/>
          <w:szCs w:val="24"/>
          <w:lang w:eastAsia="da-DK"/>
        </w:rPr>
        <w:t>S</w:t>
      </w:r>
      <w:r w:rsidRPr="005316B5">
        <w:rPr>
          <w:sz w:val="24"/>
          <w:szCs w:val="24"/>
          <w:lang w:eastAsia="da-DK"/>
        </w:rPr>
        <w:t>undhedspersonale anmodes om at indberette alle formodede bivirkninger via:</w:t>
      </w:r>
    </w:p>
    <w:p w:rsidR="00B52689" w:rsidRPr="005316B5" w:rsidRDefault="00B52689" w:rsidP="00B52689">
      <w:pPr>
        <w:ind w:left="851"/>
        <w:rPr>
          <w:sz w:val="24"/>
          <w:szCs w:val="24"/>
          <w:lang w:eastAsia="da-DK"/>
        </w:rPr>
      </w:pPr>
    </w:p>
    <w:p w:rsidR="00B52689" w:rsidRPr="005316B5" w:rsidRDefault="00B52689" w:rsidP="00B52689">
      <w:pPr>
        <w:ind w:left="851"/>
        <w:rPr>
          <w:sz w:val="24"/>
          <w:szCs w:val="24"/>
          <w:lang w:eastAsia="da-DK"/>
        </w:rPr>
      </w:pPr>
      <w:r w:rsidRPr="005316B5">
        <w:rPr>
          <w:sz w:val="24"/>
          <w:szCs w:val="24"/>
          <w:lang w:eastAsia="da-DK"/>
        </w:rPr>
        <w:t>Lægemiddelstyrelsen</w:t>
      </w:r>
    </w:p>
    <w:p w:rsidR="00B52689" w:rsidRPr="005316B5" w:rsidRDefault="00B52689" w:rsidP="00B52689">
      <w:pPr>
        <w:ind w:left="851"/>
        <w:rPr>
          <w:sz w:val="24"/>
          <w:szCs w:val="24"/>
          <w:lang w:eastAsia="da-DK"/>
        </w:rPr>
      </w:pPr>
      <w:r w:rsidRPr="005316B5">
        <w:rPr>
          <w:sz w:val="24"/>
          <w:szCs w:val="24"/>
          <w:lang w:eastAsia="da-DK"/>
        </w:rPr>
        <w:t>Axel Heides Gade 1</w:t>
      </w:r>
    </w:p>
    <w:p w:rsidR="00B52689" w:rsidRPr="005316B5" w:rsidRDefault="00B52689" w:rsidP="00B52689">
      <w:pPr>
        <w:ind w:left="851"/>
        <w:rPr>
          <w:sz w:val="24"/>
          <w:szCs w:val="24"/>
          <w:lang w:eastAsia="da-DK"/>
        </w:rPr>
      </w:pPr>
      <w:r w:rsidRPr="005316B5">
        <w:rPr>
          <w:sz w:val="24"/>
          <w:szCs w:val="24"/>
          <w:lang w:eastAsia="da-DK"/>
        </w:rPr>
        <w:t>DK-2300 København S</w:t>
      </w:r>
    </w:p>
    <w:p w:rsidR="00B52689" w:rsidRPr="00911F8A" w:rsidRDefault="00B52689" w:rsidP="00B52689">
      <w:pPr>
        <w:ind w:left="851"/>
        <w:rPr>
          <w:sz w:val="24"/>
          <w:szCs w:val="24"/>
          <w:lang w:eastAsia="da-DK"/>
        </w:rPr>
      </w:pPr>
      <w:r w:rsidRPr="00911F8A">
        <w:rPr>
          <w:sz w:val="24"/>
          <w:szCs w:val="24"/>
          <w:lang w:eastAsia="da-DK"/>
        </w:rPr>
        <w:t xml:space="preserve">Websted: </w:t>
      </w:r>
      <w:hyperlink r:id="rId8" w:history="1">
        <w:r w:rsidRPr="00911F8A">
          <w:rPr>
            <w:color w:val="0000FF"/>
            <w:sz w:val="24"/>
            <w:szCs w:val="24"/>
            <w:u w:val="single"/>
            <w:lang w:eastAsia="da-DK"/>
          </w:rPr>
          <w:t>www.meldenbivirkning.dk</w:t>
        </w:r>
      </w:hyperlink>
    </w:p>
    <w:p w:rsidR="00B52689" w:rsidRPr="00911F8A" w:rsidRDefault="00B52689" w:rsidP="00B52689">
      <w:pPr>
        <w:pStyle w:val="Sidehoved"/>
        <w:tabs>
          <w:tab w:val="left" w:pos="851"/>
        </w:tabs>
        <w:rPr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4.9</w:t>
      </w:r>
      <w:r w:rsidRPr="005316B5">
        <w:rPr>
          <w:b/>
          <w:sz w:val="24"/>
          <w:szCs w:val="24"/>
        </w:rPr>
        <w:tab/>
        <w:t>Overdosering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Der er ikke rapporteret tilfælde af overdosering.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Tegn og symptomer kan omfatte svimmelhed, hovedpine, hypotension og kramper. Det er blevet påvist, at kramper optræder hyppigere ved øget dosering.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Behandling af overdosering skal være understøttende.</w:t>
      </w:r>
    </w:p>
    <w:p w:rsidR="00B52689" w:rsidRPr="005316B5" w:rsidRDefault="00B52689" w:rsidP="00B52689">
      <w:pPr>
        <w:tabs>
          <w:tab w:val="left" w:pos="851"/>
        </w:tabs>
        <w:ind w:left="851" w:hanging="851"/>
        <w:rPr>
          <w:sz w:val="24"/>
          <w:szCs w:val="24"/>
        </w:rPr>
      </w:pPr>
      <w:r w:rsidRPr="005316B5">
        <w:rPr>
          <w:sz w:val="24"/>
          <w:szCs w:val="24"/>
        </w:rPr>
        <w:tab/>
      </w: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4.10</w:t>
      </w:r>
      <w:r w:rsidRPr="005316B5">
        <w:rPr>
          <w:b/>
          <w:sz w:val="24"/>
          <w:szCs w:val="24"/>
        </w:rPr>
        <w:tab/>
        <w:t>Udlevering</w:t>
      </w:r>
    </w:p>
    <w:p w:rsidR="00B52689" w:rsidRPr="005316B5" w:rsidRDefault="00B52689" w:rsidP="00B52689">
      <w:pPr>
        <w:tabs>
          <w:tab w:val="left" w:pos="851"/>
        </w:tabs>
        <w:ind w:left="851" w:hanging="851"/>
        <w:rPr>
          <w:sz w:val="24"/>
          <w:szCs w:val="24"/>
        </w:rPr>
      </w:pPr>
      <w:r w:rsidRPr="005316B5">
        <w:rPr>
          <w:sz w:val="24"/>
          <w:szCs w:val="24"/>
        </w:rPr>
        <w:tab/>
        <w:t>B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5.</w:t>
      </w:r>
      <w:r w:rsidRPr="005316B5">
        <w:rPr>
          <w:b/>
          <w:sz w:val="24"/>
          <w:szCs w:val="24"/>
        </w:rPr>
        <w:tab/>
        <w:t>FARMAKOLOGISKE EGENSKABER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5.0</w:t>
      </w:r>
      <w:r w:rsidRPr="005316B5">
        <w:rPr>
          <w:b/>
          <w:sz w:val="24"/>
          <w:szCs w:val="24"/>
        </w:rPr>
        <w:tab/>
        <w:t>Terapeutisk klassifikation</w:t>
      </w:r>
    </w:p>
    <w:p w:rsidR="00B52689" w:rsidRPr="005316B5" w:rsidRDefault="00B52689" w:rsidP="00B52689">
      <w:pPr>
        <w:ind w:left="851"/>
        <w:outlineLvl w:val="0"/>
        <w:rPr>
          <w:sz w:val="24"/>
          <w:szCs w:val="24"/>
        </w:rPr>
      </w:pPr>
      <w:r w:rsidRPr="005316B5">
        <w:rPr>
          <w:sz w:val="24"/>
          <w:szCs w:val="24"/>
        </w:rPr>
        <w:t xml:space="preserve">ATC-kode: B 02 AA 02. </w:t>
      </w:r>
      <w:proofErr w:type="spellStart"/>
      <w:r w:rsidRPr="005316B5">
        <w:rPr>
          <w:sz w:val="24"/>
          <w:szCs w:val="24"/>
        </w:rPr>
        <w:t>Hæmostatika</w:t>
      </w:r>
      <w:proofErr w:type="spellEnd"/>
      <w:r w:rsidRPr="005316B5">
        <w:rPr>
          <w:sz w:val="24"/>
          <w:szCs w:val="24"/>
        </w:rPr>
        <w:t xml:space="preserve">, </w:t>
      </w:r>
      <w:proofErr w:type="spellStart"/>
      <w:r w:rsidRPr="005316B5">
        <w:rPr>
          <w:sz w:val="24"/>
          <w:szCs w:val="24"/>
        </w:rPr>
        <w:t>antifibrinolytika</w:t>
      </w:r>
      <w:proofErr w:type="spellEnd"/>
      <w:r w:rsidRPr="005316B5">
        <w:rPr>
          <w:sz w:val="24"/>
          <w:szCs w:val="24"/>
        </w:rPr>
        <w:t>, aminosyrer.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5.1</w:t>
      </w:r>
      <w:r w:rsidRPr="005316B5">
        <w:rPr>
          <w:b/>
          <w:sz w:val="24"/>
          <w:szCs w:val="24"/>
        </w:rPr>
        <w:tab/>
      </w:r>
      <w:proofErr w:type="spellStart"/>
      <w:r w:rsidRPr="005316B5">
        <w:rPr>
          <w:b/>
          <w:sz w:val="24"/>
          <w:szCs w:val="24"/>
        </w:rPr>
        <w:t>Farmakodynamiske</w:t>
      </w:r>
      <w:proofErr w:type="spellEnd"/>
      <w:r w:rsidRPr="005316B5">
        <w:rPr>
          <w:b/>
          <w:sz w:val="24"/>
          <w:szCs w:val="24"/>
        </w:rPr>
        <w:t xml:space="preserve"> egenskaber</w:t>
      </w:r>
    </w:p>
    <w:p w:rsidR="00B52689" w:rsidRPr="005316B5" w:rsidRDefault="00B52689" w:rsidP="0025568D">
      <w:pPr>
        <w:ind w:left="851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udøver en </w:t>
      </w:r>
      <w:proofErr w:type="spellStart"/>
      <w:r w:rsidRPr="005316B5">
        <w:rPr>
          <w:sz w:val="24"/>
          <w:szCs w:val="24"/>
        </w:rPr>
        <w:t>anti-hæmoragisk</w:t>
      </w:r>
      <w:proofErr w:type="spellEnd"/>
      <w:r w:rsidRPr="005316B5">
        <w:rPr>
          <w:sz w:val="24"/>
          <w:szCs w:val="24"/>
        </w:rPr>
        <w:t xml:space="preserve"> virkning ved at hæmme de </w:t>
      </w:r>
      <w:proofErr w:type="spellStart"/>
      <w:r w:rsidRPr="005316B5">
        <w:rPr>
          <w:sz w:val="24"/>
          <w:szCs w:val="24"/>
        </w:rPr>
        <w:t>fibrinolytiske</w:t>
      </w:r>
      <w:proofErr w:type="spellEnd"/>
      <w:r w:rsidRPr="005316B5">
        <w:rPr>
          <w:sz w:val="24"/>
          <w:szCs w:val="24"/>
        </w:rPr>
        <w:t xml:space="preserve"> egenskaber af </w:t>
      </w:r>
      <w:proofErr w:type="spellStart"/>
      <w:r w:rsidRPr="005316B5">
        <w:rPr>
          <w:sz w:val="24"/>
          <w:szCs w:val="24"/>
        </w:rPr>
        <w:t>plasmin</w:t>
      </w:r>
      <w:proofErr w:type="spellEnd"/>
      <w:r w:rsidRPr="005316B5">
        <w:rPr>
          <w:sz w:val="24"/>
          <w:szCs w:val="24"/>
        </w:rPr>
        <w:t>.</w:t>
      </w:r>
    </w:p>
    <w:p w:rsidR="00B52689" w:rsidRPr="005316B5" w:rsidRDefault="00B52689" w:rsidP="0025568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Et kompleks, der involverer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og </w:t>
      </w:r>
      <w:proofErr w:type="spellStart"/>
      <w:r w:rsidRPr="005316B5">
        <w:rPr>
          <w:sz w:val="24"/>
          <w:szCs w:val="24"/>
        </w:rPr>
        <w:t>plasminogen</w:t>
      </w:r>
      <w:proofErr w:type="spellEnd"/>
      <w:r w:rsidRPr="005316B5">
        <w:rPr>
          <w:sz w:val="24"/>
          <w:szCs w:val="24"/>
        </w:rPr>
        <w:t xml:space="preserve">, dannes;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bindes til </w:t>
      </w:r>
      <w:proofErr w:type="spellStart"/>
      <w:r w:rsidRPr="005316B5">
        <w:rPr>
          <w:sz w:val="24"/>
          <w:szCs w:val="24"/>
        </w:rPr>
        <w:t>plasminogen</w:t>
      </w:r>
      <w:proofErr w:type="spellEnd"/>
      <w:r w:rsidRPr="005316B5">
        <w:rPr>
          <w:sz w:val="24"/>
          <w:szCs w:val="24"/>
        </w:rPr>
        <w:t xml:space="preserve">, når det omdannes til </w:t>
      </w:r>
      <w:proofErr w:type="spellStart"/>
      <w:r w:rsidRPr="005316B5">
        <w:rPr>
          <w:sz w:val="24"/>
          <w:szCs w:val="24"/>
        </w:rPr>
        <w:t>plasmin</w:t>
      </w:r>
      <w:proofErr w:type="spellEnd"/>
      <w:r w:rsidRPr="005316B5">
        <w:rPr>
          <w:sz w:val="24"/>
          <w:szCs w:val="24"/>
        </w:rPr>
        <w:t>.</w:t>
      </w:r>
    </w:p>
    <w:p w:rsidR="00B52689" w:rsidRPr="005316B5" w:rsidRDefault="00B52689" w:rsidP="0025568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Aktiviteten af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>-</w:t>
      </w:r>
      <w:proofErr w:type="spellStart"/>
      <w:r w:rsidRPr="005316B5">
        <w:rPr>
          <w:sz w:val="24"/>
          <w:szCs w:val="24"/>
        </w:rPr>
        <w:t>plasmin</w:t>
      </w:r>
      <w:proofErr w:type="spellEnd"/>
      <w:r w:rsidRPr="005316B5">
        <w:rPr>
          <w:sz w:val="24"/>
          <w:szCs w:val="24"/>
        </w:rPr>
        <w:t xml:space="preserve">-komplekset på aktiviteten af </w:t>
      </w:r>
      <w:proofErr w:type="spellStart"/>
      <w:r w:rsidRPr="005316B5">
        <w:rPr>
          <w:sz w:val="24"/>
          <w:szCs w:val="24"/>
        </w:rPr>
        <w:t>fibrin</w:t>
      </w:r>
      <w:proofErr w:type="spellEnd"/>
      <w:r w:rsidRPr="005316B5">
        <w:rPr>
          <w:sz w:val="24"/>
          <w:szCs w:val="24"/>
        </w:rPr>
        <w:t xml:space="preserve"> er lavere end aktiviteten af frit </w:t>
      </w:r>
      <w:proofErr w:type="spellStart"/>
      <w:r w:rsidRPr="005316B5">
        <w:rPr>
          <w:sz w:val="24"/>
          <w:szCs w:val="24"/>
        </w:rPr>
        <w:t>plasmin</w:t>
      </w:r>
      <w:proofErr w:type="spellEnd"/>
      <w:r w:rsidRPr="005316B5">
        <w:rPr>
          <w:sz w:val="24"/>
          <w:szCs w:val="24"/>
        </w:rPr>
        <w:t xml:space="preserve"> alene.</w:t>
      </w:r>
    </w:p>
    <w:p w:rsidR="00B52689" w:rsidRPr="005316B5" w:rsidRDefault="00B52689" w:rsidP="0025568D">
      <w:pPr>
        <w:ind w:left="851"/>
        <w:rPr>
          <w:sz w:val="24"/>
          <w:szCs w:val="24"/>
        </w:rPr>
      </w:pPr>
      <w:r w:rsidRPr="005316B5">
        <w:rPr>
          <w:i/>
          <w:sz w:val="24"/>
          <w:szCs w:val="24"/>
        </w:rPr>
        <w:t xml:space="preserve">In </w:t>
      </w:r>
      <w:proofErr w:type="spellStart"/>
      <w:r w:rsidRPr="005316B5">
        <w:rPr>
          <w:i/>
          <w:sz w:val="24"/>
          <w:szCs w:val="24"/>
        </w:rPr>
        <w:t>vitro</w:t>
      </w:r>
      <w:proofErr w:type="spellEnd"/>
      <w:r w:rsidRPr="005316B5">
        <w:rPr>
          <w:sz w:val="24"/>
          <w:szCs w:val="24"/>
        </w:rPr>
        <w:t xml:space="preserve">-studier viser, at høje </w:t>
      </w:r>
      <w:proofErr w:type="spellStart"/>
      <w:r w:rsidRPr="005316B5">
        <w:rPr>
          <w:sz w:val="24"/>
          <w:szCs w:val="24"/>
        </w:rPr>
        <w:t>tranexamsyredoser</w:t>
      </w:r>
      <w:proofErr w:type="spellEnd"/>
      <w:r w:rsidRPr="005316B5">
        <w:rPr>
          <w:sz w:val="24"/>
          <w:szCs w:val="24"/>
        </w:rPr>
        <w:t xml:space="preserve"> nedsætter komplementaktiviteten.</w:t>
      </w:r>
    </w:p>
    <w:p w:rsidR="00B52689" w:rsidRPr="005316B5" w:rsidRDefault="00B52689" w:rsidP="0025568D">
      <w:pPr>
        <w:ind w:left="851"/>
        <w:rPr>
          <w:sz w:val="24"/>
          <w:szCs w:val="24"/>
        </w:rPr>
      </w:pPr>
    </w:p>
    <w:p w:rsidR="00B52689" w:rsidRPr="005316B5" w:rsidRDefault="00B52689" w:rsidP="0025568D">
      <w:pPr>
        <w:ind w:left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Pædiatrisk population</w:t>
      </w:r>
    </w:p>
    <w:p w:rsidR="00B52689" w:rsidRPr="005316B5" w:rsidRDefault="00B52689" w:rsidP="0025568D">
      <w:pPr>
        <w:ind w:left="851"/>
        <w:rPr>
          <w:sz w:val="24"/>
          <w:szCs w:val="24"/>
          <w:u w:val="single"/>
        </w:rPr>
      </w:pPr>
    </w:p>
    <w:p w:rsidR="00B52689" w:rsidRPr="005316B5" w:rsidRDefault="00B52689" w:rsidP="0025568D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Børn over 1 år</w:t>
      </w:r>
    </w:p>
    <w:p w:rsidR="00B52689" w:rsidRPr="005316B5" w:rsidRDefault="00B52689" w:rsidP="0025568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Ved gennemgang af litteraturen findes 12 studier med børn, der gennemgår hjertekirurgi. 1.073 børn var inkluderet, og heraf fik 631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. De fleste studier var placebokontrollerede. Den undersøgte population var heterogen, hvad angår alder, operationstype og dosering. Studieresultaterne for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tyder på nedsat blodtab og nedsat behov for blodprodukter ved hjertekirurgi på børn under </w:t>
      </w:r>
      <w:proofErr w:type="spellStart"/>
      <w:r w:rsidRPr="005316B5">
        <w:rPr>
          <w:sz w:val="24"/>
          <w:szCs w:val="24"/>
        </w:rPr>
        <w:t>kardiopulmonal</w:t>
      </w:r>
      <w:proofErr w:type="spellEnd"/>
      <w:r w:rsidRPr="005316B5">
        <w:rPr>
          <w:sz w:val="24"/>
          <w:szCs w:val="24"/>
        </w:rPr>
        <w:t xml:space="preserve"> bypass (KPB), hvor der er en høj risiko for blødning, især hos cyanotiske patienter eller hos patienter, der opereres flere gange. Den hyppigst brugte dosering synes at være:</w:t>
      </w:r>
    </w:p>
    <w:p w:rsidR="00B52689" w:rsidRPr="005316B5" w:rsidRDefault="00B52689" w:rsidP="0025568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ab/>
      </w:r>
    </w:p>
    <w:p w:rsidR="00B52689" w:rsidRPr="005316B5" w:rsidRDefault="00B52689" w:rsidP="0025568D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 xml:space="preserve">Første </w:t>
      </w:r>
      <w:proofErr w:type="spellStart"/>
      <w:r w:rsidRPr="005316B5">
        <w:rPr>
          <w:sz w:val="24"/>
          <w:szCs w:val="24"/>
          <w:u w:val="single"/>
        </w:rPr>
        <w:t>bolus</w:t>
      </w:r>
      <w:proofErr w:type="spellEnd"/>
      <w:r w:rsidRPr="005316B5">
        <w:rPr>
          <w:sz w:val="24"/>
          <w:szCs w:val="24"/>
          <w:u w:val="single"/>
        </w:rPr>
        <w:t xml:space="preserve"> på 10 mg/kg efter anæstesiinduktion og før </w:t>
      </w:r>
      <w:proofErr w:type="spellStart"/>
      <w:r w:rsidRPr="005316B5">
        <w:rPr>
          <w:sz w:val="24"/>
          <w:szCs w:val="24"/>
          <w:u w:val="single"/>
        </w:rPr>
        <w:t>incision</w:t>
      </w:r>
      <w:proofErr w:type="spellEnd"/>
      <w:r w:rsidRPr="005316B5">
        <w:rPr>
          <w:sz w:val="24"/>
          <w:szCs w:val="24"/>
          <w:u w:val="single"/>
        </w:rPr>
        <w:t xml:space="preserve"> af huden</w:t>
      </w:r>
    </w:p>
    <w:p w:rsidR="00B52689" w:rsidRPr="005316B5" w:rsidRDefault="00B52689" w:rsidP="0025568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Kontinuerlig infusion af 10 mg/kg/time eller injektion i hjertelungemaskinens primer med en dosis tilpasset KPB-proceduren, enten i henhold til patientens vægt med 10 mg/kg/dosis, eller i henhold til hjertelungemaskinens volumen, sidste injektion på 10 mg/kg ved afslutningen af KPB.</w:t>
      </w:r>
    </w:p>
    <w:p w:rsidR="00B52689" w:rsidRPr="005316B5" w:rsidRDefault="00B52689" w:rsidP="0025568D">
      <w:pPr>
        <w:ind w:left="851"/>
        <w:rPr>
          <w:sz w:val="24"/>
          <w:szCs w:val="24"/>
        </w:rPr>
      </w:pPr>
    </w:p>
    <w:p w:rsidR="00B52689" w:rsidRPr="005316B5" w:rsidRDefault="00B52689" w:rsidP="0025568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Selvom der kun er undersøgt hos meget få patienter, tyder de begrænsede data på, at kontinuerlig infusion er at foretrække, da det vil opretholde en terapeutisk plasmakoncentration under hele operationen.</w:t>
      </w:r>
    </w:p>
    <w:p w:rsidR="00B52689" w:rsidRPr="005316B5" w:rsidRDefault="00B52689" w:rsidP="0025568D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Der er ikke gennemført studier af dosis-virkning eller </w:t>
      </w:r>
      <w:proofErr w:type="spellStart"/>
      <w:r w:rsidRPr="005316B5">
        <w:rPr>
          <w:sz w:val="24"/>
          <w:szCs w:val="24"/>
        </w:rPr>
        <w:t>farmakokinetiske</w:t>
      </w:r>
      <w:proofErr w:type="spellEnd"/>
      <w:r w:rsidRPr="005316B5">
        <w:rPr>
          <w:sz w:val="24"/>
          <w:szCs w:val="24"/>
        </w:rPr>
        <w:t xml:space="preserve"> studier på børn.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5.2</w:t>
      </w:r>
      <w:r w:rsidRPr="005316B5">
        <w:rPr>
          <w:b/>
          <w:sz w:val="24"/>
          <w:szCs w:val="24"/>
        </w:rPr>
        <w:tab/>
      </w:r>
      <w:proofErr w:type="spellStart"/>
      <w:r w:rsidRPr="005316B5">
        <w:rPr>
          <w:b/>
          <w:sz w:val="24"/>
          <w:szCs w:val="24"/>
        </w:rPr>
        <w:t>Farmakokinetiske</w:t>
      </w:r>
      <w:proofErr w:type="spellEnd"/>
      <w:r w:rsidRPr="005316B5">
        <w:rPr>
          <w:b/>
          <w:sz w:val="24"/>
          <w:szCs w:val="24"/>
        </w:rPr>
        <w:t xml:space="preserve"> egenskaber</w:t>
      </w:r>
    </w:p>
    <w:p w:rsidR="00B52689" w:rsidRPr="005316B5" w:rsidRDefault="00B52689" w:rsidP="00B52689">
      <w:pPr>
        <w:ind w:left="851" w:hanging="851"/>
        <w:rPr>
          <w:sz w:val="24"/>
          <w:szCs w:val="24"/>
          <w:u w:val="single"/>
        </w:rPr>
      </w:pP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Absorption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Maksimal plasmakoncentration af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opnås hurtigt efter kortvarig intravenøs infusion, hvorefter plasmakoncentrationen falder på </w:t>
      </w:r>
      <w:proofErr w:type="spellStart"/>
      <w:r w:rsidRPr="005316B5">
        <w:rPr>
          <w:sz w:val="24"/>
          <w:szCs w:val="24"/>
        </w:rPr>
        <w:t>multi</w:t>
      </w:r>
      <w:proofErr w:type="spellEnd"/>
      <w:r w:rsidRPr="005316B5">
        <w:rPr>
          <w:sz w:val="24"/>
          <w:szCs w:val="24"/>
        </w:rPr>
        <w:t>-eksponentiel måde.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Fordeling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Tranexamsyres</w:t>
      </w:r>
      <w:proofErr w:type="spellEnd"/>
      <w:r w:rsidRPr="005316B5">
        <w:rPr>
          <w:sz w:val="24"/>
          <w:szCs w:val="24"/>
        </w:rPr>
        <w:t xml:space="preserve"> binding til plasmaproteiner er ca. 3 % ved terapeutiske plasmaniveauer, og dette synes udelukkende at skyldes binding til </w:t>
      </w:r>
      <w:proofErr w:type="spellStart"/>
      <w:r w:rsidRPr="005316B5">
        <w:rPr>
          <w:sz w:val="24"/>
          <w:szCs w:val="24"/>
        </w:rPr>
        <w:t>plasminogen</w:t>
      </w:r>
      <w:proofErr w:type="spellEnd"/>
      <w:r w:rsidRPr="005316B5">
        <w:rPr>
          <w:sz w:val="24"/>
          <w:szCs w:val="24"/>
        </w:rPr>
        <w:t xml:space="preserve">.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bindes ikke til serumalbumin. Det initiale fordelingsvolumen er ca. 9-12 liter.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passerer placenta. Efter intravenøs injektion af 10 mg/kg til 12 gravide kvinder lå koncentrationen af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i serum i intervallet 10-53 µg/ml, mens den i navlestrengsblod lå mellem 4 og 31 µg/ml.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diffunderer hurtigt ud i </w:t>
      </w:r>
      <w:proofErr w:type="spellStart"/>
      <w:r w:rsidRPr="005316B5">
        <w:rPr>
          <w:sz w:val="24"/>
          <w:szCs w:val="24"/>
        </w:rPr>
        <w:t>ledvæsken</w:t>
      </w:r>
      <w:proofErr w:type="spellEnd"/>
      <w:r w:rsidRPr="005316B5">
        <w:rPr>
          <w:sz w:val="24"/>
          <w:szCs w:val="24"/>
        </w:rPr>
        <w:t xml:space="preserve"> og </w:t>
      </w:r>
      <w:proofErr w:type="spellStart"/>
      <w:r w:rsidRPr="005316B5">
        <w:rPr>
          <w:sz w:val="24"/>
          <w:szCs w:val="24"/>
        </w:rPr>
        <w:t>synovialmembranen</w:t>
      </w:r>
      <w:proofErr w:type="spellEnd"/>
      <w:r w:rsidRPr="005316B5">
        <w:rPr>
          <w:sz w:val="24"/>
          <w:szCs w:val="24"/>
        </w:rPr>
        <w:t xml:space="preserve">. Hos 17 patienter, der gennemgik knæoperation, var koncentrationen i </w:t>
      </w:r>
      <w:proofErr w:type="spellStart"/>
      <w:r w:rsidRPr="005316B5">
        <w:rPr>
          <w:sz w:val="24"/>
          <w:szCs w:val="24"/>
        </w:rPr>
        <w:t>ledvæsken</w:t>
      </w:r>
      <w:proofErr w:type="spellEnd"/>
      <w:r w:rsidRPr="005316B5">
        <w:rPr>
          <w:sz w:val="24"/>
          <w:szCs w:val="24"/>
        </w:rPr>
        <w:t xml:space="preserve"> den samme som i tilsvarende serumprøver, efter en intravenøs injektion på 10 mg/kg. Koncentrationen af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i en række andre væv er lavere end i blodet (i mælk 1/100; i cerebrospinalvæske 1/10; i kammervæske 1/10).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er fundet i sæd, hvor den hæmmer </w:t>
      </w:r>
      <w:proofErr w:type="spellStart"/>
      <w:r w:rsidRPr="005316B5">
        <w:rPr>
          <w:sz w:val="24"/>
          <w:szCs w:val="24"/>
        </w:rPr>
        <w:t>fibrinolytisk</w:t>
      </w:r>
      <w:proofErr w:type="spellEnd"/>
      <w:r w:rsidRPr="005316B5">
        <w:rPr>
          <w:sz w:val="24"/>
          <w:szCs w:val="24"/>
        </w:rPr>
        <w:t xml:space="preserve"> aktivitet, men ikke påvirker spermatozomigration.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Elimination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udskilles overvejende i urinen i </w:t>
      </w:r>
      <w:proofErr w:type="spellStart"/>
      <w:r w:rsidRPr="005316B5">
        <w:rPr>
          <w:sz w:val="24"/>
          <w:szCs w:val="24"/>
        </w:rPr>
        <w:t>uomdannet</w:t>
      </w:r>
      <w:proofErr w:type="spellEnd"/>
      <w:r w:rsidRPr="005316B5">
        <w:rPr>
          <w:sz w:val="24"/>
          <w:szCs w:val="24"/>
        </w:rPr>
        <w:t xml:space="preserve"> form. Urinudskillelse via </w:t>
      </w:r>
      <w:proofErr w:type="spellStart"/>
      <w:r w:rsidRPr="005316B5">
        <w:rPr>
          <w:sz w:val="24"/>
          <w:szCs w:val="24"/>
        </w:rPr>
        <w:t>glomerulær</w:t>
      </w:r>
      <w:proofErr w:type="spellEnd"/>
      <w:r w:rsidRPr="005316B5">
        <w:rPr>
          <w:sz w:val="24"/>
          <w:szCs w:val="24"/>
        </w:rPr>
        <w:t xml:space="preserve"> filtration er den primære eliminationsvej. Den </w:t>
      </w:r>
      <w:proofErr w:type="spellStart"/>
      <w:r w:rsidRPr="005316B5">
        <w:rPr>
          <w:sz w:val="24"/>
          <w:szCs w:val="24"/>
        </w:rPr>
        <w:t>renale</w:t>
      </w:r>
      <w:proofErr w:type="spellEnd"/>
      <w:r w:rsidRPr="005316B5">
        <w:rPr>
          <w:sz w:val="24"/>
          <w:szCs w:val="24"/>
        </w:rPr>
        <w:t xml:space="preserve"> </w:t>
      </w:r>
      <w:proofErr w:type="spellStart"/>
      <w:r w:rsidRPr="005316B5">
        <w:rPr>
          <w:sz w:val="24"/>
          <w:szCs w:val="24"/>
        </w:rPr>
        <w:t>clearance</w:t>
      </w:r>
      <w:proofErr w:type="spellEnd"/>
      <w:r w:rsidRPr="005316B5">
        <w:rPr>
          <w:sz w:val="24"/>
          <w:szCs w:val="24"/>
        </w:rPr>
        <w:t xml:space="preserve"> svarer til plasma-</w:t>
      </w:r>
      <w:proofErr w:type="spellStart"/>
      <w:r w:rsidRPr="005316B5">
        <w:rPr>
          <w:sz w:val="24"/>
          <w:szCs w:val="24"/>
        </w:rPr>
        <w:t>clearance</w:t>
      </w:r>
      <w:proofErr w:type="spellEnd"/>
      <w:r w:rsidRPr="005316B5">
        <w:rPr>
          <w:sz w:val="24"/>
          <w:szCs w:val="24"/>
        </w:rPr>
        <w:t xml:space="preserve"> (110-116 ml/min). Udskillelsen af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er ca. 90 % inden for de første 24 timer efter intravenøs administration af 10 mg/kg. Halveringstiden af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 xml:space="preserve"> er ca. 3 timer.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  <w:u w:val="single"/>
        </w:rPr>
      </w:pPr>
      <w:r w:rsidRPr="005316B5">
        <w:rPr>
          <w:sz w:val="24"/>
          <w:szCs w:val="24"/>
          <w:u w:val="single"/>
        </w:rPr>
        <w:t>Særlige populationer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Plasmakoncentrationen øges hos patienter med nyresvigt.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Der er ikke udført specifikke </w:t>
      </w:r>
      <w:proofErr w:type="spellStart"/>
      <w:r w:rsidRPr="005316B5">
        <w:rPr>
          <w:sz w:val="24"/>
          <w:szCs w:val="24"/>
        </w:rPr>
        <w:t>farmakokinetiske</w:t>
      </w:r>
      <w:proofErr w:type="spellEnd"/>
      <w:r w:rsidRPr="005316B5">
        <w:rPr>
          <w:sz w:val="24"/>
          <w:szCs w:val="24"/>
        </w:rPr>
        <w:t xml:space="preserve"> studier hos børn.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5.3</w:t>
      </w:r>
      <w:r w:rsidRPr="005316B5">
        <w:rPr>
          <w:b/>
          <w:sz w:val="24"/>
          <w:szCs w:val="24"/>
        </w:rPr>
        <w:tab/>
        <w:t>Prækliniske sikkerhedsdata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 xml:space="preserve">Prækliniske data viser ingen speciel risiko for mennesker vurderet ud fra konventionelle studier af sikkerhedsfarmakologi, toksicitet efter gentagne doser, genotoksicitet, </w:t>
      </w:r>
      <w:proofErr w:type="spellStart"/>
      <w:r w:rsidRPr="005316B5">
        <w:rPr>
          <w:sz w:val="24"/>
          <w:szCs w:val="24"/>
        </w:rPr>
        <w:t>karcinogenicitet</w:t>
      </w:r>
      <w:proofErr w:type="spellEnd"/>
      <w:r w:rsidRPr="005316B5">
        <w:rPr>
          <w:sz w:val="24"/>
          <w:szCs w:val="24"/>
        </w:rPr>
        <w:t xml:space="preserve"> samt reproduktionstoksicitet.</w:t>
      </w:r>
    </w:p>
    <w:p w:rsidR="00B52689" w:rsidRPr="005316B5" w:rsidRDefault="00B52689" w:rsidP="00B52689">
      <w:pPr>
        <w:ind w:left="851" w:hanging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</w:rPr>
      </w:pPr>
      <w:proofErr w:type="spellStart"/>
      <w:r w:rsidRPr="005316B5">
        <w:rPr>
          <w:sz w:val="24"/>
          <w:szCs w:val="24"/>
        </w:rPr>
        <w:t>Epileptogen</w:t>
      </w:r>
      <w:proofErr w:type="spellEnd"/>
      <w:r w:rsidRPr="005316B5">
        <w:rPr>
          <w:sz w:val="24"/>
          <w:szCs w:val="24"/>
        </w:rPr>
        <w:t xml:space="preserve"> aktivitet er set hos dyr efter </w:t>
      </w:r>
      <w:proofErr w:type="spellStart"/>
      <w:r w:rsidRPr="005316B5">
        <w:rPr>
          <w:sz w:val="24"/>
          <w:szCs w:val="24"/>
        </w:rPr>
        <w:t>intratekal</w:t>
      </w:r>
      <w:proofErr w:type="spellEnd"/>
      <w:r w:rsidRPr="005316B5">
        <w:rPr>
          <w:sz w:val="24"/>
          <w:szCs w:val="24"/>
        </w:rPr>
        <w:t xml:space="preserve"> administration af </w:t>
      </w:r>
      <w:proofErr w:type="spellStart"/>
      <w:r w:rsidRPr="005316B5">
        <w:rPr>
          <w:sz w:val="24"/>
          <w:szCs w:val="24"/>
        </w:rPr>
        <w:t>tranexamsyre</w:t>
      </w:r>
      <w:proofErr w:type="spellEnd"/>
      <w:r w:rsidRPr="005316B5">
        <w:rPr>
          <w:sz w:val="24"/>
          <w:szCs w:val="24"/>
        </w:rPr>
        <w:t>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6.</w:t>
      </w:r>
      <w:r w:rsidRPr="005316B5">
        <w:rPr>
          <w:b/>
          <w:sz w:val="24"/>
          <w:szCs w:val="24"/>
        </w:rPr>
        <w:tab/>
        <w:t>FARMACEUTISKE OPLYSNINGER</w:t>
      </w:r>
    </w:p>
    <w:p w:rsidR="00B52689" w:rsidRPr="005316B5" w:rsidRDefault="00B52689" w:rsidP="00B52689">
      <w:pPr>
        <w:tabs>
          <w:tab w:val="left" w:pos="851"/>
        </w:tabs>
        <w:rPr>
          <w:b/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6.1</w:t>
      </w:r>
      <w:r w:rsidRPr="005316B5">
        <w:rPr>
          <w:b/>
          <w:sz w:val="24"/>
          <w:szCs w:val="24"/>
        </w:rPr>
        <w:tab/>
        <w:t>Hjælpestoffer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Saltsyre til pH justering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Natriumhydroxid til pH justering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Vand til injektionsvæsker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6.2</w:t>
      </w:r>
      <w:r w:rsidRPr="005316B5">
        <w:rPr>
          <w:b/>
          <w:sz w:val="24"/>
          <w:szCs w:val="24"/>
        </w:rPr>
        <w:tab/>
        <w:t>Uforligeligheder</w:t>
      </w:r>
    </w:p>
    <w:p w:rsidR="00B52689" w:rsidRPr="005316B5" w:rsidRDefault="00B52689" w:rsidP="00B52689">
      <w:pPr>
        <w:tabs>
          <w:tab w:val="left" w:pos="851"/>
        </w:tabs>
        <w:ind w:left="851" w:hanging="851"/>
        <w:rPr>
          <w:sz w:val="24"/>
          <w:szCs w:val="24"/>
        </w:rPr>
      </w:pPr>
      <w:r w:rsidRPr="005316B5">
        <w:rPr>
          <w:sz w:val="24"/>
          <w:szCs w:val="24"/>
        </w:rPr>
        <w:tab/>
      </w:r>
      <w:proofErr w:type="spellStart"/>
      <w:r w:rsidRPr="005316B5">
        <w:rPr>
          <w:sz w:val="24"/>
          <w:szCs w:val="24"/>
        </w:rPr>
        <w:t>Traxidot</w:t>
      </w:r>
      <w:proofErr w:type="spellEnd"/>
      <w:r w:rsidRPr="005316B5">
        <w:rPr>
          <w:sz w:val="24"/>
          <w:szCs w:val="24"/>
        </w:rPr>
        <w:t xml:space="preserve"> injektionsvæske, opløsning må ikke blandes med blod eller infusionsvæsker, der indeholder penicillin, som inaktiveres heraf.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Dette lægemiddel må ikke blandes med andre lægemidler end dem, der er anført under pkt. 6.6.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6.3</w:t>
      </w:r>
      <w:r w:rsidRPr="005316B5">
        <w:rPr>
          <w:b/>
          <w:sz w:val="24"/>
          <w:szCs w:val="24"/>
        </w:rPr>
        <w:tab/>
        <w:t>Opbevaringstid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30 måneder.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6.4</w:t>
      </w:r>
      <w:r w:rsidRPr="005316B5">
        <w:rPr>
          <w:b/>
          <w:sz w:val="24"/>
          <w:szCs w:val="24"/>
        </w:rPr>
        <w:tab/>
        <w:t>Særlige opbevaringsforhold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Ingen særlige opbevaringsbetingelser.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6.5</w:t>
      </w:r>
      <w:r w:rsidRPr="005316B5">
        <w:rPr>
          <w:b/>
          <w:sz w:val="24"/>
          <w:szCs w:val="24"/>
        </w:rPr>
        <w:tab/>
        <w:t>Emballagetyper og pakningsstørrelser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5 ml og 10 ml Type I glasampuller.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Pakningsstørrelser: 1, 5 og 10 stk.</w:t>
      </w:r>
    </w:p>
    <w:p w:rsidR="009D118B" w:rsidRDefault="009D118B" w:rsidP="00B52689">
      <w:pPr>
        <w:ind w:left="851"/>
        <w:rPr>
          <w:sz w:val="24"/>
          <w:szCs w:val="24"/>
        </w:rPr>
      </w:pPr>
    </w:p>
    <w:p w:rsidR="00B52689" w:rsidRPr="005316B5" w:rsidRDefault="00B52689" w:rsidP="00B52689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Ikke alle pakningsstørrelser er nødvendigvis markedsført.</w:t>
      </w:r>
    </w:p>
    <w:p w:rsidR="009D118B" w:rsidRDefault="009D118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6.6</w:t>
      </w:r>
      <w:r w:rsidRPr="005316B5">
        <w:rPr>
          <w:b/>
          <w:sz w:val="24"/>
          <w:szCs w:val="24"/>
        </w:rPr>
        <w:tab/>
        <w:t>Regler for destruktion og anden håndtering</w:t>
      </w:r>
    </w:p>
    <w:p w:rsidR="00B52689" w:rsidRPr="005316B5" w:rsidRDefault="00B52689" w:rsidP="00B52689">
      <w:pPr>
        <w:ind w:left="851"/>
        <w:rPr>
          <w:sz w:val="24"/>
          <w:szCs w:val="24"/>
        </w:rPr>
      </w:pPr>
    </w:p>
    <w:p w:rsidR="00B52689" w:rsidRPr="005316B5" w:rsidRDefault="00B52689" w:rsidP="00E701EF">
      <w:pPr>
        <w:ind w:left="851"/>
        <w:rPr>
          <w:sz w:val="24"/>
          <w:szCs w:val="24"/>
        </w:rPr>
      </w:pPr>
      <w:proofErr w:type="spellStart"/>
      <w:r w:rsidRPr="005316B5">
        <w:rPr>
          <w:sz w:val="24"/>
          <w:szCs w:val="24"/>
          <w:u w:val="single"/>
        </w:rPr>
        <w:t>Traxidot</w:t>
      </w:r>
      <w:proofErr w:type="spellEnd"/>
      <w:r w:rsidRPr="005316B5">
        <w:rPr>
          <w:sz w:val="24"/>
          <w:szCs w:val="24"/>
          <w:u w:val="single"/>
        </w:rPr>
        <w:t xml:space="preserve"> kan blandes med følgende infusionsvæsker</w:t>
      </w:r>
      <w:r w:rsidRPr="005316B5">
        <w:rPr>
          <w:sz w:val="24"/>
          <w:szCs w:val="24"/>
        </w:rPr>
        <w:br/>
        <w:t xml:space="preserve">Elektrolytopløsninger, kulhydratopløsninger, aminosyreopløsninger og </w:t>
      </w:r>
      <w:proofErr w:type="spellStart"/>
      <w:r w:rsidRPr="005316B5">
        <w:rPr>
          <w:sz w:val="24"/>
          <w:szCs w:val="24"/>
        </w:rPr>
        <w:t>dextranop</w:t>
      </w:r>
      <w:r w:rsidRPr="005316B5">
        <w:rPr>
          <w:sz w:val="24"/>
          <w:szCs w:val="24"/>
        </w:rPr>
        <w:softHyphen/>
        <w:t>løsninger</w:t>
      </w:r>
      <w:proofErr w:type="spellEnd"/>
      <w:r w:rsidRPr="005316B5">
        <w:rPr>
          <w:sz w:val="24"/>
          <w:szCs w:val="24"/>
        </w:rPr>
        <w:t xml:space="preserve">. </w:t>
      </w:r>
      <w:proofErr w:type="spellStart"/>
      <w:r w:rsidRPr="005316B5">
        <w:rPr>
          <w:sz w:val="24"/>
          <w:szCs w:val="24"/>
        </w:rPr>
        <w:t>Traxidot</w:t>
      </w:r>
      <w:proofErr w:type="spellEnd"/>
      <w:r w:rsidRPr="005316B5">
        <w:rPr>
          <w:sz w:val="24"/>
          <w:szCs w:val="24"/>
        </w:rPr>
        <w:t xml:space="preserve"> injektionsvæske kan endvidere blandes med </w:t>
      </w:r>
      <w:proofErr w:type="spellStart"/>
      <w:r w:rsidRPr="005316B5">
        <w:rPr>
          <w:sz w:val="24"/>
          <w:szCs w:val="24"/>
        </w:rPr>
        <w:t>heparin</w:t>
      </w:r>
      <w:proofErr w:type="spellEnd"/>
      <w:r w:rsidRPr="005316B5">
        <w:rPr>
          <w:sz w:val="24"/>
          <w:szCs w:val="24"/>
        </w:rPr>
        <w:t>.</w:t>
      </w:r>
    </w:p>
    <w:p w:rsidR="00B52689" w:rsidRPr="005316B5" w:rsidRDefault="00B52689" w:rsidP="00E701EF">
      <w:pPr>
        <w:ind w:left="851" w:hanging="851"/>
        <w:rPr>
          <w:sz w:val="24"/>
          <w:szCs w:val="24"/>
        </w:rPr>
      </w:pPr>
    </w:p>
    <w:p w:rsidR="00B52689" w:rsidRPr="005316B5" w:rsidRDefault="00B52689" w:rsidP="00E701EF">
      <w:pPr>
        <w:ind w:left="851"/>
        <w:rPr>
          <w:sz w:val="24"/>
          <w:szCs w:val="24"/>
        </w:rPr>
      </w:pPr>
      <w:r w:rsidRPr="005316B5">
        <w:rPr>
          <w:sz w:val="24"/>
          <w:szCs w:val="24"/>
        </w:rPr>
        <w:t>Ikke anvendt lægemiddel samt affald heraf skal bortskaffes i henhold til lokale retningslinjer.</w:t>
      </w:r>
    </w:p>
    <w:p w:rsidR="00B52689" w:rsidRPr="005316B5" w:rsidRDefault="00B52689" w:rsidP="00E701EF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7.</w:t>
      </w:r>
      <w:r w:rsidRPr="005316B5">
        <w:rPr>
          <w:b/>
          <w:sz w:val="24"/>
          <w:szCs w:val="24"/>
        </w:rPr>
        <w:tab/>
        <w:t>INDEHAVER AF MARKEDSFØRINGSTILLADELSEN</w:t>
      </w:r>
    </w:p>
    <w:p w:rsidR="00B52689" w:rsidRPr="005316B5" w:rsidRDefault="00B52689" w:rsidP="00B52689">
      <w:pPr>
        <w:suppressAutoHyphens/>
        <w:ind w:left="851"/>
        <w:jc w:val="both"/>
        <w:rPr>
          <w:spacing w:val="-2"/>
          <w:sz w:val="24"/>
          <w:szCs w:val="24"/>
        </w:rPr>
      </w:pPr>
      <w:proofErr w:type="spellStart"/>
      <w:r w:rsidRPr="005316B5">
        <w:rPr>
          <w:spacing w:val="-2"/>
          <w:sz w:val="24"/>
          <w:szCs w:val="24"/>
        </w:rPr>
        <w:t>Neogen</w:t>
      </w:r>
      <w:proofErr w:type="spellEnd"/>
      <w:r w:rsidRPr="005316B5">
        <w:rPr>
          <w:spacing w:val="-2"/>
          <w:sz w:val="24"/>
          <w:szCs w:val="24"/>
        </w:rPr>
        <w:t xml:space="preserve"> N.V.</w:t>
      </w:r>
    </w:p>
    <w:p w:rsidR="00B52689" w:rsidRPr="005316B5" w:rsidRDefault="00B52689" w:rsidP="00B52689">
      <w:pPr>
        <w:tabs>
          <w:tab w:val="left" w:pos="4470"/>
        </w:tabs>
        <w:suppressAutoHyphens/>
        <w:ind w:firstLine="851"/>
        <w:jc w:val="both"/>
        <w:rPr>
          <w:spacing w:val="-2"/>
          <w:sz w:val="24"/>
          <w:szCs w:val="24"/>
        </w:rPr>
      </w:pPr>
      <w:r w:rsidRPr="005316B5">
        <w:rPr>
          <w:spacing w:val="-2"/>
          <w:sz w:val="24"/>
          <w:szCs w:val="24"/>
        </w:rPr>
        <w:t>50, Marie Curie Square</w:t>
      </w:r>
    </w:p>
    <w:p w:rsidR="00B52689" w:rsidRPr="005316B5" w:rsidRDefault="00B52689" w:rsidP="00B52689">
      <w:pPr>
        <w:suppressAutoHyphens/>
        <w:ind w:firstLine="851"/>
        <w:jc w:val="both"/>
        <w:rPr>
          <w:spacing w:val="-2"/>
          <w:sz w:val="24"/>
          <w:szCs w:val="24"/>
        </w:rPr>
      </w:pPr>
      <w:r w:rsidRPr="005316B5">
        <w:rPr>
          <w:spacing w:val="-2"/>
          <w:sz w:val="24"/>
          <w:szCs w:val="24"/>
        </w:rPr>
        <w:t>1070 Anderlecht</w:t>
      </w:r>
    </w:p>
    <w:p w:rsidR="00B52689" w:rsidRPr="005316B5" w:rsidRDefault="00B52689" w:rsidP="00B52689">
      <w:pPr>
        <w:suppressAutoHyphens/>
        <w:ind w:firstLine="851"/>
        <w:jc w:val="both"/>
        <w:rPr>
          <w:spacing w:val="-2"/>
          <w:sz w:val="24"/>
          <w:szCs w:val="24"/>
        </w:rPr>
      </w:pPr>
      <w:r w:rsidRPr="005316B5">
        <w:rPr>
          <w:spacing w:val="-2"/>
          <w:sz w:val="24"/>
          <w:szCs w:val="24"/>
        </w:rPr>
        <w:t>Belgien</w:t>
      </w:r>
    </w:p>
    <w:p w:rsidR="00B52689" w:rsidRPr="005316B5" w:rsidRDefault="00B52689" w:rsidP="00B52689">
      <w:pPr>
        <w:tabs>
          <w:tab w:val="left" w:pos="851"/>
        </w:tabs>
        <w:ind w:left="851" w:hanging="851"/>
        <w:rPr>
          <w:sz w:val="24"/>
          <w:szCs w:val="24"/>
        </w:rPr>
      </w:pPr>
      <w:r w:rsidRPr="005316B5">
        <w:rPr>
          <w:sz w:val="24"/>
          <w:szCs w:val="24"/>
        </w:rPr>
        <w:tab/>
      </w: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8.</w:t>
      </w:r>
      <w:r w:rsidRPr="005316B5">
        <w:rPr>
          <w:b/>
          <w:sz w:val="24"/>
          <w:szCs w:val="24"/>
        </w:rPr>
        <w:tab/>
        <w:t>MARKEDSFØRINGSTILLADELSESNUMMER (NUMRE)</w:t>
      </w:r>
    </w:p>
    <w:p w:rsidR="00B52689" w:rsidRPr="005316B5" w:rsidRDefault="00B52689" w:rsidP="00B52689">
      <w:pPr>
        <w:tabs>
          <w:tab w:val="left" w:pos="851"/>
        </w:tabs>
        <w:ind w:left="851" w:hanging="851"/>
        <w:rPr>
          <w:sz w:val="24"/>
          <w:szCs w:val="24"/>
        </w:rPr>
      </w:pPr>
      <w:r w:rsidRPr="005316B5">
        <w:rPr>
          <w:sz w:val="24"/>
          <w:szCs w:val="24"/>
        </w:rPr>
        <w:tab/>
        <w:t>55385</w:t>
      </w:r>
    </w:p>
    <w:p w:rsidR="00B52689" w:rsidRPr="005316B5" w:rsidRDefault="00B52689" w:rsidP="00B52689">
      <w:pPr>
        <w:tabs>
          <w:tab w:val="left" w:pos="851"/>
        </w:tabs>
        <w:jc w:val="both"/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9.</w:t>
      </w:r>
      <w:r w:rsidRPr="005316B5">
        <w:rPr>
          <w:b/>
          <w:sz w:val="24"/>
          <w:szCs w:val="24"/>
        </w:rPr>
        <w:tab/>
        <w:t>DATO FOR FØRSTE MARKEDSFØRINGSTILLADELSE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  <w:r w:rsidRPr="005316B5">
        <w:rPr>
          <w:sz w:val="24"/>
          <w:szCs w:val="24"/>
        </w:rPr>
        <w:tab/>
        <w:t>13. marts 2015</w:t>
      </w:r>
    </w:p>
    <w:p w:rsidR="00B52689" w:rsidRPr="005316B5" w:rsidRDefault="00B52689" w:rsidP="00B52689">
      <w:pPr>
        <w:tabs>
          <w:tab w:val="left" w:pos="851"/>
        </w:tabs>
        <w:rPr>
          <w:sz w:val="24"/>
          <w:szCs w:val="24"/>
        </w:rPr>
      </w:pPr>
    </w:p>
    <w:p w:rsidR="00B52689" w:rsidRPr="005316B5" w:rsidRDefault="00B52689" w:rsidP="00B52689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5316B5">
        <w:rPr>
          <w:b/>
          <w:sz w:val="24"/>
          <w:szCs w:val="24"/>
        </w:rPr>
        <w:t>10.</w:t>
      </w:r>
      <w:r w:rsidRPr="005316B5">
        <w:rPr>
          <w:b/>
          <w:sz w:val="24"/>
          <w:szCs w:val="24"/>
        </w:rPr>
        <w:tab/>
        <w:t>DATO FOR ÆNDRING AF TEKSTEN</w:t>
      </w:r>
    </w:p>
    <w:p w:rsidR="009260DE" w:rsidRPr="005316B5" w:rsidRDefault="00B52689" w:rsidP="0025568D">
      <w:pPr>
        <w:tabs>
          <w:tab w:val="left" w:pos="851"/>
        </w:tabs>
        <w:rPr>
          <w:sz w:val="24"/>
          <w:szCs w:val="24"/>
        </w:rPr>
      </w:pPr>
      <w:r w:rsidRPr="005316B5">
        <w:rPr>
          <w:sz w:val="24"/>
          <w:szCs w:val="24"/>
        </w:rPr>
        <w:tab/>
      </w:r>
      <w:r w:rsidR="0025568D" w:rsidRPr="005316B5">
        <w:rPr>
          <w:sz w:val="24"/>
          <w:szCs w:val="24"/>
        </w:rPr>
        <w:t>1</w:t>
      </w:r>
      <w:r w:rsidR="005D2387">
        <w:rPr>
          <w:sz w:val="24"/>
          <w:szCs w:val="24"/>
        </w:rPr>
        <w:t>7</w:t>
      </w:r>
      <w:r w:rsidR="0025568D" w:rsidRPr="005316B5">
        <w:rPr>
          <w:sz w:val="24"/>
          <w:szCs w:val="24"/>
        </w:rPr>
        <w:t>. marts 2022</w:t>
      </w:r>
    </w:p>
    <w:sectPr w:rsidR="009260DE" w:rsidRPr="005316B5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689" w:rsidRDefault="00B52689">
      <w:r>
        <w:separator/>
      </w:r>
    </w:p>
  </w:endnote>
  <w:endnote w:type="continuationSeparator" w:id="0">
    <w:p w:rsidR="00B52689" w:rsidRDefault="00B52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E11CF9">
      <w:rPr>
        <w:i/>
        <w:noProof/>
        <w:sz w:val="18"/>
        <w:szCs w:val="18"/>
      </w:rPr>
      <w:t>Traxidot, injektionsvæske, opløsning 100 mg-ml.docx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689" w:rsidRDefault="00B52689">
      <w:r>
        <w:separator/>
      </w:r>
    </w:p>
  </w:footnote>
  <w:footnote w:type="continuationSeparator" w:id="0">
    <w:p w:rsidR="00B52689" w:rsidRDefault="00B52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1822"/>
    <w:multiLevelType w:val="hybridMultilevel"/>
    <w:tmpl w:val="E6807132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F06F30"/>
    <w:multiLevelType w:val="hybridMultilevel"/>
    <w:tmpl w:val="E9866BFE"/>
    <w:lvl w:ilvl="0" w:tplc="B7DA9FF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62787"/>
    <w:multiLevelType w:val="multilevel"/>
    <w:tmpl w:val="27345C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3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4DE0945"/>
    <w:multiLevelType w:val="hybridMultilevel"/>
    <w:tmpl w:val="B3C4E74A"/>
    <w:lvl w:ilvl="0" w:tplc="B7DA9FF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357D4568"/>
    <w:multiLevelType w:val="hybridMultilevel"/>
    <w:tmpl w:val="BBD0B25E"/>
    <w:lvl w:ilvl="0" w:tplc="B7DA9FF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8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40B700EF"/>
    <w:multiLevelType w:val="multilevel"/>
    <w:tmpl w:val="0CAA528A"/>
    <w:lvl w:ilvl="0">
      <w:start w:val="1"/>
      <w:numFmt w:val="bullet"/>
      <w:lvlText w:val="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cs="Times New Roman" w:hint="default"/>
        <w:u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cs="Times New Roman" w:hint="default"/>
        <w:u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cs="Times New Roman" w:hint="default"/>
        <w:u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u w:val="none"/>
      </w:rPr>
    </w:lvl>
  </w:abstractNum>
  <w:abstractNum w:abstractNumId="10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89"/>
    <w:rsid w:val="000259B9"/>
    <w:rsid w:val="00041491"/>
    <w:rsid w:val="00050D16"/>
    <w:rsid w:val="00071B39"/>
    <w:rsid w:val="00074F2A"/>
    <w:rsid w:val="000A1CA8"/>
    <w:rsid w:val="000A466B"/>
    <w:rsid w:val="000B058C"/>
    <w:rsid w:val="000E4EE6"/>
    <w:rsid w:val="001454E2"/>
    <w:rsid w:val="00206CE8"/>
    <w:rsid w:val="0021526C"/>
    <w:rsid w:val="0025568D"/>
    <w:rsid w:val="00283A2B"/>
    <w:rsid w:val="002B30AD"/>
    <w:rsid w:val="002C2C01"/>
    <w:rsid w:val="003A29AE"/>
    <w:rsid w:val="003A32D7"/>
    <w:rsid w:val="003B4074"/>
    <w:rsid w:val="003C769A"/>
    <w:rsid w:val="003F1838"/>
    <w:rsid w:val="003F5B6D"/>
    <w:rsid w:val="0045746C"/>
    <w:rsid w:val="0049104B"/>
    <w:rsid w:val="004E3B12"/>
    <w:rsid w:val="005316B5"/>
    <w:rsid w:val="00532310"/>
    <w:rsid w:val="00560ECC"/>
    <w:rsid w:val="00565F0F"/>
    <w:rsid w:val="00594A86"/>
    <w:rsid w:val="00596D86"/>
    <w:rsid w:val="005D2387"/>
    <w:rsid w:val="00637F5A"/>
    <w:rsid w:val="00641D1E"/>
    <w:rsid w:val="006560B1"/>
    <w:rsid w:val="006756DD"/>
    <w:rsid w:val="006A0202"/>
    <w:rsid w:val="00737275"/>
    <w:rsid w:val="00740EEC"/>
    <w:rsid w:val="0078011A"/>
    <w:rsid w:val="00782AF4"/>
    <w:rsid w:val="00790EE7"/>
    <w:rsid w:val="007B6649"/>
    <w:rsid w:val="0081546F"/>
    <w:rsid w:val="0082576E"/>
    <w:rsid w:val="008F0BB1"/>
    <w:rsid w:val="00907F75"/>
    <w:rsid w:val="00911F8A"/>
    <w:rsid w:val="009260DE"/>
    <w:rsid w:val="0093258A"/>
    <w:rsid w:val="009354E8"/>
    <w:rsid w:val="009C7BA3"/>
    <w:rsid w:val="009D118B"/>
    <w:rsid w:val="009D1F5A"/>
    <w:rsid w:val="00B003BF"/>
    <w:rsid w:val="00B060E4"/>
    <w:rsid w:val="00B373D7"/>
    <w:rsid w:val="00B52689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11CF9"/>
    <w:rsid w:val="00E31812"/>
    <w:rsid w:val="00E3327C"/>
    <w:rsid w:val="00E3749A"/>
    <w:rsid w:val="00E701EF"/>
    <w:rsid w:val="00E7437F"/>
    <w:rsid w:val="00E865B8"/>
    <w:rsid w:val="00EA0D81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65E23A"/>
  <w15:chartTrackingRefBased/>
  <w15:docId w15:val="{187590DB-F09C-48C8-8CC8-EB183AD1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24</TotalTime>
  <Pages>8</Pages>
  <Words>1963</Words>
  <Characters>13130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2021113066, var. 11, pkt. 2</dc:description>
  <cp:lastModifiedBy>Gitte Jørgensen</cp:lastModifiedBy>
  <cp:revision>7</cp:revision>
  <cp:lastPrinted>2022-03-16T12:53:00Z</cp:lastPrinted>
  <dcterms:created xsi:type="dcterms:W3CDTF">2022-03-16T12:39:00Z</dcterms:created>
  <dcterms:modified xsi:type="dcterms:W3CDTF">2022-03-17T08:26:00Z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