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C32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EC2389C" wp14:editId="1C0274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351CE95" w14:textId="77777777" w:rsidR="009260DE" w:rsidRPr="00C84483" w:rsidRDefault="009260DE" w:rsidP="009260DE">
      <w:pPr>
        <w:pStyle w:val="Titel"/>
        <w:tabs>
          <w:tab w:val="right" w:pos="9356"/>
        </w:tabs>
        <w:jc w:val="left"/>
        <w:rPr>
          <w:b w:val="0"/>
          <w:szCs w:val="24"/>
          <w:lang w:eastAsia="en-US"/>
        </w:rPr>
      </w:pPr>
    </w:p>
    <w:p w14:paraId="246F252A" w14:textId="0CA666A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540AD">
        <w:rPr>
          <w:szCs w:val="24"/>
        </w:rPr>
        <w:t>2. september 2024</w:t>
      </w:r>
    </w:p>
    <w:p w14:paraId="56F1799F" w14:textId="77777777" w:rsidR="009260DE" w:rsidRPr="00C84483" w:rsidRDefault="009260DE" w:rsidP="009260DE">
      <w:pPr>
        <w:pStyle w:val="Titel"/>
        <w:tabs>
          <w:tab w:val="left" w:pos="8222"/>
        </w:tabs>
        <w:jc w:val="left"/>
        <w:rPr>
          <w:b w:val="0"/>
          <w:szCs w:val="24"/>
        </w:rPr>
      </w:pPr>
    </w:p>
    <w:p w14:paraId="08D3BFE7" w14:textId="77777777" w:rsidR="009260DE" w:rsidRPr="00C84483" w:rsidRDefault="009260DE" w:rsidP="009260DE">
      <w:pPr>
        <w:pStyle w:val="Titel"/>
        <w:jc w:val="left"/>
        <w:rPr>
          <w:b w:val="0"/>
          <w:szCs w:val="24"/>
        </w:rPr>
      </w:pPr>
    </w:p>
    <w:p w14:paraId="3E75AD0D" w14:textId="77777777" w:rsidR="009260DE" w:rsidRPr="00C84483" w:rsidRDefault="009260DE" w:rsidP="009260DE">
      <w:pPr>
        <w:pStyle w:val="Titel"/>
        <w:jc w:val="left"/>
        <w:rPr>
          <w:b w:val="0"/>
          <w:szCs w:val="24"/>
        </w:rPr>
      </w:pPr>
    </w:p>
    <w:p w14:paraId="437CA50A" w14:textId="77777777" w:rsidR="009260DE" w:rsidRPr="00C84483" w:rsidRDefault="009260DE" w:rsidP="009260DE">
      <w:pPr>
        <w:jc w:val="center"/>
        <w:rPr>
          <w:b/>
          <w:sz w:val="24"/>
          <w:szCs w:val="24"/>
        </w:rPr>
      </w:pPr>
      <w:r w:rsidRPr="00C84483">
        <w:rPr>
          <w:b/>
          <w:sz w:val="24"/>
          <w:szCs w:val="24"/>
        </w:rPr>
        <w:t>PRODUKTRESUMÉ</w:t>
      </w:r>
    </w:p>
    <w:p w14:paraId="1FD437E4" w14:textId="77777777" w:rsidR="009260DE" w:rsidRPr="00C84483" w:rsidRDefault="009260DE" w:rsidP="009260DE">
      <w:pPr>
        <w:jc w:val="center"/>
        <w:rPr>
          <w:b/>
          <w:sz w:val="24"/>
          <w:szCs w:val="24"/>
        </w:rPr>
      </w:pPr>
    </w:p>
    <w:p w14:paraId="2B70F5B4" w14:textId="77777777" w:rsidR="009260DE" w:rsidRDefault="009260DE" w:rsidP="009260DE">
      <w:pPr>
        <w:jc w:val="center"/>
        <w:rPr>
          <w:b/>
          <w:sz w:val="24"/>
          <w:szCs w:val="24"/>
        </w:rPr>
      </w:pPr>
      <w:r w:rsidRPr="00C84483">
        <w:rPr>
          <w:b/>
          <w:sz w:val="24"/>
          <w:szCs w:val="24"/>
        </w:rPr>
        <w:t>for</w:t>
      </w:r>
    </w:p>
    <w:p w14:paraId="278EC5FF" w14:textId="77777777" w:rsidR="000B058C" w:rsidRPr="00C84483" w:rsidRDefault="000B058C" w:rsidP="009260DE">
      <w:pPr>
        <w:jc w:val="center"/>
        <w:rPr>
          <w:b/>
          <w:sz w:val="24"/>
          <w:szCs w:val="24"/>
        </w:rPr>
      </w:pPr>
    </w:p>
    <w:p w14:paraId="2B4E85AE" w14:textId="6BE389FA" w:rsidR="009260DE" w:rsidRPr="00C84483" w:rsidRDefault="000E38E9" w:rsidP="009260DE">
      <w:pPr>
        <w:jc w:val="center"/>
        <w:rPr>
          <w:b/>
          <w:sz w:val="24"/>
          <w:szCs w:val="24"/>
        </w:rPr>
      </w:pPr>
      <w:r>
        <w:rPr>
          <w:b/>
          <w:sz w:val="24"/>
          <w:szCs w:val="24"/>
        </w:rPr>
        <w:t>T</w:t>
      </w:r>
      <w:r w:rsidR="00600932">
        <w:rPr>
          <w:b/>
          <w:sz w:val="24"/>
          <w:szCs w:val="24"/>
        </w:rPr>
        <w:t>r</w:t>
      </w:r>
      <w:r>
        <w:rPr>
          <w:b/>
          <w:sz w:val="24"/>
          <w:szCs w:val="24"/>
        </w:rPr>
        <w:t>evicopto, øjendråber, opløsning i enkeltdosisbeholder</w:t>
      </w:r>
    </w:p>
    <w:p w14:paraId="7E6B26F8" w14:textId="77777777" w:rsidR="009260DE" w:rsidRPr="00C84483" w:rsidRDefault="009260DE" w:rsidP="009260DE">
      <w:pPr>
        <w:jc w:val="both"/>
        <w:rPr>
          <w:sz w:val="24"/>
          <w:szCs w:val="24"/>
        </w:rPr>
      </w:pPr>
    </w:p>
    <w:p w14:paraId="6FC2F239" w14:textId="77777777" w:rsidR="009260DE" w:rsidRPr="00C84483" w:rsidRDefault="009260DE" w:rsidP="009260DE">
      <w:pPr>
        <w:jc w:val="both"/>
        <w:rPr>
          <w:sz w:val="24"/>
          <w:szCs w:val="24"/>
        </w:rPr>
      </w:pPr>
    </w:p>
    <w:p w14:paraId="24D377E9"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FABDB37" w14:textId="51F12D75" w:rsidR="009260DE" w:rsidRPr="00C84483" w:rsidRDefault="00043B74" w:rsidP="009260DE">
      <w:pPr>
        <w:tabs>
          <w:tab w:val="left" w:pos="851"/>
        </w:tabs>
        <w:ind w:left="851"/>
        <w:rPr>
          <w:sz w:val="24"/>
          <w:szCs w:val="24"/>
        </w:rPr>
      </w:pPr>
      <w:r>
        <w:rPr>
          <w:sz w:val="24"/>
          <w:szCs w:val="24"/>
        </w:rPr>
        <w:t>33331</w:t>
      </w:r>
    </w:p>
    <w:p w14:paraId="5F05C850" w14:textId="77777777" w:rsidR="009260DE" w:rsidRPr="00C84483" w:rsidRDefault="009260DE" w:rsidP="009260DE">
      <w:pPr>
        <w:tabs>
          <w:tab w:val="left" w:pos="851"/>
        </w:tabs>
        <w:ind w:left="851"/>
        <w:rPr>
          <w:sz w:val="24"/>
          <w:szCs w:val="24"/>
        </w:rPr>
      </w:pPr>
    </w:p>
    <w:p w14:paraId="7BE27E2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B0E76E2" w14:textId="10BD8B4A" w:rsidR="009260DE" w:rsidRPr="00C84483" w:rsidRDefault="00043B74" w:rsidP="009260DE">
      <w:pPr>
        <w:tabs>
          <w:tab w:val="left" w:pos="851"/>
        </w:tabs>
        <w:ind w:left="851"/>
        <w:rPr>
          <w:sz w:val="24"/>
          <w:szCs w:val="24"/>
        </w:rPr>
      </w:pPr>
      <w:r>
        <w:rPr>
          <w:sz w:val="24"/>
          <w:szCs w:val="24"/>
        </w:rPr>
        <w:t>Trevicopto</w:t>
      </w:r>
    </w:p>
    <w:p w14:paraId="34F39857" w14:textId="77777777" w:rsidR="009260DE" w:rsidRPr="00C84483" w:rsidRDefault="009260DE" w:rsidP="009260DE">
      <w:pPr>
        <w:tabs>
          <w:tab w:val="left" w:pos="851"/>
        </w:tabs>
        <w:ind w:left="851"/>
        <w:rPr>
          <w:sz w:val="24"/>
          <w:szCs w:val="24"/>
        </w:rPr>
      </w:pPr>
    </w:p>
    <w:p w14:paraId="00280C1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A17472C" w14:textId="77777777" w:rsidR="00043B74" w:rsidRPr="00043B74" w:rsidRDefault="00043B74" w:rsidP="00043B74">
      <w:pPr>
        <w:tabs>
          <w:tab w:val="left" w:pos="851"/>
        </w:tabs>
        <w:ind w:left="851"/>
        <w:rPr>
          <w:sz w:val="24"/>
          <w:szCs w:val="24"/>
        </w:rPr>
      </w:pPr>
      <w:r w:rsidRPr="00043B74">
        <w:rPr>
          <w:sz w:val="24"/>
          <w:szCs w:val="24"/>
          <w:lang w:bidi="da-DK"/>
        </w:rPr>
        <w:t>Hver ml (32 dråber) øjendråber, opløsning indeholder 40 mikrogram travoprost (svarende til 1,25 mikrogram pr. dråbe).</w:t>
      </w:r>
    </w:p>
    <w:p w14:paraId="7A12448A" w14:textId="77777777" w:rsidR="00043B74" w:rsidRPr="00043B74" w:rsidRDefault="00043B74" w:rsidP="00043B74">
      <w:pPr>
        <w:tabs>
          <w:tab w:val="left" w:pos="851"/>
        </w:tabs>
        <w:ind w:left="851"/>
        <w:rPr>
          <w:sz w:val="24"/>
          <w:szCs w:val="24"/>
        </w:rPr>
      </w:pPr>
    </w:p>
    <w:p w14:paraId="29DC4F01" w14:textId="77777777" w:rsidR="00043B74" w:rsidRPr="00043B74" w:rsidRDefault="00043B74" w:rsidP="00043B74">
      <w:pPr>
        <w:tabs>
          <w:tab w:val="left" w:pos="851"/>
        </w:tabs>
        <w:ind w:left="851"/>
        <w:rPr>
          <w:sz w:val="24"/>
          <w:szCs w:val="24"/>
        </w:rPr>
      </w:pPr>
      <w:r w:rsidRPr="00043B74">
        <w:rPr>
          <w:sz w:val="24"/>
          <w:szCs w:val="24"/>
          <w:lang w:bidi="da-DK"/>
        </w:rPr>
        <w:t>Alle hjælpestoffer er anført under pkt. 6.1.</w:t>
      </w:r>
    </w:p>
    <w:p w14:paraId="774077CB" w14:textId="77777777" w:rsidR="009260DE" w:rsidRPr="00C84483" w:rsidRDefault="009260DE" w:rsidP="009260DE">
      <w:pPr>
        <w:tabs>
          <w:tab w:val="left" w:pos="851"/>
        </w:tabs>
        <w:ind w:left="851"/>
        <w:rPr>
          <w:sz w:val="24"/>
          <w:szCs w:val="24"/>
        </w:rPr>
      </w:pPr>
    </w:p>
    <w:p w14:paraId="7F40A9A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500068E" w14:textId="27F8193F" w:rsidR="00043B74" w:rsidRDefault="00043B74" w:rsidP="00043B74">
      <w:pPr>
        <w:tabs>
          <w:tab w:val="left" w:pos="851"/>
        </w:tabs>
        <w:ind w:left="851"/>
        <w:rPr>
          <w:sz w:val="24"/>
          <w:szCs w:val="24"/>
          <w:lang w:bidi="da-DK"/>
        </w:rPr>
      </w:pPr>
      <w:r w:rsidRPr="00043B74">
        <w:rPr>
          <w:sz w:val="24"/>
          <w:szCs w:val="24"/>
          <w:lang w:bidi="da-DK"/>
        </w:rPr>
        <w:t>Øjendråber, opløsning, i enkeltdosisbeholder</w:t>
      </w:r>
    </w:p>
    <w:p w14:paraId="73ED3C48" w14:textId="77777777" w:rsidR="00043B74" w:rsidRPr="00043B74" w:rsidRDefault="00043B74" w:rsidP="00043B74">
      <w:pPr>
        <w:tabs>
          <w:tab w:val="left" w:pos="851"/>
        </w:tabs>
        <w:ind w:left="851"/>
        <w:rPr>
          <w:sz w:val="24"/>
          <w:szCs w:val="24"/>
        </w:rPr>
      </w:pPr>
    </w:p>
    <w:p w14:paraId="3D082CCF" w14:textId="77777777" w:rsidR="00043B74" w:rsidRPr="00043B74" w:rsidRDefault="00043B74" w:rsidP="00043B74">
      <w:pPr>
        <w:tabs>
          <w:tab w:val="left" w:pos="851"/>
        </w:tabs>
        <w:ind w:left="851"/>
        <w:rPr>
          <w:sz w:val="24"/>
          <w:szCs w:val="24"/>
        </w:rPr>
      </w:pPr>
      <w:r w:rsidRPr="00043B74">
        <w:rPr>
          <w:sz w:val="24"/>
          <w:szCs w:val="24"/>
          <w:lang w:bidi="da-DK"/>
        </w:rPr>
        <w:t>En klar, farveløs til svagt gullig opløsning.</w:t>
      </w:r>
    </w:p>
    <w:p w14:paraId="7DABD604" w14:textId="77777777" w:rsidR="00043B74" w:rsidRPr="00043B74" w:rsidRDefault="00043B74" w:rsidP="00043B74">
      <w:pPr>
        <w:tabs>
          <w:tab w:val="left" w:pos="851"/>
        </w:tabs>
        <w:ind w:left="851"/>
        <w:rPr>
          <w:sz w:val="24"/>
          <w:szCs w:val="24"/>
        </w:rPr>
      </w:pPr>
      <w:r w:rsidRPr="00043B74">
        <w:rPr>
          <w:sz w:val="24"/>
          <w:szCs w:val="24"/>
          <w:lang w:bidi="da-DK"/>
        </w:rPr>
        <w:t>pH: 6,3-7,3; osmolaritet: 265-330 mOsm/kg.</w:t>
      </w:r>
    </w:p>
    <w:p w14:paraId="4B0FCCAD" w14:textId="77777777" w:rsidR="009260DE" w:rsidRPr="00C84483" w:rsidRDefault="009260DE" w:rsidP="009260DE">
      <w:pPr>
        <w:tabs>
          <w:tab w:val="left" w:pos="851"/>
        </w:tabs>
        <w:ind w:left="851"/>
        <w:rPr>
          <w:sz w:val="24"/>
          <w:szCs w:val="24"/>
        </w:rPr>
      </w:pPr>
    </w:p>
    <w:p w14:paraId="382BE77C" w14:textId="77777777" w:rsidR="009260DE" w:rsidRPr="00C84483" w:rsidRDefault="009260DE" w:rsidP="009260DE">
      <w:pPr>
        <w:tabs>
          <w:tab w:val="left" w:pos="851"/>
        </w:tabs>
        <w:ind w:left="851"/>
        <w:rPr>
          <w:sz w:val="24"/>
          <w:szCs w:val="24"/>
        </w:rPr>
      </w:pPr>
    </w:p>
    <w:p w14:paraId="075C435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98FF210" w14:textId="77777777" w:rsidR="009260DE" w:rsidRPr="00C84483" w:rsidRDefault="009260DE" w:rsidP="009260DE">
      <w:pPr>
        <w:tabs>
          <w:tab w:val="left" w:pos="851"/>
        </w:tabs>
        <w:ind w:left="851"/>
        <w:rPr>
          <w:b/>
          <w:sz w:val="24"/>
          <w:szCs w:val="24"/>
        </w:rPr>
      </w:pPr>
    </w:p>
    <w:p w14:paraId="2246360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CC77FB3" w14:textId="77777777" w:rsidR="00043B74" w:rsidRPr="00043B74" w:rsidRDefault="00043B74" w:rsidP="00043B74">
      <w:pPr>
        <w:tabs>
          <w:tab w:val="left" w:pos="851"/>
        </w:tabs>
        <w:ind w:left="851"/>
        <w:rPr>
          <w:sz w:val="24"/>
          <w:szCs w:val="24"/>
        </w:rPr>
      </w:pPr>
      <w:r w:rsidRPr="00043B74">
        <w:rPr>
          <w:sz w:val="24"/>
          <w:szCs w:val="24"/>
          <w:lang w:bidi="da-DK"/>
        </w:rPr>
        <w:t>Reduktion af forhøjet intraokulært tryk hos voksne patienter med okulær hypertension eller åbenvinklet glaukom (se pkt. 5.1).</w:t>
      </w:r>
    </w:p>
    <w:p w14:paraId="0C7AF4E2" w14:textId="77777777" w:rsidR="00043B74" w:rsidRPr="00043B74" w:rsidRDefault="00043B74" w:rsidP="00043B74">
      <w:pPr>
        <w:tabs>
          <w:tab w:val="left" w:pos="851"/>
        </w:tabs>
        <w:ind w:left="851"/>
        <w:rPr>
          <w:sz w:val="24"/>
          <w:szCs w:val="24"/>
        </w:rPr>
      </w:pPr>
    </w:p>
    <w:p w14:paraId="64114982" w14:textId="77777777" w:rsidR="00043B74" w:rsidRPr="00043B74" w:rsidRDefault="00043B74" w:rsidP="00043B74">
      <w:pPr>
        <w:tabs>
          <w:tab w:val="left" w:pos="851"/>
        </w:tabs>
        <w:ind w:left="851"/>
        <w:rPr>
          <w:sz w:val="24"/>
          <w:szCs w:val="24"/>
        </w:rPr>
      </w:pPr>
      <w:r w:rsidRPr="00043B74">
        <w:rPr>
          <w:sz w:val="24"/>
          <w:szCs w:val="24"/>
          <w:lang w:bidi="da-DK"/>
        </w:rPr>
        <w:t xml:space="preserve">Reduktion af forhøjet intraokulært tryk hos pædiatriske patienter i alderen 2 mdr. til </w:t>
      </w:r>
    </w:p>
    <w:p w14:paraId="063DDE0A" w14:textId="77777777" w:rsidR="00043B74" w:rsidRPr="00043B74" w:rsidRDefault="00043B74" w:rsidP="00043B74">
      <w:pPr>
        <w:tabs>
          <w:tab w:val="left" w:pos="851"/>
        </w:tabs>
        <w:ind w:left="851"/>
        <w:rPr>
          <w:sz w:val="24"/>
          <w:szCs w:val="24"/>
        </w:rPr>
      </w:pPr>
      <w:r w:rsidRPr="00043B74">
        <w:rPr>
          <w:sz w:val="24"/>
          <w:szCs w:val="24"/>
          <w:lang w:bidi="da-DK"/>
        </w:rPr>
        <w:t>&lt; 18 år med okulær hypertension eller pædiatrisk glaukom (se pkt. 5.1).</w:t>
      </w:r>
    </w:p>
    <w:p w14:paraId="75A6CBF4" w14:textId="77777777" w:rsidR="009260DE" w:rsidRPr="00C84483" w:rsidRDefault="009260DE" w:rsidP="009260DE">
      <w:pPr>
        <w:tabs>
          <w:tab w:val="left" w:pos="851"/>
        </w:tabs>
        <w:ind w:left="851"/>
        <w:rPr>
          <w:sz w:val="24"/>
          <w:szCs w:val="24"/>
        </w:rPr>
      </w:pPr>
    </w:p>
    <w:p w14:paraId="1AEB357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060FB84" w14:textId="77777777" w:rsidR="00043B74" w:rsidRPr="00F540AD" w:rsidRDefault="00043B74" w:rsidP="00043B74">
      <w:pPr>
        <w:tabs>
          <w:tab w:val="left" w:pos="851"/>
        </w:tabs>
        <w:ind w:left="851"/>
        <w:rPr>
          <w:sz w:val="24"/>
          <w:szCs w:val="24"/>
        </w:rPr>
      </w:pPr>
    </w:p>
    <w:p w14:paraId="139DBA9E" w14:textId="77777777" w:rsidR="00043B74" w:rsidRPr="00043B74" w:rsidRDefault="00043B74" w:rsidP="00043B74">
      <w:pPr>
        <w:tabs>
          <w:tab w:val="left" w:pos="851"/>
        </w:tabs>
        <w:ind w:left="851"/>
        <w:rPr>
          <w:sz w:val="24"/>
          <w:szCs w:val="24"/>
          <w:u w:val="single"/>
          <w:lang w:bidi="en-US"/>
        </w:rPr>
      </w:pPr>
      <w:r w:rsidRPr="00043B74">
        <w:rPr>
          <w:sz w:val="24"/>
          <w:szCs w:val="24"/>
          <w:u w:val="single"/>
          <w:lang w:bidi="da-DK"/>
        </w:rPr>
        <w:t>Dosering</w:t>
      </w:r>
    </w:p>
    <w:p w14:paraId="250CF3B3" w14:textId="77777777" w:rsidR="00043B74" w:rsidRPr="00043B74" w:rsidRDefault="00043B74" w:rsidP="00043B74">
      <w:pPr>
        <w:tabs>
          <w:tab w:val="left" w:pos="851"/>
        </w:tabs>
        <w:ind w:left="851"/>
        <w:rPr>
          <w:sz w:val="24"/>
          <w:szCs w:val="24"/>
          <w:lang w:bidi="en-US"/>
        </w:rPr>
      </w:pPr>
    </w:p>
    <w:p w14:paraId="7CEDEB9F" w14:textId="77777777" w:rsidR="00043B74" w:rsidRPr="00043B74" w:rsidRDefault="00043B74" w:rsidP="00043B74">
      <w:pPr>
        <w:tabs>
          <w:tab w:val="left" w:pos="851"/>
        </w:tabs>
        <w:ind w:left="851"/>
        <w:rPr>
          <w:i/>
          <w:iCs/>
          <w:sz w:val="24"/>
          <w:szCs w:val="24"/>
        </w:rPr>
      </w:pPr>
      <w:r w:rsidRPr="00043B74">
        <w:rPr>
          <w:i/>
          <w:sz w:val="24"/>
          <w:szCs w:val="24"/>
          <w:lang w:bidi="da-DK"/>
        </w:rPr>
        <w:t>Anvendelse hos voksne, herunder ældre personer</w:t>
      </w:r>
    </w:p>
    <w:p w14:paraId="4E752B8C" w14:textId="77777777" w:rsidR="00043B74" w:rsidRPr="00043B74" w:rsidRDefault="00043B74" w:rsidP="00043B74">
      <w:pPr>
        <w:tabs>
          <w:tab w:val="left" w:pos="851"/>
        </w:tabs>
        <w:ind w:left="851"/>
        <w:rPr>
          <w:sz w:val="24"/>
          <w:szCs w:val="24"/>
        </w:rPr>
      </w:pPr>
      <w:r w:rsidRPr="00043B74">
        <w:rPr>
          <w:sz w:val="24"/>
          <w:szCs w:val="24"/>
          <w:lang w:bidi="da-DK"/>
        </w:rPr>
        <w:t>Dosis er én dråbe Trevicopto i konjunktivalsækken i det/de berørte øje(ne) én gang dagligt.</w:t>
      </w:r>
    </w:p>
    <w:p w14:paraId="00146C36" w14:textId="77777777" w:rsidR="00043B74" w:rsidRPr="00043B74" w:rsidRDefault="00043B74" w:rsidP="00043B74">
      <w:pPr>
        <w:tabs>
          <w:tab w:val="left" w:pos="851"/>
        </w:tabs>
        <w:ind w:left="851"/>
        <w:rPr>
          <w:sz w:val="24"/>
          <w:szCs w:val="24"/>
        </w:rPr>
      </w:pPr>
      <w:r w:rsidRPr="00043B74">
        <w:rPr>
          <w:sz w:val="24"/>
          <w:szCs w:val="24"/>
          <w:lang w:bidi="da-DK"/>
        </w:rPr>
        <w:lastRenderedPageBreak/>
        <w:t>Den optimale effekt opnås, når dosen indgives om aftenen.</w:t>
      </w:r>
    </w:p>
    <w:p w14:paraId="2A87F8A2" w14:textId="77777777" w:rsidR="00043B74" w:rsidRPr="00043B74" w:rsidRDefault="00043B74" w:rsidP="00043B74">
      <w:pPr>
        <w:tabs>
          <w:tab w:val="left" w:pos="851"/>
        </w:tabs>
        <w:ind w:left="851"/>
        <w:rPr>
          <w:sz w:val="24"/>
          <w:szCs w:val="24"/>
        </w:rPr>
      </w:pPr>
    </w:p>
    <w:p w14:paraId="3D5A2E5A" w14:textId="77777777" w:rsidR="00043B74" w:rsidRPr="00043B74" w:rsidRDefault="00043B74" w:rsidP="00043B74">
      <w:pPr>
        <w:tabs>
          <w:tab w:val="left" w:pos="851"/>
        </w:tabs>
        <w:ind w:left="851"/>
        <w:rPr>
          <w:sz w:val="24"/>
          <w:szCs w:val="24"/>
        </w:rPr>
      </w:pPr>
      <w:r w:rsidRPr="00043B74">
        <w:rPr>
          <w:sz w:val="24"/>
          <w:szCs w:val="24"/>
          <w:lang w:bidi="da-DK"/>
        </w:rPr>
        <w:t>Det anbefales at okkludere nasolakrimalt eller forsigtigt lukke øjenlåget efter inddrypning. Dette kan reducere den systemiske absorption af lægemidler, der administreres okulært, og dermed resultere i en lavere forekomst af systemiske bivirkninger.</w:t>
      </w:r>
    </w:p>
    <w:p w14:paraId="47B10F75" w14:textId="77777777" w:rsidR="00043B74" w:rsidRPr="00043B74" w:rsidRDefault="00043B74" w:rsidP="00043B74">
      <w:pPr>
        <w:tabs>
          <w:tab w:val="left" w:pos="851"/>
        </w:tabs>
        <w:ind w:left="851"/>
        <w:rPr>
          <w:sz w:val="24"/>
          <w:szCs w:val="24"/>
        </w:rPr>
      </w:pPr>
    </w:p>
    <w:p w14:paraId="6EAAD065" w14:textId="77777777" w:rsidR="00043B74" w:rsidRPr="00043B74" w:rsidRDefault="00043B74" w:rsidP="00043B74">
      <w:pPr>
        <w:tabs>
          <w:tab w:val="left" w:pos="851"/>
        </w:tabs>
        <w:ind w:left="851"/>
        <w:rPr>
          <w:sz w:val="24"/>
          <w:szCs w:val="24"/>
        </w:rPr>
      </w:pPr>
      <w:r w:rsidRPr="00043B74">
        <w:rPr>
          <w:sz w:val="24"/>
          <w:szCs w:val="24"/>
          <w:lang w:bidi="da-DK"/>
        </w:rPr>
        <w:t>Hvis der anvendes mere end ét lokalt lægemiddel til øjnene, skal disse indgives med mindst 5 minutters mellemrum. (se pkt. 4.5)</w:t>
      </w:r>
    </w:p>
    <w:p w14:paraId="2A09AB2E" w14:textId="77777777" w:rsidR="00043B74" w:rsidRPr="00043B74" w:rsidRDefault="00043B74" w:rsidP="00043B74">
      <w:pPr>
        <w:tabs>
          <w:tab w:val="left" w:pos="851"/>
        </w:tabs>
        <w:ind w:left="851"/>
        <w:rPr>
          <w:sz w:val="24"/>
          <w:szCs w:val="24"/>
        </w:rPr>
      </w:pPr>
    </w:p>
    <w:p w14:paraId="4FF8BA2F" w14:textId="77777777" w:rsidR="00043B74" w:rsidRPr="00043B74" w:rsidRDefault="00043B74" w:rsidP="00043B74">
      <w:pPr>
        <w:tabs>
          <w:tab w:val="left" w:pos="851"/>
        </w:tabs>
        <w:ind w:left="851"/>
        <w:rPr>
          <w:sz w:val="24"/>
          <w:szCs w:val="24"/>
          <w:lang w:bidi="da-DK"/>
        </w:rPr>
      </w:pPr>
      <w:r w:rsidRPr="00043B74">
        <w:rPr>
          <w:sz w:val="24"/>
          <w:szCs w:val="24"/>
          <w:lang w:bidi="da-DK"/>
        </w:rPr>
        <w:t>Skulle man glemme en dosis, skal behandlingen fortsættes med den næste dosis som planlagt. Dosis bør ikke overstige én dråbe dgl. i det/de berørte øje(ne).</w:t>
      </w:r>
    </w:p>
    <w:p w14:paraId="140B78F0" w14:textId="77777777" w:rsidR="00043B74" w:rsidRPr="00043B74" w:rsidRDefault="00043B74" w:rsidP="00043B74">
      <w:pPr>
        <w:tabs>
          <w:tab w:val="left" w:pos="851"/>
        </w:tabs>
        <w:ind w:left="851"/>
        <w:rPr>
          <w:sz w:val="24"/>
          <w:szCs w:val="24"/>
        </w:rPr>
      </w:pPr>
    </w:p>
    <w:p w14:paraId="172B5D31" w14:textId="77777777" w:rsidR="00043B74" w:rsidRPr="00043B74" w:rsidRDefault="00043B74" w:rsidP="00043B74">
      <w:pPr>
        <w:tabs>
          <w:tab w:val="left" w:pos="851"/>
        </w:tabs>
        <w:ind w:left="851"/>
        <w:rPr>
          <w:sz w:val="24"/>
          <w:szCs w:val="24"/>
        </w:rPr>
      </w:pPr>
      <w:r w:rsidRPr="00043B74">
        <w:rPr>
          <w:sz w:val="24"/>
          <w:szCs w:val="24"/>
          <w:lang w:bidi="da-DK"/>
        </w:rPr>
        <w:t>Ved skift fra et andet oftalmisk antiglaukom-lægemiddel til Trevicopto skal det andet lægemiddel seponeres, mens Trevicopto påbegyndes den følgende dag.</w:t>
      </w:r>
    </w:p>
    <w:p w14:paraId="75A2D7A5" w14:textId="77777777" w:rsidR="00043B74" w:rsidRPr="00043B74" w:rsidRDefault="00043B74" w:rsidP="00043B74">
      <w:pPr>
        <w:tabs>
          <w:tab w:val="left" w:pos="851"/>
        </w:tabs>
        <w:ind w:left="851"/>
        <w:rPr>
          <w:sz w:val="24"/>
          <w:szCs w:val="24"/>
        </w:rPr>
      </w:pPr>
    </w:p>
    <w:p w14:paraId="0337D3A6" w14:textId="77777777" w:rsidR="00043B74" w:rsidRPr="00043B74" w:rsidRDefault="00043B74" w:rsidP="00043B74">
      <w:pPr>
        <w:tabs>
          <w:tab w:val="left" w:pos="851"/>
        </w:tabs>
        <w:ind w:left="851"/>
        <w:rPr>
          <w:i/>
          <w:iCs/>
          <w:sz w:val="24"/>
          <w:szCs w:val="24"/>
        </w:rPr>
      </w:pPr>
      <w:r w:rsidRPr="00043B74">
        <w:rPr>
          <w:i/>
          <w:sz w:val="24"/>
          <w:szCs w:val="24"/>
          <w:lang w:bidi="da-DK"/>
        </w:rPr>
        <w:t>Nedsat lever- og nyrefunktion</w:t>
      </w:r>
    </w:p>
    <w:p w14:paraId="0FBF40C7" w14:textId="77777777" w:rsidR="00043B74" w:rsidRPr="00043B74" w:rsidRDefault="00043B74" w:rsidP="00043B74">
      <w:pPr>
        <w:tabs>
          <w:tab w:val="left" w:pos="851"/>
        </w:tabs>
        <w:ind w:left="851"/>
        <w:rPr>
          <w:sz w:val="24"/>
          <w:szCs w:val="24"/>
        </w:rPr>
      </w:pPr>
      <w:r w:rsidRPr="00043B74">
        <w:rPr>
          <w:sz w:val="24"/>
          <w:szCs w:val="24"/>
          <w:lang w:bidi="da-DK"/>
        </w:rPr>
        <w:t>Travoprost er blevet undersøgt hos patienter med let til svært nedsat leverfunktion og hos patienter med let til svært nedsat nyrefunktion (kreatininclearance helt ned til 14 ml/min). Ingen dosisjustering er nødvendig hos sådanne patienter (se pkt. 5.2).</w:t>
      </w:r>
    </w:p>
    <w:p w14:paraId="3724D1FC" w14:textId="77777777" w:rsidR="00043B74" w:rsidRPr="00043B74" w:rsidRDefault="00043B74" w:rsidP="00043B74">
      <w:pPr>
        <w:tabs>
          <w:tab w:val="left" w:pos="851"/>
        </w:tabs>
        <w:ind w:left="851"/>
        <w:rPr>
          <w:sz w:val="24"/>
          <w:szCs w:val="24"/>
        </w:rPr>
      </w:pPr>
    </w:p>
    <w:p w14:paraId="1A988A2A" w14:textId="77777777" w:rsidR="00043B74" w:rsidRPr="00043B74" w:rsidRDefault="00043B74" w:rsidP="00043B74">
      <w:pPr>
        <w:tabs>
          <w:tab w:val="left" w:pos="851"/>
        </w:tabs>
        <w:ind w:left="851"/>
        <w:rPr>
          <w:i/>
          <w:iCs/>
          <w:sz w:val="24"/>
          <w:szCs w:val="24"/>
        </w:rPr>
      </w:pPr>
      <w:r w:rsidRPr="00043B74">
        <w:rPr>
          <w:i/>
          <w:sz w:val="24"/>
          <w:szCs w:val="24"/>
          <w:lang w:bidi="da-DK"/>
        </w:rPr>
        <w:t>Pædiatrisk population</w:t>
      </w:r>
    </w:p>
    <w:p w14:paraId="68F92A06" w14:textId="77777777" w:rsidR="00043B74" w:rsidRPr="00043B74" w:rsidRDefault="00043B74" w:rsidP="00043B74">
      <w:pPr>
        <w:tabs>
          <w:tab w:val="left" w:pos="851"/>
        </w:tabs>
        <w:ind w:left="851"/>
        <w:rPr>
          <w:sz w:val="24"/>
          <w:szCs w:val="24"/>
        </w:rPr>
      </w:pPr>
      <w:r w:rsidRPr="00043B74">
        <w:rPr>
          <w:sz w:val="24"/>
          <w:szCs w:val="24"/>
          <w:lang w:bidi="da-DK"/>
        </w:rPr>
        <w:t>Trevicopto kan anvendes til pædiatriske patienter fra 2 mdr. til &lt; 18 år med samme dosering som for voksne. Data i aldersgruppen 2 mdr. til &lt; 3 år (9 patienter) er dog begrænset (se pkt. 5.1).</w:t>
      </w:r>
    </w:p>
    <w:p w14:paraId="39CE0DEF" w14:textId="77777777" w:rsidR="00043B74" w:rsidRPr="00043B74" w:rsidRDefault="00043B74" w:rsidP="00043B74">
      <w:pPr>
        <w:tabs>
          <w:tab w:val="left" w:pos="851"/>
        </w:tabs>
        <w:ind w:left="851"/>
        <w:rPr>
          <w:sz w:val="24"/>
          <w:szCs w:val="24"/>
        </w:rPr>
      </w:pPr>
    </w:p>
    <w:p w14:paraId="30F956ED" w14:textId="77777777" w:rsidR="00043B74" w:rsidRPr="00043B74" w:rsidRDefault="00043B74" w:rsidP="00043B74">
      <w:pPr>
        <w:tabs>
          <w:tab w:val="left" w:pos="851"/>
        </w:tabs>
        <w:ind w:left="851"/>
        <w:rPr>
          <w:sz w:val="24"/>
          <w:szCs w:val="24"/>
        </w:rPr>
      </w:pPr>
      <w:r w:rsidRPr="00043B74">
        <w:rPr>
          <w:sz w:val="24"/>
          <w:szCs w:val="24"/>
          <w:lang w:bidi="da-DK"/>
        </w:rPr>
        <w:t>Sikkerhed og virkning af Trevicopto hos børn i alderen &lt;2 år er endnu ikke fastslået. Ingen tilgængelige data.</w:t>
      </w:r>
    </w:p>
    <w:p w14:paraId="6888986A" w14:textId="77777777" w:rsidR="00043B74" w:rsidRPr="00043B74" w:rsidRDefault="00043B74" w:rsidP="00043B74">
      <w:pPr>
        <w:tabs>
          <w:tab w:val="left" w:pos="851"/>
        </w:tabs>
        <w:ind w:left="851"/>
        <w:rPr>
          <w:sz w:val="24"/>
          <w:szCs w:val="24"/>
        </w:rPr>
      </w:pPr>
    </w:p>
    <w:p w14:paraId="5B4BFDF0" w14:textId="77777777" w:rsidR="00043B74" w:rsidRPr="00043B74" w:rsidRDefault="00043B74" w:rsidP="00043B74">
      <w:pPr>
        <w:tabs>
          <w:tab w:val="left" w:pos="851"/>
        </w:tabs>
        <w:ind w:left="851"/>
        <w:rPr>
          <w:sz w:val="24"/>
          <w:szCs w:val="24"/>
          <w:u w:val="single"/>
        </w:rPr>
      </w:pPr>
      <w:r w:rsidRPr="00043B74">
        <w:rPr>
          <w:sz w:val="24"/>
          <w:szCs w:val="24"/>
          <w:u w:val="single"/>
          <w:lang w:bidi="da-DK"/>
        </w:rPr>
        <w:t>Administration</w:t>
      </w:r>
    </w:p>
    <w:p w14:paraId="0D59BB74" w14:textId="77777777" w:rsidR="00043B74" w:rsidRPr="00043B74" w:rsidRDefault="00043B74" w:rsidP="00043B74">
      <w:pPr>
        <w:tabs>
          <w:tab w:val="left" w:pos="851"/>
        </w:tabs>
        <w:ind w:left="851"/>
        <w:rPr>
          <w:sz w:val="24"/>
          <w:szCs w:val="24"/>
        </w:rPr>
      </w:pPr>
      <w:r w:rsidRPr="00043B74">
        <w:rPr>
          <w:sz w:val="24"/>
          <w:szCs w:val="24"/>
          <w:lang w:bidi="da-DK"/>
        </w:rPr>
        <w:t>Til okulær anvendelse.</w:t>
      </w:r>
    </w:p>
    <w:p w14:paraId="46790DC2" w14:textId="77777777" w:rsidR="00043B74" w:rsidRPr="00043B74" w:rsidRDefault="00043B74" w:rsidP="00043B74">
      <w:pPr>
        <w:tabs>
          <w:tab w:val="left" w:pos="851"/>
        </w:tabs>
        <w:ind w:left="851"/>
        <w:rPr>
          <w:sz w:val="24"/>
          <w:szCs w:val="24"/>
        </w:rPr>
      </w:pPr>
    </w:p>
    <w:p w14:paraId="2D11A34B" w14:textId="77777777" w:rsidR="00043B74" w:rsidRPr="00043B74" w:rsidRDefault="00043B74" w:rsidP="00043B74">
      <w:pPr>
        <w:tabs>
          <w:tab w:val="left" w:pos="851"/>
        </w:tabs>
        <w:ind w:left="851"/>
        <w:rPr>
          <w:sz w:val="24"/>
          <w:szCs w:val="24"/>
        </w:rPr>
      </w:pPr>
      <w:r w:rsidRPr="00043B74">
        <w:rPr>
          <w:sz w:val="24"/>
          <w:szCs w:val="24"/>
          <w:lang w:bidi="da-DK"/>
        </w:rPr>
        <w:t>For patienter, der bruger kontaktlinser, henvises til pkt. 4.4.</w:t>
      </w:r>
    </w:p>
    <w:p w14:paraId="18B24998" w14:textId="77777777" w:rsidR="00043B74" w:rsidRPr="00043B74" w:rsidRDefault="00043B74" w:rsidP="00043B74">
      <w:pPr>
        <w:tabs>
          <w:tab w:val="left" w:pos="851"/>
        </w:tabs>
        <w:ind w:left="851"/>
        <w:rPr>
          <w:sz w:val="24"/>
          <w:szCs w:val="24"/>
        </w:rPr>
      </w:pPr>
    </w:p>
    <w:p w14:paraId="0ABDFB6D" w14:textId="77777777" w:rsidR="00043B74" w:rsidRPr="00043B74" w:rsidRDefault="00043B74" w:rsidP="00043B74">
      <w:pPr>
        <w:tabs>
          <w:tab w:val="left" w:pos="851"/>
        </w:tabs>
        <w:ind w:left="851"/>
        <w:rPr>
          <w:sz w:val="24"/>
          <w:szCs w:val="24"/>
        </w:rPr>
      </w:pPr>
      <w:r w:rsidRPr="00043B74">
        <w:rPr>
          <w:sz w:val="24"/>
          <w:szCs w:val="24"/>
          <w:lang w:bidi="da-DK"/>
        </w:rPr>
        <w:t>Opløsningen fra en individuel enkeltdosisbeholder skal anvendes umiddelbart efter åbning. Patienten skal instrueres i at undgå at lade spidsen af beholderen komme i kontakt med øjet eller de omkringliggende områder.</w:t>
      </w:r>
    </w:p>
    <w:p w14:paraId="5BE1FBD3" w14:textId="77777777" w:rsidR="009260DE" w:rsidRPr="00C84483" w:rsidRDefault="009260DE" w:rsidP="009260DE">
      <w:pPr>
        <w:tabs>
          <w:tab w:val="left" w:pos="851"/>
        </w:tabs>
        <w:ind w:left="851"/>
        <w:rPr>
          <w:sz w:val="24"/>
          <w:szCs w:val="24"/>
        </w:rPr>
      </w:pPr>
    </w:p>
    <w:p w14:paraId="0786AD5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D8063B6" w14:textId="77777777" w:rsidR="00043B74" w:rsidRPr="00043B74" w:rsidRDefault="00043B74" w:rsidP="00043B74">
      <w:pPr>
        <w:tabs>
          <w:tab w:val="left" w:pos="851"/>
        </w:tabs>
        <w:ind w:left="851"/>
        <w:rPr>
          <w:sz w:val="24"/>
          <w:szCs w:val="24"/>
        </w:rPr>
      </w:pPr>
      <w:r w:rsidRPr="00043B74">
        <w:rPr>
          <w:sz w:val="24"/>
          <w:szCs w:val="24"/>
          <w:lang w:bidi="da-DK"/>
        </w:rPr>
        <w:t>Overfølsomhed overfor det aktive stof eller overfor et af hjælpestofferne anført i pkt. 6.1.</w:t>
      </w:r>
    </w:p>
    <w:p w14:paraId="2EAC5847" w14:textId="77777777" w:rsidR="009260DE" w:rsidRPr="00C84483" w:rsidRDefault="009260DE" w:rsidP="009260DE">
      <w:pPr>
        <w:tabs>
          <w:tab w:val="left" w:pos="851"/>
        </w:tabs>
        <w:ind w:left="851"/>
        <w:rPr>
          <w:sz w:val="24"/>
          <w:szCs w:val="24"/>
        </w:rPr>
      </w:pPr>
    </w:p>
    <w:p w14:paraId="24C360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D990934" w14:textId="77777777" w:rsidR="00043B74" w:rsidRPr="00043B74" w:rsidRDefault="00043B74" w:rsidP="00043B74">
      <w:pPr>
        <w:tabs>
          <w:tab w:val="left" w:pos="851"/>
        </w:tabs>
        <w:ind w:left="851"/>
        <w:rPr>
          <w:sz w:val="24"/>
          <w:szCs w:val="24"/>
        </w:rPr>
      </w:pPr>
    </w:p>
    <w:p w14:paraId="1302BF40"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Ændring af øjenfarve</w:t>
      </w:r>
    </w:p>
    <w:p w14:paraId="353D97B1" w14:textId="77777777" w:rsidR="00043B74" w:rsidRPr="00043B74" w:rsidRDefault="00043B74" w:rsidP="00043B74">
      <w:pPr>
        <w:tabs>
          <w:tab w:val="left" w:pos="851"/>
        </w:tabs>
        <w:ind w:left="851"/>
        <w:rPr>
          <w:bCs/>
          <w:sz w:val="24"/>
          <w:szCs w:val="24"/>
        </w:rPr>
      </w:pPr>
      <w:r w:rsidRPr="00043B74">
        <w:rPr>
          <w:sz w:val="24"/>
          <w:szCs w:val="24"/>
          <w:lang w:bidi="da-DK"/>
        </w:rPr>
        <w:t xml:space="preserve">Trevicopto kan gradvist ændre øjenfarven ved øget antal melanosomer (pigmentkorn) i melanocytterne. Før behandlingen påbegyndes, skal patienten informeres om risikoen for en permanent ændring i øjenfarven. En ensidig behandling kan resultere i permanent heterokromi. De langsigtede virkninger på melanocytterne og eventuelle konsekvenser heraf er i øjeblikket ikke kendt. Ændringen i irisfarven sker langsomt og kan ikke ses før efter flere måneder eller år. Ændringen i øjenfarven er hovedsageligt set hos patienter med blandede farver irides, dvs. blåbrune, gråbrune, gulbrune og grønbrune, men den er også observeret hos patienter med brune øjne. Typisk breder den brune pigmentering omkring </w:t>
      </w:r>
      <w:r w:rsidRPr="00043B74">
        <w:rPr>
          <w:sz w:val="24"/>
          <w:szCs w:val="24"/>
          <w:lang w:bidi="da-DK"/>
        </w:rPr>
        <w:lastRenderedPageBreak/>
        <w:t>pupillen sig koncentrisk ud mod periferien i de berørte øjne, men hele iris eller dele deraf kan blive mere brunlig. Efter behandlingsophør er der ikke observeret nogen yderligere forøgelse af det brune irispigment.</w:t>
      </w:r>
    </w:p>
    <w:p w14:paraId="16F14170" w14:textId="77777777" w:rsidR="00043B74" w:rsidRPr="00043B74" w:rsidRDefault="00043B74" w:rsidP="00043B74">
      <w:pPr>
        <w:tabs>
          <w:tab w:val="left" w:pos="851"/>
        </w:tabs>
        <w:ind w:left="851"/>
        <w:rPr>
          <w:bCs/>
          <w:sz w:val="24"/>
          <w:szCs w:val="24"/>
        </w:rPr>
      </w:pPr>
    </w:p>
    <w:p w14:paraId="40681AE3"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Periorbitale og øjenlågsforandringer</w:t>
      </w:r>
    </w:p>
    <w:p w14:paraId="42CDD456" w14:textId="77777777" w:rsidR="00043B74" w:rsidRPr="00043B74" w:rsidRDefault="00043B74" w:rsidP="00043B74">
      <w:pPr>
        <w:tabs>
          <w:tab w:val="left" w:pos="851"/>
        </w:tabs>
        <w:ind w:left="851"/>
        <w:rPr>
          <w:bCs/>
          <w:sz w:val="24"/>
          <w:szCs w:val="24"/>
        </w:rPr>
      </w:pPr>
      <w:r w:rsidRPr="00043B74">
        <w:rPr>
          <w:sz w:val="24"/>
          <w:szCs w:val="24"/>
          <w:lang w:bidi="da-DK"/>
        </w:rPr>
        <w:t>I kontrollerede kliniske forsøg er der blevet rapporteret om mørkfarvning af periorbital hud og/eller øjenlåg i forbindelse med anvendelsen af travoprost hos 0,4 % af patienterne. Der er også observeret periorbitale og øjenlågsforandringer, herunder uddybning af øjenlågssulcus, med prostaglandinanaloger.</w:t>
      </w:r>
    </w:p>
    <w:p w14:paraId="6D57BE15" w14:textId="77777777" w:rsidR="00043B74" w:rsidRPr="00043B74" w:rsidRDefault="00043B74" w:rsidP="00043B74">
      <w:pPr>
        <w:tabs>
          <w:tab w:val="left" w:pos="851"/>
        </w:tabs>
        <w:ind w:left="851"/>
        <w:rPr>
          <w:bCs/>
          <w:sz w:val="24"/>
          <w:szCs w:val="24"/>
        </w:rPr>
      </w:pPr>
    </w:p>
    <w:p w14:paraId="5A241979" w14:textId="77777777" w:rsidR="00043B74" w:rsidRPr="00043B74" w:rsidRDefault="00043B74" w:rsidP="00043B74">
      <w:pPr>
        <w:tabs>
          <w:tab w:val="left" w:pos="851"/>
        </w:tabs>
        <w:ind w:left="851"/>
        <w:rPr>
          <w:bCs/>
          <w:sz w:val="24"/>
          <w:szCs w:val="24"/>
        </w:rPr>
      </w:pPr>
      <w:r w:rsidRPr="00043B74">
        <w:rPr>
          <w:sz w:val="24"/>
          <w:szCs w:val="24"/>
          <w:lang w:bidi="da-DK"/>
        </w:rPr>
        <w:t>Travoprost kan gradvist ændre øjenvipperne i det/de behandlede øje(ne); disse ændringer er blevet observeret hos omkring halvdelen af patienterne i kliniske forsøg og omfatter øget længde, tykkelse, pigmentering og/eller antal vipper. Mekanismen bag øjenvippeforandringer og deres langsigtede konsekvenser er i øjeblikket ukendt.</w:t>
      </w:r>
    </w:p>
    <w:p w14:paraId="35F21BE3" w14:textId="77777777" w:rsidR="00043B74" w:rsidRPr="00043B74" w:rsidRDefault="00043B74" w:rsidP="00043B74">
      <w:pPr>
        <w:tabs>
          <w:tab w:val="left" w:pos="851"/>
        </w:tabs>
        <w:ind w:left="851"/>
        <w:rPr>
          <w:bCs/>
          <w:sz w:val="24"/>
          <w:szCs w:val="24"/>
        </w:rPr>
      </w:pPr>
    </w:p>
    <w:p w14:paraId="2424A0A5" w14:textId="77777777" w:rsidR="00043B74" w:rsidRPr="00043B74" w:rsidRDefault="00043B74" w:rsidP="00043B74">
      <w:pPr>
        <w:tabs>
          <w:tab w:val="left" w:pos="851"/>
        </w:tabs>
        <w:ind w:left="851"/>
        <w:rPr>
          <w:bCs/>
          <w:sz w:val="24"/>
          <w:szCs w:val="24"/>
        </w:rPr>
      </w:pPr>
      <w:r w:rsidRPr="00043B74">
        <w:rPr>
          <w:sz w:val="24"/>
          <w:szCs w:val="24"/>
          <w:lang w:bidi="da-DK"/>
        </w:rPr>
        <w:t>Travoprost har vist sig at forårsage en let udvidelse af den palpebrale fissur i studier med aber. Denne effekt blev dog ikke observeret under de kliniske forsøg og anses for at være artsspecifik.</w:t>
      </w:r>
    </w:p>
    <w:p w14:paraId="2C3390DE" w14:textId="77777777" w:rsidR="00043B74" w:rsidRPr="00043B74" w:rsidRDefault="00043B74" w:rsidP="00043B74">
      <w:pPr>
        <w:tabs>
          <w:tab w:val="left" w:pos="851"/>
        </w:tabs>
        <w:ind w:left="851"/>
        <w:rPr>
          <w:bCs/>
          <w:sz w:val="24"/>
          <w:szCs w:val="24"/>
        </w:rPr>
      </w:pPr>
    </w:p>
    <w:p w14:paraId="51494D98" w14:textId="77777777" w:rsidR="00043B74" w:rsidRPr="00043B74" w:rsidRDefault="00043B74" w:rsidP="00043B74">
      <w:pPr>
        <w:tabs>
          <w:tab w:val="left" w:pos="851"/>
        </w:tabs>
        <w:ind w:left="851"/>
        <w:rPr>
          <w:bCs/>
          <w:sz w:val="24"/>
          <w:szCs w:val="24"/>
        </w:rPr>
      </w:pPr>
      <w:r w:rsidRPr="00043B74">
        <w:rPr>
          <w:sz w:val="24"/>
          <w:szCs w:val="24"/>
          <w:lang w:bidi="da-DK"/>
        </w:rPr>
        <w:t>Der er ingen erfaring med travoprost ved inflammatoriske øjensygdomme, ej heller ved neovaskulær, vinkellukket, snævervinklet eller medfødt glaukom og kun begrænset erfaring med skjoldbrusk-øjensygdom, ved åbenvinklet glaukom hos pseudofake patienter og ved pigmentær eller pseudoexfoliativ glaukom. Trevicopto bør derfor anvendes med forsigtighed hos patienter med aktiv intraokulær inflammation.</w:t>
      </w:r>
    </w:p>
    <w:p w14:paraId="04329BDC" w14:textId="77777777" w:rsidR="00043B74" w:rsidRPr="00043B74" w:rsidRDefault="00043B74" w:rsidP="00043B74">
      <w:pPr>
        <w:tabs>
          <w:tab w:val="left" w:pos="851"/>
        </w:tabs>
        <w:ind w:left="851"/>
        <w:rPr>
          <w:bCs/>
          <w:sz w:val="24"/>
          <w:szCs w:val="24"/>
        </w:rPr>
      </w:pPr>
    </w:p>
    <w:p w14:paraId="24920005"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Afakiske patienter</w:t>
      </w:r>
    </w:p>
    <w:p w14:paraId="710A7AC2" w14:textId="77777777" w:rsidR="00043B74" w:rsidRPr="00043B74" w:rsidRDefault="00043B74" w:rsidP="00043B74">
      <w:pPr>
        <w:tabs>
          <w:tab w:val="left" w:pos="851"/>
        </w:tabs>
        <w:ind w:left="851"/>
        <w:rPr>
          <w:bCs/>
          <w:sz w:val="24"/>
          <w:szCs w:val="24"/>
        </w:rPr>
      </w:pPr>
      <w:r w:rsidRPr="00043B74">
        <w:rPr>
          <w:sz w:val="24"/>
          <w:szCs w:val="24"/>
          <w:lang w:bidi="da-DK"/>
        </w:rPr>
        <w:t>Der er rapporteret om makulaødem under behandling med prostaglandin F</w:t>
      </w:r>
      <w:r w:rsidRPr="00043B74">
        <w:rPr>
          <w:sz w:val="24"/>
          <w:szCs w:val="24"/>
          <w:vertAlign w:val="subscript"/>
          <w:lang w:bidi="da-DK"/>
        </w:rPr>
        <w:t>2a</w:t>
      </w:r>
      <w:r w:rsidRPr="00043B74">
        <w:rPr>
          <w:sz w:val="24"/>
          <w:szCs w:val="24"/>
          <w:lang w:bidi="da-DK"/>
        </w:rPr>
        <w:t>-analoger. Der anbefales forsigtighed ved anvendelsen af Trevicopto til afakiske patienter, pseudofakiske patienter med en revet bageste linsekapsel eller linser i det forreste kammer, eller til patienter med kendte risikofaktorer for cystoid makulaødem.</w:t>
      </w:r>
    </w:p>
    <w:p w14:paraId="3A144ECD" w14:textId="77777777" w:rsidR="00043B74" w:rsidRPr="00043B74" w:rsidRDefault="00043B74" w:rsidP="00043B74">
      <w:pPr>
        <w:tabs>
          <w:tab w:val="left" w:pos="851"/>
        </w:tabs>
        <w:ind w:left="851"/>
        <w:rPr>
          <w:bCs/>
          <w:sz w:val="24"/>
          <w:szCs w:val="24"/>
        </w:rPr>
      </w:pPr>
    </w:p>
    <w:p w14:paraId="381FDEB9"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Iritis/uveitis</w:t>
      </w:r>
    </w:p>
    <w:p w14:paraId="35E011AF" w14:textId="77777777" w:rsidR="00043B74" w:rsidRPr="00043B74" w:rsidRDefault="00043B74" w:rsidP="00043B74">
      <w:pPr>
        <w:tabs>
          <w:tab w:val="left" w:pos="851"/>
        </w:tabs>
        <w:ind w:left="851"/>
        <w:rPr>
          <w:bCs/>
          <w:sz w:val="24"/>
          <w:szCs w:val="24"/>
        </w:rPr>
      </w:pPr>
      <w:r w:rsidRPr="00043B74">
        <w:rPr>
          <w:sz w:val="24"/>
          <w:szCs w:val="24"/>
          <w:lang w:bidi="da-DK"/>
        </w:rPr>
        <w:t>Hos patienter med kendte prædisponerende risikofaktorer for iritis/uveitis bør Trevicopto anvendes med forsigtighed.</w:t>
      </w:r>
    </w:p>
    <w:p w14:paraId="70132B35" w14:textId="77777777" w:rsidR="00043B74" w:rsidRPr="00043B74" w:rsidRDefault="00043B74" w:rsidP="00043B74">
      <w:pPr>
        <w:tabs>
          <w:tab w:val="left" w:pos="851"/>
        </w:tabs>
        <w:ind w:left="851"/>
        <w:rPr>
          <w:bCs/>
          <w:sz w:val="24"/>
          <w:szCs w:val="24"/>
        </w:rPr>
      </w:pPr>
    </w:p>
    <w:p w14:paraId="2A6D78C8"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Kontakt med huden</w:t>
      </w:r>
    </w:p>
    <w:p w14:paraId="7AE48428" w14:textId="77777777" w:rsidR="00043B74" w:rsidRPr="00043B74" w:rsidRDefault="00043B74" w:rsidP="00043B74">
      <w:pPr>
        <w:tabs>
          <w:tab w:val="left" w:pos="851"/>
        </w:tabs>
        <w:ind w:left="851"/>
        <w:rPr>
          <w:bCs/>
          <w:sz w:val="24"/>
          <w:szCs w:val="24"/>
        </w:rPr>
      </w:pPr>
      <w:r w:rsidRPr="00043B74">
        <w:rPr>
          <w:sz w:val="24"/>
          <w:szCs w:val="24"/>
          <w:lang w:bidi="da-DK"/>
        </w:rPr>
        <w:t>Hudkontakt med Trevicopto bør undgås, da der er påvist transdermal absorption af travoprost i kaniner.</w:t>
      </w:r>
    </w:p>
    <w:p w14:paraId="2BAEDFB4" w14:textId="77777777" w:rsidR="00043B74" w:rsidRPr="00043B74" w:rsidRDefault="00043B74" w:rsidP="00043B74">
      <w:pPr>
        <w:tabs>
          <w:tab w:val="left" w:pos="851"/>
        </w:tabs>
        <w:ind w:left="851"/>
        <w:rPr>
          <w:bCs/>
          <w:sz w:val="24"/>
          <w:szCs w:val="24"/>
        </w:rPr>
      </w:pPr>
    </w:p>
    <w:p w14:paraId="6EC8C8E4" w14:textId="77777777" w:rsidR="00043B74" w:rsidRPr="00043B74" w:rsidRDefault="00043B74" w:rsidP="00043B74">
      <w:pPr>
        <w:tabs>
          <w:tab w:val="left" w:pos="851"/>
        </w:tabs>
        <w:ind w:left="851"/>
        <w:rPr>
          <w:bCs/>
          <w:sz w:val="24"/>
          <w:szCs w:val="24"/>
        </w:rPr>
      </w:pPr>
      <w:r w:rsidRPr="00043B74">
        <w:rPr>
          <w:sz w:val="24"/>
          <w:szCs w:val="24"/>
          <w:lang w:bidi="da-DK"/>
        </w:rPr>
        <w:t>Prostaglandiner og prostaglandinanaloger er biologisk aktive stoffer, der kan optages gennem huden. Kvinder, der er gravide eller forsøger at blive gravide, bør tage passende forholdsregler for at undgå direkte eksponering af beholderens indhold. I det sjældne tilfælde, at man kommer i kontakt med en væsentlig del af beholderens indhold, skal det berørte område straks renses omhyggeligt.</w:t>
      </w:r>
    </w:p>
    <w:p w14:paraId="27CFBE21" w14:textId="77777777" w:rsidR="00043B74" w:rsidRPr="00043B74" w:rsidRDefault="00043B74" w:rsidP="00043B74">
      <w:pPr>
        <w:tabs>
          <w:tab w:val="left" w:pos="851"/>
        </w:tabs>
        <w:ind w:left="851"/>
        <w:rPr>
          <w:bCs/>
          <w:sz w:val="24"/>
          <w:szCs w:val="24"/>
        </w:rPr>
      </w:pPr>
    </w:p>
    <w:p w14:paraId="67BDAFA8"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Kontaktlinser</w:t>
      </w:r>
    </w:p>
    <w:p w14:paraId="7308BEA8" w14:textId="77777777" w:rsidR="00043B74" w:rsidRPr="00043B74" w:rsidRDefault="00043B74" w:rsidP="00043B74">
      <w:pPr>
        <w:tabs>
          <w:tab w:val="left" w:pos="851"/>
        </w:tabs>
        <w:ind w:left="851"/>
        <w:rPr>
          <w:bCs/>
          <w:sz w:val="24"/>
          <w:szCs w:val="24"/>
        </w:rPr>
      </w:pPr>
      <w:r w:rsidRPr="00043B74">
        <w:rPr>
          <w:sz w:val="24"/>
          <w:szCs w:val="24"/>
          <w:lang w:bidi="da-DK"/>
        </w:rPr>
        <w:t>Patienten skal instrueres i at tage kontaktlinserne ud før inddrypning med Trevicopto og vente 15 min, før linserne sættes ind igen.</w:t>
      </w:r>
    </w:p>
    <w:p w14:paraId="31873230" w14:textId="70E3CE7D" w:rsidR="00043B74" w:rsidRDefault="00043B74">
      <w:pPr>
        <w:rPr>
          <w:bCs/>
          <w:sz w:val="24"/>
          <w:szCs w:val="24"/>
        </w:rPr>
      </w:pPr>
      <w:r>
        <w:rPr>
          <w:bCs/>
          <w:sz w:val="24"/>
          <w:szCs w:val="24"/>
        </w:rPr>
        <w:br w:type="page"/>
      </w:r>
    </w:p>
    <w:p w14:paraId="6E7578F5" w14:textId="77777777" w:rsidR="00043B74" w:rsidRPr="00043B74" w:rsidRDefault="00043B74" w:rsidP="00043B74">
      <w:pPr>
        <w:tabs>
          <w:tab w:val="left" w:pos="851"/>
        </w:tabs>
        <w:ind w:left="851"/>
        <w:rPr>
          <w:bCs/>
          <w:sz w:val="24"/>
          <w:szCs w:val="24"/>
        </w:rPr>
      </w:pPr>
    </w:p>
    <w:p w14:paraId="2A9D185B" w14:textId="77777777" w:rsidR="00043B74" w:rsidRPr="00043B74" w:rsidRDefault="00043B74" w:rsidP="00043B74">
      <w:pPr>
        <w:tabs>
          <w:tab w:val="left" w:pos="851"/>
        </w:tabs>
        <w:ind w:left="851"/>
        <w:rPr>
          <w:bCs/>
          <w:sz w:val="24"/>
          <w:szCs w:val="24"/>
          <w:u w:val="single"/>
        </w:rPr>
      </w:pPr>
      <w:r w:rsidRPr="00043B74">
        <w:rPr>
          <w:sz w:val="24"/>
          <w:szCs w:val="24"/>
          <w:u w:val="single"/>
          <w:lang w:bidi="da-DK"/>
        </w:rPr>
        <w:t>Pædiatrisk population</w:t>
      </w:r>
    </w:p>
    <w:p w14:paraId="67BC2862" w14:textId="77777777" w:rsidR="00043B74" w:rsidRPr="00043B74" w:rsidRDefault="00043B74" w:rsidP="00043B74">
      <w:pPr>
        <w:tabs>
          <w:tab w:val="left" w:pos="851"/>
        </w:tabs>
        <w:ind w:left="851"/>
        <w:rPr>
          <w:bCs/>
          <w:sz w:val="24"/>
          <w:szCs w:val="24"/>
        </w:rPr>
      </w:pPr>
      <w:r w:rsidRPr="00043B74">
        <w:rPr>
          <w:sz w:val="24"/>
          <w:szCs w:val="24"/>
          <w:lang w:bidi="da-DK"/>
        </w:rPr>
        <w:t>Data om effekt og sikkerhed i aldersgruppen 2 mdr. til &lt; 3 år (9 patienter) er begrænset (se pkt. 5.1).</w:t>
      </w:r>
    </w:p>
    <w:p w14:paraId="386622D3" w14:textId="77777777" w:rsidR="00043B74" w:rsidRPr="00043B74" w:rsidRDefault="00043B74" w:rsidP="00043B74">
      <w:pPr>
        <w:tabs>
          <w:tab w:val="left" w:pos="851"/>
        </w:tabs>
        <w:ind w:left="851"/>
        <w:rPr>
          <w:bCs/>
          <w:sz w:val="24"/>
          <w:szCs w:val="24"/>
        </w:rPr>
      </w:pPr>
      <w:r w:rsidRPr="00043B74">
        <w:rPr>
          <w:sz w:val="24"/>
          <w:szCs w:val="24"/>
          <w:lang w:bidi="da-DK"/>
        </w:rPr>
        <w:t>Der findes ingen data for børn under 2 mdr.</w:t>
      </w:r>
    </w:p>
    <w:p w14:paraId="4152CFB8" w14:textId="77777777" w:rsidR="00043B74" w:rsidRPr="00043B74" w:rsidRDefault="00043B74" w:rsidP="00043B74">
      <w:pPr>
        <w:tabs>
          <w:tab w:val="left" w:pos="851"/>
        </w:tabs>
        <w:ind w:left="851"/>
        <w:rPr>
          <w:bCs/>
          <w:sz w:val="24"/>
          <w:szCs w:val="24"/>
        </w:rPr>
      </w:pPr>
      <w:r w:rsidRPr="00043B74">
        <w:rPr>
          <w:sz w:val="24"/>
          <w:szCs w:val="24"/>
          <w:lang w:bidi="da-DK"/>
        </w:rPr>
        <w:t>Hos børn &lt; 3 år, der hovedsageligt lider af PCG (primær medfødt glaukom), er kirurgi (f.eks. trabekulotomi/goniotomi) fortsat førstevalgsbehandling.</w:t>
      </w:r>
    </w:p>
    <w:p w14:paraId="20F7A23C" w14:textId="77777777" w:rsidR="00043B74" w:rsidRPr="00043B74" w:rsidRDefault="00043B74" w:rsidP="00043B74">
      <w:pPr>
        <w:tabs>
          <w:tab w:val="left" w:pos="851"/>
        </w:tabs>
        <w:ind w:left="851"/>
        <w:rPr>
          <w:bCs/>
          <w:sz w:val="24"/>
          <w:szCs w:val="24"/>
        </w:rPr>
      </w:pPr>
    </w:p>
    <w:p w14:paraId="571789D9" w14:textId="77777777" w:rsidR="00043B74" w:rsidRPr="00043B74" w:rsidRDefault="00043B74" w:rsidP="00043B74">
      <w:pPr>
        <w:tabs>
          <w:tab w:val="left" w:pos="851"/>
        </w:tabs>
        <w:ind w:left="851"/>
        <w:rPr>
          <w:bCs/>
          <w:sz w:val="24"/>
          <w:szCs w:val="24"/>
        </w:rPr>
      </w:pPr>
      <w:r w:rsidRPr="00043B74">
        <w:rPr>
          <w:sz w:val="24"/>
          <w:szCs w:val="24"/>
          <w:lang w:bidi="da-DK"/>
        </w:rPr>
        <w:t>Der findes ingen langtidssikkerhedsdata for den pædiatriske population.</w:t>
      </w:r>
    </w:p>
    <w:p w14:paraId="1CD1EF5C" w14:textId="77777777" w:rsidR="009260DE" w:rsidRPr="00C84483" w:rsidRDefault="009260DE" w:rsidP="009260DE">
      <w:pPr>
        <w:tabs>
          <w:tab w:val="left" w:pos="851"/>
        </w:tabs>
        <w:ind w:left="851"/>
        <w:rPr>
          <w:sz w:val="24"/>
          <w:szCs w:val="24"/>
        </w:rPr>
      </w:pPr>
    </w:p>
    <w:p w14:paraId="3CD84F9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73EC39D" w14:textId="77777777" w:rsidR="00043B74" w:rsidRPr="00043B74" w:rsidRDefault="00043B74" w:rsidP="00043B74">
      <w:pPr>
        <w:tabs>
          <w:tab w:val="left" w:pos="851"/>
        </w:tabs>
        <w:ind w:left="851"/>
        <w:rPr>
          <w:sz w:val="24"/>
          <w:szCs w:val="24"/>
        </w:rPr>
      </w:pPr>
      <w:r w:rsidRPr="00043B74">
        <w:rPr>
          <w:sz w:val="24"/>
          <w:szCs w:val="24"/>
          <w:lang w:bidi="da-DK"/>
        </w:rPr>
        <w:t>Der er ikke udført interaktionsstudier.</w:t>
      </w:r>
    </w:p>
    <w:p w14:paraId="30286EE6" w14:textId="77777777" w:rsidR="009260DE" w:rsidRPr="00C84483" w:rsidRDefault="009260DE" w:rsidP="009260DE">
      <w:pPr>
        <w:tabs>
          <w:tab w:val="left" w:pos="851"/>
        </w:tabs>
        <w:ind w:left="851"/>
        <w:rPr>
          <w:sz w:val="24"/>
          <w:szCs w:val="24"/>
        </w:rPr>
      </w:pPr>
    </w:p>
    <w:p w14:paraId="1A333A4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1A4B32F" w14:textId="77777777" w:rsidR="00043B74" w:rsidRPr="00043B74" w:rsidRDefault="00043B74" w:rsidP="00043B74">
      <w:pPr>
        <w:tabs>
          <w:tab w:val="left" w:pos="851"/>
        </w:tabs>
        <w:ind w:left="851"/>
        <w:rPr>
          <w:sz w:val="24"/>
          <w:szCs w:val="24"/>
        </w:rPr>
      </w:pPr>
    </w:p>
    <w:p w14:paraId="367AE386" w14:textId="77777777" w:rsidR="00043B74" w:rsidRPr="00043B74" w:rsidRDefault="00043B74" w:rsidP="00043B74">
      <w:pPr>
        <w:tabs>
          <w:tab w:val="left" w:pos="851"/>
        </w:tabs>
        <w:ind w:left="851"/>
        <w:rPr>
          <w:iCs/>
          <w:sz w:val="24"/>
          <w:szCs w:val="24"/>
          <w:u w:val="single"/>
        </w:rPr>
      </w:pPr>
      <w:r w:rsidRPr="00043B74">
        <w:rPr>
          <w:sz w:val="24"/>
          <w:szCs w:val="24"/>
          <w:u w:val="single"/>
          <w:lang w:bidi="da-DK"/>
        </w:rPr>
        <w:t>Kvinder i den fødedygtige alder/prævention</w:t>
      </w:r>
    </w:p>
    <w:p w14:paraId="334B35D9" w14:textId="77777777" w:rsidR="00043B74" w:rsidRPr="00043B74" w:rsidRDefault="00043B74" w:rsidP="00043B74">
      <w:pPr>
        <w:tabs>
          <w:tab w:val="left" w:pos="851"/>
        </w:tabs>
        <w:ind w:left="851"/>
        <w:rPr>
          <w:iCs/>
          <w:sz w:val="24"/>
          <w:szCs w:val="24"/>
        </w:rPr>
      </w:pPr>
      <w:r w:rsidRPr="00043B74">
        <w:rPr>
          <w:sz w:val="24"/>
          <w:szCs w:val="24"/>
          <w:lang w:bidi="da-DK"/>
        </w:rPr>
        <w:t>Trevicopto må ikke anvendes til kvinder i den potentielt fødedygtige alder, medmindre der er truffet passende forebyggende foranstaltninger (se pkt. 5.3).</w:t>
      </w:r>
    </w:p>
    <w:p w14:paraId="675D9075" w14:textId="77777777" w:rsidR="00043B74" w:rsidRPr="00043B74" w:rsidRDefault="00043B74" w:rsidP="00043B74">
      <w:pPr>
        <w:tabs>
          <w:tab w:val="left" w:pos="851"/>
        </w:tabs>
        <w:ind w:left="851"/>
        <w:rPr>
          <w:iCs/>
          <w:sz w:val="24"/>
          <w:szCs w:val="24"/>
        </w:rPr>
      </w:pPr>
    </w:p>
    <w:p w14:paraId="0B7BD56A" w14:textId="77777777" w:rsidR="00043B74" w:rsidRPr="00043B74" w:rsidRDefault="00043B74" w:rsidP="00043B74">
      <w:pPr>
        <w:tabs>
          <w:tab w:val="left" w:pos="851"/>
        </w:tabs>
        <w:ind w:left="851"/>
        <w:rPr>
          <w:iCs/>
          <w:sz w:val="24"/>
          <w:szCs w:val="24"/>
          <w:u w:val="single"/>
        </w:rPr>
      </w:pPr>
      <w:r w:rsidRPr="00043B74">
        <w:rPr>
          <w:sz w:val="24"/>
          <w:szCs w:val="24"/>
          <w:u w:val="single"/>
          <w:lang w:bidi="da-DK"/>
        </w:rPr>
        <w:t>Graviditet</w:t>
      </w:r>
    </w:p>
    <w:p w14:paraId="0D0020CD" w14:textId="77777777" w:rsidR="00043B74" w:rsidRPr="00043B74" w:rsidRDefault="00043B74" w:rsidP="00043B74">
      <w:pPr>
        <w:tabs>
          <w:tab w:val="left" w:pos="851"/>
        </w:tabs>
        <w:ind w:left="851"/>
        <w:rPr>
          <w:iCs/>
          <w:sz w:val="24"/>
          <w:szCs w:val="24"/>
        </w:rPr>
      </w:pPr>
      <w:r w:rsidRPr="00043B74">
        <w:rPr>
          <w:sz w:val="24"/>
          <w:szCs w:val="24"/>
          <w:lang w:bidi="da-DK"/>
        </w:rPr>
        <w:t>Travoprost kan have skadelige farmakologiske virkninger på graviditet og/eller fosteret/det nyfødte barn.</w:t>
      </w:r>
    </w:p>
    <w:p w14:paraId="58F71636" w14:textId="77777777" w:rsidR="00043B74" w:rsidRPr="00043B74" w:rsidRDefault="00043B74" w:rsidP="00043B74">
      <w:pPr>
        <w:tabs>
          <w:tab w:val="left" w:pos="851"/>
        </w:tabs>
        <w:ind w:left="851"/>
        <w:rPr>
          <w:iCs/>
          <w:sz w:val="24"/>
          <w:szCs w:val="24"/>
        </w:rPr>
      </w:pPr>
      <w:r w:rsidRPr="00043B74">
        <w:rPr>
          <w:sz w:val="24"/>
          <w:szCs w:val="24"/>
          <w:lang w:bidi="da-DK"/>
        </w:rPr>
        <w:t>Trevicopto</w:t>
      </w:r>
    </w:p>
    <w:p w14:paraId="1A1C093C" w14:textId="77777777" w:rsidR="00043B74" w:rsidRPr="00043B74" w:rsidRDefault="00043B74" w:rsidP="00043B74">
      <w:pPr>
        <w:tabs>
          <w:tab w:val="left" w:pos="851"/>
        </w:tabs>
        <w:ind w:left="851"/>
        <w:rPr>
          <w:iCs/>
          <w:sz w:val="24"/>
          <w:szCs w:val="24"/>
        </w:rPr>
      </w:pPr>
    </w:p>
    <w:p w14:paraId="409B00B0" w14:textId="77777777" w:rsidR="00043B74" w:rsidRPr="00043B74" w:rsidRDefault="00043B74" w:rsidP="00043B74">
      <w:pPr>
        <w:tabs>
          <w:tab w:val="left" w:pos="851"/>
        </w:tabs>
        <w:ind w:left="851"/>
        <w:rPr>
          <w:iCs/>
          <w:sz w:val="24"/>
          <w:szCs w:val="24"/>
          <w:u w:val="single"/>
        </w:rPr>
      </w:pPr>
      <w:r w:rsidRPr="00043B74">
        <w:rPr>
          <w:sz w:val="24"/>
          <w:szCs w:val="24"/>
          <w:u w:val="single"/>
          <w:lang w:bidi="da-DK"/>
        </w:rPr>
        <w:t>Amning</w:t>
      </w:r>
    </w:p>
    <w:p w14:paraId="73C716A2" w14:textId="77777777" w:rsidR="00043B74" w:rsidRPr="00043B74" w:rsidRDefault="00043B74" w:rsidP="00043B74">
      <w:pPr>
        <w:tabs>
          <w:tab w:val="left" w:pos="851"/>
        </w:tabs>
        <w:ind w:left="851"/>
        <w:rPr>
          <w:iCs/>
          <w:sz w:val="24"/>
          <w:szCs w:val="24"/>
        </w:rPr>
      </w:pPr>
      <w:r w:rsidRPr="00043B74">
        <w:rPr>
          <w:sz w:val="24"/>
          <w:szCs w:val="24"/>
          <w:lang w:bidi="da-DK"/>
        </w:rPr>
        <w:t>Det vides ikke, om travoprost fra øjendråberne overføres til i modermælken. Dyreforsøg har vist udskillelse af travoprost og metabolitter i modermælk. Ammende mødre anbefales ikke at anvende Trevicopto.</w:t>
      </w:r>
    </w:p>
    <w:p w14:paraId="37BC4727" w14:textId="77777777" w:rsidR="00043B74" w:rsidRPr="00043B74" w:rsidRDefault="00043B74" w:rsidP="00043B74">
      <w:pPr>
        <w:tabs>
          <w:tab w:val="left" w:pos="851"/>
        </w:tabs>
        <w:ind w:left="851"/>
        <w:rPr>
          <w:iCs/>
          <w:sz w:val="24"/>
          <w:szCs w:val="24"/>
          <w:u w:val="single"/>
        </w:rPr>
      </w:pPr>
    </w:p>
    <w:p w14:paraId="4D027836" w14:textId="77777777" w:rsidR="00043B74" w:rsidRPr="00043B74" w:rsidRDefault="00043B74" w:rsidP="00043B74">
      <w:pPr>
        <w:tabs>
          <w:tab w:val="left" w:pos="851"/>
        </w:tabs>
        <w:ind w:left="851"/>
        <w:rPr>
          <w:iCs/>
          <w:sz w:val="24"/>
          <w:szCs w:val="24"/>
          <w:u w:val="single"/>
        </w:rPr>
      </w:pPr>
      <w:r w:rsidRPr="00043B74">
        <w:rPr>
          <w:sz w:val="24"/>
          <w:szCs w:val="24"/>
          <w:u w:val="single"/>
          <w:lang w:bidi="da-DK"/>
        </w:rPr>
        <w:t>Fertilitet</w:t>
      </w:r>
    </w:p>
    <w:p w14:paraId="5FF6B471" w14:textId="77777777" w:rsidR="00043B74" w:rsidRPr="00043B74" w:rsidRDefault="00043B74" w:rsidP="00043B74">
      <w:pPr>
        <w:tabs>
          <w:tab w:val="left" w:pos="851"/>
        </w:tabs>
        <w:ind w:left="851"/>
        <w:rPr>
          <w:iCs/>
          <w:sz w:val="24"/>
          <w:szCs w:val="24"/>
        </w:rPr>
      </w:pPr>
      <w:r w:rsidRPr="00043B74">
        <w:rPr>
          <w:sz w:val="24"/>
          <w:szCs w:val="24"/>
          <w:lang w:bidi="da-DK"/>
        </w:rPr>
        <w:t>Der er ingen data om travoprosts effekt på menneskers fertilitet. Dyreforsøg har ikke vist nogen effekt af travoprost på fertiliteten ved doser på mere end 250 gange den maksimale anbefalede okulære dosis til mennesker.</w:t>
      </w:r>
    </w:p>
    <w:p w14:paraId="1F05C950" w14:textId="77777777" w:rsidR="009260DE" w:rsidRPr="00C84483" w:rsidRDefault="009260DE" w:rsidP="009260DE">
      <w:pPr>
        <w:tabs>
          <w:tab w:val="left" w:pos="851"/>
        </w:tabs>
        <w:ind w:left="851"/>
        <w:rPr>
          <w:sz w:val="24"/>
          <w:szCs w:val="24"/>
        </w:rPr>
      </w:pPr>
    </w:p>
    <w:p w14:paraId="3C08B51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798A611" w14:textId="77777777" w:rsidR="00043B74" w:rsidRPr="00043B74" w:rsidRDefault="00043B74" w:rsidP="00043B74">
      <w:pPr>
        <w:tabs>
          <w:tab w:val="left" w:pos="851"/>
        </w:tabs>
        <w:ind w:left="851"/>
        <w:rPr>
          <w:sz w:val="24"/>
          <w:szCs w:val="24"/>
        </w:rPr>
      </w:pPr>
      <w:r w:rsidRPr="00043B74">
        <w:rPr>
          <w:sz w:val="24"/>
          <w:szCs w:val="24"/>
        </w:rPr>
        <w:t>Ikke mærkning.</w:t>
      </w:r>
    </w:p>
    <w:p w14:paraId="26279213" w14:textId="77777777" w:rsidR="00043B74" w:rsidRPr="00043B74" w:rsidRDefault="00043B74" w:rsidP="00043B74">
      <w:pPr>
        <w:tabs>
          <w:tab w:val="left" w:pos="851"/>
        </w:tabs>
        <w:ind w:left="851"/>
        <w:rPr>
          <w:sz w:val="24"/>
          <w:szCs w:val="24"/>
        </w:rPr>
      </w:pPr>
      <w:r w:rsidRPr="00043B74">
        <w:rPr>
          <w:sz w:val="24"/>
          <w:szCs w:val="24"/>
          <w:lang w:bidi="da-DK"/>
        </w:rPr>
        <w:t>Trevicopto påvirker ikke eller kun i ubetydelig grad evnen til at føre motorkøretøj eller betjene maskiner, men som med alle øjendråber kan midlertidigt sløret syn eller andre synsforstyrrelser påvirke evnen til at føre motorkøretøj eller betjene maskiner. Hvis der opstår sløret syn, skal patienten vente, indtil synet er klart, før denne kører bil eller betjener maskiner.</w:t>
      </w:r>
    </w:p>
    <w:p w14:paraId="75017CE1" w14:textId="77777777" w:rsidR="009260DE" w:rsidRPr="00C84483" w:rsidRDefault="009260DE" w:rsidP="009260DE">
      <w:pPr>
        <w:tabs>
          <w:tab w:val="left" w:pos="851"/>
        </w:tabs>
        <w:ind w:left="851"/>
        <w:rPr>
          <w:sz w:val="24"/>
          <w:szCs w:val="24"/>
        </w:rPr>
      </w:pPr>
    </w:p>
    <w:p w14:paraId="5520B61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D5B8AD3" w14:textId="77777777" w:rsidR="00043B74" w:rsidRPr="00043B74" w:rsidRDefault="00043B74" w:rsidP="00043B74">
      <w:pPr>
        <w:tabs>
          <w:tab w:val="left" w:pos="851"/>
        </w:tabs>
        <w:ind w:left="851"/>
        <w:rPr>
          <w:sz w:val="24"/>
          <w:szCs w:val="24"/>
          <w:lang w:val="fr-FR"/>
        </w:rPr>
      </w:pPr>
    </w:p>
    <w:p w14:paraId="7BE989C7" w14:textId="77777777" w:rsidR="00043B74" w:rsidRPr="00043B74" w:rsidRDefault="00043B74" w:rsidP="00043B74">
      <w:pPr>
        <w:tabs>
          <w:tab w:val="left" w:pos="851"/>
        </w:tabs>
        <w:ind w:left="851"/>
        <w:rPr>
          <w:sz w:val="24"/>
          <w:szCs w:val="24"/>
          <w:u w:val="single"/>
        </w:rPr>
      </w:pPr>
      <w:r w:rsidRPr="00043B74">
        <w:rPr>
          <w:sz w:val="24"/>
          <w:szCs w:val="24"/>
          <w:u w:val="single"/>
          <w:lang w:bidi="da-DK"/>
        </w:rPr>
        <w:t>Sammenfatning af sikkerhedsprofilen</w:t>
      </w:r>
    </w:p>
    <w:p w14:paraId="41F9A243" w14:textId="77777777" w:rsidR="00043B74" w:rsidRPr="00043B74" w:rsidRDefault="00043B74" w:rsidP="00043B74">
      <w:pPr>
        <w:tabs>
          <w:tab w:val="left" w:pos="851"/>
        </w:tabs>
        <w:ind w:left="851"/>
        <w:rPr>
          <w:sz w:val="24"/>
          <w:szCs w:val="24"/>
        </w:rPr>
      </w:pPr>
      <w:r w:rsidRPr="00043B74">
        <w:rPr>
          <w:sz w:val="24"/>
          <w:szCs w:val="24"/>
          <w:lang w:bidi="da-DK"/>
        </w:rPr>
        <w:t>I kliniske forsøg med travoprost har de mest almindelige bivirkninger været okulær hypearæmi og hyperpigmentering af iris, som forekom hos henholdsvis ca. 20 % og 6 % af patienterne.</w:t>
      </w:r>
    </w:p>
    <w:p w14:paraId="20D2B2B8" w14:textId="6AD0A4DA" w:rsidR="00043B74" w:rsidRDefault="00043B74">
      <w:pPr>
        <w:rPr>
          <w:sz w:val="24"/>
          <w:szCs w:val="24"/>
        </w:rPr>
      </w:pPr>
      <w:r>
        <w:rPr>
          <w:sz w:val="24"/>
          <w:szCs w:val="24"/>
        </w:rPr>
        <w:br w:type="page"/>
      </w:r>
    </w:p>
    <w:p w14:paraId="61513521" w14:textId="77777777" w:rsidR="00043B74" w:rsidRPr="00043B74" w:rsidRDefault="00043B74" w:rsidP="00043B74">
      <w:pPr>
        <w:tabs>
          <w:tab w:val="left" w:pos="851"/>
        </w:tabs>
        <w:ind w:left="851"/>
        <w:rPr>
          <w:sz w:val="24"/>
          <w:szCs w:val="24"/>
        </w:rPr>
      </w:pPr>
    </w:p>
    <w:p w14:paraId="4E1EF02B" w14:textId="77777777" w:rsidR="00043B74" w:rsidRPr="00043B74" w:rsidRDefault="00043B74" w:rsidP="00043B74">
      <w:pPr>
        <w:tabs>
          <w:tab w:val="left" w:pos="851"/>
        </w:tabs>
        <w:ind w:left="851"/>
        <w:rPr>
          <w:sz w:val="24"/>
          <w:szCs w:val="24"/>
          <w:u w:val="single"/>
        </w:rPr>
      </w:pPr>
      <w:r w:rsidRPr="00043B74">
        <w:rPr>
          <w:sz w:val="24"/>
          <w:szCs w:val="24"/>
          <w:u w:val="single"/>
          <w:lang w:bidi="da-DK"/>
        </w:rPr>
        <w:t>Liste over bivirkninger i skemaform</w:t>
      </w:r>
    </w:p>
    <w:p w14:paraId="0E2CF37B" w14:textId="01DEB6AF" w:rsidR="00043B74" w:rsidRPr="00043B74" w:rsidRDefault="00043B74" w:rsidP="00043B74">
      <w:pPr>
        <w:tabs>
          <w:tab w:val="left" w:pos="851"/>
        </w:tabs>
        <w:ind w:left="851"/>
        <w:rPr>
          <w:sz w:val="24"/>
          <w:szCs w:val="24"/>
        </w:rPr>
      </w:pPr>
      <w:r w:rsidRPr="00043B74">
        <w:rPr>
          <w:sz w:val="24"/>
          <w:szCs w:val="24"/>
          <w:lang w:bidi="da-DK"/>
        </w:rPr>
        <w:t xml:space="preserve">Følgende bivirkninger er klassificeret efter følgende konvention: </w:t>
      </w:r>
      <w:r>
        <w:rPr>
          <w:sz w:val="24"/>
          <w:szCs w:val="24"/>
          <w:lang w:bidi="da-DK"/>
        </w:rPr>
        <w:t>M</w:t>
      </w:r>
      <w:r w:rsidRPr="00043B74">
        <w:rPr>
          <w:sz w:val="24"/>
          <w:szCs w:val="24"/>
          <w:lang w:bidi="da-DK"/>
        </w:rPr>
        <w:t>eget almindelige (≥1/10), almindelige (≥1/100 til &lt;1/10), ikke almindelige (≥1/1.000 til &lt;1/100), sjældne (≥1/10.000 til&lt;1/1.000), meget sjældne &lt;1/10.000) eller ukendte (hyppigheden kan ikke estimeres ud fra de tilgængelige data). Inden for hver frekvensgruppe præsenteres bivirkningerne i faldende rækkefølge i forhold til alvorlighedsgrad. Bivirkningerne stammer fra kliniske forsøg og data efter markedsføring af travoprost.</w:t>
      </w:r>
    </w:p>
    <w:p w14:paraId="6D855CCB" w14:textId="77777777" w:rsidR="00043B74" w:rsidRPr="00043B74" w:rsidRDefault="00043B74" w:rsidP="00043B74">
      <w:pPr>
        <w:tabs>
          <w:tab w:val="left" w:pos="851"/>
        </w:tabs>
        <w:ind w:left="851"/>
        <w:rPr>
          <w:sz w:val="24"/>
          <w:szCs w:val="24"/>
        </w:rPr>
      </w:pPr>
    </w:p>
    <w:tbl>
      <w:tblPr>
        <w:tblW w:w="7815" w:type="dxa"/>
        <w:tblInd w:w="562" w:type="dxa"/>
        <w:tblLayout w:type="fixed"/>
        <w:tblLook w:val="04A0" w:firstRow="1" w:lastRow="0" w:firstColumn="1" w:lastColumn="0" w:noHBand="0" w:noVBand="1"/>
      </w:tblPr>
      <w:tblGrid>
        <w:gridCol w:w="2553"/>
        <w:gridCol w:w="1559"/>
        <w:gridCol w:w="3703"/>
      </w:tblGrid>
      <w:tr w:rsidR="00043B74" w:rsidRPr="00043B74" w14:paraId="71CA422D" w14:textId="77777777" w:rsidTr="00043B74">
        <w:trPr>
          <w:trHeight w:val="468"/>
        </w:trPr>
        <w:tc>
          <w:tcPr>
            <w:tcW w:w="2552" w:type="dxa"/>
            <w:tcBorders>
              <w:top w:val="single" w:sz="4" w:space="0" w:color="auto"/>
              <w:left w:val="single" w:sz="4" w:space="0" w:color="auto"/>
              <w:bottom w:val="single" w:sz="4" w:space="0" w:color="auto"/>
              <w:right w:val="single" w:sz="4" w:space="0" w:color="auto"/>
            </w:tcBorders>
            <w:hideMark/>
          </w:tcPr>
          <w:p w14:paraId="3045D0E8" w14:textId="77777777" w:rsidR="00043B74" w:rsidRPr="00043B74" w:rsidRDefault="00043B74" w:rsidP="00043B74">
            <w:pPr>
              <w:tabs>
                <w:tab w:val="left" w:pos="1168"/>
              </w:tabs>
              <w:ind w:left="34"/>
              <w:rPr>
                <w:b/>
                <w:sz w:val="24"/>
                <w:szCs w:val="24"/>
                <w:lang w:val="en-GB"/>
              </w:rPr>
            </w:pPr>
            <w:r w:rsidRPr="00043B74">
              <w:rPr>
                <w:b/>
                <w:sz w:val="24"/>
                <w:szCs w:val="24"/>
                <w:lang w:bidi="da-DK"/>
              </w:rPr>
              <w:t>Organklasse</w:t>
            </w:r>
          </w:p>
        </w:tc>
        <w:tc>
          <w:tcPr>
            <w:tcW w:w="1559" w:type="dxa"/>
            <w:tcBorders>
              <w:top w:val="single" w:sz="4" w:space="0" w:color="auto"/>
              <w:left w:val="single" w:sz="4" w:space="0" w:color="auto"/>
              <w:bottom w:val="single" w:sz="4" w:space="0" w:color="auto"/>
              <w:right w:val="single" w:sz="4" w:space="0" w:color="auto"/>
            </w:tcBorders>
            <w:hideMark/>
          </w:tcPr>
          <w:p w14:paraId="016C232F" w14:textId="77777777" w:rsidR="00043B74" w:rsidRPr="00043B74" w:rsidRDefault="00043B74" w:rsidP="00043B74">
            <w:pPr>
              <w:ind w:left="33"/>
              <w:rPr>
                <w:b/>
                <w:sz w:val="24"/>
                <w:szCs w:val="24"/>
                <w:lang w:val="en-GB"/>
              </w:rPr>
            </w:pPr>
            <w:r w:rsidRPr="00043B74">
              <w:rPr>
                <w:b/>
                <w:sz w:val="24"/>
                <w:szCs w:val="24"/>
                <w:lang w:bidi="da-DK"/>
              </w:rPr>
              <w:t>Hyppighed</w:t>
            </w:r>
          </w:p>
        </w:tc>
        <w:tc>
          <w:tcPr>
            <w:tcW w:w="3703" w:type="dxa"/>
            <w:tcBorders>
              <w:top w:val="single" w:sz="4" w:space="0" w:color="auto"/>
              <w:left w:val="single" w:sz="4" w:space="0" w:color="auto"/>
              <w:bottom w:val="single" w:sz="4" w:space="0" w:color="auto"/>
              <w:right w:val="single" w:sz="4" w:space="0" w:color="auto"/>
            </w:tcBorders>
            <w:hideMark/>
          </w:tcPr>
          <w:p w14:paraId="2C8E7FD1" w14:textId="77777777" w:rsidR="00043B74" w:rsidRPr="00043B74" w:rsidRDefault="00043B74" w:rsidP="00043B74">
            <w:pPr>
              <w:ind w:left="33"/>
              <w:rPr>
                <w:b/>
                <w:sz w:val="24"/>
                <w:szCs w:val="24"/>
                <w:lang w:val="en-GB"/>
              </w:rPr>
            </w:pPr>
            <w:r w:rsidRPr="00043B74">
              <w:rPr>
                <w:b/>
                <w:sz w:val="24"/>
                <w:szCs w:val="24"/>
                <w:lang w:bidi="da-DK"/>
              </w:rPr>
              <w:t>Bivirkninger</w:t>
            </w:r>
          </w:p>
        </w:tc>
      </w:tr>
      <w:tr w:rsidR="00043B74" w:rsidRPr="00043B74" w14:paraId="1E8A4EAA" w14:textId="77777777" w:rsidTr="00043B74">
        <w:trPr>
          <w:trHeight w:val="448"/>
        </w:trPr>
        <w:tc>
          <w:tcPr>
            <w:tcW w:w="2552" w:type="dxa"/>
            <w:tcBorders>
              <w:top w:val="single" w:sz="4" w:space="0" w:color="auto"/>
              <w:left w:val="single" w:sz="4" w:space="0" w:color="auto"/>
              <w:bottom w:val="single" w:sz="4" w:space="0" w:color="auto"/>
              <w:right w:val="single" w:sz="4" w:space="0" w:color="auto"/>
            </w:tcBorders>
            <w:hideMark/>
          </w:tcPr>
          <w:p w14:paraId="7759A81A" w14:textId="77777777" w:rsidR="00043B74" w:rsidRPr="00043B74" w:rsidRDefault="00043B74" w:rsidP="00043B74">
            <w:pPr>
              <w:tabs>
                <w:tab w:val="left" w:pos="1168"/>
              </w:tabs>
              <w:ind w:left="34"/>
              <w:rPr>
                <w:bCs/>
                <w:sz w:val="24"/>
                <w:szCs w:val="24"/>
                <w:lang w:val="en-GB"/>
              </w:rPr>
            </w:pPr>
            <w:r w:rsidRPr="00043B74">
              <w:rPr>
                <w:sz w:val="24"/>
                <w:szCs w:val="24"/>
                <w:lang w:bidi="da-DK"/>
              </w:rPr>
              <w:t>Lidelser i immunsystemet</w:t>
            </w:r>
          </w:p>
        </w:tc>
        <w:tc>
          <w:tcPr>
            <w:tcW w:w="1559" w:type="dxa"/>
            <w:tcBorders>
              <w:top w:val="single" w:sz="4" w:space="0" w:color="auto"/>
              <w:left w:val="single" w:sz="4" w:space="0" w:color="auto"/>
              <w:bottom w:val="single" w:sz="4" w:space="0" w:color="auto"/>
              <w:right w:val="single" w:sz="4" w:space="0" w:color="auto"/>
            </w:tcBorders>
            <w:hideMark/>
          </w:tcPr>
          <w:p w14:paraId="4592D752"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2D5B3198" w14:textId="77777777" w:rsidR="00043B74" w:rsidRPr="00043B74" w:rsidRDefault="00043B74" w:rsidP="00043B74">
            <w:pPr>
              <w:ind w:left="33"/>
              <w:rPr>
                <w:sz w:val="24"/>
                <w:szCs w:val="24"/>
                <w:lang w:val="en-GB"/>
              </w:rPr>
            </w:pPr>
            <w:r w:rsidRPr="00043B74">
              <w:rPr>
                <w:sz w:val="24"/>
                <w:szCs w:val="24"/>
                <w:lang w:bidi="da-DK"/>
              </w:rPr>
              <w:t>Overfølsomhed, sæsonbestemt allergi</w:t>
            </w:r>
          </w:p>
        </w:tc>
      </w:tr>
      <w:tr w:rsidR="00043B74" w:rsidRPr="00043B74" w14:paraId="19BFB26A" w14:textId="77777777" w:rsidTr="00043B74">
        <w:trPr>
          <w:trHeight w:val="411"/>
        </w:trPr>
        <w:tc>
          <w:tcPr>
            <w:tcW w:w="2552" w:type="dxa"/>
            <w:tcBorders>
              <w:top w:val="single" w:sz="4" w:space="0" w:color="auto"/>
              <w:left w:val="single" w:sz="4" w:space="0" w:color="auto"/>
              <w:bottom w:val="single" w:sz="4" w:space="0" w:color="auto"/>
              <w:right w:val="single" w:sz="4" w:space="0" w:color="auto"/>
            </w:tcBorders>
            <w:hideMark/>
          </w:tcPr>
          <w:p w14:paraId="3AF89D4F" w14:textId="77777777" w:rsidR="00043B74" w:rsidRPr="00043B74" w:rsidRDefault="00043B74" w:rsidP="00043B74">
            <w:pPr>
              <w:tabs>
                <w:tab w:val="left" w:pos="1168"/>
              </w:tabs>
              <w:ind w:left="34"/>
              <w:rPr>
                <w:bCs/>
                <w:sz w:val="24"/>
                <w:szCs w:val="24"/>
                <w:lang w:val="en-GB"/>
              </w:rPr>
            </w:pPr>
            <w:r w:rsidRPr="00043B74">
              <w:rPr>
                <w:sz w:val="24"/>
                <w:szCs w:val="24"/>
                <w:lang w:bidi="da-DK"/>
              </w:rPr>
              <w:t>Psykiatriske lidelser</w:t>
            </w:r>
          </w:p>
        </w:tc>
        <w:tc>
          <w:tcPr>
            <w:tcW w:w="1559" w:type="dxa"/>
            <w:tcBorders>
              <w:top w:val="single" w:sz="4" w:space="0" w:color="auto"/>
              <w:left w:val="single" w:sz="4" w:space="0" w:color="auto"/>
              <w:bottom w:val="single" w:sz="4" w:space="0" w:color="auto"/>
              <w:right w:val="single" w:sz="4" w:space="0" w:color="auto"/>
            </w:tcBorders>
            <w:hideMark/>
          </w:tcPr>
          <w:p w14:paraId="6EB7B976"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1952D4F0" w14:textId="77777777" w:rsidR="00043B74" w:rsidRPr="00043B74" w:rsidRDefault="00043B74" w:rsidP="00043B74">
            <w:pPr>
              <w:ind w:left="33"/>
              <w:rPr>
                <w:sz w:val="24"/>
                <w:szCs w:val="24"/>
                <w:lang w:val="en-GB"/>
              </w:rPr>
            </w:pPr>
            <w:r w:rsidRPr="00043B74">
              <w:rPr>
                <w:sz w:val="24"/>
                <w:szCs w:val="24"/>
                <w:lang w:bidi="da-DK"/>
              </w:rPr>
              <w:t>Depression, angst, søvnløshed</w:t>
            </w:r>
          </w:p>
        </w:tc>
      </w:tr>
      <w:tr w:rsidR="00043B74" w:rsidRPr="00043B74" w14:paraId="2AC25DF0" w14:textId="77777777" w:rsidTr="00043B74">
        <w:trPr>
          <w:trHeight w:val="431"/>
        </w:trPr>
        <w:tc>
          <w:tcPr>
            <w:tcW w:w="2552" w:type="dxa"/>
            <w:vMerge w:val="restart"/>
            <w:tcBorders>
              <w:top w:val="single" w:sz="4" w:space="0" w:color="auto"/>
              <w:left w:val="single" w:sz="4" w:space="0" w:color="auto"/>
              <w:bottom w:val="single" w:sz="4" w:space="0" w:color="auto"/>
              <w:right w:val="single" w:sz="4" w:space="0" w:color="auto"/>
            </w:tcBorders>
            <w:hideMark/>
          </w:tcPr>
          <w:p w14:paraId="6A2C3AF6" w14:textId="77777777" w:rsidR="00043B74" w:rsidRPr="00043B74" w:rsidRDefault="00043B74" w:rsidP="00043B74">
            <w:pPr>
              <w:tabs>
                <w:tab w:val="left" w:pos="1168"/>
              </w:tabs>
              <w:ind w:left="34"/>
              <w:rPr>
                <w:bCs/>
                <w:sz w:val="24"/>
                <w:szCs w:val="24"/>
                <w:lang w:val="en-GB"/>
              </w:rPr>
            </w:pPr>
            <w:r w:rsidRPr="00043B74">
              <w:rPr>
                <w:sz w:val="24"/>
                <w:szCs w:val="24"/>
                <w:lang w:bidi="da-DK"/>
              </w:rPr>
              <w:t>Nervesystemet</w:t>
            </w:r>
          </w:p>
        </w:tc>
        <w:tc>
          <w:tcPr>
            <w:tcW w:w="1559" w:type="dxa"/>
            <w:tcBorders>
              <w:top w:val="single" w:sz="4" w:space="0" w:color="auto"/>
              <w:left w:val="single" w:sz="4" w:space="0" w:color="auto"/>
              <w:bottom w:val="single" w:sz="4" w:space="0" w:color="auto"/>
              <w:right w:val="single" w:sz="4" w:space="0" w:color="auto"/>
            </w:tcBorders>
            <w:hideMark/>
          </w:tcPr>
          <w:p w14:paraId="3DDEE0E2"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2A661F0F" w14:textId="77777777" w:rsidR="00043B74" w:rsidRPr="00043B74" w:rsidRDefault="00043B74" w:rsidP="00043B74">
            <w:pPr>
              <w:ind w:left="33"/>
              <w:rPr>
                <w:sz w:val="24"/>
                <w:szCs w:val="24"/>
                <w:lang w:val="en-GB"/>
              </w:rPr>
            </w:pPr>
            <w:r w:rsidRPr="00043B74">
              <w:rPr>
                <w:sz w:val="24"/>
                <w:szCs w:val="24"/>
                <w:lang w:bidi="da-DK"/>
              </w:rPr>
              <w:t>Hovedpine</w:t>
            </w:r>
          </w:p>
        </w:tc>
      </w:tr>
      <w:tr w:rsidR="00043B74" w:rsidRPr="00043B74" w14:paraId="6C38CF19" w14:textId="77777777" w:rsidTr="00043B74">
        <w:trPr>
          <w:trHeight w:val="39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D9A91B5"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2DD4BE92"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559FBD95" w14:textId="77777777" w:rsidR="00043B74" w:rsidRPr="00043B74" w:rsidRDefault="00043B74" w:rsidP="00043B74">
            <w:pPr>
              <w:ind w:left="33"/>
              <w:rPr>
                <w:sz w:val="24"/>
                <w:szCs w:val="24"/>
                <w:lang w:val="en-GB"/>
              </w:rPr>
            </w:pPr>
            <w:r w:rsidRPr="00043B74">
              <w:rPr>
                <w:sz w:val="24"/>
                <w:szCs w:val="24"/>
                <w:lang w:bidi="da-DK"/>
              </w:rPr>
              <w:t>Svimmelhed, synsfeltdefekt, dysgeusi</w:t>
            </w:r>
          </w:p>
        </w:tc>
      </w:tr>
      <w:tr w:rsidR="00043B74" w:rsidRPr="00043B74" w14:paraId="2A87AB50" w14:textId="77777777" w:rsidTr="00043B74">
        <w:trPr>
          <w:trHeight w:val="374"/>
        </w:trPr>
        <w:tc>
          <w:tcPr>
            <w:tcW w:w="2552" w:type="dxa"/>
            <w:vMerge w:val="restart"/>
            <w:tcBorders>
              <w:top w:val="single" w:sz="4" w:space="0" w:color="auto"/>
              <w:left w:val="single" w:sz="4" w:space="0" w:color="auto"/>
              <w:bottom w:val="single" w:sz="4" w:space="0" w:color="auto"/>
              <w:right w:val="single" w:sz="4" w:space="0" w:color="auto"/>
            </w:tcBorders>
            <w:hideMark/>
          </w:tcPr>
          <w:p w14:paraId="5A6DE758" w14:textId="77777777" w:rsidR="00043B74" w:rsidRPr="00043B74" w:rsidRDefault="00043B74" w:rsidP="00043B74">
            <w:pPr>
              <w:tabs>
                <w:tab w:val="left" w:pos="1168"/>
              </w:tabs>
              <w:ind w:left="34"/>
              <w:rPr>
                <w:bCs/>
                <w:sz w:val="24"/>
                <w:szCs w:val="24"/>
                <w:lang w:val="en-GB"/>
              </w:rPr>
            </w:pPr>
            <w:r w:rsidRPr="00043B74">
              <w:rPr>
                <w:sz w:val="24"/>
                <w:szCs w:val="24"/>
                <w:lang w:bidi="da-DK"/>
              </w:rPr>
              <w:t>Lidelser i øjne</w:t>
            </w:r>
          </w:p>
        </w:tc>
        <w:tc>
          <w:tcPr>
            <w:tcW w:w="1559" w:type="dxa"/>
            <w:tcBorders>
              <w:top w:val="single" w:sz="4" w:space="0" w:color="auto"/>
              <w:left w:val="single" w:sz="4" w:space="0" w:color="auto"/>
              <w:bottom w:val="single" w:sz="4" w:space="0" w:color="auto"/>
              <w:right w:val="single" w:sz="4" w:space="0" w:color="auto"/>
            </w:tcBorders>
            <w:hideMark/>
          </w:tcPr>
          <w:p w14:paraId="4550FF26" w14:textId="77777777" w:rsidR="00043B74" w:rsidRPr="00043B74" w:rsidRDefault="00043B74" w:rsidP="00043B74">
            <w:pPr>
              <w:ind w:left="33"/>
              <w:rPr>
                <w:sz w:val="24"/>
                <w:szCs w:val="24"/>
                <w:lang w:val="en-GB"/>
              </w:rPr>
            </w:pPr>
            <w:r w:rsidRPr="00043B74">
              <w:rPr>
                <w:sz w:val="24"/>
                <w:szCs w:val="24"/>
                <w:lang w:bidi="da-DK"/>
              </w:rPr>
              <w:t>Meget almindelige</w:t>
            </w:r>
          </w:p>
        </w:tc>
        <w:tc>
          <w:tcPr>
            <w:tcW w:w="3703" w:type="dxa"/>
            <w:tcBorders>
              <w:top w:val="single" w:sz="4" w:space="0" w:color="auto"/>
              <w:left w:val="single" w:sz="4" w:space="0" w:color="auto"/>
              <w:bottom w:val="single" w:sz="4" w:space="0" w:color="auto"/>
              <w:right w:val="single" w:sz="4" w:space="0" w:color="auto"/>
            </w:tcBorders>
            <w:hideMark/>
          </w:tcPr>
          <w:p w14:paraId="4F592906" w14:textId="77777777" w:rsidR="00043B74" w:rsidRPr="00043B74" w:rsidRDefault="00043B74" w:rsidP="00043B74">
            <w:pPr>
              <w:ind w:left="33"/>
              <w:rPr>
                <w:sz w:val="24"/>
                <w:szCs w:val="24"/>
                <w:lang w:val="en-GB"/>
              </w:rPr>
            </w:pPr>
            <w:r w:rsidRPr="00043B74">
              <w:rPr>
                <w:sz w:val="24"/>
                <w:szCs w:val="24"/>
                <w:lang w:bidi="da-DK"/>
              </w:rPr>
              <w:t>Hyperæmi i øjne</w:t>
            </w:r>
          </w:p>
        </w:tc>
      </w:tr>
      <w:tr w:rsidR="00043B74" w:rsidRPr="00043B74" w14:paraId="23912295" w14:textId="77777777" w:rsidTr="00043B74">
        <w:trPr>
          <w:trHeight w:val="8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1C3F7A0"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45FF8D9E" w14:textId="77777777" w:rsidR="00043B74" w:rsidRPr="00043B74" w:rsidRDefault="00043B74" w:rsidP="00043B74">
            <w:pPr>
              <w:ind w:left="33"/>
              <w:rPr>
                <w:sz w:val="24"/>
                <w:szCs w:val="24"/>
                <w:lang w:val="en-GB"/>
              </w:rPr>
            </w:pPr>
            <w:r w:rsidRPr="00043B74">
              <w:rPr>
                <w:sz w:val="24"/>
                <w:szCs w:val="24"/>
                <w:lang w:bidi="da-DK"/>
              </w:rPr>
              <w:t>Almindelig</w:t>
            </w:r>
          </w:p>
        </w:tc>
        <w:tc>
          <w:tcPr>
            <w:tcW w:w="3703" w:type="dxa"/>
            <w:tcBorders>
              <w:top w:val="single" w:sz="4" w:space="0" w:color="auto"/>
              <w:left w:val="single" w:sz="4" w:space="0" w:color="auto"/>
              <w:bottom w:val="single" w:sz="4" w:space="0" w:color="auto"/>
              <w:right w:val="single" w:sz="4" w:space="0" w:color="auto"/>
            </w:tcBorders>
            <w:hideMark/>
          </w:tcPr>
          <w:p w14:paraId="77E8ADBA" w14:textId="77777777" w:rsidR="00043B74" w:rsidRPr="00043B74" w:rsidRDefault="00043B74" w:rsidP="00043B74">
            <w:pPr>
              <w:ind w:left="33"/>
              <w:rPr>
                <w:sz w:val="24"/>
                <w:szCs w:val="24"/>
              </w:rPr>
            </w:pPr>
            <w:r w:rsidRPr="00043B74">
              <w:rPr>
                <w:sz w:val="24"/>
                <w:szCs w:val="24"/>
                <w:lang w:bidi="da-DK"/>
              </w:rPr>
              <w:t>Hyperpigmentering af iris, øjensmerter, okulær</w:t>
            </w:r>
          </w:p>
          <w:p w14:paraId="345DB5C7" w14:textId="77777777" w:rsidR="00043B74" w:rsidRPr="00043B74" w:rsidRDefault="00043B74" w:rsidP="00043B74">
            <w:pPr>
              <w:ind w:left="33"/>
              <w:rPr>
                <w:sz w:val="24"/>
                <w:szCs w:val="24"/>
              </w:rPr>
            </w:pPr>
            <w:r w:rsidRPr="00043B74">
              <w:rPr>
                <w:sz w:val="24"/>
                <w:szCs w:val="24"/>
                <w:lang w:bidi="da-DK"/>
              </w:rPr>
              <w:t>ubehag, øjentørhed, øjenkløe,</w:t>
            </w:r>
          </w:p>
          <w:p w14:paraId="0A135ADA" w14:textId="77777777" w:rsidR="00043B74" w:rsidRPr="00043B74" w:rsidRDefault="00043B74" w:rsidP="00043B74">
            <w:pPr>
              <w:ind w:left="33"/>
              <w:rPr>
                <w:sz w:val="24"/>
                <w:szCs w:val="24"/>
                <w:lang w:val="en-GB"/>
              </w:rPr>
            </w:pPr>
            <w:r w:rsidRPr="00043B74">
              <w:rPr>
                <w:sz w:val="24"/>
                <w:szCs w:val="24"/>
                <w:lang w:bidi="da-DK"/>
              </w:rPr>
              <w:t>øjenirritation</w:t>
            </w:r>
          </w:p>
        </w:tc>
      </w:tr>
      <w:tr w:rsidR="00043B74" w:rsidRPr="00043B74" w14:paraId="4321304F" w14:textId="77777777" w:rsidTr="00043B74">
        <w:trPr>
          <w:trHeight w:val="99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1E86940"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1C1A7BCB"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3F0BCF6C" w14:textId="77777777" w:rsidR="00043B74" w:rsidRPr="00043B74" w:rsidRDefault="00043B74" w:rsidP="00043B74">
            <w:pPr>
              <w:ind w:left="33"/>
              <w:rPr>
                <w:sz w:val="24"/>
                <w:szCs w:val="24"/>
              </w:rPr>
            </w:pPr>
            <w:r w:rsidRPr="00043B74">
              <w:rPr>
                <w:sz w:val="24"/>
                <w:szCs w:val="24"/>
                <w:lang w:bidi="da-DK"/>
              </w:rPr>
              <w:t>Hornhindeerosion, uveitis, iritis, forreste kammerbetændelse, keratitis, punkteret keratitis, fotofobi, øjenudflåd, blefaritis, erytem på øjenlåg, periorbitalt ødem, øjenlågskløe, nedsat synsstyrke, sløret syn, øget tåreflåd, konjunktivitis, ektropion, katarakt, skorpedannelse på øjenlågsranden, vækst af øjenvipper</w:t>
            </w:r>
          </w:p>
        </w:tc>
      </w:tr>
      <w:tr w:rsidR="00043B74" w:rsidRPr="00043B74" w14:paraId="10DDEA48" w14:textId="77777777" w:rsidTr="00043B74">
        <w:trPr>
          <w:trHeight w:val="99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B472AE0"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444CDF6"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7E9E1022" w14:textId="77777777" w:rsidR="00043B74" w:rsidRPr="00043B74" w:rsidRDefault="00043B74" w:rsidP="00043B74">
            <w:pPr>
              <w:ind w:left="33"/>
              <w:rPr>
                <w:sz w:val="24"/>
                <w:szCs w:val="24"/>
              </w:rPr>
            </w:pPr>
            <w:r w:rsidRPr="00043B74">
              <w:rPr>
                <w:sz w:val="24"/>
                <w:szCs w:val="24"/>
                <w:lang w:bidi="da-DK"/>
              </w:rPr>
              <w:t>Iridocyclitis, oftalmisk herpes simplex, øjenbetændelse, fotopsi, eksem på øjenlåg, konjunktivalt ødem, halosyn, konjunktivale follikler, hypoæstesi i øjet, trichiasis, meibomianitis, pigmentering i det forreste kammer, mydriasis, astenopi, hyperpigmentering af øjenvipper, fortykkelse af øjenvipper</w:t>
            </w:r>
          </w:p>
        </w:tc>
      </w:tr>
      <w:tr w:rsidR="00043B74" w:rsidRPr="00043B74" w14:paraId="75DC4684" w14:textId="77777777" w:rsidTr="00043B74">
        <w:trPr>
          <w:trHeight w:val="3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C717E6F"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90C3D98"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05A3BED3" w14:textId="77777777" w:rsidR="00043B74" w:rsidRPr="00043B74" w:rsidRDefault="00043B74" w:rsidP="00043B74">
            <w:pPr>
              <w:ind w:left="33"/>
              <w:rPr>
                <w:sz w:val="24"/>
                <w:szCs w:val="24"/>
                <w:lang w:val="en-GB"/>
              </w:rPr>
            </w:pPr>
            <w:r w:rsidRPr="00043B74">
              <w:rPr>
                <w:sz w:val="24"/>
                <w:szCs w:val="24"/>
                <w:lang w:bidi="da-DK"/>
              </w:rPr>
              <w:t>Makulaødem, øjenlågssulcus fordybet</w:t>
            </w:r>
          </w:p>
        </w:tc>
      </w:tr>
      <w:tr w:rsidR="00043B74" w:rsidRPr="00043B74" w14:paraId="05EE3ED2" w14:textId="77777777" w:rsidTr="00043B74">
        <w:trPr>
          <w:trHeight w:val="344"/>
        </w:trPr>
        <w:tc>
          <w:tcPr>
            <w:tcW w:w="2552" w:type="dxa"/>
            <w:tcBorders>
              <w:top w:val="single" w:sz="4" w:space="0" w:color="auto"/>
              <w:left w:val="single" w:sz="4" w:space="0" w:color="auto"/>
              <w:bottom w:val="single" w:sz="4" w:space="0" w:color="auto"/>
              <w:right w:val="single" w:sz="4" w:space="0" w:color="auto"/>
            </w:tcBorders>
            <w:hideMark/>
          </w:tcPr>
          <w:p w14:paraId="1E8A3A0E" w14:textId="77777777" w:rsidR="00043B74" w:rsidRPr="00043B74" w:rsidRDefault="00043B74" w:rsidP="00043B74">
            <w:pPr>
              <w:tabs>
                <w:tab w:val="left" w:pos="1168"/>
              </w:tabs>
              <w:ind w:left="34"/>
              <w:rPr>
                <w:bCs/>
                <w:sz w:val="24"/>
                <w:szCs w:val="24"/>
                <w:lang w:val="en-GB"/>
              </w:rPr>
            </w:pPr>
            <w:r w:rsidRPr="00043B74">
              <w:rPr>
                <w:sz w:val="24"/>
                <w:szCs w:val="24"/>
                <w:lang w:bidi="da-DK"/>
              </w:rPr>
              <w:t>Lidelser i øre</w:t>
            </w:r>
          </w:p>
        </w:tc>
        <w:tc>
          <w:tcPr>
            <w:tcW w:w="1559" w:type="dxa"/>
            <w:tcBorders>
              <w:top w:val="single" w:sz="4" w:space="0" w:color="auto"/>
              <w:left w:val="single" w:sz="4" w:space="0" w:color="auto"/>
              <w:bottom w:val="single" w:sz="4" w:space="0" w:color="auto"/>
              <w:right w:val="single" w:sz="4" w:space="0" w:color="auto"/>
            </w:tcBorders>
            <w:hideMark/>
          </w:tcPr>
          <w:p w14:paraId="37E1E78E"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707CFC76" w14:textId="77777777" w:rsidR="00043B74" w:rsidRPr="00043B74" w:rsidRDefault="00043B74" w:rsidP="00043B74">
            <w:pPr>
              <w:ind w:left="33"/>
              <w:rPr>
                <w:sz w:val="24"/>
                <w:szCs w:val="24"/>
                <w:lang w:val="en-GB"/>
              </w:rPr>
            </w:pPr>
            <w:r w:rsidRPr="00043B74">
              <w:rPr>
                <w:sz w:val="24"/>
                <w:szCs w:val="24"/>
                <w:lang w:bidi="da-DK"/>
              </w:rPr>
              <w:t>Vertigo, tinnitus</w:t>
            </w:r>
          </w:p>
        </w:tc>
      </w:tr>
      <w:tr w:rsidR="00043B74" w:rsidRPr="00043B74" w14:paraId="3B8D270C" w14:textId="77777777" w:rsidTr="00043B74">
        <w:trPr>
          <w:trHeight w:val="344"/>
        </w:trPr>
        <w:tc>
          <w:tcPr>
            <w:tcW w:w="2552" w:type="dxa"/>
            <w:vMerge w:val="restart"/>
            <w:tcBorders>
              <w:top w:val="single" w:sz="4" w:space="0" w:color="auto"/>
              <w:left w:val="single" w:sz="4" w:space="0" w:color="auto"/>
              <w:bottom w:val="single" w:sz="4" w:space="0" w:color="auto"/>
              <w:right w:val="single" w:sz="4" w:space="0" w:color="auto"/>
            </w:tcBorders>
            <w:hideMark/>
          </w:tcPr>
          <w:p w14:paraId="1FECACD2" w14:textId="77777777" w:rsidR="00043B74" w:rsidRPr="00043B74" w:rsidRDefault="00043B74" w:rsidP="00043B74">
            <w:pPr>
              <w:tabs>
                <w:tab w:val="left" w:pos="1168"/>
              </w:tabs>
              <w:ind w:left="34"/>
              <w:rPr>
                <w:bCs/>
                <w:sz w:val="24"/>
                <w:szCs w:val="24"/>
                <w:lang w:val="en-GB"/>
              </w:rPr>
            </w:pPr>
            <w:r w:rsidRPr="00043B74">
              <w:rPr>
                <w:sz w:val="24"/>
                <w:szCs w:val="24"/>
                <w:lang w:bidi="da-DK"/>
              </w:rPr>
              <w:t>Hjerte-kar-lidelser</w:t>
            </w:r>
          </w:p>
        </w:tc>
        <w:tc>
          <w:tcPr>
            <w:tcW w:w="1559" w:type="dxa"/>
            <w:tcBorders>
              <w:top w:val="single" w:sz="4" w:space="0" w:color="auto"/>
              <w:left w:val="single" w:sz="4" w:space="0" w:color="auto"/>
              <w:bottom w:val="single" w:sz="4" w:space="0" w:color="auto"/>
              <w:right w:val="single" w:sz="4" w:space="0" w:color="auto"/>
            </w:tcBorders>
            <w:hideMark/>
          </w:tcPr>
          <w:p w14:paraId="55AEC669"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2CFE86FB" w14:textId="77777777" w:rsidR="00043B74" w:rsidRPr="00043B74" w:rsidRDefault="00043B74" w:rsidP="00043B74">
            <w:pPr>
              <w:ind w:left="33"/>
              <w:rPr>
                <w:sz w:val="24"/>
                <w:szCs w:val="24"/>
                <w:lang w:val="en-GB"/>
              </w:rPr>
            </w:pPr>
            <w:r w:rsidRPr="00043B74">
              <w:rPr>
                <w:sz w:val="24"/>
                <w:szCs w:val="24"/>
                <w:lang w:bidi="da-DK"/>
              </w:rPr>
              <w:t>Palpitationer</w:t>
            </w:r>
          </w:p>
        </w:tc>
      </w:tr>
      <w:tr w:rsidR="00043B74" w:rsidRPr="00043B74" w14:paraId="6F2BA98E" w14:textId="77777777" w:rsidTr="00043B74">
        <w:trPr>
          <w:trHeight w:val="3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11FC55C"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2AE337A2"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69DA1A31" w14:textId="77777777" w:rsidR="00043B74" w:rsidRPr="00043B74" w:rsidRDefault="00043B74" w:rsidP="00043B74">
            <w:pPr>
              <w:ind w:left="33"/>
              <w:rPr>
                <w:sz w:val="24"/>
                <w:szCs w:val="24"/>
                <w:lang w:val="en-GB"/>
              </w:rPr>
            </w:pPr>
            <w:r w:rsidRPr="00043B74">
              <w:rPr>
                <w:sz w:val="24"/>
                <w:szCs w:val="24"/>
                <w:lang w:bidi="da-DK"/>
              </w:rPr>
              <w:t>Uregelmæssig hjerterytme, nedsat hjerterytme</w:t>
            </w:r>
          </w:p>
        </w:tc>
      </w:tr>
      <w:tr w:rsidR="00043B74" w:rsidRPr="00043B74" w14:paraId="7B884388" w14:textId="77777777" w:rsidTr="00043B74">
        <w:trPr>
          <w:trHeight w:val="3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914B208"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29FECA14"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2E9B2DC5" w14:textId="77777777" w:rsidR="00043B74" w:rsidRPr="00043B74" w:rsidRDefault="00043B74" w:rsidP="00043B74">
            <w:pPr>
              <w:ind w:left="33"/>
              <w:rPr>
                <w:sz w:val="24"/>
                <w:szCs w:val="24"/>
                <w:lang w:val="en-GB"/>
              </w:rPr>
            </w:pPr>
            <w:r w:rsidRPr="00043B74">
              <w:rPr>
                <w:sz w:val="24"/>
                <w:szCs w:val="24"/>
                <w:lang w:bidi="da-DK"/>
              </w:rPr>
              <w:t>Brystsmerter, bradykardi, takykardi,</w:t>
            </w:r>
          </w:p>
          <w:p w14:paraId="1237A381" w14:textId="77777777" w:rsidR="00043B74" w:rsidRPr="00043B74" w:rsidRDefault="00043B74" w:rsidP="00043B74">
            <w:pPr>
              <w:ind w:left="33"/>
              <w:rPr>
                <w:sz w:val="24"/>
                <w:szCs w:val="24"/>
                <w:lang w:val="en-GB"/>
              </w:rPr>
            </w:pPr>
            <w:r w:rsidRPr="00043B74">
              <w:rPr>
                <w:sz w:val="24"/>
                <w:szCs w:val="24"/>
                <w:lang w:bidi="da-DK"/>
              </w:rPr>
              <w:t>arrhytmi</w:t>
            </w:r>
          </w:p>
        </w:tc>
      </w:tr>
      <w:tr w:rsidR="00043B74" w:rsidRPr="00043B74" w14:paraId="5A27F652" w14:textId="77777777" w:rsidTr="00043B74">
        <w:trPr>
          <w:trHeight w:val="344"/>
        </w:trPr>
        <w:tc>
          <w:tcPr>
            <w:tcW w:w="2552" w:type="dxa"/>
            <w:tcBorders>
              <w:top w:val="single" w:sz="4" w:space="0" w:color="auto"/>
              <w:left w:val="single" w:sz="4" w:space="0" w:color="auto"/>
              <w:bottom w:val="single" w:sz="4" w:space="0" w:color="auto"/>
              <w:right w:val="single" w:sz="4" w:space="0" w:color="auto"/>
            </w:tcBorders>
            <w:hideMark/>
          </w:tcPr>
          <w:p w14:paraId="3593B709" w14:textId="77777777" w:rsidR="00043B74" w:rsidRPr="00043B74" w:rsidRDefault="00043B74" w:rsidP="00043B74">
            <w:pPr>
              <w:tabs>
                <w:tab w:val="left" w:pos="1168"/>
              </w:tabs>
              <w:ind w:left="34"/>
              <w:rPr>
                <w:bCs/>
                <w:sz w:val="24"/>
                <w:szCs w:val="24"/>
                <w:lang w:val="en-GB"/>
              </w:rPr>
            </w:pPr>
            <w:r w:rsidRPr="00043B74">
              <w:rPr>
                <w:sz w:val="24"/>
                <w:szCs w:val="24"/>
                <w:lang w:bidi="da-DK"/>
              </w:rPr>
              <w:t>Vaskulære (ekstrakardielle) lidelser</w:t>
            </w:r>
          </w:p>
        </w:tc>
        <w:tc>
          <w:tcPr>
            <w:tcW w:w="1559" w:type="dxa"/>
            <w:tcBorders>
              <w:top w:val="single" w:sz="4" w:space="0" w:color="auto"/>
              <w:left w:val="single" w:sz="4" w:space="0" w:color="auto"/>
              <w:bottom w:val="single" w:sz="4" w:space="0" w:color="auto"/>
              <w:right w:val="single" w:sz="4" w:space="0" w:color="auto"/>
            </w:tcBorders>
            <w:hideMark/>
          </w:tcPr>
          <w:p w14:paraId="7EE1AD35"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32BEBB66" w14:textId="77777777" w:rsidR="00043B74" w:rsidRPr="00043B74" w:rsidRDefault="00043B74" w:rsidP="00043B74">
            <w:pPr>
              <w:ind w:left="33"/>
              <w:rPr>
                <w:sz w:val="24"/>
                <w:szCs w:val="24"/>
              </w:rPr>
            </w:pPr>
            <w:r w:rsidRPr="00043B74">
              <w:rPr>
                <w:sz w:val="24"/>
                <w:szCs w:val="24"/>
                <w:lang w:bidi="da-DK"/>
              </w:rPr>
              <w:t>Diastolisk blodtryk faldet, systolisk blodtryk steget, hypotension, hypertension</w:t>
            </w:r>
          </w:p>
        </w:tc>
      </w:tr>
      <w:tr w:rsidR="00043B74" w:rsidRPr="00043B74" w14:paraId="65DE1723" w14:textId="77777777" w:rsidTr="00043B74">
        <w:trPr>
          <w:trHeight w:val="572"/>
        </w:trPr>
        <w:tc>
          <w:tcPr>
            <w:tcW w:w="2552" w:type="dxa"/>
            <w:vMerge w:val="restart"/>
            <w:tcBorders>
              <w:top w:val="single" w:sz="4" w:space="0" w:color="auto"/>
              <w:left w:val="single" w:sz="4" w:space="0" w:color="auto"/>
              <w:bottom w:val="single" w:sz="4" w:space="0" w:color="auto"/>
              <w:right w:val="single" w:sz="4" w:space="0" w:color="auto"/>
            </w:tcBorders>
            <w:hideMark/>
          </w:tcPr>
          <w:p w14:paraId="4A217F74" w14:textId="77777777" w:rsidR="00043B74" w:rsidRPr="00043B74" w:rsidRDefault="00043B74" w:rsidP="00043B74">
            <w:pPr>
              <w:tabs>
                <w:tab w:val="left" w:pos="1168"/>
              </w:tabs>
              <w:ind w:left="34"/>
              <w:rPr>
                <w:bCs/>
                <w:sz w:val="24"/>
                <w:szCs w:val="24"/>
              </w:rPr>
            </w:pPr>
            <w:r w:rsidRPr="00043B74">
              <w:rPr>
                <w:sz w:val="24"/>
                <w:szCs w:val="24"/>
                <w:lang w:bidi="da-DK"/>
              </w:rPr>
              <w:t>Respiratoriske</w:t>
            </w:r>
          </w:p>
          <w:p w14:paraId="022372EA" w14:textId="77777777" w:rsidR="00043B74" w:rsidRPr="00043B74" w:rsidRDefault="00043B74" w:rsidP="00043B74">
            <w:pPr>
              <w:tabs>
                <w:tab w:val="left" w:pos="1168"/>
              </w:tabs>
              <w:ind w:left="34"/>
              <w:rPr>
                <w:bCs/>
                <w:sz w:val="24"/>
                <w:szCs w:val="24"/>
              </w:rPr>
            </w:pPr>
            <w:r w:rsidRPr="00043B74">
              <w:rPr>
                <w:sz w:val="24"/>
                <w:szCs w:val="24"/>
                <w:lang w:bidi="da-DK"/>
              </w:rPr>
              <w:t>lidelser, lidelser i thorax</w:t>
            </w:r>
          </w:p>
          <w:p w14:paraId="24FC3275" w14:textId="77777777" w:rsidR="00043B74" w:rsidRPr="00043B74" w:rsidRDefault="00043B74" w:rsidP="00043B74">
            <w:pPr>
              <w:tabs>
                <w:tab w:val="left" w:pos="1168"/>
              </w:tabs>
              <w:ind w:left="34"/>
              <w:rPr>
                <w:bCs/>
                <w:sz w:val="24"/>
                <w:szCs w:val="24"/>
              </w:rPr>
            </w:pPr>
            <w:r w:rsidRPr="00043B74">
              <w:rPr>
                <w:sz w:val="24"/>
                <w:szCs w:val="24"/>
                <w:lang w:bidi="da-DK"/>
              </w:rPr>
              <w:t>og mediastinum</w:t>
            </w:r>
          </w:p>
        </w:tc>
        <w:tc>
          <w:tcPr>
            <w:tcW w:w="1559" w:type="dxa"/>
            <w:tcBorders>
              <w:top w:val="single" w:sz="4" w:space="0" w:color="auto"/>
              <w:left w:val="single" w:sz="4" w:space="0" w:color="auto"/>
              <w:bottom w:val="single" w:sz="4" w:space="0" w:color="auto"/>
              <w:right w:val="single" w:sz="4" w:space="0" w:color="auto"/>
            </w:tcBorders>
            <w:hideMark/>
          </w:tcPr>
          <w:p w14:paraId="7A2875DD"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7D3E9B70" w14:textId="77777777" w:rsidR="00043B74" w:rsidRPr="00043B74" w:rsidRDefault="00043B74" w:rsidP="00043B74">
            <w:pPr>
              <w:ind w:left="33"/>
              <w:rPr>
                <w:sz w:val="24"/>
                <w:szCs w:val="24"/>
                <w:lang w:val="en-GB"/>
              </w:rPr>
            </w:pPr>
            <w:r w:rsidRPr="00043B74">
              <w:rPr>
                <w:sz w:val="24"/>
                <w:szCs w:val="24"/>
                <w:lang w:bidi="da-DK"/>
              </w:rPr>
              <w:t>Hoste, tilstoppet næse, halsirritation</w:t>
            </w:r>
          </w:p>
        </w:tc>
      </w:tr>
      <w:tr w:rsidR="00043B74" w:rsidRPr="00043B74" w14:paraId="24F75EE0" w14:textId="77777777" w:rsidTr="00043B74">
        <w:trPr>
          <w:trHeight w:val="57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42A98DF"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1375FDB"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04651AEC" w14:textId="77777777" w:rsidR="00043B74" w:rsidRPr="00043B74" w:rsidRDefault="00043B74" w:rsidP="00043B74">
            <w:pPr>
              <w:ind w:left="33"/>
              <w:rPr>
                <w:sz w:val="24"/>
                <w:szCs w:val="24"/>
              </w:rPr>
            </w:pPr>
            <w:r w:rsidRPr="00043B74">
              <w:rPr>
                <w:sz w:val="24"/>
                <w:szCs w:val="24"/>
                <w:lang w:bidi="da-DK"/>
              </w:rPr>
              <w:t>Dyspnø, astma, åndedrætsbesvær,</w:t>
            </w:r>
          </w:p>
          <w:p w14:paraId="35C6725A" w14:textId="77777777" w:rsidR="00043B74" w:rsidRPr="00043B74" w:rsidRDefault="00043B74" w:rsidP="00043B74">
            <w:pPr>
              <w:ind w:left="33"/>
              <w:rPr>
                <w:sz w:val="24"/>
                <w:szCs w:val="24"/>
              </w:rPr>
            </w:pPr>
            <w:r w:rsidRPr="00043B74">
              <w:rPr>
                <w:sz w:val="24"/>
                <w:szCs w:val="24"/>
                <w:lang w:bidi="da-DK"/>
              </w:rPr>
              <w:t>orofaryngeale smerter, dysfoni, rhinitis</w:t>
            </w:r>
          </w:p>
          <w:p w14:paraId="191DBD64" w14:textId="77777777" w:rsidR="00043B74" w:rsidRPr="00043B74" w:rsidRDefault="00043B74" w:rsidP="00043B74">
            <w:pPr>
              <w:ind w:left="33"/>
              <w:rPr>
                <w:sz w:val="24"/>
                <w:szCs w:val="24"/>
                <w:lang w:val="en-GB"/>
              </w:rPr>
            </w:pPr>
            <w:r w:rsidRPr="00043B74">
              <w:rPr>
                <w:sz w:val="24"/>
                <w:szCs w:val="24"/>
                <w:lang w:bidi="da-DK"/>
              </w:rPr>
              <w:t>allergisk, tørhed i næsen</w:t>
            </w:r>
          </w:p>
        </w:tc>
      </w:tr>
      <w:tr w:rsidR="00043B74" w:rsidRPr="00043B74" w14:paraId="3CA2D5C4" w14:textId="77777777" w:rsidTr="00043B74">
        <w:trPr>
          <w:trHeight w:val="35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0FF7E08"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492DDC3"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3152480D" w14:textId="77777777" w:rsidR="00043B74" w:rsidRPr="00043B74" w:rsidRDefault="00043B74" w:rsidP="00043B74">
            <w:pPr>
              <w:ind w:left="33"/>
              <w:rPr>
                <w:sz w:val="24"/>
                <w:szCs w:val="24"/>
                <w:lang w:val="en-GB"/>
              </w:rPr>
            </w:pPr>
            <w:r w:rsidRPr="00043B74">
              <w:rPr>
                <w:sz w:val="24"/>
                <w:szCs w:val="24"/>
                <w:lang w:bidi="da-DK"/>
              </w:rPr>
              <w:t>Forværret astma, epistaxis</w:t>
            </w:r>
          </w:p>
        </w:tc>
      </w:tr>
      <w:tr w:rsidR="00043B74" w:rsidRPr="00043B74" w14:paraId="398793A4" w14:textId="77777777" w:rsidTr="00043B74">
        <w:trPr>
          <w:trHeight w:val="356"/>
        </w:trPr>
        <w:tc>
          <w:tcPr>
            <w:tcW w:w="2552" w:type="dxa"/>
            <w:tcBorders>
              <w:top w:val="single" w:sz="4" w:space="0" w:color="auto"/>
              <w:left w:val="single" w:sz="4" w:space="0" w:color="auto"/>
              <w:bottom w:val="single" w:sz="4" w:space="0" w:color="auto"/>
              <w:right w:val="single" w:sz="4" w:space="0" w:color="auto"/>
            </w:tcBorders>
            <w:hideMark/>
          </w:tcPr>
          <w:p w14:paraId="4DEF9F23" w14:textId="77777777" w:rsidR="00043B74" w:rsidRPr="00043B74" w:rsidRDefault="00043B74" w:rsidP="00043B74">
            <w:pPr>
              <w:tabs>
                <w:tab w:val="left" w:pos="1168"/>
              </w:tabs>
              <w:ind w:left="34"/>
              <w:rPr>
                <w:bCs/>
                <w:sz w:val="24"/>
                <w:szCs w:val="24"/>
                <w:lang w:val="en-GB"/>
              </w:rPr>
            </w:pPr>
            <w:r w:rsidRPr="00043B74">
              <w:rPr>
                <w:sz w:val="24"/>
                <w:szCs w:val="24"/>
                <w:lang w:bidi="da-DK"/>
              </w:rPr>
              <w:t>Gastrointestinale lidelser</w:t>
            </w:r>
          </w:p>
        </w:tc>
        <w:tc>
          <w:tcPr>
            <w:tcW w:w="1559" w:type="dxa"/>
            <w:tcBorders>
              <w:top w:val="single" w:sz="4" w:space="0" w:color="auto"/>
              <w:left w:val="single" w:sz="4" w:space="0" w:color="auto"/>
              <w:bottom w:val="single" w:sz="4" w:space="0" w:color="auto"/>
              <w:right w:val="single" w:sz="4" w:space="0" w:color="auto"/>
            </w:tcBorders>
            <w:hideMark/>
          </w:tcPr>
          <w:p w14:paraId="7CB8E0DF"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5B97BF13" w14:textId="77777777" w:rsidR="00043B74" w:rsidRPr="00043B74" w:rsidRDefault="00043B74" w:rsidP="00043B74">
            <w:pPr>
              <w:ind w:left="33"/>
              <w:rPr>
                <w:sz w:val="24"/>
                <w:szCs w:val="24"/>
              </w:rPr>
            </w:pPr>
            <w:r w:rsidRPr="00043B74">
              <w:rPr>
                <w:sz w:val="24"/>
                <w:szCs w:val="24"/>
                <w:lang w:bidi="da-DK"/>
              </w:rPr>
              <w:t>Reaktiveret mavesår, lidelse</w:t>
            </w:r>
          </w:p>
          <w:p w14:paraId="678A23AD" w14:textId="77777777" w:rsidR="00043B74" w:rsidRPr="00043B74" w:rsidRDefault="00043B74" w:rsidP="00043B74">
            <w:pPr>
              <w:ind w:left="33"/>
              <w:rPr>
                <w:sz w:val="24"/>
                <w:szCs w:val="24"/>
              </w:rPr>
            </w:pPr>
            <w:r w:rsidRPr="00043B74">
              <w:rPr>
                <w:sz w:val="24"/>
                <w:szCs w:val="24"/>
                <w:lang w:bidi="da-DK"/>
              </w:rPr>
              <w:t>i mave-tarmkanalen, obstipation, mundtørhed</w:t>
            </w:r>
          </w:p>
        </w:tc>
      </w:tr>
      <w:tr w:rsidR="00043B74" w:rsidRPr="00043B74" w14:paraId="3F9A3A94" w14:textId="77777777" w:rsidTr="00043B74">
        <w:trPr>
          <w:trHeight w:val="356"/>
        </w:trPr>
        <w:tc>
          <w:tcPr>
            <w:tcW w:w="2552" w:type="dxa"/>
            <w:tcBorders>
              <w:top w:val="nil"/>
              <w:left w:val="single" w:sz="4" w:space="0" w:color="auto"/>
              <w:bottom w:val="single" w:sz="4" w:space="0" w:color="auto"/>
              <w:right w:val="single" w:sz="4" w:space="0" w:color="auto"/>
            </w:tcBorders>
          </w:tcPr>
          <w:p w14:paraId="2137D4B8"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5E85E06"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6E6BFB72" w14:textId="77777777" w:rsidR="00043B74" w:rsidRPr="00043B74" w:rsidRDefault="00043B74" w:rsidP="00043B74">
            <w:pPr>
              <w:ind w:left="33"/>
              <w:rPr>
                <w:sz w:val="24"/>
                <w:szCs w:val="24"/>
                <w:lang w:val="en-GB"/>
              </w:rPr>
            </w:pPr>
            <w:r w:rsidRPr="00043B74">
              <w:rPr>
                <w:sz w:val="24"/>
                <w:szCs w:val="24"/>
                <w:lang w:bidi="da-DK"/>
              </w:rPr>
              <w:t>Diarré, mavesmerter, kvalme, opkast</w:t>
            </w:r>
          </w:p>
        </w:tc>
      </w:tr>
      <w:tr w:rsidR="00043B74" w:rsidRPr="00043B74" w14:paraId="6C0F552F" w14:textId="77777777" w:rsidTr="00043B74">
        <w:trPr>
          <w:trHeight w:val="356"/>
        </w:trPr>
        <w:tc>
          <w:tcPr>
            <w:tcW w:w="2552" w:type="dxa"/>
            <w:vMerge w:val="restart"/>
            <w:tcBorders>
              <w:top w:val="single" w:sz="4" w:space="0" w:color="auto"/>
              <w:left w:val="single" w:sz="4" w:space="0" w:color="auto"/>
              <w:bottom w:val="single" w:sz="4" w:space="0" w:color="auto"/>
              <w:right w:val="single" w:sz="4" w:space="0" w:color="auto"/>
            </w:tcBorders>
            <w:hideMark/>
          </w:tcPr>
          <w:p w14:paraId="1AC6047A" w14:textId="77777777" w:rsidR="00043B74" w:rsidRPr="00043B74" w:rsidRDefault="00043B74" w:rsidP="00043B74">
            <w:pPr>
              <w:tabs>
                <w:tab w:val="left" w:pos="1168"/>
              </w:tabs>
              <w:ind w:left="34"/>
              <w:rPr>
                <w:bCs/>
                <w:sz w:val="24"/>
                <w:szCs w:val="24"/>
                <w:lang w:val="en-GB"/>
              </w:rPr>
            </w:pPr>
            <w:r w:rsidRPr="00043B74">
              <w:rPr>
                <w:sz w:val="24"/>
                <w:szCs w:val="24"/>
                <w:lang w:bidi="da-DK"/>
              </w:rPr>
              <w:t>Dermatologiske lidelser</w:t>
            </w:r>
          </w:p>
          <w:p w14:paraId="39A68573" w14:textId="77777777" w:rsidR="00043B74" w:rsidRPr="00043B74" w:rsidRDefault="00043B74" w:rsidP="00043B74">
            <w:pPr>
              <w:tabs>
                <w:tab w:val="left" w:pos="1168"/>
              </w:tabs>
              <w:ind w:left="34"/>
              <w:rPr>
                <w:bCs/>
                <w:sz w:val="24"/>
                <w:szCs w:val="24"/>
                <w:lang w:val="en-GB"/>
              </w:rPr>
            </w:pPr>
            <w:r w:rsidRPr="00043B74">
              <w:rPr>
                <w:sz w:val="24"/>
                <w:szCs w:val="24"/>
                <w:lang w:bidi="da-DK"/>
              </w:rPr>
              <w:t>vævssygdomme</w:t>
            </w:r>
          </w:p>
        </w:tc>
        <w:tc>
          <w:tcPr>
            <w:tcW w:w="1559" w:type="dxa"/>
            <w:tcBorders>
              <w:top w:val="single" w:sz="4" w:space="0" w:color="auto"/>
              <w:left w:val="single" w:sz="4" w:space="0" w:color="auto"/>
              <w:bottom w:val="single" w:sz="4" w:space="0" w:color="auto"/>
              <w:right w:val="single" w:sz="4" w:space="0" w:color="auto"/>
            </w:tcBorders>
            <w:hideMark/>
          </w:tcPr>
          <w:p w14:paraId="445A7168" w14:textId="77777777" w:rsidR="00043B74" w:rsidRPr="00043B74" w:rsidRDefault="00043B74" w:rsidP="00043B74">
            <w:pPr>
              <w:ind w:left="33"/>
              <w:rPr>
                <w:sz w:val="24"/>
                <w:szCs w:val="24"/>
                <w:lang w:val="en-GB"/>
              </w:rPr>
            </w:pPr>
            <w:r w:rsidRPr="00043B74">
              <w:rPr>
                <w:sz w:val="24"/>
                <w:szCs w:val="24"/>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5CBD7A72" w14:textId="77777777" w:rsidR="00043B74" w:rsidRPr="00043B74" w:rsidRDefault="00043B74" w:rsidP="00043B74">
            <w:pPr>
              <w:ind w:left="33"/>
              <w:rPr>
                <w:sz w:val="24"/>
                <w:szCs w:val="24"/>
              </w:rPr>
            </w:pPr>
            <w:r w:rsidRPr="00043B74">
              <w:rPr>
                <w:sz w:val="24"/>
                <w:szCs w:val="24"/>
                <w:lang w:bidi="da-DK"/>
              </w:rPr>
              <w:t>Hyperpigmentering af huden (periokulær), misfarvning af huden, unormal hårstruktur, hypertrikose</w:t>
            </w:r>
          </w:p>
        </w:tc>
      </w:tr>
      <w:tr w:rsidR="00043B74" w:rsidRPr="00043B74" w14:paraId="1136B477" w14:textId="77777777" w:rsidTr="00043B74">
        <w:trPr>
          <w:trHeight w:val="35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343C9E3" w14:textId="77777777" w:rsidR="00043B74" w:rsidRPr="00043B74" w:rsidRDefault="00043B74" w:rsidP="00043B74">
            <w:pPr>
              <w:tabs>
                <w:tab w:val="left" w:pos="1168"/>
              </w:tabs>
              <w:ind w:left="34"/>
              <w:rPr>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AA4CCD2"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1F529FCF" w14:textId="77777777" w:rsidR="00043B74" w:rsidRPr="00043B74" w:rsidRDefault="00043B74" w:rsidP="00043B74">
            <w:pPr>
              <w:ind w:left="33"/>
              <w:rPr>
                <w:sz w:val="24"/>
                <w:szCs w:val="24"/>
              </w:rPr>
            </w:pPr>
            <w:r w:rsidRPr="00043B74">
              <w:rPr>
                <w:sz w:val="24"/>
                <w:szCs w:val="24"/>
                <w:lang w:bidi="da-DK"/>
              </w:rPr>
              <w:t>Allergisk dermatitis, kontakteksem,</w:t>
            </w:r>
          </w:p>
          <w:p w14:paraId="3FC98411" w14:textId="77777777" w:rsidR="00043B74" w:rsidRPr="00043B74" w:rsidRDefault="00043B74" w:rsidP="00043B74">
            <w:pPr>
              <w:ind w:left="33"/>
              <w:rPr>
                <w:sz w:val="24"/>
                <w:szCs w:val="24"/>
              </w:rPr>
            </w:pPr>
            <w:r w:rsidRPr="00043B74">
              <w:rPr>
                <w:sz w:val="24"/>
                <w:szCs w:val="24"/>
                <w:lang w:bidi="da-DK"/>
              </w:rPr>
              <w:t>rødmen, udslæt, ændringer i hårfarve,</w:t>
            </w:r>
          </w:p>
          <w:p w14:paraId="30DC5F09" w14:textId="77777777" w:rsidR="00043B74" w:rsidRPr="00043B74" w:rsidRDefault="00043B74" w:rsidP="00043B74">
            <w:pPr>
              <w:ind w:left="33"/>
              <w:rPr>
                <w:sz w:val="24"/>
                <w:szCs w:val="24"/>
                <w:lang w:val="en-GB"/>
              </w:rPr>
            </w:pPr>
            <w:r w:rsidRPr="00043B74">
              <w:rPr>
                <w:sz w:val="24"/>
                <w:szCs w:val="24"/>
                <w:lang w:bidi="da-DK"/>
              </w:rPr>
              <w:t>madarose</w:t>
            </w:r>
          </w:p>
        </w:tc>
      </w:tr>
      <w:tr w:rsidR="00043B74" w:rsidRPr="00043B74" w14:paraId="10F49D50" w14:textId="77777777" w:rsidTr="00043B74">
        <w:trPr>
          <w:trHeight w:val="35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AB5E4B0" w14:textId="77777777" w:rsidR="00043B74" w:rsidRPr="00043B74" w:rsidRDefault="00043B74" w:rsidP="00043B74">
            <w:pPr>
              <w:tabs>
                <w:tab w:val="left" w:pos="1168"/>
              </w:tabs>
              <w:ind w:left="34"/>
              <w:rPr>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2F131B44"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0B09C5C4" w14:textId="77777777" w:rsidR="00043B74" w:rsidRPr="00043B74" w:rsidRDefault="00043B74" w:rsidP="00043B74">
            <w:pPr>
              <w:ind w:left="33"/>
              <w:rPr>
                <w:sz w:val="24"/>
                <w:szCs w:val="24"/>
                <w:lang w:val="en-GB"/>
              </w:rPr>
            </w:pPr>
            <w:r w:rsidRPr="00043B74">
              <w:rPr>
                <w:sz w:val="24"/>
                <w:szCs w:val="24"/>
                <w:lang w:bidi="da-DK"/>
              </w:rPr>
              <w:t>Kløen, uregelmæssig hårvækst</w:t>
            </w:r>
          </w:p>
        </w:tc>
      </w:tr>
      <w:tr w:rsidR="00043B74" w:rsidRPr="00043B74" w14:paraId="1C5B0E0C" w14:textId="77777777" w:rsidTr="00043B74">
        <w:trPr>
          <w:trHeight w:val="356"/>
        </w:trPr>
        <w:tc>
          <w:tcPr>
            <w:tcW w:w="2552" w:type="dxa"/>
            <w:tcBorders>
              <w:top w:val="single" w:sz="4" w:space="0" w:color="auto"/>
              <w:left w:val="single" w:sz="4" w:space="0" w:color="auto"/>
              <w:bottom w:val="single" w:sz="4" w:space="0" w:color="auto"/>
              <w:right w:val="single" w:sz="4" w:space="0" w:color="auto"/>
            </w:tcBorders>
            <w:hideMark/>
          </w:tcPr>
          <w:p w14:paraId="1343C6E1" w14:textId="77777777" w:rsidR="00043B74" w:rsidRPr="00043B74" w:rsidRDefault="00043B74" w:rsidP="00043B74">
            <w:pPr>
              <w:tabs>
                <w:tab w:val="left" w:pos="1168"/>
              </w:tabs>
              <w:ind w:left="34"/>
              <w:rPr>
                <w:bCs/>
                <w:sz w:val="24"/>
                <w:szCs w:val="24"/>
                <w:lang w:val="en-GB"/>
              </w:rPr>
            </w:pPr>
            <w:r w:rsidRPr="00043B74">
              <w:rPr>
                <w:sz w:val="24"/>
                <w:szCs w:val="24"/>
                <w:lang w:bidi="da-DK"/>
              </w:rPr>
              <w:t>Muskuloskeletale-</w:t>
            </w:r>
          </w:p>
          <w:p w14:paraId="2A315DC9" w14:textId="77777777" w:rsidR="00043B74" w:rsidRPr="00043B74" w:rsidRDefault="00043B74" w:rsidP="00043B74">
            <w:pPr>
              <w:tabs>
                <w:tab w:val="left" w:pos="1168"/>
              </w:tabs>
              <w:ind w:left="34"/>
              <w:rPr>
                <w:bCs/>
                <w:sz w:val="24"/>
                <w:szCs w:val="24"/>
                <w:lang w:val="en-GB"/>
              </w:rPr>
            </w:pPr>
            <w:r w:rsidRPr="00043B74">
              <w:rPr>
                <w:sz w:val="24"/>
                <w:szCs w:val="24"/>
                <w:lang w:bidi="da-DK"/>
              </w:rPr>
              <w:t>bindevævs-og knoglelidelser</w:t>
            </w:r>
          </w:p>
        </w:tc>
        <w:tc>
          <w:tcPr>
            <w:tcW w:w="1559" w:type="dxa"/>
            <w:tcBorders>
              <w:top w:val="single" w:sz="4" w:space="0" w:color="auto"/>
              <w:left w:val="single" w:sz="4" w:space="0" w:color="auto"/>
              <w:bottom w:val="single" w:sz="4" w:space="0" w:color="auto"/>
              <w:right w:val="single" w:sz="4" w:space="0" w:color="auto"/>
            </w:tcBorders>
            <w:hideMark/>
          </w:tcPr>
          <w:p w14:paraId="42E7BCC3"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4F416F63" w14:textId="77777777" w:rsidR="00043B74" w:rsidRPr="00043B74" w:rsidRDefault="00043B74" w:rsidP="00043B74">
            <w:pPr>
              <w:ind w:left="33"/>
              <w:rPr>
                <w:sz w:val="24"/>
                <w:szCs w:val="24"/>
                <w:lang w:val="en-GB"/>
              </w:rPr>
            </w:pPr>
            <w:r w:rsidRPr="00043B74">
              <w:rPr>
                <w:sz w:val="24"/>
                <w:szCs w:val="24"/>
                <w:lang w:bidi="da-DK"/>
              </w:rPr>
              <w:t>Smerter i bevægeapparatet, artralgi</w:t>
            </w:r>
          </w:p>
        </w:tc>
      </w:tr>
      <w:tr w:rsidR="00043B74" w:rsidRPr="00043B74" w14:paraId="03E27394" w14:textId="77777777" w:rsidTr="00043B74">
        <w:trPr>
          <w:trHeight w:val="356"/>
        </w:trPr>
        <w:tc>
          <w:tcPr>
            <w:tcW w:w="2552" w:type="dxa"/>
            <w:tcBorders>
              <w:top w:val="single" w:sz="4" w:space="0" w:color="auto"/>
              <w:left w:val="single" w:sz="4" w:space="0" w:color="auto"/>
              <w:bottom w:val="single" w:sz="4" w:space="0" w:color="auto"/>
              <w:right w:val="single" w:sz="4" w:space="0" w:color="auto"/>
            </w:tcBorders>
            <w:hideMark/>
          </w:tcPr>
          <w:p w14:paraId="6C36971B" w14:textId="77777777" w:rsidR="00043B74" w:rsidRPr="00043B74" w:rsidRDefault="00043B74" w:rsidP="00043B74">
            <w:pPr>
              <w:tabs>
                <w:tab w:val="left" w:pos="1168"/>
              </w:tabs>
              <w:ind w:left="34"/>
              <w:rPr>
                <w:bCs/>
                <w:sz w:val="24"/>
                <w:szCs w:val="24"/>
              </w:rPr>
            </w:pPr>
            <w:r w:rsidRPr="00043B74">
              <w:rPr>
                <w:sz w:val="24"/>
                <w:szCs w:val="24"/>
                <w:lang w:bidi="da-DK"/>
              </w:rPr>
              <w:t>Lidelser i nyrer og</w:t>
            </w:r>
          </w:p>
          <w:p w14:paraId="054FE238" w14:textId="77777777" w:rsidR="00043B74" w:rsidRPr="00043B74" w:rsidRDefault="00043B74" w:rsidP="00043B74">
            <w:pPr>
              <w:tabs>
                <w:tab w:val="left" w:pos="1168"/>
              </w:tabs>
              <w:ind w:left="34"/>
              <w:rPr>
                <w:bCs/>
                <w:sz w:val="24"/>
                <w:szCs w:val="24"/>
              </w:rPr>
            </w:pPr>
            <w:r w:rsidRPr="00043B74">
              <w:rPr>
                <w:sz w:val="24"/>
                <w:szCs w:val="24"/>
                <w:lang w:bidi="da-DK"/>
              </w:rPr>
              <w:t>urinveje</w:t>
            </w:r>
          </w:p>
        </w:tc>
        <w:tc>
          <w:tcPr>
            <w:tcW w:w="1559" w:type="dxa"/>
            <w:tcBorders>
              <w:top w:val="single" w:sz="4" w:space="0" w:color="auto"/>
              <w:left w:val="single" w:sz="4" w:space="0" w:color="auto"/>
              <w:bottom w:val="single" w:sz="4" w:space="0" w:color="auto"/>
              <w:right w:val="single" w:sz="4" w:space="0" w:color="auto"/>
            </w:tcBorders>
            <w:hideMark/>
          </w:tcPr>
          <w:p w14:paraId="64A6381D"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57C38C19" w14:textId="77777777" w:rsidR="00043B74" w:rsidRPr="00043B74" w:rsidRDefault="00043B74" w:rsidP="00043B74">
            <w:pPr>
              <w:ind w:left="33"/>
              <w:rPr>
                <w:sz w:val="24"/>
                <w:szCs w:val="24"/>
                <w:lang w:val="en-GB"/>
              </w:rPr>
            </w:pPr>
            <w:r w:rsidRPr="00043B74">
              <w:rPr>
                <w:sz w:val="24"/>
                <w:szCs w:val="24"/>
                <w:lang w:bidi="da-DK"/>
              </w:rPr>
              <w:t>Dysuri, urininkontinens</w:t>
            </w:r>
          </w:p>
        </w:tc>
      </w:tr>
      <w:tr w:rsidR="00043B74" w:rsidRPr="00043B74" w14:paraId="3316B083" w14:textId="77777777" w:rsidTr="00043B74">
        <w:trPr>
          <w:trHeight w:val="356"/>
        </w:trPr>
        <w:tc>
          <w:tcPr>
            <w:tcW w:w="2552" w:type="dxa"/>
            <w:tcBorders>
              <w:top w:val="single" w:sz="4" w:space="0" w:color="auto"/>
              <w:left w:val="single" w:sz="4" w:space="0" w:color="auto"/>
              <w:bottom w:val="single" w:sz="4" w:space="0" w:color="auto"/>
              <w:right w:val="single" w:sz="4" w:space="0" w:color="auto"/>
            </w:tcBorders>
            <w:hideMark/>
          </w:tcPr>
          <w:p w14:paraId="217895BC" w14:textId="77777777" w:rsidR="00043B74" w:rsidRPr="00043B74" w:rsidRDefault="00043B74" w:rsidP="00043B74">
            <w:pPr>
              <w:tabs>
                <w:tab w:val="left" w:pos="1168"/>
              </w:tabs>
              <w:ind w:left="34"/>
              <w:rPr>
                <w:bCs/>
                <w:sz w:val="24"/>
                <w:szCs w:val="24"/>
              </w:rPr>
            </w:pPr>
            <w:r w:rsidRPr="00043B74">
              <w:rPr>
                <w:sz w:val="24"/>
                <w:szCs w:val="24"/>
                <w:lang w:bidi="da-DK"/>
              </w:rPr>
              <w:t>Generelle symptomer og</w:t>
            </w:r>
          </w:p>
          <w:p w14:paraId="2A152424" w14:textId="77777777" w:rsidR="00043B74" w:rsidRPr="00043B74" w:rsidRDefault="00043B74" w:rsidP="00043B74">
            <w:pPr>
              <w:tabs>
                <w:tab w:val="left" w:pos="1168"/>
              </w:tabs>
              <w:ind w:left="34"/>
              <w:rPr>
                <w:bCs/>
                <w:sz w:val="24"/>
                <w:szCs w:val="24"/>
              </w:rPr>
            </w:pPr>
            <w:r w:rsidRPr="00043B74">
              <w:rPr>
                <w:sz w:val="24"/>
                <w:szCs w:val="24"/>
                <w:lang w:bidi="da-DK"/>
              </w:rPr>
              <w:t>forstyrrelser</w:t>
            </w:r>
          </w:p>
          <w:p w14:paraId="08184090" w14:textId="77777777" w:rsidR="00043B74" w:rsidRPr="00043B74" w:rsidRDefault="00043B74" w:rsidP="00043B74">
            <w:pPr>
              <w:tabs>
                <w:tab w:val="left" w:pos="1168"/>
              </w:tabs>
              <w:ind w:left="34"/>
              <w:rPr>
                <w:bCs/>
                <w:sz w:val="24"/>
                <w:szCs w:val="24"/>
              </w:rPr>
            </w:pPr>
            <w:r w:rsidRPr="00043B74">
              <w:rPr>
                <w:sz w:val="24"/>
                <w:szCs w:val="24"/>
                <w:lang w:bidi="da-DK"/>
              </w:rPr>
              <w:t>ved applikationssted</w:t>
            </w:r>
          </w:p>
        </w:tc>
        <w:tc>
          <w:tcPr>
            <w:tcW w:w="1559" w:type="dxa"/>
            <w:tcBorders>
              <w:top w:val="single" w:sz="4" w:space="0" w:color="auto"/>
              <w:left w:val="single" w:sz="4" w:space="0" w:color="auto"/>
              <w:bottom w:val="single" w:sz="4" w:space="0" w:color="auto"/>
              <w:right w:val="single" w:sz="4" w:space="0" w:color="auto"/>
            </w:tcBorders>
            <w:hideMark/>
          </w:tcPr>
          <w:p w14:paraId="257192BB" w14:textId="77777777" w:rsidR="00043B74" w:rsidRPr="00043B74" w:rsidRDefault="00043B74" w:rsidP="00043B74">
            <w:pPr>
              <w:ind w:left="33"/>
              <w:rPr>
                <w:sz w:val="24"/>
                <w:szCs w:val="24"/>
                <w:lang w:val="en-GB"/>
              </w:rPr>
            </w:pPr>
            <w:r w:rsidRPr="00043B74">
              <w:rPr>
                <w:sz w:val="24"/>
                <w:szCs w:val="24"/>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1116CF2D" w14:textId="77777777" w:rsidR="00043B74" w:rsidRPr="00043B74" w:rsidRDefault="00043B74" w:rsidP="00043B74">
            <w:pPr>
              <w:ind w:left="33"/>
              <w:rPr>
                <w:sz w:val="24"/>
                <w:szCs w:val="24"/>
                <w:lang w:val="en-GB"/>
              </w:rPr>
            </w:pPr>
            <w:r w:rsidRPr="00043B74">
              <w:rPr>
                <w:sz w:val="24"/>
                <w:szCs w:val="24"/>
                <w:lang w:bidi="da-DK"/>
              </w:rPr>
              <w:t>Asteni</w:t>
            </w:r>
          </w:p>
        </w:tc>
      </w:tr>
      <w:tr w:rsidR="00043B74" w:rsidRPr="00043B74" w14:paraId="48050186" w14:textId="77777777" w:rsidTr="00043B74">
        <w:trPr>
          <w:trHeight w:val="356"/>
        </w:trPr>
        <w:tc>
          <w:tcPr>
            <w:tcW w:w="2552" w:type="dxa"/>
            <w:tcBorders>
              <w:top w:val="single" w:sz="4" w:space="0" w:color="auto"/>
              <w:left w:val="single" w:sz="4" w:space="0" w:color="auto"/>
              <w:bottom w:val="single" w:sz="4" w:space="0" w:color="auto"/>
              <w:right w:val="single" w:sz="4" w:space="0" w:color="auto"/>
            </w:tcBorders>
            <w:hideMark/>
          </w:tcPr>
          <w:p w14:paraId="087E7027" w14:textId="77777777" w:rsidR="00043B74" w:rsidRPr="00043B74" w:rsidRDefault="00043B74" w:rsidP="00043B74">
            <w:pPr>
              <w:tabs>
                <w:tab w:val="left" w:pos="1168"/>
              </w:tabs>
              <w:ind w:left="34"/>
              <w:rPr>
                <w:bCs/>
                <w:sz w:val="24"/>
                <w:szCs w:val="24"/>
                <w:lang w:val="en-GB"/>
              </w:rPr>
            </w:pPr>
            <w:r w:rsidRPr="00043B74">
              <w:rPr>
                <w:sz w:val="24"/>
                <w:szCs w:val="24"/>
                <w:lang w:bidi="da-DK"/>
              </w:rPr>
              <w:t>Undersøgelser</w:t>
            </w:r>
          </w:p>
        </w:tc>
        <w:tc>
          <w:tcPr>
            <w:tcW w:w="1559" w:type="dxa"/>
            <w:tcBorders>
              <w:top w:val="single" w:sz="4" w:space="0" w:color="auto"/>
              <w:left w:val="single" w:sz="4" w:space="0" w:color="auto"/>
              <w:bottom w:val="single" w:sz="4" w:space="0" w:color="auto"/>
              <w:right w:val="single" w:sz="4" w:space="0" w:color="auto"/>
            </w:tcBorders>
            <w:hideMark/>
          </w:tcPr>
          <w:p w14:paraId="75A1447B" w14:textId="77777777" w:rsidR="00043B74" w:rsidRPr="00043B74" w:rsidRDefault="00043B74" w:rsidP="00043B74">
            <w:pPr>
              <w:ind w:left="33"/>
              <w:rPr>
                <w:sz w:val="24"/>
                <w:szCs w:val="24"/>
                <w:lang w:val="en-GB"/>
              </w:rPr>
            </w:pPr>
            <w:r w:rsidRPr="00043B74">
              <w:rPr>
                <w:sz w:val="24"/>
                <w:szCs w:val="24"/>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46CD2B5A" w14:textId="77777777" w:rsidR="00043B74" w:rsidRPr="00043B74" w:rsidRDefault="00043B74" w:rsidP="00043B74">
            <w:pPr>
              <w:ind w:left="33"/>
              <w:rPr>
                <w:sz w:val="24"/>
                <w:szCs w:val="24"/>
                <w:lang w:val="en-GB"/>
              </w:rPr>
            </w:pPr>
            <w:r w:rsidRPr="00043B74">
              <w:rPr>
                <w:sz w:val="24"/>
                <w:szCs w:val="24"/>
                <w:lang w:bidi="da-DK"/>
              </w:rPr>
              <w:t>Prostataspecifikt antigen forhøjet</w:t>
            </w:r>
          </w:p>
        </w:tc>
      </w:tr>
    </w:tbl>
    <w:p w14:paraId="031845C1" w14:textId="77777777" w:rsidR="00043B74" w:rsidRPr="00043B74" w:rsidRDefault="00043B74" w:rsidP="00043B74">
      <w:pPr>
        <w:tabs>
          <w:tab w:val="left" w:pos="851"/>
        </w:tabs>
        <w:ind w:left="851"/>
        <w:rPr>
          <w:sz w:val="24"/>
          <w:szCs w:val="24"/>
        </w:rPr>
      </w:pPr>
    </w:p>
    <w:p w14:paraId="5538A8F2" w14:textId="77777777" w:rsidR="00043B74" w:rsidRPr="00043B74" w:rsidRDefault="00043B74" w:rsidP="00043B74">
      <w:pPr>
        <w:tabs>
          <w:tab w:val="left" w:pos="851"/>
        </w:tabs>
        <w:ind w:left="851"/>
        <w:rPr>
          <w:iCs/>
          <w:sz w:val="24"/>
          <w:szCs w:val="24"/>
          <w:u w:val="single"/>
        </w:rPr>
      </w:pPr>
      <w:r w:rsidRPr="00043B74">
        <w:rPr>
          <w:sz w:val="24"/>
          <w:szCs w:val="24"/>
          <w:u w:val="single"/>
          <w:lang w:bidi="da-DK"/>
        </w:rPr>
        <w:t>Pædiatrisk population</w:t>
      </w:r>
    </w:p>
    <w:p w14:paraId="5D519496" w14:textId="77777777" w:rsidR="00043B74" w:rsidRPr="00043B74" w:rsidRDefault="00043B74" w:rsidP="00043B74">
      <w:pPr>
        <w:tabs>
          <w:tab w:val="left" w:pos="851"/>
        </w:tabs>
        <w:ind w:left="851"/>
        <w:rPr>
          <w:iCs/>
          <w:sz w:val="24"/>
          <w:szCs w:val="24"/>
        </w:rPr>
      </w:pPr>
      <w:r w:rsidRPr="00043B74">
        <w:rPr>
          <w:sz w:val="24"/>
          <w:szCs w:val="24"/>
          <w:lang w:bidi="da-DK"/>
        </w:rPr>
        <w:t>I et 3-mdr. fase 3-forsøg og en 7-dages farmakokinetisk undersøgelse med 102 pædiatriske patienter, der blev eksponeret for travoprost, var typen og karakteren af de rapporterede bivirkninger den samme som den, der er observeret hos voksne patienter. De kortsigtede sikkerhedsprofiler i de forskellige pædiatriske undergrupper var også ens (se pkt. 5.1). De hyppigste bivirkninger, rapporteret</w:t>
      </w:r>
    </w:p>
    <w:p w14:paraId="1DBE2A51" w14:textId="77777777" w:rsidR="00043B74" w:rsidRPr="00043B74" w:rsidRDefault="00043B74" w:rsidP="00043B74">
      <w:pPr>
        <w:tabs>
          <w:tab w:val="left" w:pos="851"/>
        </w:tabs>
        <w:ind w:left="851"/>
        <w:rPr>
          <w:iCs/>
          <w:sz w:val="24"/>
          <w:szCs w:val="24"/>
        </w:rPr>
      </w:pPr>
      <w:r w:rsidRPr="00043B74">
        <w:rPr>
          <w:sz w:val="24"/>
          <w:szCs w:val="24"/>
          <w:lang w:bidi="da-DK"/>
        </w:rPr>
        <w:t>hos børn var okulær hyperæmi (16,9 %) og vækst af øjenlåg (6,5 %). I et lignende 3-mdr. forsøg hos voksne patienter forekom disse hændelser med en hyppighed på henholdsvis 11,4 % og 0,0 %.</w:t>
      </w:r>
    </w:p>
    <w:p w14:paraId="236A2784" w14:textId="77777777" w:rsidR="00043B74" w:rsidRPr="00043B74" w:rsidRDefault="00043B74" w:rsidP="00043B74">
      <w:pPr>
        <w:tabs>
          <w:tab w:val="left" w:pos="851"/>
        </w:tabs>
        <w:ind w:left="851"/>
        <w:rPr>
          <w:iCs/>
          <w:sz w:val="24"/>
          <w:szCs w:val="24"/>
        </w:rPr>
      </w:pPr>
    </w:p>
    <w:p w14:paraId="3A7AAE5F" w14:textId="77777777" w:rsidR="00043B74" w:rsidRPr="00043B74" w:rsidRDefault="00043B74" w:rsidP="00043B74">
      <w:pPr>
        <w:tabs>
          <w:tab w:val="left" w:pos="851"/>
        </w:tabs>
        <w:ind w:left="851"/>
        <w:rPr>
          <w:iCs/>
          <w:sz w:val="24"/>
          <w:szCs w:val="24"/>
        </w:rPr>
      </w:pPr>
      <w:r w:rsidRPr="00043B74">
        <w:rPr>
          <w:sz w:val="24"/>
          <w:szCs w:val="24"/>
          <w:lang w:bidi="da-DK"/>
        </w:rPr>
        <w:lastRenderedPageBreak/>
        <w:t>Yderligere bivirkninger rapporteret hos pædiatriske patienter i det 3-mdr. pædiatriske forsøg (n=77) sammenlignet med et lignende forsøg hos voksne (n=185) omfattede erytem på øjenlåg, keratitis, øget tåredannelse og fotofobi, alle rapporteret som enkeltstående hændelser med en forekomst på 1,3 % mod 0,0 % set hos voksne.</w:t>
      </w:r>
    </w:p>
    <w:p w14:paraId="0F804DED" w14:textId="77777777" w:rsidR="00043B74" w:rsidRPr="00043B74" w:rsidRDefault="00043B74" w:rsidP="00043B74">
      <w:pPr>
        <w:tabs>
          <w:tab w:val="left" w:pos="851"/>
        </w:tabs>
        <w:ind w:left="851"/>
        <w:rPr>
          <w:sz w:val="24"/>
          <w:szCs w:val="24"/>
          <w:u w:val="single"/>
        </w:rPr>
      </w:pPr>
    </w:p>
    <w:p w14:paraId="483A47A7" w14:textId="77777777" w:rsidR="00043B74" w:rsidRPr="00043B74" w:rsidRDefault="00043B74" w:rsidP="00043B74">
      <w:pPr>
        <w:tabs>
          <w:tab w:val="left" w:pos="851"/>
        </w:tabs>
        <w:ind w:left="851"/>
        <w:rPr>
          <w:sz w:val="24"/>
          <w:szCs w:val="24"/>
          <w:u w:val="single"/>
        </w:rPr>
      </w:pPr>
      <w:r w:rsidRPr="00043B74">
        <w:rPr>
          <w:sz w:val="24"/>
          <w:szCs w:val="24"/>
          <w:u w:val="single"/>
          <w:lang w:bidi="da-DK"/>
        </w:rPr>
        <w:t>Indberetning af formodede bivirkninger</w:t>
      </w:r>
    </w:p>
    <w:p w14:paraId="7EDBA13D" w14:textId="1AA5F106" w:rsidR="00043B74" w:rsidRDefault="00043B74" w:rsidP="00043B74">
      <w:pPr>
        <w:tabs>
          <w:tab w:val="left" w:pos="851"/>
        </w:tabs>
        <w:ind w:left="851"/>
        <w:rPr>
          <w:sz w:val="24"/>
          <w:szCs w:val="24"/>
          <w:lang w:bidi="da-DK"/>
        </w:rPr>
      </w:pPr>
      <w:r w:rsidRPr="00043B74">
        <w:rPr>
          <w:sz w:val="24"/>
          <w:szCs w:val="24"/>
          <w:lang w:bidi="da-DK"/>
        </w:rPr>
        <w:t>Når lægemidlet er godkendt, er indberetning af formodede bivirkninger vigtig. Det muliggør løbende overvågning af benefit/risk-forholdet for lægemidlet. Sundhedsfaglige personer anmodes om at indberette alle formodede bivirkninger via:</w:t>
      </w:r>
    </w:p>
    <w:p w14:paraId="6B1C4466" w14:textId="77777777" w:rsidR="00043B74" w:rsidRPr="00043B74" w:rsidRDefault="00043B74" w:rsidP="00043B74">
      <w:pPr>
        <w:tabs>
          <w:tab w:val="left" w:pos="851"/>
        </w:tabs>
        <w:ind w:left="851"/>
        <w:rPr>
          <w:sz w:val="24"/>
          <w:szCs w:val="24"/>
          <w:lang w:bidi="da-DK"/>
        </w:rPr>
      </w:pPr>
    </w:p>
    <w:p w14:paraId="4AC59D9E" w14:textId="77777777" w:rsidR="00043B74" w:rsidRPr="00043B74" w:rsidRDefault="00043B74" w:rsidP="00043B74">
      <w:pPr>
        <w:tabs>
          <w:tab w:val="left" w:pos="851"/>
        </w:tabs>
        <w:ind w:left="851"/>
        <w:rPr>
          <w:sz w:val="24"/>
          <w:szCs w:val="24"/>
          <w:lang w:bidi="da-DK"/>
        </w:rPr>
      </w:pPr>
      <w:r w:rsidRPr="00043B74">
        <w:rPr>
          <w:sz w:val="24"/>
          <w:szCs w:val="24"/>
          <w:lang w:bidi="da-DK"/>
        </w:rPr>
        <w:t>Lægemiddelstyrelsen</w:t>
      </w:r>
    </w:p>
    <w:p w14:paraId="1A3C8500" w14:textId="77777777" w:rsidR="00043B74" w:rsidRPr="00043B74" w:rsidRDefault="00043B74" w:rsidP="00043B74">
      <w:pPr>
        <w:tabs>
          <w:tab w:val="left" w:pos="851"/>
        </w:tabs>
        <w:ind w:left="851"/>
        <w:rPr>
          <w:sz w:val="24"/>
          <w:szCs w:val="24"/>
          <w:lang w:bidi="da-DK"/>
        </w:rPr>
      </w:pPr>
      <w:r w:rsidRPr="00043B74">
        <w:rPr>
          <w:sz w:val="24"/>
          <w:szCs w:val="24"/>
          <w:lang w:bidi="da-DK"/>
        </w:rPr>
        <w:t>Axel Heides Gade 1</w:t>
      </w:r>
    </w:p>
    <w:p w14:paraId="1EC7193C" w14:textId="77777777" w:rsidR="00043B74" w:rsidRPr="00043B74" w:rsidRDefault="00043B74" w:rsidP="00043B74">
      <w:pPr>
        <w:tabs>
          <w:tab w:val="left" w:pos="851"/>
        </w:tabs>
        <w:ind w:left="851"/>
        <w:rPr>
          <w:sz w:val="24"/>
          <w:szCs w:val="24"/>
          <w:lang w:bidi="da-DK"/>
        </w:rPr>
      </w:pPr>
      <w:r w:rsidRPr="00043B74">
        <w:rPr>
          <w:sz w:val="24"/>
          <w:szCs w:val="24"/>
          <w:lang w:bidi="da-DK"/>
        </w:rPr>
        <w:t>DK-2300 København S</w:t>
      </w:r>
    </w:p>
    <w:p w14:paraId="571FCA2B" w14:textId="5A032572" w:rsidR="00043B74" w:rsidRPr="00F540AD" w:rsidRDefault="00043B74" w:rsidP="00043B74">
      <w:pPr>
        <w:tabs>
          <w:tab w:val="left" w:pos="851"/>
        </w:tabs>
        <w:ind w:left="851"/>
        <w:rPr>
          <w:sz w:val="24"/>
          <w:szCs w:val="24"/>
          <w:lang w:bidi="da-DK"/>
        </w:rPr>
      </w:pPr>
      <w:r w:rsidRPr="00F540AD">
        <w:rPr>
          <w:sz w:val="24"/>
          <w:szCs w:val="24"/>
          <w:lang w:bidi="da-DK"/>
        </w:rPr>
        <w:t>Websted: www.meldenbivirkning.dk</w:t>
      </w:r>
    </w:p>
    <w:p w14:paraId="12298C11" w14:textId="77777777" w:rsidR="009260DE" w:rsidRPr="00F540AD" w:rsidRDefault="009260DE" w:rsidP="00A10294">
      <w:pPr>
        <w:tabs>
          <w:tab w:val="left" w:pos="851"/>
        </w:tabs>
        <w:ind w:left="851"/>
        <w:rPr>
          <w:sz w:val="24"/>
          <w:szCs w:val="24"/>
        </w:rPr>
      </w:pPr>
    </w:p>
    <w:p w14:paraId="5EEF3593" w14:textId="77777777" w:rsidR="009260DE" w:rsidRPr="00F540AD" w:rsidRDefault="009260DE" w:rsidP="009260DE">
      <w:pPr>
        <w:tabs>
          <w:tab w:val="left" w:pos="851"/>
        </w:tabs>
        <w:ind w:left="851" w:hanging="851"/>
        <w:rPr>
          <w:b/>
          <w:sz w:val="24"/>
          <w:szCs w:val="24"/>
        </w:rPr>
      </w:pPr>
      <w:r w:rsidRPr="00F540AD">
        <w:rPr>
          <w:b/>
          <w:sz w:val="24"/>
          <w:szCs w:val="24"/>
        </w:rPr>
        <w:t>4.9</w:t>
      </w:r>
      <w:r w:rsidRPr="00F540AD">
        <w:rPr>
          <w:b/>
          <w:sz w:val="24"/>
          <w:szCs w:val="24"/>
        </w:rPr>
        <w:tab/>
        <w:t>Overdosering</w:t>
      </w:r>
    </w:p>
    <w:p w14:paraId="07035D7A" w14:textId="77777777" w:rsidR="00043B74" w:rsidRPr="00043B74" w:rsidRDefault="00043B74" w:rsidP="00043B74">
      <w:pPr>
        <w:tabs>
          <w:tab w:val="left" w:pos="851"/>
        </w:tabs>
        <w:ind w:left="851"/>
        <w:rPr>
          <w:sz w:val="24"/>
          <w:szCs w:val="24"/>
        </w:rPr>
      </w:pPr>
      <w:r w:rsidRPr="00043B74">
        <w:rPr>
          <w:sz w:val="24"/>
          <w:szCs w:val="24"/>
          <w:lang w:bidi="da-DK"/>
        </w:rPr>
        <w:t>Der er ikke rapporteret om tilfælde af overdosering. Det er usandsynligt, at en topisk overdosis vil forekomme eller være forbundet med toksicitet. En lokal overdosis af Trevicopto kan skylles ud af øjet/øjnene Behandling af en formodet oral indtagelse skal ske symptomatisk og understøttende.</w:t>
      </w:r>
    </w:p>
    <w:p w14:paraId="56BFAC2A" w14:textId="77777777" w:rsidR="009260DE" w:rsidRPr="00C84483" w:rsidRDefault="009260DE" w:rsidP="009260DE">
      <w:pPr>
        <w:tabs>
          <w:tab w:val="left" w:pos="851"/>
        </w:tabs>
        <w:ind w:left="851"/>
        <w:rPr>
          <w:sz w:val="24"/>
          <w:szCs w:val="24"/>
        </w:rPr>
      </w:pPr>
    </w:p>
    <w:p w14:paraId="123CA40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B6D28B6" w14:textId="0CE8EA74" w:rsidR="009260DE" w:rsidRPr="00C84483" w:rsidRDefault="00043B74" w:rsidP="009260DE">
      <w:pPr>
        <w:tabs>
          <w:tab w:val="left" w:pos="851"/>
        </w:tabs>
        <w:ind w:left="851"/>
        <w:rPr>
          <w:sz w:val="24"/>
          <w:szCs w:val="24"/>
        </w:rPr>
      </w:pPr>
      <w:r>
        <w:rPr>
          <w:sz w:val="24"/>
          <w:szCs w:val="24"/>
        </w:rPr>
        <w:t>B</w:t>
      </w:r>
    </w:p>
    <w:p w14:paraId="65BFA03D" w14:textId="77777777" w:rsidR="009260DE" w:rsidRPr="00C84483" w:rsidRDefault="009260DE" w:rsidP="009260DE">
      <w:pPr>
        <w:tabs>
          <w:tab w:val="left" w:pos="851"/>
        </w:tabs>
        <w:ind w:left="851"/>
        <w:rPr>
          <w:sz w:val="24"/>
          <w:szCs w:val="24"/>
        </w:rPr>
      </w:pPr>
    </w:p>
    <w:p w14:paraId="03732100" w14:textId="77777777" w:rsidR="009260DE" w:rsidRPr="00C84483" w:rsidRDefault="009260DE" w:rsidP="009260DE">
      <w:pPr>
        <w:tabs>
          <w:tab w:val="left" w:pos="851"/>
        </w:tabs>
        <w:ind w:left="851"/>
        <w:rPr>
          <w:sz w:val="24"/>
          <w:szCs w:val="24"/>
        </w:rPr>
      </w:pPr>
    </w:p>
    <w:p w14:paraId="72C5B27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55DA681" w14:textId="77777777" w:rsidR="009260DE" w:rsidRPr="00C84483" w:rsidRDefault="009260DE" w:rsidP="009260DE">
      <w:pPr>
        <w:tabs>
          <w:tab w:val="left" w:pos="851"/>
        </w:tabs>
        <w:ind w:left="851"/>
        <w:rPr>
          <w:sz w:val="24"/>
          <w:szCs w:val="24"/>
        </w:rPr>
      </w:pPr>
    </w:p>
    <w:p w14:paraId="14C959C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77D3EE6" w14:textId="42FEA49E" w:rsidR="00136960" w:rsidRPr="00136960" w:rsidRDefault="00136960" w:rsidP="00FF0A4C">
      <w:pPr>
        <w:ind w:left="851" w:right="454"/>
        <w:rPr>
          <w:sz w:val="24"/>
          <w:szCs w:val="24"/>
          <w:lang w:eastAsia="el-GR"/>
        </w:rPr>
      </w:pPr>
      <w:r w:rsidRPr="00136960">
        <w:rPr>
          <w:sz w:val="24"/>
          <w:szCs w:val="24"/>
          <w:lang w:bidi="da-DK"/>
        </w:rPr>
        <w:t>Farmakoterapeutisk klassifikation: Oftalmologiske lægemidler-antiglaukompræparater og miotika-prostaglandinanaloger, ATC-kode: S01EE04</w:t>
      </w:r>
      <w:r w:rsidR="00FF0A4C" w:rsidRPr="00FF0A4C">
        <w:rPr>
          <w:sz w:val="24"/>
          <w:szCs w:val="24"/>
          <w:lang w:bidi="da-DK"/>
        </w:rPr>
        <w:t>.</w:t>
      </w:r>
    </w:p>
    <w:p w14:paraId="0AE2C1F8" w14:textId="77777777" w:rsidR="00136960" w:rsidRPr="00136960" w:rsidRDefault="00136960" w:rsidP="00FF0A4C">
      <w:pPr>
        <w:ind w:left="851" w:right="454"/>
        <w:rPr>
          <w:sz w:val="24"/>
          <w:szCs w:val="24"/>
          <w:lang w:eastAsia="el-GR"/>
        </w:rPr>
      </w:pPr>
    </w:p>
    <w:p w14:paraId="3837F45A" w14:textId="77777777" w:rsidR="00136960" w:rsidRPr="00136960" w:rsidRDefault="00136960" w:rsidP="00FF0A4C">
      <w:pPr>
        <w:ind w:left="851" w:right="454"/>
        <w:rPr>
          <w:sz w:val="24"/>
          <w:szCs w:val="24"/>
          <w:u w:val="single"/>
          <w:lang w:eastAsia="el-GR"/>
        </w:rPr>
      </w:pPr>
      <w:r w:rsidRPr="00136960">
        <w:rPr>
          <w:sz w:val="24"/>
          <w:szCs w:val="24"/>
          <w:u w:val="single"/>
          <w:lang w:bidi="da-DK"/>
        </w:rPr>
        <w:t>Virkningsmekanisme</w:t>
      </w:r>
    </w:p>
    <w:p w14:paraId="55A5EF72" w14:textId="77777777" w:rsidR="00136960" w:rsidRPr="00136960" w:rsidRDefault="00136960" w:rsidP="00FF0A4C">
      <w:pPr>
        <w:ind w:left="851" w:right="454"/>
        <w:rPr>
          <w:sz w:val="24"/>
          <w:szCs w:val="24"/>
          <w:lang w:eastAsia="el-GR"/>
        </w:rPr>
      </w:pPr>
      <w:r w:rsidRPr="00136960">
        <w:rPr>
          <w:sz w:val="24"/>
          <w:szCs w:val="24"/>
          <w:lang w:bidi="da-DK"/>
        </w:rPr>
        <w:t>Travoprost, en prostaglandin F</w:t>
      </w:r>
      <w:r w:rsidRPr="00136960">
        <w:rPr>
          <w:sz w:val="24"/>
          <w:szCs w:val="24"/>
          <w:vertAlign w:val="subscript"/>
          <w:lang w:bidi="da-DK"/>
        </w:rPr>
        <w:t>2α</w:t>
      </w:r>
      <w:r w:rsidRPr="00136960">
        <w:rPr>
          <w:sz w:val="24"/>
          <w:szCs w:val="24"/>
          <w:lang w:bidi="da-DK"/>
        </w:rPr>
        <w:t>-analog, er en meget selektiv fuld agonist, som har høj affinitet til prostaglandin FP-receptoren og reducerer det intraokulære tryk ved at øge udstrømningen af kammervand via trabekelværket og uveosklerale veje. Reduktion i det intraokulære tryk hos mennesker starter ca. 2 timer efter indgift, mens den maksimale effekt opnås efter 12 timer. Signifikant sænkning af det intraokulære tryk kan opretholdes i perioder på over 24 timer med en enkelt dosis.</w:t>
      </w:r>
    </w:p>
    <w:p w14:paraId="59DFBE95" w14:textId="77777777" w:rsidR="00136960" w:rsidRPr="00136960" w:rsidRDefault="00136960" w:rsidP="00FF0A4C">
      <w:pPr>
        <w:ind w:left="851" w:right="454"/>
        <w:rPr>
          <w:sz w:val="24"/>
          <w:szCs w:val="24"/>
          <w:lang w:eastAsia="el-GR"/>
        </w:rPr>
      </w:pPr>
    </w:p>
    <w:p w14:paraId="779F2F9E" w14:textId="77777777" w:rsidR="00136960" w:rsidRPr="00136960" w:rsidRDefault="00136960" w:rsidP="00FF0A4C">
      <w:pPr>
        <w:ind w:left="851" w:right="454"/>
        <w:rPr>
          <w:sz w:val="24"/>
          <w:szCs w:val="24"/>
          <w:u w:val="single"/>
          <w:lang w:eastAsia="el-GR"/>
        </w:rPr>
      </w:pPr>
      <w:r w:rsidRPr="00136960">
        <w:rPr>
          <w:sz w:val="24"/>
          <w:szCs w:val="24"/>
          <w:u w:val="single"/>
          <w:lang w:bidi="da-DK"/>
        </w:rPr>
        <w:t>Klinisk virkning og sikkerhed</w:t>
      </w:r>
    </w:p>
    <w:p w14:paraId="6D4674EF" w14:textId="77777777" w:rsidR="00136960" w:rsidRPr="00136960" w:rsidRDefault="00136960" w:rsidP="00FF0A4C">
      <w:pPr>
        <w:ind w:left="851" w:right="454"/>
        <w:rPr>
          <w:sz w:val="24"/>
          <w:szCs w:val="24"/>
          <w:lang w:eastAsia="el-GR"/>
        </w:rPr>
      </w:pPr>
      <w:r w:rsidRPr="00136960">
        <w:rPr>
          <w:sz w:val="24"/>
          <w:szCs w:val="24"/>
          <w:lang w:bidi="da-DK"/>
        </w:rPr>
        <w:t>I et klinisk forsøg viste patienter med åbenvinklet glaukom eller okulær hypertension, der blev behandlet med travoprost (polyquaternium-konserveret) doseret én gang dagligt om aftenen, en reduktion på 8 til 9 mmHg (ca. 33 %) i det intraokulære tryk fra 24 til 26 mmHg ved baseline. Der blev indsamlet data om supplerende administration af travoprost med timolol 0,5 % og begrænsede data med brimonidin 0,2 % under kliniske forsøg, hvilket viste en yderligere effekt af travoprost med disse glaukomlægemidler. Der findes ingen kliniske data om supplerende anvendelse sammen med andre okulære hypotensive lægemidler.</w:t>
      </w:r>
    </w:p>
    <w:p w14:paraId="4300D3AF" w14:textId="7F6E6C2C" w:rsidR="00FF0A4C" w:rsidRDefault="00FF0A4C">
      <w:pPr>
        <w:rPr>
          <w:sz w:val="24"/>
          <w:szCs w:val="24"/>
          <w:lang w:eastAsia="el-GR"/>
        </w:rPr>
      </w:pPr>
      <w:r>
        <w:rPr>
          <w:sz w:val="24"/>
          <w:szCs w:val="24"/>
          <w:lang w:eastAsia="el-GR"/>
        </w:rPr>
        <w:br w:type="page"/>
      </w:r>
    </w:p>
    <w:p w14:paraId="4A38CEF1" w14:textId="77777777" w:rsidR="00136960" w:rsidRPr="00136960" w:rsidRDefault="00136960" w:rsidP="00FF0A4C">
      <w:pPr>
        <w:tabs>
          <w:tab w:val="left" w:pos="1910"/>
        </w:tabs>
        <w:ind w:left="851" w:right="454"/>
        <w:rPr>
          <w:sz w:val="24"/>
          <w:szCs w:val="24"/>
          <w:lang w:eastAsia="el-GR"/>
        </w:rPr>
      </w:pPr>
    </w:p>
    <w:p w14:paraId="11C5B8EB" w14:textId="77777777" w:rsidR="00136960" w:rsidRPr="00136960" w:rsidRDefault="00136960" w:rsidP="00FF0A4C">
      <w:pPr>
        <w:ind w:left="851" w:right="454"/>
        <w:rPr>
          <w:sz w:val="24"/>
          <w:szCs w:val="24"/>
          <w:u w:val="single"/>
          <w:lang w:eastAsia="el-GR"/>
        </w:rPr>
      </w:pPr>
      <w:r w:rsidRPr="00136960">
        <w:rPr>
          <w:sz w:val="24"/>
          <w:szCs w:val="24"/>
          <w:u w:val="single"/>
          <w:lang w:bidi="da-DK"/>
        </w:rPr>
        <w:t>Sekundær farmakologi</w:t>
      </w:r>
    </w:p>
    <w:p w14:paraId="4E49E649" w14:textId="77777777" w:rsidR="00136960" w:rsidRPr="00136960" w:rsidRDefault="00136960" w:rsidP="00FF0A4C">
      <w:pPr>
        <w:ind w:left="851" w:right="454"/>
        <w:rPr>
          <w:sz w:val="24"/>
          <w:szCs w:val="24"/>
          <w:lang w:eastAsia="el-GR"/>
        </w:rPr>
      </w:pPr>
      <w:r w:rsidRPr="00136960">
        <w:rPr>
          <w:sz w:val="24"/>
          <w:szCs w:val="24"/>
          <w:lang w:bidi="da-DK"/>
        </w:rPr>
        <w:t xml:space="preserve">Travoprost øgede blodgennemstrømningen i synsnervehovedet signifikant hos kaniner efter 7 dages topisk okulær administration (1,4 mikrogram, én gang dagligt). </w:t>
      </w:r>
    </w:p>
    <w:p w14:paraId="04146B9E" w14:textId="77777777" w:rsidR="00136960" w:rsidRPr="00136960" w:rsidRDefault="00136960" w:rsidP="00136960">
      <w:pPr>
        <w:ind w:left="567" w:right="454"/>
        <w:jc w:val="both"/>
        <w:rPr>
          <w:sz w:val="24"/>
          <w:szCs w:val="24"/>
          <w:lang w:eastAsia="el-GR"/>
        </w:rPr>
      </w:pPr>
    </w:p>
    <w:p w14:paraId="1E7151DC" w14:textId="77777777" w:rsidR="00136960" w:rsidRPr="00136960" w:rsidRDefault="00136960" w:rsidP="00FF0A4C">
      <w:pPr>
        <w:ind w:left="851" w:right="454"/>
        <w:rPr>
          <w:sz w:val="24"/>
          <w:szCs w:val="24"/>
          <w:lang w:eastAsia="el-GR"/>
        </w:rPr>
      </w:pPr>
      <w:r w:rsidRPr="00136960">
        <w:rPr>
          <w:sz w:val="24"/>
          <w:szCs w:val="24"/>
          <w:lang w:bidi="da-DK"/>
        </w:rPr>
        <w:t>Travoprost, konserveret med polyquaternium-1, fremkaldte minimal toksicitet på øjenoverfladen sammenlignet med øjendråber, konserveret med benzalkoniumklorid på dyrkede humane hornhindeceller, og efter topisk okulær indgivelse i kaniner.</w:t>
      </w:r>
    </w:p>
    <w:p w14:paraId="7C5E2701" w14:textId="77777777" w:rsidR="00136960" w:rsidRPr="00136960" w:rsidRDefault="00136960" w:rsidP="00FF0A4C">
      <w:pPr>
        <w:ind w:left="851" w:right="454"/>
        <w:rPr>
          <w:sz w:val="24"/>
          <w:szCs w:val="24"/>
          <w:lang w:eastAsia="el-GR"/>
        </w:rPr>
      </w:pPr>
    </w:p>
    <w:p w14:paraId="430B5982" w14:textId="77777777" w:rsidR="00136960" w:rsidRPr="00136960" w:rsidRDefault="00136960" w:rsidP="00FF0A4C">
      <w:pPr>
        <w:ind w:left="851" w:right="454"/>
        <w:rPr>
          <w:sz w:val="24"/>
          <w:szCs w:val="24"/>
          <w:u w:val="single"/>
          <w:lang w:eastAsia="el-GR"/>
        </w:rPr>
      </w:pPr>
      <w:r w:rsidRPr="00136960">
        <w:rPr>
          <w:sz w:val="24"/>
          <w:szCs w:val="24"/>
          <w:u w:val="single"/>
          <w:lang w:bidi="da-DK"/>
        </w:rPr>
        <w:t>Pædiatrisk population</w:t>
      </w:r>
    </w:p>
    <w:p w14:paraId="2575ABB7" w14:textId="77777777" w:rsidR="00136960" w:rsidRPr="00136960" w:rsidRDefault="00136960" w:rsidP="00FF0A4C">
      <w:pPr>
        <w:ind w:left="851" w:right="454"/>
        <w:rPr>
          <w:sz w:val="24"/>
          <w:szCs w:val="24"/>
          <w:lang w:eastAsia="el-GR"/>
        </w:rPr>
      </w:pPr>
      <w:r w:rsidRPr="00136960">
        <w:rPr>
          <w:sz w:val="24"/>
          <w:szCs w:val="24"/>
          <w:lang w:bidi="da-DK"/>
        </w:rPr>
        <w:t>Effekten af travoprost hos pædiatriske patienter i alderen 2 mdr. op til 18 år er blevet påvist i et 12-ugers dobbeltblindet klinisk forsøg med travoprost sammenlignet med timolol hos 152 patienter, der var diagnosticeret med okulær hypertension eller pædiatrisk glaukom. Patienterne fik enten travoprost 0,004 % én gang dagligt eller timolol 0,5 % (eller 0,25 % for personer under 3 år) to gange dagligt. Det primære effektmål var ændringen i det intraokulære tryk (IOP) fra baseline i uge 12 af forsøget. De gennemsnitlige IOP-reduktioner i travoprost- og timolol-grupperne var ens (se skema 1).</w:t>
      </w:r>
    </w:p>
    <w:p w14:paraId="2E495D01" w14:textId="77777777" w:rsidR="00136960" w:rsidRPr="00136960" w:rsidRDefault="00136960" w:rsidP="00FF0A4C">
      <w:pPr>
        <w:ind w:left="851" w:right="454"/>
        <w:rPr>
          <w:sz w:val="24"/>
          <w:szCs w:val="24"/>
          <w:lang w:eastAsia="el-GR"/>
        </w:rPr>
      </w:pPr>
    </w:p>
    <w:p w14:paraId="4F81BAD1" w14:textId="77777777" w:rsidR="00136960" w:rsidRPr="00136960" w:rsidRDefault="00136960" w:rsidP="00FF0A4C">
      <w:pPr>
        <w:ind w:left="851" w:right="454"/>
        <w:rPr>
          <w:sz w:val="24"/>
          <w:szCs w:val="24"/>
          <w:lang w:eastAsia="el-GR"/>
        </w:rPr>
      </w:pPr>
      <w:r w:rsidRPr="00136960">
        <w:rPr>
          <w:sz w:val="24"/>
          <w:szCs w:val="24"/>
          <w:lang w:bidi="da-DK"/>
        </w:rPr>
        <w:t>I aldersgrupperne 3 til &lt; 12 år (n=36) og 12 til &lt; 18 år (n=26) var den gennemsnitlige IOP-reduktion i uge 12 i travoprost-gruppen den samme som i timolol-gruppen. Den gennemsnitlige IOP-reduktion i uge 12 i aldersgruppen 2 mdr. til &lt; 3 år var 1,8 mmHg i travoprost-gruppen og 7,3 mmHg i timolol-gruppen. IOP-reduktioner for denne gruppe var kun baseret på 6 patienter i timololgruppen og 9 patienter i travoprostgruppen, hvor 4 patienter i travoprostgruppen mod 0 patienter i timololgruppen ikke havde nogen relevant gennemsnitlig IOP-reduktion i uge 12. Der findes ingen tilgængelige data for børn under 2 mdr. gamle.</w:t>
      </w:r>
    </w:p>
    <w:p w14:paraId="3EE8BA65" w14:textId="77777777" w:rsidR="00136960" w:rsidRPr="00136960" w:rsidRDefault="00136960" w:rsidP="00FF0A4C">
      <w:pPr>
        <w:ind w:left="851" w:right="454"/>
        <w:rPr>
          <w:sz w:val="24"/>
          <w:szCs w:val="24"/>
          <w:lang w:eastAsia="el-GR"/>
        </w:rPr>
      </w:pPr>
    </w:p>
    <w:p w14:paraId="01437FB3" w14:textId="1BCEEF10" w:rsidR="00136960" w:rsidRDefault="00136960" w:rsidP="00FF0A4C">
      <w:pPr>
        <w:ind w:left="851" w:right="454"/>
        <w:rPr>
          <w:sz w:val="24"/>
          <w:szCs w:val="24"/>
          <w:lang w:bidi="da-DK"/>
        </w:rPr>
      </w:pPr>
      <w:r w:rsidRPr="00136960">
        <w:rPr>
          <w:sz w:val="24"/>
          <w:szCs w:val="24"/>
          <w:lang w:bidi="da-DK"/>
        </w:rPr>
        <w:t>Effekten på IOP sås efter den anden uges behandling og blev konsekvent opretholdt i hele den 12 uger lange forsøgsperiode for alle aldersgrupper.</w:t>
      </w:r>
    </w:p>
    <w:p w14:paraId="6CB5F248" w14:textId="1B1C9A36" w:rsidR="00FF0A4C" w:rsidRDefault="00FF0A4C" w:rsidP="00FF0A4C">
      <w:pPr>
        <w:ind w:left="851" w:right="454"/>
        <w:rPr>
          <w:sz w:val="24"/>
          <w:szCs w:val="24"/>
          <w:lang w:eastAsia="el-GR"/>
        </w:rPr>
      </w:pPr>
    </w:p>
    <w:tbl>
      <w:tblPr>
        <w:tblStyle w:val="Tabel-Gitter"/>
        <w:tblW w:w="7935" w:type="dxa"/>
        <w:tblInd w:w="861" w:type="dxa"/>
        <w:tblLayout w:type="fixed"/>
        <w:tblLook w:val="04A0" w:firstRow="1" w:lastRow="0" w:firstColumn="1" w:lastColumn="0" w:noHBand="0" w:noVBand="1"/>
      </w:tblPr>
      <w:tblGrid>
        <w:gridCol w:w="850"/>
        <w:gridCol w:w="142"/>
        <w:gridCol w:w="1134"/>
        <w:gridCol w:w="1134"/>
        <w:gridCol w:w="1275"/>
        <w:gridCol w:w="1842"/>
        <w:gridCol w:w="1558"/>
      </w:tblGrid>
      <w:tr w:rsidR="00FF0A4C" w:rsidRPr="00136960" w14:paraId="6ABBE4C3" w14:textId="77777777" w:rsidTr="00FF0A4C">
        <w:trPr>
          <w:trHeight w:val="357"/>
        </w:trPr>
        <w:tc>
          <w:tcPr>
            <w:tcW w:w="992" w:type="dxa"/>
            <w:gridSpan w:val="2"/>
            <w:tcBorders>
              <w:top w:val="single" w:sz="4" w:space="0" w:color="FFFFFF"/>
              <w:left w:val="single" w:sz="4" w:space="0" w:color="FFFFFF"/>
              <w:bottom w:val="single" w:sz="4" w:space="0" w:color="FFFFFF"/>
              <w:right w:val="single" w:sz="4" w:space="0" w:color="FFFFFF"/>
            </w:tcBorders>
            <w:hideMark/>
          </w:tcPr>
          <w:p w14:paraId="6D79F523" w14:textId="77777777" w:rsidR="00FF0A4C" w:rsidRPr="00136960" w:rsidRDefault="00FF0A4C" w:rsidP="00FF0A4C">
            <w:pPr>
              <w:ind w:right="35"/>
              <w:jc w:val="both"/>
              <w:rPr>
                <w:b/>
                <w:bCs/>
                <w:sz w:val="22"/>
                <w:lang w:val="en-US" w:eastAsia="el-GR"/>
              </w:rPr>
            </w:pPr>
            <w:r w:rsidRPr="00136960">
              <w:rPr>
                <w:b/>
                <w:sz w:val="22"/>
                <w:lang w:bidi="da-DK"/>
              </w:rPr>
              <w:t>Skema 1</w:t>
            </w:r>
          </w:p>
        </w:tc>
        <w:tc>
          <w:tcPr>
            <w:tcW w:w="6943" w:type="dxa"/>
            <w:gridSpan w:val="5"/>
            <w:tcBorders>
              <w:top w:val="single" w:sz="4" w:space="0" w:color="FFFFFF"/>
              <w:left w:val="single" w:sz="4" w:space="0" w:color="FFFFFF"/>
              <w:bottom w:val="single" w:sz="4" w:space="0" w:color="FFFFFF"/>
              <w:right w:val="single" w:sz="4" w:space="0" w:color="FFFFFF"/>
            </w:tcBorders>
            <w:hideMark/>
          </w:tcPr>
          <w:p w14:paraId="7ABE1F18" w14:textId="77777777" w:rsidR="00FF0A4C" w:rsidRPr="00136960" w:rsidRDefault="00FF0A4C" w:rsidP="00FF0A4C">
            <w:pPr>
              <w:jc w:val="both"/>
              <w:rPr>
                <w:b/>
                <w:bCs/>
                <w:sz w:val="22"/>
                <w:lang w:eastAsia="el-GR"/>
              </w:rPr>
            </w:pPr>
            <w:r w:rsidRPr="00136960">
              <w:rPr>
                <w:b/>
                <w:sz w:val="22"/>
                <w:lang w:bidi="da-DK"/>
              </w:rPr>
              <w:t>Sammenligning af gennemsnitlig IOP-ændring fra baseline (mmHg) i uge 12</w:t>
            </w:r>
          </w:p>
        </w:tc>
      </w:tr>
      <w:tr w:rsidR="00FF0A4C" w:rsidRPr="00136960" w14:paraId="7E1E641C" w14:textId="77777777" w:rsidTr="00FF0A4C">
        <w:trPr>
          <w:trHeight w:val="177"/>
        </w:trPr>
        <w:tc>
          <w:tcPr>
            <w:tcW w:w="2126" w:type="dxa"/>
            <w:gridSpan w:val="3"/>
            <w:tcBorders>
              <w:top w:val="single" w:sz="4" w:space="0" w:color="FFFFFF"/>
              <w:left w:val="single" w:sz="4" w:space="0" w:color="FFFFFF"/>
              <w:bottom w:val="single" w:sz="4" w:space="0" w:color="FFFFFF"/>
              <w:right w:val="single" w:sz="4" w:space="0" w:color="FFFFFF"/>
            </w:tcBorders>
            <w:hideMark/>
          </w:tcPr>
          <w:p w14:paraId="4543EF38" w14:textId="77777777" w:rsidR="00FF0A4C" w:rsidRPr="00136960" w:rsidRDefault="00FF0A4C" w:rsidP="00FF0A4C">
            <w:pPr>
              <w:ind w:right="454"/>
              <w:jc w:val="center"/>
              <w:rPr>
                <w:b/>
                <w:bCs/>
                <w:sz w:val="22"/>
                <w:lang w:val="en-US" w:eastAsia="el-GR"/>
              </w:rPr>
            </w:pPr>
            <w:r w:rsidRPr="00136960">
              <w:rPr>
                <w:b/>
                <w:sz w:val="22"/>
                <w:lang w:bidi="da-DK"/>
              </w:rPr>
              <w:t>Travoprost</w:t>
            </w:r>
          </w:p>
        </w:tc>
        <w:tc>
          <w:tcPr>
            <w:tcW w:w="5809" w:type="dxa"/>
            <w:gridSpan w:val="4"/>
            <w:tcBorders>
              <w:top w:val="single" w:sz="4" w:space="0" w:color="FFFFFF"/>
              <w:left w:val="single" w:sz="4" w:space="0" w:color="FFFFFF"/>
              <w:bottom w:val="single" w:sz="4" w:space="0" w:color="FFFFFF"/>
              <w:right w:val="single" w:sz="4" w:space="0" w:color="FFFFFF"/>
            </w:tcBorders>
          </w:tcPr>
          <w:p w14:paraId="5A3D2423" w14:textId="77777777" w:rsidR="00FF0A4C" w:rsidRPr="00136960" w:rsidRDefault="00FF0A4C" w:rsidP="00FF0A4C">
            <w:pPr>
              <w:ind w:right="454"/>
              <w:rPr>
                <w:b/>
                <w:bCs/>
                <w:sz w:val="22"/>
                <w:lang w:val="en-US" w:eastAsia="el-GR"/>
              </w:rPr>
            </w:pPr>
            <w:r w:rsidRPr="00136960">
              <w:rPr>
                <w:b/>
                <w:sz w:val="22"/>
                <w:lang w:bidi="da-DK"/>
              </w:rPr>
              <w:t>Timolol</w:t>
            </w:r>
          </w:p>
          <w:p w14:paraId="76A04906" w14:textId="77777777" w:rsidR="00FF0A4C" w:rsidRPr="00136960" w:rsidRDefault="00FF0A4C" w:rsidP="00FF0A4C">
            <w:pPr>
              <w:ind w:right="454"/>
              <w:rPr>
                <w:b/>
                <w:bCs/>
                <w:sz w:val="22"/>
                <w:lang w:val="en-US" w:eastAsia="el-GR"/>
              </w:rPr>
            </w:pPr>
          </w:p>
        </w:tc>
      </w:tr>
      <w:tr w:rsidR="00FF0A4C" w:rsidRPr="00136960" w14:paraId="2C06B216" w14:textId="77777777" w:rsidTr="00FF0A4C">
        <w:trPr>
          <w:trHeight w:val="177"/>
        </w:trPr>
        <w:tc>
          <w:tcPr>
            <w:tcW w:w="850" w:type="dxa"/>
            <w:tcBorders>
              <w:top w:val="single" w:sz="4" w:space="0" w:color="FFFFFF"/>
              <w:left w:val="single" w:sz="4" w:space="0" w:color="FFFFFF"/>
              <w:bottom w:val="single" w:sz="4" w:space="0" w:color="auto"/>
              <w:right w:val="single" w:sz="4" w:space="0" w:color="FFFFFF"/>
            </w:tcBorders>
            <w:hideMark/>
          </w:tcPr>
          <w:p w14:paraId="6EF38CF7" w14:textId="77777777" w:rsidR="00FF0A4C" w:rsidRPr="00136960" w:rsidRDefault="00FF0A4C" w:rsidP="00FF0A4C">
            <w:pPr>
              <w:ind w:right="454"/>
              <w:rPr>
                <w:b/>
                <w:bCs/>
                <w:sz w:val="22"/>
                <w:lang w:val="en-US" w:eastAsia="el-GR"/>
              </w:rPr>
            </w:pPr>
            <w:r w:rsidRPr="00136960">
              <w:rPr>
                <w:b/>
                <w:sz w:val="22"/>
                <w:lang w:bidi="da-DK"/>
              </w:rPr>
              <w:t>N</w:t>
            </w:r>
          </w:p>
        </w:tc>
        <w:tc>
          <w:tcPr>
            <w:tcW w:w="1276" w:type="dxa"/>
            <w:gridSpan w:val="2"/>
            <w:tcBorders>
              <w:top w:val="single" w:sz="4" w:space="0" w:color="FFFFFF"/>
              <w:left w:val="single" w:sz="4" w:space="0" w:color="FFFFFF"/>
              <w:bottom w:val="single" w:sz="4" w:space="0" w:color="auto"/>
              <w:right w:val="single" w:sz="4" w:space="0" w:color="FFFFFF"/>
            </w:tcBorders>
            <w:hideMark/>
          </w:tcPr>
          <w:p w14:paraId="1073D73F" w14:textId="77777777" w:rsidR="00FF0A4C" w:rsidRPr="00136960" w:rsidRDefault="00FF0A4C" w:rsidP="00FF0A4C">
            <w:pPr>
              <w:ind w:right="454"/>
              <w:jc w:val="center"/>
              <w:rPr>
                <w:b/>
                <w:bCs/>
                <w:sz w:val="22"/>
                <w:lang w:val="en-US" w:eastAsia="el-GR"/>
              </w:rPr>
            </w:pPr>
            <w:r w:rsidRPr="00136960">
              <w:rPr>
                <w:b/>
                <w:sz w:val="22"/>
                <w:lang w:bidi="da-DK"/>
              </w:rPr>
              <w:t>Mean</w:t>
            </w:r>
          </w:p>
          <w:p w14:paraId="47153493" w14:textId="77777777" w:rsidR="00FF0A4C" w:rsidRPr="00136960" w:rsidRDefault="00FF0A4C" w:rsidP="00FF0A4C">
            <w:pPr>
              <w:ind w:right="454"/>
              <w:jc w:val="center"/>
              <w:rPr>
                <w:b/>
                <w:bCs/>
                <w:sz w:val="22"/>
                <w:lang w:val="en-US" w:eastAsia="el-GR"/>
              </w:rPr>
            </w:pPr>
            <w:r w:rsidRPr="00136960">
              <w:rPr>
                <w:b/>
                <w:sz w:val="22"/>
                <w:lang w:bidi="da-DK"/>
              </w:rPr>
              <w:t>(SE)</w:t>
            </w:r>
          </w:p>
        </w:tc>
        <w:tc>
          <w:tcPr>
            <w:tcW w:w="1134" w:type="dxa"/>
            <w:tcBorders>
              <w:top w:val="single" w:sz="4" w:space="0" w:color="FFFFFF"/>
              <w:left w:val="single" w:sz="4" w:space="0" w:color="FFFFFF"/>
              <w:bottom w:val="single" w:sz="4" w:space="0" w:color="auto"/>
              <w:right w:val="single" w:sz="4" w:space="0" w:color="FFFFFF"/>
            </w:tcBorders>
            <w:hideMark/>
          </w:tcPr>
          <w:p w14:paraId="138EB715" w14:textId="77777777" w:rsidR="00FF0A4C" w:rsidRPr="00136960" w:rsidRDefault="00FF0A4C" w:rsidP="00FF0A4C">
            <w:pPr>
              <w:ind w:right="454"/>
              <w:jc w:val="center"/>
              <w:rPr>
                <w:b/>
                <w:bCs/>
                <w:sz w:val="22"/>
                <w:lang w:val="en-US" w:eastAsia="el-GR"/>
              </w:rPr>
            </w:pPr>
            <w:r w:rsidRPr="00136960">
              <w:rPr>
                <w:b/>
                <w:sz w:val="22"/>
                <w:lang w:bidi="da-DK"/>
              </w:rPr>
              <w:t>N</w:t>
            </w:r>
          </w:p>
        </w:tc>
        <w:tc>
          <w:tcPr>
            <w:tcW w:w="1275" w:type="dxa"/>
            <w:tcBorders>
              <w:top w:val="single" w:sz="4" w:space="0" w:color="FFFFFF"/>
              <w:left w:val="single" w:sz="4" w:space="0" w:color="FFFFFF"/>
              <w:bottom w:val="single" w:sz="4" w:space="0" w:color="auto"/>
              <w:right w:val="single" w:sz="4" w:space="0" w:color="FFFFFF"/>
            </w:tcBorders>
            <w:hideMark/>
          </w:tcPr>
          <w:p w14:paraId="651265A3" w14:textId="77777777" w:rsidR="00FF0A4C" w:rsidRPr="00136960" w:rsidRDefault="00FF0A4C" w:rsidP="00FF0A4C">
            <w:pPr>
              <w:ind w:right="454"/>
              <w:jc w:val="center"/>
              <w:rPr>
                <w:b/>
                <w:bCs/>
                <w:sz w:val="22"/>
                <w:lang w:val="en-US" w:eastAsia="el-GR"/>
              </w:rPr>
            </w:pPr>
            <w:r w:rsidRPr="00136960">
              <w:rPr>
                <w:b/>
                <w:sz w:val="22"/>
                <w:lang w:bidi="da-DK"/>
              </w:rPr>
              <w:t>Mean</w:t>
            </w:r>
          </w:p>
          <w:p w14:paraId="0DD20339" w14:textId="77777777" w:rsidR="00FF0A4C" w:rsidRPr="00136960" w:rsidRDefault="00FF0A4C" w:rsidP="00FF0A4C">
            <w:pPr>
              <w:ind w:right="454"/>
              <w:jc w:val="center"/>
              <w:rPr>
                <w:b/>
                <w:bCs/>
                <w:sz w:val="22"/>
                <w:lang w:val="en-US" w:eastAsia="el-GR"/>
              </w:rPr>
            </w:pPr>
            <w:r w:rsidRPr="00136960">
              <w:rPr>
                <w:b/>
                <w:sz w:val="22"/>
                <w:lang w:bidi="da-DK"/>
              </w:rPr>
              <w:t>(SE)</w:t>
            </w:r>
          </w:p>
        </w:tc>
        <w:tc>
          <w:tcPr>
            <w:tcW w:w="1842" w:type="dxa"/>
            <w:tcBorders>
              <w:top w:val="single" w:sz="4" w:space="0" w:color="FFFFFF"/>
              <w:left w:val="single" w:sz="4" w:space="0" w:color="FFFFFF"/>
              <w:bottom w:val="single" w:sz="4" w:space="0" w:color="auto"/>
              <w:right w:val="single" w:sz="4" w:space="0" w:color="FFFFFF"/>
            </w:tcBorders>
            <w:hideMark/>
          </w:tcPr>
          <w:p w14:paraId="4CD24F7D" w14:textId="77777777" w:rsidR="00FF0A4C" w:rsidRPr="00136960" w:rsidRDefault="00FF0A4C" w:rsidP="00FF0A4C">
            <w:pPr>
              <w:ind w:right="454"/>
              <w:jc w:val="center"/>
              <w:rPr>
                <w:b/>
                <w:bCs/>
                <w:sz w:val="22"/>
                <w:lang w:val="en-US" w:eastAsia="el-GR"/>
              </w:rPr>
            </w:pPr>
            <w:r w:rsidRPr="00136960">
              <w:rPr>
                <w:b/>
                <w:sz w:val="22"/>
                <w:lang w:bidi="da-DK"/>
              </w:rPr>
              <w:t>Mean Difference</w:t>
            </w:r>
            <w:r w:rsidRPr="00136960">
              <w:rPr>
                <w:b/>
                <w:sz w:val="22"/>
                <w:vertAlign w:val="superscript"/>
                <w:lang w:bidi="da-DK"/>
              </w:rPr>
              <w:t xml:space="preserve">a </w:t>
            </w:r>
            <w:r w:rsidRPr="00136960">
              <w:rPr>
                <w:b/>
                <w:sz w:val="22"/>
                <w:lang w:bidi="da-DK"/>
              </w:rPr>
              <w:t xml:space="preserve"> (gennemsnitsforskel)</w:t>
            </w:r>
          </w:p>
        </w:tc>
        <w:tc>
          <w:tcPr>
            <w:tcW w:w="1558" w:type="dxa"/>
            <w:tcBorders>
              <w:top w:val="single" w:sz="4" w:space="0" w:color="FFFFFF"/>
              <w:left w:val="single" w:sz="4" w:space="0" w:color="FFFFFF"/>
              <w:bottom w:val="single" w:sz="4" w:space="0" w:color="auto"/>
              <w:right w:val="single" w:sz="4" w:space="0" w:color="FFFFFF"/>
            </w:tcBorders>
            <w:hideMark/>
          </w:tcPr>
          <w:p w14:paraId="3B404793" w14:textId="77777777" w:rsidR="00FF0A4C" w:rsidRPr="00136960" w:rsidRDefault="00FF0A4C" w:rsidP="00FF0A4C">
            <w:pPr>
              <w:ind w:right="454"/>
              <w:jc w:val="center"/>
              <w:rPr>
                <w:b/>
                <w:bCs/>
                <w:sz w:val="22"/>
                <w:lang w:val="en-US" w:eastAsia="el-GR"/>
              </w:rPr>
            </w:pPr>
            <w:r w:rsidRPr="00136960">
              <w:rPr>
                <w:b/>
                <w:sz w:val="22"/>
                <w:lang w:bidi="da-DK"/>
              </w:rPr>
              <w:t>(95% CI)</w:t>
            </w:r>
          </w:p>
        </w:tc>
      </w:tr>
      <w:tr w:rsidR="00FF0A4C" w:rsidRPr="00136960" w14:paraId="716A207E" w14:textId="77777777" w:rsidTr="00FF0A4C">
        <w:trPr>
          <w:trHeight w:val="177"/>
        </w:trPr>
        <w:tc>
          <w:tcPr>
            <w:tcW w:w="992" w:type="dxa"/>
            <w:gridSpan w:val="2"/>
            <w:tcBorders>
              <w:top w:val="single" w:sz="4" w:space="0" w:color="auto"/>
              <w:left w:val="single" w:sz="4" w:space="0" w:color="FFFFFF"/>
              <w:bottom w:val="single" w:sz="4" w:space="0" w:color="FFFFFF"/>
              <w:right w:val="single" w:sz="4" w:space="0" w:color="FFFFFF"/>
            </w:tcBorders>
            <w:hideMark/>
          </w:tcPr>
          <w:p w14:paraId="17EACE1C" w14:textId="77777777" w:rsidR="00FF0A4C" w:rsidRPr="00136960" w:rsidRDefault="00FF0A4C" w:rsidP="00FF0A4C">
            <w:pPr>
              <w:ind w:right="454"/>
              <w:jc w:val="center"/>
              <w:rPr>
                <w:sz w:val="22"/>
                <w:lang w:val="en-US" w:eastAsia="el-GR"/>
              </w:rPr>
            </w:pPr>
            <w:r w:rsidRPr="00136960">
              <w:rPr>
                <w:sz w:val="22"/>
                <w:lang w:bidi="da-DK"/>
              </w:rPr>
              <w:t>53</w:t>
            </w:r>
          </w:p>
        </w:tc>
        <w:tc>
          <w:tcPr>
            <w:tcW w:w="1134" w:type="dxa"/>
            <w:tcBorders>
              <w:top w:val="single" w:sz="4" w:space="0" w:color="auto"/>
              <w:left w:val="single" w:sz="4" w:space="0" w:color="FFFFFF"/>
              <w:bottom w:val="single" w:sz="4" w:space="0" w:color="FFFFFF"/>
              <w:right w:val="single" w:sz="4" w:space="0" w:color="FFFFFF"/>
            </w:tcBorders>
            <w:hideMark/>
          </w:tcPr>
          <w:p w14:paraId="25F1D307" w14:textId="77777777" w:rsidR="00FF0A4C" w:rsidRPr="00136960" w:rsidRDefault="00FF0A4C" w:rsidP="00FF0A4C">
            <w:pPr>
              <w:ind w:right="454"/>
              <w:jc w:val="center"/>
              <w:rPr>
                <w:sz w:val="22"/>
                <w:lang w:val="en-US" w:eastAsia="el-GR"/>
              </w:rPr>
            </w:pPr>
            <w:r w:rsidRPr="00136960">
              <w:rPr>
                <w:sz w:val="22"/>
                <w:lang w:bidi="da-DK"/>
              </w:rPr>
              <w:t>-6,4</w:t>
            </w:r>
          </w:p>
        </w:tc>
        <w:tc>
          <w:tcPr>
            <w:tcW w:w="1134" w:type="dxa"/>
            <w:tcBorders>
              <w:top w:val="single" w:sz="4" w:space="0" w:color="auto"/>
              <w:left w:val="single" w:sz="4" w:space="0" w:color="FFFFFF"/>
              <w:bottom w:val="single" w:sz="4" w:space="0" w:color="FFFFFF"/>
              <w:right w:val="single" w:sz="4" w:space="0" w:color="FFFFFF"/>
            </w:tcBorders>
            <w:hideMark/>
          </w:tcPr>
          <w:p w14:paraId="493978A0" w14:textId="77777777" w:rsidR="00FF0A4C" w:rsidRPr="00136960" w:rsidRDefault="00FF0A4C" w:rsidP="00FF0A4C">
            <w:pPr>
              <w:ind w:right="454"/>
              <w:jc w:val="center"/>
              <w:rPr>
                <w:sz w:val="22"/>
                <w:lang w:val="en-US" w:eastAsia="el-GR"/>
              </w:rPr>
            </w:pPr>
            <w:r w:rsidRPr="00136960">
              <w:rPr>
                <w:sz w:val="22"/>
                <w:lang w:bidi="da-DK"/>
              </w:rPr>
              <w:t>60</w:t>
            </w:r>
          </w:p>
        </w:tc>
        <w:tc>
          <w:tcPr>
            <w:tcW w:w="1275" w:type="dxa"/>
            <w:tcBorders>
              <w:top w:val="single" w:sz="4" w:space="0" w:color="auto"/>
              <w:left w:val="single" w:sz="4" w:space="0" w:color="FFFFFF"/>
              <w:bottom w:val="single" w:sz="4" w:space="0" w:color="FFFFFF"/>
              <w:right w:val="single" w:sz="4" w:space="0" w:color="FFFFFF"/>
            </w:tcBorders>
            <w:hideMark/>
          </w:tcPr>
          <w:p w14:paraId="3CD57E19" w14:textId="77777777" w:rsidR="00FF0A4C" w:rsidRPr="00136960" w:rsidRDefault="00FF0A4C" w:rsidP="00FF0A4C">
            <w:pPr>
              <w:ind w:right="454"/>
              <w:jc w:val="center"/>
              <w:rPr>
                <w:sz w:val="22"/>
                <w:lang w:val="en-US" w:eastAsia="el-GR"/>
              </w:rPr>
            </w:pPr>
            <w:r w:rsidRPr="00136960">
              <w:rPr>
                <w:sz w:val="22"/>
                <w:lang w:bidi="da-DK"/>
              </w:rPr>
              <w:t>-5,8</w:t>
            </w:r>
          </w:p>
        </w:tc>
        <w:tc>
          <w:tcPr>
            <w:tcW w:w="1842" w:type="dxa"/>
            <w:tcBorders>
              <w:top w:val="single" w:sz="4" w:space="0" w:color="auto"/>
              <w:left w:val="single" w:sz="4" w:space="0" w:color="FFFFFF"/>
              <w:bottom w:val="single" w:sz="4" w:space="0" w:color="FFFFFF"/>
              <w:right w:val="single" w:sz="4" w:space="0" w:color="FFFFFF"/>
            </w:tcBorders>
            <w:hideMark/>
          </w:tcPr>
          <w:p w14:paraId="6553551A" w14:textId="77777777" w:rsidR="00FF0A4C" w:rsidRPr="00136960" w:rsidRDefault="00FF0A4C" w:rsidP="00FF0A4C">
            <w:pPr>
              <w:ind w:right="454"/>
              <w:jc w:val="center"/>
              <w:rPr>
                <w:sz w:val="22"/>
                <w:lang w:val="en-US" w:eastAsia="el-GR"/>
              </w:rPr>
            </w:pPr>
            <w:r w:rsidRPr="00136960">
              <w:rPr>
                <w:sz w:val="22"/>
                <w:lang w:bidi="da-DK"/>
              </w:rPr>
              <w:t>-0,5</w:t>
            </w:r>
          </w:p>
        </w:tc>
        <w:tc>
          <w:tcPr>
            <w:tcW w:w="1558" w:type="dxa"/>
            <w:tcBorders>
              <w:top w:val="single" w:sz="4" w:space="0" w:color="auto"/>
              <w:left w:val="single" w:sz="4" w:space="0" w:color="FFFFFF"/>
              <w:bottom w:val="single" w:sz="4" w:space="0" w:color="FFFFFF"/>
              <w:right w:val="single" w:sz="4" w:space="0" w:color="FFFFFF"/>
            </w:tcBorders>
            <w:hideMark/>
          </w:tcPr>
          <w:p w14:paraId="48F4C659" w14:textId="77777777" w:rsidR="00FF0A4C" w:rsidRPr="00136960" w:rsidRDefault="00FF0A4C" w:rsidP="00FF0A4C">
            <w:pPr>
              <w:ind w:right="454"/>
              <w:jc w:val="center"/>
              <w:rPr>
                <w:sz w:val="22"/>
                <w:lang w:val="en-US" w:eastAsia="el-GR"/>
              </w:rPr>
            </w:pPr>
            <w:r w:rsidRPr="00136960">
              <w:rPr>
                <w:sz w:val="22"/>
                <w:lang w:bidi="da-DK"/>
              </w:rPr>
              <w:t>(2,1 1,0)</w:t>
            </w:r>
          </w:p>
        </w:tc>
      </w:tr>
      <w:tr w:rsidR="00FF0A4C" w:rsidRPr="00136960" w14:paraId="68406E89" w14:textId="77777777" w:rsidTr="00FF0A4C">
        <w:trPr>
          <w:trHeight w:val="177"/>
        </w:trPr>
        <w:tc>
          <w:tcPr>
            <w:tcW w:w="992" w:type="dxa"/>
            <w:gridSpan w:val="2"/>
            <w:tcBorders>
              <w:top w:val="single" w:sz="4" w:space="0" w:color="FFFFFF"/>
              <w:left w:val="single" w:sz="4" w:space="0" w:color="FFFFFF"/>
              <w:bottom w:val="single" w:sz="4" w:space="0" w:color="auto"/>
              <w:right w:val="single" w:sz="4" w:space="0" w:color="FFFFFF"/>
            </w:tcBorders>
          </w:tcPr>
          <w:p w14:paraId="0F6D6BA7" w14:textId="77777777" w:rsidR="00FF0A4C" w:rsidRPr="00136960" w:rsidRDefault="00FF0A4C" w:rsidP="00FF0A4C">
            <w:pPr>
              <w:ind w:right="454"/>
              <w:jc w:val="center"/>
              <w:rPr>
                <w:sz w:val="22"/>
                <w:lang w:val="en-US" w:eastAsia="el-GR"/>
              </w:rPr>
            </w:pPr>
          </w:p>
        </w:tc>
        <w:tc>
          <w:tcPr>
            <w:tcW w:w="1134" w:type="dxa"/>
            <w:tcBorders>
              <w:top w:val="single" w:sz="4" w:space="0" w:color="FFFFFF"/>
              <w:left w:val="single" w:sz="4" w:space="0" w:color="FFFFFF"/>
              <w:bottom w:val="single" w:sz="4" w:space="0" w:color="auto"/>
              <w:right w:val="single" w:sz="4" w:space="0" w:color="FFFFFF"/>
            </w:tcBorders>
            <w:hideMark/>
          </w:tcPr>
          <w:p w14:paraId="73C78C1A" w14:textId="77777777" w:rsidR="00FF0A4C" w:rsidRPr="00136960" w:rsidRDefault="00FF0A4C" w:rsidP="00FF0A4C">
            <w:pPr>
              <w:ind w:right="324"/>
              <w:jc w:val="center"/>
              <w:rPr>
                <w:sz w:val="22"/>
                <w:lang w:val="en-US" w:eastAsia="el-GR"/>
              </w:rPr>
            </w:pPr>
            <w:r w:rsidRPr="00136960">
              <w:rPr>
                <w:sz w:val="22"/>
                <w:lang w:bidi="da-DK"/>
              </w:rPr>
              <w:t>(1,05)</w:t>
            </w:r>
          </w:p>
        </w:tc>
        <w:tc>
          <w:tcPr>
            <w:tcW w:w="1134" w:type="dxa"/>
            <w:tcBorders>
              <w:top w:val="single" w:sz="4" w:space="0" w:color="FFFFFF"/>
              <w:left w:val="single" w:sz="4" w:space="0" w:color="FFFFFF"/>
              <w:bottom w:val="single" w:sz="4" w:space="0" w:color="auto"/>
              <w:right w:val="single" w:sz="4" w:space="0" w:color="FFFFFF"/>
            </w:tcBorders>
          </w:tcPr>
          <w:p w14:paraId="4956C89E" w14:textId="77777777" w:rsidR="00FF0A4C" w:rsidRPr="00136960" w:rsidRDefault="00FF0A4C" w:rsidP="00FF0A4C">
            <w:pPr>
              <w:ind w:right="454"/>
              <w:jc w:val="center"/>
              <w:rPr>
                <w:sz w:val="22"/>
                <w:lang w:val="en-US" w:eastAsia="el-GR"/>
              </w:rPr>
            </w:pPr>
          </w:p>
        </w:tc>
        <w:tc>
          <w:tcPr>
            <w:tcW w:w="1275" w:type="dxa"/>
            <w:tcBorders>
              <w:top w:val="single" w:sz="4" w:space="0" w:color="FFFFFF"/>
              <w:left w:val="single" w:sz="4" w:space="0" w:color="FFFFFF"/>
              <w:bottom w:val="single" w:sz="4" w:space="0" w:color="auto"/>
              <w:right w:val="single" w:sz="4" w:space="0" w:color="FFFFFF"/>
            </w:tcBorders>
            <w:hideMark/>
          </w:tcPr>
          <w:p w14:paraId="215B22F4" w14:textId="77777777" w:rsidR="00FF0A4C" w:rsidRPr="00136960" w:rsidRDefault="00FF0A4C" w:rsidP="00FF0A4C">
            <w:pPr>
              <w:ind w:right="454"/>
              <w:jc w:val="center"/>
              <w:rPr>
                <w:sz w:val="22"/>
                <w:lang w:val="en-US" w:eastAsia="el-GR"/>
              </w:rPr>
            </w:pPr>
            <w:r w:rsidRPr="00136960">
              <w:rPr>
                <w:sz w:val="22"/>
                <w:lang w:bidi="da-DK"/>
              </w:rPr>
              <w:t>(0,96)</w:t>
            </w:r>
          </w:p>
        </w:tc>
        <w:tc>
          <w:tcPr>
            <w:tcW w:w="1842" w:type="dxa"/>
            <w:tcBorders>
              <w:top w:val="single" w:sz="4" w:space="0" w:color="FFFFFF"/>
              <w:left w:val="single" w:sz="4" w:space="0" w:color="FFFFFF"/>
              <w:bottom w:val="single" w:sz="4" w:space="0" w:color="auto"/>
              <w:right w:val="single" w:sz="4" w:space="0" w:color="FFFFFF"/>
            </w:tcBorders>
          </w:tcPr>
          <w:p w14:paraId="40589E0B" w14:textId="77777777" w:rsidR="00FF0A4C" w:rsidRPr="00136960" w:rsidRDefault="00FF0A4C" w:rsidP="00FF0A4C">
            <w:pPr>
              <w:ind w:right="454"/>
              <w:jc w:val="center"/>
              <w:rPr>
                <w:sz w:val="22"/>
                <w:lang w:val="en-US" w:eastAsia="el-GR"/>
              </w:rPr>
            </w:pPr>
          </w:p>
        </w:tc>
        <w:tc>
          <w:tcPr>
            <w:tcW w:w="1558" w:type="dxa"/>
            <w:tcBorders>
              <w:top w:val="single" w:sz="4" w:space="0" w:color="FFFFFF"/>
              <w:left w:val="single" w:sz="4" w:space="0" w:color="FFFFFF"/>
              <w:bottom w:val="single" w:sz="4" w:space="0" w:color="auto"/>
              <w:right w:val="single" w:sz="4" w:space="0" w:color="FFFFFF"/>
            </w:tcBorders>
          </w:tcPr>
          <w:p w14:paraId="22B3D6B4" w14:textId="77777777" w:rsidR="00FF0A4C" w:rsidRPr="00136960" w:rsidRDefault="00FF0A4C" w:rsidP="00FF0A4C">
            <w:pPr>
              <w:ind w:right="454"/>
              <w:jc w:val="center"/>
              <w:rPr>
                <w:sz w:val="22"/>
                <w:lang w:val="en-US" w:eastAsia="el-GR"/>
              </w:rPr>
            </w:pPr>
          </w:p>
        </w:tc>
      </w:tr>
    </w:tbl>
    <w:p w14:paraId="57C2F691" w14:textId="77777777" w:rsidR="00FF0A4C" w:rsidRPr="00136960" w:rsidRDefault="00FF0A4C" w:rsidP="00FF0A4C">
      <w:pPr>
        <w:ind w:left="851" w:right="454"/>
        <w:rPr>
          <w:sz w:val="24"/>
          <w:szCs w:val="24"/>
          <w:lang w:eastAsia="el-GR"/>
        </w:rPr>
      </w:pPr>
    </w:p>
    <w:p w14:paraId="41727D8E" w14:textId="77777777" w:rsidR="00136960" w:rsidRPr="00136960" w:rsidRDefault="00136960" w:rsidP="00FF0A4C">
      <w:pPr>
        <w:ind w:left="851" w:right="454"/>
        <w:jc w:val="both"/>
        <w:rPr>
          <w:sz w:val="22"/>
          <w:szCs w:val="22"/>
          <w:lang w:val="en-US" w:eastAsia="el-GR"/>
        </w:rPr>
      </w:pPr>
      <w:r w:rsidRPr="00136960">
        <w:rPr>
          <w:sz w:val="22"/>
          <w:szCs w:val="22"/>
          <w:lang w:bidi="da-DK"/>
        </w:rPr>
        <w:t>SE = standardfejl; CI = konfidensinterval</w:t>
      </w:r>
    </w:p>
    <w:p w14:paraId="60479AD5" w14:textId="77777777" w:rsidR="00136960" w:rsidRPr="00136960" w:rsidRDefault="00136960" w:rsidP="00FF0A4C">
      <w:pPr>
        <w:ind w:left="851" w:right="454"/>
        <w:jc w:val="both"/>
        <w:rPr>
          <w:sz w:val="22"/>
          <w:szCs w:val="22"/>
          <w:lang w:eastAsia="el-GR"/>
        </w:rPr>
      </w:pPr>
      <w:r w:rsidRPr="00136960">
        <w:rPr>
          <w:sz w:val="22"/>
          <w:szCs w:val="22"/>
          <w:vertAlign w:val="superscript"/>
          <w:lang w:bidi="da-DK"/>
        </w:rPr>
        <w:t>a</w:t>
      </w:r>
      <w:r w:rsidRPr="00136960">
        <w:rPr>
          <w:sz w:val="22"/>
          <w:szCs w:val="22"/>
          <w:lang w:bidi="da-DK"/>
        </w:rPr>
        <w:t>Mean difference er Travoprost - Timolol Estimater baseret på mindste kvadraters middelværdi afledt af en statistisk model, der tager højde for korrelerede IOP-målinger hos en patient, hvor primærdiagnose og baseline IOP-stratum indgår i modellen.</w:t>
      </w:r>
    </w:p>
    <w:p w14:paraId="3B379927" w14:textId="728D8EDC" w:rsidR="00FF0A4C" w:rsidRDefault="00FF0A4C">
      <w:pPr>
        <w:rPr>
          <w:sz w:val="24"/>
          <w:szCs w:val="24"/>
        </w:rPr>
      </w:pPr>
      <w:r>
        <w:rPr>
          <w:sz w:val="24"/>
          <w:szCs w:val="24"/>
        </w:rPr>
        <w:br w:type="page"/>
      </w:r>
    </w:p>
    <w:p w14:paraId="3BAE7985" w14:textId="77777777" w:rsidR="009260DE" w:rsidRPr="00C84483" w:rsidRDefault="009260DE" w:rsidP="009260DE">
      <w:pPr>
        <w:tabs>
          <w:tab w:val="left" w:pos="851"/>
        </w:tabs>
        <w:ind w:left="851"/>
        <w:rPr>
          <w:sz w:val="24"/>
          <w:szCs w:val="24"/>
        </w:rPr>
      </w:pPr>
    </w:p>
    <w:p w14:paraId="5EFB4CA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980BB2B" w14:textId="77777777" w:rsidR="00FF0A4C" w:rsidRPr="00F540AD" w:rsidRDefault="00FF0A4C" w:rsidP="00FF0A4C">
      <w:pPr>
        <w:tabs>
          <w:tab w:val="left" w:pos="851"/>
        </w:tabs>
        <w:ind w:left="851"/>
        <w:rPr>
          <w:sz w:val="24"/>
          <w:szCs w:val="24"/>
        </w:rPr>
      </w:pPr>
    </w:p>
    <w:p w14:paraId="3A9945C6" w14:textId="77777777" w:rsidR="00FF0A4C" w:rsidRPr="00FF0A4C" w:rsidRDefault="00FF0A4C" w:rsidP="00FF0A4C">
      <w:pPr>
        <w:tabs>
          <w:tab w:val="left" w:pos="851"/>
        </w:tabs>
        <w:ind w:left="851"/>
        <w:rPr>
          <w:sz w:val="24"/>
          <w:szCs w:val="24"/>
          <w:u w:val="single"/>
        </w:rPr>
      </w:pPr>
      <w:r w:rsidRPr="00FF0A4C">
        <w:rPr>
          <w:sz w:val="24"/>
          <w:szCs w:val="24"/>
          <w:u w:val="single"/>
          <w:lang w:bidi="da-DK"/>
        </w:rPr>
        <w:t>Absorption</w:t>
      </w:r>
    </w:p>
    <w:p w14:paraId="6FDF0703" w14:textId="77777777" w:rsidR="00FF0A4C" w:rsidRPr="00FF0A4C" w:rsidRDefault="00FF0A4C" w:rsidP="00FF0A4C">
      <w:pPr>
        <w:tabs>
          <w:tab w:val="left" w:pos="851"/>
        </w:tabs>
        <w:ind w:left="851"/>
        <w:rPr>
          <w:sz w:val="24"/>
          <w:szCs w:val="24"/>
        </w:rPr>
      </w:pPr>
      <w:r w:rsidRPr="00FF0A4C">
        <w:rPr>
          <w:sz w:val="24"/>
          <w:szCs w:val="24"/>
          <w:lang w:bidi="da-DK"/>
        </w:rPr>
        <w:t>Travoprost er et esterprodrug. Det absorberes gennem hornhinden, hvor isopropylesteren hydrolyseres til den aktive frie syre. Forsøg med kaniner har vist spidskoncentrationer på 20 ng/ml af den frie syre i kammervæsken én til to timer efter topisk dosering af travoprost. Vandige koncentrationer aftog med en halveringstid på ca. 1,5 timer.</w:t>
      </w:r>
    </w:p>
    <w:p w14:paraId="5A1CDE85" w14:textId="77777777" w:rsidR="00FF0A4C" w:rsidRPr="00FF0A4C" w:rsidRDefault="00FF0A4C" w:rsidP="00FF0A4C">
      <w:pPr>
        <w:tabs>
          <w:tab w:val="left" w:pos="851"/>
        </w:tabs>
        <w:ind w:left="851"/>
        <w:rPr>
          <w:sz w:val="24"/>
          <w:szCs w:val="24"/>
        </w:rPr>
      </w:pPr>
    </w:p>
    <w:p w14:paraId="20918BD4" w14:textId="77777777" w:rsidR="00FF0A4C" w:rsidRPr="00FF0A4C" w:rsidRDefault="00FF0A4C" w:rsidP="00FF0A4C">
      <w:pPr>
        <w:tabs>
          <w:tab w:val="left" w:pos="851"/>
        </w:tabs>
        <w:ind w:left="851"/>
        <w:rPr>
          <w:sz w:val="24"/>
          <w:szCs w:val="24"/>
          <w:u w:val="single"/>
        </w:rPr>
      </w:pPr>
      <w:r w:rsidRPr="00FF0A4C">
        <w:rPr>
          <w:sz w:val="24"/>
          <w:szCs w:val="24"/>
          <w:u w:val="single"/>
          <w:lang w:bidi="da-DK"/>
        </w:rPr>
        <w:t>Fordeling</w:t>
      </w:r>
    </w:p>
    <w:p w14:paraId="531B5EFB" w14:textId="77777777" w:rsidR="00FF0A4C" w:rsidRPr="00FF0A4C" w:rsidRDefault="00FF0A4C" w:rsidP="00FF0A4C">
      <w:pPr>
        <w:tabs>
          <w:tab w:val="left" w:pos="851"/>
        </w:tabs>
        <w:ind w:left="851"/>
        <w:rPr>
          <w:sz w:val="24"/>
          <w:szCs w:val="24"/>
        </w:rPr>
      </w:pPr>
      <w:r w:rsidRPr="00FF0A4C">
        <w:rPr>
          <w:sz w:val="24"/>
          <w:szCs w:val="24"/>
          <w:lang w:bidi="da-DK"/>
        </w:rPr>
        <w:t>Efter topikal okulær indgivelse af travoprost til raske frivillige blev der påvist lav systemisk eksponering for aktiv fri syre. De højeste plasmakoncentrationer af aktiv fri syre på 25 pg/ml eller derunder blev observeret 10-30 minutter efter doseringen. Derefter faldt plasmaniveauet hurtigt til under analysens kvantificeringsgrænse på 10 pg/ml inden for 1 time efter administration. Grundet den lave plasmakoncentration og hurtige eliminering efter topisk dosering kunne eliminationshalveringstiden for den aktive frie syre hos mennesker ikke fastslås.</w:t>
      </w:r>
    </w:p>
    <w:p w14:paraId="5C17B2AD" w14:textId="77777777" w:rsidR="00FF0A4C" w:rsidRPr="00FF0A4C" w:rsidRDefault="00FF0A4C" w:rsidP="00FF0A4C">
      <w:pPr>
        <w:tabs>
          <w:tab w:val="left" w:pos="851"/>
        </w:tabs>
        <w:ind w:left="851"/>
        <w:rPr>
          <w:sz w:val="24"/>
          <w:szCs w:val="24"/>
        </w:rPr>
      </w:pPr>
    </w:p>
    <w:p w14:paraId="142E7B7B" w14:textId="77777777" w:rsidR="00FF0A4C" w:rsidRPr="00FF0A4C" w:rsidRDefault="00FF0A4C" w:rsidP="00FF0A4C">
      <w:pPr>
        <w:tabs>
          <w:tab w:val="left" w:pos="851"/>
        </w:tabs>
        <w:ind w:left="851"/>
        <w:rPr>
          <w:sz w:val="24"/>
          <w:szCs w:val="24"/>
          <w:u w:val="single"/>
        </w:rPr>
      </w:pPr>
      <w:r w:rsidRPr="00FF0A4C">
        <w:rPr>
          <w:sz w:val="24"/>
          <w:szCs w:val="24"/>
          <w:u w:val="single"/>
          <w:lang w:bidi="da-DK"/>
        </w:rPr>
        <w:t>Biotransformation</w:t>
      </w:r>
    </w:p>
    <w:p w14:paraId="02688752" w14:textId="77777777" w:rsidR="00FF0A4C" w:rsidRPr="00FF0A4C" w:rsidRDefault="00FF0A4C" w:rsidP="00FF0A4C">
      <w:pPr>
        <w:tabs>
          <w:tab w:val="left" w:pos="851"/>
        </w:tabs>
        <w:ind w:left="851"/>
        <w:rPr>
          <w:sz w:val="24"/>
          <w:szCs w:val="24"/>
        </w:rPr>
      </w:pPr>
      <w:r w:rsidRPr="00FF0A4C">
        <w:rPr>
          <w:sz w:val="24"/>
          <w:szCs w:val="24"/>
          <w:lang w:bidi="da-DK"/>
        </w:rPr>
        <w:t>Metabolisme er den vigtigste eliminationsvej for både travoprost og den aktive frie syre. De systemiske, metaboliske veje er parallelle med dem for endogent prostaglandin F</w:t>
      </w:r>
      <w:r w:rsidRPr="00FF0A4C">
        <w:rPr>
          <w:sz w:val="24"/>
          <w:szCs w:val="24"/>
          <w:vertAlign w:val="subscript"/>
          <w:lang w:bidi="da-DK"/>
        </w:rPr>
        <w:t>2α</w:t>
      </w:r>
      <w:r w:rsidRPr="00FF0A4C">
        <w:rPr>
          <w:sz w:val="24"/>
          <w:szCs w:val="24"/>
          <w:lang w:bidi="da-DK"/>
        </w:rPr>
        <w:t>, der er kendetegnet ved reduktion af 13-14-dobbeltbindingen, oxidation af 15-hydroxyl og β-oxidativ spaltning af den øverste sidekæde.</w:t>
      </w:r>
    </w:p>
    <w:p w14:paraId="7F1C0C3C" w14:textId="77777777" w:rsidR="00FF0A4C" w:rsidRPr="00FF0A4C" w:rsidRDefault="00FF0A4C" w:rsidP="00FF0A4C">
      <w:pPr>
        <w:tabs>
          <w:tab w:val="left" w:pos="851"/>
        </w:tabs>
        <w:ind w:left="851"/>
        <w:rPr>
          <w:sz w:val="24"/>
          <w:szCs w:val="24"/>
        </w:rPr>
      </w:pPr>
    </w:p>
    <w:p w14:paraId="720E4385" w14:textId="77777777" w:rsidR="00FF0A4C" w:rsidRPr="00FF0A4C" w:rsidRDefault="00FF0A4C" w:rsidP="00FF0A4C">
      <w:pPr>
        <w:tabs>
          <w:tab w:val="left" w:pos="851"/>
        </w:tabs>
        <w:ind w:left="851"/>
        <w:rPr>
          <w:sz w:val="24"/>
          <w:szCs w:val="24"/>
          <w:u w:val="single"/>
        </w:rPr>
      </w:pPr>
      <w:r w:rsidRPr="00FF0A4C">
        <w:rPr>
          <w:sz w:val="24"/>
          <w:szCs w:val="24"/>
          <w:u w:val="single"/>
          <w:lang w:bidi="da-DK"/>
        </w:rPr>
        <w:t>Elimination</w:t>
      </w:r>
    </w:p>
    <w:p w14:paraId="6A79980B" w14:textId="77777777" w:rsidR="00FF0A4C" w:rsidRPr="00FF0A4C" w:rsidRDefault="00FF0A4C" w:rsidP="00FF0A4C">
      <w:pPr>
        <w:tabs>
          <w:tab w:val="left" w:pos="851"/>
        </w:tabs>
        <w:ind w:left="851"/>
        <w:rPr>
          <w:sz w:val="24"/>
          <w:szCs w:val="24"/>
        </w:rPr>
      </w:pPr>
      <w:r w:rsidRPr="00FF0A4C">
        <w:rPr>
          <w:sz w:val="24"/>
          <w:szCs w:val="24"/>
          <w:lang w:bidi="da-DK"/>
        </w:rPr>
        <w:t>Travoprost fri syre og dets metabolitter udskilles hovedsageligt gennem nyrerne. Travoprost er blevet undersøgt hos patienter med let til svært nedsat leverfunktion og hos patienter med let til svært nedsat nyrefunktion (kreatininclearance helt ned til 14 ml/min). Ingen dosisjustering er nødvendig hos sådanne patienter.</w:t>
      </w:r>
    </w:p>
    <w:p w14:paraId="55CADD13" w14:textId="77777777" w:rsidR="00FF0A4C" w:rsidRPr="00FF0A4C" w:rsidRDefault="00FF0A4C" w:rsidP="00FF0A4C">
      <w:pPr>
        <w:tabs>
          <w:tab w:val="left" w:pos="851"/>
        </w:tabs>
        <w:ind w:left="851"/>
        <w:rPr>
          <w:sz w:val="24"/>
          <w:szCs w:val="24"/>
        </w:rPr>
      </w:pPr>
    </w:p>
    <w:p w14:paraId="628FFE23" w14:textId="77777777" w:rsidR="00FF0A4C" w:rsidRPr="00FF0A4C" w:rsidRDefault="00FF0A4C" w:rsidP="00FF0A4C">
      <w:pPr>
        <w:tabs>
          <w:tab w:val="left" w:pos="851"/>
        </w:tabs>
        <w:ind w:left="851"/>
        <w:rPr>
          <w:sz w:val="24"/>
          <w:szCs w:val="24"/>
          <w:u w:val="single"/>
        </w:rPr>
      </w:pPr>
      <w:r w:rsidRPr="00FF0A4C">
        <w:rPr>
          <w:sz w:val="24"/>
          <w:szCs w:val="24"/>
          <w:u w:val="single"/>
          <w:lang w:bidi="da-DK"/>
        </w:rPr>
        <w:t>Pædiatrisk population</w:t>
      </w:r>
    </w:p>
    <w:p w14:paraId="574BB78E" w14:textId="77777777" w:rsidR="00FF0A4C" w:rsidRPr="00FF0A4C" w:rsidRDefault="00FF0A4C" w:rsidP="00FF0A4C">
      <w:pPr>
        <w:tabs>
          <w:tab w:val="left" w:pos="851"/>
        </w:tabs>
        <w:ind w:left="851"/>
        <w:rPr>
          <w:sz w:val="24"/>
          <w:szCs w:val="24"/>
        </w:rPr>
      </w:pPr>
      <w:r w:rsidRPr="00FF0A4C">
        <w:rPr>
          <w:sz w:val="24"/>
          <w:szCs w:val="24"/>
          <w:lang w:bidi="da-DK"/>
        </w:rPr>
        <w:t>Et farmakokinetisk studie hos pædiatriske patienter i alderen 2 mdr. til &lt; 18 år viste en meget lav plasmaeksponering for travoprost fri syre, med koncentrationer fra under 10 pg/ml assay limit of quantitation (BLQ) til 54,5 pg/ml. I 4 tidligere systemiske farmakokinetiske forsøg hos voksne varierede plasmakoncentrationen af travoprost i fri syre fra BLQ til 52,0 pg/ml. Skønt de fleste plasmadata på tværs af alle undersøgelser ikke var kvantificerbare, hvilket gør statistiske sammenligninger af systemisk eksponering på tværs af aldersgrupper umulige, viser den overordnede tendens, at plasmaeksponering for travoprost fri syre efter topisk administration af travoprost er ekstremt lav på tværs af alle evaluerede aldersgrupper.</w:t>
      </w:r>
    </w:p>
    <w:p w14:paraId="3FAACD3F" w14:textId="77777777" w:rsidR="009260DE" w:rsidRPr="00C84483" w:rsidRDefault="009260DE" w:rsidP="009260DE">
      <w:pPr>
        <w:tabs>
          <w:tab w:val="left" w:pos="851"/>
        </w:tabs>
        <w:ind w:left="851"/>
        <w:rPr>
          <w:sz w:val="24"/>
          <w:szCs w:val="24"/>
        </w:rPr>
      </w:pPr>
    </w:p>
    <w:p w14:paraId="1690ADD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78E5D48" w14:textId="77777777" w:rsidR="00FF0A4C" w:rsidRPr="00FF0A4C" w:rsidRDefault="00FF0A4C" w:rsidP="00FF0A4C">
      <w:pPr>
        <w:tabs>
          <w:tab w:val="left" w:pos="851"/>
        </w:tabs>
        <w:ind w:left="851"/>
        <w:rPr>
          <w:bCs/>
          <w:sz w:val="24"/>
          <w:szCs w:val="24"/>
        </w:rPr>
      </w:pPr>
      <w:r w:rsidRPr="00FF0A4C">
        <w:rPr>
          <w:sz w:val="24"/>
          <w:szCs w:val="24"/>
          <w:lang w:bidi="da-DK"/>
        </w:rPr>
        <w:t>I forsøg med okulær toksicitet hos aber viste det sig, at indgivelse af travoprost i en dosis på 0,45 mikrogram to gange dagligt fremkaldte øget palpebral fissur. Topisk okulær indgivelse af travoprost til aber i en koncentration på op til 0,012 % i højre øje to gange dagligt i et år resulterede ikke i nogen systemisk toksicitet.</w:t>
      </w:r>
    </w:p>
    <w:p w14:paraId="4B9D3E64" w14:textId="77777777" w:rsidR="00FF0A4C" w:rsidRPr="00FF0A4C" w:rsidRDefault="00FF0A4C" w:rsidP="00FF0A4C">
      <w:pPr>
        <w:tabs>
          <w:tab w:val="left" w:pos="851"/>
        </w:tabs>
        <w:ind w:left="851"/>
        <w:rPr>
          <w:bCs/>
          <w:sz w:val="24"/>
          <w:szCs w:val="24"/>
        </w:rPr>
      </w:pPr>
    </w:p>
    <w:p w14:paraId="6A6F54BF" w14:textId="77777777" w:rsidR="00FF0A4C" w:rsidRPr="00FF0A4C" w:rsidRDefault="00FF0A4C" w:rsidP="00FF0A4C">
      <w:pPr>
        <w:tabs>
          <w:tab w:val="left" w:pos="851"/>
        </w:tabs>
        <w:ind w:left="851"/>
        <w:rPr>
          <w:bCs/>
          <w:sz w:val="24"/>
          <w:szCs w:val="24"/>
        </w:rPr>
      </w:pPr>
      <w:r w:rsidRPr="00FF0A4C">
        <w:rPr>
          <w:sz w:val="24"/>
          <w:szCs w:val="24"/>
          <w:lang w:bidi="da-DK"/>
        </w:rPr>
        <w:t xml:space="preserve">Der er foretaget reproduktionstoksiske forsøg med rotter, mus og kaniner ad systemisk vej. Resultaterne er relateret til FP-receptoragonistaktivitet i livmoderen med tidlig embryoletalitet, post-implantationstab og føtotoksicitet. Hos drægtige rotter resulterede systemisk indgivelse af travoprost i doser på mere end 200 gange den kliniske dosis i løbet </w:t>
      </w:r>
      <w:r w:rsidRPr="00FF0A4C">
        <w:rPr>
          <w:sz w:val="24"/>
          <w:szCs w:val="24"/>
          <w:lang w:bidi="da-DK"/>
        </w:rPr>
        <w:lastRenderedPageBreak/>
        <w:t>af organogeneseperioden i en øget forekomst af misdannelser. Der blev målt lavt niveau af radioaktivitet i fostervand og fostervæv hos drægtige rotter, som fik 3H-travoprost. Reproduktions- og udviklingsstudier har vist en kraftig effekt på fostertab med en høj rate observeret hos rotter og mus (henholdsvis 180 pg/ml og 30 pg/ml plasma) ved eksponeringer, der er 1,2 til 6 gange den kliniske eksponering (op til 25 pg/ml).</w:t>
      </w:r>
    </w:p>
    <w:p w14:paraId="4C131C19" w14:textId="77777777" w:rsidR="00FF0A4C" w:rsidRPr="00FF0A4C" w:rsidRDefault="00FF0A4C" w:rsidP="00FF0A4C">
      <w:pPr>
        <w:tabs>
          <w:tab w:val="left" w:pos="851"/>
        </w:tabs>
        <w:ind w:left="851"/>
        <w:rPr>
          <w:bCs/>
          <w:sz w:val="24"/>
          <w:szCs w:val="24"/>
        </w:rPr>
      </w:pPr>
    </w:p>
    <w:p w14:paraId="1429B677" w14:textId="77777777" w:rsidR="00FF0A4C" w:rsidRPr="00FF0A4C" w:rsidRDefault="00FF0A4C" w:rsidP="00FF0A4C">
      <w:pPr>
        <w:tabs>
          <w:tab w:val="left" w:pos="851"/>
        </w:tabs>
        <w:ind w:left="851"/>
        <w:rPr>
          <w:bCs/>
          <w:sz w:val="24"/>
          <w:szCs w:val="24"/>
          <w:u w:val="single"/>
        </w:rPr>
      </w:pPr>
      <w:r w:rsidRPr="00FF0A4C">
        <w:rPr>
          <w:sz w:val="24"/>
          <w:szCs w:val="24"/>
          <w:u w:val="single"/>
          <w:lang w:bidi="da-DK"/>
        </w:rPr>
        <w:t>Miljørisikovurdering</w:t>
      </w:r>
    </w:p>
    <w:p w14:paraId="66009145" w14:textId="77777777" w:rsidR="00FF0A4C" w:rsidRPr="00FF0A4C" w:rsidRDefault="00FF0A4C" w:rsidP="00FF0A4C">
      <w:pPr>
        <w:tabs>
          <w:tab w:val="left" w:pos="851"/>
        </w:tabs>
        <w:ind w:left="851"/>
        <w:rPr>
          <w:bCs/>
          <w:sz w:val="24"/>
          <w:szCs w:val="24"/>
        </w:rPr>
      </w:pPr>
      <w:r w:rsidRPr="00FF0A4C">
        <w:rPr>
          <w:sz w:val="24"/>
          <w:szCs w:val="24"/>
          <w:lang w:bidi="da-DK"/>
        </w:rPr>
        <w:t>Travoprost betragtes som et persistent, bioakkumulerende og giftigt (PBT) stof. På trods af de meget små mængder travoprost, som patienterne får gennem øjendråberne, kan en risiko for miljøet dog ikke helt udelukkes.</w:t>
      </w:r>
    </w:p>
    <w:p w14:paraId="4F73C3D7" w14:textId="77777777" w:rsidR="009260DE" w:rsidRPr="00C84483" w:rsidRDefault="009260DE" w:rsidP="009260DE">
      <w:pPr>
        <w:tabs>
          <w:tab w:val="left" w:pos="851"/>
        </w:tabs>
        <w:ind w:left="851"/>
        <w:rPr>
          <w:sz w:val="24"/>
          <w:szCs w:val="24"/>
        </w:rPr>
      </w:pPr>
    </w:p>
    <w:p w14:paraId="272CE307" w14:textId="77777777" w:rsidR="009260DE" w:rsidRPr="00C84483" w:rsidRDefault="009260DE" w:rsidP="009260DE">
      <w:pPr>
        <w:tabs>
          <w:tab w:val="left" w:pos="851"/>
        </w:tabs>
        <w:ind w:left="851"/>
        <w:rPr>
          <w:sz w:val="24"/>
          <w:szCs w:val="24"/>
        </w:rPr>
      </w:pPr>
    </w:p>
    <w:p w14:paraId="000E47C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EE56F85" w14:textId="77777777" w:rsidR="009260DE" w:rsidRPr="00BA09F1" w:rsidRDefault="009260DE" w:rsidP="009260DE">
      <w:pPr>
        <w:tabs>
          <w:tab w:val="left" w:pos="851"/>
        </w:tabs>
        <w:ind w:left="851"/>
        <w:rPr>
          <w:sz w:val="24"/>
          <w:szCs w:val="24"/>
        </w:rPr>
      </w:pPr>
    </w:p>
    <w:p w14:paraId="02F4185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5ED09FA" w14:textId="77777777" w:rsidR="008A2CC5" w:rsidRPr="008A2CC5" w:rsidRDefault="008A2CC5" w:rsidP="008A2CC5">
      <w:pPr>
        <w:tabs>
          <w:tab w:val="left" w:pos="851"/>
        </w:tabs>
        <w:ind w:left="851"/>
        <w:rPr>
          <w:sz w:val="24"/>
          <w:szCs w:val="24"/>
        </w:rPr>
      </w:pPr>
      <w:r w:rsidRPr="008A2CC5">
        <w:rPr>
          <w:sz w:val="24"/>
          <w:szCs w:val="24"/>
          <w:lang w:bidi="da-DK"/>
        </w:rPr>
        <w:t>Propylenglykol (E1520)</w:t>
      </w:r>
    </w:p>
    <w:p w14:paraId="11A477B1" w14:textId="77777777" w:rsidR="008A2CC5" w:rsidRPr="008A2CC5" w:rsidRDefault="008A2CC5" w:rsidP="008A2CC5">
      <w:pPr>
        <w:tabs>
          <w:tab w:val="left" w:pos="851"/>
        </w:tabs>
        <w:ind w:left="851"/>
        <w:rPr>
          <w:sz w:val="24"/>
          <w:szCs w:val="24"/>
        </w:rPr>
      </w:pPr>
      <w:r w:rsidRPr="008A2CC5">
        <w:rPr>
          <w:sz w:val="24"/>
          <w:szCs w:val="24"/>
          <w:lang w:bidi="da-DK"/>
        </w:rPr>
        <w:t xml:space="preserve">Ricinusolie, polyoxyleret, hydrogeneret </w:t>
      </w:r>
    </w:p>
    <w:p w14:paraId="6D9079CB" w14:textId="77777777" w:rsidR="008A2CC5" w:rsidRPr="008A2CC5" w:rsidRDefault="008A2CC5" w:rsidP="008A2CC5">
      <w:pPr>
        <w:tabs>
          <w:tab w:val="left" w:pos="851"/>
        </w:tabs>
        <w:ind w:left="851"/>
        <w:rPr>
          <w:sz w:val="24"/>
          <w:szCs w:val="24"/>
        </w:rPr>
      </w:pPr>
      <w:r w:rsidRPr="008A2CC5">
        <w:rPr>
          <w:sz w:val="24"/>
          <w:szCs w:val="24"/>
          <w:lang w:bidi="da-DK"/>
        </w:rPr>
        <w:t>Mannitol (E421)</w:t>
      </w:r>
    </w:p>
    <w:p w14:paraId="5A9D5F4C" w14:textId="77777777" w:rsidR="008A2CC5" w:rsidRPr="008A2CC5" w:rsidRDefault="008A2CC5" w:rsidP="008A2CC5">
      <w:pPr>
        <w:tabs>
          <w:tab w:val="left" w:pos="851"/>
        </w:tabs>
        <w:ind w:left="851"/>
        <w:rPr>
          <w:sz w:val="24"/>
          <w:szCs w:val="24"/>
        </w:rPr>
      </w:pPr>
      <w:r w:rsidRPr="008A2CC5">
        <w:rPr>
          <w:sz w:val="24"/>
          <w:szCs w:val="24"/>
          <w:lang w:bidi="da-DK"/>
        </w:rPr>
        <w:t>Natriumchlorid</w:t>
      </w:r>
    </w:p>
    <w:p w14:paraId="625DDEDE" w14:textId="77777777" w:rsidR="008A2CC5" w:rsidRPr="008A2CC5" w:rsidRDefault="008A2CC5" w:rsidP="008A2CC5">
      <w:pPr>
        <w:tabs>
          <w:tab w:val="left" w:pos="851"/>
        </w:tabs>
        <w:ind w:left="851"/>
        <w:rPr>
          <w:sz w:val="24"/>
          <w:szCs w:val="24"/>
        </w:rPr>
      </w:pPr>
      <w:r w:rsidRPr="008A2CC5">
        <w:rPr>
          <w:sz w:val="24"/>
          <w:szCs w:val="24"/>
          <w:lang w:bidi="da-DK"/>
        </w:rPr>
        <w:t>Borsyre (E284)</w:t>
      </w:r>
    </w:p>
    <w:p w14:paraId="463BD8F1" w14:textId="77777777" w:rsidR="008A2CC5" w:rsidRPr="008A2CC5" w:rsidRDefault="008A2CC5" w:rsidP="008A2CC5">
      <w:pPr>
        <w:tabs>
          <w:tab w:val="left" w:pos="851"/>
        </w:tabs>
        <w:ind w:left="851"/>
        <w:rPr>
          <w:sz w:val="24"/>
          <w:szCs w:val="24"/>
        </w:rPr>
      </w:pPr>
      <w:r w:rsidRPr="008A2CC5">
        <w:rPr>
          <w:sz w:val="24"/>
          <w:szCs w:val="24"/>
          <w:lang w:bidi="da-DK"/>
        </w:rPr>
        <w:t xml:space="preserve">Natriumhydroxid (E524)/saltsyre (E507) (til pH-justering) </w:t>
      </w:r>
    </w:p>
    <w:p w14:paraId="00FE7DC8" w14:textId="77777777" w:rsidR="008A2CC5" w:rsidRPr="008A2CC5" w:rsidRDefault="008A2CC5" w:rsidP="008A2CC5">
      <w:pPr>
        <w:tabs>
          <w:tab w:val="left" w:pos="851"/>
        </w:tabs>
        <w:ind w:left="851"/>
        <w:rPr>
          <w:sz w:val="24"/>
          <w:szCs w:val="24"/>
        </w:rPr>
      </w:pPr>
      <w:r w:rsidRPr="008A2CC5">
        <w:rPr>
          <w:sz w:val="24"/>
          <w:szCs w:val="24"/>
          <w:lang w:bidi="da-DK"/>
        </w:rPr>
        <w:t>Vand til injektionsvæsker</w:t>
      </w:r>
    </w:p>
    <w:p w14:paraId="0DF9D7E7" w14:textId="77777777" w:rsidR="009260DE" w:rsidRPr="00C84483" w:rsidRDefault="009260DE" w:rsidP="009260DE">
      <w:pPr>
        <w:tabs>
          <w:tab w:val="left" w:pos="851"/>
        </w:tabs>
        <w:ind w:left="851"/>
        <w:rPr>
          <w:sz w:val="24"/>
          <w:szCs w:val="24"/>
        </w:rPr>
      </w:pPr>
    </w:p>
    <w:p w14:paraId="44DC7AC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B45F2C9" w14:textId="77777777" w:rsidR="008A2CC5" w:rsidRPr="008A2CC5" w:rsidRDefault="008A2CC5" w:rsidP="008A2CC5">
      <w:pPr>
        <w:tabs>
          <w:tab w:val="left" w:pos="851"/>
        </w:tabs>
        <w:ind w:left="851"/>
        <w:rPr>
          <w:b/>
          <w:sz w:val="24"/>
          <w:szCs w:val="24"/>
        </w:rPr>
      </w:pPr>
      <w:r w:rsidRPr="008A2CC5">
        <w:rPr>
          <w:sz w:val="24"/>
          <w:szCs w:val="24"/>
          <w:lang w:bidi="da-DK"/>
        </w:rPr>
        <w:t>Ikke relevant.</w:t>
      </w:r>
    </w:p>
    <w:p w14:paraId="3016A42F" w14:textId="77777777" w:rsidR="009260DE" w:rsidRPr="00C84483" w:rsidRDefault="009260DE" w:rsidP="009260DE">
      <w:pPr>
        <w:tabs>
          <w:tab w:val="left" w:pos="851"/>
        </w:tabs>
        <w:ind w:left="851"/>
        <w:rPr>
          <w:sz w:val="24"/>
          <w:szCs w:val="24"/>
        </w:rPr>
      </w:pPr>
    </w:p>
    <w:p w14:paraId="6FA5688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89F3789" w14:textId="77777777" w:rsidR="008A2CC5" w:rsidRPr="008A2CC5" w:rsidRDefault="008A2CC5" w:rsidP="008A2CC5">
      <w:pPr>
        <w:tabs>
          <w:tab w:val="left" w:pos="851"/>
        </w:tabs>
        <w:ind w:left="851"/>
        <w:rPr>
          <w:sz w:val="24"/>
          <w:szCs w:val="24"/>
          <w:lang w:bidi="da-DK"/>
        </w:rPr>
      </w:pPr>
      <w:r w:rsidRPr="008A2CC5">
        <w:rPr>
          <w:sz w:val="24"/>
          <w:szCs w:val="24"/>
          <w:lang w:bidi="da-DK"/>
        </w:rPr>
        <w:t>3 år.</w:t>
      </w:r>
    </w:p>
    <w:p w14:paraId="7F2254E3" w14:textId="77777777" w:rsidR="008A2CC5" w:rsidRPr="008A2CC5" w:rsidRDefault="008A2CC5" w:rsidP="008A2CC5">
      <w:pPr>
        <w:tabs>
          <w:tab w:val="left" w:pos="851"/>
        </w:tabs>
        <w:ind w:left="851"/>
        <w:rPr>
          <w:sz w:val="24"/>
          <w:szCs w:val="24"/>
          <w:lang w:bidi="da-DK"/>
        </w:rPr>
      </w:pPr>
    </w:p>
    <w:p w14:paraId="631F8BAA" w14:textId="77777777" w:rsidR="008A2CC5" w:rsidRPr="008A2CC5" w:rsidRDefault="008A2CC5" w:rsidP="008A2CC5">
      <w:pPr>
        <w:tabs>
          <w:tab w:val="left" w:pos="851"/>
        </w:tabs>
        <w:ind w:left="851"/>
        <w:rPr>
          <w:sz w:val="24"/>
          <w:szCs w:val="24"/>
        </w:rPr>
      </w:pPr>
      <w:r w:rsidRPr="008A2CC5">
        <w:rPr>
          <w:sz w:val="24"/>
          <w:szCs w:val="24"/>
        </w:rPr>
        <w:t>Opbevaringstid efter første åbning af posen: 30 dage.</w:t>
      </w:r>
    </w:p>
    <w:p w14:paraId="1B5EA89F" w14:textId="77777777" w:rsidR="009260DE" w:rsidRPr="00C84483" w:rsidRDefault="009260DE" w:rsidP="009260DE">
      <w:pPr>
        <w:tabs>
          <w:tab w:val="left" w:pos="851"/>
        </w:tabs>
        <w:ind w:left="851"/>
        <w:rPr>
          <w:sz w:val="24"/>
          <w:szCs w:val="24"/>
        </w:rPr>
      </w:pPr>
    </w:p>
    <w:p w14:paraId="1977ABA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B5B71C9" w14:textId="77777777" w:rsidR="008A2CC5" w:rsidRPr="008A2CC5" w:rsidRDefault="008A2CC5" w:rsidP="008A2CC5">
      <w:pPr>
        <w:tabs>
          <w:tab w:val="left" w:pos="851"/>
        </w:tabs>
        <w:ind w:left="851"/>
        <w:rPr>
          <w:sz w:val="24"/>
          <w:szCs w:val="24"/>
          <w:lang w:bidi="da-DK"/>
        </w:rPr>
      </w:pPr>
      <w:r w:rsidRPr="008A2CC5">
        <w:rPr>
          <w:sz w:val="24"/>
          <w:szCs w:val="24"/>
          <w:lang w:bidi="da-DK"/>
        </w:rPr>
        <w:t>Der er ingen særlige krav vedrørende opbevaringstemperaturer for dette lægemiddel.</w:t>
      </w:r>
    </w:p>
    <w:p w14:paraId="6E28F4D9" w14:textId="77777777" w:rsidR="008A2CC5" w:rsidRPr="008A2CC5" w:rsidRDefault="008A2CC5" w:rsidP="008A2CC5">
      <w:pPr>
        <w:tabs>
          <w:tab w:val="left" w:pos="851"/>
        </w:tabs>
        <w:ind w:left="851"/>
        <w:rPr>
          <w:sz w:val="24"/>
          <w:szCs w:val="24"/>
          <w:lang w:bidi="da-DK"/>
        </w:rPr>
      </w:pPr>
    </w:p>
    <w:p w14:paraId="41E2E793" w14:textId="77777777" w:rsidR="008A2CC5" w:rsidRDefault="008A2CC5" w:rsidP="008A2CC5">
      <w:pPr>
        <w:tabs>
          <w:tab w:val="left" w:pos="851"/>
        </w:tabs>
        <w:ind w:left="851"/>
        <w:rPr>
          <w:sz w:val="24"/>
          <w:szCs w:val="24"/>
          <w:lang w:bidi="da-DK"/>
        </w:rPr>
      </w:pPr>
      <w:r w:rsidRPr="008A2CC5">
        <w:rPr>
          <w:sz w:val="24"/>
          <w:szCs w:val="24"/>
          <w:u w:val="single"/>
          <w:lang w:bidi="da-DK"/>
        </w:rPr>
        <w:t>Efter første åbning af posen</w:t>
      </w:r>
    </w:p>
    <w:p w14:paraId="344617F4" w14:textId="2C07CA26" w:rsidR="008A2CC5" w:rsidRPr="008A2CC5" w:rsidRDefault="008A2CC5" w:rsidP="008A2CC5">
      <w:pPr>
        <w:tabs>
          <w:tab w:val="left" w:pos="851"/>
        </w:tabs>
        <w:ind w:left="851"/>
        <w:rPr>
          <w:sz w:val="24"/>
          <w:szCs w:val="24"/>
        </w:rPr>
      </w:pPr>
      <w:r w:rsidRPr="008A2CC5">
        <w:rPr>
          <w:sz w:val="24"/>
          <w:szCs w:val="24"/>
          <w:lang w:bidi="da-DK"/>
        </w:rPr>
        <w:t>Enkeltdosisbeholderne kan opbevares i posen.</w:t>
      </w:r>
    </w:p>
    <w:p w14:paraId="0011AD82" w14:textId="77777777" w:rsidR="008A2CC5" w:rsidRPr="008A2CC5" w:rsidRDefault="008A2CC5" w:rsidP="008A2CC5">
      <w:pPr>
        <w:tabs>
          <w:tab w:val="left" w:pos="851"/>
        </w:tabs>
        <w:ind w:left="851"/>
        <w:rPr>
          <w:sz w:val="24"/>
          <w:szCs w:val="24"/>
        </w:rPr>
      </w:pPr>
    </w:p>
    <w:p w14:paraId="1E719085" w14:textId="77777777" w:rsidR="008A2CC5" w:rsidRDefault="008A2CC5" w:rsidP="008A2CC5">
      <w:pPr>
        <w:tabs>
          <w:tab w:val="left" w:pos="851"/>
        </w:tabs>
        <w:ind w:left="851"/>
        <w:rPr>
          <w:sz w:val="24"/>
          <w:szCs w:val="24"/>
          <w:lang w:bidi="da-DK"/>
        </w:rPr>
      </w:pPr>
      <w:r w:rsidRPr="008A2CC5">
        <w:rPr>
          <w:sz w:val="24"/>
          <w:szCs w:val="24"/>
          <w:u w:val="single"/>
          <w:lang w:bidi="da-DK"/>
        </w:rPr>
        <w:t>Efter åbning af enkeltdosisbeholderen</w:t>
      </w:r>
    </w:p>
    <w:p w14:paraId="4139FABD" w14:textId="791E6765" w:rsidR="008A2CC5" w:rsidRPr="008A2CC5" w:rsidRDefault="008A2CC5" w:rsidP="008A2CC5">
      <w:pPr>
        <w:tabs>
          <w:tab w:val="left" w:pos="851"/>
        </w:tabs>
        <w:ind w:left="851"/>
        <w:rPr>
          <w:sz w:val="24"/>
          <w:szCs w:val="24"/>
        </w:rPr>
      </w:pPr>
      <w:r w:rsidRPr="008A2CC5">
        <w:rPr>
          <w:sz w:val="24"/>
          <w:szCs w:val="24"/>
          <w:lang w:bidi="da-DK"/>
        </w:rPr>
        <w:t>Bruges straks, og enkeltdosisbeholderen bortskaffes efter brug.</w:t>
      </w:r>
    </w:p>
    <w:p w14:paraId="6B35D154" w14:textId="77777777" w:rsidR="009260DE" w:rsidRPr="00C84483" w:rsidRDefault="009260DE" w:rsidP="009260DE">
      <w:pPr>
        <w:tabs>
          <w:tab w:val="left" w:pos="851"/>
        </w:tabs>
        <w:ind w:left="851"/>
        <w:rPr>
          <w:sz w:val="24"/>
          <w:szCs w:val="24"/>
        </w:rPr>
      </w:pPr>
    </w:p>
    <w:p w14:paraId="0AAC6CA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59FD61A" w14:textId="0D09EF6F" w:rsidR="008A2CC5" w:rsidRDefault="008A2CC5" w:rsidP="008A2CC5">
      <w:pPr>
        <w:tabs>
          <w:tab w:val="left" w:pos="851"/>
        </w:tabs>
        <w:ind w:left="851"/>
        <w:rPr>
          <w:sz w:val="24"/>
          <w:szCs w:val="24"/>
          <w:lang w:bidi="da-DK"/>
        </w:rPr>
      </w:pPr>
      <w:r w:rsidRPr="008A2CC5">
        <w:rPr>
          <w:sz w:val="24"/>
          <w:szCs w:val="24"/>
          <w:lang w:bidi="da-DK"/>
        </w:rPr>
        <w:t>Enkeltdosisbeholder (LDPE) fyldt med en opløsning på 0,2 ml</w:t>
      </w:r>
      <w:r w:rsidR="00113424">
        <w:rPr>
          <w:sz w:val="24"/>
          <w:szCs w:val="24"/>
          <w:lang w:bidi="da-DK"/>
        </w:rPr>
        <w:t>. I</w:t>
      </w:r>
      <w:r w:rsidRPr="008A2CC5">
        <w:rPr>
          <w:sz w:val="24"/>
          <w:szCs w:val="24"/>
          <w:lang w:bidi="da-DK"/>
        </w:rPr>
        <w:t xml:space="preserve"> polyethylen/aluminium poser med 5 eller 10 enkeltbeholdere</w:t>
      </w:r>
      <w:r w:rsidR="00113424">
        <w:rPr>
          <w:sz w:val="24"/>
          <w:szCs w:val="24"/>
          <w:lang w:bidi="da-DK"/>
        </w:rPr>
        <w:t>.</w:t>
      </w:r>
    </w:p>
    <w:p w14:paraId="0D1C03B6" w14:textId="77777777" w:rsidR="008A2CC5" w:rsidRDefault="008A2CC5" w:rsidP="008A2CC5">
      <w:pPr>
        <w:tabs>
          <w:tab w:val="left" w:pos="851"/>
        </w:tabs>
        <w:ind w:left="851"/>
        <w:rPr>
          <w:sz w:val="24"/>
          <w:szCs w:val="24"/>
          <w:lang w:bidi="da-DK"/>
        </w:rPr>
      </w:pPr>
    </w:p>
    <w:p w14:paraId="566B41E8" w14:textId="77777777" w:rsidR="008A2CC5" w:rsidRPr="00113424" w:rsidRDefault="008A2CC5" w:rsidP="008A2CC5">
      <w:pPr>
        <w:tabs>
          <w:tab w:val="left" w:pos="851"/>
        </w:tabs>
        <w:ind w:left="851"/>
        <w:rPr>
          <w:sz w:val="24"/>
          <w:szCs w:val="24"/>
          <w:u w:val="single"/>
          <w:lang w:bidi="da-DK"/>
        </w:rPr>
      </w:pPr>
      <w:r w:rsidRPr="00113424">
        <w:rPr>
          <w:sz w:val="24"/>
          <w:szCs w:val="24"/>
          <w:u w:val="single"/>
          <w:lang w:bidi="da-DK"/>
        </w:rPr>
        <w:t>Pakningsstørrelser</w:t>
      </w:r>
    </w:p>
    <w:p w14:paraId="0B9857F1" w14:textId="406CC6C1" w:rsidR="008A2CC5" w:rsidRPr="008A2CC5" w:rsidRDefault="008A2CC5" w:rsidP="008A2CC5">
      <w:pPr>
        <w:tabs>
          <w:tab w:val="left" w:pos="851"/>
        </w:tabs>
        <w:ind w:left="851"/>
        <w:rPr>
          <w:sz w:val="24"/>
          <w:szCs w:val="24"/>
        </w:rPr>
      </w:pPr>
      <w:r w:rsidRPr="008A2CC5">
        <w:rPr>
          <w:sz w:val="24"/>
          <w:szCs w:val="24"/>
          <w:lang w:bidi="da-DK"/>
        </w:rPr>
        <w:t xml:space="preserve">10, 20, 30, 60 </w:t>
      </w:r>
      <w:r w:rsidR="00113424">
        <w:rPr>
          <w:sz w:val="24"/>
          <w:szCs w:val="24"/>
          <w:lang w:bidi="da-DK"/>
        </w:rPr>
        <w:t>og</w:t>
      </w:r>
      <w:r w:rsidRPr="008A2CC5">
        <w:rPr>
          <w:sz w:val="24"/>
          <w:szCs w:val="24"/>
          <w:lang w:bidi="da-DK"/>
        </w:rPr>
        <w:t xml:space="preserve"> 90 enkeltdosisbeholdere.</w:t>
      </w:r>
    </w:p>
    <w:p w14:paraId="6E726A3A" w14:textId="77777777" w:rsidR="008A2CC5" w:rsidRPr="008A2CC5" w:rsidRDefault="008A2CC5" w:rsidP="008A2CC5">
      <w:pPr>
        <w:tabs>
          <w:tab w:val="left" w:pos="851"/>
        </w:tabs>
        <w:ind w:left="851"/>
        <w:rPr>
          <w:sz w:val="24"/>
          <w:szCs w:val="24"/>
        </w:rPr>
      </w:pPr>
    </w:p>
    <w:p w14:paraId="36621D52" w14:textId="77777777" w:rsidR="008A2CC5" w:rsidRPr="008A2CC5" w:rsidRDefault="008A2CC5" w:rsidP="008A2CC5">
      <w:pPr>
        <w:tabs>
          <w:tab w:val="left" w:pos="851"/>
        </w:tabs>
        <w:ind w:left="851"/>
        <w:rPr>
          <w:sz w:val="24"/>
          <w:szCs w:val="24"/>
        </w:rPr>
      </w:pPr>
      <w:r w:rsidRPr="008A2CC5">
        <w:rPr>
          <w:sz w:val="24"/>
          <w:szCs w:val="24"/>
          <w:lang w:bidi="da-DK"/>
        </w:rPr>
        <w:t>Ikke alle pakningsstørrelser er nødvendigvis markedsført.</w:t>
      </w:r>
    </w:p>
    <w:p w14:paraId="461A49E4" w14:textId="4707D7DC" w:rsidR="00113424" w:rsidRDefault="00113424">
      <w:pPr>
        <w:rPr>
          <w:sz w:val="24"/>
          <w:szCs w:val="24"/>
        </w:rPr>
      </w:pPr>
      <w:r>
        <w:rPr>
          <w:sz w:val="24"/>
          <w:szCs w:val="24"/>
        </w:rPr>
        <w:br w:type="page"/>
      </w:r>
    </w:p>
    <w:p w14:paraId="12F0F6E1" w14:textId="77777777" w:rsidR="009260DE" w:rsidRPr="00C84483" w:rsidRDefault="009260DE" w:rsidP="009260DE">
      <w:pPr>
        <w:tabs>
          <w:tab w:val="left" w:pos="851"/>
        </w:tabs>
        <w:ind w:left="851"/>
        <w:rPr>
          <w:sz w:val="24"/>
          <w:szCs w:val="24"/>
        </w:rPr>
      </w:pPr>
    </w:p>
    <w:p w14:paraId="799179A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CBD010C" w14:textId="77777777" w:rsidR="00113424" w:rsidRPr="00113424" w:rsidRDefault="00113424" w:rsidP="00113424">
      <w:pPr>
        <w:tabs>
          <w:tab w:val="left" w:pos="851"/>
        </w:tabs>
        <w:ind w:left="851"/>
        <w:rPr>
          <w:sz w:val="24"/>
          <w:szCs w:val="24"/>
        </w:rPr>
      </w:pPr>
      <w:r w:rsidRPr="00113424">
        <w:rPr>
          <w:sz w:val="24"/>
          <w:szCs w:val="24"/>
          <w:lang w:bidi="da-DK"/>
        </w:rPr>
        <w:t>Ikke anvendt lægemiddel samt affald heraf skal bortskaffes i henhold til lokale retningslinjer.</w:t>
      </w:r>
    </w:p>
    <w:p w14:paraId="1A755E89" w14:textId="77777777" w:rsidR="009260DE" w:rsidRPr="00C84483" w:rsidRDefault="009260DE" w:rsidP="000730CA">
      <w:pPr>
        <w:tabs>
          <w:tab w:val="left" w:pos="851"/>
        </w:tabs>
        <w:ind w:left="851"/>
        <w:rPr>
          <w:sz w:val="24"/>
          <w:szCs w:val="24"/>
        </w:rPr>
      </w:pPr>
    </w:p>
    <w:p w14:paraId="23B8788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AF6BEEE" w14:textId="77777777" w:rsidR="00113424" w:rsidRPr="00F540AD" w:rsidRDefault="00113424" w:rsidP="00113424">
      <w:pPr>
        <w:tabs>
          <w:tab w:val="left" w:pos="851"/>
        </w:tabs>
        <w:ind w:left="851"/>
        <w:rPr>
          <w:sz w:val="24"/>
          <w:szCs w:val="24"/>
        </w:rPr>
      </w:pPr>
      <w:r w:rsidRPr="00F540AD">
        <w:rPr>
          <w:sz w:val="24"/>
          <w:szCs w:val="24"/>
        </w:rPr>
        <w:t xml:space="preserve">Uni-Pharma Kleon Tsetis Pharmaceutical Laboratories S.A. </w:t>
      </w:r>
    </w:p>
    <w:p w14:paraId="47078FB2" w14:textId="77777777" w:rsidR="00113424" w:rsidRPr="00113424" w:rsidRDefault="00113424" w:rsidP="00113424">
      <w:pPr>
        <w:tabs>
          <w:tab w:val="left" w:pos="851"/>
        </w:tabs>
        <w:ind w:left="851"/>
        <w:rPr>
          <w:sz w:val="24"/>
          <w:szCs w:val="24"/>
          <w:lang w:val="en-GB"/>
        </w:rPr>
      </w:pPr>
      <w:r w:rsidRPr="00113424">
        <w:rPr>
          <w:sz w:val="24"/>
          <w:szCs w:val="24"/>
          <w:lang w:val="en-US"/>
        </w:rPr>
        <w:t>14</w:t>
      </w:r>
      <w:r w:rsidRPr="00113424">
        <w:rPr>
          <w:sz w:val="24"/>
          <w:szCs w:val="24"/>
          <w:vertAlign w:val="superscript"/>
          <w:lang w:val="en-US"/>
        </w:rPr>
        <w:t>th</w:t>
      </w:r>
      <w:r w:rsidRPr="00113424">
        <w:rPr>
          <w:sz w:val="24"/>
          <w:szCs w:val="24"/>
          <w:lang w:val="en-US"/>
        </w:rPr>
        <w:t xml:space="preserve"> km National Road 1</w:t>
      </w:r>
    </w:p>
    <w:p w14:paraId="08207456" w14:textId="77777777" w:rsidR="00113424" w:rsidRPr="00113424" w:rsidRDefault="00113424" w:rsidP="00113424">
      <w:pPr>
        <w:tabs>
          <w:tab w:val="left" w:pos="851"/>
        </w:tabs>
        <w:ind w:left="851"/>
        <w:rPr>
          <w:sz w:val="24"/>
          <w:szCs w:val="24"/>
          <w:lang w:val="en-GB"/>
        </w:rPr>
      </w:pPr>
      <w:r w:rsidRPr="00113424">
        <w:rPr>
          <w:sz w:val="24"/>
          <w:szCs w:val="24"/>
          <w:lang w:val="en-US"/>
        </w:rPr>
        <w:t xml:space="preserve">145 64 Kifisia </w:t>
      </w:r>
    </w:p>
    <w:p w14:paraId="601BC475" w14:textId="06E1D25B" w:rsidR="00113424" w:rsidRPr="00F540AD" w:rsidRDefault="00113424" w:rsidP="00113424">
      <w:pPr>
        <w:tabs>
          <w:tab w:val="left" w:pos="851"/>
        </w:tabs>
        <w:ind w:left="851"/>
        <w:rPr>
          <w:sz w:val="24"/>
          <w:szCs w:val="24"/>
          <w:lang w:val="en-US"/>
        </w:rPr>
      </w:pPr>
      <w:r w:rsidRPr="00F540AD">
        <w:rPr>
          <w:sz w:val="24"/>
          <w:szCs w:val="24"/>
          <w:lang w:val="en-US"/>
        </w:rPr>
        <w:t>Grækenland</w:t>
      </w:r>
    </w:p>
    <w:p w14:paraId="6285883B" w14:textId="77777777" w:rsidR="00641C65" w:rsidRPr="00F540AD" w:rsidRDefault="00641C65" w:rsidP="009260DE">
      <w:pPr>
        <w:tabs>
          <w:tab w:val="left" w:pos="851"/>
        </w:tabs>
        <w:ind w:left="851"/>
        <w:rPr>
          <w:sz w:val="24"/>
          <w:szCs w:val="24"/>
          <w:lang w:val="en-US"/>
        </w:rPr>
      </w:pPr>
    </w:p>
    <w:p w14:paraId="37C8276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49DABA9" w14:textId="1C2D10DC" w:rsidR="009260DE" w:rsidRPr="00C84483" w:rsidRDefault="007065F8" w:rsidP="009260DE">
      <w:pPr>
        <w:tabs>
          <w:tab w:val="left" w:pos="851"/>
        </w:tabs>
        <w:ind w:left="851"/>
        <w:rPr>
          <w:sz w:val="24"/>
          <w:szCs w:val="24"/>
        </w:rPr>
      </w:pPr>
      <w:r>
        <w:rPr>
          <w:sz w:val="24"/>
          <w:szCs w:val="24"/>
        </w:rPr>
        <w:t>69084</w:t>
      </w:r>
    </w:p>
    <w:p w14:paraId="7FCF402B" w14:textId="77777777" w:rsidR="009260DE" w:rsidRPr="00C84483" w:rsidRDefault="009260DE" w:rsidP="009260DE">
      <w:pPr>
        <w:tabs>
          <w:tab w:val="left" w:pos="851"/>
        </w:tabs>
        <w:ind w:left="851"/>
        <w:jc w:val="both"/>
        <w:rPr>
          <w:sz w:val="24"/>
          <w:szCs w:val="24"/>
        </w:rPr>
      </w:pPr>
    </w:p>
    <w:p w14:paraId="4CDDA04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D5B1BA9" w14:textId="50ECCA3A" w:rsidR="009260DE" w:rsidRPr="00C84483" w:rsidRDefault="00F540AD" w:rsidP="009260DE">
      <w:pPr>
        <w:tabs>
          <w:tab w:val="left" w:pos="851"/>
        </w:tabs>
        <w:ind w:left="851"/>
        <w:rPr>
          <w:sz w:val="24"/>
          <w:szCs w:val="24"/>
        </w:rPr>
      </w:pPr>
      <w:r>
        <w:rPr>
          <w:sz w:val="24"/>
          <w:szCs w:val="24"/>
        </w:rPr>
        <w:t>2. september 2024</w:t>
      </w:r>
    </w:p>
    <w:p w14:paraId="5B4107FF" w14:textId="77777777" w:rsidR="009260DE" w:rsidRPr="00C84483" w:rsidRDefault="009260DE" w:rsidP="009260DE">
      <w:pPr>
        <w:tabs>
          <w:tab w:val="left" w:pos="851"/>
        </w:tabs>
        <w:ind w:left="851"/>
        <w:rPr>
          <w:sz w:val="24"/>
          <w:szCs w:val="24"/>
        </w:rPr>
      </w:pPr>
    </w:p>
    <w:p w14:paraId="68DCA72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405D4D1" w14:textId="10238AE2" w:rsidR="009260DE" w:rsidRPr="00C84483" w:rsidRDefault="007065F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36C5" w14:textId="77777777" w:rsidR="000E38E9" w:rsidRDefault="000E38E9">
      <w:r>
        <w:separator/>
      </w:r>
    </w:p>
  </w:endnote>
  <w:endnote w:type="continuationSeparator" w:id="0">
    <w:p w14:paraId="04024717" w14:textId="77777777" w:rsidR="000E38E9" w:rsidRDefault="000E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9B26" w14:textId="77777777" w:rsidR="000259B9" w:rsidRDefault="000259B9">
    <w:pPr>
      <w:pStyle w:val="Sidefod"/>
      <w:pBdr>
        <w:bottom w:val="single" w:sz="6" w:space="1" w:color="auto"/>
      </w:pBdr>
    </w:pPr>
  </w:p>
  <w:p w14:paraId="50E3CF07" w14:textId="77777777" w:rsidR="000259B9" w:rsidRDefault="000259B9" w:rsidP="00C42586">
    <w:pPr>
      <w:pStyle w:val="Sidefod"/>
      <w:tabs>
        <w:tab w:val="clear" w:pos="4819"/>
        <w:tab w:val="left" w:pos="8505"/>
      </w:tabs>
      <w:rPr>
        <w:i/>
        <w:sz w:val="18"/>
        <w:szCs w:val="18"/>
      </w:rPr>
    </w:pPr>
  </w:p>
  <w:p w14:paraId="4E8A31A8" w14:textId="4D7135A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43B74">
      <w:rPr>
        <w:i/>
        <w:noProof/>
        <w:sz w:val="18"/>
        <w:szCs w:val="18"/>
      </w:rPr>
      <w:t>Trevicopto, øjendråber, opløsning i enkeltdosisbeholder 40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0D26" w14:textId="77777777" w:rsidR="000E38E9" w:rsidRDefault="000E38E9">
      <w:r>
        <w:separator/>
      </w:r>
    </w:p>
  </w:footnote>
  <w:footnote w:type="continuationSeparator" w:id="0">
    <w:p w14:paraId="7F096B10" w14:textId="77777777" w:rsidR="000E38E9" w:rsidRDefault="000E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E9"/>
    <w:rsid w:val="000259B9"/>
    <w:rsid w:val="00041491"/>
    <w:rsid w:val="00043B74"/>
    <w:rsid w:val="00050D16"/>
    <w:rsid w:val="000730CA"/>
    <w:rsid w:val="00074F2A"/>
    <w:rsid w:val="000A1CA8"/>
    <w:rsid w:val="000A466B"/>
    <w:rsid w:val="000B058C"/>
    <w:rsid w:val="000D68B0"/>
    <w:rsid w:val="000E38E9"/>
    <w:rsid w:val="000E4EE6"/>
    <w:rsid w:val="00113424"/>
    <w:rsid w:val="00136960"/>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00932"/>
    <w:rsid w:val="00637F5A"/>
    <w:rsid w:val="00641C65"/>
    <w:rsid w:val="006560B1"/>
    <w:rsid w:val="006756DD"/>
    <w:rsid w:val="007065F8"/>
    <w:rsid w:val="0071241E"/>
    <w:rsid w:val="00737275"/>
    <w:rsid w:val="00740EEC"/>
    <w:rsid w:val="0078011A"/>
    <w:rsid w:val="00782AF4"/>
    <w:rsid w:val="00790EE7"/>
    <w:rsid w:val="007B6649"/>
    <w:rsid w:val="0082576E"/>
    <w:rsid w:val="0089346F"/>
    <w:rsid w:val="008A2CC5"/>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540AD"/>
    <w:rsid w:val="00F66D4F"/>
    <w:rsid w:val="00FB6D01"/>
    <w:rsid w:val="00FF0A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091C1"/>
  <w15:chartTrackingRefBased/>
  <w15:docId w15:val="{5E0D9BB8-8B6C-4429-BD3C-86A4E314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43B74"/>
    <w:rPr>
      <w:color w:val="0563C1" w:themeColor="hyperlink"/>
      <w:u w:val="single"/>
    </w:rPr>
  </w:style>
  <w:style w:type="character" w:styleId="Ulstomtale">
    <w:name w:val="Unresolved Mention"/>
    <w:basedOn w:val="Standardskrifttypeiafsnit"/>
    <w:uiPriority w:val="99"/>
    <w:semiHidden/>
    <w:unhideWhenUsed/>
    <w:rsid w:val="00043B74"/>
    <w:rPr>
      <w:color w:val="605E5C"/>
      <w:shd w:val="clear" w:color="auto" w:fill="E1DFDD"/>
    </w:rPr>
  </w:style>
  <w:style w:type="table" w:styleId="Tabel-Gitter">
    <w:name w:val="Table Grid"/>
    <w:basedOn w:val="Tabel-Normal"/>
    <w:uiPriority w:val="59"/>
    <w:rsid w:val="001369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03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378934">
      <w:bodyDiv w:val="1"/>
      <w:marLeft w:val="0"/>
      <w:marRight w:val="0"/>
      <w:marTop w:val="0"/>
      <w:marBottom w:val="0"/>
      <w:divBdr>
        <w:top w:val="none" w:sz="0" w:space="0" w:color="auto"/>
        <w:left w:val="none" w:sz="0" w:space="0" w:color="auto"/>
        <w:bottom w:val="none" w:sz="0" w:space="0" w:color="auto"/>
        <w:right w:val="none" w:sz="0" w:space="0" w:color="auto"/>
      </w:divBdr>
    </w:div>
    <w:div w:id="177668549">
      <w:bodyDiv w:val="1"/>
      <w:marLeft w:val="0"/>
      <w:marRight w:val="0"/>
      <w:marTop w:val="0"/>
      <w:marBottom w:val="0"/>
      <w:divBdr>
        <w:top w:val="none" w:sz="0" w:space="0" w:color="auto"/>
        <w:left w:val="none" w:sz="0" w:space="0" w:color="auto"/>
        <w:bottom w:val="none" w:sz="0" w:space="0" w:color="auto"/>
        <w:right w:val="none" w:sz="0" w:space="0" w:color="auto"/>
      </w:divBdr>
    </w:div>
    <w:div w:id="205803225">
      <w:bodyDiv w:val="1"/>
      <w:marLeft w:val="0"/>
      <w:marRight w:val="0"/>
      <w:marTop w:val="0"/>
      <w:marBottom w:val="0"/>
      <w:divBdr>
        <w:top w:val="none" w:sz="0" w:space="0" w:color="auto"/>
        <w:left w:val="none" w:sz="0" w:space="0" w:color="auto"/>
        <w:bottom w:val="none" w:sz="0" w:space="0" w:color="auto"/>
        <w:right w:val="none" w:sz="0" w:space="0" w:color="auto"/>
      </w:divBdr>
    </w:div>
    <w:div w:id="207911459">
      <w:bodyDiv w:val="1"/>
      <w:marLeft w:val="0"/>
      <w:marRight w:val="0"/>
      <w:marTop w:val="0"/>
      <w:marBottom w:val="0"/>
      <w:divBdr>
        <w:top w:val="none" w:sz="0" w:space="0" w:color="auto"/>
        <w:left w:val="none" w:sz="0" w:space="0" w:color="auto"/>
        <w:bottom w:val="none" w:sz="0" w:space="0" w:color="auto"/>
        <w:right w:val="none" w:sz="0" w:space="0" w:color="auto"/>
      </w:divBdr>
    </w:div>
    <w:div w:id="243300845">
      <w:bodyDiv w:val="1"/>
      <w:marLeft w:val="0"/>
      <w:marRight w:val="0"/>
      <w:marTop w:val="0"/>
      <w:marBottom w:val="0"/>
      <w:divBdr>
        <w:top w:val="none" w:sz="0" w:space="0" w:color="auto"/>
        <w:left w:val="none" w:sz="0" w:space="0" w:color="auto"/>
        <w:bottom w:val="none" w:sz="0" w:space="0" w:color="auto"/>
        <w:right w:val="none" w:sz="0" w:space="0" w:color="auto"/>
      </w:divBdr>
    </w:div>
    <w:div w:id="276105850">
      <w:bodyDiv w:val="1"/>
      <w:marLeft w:val="0"/>
      <w:marRight w:val="0"/>
      <w:marTop w:val="0"/>
      <w:marBottom w:val="0"/>
      <w:divBdr>
        <w:top w:val="none" w:sz="0" w:space="0" w:color="auto"/>
        <w:left w:val="none" w:sz="0" w:space="0" w:color="auto"/>
        <w:bottom w:val="none" w:sz="0" w:space="0" w:color="auto"/>
        <w:right w:val="none" w:sz="0" w:space="0" w:color="auto"/>
      </w:divBdr>
    </w:div>
    <w:div w:id="283120077">
      <w:bodyDiv w:val="1"/>
      <w:marLeft w:val="0"/>
      <w:marRight w:val="0"/>
      <w:marTop w:val="0"/>
      <w:marBottom w:val="0"/>
      <w:divBdr>
        <w:top w:val="none" w:sz="0" w:space="0" w:color="auto"/>
        <w:left w:val="none" w:sz="0" w:space="0" w:color="auto"/>
        <w:bottom w:val="none" w:sz="0" w:space="0" w:color="auto"/>
        <w:right w:val="none" w:sz="0" w:space="0" w:color="auto"/>
      </w:divBdr>
    </w:div>
    <w:div w:id="296029172">
      <w:bodyDiv w:val="1"/>
      <w:marLeft w:val="0"/>
      <w:marRight w:val="0"/>
      <w:marTop w:val="0"/>
      <w:marBottom w:val="0"/>
      <w:divBdr>
        <w:top w:val="none" w:sz="0" w:space="0" w:color="auto"/>
        <w:left w:val="none" w:sz="0" w:space="0" w:color="auto"/>
        <w:bottom w:val="none" w:sz="0" w:space="0" w:color="auto"/>
        <w:right w:val="none" w:sz="0" w:space="0" w:color="auto"/>
      </w:divBdr>
    </w:div>
    <w:div w:id="317274623">
      <w:bodyDiv w:val="1"/>
      <w:marLeft w:val="0"/>
      <w:marRight w:val="0"/>
      <w:marTop w:val="0"/>
      <w:marBottom w:val="0"/>
      <w:divBdr>
        <w:top w:val="none" w:sz="0" w:space="0" w:color="auto"/>
        <w:left w:val="none" w:sz="0" w:space="0" w:color="auto"/>
        <w:bottom w:val="none" w:sz="0" w:space="0" w:color="auto"/>
        <w:right w:val="none" w:sz="0" w:space="0" w:color="auto"/>
      </w:divBdr>
    </w:div>
    <w:div w:id="319383780">
      <w:bodyDiv w:val="1"/>
      <w:marLeft w:val="0"/>
      <w:marRight w:val="0"/>
      <w:marTop w:val="0"/>
      <w:marBottom w:val="0"/>
      <w:divBdr>
        <w:top w:val="none" w:sz="0" w:space="0" w:color="auto"/>
        <w:left w:val="none" w:sz="0" w:space="0" w:color="auto"/>
        <w:bottom w:val="none" w:sz="0" w:space="0" w:color="auto"/>
        <w:right w:val="none" w:sz="0" w:space="0" w:color="auto"/>
      </w:divBdr>
    </w:div>
    <w:div w:id="346176502">
      <w:bodyDiv w:val="1"/>
      <w:marLeft w:val="0"/>
      <w:marRight w:val="0"/>
      <w:marTop w:val="0"/>
      <w:marBottom w:val="0"/>
      <w:divBdr>
        <w:top w:val="none" w:sz="0" w:space="0" w:color="auto"/>
        <w:left w:val="none" w:sz="0" w:space="0" w:color="auto"/>
        <w:bottom w:val="none" w:sz="0" w:space="0" w:color="auto"/>
        <w:right w:val="none" w:sz="0" w:space="0" w:color="auto"/>
      </w:divBdr>
    </w:div>
    <w:div w:id="554202588">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
    <w:div w:id="620380374">
      <w:bodyDiv w:val="1"/>
      <w:marLeft w:val="0"/>
      <w:marRight w:val="0"/>
      <w:marTop w:val="0"/>
      <w:marBottom w:val="0"/>
      <w:divBdr>
        <w:top w:val="none" w:sz="0" w:space="0" w:color="auto"/>
        <w:left w:val="none" w:sz="0" w:space="0" w:color="auto"/>
        <w:bottom w:val="none" w:sz="0" w:space="0" w:color="auto"/>
        <w:right w:val="none" w:sz="0" w:space="0" w:color="auto"/>
      </w:divBdr>
    </w:div>
    <w:div w:id="646473272">
      <w:bodyDiv w:val="1"/>
      <w:marLeft w:val="0"/>
      <w:marRight w:val="0"/>
      <w:marTop w:val="0"/>
      <w:marBottom w:val="0"/>
      <w:divBdr>
        <w:top w:val="none" w:sz="0" w:space="0" w:color="auto"/>
        <w:left w:val="none" w:sz="0" w:space="0" w:color="auto"/>
        <w:bottom w:val="none" w:sz="0" w:space="0" w:color="auto"/>
        <w:right w:val="none" w:sz="0" w:space="0" w:color="auto"/>
      </w:divBdr>
    </w:div>
    <w:div w:id="696931373">
      <w:bodyDiv w:val="1"/>
      <w:marLeft w:val="0"/>
      <w:marRight w:val="0"/>
      <w:marTop w:val="0"/>
      <w:marBottom w:val="0"/>
      <w:divBdr>
        <w:top w:val="none" w:sz="0" w:space="0" w:color="auto"/>
        <w:left w:val="none" w:sz="0" w:space="0" w:color="auto"/>
        <w:bottom w:val="none" w:sz="0" w:space="0" w:color="auto"/>
        <w:right w:val="none" w:sz="0" w:space="0" w:color="auto"/>
      </w:divBdr>
    </w:div>
    <w:div w:id="714963721">
      <w:bodyDiv w:val="1"/>
      <w:marLeft w:val="0"/>
      <w:marRight w:val="0"/>
      <w:marTop w:val="0"/>
      <w:marBottom w:val="0"/>
      <w:divBdr>
        <w:top w:val="none" w:sz="0" w:space="0" w:color="auto"/>
        <w:left w:val="none" w:sz="0" w:space="0" w:color="auto"/>
        <w:bottom w:val="none" w:sz="0" w:space="0" w:color="auto"/>
        <w:right w:val="none" w:sz="0" w:space="0" w:color="auto"/>
      </w:divBdr>
    </w:div>
    <w:div w:id="749350799">
      <w:bodyDiv w:val="1"/>
      <w:marLeft w:val="0"/>
      <w:marRight w:val="0"/>
      <w:marTop w:val="0"/>
      <w:marBottom w:val="0"/>
      <w:divBdr>
        <w:top w:val="none" w:sz="0" w:space="0" w:color="auto"/>
        <w:left w:val="none" w:sz="0" w:space="0" w:color="auto"/>
        <w:bottom w:val="none" w:sz="0" w:space="0" w:color="auto"/>
        <w:right w:val="none" w:sz="0" w:space="0" w:color="auto"/>
      </w:divBdr>
    </w:div>
    <w:div w:id="783695424">
      <w:bodyDiv w:val="1"/>
      <w:marLeft w:val="0"/>
      <w:marRight w:val="0"/>
      <w:marTop w:val="0"/>
      <w:marBottom w:val="0"/>
      <w:divBdr>
        <w:top w:val="none" w:sz="0" w:space="0" w:color="auto"/>
        <w:left w:val="none" w:sz="0" w:space="0" w:color="auto"/>
        <w:bottom w:val="none" w:sz="0" w:space="0" w:color="auto"/>
        <w:right w:val="none" w:sz="0" w:space="0" w:color="auto"/>
      </w:divBdr>
    </w:div>
    <w:div w:id="800270343">
      <w:bodyDiv w:val="1"/>
      <w:marLeft w:val="0"/>
      <w:marRight w:val="0"/>
      <w:marTop w:val="0"/>
      <w:marBottom w:val="0"/>
      <w:divBdr>
        <w:top w:val="none" w:sz="0" w:space="0" w:color="auto"/>
        <w:left w:val="none" w:sz="0" w:space="0" w:color="auto"/>
        <w:bottom w:val="none" w:sz="0" w:space="0" w:color="auto"/>
        <w:right w:val="none" w:sz="0" w:space="0" w:color="auto"/>
      </w:divBdr>
    </w:div>
    <w:div w:id="998120896">
      <w:bodyDiv w:val="1"/>
      <w:marLeft w:val="0"/>
      <w:marRight w:val="0"/>
      <w:marTop w:val="0"/>
      <w:marBottom w:val="0"/>
      <w:divBdr>
        <w:top w:val="none" w:sz="0" w:space="0" w:color="auto"/>
        <w:left w:val="none" w:sz="0" w:space="0" w:color="auto"/>
        <w:bottom w:val="none" w:sz="0" w:space="0" w:color="auto"/>
        <w:right w:val="none" w:sz="0" w:space="0" w:color="auto"/>
      </w:divBdr>
    </w:div>
    <w:div w:id="1047073585">
      <w:bodyDiv w:val="1"/>
      <w:marLeft w:val="0"/>
      <w:marRight w:val="0"/>
      <w:marTop w:val="0"/>
      <w:marBottom w:val="0"/>
      <w:divBdr>
        <w:top w:val="none" w:sz="0" w:space="0" w:color="auto"/>
        <w:left w:val="none" w:sz="0" w:space="0" w:color="auto"/>
        <w:bottom w:val="none" w:sz="0" w:space="0" w:color="auto"/>
        <w:right w:val="none" w:sz="0" w:space="0" w:color="auto"/>
      </w:divBdr>
    </w:div>
    <w:div w:id="1054542351">
      <w:bodyDiv w:val="1"/>
      <w:marLeft w:val="0"/>
      <w:marRight w:val="0"/>
      <w:marTop w:val="0"/>
      <w:marBottom w:val="0"/>
      <w:divBdr>
        <w:top w:val="none" w:sz="0" w:space="0" w:color="auto"/>
        <w:left w:val="none" w:sz="0" w:space="0" w:color="auto"/>
        <w:bottom w:val="none" w:sz="0" w:space="0" w:color="auto"/>
        <w:right w:val="none" w:sz="0" w:space="0" w:color="auto"/>
      </w:divBdr>
    </w:div>
    <w:div w:id="1057781011">
      <w:bodyDiv w:val="1"/>
      <w:marLeft w:val="0"/>
      <w:marRight w:val="0"/>
      <w:marTop w:val="0"/>
      <w:marBottom w:val="0"/>
      <w:divBdr>
        <w:top w:val="none" w:sz="0" w:space="0" w:color="auto"/>
        <w:left w:val="none" w:sz="0" w:space="0" w:color="auto"/>
        <w:bottom w:val="none" w:sz="0" w:space="0" w:color="auto"/>
        <w:right w:val="none" w:sz="0" w:space="0" w:color="auto"/>
      </w:divBdr>
    </w:div>
    <w:div w:id="1185482292">
      <w:bodyDiv w:val="1"/>
      <w:marLeft w:val="0"/>
      <w:marRight w:val="0"/>
      <w:marTop w:val="0"/>
      <w:marBottom w:val="0"/>
      <w:divBdr>
        <w:top w:val="none" w:sz="0" w:space="0" w:color="auto"/>
        <w:left w:val="none" w:sz="0" w:space="0" w:color="auto"/>
        <w:bottom w:val="none" w:sz="0" w:space="0" w:color="auto"/>
        <w:right w:val="none" w:sz="0" w:space="0" w:color="auto"/>
      </w:divBdr>
    </w:div>
    <w:div w:id="1202207845">
      <w:bodyDiv w:val="1"/>
      <w:marLeft w:val="0"/>
      <w:marRight w:val="0"/>
      <w:marTop w:val="0"/>
      <w:marBottom w:val="0"/>
      <w:divBdr>
        <w:top w:val="none" w:sz="0" w:space="0" w:color="auto"/>
        <w:left w:val="none" w:sz="0" w:space="0" w:color="auto"/>
        <w:bottom w:val="none" w:sz="0" w:space="0" w:color="auto"/>
        <w:right w:val="none" w:sz="0" w:space="0" w:color="auto"/>
      </w:divBdr>
    </w:div>
    <w:div w:id="1234851316">
      <w:bodyDiv w:val="1"/>
      <w:marLeft w:val="0"/>
      <w:marRight w:val="0"/>
      <w:marTop w:val="0"/>
      <w:marBottom w:val="0"/>
      <w:divBdr>
        <w:top w:val="none" w:sz="0" w:space="0" w:color="auto"/>
        <w:left w:val="none" w:sz="0" w:space="0" w:color="auto"/>
        <w:bottom w:val="none" w:sz="0" w:space="0" w:color="auto"/>
        <w:right w:val="none" w:sz="0" w:space="0" w:color="auto"/>
      </w:divBdr>
    </w:div>
    <w:div w:id="1289434556">
      <w:bodyDiv w:val="1"/>
      <w:marLeft w:val="0"/>
      <w:marRight w:val="0"/>
      <w:marTop w:val="0"/>
      <w:marBottom w:val="0"/>
      <w:divBdr>
        <w:top w:val="none" w:sz="0" w:space="0" w:color="auto"/>
        <w:left w:val="none" w:sz="0" w:space="0" w:color="auto"/>
        <w:bottom w:val="none" w:sz="0" w:space="0" w:color="auto"/>
        <w:right w:val="none" w:sz="0" w:space="0" w:color="auto"/>
      </w:divBdr>
    </w:div>
    <w:div w:id="1329938001">
      <w:bodyDiv w:val="1"/>
      <w:marLeft w:val="0"/>
      <w:marRight w:val="0"/>
      <w:marTop w:val="0"/>
      <w:marBottom w:val="0"/>
      <w:divBdr>
        <w:top w:val="none" w:sz="0" w:space="0" w:color="auto"/>
        <w:left w:val="none" w:sz="0" w:space="0" w:color="auto"/>
        <w:bottom w:val="none" w:sz="0" w:space="0" w:color="auto"/>
        <w:right w:val="none" w:sz="0" w:space="0" w:color="auto"/>
      </w:divBdr>
    </w:div>
    <w:div w:id="1363894590">
      <w:bodyDiv w:val="1"/>
      <w:marLeft w:val="0"/>
      <w:marRight w:val="0"/>
      <w:marTop w:val="0"/>
      <w:marBottom w:val="0"/>
      <w:divBdr>
        <w:top w:val="none" w:sz="0" w:space="0" w:color="auto"/>
        <w:left w:val="none" w:sz="0" w:space="0" w:color="auto"/>
        <w:bottom w:val="none" w:sz="0" w:space="0" w:color="auto"/>
        <w:right w:val="none" w:sz="0" w:space="0" w:color="auto"/>
      </w:divBdr>
    </w:div>
    <w:div w:id="1367295375">
      <w:bodyDiv w:val="1"/>
      <w:marLeft w:val="0"/>
      <w:marRight w:val="0"/>
      <w:marTop w:val="0"/>
      <w:marBottom w:val="0"/>
      <w:divBdr>
        <w:top w:val="none" w:sz="0" w:space="0" w:color="auto"/>
        <w:left w:val="none" w:sz="0" w:space="0" w:color="auto"/>
        <w:bottom w:val="none" w:sz="0" w:space="0" w:color="auto"/>
        <w:right w:val="none" w:sz="0" w:space="0" w:color="auto"/>
      </w:divBdr>
    </w:div>
    <w:div w:id="1478379057">
      <w:bodyDiv w:val="1"/>
      <w:marLeft w:val="0"/>
      <w:marRight w:val="0"/>
      <w:marTop w:val="0"/>
      <w:marBottom w:val="0"/>
      <w:divBdr>
        <w:top w:val="none" w:sz="0" w:space="0" w:color="auto"/>
        <w:left w:val="none" w:sz="0" w:space="0" w:color="auto"/>
        <w:bottom w:val="none" w:sz="0" w:space="0" w:color="auto"/>
        <w:right w:val="none" w:sz="0" w:space="0" w:color="auto"/>
      </w:divBdr>
    </w:div>
    <w:div w:id="1519810608">
      <w:bodyDiv w:val="1"/>
      <w:marLeft w:val="0"/>
      <w:marRight w:val="0"/>
      <w:marTop w:val="0"/>
      <w:marBottom w:val="0"/>
      <w:divBdr>
        <w:top w:val="none" w:sz="0" w:space="0" w:color="auto"/>
        <w:left w:val="none" w:sz="0" w:space="0" w:color="auto"/>
        <w:bottom w:val="none" w:sz="0" w:space="0" w:color="auto"/>
        <w:right w:val="none" w:sz="0" w:space="0" w:color="auto"/>
      </w:divBdr>
    </w:div>
    <w:div w:id="1546454592">
      <w:bodyDiv w:val="1"/>
      <w:marLeft w:val="0"/>
      <w:marRight w:val="0"/>
      <w:marTop w:val="0"/>
      <w:marBottom w:val="0"/>
      <w:divBdr>
        <w:top w:val="none" w:sz="0" w:space="0" w:color="auto"/>
        <w:left w:val="none" w:sz="0" w:space="0" w:color="auto"/>
        <w:bottom w:val="none" w:sz="0" w:space="0" w:color="auto"/>
        <w:right w:val="none" w:sz="0" w:space="0" w:color="auto"/>
      </w:divBdr>
    </w:div>
    <w:div w:id="1580671837">
      <w:bodyDiv w:val="1"/>
      <w:marLeft w:val="0"/>
      <w:marRight w:val="0"/>
      <w:marTop w:val="0"/>
      <w:marBottom w:val="0"/>
      <w:divBdr>
        <w:top w:val="none" w:sz="0" w:space="0" w:color="auto"/>
        <w:left w:val="none" w:sz="0" w:space="0" w:color="auto"/>
        <w:bottom w:val="none" w:sz="0" w:space="0" w:color="auto"/>
        <w:right w:val="none" w:sz="0" w:space="0" w:color="auto"/>
      </w:divBdr>
    </w:div>
    <w:div w:id="1641959333">
      <w:bodyDiv w:val="1"/>
      <w:marLeft w:val="0"/>
      <w:marRight w:val="0"/>
      <w:marTop w:val="0"/>
      <w:marBottom w:val="0"/>
      <w:divBdr>
        <w:top w:val="none" w:sz="0" w:space="0" w:color="auto"/>
        <w:left w:val="none" w:sz="0" w:space="0" w:color="auto"/>
        <w:bottom w:val="none" w:sz="0" w:space="0" w:color="auto"/>
        <w:right w:val="none" w:sz="0" w:space="0" w:color="auto"/>
      </w:divBdr>
    </w:div>
    <w:div w:id="1793088530">
      <w:bodyDiv w:val="1"/>
      <w:marLeft w:val="0"/>
      <w:marRight w:val="0"/>
      <w:marTop w:val="0"/>
      <w:marBottom w:val="0"/>
      <w:divBdr>
        <w:top w:val="none" w:sz="0" w:space="0" w:color="auto"/>
        <w:left w:val="none" w:sz="0" w:space="0" w:color="auto"/>
        <w:bottom w:val="none" w:sz="0" w:space="0" w:color="auto"/>
        <w:right w:val="none" w:sz="0" w:space="0" w:color="auto"/>
      </w:divBdr>
    </w:div>
    <w:div w:id="1858814632">
      <w:bodyDiv w:val="1"/>
      <w:marLeft w:val="0"/>
      <w:marRight w:val="0"/>
      <w:marTop w:val="0"/>
      <w:marBottom w:val="0"/>
      <w:divBdr>
        <w:top w:val="none" w:sz="0" w:space="0" w:color="auto"/>
        <w:left w:val="none" w:sz="0" w:space="0" w:color="auto"/>
        <w:bottom w:val="none" w:sz="0" w:space="0" w:color="auto"/>
        <w:right w:val="none" w:sz="0" w:space="0" w:color="auto"/>
      </w:divBdr>
    </w:div>
    <w:div w:id="1943029498">
      <w:bodyDiv w:val="1"/>
      <w:marLeft w:val="0"/>
      <w:marRight w:val="0"/>
      <w:marTop w:val="0"/>
      <w:marBottom w:val="0"/>
      <w:divBdr>
        <w:top w:val="none" w:sz="0" w:space="0" w:color="auto"/>
        <w:left w:val="none" w:sz="0" w:space="0" w:color="auto"/>
        <w:bottom w:val="none" w:sz="0" w:space="0" w:color="auto"/>
        <w:right w:val="none" w:sz="0" w:space="0" w:color="auto"/>
      </w:divBdr>
    </w:div>
    <w:div w:id="1984265011">
      <w:bodyDiv w:val="1"/>
      <w:marLeft w:val="0"/>
      <w:marRight w:val="0"/>
      <w:marTop w:val="0"/>
      <w:marBottom w:val="0"/>
      <w:divBdr>
        <w:top w:val="none" w:sz="0" w:space="0" w:color="auto"/>
        <w:left w:val="none" w:sz="0" w:space="0" w:color="auto"/>
        <w:bottom w:val="none" w:sz="0" w:space="0" w:color="auto"/>
        <w:right w:val="none" w:sz="0" w:space="0" w:color="auto"/>
      </w:divBdr>
    </w:div>
    <w:div w:id="20302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11</Pages>
  <Words>2910</Words>
  <Characters>18808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2023014256 mt</dc:description>
  <cp:lastModifiedBy>Hanne Thy Iversen</cp:lastModifiedBy>
  <cp:revision>8</cp:revision>
  <cp:lastPrinted>2012-08-22T08:53:00Z</cp:lastPrinted>
  <dcterms:created xsi:type="dcterms:W3CDTF">2024-08-29T12:51:00Z</dcterms:created>
  <dcterms:modified xsi:type="dcterms:W3CDTF">2024-09-03T08:41:00Z</dcterms:modified>
</cp:coreProperties>
</file>