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A46C" w14:textId="773800F2" w:rsidR="009260DE" w:rsidRPr="00AF302A" w:rsidRDefault="0021526C" w:rsidP="009C0072">
      <w:pPr>
        <w:rPr>
          <w:sz w:val="24"/>
          <w:szCs w:val="24"/>
        </w:rPr>
      </w:pPr>
      <w:bookmarkStart w:id="0" w:name="_GoBack"/>
      <w:bookmarkEnd w:id="0"/>
      <w:r w:rsidRPr="00AF302A">
        <w:rPr>
          <w:noProof/>
          <w:sz w:val="24"/>
          <w:szCs w:val="24"/>
          <w:lang w:eastAsia="da-DK"/>
        </w:rPr>
        <w:drawing>
          <wp:anchor distT="0" distB="0" distL="114300" distR="114300" simplePos="0" relativeHeight="251658240" behindDoc="0" locked="0" layoutInCell="1" allowOverlap="1" wp14:anchorId="5BB16A2C" wp14:editId="40430F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F302A">
        <w:rPr>
          <w:sz w:val="24"/>
          <w:szCs w:val="24"/>
        </w:rPr>
        <w:br w:type="textWrapping" w:clear="all"/>
      </w:r>
    </w:p>
    <w:p w14:paraId="4A90AF0E" w14:textId="407FF75D" w:rsidR="009260DE" w:rsidRPr="00AF302A" w:rsidRDefault="009260DE" w:rsidP="009260DE">
      <w:pPr>
        <w:pStyle w:val="Titel"/>
        <w:tabs>
          <w:tab w:val="right" w:pos="9356"/>
        </w:tabs>
        <w:jc w:val="left"/>
        <w:rPr>
          <w:b w:val="0"/>
          <w:szCs w:val="24"/>
          <w:lang w:eastAsia="en-US"/>
        </w:rPr>
      </w:pPr>
      <w:r w:rsidRPr="00AF302A">
        <w:rPr>
          <w:b w:val="0"/>
          <w:szCs w:val="24"/>
          <w:lang w:eastAsia="en-US"/>
        </w:rPr>
        <w:tab/>
      </w:r>
      <w:r w:rsidR="00BB180C">
        <w:rPr>
          <w:szCs w:val="24"/>
        </w:rPr>
        <w:t>3</w:t>
      </w:r>
      <w:r w:rsidR="0045686C">
        <w:rPr>
          <w:szCs w:val="24"/>
        </w:rPr>
        <w:t xml:space="preserve">. </w:t>
      </w:r>
      <w:r w:rsidR="00BB180C">
        <w:rPr>
          <w:szCs w:val="24"/>
        </w:rPr>
        <w:t>marts</w:t>
      </w:r>
      <w:r w:rsidR="0045686C">
        <w:rPr>
          <w:szCs w:val="24"/>
        </w:rPr>
        <w:t xml:space="preserve"> 202</w:t>
      </w:r>
      <w:r w:rsidR="00435FF8">
        <w:rPr>
          <w:szCs w:val="24"/>
        </w:rPr>
        <w:t>5</w:t>
      </w:r>
    </w:p>
    <w:p w14:paraId="17872D8E" w14:textId="048C70E9" w:rsidR="009260DE" w:rsidRPr="00AF302A" w:rsidRDefault="009260DE" w:rsidP="009260DE">
      <w:pPr>
        <w:pStyle w:val="Titel"/>
        <w:jc w:val="left"/>
        <w:rPr>
          <w:b w:val="0"/>
          <w:szCs w:val="24"/>
        </w:rPr>
      </w:pPr>
    </w:p>
    <w:p w14:paraId="37EB55A3" w14:textId="77777777" w:rsidR="009260DE" w:rsidRPr="00AF302A" w:rsidRDefault="009260DE" w:rsidP="009260DE">
      <w:pPr>
        <w:pStyle w:val="Titel"/>
        <w:jc w:val="left"/>
        <w:rPr>
          <w:b w:val="0"/>
          <w:szCs w:val="24"/>
        </w:rPr>
      </w:pPr>
    </w:p>
    <w:p w14:paraId="5A4118C4" w14:textId="77777777" w:rsidR="009260DE" w:rsidRPr="00AF302A" w:rsidRDefault="009260DE" w:rsidP="009260DE">
      <w:pPr>
        <w:jc w:val="center"/>
        <w:rPr>
          <w:b/>
          <w:sz w:val="24"/>
          <w:szCs w:val="24"/>
        </w:rPr>
      </w:pPr>
      <w:r w:rsidRPr="00AF302A">
        <w:rPr>
          <w:b/>
          <w:sz w:val="24"/>
          <w:szCs w:val="24"/>
        </w:rPr>
        <w:t>PRODUKTRESUMÉ</w:t>
      </w:r>
    </w:p>
    <w:p w14:paraId="0E600D25" w14:textId="77777777" w:rsidR="009260DE" w:rsidRPr="00AF302A" w:rsidRDefault="009260DE" w:rsidP="009260DE">
      <w:pPr>
        <w:jc w:val="center"/>
        <w:rPr>
          <w:b/>
          <w:sz w:val="24"/>
          <w:szCs w:val="24"/>
        </w:rPr>
      </w:pPr>
    </w:p>
    <w:p w14:paraId="15E4F42C" w14:textId="77777777" w:rsidR="009260DE" w:rsidRPr="00AF302A" w:rsidRDefault="009260DE" w:rsidP="009260DE">
      <w:pPr>
        <w:jc w:val="center"/>
        <w:rPr>
          <w:b/>
          <w:sz w:val="24"/>
          <w:szCs w:val="24"/>
        </w:rPr>
      </w:pPr>
      <w:r w:rsidRPr="00AF302A">
        <w:rPr>
          <w:b/>
          <w:sz w:val="24"/>
          <w:szCs w:val="24"/>
        </w:rPr>
        <w:t>for</w:t>
      </w:r>
    </w:p>
    <w:p w14:paraId="0B780A83" w14:textId="77777777" w:rsidR="000B058C" w:rsidRPr="00AF302A" w:rsidRDefault="000B058C" w:rsidP="009260DE">
      <w:pPr>
        <w:jc w:val="center"/>
        <w:rPr>
          <w:b/>
          <w:sz w:val="24"/>
          <w:szCs w:val="24"/>
        </w:rPr>
      </w:pPr>
    </w:p>
    <w:p w14:paraId="5CCF592B" w14:textId="2D288DF9" w:rsidR="00A9433E" w:rsidRPr="00AF302A" w:rsidRDefault="00A9433E" w:rsidP="00A9433E">
      <w:pPr>
        <w:jc w:val="center"/>
        <w:rPr>
          <w:b/>
          <w:sz w:val="24"/>
          <w:szCs w:val="24"/>
          <w:lang w:eastAsia="da-DK"/>
        </w:rPr>
      </w:pPr>
      <w:proofErr w:type="spellStart"/>
      <w:r w:rsidRPr="00AF302A">
        <w:rPr>
          <w:b/>
          <w:sz w:val="24"/>
          <w:szCs w:val="24"/>
        </w:rPr>
        <w:t>Triaxis</w:t>
      </w:r>
      <w:proofErr w:type="spellEnd"/>
      <w:r w:rsidRPr="00AF302A">
        <w:rPr>
          <w:b/>
          <w:sz w:val="24"/>
          <w:szCs w:val="24"/>
        </w:rPr>
        <w:t>, injektionsvæske, suspension i fyldt injektionssprøjte</w:t>
      </w:r>
    </w:p>
    <w:p w14:paraId="5B1F010D" w14:textId="77777777" w:rsidR="009260DE" w:rsidRPr="00AF302A" w:rsidRDefault="009260DE" w:rsidP="009260DE">
      <w:pPr>
        <w:jc w:val="both"/>
        <w:rPr>
          <w:sz w:val="24"/>
          <w:szCs w:val="24"/>
        </w:rPr>
      </w:pPr>
    </w:p>
    <w:p w14:paraId="4F78321A" w14:textId="77777777" w:rsidR="009260DE" w:rsidRPr="00AF302A" w:rsidRDefault="009260DE" w:rsidP="009260DE">
      <w:pPr>
        <w:jc w:val="both"/>
        <w:rPr>
          <w:sz w:val="24"/>
          <w:szCs w:val="24"/>
        </w:rPr>
      </w:pPr>
    </w:p>
    <w:p w14:paraId="5126FC3E" w14:textId="77777777" w:rsidR="009260DE" w:rsidRPr="00AF302A" w:rsidRDefault="009260DE" w:rsidP="009260DE">
      <w:pPr>
        <w:tabs>
          <w:tab w:val="left" w:pos="851"/>
        </w:tabs>
        <w:ind w:left="851" w:hanging="851"/>
        <w:rPr>
          <w:b/>
          <w:sz w:val="24"/>
          <w:szCs w:val="24"/>
        </w:rPr>
      </w:pPr>
      <w:r w:rsidRPr="00AF302A">
        <w:rPr>
          <w:b/>
          <w:sz w:val="24"/>
          <w:szCs w:val="24"/>
        </w:rPr>
        <w:t>0.</w:t>
      </w:r>
      <w:r w:rsidRPr="00AF302A">
        <w:rPr>
          <w:b/>
          <w:sz w:val="24"/>
          <w:szCs w:val="24"/>
        </w:rPr>
        <w:tab/>
        <w:t>D.SP.NR.</w:t>
      </w:r>
    </w:p>
    <w:p w14:paraId="5FA7A678" w14:textId="0F3EDE06" w:rsidR="009260DE" w:rsidRPr="00AF302A" w:rsidRDefault="00A9433E" w:rsidP="009260DE">
      <w:pPr>
        <w:tabs>
          <w:tab w:val="left" w:pos="851"/>
        </w:tabs>
        <w:ind w:left="851"/>
        <w:rPr>
          <w:sz w:val="24"/>
          <w:szCs w:val="24"/>
        </w:rPr>
      </w:pPr>
      <w:r w:rsidRPr="00AF302A">
        <w:rPr>
          <w:sz w:val="24"/>
          <w:szCs w:val="24"/>
        </w:rPr>
        <w:t>33155</w:t>
      </w:r>
    </w:p>
    <w:p w14:paraId="3DAA4287" w14:textId="77777777" w:rsidR="009260DE" w:rsidRPr="00AF302A" w:rsidRDefault="009260DE" w:rsidP="009260DE">
      <w:pPr>
        <w:tabs>
          <w:tab w:val="left" w:pos="851"/>
        </w:tabs>
        <w:ind w:left="851"/>
        <w:rPr>
          <w:sz w:val="24"/>
          <w:szCs w:val="24"/>
        </w:rPr>
      </w:pPr>
    </w:p>
    <w:p w14:paraId="47C71553" w14:textId="77777777" w:rsidR="009260DE" w:rsidRPr="00AF302A" w:rsidRDefault="009260DE" w:rsidP="009260DE">
      <w:pPr>
        <w:tabs>
          <w:tab w:val="left" w:pos="851"/>
        </w:tabs>
        <w:ind w:left="851" w:hanging="851"/>
        <w:rPr>
          <w:b/>
          <w:sz w:val="24"/>
          <w:szCs w:val="24"/>
        </w:rPr>
      </w:pPr>
      <w:r w:rsidRPr="00AF302A">
        <w:rPr>
          <w:b/>
          <w:sz w:val="24"/>
          <w:szCs w:val="24"/>
        </w:rPr>
        <w:t>1.</w:t>
      </w:r>
      <w:r w:rsidRPr="00AF302A">
        <w:rPr>
          <w:b/>
          <w:sz w:val="24"/>
          <w:szCs w:val="24"/>
        </w:rPr>
        <w:tab/>
        <w:t>LÆGEMIDLETS NAVN</w:t>
      </w:r>
    </w:p>
    <w:p w14:paraId="3B89FAA7" w14:textId="7C55402A" w:rsidR="009260DE" w:rsidRPr="00AF302A" w:rsidRDefault="00A9433E" w:rsidP="009260DE">
      <w:pPr>
        <w:tabs>
          <w:tab w:val="left" w:pos="851"/>
        </w:tabs>
        <w:ind w:left="851"/>
        <w:rPr>
          <w:sz w:val="24"/>
          <w:szCs w:val="24"/>
        </w:rPr>
      </w:pPr>
      <w:proofErr w:type="spellStart"/>
      <w:r w:rsidRPr="00AF302A">
        <w:rPr>
          <w:sz w:val="24"/>
          <w:szCs w:val="24"/>
        </w:rPr>
        <w:t>Triaxis</w:t>
      </w:r>
      <w:proofErr w:type="spellEnd"/>
    </w:p>
    <w:p w14:paraId="3761A8EB" w14:textId="77777777" w:rsidR="009260DE" w:rsidRPr="00AF302A" w:rsidRDefault="009260DE" w:rsidP="009260DE">
      <w:pPr>
        <w:tabs>
          <w:tab w:val="left" w:pos="851"/>
        </w:tabs>
        <w:ind w:left="851"/>
        <w:rPr>
          <w:sz w:val="24"/>
          <w:szCs w:val="24"/>
        </w:rPr>
      </w:pPr>
    </w:p>
    <w:p w14:paraId="389A0774" w14:textId="77777777" w:rsidR="009260DE" w:rsidRPr="00AF302A" w:rsidRDefault="009260DE" w:rsidP="009260DE">
      <w:pPr>
        <w:tabs>
          <w:tab w:val="left" w:pos="851"/>
        </w:tabs>
        <w:ind w:left="851" w:hanging="851"/>
        <w:rPr>
          <w:b/>
          <w:sz w:val="24"/>
          <w:szCs w:val="24"/>
        </w:rPr>
      </w:pPr>
      <w:r w:rsidRPr="00AF302A">
        <w:rPr>
          <w:b/>
          <w:sz w:val="24"/>
          <w:szCs w:val="24"/>
        </w:rPr>
        <w:t>2.</w:t>
      </w:r>
      <w:r w:rsidRPr="00AF302A">
        <w:rPr>
          <w:b/>
          <w:sz w:val="24"/>
          <w:szCs w:val="24"/>
        </w:rPr>
        <w:tab/>
        <w:t>KVALITATIV OG KVANTITATIV SAMMENSÆTNING</w:t>
      </w:r>
    </w:p>
    <w:p w14:paraId="2C175BC9" w14:textId="77777777" w:rsidR="0045686C" w:rsidRDefault="0045686C" w:rsidP="00AF302A">
      <w:pPr>
        <w:ind w:left="851"/>
        <w:rPr>
          <w:sz w:val="24"/>
          <w:szCs w:val="24"/>
        </w:rPr>
      </w:pPr>
      <w:r w:rsidRPr="00AF302A">
        <w:rPr>
          <w:sz w:val="24"/>
          <w:szCs w:val="24"/>
        </w:rPr>
        <w:t xml:space="preserve">Difteri, tetanus, </w:t>
      </w:r>
      <w:proofErr w:type="spellStart"/>
      <w:r w:rsidRPr="00AF302A">
        <w:rPr>
          <w:sz w:val="24"/>
          <w:szCs w:val="24"/>
        </w:rPr>
        <w:t>pertussis</w:t>
      </w:r>
      <w:proofErr w:type="spellEnd"/>
      <w:r w:rsidRPr="00AF302A">
        <w:rPr>
          <w:sz w:val="24"/>
          <w:szCs w:val="24"/>
        </w:rPr>
        <w:t xml:space="preserve"> (</w:t>
      </w:r>
      <w:proofErr w:type="spellStart"/>
      <w:r w:rsidRPr="00AF302A">
        <w:rPr>
          <w:sz w:val="24"/>
          <w:szCs w:val="24"/>
        </w:rPr>
        <w:t>acellulær</w:t>
      </w:r>
      <w:proofErr w:type="spellEnd"/>
      <w:r w:rsidRPr="00AF302A">
        <w:rPr>
          <w:sz w:val="24"/>
          <w:szCs w:val="24"/>
        </w:rPr>
        <w:t xml:space="preserve"> komponent) vaccine (adsorberet, reduceret indhold af antigen(er)).</w:t>
      </w:r>
    </w:p>
    <w:p w14:paraId="1BFCD626" w14:textId="77777777" w:rsidR="0045686C" w:rsidRDefault="0045686C" w:rsidP="00AF302A">
      <w:pPr>
        <w:ind w:left="851"/>
        <w:rPr>
          <w:sz w:val="24"/>
          <w:szCs w:val="24"/>
        </w:rPr>
      </w:pPr>
    </w:p>
    <w:p w14:paraId="7FF897B0" w14:textId="172906F6" w:rsidR="009C0072" w:rsidRPr="00AF302A" w:rsidRDefault="009C0072" w:rsidP="00AF302A">
      <w:pPr>
        <w:ind w:left="851"/>
        <w:rPr>
          <w:sz w:val="24"/>
          <w:szCs w:val="24"/>
          <w:lang w:eastAsia="da-DK"/>
        </w:rPr>
      </w:pPr>
      <w:r w:rsidRPr="00AF302A">
        <w:rPr>
          <w:sz w:val="24"/>
          <w:szCs w:val="24"/>
        </w:rPr>
        <w:t>1 dosis (0,5 ml) indeholder:</w:t>
      </w:r>
    </w:p>
    <w:p w14:paraId="7EE03751" w14:textId="77777777" w:rsidR="009C0072" w:rsidRPr="00AF302A" w:rsidRDefault="009C0072" w:rsidP="00AF302A">
      <w:pPr>
        <w:tabs>
          <w:tab w:val="left" w:pos="5670"/>
        </w:tabs>
        <w:ind w:left="851"/>
        <w:rPr>
          <w:sz w:val="24"/>
          <w:szCs w:val="24"/>
          <w:lang w:val="nb-NO"/>
        </w:rPr>
      </w:pPr>
    </w:p>
    <w:p w14:paraId="7AB70C58" w14:textId="77777777" w:rsidR="009C0072" w:rsidRPr="00AF302A" w:rsidRDefault="009C0072" w:rsidP="00B84667">
      <w:pPr>
        <w:tabs>
          <w:tab w:val="left" w:pos="1276"/>
          <w:tab w:val="left" w:pos="4820"/>
          <w:tab w:val="left" w:pos="6521"/>
        </w:tabs>
        <w:ind w:left="993"/>
        <w:rPr>
          <w:sz w:val="24"/>
          <w:szCs w:val="24"/>
        </w:rPr>
      </w:pPr>
      <w:r w:rsidRPr="00AF302A">
        <w:rPr>
          <w:sz w:val="24"/>
          <w:szCs w:val="24"/>
        </w:rPr>
        <w:tab/>
      </w:r>
      <w:proofErr w:type="spellStart"/>
      <w:r w:rsidRPr="00AF302A">
        <w:rPr>
          <w:sz w:val="24"/>
          <w:szCs w:val="24"/>
        </w:rPr>
        <w:t>Difteritoksoid</w:t>
      </w:r>
      <w:proofErr w:type="spellEnd"/>
      <w:r w:rsidRPr="00AF302A">
        <w:rPr>
          <w:sz w:val="24"/>
          <w:szCs w:val="24"/>
        </w:rPr>
        <w:tab/>
        <w:t>Ikke mindre end 2 IE* (2 </w:t>
      </w:r>
      <w:proofErr w:type="spellStart"/>
      <w:r w:rsidRPr="00AF302A">
        <w:rPr>
          <w:sz w:val="24"/>
          <w:szCs w:val="24"/>
        </w:rPr>
        <w:t>Lf</w:t>
      </w:r>
      <w:proofErr w:type="spellEnd"/>
      <w:r w:rsidRPr="00AF302A">
        <w:rPr>
          <w:sz w:val="24"/>
          <w:szCs w:val="24"/>
        </w:rPr>
        <w:t>)</w:t>
      </w:r>
    </w:p>
    <w:p w14:paraId="5B6177CA" w14:textId="77777777" w:rsidR="009C0072" w:rsidRPr="00AF302A" w:rsidRDefault="009C0072" w:rsidP="00B84667">
      <w:pPr>
        <w:tabs>
          <w:tab w:val="left" w:pos="1276"/>
          <w:tab w:val="left" w:pos="4820"/>
          <w:tab w:val="left" w:pos="6521"/>
        </w:tabs>
        <w:ind w:left="993"/>
        <w:rPr>
          <w:sz w:val="24"/>
          <w:szCs w:val="24"/>
        </w:rPr>
      </w:pPr>
      <w:r w:rsidRPr="00AF302A">
        <w:rPr>
          <w:sz w:val="24"/>
          <w:szCs w:val="24"/>
        </w:rPr>
        <w:tab/>
      </w:r>
      <w:proofErr w:type="spellStart"/>
      <w:r w:rsidRPr="00AF302A">
        <w:rPr>
          <w:sz w:val="24"/>
          <w:szCs w:val="24"/>
        </w:rPr>
        <w:t>Tetanustoksoid</w:t>
      </w:r>
      <w:proofErr w:type="spellEnd"/>
      <w:r w:rsidRPr="00AF302A">
        <w:rPr>
          <w:sz w:val="24"/>
          <w:szCs w:val="24"/>
        </w:rPr>
        <w:tab/>
        <w:t>Ikke mindre end 20 IE* (5 </w:t>
      </w:r>
      <w:proofErr w:type="spellStart"/>
      <w:r w:rsidRPr="00AF302A">
        <w:rPr>
          <w:sz w:val="24"/>
          <w:szCs w:val="24"/>
        </w:rPr>
        <w:t>Lf</w:t>
      </w:r>
      <w:proofErr w:type="spellEnd"/>
      <w:r w:rsidRPr="00AF302A">
        <w:rPr>
          <w:sz w:val="24"/>
          <w:szCs w:val="24"/>
        </w:rPr>
        <w:t>)</w:t>
      </w:r>
    </w:p>
    <w:p w14:paraId="453D68E8" w14:textId="77777777" w:rsidR="009C0072" w:rsidRPr="00AF302A" w:rsidRDefault="009C0072" w:rsidP="00AF302A">
      <w:pPr>
        <w:tabs>
          <w:tab w:val="left" w:pos="1276"/>
          <w:tab w:val="left" w:pos="5670"/>
          <w:tab w:val="left" w:pos="6521"/>
        </w:tabs>
        <w:ind w:left="993"/>
        <w:rPr>
          <w:sz w:val="24"/>
          <w:szCs w:val="24"/>
        </w:rPr>
      </w:pPr>
      <w:r w:rsidRPr="00AF302A">
        <w:rPr>
          <w:sz w:val="24"/>
          <w:szCs w:val="24"/>
        </w:rPr>
        <w:tab/>
      </w:r>
      <w:proofErr w:type="spellStart"/>
      <w:r w:rsidRPr="00AF302A">
        <w:rPr>
          <w:sz w:val="24"/>
          <w:szCs w:val="24"/>
        </w:rPr>
        <w:t>Pertussis</w:t>
      </w:r>
      <w:proofErr w:type="spellEnd"/>
      <w:r w:rsidRPr="00AF302A">
        <w:rPr>
          <w:sz w:val="24"/>
          <w:szCs w:val="24"/>
        </w:rPr>
        <w:t xml:space="preserve"> antigener</w:t>
      </w:r>
    </w:p>
    <w:p w14:paraId="5FEE7508" w14:textId="77777777" w:rsidR="009C0072" w:rsidRPr="00AF302A" w:rsidRDefault="009C0072" w:rsidP="00063375">
      <w:pPr>
        <w:tabs>
          <w:tab w:val="left" w:pos="1276"/>
          <w:tab w:val="left" w:pos="1843"/>
          <w:tab w:val="left" w:pos="5670"/>
        </w:tabs>
        <w:ind w:left="1276"/>
        <w:rPr>
          <w:sz w:val="24"/>
          <w:szCs w:val="24"/>
        </w:rPr>
      </w:pPr>
      <w:r w:rsidRPr="00AF302A">
        <w:rPr>
          <w:sz w:val="24"/>
          <w:szCs w:val="24"/>
        </w:rPr>
        <w:tab/>
      </w:r>
      <w:proofErr w:type="spellStart"/>
      <w:r w:rsidRPr="00AF302A">
        <w:rPr>
          <w:sz w:val="24"/>
          <w:szCs w:val="24"/>
        </w:rPr>
        <w:t>Pertussistoksoid</w:t>
      </w:r>
      <w:proofErr w:type="spellEnd"/>
      <w:r w:rsidRPr="00AF302A">
        <w:rPr>
          <w:sz w:val="24"/>
          <w:szCs w:val="24"/>
        </w:rPr>
        <w:tab/>
        <w:t xml:space="preserve">2,5 mikrogram </w:t>
      </w:r>
    </w:p>
    <w:p w14:paraId="5A0C8B32" w14:textId="77777777" w:rsidR="009C0072" w:rsidRPr="00AF302A" w:rsidRDefault="009C0072" w:rsidP="00063375">
      <w:pPr>
        <w:tabs>
          <w:tab w:val="left" w:pos="1276"/>
          <w:tab w:val="left" w:pos="1843"/>
          <w:tab w:val="left" w:pos="5670"/>
        </w:tabs>
        <w:ind w:left="1276"/>
        <w:rPr>
          <w:sz w:val="24"/>
          <w:szCs w:val="24"/>
        </w:rPr>
      </w:pPr>
      <w:r w:rsidRPr="00AF302A">
        <w:rPr>
          <w:sz w:val="24"/>
          <w:szCs w:val="24"/>
        </w:rPr>
        <w:tab/>
      </w:r>
      <w:proofErr w:type="spellStart"/>
      <w:r w:rsidRPr="00AF302A">
        <w:rPr>
          <w:sz w:val="24"/>
          <w:szCs w:val="24"/>
        </w:rPr>
        <w:t>Filamentøs</w:t>
      </w:r>
      <w:proofErr w:type="spellEnd"/>
      <w:r w:rsidRPr="00AF302A">
        <w:rPr>
          <w:sz w:val="24"/>
          <w:szCs w:val="24"/>
        </w:rPr>
        <w:t xml:space="preserve"> </w:t>
      </w:r>
      <w:proofErr w:type="spellStart"/>
      <w:r w:rsidRPr="00AF302A">
        <w:rPr>
          <w:sz w:val="24"/>
          <w:szCs w:val="24"/>
        </w:rPr>
        <w:t>hæmagglutinin</w:t>
      </w:r>
      <w:proofErr w:type="spellEnd"/>
      <w:r w:rsidRPr="00AF302A">
        <w:rPr>
          <w:sz w:val="24"/>
          <w:szCs w:val="24"/>
        </w:rPr>
        <w:tab/>
        <w:t>5 mikrogram</w:t>
      </w:r>
    </w:p>
    <w:p w14:paraId="2E44EE75" w14:textId="71ED4F6E" w:rsidR="009C0072" w:rsidRPr="00AF302A" w:rsidRDefault="009C0072" w:rsidP="00063375">
      <w:pPr>
        <w:tabs>
          <w:tab w:val="left" w:pos="1276"/>
          <w:tab w:val="left" w:pos="1843"/>
          <w:tab w:val="left" w:pos="5670"/>
        </w:tabs>
        <w:ind w:left="1276"/>
        <w:rPr>
          <w:sz w:val="24"/>
          <w:szCs w:val="24"/>
        </w:rPr>
      </w:pPr>
      <w:r w:rsidRPr="00AF302A">
        <w:rPr>
          <w:sz w:val="24"/>
          <w:szCs w:val="24"/>
        </w:rPr>
        <w:tab/>
      </w:r>
      <w:proofErr w:type="spellStart"/>
      <w:r w:rsidRPr="00AF302A">
        <w:rPr>
          <w:sz w:val="24"/>
          <w:szCs w:val="24"/>
        </w:rPr>
        <w:t>Pertactin</w:t>
      </w:r>
      <w:proofErr w:type="spellEnd"/>
      <w:r w:rsidRPr="00AF302A">
        <w:rPr>
          <w:sz w:val="24"/>
          <w:szCs w:val="24"/>
        </w:rPr>
        <w:t xml:space="preserve"> </w:t>
      </w:r>
      <w:r w:rsidRPr="00AF302A">
        <w:rPr>
          <w:sz w:val="24"/>
          <w:szCs w:val="24"/>
        </w:rPr>
        <w:tab/>
        <w:t>3 mikrogram</w:t>
      </w:r>
    </w:p>
    <w:p w14:paraId="257CCA8F" w14:textId="77777777" w:rsidR="009C0072" w:rsidRPr="00AF302A" w:rsidRDefault="009C0072" w:rsidP="00063375">
      <w:pPr>
        <w:tabs>
          <w:tab w:val="left" w:pos="1276"/>
          <w:tab w:val="left" w:pos="1843"/>
          <w:tab w:val="left" w:pos="5670"/>
        </w:tabs>
        <w:ind w:left="1276"/>
        <w:rPr>
          <w:sz w:val="24"/>
          <w:szCs w:val="24"/>
        </w:rPr>
      </w:pPr>
      <w:r w:rsidRPr="00AF302A">
        <w:rPr>
          <w:sz w:val="24"/>
          <w:szCs w:val="24"/>
        </w:rPr>
        <w:tab/>
      </w:r>
      <w:proofErr w:type="spellStart"/>
      <w:r w:rsidRPr="00AF302A">
        <w:rPr>
          <w:sz w:val="24"/>
          <w:szCs w:val="24"/>
        </w:rPr>
        <w:t>Fimbriae</w:t>
      </w:r>
      <w:proofErr w:type="spellEnd"/>
      <w:r w:rsidRPr="00AF302A">
        <w:rPr>
          <w:sz w:val="24"/>
          <w:szCs w:val="24"/>
        </w:rPr>
        <w:t xml:space="preserve"> type 2 og 3</w:t>
      </w:r>
      <w:r w:rsidRPr="00AF302A">
        <w:rPr>
          <w:sz w:val="24"/>
          <w:szCs w:val="24"/>
        </w:rPr>
        <w:tab/>
        <w:t>5 mikrogram</w:t>
      </w:r>
    </w:p>
    <w:p w14:paraId="3F739170" w14:textId="77777777" w:rsidR="009C0072" w:rsidRPr="00AF302A" w:rsidRDefault="009C0072" w:rsidP="00B84667">
      <w:pPr>
        <w:tabs>
          <w:tab w:val="left" w:pos="1276"/>
          <w:tab w:val="left" w:pos="4820"/>
        </w:tabs>
        <w:ind w:left="993"/>
        <w:rPr>
          <w:sz w:val="24"/>
          <w:szCs w:val="24"/>
        </w:rPr>
      </w:pPr>
      <w:r w:rsidRPr="00AF302A">
        <w:rPr>
          <w:sz w:val="24"/>
          <w:szCs w:val="24"/>
        </w:rPr>
        <w:tab/>
        <w:t xml:space="preserve">Adsorberet på </w:t>
      </w:r>
      <w:proofErr w:type="spellStart"/>
      <w:r w:rsidRPr="00AF302A">
        <w:rPr>
          <w:sz w:val="24"/>
          <w:szCs w:val="24"/>
        </w:rPr>
        <w:t>aluminiumphosphat</w:t>
      </w:r>
      <w:proofErr w:type="spellEnd"/>
      <w:r w:rsidRPr="00AF302A">
        <w:rPr>
          <w:sz w:val="24"/>
          <w:szCs w:val="24"/>
        </w:rPr>
        <w:tab/>
        <w:t>1,5 mg (0,33 mg Al</w:t>
      </w:r>
      <w:r w:rsidRPr="00AF302A">
        <w:rPr>
          <w:sz w:val="24"/>
          <w:szCs w:val="24"/>
          <w:vertAlign w:val="superscript"/>
        </w:rPr>
        <w:t>3+</w:t>
      </w:r>
      <w:r w:rsidRPr="00AF302A">
        <w:rPr>
          <w:sz w:val="24"/>
          <w:szCs w:val="24"/>
        </w:rPr>
        <w:t>)</w:t>
      </w:r>
    </w:p>
    <w:p w14:paraId="4F9F4616" w14:textId="77777777" w:rsidR="009C0072" w:rsidRPr="00AF302A" w:rsidRDefault="009C0072" w:rsidP="00AF302A">
      <w:pPr>
        <w:ind w:left="851"/>
        <w:rPr>
          <w:sz w:val="24"/>
          <w:szCs w:val="24"/>
        </w:rPr>
      </w:pPr>
    </w:p>
    <w:p w14:paraId="2C509003" w14:textId="77777777" w:rsidR="009C0072" w:rsidRPr="00AF302A" w:rsidRDefault="009C0072" w:rsidP="00AF302A">
      <w:pPr>
        <w:ind w:left="851"/>
        <w:rPr>
          <w:sz w:val="24"/>
          <w:szCs w:val="24"/>
        </w:rPr>
      </w:pPr>
      <w:r w:rsidRPr="00AF302A">
        <w:rPr>
          <w:sz w:val="24"/>
          <w:szCs w:val="24"/>
        </w:rPr>
        <w:t xml:space="preserve">* Som nedre </w:t>
      </w:r>
      <w:proofErr w:type="spellStart"/>
      <w:r w:rsidRPr="00AF302A">
        <w:rPr>
          <w:sz w:val="24"/>
          <w:szCs w:val="24"/>
        </w:rPr>
        <w:t>konfidensgrænse</w:t>
      </w:r>
      <w:proofErr w:type="spellEnd"/>
      <w:r w:rsidRPr="00AF302A">
        <w:rPr>
          <w:sz w:val="24"/>
          <w:szCs w:val="24"/>
        </w:rPr>
        <w:t xml:space="preserve"> (p = 0,95) af aktiviteten målt i henhold til det </w:t>
      </w:r>
      <w:proofErr w:type="spellStart"/>
      <w:r w:rsidRPr="00AF302A">
        <w:rPr>
          <w:sz w:val="24"/>
          <w:szCs w:val="24"/>
        </w:rPr>
        <w:t>assay</w:t>
      </w:r>
      <w:proofErr w:type="spellEnd"/>
      <w:r w:rsidRPr="00AF302A">
        <w:rPr>
          <w:sz w:val="24"/>
          <w:szCs w:val="24"/>
        </w:rPr>
        <w:t>, der er beskrevet i den europæiske farmakopé.</w:t>
      </w:r>
    </w:p>
    <w:p w14:paraId="29B18AA6" w14:textId="77777777" w:rsidR="009C0072" w:rsidRPr="00AF302A" w:rsidRDefault="009C0072" w:rsidP="00AF302A">
      <w:pPr>
        <w:ind w:left="851"/>
        <w:rPr>
          <w:sz w:val="24"/>
          <w:szCs w:val="24"/>
        </w:rPr>
      </w:pPr>
    </w:p>
    <w:p w14:paraId="1B20C7B1" w14:textId="77777777" w:rsidR="009C0072" w:rsidRPr="00AF302A" w:rsidRDefault="009C0072" w:rsidP="00AF302A">
      <w:pPr>
        <w:ind w:left="851"/>
        <w:rPr>
          <w:sz w:val="24"/>
          <w:szCs w:val="24"/>
        </w:rPr>
      </w:pPr>
      <w:r w:rsidRPr="00AF302A">
        <w:rPr>
          <w:sz w:val="24"/>
          <w:szCs w:val="24"/>
        </w:rPr>
        <w:t xml:space="preserve">Denne vaccine kan indeholde spor af formaldehyd og </w:t>
      </w:r>
      <w:proofErr w:type="spellStart"/>
      <w:r w:rsidRPr="00AF302A">
        <w:rPr>
          <w:sz w:val="24"/>
          <w:szCs w:val="24"/>
        </w:rPr>
        <w:t>glutaraldehyd</w:t>
      </w:r>
      <w:proofErr w:type="spellEnd"/>
      <w:r w:rsidRPr="00AF302A">
        <w:rPr>
          <w:sz w:val="24"/>
          <w:szCs w:val="24"/>
        </w:rPr>
        <w:t xml:space="preserve"> som anvendes under fremstillingsprocessen (se pkt. 4.3 og 4.4).</w:t>
      </w:r>
    </w:p>
    <w:p w14:paraId="53998C6B" w14:textId="77777777" w:rsidR="009C0072" w:rsidRPr="00AF302A" w:rsidRDefault="009C0072" w:rsidP="00AF302A">
      <w:pPr>
        <w:ind w:left="851"/>
        <w:rPr>
          <w:sz w:val="24"/>
          <w:szCs w:val="24"/>
        </w:rPr>
      </w:pPr>
    </w:p>
    <w:p w14:paraId="44ACCAC6" w14:textId="77777777" w:rsidR="009C0072" w:rsidRPr="00AF302A" w:rsidRDefault="009C0072" w:rsidP="00AF302A">
      <w:pPr>
        <w:ind w:left="851"/>
        <w:rPr>
          <w:sz w:val="24"/>
          <w:szCs w:val="24"/>
        </w:rPr>
      </w:pPr>
      <w:r w:rsidRPr="00AF302A">
        <w:rPr>
          <w:sz w:val="24"/>
          <w:szCs w:val="24"/>
        </w:rPr>
        <w:t>Alle hjælpestoffer er anført under pkt. 6.1.</w:t>
      </w:r>
    </w:p>
    <w:p w14:paraId="51892E2F" w14:textId="77777777" w:rsidR="009260DE" w:rsidRPr="00AF302A" w:rsidRDefault="009260DE" w:rsidP="009260DE">
      <w:pPr>
        <w:tabs>
          <w:tab w:val="left" w:pos="851"/>
        </w:tabs>
        <w:ind w:left="851"/>
        <w:rPr>
          <w:sz w:val="24"/>
          <w:szCs w:val="24"/>
        </w:rPr>
      </w:pPr>
    </w:p>
    <w:p w14:paraId="16BDA99A" w14:textId="77777777" w:rsidR="009260DE" w:rsidRPr="00AF302A" w:rsidRDefault="009260DE" w:rsidP="009260DE">
      <w:pPr>
        <w:tabs>
          <w:tab w:val="left" w:pos="851"/>
        </w:tabs>
        <w:ind w:left="851" w:hanging="851"/>
        <w:rPr>
          <w:b/>
          <w:sz w:val="24"/>
          <w:szCs w:val="24"/>
        </w:rPr>
      </w:pPr>
      <w:r w:rsidRPr="00AF302A">
        <w:rPr>
          <w:b/>
          <w:sz w:val="24"/>
          <w:szCs w:val="24"/>
        </w:rPr>
        <w:t>3.</w:t>
      </w:r>
      <w:r w:rsidRPr="00AF302A">
        <w:rPr>
          <w:b/>
          <w:sz w:val="24"/>
          <w:szCs w:val="24"/>
        </w:rPr>
        <w:tab/>
        <w:t>LÆGEMIDDELFORM</w:t>
      </w:r>
    </w:p>
    <w:p w14:paraId="7EB5B9DF" w14:textId="6768B312" w:rsidR="009C0072" w:rsidRPr="00AF302A" w:rsidRDefault="009C0072" w:rsidP="009C0072">
      <w:pPr>
        <w:tabs>
          <w:tab w:val="left" w:pos="851"/>
        </w:tabs>
        <w:ind w:left="851"/>
        <w:rPr>
          <w:sz w:val="24"/>
          <w:szCs w:val="24"/>
          <w:lang w:eastAsia="da-DK"/>
        </w:rPr>
      </w:pPr>
      <w:r w:rsidRPr="00AF302A">
        <w:rPr>
          <w:sz w:val="24"/>
          <w:szCs w:val="24"/>
        </w:rPr>
        <w:t>Injektionsvæske, suspension i fyldt injektionssprøjte</w:t>
      </w:r>
    </w:p>
    <w:p w14:paraId="1CA8A3D0"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er en uklar, hvid suspension.</w:t>
      </w:r>
    </w:p>
    <w:p w14:paraId="4091032C" w14:textId="77777777" w:rsidR="009260DE" w:rsidRPr="00AF302A" w:rsidRDefault="009260DE" w:rsidP="009260DE">
      <w:pPr>
        <w:tabs>
          <w:tab w:val="left" w:pos="851"/>
        </w:tabs>
        <w:ind w:left="851"/>
        <w:rPr>
          <w:sz w:val="24"/>
          <w:szCs w:val="24"/>
        </w:rPr>
      </w:pPr>
    </w:p>
    <w:p w14:paraId="163379EA" w14:textId="4DB02DEB" w:rsidR="0045686C" w:rsidRDefault="0045686C">
      <w:pPr>
        <w:rPr>
          <w:sz w:val="24"/>
          <w:szCs w:val="24"/>
        </w:rPr>
      </w:pPr>
      <w:r>
        <w:rPr>
          <w:sz w:val="24"/>
          <w:szCs w:val="24"/>
        </w:rPr>
        <w:br w:type="page"/>
      </w:r>
    </w:p>
    <w:p w14:paraId="7ADE8076" w14:textId="77777777" w:rsidR="009260DE" w:rsidRPr="00AF302A" w:rsidRDefault="009260DE" w:rsidP="009260DE">
      <w:pPr>
        <w:tabs>
          <w:tab w:val="left" w:pos="851"/>
        </w:tabs>
        <w:ind w:left="851"/>
        <w:rPr>
          <w:sz w:val="24"/>
          <w:szCs w:val="24"/>
        </w:rPr>
      </w:pPr>
    </w:p>
    <w:p w14:paraId="4FD8D20F" w14:textId="77777777" w:rsidR="009260DE" w:rsidRPr="00AF302A" w:rsidRDefault="009260DE" w:rsidP="009260DE">
      <w:pPr>
        <w:tabs>
          <w:tab w:val="left" w:pos="851"/>
        </w:tabs>
        <w:ind w:left="851" w:hanging="851"/>
        <w:rPr>
          <w:b/>
          <w:sz w:val="24"/>
          <w:szCs w:val="24"/>
        </w:rPr>
      </w:pPr>
      <w:r w:rsidRPr="00AF302A">
        <w:rPr>
          <w:b/>
          <w:sz w:val="24"/>
          <w:szCs w:val="24"/>
        </w:rPr>
        <w:t>4.</w:t>
      </w:r>
      <w:r w:rsidRPr="00AF302A">
        <w:rPr>
          <w:b/>
          <w:sz w:val="24"/>
          <w:szCs w:val="24"/>
        </w:rPr>
        <w:tab/>
        <w:t>KLINISKE OPLYSNINGER</w:t>
      </w:r>
    </w:p>
    <w:p w14:paraId="4BFF714D" w14:textId="77777777" w:rsidR="009260DE" w:rsidRPr="00AF302A" w:rsidRDefault="009260DE" w:rsidP="009260DE">
      <w:pPr>
        <w:tabs>
          <w:tab w:val="left" w:pos="851"/>
        </w:tabs>
        <w:ind w:left="851"/>
        <w:rPr>
          <w:b/>
          <w:sz w:val="24"/>
          <w:szCs w:val="24"/>
        </w:rPr>
      </w:pPr>
    </w:p>
    <w:p w14:paraId="21AA675F" w14:textId="77777777" w:rsidR="009260DE" w:rsidRPr="00AF302A" w:rsidRDefault="009260DE" w:rsidP="009260DE">
      <w:pPr>
        <w:tabs>
          <w:tab w:val="left" w:pos="851"/>
        </w:tabs>
        <w:ind w:left="851" w:hanging="851"/>
        <w:rPr>
          <w:b/>
          <w:sz w:val="24"/>
          <w:szCs w:val="24"/>
          <w:u w:val="single"/>
        </w:rPr>
      </w:pPr>
      <w:r w:rsidRPr="00AF302A">
        <w:rPr>
          <w:b/>
          <w:sz w:val="24"/>
          <w:szCs w:val="24"/>
        </w:rPr>
        <w:t>4.1</w:t>
      </w:r>
      <w:r w:rsidRPr="00AF302A">
        <w:rPr>
          <w:b/>
          <w:sz w:val="24"/>
          <w:szCs w:val="24"/>
        </w:rPr>
        <w:tab/>
        <w:t>Terapeutiske indikationer</w:t>
      </w:r>
    </w:p>
    <w:p w14:paraId="77D09BA1" w14:textId="77777777" w:rsidR="009C0072" w:rsidRPr="00AF302A" w:rsidRDefault="009C0072" w:rsidP="009C0072">
      <w:pPr>
        <w:tabs>
          <w:tab w:val="left" w:pos="851"/>
        </w:tabs>
        <w:ind w:left="851"/>
        <w:rPr>
          <w:sz w:val="24"/>
          <w:szCs w:val="24"/>
          <w:lang w:eastAsia="da-DK"/>
        </w:rPr>
      </w:pPr>
      <w:proofErr w:type="spellStart"/>
      <w:r w:rsidRPr="00AF302A">
        <w:rPr>
          <w:sz w:val="24"/>
          <w:szCs w:val="24"/>
        </w:rPr>
        <w:t>Triaxis</w:t>
      </w:r>
      <w:proofErr w:type="spellEnd"/>
      <w:r w:rsidRPr="00AF302A">
        <w:rPr>
          <w:sz w:val="24"/>
          <w:szCs w:val="24"/>
        </w:rPr>
        <w:t xml:space="preserve"> (</w:t>
      </w:r>
      <w:proofErr w:type="spellStart"/>
      <w:r w:rsidRPr="00AF302A">
        <w:rPr>
          <w:sz w:val="24"/>
          <w:szCs w:val="24"/>
        </w:rPr>
        <w:t>Tdap</w:t>
      </w:r>
      <w:proofErr w:type="spellEnd"/>
      <w:r w:rsidRPr="00AF302A">
        <w:rPr>
          <w:sz w:val="24"/>
          <w:szCs w:val="24"/>
        </w:rPr>
        <w:t>) er indiceret til:</w:t>
      </w:r>
    </w:p>
    <w:p w14:paraId="18EF58FD" w14:textId="77777777" w:rsidR="009C0072" w:rsidRPr="00AF302A" w:rsidRDefault="009C0072" w:rsidP="009C0072">
      <w:pPr>
        <w:tabs>
          <w:tab w:val="left" w:pos="851"/>
        </w:tabs>
        <w:ind w:left="851"/>
        <w:rPr>
          <w:sz w:val="24"/>
          <w:szCs w:val="24"/>
        </w:rPr>
      </w:pPr>
    </w:p>
    <w:p w14:paraId="3135B229" w14:textId="77777777" w:rsidR="009C0072" w:rsidRPr="00AF302A" w:rsidRDefault="009C0072" w:rsidP="009C0072">
      <w:pPr>
        <w:tabs>
          <w:tab w:val="left" w:pos="851"/>
        </w:tabs>
        <w:ind w:left="851"/>
        <w:rPr>
          <w:sz w:val="24"/>
          <w:szCs w:val="24"/>
        </w:rPr>
      </w:pPr>
      <w:r w:rsidRPr="00AF302A">
        <w:rPr>
          <w:sz w:val="24"/>
          <w:szCs w:val="24"/>
        </w:rPr>
        <w:t xml:space="preserve">Aktiv immunisering mod tetanus, difteri og </w:t>
      </w:r>
      <w:proofErr w:type="spellStart"/>
      <w:r w:rsidRPr="00AF302A">
        <w:rPr>
          <w:sz w:val="24"/>
          <w:szCs w:val="24"/>
        </w:rPr>
        <w:t>pertussis</w:t>
      </w:r>
      <w:proofErr w:type="spellEnd"/>
      <w:r w:rsidRPr="00AF302A">
        <w:rPr>
          <w:sz w:val="24"/>
          <w:szCs w:val="24"/>
        </w:rPr>
        <w:t xml:space="preserve"> hos personer fra 4 år som en </w:t>
      </w:r>
      <w:proofErr w:type="spellStart"/>
      <w:r w:rsidRPr="00AF302A">
        <w:rPr>
          <w:sz w:val="24"/>
          <w:szCs w:val="24"/>
        </w:rPr>
        <w:t>boostervaccination</w:t>
      </w:r>
      <w:proofErr w:type="spellEnd"/>
      <w:r w:rsidRPr="00AF302A">
        <w:rPr>
          <w:sz w:val="24"/>
          <w:szCs w:val="24"/>
        </w:rPr>
        <w:t xml:space="preserve"> efter primær immunisering.</w:t>
      </w:r>
    </w:p>
    <w:p w14:paraId="740096F9" w14:textId="77777777" w:rsidR="009C0072" w:rsidRPr="00AF302A" w:rsidRDefault="009C0072" w:rsidP="009C0072">
      <w:pPr>
        <w:tabs>
          <w:tab w:val="left" w:pos="851"/>
        </w:tabs>
        <w:ind w:left="851"/>
        <w:rPr>
          <w:sz w:val="24"/>
          <w:szCs w:val="24"/>
        </w:rPr>
      </w:pPr>
    </w:p>
    <w:p w14:paraId="55ACC49E" w14:textId="77777777" w:rsidR="009C0072" w:rsidRPr="00AF302A" w:rsidRDefault="009C0072" w:rsidP="009C0072">
      <w:pPr>
        <w:tabs>
          <w:tab w:val="left" w:pos="851"/>
        </w:tabs>
        <w:ind w:left="851"/>
        <w:rPr>
          <w:sz w:val="24"/>
          <w:szCs w:val="24"/>
        </w:rPr>
      </w:pPr>
      <w:r w:rsidRPr="00AF302A">
        <w:rPr>
          <w:sz w:val="24"/>
          <w:szCs w:val="24"/>
        </w:rPr>
        <w:t xml:space="preserve">Passiv beskyttelse mod </w:t>
      </w:r>
      <w:proofErr w:type="spellStart"/>
      <w:r w:rsidRPr="00AF302A">
        <w:rPr>
          <w:sz w:val="24"/>
          <w:szCs w:val="24"/>
        </w:rPr>
        <w:t>pertussis</w:t>
      </w:r>
      <w:proofErr w:type="spellEnd"/>
      <w:r w:rsidRPr="00AF302A">
        <w:rPr>
          <w:sz w:val="24"/>
          <w:szCs w:val="24"/>
        </w:rPr>
        <w:t xml:space="preserve"> i den tidlige spædbarnsalder efter </w:t>
      </w:r>
      <w:proofErr w:type="spellStart"/>
      <w:r w:rsidRPr="00AF302A">
        <w:rPr>
          <w:sz w:val="24"/>
          <w:szCs w:val="24"/>
        </w:rPr>
        <w:t>maternel</w:t>
      </w:r>
      <w:proofErr w:type="spellEnd"/>
      <w:r w:rsidRPr="00AF302A">
        <w:rPr>
          <w:sz w:val="24"/>
          <w:szCs w:val="24"/>
        </w:rPr>
        <w:t xml:space="preserve"> immunisering under graviditet (se pkt. 4.2, 4.6 og 5.1).</w:t>
      </w:r>
    </w:p>
    <w:p w14:paraId="5FFFCC78" w14:textId="77777777" w:rsidR="009C0072" w:rsidRPr="00AF302A" w:rsidRDefault="009C0072" w:rsidP="009C0072">
      <w:pPr>
        <w:tabs>
          <w:tab w:val="left" w:pos="851"/>
        </w:tabs>
        <w:ind w:left="851"/>
        <w:rPr>
          <w:sz w:val="24"/>
          <w:szCs w:val="24"/>
        </w:rPr>
      </w:pPr>
    </w:p>
    <w:p w14:paraId="73540716" w14:textId="77777777" w:rsidR="009C0072" w:rsidRPr="00AF302A" w:rsidRDefault="009C0072" w:rsidP="009C0072">
      <w:pPr>
        <w:tabs>
          <w:tab w:val="left" w:pos="851"/>
        </w:tabs>
        <w:ind w:left="851"/>
        <w:rPr>
          <w:sz w:val="24"/>
          <w:szCs w:val="24"/>
        </w:rPr>
      </w:pPr>
      <w:r w:rsidRPr="00AF302A">
        <w:rPr>
          <w:sz w:val="24"/>
          <w:szCs w:val="24"/>
        </w:rPr>
        <w:t xml:space="preserve">Brugen af </w:t>
      </w:r>
      <w:proofErr w:type="spellStart"/>
      <w:r w:rsidRPr="00AF302A">
        <w:rPr>
          <w:sz w:val="24"/>
          <w:szCs w:val="24"/>
        </w:rPr>
        <w:t>Triaxis</w:t>
      </w:r>
      <w:proofErr w:type="spellEnd"/>
      <w:r w:rsidRPr="00AF302A">
        <w:rPr>
          <w:sz w:val="24"/>
          <w:szCs w:val="24"/>
        </w:rPr>
        <w:t xml:space="preserve"> bør være i overensstemmelse med officielle anbefalinger.</w:t>
      </w:r>
    </w:p>
    <w:p w14:paraId="0E7891F7" w14:textId="77777777" w:rsidR="009260DE" w:rsidRPr="00AF302A" w:rsidRDefault="009260DE" w:rsidP="009260DE">
      <w:pPr>
        <w:tabs>
          <w:tab w:val="left" w:pos="851"/>
        </w:tabs>
        <w:ind w:left="851"/>
        <w:rPr>
          <w:sz w:val="24"/>
          <w:szCs w:val="24"/>
        </w:rPr>
      </w:pPr>
    </w:p>
    <w:p w14:paraId="4284761D" w14:textId="77777777" w:rsidR="009260DE" w:rsidRPr="00AF302A" w:rsidRDefault="009260DE" w:rsidP="009260DE">
      <w:pPr>
        <w:tabs>
          <w:tab w:val="left" w:pos="851"/>
        </w:tabs>
        <w:ind w:left="851" w:hanging="851"/>
        <w:rPr>
          <w:b/>
          <w:sz w:val="24"/>
          <w:szCs w:val="24"/>
        </w:rPr>
      </w:pPr>
      <w:r w:rsidRPr="00AF302A">
        <w:rPr>
          <w:b/>
          <w:sz w:val="24"/>
          <w:szCs w:val="24"/>
        </w:rPr>
        <w:t>4.2</w:t>
      </w:r>
      <w:r w:rsidRPr="00AF302A">
        <w:rPr>
          <w:b/>
          <w:sz w:val="24"/>
          <w:szCs w:val="24"/>
        </w:rPr>
        <w:tab/>
        <w:t xml:space="preserve">Dosering og </w:t>
      </w:r>
      <w:r w:rsidR="002C1EC0" w:rsidRPr="00AF302A">
        <w:rPr>
          <w:b/>
          <w:sz w:val="24"/>
          <w:szCs w:val="24"/>
        </w:rPr>
        <w:t>administration</w:t>
      </w:r>
    </w:p>
    <w:p w14:paraId="7FE82973" w14:textId="77777777" w:rsidR="00AF302A" w:rsidRDefault="00AF302A" w:rsidP="009C0072">
      <w:pPr>
        <w:tabs>
          <w:tab w:val="left" w:pos="851"/>
        </w:tabs>
        <w:ind w:left="851"/>
        <w:rPr>
          <w:sz w:val="24"/>
          <w:szCs w:val="24"/>
          <w:u w:val="single"/>
        </w:rPr>
      </w:pPr>
    </w:p>
    <w:p w14:paraId="55693744" w14:textId="193E2397" w:rsidR="009C0072" w:rsidRPr="00AF302A" w:rsidRDefault="009C0072" w:rsidP="009C0072">
      <w:pPr>
        <w:tabs>
          <w:tab w:val="left" w:pos="851"/>
        </w:tabs>
        <w:ind w:left="851"/>
        <w:rPr>
          <w:bCs/>
          <w:sz w:val="24"/>
          <w:szCs w:val="24"/>
          <w:u w:val="single"/>
          <w:lang w:eastAsia="da-DK"/>
        </w:rPr>
      </w:pPr>
      <w:r w:rsidRPr="00AF302A">
        <w:rPr>
          <w:sz w:val="24"/>
          <w:szCs w:val="24"/>
          <w:u w:val="single"/>
        </w:rPr>
        <w:t>Dosering</w:t>
      </w:r>
    </w:p>
    <w:p w14:paraId="407A070A" w14:textId="77777777" w:rsidR="009C0072" w:rsidRPr="00AF302A" w:rsidRDefault="009C0072" w:rsidP="009C0072">
      <w:pPr>
        <w:tabs>
          <w:tab w:val="left" w:pos="851"/>
        </w:tabs>
        <w:ind w:left="851"/>
        <w:rPr>
          <w:sz w:val="24"/>
          <w:szCs w:val="24"/>
          <w:lang w:val="nb-NO"/>
        </w:rPr>
      </w:pPr>
    </w:p>
    <w:p w14:paraId="246CF495" w14:textId="77777777" w:rsidR="009C0072" w:rsidRPr="00AF302A" w:rsidRDefault="009C0072" w:rsidP="009C0072">
      <w:pPr>
        <w:tabs>
          <w:tab w:val="left" w:pos="851"/>
        </w:tabs>
        <w:ind w:left="851"/>
        <w:rPr>
          <w:sz w:val="24"/>
          <w:szCs w:val="24"/>
        </w:rPr>
      </w:pPr>
      <w:r w:rsidRPr="00AF302A">
        <w:rPr>
          <w:sz w:val="24"/>
          <w:szCs w:val="24"/>
        </w:rPr>
        <w:t>Der anbefales en enkelt injektion af én (0,5 ml) dosis til alle indikerede aldersgrupper.</w:t>
      </w:r>
    </w:p>
    <w:p w14:paraId="02EFCBD4" w14:textId="77777777" w:rsidR="009C0072" w:rsidRPr="00AF302A" w:rsidRDefault="009C0072" w:rsidP="009C0072">
      <w:pPr>
        <w:tabs>
          <w:tab w:val="left" w:pos="851"/>
        </w:tabs>
        <w:ind w:left="851"/>
        <w:rPr>
          <w:sz w:val="24"/>
          <w:szCs w:val="24"/>
        </w:rPr>
      </w:pPr>
    </w:p>
    <w:p w14:paraId="446B335F" w14:textId="77777777" w:rsidR="009C0072" w:rsidRPr="00AF302A" w:rsidRDefault="009C0072" w:rsidP="009C0072">
      <w:pPr>
        <w:tabs>
          <w:tab w:val="left" w:pos="851"/>
        </w:tabs>
        <w:ind w:left="851"/>
        <w:rPr>
          <w:sz w:val="24"/>
          <w:szCs w:val="24"/>
        </w:rPr>
      </w:pPr>
      <w:bookmarkStart w:id="1" w:name="_Hlk83735265"/>
      <w:r w:rsidRPr="00AF302A">
        <w:rPr>
          <w:sz w:val="24"/>
          <w:szCs w:val="24"/>
        </w:rPr>
        <w:t xml:space="preserve">Hos unge og voksne med en ukendt eller ufuldstændig difteri- eller tetanus-vaccinationsstatus, kan en dosis </w:t>
      </w:r>
      <w:proofErr w:type="spellStart"/>
      <w:r w:rsidRPr="00AF302A">
        <w:rPr>
          <w:sz w:val="24"/>
          <w:szCs w:val="24"/>
        </w:rPr>
        <w:t>Triaxis</w:t>
      </w:r>
      <w:proofErr w:type="spellEnd"/>
      <w:r w:rsidRPr="00AF302A">
        <w:rPr>
          <w:sz w:val="24"/>
          <w:szCs w:val="24"/>
        </w:rPr>
        <w:t xml:space="preserve"> administreres som en del af en vaccinationsserie for at beskytte mod </w:t>
      </w:r>
      <w:proofErr w:type="spellStart"/>
      <w:r w:rsidRPr="00AF302A">
        <w:rPr>
          <w:sz w:val="24"/>
          <w:szCs w:val="24"/>
        </w:rPr>
        <w:t>pertussis</w:t>
      </w:r>
      <w:proofErr w:type="spellEnd"/>
      <w:r w:rsidRPr="00AF302A">
        <w:rPr>
          <w:sz w:val="24"/>
          <w:szCs w:val="24"/>
        </w:rPr>
        <w:t>, og i det fleste tilfælde også mod tetanus og difteri. En yderligere dosis af en difteri- eller tetanus (</w:t>
      </w:r>
      <w:proofErr w:type="spellStart"/>
      <w:r w:rsidRPr="00AF302A">
        <w:rPr>
          <w:sz w:val="24"/>
          <w:szCs w:val="24"/>
        </w:rPr>
        <w:t>dT</w:t>
      </w:r>
      <w:proofErr w:type="spellEnd"/>
      <w:r w:rsidRPr="00AF302A">
        <w:rPr>
          <w:sz w:val="24"/>
          <w:szCs w:val="24"/>
        </w:rPr>
        <w:t>)-</w:t>
      </w:r>
      <w:proofErr w:type="spellStart"/>
      <w:r w:rsidRPr="00AF302A">
        <w:rPr>
          <w:sz w:val="24"/>
          <w:szCs w:val="24"/>
        </w:rPr>
        <w:t>holdig</w:t>
      </w:r>
      <w:proofErr w:type="spellEnd"/>
      <w:r w:rsidRPr="00AF302A">
        <w:rPr>
          <w:sz w:val="24"/>
          <w:szCs w:val="24"/>
        </w:rPr>
        <w:t xml:space="preserve"> vaccine kan administreres en måned senere, efterfulgt af en 3. dosis af en difteri- eller </w:t>
      </w:r>
      <w:proofErr w:type="spellStart"/>
      <w:r w:rsidRPr="00AF302A">
        <w:rPr>
          <w:sz w:val="24"/>
          <w:szCs w:val="24"/>
        </w:rPr>
        <w:t>dT-holdig</w:t>
      </w:r>
      <w:proofErr w:type="spellEnd"/>
      <w:r w:rsidRPr="00AF302A">
        <w:rPr>
          <w:sz w:val="24"/>
          <w:szCs w:val="24"/>
        </w:rPr>
        <w:t xml:space="preserve"> vaccine 6 måneder efter den første dosis for at optimere sygdomsbeskyttelsen (se pkt. 5.1). Antallet og tidsplanen for doserne bør fastlægges i overensstemmelse med lokale anbefalinger.</w:t>
      </w:r>
    </w:p>
    <w:bookmarkEnd w:id="1"/>
    <w:p w14:paraId="5F9E958F" w14:textId="77777777" w:rsidR="009C0072" w:rsidRPr="00AF302A" w:rsidRDefault="009C0072" w:rsidP="009C0072">
      <w:pPr>
        <w:tabs>
          <w:tab w:val="left" w:pos="851"/>
        </w:tabs>
        <w:ind w:left="851"/>
        <w:rPr>
          <w:sz w:val="24"/>
          <w:szCs w:val="24"/>
        </w:rPr>
      </w:pPr>
    </w:p>
    <w:p w14:paraId="61DC7BD1"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kan anvendes til revaccination med 5 til 10 års mellemrum for at booste immuniteten mod difteri, tetanus og </w:t>
      </w:r>
      <w:proofErr w:type="spellStart"/>
      <w:r w:rsidRPr="00AF302A">
        <w:rPr>
          <w:sz w:val="24"/>
          <w:szCs w:val="24"/>
        </w:rPr>
        <w:t>pertussis</w:t>
      </w:r>
      <w:proofErr w:type="spellEnd"/>
      <w:r w:rsidRPr="00AF302A">
        <w:rPr>
          <w:sz w:val="24"/>
          <w:szCs w:val="24"/>
        </w:rPr>
        <w:t xml:space="preserve"> (se pkt. 5.1).</w:t>
      </w:r>
    </w:p>
    <w:p w14:paraId="6286FE34" w14:textId="77777777" w:rsidR="009C0072" w:rsidRPr="00AF302A" w:rsidRDefault="009C0072" w:rsidP="009C0072">
      <w:pPr>
        <w:tabs>
          <w:tab w:val="left" w:pos="851"/>
        </w:tabs>
        <w:ind w:left="851"/>
        <w:rPr>
          <w:sz w:val="24"/>
          <w:szCs w:val="24"/>
        </w:rPr>
      </w:pPr>
    </w:p>
    <w:p w14:paraId="6FD305B4"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kan anvendes til behandling af skader, der kan medføre risiko for infektion med tetanus, med eller uden samtidig administration af tetanus </w:t>
      </w:r>
      <w:proofErr w:type="spellStart"/>
      <w:r w:rsidRPr="00AF302A">
        <w:rPr>
          <w:sz w:val="24"/>
          <w:szCs w:val="24"/>
        </w:rPr>
        <w:t>immunglobulin</w:t>
      </w:r>
      <w:proofErr w:type="spellEnd"/>
      <w:r w:rsidRPr="00AF302A">
        <w:rPr>
          <w:sz w:val="24"/>
          <w:szCs w:val="24"/>
        </w:rPr>
        <w:t xml:space="preserve"> i overensstemmelse med officielle anbefalinger.</w:t>
      </w:r>
    </w:p>
    <w:p w14:paraId="0D8EAB0D" w14:textId="77777777" w:rsidR="009C0072" w:rsidRPr="00AF302A" w:rsidRDefault="009C0072" w:rsidP="009C0072">
      <w:pPr>
        <w:tabs>
          <w:tab w:val="left" w:pos="851"/>
        </w:tabs>
        <w:ind w:left="851"/>
        <w:rPr>
          <w:sz w:val="24"/>
          <w:szCs w:val="24"/>
        </w:rPr>
      </w:pPr>
    </w:p>
    <w:p w14:paraId="3544D17D"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kan administreres til gravide kvinder under anden eller tredje trimester for at give spædbørn passiv beskyttelse mod </w:t>
      </w:r>
      <w:proofErr w:type="spellStart"/>
      <w:r w:rsidRPr="00AF302A">
        <w:rPr>
          <w:sz w:val="24"/>
          <w:szCs w:val="24"/>
        </w:rPr>
        <w:t>pertussis</w:t>
      </w:r>
      <w:proofErr w:type="spellEnd"/>
      <w:r w:rsidRPr="00AF302A">
        <w:rPr>
          <w:sz w:val="24"/>
          <w:szCs w:val="24"/>
        </w:rPr>
        <w:t xml:space="preserve"> (se pkt. 4.1, 4.6 og 5.1). </w:t>
      </w:r>
    </w:p>
    <w:p w14:paraId="2C2571FE" w14:textId="77777777" w:rsidR="009C0072" w:rsidRPr="00AF302A" w:rsidRDefault="009C0072" w:rsidP="009C0072">
      <w:pPr>
        <w:tabs>
          <w:tab w:val="left" w:pos="851"/>
        </w:tabs>
        <w:ind w:left="851"/>
        <w:rPr>
          <w:bCs/>
          <w:sz w:val="24"/>
          <w:szCs w:val="24"/>
          <w:u w:val="single"/>
        </w:rPr>
      </w:pPr>
    </w:p>
    <w:p w14:paraId="3392DEFD" w14:textId="77777777" w:rsidR="009C0072" w:rsidRPr="00AF302A" w:rsidRDefault="009C0072" w:rsidP="009C0072">
      <w:pPr>
        <w:tabs>
          <w:tab w:val="left" w:pos="851"/>
        </w:tabs>
        <w:ind w:left="851"/>
        <w:rPr>
          <w:bCs/>
          <w:sz w:val="24"/>
          <w:szCs w:val="24"/>
          <w:u w:val="single"/>
        </w:rPr>
      </w:pPr>
      <w:r w:rsidRPr="00AF302A">
        <w:rPr>
          <w:sz w:val="24"/>
          <w:szCs w:val="24"/>
          <w:u w:val="single"/>
        </w:rPr>
        <w:t>Administration</w:t>
      </w:r>
    </w:p>
    <w:p w14:paraId="24814EDA" w14:textId="77777777" w:rsidR="009C0072" w:rsidRPr="00AF302A" w:rsidRDefault="009C0072" w:rsidP="009C0072">
      <w:pPr>
        <w:tabs>
          <w:tab w:val="left" w:pos="851"/>
        </w:tabs>
        <w:ind w:left="851"/>
        <w:rPr>
          <w:sz w:val="24"/>
          <w:szCs w:val="24"/>
        </w:rPr>
      </w:pPr>
    </w:p>
    <w:p w14:paraId="0FBACADA" w14:textId="77777777" w:rsidR="009C0072" w:rsidRPr="00AF302A" w:rsidRDefault="009C0072" w:rsidP="009C0072">
      <w:pPr>
        <w:tabs>
          <w:tab w:val="left" w:pos="851"/>
        </w:tabs>
        <w:ind w:left="851"/>
        <w:rPr>
          <w:sz w:val="24"/>
          <w:szCs w:val="24"/>
        </w:rPr>
      </w:pPr>
      <w:r w:rsidRPr="00AF302A">
        <w:rPr>
          <w:sz w:val="24"/>
          <w:szCs w:val="24"/>
        </w:rPr>
        <w:t xml:space="preserve">Der bør administreres en enkelt injektion af én dosis (0,5 ml) </w:t>
      </w:r>
      <w:proofErr w:type="spellStart"/>
      <w:r w:rsidRPr="00AF302A">
        <w:rPr>
          <w:sz w:val="24"/>
          <w:szCs w:val="24"/>
        </w:rPr>
        <w:t>Triaxis</w:t>
      </w:r>
      <w:proofErr w:type="spellEnd"/>
      <w:r w:rsidRPr="00AF302A">
        <w:rPr>
          <w:sz w:val="24"/>
          <w:szCs w:val="24"/>
        </w:rPr>
        <w:t xml:space="preserve"> intramuskulært. Det foretrukne sted er i deltamusklen.</w:t>
      </w:r>
    </w:p>
    <w:p w14:paraId="0C04D5E1" w14:textId="77777777" w:rsidR="009C0072" w:rsidRPr="00AF302A" w:rsidRDefault="009C0072" w:rsidP="009C0072">
      <w:pPr>
        <w:tabs>
          <w:tab w:val="left" w:pos="851"/>
        </w:tabs>
        <w:ind w:left="851"/>
        <w:rPr>
          <w:sz w:val="24"/>
          <w:szCs w:val="24"/>
        </w:rPr>
      </w:pPr>
    </w:p>
    <w:p w14:paraId="308DD38F"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bør ikke administreres i </w:t>
      </w:r>
      <w:proofErr w:type="spellStart"/>
      <w:r w:rsidRPr="00AF302A">
        <w:rPr>
          <w:sz w:val="24"/>
          <w:szCs w:val="24"/>
        </w:rPr>
        <w:t>glutealområdet</w:t>
      </w:r>
      <w:proofErr w:type="spellEnd"/>
      <w:r w:rsidRPr="00AF302A">
        <w:rPr>
          <w:sz w:val="24"/>
          <w:szCs w:val="24"/>
        </w:rPr>
        <w:t xml:space="preserve">; der bør ikke anvendes </w:t>
      </w:r>
      <w:proofErr w:type="spellStart"/>
      <w:r w:rsidRPr="00AF302A">
        <w:rPr>
          <w:sz w:val="24"/>
          <w:szCs w:val="24"/>
        </w:rPr>
        <w:t>intradermale</w:t>
      </w:r>
      <w:proofErr w:type="spellEnd"/>
      <w:r w:rsidRPr="00AF302A">
        <w:rPr>
          <w:sz w:val="24"/>
          <w:szCs w:val="24"/>
        </w:rPr>
        <w:t xml:space="preserve"> eller subkutane administrationsveje (subkutan administrationsvej kan undtagelsesvis overvejes, se pkt. 4.4).</w:t>
      </w:r>
    </w:p>
    <w:p w14:paraId="4BF9DEFA" w14:textId="77777777" w:rsidR="009C0072" w:rsidRPr="00AF302A" w:rsidRDefault="009C0072" w:rsidP="009C0072">
      <w:pPr>
        <w:tabs>
          <w:tab w:val="left" w:pos="851"/>
        </w:tabs>
        <w:ind w:left="851"/>
        <w:rPr>
          <w:i/>
          <w:sz w:val="24"/>
          <w:szCs w:val="24"/>
        </w:rPr>
      </w:pPr>
    </w:p>
    <w:p w14:paraId="4BEC0858" w14:textId="77777777" w:rsidR="009C0072" w:rsidRPr="00AF302A" w:rsidRDefault="009C0072" w:rsidP="009C0072">
      <w:pPr>
        <w:tabs>
          <w:tab w:val="left" w:pos="851"/>
        </w:tabs>
        <w:ind w:left="851"/>
        <w:rPr>
          <w:i/>
          <w:sz w:val="24"/>
          <w:szCs w:val="24"/>
        </w:rPr>
      </w:pPr>
      <w:r w:rsidRPr="00AF302A">
        <w:rPr>
          <w:i/>
          <w:sz w:val="24"/>
          <w:szCs w:val="24"/>
        </w:rPr>
        <w:t>Forsigtighedsforanstaltninger, der skal tages før håndtering og administration af lægemidlet</w:t>
      </w:r>
    </w:p>
    <w:p w14:paraId="3908E48C" w14:textId="77777777" w:rsidR="009C0072" w:rsidRPr="00AF302A" w:rsidRDefault="009C0072" w:rsidP="009C0072">
      <w:pPr>
        <w:tabs>
          <w:tab w:val="left" w:pos="851"/>
        </w:tabs>
        <w:ind w:left="851"/>
        <w:rPr>
          <w:sz w:val="24"/>
          <w:szCs w:val="24"/>
        </w:rPr>
      </w:pPr>
    </w:p>
    <w:p w14:paraId="25349AC4" w14:textId="77777777" w:rsidR="009C0072" w:rsidRPr="00AF302A" w:rsidRDefault="009C0072" w:rsidP="009C0072">
      <w:pPr>
        <w:tabs>
          <w:tab w:val="left" w:pos="851"/>
        </w:tabs>
        <w:ind w:left="851"/>
        <w:rPr>
          <w:sz w:val="24"/>
          <w:szCs w:val="24"/>
        </w:rPr>
      </w:pPr>
      <w:r w:rsidRPr="00AF302A">
        <w:rPr>
          <w:sz w:val="24"/>
          <w:szCs w:val="24"/>
        </w:rPr>
        <w:t>For instruktioner om håndteringen af lægemidlet før administration, se pkt. 6.6.</w:t>
      </w:r>
    </w:p>
    <w:p w14:paraId="0E0A375C" w14:textId="77777777" w:rsidR="009260DE" w:rsidRPr="00AF302A" w:rsidRDefault="009260DE" w:rsidP="009260DE">
      <w:pPr>
        <w:tabs>
          <w:tab w:val="left" w:pos="851"/>
        </w:tabs>
        <w:ind w:left="851"/>
        <w:rPr>
          <w:sz w:val="24"/>
          <w:szCs w:val="24"/>
        </w:rPr>
      </w:pPr>
    </w:p>
    <w:p w14:paraId="38FA7919" w14:textId="77777777" w:rsidR="009260DE" w:rsidRPr="00AF302A" w:rsidRDefault="009260DE" w:rsidP="009260DE">
      <w:pPr>
        <w:tabs>
          <w:tab w:val="left" w:pos="851"/>
        </w:tabs>
        <w:ind w:left="851" w:hanging="851"/>
        <w:rPr>
          <w:b/>
          <w:sz w:val="24"/>
          <w:szCs w:val="24"/>
        </w:rPr>
      </w:pPr>
      <w:r w:rsidRPr="00AF302A">
        <w:rPr>
          <w:b/>
          <w:sz w:val="24"/>
          <w:szCs w:val="24"/>
        </w:rPr>
        <w:t>4.3</w:t>
      </w:r>
      <w:r w:rsidRPr="00AF302A">
        <w:rPr>
          <w:b/>
          <w:sz w:val="24"/>
          <w:szCs w:val="24"/>
        </w:rPr>
        <w:tab/>
        <w:t>Kontraindikationer</w:t>
      </w:r>
    </w:p>
    <w:p w14:paraId="47EC889E" w14:textId="77777777" w:rsidR="009C0072" w:rsidRPr="00AF302A" w:rsidRDefault="009C0072" w:rsidP="009C0072">
      <w:pPr>
        <w:tabs>
          <w:tab w:val="left" w:pos="851"/>
        </w:tabs>
        <w:ind w:left="851"/>
        <w:rPr>
          <w:sz w:val="24"/>
          <w:szCs w:val="24"/>
          <w:lang w:eastAsia="da-DK"/>
        </w:rPr>
      </w:pPr>
      <w:proofErr w:type="spellStart"/>
      <w:r w:rsidRPr="00AF302A">
        <w:rPr>
          <w:sz w:val="24"/>
          <w:szCs w:val="24"/>
        </w:rPr>
        <w:t>Triaxis</w:t>
      </w:r>
      <w:proofErr w:type="spellEnd"/>
      <w:r w:rsidRPr="00AF302A">
        <w:rPr>
          <w:sz w:val="24"/>
          <w:szCs w:val="24"/>
        </w:rPr>
        <w:t xml:space="preserve"> bør ikke administreres til personer med kendt overfølsomhed</w:t>
      </w:r>
    </w:p>
    <w:p w14:paraId="5841ECFD" w14:textId="77777777" w:rsidR="009C0072" w:rsidRPr="00AF302A" w:rsidRDefault="009C0072" w:rsidP="009C0072">
      <w:pPr>
        <w:numPr>
          <w:ilvl w:val="0"/>
          <w:numId w:val="6"/>
        </w:numPr>
        <w:tabs>
          <w:tab w:val="left" w:pos="851"/>
        </w:tabs>
        <w:rPr>
          <w:sz w:val="24"/>
          <w:szCs w:val="24"/>
        </w:rPr>
      </w:pPr>
      <w:r w:rsidRPr="00AF302A">
        <w:rPr>
          <w:sz w:val="24"/>
          <w:szCs w:val="24"/>
        </w:rPr>
        <w:t xml:space="preserve">over for difteri-, tetanus- eller </w:t>
      </w:r>
      <w:proofErr w:type="spellStart"/>
      <w:r w:rsidRPr="00AF302A">
        <w:rPr>
          <w:sz w:val="24"/>
          <w:szCs w:val="24"/>
        </w:rPr>
        <w:t>pertussis</w:t>
      </w:r>
      <w:proofErr w:type="spellEnd"/>
      <w:r w:rsidRPr="00AF302A">
        <w:rPr>
          <w:sz w:val="24"/>
          <w:szCs w:val="24"/>
        </w:rPr>
        <w:t>-vacciner</w:t>
      </w:r>
    </w:p>
    <w:p w14:paraId="742D8CB5" w14:textId="77777777" w:rsidR="009C0072" w:rsidRPr="00AF302A" w:rsidRDefault="009C0072" w:rsidP="009C0072">
      <w:pPr>
        <w:numPr>
          <w:ilvl w:val="0"/>
          <w:numId w:val="6"/>
        </w:numPr>
        <w:tabs>
          <w:tab w:val="left" w:pos="851"/>
        </w:tabs>
        <w:rPr>
          <w:sz w:val="24"/>
          <w:szCs w:val="24"/>
        </w:rPr>
      </w:pPr>
      <w:r w:rsidRPr="00AF302A">
        <w:rPr>
          <w:sz w:val="24"/>
          <w:szCs w:val="24"/>
        </w:rPr>
        <w:t>over for et eller flere af hjælpestofferne (se pkt. 6.1)</w:t>
      </w:r>
    </w:p>
    <w:p w14:paraId="127C040D" w14:textId="77777777" w:rsidR="009C0072" w:rsidRPr="00AF302A" w:rsidRDefault="009C0072" w:rsidP="009C0072">
      <w:pPr>
        <w:numPr>
          <w:ilvl w:val="0"/>
          <w:numId w:val="6"/>
        </w:numPr>
        <w:tabs>
          <w:tab w:val="left" w:pos="851"/>
        </w:tabs>
        <w:rPr>
          <w:sz w:val="24"/>
          <w:szCs w:val="24"/>
        </w:rPr>
      </w:pPr>
      <w:r w:rsidRPr="00AF302A">
        <w:rPr>
          <w:sz w:val="24"/>
          <w:szCs w:val="24"/>
        </w:rPr>
        <w:t xml:space="preserve">over for et eller flere residualstoffer fra fremstillingsprocessen (formaldehyd og </w:t>
      </w:r>
      <w:proofErr w:type="spellStart"/>
      <w:r w:rsidRPr="00AF302A">
        <w:rPr>
          <w:sz w:val="24"/>
          <w:szCs w:val="24"/>
        </w:rPr>
        <w:t>glutaraldehyd</w:t>
      </w:r>
      <w:proofErr w:type="spellEnd"/>
      <w:r w:rsidRPr="00AF302A">
        <w:rPr>
          <w:sz w:val="24"/>
          <w:szCs w:val="24"/>
        </w:rPr>
        <w:t>), som kan være til stede i upåviselige spormængder.</w:t>
      </w:r>
    </w:p>
    <w:p w14:paraId="3AB429C9" w14:textId="77777777" w:rsidR="009C0072" w:rsidRPr="00AF302A" w:rsidRDefault="009C0072" w:rsidP="009C0072">
      <w:pPr>
        <w:tabs>
          <w:tab w:val="left" w:pos="851"/>
        </w:tabs>
        <w:ind w:left="851"/>
        <w:rPr>
          <w:sz w:val="24"/>
          <w:szCs w:val="24"/>
        </w:rPr>
      </w:pPr>
    </w:p>
    <w:p w14:paraId="2CB3CD4D"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bør ikke administreres til personer, som har oplevet en encefalopati af ukendt ætiologi, der er opstået inden for 7 dage efter en tidligere immunisering med en </w:t>
      </w:r>
      <w:proofErr w:type="spellStart"/>
      <w:r w:rsidRPr="00AF302A">
        <w:rPr>
          <w:sz w:val="24"/>
          <w:szCs w:val="24"/>
        </w:rPr>
        <w:t>pertussis-holdig</w:t>
      </w:r>
      <w:proofErr w:type="spellEnd"/>
      <w:r w:rsidRPr="00AF302A">
        <w:rPr>
          <w:sz w:val="24"/>
          <w:szCs w:val="24"/>
        </w:rPr>
        <w:t xml:space="preserve"> vaccine.</w:t>
      </w:r>
    </w:p>
    <w:p w14:paraId="08D7CF2E" w14:textId="77777777" w:rsidR="009C0072" w:rsidRPr="00AF302A" w:rsidRDefault="009C0072" w:rsidP="009C0072">
      <w:pPr>
        <w:tabs>
          <w:tab w:val="left" w:pos="851"/>
        </w:tabs>
        <w:ind w:left="851"/>
        <w:rPr>
          <w:sz w:val="24"/>
          <w:szCs w:val="24"/>
        </w:rPr>
      </w:pPr>
    </w:p>
    <w:p w14:paraId="5A33C0C5" w14:textId="77777777" w:rsidR="009C0072" w:rsidRPr="00AF302A" w:rsidRDefault="009C0072" w:rsidP="009C0072">
      <w:pPr>
        <w:tabs>
          <w:tab w:val="left" w:pos="851"/>
        </w:tabs>
        <w:ind w:left="851"/>
        <w:rPr>
          <w:sz w:val="24"/>
          <w:szCs w:val="24"/>
        </w:rPr>
      </w:pPr>
      <w:r w:rsidRPr="00AF302A">
        <w:rPr>
          <w:sz w:val="24"/>
          <w:szCs w:val="24"/>
        </w:rPr>
        <w:t xml:space="preserve">Som ved andre vacciner bør administration af </w:t>
      </w:r>
      <w:proofErr w:type="spellStart"/>
      <w:r w:rsidRPr="00AF302A">
        <w:rPr>
          <w:sz w:val="24"/>
          <w:szCs w:val="24"/>
        </w:rPr>
        <w:t>Triaxis</w:t>
      </w:r>
      <w:proofErr w:type="spellEnd"/>
      <w:r w:rsidRPr="00AF302A">
        <w:rPr>
          <w:sz w:val="24"/>
          <w:szCs w:val="24"/>
        </w:rPr>
        <w:t xml:space="preserve"> udsættes hos personer, der lider af en akut, svær febril sygdom. Tilstedeværelsen af en lettere infektion er ikke kontraindiceret.</w:t>
      </w:r>
    </w:p>
    <w:p w14:paraId="54021CB6" w14:textId="77777777" w:rsidR="009260DE" w:rsidRPr="00AF302A" w:rsidRDefault="009260DE" w:rsidP="009260DE">
      <w:pPr>
        <w:tabs>
          <w:tab w:val="left" w:pos="851"/>
        </w:tabs>
        <w:ind w:left="851"/>
        <w:rPr>
          <w:sz w:val="24"/>
          <w:szCs w:val="24"/>
        </w:rPr>
      </w:pPr>
    </w:p>
    <w:p w14:paraId="70144669" w14:textId="77777777" w:rsidR="009260DE" w:rsidRPr="00AF302A" w:rsidRDefault="009260DE" w:rsidP="009260DE">
      <w:pPr>
        <w:tabs>
          <w:tab w:val="left" w:pos="851"/>
        </w:tabs>
        <w:ind w:left="851" w:hanging="851"/>
        <w:rPr>
          <w:b/>
          <w:sz w:val="24"/>
          <w:szCs w:val="24"/>
        </w:rPr>
      </w:pPr>
      <w:r w:rsidRPr="00AF302A">
        <w:rPr>
          <w:b/>
          <w:sz w:val="24"/>
          <w:szCs w:val="24"/>
        </w:rPr>
        <w:t>4.4</w:t>
      </w:r>
      <w:r w:rsidRPr="00AF302A">
        <w:rPr>
          <w:b/>
          <w:sz w:val="24"/>
          <w:szCs w:val="24"/>
        </w:rPr>
        <w:tab/>
        <w:t>Særlige advarsler og forsigtighedsregler vedrørende brugen</w:t>
      </w:r>
    </w:p>
    <w:p w14:paraId="4DD461C5" w14:textId="77777777" w:rsidR="009C0072" w:rsidRPr="00AF302A" w:rsidRDefault="009C0072" w:rsidP="009C0072">
      <w:pPr>
        <w:tabs>
          <w:tab w:val="left" w:pos="851"/>
        </w:tabs>
        <w:ind w:left="851"/>
        <w:rPr>
          <w:sz w:val="24"/>
          <w:szCs w:val="24"/>
          <w:lang w:eastAsia="da-DK"/>
        </w:rPr>
      </w:pPr>
      <w:proofErr w:type="spellStart"/>
      <w:r w:rsidRPr="00AF302A">
        <w:rPr>
          <w:sz w:val="24"/>
          <w:szCs w:val="24"/>
        </w:rPr>
        <w:t>Triaxis</w:t>
      </w:r>
      <w:proofErr w:type="spellEnd"/>
      <w:r w:rsidRPr="00AF302A">
        <w:rPr>
          <w:sz w:val="24"/>
          <w:szCs w:val="24"/>
        </w:rPr>
        <w:t xml:space="preserve"> bør ikke bruges til primær immunisering.</w:t>
      </w:r>
    </w:p>
    <w:p w14:paraId="67B7AFF6" w14:textId="77777777" w:rsidR="009C0072" w:rsidRPr="00AF302A" w:rsidRDefault="009C0072" w:rsidP="009C0072">
      <w:pPr>
        <w:tabs>
          <w:tab w:val="left" w:pos="851"/>
        </w:tabs>
        <w:ind w:left="851"/>
        <w:rPr>
          <w:sz w:val="24"/>
          <w:szCs w:val="24"/>
        </w:rPr>
      </w:pPr>
    </w:p>
    <w:p w14:paraId="0CE651B4" w14:textId="77777777" w:rsidR="009C0072" w:rsidRPr="00AF302A" w:rsidRDefault="009C0072" w:rsidP="009C0072">
      <w:pPr>
        <w:tabs>
          <w:tab w:val="left" w:pos="851"/>
        </w:tabs>
        <w:ind w:left="851"/>
        <w:rPr>
          <w:sz w:val="24"/>
          <w:szCs w:val="24"/>
        </w:rPr>
      </w:pPr>
      <w:r w:rsidRPr="00AF302A">
        <w:rPr>
          <w:sz w:val="24"/>
          <w:szCs w:val="24"/>
        </w:rPr>
        <w:t xml:space="preserve">De officielle anbefalinger bør almindeligvis følges med hensyn til intervallet mellem en </w:t>
      </w:r>
      <w:proofErr w:type="spellStart"/>
      <w:r w:rsidRPr="00AF302A">
        <w:rPr>
          <w:sz w:val="24"/>
          <w:szCs w:val="24"/>
        </w:rPr>
        <w:t>boosterdosis</w:t>
      </w:r>
      <w:proofErr w:type="spellEnd"/>
      <w:r w:rsidRPr="00AF302A">
        <w:rPr>
          <w:sz w:val="24"/>
          <w:szCs w:val="24"/>
        </w:rPr>
        <w:t xml:space="preserve"> med </w:t>
      </w:r>
      <w:proofErr w:type="spellStart"/>
      <w:r w:rsidRPr="00AF302A">
        <w:rPr>
          <w:sz w:val="24"/>
          <w:szCs w:val="24"/>
        </w:rPr>
        <w:t>Triaxis</w:t>
      </w:r>
      <w:proofErr w:type="spellEnd"/>
      <w:r w:rsidRPr="00AF302A">
        <w:rPr>
          <w:sz w:val="24"/>
          <w:szCs w:val="24"/>
        </w:rPr>
        <w:t xml:space="preserve"> og tidligere </w:t>
      </w:r>
      <w:proofErr w:type="spellStart"/>
      <w:r w:rsidRPr="00AF302A">
        <w:rPr>
          <w:sz w:val="24"/>
          <w:szCs w:val="24"/>
        </w:rPr>
        <w:t>boosterdoser</w:t>
      </w:r>
      <w:proofErr w:type="spellEnd"/>
      <w:r w:rsidRPr="00AF302A">
        <w:rPr>
          <w:sz w:val="24"/>
          <w:szCs w:val="24"/>
        </w:rPr>
        <w:t xml:space="preserve"> med difteri- og/eller tetanus-</w:t>
      </w:r>
      <w:proofErr w:type="spellStart"/>
      <w:r w:rsidRPr="00AF302A">
        <w:rPr>
          <w:sz w:val="24"/>
          <w:szCs w:val="24"/>
        </w:rPr>
        <w:t>holdige</w:t>
      </w:r>
      <w:proofErr w:type="spellEnd"/>
      <w:r w:rsidRPr="00AF302A">
        <w:rPr>
          <w:sz w:val="24"/>
          <w:szCs w:val="24"/>
        </w:rPr>
        <w:t xml:space="preserve"> vacciner. Kliniske data har vist, at der ikke var nogen klinisk relevant forskel i antallet af bivirkninger forbundet med administration af en tetanus-, difteri- og </w:t>
      </w:r>
      <w:proofErr w:type="spellStart"/>
      <w:r w:rsidRPr="00AF302A">
        <w:rPr>
          <w:sz w:val="24"/>
          <w:szCs w:val="24"/>
        </w:rPr>
        <w:t>pertussis-holdig</w:t>
      </w:r>
      <w:proofErr w:type="spellEnd"/>
      <w:r w:rsidRPr="00AF302A">
        <w:rPr>
          <w:sz w:val="24"/>
          <w:szCs w:val="24"/>
        </w:rPr>
        <w:t xml:space="preserve"> </w:t>
      </w:r>
      <w:proofErr w:type="spellStart"/>
      <w:r w:rsidRPr="00AF302A">
        <w:rPr>
          <w:sz w:val="24"/>
          <w:szCs w:val="24"/>
        </w:rPr>
        <w:t>boostervaccine</w:t>
      </w:r>
      <w:proofErr w:type="spellEnd"/>
      <w:r w:rsidRPr="00AF302A">
        <w:rPr>
          <w:sz w:val="24"/>
          <w:szCs w:val="24"/>
        </w:rPr>
        <w:t xml:space="preserve"> givet så tidligt som efter 4 uger efter en tidligere dosis difteri- og tetanus-</w:t>
      </w:r>
      <w:proofErr w:type="spellStart"/>
      <w:r w:rsidRPr="00AF302A">
        <w:rPr>
          <w:sz w:val="24"/>
          <w:szCs w:val="24"/>
        </w:rPr>
        <w:t>holdig</w:t>
      </w:r>
      <w:proofErr w:type="spellEnd"/>
      <w:r w:rsidRPr="00AF302A">
        <w:rPr>
          <w:sz w:val="24"/>
          <w:szCs w:val="24"/>
        </w:rPr>
        <w:t xml:space="preserve"> vaccine sammenlignet med mindst 5 år efter en tidligere dosis difteri- og tetanus-</w:t>
      </w:r>
      <w:proofErr w:type="spellStart"/>
      <w:r w:rsidRPr="00AF302A">
        <w:rPr>
          <w:sz w:val="24"/>
          <w:szCs w:val="24"/>
        </w:rPr>
        <w:t>holdig</w:t>
      </w:r>
      <w:proofErr w:type="spellEnd"/>
      <w:r w:rsidRPr="00AF302A">
        <w:rPr>
          <w:sz w:val="24"/>
          <w:szCs w:val="24"/>
        </w:rPr>
        <w:t xml:space="preserve"> vaccine.</w:t>
      </w:r>
    </w:p>
    <w:p w14:paraId="7AD917FD" w14:textId="77777777" w:rsidR="009C0072" w:rsidRPr="00AF302A" w:rsidRDefault="009C0072" w:rsidP="009C0072">
      <w:pPr>
        <w:tabs>
          <w:tab w:val="left" w:pos="851"/>
        </w:tabs>
        <w:ind w:left="851"/>
        <w:rPr>
          <w:sz w:val="24"/>
          <w:szCs w:val="24"/>
        </w:rPr>
      </w:pPr>
    </w:p>
    <w:p w14:paraId="757A4E8D" w14:textId="77777777" w:rsidR="009C0072" w:rsidRPr="00AF302A" w:rsidRDefault="009C0072" w:rsidP="009C0072">
      <w:pPr>
        <w:tabs>
          <w:tab w:val="left" w:pos="851"/>
        </w:tabs>
        <w:ind w:left="851"/>
        <w:rPr>
          <w:sz w:val="24"/>
          <w:szCs w:val="24"/>
          <w:u w:val="single"/>
        </w:rPr>
      </w:pPr>
      <w:r w:rsidRPr="00AF302A">
        <w:rPr>
          <w:sz w:val="24"/>
          <w:szCs w:val="24"/>
          <w:u w:val="single"/>
        </w:rPr>
        <w:t>Før immunisering</w:t>
      </w:r>
    </w:p>
    <w:p w14:paraId="70246AFC" w14:textId="77777777" w:rsidR="009C0072" w:rsidRPr="00AF302A" w:rsidRDefault="009C0072" w:rsidP="009C0072">
      <w:pPr>
        <w:tabs>
          <w:tab w:val="left" w:pos="851"/>
        </w:tabs>
        <w:ind w:left="851"/>
        <w:rPr>
          <w:sz w:val="24"/>
          <w:szCs w:val="24"/>
        </w:rPr>
      </w:pPr>
    </w:p>
    <w:p w14:paraId="402937D0" w14:textId="77777777" w:rsidR="009C0072" w:rsidRPr="00AF302A" w:rsidRDefault="009C0072" w:rsidP="009C0072">
      <w:pPr>
        <w:tabs>
          <w:tab w:val="left" w:pos="851"/>
        </w:tabs>
        <w:ind w:left="851"/>
        <w:rPr>
          <w:sz w:val="24"/>
          <w:szCs w:val="24"/>
        </w:rPr>
      </w:pPr>
      <w:r w:rsidRPr="00AF302A">
        <w:rPr>
          <w:sz w:val="24"/>
          <w:szCs w:val="24"/>
        </w:rPr>
        <w:t xml:space="preserve">Før vaccination skal patientens anamnese gennemgås (specielt tidligere vaccinationer og eventuelle bivirkninger). Hos personer, som har en anamnese med alvorlige eller svære reaktioner indenfor 48 timer efter en tidligere injektion med en vaccine indeholdende lignende komponenter, skal administration af </w:t>
      </w:r>
      <w:proofErr w:type="spellStart"/>
      <w:r w:rsidRPr="00AF302A">
        <w:rPr>
          <w:sz w:val="24"/>
          <w:szCs w:val="24"/>
        </w:rPr>
        <w:t>Triaxis</w:t>
      </w:r>
      <w:proofErr w:type="spellEnd"/>
      <w:r w:rsidRPr="00AF302A">
        <w:rPr>
          <w:sz w:val="24"/>
          <w:szCs w:val="24"/>
        </w:rPr>
        <w:t xml:space="preserve"> overvejes nøje.</w:t>
      </w:r>
    </w:p>
    <w:p w14:paraId="084F008E" w14:textId="77777777" w:rsidR="009C0072" w:rsidRPr="00AF302A" w:rsidRDefault="009C0072" w:rsidP="009C0072">
      <w:pPr>
        <w:tabs>
          <w:tab w:val="left" w:pos="851"/>
        </w:tabs>
        <w:ind w:left="851"/>
        <w:rPr>
          <w:sz w:val="24"/>
          <w:szCs w:val="24"/>
        </w:rPr>
      </w:pPr>
    </w:p>
    <w:p w14:paraId="59D500D4" w14:textId="77777777" w:rsidR="009C0072" w:rsidRPr="00AF302A" w:rsidRDefault="009C0072" w:rsidP="009C0072">
      <w:pPr>
        <w:tabs>
          <w:tab w:val="left" w:pos="851"/>
        </w:tabs>
        <w:ind w:left="851"/>
        <w:rPr>
          <w:sz w:val="24"/>
          <w:szCs w:val="24"/>
        </w:rPr>
      </w:pPr>
      <w:r w:rsidRPr="00AF302A">
        <w:rPr>
          <w:sz w:val="24"/>
          <w:szCs w:val="24"/>
        </w:rPr>
        <w:t xml:space="preserve">Som ved enhver injektionsvaccine skal passende medicinsk behandling og overvågning altid være let tilgængelig i tilfælde af en sjældent forekommende </w:t>
      </w:r>
      <w:proofErr w:type="spellStart"/>
      <w:r w:rsidRPr="00AF302A">
        <w:rPr>
          <w:sz w:val="24"/>
          <w:szCs w:val="24"/>
        </w:rPr>
        <w:t>anafylaktisk</w:t>
      </w:r>
      <w:proofErr w:type="spellEnd"/>
      <w:r w:rsidRPr="00AF302A">
        <w:rPr>
          <w:sz w:val="24"/>
          <w:szCs w:val="24"/>
        </w:rPr>
        <w:t xml:space="preserve"> reaktion efter administration af vaccinen.</w:t>
      </w:r>
    </w:p>
    <w:p w14:paraId="5B8DBC86" w14:textId="77777777" w:rsidR="009C0072" w:rsidRPr="00AF302A" w:rsidRDefault="009C0072" w:rsidP="009C0072">
      <w:pPr>
        <w:tabs>
          <w:tab w:val="left" w:pos="851"/>
        </w:tabs>
        <w:ind w:left="851"/>
        <w:rPr>
          <w:sz w:val="24"/>
          <w:szCs w:val="24"/>
        </w:rPr>
      </w:pPr>
    </w:p>
    <w:p w14:paraId="67865604" w14:textId="77777777" w:rsidR="009C0072" w:rsidRPr="00AF302A" w:rsidRDefault="009C0072" w:rsidP="009C0072">
      <w:pPr>
        <w:tabs>
          <w:tab w:val="left" w:pos="851"/>
        </w:tabs>
        <w:ind w:left="851"/>
        <w:rPr>
          <w:sz w:val="24"/>
          <w:szCs w:val="24"/>
        </w:rPr>
      </w:pPr>
      <w:r w:rsidRPr="00AF302A">
        <w:rPr>
          <w:sz w:val="24"/>
          <w:szCs w:val="24"/>
        </w:rPr>
        <w:t xml:space="preserve">Hvis </w:t>
      </w:r>
      <w:proofErr w:type="spellStart"/>
      <w:r w:rsidRPr="00AF302A">
        <w:rPr>
          <w:sz w:val="24"/>
          <w:szCs w:val="24"/>
        </w:rPr>
        <w:t>Guillain-Barré</w:t>
      </w:r>
      <w:proofErr w:type="spellEnd"/>
      <w:r w:rsidRPr="00AF302A">
        <w:rPr>
          <w:sz w:val="24"/>
          <w:szCs w:val="24"/>
        </w:rPr>
        <w:t xml:space="preserve"> syndrom er opstået inden for 6 uger efter modtagelse af en tidligere vaccine, der indeholdt </w:t>
      </w:r>
      <w:proofErr w:type="spellStart"/>
      <w:r w:rsidRPr="00AF302A">
        <w:rPr>
          <w:sz w:val="24"/>
          <w:szCs w:val="24"/>
        </w:rPr>
        <w:t>tetanustoksoid</w:t>
      </w:r>
      <w:proofErr w:type="spellEnd"/>
      <w:r w:rsidRPr="00AF302A">
        <w:rPr>
          <w:sz w:val="24"/>
          <w:szCs w:val="24"/>
        </w:rPr>
        <w:t xml:space="preserve">, bør beslutningen om at give vacciner med </w:t>
      </w:r>
      <w:proofErr w:type="spellStart"/>
      <w:r w:rsidRPr="00AF302A">
        <w:rPr>
          <w:sz w:val="24"/>
          <w:szCs w:val="24"/>
        </w:rPr>
        <w:t>tetanustoksoid</w:t>
      </w:r>
      <w:proofErr w:type="spellEnd"/>
      <w:r w:rsidRPr="00AF302A">
        <w:rPr>
          <w:sz w:val="24"/>
          <w:szCs w:val="24"/>
        </w:rPr>
        <w:t xml:space="preserve">, herunder </w:t>
      </w:r>
      <w:proofErr w:type="spellStart"/>
      <w:r w:rsidRPr="00AF302A">
        <w:rPr>
          <w:sz w:val="24"/>
          <w:szCs w:val="24"/>
        </w:rPr>
        <w:t>Triaxis</w:t>
      </w:r>
      <w:proofErr w:type="spellEnd"/>
      <w:r w:rsidRPr="00AF302A">
        <w:rPr>
          <w:sz w:val="24"/>
          <w:szCs w:val="24"/>
        </w:rPr>
        <w:t>, baseres på en nøje overvejelse af de potentielle fordele og mulige risici.</w:t>
      </w:r>
    </w:p>
    <w:p w14:paraId="279EC287" w14:textId="77777777" w:rsidR="009C0072" w:rsidRPr="00AF302A" w:rsidRDefault="009C0072" w:rsidP="009C0072">
      <w:pPr>
        <w:tabs>
          <w:tab w:val="left" w:pos="851"/>
        </w:tabs>
        <w:ind w:left="851"/>
        <w:rPr>
          <w:sz w:val="24"/>
          <w:szCs w:val="24"/>
        </w:rPr>
      </w:pPr>
    </w:p>
    <w:p w14:paraId="10997E2D"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bør ikke administreres til personer med progressiv neurologisk lidelse, ukontrolleret epilepsi eller progressiv encefalopati, før der er etableret et behandlingsregime og tilstanden er stabiliseret.</w:t>
      </w:r>
    </w:p>
    <w:p w14:paraId="6B8A429C" w14:textId="77777777" w:rsidR="009C0072" w:rsidRPr="00AF302A" w:rsidRDefault="009C0072" w:rsidP="009C0072">
      <w:pPr>
        <w:tabs>
          <w:tab w:val="left" w:pos="851"/>
        </w:tabs>
        <w:ind w:left="851"/>
        <w:rPr>
          <w:sz w:val="24"/>
          <w:szCs w:val="24"/>
        </w:rPr>
      </w:pPr>
    </w:p>
    <w:p w14:paraId="322A58B4" w14:textId="77777777" w:rsidR="009C0072" w:rsidRPr="00AF302A" w:rsidRDefault="009C0072" w:rsidP="009C0072">
      <w:pPr>
        <w:tabs>
          <w:tab w:val="left" w:pos="851"/>
        </w:tabs>
        <w:ind w:left="851"/>
        <w:rPr>
          <w:sz w:val="24"/>
          <w:szCs w:val="24"/>
        </w:rPr>
      </w:pPr>
      <w:r w:rsidRPr="00AF302A">
        <w:rPr>
          <w:sz w:val="24"/>
          <w:szCs w:val="24"/>
        </w:rPr>
        <w:t xml:space="preserve">Vaccinens </w:t>
      </w:r>
      <w:proofErr w:type="spellStart"/>
      <w:r w:rsidRPr="00AF302A">
        <w:rPr>
          <w:sz w:val="24"/>
          <w:szCs w:val="24"/>
        </w:rPr>
        <w:t>immunogenicitet</w:t>
      </w:r>
      <w:proofErr w:type="spellEnd"/>
      <w:r w:rsidRPr="00AF302A">
        <w:rPr>
          <w:sz w:val="24"/>
          <w:szCs w:val="24"/>
        </w:rPr>
        <w:t xml:space="preserve"> kan være reduceret i forbindelse med immunsuppressiv behandling eller immundefekt. Det anbefales at udsætte vaccination til efter en sådan sygdom eller behandling, hvis det er praktisk muligt. Alligevel anbefales vaccination af personer med hiv eller kronisk immundefekt, såsom aids, skønt antistofresponset kan være begrænset.</w:t>
      </w:r>
    </w:p>
    <w:p w14:paraId="1D99B8F3" w14:textId="77777777" w:rsidR="009C0072" w:rsidRPr="00AF302A" w:rsidRDefault="009C0072" w:rsidP="009C0072">
      <w:pPr>
        <w:tabs>
          <w:tab w:val="left" w:pos="851"/>
        </w:tabs>
        <w:ind w:left="851"/>
        <w:rPr>
          <w:sz w:val="24"/>
          <w:szCs w:val="24"/>
        </w:rPr>
      </w:pPr>
    </w:p>
    <w:p w14:paraId="2D5907AA" w14:textId="77777777" w:rsidR="009C0072" w:rsidRPr="00AF302A" w:rsidRDefault="009C0072" w:rsidP="009C0072">
      <w:pPr>
        <w:tabs>
          <w:tab w:val="left" w:pos="851"/>
        </w:tabs>
        <w:ind w:left="851"/>
        <w:rPr>
          <w:sz w:val="24"/>
          <w:szCs w:val="24"/>
          <w:u w:val="single"/>
        </w:rPr>
      </w:pPr>
      <w:r w:rsidRPr="00AF302A">
        <w:rPr>
          <w:sz w:val="24"/>
          <w:szCs w:val="24"/>
          <w:u w:val="single"/>
        </w:rPr>
        <w:t>Forsigtighedsregler ved administration</w:t>
      </w:r>
    </w:p>
    <w:p w14:paraId="4B87BFE0" w14:textId="77777777" w:rsidR="009C0072" w:rsidRPr="00AF302A" w:rsidRDefault="009C0072" w:rsidP="009C0072">
      <w:pPr>
        <w:tabs>
          <w:tab w:val="left" w:pos="851"/>
        </w:tabs>
        <w:ind w:left="851"/>
        <w:rPr>
          <w:sz w:val="24"/>
          <w:szCs w:val="24"/>
          <w:u w:val="single"/>
        </w:rPr>
      </w:pPr>
    </w:p>
    <w:p w14:paraId="31D8DA47" w14:textId="77777777" w:rsidR="009C0072" w:rsidRPr="00AF302A" w:rsidRDefault="009C0072" w:rsidP="009C0072">
      <w:pPr>
        <w:tabs>
          <w:tab w:val="left" w:pos="851"/>
        </w:tabs>
        <w:ind w:left="851"/>
        <w:rPr>
          <w:sz w:val="24"/>
          <w:szCs w:val="24"/>
        </w:rPr>
      </w:pPr>
      <w:r w:rsidRPr="00AF302A">
        <w:rPr>
          <w:sz w:val="24"/>
          <w:szCs w:val="24"/>
        </w:rPr>
        <w:t xml:space="preserve">Må ikke administreres ved </w:t>
      </w:r>
      <w:proofErr w:type="spellStart"/>
      <w:r w:rsidRPr="00AF302A">
        <w:rPr>
          <w:sz w:val="24"/>
          <w:szCs w:val="24"/>
        </w:rPr>
        <w:t>intravaskulær</w:t>
      </w:r>
      <w:proofErr w:type="spellEnd"/>
      <w:r w:rsidRPr="00AF302A">
        <w:rPr>
          <w:sz w:val="24"/>
          <w:szCs w:val="24"/>
        </w:rPr>
        <w:t xml:space="preserve"> eller </w:t>
      </w:r>
      <w:proofErr w:type="spellStart"/>
      <w:r w:rsidRPr="00AF302A">
        <w:rPr>
          <w:sz w:val="24"/>
          <w:szCs w:val="24"/>
        </w:rPr>
        <w:t>intradermal</w:t>
      </w:r>
      <w:proofErr w:type="spellEnd"/>
      <w:r w:rsidRPr="00AF302A">
        <w:rPr>
          <w:sz w:val="24"/>
          <w:szCs w:val="24"/>
        </w:rPr>
        <w:t xml:space="preserve"> injektion.</w:t>
      </w:r>
    </w:p>
    <w:p w14:paraId="673AB0D4" w14:textId="77777777" w:rsidR="009C0072" w:rsidRPr="00AF302A" w:rsidRDefault="009C0072" w:rsidP="009C0072">
      <w:pPr>
        <w:tabs>
          <w:tab w:val="left" w:pos="851"/>
        </w:tabs>
        <w:ind w:left="851"/>
        <w:rPr>
          <w:sz w:val="24"/>
          <w:szCs w:val="24"/>
        </w:rPr>
      </w:pPr>
    </w:p>
    <w:p w14:paraId="519EA974" w14:textId="4D17D18B" w:rsidR="009C0072" w:rsidRPr="00AF302A" w:rsidRDefault="009C0072" w:rsidP="009C0072">
      <w:pPr>
        <w:tabs>
          <w:tab w:val="left" w:pos="851"/>
        </w:tabs>
        <w:ind w:left="851"/>
        <w:rPr>
          <w:sz w:val="24"/>
          <w:szCs w:val="24"/>
        </w:rPr>
      </w:pPr>
      <w:r w:rsidRPr="00AF302A">
        <w:rPr>
          <w:sz w:val="24"/>
          <w:szCs w:val="24"/>
        </w:rPr>
        <w:t xml:space="preserve">Intramuskulære injektioner bør gives med forsigtighed til patienter, som er i </w:t>
      </w:r>
      <w:proofErr w:type="spellStart"/>
      <w:r w:rsidRPr="00AF302A">
        <w:rPr>
          <w:sz w:val="24"/>
          <w:szCs w:val="24"/>
        </w:rPr>
        <w:t>antikoagulant</w:t>
      </w:r>
      <w:proofErr w:type="spellEnd"/>
      <w:r w:rsidRPr="00AF302A">
        <w:rPr>
          <w:sz w:val="24"/>
          <w:szCs w:val="24"/>
        </w:rPr>
        <w:t xml:space="preserve"> behandling, eller som lider af koagulationssygdomme, på grund af risikoen for blødning. I</w:t>
      </w:r>
      <w:r w:rsidR="00B84667">
        <w:rPr>
          <w:sz w:val="24"/>
          <w:szCs w:val="24"/>
        </w:rPr>
        <w:t> </w:t>
      </w:r>
      <w:r w:rsidRPr="00AF302A">
        <w:rPr>
          <w:sz w:val="24"/>
          <w:szCs w:val="24"/>
        </w:rPr>
        <w:t xml:space="preserve">disse situationer bør det overvejes at administrere </w:t>
      </w:r>
      <w:proofErr w:type="spellStart"/>
      <w:r w:rsidRPr="00AF302A">
        <w:rPr>
          <w:sz w:val="24"/>
          <w:szCs w:val="24"/>
        </w:rPr>
        <w:t>Triaxis</w:t>
      </w:r>
      <w:proofErr w:type="spellEnd"/>
      <w:r w:rsidRPr="00AF302A">
        <w:rPr>
          <w:sz w:val="24"/>
          <w:szCs w:val="24"/>
        </w:rPr>
        <w:t xml:space="preserve"> ved dyb subkutan injektion, selvom der er en øget risiko for lokale reaktioner.</w:t>
      </w:r>
    </w:p>
    <w:p w14:paraId="4ED7AB52" w14:textId="77777777" w:rsidR="009C0072" w:rsidRPr="00AF302A" w:rsidRDefault="009C0072" w:rsidP="009C0072">
      <w:pPr>
        <w:tabs>
          <w:tab w:val="left" w:pos="851"/>
        </w:tabs>
        <w:ind w:left="851"/>
        <w:rPr>
          <w:sz w:val="24"/>
          <w:szCs w:val="24"/>
        </w:rPr>
      </w:pPr>
    </w:p>
    <w:p w14:paraId="42D43D02" w14:textId="77777777" w:rsidR="009C0072" w:rsidRPr="00AF302A" w:rsidRDefault="009C0072" w:rsidP="009C0072">
      <w:pPr>
        <w:tabs>
          <w:tab w:val="left" w:pos="851"/>
        </w:tabs>
        <w:ind w:left="851"/>
        <w:rPr>
          <w:sz w:val="24"/>
          <w:szCs w:val="24"/>
        </w:rPr>
      </w:pPr>
      <w:bookmarkStart w:id="2" w:name="_Hlk119684819"/>
      <w:r w:rsidRPr="00AF302A">
        <w:rPr>
          <w:sz w:val="24"/>
          <w:szCs w:val="24"/>
        </w:rPr>
        <w:t xml:space="preserve">Synkope (besvimelse) kan forekomme efter eller endda før administration af vacciner, der skal injiceres, herunder </w:t>
      </w:r>
      <w:proofErr w:type="spellStart"/>
      <w:r w:rsidRPr="00AF302A">
        <w:rPr>
          <w:sz w:val="24"/>
          <w:szCs w:val="24"/>
        </w:rPr>
        <w:t>Triaxis</w:t>
      </w:r>
      <w:proofErr w:type="spellEnd"/>
      <w:r w:rsidRPr="00AF302A">
        <w:rPr>
          <w:sz w:val="24"/>
          <w:szCs w:val="24"/>
        </w:rPr>
        <w:t>. Der bør være procedurer på plads for at forhindre faldskader og til håndtering af synkope</w:t>
      </w:r>
      <w:bookmarkEnd w:id="2"/>
      <w:r w:rsidRPr="00AF302A">
        <w:rPr>
          <w:sz w:val="24"/>
          <w:szCs w:val="24"/>
        </w:rPr>
        <w:t>.</w:t>
      </w:r>
    </w:p>
    <w:p w14:paraId="633555DC" w14:textId="77777777" w:rsidR="009C0072" w:rsidRPr="00AF302A" w:rsidRDefault="009C0072" w:rsidP="009C0072">
      <w:pPr>
        <w:tabs>
          <w:tab w:val="left" w:pos="851"/>
        </w:tabs>
        <w:ind w:left="851"/>
        <w:rPr>
          <w:sz w:val="24"/>
          <w:szCs w:val="24"/>
        </w:rPr>
      </w:pPr>
    </w:p>
    <w:p w14:paraId="102BB47D" w14:textId="0173AF23" w:rsidR="009C0072" w:rsidRPr="00AF302A" w:rsidRDefault="00435FF8" w:rsidP="009C0072">
      <w:pPr>
        <w:tabs>
          <w:tab w:val="left" w:pos="851"/>
        </w:tabs>
        <w:ind w:left="851"/>
        <w:rPr>
          <w:sz w:val="24"/>
          <w:szCs w:val="24"/>
        </w:rPr>
      </w:pPr>
      <w:r>
        <w:rPr>
          <w:sz w:val="24"/>
          <w:szCs w:val="24"/>
        </w:rPr>
        <w:t>De bløde s</w:t>
      </w:r>
      <w:r w:rsidR="009C0072" w:rsidRPr="00AF302A">
        <w:rPr>
          <w:sz w:val="24"/>
          <w:szCs w:val="24"/>
        </w:rPr>
        <w:t xml:space="preserve">pidshætter på de fyldte injektionssprøjter </w:t>
      </w:r>
      <w:r>
        <w:rPr>
          <w:sz w:val="24"/>
          <w:szCs w:val="24"/>
        </w:rPr>
        <w:t xml:space="preserve">(1,5 ml) </w:t>
      </w:r>
      <w:r w:rsidR="009C0072" w:rsidRPr="00AF302A">
        <w:rPr>
          <w:sz w:val="24"/>
          <w:szCs w:val="24"/>
        </w:rPr>
        <w:t>indeholder et derivat af naturgummi-latex, som kan forårsage allergiske reaktioner hos personer med overfølsomhed over for latex.</w:t>
      </w:r>
    </w:p>
    <w:p w14:paraId="77B7D189" w14:textId="77777777" w:rsidR="009C0072" w:rsidRPr="00AF302A" w:rsidRDefault="009C0072" w:rsidP="009C0072">
      <w:pPr>
        <w:tabs>
          <w:tab w:val="left" w:pos="851"/>
        </w:tabs>
        <w:ind w:left="851"/>
        <w:rPr>
          <w:sz w:val="24"/>
          <w:szCs w:val="24"/>
        </w:rPr>
      </w:pPr>
    </w:p>
    <w:p w14:paraId="61EE6276" w14:textId="77777777" w:rsidR="009C0072" w:rsidRPr="00AF302A" w:rsidRDefault="009C0072" w:rsidP="009C0072">
      <w:pPr>
        <w:tabs>
          <w:tab w:val="left" w:pos="851"/>
        </w:tabs>
        <w:ind w:left="851"/>
        <w:rPr>
          <w:sz w:val="24"/>
          <w:szCs w:val="24"/>
          <w:u w:val="single"/>
        </w:rPr>
      </w:pPr>
      <w:r w:rsidRPr="00AF302A">
        <w:rPr>
          <w:sz w:val="24"/>
          <w:szCs w:val="24"/>
          <w:u w:val="single"/>
        </w:rPr>
        <w:t>Andre overvejelser</w:t>
      </w:r>
    </w:p>
    <w:p w14:paraId="11444613" w14:textId="77777777" w:rsidR="009C0072" w:rsidRPr="00AF302A" w:rsidRDefault="009C0072" w:rsidP="009C0072">
      <w:pPr>
        <w:tabs>
          <w:tab w:val="left" w:pos="851"/>
        </w:tabs>
        <w:ind w:left="851"/>
        <w:rPr>
          <w:sz w:val="24"/>
          <w:szCs w:val="24"/>
        </w:rPr>
      </w:pPr>
    </w:p>
    <w:p w14:paraId="03410E63" w14:textId="77777777" w:rsidR="009C0072" w:rsidRPr="00AF302A" w:rsidRDefault="009C0072" w:rsidP="009C0072">
      <w:pPr>
        <w:tabs>
          <w:tab w:val="left" w:pos="851"/>
        </w:tabs>
        <w:ind w:left="851"/>
        <w:rPr>
          <w:sz w:val="24"/>
          <w:szCs w:val="24"/>
        </w:rPr>
      </w:pPr>
      <w:r w:rsidRPr="00AF302A">
        <w:rPr>
          <w:sz w:val="24"/>
          <w:szCs w:val="24"/>
        </w:rPr>
        <w:t xml:space="preserve">Som det er tilfældet ved alle vacciner, beskytter vaccination med </w:t>
      </w:r>
      <w:proofErr w:type="spellStart"/>
      <w:r w:rsidRPr="00AF302A">
        <w:rPr>
          <w:sz w:val="24"/>
          <w:szCs w:val="24"/>
        </w:rPr>
        <w:t>Triaxis</w:t>
      </w:r>
      <w:proofErr w:type="spellEnd"/>
      <w:r w:rsidRPr="00AF302A">
        <w:rPr>
          <w:sz w:val="24"/>
          <w:szCs w:val="24"/>
        </w:rPr>
        <w:t xml:space="preserve"> muligvis ikke modtagelige personer 100 %.</w:t>
      </w:r>
    </w:p>
    <w:p w14:paraId="71D1AA61" w14:textId="77777777" w:rsidR="009C0072" w:rsidRPr="00AF302A" w:rsidRDefault="009C0072" w:rsidP="009C0072">
      <w:pPr>
        <w:tabs>
          <w:tab w:val="left" w:pos="851"/>
        </w:tabs>
        <w:ind w:left="851"/>
        <w:rPr>
          <w:sz w:val="24"/>
          <w:szCs w:val="24"/>
        </w:rPr>
      </w:pPr>
    </w:p>
    <w:p w14:paraId="138230D9" w14:textId="77777777" w:rsidR="009C0072" w:rsidRPr="00AF302A" w:rsidRDefault="009C0072" w:rsidP="009C0072">
      <w:pPr>
        <w:tabs>
          <w:tab w:val="left" w:pos="851"/>
        </w:tabs>
        <w:ind w:left="851"/>
        <w:rPr>
          <w:sz w:val="24"/>
          <w:szCs w:val="24"/>
        </w:rPr>
      </w:pPr>
      <w:r w:rsidRPr="00AF302A">
        <w:rPr>
          <w:sz w:val="24"/>
          <w:szCs w:val="24"/>
        </w:rPr>
        <w:t>Der kan forekomme en persisterende knude på injektionsstedet med alle adsorberede vacciner, især hvis de administreres i de overfladiske lag af det subkutane væv.</w:t>
      </w:r>
    </w:p>
    <w:p w14:paraId="0498A4B7" w14:textId="77777777" w:rsidR="009C0072" w:rsidRPr="00AF302A" w:rsidRDefault="009C0072" w:rsidP="009C0072">
      <w:pPr>
        <w:tabs>
          <w:tab w:val="left" w:pos="851"/>
        </w:tabs>
        <w:ind w:left="851"/>
        <w:rPr>
          <w:sz w:val="24"/>
          <w:szCs w:val="24"/>
        </w:rPr>
      </w:pPr>
    </w:p>
    <w:p w14:paraId="6EF3B693" w14:textId="77777777" w:rsidR="009C0072" w:rsidRPr="00AF302A" w:rsidRDefault="009C0072" w:rsidP="009C0072">
      <w:pPr>
        <w:tabs>
          <w:tab w:val="left" w:pos="851"/>
        </w:tabs>
        <w:ind w:left="851"/>
        <w:rPr>
          <w:sz w:val="24"/>
          <w:szCs w:val="24"/>
          <w:u w:val="single"/>
        </w:rPr>
      </w:pPr>
      <w:r w:rsidRPr="00AF302A">
        <w:rPr>
          <w:sz w:val="24"/>
          <w:szCs w:val="24"/>
          <w:u w:val="single"/>
        </w:rPr>
        <w:t>Sporbarhed</w:t>
      </w:r>
    </w:p>
    <w:p w14:paraId="16B02B27" w14:textId="77777777" w:rsidR="009C0072" w:rsidRPr="00AF302A" w:rsidRDefault="009C0072" w:rsidP="009C0072">
      <w:pPr>
        <w:tabs>
          <w:tab w:val="left" w:pos="851"/>
        </w:tabs>
        <w:ind w:left="851"/>
        <w:rPr>
          <w:sz w:val="24"/>
          <w:szCs w:val="24"/>
          <w:u w:val="single"/>
        </w:rPr>
      </w:pPr>
    </w:p>
    <w:p w14:paraId="7F74337B" w14:textId="77777777" w:rsidR="009C0072" w:rsidRPr="00AF302A" w:rsidRDefault="009C0072" w:rsidP="009C0072">
      <w:pPr>
        <w:tabs>
          <w:tab w:val="left" w:pos="851"/>
        </w:tabs>
        <w:ind w:left="851"/>
        <w:rPr>
          <w:sz w:val="24"/>
          <w:szCs w:val="24"/>
        </w:rPr>
      </w:pPr>
      <w:r w:rsidRPr="00AF302A">
        <w:rPr>
          <w:sz w:val="24"/>
          <w:szCs w:val="24"/>
        </w:rPr>
        <w:t>For at forbedre sporbarheden af biologiske lægemidler skal det administrerede produkts navn og batchnummer tydeligt registreres.</w:t>
      </w:r>
    </w:p>
    <w:p w14:paraId="66487553" w14:textId="77777777" w:rsidR="009260DE" w:rsidRPr="00AF302A" w:rsidRDefault="009260DE" w:rsidP="009260DE">
      <w:pPr>
        <w:tabs>
          <w:tab w:val="left" w:pos="851"/>
        </w:tabs>
        <w:ind w:left="851"/>
        <w:rPr>
          <w:sz w:val="24"/>
          <w:szCs w:val="24"/>
        </w:rPr>
      </w:pPr>
    </w:p>
    <w:p w14:paraId="04C9F062" w14:textId="77777777" w:rsidR="009260DE" w:rsidRPr="00AF302A" w:rsidRDefault="009260DE" w:rsidP="009260DE">
      <w:pPr>
        <w:tabs>
          <w:tab w:val="left" w:pos="851"/>
        </w:tabs>
        <w:ind w:left="851" w:hanging="851"/>
        <w:rPr>
          <w:b/>
          <w:sz w:val="24"/>
          <w:szCs w:val="24"/>
        </w:rPr>
      </w:pPr>
      <w:r w:rsidRPr="00AF302A">
        <w:rPr>
          <w:b/>
          <w:sz w:val="24"/>
          <w:szCs w:val="24"/>
        </w:rPr>
        <w:t>4.5</w:t>
      </w:r>
      <w:r w:rsidRPr="00AF302A">
        <w:rPr>
          <w:b/>
          <w:sz w:val="24"/>
          <w:szCs w:val="24"/>
        </w:rPr>
        <w:tab/>
        <w:t>Interaktion med andre lægemidler og andre former for interaktion</w:t>
      </w:r>
    </w:p>
    <w:p w14:paraId="52417BB9" w14:textId="77777777" w:rsidR="009C0072" w:rsidRPr="00AF302A" w:rsidRDefault="009C0072" w:rsidP="009C0072">
      <w:pPr>
        <w:tabs>
          <w:tab w:val="left" w:pos="851"/>
        </w:tabs>
        <w:ind w:left="851"/>
        <w:rPr>
          <w:sz w:val="24"/>
          <w:szCs w:val="24"/>
          <w:lang w:eastAsia="da-DK"/>
        </w:rPr>
      </w:pPr>
      <w:r w:rsidRPr="00AF302A">
        <w:rPr>
          <w:sz w:val="24"/>
          <w:szCs w:val="24"/>
        </w:rPr>
        <w:t xml:space="preserve">Baseret på data fra kliniske studier med samtidig brug af andre vacciner, kan </w:t>
      </w:r>
      <w:proofErr w:type="spellStart"/>
      <w:r w:rsidRPr="00AF302A">
        <w:rPr>
          <w:sz w:val="24"/>
          <w:szCs w:val="24"/>
        </w:rPr>
        <w:t>Triaxis</w:t>
      </w:r>
      <w:proofErr w:type="spellEnd"/>
      <w:r w:rsidRPr="00AF302A">
        <w:rPr>
          <w:sz w:val="24"/>
          <w:szCs w:val="24"/>
        </w:rPr>
        <w:t xml:space="preserve"> administreres samtidig med følgende vacciner: inaktiveret influenzavaccine, hepatitis B-vaccine, inaktiveret eller oral poliomyelitisvaccine og </w:t>
      </w:r>
      <w:proofErr w:type="spellStart"/>
      <w:r w:rsidRPr="00AF302A">
        <w:rPr>
          <w:sz w:val="24"/>
          <w:szCs w:val="24"/>
        </w:rPr>
        <w:t>rekombinant</w:t>
      </w:r>
      <w:proofErr w:type="spellEnd"/>
      <w:r w:rsidRPr="00AF302A">
        <w:rPr>
          <w:sz w:val="24"/>
          <w:szCs w:val="24"/>
        </w:rPr>
        <w:t xml:space="preserve"> HPV-vaccine (se pkt. 4.8) i overensstemmelse med lokale anbefalinger.</w:t>
      </w:r>
    </w:p>
    <w:p w14:paraId="35343815" w14:textId="77777777" w:rsidR="009C0072" w:rsidRPr="00AF302A" w:rsidRDefault="009C0072" w:rsidP="009C0072">
      <w:pPr>
        <w:tabs>
          <w:tab w:val="left" w:pos="851"/>
        </w:tabs>
        <w:ind w:left="851"/>
        <w:rPr>
          <w:sz w:val="24"/>
          <w:szCs w:val="24"/>
        </w:rPr>
      </w:pPr>
    </w:p>
    <w:p w14:paraId="2F58493C" w14:textId="77777777" w:rsidR="009C0072" w:rsidRPr="00AF302A" w:rsidRDefault="009C0072" w:rsidP="009C0072">
      <w:pPr>
        <w:tabs>
          <w:tab w:val="left" w:pos="851"/>
        </w:tabs>
        <w:ind w:left="851"/>
        <w:rPr>
          <w:sz w:val="24"/>
          <w:szCs w:val="24"/>
        </w:rPr>
      </w:pPr>
      <w:r w:rsidRPr="00AF302A">
        <w:rPr>
          <w:sz w:val="24"/>
          <w:szCs w:val="24"/>
        </w:rPr>
        <w:t xml:space="preserve">Der skal anvendes separate lemmer som injektionssted for samtidige parenterale vacciner. Der er ikke udført interaktionsstudier med andre vacciner, biologiske præparater eller terapeutiske lægemidler. Da </w:t>
      </w:r>
      <w:proofErr w:type="spellStart"/>
      <w:r w:rsidRPr="00AF302A">
        <w:rPr>
          <w:sz w:val="24"/>
          <w:szCs w:val="24"/>
        </w:rPr>
        <w:t>Triaxis</w:t>
      </w:r>
      <w:proofErr w:type="spellEnd"/>
      <w:r w:rsidRPr="00AF302A">
        <w:rPr>
          <w:sz w:val="24"/>
          <w:szCs w:val="24"/>
        </w:rPr>
        <w:t xml:space="preserve"> er et inaktiveret præparat, kan det imidlertid administreres samtidigt med andre vacciner eller </w:t>
      </w:r>
      <w:proofErr w:type="spellStart"/>
      <w:r w:rsidRPr="00AF302A">
        <w:rPr>
          <w:sz w:val="24"/>
          <w:szCs w:val="24"/>
        </w:rPr>
        <w:t>immunglobuliner</w:t>
      </w:r>
      <w:proofErr w:type="spellEnd"/>
      <w:r w:rsidRPr="00AF302A">
        <w:rPr>
          <w:sz w:val="24"/>
          <w:szCs w:val="24"/>
        </w:rPr>
        <w:t xml:space="preserve"> på separate injektionssteder i overensstemmelse med generelle accepterede retningslinjer for immunisering. </w:t>
      </w:r>
    </w:p>
    <w:p w14:paraId="68FE40D6" w14:textId="77777777" w:rsidR="009C0072" w:rsidRPr="00AF302A" w:rsidRDefault="009C0072" w:rsidP="009C0072">
      <w:pPr>
        <w:tabs>
          <w:tab w:val="left" w:pos="851"/>
        </w:tabs>
        <w:ind w:left="851"/>
        <w:rPr>
          <w:sz w:val="24"/>
          <w:szCs w:val="24"/>
        </w:rPr>
      </w:pPr>
    </w:p>
    <w:p w14:paraId="7D0A3ADD" w14:textId="77777777" w:rsidR="009C0072" w:rsidRPr="00AF302A" w:rsidRDefault="009C0072" w:rsidP="009C0072">
      <w:pPr>
        <w:tabs>
          <w:tab w:val="left" w:pos="851"/>
        </w:tabs>
        <w:ind w:left="851"/>
        <w:rPr>
          <w:sz w:val="24"/>
          <w:szCs w:val="24"/>
        </w:rPr>
      </w:pPr>
      <w:r w:rsidRPr="00AF302A">
        <w:rPr>
          <w:sz w:val="24"/>
          <w:szCs w:val="24"/>
        </w:rPr>
        <w:t>I tilfælde af immunsuppressiv behandling, se pkt. 4.4.</w:t>
      </w:r>
    </w:p>
    <w:p w14:paraId="6FE4DBBE" w14:textId="77777777" w:rsidR="009260DE" w:rsidRPr="00AF302A" w:rsidRDefault="009260DE" w:rsidP="009260DE">
      <w:pPr>
        <w:tabs>
          <w:tab w:val="left" w:pos="851"/>
        </w:tabs>
        <w:ind w:left="851"/>
        <w:rPr>
          <w:sz w:val="24"/>
          <w:szCs w:val="24"/>
        </w:rPr>
      </w:pPr>
    </w:p>
    <w:p w14:paraId="39CEF7BE" w14:textId="77777777" w:rsidR="009260DE" w:rsidRPr="00AF302A" w:rsidRDefault="009260DE" w:rsidP="009260DE">
      <w:pPr>
        <w:tabs>
          <w:tab w:val="left" w:pos="851"/>
        </w:tabs>
        <w:ind w:left="851" w:hanging="851"/>
        <w:rPr>
          <w:b/>
          <w:sz w:val="24"/>
          <w:szCs w:val="24"/>
        </w:rPr>
      </w:pPr>
      <w:r w:rsidRPr="00AF302A">
        <w:rPr>
          <w:b/>
          <w:sz w:val="24"/>
          <w:szCs w:val="24"/>
        </w:rPr>
        <w:t>4.6</w:t>
      </w:r>
      <w:r w:rsidRPr="00AF302A">
        <w:rPr>
          <w:b/>
          <w:sz w:val="24"/>
          <w:szCs w:val="24"/>
        </w:rPr>
        <w:tab/>
      </w:r>
      <w:r w:rsidR="0071241E" w:rsidRPr="00AF302A">
        <w:rPr>
          <w:b/>
          <w:sz w:val="24"/>
          <w:szCs w:val="24"/>
        </w:rPr>
        <w:t>Fertilitet, g</w:t>
      </w:r>
      <w:r w:rsidRPr="00AF302A">
        <w:rPr>
          <w:b/>
          <w:sz w:val="24"/>
          <w:szCs w:val="24"/>
        </w:rPr>
        <w:t>raviditet og amning</w:t>
      </w:r>
    </w:p>
    <w:p w14:paraId="5B607BA8" w14:textId="77777777" w:rsidR="00AF302A" w:rsidRDefault="00AF302A" w:rsidP="009C0072">
      <w:pPr>
        <w:tabs>
          <w:tab w:val="left" w:pos="851"/>
        </w:tabs>
        <w:ind w:left="851"/>
        <w:rPr>
          <w:sz w:val="24"/>
          <w:szCs w:val="24"/>
          <w:u w:val="single"/>
        </w:rPr>
      </w:pPr>
    </w:p>
    <w:p w14:paraId="41C8594B" w14:textId="088B1991" w:rsidR="009C0072" w:rsidRPr="00AF302A" w:rsidRDefault="009C0072" w:rsidP="009C0072">
      <w:pPr>
        <w:tabs>
          <w:tab w:val="left" w:pos="851"/>
        </w:tabs>
        <w:ind w:left="851"/>
        <w:rPr>
          <w:sz w:val="24"/>
          <w:szCs w:val="24"/>
          <w:u w:val="single"/>
          <w:lang w:eastAsia="da-DK"/>
        </w:rPr>
      </w:pPr>
      <w:r w:rsidRPr="00AF302A">
        <w:rPr>
          <w:sz w:val="24"/>
          <w:szCs w:val="24"/>
          <w:u w:val="single"/>
        </w:rPr>
        <w:t>Graviditet</w:t>
      </w:r>
    </w:p>
    <w:p w14:paraId="7AFE7387" w14:textId="77777777" w:rsidR="009C0072" w:rsidRPr="00AF302A" w:rsidRDefault="009C0072" w:rsidP="009C0072">
      <w:pPr>
        <w:tabs>
          <w:tab w:val="left" w:pos="851"/>
        </w:tabs>
        <w:ind w:left="851"/>
        <w:rPr>
          <w:sz w:val="24"/>
          <w:szCs w:val="24"/>
        </w:rPr>
      </w:pPr>
      <w:bookmarkStart w:id="3" w:name="_Hlk67387171"/>
      <w:proofErr w:type="spellStart"/>
      <w:r w:rsidRPr="00AF302A">
        <w:rPr>
          <w:sz w:val="24"/>
          <w:szCs w:val="24"/>
        </w:rPr>
        <w:t>Triaxis</w:t>
      </w:r>
      <w:proofErr w:type="spellEnd"/>
      <w:r w:rsidRPr="00AF302A">
        <w:rPr>
          <w:sz w:val="24"/>
          <w:szCs w:val="24"/>
        </w:rPr>
        <w:t xml:space="preserve"> kan anvendes under graviditetens andet og tredje trimester i overensstemmelse med officielle anbefalinger (se pkt. 4.2).</w:t>
      </w:r>
      <w:bookmarkEnd w:id="3"/>
    </w:p>
    <w:p w14:paraId="0EA2EE05" w14:textId="3EDAA8E0" w:rsidR="009C0072" w:rsidRPr="00AF302A" w:rsidRDefault="009C0072" w:rsidP="009C0072">
      <w:pPr>
        <w:tabs>
          <w:tab w:val="left" w:pos="851"/>
        </w:tabs>
        <w:ind w:left="851"/>
        <w:rPr>
          <w:sz w:val="24"/>
          <w:szCs w:val="24"/>
        </w:rPr>
      </w:pPr>
      <w:r w:rsidRPr="00AF302A">
        <w:rPr>
          <w:sz w:val="24"/>
          <w:szCs w:val="24"/>
        </w:rPr>
        <w:t>Sikkerhedsdata fra 4 randomiserede, kontrollerede studier (310 graviditetsudfald),</w:t>
      </w:r>
      <w:r w:rsidR="0045686C">
        <w:rPr>
          <w:sz w:val="24"/>
          <w:szCs w:val="24"/>
        </w:rPr>
        <w:t xml:space="preserve"> </w:t>
      </w:r>
      <w:r w:rsidRPr="00AF302A">
        <w:rPr>
          <w:sz w:val="24"/>
          <w:szCs w:val="24"/>
        </w:rPr>
        <w:t>1 </w:t>
      </w:r>
      <w:proofErr w:type="spellStart"/>
      <w:r w:rsidRPr="00AF302A">
        <w:rPr>
          <w:sz w:val="24"/>
          <w:szCs w:val="24"/>
        </w:rPr>
        <w:t>prospektivt</w:t>
      </w:r>
      <w:proofErr w:type="spellEnd"/>
      <w:r w:rsidRPr="00AF302A">
        <w:rPr>
          <w:sz w:val="24"/>
          <w:szCs w:val="24"/>
        </w:rPr>
        <w:t xml:space="preserve"> observationsstudie (546 graviditetsudfald), 5 retrospektive, </w:t>
      </w:r>
      <w:proofErr w:type="spellStart"/>
      <w:r w:rsidRPr="00AF302A">
        <w:rPr>
          <w:sz w:val="24"/>
          <w:szCs w:val="24"/>
        </w:rPr>
        <w:t>observationelle</w:t>
      </w:r>
      <w:proofErr w:type="spellEnd"/>
      <w:r w:rsidRPr="00AF302A">
        <w:rPr>
          <w:sz w:val="24"/>
          <w:szCs w:val="24"/>
        </w:rPr>
        <w:t xml:space="preserve"> studier (124 810 graviditetsudfald) og fra passiv overvågning af kvinder, som fik </w:t>
      </w:r>
      <w:proofErr w:type="spellStart"/>
      <w:r w:rsidRPr="00AF302A">
        <w:rPr>
          <w:sz w:val="24"/>
          <w:szCs w:val="24"/>
        </w:rPr>
        <w:t>Triaxis</w:t>
      </w:r>
      <w:proofErr w:type="spellEnd"/>
      <w:r w:rsidRPr="00AF302A">
        <w:rPr>
          <w:sz w:val="24"/>
          <w:szCs w:val="24"/>
        </w:rPr>
        <w:t xml:space="preserve"> eller REPEVAX (</w:t>
      </w:r>
      <w:proofErr w:type="spellStart"/>
      <w:r w:rsidRPr="00AF302A">
        <w:rPr>
          <w:sz w:val="24"/>
          <w:szCs w:val="24"/>
        </w:rPr>
        <w:t>Tdap</w:t>
      </w:r>
      <w:proofErr w:type="spellEnd"/>
      <w:r w:rsidRPr="00AF302A">
        <w:rPr>
          <w:sz w:val="24"/>
          <w:szCs w:val="24"/>
        </w:rPr>
        <w:t xml:space="preserve">-IPV; indeholdende de samme mængder tetanus-, difteri- og </w:t>
      </w:r>
      <w:proofErr w:type="spellStart"/>
      <w:r w:rsidRPr="00AF302A">
        <w:rPr>
          <w:sz w:val="24"/>
          <w:szCs w:val="24"/>
        </w:rPr>
        <w:t>pertussis</w:t>
      </w:r>
      <w:proofErr w:type="spellEnd"/>
      <w:r w:rsidRPr="00AF302A">
        <w:rPr>
          <w:sz w:val="24"/>
          <w:szCs w:val="24"/>
        </w:rPr>
        <w:t xml:space="preserve">-antigener som </w:t>
      </w:r>
      <w:proofErr w:type="spellStart"/>
      <w:r w:rsidRPr="00AF302A">
        <w:rPr>
          <w:sz w:val="24"/>
          <w:szCs w:val="24"/>
        </w:rPr>
        <w:t>Triaxis</w:t>
      </w:r>
      <w:proofErr w:type="spellEnd"/>
      <w:r w:rsidRPr="00AF302A">
        <w:rPr>
          <w:sz w:val="24"/>
          <w:szCs w:val="24"/>
        </w:rPr>
        <w:t>) under andet eller tredje trimester, har ikke vist vaccinerelaterede bivirkninger på graviditeten eller fosterets/spædbarnets sundhed.</w:t>
      </w:r>
    </w:p>
    <w:p w14:paraId="1B91DF8E" w14:textId="77777777" w:rsidR="009C0072" w:rsidRPr="00AF302A" w:rsidRDefault="009C0072" w:rsidP="009C0072">
      <w:pPr>
        <w:tabs>
          <w:tab w:val="left" w:pos="851"/>
        </w:tabs>
        <w:ind w:left="851"/>
        <w:rPr>
          <w:sz w:val="24"/>
          <w:szCs w:val="24"/>
        </w:rPr>
      </w:pPr>
      <w:r w:rsidRPr="00AF302A">
        <w:rPr>
          <w:sz w:val="24"/>
          <w:szCs w:val="24"/>
        </w:rPr>
        <w:t xml:space="preserve">Som ved andre inaktive vacciner forventes det ikke, at vaccination med </w:t>
      </w:r>
      <w:proofErr w:type="spellStart"/>
      <w:r w:rsidRPr="00AF302A">
        <w:rPr>
          <w:sz w:val="24"/>
          <w:szCs w:val="24"/>
        </w:rPr>
        <w:t>Triaxis</w:t>
      </w:r>
      <w:proofErr w:type="spellEnd"/>
      <w:r w:rsidRPr="00AF302A">
        <w:rPr>
          <w:sz w:val="24"/>
          <w:szCs w:val="24"/>
        </w:rPr>
        <w:t xml:space="preserve"> i noget trimester påfører skade på fosteret.</w:t>
      </w:r>
    </w:p>
    <w:p w14:paraId="463A04BB" w14:textId="77777777" w:rsidR="009C0072" w:rsidRPr="00AF302A" w:rsidRDefault="009C0072" w:rsidP="009C0072">
      <w:pPr>
        <w:tabs>
          <w:tab w:val="left" w:pos="851"/>
        </w:tabs>
        <w:ind w:left="851"/>
        <w:rPr>
          <w:sz w:val="24"/>
          <w:szCs w:val="24"/>
        </w:rPr>
      </w:pPr>
      <w:r w:rsidRPr="00AF302A">
        <w:rPr>
          <w:sz w:val="24"/>
          <w:szCs w:val="24"/>
        </w:rPr>
        <w:t>Dyrestudier indikerer hverken direkte eller indirekte skadelige virkninger hvad angår graviditet, embryonal/</w:t>
      </w:r>
      <w:proofErr w:type="spellStart"/>
      <w:r w:rsidRPr="00AF302A">
        <w:rPr>
          <w:sz w:val="24"/>
          <w:szCs w:val="24"/>
        </w:rPr>
        <w:t>føtal</w:t>
      </w:r>
      <w:proofErr w:type="spellEnd"/>
      <w:r w:rsidRPr="00AF302A">
        <w:rPr>
          <w:sz w:val="24"/>
          <w:szCs w:val="24"/>
        </w:rPr>
        <w:t xml:space="preserve"> udvikling, fødsel eller </w:t>
      </w:r>
      <w:proofErr w:type="spellStart"/>
      <w:r w:rsidRPr="00AF302A">
        <w:rPr>
          <w:sz w:val="24"/>
          <w:szCs w:val="24"/>
        </w:rPr>
        <w:t>postnatal</w:t>
      </w:r>
      <w:proofErr w:type="spellEnd"/>
      <w:r w:rsidRPr="00AF302A">
        <w:rPr>
          <w:sz w:val="24"/>
          <w:szCs w:val="24"/>
        </w:rPr>
        <w:t xml:space="preserve"> udvikling.</w:t>
      </w:r>
    </w:p>
    <w:p w14:paraId="3AD451FA" w14:textId="77777777" w:rsidR="009C0072" w:rsidRPr="00AF302A" w:rsidRDefault="009C0072" w:rsidP="009C0072">
      <w:pPr>
        <w:tabs>
          <w:tab w:val="left" w:pos="851"/>
        </w:tabs>
        <w:ind w:left="851"/>
        <w:rPr>
          <w:sz w:val="24"/>
          <w:szCs w:val="24"/>
        </w:rPr>
      </w:pPr>
      <w:bookmarkStart w:id="4" w:name="_Hlk67387229"/>
    </w:p>
    <w:p w14:paraId="7E59A7B4" w14:textId="77777777" w:rsidR="009C0072" w:rsidRPr="00AF302A" w:rsidRDefault="009C0072" w:rsidP="009C0072">
      <w:pPr>
        <w:tabs>
          <w:tab w:val="left" w:pos="851"/>
        </w:tabs>
        <w:ind w:left="851"/>
        <w:rPr>
          <w:sz w:val="24"/>
          <w:szCs w:val="24"/>
        </w:rPr>
      </w:pPr>
      <w:r w:rsidRPr="00AF302A">
        <w:rPr>
          <w:sz w:val="24"/>
          <w:szCs w:val="24"/>
        </w:rPr>
        <w:t xml:space="preserve">For information om immunrespons på vaccination under graviditet og dets effektivitet til at forebygge </w:t>
      </w:r>
      <w:proofErr w:type="spellStart"/>
      <w:r w:rsidRPr="00AF302A">
        <w:rPr>
          <w:sz w:val="24"/>
          <w:szCs w:val="24"/>
        </w:rPr>
        <w:t>pertussis</w:t>
      </w:r>
      <w:proofErr w:type="spellEnd"/>
      <w:r w:rsidRPr="00AF302A">
        <w:rPr>
          <w:sz w:val="24"/>
          <w:szCs w:val="24"/>
        </w:rPr>
        <w:t xml:space="preserve"> hos spædbørn, se pkt. 5.1.</w:t>
      </w:r>
    </w:p>
    <w:bookmarkEnd w:id="4"/>
    <w:p w14:paraId="508393F5" w14:textId="77777777" w:rsidR="009C0072" w:rsidRPr="00AF302A" w:rsidRDefault="009C0072" w:rsidP="009C0072">
      <w:pPr>
        <w:tabs>
          <w:tab w:val="left" w:pos="851"/>
        </w:tabs>
        <w:ind w:left="851"/>
        <w:rPr>
          <w:sz w:val="24"/>
          <w:szCs w:val="24"/>
          <w:u w:val="single"/>
        </w:rPr>
      </w:pPr>
    </w:p>
    <w:p w14:paraId="62D009AD" w14:textId="77777777" w:rsidR="009C0072" w:rsidRPr="00AF302A" w:rsidRDefault="009C0072" w:rsidP="009C0072">
      <w:pPr>
        <w:tabs>
          <w:tab w:val="left" w:pos="851"/>
        </w:tabs>
        <w:ind w:left="851"/>
        <w:rPr>
          <w:sz w:val="24"/>
          <w:szCs w:val="24"/>
          <w:u w:val="single"/>
        </w:rPr>
      </w:pPr>
      <w:r w:rsidRPr="00AF302A">
        <w:rPr>
          <w:sz w:val="24"/>
          <w:szCs w:val="24"/>
          <w:u w:val="single"/>
        </w:rPr>
        <w:t>Amning</w:t>
      </w:r>
    </w:p>
    <w:p w14:paraId="1CB70F73" w14:textId="77777777" w:rsidR="009C0072" w:rsidRPr="00AF302A" w:rsidRDefault="009C0072" w:rsidP="009C0072">
      <w:pPr>
        <w:tabs>
          <w:tab w:val="left" w:pos="851"/>
        </w:tabs>
        <w:ind w:left="851"/>
        <w:rPr>
          <w:sz w:val="24"/>
          <w:szCs w:val="24"/>
        </w:rPr>
      </w:pPr>
      <w:r w:rsidRPr="00AF302A">
        <w:rPr>
          <w:sz w:val="24"/>
          <w:szCs w:val="24"/>
        </w:rPr>
        <w:t xml:space="preserve">Det er ukendt, om de aktive stoffer i </w:t>
      </w:r>
      <w:proofErr w:type="spellStart"/>
      <w:r w:rsidRPr="00AF302A">
        <w:rPr>
          <w:sz w:val="24"/>
          <w:szCs w:val="24"/>
        </w:rPr>
        <w:t>Triaxis</w:t>
      </w:r>
      <w:proofErr w:type="spellEnd"/>
      <w:r w:rsidRPr="00AF302A">
        <w:rPr>
          <w:sz w:val="24"/>
          <w:szCs w:val="24"/>
        </w:rPr>
        <w:t xml:space="preserve"> udskilles i human mælk, men antistoffer mod vaccineantigenerne har vist sig at blive overført til diende afkom fra kaniner. To udviklingsstudier hos dyr udført i kaniner har ikke vist skadelige virkninger af </w:t>
      </w:r>
      <w:proofErr w:type="spellStart"/>
      <w:r w:rsidRPr="00AF302A">
        <w:rPr>
          <w:sz w:val="24"/>
          <w:szCs w:val="24"/>
        </w:rPr>
        <w:t>maternelle</w:t>
      </w:r>
      <w:proofErr w:type="spellEnd"/>
      <w:r w:rsidRPr="00AF302A">
        <w:rPr>
          <w:sz w:val="24"/>
          <w:szCs w:val="24"/>
        </w:rPr>
        <w:t xml:space="preserve"> antistoffer, som er induceret af vaccinen, på afkoms </w:t>
      </w:r>
      <w:proofErr w:type="spellStart"/>
      <w:r w:rsidRPr="00AF302A">
        <w:rPr>
          <w:sz w:val="24"/>
          <w:szCs w:val="24"/>
        </w:rPr>
        <w:t>postnatale</w:t>
      </w:r>
      <w:proofErr w:type="spellEnd"/>
      <w:r w:rsidRPr="00AF302A">
        <w:rPr>
          <w:sz w:val="24"/>
          <w:szCs w:val="24"/>
        </w:rPr>
        <w:t xml:space="preserve"> udvikling. </w:t>
      </w:r>
    </w:p>
    <w:p w14:paraId="35D86314" w14:textId="77777777" w:rsidR="009C0072" w:rsidRPr="00AF302A" w:rsidRDefault="009C0072" w:rsidP="009C0072">
      <w:pPr>
        <w:tabs>
          <w:tab w:val="left" w:pos="851"/>
        </w:tabs>
        <w:ind w:left="851"/>
        <w:rPr>
          <w:sz w:val="24"/>
          <w:szCs w:val="24"/>
          <w:u w:val="double"/>
        </w:rPr>
      </w:pPr>
    </w:p>
    <w:p w14:paraId="495DC7DD" w14:textId="77777777" w:rsidR="009C0072" w:rsidRPr="00AF302A" w:rsidRDefault="009C0072" w:rsidP="009C0072">
      <w:pPr>
        <w:tabs>
          <w:tab w:val="left" w:pos="851"/>
        </w:tabs>
        <w:ind w:left="851"/>
        <w:rPr>
          <w:sz w:val="24"/>
          <w:szCs w:val="24"/>
        </w:rPr>
      </w:pPr>
      <w:r w:rsidRPr="00AF302A">
        <w:rPr>
          <w:sz w:val="24"/>
          <w:szCs w:val="24"/>
        </w:rPr>
        <w:t xml:space="preserve">Virkningen på ammede spædbørn ved administration af </w:t>
      </w:r>
      <w:proofErr w:type="spellStart"/>
      <w:r w:rsidRPr="00AF302A">
        <w:rPr>
          <w:sz w:val="24"/>
          <w:szCs w:val="24"/>
        </w:rPr>
        <w:t>Triaxis</w:t>
      </w:r>
      <w:proofErr w:type="spellEnd"/>
      <w:r w:rsidRPr="00AF302A">
        <w:rPr>
          <w:sz w:val="24"/>
          <w:szCs w:val="24"/>
        </w:rPr>
        <w:t xml:space="preserve"> til deres mødre er imidlertid ikke blevet undersøgt. Da </w:t>
      </w:r>
      <w:proofErr w:type="spellStart"/>
      <w:r w:rsidRPr="00AF302A">
        <w:rPr>
          <w:sz w:val="24"/>
          <w:szCs w:val="24"/>
        </w:rPr>
        <w:t>Triaxis</w:t>
      </w:r>
      <w:proofErr w:type="spellEnd"/>
      <w:r w:rsidRPr="00AF302A">
        <w:rPr>
          <w:sz w:val="24"/>
          <w:szCs w:val="24"/>
        </w:rPr>
        <w:t xml:space="preserve"> er inaktiveret, er en enhver risiko for spædbarnet usandsynlig. Risiciene og fordelene ved vaccination bør vurderes, før der træffes en beslutning om immunisering af en ammende kvinde.</w:t>
      </w:r>
    </w:p>
    <w:p w14:paraId="2DC93BB5" w14:textId="77777777" w:rsidR="009C0072" w:rsidRPr="00AF302A" w:rsidRDefault="009C0072" w:rsidP="009C0072">
      <w:pPr>
        <w:tabs>
          <w:tab w:val="left" w:pos="851"/>
        </w:tabs>
        <w:ind w:left="851"/>
        <w:rPr>
          <w:sz w:val="24"/>
          <w:szCs w:val="24"/>
        </w:rPr>
      </w:pPr>
    </w:p>
    <w:p w14:paraId="1C04611A" w14:textId="77777777" w:rsidR="009C0072" w:rsidRPr="00AF302A" w:rsidRDefault="009C0072" w:rsidP="009C0072">
      <w:pPr>
        <w:tabs>
          <w:tab w:val="left" w:pos="851"/>
        </w:tabs>
        <w:ind w:left="851"/>
        <w:rPr>
          <w:sz w:val="24"/>
          <w:szCs w:val="24"/>
          <w:u w:val="single"/>
        </w:rPr>
      </w:pPr>
      <w:r w:rsidRPr="00AF302A">
        <w:rPr>
          <w:sz w:val="24"/>
          <w:szCs w:val="24"/>
          <w:u w:val="single"/>
        </w:rPr>
        <w:t>Fertilitet</w:t>
      </w:r>
    </w:p>
    <w:p w14:paraId="04698728"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er ikke evalueret i fertilitetsstudier.</w:t>
      </w:r>
    </w:p>
    <w:p w14:paraId="133AB457" w14:textId="77777777" w:rsidR="009260DE" w:rsidRPr="00AF302A" w:rsidRDefault="009260DE" w:rsidP="009260DE">
      <w:pPr>
        <w:tabs>
          <w:tab w:val="left" w:pos="851"/>
        </w:tabs>
        <w:ind w:left="851"/>
        <w:rPr>
          <w:sz w:val="24"/>
          <w:szCs w:val="24"/>
        </w:rPr>
      </w:pPr>
    </w:p>
    <w:p w14:paraId="4E253204" w14:textId="77777777" w:rsidR="009260DE" w:rsidRPr="00AF302A" w:rsidRDefault="009260DE" w:rsidP="009260DE">
      <w:pPr>
        <w:tabs>
          <w:tab w:val="left" w:pos="851"/>
        </w:tabs>
        <w:ind w:left="851" w:hanging="851"/>
        <w:rPr>
          <w:b/>
          <w:sz w:val="24"/>
          <w:szCs w:val="24"/>
        </w:rPr>
      </w:pPr>
      <w:r w:rsidRPr="00AF302A">
        <w:rPr>
          <w:b/>
          <w:sz w:val="24"/>
          <w:szCs w:val="24"/>
        </w:rPr>
        <w:t>4.7</w:t>
      </w:r>
      <w:r w:rsidRPr="00AF302A">
        <w:rPr>
          <w:b/>
          <w:sz w:val="24"/>
          <w:szCs w:val="24"/>
        </w:rPr>
        <w:tab/>
        <w:t xml:space="preserve">Virkning på evnen til at føre motorkøretøj </w:t>
      </w:r>
      <w:r w:rsidR="0071241E" w:rsidRPr="00AF302A">
        <w:rPr>
          <w:b/>
          <w:sz w:val="24"/>
          <w:szCs w:val="24"/>
        </w:rPr>
        <w:t>og</w:t>
      </w:r>
      <w:r w:rsidRPr="00AF302A">
        <w:rPr>
          <w:b/>
          <w:sz w:val="24"/>
          <w:szCs w:val="24"/>
        </w:rPr>
        <w:t xml:space="preserve"> betjene maskiner</w:t>
      </w:r>
    </w:p>
    <w:p w14:paraId="57C48F96" w14:textId="77777777" w:rsidR="009C0072" w:rsidRPr="00AF302A" w:rsidRDefault="009C0072" w:rsidP="009C0072">
      <w:pPr>
        <w:tabs>
          <w:tab w:val="left" w:pos="851"/>
        </w:tabs>
        <w:ind w:left="851"/>
        <w:rPr>
          <w:sz w:val="24"/>
          <w:szCs w:val="24"/>
          <w:lang w:eastAsia="da-DK"/>
        </w:rPr>
      </w:pPr>
      <w:r w:rsidRPr="00AF302A">
        <w:rPr>
          <w:sz w:val="24"/>
          <w:szCs w:val="24"/>
        </w:rPr>
        <w:t>Ikke mærkning.</w:t>
      </w:r>
    </w:p>
    <w:p w14:paraId="2AC557F8" w14:textId="77777777" w:rsidR="009C0072" w:rsidRPr="00AF302A" w:rsidRDefault="009C0072" w:rsidP="009C0072">
      <w:pPr>
        <w:tabs>
          <w:tab w:val="left" w:pos="851"/>
        </w:tabs>
        <w:ind w:left="851"/>
        <w:rPr>
          <w:sz w:val="24"/>
          <w:szCs w:val="24"/>
        </w:rPr>
      </w:pPr>
    </w:p>
    <w:p w14:paraId="6FCC7CD6" w14:textId="77777777" w:rsidR="009C0072" w:rsidRPr="00AF302A" w:rsidRDefault="009C0072" w:rsidP="009C0072">
      <w:pPr>
        <w:tabs>
          <w:tab w:val="left" w:pos="851"/>
        </w:tabs>
        <w:ind w:left="851"/>
        <w:rPr>
          <w:sz w:val="24"/>
          <w:szCs w:val="24"/>
        </w:rPr>
      </w:pPr>
      <w:r w:rsidRPr="00AF302A">
        <w:rPr>
          <w:sz w:val="24"/>
          <w:szCs w:val="24"/>
        </w:rPr>
        <w:t xml:space="preserve">Der er ikke udført studier af virkningen på evnen til at føre motorkøretøj eller betjene maskiner. </w:t>
      </w:r>
    </w:p>
    <w:p w14:paraId="12DE2358" w14:textId="77777777" w:rsidR="009C0072" w:rsidRPr="00AF302A" w:rsidRDefault="009C0072" w:rsidP="009C0072">
      <w:pPr>
        <w:tabs>
          <w:tab w:val="left" w:pos="851"/>
        </w:tabs>
        <w:ind w:left="851"/>
        <w:rPr>
          <w:sz w:val="24"/>
          <w:szCs w:val="24"/>
        </w:rPr>
      </w:pPr>
      <w:proofErr w:type="spellStart"/>
      <w:r w:rsidRPr="00AF302A">
        <w:rPr>
          <w:sz w:val="24"/>
          <w:szCs w:val="24"/>
        </w:rPr>
        <w:t>Triaxis</w:t>
      </w:r>
      <w:proofErr w:type="spellEnd"/>
      <w:r w:rsidRPr="00AF302A">
        <w:rPr>
          <w:sz w:val="24"/>
          <w:szCs w:val="24"/>
        </w:rPr>
        <w:t xml:space="preserve"> påvirker ikke eller kun i ubetydelig grad evnen til at føre motorkøretøj og betjene maskiner.</w:t>
      </w:r>
    </w:p>
    <w:p w14:paraId="0C3C82A8" w14:textId="77777777" w:rsidR="009260DE" w:rsidRPr="00AF302A" w:rsidRDefault="009260DE" w:rsidP="009260DE">
      <w:pPr>
        <w:tabs>
          <w:tab w:val="left" w:pos="851"/>
        </w:tabs>
        <w:ind w:left="851"/>
        <w:rPr>
          <w:sz w:val="24"/>
          <w:szCs w:val="24"/>
        </w:rPr>
      </w:pPr>
    </w:p>
    <w:p w14:paraId="086D16D7" w14:textId="77777777" w:rsidR="009260DE" w:rsidRPr="00AF302A" w:rsidRDefault="009260DE" w:rsidP="009260DE">
      <w:pPr>
        <w:tabs>
          <w:tab w:val="left" w:pos="851"/>
        </w:tabs>
        <w:ind w:left="851" w:hanging="851"/>
        <w:rPr>
          <w:b/>
          <w:sz w:val="24"/>
          <w:szCs w:val="24"/>
        </w:rPr>
      </w:pPr>
      <w:r w:rsidRPr="00AF302A">
        <w:rPr>
          <w:b/>
          <w:sz w:val="24"/>
          <w:szCs w:val="24"/>
        </w:rPr>
        <w:t>4.8</w:t>
      </w:r>
      <w:r w:rsidRPr="00AF302A">
        <w:rPr>
          <w:b/>
          <w:sz w:val="24"/>
          <w:szCs w:val="24"/>
        </w:rPr>
        <w:tab/>
        <w:t>Bivirkninger</w:t>
      </w:r>
    </w:p>
    <w:p w14:paraId="0E508404" w14:textId="77777777" w:rsidR="00AF302A" w:rsidRDefault="00AF302A" w:rsidP="00AF302A">
      <w:pPr>
        <w:ind w:left="851"/>
        <w:rPr>
          <w:sz w:val="24"/>
          <w:szCs w:val="24"/>
        </w:rPr>
      </w:pPr>
    </w:p>
    <w:p w14:paraId="56123358" w14:textId="398A6BA6" w:rsidR="009C0072" w:rsidRPr="00AF302A" w:rsidRDefault="009C0072" w:rsidP="00AF302A">
      <w:pPr>
        <w:ind w:left="851"/>
        <w:rPr>
          <w:sz w:val="24"/>
          <w:szCs w:val="24"/>
          <w:u w:val="single"/>
          <w:lang w:eastAsia="da-DK"/>
        </w:rPr>
      </w:pPr>
      <w:r w:rsidRPr="00AF302A">
        <w:rPr>
          <w:sz w:val="24"/>
          <w:szCs w:val="24"/>
          <w:u w:val="single"/>
        </w:rPr>
        <w:t>Resumé af sikkerhedsprofilen</w:t>
      </w:r>
    </w:p>
    <w:p w14:paraId="1348A857" w14:textId="77777777" w:rsidR="009C0072" w:rsidRPr="00AF302A" w:rsidRDefault="009C0072" w:rsidP="00AF302A">
      <w:pPr>
        <w:ind w:left="851"/>
        <w:rPr>
          <w:sz w:val="24"/>
          <w:szCs w:val="24"/>
          <w:lang w:val="nb-NO"/>
        </w:rPr>
      </w:pPr>
    </w:p>
    <w:p w14:paraId="656EBE43" w14:textId="77777777" w:rsidR="009C0072" w:rsidRPr="00AF302A" w:rsidRDefault="009C0072" w:rsidP="00AF302A">
      <w:pPr>
        <w:ind w:left="851"/>
        <w:rPr>
          <w:sz w:val="24"/>
          <w:szCs w:val="24"/>
        </w:rPr>
      </w:pPr>
      <w:r w:rsidRPr="00AF302A">
        <w:rPr>
          <w:sz w:val="24"/>
          <w:szCs w:val="24"/>
        </w:rPr>
        <w:t xml:space="preserve">I kliniske studier blev </w:t>
      </w:r>
      <w:proofErr w:type="spellStart"/>
      <w:r w:rsidRPr="00AF302A">
        <w:rPr>
          <w:sz w:val="24"/>
          <w:szCs w:val="24"/>
        </w:rPr>
        <w:t>Triaxis</w:t>
      </w:r>
      <w:proofErr w:type="spellEnd"/>
      <w:r w:rsidRPr="00AF302A">
        <w:rPr>
          <w:sz w:val="24"/>
          <w:szCs w:val="24"/>
        </w:rPr>
        <w:t xml:space="preserve"> givet til i alt 4 546 personer, herunder 298 børn (4 til 6 år), 1 313 unge (11 til 17 år) og 2 935 voksne (18 til 64 år). De mest almindeligt rapporterede bivirkninger efter vaccination omfattede lokale reaktioner på injektionsstedet (smerte, rødme og hævelse), som opstod hos 21 % – 78 % af de vaccinerede, hovedpine og træthed, som opstod hos 16 % – 44 % af de vaccinerede. Disse tegn og symptomer var normalt milde i intensitet og opstod inden for 48 timer efter vaccination. De gik alle sammen over uden </w:t>
      </w:r>
      <w:proofErr w:type="spellStart"/>
      <w:r w:rsidRPr="00AF302A">
        <w:rPr>
          <w:sz w:val="24"/>
          <w:szCs w:val="24"/>
        </w:rPr>
        <w:t>sequelae</w:t>
      </w:r>
      <w:proofErr w:type="spellEnd"/>
      <w:r w:rsidRPr="00AF302A">
        <w:rPr>
          <w:sz w:val="24"/>
          <w:szCs w:val="24"/>
        </w:rPr>
        <w:t>.</w:t>
      </w:r>
    </w:p>
    <w:p w14:paraId="6485F411" w14:textId="77777777" w:rsidR="009C0072" w:rsidRPr="00AF302A" w:rsidRDefault="009C0072" w:rsidP="009C0072">
      <w:pPr>
        <w:tabs>
          <w:tab w:val="left" w:pos="851"/>
        </w:tabs>
        <w:ind w:left="851"/>
        <w:rPr>
          <w:sz w:val="24"/>
          <w:szCs w:val="24"/>
        </w:rPr>
      </w:pPr>
    </w:p>
    <w:p w14:paraId="01F12751" w14:textId="77777777" w:rsidR="009C0072" w:rsidRPr="00AF302A" w:rsidRDefault="009C0072" w:rsidP="009C0072">
      <w:pPr>
        <w:tabs>
          <w:tab w:val="left" w:pos="851"/>
        </w:tabs>
        <w:ind w:left="851"/>
        <w:rPr>
          <w:sz w:val="24"/>
          <w:szCs w:val="24"/>
        </w:rPr>
      </w:pPr>
      <w:r w:rsidRPr="00AF302A">
        <w:rPr>
          <w:sz w:val="24"/>
          <w:szCs w:val="24"/>
        </w:rPr>
        <w:t xml:space="preserve">Der blev foretaget sikkerhedsanalyser hos 1 042 raske, unge mænd og kvinder i alderen 10 til 17 år under et klinisk studie. De fik </w:t>
      </w:r>
      <w:proofErr w:type="spellStart"/>
      <w:r w:rsidRPr="00AF302A">
        <w:rPr>
          <w:sz w:val="24"/>
          <w:szCs w:val="24"/>
        </w:rPr>
        <w:t>quadrivalent</w:t>
      </w:r>
      <w:proofErr w:type="spellEnd"/>
      <w:r w:rsidRPr="00AF302A">
        <w:rPr>
          <w:sz w:val="24"/>
          <w:szCs w:val="24"/>
        </w:rPr>
        <w:t xml:space="preserve"> HPV-vaccine type 6/11/16/18 (</w:t>
      </w:r>
      <w:proofErr w:type="spellStart"/>
      <w:r w:rsidRPr="00AF302A">
        <w:rPr>
          <w:sz w:val="24"/>
          <w:szCs w:val="24"/>
        </w:rPr>
        <w:t>Gardasil</w:t>
      </w:r>
      <w:proofErr w:type="spellEnd"/>
      <w:r w:rsidRPr="00AF302A">
        <w:rPr>
          <w:sz w:val="24"/>
          <w:szCs w:val="24"/>
        </w:rPr>
        <w:t xml:space="preserve">) samtidig med en dosis </w:t>
      </w:r>
      <w:proofErr w:type="spellStart"/>
      <w:r w:rsidRPr="00AF302A">
        <w:rPr>
          <w:sz w:val="24"/>
          <w:szCs w:val="24"/>
        </w:rPr>
        <w:t>Triaxis</w:t>
      </w:r>
      <w:proofErr w:type="spellEnd"/>
      <w:r w:rsidRPr="00AF302A">
        <w:rPr>
          <w:sz w:val="24"/>
          <w:szCs w:val="24"/>
        </w:rPr>
        <w:t xml:space="preserve"> og en dosis </w:t>
      </w:r>
      <w:proofErr w:type="spellStart"/>
      <w:r w:rsidRPr="00AF302A">
        <w:rPr>
          <w:sz w:val="24"/>
          <w:szCs w:val="24"/>
        </w:rPr>
        <w:t>quadrivalent</w:t>
      </w:r>
      <w:proofErr w:type="spellEnd"/>
      <w:r w:rsidRPr="00AF302A">
        <w:rPr>
          <w:sz w:val="24"/>
          <w:szCs w:val="24"/>
        </w:rPr>
        <w:t xml:space="preserve"> konjugeret </w:t>
      </w:r>
      <w:proofErr w:type="spellStart"/>
      <w:r w:rsidRPr="00AF302A">
        <w:rPr>
          <w:sz w:val="24"/>
          <w:szCs w:val="24"/>
        </w:rPr>
        <w:t>meningokokvaccine</w:t>
      </w:r>
      <w:proofErr w:type="spellEnd"/>
      <w:r w:rsidRPr="00AF302A">
        <w:rPr>
          <w:sz w:val="24"/>
          <w:szCs w:val="24"/>
        </w:rPr>
        <w:t xml:space="preserve"> </w:t>
      </w:r>
      <w:proofErr w:type="spellStart"/>
      <w:r w:rsidRPr="00AF302A">
        <w:rPr>
          <w:sz w:val="24"/>
          <w:szCs w:val="24"/>
        </w:rPr>
        <w:t>serogruppe</w:t>
      </w:r>
      <w:proofErr w:type="spellEnd"/>
      <w:r w:rsidRPr="00AF302A">
        <w:rPr>
          <w:sz w:val="24"/>
          <w:szCs w:val="24"/>
        </w:rPr>
        <w:t xml:space="preserve"> A, C, Y og W135. Sikkerhedsprofilerne var ens i både de grupper, der fik samtidig administration, og de grupper, der ikke fik samtidig administration. Der blev observeret højere hyppighed af hævelse på </w:t>
      </w:r>
      <w:proofErr w:type="spellStart"/>
      <w:r w:rsidRPr="00AF302A">
        <w:rPr>
          <w:sz w:val="24"/>
          <w:szCs w:val="24"/>
        </w:rPr>
        <w:t>Gardasil</w:t>
      </w:r>
      <w:proofErr w:type="spellEnd"/>
      <w:r w:rsidRPr="00AF302A">
        <w:rPr>
          <w:sz w:val="24"/>
          <w:szCs w:val="24"/>
        </w:rPr>
        <w:t xml:space="preserve">-injektionsstedet, blå mærker og smerte på </w:t>
      </w:r>
      <w:proofErr w:type="spellStart"/>
      <w:r w:rsidRPr="00AF302A">
        <w:rPr>
          <w:sz w:val="24"/>
          <w:szCs w:val="24"/>
        </w:rPr>
        <w:t>Triaxis</w:t>
      </w:r>
      <w:proofErr w:type="spellEnd"/>
      <w:r w:rsidRPr="00AF302A">
        <w:rPr>
          <w:sz w:val="24"/>
          <w:szCs w:val="24"/>
        </w:rPr>
        <w:t>-injektionsstederne i de grupper, der fik samtidig administration. De forskelle, der blev observeret mellem de grupper, der fik samtidig administration, og de grupper, der ikke fik samtidig administration, var mindre end 7 %, og hos størstedelen af deltagerne blev bivirkningerne rapporteret som milde til moderate i intensitet.</w:t>
      </w:r>
    </w:p>
    <w:p w14:paraId="1B7DFA90" w14:textId="77777777" w:rsidR="009C0072" w:rsidRPr="00AF302A" w:rsidRDefault="009C0072" w:rsidP="009C0072">
      <w:pPr>
        <w:tabs>
          <w:tab w:val="left" w:pos="851"/>
        </w:tabs>
        <w:ind w:left="851"/>
        <w:rPr>
          <w:sz w:val="24"/>
          <w:szCs w:val="24"/>
        </w:rPr>
      </w:pPr>
    </w:p>
    <w:p w14:paraId="4B021944" w14:textId="77777777" w:rsidR="009C0072" w:rsidRPr="00AF302A" w:rsidRDefault="009C0072" w:rsidP="009C0072">
      <w:pPr>
        <w:tabs>
          <w:tab w:val="left" w:pos="851"/>
        </w:tabs>
        <w:ind w:left="851"/>
        <w:rPr>
          <w:sz w:val="24"/>
          <w:szCs w:val="24"/>
          <w:u w:val="single"/>
        </w:rPr>
      </w:pPr>
      <w:r w:rsidRPr="00AF302A">
        <w:rPr>
          <w:sz w:val="24"/>
          <w:szCs w:val="24"/>
          <w:u w:val="single"/>
        </w:rPr>
        <w:t>Tabel over bivirkningerne</w:t>
      </w:r>
    </w:p>
    <w:p w14:paraId="2A9023F7" w14:textId="77777777" w:rsidR="009C0072" w:rsidRPr="00AF302A" w:rsidRDefault="009C0072" w:rsidP="009C0072">
      <w:pPr>
        <w:tabs>
          <w:tab w:val="left" w:pos="851"/>
        </w:tabs>
        <w:ind w:left="851"/>
        <w:rPr>
          <w:sz w:val="24"/>
          <w:szCs w:val="24"/>
        </w:rPr>
      </w:pPr>
    </w:p>
    <w:p w14:paraId="76C08189" w14:textId="77777777" w:rsidR="009C0072" w:rsidRPr="00AF302A" w:rsidRDefault="009C0072" w:rsidP="009C0072">
      <w:pPr>
        <w:tabs>
          <w:tab w:val="left" w:pos="851"/>
        </w:tabs>
        <w:ind w:left="851"/>
        <w:rPr>
          <w:sz w:val="24"/>
          <w:szCs w:val="24"/>
        </w:rPr>
      </w:pPr>
      <w:r w:rsidRPr="00AF302A">
        <w:rPr>
          <w:sz w:val="24"/>
          <w:szCs w:val="24"/>
        </w:rPr>
        <w:t>Bivirkninger er angivet efter hyppighed ved anvendelse af følgende konvention:</w:t>
      </w:r>
      <w:r w:rsidRPr="00AF302A">
        <w:rPr>
          <w:sz w:val="24"/>
          <w:szCs w:val="24"/>
        </w:rPr>
        <w:br/>
        <w:t>Meget almindelig</w:t>
      </w:r>
      <w:r w:rsidRPr="00AF302A">
        <w:rPr>
          <w:sz w:val="24"/>
          <w:szCs w:val="24"/>
        </w:rPr>
        <w:tab/>
      </w:r>
      <w:r w:rsidRPr="00AF302A">
        <w:rPr>
          <w:sz w:val="24"/>
          <w:szCs w:val="24"/>
        </w:rPr>
        <w:tab/>
        <w:t>(</w:t>
      </w:r>
      <w:r w:rsidRPr="00AF302A">
        <w:rPr>
          <w:sz w:val="24"/>
          <w:szCs w:val="24"/>
        </w:rPr>
        <w:sym w:font="Symbol" w:char="F0B3"/>
      </w:r>
      <w:r w:rsidRPr="00AF302A">
        <w:rPr>
          <w:sz w:val="24"/>
          <w:szCs w:val="24"/>
        </w:rPr>
        <w:t> 1/10)</w:t>
      </w:r>
    </w:p>
    <w:p w14:paraId="5236578F" w14:textId="77777777" w:rsidR="009C0072" w:rsidRPr="00AF302A" w:rsidRDefault="009C0072" w:rsidP="009C0072">
      <w:pPr>
        <w:tabs>
          <w:tab w:val="left" w:pos="851"/>
        </w:tabs>
        <w:ind w:left="851"/>
        <w:rPr>
          <w:sz w:val="24"/>
          <w:szCs w:val="24"/>
        </w:rPr>
      </w:pPr>
      <w:r w:rsidRPr="00AF302A">
        <w:rPr>
          <w:sz w:val="24"/>
          <w:szCs w:val="24"/>
        </w:rPr>
        <w:t>Almindelig</w:t>
      </w:r>
      <w:r w:rsidRPr="00AF302A">
        <w:rPr>
          <w:sz w:val="24"/>
          <w:szCs w:val="24"/>
        </w:rPr>
        <w:tab/>
      </w:r>
      <w:r w:rsidRPr="00AF302A">
        <w:rPr>
          <w:sz w:val="24"/>
          <w:szCs w:val="24"/>
        </w:rPr>
        <w:tab/>
        <w:t>(</w:t>
      </w:r>
      <w:r w:rsidRPr="00AF302A">
        <w:rPr>
          <w:sz w:val="24"/>
          <w:szCs w:val="24"/>
        </w:rPr>
        <w:sym w:font="Symbol" w:char="F0B3"/>
      </w:r>
      <w:r w:rsidRPr="00AF302A">
        <w:rPr>
          <w:sz w:val="24"/>
          <w:szCs w:val="24"/>
        </w:rPr>
        <w:t> 1/100 til &lt; 1/10)</w:t>
      </w:r>
    </w:p>
    <w:p w14:paraId="09C9ED48" w14:textId="77777777" w:rsidR="009C0072" w:rsidRPr="00AF302A" w:rsidRDefault="009C0072" w:rsidP="009C0072">
      <w:pPr>
        <w:tabs>
          <w:tab w:val="left" w:pos="851"/>
        </w:tabs>
        <w:ind w:left="851"/>
        <w:rPr>
          <w:sz w:val="24"/>
          <w:szCs w:val="24"/>
        </w:rPr>
      </w:pPr>
      <w:r w:rsidRPr="00AF302A">
        <w:rPr>
          <w:sz w:val="24"/>
          <w:szCs w:val="24"/>
        </w:rPr>
        <w:t>Ikke almindelig</w:t>
      </w:r>
      <w:r w:rsidRPr="00AF302A">
        <w:rPr>
          <w:sz w:val="24"/>
          <w:szCs w:val="24"/>
        </w:rPr>
        <w:tab/>
      </w:r>
      <w:r w:rsidRPr="00AF302A">
        <w:rPr>
          <w:sz w:val="24"/>
          <w:szCs w:val="24"/>
        </w:rPr>
        <w:tab/>
        <w:t>(</w:t>
      </w:r>
      <w:r w:rsidRPr="00AF302A">
        <w:rPr>
          <w:sz w:val="24"/>
          <w:szCs w:val="24"/>
        </w:rPr>
        <w:sym w:font="Symbol" w:char="F0B3"/>
      </w:r>
      <w:r w:rsidRPr="00AF302A">
        <w:rPr>
          <w:sz w:val="24"/>
          <w:szCs w:val="24"/>
        </w:rPr>
        <w:t>1/1 000 til </w:t>
      </w:r>
      <w:r w:rsidRPr="00AF302A">
        <w:rPr>
          <w:sz w:val="24"/>
          <w:szCs w:val="24"/>
        </w:rPr>
        <w:sym w:font="Symbol" w:char="F03C"/>
      </w:r>
      <w:r w:rsidRPr="00AF302A">
        <w:rPr>
          <w:sz w:val="24"/>
          <w:szCs w:val="24"/>
        </w:rPr>
        <w:t> 1/100)</w:t>
      </w:r>
    </w:p>
    <w:p w14:paraId="22A09EF3" w14:textId="77777777" w:rsidR="009C0072" w:rsidRPr="00AF302A" w:rsidRDefault="009C0072" w:rsidP="009C0072">
      <w:pPr>
        <w:tabs>
          <w:tab w:val="left" w:pos="851"/>
        </w:tabs>
        <w:ind w:left="851"/>
        <w:rPr>
          <w:sz w:val="24"/>
          <w:szCs w:val="24"/>
        </w:rPr>
      </w:pPr>
      <w:r w:rsidRPr="00AF302A">
        <w:rPr>
          <w:sz w:val="24"/>
          <w:szCs w:val="24"/>
        </w:rPr>
        <w:t>Sjælden</w:t>
      </w:r>
      <w:r w:rsidRPr="00AF302A">
        <w:rPr>
          <w:sz w:val="24"/>
          <w:szCs w:val="24"/>
        </w:rPr>
        <w:tab/>
      </w:r>
      <w:r w:rsidRPr="00AF302A">
        <w:rPr>
          <w:sz w:val="24"/>
          <w:szCs w:val="24"/>
        </w:rPr>
        <w:tab/>
        <w:t>(</w:t>
      </w:r>
      <w:r w:rsidRPr="00AF302A">
        <w:rPr>
          <w:sz w:val="24"/>
          <w:szCs w:val="24"/>
        </w:rPr>
        <w:sym w:font="Symbol" w:char="F0B3"/>
      </w:r>
      <w:r w:rsidRPr="00AF302A">
        <w:rPr>
          <w:sz w:val="24"/>
          <w:szCs w:val="24"/>
        </w:rPr>
        <w:t>1/10 000 til </w:t>
      </w:r>
      <w:r w:rsidRPr="00AF302A">
        <w:rPr>
          <w:sz w:val="24"/>
          <w:szCs w:val="24"/>
        </w:rPr>
        <w:sym w:font="Symbol" w:char="F03C"/>
      </w:r>
      <w:r w:rsidRPr="00AF302A">
        <w:rPr>
          <w:sz w:val="24"/>
          <w:szCs w:val="24"/>
        </w:rPr>
        <w:t> 1/1 000)</w:t>
      </w:r>
    </w:p>
    <w:p w14:paraId="06FEA82C" w14:textId="77777777" w:rsidR="009C0072" w:rsidRPr="00AF302A" w:rsidRDefault="009C0072" w:rsidP="009C0072">
      <w:pPr>
        <w:tabs>
          <w:tab w:val="left" w:pos="851"/>
        </w:tabs>
        <w:ind w:left="851"/>
        <w:rPr>
          <w:sz w:val="24"/>
          <w:szCs w:val="24"/>
        </w:rPr>
      </w:pPr>
      <w:r w:rsidRPr="00AF302A">
        <w:rPr>
          <w:sz w:val="24"/>
          <w:szCs w:val="24"/>
        </w:rPr>
        <w:t>Meget sjælden</w:t>
      </w:r>
      <w:r w:rsidRPr="00AF302A">
        <w:rPr>
          <w:sz w:val="24"/>
          <w:szCs w:val="24"/>
        </w:rPr>
        <w:tab/>
      </w:r>
      <w:r w:rsidRPr="00AF302A">
        <w:rPr>
          <w:sz w:val="24"/>
          <w:szCs w:val="24"/>
        </w:rPr>
        <w:tab/>
        <w:t>(&lt; 1/10 000)</w:t>
      </w:r>
    </w:p>
    <w:p w14:paraId="728655EE" w14:textId="77777777" w:rsidR="009C0072" w:rsidRPr="00AF302A" w:rsidRDefault="009C0072" w:rsidP="009C0072">
      <w:pPr>
        <w:tabs>
          <w:tab w:val="left" w:pos="851"/>
        </w:tabs>
        <w:ind w:left="851"/>
        <w:rPr>
          <w:sz w:val="24"/>
          <w:szCs w:val="24"/>
        </w:rPr>
      </w:pPr>
      <w:r w:rsidRPr="00AF302A">
        <w:rPr>
          <w:sz w:val="24"/>
          <w:szCs w:val="24"/>
        </w:rPr>
        <w:t>Ikke kendt</w:t>
      </w:r>
      <w:r w:rsidRPr="00AF302A">
        <w:rPr>
          <w:sz w:val="24"/>
          <w:szCs w:val="24"/>
        </w:rPr>
        <w:tab/>
      </w:r>
      <w:r w:rsidRPr="00AF302A">
        <w:rPr>
          <w:sz w:val="24"/>
          <w:szCs w:val="24"/>
        </w:rPr>
        <w:tab/>
        <w:t>kan ikke estimeres ud fra forhåndenværende data</w:t>
      </w:r>
    </w:p>
    <w:p w14:paraId="269B8346" w14:textId="77777777" w:rsidR="009C0072" w:rsidRPr="00AF302A" w:rsidRDefault="009C0072" w:rsidP="009C0072">
      <w:pPr>
        <w:tabs>
          <w:tab w:val="left" w:pos="851"/>
        </w:tabs>
        <w:ind w:left="851"/>
        <w:rPr>
          <w:sz w:val="24"/>
          <w:szCs w:val="24"/>
        </w:rPr>
      </w:pPr>
    </w:p>
    <w:p w14:paraId="3707D8FD" w14:textId="77777777" w:rsidR="009C0072" w:rsidRPr="00AF302A" w:rsidRDefault="009C0072" w:rsidP="009C0072">
      <w:pPr>
        <w:tabs>
          <w:tab w:val="left" w:pos="851"/>
        </w:tabs>
        <w:ind w:left="851"/>
        <w:rPr>
          <w:sz w:val="24"/>
          <w:szCs w:val="24"/>
        </w:rPr>
      </w:pPr>
      <w:r w:rsidRPr="00AF302A">
        <w:rPr>
          <w:sz w:val="24"/>
          <w:szCs w:val="24"/>
        </w:rPr>
        <w:t xml:space="preserve">Tabel 1 viser bivirkninger observeret i kliniske studier og omfatter også yderligere bivirkninger, som er blevet rapporteret spontant fra hele verden ved brug af </w:t>
      </w:r>
      <w:proofErr w:type="spellStart"/>
      <w:r w:rsidRPr="00AF302A">
        <w:rPr>
          <w:sz w:val="24"/>
          <w:szCs w:val="24"/>
        </w:rPr>
        <w:t>Triaxis</w:t>
      </w:r>
      <w:proofErr w:type="spellEnd"/>
      <w:r w:rsidRPr="00AF302A">
        <w:rPr>
          <w:sz w:val="24"/>
          <w:szCs w:val="24"/>
        </w:rPr>
        <w:t xml:space="preserve"> efter markedsføring. Da post-marketing bivirkninger er rapporteret spontant fra en population af ukendt størrelse, er det ikke altid muligt at give et pålideligt estimat for deres hyppighed eller fastlægge en kausal sammenhæng med eksponering for vaccine. Derfor er hyppighedskategorien ”Ikke kendt” tildelt disse bivirkninger.</w:t>
      </w:r>
    </w:p>
    <w:p w14:paraId="431C4378" w14:textId="77777777" w:rsidR="009C0072" w:rsidRPr="00AF302A" w:rsidRDefault="009C0072" w:rsidP="009C0072">
      <w:pPr>
        <w:tabs>
          <w:tab w:val="left" w:pos="851"/>
        </w:tabs>
        <w:ind w:left="851"/>
        <w:rPr>
          <w:sz w:val="24"/>
          <w:szCs w:val="24"/>
        </w:rPr>
      </w:pPr>
    </w:p>
    <w:p w14:paraId="2E55191A" w14:textId="68270B3E" w:rsidR="009C0072" w:rsidRPr="00AF302A" w:rsidRDefault="009C0072" w:rsidP="00AF302A">
      <w:pPr>
        <w:rPr>
          <w:b/>
          <w:sz w:val="24"/>
          <w:szCs w:val="24"/>
        </w:rPr>
      </w:pPr>
      <w:bookmarkStart w:id="5" w:name="Table_20080422_131834SNPH"/>
      <w:r w:rsidRPr="00AF302A">
        <w:rPr>
          <w:b/>
          <w:sz w:val="24"/>
          <w:szCs w:val="24"/>
        </w:rPr>
        <w:t>Tabel </w:t>
      </w:r>
      <w:r w:rsidRPr="00AF302A">
        <w:rPr>
          <w:sz w:val="24"/>
          <w:szCs w:val="24"/>
        </w:rPr>
        <w:fldChar w:fldCharType="begin"/>
      </w:r>
      <w:r w:rsidRPr="00AF302A">
        <w:rPr>
          <w:b/>
          <w:sz w:val="24"/>
          <w:szCs w:val="24"/>
        </w:rPr>
        <w:instrText xml:space="preserve"> SEQ Table \* ARABIC </w:instrText>
      </w:r>
      <w:r w:rsidRPr="00AF302A">
        <w:rPr>
          <w:sz w:val="24"/>
          <w:szCs w:val="24"/>
        </w:rPr>
        <w:fldChar w:fldCharType="separate"/>
      </w:r>
      <w:r w:rsidR="001B2530">
        <w:rPr>
          <w:b/>
          <w:noProof/>
          <w:sz w:val="24"/>
          <w:szCs w:val="24"/>
        </w:rPr>
        <w:t>1</w:t>
      </w:r>
      <w:r w:rsidRPr="00AF302A">
        <w:rPr>
          <w:sz w:val="24"/>
          <w:szCs w:val="24"/>
        </w:rPr>
        <w:fldChar w:fldCharType="end"/>
      </w:r>
      <w:bookmarkEnd w:id="5"/>
      <w:r w:rsidRPr="00AF302A">
        <w:rPr>
          <w:b/>
          <w:sz w:val="24"/>
          <w:szCs w:val="24"/>
        </w:rPr>
        <w:t>: Bivirkninger fra kliniske studier og erfaring efter markedsføring fra hele verden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96"/>
        <w:gridCol w:w="1655"/>
        <w:gridCol w:w="1765"/>
        <w:gridCol w:w="1901"/>
        <w:gridCol w:w="1905"/>
      </w:tblGrid>
      <w:tr w:rsidR="009C0072" w:rsidRPr="00B84667" w14:paraId="64FFE73C" w14:textId="77777777" w:rsidTr="00AF302A">
        <w:trPr>
          <w:tblHeader/>
        </w:trPr>
        <w:tc>
          <w:tcPr>
            <w:tcW w:w="1245" w:type="pct"/>
            <w:tcBorders>
              <w:top w:val="single" w:sz="6" w:space="0" w:color="auto"/>
              <w:left w:val="single" w:sz="6" w:space="0" w:color="auto"/>
              <w:bottom w:val="single" w:sz="6" w:space="0" w:color="auto"/>
              <w:right w:val="single" w:sz="6" w:space="0" w:color="auto"/>
            </w:tcBorders>
            <w:hideMark/>
          </w:tcPr>
          <w:p w14:paraId="11B0D15E" w14:textId="77777777" w:rsidR="009C0072" w:rsidRPr="00B84667" w:rsidRDefault="009C0072">
            <w:pPr>
              <w:pStyle w:val="wcpTableColHeader"/>
              <w:rPr>
                <w:color w:val="000000"/>
                <w:szCs w:val="22"/>
                <w:lang w:val="nb-NO"/>
              </w:rPr>
            </w:pPr>
            <w:r w:rsidRPr="00B84667">
              <w:rPr>
                <w:color w:val="000000"/>
                <w:szCs w:val="22"/>
                <w:lang w:val="nb-NO"/>
              </w:rPr>
              <w:t>Systemorganklasse</w:t>
            </w:r>
          </w:p>
        </w:tc>
        <w:tc>
          <w:tcPr>
            <w:tcW w:w="860" w:type="pct"/>
            <w:tcBorders>
              <w:top w:val="single" w:sz="6" w:space="0" w:color="auto"/>
              <w:left w:val="single" w:sz="6" w:space="0" w:color="auto"/>
              <w:bottom w:val="single" w:sz="6" w:space="0" w:color="auto"/>
              <w:right w:val="single" w:sz="6" w:space="0" w:color="auto"/>
            </w:tcBorders>
            <w:hideMark/>
          </w:tcPr>
          <w:p w14:paraId="475CAB3C" w14:textId="77777777" w:rsidR="009C0072" w:rsidRPr="00B84667" w:rsidRDefault="009C0072">
            <w:pPr>
              <w:pStyle w:val="wcpTableColHeader"/>
              <w:rPr>
                <w:color w:val="000000"/>
                <w:szCs w:val="22"/>
                <w:lang w:val="nb-NO"/>
              </w:rPr>
            </w:pPr>
            <w:r w:rsidRPr="00B84667">
              <w:rPr>
                <w:color w:val="000000"/>
                <w:szCs w:val="22"/>
                <w:lang w:val="nb-NO"/>
              </w:rPr>
              <w:t>Hyppighed</w:t>
            </w:r>
          </w:p>
        </w:tc>
        <w:tc>
          <w:tcPr>
            <w:tcW w:w="917" w:type="pct"/>
            <w:tcBorders>
              <w:top w:val="single" w:sz="6" w:space="0" w:color="auto"/>
              <w:left w:val="single" w:sz="6" w:space="0" w:color="auto"/>
              <w:bottom w:val="single" w:sz="6" w:space="0" w:color="auto"/>
              <w:right w:val="single" w:sz="6" w:space="0" w:color="auto"/>
            </w:tcBorders>
            <w:hideMark/>
          </w:tcPr>
          <w:p w14:paraId="4921FD74" w14:textId="77777777" w:rsidR="009C0072" w:rsidRPr="00B84667" w:rsidRDefault="009C0072">
            <w:pPr>
              <w:pStyle w:val="wcpTableColHeader"/>
              <w:rPr>
                <w:color w:val="000000"/>
                <w:szCs w:val="22"/>
                <w:lang w:val="nb-NO"/>
              </w:rPr>
            </w:pPr>
            <w:r w:rsidRPr="00B84667">
              <w:rPr>
                <w:color w:val="000000"/>
                <w:szCs w:val="22"/>
                <w:lang w:val="nb-NO"/>
              </w:rPr>
              <w:t>Børn</w:t>
            </w:r>
            <w:r w:rsidRPr="00B84667">
              <w:rPr>
                <w:color w:val="000000"/>
                <w:szCs w:val="22"/>
                <w:lang w:val="nb-NO"/>
              </w:rPr>
              <w:br/>
              <w:t>(4 til 6 år)</w:t>
            </w:r>
            <w:r w:rsidRPr="00B84667">
              <w:rPr>
                <w:color w:val="000000"/>
                <w:szCs w:val="22"/>
                <w:lang w:val="nb-NO"/>
              </w:rPr>
              <w:br/>
            </w:r>
          </w:p>
        </w:tc>
        <w:tc>
          <w:tcPr>
            <w:tcW w:w="988" w:type="pct"/>
            <w:tcBorders>
              <w:top w:val="single" w:sz="6" w:space="0" w:color="auto"/>
              <w:left w:val="single" w:sz="6" w:space="0" w:color="auto"/>
              <w:bottom w:val="single" w:sz="6" w:space="0" w:color="auto"/>
              <w:right w:val="single" w:sz="6" w:space="0" w:color="auto"/>
            </w:tcBorders>
            <w:hideMark/>
          </w:tcPr>
          <w:p w14:paraId="3805311E" w14:textId="77777777" w:rsidR="009C0072" w:rsidRPr="00B84667" w:rsidRDefault="009C0072">
            <w:pPr>
              <w:pStyle w:val="wcpTableColHeader"/>
              <w:rPr>
                <w:color w:val="000000"/>
                <w:szCs w:val="22"/>
                <w:lang w:val="nb-NO"/>
              </w:rPr>
            </w:pPr>
            <w:r w:rsidRPr="00B84667">
              <w:rPr>
                <w:color w:val="000000"/>
                <w:szCs w:val="22"/>
                <w:lang w:val="nb-NO"/>
              </w:rPr>
              <w:t>Unge</w:t>
            </w:r>
            <w:r w:rsidRPr="00B84667">
              <w:rPr>
                <w:color w:val="000000"/>
                <w:szCs w:val="22"/>
                <w:lang w:val="nb-NO"/>
              </w:rPr>
              <w:br/>
              <w:t>(11 til 17 år)</w:t>
            </w:r>
            <w:r w:rsidRPr="00B84667">
              <w:rPr>
                <w:color w:val="000000"/>
                <w:szCs w:val="22"/>
                <w:lang w:val="nb-NO"/>
              </w:rPr>
              <w:br/>
            </w:r>
          </w:p>
        </w:tc>
        <w:tc>
          <w:tcPr>
            <w:tcW w:w="990" w:type="pct"/>
            <w:tcBorders>
              <w:top w:val="single" w:sz="6" w:space="0" w:color="auto"/>
              <w:left w:val="single" w:sz="6" w:space="0" w:color="auto"/>
              <w:bottom w:val="single" w:sz="6" w:space="0" w:color="auto"/>
              <w:right w:val="single" w:sz="6" w:space="0" w:color="auto"/>
            </w:tcBorders>
            <w:hideMark/>
          </w:tcPr>
          <w:p w14:paraId="3A3A2DE8" w14:textId="77777777" w:rsidR="009C0072" w:rsidRPr="00B84667" w:rsidRDefault="009C0072">
            <w:pPr>
              <w:pStyle w:val="wcpTableColHeader"/>
              <w:rPr>
                <w:color w:val="000000"/>
                <w:szCs w:val="22"/>
                <w:lang w:val="nb-NO"/>
              </w:rPr>
            </w:pPr>
            <w:r w:rsidRPr="00B84667">
              <w:rPr>
                <w:color w:val="000000"/>
                <w:szCs w:val="22"/>
                <w:lang w:val="nb-NO"/>
              </w:rPr>
              <w:t>Voksne</w:t>
            </w:r>
            <w:r w:rsidRPr="00B84667">
              <w:rPr>
                <w:color w:val="000000"/>
                <w:szCs w:val="22"/>
                <w:lang w:val="nb-NO"/>
              </w:rPr>
              <w:br/>
              <w:t>(18 til 64 år)</w:t>
            </w:r>
            <w:r w:rsidRPr="00B84667">
              <w:rPr>
                <w:color w:val="000000"/>
                <w:szCs w:val="22"/>
                <w:lang w:val="nb-NO"/>
              </w:rPr>
              <w:br/>
            </w:r>
          </w:p>
        </w:tc>
      </w:tr>
      <w:tr w:rsidR="009C0072" w:rsidRPr="00B84667" w14:paraId="6FE82DC7" w14:textId="77777777" w:rsidTr="00AF302A">
        <w:tc>
          <w:tcPr>
            <w:tcW w:w="1245" w:type="pct"/>
            <w:tcBorders>
              <w:top w:val="single" w:sz="6" w:space="0" w:color="auto"/>
              <w:left w:val="single" w:sz="6" w:space="0" w:color="auto"/>
              <w:bottom w:val="single" w:sz="6" w:space="0" w:color="auto"/>
              <w:right w:val="single" w:sz="6" w:space="0" w:color="auto"/>
            </w:tcBorders>
            <w:hideMark/>
          </w:tcPr>
          <w:p w14:paraId="4856CD5A" w14:textId="77777777" w:rsidR="009C0072" w:rsidRPr="00B84667" w:rsidRDefault="009C0072">
            <w:pPr>
              <w:pStyle w:val="wcpTableContent"/>
              <w:spacing w:before="120" w:after="120"/>
              <w:rPr>
                <w:iCs/>
                <w:color w:val="000000"/>
                <w:szCs w:val="22"/>
                <w:lang w:val="nb-NO"/>
              </w:rPr>
            </w:pPr>
            <w:r w:rsidRPr="00B84667">
              <w:rPr>
                <w:color w:val="000000"/>
                <w:szCs w:val="22"/>
                <w:lang w:val="nb-NO"/>
              </w:rPr>
              <w:t>Immunsystemet</w:t>
            </w:r>
          </w:p>
        </w:tc>
        <w:tc>
          <w:tcPr>
            <w:tcW w:w="860" w:type="pct"/>
            <w:tcBorders>
              <w:top w:val="single" w:sz="6" w:space="0" w:color="auto"/>
              <w:left w:val="single" w:sz="6" w:space="0" w:color="auto"/>
              <w:bottom w:val="single" w:sz="6" w:space="0" w:color="auto"/>
              <w:right w:val="single" w:sz="6" w:space="0" w:color="auto"/>
            </w:tcBorders>
            <w:hideMark/>
          </w:tcPr>
          <w:p w14:paraId="4510C665" w14:textId="77777777" w:rsidR="009C0072" w:rsidRPr="00B84667" w:rsidRDefault="009C0072">
            <w:pPr>
              <w:pStyle w:val="wcpTableContent"/>
              <w:ind w:left="240" w:hanging="240"/>
              <w:jc w:val="center"/>
              <w:rPr>
                <w:i/>
                <w:iCs/>
                <w:color w:val="000000"/>
                <w:szCs w:val="22"/>
                <w:lang w:val="nb-NO"/>
              </w:rPr>
            </w:pPr>
            <w:r w:rsidRPr="00B84667">
              <w:rPr>
                <w:color w:val="000000"/>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2F97DC38" w14:textId="77777777" w:rsidR="009C0072" w:rsidRPr="00B84667" w:rsidRDefault="009C0072">
            <w:pPr>
              <w:pStyle w:val="wcpTableContent"/>
              <w:ind w:left="240" w:hanging="240"/>
              <w:jc w:val="center"/>
              <w:rPr>
                <w:i/>
                <w:iCs/>
                <w:color w:val="000000"/>
                <w:szCs w:val="22"/>
                <w:lang w:val="nb-NO"/>
              </w:rPr>
            </w:pPr>
            <w:r w:rsidRPr="00B84667">
              <w:rPr>
                <w:color w:val="000000"/>
                <w:szCs w:val="22"/>
                <w:lang w:val="nb-NO"/>
              </w:rPr>
              <w:t>Overfølsomhedsreaktioner (anafylaktiske), (angioødem, ødem, udslæt, hypotension)*</w:t>
            </w:r>
          </w:p>
        </w:tc>
      </w:tr>
      <w:tr w:rsidR="009C0072" w:rsidRPr="00B84667" w14:paraId="2AFCB282" w14:textId="77777777" w:rsidTr="00AF302A">
        <w:tc>
          <w:tcPr>
            <w:tcW w:w="1245" w:type="pct"/>
            <w:tcBorders>
              <w:top w:val="single" w:sz="6" w:space="0" w:color="auto"/>
              <w:left w:val="single" w:sz="6" w:space="0" w:color="auto"/>
              <w:bottom w:val="single" w:sz="6" w:space="0" w:color="auto"/>
              <w:right w:val="single" w:sz="6" w:space="0" w:color="auto"/>
            </w:tcBorders>
            <w:hideMark/>
          </w:tcPr>
          <w:p w14:paraId="3931188A" w14:textId="77777777" w:rsidR="009C0072" w:rsidRPr="00B84667" w:rsidRDefault="009C0072">
            <w:pPr>
              <w:pStyle w:val="wcpTableContent"/>
              <w:spacing w:before="120" w:after="120"/>
              <w:rPr>
                <w:iCs/>
                <w:color w:val="000000"/>
                <w:szCs w:val="22"/>
                <w:lang w:val="nb-NO"/>
              </w:rPr>
            </w:pPr>
            <w:r w:rsidRPr="00B84667">
              <w:rPr>
                <w:color w:val="000000"/>
                <w:szCs w:val="22"/>
                <w:lang w:val="nb-NO"/>
              </w:rPr>
              <w:t>Metabolisme og ernæring</w:t>
            </w:r>
          </w:p>
        </w:tc>
        <w:tc>
          <w:tcPr>
            <w:tcW w:w="860" w:type="pct"/>
            <w:tcBorders>
              <w:top w:val="single" w:sz="6" w:space="0" w:color="auto"/>
              <w:left w:val="single" w:sz="6" w:space="0" w:color="auto"/>
              <w:bottom w:val="single" w:sz="6" w:space="0" w:color="auto"/>
              <w:right w:val="single" w:sz="6" w:space="0" w:color="auto"/>
            </w:tcBorders>
            <w:hideMark/>
          </w:tcPr>
          <w:p w14:paraId="2B8739AE" w14:textId="77777777" w:rsidR="009C0072" w:rsidRPr="00B84667" w:rsidRDefault="009C0072">
            <w:pPr>
              <w:pStyle w:val="wcpTableContent"/>
              <w:jc w:val="center"/>
              <w:rPr>
                <w:color w:val="000000"/>
                <w:szCs w:val="22"/>
                <w:lang w:val="nb-NO"/>
              </w:rPr>
            </w:pPr>
            <w:r w:rsidRPr="00B84667">
              <w:rPr>
                <w:color w:val="000000"/>
                <w:szCs w:val="22"/>
                <w:lang w:val="nb-NO"/>
              </w:rPr>
              <w:t>Meget almindelig</w:t>
            </w:r>
          </w:p>
        </w:tc>
        <w:tc>
          <w:tcPr>
            <w:tcW w:w="917" w:type="pct"/>
            <w:tcBorders>
              <w:top w:val="single" w:sz="6" w:space="0" w:color="auto"/>
              <w:left w:val="single" w:sz="6" w:space="0" w:color="auto"/>
              <w:bottom w:val="single" w:sz="6" w:space="0" w:color="auto"/>
              <w:right w:val="single" w:sz="6" w:space="0" w:color="auto"/>
            </w:tcBorders>
            <w:hideMark/>
          </w:tcPr>
          <w:p w14:paraId="7DBC8FFD" w14:textId="77777777" w:rsidR="009C0072" w:rsidRPr="00B84667" w:rsidRDefault="009C0072">
            <w:pPr>
              <w:pStyle w:val="wcpTableContent"/>
              <w:jc w:val="center"/>
              <w:rPr>
                <w:color w:val="000000"/>
                <w:szCs w:val="22"/>
                <w:lang w:val="nb-NO"/>
              </w:rPr>
            </w:pPr>
            <w:r w:rsidRPr="00B84667">
              <w:rPr>
                <w:color w:val="000000"/>
                <w:szCs w:val="22"/>
                <w:lang w:val="nb-NO"/>
              </w:rPr>
              <w:t>Anoreksi (nedsat appetit)</w:t>
            </w:r>
          </w:p>
        </w:tc>
        <w:tc>
          <w:tcPr>
            <w:tcW w:w="1978" w:type="pct"/>
            <w:gridSpan w:val="2"/>
            <w:tcBorders>
              <w:top w:val="single" w:sz="6" w:space="0" w:color="auto"/>
              <w:left w:val="single" w:sz="6" w:space="0" w:color="auto"/>
              <w:bottom w:val="single" w:sz="6" w:space="0" w:color="auto"/>
              <w:right w:val="single" w:sz="6" w:space="0" w:color="auto"/>
            </w:tcBorders>
          </w:tcPr>
          <w:p w14:paraId="45ECDD90" w14:textId="77777777" w:rsidR="009C0072" w:rsidRPr="00B84667" w:rsidRDefault="009C0072">
            <w:pPr>
              <w:pStyle w:val="wcpTableContent"/>
              <w:jc w:val="center"/>
              <w:rPr>
                <w:color w:val="000000"/>
                <w:szCs w:val="22"/>
                <w:lang w:val="en-GB"/>
              </w:rPr>
            </w:pPr>
          </w:p>
        </w:tc>
      </w:tr>
      <w:tr w:rsidR="009C0072" w:rsidRPr="00B84667" w14:paraId="6BC25DA8" w14:textId="77777777" w:rsidTr="00AF302A">
        <w:tc>
          <w:tcPr>
            <w:tcW w:w="1245" w:type="pct"/>
            <w:vMerge w:val="restart"/>
            <w:tcBorders>
              <w:top w:val="single" w:sz="6" w:space="0" w:color="auto"/>
              <w:left w:val="single" w:sz="6" w:space="0" w:color="auto"/>
              <w:bottom w:val="single" w:sz="6" w:space="0" w:color="auto"/>
              <w:right w:val="single" w:sz="6" w:space="0" w:color="auto"/>
            </w:tcBorders>
            <w:hideMark/>
          </w:tcPr>
          <w:p w14:paraId="3B58ECDC" w14:textId="77777777" w:rsidR="009C0072" w:rsidRPr="00B84667" w:rsidRDefault="009C0072">
            <w:pPr>
              <w:pStyle w:val="wcpTableContent"/>
              <w:spacing w:before="120" w:after="120"/>
              <w:rPr>
                <w:iCs/>
                <w:color w:val="000000"/>
                <w:szCs w:val="22"/>
                <w:lang w:val="nb-NO"/>
              </w:rPr>
            </w:pPr>
            <w:r w:rsidRPr="00B84667">
              <w:rPr>
                <w:color w:val="000000"/>
                <w:szCs w:val="22"/>
                <w:lang w:val="nb-NO"/>
              </w:rPr>
              <w:t>Nervesystemet</w:t>
            </w:r>
          </w:p>
        </w:tc>
        <w:tc>
          <w:tcPr>
            <w:tcW w:w="860" w:type="pct"/>
            <w:tcBorders>
              <w:top w:val="single" w:sz="6" w:space="0" w:color="auto"/>
              <w:left w:val="single" w:sz="6" w:space="0" w:color="auto"/>
              <w:bottom w:val="single" w:sz="6" w:space="0" w:color="auto"/>
              <w:right w:val="single" w:sz="6" w:space="0" w:color="auto"/>
            </w:tcBorders>
            <w:hideMark/>
          </w:tcPr>
          <w:p w14:paraId="5D838046" w14:textId="77777777" w:rsidR="009C0072" w:rsidRPr="00B84667" w:rsidRDefault="009C0072">
            <w:pPr>
              <w:pStyle w:val="wcpTableContent"/>
              <w:jc w:val="center"/>
              <w:rPr>
                <w:color w:val="000000"/>
                <w:szCs w:val="22"/>
                <w:lang w:val="nb-NO"/>
              </w:rPr>
            </w:pPr>
            <w:r w:rsidRPr="00B84667">
              <w:rPr>
                <w:color w:val="000000"/>
                <w:szCs w:val="22"/>
                <w:lang w:val="nb-NO"/>
              </w:rPr>
              <w:t>Meget almindelig</w:t>
            </w:r>
          </w:p>
        </w:tc>
        <w:tc>
          <w:tcPr>
            <w:tcW w:w="2895" w:type="pct"/>
            <w:gridSpan w:val="3"/>
            <w:tcBorders>
              <w:top w:val="single" w:sz="6" w:space="0" w:color="auto"/>
              <w:left w:val="single" w:sz="6" w:space="0" w:color="auto"/>
              <w:bottom w:val="single" w:sz="6" w:space="0" w:color="auto"/>
              <w:right w:val="single" w:sz="6" w:space="0" w:color="auto"/>
            </w:tcBorders>
            <w:hideMark/>
          </w:tcPr>
          <w:p w14:paraId="18DCDACB" w14:textId="77777777" w:rsidR="009C0072" w:rsidRPr="00B84667" w:rsidRDefault="009C0072">
            <w:pPr>
              <w:pStyle w:val="wcpTableContent"/>
              <w:jc w:val="center"/>
              <w:rPr>
                <w:color w:val="000000"/>
                <w:szCs w:val="22"/>
                <w:lang w:val="nb-NO"/>
              </w:rPr>
            </w:pPr>
            <w:r w:rsidRPr="00B84667">
              <w:rPr>
                <w:color w:val="000000"/>
                <w:szCs w:val="22"/>
                <w:lang w:val="nb-NO"/>
              </w:rPr>
              <w:t>Hovedpine</w:t>
            </w:r>
          </w:p>
        </w:tc>
      </w:tr>
      <w:tr w:rsidR="009C0072" w:rsidRPr="00B84667" w14:paraId="3092347D"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1A8FF3EA"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1F8D117B" w14:textId="77777777" w:rsidR="009C0072" w:rsidRPr="00B84667" w:rsidRDefault="009C0072">
            <w:pPr>
              <w:pStyle w:val="wcpTableContent"/>
              <w:jc w:val="center"/>
              <w:rPr>
                <w:color w:val="000000"/>
                <w:szCs w:val="22"/>
                <w:lang w:val="nb-NO"/>
              </w:rPr>
            </w:pPr>
            <w:r w:rsidRPr="00B84667">
              <w:rPr>
                <w:color w:val="000000"/>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01E45B60" w14:textId="77777777" w:rsidR="009C0072" w:rsidRPr="00B84667" w:rsidRDefault="009C0072">
            <w:pPr>
              <w:pStyle w:val="wcpTableContent"/>
              <w:jc w:val="center"/>
              <w:rPr>
                <w:color w:val="000000"/>
                <w:szCs w:val="22"/>
                <w:lang w:val="nb-NO"/>
              </w:rPr>
            </w:pPr>
            <w:r w:rsidRPr="00B84667">
              <w:rPr>
                <w:color w:val="000000"/>
                <w:szCs w:val="22"/>
                <w:lang w:val="nb-NO"/>
              </w:rPr>
              <w:t>Paræstesi*, hypoæstesi*, Guillain-Barré syndrom*, brachial neuritis*, facialisparese*, kramper*, synkope*, myelitis*</w:t>
            </w:r>
          </w:p>
        </w:tc>
      </w:tr>
      <w:tr w:rsidR="009C0072" w:rsidRPr="00B84667" w14:paraId="564CAFE3" w14:textId="77777777" w:rsidTr="00AF302A">
        <w:tc>
          <w:tcPr>
            <w:tcW w:w="1245" w:type="pct"/>
            <w:tcBorders>
              <w:top w:val="single" w:sz="6" w:space="0" w:color="auto"/>
              <w:left w:val="single" w:sz="6" w:space="0" w:color="auto"/>
              <w:bottom w:val="single" w:sz="6" w:space="0" w:color="auto"/>
              <w:right w:val="single" w:sz="6" w:space="0" w:color="auto"/>
            </w:tcBorders>
            <w:hideMark/>
          </w:tcPr>
          <w:p w14:paraId="73F4653E" w14:textId="77777777" w:rsidR="009C0072" w:rsidRPr="00B84667" w:rsidRDefault="009C0072">
            <w:pPr>
              <w:pStyle w:val="wcpTableContent"/>
              <w:rPr>
                <w:iCs/>
                <w:color w:val="000000"/>
                <w:szCs w:val="22"/>
                <w:lang w:val="nb-NO"/>
              </w:rPr>
            </w:pPr>
            <w:r w:rsidRPr="00B84667">
              <w:rPr>
                <w:color w:val="000000"/>
                <w:szCs w:val="22"/>
                <w:lang w:val="nb-NO"/>
              </w:rPr>
              <w:t>Hjerte</w:t>
            </w:r>
          </w:p>
        </w:tc>
        <w:tc>
          <w:tcPr>
            <w:tcW w:w="860" w:type="pct"/>
            <w:tcBorders>
              <w:top w:val="single" w:sz="6" w:space="0" w:color="auto"/>
              <w:left w:val="single" w:sz="6" w:space="0" w:color="auto"/>
              <w:bottom w:val="single" w:sz="6" w:space="0" w:color="auto"/>
              <w:right w:val="single" w:sz="6" w:space="0" w:color="auto"/>
            </w:tcBorders>
            <w:hideMark/>
          </w:tcPr>
          <w:p w14:paraId="01DCF775" w14:textId="77777777" w:rsidR="009C0072" w:rsidRPr="00B84667" w:rsidRDefault="009C0072">
            <w:pPr>
              <w:pStyle w:val="wcpTableContent"/>
              <w:jc w:val="center"/>
              <w:rPr>
                <w:color w:val="000000"/>
                <w:szCs w:val="22"/>
                <w:lang w:val="nb-NO"/>
              </w:rPr>
            </w:pPr>
            <w:r w:rsidRPr="00B84667">
              <w:rPr>
                <w:color w:val="000000"/>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150E07C4" w14:textId="77777777" w:rsidR="009C0072" w:rsidRPr="00B84667" w:rsidRDefault="009C0072">
            <w:pPr>
              <w:pStyle w:val="wcpTableContent"/>
              <w:jc w:val="center"/>
              <w:rPr>
                <w:color w:val="000000"/>
                <w:szCs w:val="22"/>
                <w:lang w:val="nb-NO"/>
              </w:rPr>
            </w:pPr>
            <w:r w:rsidRPr="00B84667">
              <w:rPr>
                <w:color w:val="000000"/>
                <w:szCs w:val="22"/>
                <w:lang w:val="nb-NO"/>
              </w:rPr>
              <w:t>Myokarditis*</w:t>
            </w:r>
          </w:p>
        </w:tc>
      </w:tr>
      <w:tr w:rsidR="009C0072" w:rsidRPr="00B84667" w14:paraId="1426700D" w14:textId="77777777" w:rsidTr="00AF302A">
        <w:tc>
          <w:tcPr>
            <w:tcW w:w="1245" w:type="pct"/>
            <w:vMerge w:val="restart"/>
            <w:tcBorders>
              <w:top w:val="single" w:sz="6" w:space="0" w:color="auto"/>
              <w:left w:val="single" w:sz="6" w:space="0" w:color="auto"/>
              <w:bottom w:val="single" w:sz="6" w:space="0" w:color="auto"/>
              <w:right w:val="single" w:sz="6" w:space="0" w:color="auto"/>
            </w:tcBorders>
            <w:hideMark/>
          </w:tcPr>
          <w:p w14:paraId="57048575" w14:textId="77777777" w:rsidR="009C0072" w:rsidRPr="00B84667" w:rsidRDefault="009C0072">
            <w:pPr>
              <w:pStyle w:val="wcpTableContent"/>
              <w:rPr>
                <w:iCs/>
                <w:color w:val="000000"/>
                <w:szCs w:val="22"/>
                <w:lang w:val="nb-NO"/>
              </w:rPr>
            </w:pPr>
            <w:r w:rsidRPr="00B84667">
              <w:rPr>
                <w:color w:val="000000"/>
                <w:szCs w:val="22"/>
                <w:lang w:val="nb-NO"/>
              </w:rPr>
              <w:t>Mave-tarm-kanalen</w:t>
            </w:r>
          </w:p>
        </w:tc>
        <w:tc>
          <w:tcPr>
            <w:tcW w:w="860" w:type="pct"/>
            <w:tcBorders>
              <w:top w:val="single" w:sz="6" w:space="0" w:color="auto"/>
              <w:left w:val="single" w:sz="6" w:space="0" w:color="auto"/>
              <w:bottom w:val="single" w:sz="6" w:space="0" w:color="auto"/>
              <w:right w:val="single" w:sz="6" w:space="0" w:color="auto"/>
            </w:tcBorders>
            <w:hideMark/>
          </w:tcPr>
          <w:p w14:paraId="6380CC38" w14:textId="77777777" w:rsidR="009C0072" w:rsidRPr="00B84667" w:rsidRDefault="009C0072">
            <w:pPr>
              <w:pStyle w:val="wcpTableContent"/>
              <w:jc w:val="center"/>
              <w:rPr>
                <w:color w:val="000000"/>
                <w:szCs w:val="22"/>
                <w:lang w:val="nb-NO"/>
              </w:rPr>
            </w:pPr>
            <w:r w:rsidRPr="00B84667">
              <w:rPr>
                <w:color w:val="000000"/>
                <w:szCs w:val="22"/>
                <w:lang w:val="nb-NO"/>
              </w:rPr>
              <w:t>Meget almindelig</w:t>
            </w:r>
          </w:p>
        </w:tc>
        <w:tc>
          <w:tcPr>
            <w:tcW w:w="917" w:type="pct"/>
            <w:tcBorders>
              <w:top w:val="single" w:sz="6" w:space="0" w:color="auto"/>
              <w:left w:val="single" w:sz="6" w:space="0" w:color="auto"/>
              <w:bottom w:val="single" w:sz="6" w:space="0" w:color="auto"/>
              <w:right w:val="single" w:sz="6" w:space="0" w:color="auto"/>
            </w:tcBorders>
            <w:hideMark/>
          </w:tcPr>
          <w:p w14:paraId="5F275DB4" w14:textId="77777777" w:rsidR="009C0072" w:rsidRPr="00B84667" w:rsidRDefault="009C0072">
            <w:pPr>
              <w:pStyle w:val="wcpTableContent"/>
              <w:jc w:val="center"/>
              <w:rPr>
                <w:color w:val="000000"/>
                <w:szCs w:val="22"/>
                <w:lang w:val="nb-NO"/>
              </w:rPr>
            </w:pPr>
            <w:r w:rsidRPr="00B84667">
              <w:rPr>
                <w:color w:val="000000"/>
                <w:szCs w:val="22"/>
                <w:lang w:val="nb-NO"/>
              </w:rPr>
              <w:t>Diarré</w:t>
            </w:r>
          </w:p>
        </w:tc>
        <w:tc>
          <w:tcPr>
            <w:tcW w:w="988" w:type="pct"/>
            <w:tcBorders>
              <w:top w:val="single" w:sz="6" w:space="0" w:color="auto"/>
              <w:left w:val="single" w:sz="6" w:space="0" w:color="auto"/>
              <w:bottom w:val="single" w:sz="6" w:space="0" w:color="auto"/>
              <w:right w:val="single" w:sz="6" w:space="0" w:color="auto"/>
            </w:tcBorders>
            <w:hideMark/>
          </w:tcPr>
          <w:p w14:paraId="0442A8AC" w14:textId="77777777" w:rsidR="009C0072" w:rsidRPr="00B84667" w:rsidRDefault="009C0072">
            <w:pPr>
              <w:pStyle w:val="wcpTableContent"/>
              <w:jc w:val="center"/>
              <w:rPr>
                <w:color w:val="000000"/>
                <w:szCs w:val="22"/>
                <w:lang w:val="nb-NO"/>
              </w:rPr>
            </w:pPr>
            <w:r w:rsidRPr="00B84667">
              <w:rPr>
                <w:color w:val="000000"/>
                <w:szCs w:val="22"/>
                <w:lang w:val="nb-NO"/>
              </w:rPr>
              <w:t>Diarré, kvalme</w:t>
            </w:r>
          </w:p>
        </w:tc>
        <w:tc>
          <w:tcPr>
            <w:tcW w:w="990" w:type="pct"/>
            <w:tcBorders>
              <w:top w:val="single" w:sz="6" w:space="0" w:color="auto"/>
              <w:left w:val="single" w:sz="6" w:space="0" w:color="auto"/>
              <w:bottom w:val="single" w:sz="6" w:space="0" w:color="auto"/>
              <w:right w:val="single" w:sz="6" w:space="0" w:color="auto"/>
            </w:tcBorders>
            <w:hideMark/>
          </w:tcPr>
          <w:p w14:paraId="0C4D7FA4" w14:textId="77777777" w:rsidR="009C0072" w:rsidRPr="00B84667" w:rsidRDefault="009C0072">
            <w:pPr>
              <w:pStyle w:val="wcpTableContent"/>
              <w:jc w:val="center"/>
              <w:rPr>
                <w:color w:val="000000"/>
                <w:szCs w:val="22"/>
                <w:lang w:val="nb-NO"/>
              </w:rPr>
            </w:pPr>
            <w:r w:rsidRPr="00B84667">
              <w:rPr>
                <w:color w:val="000000"/>
                <w:szCs w:val="22"/>
                <w:lang w:val="nb-NO"/>
              </w:rPr>
              <w:t>Diarré</w:t>
            </w:r>
          </w:p>
        </w:tc>
      </w:tr>
      <w:tr w:rsidR="009C0072" w:rsidRPr="00B84667" w14:paraId="1180CFF9"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21A5626A"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60BD3F1E" w14:textId="77777777" w:rsidR="009C0072" w:rsidRPr="00B84667" w:rsidRDefault="009C0072">
            <w:pPr>
              <w:pStyle w:val="wcpTableContent"/>
              <w:jc w:val="center"/>
              <w:rPr>
                <w:color w:val="000000"/>
                <w:szCs w:val="22"/>
                <w:lang w:val="nb-NO"/>
              </w:rPr>
            </w:pPr>
            <w:r w:rsidRPr="00B84667">
              <w:rPr>
                <w:color w:val="000000"/>
                <w:szCs w:val="22"/>
                <w:lang w:val="nb-NO"/>
              </w:rPr>
              <w:t>Almindelig</w:t>
            </w:r>
          </w:p>
        </w:tc>
        <w:tc>
          <w:tcPr>
            <w:tcW w:w="917" w:type="pct"/>
            <w:tcBorders>
              <w:top w:val="single" w:sz="6" w:space="0" w:color="auto"/>
              <w:left w:val="single" w:sz="6" w:space="0" w:color="auto"/>
              <w:bottom w:val="single" w:sz="6" w:space="0" w:color="auto"/>
              <w:right w:val="single" w:sz="6" w:space="0" w:color="auto"/>
            </w:tcBorders>
            <w:hideMark/>
          </w:tcPr>
          <w:p w14:paraId="572B4E18" w14:textId="77777777" w:rsidR="009C0072" w:rsidRPr="00B84667" w:rsidRDefault="009C0072">
            <w:pPr>
              <w:pStyle w:val="wcpTableContent"/>
              <w:jc w:val="center"/>
              <w:rPr>
                <w:color w:val="000000"/>
                <w:szCs w:val="22"/>
                <w:lang w:val="nb-NO"/>
              </w:rPr>
            </w:pPr>
            <w:r w:rsidRPr="00B84667">
              <w:rPr>
                <w:color w:val="000000"/>
                <w:szCs w:val="22"/>
                <w:lang w:val="nb-NO"/>
              </w:rPr>
              <w:t>Kvalme, opkastning</w:t>
            </w:r>
          </w:p>
        </w:tc>
        <w:tc>
          <w:tcPr>
            <w:tcW w:w="988" w:type="pct"/>
            <w:tcBorders>
              <w:top w:val="single" w:sz="6" w:space="0" w:color="auto"/>
              <w:left w:val="single" w:sz="6" w:space="0" w:color="auto"/>
              <w:bottom w:val="single" w:sz="6" w:space="0" w:color="auto"/>
              <w:right w:val="single" w:sz="6" w:space="0" w:color="auto"/>
            </w:tcBorders>
            <w:hideMark/>
          </w:tcPr>
          <w:p w14:paraId="335FD3A6" w14:textId="77777777" w:rsidR="009C0072" w:rsidRPr="00B84667" w:rsidRDefault="009C0072">
            <w:pPr>
              <w:pStyle w:val="wcpTableContent"/>
              <w:jc w:val="center"/>
              <w:rPr>
                <w:color w:val="000000"/>
                <w:szCs w:val="22"/>
                <w:lang w:val="nb-NO"/>
              </w:rPr>
            </w:pPr>
            <w:r w:rsidRPr="00B84667">
              <w:rPr>
                <w:color w:val="000000"/>
                <w:szCs w:val="22"/>
                <w:lang w:val="nb-NO"/>
              </w:rPr>
              <w:t>Opkastning</w:t>
            </w:r>
          </w:p>
        </w:tc>
        <w:tc>
          <w:tcPr>
            <w:tcW w:w="990" w:type="pct"/>
            <w:tcBorders>
              <w:top w:val="single" w:sz="6" w:space="0" w:color="auto"/>
              <w:left w:val="single" w:sz="6" w:space="0" w:color="auto"/>
              <w:bottom w:val="single" w:sz="6" w:space="0" w:color="auto"/>
              <w:right w:val="single" w:sz="6" w:space="0" w:color="auto"/>
            </w:tcBorders>
            <w:hideMark/>
          </w:tcPr>
          <w:p w14:paraId="7E47547A" w14:textId="77777777" w:rsidR="009C0072" w:rsidRPr="00B84667" w:rsidRDefault="009C0072">
            <w:pPr>
              <w:pStyle w:val="wcpTableContent"/>
              <w:jc w:val="center"/>
              <w:rPr>
                <w:color w:val="000000"/>
                <w:szCs w:val="22"/>
                <w:lang w:val="nb-NO"/>
              </w:rPr>
            </w:pPr>
            <w:r w:rsidRPr="00B84667">
              <w:rPr>
                <w:color w:val="000000"/>
                <w:szCs w:val="22"/>
                <w:lang w:val="nb-NO"/>
              </w:rPr>
              <w:t>Kvalme, opkastning</w:t>
            </w:r>
          </w:p>
        </w:tc>
      </w:tr>
      <w:tr w:rsidR="009C0072" w:rsidRPr="00B84667" w14:paraId="54B83546" w14:textId="77777777" w:rsidTr="00AF302A">
        <w:tc>
          <w:tcPr>
            <w:tcW w:w="1245" w:type="pct"/>
            <w:vMerge w:val="restart"/>
            <w:tcBorders>
              <w:top w:val="single" w:sz="6" w:space="0" w:color="auto"/>
              <w:left w:val="single" w:sz="6" w:space="0" w:color="auto"/>
              <w:bottom w:val="single" w:sz="6" w:space="0" w:color="auto"/>
              <w:right w:val="single" w:sz="6" w:space="0" w:color="auto"/>
            </w:tcBorders>
            <w:hideMark/>
          </w:tcPr>
          <w:p w14:paraId="15B73C7B" w14:textId="77777777" w:rsidR="009C0072" w:rsidRPr="00B84667" w:rsidRDefault="009C0072">
            <w:pPr>
              <w:pStyle w:val="wcpTableContent"/>
              <w:rPr>
                <w:iCs/>
                <w:color w:val="000000"/>
                <w:szCs w:val="22"/>
                <w:lang w:val="nb-NO"/>
              </w:rPr>
            </w:pPr>
            <w:r w:rsidRPr="00B84667">
              <w:rPr>
                <w:color w:val="000000"/>
                <w:szCs w:val="22"/>
                <w:lang w:val="nb-NO"/>
              </w:rPr>
              <w:t>Hud og subkutane væv</w:t>
            </w:r>
          </w:p>
        </w:tc>
        <w:tc>
          <w:tcPr>
            <w:tcW w:w="860" w:type="pct"/>
            <w:tcBorders>
              <w:top w:val="single" w:sz="6" w:space="0" w:color="auto"/>
              <w:left w:val="single" w:sz="6" w:space="0" w:color="auto"/>
              <w:bottom w:val="single" w:sz="6" w:space="0" w:color="auto"/>
              <w:right w:val="single" w:sz="6" w:space="0" w:color="auto"/>
            </w:tcBorders>
            <w:hideMark/>
          </w:tcPr>
          <w:p w14:paraId="3197F6ED" w14:textId="77777777" w:rsidR="009C0072" w:rsidRPr="00B84667" w:rsidRDefault="009C0072">
            <w:pPr>
              <w:pStyle w:val="wcpTableContent"/>
              <w:jc w:val="center"/>
              <w:rPr>
                <w:color w:val="000000"/>
                <w:szCs w:val="22"/>
                <w:lang w:val="nb-NO"/>
              </w:rPr>
            </w:pPr>
            <w:r w:rsidRPr="00B84667">
              <w:rPr>
                <w:color w:val="000000"/>
                <w:szCs w:val="22"/>
                <w:lang w:val="nb-NO"/>
              </w:rPr>
              <w:t>Almindelig</w:t>
            </w:r>
          </w:p>
        </w:tc>
        <w:tc>
          <w:tcPr>
            <w:tcW w:w="2895" w:type="pct"/>
            <w:gridSpan w:val="3"/>
            <w:tcBorders>
              <w:top w:val="single" w:sz="6" w:space="0" w:color="auto"/>
              <w:left w:val="single" w:sz="6" w:space="0" w:color="auto"/>
              <w:bottom w:val="single" w:sz="6" w:space="0" w:color="auto"/>
              <w:right w:val="single" w:sz="6" w:space="0" w:color="auto"/>
            </w:tcBorders>
            <w:hideMark/>
          </w:tcPr>
          <w:p w14:paraId="2DE8BD70" w14:textId="77777777" w:rsidR="009C0072" w:rsidRPr="00B84667" w:rsidRDefault="009C0072">
            <w:pPr>
              <w:pStyle w:val="wcpTableContent"/>
              <w:jc w:val="center"/>
              <w:rPr>
                <w:color w:val="000000"/>
                <w:szCs w:val="22"/>
                <w:lang w:val="nb-NO"/>
              </w:rPr>
            </w:pPr>
            <w:r w:rsidRPr="00B84667">
              <w:rPr>
                <w:color w:val="000000"/>
                <w:szCs w:val="22"/>
                <w:lang w:val="nb-NO"/>
              </w:rPr>
              <w:t>Udslæt</w:t>
            </w:r>
          </w:p>
        </w:tc>
      </w:tr>
      <w:tr w:rsidR="009C0072" w:rsidRPr="00B84667" w14:paraId="1CF36C66"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39E09220"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7752AB57" w14:textId="77777777" w:rsidR="009C0072" w:rsidRPr="00B84667" w:rsidRDefault="009C0072">
            <w:pPr>
              <w:pStyle w:val="wcpTableContent"/>
              <w:jc w:val="center"/>
              <w:rPr>
                <w:color w:val="000000"/>
                <w:szCs w:val="22"/>
                <w:lang w:val="nb-NO"/>
              </w:rPr>
            </w:pPr>
            <w:r w:rsidRPr="00B84667">
              <w:rPr>
                <w:color w:val="000000"/>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39842104" w14:textId="77777777" w:rsidR="009C0072" w:rsidRPr="00B84667" w:rsidRDefault="009C0072">
            <w:pPr>
              <w:pStyle w:val="wcpTableContent"/>
              <w:jc w:val="center"/>
              <w:rPr>
                <w:color w:val="000000"/>
                <w:szCs w:val="22"/>
                <w:lang w:val="nb-NO"/>
              </w:rPr>
            </w:pPr>
            <w:r w:rsidRPr="00B84667">
              <w:rPr>
                <w:color w:val="000000"/>
                <w:szCs w:val="22"/>
                <w:lang w:val="nb-NO"/>
              </w:rPr>
              <w:t>Pruritus*, urticaria*</w:t>
            </w:r>
          </w:p>
        </w:tc>
      </w:tr>
      <w:tr w:rsidR="009C0072" w:rsidRPr="00B84667" w14:paraId="6598C768" w14:textId="77777777" w:rsidTr="00AF302A">
        <w:tc>
          <w:tcPr>
            <w:tcW w:w="1245" w:type="pct"/>
            <w:vMerge w:val="restart"/>
            <w:tcBorders>
              <w:top w:val="single" w:sz="6" w:space="0" w:color="auto"/>
              <w:left w:val="single" w:sz="6" w:space="0" w:color="auto"/>
              <w:bottom w:val="single" w:sz="6" w:space="0" w:color="auto"/>
              <w:right w:val="single" w:sz="6" w:space="0" w:color="auto"/>
            </w:tcBorders>
            <w:hideMark/>
          </w:tcPr>
          <w:p w14:paraId="419245A5" w14:textId="77777777" w:rsidR="009C0072" w:rsidRPr="00B84667" w:rsidRDefault="009C0072">
            <w:pPr>
              <w:pStyle w:val="wcpTableContent"/>
              <w:rPr>
                <w:iCs/>
                <w:color w:val="000000"/>
                <w:szCs w:val="22"/>
                <w:lang w:val="nb-NO"/>
              </w:rPr>
            </w:pPr>
            <w:r w:rsidRPr="00B84667">
              <w:rPr>
                <w:color w:val="000000"/>
                <w:szCs w:val="22"/>
                <w:lang w:val="nb-NO"/>
              </w:rPr>
              <w:t>Knogler, led, muskler og bindevæv</w:t>
            </w:r>
          </w:p>
        </w:tc>
        <w:tc>
          <w:tcPr>
            <w:tcW w:w="860" w:type="pct"/>
            <w:tcBorders>
              <w:top w:val="single" w:sz="6" w:space="0" w:color="auto"/>
              <w:left w:val="single" w:sz="6" w:space="0" w:color="auto"/>
              <w:bottom w:val="single" w:sz="6" w:space="0" w:color="auto"/>
              <w:right w:val="single" w:sz="6" w:space="0" w:color="auto"/>
            </w:tcBorders>
            <w:hideMark/>
          </w:tcPr>
          <w:p w14:paraId="23869473" w14:textId="77777777" w:rsidR="009C0072" w:rsidRPr="00B84667" w:rsidRDefault="009C0072">
            <w:pPr>
              <w:pStyle w:val="wcpTableContent"/>
              <w:jc w:val="center"/>
              <w:rPr>
                <w:color w:val="000000"/>
                <w:szCs w:val="22"/>
                <w:lang w:val="nb-NO"/>
              </w:rPr>
            </w:pPr>
            <w:r w:rsidRPr="00B84667">
              <w:rPr>
                <w:color w:val="000000"/>
                <w:szCs w:val="22"/>
                <w:lang w:val="nb-NO"/>
              </w:rPr>
              <w:t>Meget almindelig</w:t>
            </w:r>
          </w:p>
        </w:tc>
        <w:tc>
          <w:tcPr>
            <w:tcW w:w="917" w:type="pct"/>
            <w:tcBorders>
              <w:top w:val="single" w:sz="6" w:space="0" w:color="auto"/>
              <w:left w:val="single" w:sz="6" w:space="0" w:color="auto"/>
              <w:bottom w:val="single" w:sz="6" w:space="0" w:color="auto"/>
              <w:right w:val="single" w:sz="6" w:space="0" w:color="auto"/>
            </w:tcBorders>
          </w:tcPr>
          <w:p w14:paraId="7CF9BA85" w14:textId="77777777" w:rsidR="009C0072" w:rsidRPr="00B84667" w:rsidRDefault="009C0072">
            <w:pPr>
              <w:pStyle w:val="wcpTableContent"/>
              <w:jc w:val="center"/>
              <w:rPr>
                <w:color w:val="000000"/>
                <w:szCs w:val="22"/>
                <w:lang w:val="en-GB"/>
              </w:rPr>
            </w:pPr>
          </w:p>
        </w:tc>
        <w:tc>
          <w:tcPr>
            <w:tcW w:w="988" w:type="pct"/>
            <w:tcBorders>
              <w:top w:val="single" w:sz="6" w:space="0" w:color="auto"/>
              <w:left w:val="single" w:sz="6" w:space="0" w:color="auto"/>
              <w:bottom w:val="single" w:sz="6" w:space="0" w:color="auto"/>
              <w:right w:val="single" w:sz="6" w:space="0" w:color="auto"/>
            </w:tcBorders>
            <w:hideMark/>
          </w:tcPr>
          <w:p w14:paraId="137569BE" w14:textId="77777777" w:rsidR="009C0072" w:rsidRPr="00B84667" w:rsidRDefault="009C0072">
            <w:pPr>
              <w:pStyle w:val="wcpTableContent"/>
              <w:jc w:val="center"/>
              <w:rPr>
                <w:color w:val="000000"/>
                <w:szCs w:val="22"/>
                <w:lang w:val="nb-NO"/>
              </w:rPr>
            </w:pPr>
            <w:r w:rsidRPr="00B84667">
              <w:rPr>
                <w:color w:val="000000"/>
                <w:szCs w:val="22"/>
                <w:lang w:val="nb-NO"/>
              </w:rPr>
              <w:t>Generel ømhed eller muskelsvaghed, artralgi eller ledhævelse</w:t>
            </w:r>
          </w:p>
        </w:tc>
        <w:tc>
          <w:tcPr>
            <w:tcW w:w="990" w:type="pct"/>
            <w:tcBorders>
              <w:top w:val="single" w:sz="6" w:space="0" w:color="auto"/>
              <w:left w:val="single" w:sz="6" w:space="0" w:color="auto"/>
              <w:bottom w:val="single" w:sz="6" w:space="0" w:color="auto"/>
              <w:right w:val="single" w:sz="6" w:space="0" w:color="auto"/>
            </w:tcBorders>
            <w:hideMark/>
          </w:tcPr>
          <w:p w14:paraId="1A666761" w14:textId="77777777" w:rsidR="009C0072" w:rsidRPr="00B84667" w:rsidRDefault="009C0072">
            <w:pPr>
              <w:pStyle w:val="wcpTableContent"/>
              <w:jc w:val="center"/>
              <w:rPr>
                <w:color w:val="000000"/>
                <w:szCs w:val="22"/>
                <w:lang w:val="nb-NO"/>
              </w:rPr>
            </w:pPr>
            <w:r w:rsidRPr="00B84667">
              <w:rPr>
                <w:color w:val="000000"/>
                <w:szCs w:val="22"/>
                <w:lang w:val="nb-NO"/>
              </w:rPr>
              <w:t>Generel ømhed eller muskelsvaghed</w:t>
            </w:r>
          </w:p>
        </w:tc>
      </w:tr>
      <w:tr w:rsidR="009C0072" w:rsidRPr="00B84667" w14:paraId="755C9A86"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3126D273"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39644E4F" w14:textId="77777777" w:rsidR="009C0072" w:rsidRPr="00B84667" w:rsidRDefault="009C0072">
            <w:pPr>
              <w:pStyle w:val="wcpTableContent"/>
              <w:jc w:val="center"/>
              <w:rPr>
                <w:color w:val="000000"/>
                <w:szCs w:val="22"/>
                <w:lang w:val="nb-NO"/>
              </w:rPr>
            </w:pPr>
            <w:r w:rsidRPr="00B84667">
              <w:rPr>
                <w:color w:val="000000"/>
                <w:szCs w:val="22"/>
                <w:lang w:val="nb-NO"/>
              </w:rPr>
              <w:t>Almindelig</w:t>
            </w:r>
          </w:p>
        </w:tc>
        <w:tc>
          <w:tcPr>
            <w:tcW w:w="917" w:type="pct"/>
            <w:tcBorders>
              <w:top w:val="single" w:sz="6" w:space="0" w:color="auto"/>
              <w:left w:val="single" w:sz="6" w:space="0" w:color="auto"/>
              <w:bottom w:val="single" w:sz="6" w:space="0" w:color="auto"/>
              <w:right w:val="single" w:sz="6" w:space="0" w:color="auto"/>
            </w:tcBorders>
            <w:hideMark/>
          </w:tcPr>
          <w:p w14:paraId="581CFFF2" w14:textId="77777777" w:rsidR="009C0072" w:rsidRPr="00B84667" w:rsidRDefault="009C0072">
            <w:pPr>
              <w:pStyle w:val="wcpTableContent"/>
              <w:jc w:val="center"/>
              <w:rPr>
                <w:color w:val="000000"/>
                <w:szCs w:val="22"/>
                <w:lang w:val="nb-NO"/>
              </w:rPr>
            </w:pPr>
            <w:r w:rsidRPr="00B84667">
              <w:rPr>
                <w:color w:val="000000"/>
                <w:szCs w:val="22"/>
                <w:lang w:val="nb-NO"/>
              </w:rPr>
              <w:t>Generel ømhed eller muskelsvaghed, artralgi eller ledhævelse</w:t>
            </w:r>
          </w:p>
        </w:tc>
        <w:tc>
          <w:tcPr>
            <w:tcW w:w="988" w:type="pct"/>
            <w:tcBorders>
              <w:top w:val="single" w:sz="6" w:space="0" w:color="auto"/>
              <w:left w:val="single" w:sz="6" w:space="0" w:color="auto"/>
              <w:bottom w:val="single" w:sz="6" w:space="0" w:color="auto"/>
              <w:right w:val="single" w:sz="6" w:space="0" w:color="auto"/>
            </w:tcBorders>
          </w:tcPr>
          <w:p w14:paraId="6B93B92F" w14:textId="77777777" w:rsidR="009C0072" w:rsidRPr="00B84667" w:rsidRDefault="009C0072">
            <w:pPr>
              <w:pStyle w:val="wcpTableContent"/>
              <w:jc w:val="center"/>
              <w:rPr>
                <w:color w:val="000000"/>
                <w:szCs w:val="22"/>
                <w:lang w:val="nb-NO"/>
              </w:rPr>
            </w:pPr>
          </w:p>
        </w:tc>
        <w:tc>
          <w:tcPr>
            <w:tcW w:w="990" w:type="pct"/>
            <w:tcBorders>
              <w:top w:val="single" w:sz="6" w:space="0" w:color="auto"/>
              <w:left w:val="single" w:sz="6" w:space="0" w:color="auto"/>
              <w:bottom w:val="single" w:sz="6" w:space="0" w:color="auto"/>
              <w:right w:val="single" w:sz="6" w:space="0" w:color="auto"/>
            </w:tcBorders>
            <w:hideMark/>
          </w:tcPr>
          <w:p w14:paraId="1D342AD9" w14:textId="77777777" w:rsidR="009C0072" w:rsidRPr="00B84667" w:rsidRDefault="009C0072">
            <w:pPr>
              <w:pStyle w:val="wcpTableContent"/>
              <w:jc w:val="center"/>
              <w:rPr>
                <w:color w:val="000000"/>
                <w:szCs w:val="22"/>
                <w:lang w:val="nb-NO"/>
              </w:rPr>
            </w:pPr>
            <w:r w:rsidRPr="00B84667">
              <w:rPr>
                <w:color w:val="000000"/>
                <w:szCs w:val="22"/>
                <w:lang w:val="nb-NO"/>
              </w:rPr>
              <w:t>Artralgi eller ledhævelse</w:t>
            </w:r>
          </w:p>
        </w:tc>
      </w:tr>
      <w:tr w:rsidR="009C0072" w:rsidRPr="00B84667" w14:paraId="219692BC"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7CA102C2"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47F3C4E3" w14:textId="77777777" w:rsidR="009C0072" w:rsidRPr="00B84667" w:rsidRDefault="009C0072">
            <w:pPr>
              <w:pStyle w:val="wcpTableContent"/>
              <w:jc w:val="center"/>
              <w:rPr>
                <w:color w:val="000000"/>
                <w:szCs w:val="22"/>
                <w:lang w:val="nb-NO"/>
              </w:rPr>
            </w:pPr>
            <w:r w:rsidRPr="00B84667">
              <w:rPr>
                <w:color w:val="000000"/>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6DD50E68" w14:textId="77777777" w:rsidR="009C0072" w:rsidRPr="00B84667" w:rsidRDefault="009C0072">
            <w:pPr>
              <w:pStyle w:val="wcpTableContent"/>
              <w:jc w:val="center"/>
              <w:rPr>
                <w:color w:val="000000"/>
                <w:szCs w:val="22"/>
                <w:lang w:val="nb-NO"/>
              </w:rPr>
            </w:pPr>
            <w:r w:rsidRPr="00B84667">
              <w:rPr>
                <w:color w:val="000000"/>
                <w:szCs w:val="22"/>
                <w:lang w:val="nb-NO"/>
              </w:rPr>
              <w:t>Myositis*</w:t>
            </w:r>
          </w:p>
        </w:tc>
      </w:tr>
      <w:tr w:rsidR="009C0072" w:rsidRPr="00B84667" w14:paraId="13AE259E" w14:textId="77777777" w:rsidTr="00AF302A">
        <w:tc>
          <w:tcPr>
            <w:tcW w:w="1245" w:type="pct"/>
            <w:vMerge w:val="restart"/>
            <w:tcBorders>
              <w:top w:val="single" w:sz="6" w:space="0" w:color="auto"/>
              <w:left w:val="single" w:sz="6" w:space="0" w:color="auto"/>
              <w:bottom w:val="single" w:sz="6" w:space="0" w:color="auto"/>
              <w:right w:val="single" w:sz="6" w:space="0" w:color="auto"/>
            </w:tcBorders>
            <w:hideMark/>
          </w:tcPr>
          <w:p w14:paraId="2887FFF4" w14:textId="77777777" w:rsidR="009C0072" w:rsidRPr="00B84667" w:rsidRDefault="009C0072">
            <w:pPr>
              <w:pStyle w:val="wcpTableContent"/>
              <w:rPr>
                <w:iCs/>
                <w:color w:val="000000"/>
                <w:szCs w:val="22"/>
                <w:lang w:val="nb-NO"/>
              </w:rPr>
            </w:pPr>
            <w:r w:rsidRPr="00B84667">
              <w:rPr>
                <w:color w:val="000000"/>
                <w:szCs w:val="22"/>
                <w:lang w:val="nb-NO"/>
              </w:rPr>
              <w:t>Almene symptomer og reaktioner på administrationsstedet</w:t>
            </w:r>
          </w:p>
        </w:tc>
        <w:tc>
          <w:tcPr>
            <w:tcW w:w="860" w:type="pct"/>
            <w:vMerge w:val="restart"/>
            <w:tcBorders>
              <w:top w:val="single" w:sz="6" w:space="0" w:color="auto"/>
              <w:left w:val="single" w:sz="6" w:space="0" w:color="auto"/>
              <w:bottom w:val="single" w:sz="6" w:space="0" w:color="auto"/>
              <w:right w:val="single" w:sz="6" w:space="0" w:color="auto"/>
            </w:tcBorders>
            <w:vAlign w:val="center"/>
            <w:hideMark/>
          </w:tcPr>
          <w:p w14:paraId="0472FC53" w14:textId="77777777" w:rsidR="009C0072" w:rsidRPr="00B84667" w:rsidRDefault="009C0072">
            <w:pPr>
              <w:pStyle w:val="wcpTableContent"/>
              <w:jc w:val="center"/>
              <w:rPr>
                <w:color w:val="000000"/>
                <w:szCs w:val="22"/>
                <w:lang w:val="nb-NO"/>
              </w:rPr>
            </w:pPr>
            <w:r w:rsidRPr="00B84667">
              <w:rPr>
                <w:color w:val="000000"/>
                <w:szCs w:val="22"/>
                <w:lang w:val="nb-NO"/>
              </w:rPr>
              <w:t>Meget almindelig</w:t>
            </w:r>
          </w:p>
        </w:tc>
        <w:tc>
          <w:tcPr>
            <w:tcW w:w="917" w:type="pct"/>
            <w:tcBorders>
              <w:top w:val="single" w:sz="6" w:space="0" w:color="auto"/>
              <w:left w:val="single" w:sz="6" w:space="0" w:color="auto"/>
              <w:bottom w:val="single" w:sz="6" w:space="0" w:color="auto"/>
              <w:right w:val="single" w:sz="6" w:space="0" w:color="auto"/>
            </w:tcBorders>
            <w:hideMark/>
          </w:tcPr>
          <w:p w14:paraId="4A46B6F9" w14:textId="77777777" w:rsidR="009C0072" w:rsidRPr="00B84667" w:rsidRDefault="009C0072">
            <w:pPr>
              <w:pStyle w:val="wcpTableContent"/>
              <w:jc w:val="center"/>
              <w:rPr>
                <w:color w:val="000000"/>
                <w:szCs w:val="22"/>
                <w:lang w:val="nb-NO"/>
              </w:rPr>
            </w:pPr>
            <w:r w:rsidRPr="00B84667">
              <w:rPr>
                <w:color w:val="000000"/>
                <w:szCs w:val="22"/>
                <w:lang w:val="nb-NO"/>
              </w:rPr>
              <w:t>Træthed/asteni</w:t>
            </w:r>
          </w:p>
        </w:tc>
        <w:tc>
          <w:tcPr>
            <w:tcW w:w="988" w:type="pct"/>
            <w:tcBorders>
              <w:top w:val="single" w:sz="6" w:space="0" w:color="auto"/>
              <w:left w:val="single" w:sz="6" w:space="0" w:color="auto"/>
              <w:bottom w:val="single" w:sz="6" w:space="0" w:color="auto"/>
              <w:right w:val="single" w:sz="6" w:space="0" w:color="auto"/>
            </w:tcBorders>
            <w:hideMark/>
          </w:tcPr>
          <w:p w14:paraId="15E6387D" w14:textId="77777777" w:rsidR="009C0072" w:rsidRPr="00B84667" w:rsidRDefault="009C0072">
            <w:pPr>
              <w:pStyle w:val="wcpTableContent"/>
              <w:jc w:val="center"/>
              <w:rPr>
                <w:color w:val="000000"/>
                <w:szCs w:val="22"/>
                <w:lang w:val="nb-NO"/>
              </w:rPr>
            </w:pPr>
            <w:r w:rsidRPr="00B84667">
              <w:rPr>
                <w:color w:val="000000"/>
                <w:szCs w:val="22"/>
                <w:lang w:val="nb-NO"/>
              </w:rPr>
              <w:t>Træthed/asteni, utilpashed, kulderystelser</w:t>
            </w:r>
          </w:p>
        </w:tc>
        <w:tc>
          <w:tcPr>
            <w:tcW w:w="990" w:type="pct"/>
            <w:tcBorders>
              <w:top w:val="single" w:sz="6" w:space="0" w:color="auto"/>
              <w:left w:val="single" w:sz="6" w:space="0" w:color="auto"/>
              <w:bottom w:val="single" w:sz="6" w:space="0" w:color="auto"/>
              <w:right w:val="single" w:sz="6" w:space="0" w:color="auto"/>
            </w:tcBorders>
            <w:hideMark/>
          </w:tcPr>
          <w:p w14:paraId="3C11D892" w14:textId="77777777" w:rsidR="009C0072" w:rsidRPr="00B84667" w:rsidRDefault="009C0072">
            <w:pPr>
              <w:pStyle w:val="wcpTableContent"/>
              <w:jc w:val="center"/>
              <w:rPr>
                <w:color w:val="000000"/>
                <w:szCs w:val="22"/>
                <w:lang w:val="nb-NO"/>
              </w:rPr>
            </w:pPr>
            <w:r w:rsidRPr="00B84667">
              <w:rPr>
                <w:color w:val="000000"/>
                <w:szCs w:val="22"/>
                <w:lang w:val="nb-NO"/>
              </w:rPr>
              <w:t>Træthed/asteni, utilpashed</w:t>
            </w:r>
          </w:p>
        </w:tc>
      </w:tr>
      <w:tr w:rsidR="009C0072" w:rsidRPr="00B84667" w14:paraId="176F7715"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1AE5EA4E" w14:textId="77777777" w:rsidR="009C0072" w:rsidRPr="00B84667" w:rsidRDefault="009C0072">
            <w:pPr>
              <w:rPr>
                <w:iCs/>
                <w:color w:val="000000"/>
                <w:sz w:val="22"/>
                <w:szCs w:val="22"/>
                <w:lang w:val="nb-NO"/>
              </w:rPr>
            </w:pPr>
          </w:p>
        </w:tc>
        <w:tc>
          <w:tcPr>
            <w:tcW w:w="860" w:type="pct"/>
            <w:vMerge/>
            <w:tcBorders>
              <w:top w:val="single" w:sz="6" w:space="0" w:color="auto"/>
              <w:left w:val="single" w:sz="6" w:space="0" w:color="auto"/>
              <w:bottom w:val="single" w:sz="6" w:space="0" w:color="auto"/>
              <w:right w:val="single" w:sz="6" w:space="0" w:color="auto"/>
            </w:tcBorders>
            <w:vAlign w:val="center"/>
            <w:hideMark/>
          </w:tcPr>
          <w:p w14:paraId="015A65E4" w14:textId="77777777" w:rsidR="009C0072" w:rsidRPr="00B84667" w:rsidRDefault="009C0072">
            <w:pPr>
              <w:rPr>
                <w:color w:val="000000"/>
                <w:sz w:val="22"/>
                <w:szCs w:val="22"/>
                <w:lang w:val="nb-NO"/>
              </w:rPr>
            </w:pPr>
          </w:p>
        </w:tc>
        <w:tc>
          <w:tcPr>
            <w:tcW w:w="2895" w:type="pct"/>
            <w:gridSpan w:val="3"/>
            <w:tcBorders>
              <w:top w:val="single" w:sz="6" w:space="0" w:color="auto"/>
              <w:left w:val="single" w:sz="6" w:space="0" w:color="auto"/>
              <w:bottom w:val="single" w:sz="6" w:space="0" w:color="auto"/>
              <w:right w:val="single" w:sz="6" w:space="0" w:color="auto"/>
            </w:tcBorders>
            <w:hideMark/>
          </w:tcPr>
          <w:p w14:paraId="04038E1C" w14:textId="77777777" w:rsidR="009C0072" w:rsidRPr="00B84667" w:rsidRDefault="009C0072">
            <w:pPr>
              <w:pStyle w:val="wcpTableContent"/>
              <w:jc w:val="center"/>
              <w:rPr>
                <w:color w:val="000000"/>
                <w:szCs w:val="22"/>
                <w:lang w:val="nb-NO"/>
              </w:rPr>
            </w:pPr>
            <w:r w:rsidRPr="00B84667">
              <w:rPr>
                <w:color w:val="000000"/>
                <w:szCs w:val="22"/>
                <w:lang w:val="nb-NO"/>
              </w:rPr>
              <w:t>Smerter på injektionsstedet, erytem på injektionsstedet, hævelse på injektionsstedet</w:t>
            </w:r>
          </w:p>
        </w:tc>
      </w:tr>
      <w:tr w:rsidR="009C0072" w:rsidRPr="00B84667" w14:paraId="21810D81"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2A38145D"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4472030A" w14:textId="77777777" w:rsidR="009C0072" w:rsidRPr="00B84667" w:rsidRDefault="009C0072">
            <w:pPr>
              <w:pStyle w:val="wcpTableContent"/>
              <w:jc w:val="center"/>
              <w:rPr>
                <w:color w:val="000000"/>
                <w:szCs w:val="22"/>
                <w:lang w:val="nb-NO"/>
              </w:rPr>
            </w:pPr>
            <w:r w:rsidRPr="00B84667">
              <w:rPr>
                <w:color w:val="000000"/>
                <w:szCs w:val="22"/>
                <w:lang w:val="nb-NO"/>
              </w:rPr>
              <w:t>Almindelig</w:t>
            </w:r>
          </w:p>
        </w:tc>
        <w:tc>
          <w:tcPr>
            <w:tcW w:w="917" w:type="pct"/>
            <w:tcBorders>
              <w:top w:val="single" w:sz="6" w:space="0" w:color="auto"/>
              <w:left w:val="single" w:sz="6" w:space="0" w:color="auto"/>
              <w:bottom w:val="single" w:sz="6" w:space="0" w:color="auto"/>
              <w:right w:val="single" w:sz="6" w:space="0" w:color="auto"/>
            </w:tcBorders>
            <w:hideMark/>
          </w:tcPr>
          <w:p w14:paraId="64EB7F15" w14:textId="77777777" w:rsidR="009C0072" w:rsidRPr="00B84667" w:rsidRDefault="009C0072">
            <w:pPr>
              <w:pStyle w:val="wcpTableContent"/>
              <w:jc w:val="center"/>
              <w:rPr>
                <w:color w:val="000000"/>
                <w:szCs w:val="22"/>
                <w:lang w:val="nb-NO"/>
              </w:rPr>
            </w:pPr>
            <w:r w:rsidRPr="00B84667">
              <w:rPr>
                <w:color w:val="000000"/>
                <w:szCs w:val="22"/>
                <w:lang w:val="nb-NO"/>
              </w:rPr>
              <w:t>Pyreksi, kulderystelser, aksillær adenopati</w:t>
            </w:r>
          </w:p>
        </w:tc>
        <w:tc>
          <w:tcPr>
            <w:tcW w:w="988" w:type="pct"/>
            <w:tcBorders>
              <w:top w:val="single" w:sz="6" w:space="0" w:color="auto"/>
              <w:left w:val="single" w:sz="6" w:space="0" w:color="auto"/>
              <w:bottom w:val="single" w:sz="6" w:space="0" w:color="auto"/>
              <w:right w:val="single" w:sz="6" w:space="0" w:color="auto"/>
            </w:tcBorders>
            <w:hideMark/>
          </w:tcPr>
          <w:p w14:paraId="39772A69" w14:textId="77777777" w:rsidR="009C0072" w:rsidRPr="00B84667" w:rsidRDefault="009C0072">
            <w:pPr>
              <w:pStyle w:val="wcpTableContent"/>
              <w:jc w:val="center"/>
              <w:rPr>
                <w:color w:val="000000"/>
                <w:szCs w:val="22"/>
                <w:lang w:val="nb-NO"/>
              </w:rPr>
            </w:pPr>
            <w:r w:rsidRPr="00B84667">
              <w:rPr>
                <w:color w:val="000000"/>
                <w:szCs w:val="22"/>
                <w:lang w:val="nb-NO"/>
              </w:rPr>
              <w:t>Pyreksi, aksillær adenopati</w:t>
            </w:r>
          </w:p>
        </w:tc>
        <w:tc>
          <w:tcPr>
            <w:tcW w:w="990" w:type="pct"/>
            <w:tcBorders>
              <w:top w:val="single" w:sz="6" w:space="0" w:color="auto"/>
              <w:left w:val="single" w:sz="6" w:space="0" w:color="auto"/>
              <w:bottom w:val="single" w:sz="6" w:space="0" w:color="auto"/>
              <w:right w:val="single" w:sz="6" w:space="0" w:color="auto"/>
            </w:tcBorders>
            <w:hideMark/>
          </w:tcPr>
          <w:p w14:paraId="2BA2D98F" w14:textId="77777777" w:rsidR="009C0072" w:rsidRPr="00B84667" w:rsidRDefault="009C0072">
            <w:pPr>
              <w:pStyle w:val="wcpTableContent"/>
              <w:jc w:val="center"/>
              <w:rPr>
                <w:color w:val="000000"/>
                <w:szCs w:val="22"/>
                <w:lang w:val="nb-NO"/>
              </w:rPr>
            </w:pPr>
            <w:r w:rsidRPr="00B84667">
              <w:rPr>
                <w:color w:val="000000"/>
                <w:szCs w:val="22"/>
                <w:lang w:val="nb-NO"/>
              </w:rPr>
              <w:t>Pyreksi, kulderystelser, aksillær adenopati</w:t>
            </w:r>
          </w:p>
        </w:tc>
      </w:tr>
      <w:tr w:rsidR="009C0072" w:rsidRPr="00B84667" w14:paraId="13695636" w14:textId="77777777" w:rsidTr="00AF302A">
        <w:tc>
          <w:tcPr>
            <w:tcW w:w="1245" w:type="pct"/>
            <w:vMerge/>
            <w:tcBorders>
              <w:top w:val="single" w:sz="6" w:space="0" w:color="auto"/>
              <w:left w:val="single" w:sz="6" w:space="0" w:color="auto"/>
              <w:bottom w:val="single" w:sz="6" w:space="0" w:color="auto"/>
              <w:right w:val="single" w:sz="6" w:space="0" w:color="auto"/>
            </w:tcBorders>
            <w:vAlign w:val="center"/>
            <w:hideMark/>
          </w:tcPr>
          <w:p w14:paraId="6EEFDD6F" w14:textId="77777777" w:rsidR="009C0072" w:rsidRPr="00B84667" w:rsidRDefault="009C0072">
            <w:pPr>
              <w:rPr>
                <w:iCs/>
                <w:color w:val="000000"/>
                <w:sz w:val="22"/>
                <w:szCs w:val="22"/>
                <w:lang w:val="nb-NO"/>
              </w:rPr>
            </w:pPr>
          </w:p>
        </w:tc>
        <w:tc>
          <w:tcPr>
            <w:tcW w:w="860" w:type="pct"/>
            <w:tcBorders>
              <w:top w:val="single" w:sz="6" w:space="0" w:color="auto"/>
              <w:left w:val="single" w:sz="6" w:space="0" w:color="auto"/>
              <w:bottom w:val="single" w:sz="6" w:space="0" w:color="auto"/>
              <w:right w:val="single" w:sz="6" w:space="0" w:color="auto"/>
            </w:tcBorders>
            <w:hideMark/>
          </w:tcPr>
          <w:p w14:paraId="030EE7C9" w14:textId="77777777" w:rsidR="009C0072" w:rsidRPr="00B84667" w:rsidRDefault="009C0072">
            <w:pPr>
              <w:pStyle w:val="wcpTableContent"/>
              <w:jc w:val="center"/>
              <w:rPr>
                <w:szCs w:val="22"/>
                <w:u w:val="single"/>
                <w:lang w:val="nb-NO"/>
              </w:rPr>
            </w:pPr>
            <w:r w:rsidRPr="00B84667">
              <w:rPr>
                <w:szCs w:val="22"/>
                <w:lang w:val="nb-NO"/>
              </w:rPr>
              <w:t>Ikke kendt</w:t>
            </w:r>
          </w:p>
        </w:tc>
        <w:tc>
          <w:tcPr>
            <w:tcW w:w="2895" w:type="pct"/>
            <w:gridSpan w:val="3"/>
            <w:tcBorders>
              <w:top w:val="single" w:sz="6" w:space="0" w:color="auto"/>
              <w:left w:val="single" w:sz="6" w:space="0" w:color="auto"/>
              <w:bottom w:val="single" w:sz="6" w:space="0" w:color="auto"/>
              <w:right w:val="single" w:sz="6" w:space="0" w:color="auto"/>
            </w:tcBorders>
            <w:hideMark/>
          </w:tcPr>
          <w:p w14:paraId="6DDEB241" w14:textId="279996A5" w:rsidR="009C0072" w:rsidRPr="00B84667" w:rsidRDefault="00421AFA">
            <w:pPr>
              <w:pStyle w:val="wcpTableContent"/>
              <w:jc w:val="center"/>
              <w:rPr>
                <w:szCs w:val="22"/>
                <w:lang w:val="nb-NO"/>
              </w:rPr>
            </w:pPr>
            <w:r w:rsidRPr="00B84667">
              <w:rPr>
                <w:szCs w:val="22"/>
                <w:lang w:val="nb-NO"/>
              </w:rPr>
              <w:t>Blå mærker på injektionsstedet*, steril absces på injektionsstedet*</w:t>
            </w:r>
            <w:r>
              <w:rPr>
                <w:szCs w:val="22"/>
                <w:lang w:val="nb-NO"/>
              </w:rPr>
              <w:t xml:space="preserve">, </w:t>
            </w:r>
            <w:r w:rsidRPr="00364FDC">
              <w:rPr>
                <w:szCs w:val="22"/>
              </w:rPr>
              <w:t>knude på injektionsstedet*</w:t>
            </w:r>
          </w:p>
        </w:tc>
      </w:tr>
    </w:tbl>
    <w:p w14:paraId="4B1D2411" w14:textId="77777777" w:rsidR="009C0072" w:rsidRPr="00AF302A" w:rsidRDefault="009C0072" w:rsidP="00AF302A">
      <w:pPr>
        <w:widowControl w:val="0"/>
        <w:ind w:left="284" w:hanging="284"/>
        <w:rPr>
          <w:sz w:val="24"/>
          <w:szCs w:val="24"/>
        </w:rPr>
      </w:pPr>
      <w:r w:rsidRPr="00AF302A">
        <w:rPr>
          <w:sz w:val="24"/>
          <w:szCs w:val="24"/>
        </w:rPr>
        <w:t xml:space="preserve">* </w:t>
      </w:r>
      <w:r w:rsidRPr="00AF302A">
        <w:rPr>
          <w:sz w:val="24"/>
          <w:szCs w:val="24"/>
        </w:rPr>
        <w:tab/>
        <w:t>Bivirkninger efter markedsføring</w:t>
      </w:r>
    </w:p>
    <w:p w14:paraId="37FD80D6" w14:textId="77777777" w:rsidR="009C0072" w:rsidRPr="00AF302A" w:rsidRDefault="009C0072" w:rsidP="009C0072">
      <w:pPr>
        <w:tabs>
          <w:tab w:val="left" w:pos="851"/>
        </w:tabs>
        <w:ind w:left="851"/>
        <w:rPr>
          <w:sz w:val="24"/>
          <w:szCs w:val="24"/>
          <w:u w:val="single"/>
        </w:rPr>
      </w:pPr>
    </w:p>
    <w:p w14:paraId="1344515C" w14:textId="77777777" w:rsidR="009C0072" w:rsidRPr="00AF302A" w:rsidRDefault="009C0072" w:rsidP="009C0072">
      <w:pPr>
        <w:tabs>
          <w:tab w:val="left" w:pos="851"/>
        </w:tabs>
        <w:ind w:left="851"/>
        <w:rPr>
          <w:bCs/>
          <w:sz w:val="24"/>
          <w:szCs w:val="24"/>
          <w:u w:val="single"/>
        </w:rPr>
      </w:pPr>
      <w:r w:rsidRPr="00AF302A">
        <w:rPr>
          <w:sz w:val="24"/>
          <w:szCs w:val="24"/>
          <w:u w:val="single"/>
        </w:rPr>
        <w:t>Beskrivelse af udvalgte bivirkninger</w:t>
      </w:r>
    </w:p>
    <w:p w14:paraId="3EF1F211" w14:textId="77777777" w:rsidR="009C0072" w:rsidRPr="00AF302A" w:rsidRDefault="009C0072" w:rsidP="009C0072">
      <w:pPr>
        <w:tabs>
          <w:tab w:val="left" w:pos="851"/>
        </w:tabs>
        <w:ind w:left="851"/>
        <w:rPr>
          <w:bCs/>
          <w:sz w:val="24"/>
          <w:szCs w:val="24"/>
          <w:u w:val="single"/>
        </w:rPr>
      </w:pPr>
    </w:p>
    <w:p w14:paraId="62E04021" w14:textId="77777777" w:rsidR="009C0072" w:rsidRPr="00AF302A" w:rsidRDefault="009C0072" w:rsidP="009C0072">
      <w:pPr>
        <w:tabs>
          <w:tab w:val="left" w:pos="851"/>
        </w:tabs>
        <w:ind w:left="851"/>
        <w:rPr>
          <w:i/>
          <w:sz w:val="24"/>
          <w:szCs w:val="24"/>
        </w:rPr>
      </w:pPr>
      <w:r w:rsidRPr="00AF302A">
        <w:rPr>
          <w:i/>
          <w:sz w:val="24"/>
          <w:szCs w:val="24"/>
        </w:rPr>
        <w:t>Almene symptomer og reaktioner på administrationsstedet:</w:t>
      </w:r>
    </w:p>
    <w:p w14:paraId="5009168B" w14:textId="77777777" w:rsidR="009C0072" w:rsidRPr="00AF302A" w:rsidRDefault="009C0072" w:rsidP="009C0072">
      <w:pPr>
        <w:tabs>
          <w:tab w:val="left" w:pos="851"/>
        </w:tabs>
        <w:ind w:left="851"/>
        <w:rPr>
          <w:sz w:val="24"/>
          <w:szCs w:val="24"/>
        </w:rPr>
      </w:pPr>
      <w:r w:rsidRPr="00AF302A">
        <w:rPr>
          <w:sz w:val="24"/>
          <w:szCs w:val="24"/>
        </w:rPr>
        <w:t xml:space="preserve">Store reaktioner på injektionsstedet (&gt; 50 mm), herunder udbredt hævelse af lemmer fra injektionsstedet ud over et eller begge led, er forekommet hos unge og voksne efter administration af </w:t>
      </w:r>
      <w:proofErr w:type="spellStart"/>
      <w:r w:rsidRPr="00AF302A">
        <w:rPr>
          <w:sz w:val="24"/>
          <w:szCs w:val="24"/>
        </w:rPr>
        <w:t>Triaxis</w:t>
      </w:r>
      <w:proofErr w:type="spellEnd"/>
      <w:r w:rsidRPr="00AF302A">
        <w:rPr>
          <w:sz w:val="24"/>
          <w:szCs w:val="24"/>
        </w:rPr>
        <w:t xml:space="preserve">. Disse reaktioner starter sædvanligvis 24 – 72 timer efter vaccination, kan være forbundet med </w:t>
      </w:r>
      <w:proofErr w:type="spellStart"/>
      <w:r w:rsidRPr="00AF302A">
        <w:rPr>
          <w:sz w:val="24"/>
          <w:szCs w:val="24"/>
        </w:rPr>
        <w:t>erytem</w:t>
      </w:r>
      <w:proofErr w:type="spellEnd"/>
      <w:r w:rsidRPr="00AF302A">
        <w:rPr>
          <w:sz w:val="24"/>
          <w:szCs w:val="24"/>
        </w:rPr>
        <w:t>, varme, ømhed eller smerte på injektionsstedet og forsvinder spontant inden for 3 – 5 dage.</w:t>
      </w:r>
    </w:p>
    <w:p w14:paraId="07B2A333" w14:textId="77777777" w:rsidR="009C0072" w:rsidRPr="00AF302A" w:rsidRDefault="009C0072" w:rsidP="009C0072">
      <w:pPr>
        <w:tabs>
          <w:tab w:val="left" w:pos="851"/>
        </w:tabs>
        <w:ind w:left="851"/>
        <w:rPr>
          <w:bCs/>
          <w:sz w:val="24"/>
          <w:szCs w:val="24"/>
          <w:u w:val="single"/>
        </w:rPr>
      </w:pPr>
    </w:p>
    <w:p w14:paraId="6B2B80B1" w14:textId="77777777" w:rsidR="009C0072" w:rsidRPr="00AF302A" w:rsidRDefault="009C0072" w:rsidP="009C0072">
      <w:pPr>
        <w:tabs>
          <w:tab w:val="left" w:pos="851"/>
        </w:tabs>
        <w:ind w:left="851"/>
        <w:rPr>
          <w:bCs/>
          <w:sz w:val="24"/>
          <w:szCs w:val="24"/>
          <w:u w:val="single"/>
        </w:rPr>
      </w:pPr>
      <w:r w:rsidRPr="00AF302A">
        <w:rPr>
          <w:sz w:val="24"/>
          <w:szCs w:val="24"/>
          <w:u w:val="single"/>
        </w:rPr>
        <w:t>Pædiatrisk population</w:t>
      </w:r>
    </w:p>
    <w:p w14:paraId="7EF4E3BC" w14:textId="77777777" w:rsidR="009C0072" w:rsidRPr="00AF302A" w:rsidRDefault="009C0072" w:rsidP="009C0072">
      <w:pPr>
        <w:tabs>
          <w:tab w:val="left" w:pos="851"/>
        </w:tabs>
        <w:ind w:left="851"/>
        <w:rPr>
          <w:bCs/>
          <w:sz w:val="24"/>
          <w:szCs w:val="24"/>
        </w:rPr>
      </w:pPr>
    </w:p>
    <w:p w14:paraId="13D1909F" w14:textId="77777777" w:rsidR="009C0072" w:rsidRPr="00AF302A" w:rsidRDefault="009C0072" w:rsidP="009C0072">
      <w:pPr>
        <w:tabs>
          <w:tab w:val="left" w:pos="851"/>
        </w:tabs>
        <w:ind w:left="851"/>
        <w:rPr>
          <w:bCs/>
          <w:sz w:val="24"/>
          <w:szCs w:val="24"/>
        </w:rPr>
      </w:pPr>
      <w:r w:rsidRPr="00AF302A">
        <w:rPr>
          <w:sz w:val="24"/>
          <w:szCs w:val="24"/>
        </w:rPr>
        <w:t xml:space="preserve">Sikkerhedsprofilen for </w:t>
      </w:r>
      <w:proofErr w:type="spellStart"/>
      <w:r w:rsidRPr="00AF302A">
        <w:rPr>
          <w:sz w:val="24"/>
          <w:szCs w:val="24"/>
        </w:rPr>
        <w:t>Triaxis</w:t>
      </w:r>
      <w:proofErr w:type="spellEnd"/>
      <w:r w:rsidRPr="00AF302A">
        <w:rPr>
          <w:sz w:val="24"/>
          <w:szCs w:val="24"/>
        </w:rPr>
        <w:t xml:space="preserve">, som er vist i tabel 1, omfatter data fra kliniske studier hos 298 børn i alderen 4 til 6 år, som tidligere havde modtaget i alt 4 doser, herunder primær immunisering med </w:t>
      </w:r>
      <w:proofErr w:type="spellStart"/>
      <w:r w:rsidRPr="00AF302A">
        <w:rPr>
          <w:sz w:val="24"/>
          <w:szCs w:val="24"/>
        </w:rPr>
        <w:t>DTaP</w:t>
      </w:r>
      <w:proofErr w:type="spellEnd"/>
      <w:r w:rsidRPr="00AF302A">
        <w:rPr>
          <w:sz w:val="24"/>
          <w:szCs w:val="24"/>
        </w:rPr>
        <w:t>-IPV kombineret med Hib ved ca. 2, 4, 6 og 18 måneders alderen. I dette kliniske studie var de mest almindelige bivirkninger, som blev rapporteret inden for 14 dage efter vaccination, smerter på injektionsstedet (hos 39,6 % af deltagerne) og træthed (hos 31,5 % af deltagerne).</w:t>
      </w:r>
    </w:p>
    <w:p w14:paraId="69A5D7D6" w14:textId="77777777" w:rsidR="009C0072" w:rsidRPr="00AF302A" w:rsidRDefault="009C0072" w:rsidP="009C0072">
      <w:pPr>
        <w:tabs>
          <w:tab w:val="left" w:pos="851"/>
        </w:tabs>
        <w:ind w:left="851"/>
        <w:rPr>
          <w:bCs/>
          <w:sz w:val="24"/>
          <w:szCs w:val="24"/>
        </w:rPr>
      </w:pPr>
    </w:p>
    <w:p w14:paraId="1A560FCD" w14:textId="77777777" w:rsidR="009C0072" w:rsidRPr="00AF302A" w:rsidRDefault="009C0072" w:rsidP="009C0072">
      <w:pPr>
        <w:tabs>
          <w:tab w:val="left" w:pos="851"/>
        </w:tabs>
        <w:ind w:left="851"/>
        <w:rPr>
          <w:bCs/>
          <w:sz w:val="24"/>
          <w:szCs w:val="24"/>
          <w:u w:val="single"/>
        </w:rPr>
      </w:pPr>
      <w:r w:rsidRPr="00AF302A">
        <w:rPr>
          <w:sz w:val="24"/>
          <w:szCs w:val="24"/>
          <w:u w:val="single"/>
        </w:rPr>
        <w:t>Indberetning af formodede bivirkninger</w:t>
      </w:r>
    </w:p>
    <w:p w14:paraId="543B996A" w14:textId="77777777" w:rsidR="009C0072" w:rsidRPr="00AF302A" w:rsidRDefault="009C0072" w:rsidP="009C0072">
      <w:pPr>
        <w:tabs>
          <w:tab w:val="left" w:pos="851"/>
        </w:tabs>
        <w:ind w:left="851"/>
        <w:rPr>
          <w:sz w:val="24"/>
          <w:szCs w:val="24"/>
        </w:rPr>
      </w:pPr>
      <w:r w:rsidRPr="00AF302A">
        <w:rPr>
          <w:sz w:val="24"/>
          <w:szCs w:val="24"/>
        </w:rPr>
        <w:t>Når lægemidlet er godkendt, er indberetning af formodede bivirkninger vigtig. Det muliggør løbende overvågning af benefit/</w:t>
      </w:r>
      <w:proofErr w:type="spellStart"/>
      <w:r w:rsidRPr="00AF302A">
        <w:rPr>
          <w:sz w:val="24"/>
          <w:szCs w:val="24"/>
        </w:rPr>
        <w:t>risk</w:t>
      </w:r>
      <w:proofErr w:type="spellEnd"/>
      <w:r w:rsidRPr="00AF302A">
        <w:rPr>
          <w:i/>
          <w:iCs/>
          <w:sz w:val="24"/>
          <w:szCs w:val="24"/>
        </w:rPr>
        <w:t>-</w:t>
      </w:r>
      <w:r w:rsidRPr="00AF302A">
        <w:rPr>
          <w:sz w:val="24"/>
          <w:szCs w:val="24"/>
        </w:rPr>
        <w:t>forholdet for lægemidlet. Sundhedspersoner anmodes om at indberette alle formodede bivirkninger via</w:t>
      </w:r>
      <w:r w:rsidRPr="00AF302A">
        <w:rPr>
          <w:sz w:val="24"/>
          <w:szCs w:val="24"/>
        </w:rPr>
        <w:br/>
      </w:r>
      <w:r w:rsidRPr="00AF302A">
        <w:rPr>
          <w:sz w:val="24"/>
          <w:szCs w:val="24"/>
        </w:rPr>
        <w:br/>
        <w:t>Lægemiddelstyrelsen</w:t>
      </w:r>
    </w:p>
    <w:p w14:paraId="0D794D74" w14:textId="77777777" w:rsidR="009C0072" w:rsidRPr="00AF302A" w:rsidRDefault="009C0072" w:rsidP="009C0072">
      <w:pPr>
        <w:tabs>
          <w:tab w:val="left" w:pos="851"/>
        </w:tabs>
        <w:ind w:left="851"/>
        <w:rPr>
          <w:sz w:val="24"/>
          <w:szCs w:val="24"/>
        </w:rPr>
      </w:pPr>
      <w:r w:rsidRPr="00AF302A">
        <w:rPr>
          <w:sz w:val="24"/>
          <w:szCs w:val="24"/>
        </w:rPr>
        <w:t>Axel Heides Gade 1</w:t>
      </w:r>
    </w:p>
    <w:p w14:paraId="019D1BBC" w14:textId="77777777" w:rsidR="009C0072" w:rsidRPr="00AF302A" w:rsidRDefault="009C0072" w:rsidP="009C0072">
      <w:pPr>
        <w:tabs>
          <w:tab w:val="left" w:pos="851"/>
        </w:tabs>
        <w:ind w:left="851"/>
        <w:rPr>
          <w:sz w:val="24"/>
          <w:szCs w:val="24"/>
        </w:rPr>
      </w:pPr>
      <w:r w:rsidRPr="00AF302A">
        <w:rPr>
          <w:sz w:val="24"/>
          <w:szCs w:val="24"/>
        </w:rPr>
        <w:t>DK-2300 København S</w:t>
      </w:r>
    </w:p>
    <w:p w14:paraId="3594124D" w14:textId="6C81E40B" w:rsidR="009260DE" w:rsidRPr="00AF302A" w:rsidRDefault="009C0072" w:rsidP="00A10294">
      <w:pPr>
        <w:tabs>
          <w:tab w:val="left" w:pos="851"/>
        </w:tabs>
        <w:ind w:left="851"/>
        <w:rPr>
          <w:sz w:val="24"/>
          <w:szCs w:val="24"/>
        </w:rPr>
      </w:pPr>
      <w:r w:rsidRPr="00AF302A">
        <w:rPr>
          <w:sz w:val="24"/>
          <w:szCs w:val="24"/>
        </w:rPr>
        <w:t xml:space="preserve">Websted: </w:t>
      </w:r>
      <w:hyperlink r:id="rId8" w:history="1">
        <w:r w:rsidRPr="00AF302A">
          <w:rPr>
            <w:rStyle w:val="Hyperlink"/>
            <w:sz w:val="24"/>
            <w:szCs w:val="24"/>
          </w:rPr>
          <w:t>www.meldenbivirkning.dk</w:t>
        </w:r>
      </w:hyperlink>
      <w:r w:rsidRPr="00AF302A">
        <w:rPr>
          <w:sz w:val="24"/>
          <w:szCs w:val="24"/>
        </w:rPr>
        <w:br/>
      </w:r>
    </w:p>
    <w:p w14:paraId="0C8EF635" w14:textId="77777777" w:rsidR="009260DE" w:rsidRPr="00AF302A" w:rsidRDefault="009260DE" w:rsidP="009260DE">
      <w:pPr>
        <w:tabs>
          <w:tab w:val="left" w:pos="851"/>
        </w:tabs>
        <w:ind w:left="851" w:hanging="851"/>
        <w:rPr>
          <w:b/>
          <w:sz w:val="24"/>
          <w:szCs w:val="24"/>
        </w:rPr>
      </w:pPr>
      <w:r w:rsidRPr="00AF302A">
        <w:rPr>
          <w:b/>
          <w:sz w:val="24"/>
          <w:szCs w:val="24"/>
        </w:rPr>
        <w:t>4.9</w:t>
      </w:r>
      <w:r w:rsidRPr="00AF302A">
        <w:rPr>
          <w:b/>
          <w:sz w:val="24"/>
          <w:szCs w:val="24"/>
        </w:rPr>
        <w:tab/>
        <w:t>Overdosering</w:t>
      </w:r>
    </w:p>
    <w:p w14:paraId="4E549FF4" w14:textId="77777777" w:rsidR="009C0072" w:rsidRPr="00AF302A" w:rsidRDefault="009C0072" w:rsidP="009C0072">
      <w:pPr>
        <w:tabs>
          <w:tab w:val="left" w:pos="851"/>
        </w:tabs>
        <w:ind w:left="851"/>
        <w:rPr>
          <w:sz w:val="24"/>
          <w:szCs w:val="24"/>
          <w:lang w:eastAsia="da-DK"/>
        </w:rPr>
      </w:pPr>
      <w:r w:rsidRPr="00AF302A">
        <w:rPr>
          <w:sz w:val="24"/>
          <w:szCs w:val="24"/>
        </w:rPr>
        <w:t>Ikke relevant.</w:t>
      </w:r>
    </w:p>
    <w:p w14:paraId="749E28F0" w14:textId="77777777" w:rsidR="009260DE" w:rsidRPr="00AF302A" w:rsidRDefault="009260DE" w:rsidP="009260DE">
      <w:pPr>
        <w:tabs>
          <w:tab w:val="left" w:pos="851"/>
        </w:tabs>
        <w:ind w:left="851"/>
        <w:rPr>
          <w:sz w:val="24"/>
          <w:szCs w:val="24"/>
        </w:rPr>
      </w:pPr>
    </w:p>
    <w:p w14:paraId="7295775F" w14:textId="77777777" w:rsidR="009260DE" w:rsidRPr="00AF302A" w:rsidRDefault="009260DE" w:rsidP="009260DE">
      <w:pPr>
        <w:tabs>
          <w:tab w:val="left" w:pos="851"/>
        </w:tabs>
        <w:ind w:left="851" w:hanging="851"/>
        <w:rPr>
          <w:b/>
          <w:sz w:val="24"/>
          <w:szCs w:val="24"/>
        </w:rPr>
      </w:pPr>
      <w:r w:rsidRPr="00AF302A">
        <w:rPr>
          <w:b/>
          <w:sz w:val="24"/>
          <w:szCs w:val="24"/>
        </w:rPr>
        <w:t>4.10</w:t>
      </w:r>
      <w:r w:rsidRPr="00AF302A">
        <w:rPr>
          <w:b/>
          <w:sz w:val="24"/>
          <w:szCs w:val="24"/>
        </w:rPr>
        <w:tab/>
        <w:t>Udlevering</w:t>
      </w:r>
    </w:p>
    <w:p w14:paraId="6B115ED6" w14:textId="6C663C12" w:rsidR="009260DE" w:rsidRPr="00AF302A" w:rsidRDefault="009C0072" w:rsidP="009260DE">
      <w:pPr>
        <w:tabs>
          <w:tab w:val="left" w:pos="851"/>
        </w:tabs>
        <w:ind w:left="851"/>
        <w:rPr>
          <w:sz w:val="24"/>
          <w:szCs w:val="24"/>
        </w:rPr>
      </w:pPr>
      <w:r w:rsidRPr="00AF302A">
        <w:rPr>
          <w:sz w:val="24"/>
          <w:szCs w:val="24"/>
        </w:rPr>
        <w:t>B</w:t>
      </w:r>
    </w:p>
    <w:p w14:paraId="1470242B" w14:textId="77777777" w:rsidR="009260DE" w:rsidRPr="00AF302A" w:rsidRDefault="009260DE" w:rsidP="009260DE">
      <w:pPr>
        <w:tabs>
          <w:tab w:val="left" w:pos="851"/>
        </w:tabs>
        <w:ind w:left="851"/>
        <w:rPr>
          <w:sz w:val="24"/>
          <w:szCs w:val="24"/>
        </w:rPr>
      </w:pPr>
    </w:p>
    <w:p w14:paraId="2D2832CE" w14:textId="77777777" w:rsidR="009260DE" w:rsidRPr="00AF302A" w:rsidRDefault="009260DE" w:rsidP="009260DE">
      <w:pPr>
        <w:tabs>
          <w:tab w:val="left" w:pos="851"/>
        </w:tabs>
        <w:ind w:left="851"/>
        <w:rPr>
          <w:sz w:val="24"/>
          <w:szCs w:val="24"/>
        </w:rPr>
      </w:pPr>
    </w:p>
    <w:p w14:paraId="7A31D09D" w14:textId="77777777" w:rsidR="009260DE" w:rsidRPr="00AF302A" w:rsidRDefault="009260DE" w:rsidP="009260DE">
      <w:pPr>
        <w:tabs>
          <w:tab w:val="left" w:pos="851"/>
        </w:tabs>
        <w:ind w:left="851" w:hanging="851"/>
        <w:rPr>
          <w:b/>
          <w:sz w:val="24"/>
          <w:szCs w:val="24"/>
        </w:rPr>
      </w:pPr>
      <w:r w:rsidRPr="00AF302A">
        <w:rPr>
          <w:b/>
          <w:sz w:val="24"/>
          <w:szCs w:val="24"/>
        </w:rPr>
        <w:t>5.</w:t>
      </w:r>
      <w:r w:rsidRPr="00AF302A">
        <w:rPr>
          <w:b/>
          <w:sz w:val="24"/>
          <w:szCs w:val="24"/>
        </w:rPr>
        <w:tab/>
        <w:t>FARMAKOLOGISKE EGENSKABER</w:t>
      </w:r>
    </w:p>
    <w:p w14:paraId="641D17AF" w14:textId="77777777" w:rsidR="009260DE" w:rsidRPr="00AF302A" w:rsidRDefault="009260DE" w:rsidP="009260DE">
      <w:pPr>
        <w:tabs>
          <w:tab w:val="left" w:pos="851"/>
        </w:tabs>
        <w:ind w:left="851"/>
        <w:rPr>
          <w:sz w:val="24"/>
          <w:szCs w:val="24"/>
        </w:rPr>
      </w:pPr>
    </w:p>
    <w:p w14:paraId="4B229021" w14:textId="77777777" w:rsidR="009260DE" w:rsidRPr="00AF302A" w:rsidRDefault="009260DE" w:rsidP="009260DE">
      <w:pPr>
        <w:tabs>
          <w:tab w:val="num" w:pos="851"/>
        </w:tabs>
        <w:ind w:left="851" w:hanging="851"/>
        <w:rPr>
          <w:b/>
          <w:sz w:val="24"/>
          <w:szCs w:val="24"/>
        </w:rPr>
      </w:pPr>
      <w:r w:rsidRPr="00AF302A">
        <w:rPr>
          <w:b/>
          <w:sz w:val="24"/>
          <w:szCs w:val="24"/>
        </w:rPr>
        <w:t>5.1</w:t>
      </w:r>
      <w:r w:rsidRPr="00AF302A">
        <w:rPr>
          <w:b/>
          <w:sz w:val="24"/>
          <w:szCs w:val="24"/>
        </w:rPr>
        <w:tab/>
      </w:r>
      <w:proofErr w:type="spellStart"/>
      <w:r w:rsidRPr="00AF302A">
        <w:rPr>
          <w:b/>
          <w:sz w:val="24"/>
          <w:szCs w:val="24"/>
        </w:rPr>
        <w:t>Farmakodynamiske</w:t>
      </w:r>
      <w:proofErr w:type="spellEnd"/>
      <w:r w:rsidRPr="00AF302A">
        <w:rPr>
          <w:b/>
          <w:sz w:val="24"/>
          <w:szCs w:val="24"/>
        </w:rPr>
        <w:t xml:space="preserve"> egenskaber</w:t>
      </w:r>
    </w:p>
    <w:p w14:paraId="74B4CEAA" w14:textId="77777777" w:rsidR="009C0072" w:rsidRPr="00AF302A" w:rsidRDefault="009C0072" w:rsidP="009C0072">
      <w:pPr>
        <w:tabs>
          <w:tab w:val="left" w:pos="851"/>
        </w:tabs>
        <w:ind w:left="851"/>
        <w:rPr>
          <w:sz w:val="24"/>
          <w:szCs w:val="24"/>
          <w:lang w:eastAsia="da-DK"/>
        </w:rPr>
      </w:pPr>
      <w:proofErr w:type="spellStart"/>
      <w:r w:rsidRPr="00AF302A">
        <w:rPr>
          <w:sz w:val="24"/>
          <w:szCs w:val="24"/>
        </w:rPr>
        <w:t>Farmakoterapeutisk</w:t>
      </w:r>
      <w:proofErr w:type="spellEnd"/>
      <w:r w:rsidRPr="00AF302A">
        <w:rPr>
          <w:sz w:val="24"/>
          <w:szCs w:val="24"/>
        </w:rPr>
        <w:t xml:space="preserve"> klassifikation: </w:t>
      </w:r>
      <w:proofErr w:type="spellStart"/>
      <w:r w:rsidRPr="00AF302A">
        <w:rPr>
          <w:sz w:val="24"/>
          <w:szCs w:val="24"/>
        </w:rPr>
        <w:t>Pertussis</w:t>
      </w:r>
      <w:proofErr w:type="spellEnd"/>
      <w:r w:rsidRPr="00AF302A">
        <w:rPr>
          <w:sz w:val="24"/>
          <w:szCs w:val="24"/>
        </w:rPr>
        <w:t xml:space="preserve">, renset antigen, kombination med </w:t>
      </w:r>
      <w:proofErr w:type="spellStart"/>
      <w:r w:rsidRPr="00AF302A">
        <w:rPr>
          <w:sz w:val="24"/>
          <w:szCs w:val="24"/>
        </w:rPr>
        <w:t>toxoider</w:t>
      </w:r>
      <w:proofErr w:type="spellEnd"/>
      <w:r w:rsidRPr="00AF302A">
        <w:rPr>
          <w:sz w:val="24"/>
          <w:szCs w:val="24"/>
        </w:rPr>
        <w:t>.</w:t>
      </w:r>
    </w:p>
    <w:p w14:paraId="57694984" w14:textId="77777777" w:rsidR="009C0072" w:rsidRPr="00AF302A" w:rsidRDefault="009C0072" w:rsidP="009C0072">
      <w:pPr>
        <w:tabs>
          <w:tab w:val="left" w:pos="851"/>
        </w:tabs>
        <w:ind w:left="851"/>
        <w:rPr>
          <w:sz w:val="24"/>
          <w:szCs w:val="24"/>
        </w:rPr>
      </w:pPr>
      <w:r w:rsidRPr="00AF302A">
        <w:rPr>
          <w:sz w:val="24"/>
          <w:szCs w:val="24"/>
        </w:rPr>
        <w:t>ATC-kode: J07AJ52</w:t>
      </w:r>
    </w:p>
    <w:p w14:paraId="7D362D3C" w14:textId="77777777" w:rsidR="009C0072" w:rsidRPr="00AF302A" w:rsidRDefault="009C0072" w:rsidP="009C0072">
      <w:pPr>
        <w:tabs>
          <w:tab w:val="left" w:pos="851"/>
        </w:tabs>
        <w:ind w:left="851"/>
        <w:rPr>
          <w:bCs/>
          <w:sz w:val="24"/>
          <w:szCs w:val="24"/>
        </w:rPr>
      </w:pPr>
    </w:p>
    <w:p w14:paraId="2272404C" w14:textId="77777777" w:rsidR="009C0072" w:rsidRPr="00AF302A" w:rsidRDefault="009C0072" w:rsidP="009C0072">
      <w:pPr>
        <w:tabs>
          <w:tab w:val="left" w:pos="851"/>
        </w:tabs>
        <w:ind w:left="851"/>
        <w:rPr>
          <w:bCs/>
          <w:sz w:val="24"/>
          <w:szCs w:val="24"/>
          <w:u w:val="single"/>
        </w:rPr>
      </w:pPr>
      <w:r w:rsidRPr="00AF302A">
        <w:rPr>
          <w:sz w:val="24"/>
          <w:szCs w:val="24"/>
          <w:u w:val="single"/>
        </w:rPr>
        <w:t>Kliniske studier</w:t>
      </w:r>
    </w:p>
    <w:p w14:paraId="141973DC" w14:textId="77777777" w:rsidR="009C0072" w:rsidRPr="00AF302A" w:rsidRDefault="009C0072" w:rsidP="009C0072">
      <w:pPr>
        <w:tabs>
          <w:tab w:val="left" w:pos="851"/>
        </w:tabs>
        <w:ind w:left="851"/>
        <w:rPr>
          <w:sz w:val="24"/>
          <w:szCs w:val="24"/>
        </w:rPr>
      </w:pPr>
    </w:p>
    <w:p w14:paraId="2F7E8701" w14:textId="77777777" w:rsidR="009C0072" w:rsidRPr="00AF302A" w:rsidRDefault="009C0072" w:rsidP="009C0072">
      <w:pPr>
        <w:tabs>
          <w:tab w:val="left" w:pos="851"/>
        </w:tabs>
        <w:ind w:left="851"/>
        <w:rPr>
          <w:sz w:val="24"/>
          <w:szCs w:val="24"/>
        </w:rPr>
      </w:pPr>
      <w:r w:rsidRPr="00AF302A">
        <w:rPr>
          <w:sz w:val="24"/>
          <w:szCs w:val="24"/>
        </w:rPr>
        <w:t xml:space="preserve">Immunresponset observeret en måned efter vaccination med </w:t>
      </w:r>
      <w:proofErr w:type="spellStart"/>
      <w:r w:rsidRPr="00AF302A">
        <w:rPr>
          <w:sz w:val="24"/>
          <w:szCs w:val="24"/>
        </w:rPr>
        <w:t>Triaxis</w:t>
      </w:r>
      <w:proofErr w:type="spellEnd"/>
      <w:r w:rsidRPr="00AF302A">
        <w:rPr>
          <w:sz w:val="24"/>
          <w:szCs w:val="24"/>
        </w:rPr>
        <w:t xml:space="preserve"> hos 265 børn, 527 unge og 743 voksne er vist i tabellen nedenfor.</w:t>
      </w:r>
    </w:p>
    <w:p w14:paraId="240E012A" w14:textId="77777777" w:rsidR="009C0072" w:rsidRPr="00AF302A" w:rsidRDefault="009C0072" w:rsidP="009C0072">
      <w:pPr>
        <w:tabs>
          <w:tab w:val="left" w:pos="851"/>
        </w:tabs>
        <w:ind w:left="851"/>
        <w:rPr>
          <w:sz w:val="24"/>
          <w:szCs w:val="24"/>
        </w:rPr>
      </w:pPr>
    </w:p>
    <w:p w14:paraId="484F6CE4" w14:textId="77777777" w:rsidR="009C0072" w:rsidRPr="00AF302A" w:rsidRDefault="009C0072" w:rsidP="00AF302A">
      <w:pPr>
        <w:rPr>
          <w:b/>
          <w:sz w:val="24"/>
          <w:szCs w:val="24"/>
        </w:rPr>
      </w:pPr>
      <w:r w:rsidRPr="00AF302A">
        <w:rPr>
          <w:b/>
          <w:sz w:val="24"/>
          <w:szCs w:val="24"/>
        </w:rPr>
        <w:t xml:space="preserve">Tabel 2: Immunrespons hos børn, unge og voksne en måned efter vaccination med </w:t>
      </w:r>
      <w:proofErr w:type="spellStart"/>
      <w:r w:rsidRPr="00AF302A">
        <w:rPr>
          <w:b/>
          <w:sz w:val="24"/>
          <w:szCs w:val="24"/>
        </w:rPr>
        <w:t>Triaxis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643"/>
        <w:gridCol w:w="1750"/>
        <w:gridCol w:w="1756"/>
        <w:gridCol w:w="1704"/>
      </w:tblGrid>
      <w:tr w:rsidR="009C0072" w:rsidRPr="00B84667" w14:paraId="369E0ADE" w14:textId="77777777" w:rsidTr="00AF302A">
        <w:trPr>
          <w:tblHeader/>
        </w:trPr>
        <w:tc>
          <w:tcPr>
            <w:tcW w:w="1444" w:type="pct"/>
            <w:tcBorders>
              <w:top w:val="single" w:sz="4" w:space="0" w:color="auto"/>
              <w:left w:val="single" w:sz="4" w:space="0" w:color="auto"/>
              <w:bottom w:val="single" w:sz="4" w:space="0" w:color="auto"/>
              <w:right w:val="single" w:sz="4" w:space="0" w:color="auto"/>
            </w:tcBorders>
            <w:hideMark/>
          </w:tcPr>
          <w:p w14:paraId="2A114F5B" w14:textId="77777777" w:rsidR="009C0072" w:rsidRPr="00B84667" w:rsidRDefault="009C0072">
            <w:pPr>
              <w:pStyle w:val="wcpTableColHeader"/>
              <w:rPr>
                <w:color w:val="000000"/>
                <w:szCs w:val="22"/>
                <w:lang w:val="nb-NO"/>
              </w:rPr>
            </w:pPr>
            <w:r w:rsidRPr="00B84667">
              <w:rPr>
                <w:color w:val="000000"/>
                <w:szCs w:val="22"/>
                <w:lang w:val="nb-NO"/>
              </w:rPr>
              <w:t>Antistof</w:t>
            </w:r>
          </w:p>
        </w:tc>
        <w:tc>
          <w:tcPr>
            <w:tcW w:w="841" w:type="pct"/>
            <w:tcBorders>
              <w:top w:val="single" w:sz="4" w:space="0" w:color="auto"/>
              <w:left w:val="single" w:sz="4" w:space="0" w:color="auto"/>
              <w:bottom w:val="single" w:sz="4" w:space="0" w:color="auto"/>
              <w:right w:val="single" w:sz="4" w:space="0" w:color="auto"/>
            </w:tcBorders>
            <w:hideMark/>
          </w:tcPr>
          <w:p w14:paraId="751E1871" w14:textId="77777777" w:rsidR="009C0072" w:rsidRPr="00B84667" w:rsidRDefault="009C0072">
            <w:pPr>
              <w:pStyle w:val="wcpTableColHeader"/>
              <w:rPr>
                <w:color w:val="000000"/>
                <w:szCs w:val="22"/>
                <w:lang w:val="nb-NO"/>
              </w:rPr>
            </w:pPr>
            <w:r w:rsidRPr="00B84667">
              <w:rPr>
                <w:color w:val="000000"/>
                <w:szCs w:val="22"/>
                <w:lang w:val="nb-NO"/>
              </w:rPr>
              <w:t>Kriterie</w:t>
            </w:r>
          </w:p>
        </w:tc>
        <w:tc>
          <w:tcPr>
            <w:tcW w:w="912" w:type="pct"/>
            <w:tcBorders>
              <w:top w:val="single" w:sz="4" w:space="0" w:color="auto"/>
              <w:left w:val="single" w:sz="4" w:space="0" w:color="auto"/>
              <w:bottom w:val="single" w:sz="4" w:space="0" w:color="auto"/>
              <w:right w:val="single" w:sz="4" w:space="0" w:color="auto"/>
            </w:tcBorders>
            <w:hideMark/>
          </w:tcPr>
          <w:p w14:paraId="1E9CA4B5" w14:textId="77777777" w:rsidR="009C0072" w:rsidRPr="00B84667" w:rsidRDefault="009C0072">
            <w:pPr>
              <w:pStyle w:val="wcpTableColHeader"/>
              <w:rPr>
                <w:color w:val="000000"/>
                <w:szCs w:val="22"/>
                <w:lang w:val="nb-NO"/>
              </w:rPr>
            </w:pPr>
            <w:r w:rsidRPr="00B84667">
              <w:rPr>
                <w:color w:val="000000"/>
                <w:szCs w:val="22"/>
                <w:lang w:val="nb-NO"/>
              </w:rPr>
              <w:t>Børn</w:t>
            </w:r>
            <w:r w:rsidRPr="00B84667">
              <w:rPr>
                <w:color w:val="000000"/>
                <w:szCs w:val="22"/>
                <w:lang w:val="nb-NO"/>
              </w:rPr>
              <w:br/>
              <w:t>(4 </w:t>
            </w:r>
            <w:r w:rsidRPr="00B84667">
              <w:rPr>
                <w:szCs w:val="22"/>
                <w:lang w:val="nb-NO"/>
              </w:rPr>
              <w:t>–</w:t>
            </w:r>
            <w:r w:rsidRPr="00B84667">
              <w:rPr>
                <w:color w:val="000000"/>
                <w:szCs w:val="22"/>
                <w:lang w:val="nb-NO"/>
              </w:rPr>
              <w:t> 6 år)</w:t>
            </w:r>
            <w:r w:rsidRPr="00B84667">
              <w:rPr>
                <w:color w:val="000000"/>
                <w:szCs w:val="22"/>
                <w:vertAlign w:val="superscript"/>
                <w:lang w:val="nb-NO"/>
              </w:rPr>
              <w:t>1</w:t>
            </w:r>
            <w:r w:rsidRPr="00B84667">
              <w:rPr>
                <w:color w:val="000000"/>
                <w:szCs w:val="22"/>
                <w:lang w:val="nb-NO"/>
              </w:rPr>
              <w:br/>
              <w:t xml:space="preserve">(N = 265) </w:t>
            </w:r>
            <w:r w:rsidRPr="00B84667">
              <w:rPr>
                <w:color w:val="000000"/>
                <w:szCs w:val="22"/>
                <w:lang w:val="nb-NO"/>
              </w:rPr>
              <w:br/>
              <w:t>%</w:t>
            </w:r>
          </w:p>
        </w:tc>
        <w:tc>
          <w:tcPr>
            <w:tcW w:w="915" w:type="pct"/>
            <w:tcBorders>
              <w:top w:val="single" w:sz="4" w:space="0" w:color="auto"/>
              <w:left w:val="single" w:sz="4" w:space="0" w:color="auto"/>
              <w:bottom w:val="single" w:sz="4" w:space="0" w:color="auto"/>
              <w:right w:val="single" w:sz="4" w:space="0" w:color="auto"/>
            </w:tcBorders>
            <w:hideMark/>
          </w:tcPr>
          <w:p w14:paraId="7A677EC1" w14:textId="77777777" w:rsidR="009C0072" w:rsidRPr="00B84667" w:rsidRDefault="009C0072">
            <w:pPr>
              <w:pStyle w:val="wcpTableColHeader"/>
              <w:rPr>
                <w:color w:val="000000"/>
                <w:szCs w:val="22"/>
                <w:lang w:val="nb-NO"/>
              </w:rPr>
            </w:pPr>
            <w:r w:rsidRPr="00B84667">
              <w:rPr>
                <w:color w:val="000000"/>
                <w:szCs w:val="22"/>
                <w:lang w:val="nb-NO"/>
              </w:rPr>
              <w:t>Unge</w:t>
            </w:r>
            <w:r w:rsidRPr="00B84667">
              <w:rPr>
                <w:color w:val="000000"/>
                <w:szCs w:val="22"/>
                <w:lang w:val="nb-NO"/>
              </w:rPr>
              <w:br/>
              <w:t>(11 </w:t>
            </w:r>
            <w:r w:rsidRPr="00B84667">
              <w:rPr>
                <w:szCs w:val="22"/>
                <w:lang w:val="nb-NO"/>
              </w:rPr>
              <w:t>–</w:t>
            </w:r>
            <w:r w:rsidRPr="00B84667">
              <w:rPr>
                <w:color w:val="000000"/>
                <w:szCs w:val="22"/>
                <w:lang w:val="nb-NO"/>
              </w:rPr>
              <w:t> 17 år)</w:t>
            </w:r>
            <w:r w:rsidRPr="00B84667">
              <w:rPr>
                <w:color w:val="000000"/>
                <w:szCs w:val="22"/>
                <w:vertAlign w:val="superscript"/>
                <w:lang w:val="nb-NO"/>
              </w:rPr>
              <w:t>2</w:t>
            </w:r>
            <w:r w:rsidRPr="00B84667">
              <w:rPr>
                <w:color w:val="000000"/>
                <w:szCs w:val="22"/>
                <w:lang w:val="nb-NO"/>
              </w:rPr>
              <w:br/>
              <w:t xml:space="preserve">(N = 527) </w:t>
            </w:r>
            <w:r w:rsidRPr="00B84667">
              <w:rPr>
                <w:color w:val="000000"/>
                <w:szCs w:val="22"/>
                <w:lang w:val="nb-NO"/>
              </w:rPr>
              <w:br/>
              <w:t>%</w:t>
            </w:r>
          </w:p>
        </w:tc>
        <w:tc>
          <w:tcPr>
            <w:tcW w:w="888" w:type="pct"/>
            <w:tcBorders>
              <w:top w:val="single" w:sz="4" w:space="0" w:color="auto"/>
              <w:left w:val="single" w:sz="4" w:space="0" w:color="auto"/>
              <w:bottom w:val="single" w:sz="4" w:space="0" w:color="auto"/>
              <w:right w:val="single" w:sz="4" w:space="0" w:color="auto"/>
            </w:tcBorders>
            <w:hideMark/>
          </w:tcPr>
          <w:p w14:paraId="6F76AB7F" w14:textId="77777777" w:rsidR="009C0072" w:rsidRPr="00B84667" w:rsidRDefault="009C0072">
            <w:pPr>
              <w:pStyle w:val="wcpTableColHeader"/>
              <w:rPr>
                <w:color w:val="000000"/>
                <w:szCs w:val="22"/>
                <w:lang w:val="nb-NO"/>
              </w:rPr>
            </w:pPr>
            <w:r w:rsidRPr="00B84667">
              <w:rPr>
                <w:color w:val="000000"/>
                <w:szCs w:val="22"/>
                <w:lang w:val="nb-NO"/>
              </w:rPr>
              <w:t>Voksne</w:t>
            </w:r>
            <w:r w:rsidRPr="00B84667">
              <w:rPr>
                <w:color w:val="000000"/>
                <w:szCs w:val="22"/>
                <w:lang w:val="nb-NO"/>
              </w:rPr>
              <w:br/>
              <w:t>(18 </w:t>
            </w:r>
            <w:r w:rsidRPr="00B84667">
              <w:rPr>
                <w:szCs w:val="22"/>
                <w:lang w:val="nb-NO"/>
              </w:rPr>
              <w:t>–</w:t>
            </w:r>
            <w:r w:rsidRPr="00B84667">
              <w:rPr>
                <w:color w:val="000000"/>
                <w:szCs w:val="22"/>
                <w:lang w:val="nb-NO"/>
              </w:rPr>
              <w:t> 64 år)</w:t>
            </w:r>
            <w:r w:rsidRPr="00B84667">
              <w:rPr>
                <w:color w:val="000000"/>
                <w:szCs w:val="22"/>
                <w:vertAlign w:val="superscript"/>
                <w:lang w:val="nb-NO"/>
              </w:rPr>
              <w:t>2</w:t>
            </w:r>
            <w:r w:rsidRPr="00B84667">
              <w:rPr>
                <w:color w:val="000000"/>
                <w:szCs w:val="22"/>
                <w:lang w:val="nb-NO"/>
              </w:rPr>
              <w:br/>
              <w:t xml:space="preserve">(N = 743) </w:t>
            </w:r>
            <w:r w:rsidRPr="00B84667">
              <w:rPr>
                <w:color w:val="000000"/>
                <w:szCs w:val="22"/>
                <w:lang w:val="nb-NO"/>
              </w:rPr>
              <w:br/>
              <w:t>%</w:t>
            </w:r>
          </w:p>
        </w:tc>
      </w:tr>
      <w:tr w:rsidR="009C0072" w:rsidRPr="00B84667" w14:paraId="5B0797F4" w14:textId="77777777" w:rsidTr="00AF302A">
        <w:trPr>
          <w:tblHeader/>
        </w:trPr>
        <w:tc>
          <w:tcPr>
            <w:tcW w:w="1444" w:type="pct"/>
            <w:tcBorders>
              <w:top w:val="single" w:sz="4" w:space="0" w:color="auto"/>
              <w:left w:val="single" w:sz="4" w:space="0" w:color="auto"/>
              <w:bottom w:val="single" w:sz="4" w:space="0" w:color="auto"/>
              <w:right w:val="single" w:sz="4" w:space="0" w:color="auto"/>
            </w:tcBorders>
            <w:hideMark/>
          </w:tcPr>
          <w:p w14:paraId="6813B77E" w14:textId="77777777" w:rsidR="009C0072" w:rsidRPr="00B84667" w:rsidRDefault="009C0072">
            <w:pPr>
              <w:pStyle w:val="wcpTableContent"/>
              <w:rPr>
                <w:color w:val="000000"/>
                <w:szCs w:val="22"/>
                <w:lang w:val="nb-NO"/>
              </w:rPr>
            </w:pPr>
            <w:r w:rsidRPr="00B84667">
              <w:rPr>
                <w:b/>
                <w:color w:val="000000"/>
                <w:szCs w:val="22"/>
                <w:lang w:val="nb-NO"/>
              </w:rPr>
              <w:t>Difteri</w:t>
            </w:r>
            <w:r w:rsidRPr="00B84667">
              <w:rPr>
                <w:color w:val="000000"/>
                <w:szCs w:val="22"/>
                <w:lang w:val="nb-NO"/>
              </w:rPr>
              <w:t xml:space="preserve"> (SN, IE/ml)</w:t>
            </w:r>
          </w:p>
        </w:tc>
        <w:tc>
          <w:tcPr>
            <w:tcW w:w="841" w:type="pct"/>
            <w:tcBorders>
              <w:top w:val="single" w:sz="4" w:space="0" w:color="auto"/>
              <w:left w:val="single" w:sz="4" w:space="0" w:color="auto"/>
              <w:bottom w:val="single" w:sz="4" w:space="0" w:color="auto"/>
              <w:right w:val="single" w:sz="4" w:space="0" w:color="auto"/>
            </w:tcBorders>
            <w:hideMark/>
          </w:tcPr>
          <w:p w14:paraId="57735C9A" w14:textId="77777777" w:rsidR="009C0072" w:rsidRPr="00B84667" w:rsidRDefault="009C0072">
            <w:pPr>
              <w:pStyle w:val="wcpTableContent"/>
              <w:rPr>
                <w:szCs w:val="22"/>
                <w:lang w:val="nb-NO"/>
              </w:rPr>
            </w:pPr>
            <w:r w:rsidRPr="00B84667">
              <w:rPr>
                <w:szCs w:val="22"/>
                <w:lang w:val="nb-NO"/>
              </w:rPr>
              <w:sym w:font="Symbol" w:char="F0B3"/>
            </w:r>
            <w:r w:rsidRPr="00B84667">
              <w:rPr>
                <w:szCs w:val="22"/>
                <w:lang w:val="nb-NO"/>
              </w:rPr>
              <w:t xml:space="preserve"> 0,1 </w:t>
            </w:r>
          </w:p>
        </w:tc>
        <w:tc>
          <w:tcPr>
            <w:tcW w:w="912" w:type="pct"/>
            <w:tcBorders>
              <w:top w:val="single" w:sz="4" w:space="0" w:color="auto"/>
              <w:left w:val="single" w:sz="4" w:space="0" w:color="auto"/>
              <w:bottom w:val="single" w:sz="4" w:space="0" w:color="auto"/>
              <w:right w:val="single" w:sz="4" w:space="0" w:color="auto"/>
            </w:tcBorders>
            <w:hideMark/>
          </w:tcPr>
          <w:p w14:paraId="7FB45523" w14:textId="77777777" w:rsidR="009C0072" w:rsidRPr="00B84667" w:rsidRDefault="009C0072">
            <w:pPr>
              <w:pStyle w:val="wcpTableContent"/>
              <w:tabs>
                <w:tab w:val="decimal" w:pos="704"/>
              </w:tabs>
              <w:rPr>
                <w:szCs w:val="22"/>
                <w:lang w:val="nb-NO"/>
              </w:rPr>
            </w:pPr>
            <w:r w:rsidRPr="00B84667">
              <w:rPr>
                <w:szCs w:val="22"/>
                <w:lang w:val="nb-NO"/>
              </w:rPr>
              <w:t>100</w:t>
            </w:r>
          </w:p>
        </w:tc>
        <w:tc>
          <w:tcPr>
            <w:tcW w:w="915" w:type="pct"/>
            <w:tcBorders>
              <w:top w:val="single" w:sz="4" w:space="0" w:color="auto"/>
              <w:left w:val="single" w:sz="4" w:space="0" w:color="auto"/>
              <w:bottom w:val="single" w:sz="4" w:space="0" w:color="auto"/>
              <w:right w:val="single" w:sz="4" w:space="0" w:color="auto"/>
            </w:tcBorders>
            <w:hideMark/>
          </w:tcPr>
          <w:p w14:paraId="44330DB6" w14:textId="77777777" w:rsidR="009C0072" w:rsidRPr="00B84667" w:rsidRDefault="009C0072">
            <w:pPr>
              <w:pStyle w:val="wcpTableContent"/>
              <w:tabs>
                <w:tab w:val="decimal" w:pos="591"/>
              </w:tabs>
              <w:rPr>
                <w:szCs w:val="22"/>
                <w:lang w:val="nb-NO"/>
              </w:rPr>
            </w:pPr>
            <w:r w:rsidRPr="00B84667">
              <w:rPr>
                <w:szCs w:val="22"/>
                <w:lang w:val="nb-NO"/>
              </w:rPr>
              <w:t>99,8</w:t>
            </w:r>
          </w:p>
        </w:tc>
        <w:tc>
          <w:tcPr>
            <w:tcW w:w="888" w:type="pct"/>
            <w:tcBorders>
              <w:top w:val="single" w:sz="4" w:space="0" w:color="auto"/>
              <w:left w:val="single" w:sz="4" w:space="0" w:color="auto"/>
              <w:bottom w:val="single" w:sz="4" w:space="0" w:color="auto"/>
              <w:right w:val="single" w:sz="4" w:space="0" w:color="auto"/>
            </w:tcBorders>
            <w:hideMark/>
          </w:tcPr>
          <w:p w14:paraId="75A1CB77" w14:textId="77777777" w:rsidR="009C0072" w:rsidRPr="00B84667" w:rsidRDefault="009C0072">
            <w:pPr>
              <w:pStyle w:val="wcpTableContent"/>
              <w:tabs>
                <w:tab w:val="decimal" w:pos="612"/>
              </w:tabs>
              <w:rPr>
                <w:szCs w:val="22"/>
                <w:lang w:val="nb-NO"/>
              </w:rPr>
            </w:pPr>
            <w:r w:rsidRPr="00B84667">
              <w:rPr>
                <w:szCs w:val="22"/>
                <w:lang w:val="nb-NO"/>
              </w:rPr>
              <w:t>94,1</w:t>
            </w:r>
          </w:p>
        </w:tc>
      </w:tr>
      <w:tr w:rsidR="009C0072" w:rsidRPr="00B84667" w14:paraId="73718428" w14:textId="77777777" w:rsidTr="00AF302A">
        <w:trPr>
          <w:tblHeader/>
        </w:trPr>
        <w:tc>
          <w:tcPr>
            <w:tcW w:w="1444" w:type="pct"/>
            <w:tcBorders>
              <w:top w:val="single" w:sz="4" w:space="0" w:color="auto"/>
              <w:left w:val="single" w:sz="4" w:space="0" w:color="auto"/>
              <w:bottom w:val="single" w:sz="4" w:space="0" w:color="auto"/>
              <w:right w:val="single" w:sz="4" w:space="0" w:color="auto"/>
            </w:tcBorders>
            <w:hideMark/>
          </w:tcPr>
          <w:p w14:paraId="4D5D5211" w14:textId="77777777" w:rsidR="009C0072" w:rsidRPr="00B84667" w:rsidRDefault="009C0072">
            <w:pPr>
              <w:pStyle w:val="wcpTableContent"/>
              <w:rPr>
                <w:color w:val="000000"/>
                <w:szCs w:val="22"/>
                <w:lang w:val="nb-NO"/>
              </w:rPr>
            </w:pPr>
            <w:r w:rsidRPr="00B84667">
              <w:rPr>
                <w:b/>
                <w:color w:val="000000"/>
                <w:szCs w:val="22"/>
                <w:lang w:val="nb-NO"/>
              </w:rPr>
              <w:t>Tetanus</w:t>
            </w:r>
            <w:r w:rsidRPr="00B84667">
              <w:rPr>
                <w:color w:val="000000"/>
                <w:szCs w:val="22"/>
                <w:lang w:val="nb-NO"/>
              </w:rPr>
              <w:t xml:space="preserve"> (ELISA, IE/ml eller EL.E/ml)</w:t>
            </w:r>
          </w:p>
        </w:tc>
        <w:tc>
          <w:tcPr>
            <w:tcW w:w="841" w:type="pct"/>
            <w:tcBorders>
              <w:top w:val="single" w:sz="4" w:space="0" w:color="auto"/>
              <w:left w:val="single" w:sz="4" w:space="0" w:color="auto"/>
              <w:bottom w:val="single" w:sz="4" w:space="0" w:color="auto"/>
              <w:right w:val="single" w:sz="4" w:space="0" w:color="auto"/>
            </w:tcBorders>
            <w:hideMark/>
          </w:tcPr>
          <w:p w14:paraId="10223BA2" w14:textId="77777777" w:rsidR="009C0072" w:rsidRPr="00B84667" w:rsidRDefault="009C0072">
            <w:pPr>
              <w:pStyle w:val="wcpTableContent"/>
              <w:rPr>
                <w:szCs w:val="22"/>
                <w:lang w:val="nb-NO"/>
              </w:rPr>
            </w:pPr>
            <w:r w:rsidRPr="00B84667">
              <w:rPr>
                <w:szCs w:val="22"/>
                <w:lang w:val="nb-NO"/>
              </w:rPr>
              <w:sym w:font="Symbol" w:char="F0B3"/>
            </w:r>
            <w:r w:rsidRPr="00B84667">
              <w:rPr>
                <w:szCs w:val="22"/>
                <w:lang w:val="nb-NO"/>
              </w:rPr>
              <w:t xml:space="preserve"> 0,1 </w:t>
            </w:r>
          </w:p>
        </w:tc>
        <w:tc>
          <w:tcPr>
            <w:tcW w:w="912" w:type="pct"/>
            <w:tcBorders>
              <w:top w:val="single" w:sz="4" w:space="0" w:color="auto"/>
              <w:left w:val="single" w:sz="4" w:space="0" w:color="auto"/>
              <w:bottom w:val="single" w:sz="4" w:space="0" w:color="auto"/>
              <w:right w:val="single" w:sz="4" w:space="0" w:color="auto"/>
            </w:tcBorders>
            <w:hideMark/>
          </w:tcPr>
          <w:p w14:paraId="0C566715" w14:textId="77777777" w:rsidR="009C0072" w:rsidRPr="00B84667" w:rsidRDefault="009C0072">
            <w:pPr>
              <w:pStyle w:val="wcpTableContent"/>
              <w:tabs>
                <w:tab w:val="decimal" w:pos="704"/>
              </w:tabs>
              <w:rPr>
                <w:szCs w:val="22"/>
                <w:lang w:val="nb-NO"/>
              </w:rPr>
            </w:pPr>
            <w:r w:rsidRPr="00B84667">
              <w:rPr>
                <w:szCs w:val="22"/>
                <w:lang w:val="nb-NO"/>
              </w:rPr>
              <w:t>100</w:t>
            </w:r>
          </w:p>
        </w:tc>
        <w:tc>
          <w:tcPr>
            <w:tcW w:w="915" w:type="pct"/>
            <w:tcBorders>
              <w:top w:val="single" w:sz="4" w:space="0" w:color="auto"/>
              <w:left w:val="single" w:sz="4" w:space="0" w:color="auto"/>
              <w:bottom w:val="single" w:sz="4" w:space="0" w:color="auto"/>
              <w:right w:val="single" w:sz="4" w:space="0" w:color="auto"/>
            </w:tcBorders>
            <w:hideMark/>
          </w:tcPr>
          <w:p w14:paraId="69BD5111" w14:textId="77777777" w:rsidR="009C0072" w:rsidRPr="00B84667" w:rsidRDefault="009C0072">
            <w:pPr>
              <w:pStyle w:val="wcpTableContent"/>
              <w:tabs>
                <w:tab w:val="decimal" w:pos="591"/>
              </w:tabs>
              <w:rPr>
                <w:szCs w:val="22"/>
                <w:lang w:val="nb-NO"/>
              </w:rPr>
            </w:pPr>
            <w:r w:rsidRPr="00B84667">
              <w:rPr>
                <w:szCs w:val="22"/>
                <w:lang w:val="nb-NO"/>
              </w:rPr>
              <w:t>100</w:t>
            </w:r>
          </w:p>
        </w:tc>
        <w:tc>
          <w:tcPr>
            <w:tcW w:w="888" w:type="pct"/>
            <w:tcBorders>
              <w:top w:val="single" w:sz="4" w:space="0" w:color="auto"/>
              <w:left w:val="single" w:sz="4" w:space="0" w:color="auto"/>
              <w:bottom w:val="single" w:sz="4" w:space="0" w:color="auto"/>
              <w:right w:val="single" w:sz="4" w:space="0" w:color="auto"/>
            </w:tcBorders>
            <w:hideMark/>
          </w:tcPr>
          <w:p w14:paraId="1EDBDB1C" w14:textId="77777777" w:rsidR="009C0072" w:rsidRPr="00B84667" w:rsidRDefault="009C0072">
            <w:pPr>
              <w:pStyle w:val="wcpTableContent"/>
              <w:tabs>
                <w:tab w:val="decimal" w:pos="612"/>
              </w:tabs>
              <w:rPr>
                <w:szCs w:val="22"/>
                <w:lang w:val="nb-NO"/>
              </w:rPr>
            </w:pPr>
            <w:r w:rsidRPr="00B84667">
              <w:rPr>
                <w:szCs w:val="22"/>
                <w:lang w:val="nb-NO"/>
              </w:rPr>
              <w:t>100</w:t>
            </w:r>
          </w:p>
        </w:tc>
      </w:tr>
      <w:tr w:rsidR="009C0072" w:rsidRPr="00B84667" w14:paraId="76554CA0" w14:textId="77777777" w:rsidTr="00AF302A">
        <w:trPr>
          <w:tblHeader/>
        </w:trPr>
        <w:tc>
          <w:tcPr>
            <w:tcW w:w="1444" w:type="pct"/>
            <w:tcBorders>
              <w:top w:val="nil"/>
              <w:left w:val="single" w:sz="4" w:space="0" w:color="auto"/>
              <w:bottom w:val="single" w:sz="4" w:space="0" w:color="auto"/>
              <w:right w:val="single" w:sz="4" w:space="0" w:color="auto"/>
            </w:tcBorders>
            <w:hideMark/>
          </w:tcPr>
          <w:p w14:paraId="64E7DB34" w14:textId="77777777" w:rsidR="009C0072" w:rsidRPr="00B84667" w:rsidRDefault="009C0072">
            <w:pPr>
              <w:pStyle w:val="wcpTableContent"/>
              <w:rPr>
                <w:b/>
                <w:bCs/>
                <w:color w:val="000000"/>
                <w:szCs w:val="22"/>
                <w:lang w:val="nb-NO"/>
              </w:rPr>
            </w:pPr>
            <w:r w:rsidRPr="00B84667">
              <w:rPr>
                <w:b/>
                <w:color w:val="000000"/>
                <w:szCs w:val="22"/>
                <w:lang w:val="nb-NO"/>
              </w:rPr>
              <w:t xml:space="preserve">Pertussis </w:t>
            </w:r>
            <w:r w:rsidRPr="00B84667">
              <w:rPr>
                <w:color w:val="000000"/>
                <w:szCs w:val="22"/>
                <w:lang w:val="nb-NO"/>
              </w:rPr>
              <w:t>(ELISA, EL.E/ml)</w:t>
            </w:r>
          </w:p>
          <w:p w14:paraId="2DD150A7" w14:textId="77777777" w:rsidR="009C0072" w:rsidRPr="00B84667" w:rsidRDefault="009C0072">
            <w:pPr>
              <w:pStyle w:val="wcpTableContent"/>
              <w:rPr>
                <w:color w:val="000000"/>
                <w:szCs w:val="22"/>
                <w:lang w:val="nb-NO"/>
              </w:rPr>
            </w:pPr>
            <w:r w:rsidRPr="00B84667">
              <w:rPr>
                <w:color w:val="000000"/>
                <w:szCs w:val="22"/>
                <w:lang w:val="nb-NO"/>
              </w:rPr>
              <w:t xml:space="preserve">PT </w:t>
            </w:r>
          </w:p>
          <w:p w14:paraId="520FECAF" w14:textId="77777777" w:rsidR="009C0072" w:rsidRPr="00B84667" w:rsidRDefault="009C0072">
            <w:pPr>
              <w:pStyle w:val="wcpTableContent"/>
              <w:rPr>
                <w:color w:val="000000"/>
                <w:szCs w:val="22"/>
                <w:lang w:val="nb-NO"/>
              </w:rPr>
            </w:pPr>
            <w:r w:rsidRPr="00B84667">
              <w:rPr>
                <w:color w:val="000000"/>
                <w:szCs w:val="22"/>
                <w:lang w:val="nb-NO"/>
              </w:rPr>
              <w:t xml:space="preserve">FHA </w:t>
            </w:r>
          </w:p>
          <w:p w14:paraId="47F7E37E" w14:textId="77777777" w:rsidR="009C0072" w:rsidRPr="00B84667" w:rsidRDefault="009C0072">
            <w:pPr>
              <w:pStyle w:val="wcpTableContent"/>
              <w:rPr>
                <w:color w:val="000000"/>
                <w:szCs w:val="22"/>
                <w:lang w:val="nb-NO"/>
              </w:rPr>
            </w:pPr>
            <w:r w:rsidRPr="00B84667">
              <w:rPr>
                <w:color w:val="000000"/>
                <w:szCs w:val="22"/>
                <w:lang w:val="nb-NO"/>
              </w:rPr>
              <w:t>PRN</w:t>
            </w:r>
          </w:p>
          <w:p w14:paraId="0BDF4486" w14:textId="77777777" w:rsidR="009C0072" w:rsidRPr="00B84667" w:rsidRDefault="009C0072">
            <w:pPr>
              <w:pStyle w:val="wcpTableContent"/>
              <w:rPr>
                <w:color w:val="000000"/>
                <w:szCs w:val="22"/>
                <w:lang w:val="nb-NO"/>
              </w:rPr>
            </w:pPr>
            <w:r w:rsidRPr="00B84667">
              <w:rPr>
                <w:color w:val="000000"/>
                <w:szCs w:val="22"/>
                <w:lang w:val="nb-NO"/>
              </w:rPr>
              <w:t>FIM</w:t>
            </w:r>
          </w:p>
        </w:tc>
        <w:tc>
          <w:tcPr>
            <w:tcW w:w="841" w:type="pct"/>
            <w:tcBorders>
              <w:top w:val="nil"/>
              <w:left w:val="single" w:sz="4" w:space="0" w:color="auto"/>
              <w:bottom w:val="single" w:sz="4" w:space="0" w:color="auto"/>
              <w:right w:val="single" w:sz="4" w:space="0" w:color="auto"/>
            </w:tcBorders>
            <w:hideMark/>
          </w:tcPr>
          <w:p w14:paraId="0F5483CD" w14:textId="77777777" w:rsidR="009C0072" w:rsidRPr="00B84667" w:rsidRDefault="009C0072">
            <w:pPr>
              <w:pStyle w:val="wcpTableContent"/>
              <w:rPr>
                <w:szCs w:val="22"/>
                <w:lang w:val="nb-NO"/>
              </w:rPr>
            </w:pPr>
            <w:r w:rsidRPr="00B84667">
              <w:rPr>
                <w:szCs w:val="22"/>
                <w:lang w:val="nb-NO"/>
              </w:rPr>
              <w:t>Boosterrespons</w:t>
            </w:r>
            <w:r w:rsidRPr="00B84667">
              <w:rPr>
                <w:szCs w:val="22"/>
                <w:vertAlign w:val="superscript"/>
                <w:lang w:val="nb-NO"/>
              </w:rPr>
              <w:t>3</w:t>
            </w:r>
          </w:p>
        </w:tc>
        <w:tc>
          <w:tcPr>
            <w:tcW w:w="912" w:type="pct"/>
            <w:tcBorders>
              <w:top w:val="single" w:sz="4" w:space="0" w:color="auto"/>
              <w:left w:val="single" w:sz="4" w:space="0" w:color="auto"/>
              <w:bottom w:val="single" w:sz="4" w:space="0" w:color="auto"/>
              <w:right w:val="single" w:sz="4" w:space="0" w:color="auto"/>
            </w:tcBorders>
          </w:tcPr>
          <w:p w14:paraId="38510F03" w14:textId="77777777" w:rsidR="009C0072" w:rsidRPr="00B84667" w:rsidRDefault="009C0072">
            <w:pPr>
              <w:pStyle w:val="wcpTableContent"/>
              <w:tabs>
                <w:tab w:val="decimal" w:pos="704"/>
              </w:tabs>
              <w:rPr>
                <w:szCs w:val="22"/>
                <w:lang w:val="nb-NO"/>
              </w:rPr>
            </w:pPr>
          </w:p>
          <w:p w14:paraId="18B9C121" w14:textId="77777777" w:rsidR="009C0072" w:rsidRPr="00B84667" w:rsidRDefault="009C0072">
            <w:pPr>
              <w:pStyle w:val="wcpTableContent"/>
              <w:tabs>
                <w:tab w:val="decimal" w:pos="704"/>
              </w:tabs>
              <w:rPr>
                <w:szCs w:val="22"/>
                <w:lang w:val="nb-NO"/>
              </w:rPr>
            </w:pPr>
            <w:r w:rsidRPr="00B84667">
              <w:rPr>
                <w:szCs w:val="22"/>
                <w:lang w:val="nb-NO"/>
              </w:rPr>
              <w:t>91,9</w:t>
            </w:r>
          </w:p>
          <w:p w14:paraId="2932DD11" w14:textId="77777777" w:rsidR="009C0072" w:rsidRPr="00B84667" w:rsidRDefault="009C0072">
            <w:pPr>
              <w:pStyle w:val="wcpTableContent"/>
              <w:tabs>
                <w:tab w:val="decimal" w:pos="704"/>
              </w:tabs>
              <w:rPr>
                <w:szCs w:val="22"/>
                <w:lang w:val="nb-NO"/>
              </w:rPr>
            </w:pPr>
            <w:r w:rsidRPr="00B84667">
              <w:rPr>
                <w:szCs w:val="22"/>
                <w:lang w:val="nb-NO"/>
              </w:rPr>
              <w:t>88,1</w:t>
            </w:r>
          </w:p>
          <w:p w14:paraId="1F5792FE" w14:textId="77777777" w:rsidR="009C0072" w:rsidRPr="00B84667" w:rsidRDefault="009C0072">
            <w:pPr>
              <w:pStyle w:val="wcpTableContent"/>
              <w:tabs>
                <w:tab w:val="decimal" w:pos="704"/>
              </w:tabs>
              <w:rPr>
                <w:szCs w:val="22"/>
                <w:lang w:val="nb-NO"/>
              </w:rPr>
            </w:pPr>
            <w:r w:rsidRPr="00B84667">
              <w:rPr>
                <w:szCs w:val="22"/>
                <w:lang w:val="nb-NO"/>
              </w:rPr>
              <w:t>94,6</w:t>
            </w:r>
          </w:p>
          <w:p w14:paraId="7DAEEE7D" w14:textId="77777777" w:rsidR="009C0072" w:rsidRPr="00B84667" w:rsidRDefault="009C0072">
            <w:pPr>
              <w:pStyle w:val="wcpTableContent"/>
              <w:tabs>
                <w:tab w:val="decimal" w:pos="704"/>
              </w:tabs>
              <w:rPr>
                <w:szCs w:val="22"/>
                <w:lang w:val="nb-NO"/>
              </w:rPr>
            </w:pPr>
            <w:r w:rsidRPr="00B84667">
              <w:rPr>
                <w:szCs w:val="22"/>
                <w:lang w:val="nb-NO"/>
              </w:rPr>
              <w:t>94,3</w:t>
            </w:r>
          </w:p>
        </w:tc>
        <w:tc>
          <w:tcPr>
            <w:tcW w:w="915" w:type="pct"/>
            <w:tcBorders>
              <w:top w:val="single" w:sz="4" w:space="0" w:color="auto"/>
              <w:left w:val="single" w:sz="4" w:space="0" w:color="auto"/>
              <w:bottom w:val="single" w:sz="4" w:space="0" w:color="auto"/>
              <w:right w:val="single" w:sz="4" w:space="0" w:color="auto"/>
            </w:tcBorders>
          </w:tcPr>
          <w:p w14:paraId="3B0037E8" w14:textId="77777777" w:rsidR="009C0072" w:rsidRPr="00B84667" w:rsidRDefault="009C0072">
            <w:pPr>
              <w:pStyle w:val="wcpTableContent"/>
              <w:tabs>
                <w:tab w:val="decimal" w:pos="591"/>
              </w:tabs>
              <w:rPr>
                <w:szCs w:val="22"/>
                <w:lang w:val="nb-NO"/>
              </w:rPr>
            </w:pPr>
          </w:p>
          <w:p w14:paraId="126D9AEC" w14:textId="77777777" w:rsidR="009C0072" w:rsidRPr="00B84667" w:rsidRDefault="009C0072">
            <w:pPr>
              <w:pStyle w:val="wcpTableContent"/>
              <w:tabs>
                <w:tab w:val="decimal" w:pos="591"/>
              </w:tabs>
              <w:rPr>
                <w:szCs w:val="22"/>
                <w:lang w:val="nb-NO"/>
              </w:rPr>
            </w:pPr>
            <w:r w:rsidRPr="00B84667">
              <w:rPr>
                <w:szCs w:val="22"/>
                <w:lang w:val="nb-NO"/>
              </w:rPr>
              <w:t>92,0</w:t>
            </w:r>
          </w:p>
          <w:p w14:paraId="11DD08D5" w14:textId="77777777" w:rsidR="009C0072" w:rsidRPr="00B84667" w:rsidRDefault="009C0072">
            <w:pPr>
              <w:pStyle w:val="wcpTableContent"/>
              <w:tabs>
                <w:tab w:val="decimal" w:pos="591"/>
              </w:tabs>
              <w:rPr>
                <w:szCs w:val="22"/>
                <w:lang w:val="nb-NO"/>
              </w:rPr>
            </w:pPr>
            <w:r w:rsidRPr="00B84667">
              <w:rPr>
                <w:szCs w:val="22"/>
                <w:lang w:val="nb-NO"/>
              </w:rPr>
              <w:t>85,6</w:t>
            </w:r>
          </w:p>
          <w:p w14:paraId="67A89696" w14:textId="77777777" w:rsidR="009C0072" w:rsidRPr="00B84667" w:rsidRDefault="009C0072">
            <w:pPr>
              <w:pStyle w:val="wcpTableContent"/>
              <w:tabs>
                <w:tab w:val="decimal" w:pos="591"/>
              </w:tabs>
              <w:rPr>
                <w:szCs w:val="22"/>
                <w:lang w:val="nb-NO"/>
              </w:rPr>
            </w:pPr>
            <w:r w:rsidRPr="00B84667">
              <w:rPr>
                <w:szCs w:val="22"/>
                <w:lang w:val="nb-NO"/>
              </w:rPr>
              <w:t>94,5</w:t>
            </w:r>
          </w:p>
          <w:p w14:paraId="49A5F612" w14:textId="77777777" w:rsidR="009C0072" w:rsidRPr="00B84667" w:rsidRDefault="009C0072">
            <w:pPr>
              <w:pStyle w:val="wcpTableContent"/>
              <w:tabs>
                <w:tab w:val="decimal" w:pos="591"/>
              </w:tabs>
              <w:rPr>
                <w:szCs w:val="22"/>
                <w:lang w:val="nb-NO"/>
              </w:rPr>
            </w:pPr>
            <w:r w:rsidRPr="00B84667">
              <w:rPr>
                <w:szCs w:val="22"/>
                <w:lang w:val="nb-NO"/>
              </w:rPr>
              <w:t>94,9</w:t>
            </w:r>
          </w:p>
        </w:tc>
        <w:tc>
          <w:tcPr>
            <w:tcW w:w="888" w:type="pct"/>
            <w:tcBorders>
              <w:top w:val="single" w:sz="4" w:space="0" w:color="auto"/>
              <w:left w:val="single" w:sz="4" w:space="0" w:color="auto"/>
              <w:bottom w:val="single" w:sz="4" w:space="0" w:color="auto"/>
              <w:right w:val="single" w:sz="4" w:space="0" w:color="auto"/>
            </w:tcBorders>
          </w:tcPr>
          <w:p w14:paraId="7EDDFADC" w14:textId="77777777" w:rsidR="009C0072" w:rsidRPr="00B84667" w:rsidRDefault="009C0072">
            <w:pPr>
              <w:pStyle w:val="wcpTableContent"/>
              <w:tabs>
                <w:tab w:val="decimal" w:pos="612"/>
              </w:tabs>
              <w:rPr>
                <w:szCs w:val="22"/>
                <w:lang w:val="nb-NO"/>
              </w:rPr>
            </w:pPr>
          </w:p>
          <w:p w14:paraId="24EDC076" w14:textId="77777777" w:rsidR="009C0072" w:rsidRPr="00B84667" w:rsidRDefault="009C0072">
            <w:pPr>
              <w:pStyle w:val="wcpTableContent"/>
              <w:tabs>
                <w:tab w:val="decimal" w:pos="612"/>
              </w:tabs>
              <w:rPr>
                <w:szCs w:val="22"/>
                <w:lang w:val="nb-NO"/>
              </w:rPr>
            </w:pPr>
            <w:r w:rsidRPr="00B84667">
              <w:rPr>
                <w:szCs w:val="22"/>
                <w:lang w:val="nb-NO"/>
              </w:rPr>
              <w:t>84,4</w:t>
            </w:r>
          </w:p>
          <w:p w14:paraId="4FFD3021" w14:textId="77777777" w:rsidR="009C0072" w:rsidRPr="00B84667" w:rsidRDefault="009C0072">
            <w:pPr>
              <w:pStyle w:val="wcpTableContent"/>
              <w:tabs>
                <w:tab w:val="decimal" w:pos="612"/>
              </w:tabs>
              <w:rPr>
                <w:szCs w:val="22"/>
                <w:lang w:val="nb-NO"/>
              </w:rPr>
            </w:pPr>
            <w:r w:rsidRPr="00B84667">
              <w:rPr>
                <w:szCs w:val="22"/>
                <w:lang w:val="nb-NO"/>
              </w:rPr>
              <w:t>82,7</w:t>
            </w:r>
          </w:p>
          <w:p w14:paraId="3F2C43D8" w14:textId="77777777" w:rsidR="009C0072" w:rsidRPr="00B84667" w:rsidRDefault="009C0072">
            <w:pPr>
              <w:pStyle w:val="wcpTableContent"/>
              <w:tabs>
                <w:tab w:val="decimal" w:pos="612"/>
              </w:tabs>
              <w:rPr>
                <w:szCs w:val="22"/>
                <w:lang w:val="nb-NO"/>
              </w:rPr>
            </w:pPr>
            <w:r w:rsidRPr="00B84667">
              <w:rPr>
                <w:szCs w:val="22"/>
                <w:lang w:val="nb-NO"/>
              </w:rPr>
              <w:t>93,8</w:t>
            </w:r>
          </w:p>
          <w:p w14:paraId="203397DA" w14:textId="77777777" w:rsidR="009C0072" w:rsidRPr="00B84667" w:rsidRDefault="009C0072">
            <w:pPr>
              <w:pStyle w:val="wcpTableContent"/>
              <w:tabs>
                <w:tab w:val="decimal" w:pos="612"/>
              </w:tabs>
              <w:rPr>
                <w:szCs w:val="22"/>
                <w:lang w:val="nb-NO"/>
              </w:rPr>
            </w:pPr>
            <w:r w:rsidRPr="00B84667">
              <w:rPr>
                <w:szCs w:val="22"/>
                <w:lang w:val="nb-NO"/>
              </w:rPr>
              <w:t>85,9</w:t>
            </w:r>
          </w:p>
        </w:tc>
      </w:tr>
    </w:tbl>
    <w:p w14:paraId="41698C70" w14:textId="77777777" w:rsidR="009C0072" w:rsidRPr="00B84667" w:rsidRDefault="009C0072" w:rsidP="009C0072">
      <w:pPr>
        <w:tabs>
          <w:tab w:val="left" w:pos="851"/>
        </w:tabs>
        <w:ind w:left="851"/>
        <w:rPr>
          <w:sz w:val="20"/>
        </w:rPr>
      </w:pPr>
      <w:proofErr w:type="spellStart"/>
      <w:r w:rsidRPr="00B84667">
        <w:rPr>
          <w:sz w:val="20"/>
        </w:rPr>
        <w:t>DTaP</w:t>
      </w:r>
      <w:proofErr w:type="spellEnd"/>
      <w:r w:rsidRPr="00B84667">
        <w:rPr>
          <w:sz w:val="20"/>
        </w:rPr>
        <w:t xml:space="preserve">: </w:t>
      </w:r>
      <w:proofErr w:type="spellStart"/>
      <w:r w:rsidRPr="00B84667">
        <w:rPr>
          <w:sz w:val="20"/>
        </w:rPr>
        <w:t>difteritoksoid</w:t>
      </w:r>
      <w:proofErr w:type="spellEnd"/>
      <w:r w:rsidRPr="00B84667">
        <w:rPr>
          <w:sz w:val="20"/>
        </w:rPr>
        <w:t xml:space="preserve"> [pædiatrisk dosis], tetanus og </w:t>
      </w:r>
      <w:proofErr w:type="spellStart"/>
      <w:r w:rsidRPr="00B84667">
        <w:rPr>
          <w:sz w:val="20"/>
        </w:rPr>
        <w:t>acellulær</w:t>
      </w:r>
      <w:proofErr w:type="spellEnd"/>
      <w:r w:rsidRPr="00B84667">
        <w:rPr>
          <w:sz w:val="20"/>
        </w:rPr>
        <w:t xml:space="preserve"> </w:t>
      </w:r>
      <w:proofErr w:type="spellStart"/>
      <w:r w:rsidRPr="00B84667">
        <w:rPr>
          <w:sz w:val="20"/>
        </w:rPr>
        <w:t>pertussis</w:t>
      </w:r>
      <w:proofErr w:type="spellEnd"/>
      <w:r w:rsidRPr="00B84667">
        <w:rPr>
          <w:sz w:val="20"/>
        </w:rPr>
        <w:t xml:space="preserve">; ELISA: </w:t>
      </w:r>
      <w:proofErr w:type="spellStart"/>
      <w:r w:rsidRPr="00B84667">
        <w:rPr>
          <w:sz w:val="20"/>
        </w:rPr>
        <w:t>Enzyme-linked</w:t>
      </w:r>
      <w:proofErr w:type="spellEnd"/>
      <w:r w:rsidRPr="00B84667">
        <w:rPr>
          <w:sz w:val="20"/>
        </w:rPr>
        <w:t xml:space="preserve"> </w:t>
      </w:r>
      <w:proofErr w:type="spellStart"/>
      <w:r w:rsidRPr="00B84667">
        <w:rPr>
          <w:sz w:val="20"/>
        </w:rPr>
        <w:t>Immunosorbent</w:t>
      </w:r>
      <w:proofErr w:type="spellEnd"/>
      <w:r w:rsidRPr="00B84667">
        <w:rPr>
          <w:sz w:val="20"/>
        </w:rPr>
        <w:t xml:space="preserve"> </w:t>
      </w:r>
      <w:proofErr w:type="spellStart"/>
      <w:r w:rsidRPr="00B84667">
        <w:rPr>
          <w:sz w:val="20"/>
        </w:rPr>
        <w:t>assay</w:t>
      </w:r>
      <w:proofErr w:type="spellEnd"/>
      <w:r w:rsidRPr="00B84667">
        <w:rPr>
          <w:sz w:val="20"/>
        </w:rPr>
        <w:t xml:space="preserve">; </w:t>
      </w:r>
      <w:proofErr w:type="gramStart"/>
      <w:r w:rsidRPr="00B84667">
        <w:rPr>
          <w:sz w:val="20"/>
        </w:rPr>
        <w:t>EL.E</w:t>
      </w:r>
      <w:proofErr w:type="gramEnd"/>
      <w:r w:rsidRPr="00B84667">
        <w:rPr>
          <w:sz w:val="20"/>
        </w:rPr>
        <w:t xml:space="preserve">: ELISA-enheder; IE: internationale enheder; N: antal deltagere med tilgængelige data; SN: </w:t>
      </w:r>
      <w:proofErr w:type="spellStart"/>
      <w:r w:rsidRPr="00B84667">
        <w:rPr>
          <w:sz w:val="20"/>
        </w:rPr>
        <w:t>seroneutralisering</w:t>
      </w:r>
      <w:proofErr w:type="spellEnd"/>
      <w:r w:rsidRPr="00B84667">
        <w:rPr>
          <w:sz w:val="20"/>
        </w:rPr>
        <w:t>.</w:t>
      </w:r>
    </w:p>
    <w:p w14:paraId="093D7756" w14:textId="77777777" w:rsidR="009C0072" w:rsidRPr="00B84667" w:rsidRDefault="009C0072" w:rsidP="009C0072">
      <w:pPr>
        <w:tabs>
          <w:tab w:val="left" w:pos="851"/>
        </w:tabs>
        <w:ind w:left="851"/>
        <w:rPr>
          <w:iCs/>
          <w:sz w:val="20"/>
        </w:rPr>
      </w:pPr>
      <w:r w:rsidRPr="00B84667">
        <w:rPr>
          <w:sz w:val="20"/>
          <w:vertAlign w:val="superscript"/>
        </w:rPr>
        <w:t xml:space="preserve">1 </w:t>
      </w:r>
      <w:r w:rsidRPr="00B84667">
        <w:rPr>
          <w:sz w:val="20"/>
        </w:rPr>
        <w:t>Studie Td508 blev udført i Canada med børn i alderen 4 – 6 år.</w:t>
      </w:r>
    </w:p>
    <w:p w14:paraId="1617DF22" w14:textId="77777777" w:rsidR="009C0072" w:rsidRPr="00B84667" w:rsidRDefault="009C0072" w:rsidP="009C0072">
      <w:pPr>
        <w:tabs>
          <w:tab w:val="left" w:pos="851"/>
        </w:tabs>
        <w:ind w:left="851"/>
        <w:rPr>
          <w:sz w:val="20"/>
          <w:vertAlign w:val="superscript"/>
        </w:rPr>
      </w:pPr>
      <w:r w:rsidRPr="00B84667">
        <w:rPr>
          <w:sz w:val="20"/>
          <w:vertAlign w:val="superscript"/>
        </w:rPr>
        <w:t>2</w:t>
      </w:r>
      <w:r w:rsidRPr="00B84667">
        <w:rPr>
          <w:sz w:val="20"/>
        </w:rPr>
        <w:t xml:space="preserve"> Studie Td506 blev udført i USA med unge i alderen 11 – 17 år og voksne i alderen 18 – 64 år.</w:t>
      </w:r>
    </w:p>
    <w:p w14:paraId="2CD7DA5E" w14:textId="77777777" w:rsidR="009C0072" w:rsidRPr="00B84667" w:rsidRDefault="009C0072" w:rsidP="009C0072">
      <w:pPr>
        <w:tabs>
          <w:tab w:val="left" w:pos="851"/>
        </w:tabs>
        <w:ind w:left="851"/>
        <w:rPr>
          <w:sz w:val="20"/>
        </w:rPr>
      </w:pPr>
      <w:r w:rsidRPr="00B84667">
        <w:rPr>
          <w:sz w:val="20"/>
          <w:vertAlign w:val="superscript"/>
        </w:rPr>
        <w:t>3</w:t>
      </w:r>
      <w:r w:rsidRPr="00B84667">
        <w:rPr>
          <w:sz w:val="20"/>
        </w:rPr>
        <w:t xml:space="preserve"> For børn i studie Td508, som tidligere var blevet primet med </w:t>
      </w:r>
      <w:proofErr w:type="spellStart"/>
      <w:r w:rsidRPr="00B84667">
        <w:rPr>
          <w:sz w:val="20"/>
        </w:rPr>
        <w:t>DTaP</w:t>
      </w:r>
      <w:proofErr w:type="spellEnd"/>
      <w:r w:rsidRPr="00B84667">
        <w:rPr>
          <w:sz w:val="20"/>
        </w:rPr>
        <w:t xml:space="preserve"> ved 2, 4, 6 og 18 måneders alderen, er et </w:t>
      </w:r>
      <w:proofErr w:type="spellStart"/>
      <w:r w:rsidRPr="00B84667">
        <w:rPr>
          <w:sz w:val="20"/>
        </w:rPr>
        <w:t>boosterrespons</w:t>
      </w:r>
      <w:proofErr w:type="spellEnd"/>
      <w:r w:rsidRPr="00B84667">
        <w:rPr>
          <w:sz w:val="20"/>
        </w:rPr>
        <w:t xml:space="preserve"> defineret som en firedobbelt stigning i koncentrationen af </w:t>
      </w:r>
      <w:proofErr w:type="spellStart"/>
      <w:r w:rsidRPr="00B84667">
        <w:rPr>
          <w:sz w:val="20"/>
        </w:rPr>
        <w:t>anti</w:t>
      </w:r>
      <w:proofErr w:type="spellEnd"/>
      <w:r w:rsidRPr="00B84667">
        <w:rPr>
          <w:sz w:val="20"/>
        </w:rPr>
        <w:t>-</w:t>
      </w:r>
      <w:proofErr w:type="spellStart"/>
      <w:r w:rsidRPr="00B84667">
        <w:rPr>
          <w:sz w:val="20"/>
        </w:rPr>
        <w:t>pertussis</w:t>
      </w:r>
      <w:proofErr w:type="spellEnd"/>
      <w:r w:rsidRPr="00B84667">
        <w:rPr>
          <w:sz w:val="20"/>
        </w:rPr>
        <w:t xml:space="preserve">-antistoffer. For unge og voksne i studie Td506 er et </w:t>
      </w:r>
      <w:proofErr w:type="spellStart"/>
      <w:r w:rsidRPr="00B84667">
        <w:rPr>
          <w:sz w:val="20"/>
        </w:rPr>
        <w:t>boosterrespons</w:t>
      </w:r>
      <w:proofErr w:type="spellEnd"/>
      <w:r w:rsidRPr="00B84667">
        <w:rPr>
          <w:sz w:val="20"/>
        </w:rPr>
        <w:t xml:space="preserve"> defineret som en fordoblet stigning i koncentrationen af </w:t>
      </w:r>
      <w:proofErr w:type="spellStart"/>
      <w:r w:rsidRPr="00B84667">
        <w:rPr>
          <w:sz w:val="20"/>
        </w:rPr>
        <w:t>anti</w:t>
      </w:r>
      <w:proofErr w:type="spellEnd"/>
      <w:r w:rsidRPr="00B84667">
        <w:rPr>
          <w:sz w:val="20"/>
        </w:rPr>
        <w:t>-</w:t>
      </w:r>
      <w:proofErr w:type="spellStart"/>
      <w:r w:rsidRPr="00B84667">
        <w:rPr>
          <w:sz w:val="20"/>
        </w:rPr>
        <w:t>pertussis</w:t>
      </w:r>
      <w:proofErr w:type="spellEnd"/>
      <w:r w:rsidRPr="00B84667">
        <w:rPr>
          <w:sz w:val="20"/>
        </w:rPr>
        <w:t>-antistoffer hos deltagere med en høj koncentration før vaccination og en firedobbelt stigning hos patienter med lav koncentration før vaccination.</w:t>
      </w:r>
    </w:p>
    <w:p w14:paraId="6FE118C5" w14:textId="77777777" w:rsidR="009C0072" w:rsidRPr="00AF302A" w:rsidRDefault="009C0072" w:rsidP="009C0072">
      <w:pPr>
        <w:tabs>
          <w:tab w:val="left" w:pos="851"/>
        </w:tabs>
        <w:ind w:left="851"/>
        <w:rPr>
          <w:sz w:val="24"/>
          <w:szCs w:val="24"/>
        </w:rPr>
      </w:pPr>
    </w:p>
    <w:p w14:paraId="2980287E" w14:textId="77777777" w:rsidR="009C0072" w:rsidRPr="00AF302A" w:rsidRDefault="009C0072" w:rsidP="009C0072">
      <w:pPr>
        <w:tabs>
          <w:tab w:val="left" w:pos="851"/>
        </w:tabs>
        <w:ind w:left="851"/>
        <w:rPr>
          <w:sz w:val="24"/>
          <w:szCs w:val="24"/>
        </w:rPr>
      </w:pPr>
      <w:r w:rsidRPr="00AF302A">
        <w:rPr>
          <w:sz w:val="24"/>
          <w:szCs w:val="24"/>
        </w:rPr>
        <w:t xml:space="preserve">Sikkerheden og </w:t>
      </w:r>
      <w:proofErr w:type="spellStart"/>
      <w:r w:rsidRPr="00AF302A">
        <w:rPr>
          <w:sz w:val="24"/>
          <w:szCs w:val="24"/>
        </w:rPr>
        <w:t>immunogeniciteten</w:t>
      </w:r>
      <w:proofErr w:type="spellEnd"/>
      <w:r w:rsidRPr="00AF302A">
        <w:rPr>
          <w:sz w:val="24"/>
          <w:szCs w:val="24"/>
        </w:rPr>
        <w:t xml:space="preserve"> af </w:t>
      </w:r>
      <w:proofErr w:type="spellStart"/>
      <w:r w:rsidRPr="00AF302A">
        <w:rPr>
          <w:sz w:val="24"/>
          <w:szCs w:val="24"/>
        </w:rPr>
        <w:t>Triaxis</w:t>
      </w:r>
      <w:proofErr w:type="spellEnd"/>
      <w:r w:rsidRPr="00AF302A">
        <w:rPr>
          <w:sz w:val="24"/>
          <w:szCs w:val="24"/>
        </w:rPr>
        <w:t xml:space="preserve"> hos voksne og unge viste sig at være sammenlignelige med den, der blev observeret med en enkeltdosis af en formulering af difteri-tetanus (</w:t>
      </w:r>
      <w:proofErr w:type="spellStart"/>
      <w:r w:rsidRPr="00AF302A">
        <w:rPr>
          <w:sz w:val="24"/>
          <w:szCs w:val="24"/>
        </w:rPr>
        <w:t>Td</w:t>
      </w:r>
      <w:proofErr w:type="spellEnd"/>
      <w:r w:rsidRPr="00AF302A">
        <w:rPr>
          <w:sz w:val="24"/>
          <w:szCs w:val="24"/>
        </w:rPr>
        <w:t xml:space="preserve">)-adsorberet vaccine til voksne, der indeholder den samme mængde tetanus- og </w:t>
      </w:r>
      <w:proofErr w:type="spellStart"/>
      <w:r w:rsidRPr="00AF302A">
        <w:rPr>
          <w:sz w:val="24"/>
          <w:szCs w:val="24"/>
        </w:rPr>
        <w:t>difteritoksoider</w:t>
      </w:r>
      <w:proofErr w:type="spellEnd"/>
      <w:r w:rsidRPr="00AF302A">
        <w:rPr>
          <w:sz w:val="24"/>
          <w:szCs w:val="24"/>
        </w:rPr>
        <w:t>.</w:t>
      </w:r>
    </w:p>
    <w:p w14:paraId="349E250B" w14:textId="77777777" w:rsidR="009C0072" w:rsidRPr="00AF302A" w:rsidRDefault="009C0072" w:rsidP="009C0072">
      <w:pPr>
        <w:tabs>
          <w:tab w:val="left" w:pos="851"/>
        </w:tabs>
        <w:ind w:left="851"/>
        <w:rPr>
          <w:sz w:val="24"/>
          <w:szCs w:val="24"/>
        </w:rPr>
      </w:pPr>
    </w:p>
    <w:p w14:paraId="31FFE479" w14:textId="77777777" w:rsidR="009C0072" w:rsidRPr="00AF302A" w:rsidRDefault="009C0072" w:rsidP="009C0072">
      <w:pPr>
        <w:tabs>
          <w:tab w:val="left" w:pos="851"/>
        </w:tabs>
        <w:ind w:left="851"/>
        <w:rPr>
          <w:sz w:val="24"/>
          <w:szCs w:val="24"/>
        </w:rPr>
      </w:pPr>
      <w:r w:rsidRPr="00AF302A">
        <w:rPr>
          <w:sz w:val="24"/>
          <w:szCs w:val="24"/>
        </w:rPr>
        <w:t xml:space="preserve">Serologiske korrelater for beskyttelse mod </w:t>
      </w:r>
      <w:proofErr w:type="spellStart"/>
      <w:r w:rsidRPr="00AF302A">
        <w:rPr>
          <w:sz w:val="24"/>
          <w:szCs w:val="24"/>
        </w:rPr>
        <w:t>pertussis</w:t>
      </w:r>
      <w:proofErr w:type="spellEnd"/>
      <w:r w:rsidRPr="00AF302A">
        <w:rPr>
          <w:sz w:val="24"/>
          <w:szCs w:val="24"/>
        </w:rPr>
        <w:t xml:space="preserve"> er ikke blevet fastlagt. Ved sammenligning med data fra det svenske I-</w:t>
      </w:r>
      <w:proofErr w:type="spellStart"/>
      <w:r w:rsidRPr="00AF302A">
        <w:rPr>
          <w:sz w:val="24"/>
          <w:szCs w:val="24"/>
        </w:rPr>
        <w:t>pertussis</w:t>
      </w:r>
      <w:proofErr w:type="spellEnd"/>
      <w:r w:rsidRPr="00AF302A">
        <w:rPr>
          <w:sz w:val="24"/>
          <w:szCs w:val="24"/>
        </w:rPr>
        <w:t xml:space="preserve">-virkningsstudie udført mellem 1992 og 1996, hvor en primær immunisering med </w:t>
      </w:r>
      <w:proofErr w:type="spellStart"/>
      <w:r w:rsidRPr="00AF302A">
        <w:rPr>
          <w:sz w:val="24"/>
          <w:szCs w:val="24"/>
        </w:rPr>
        <w:t>Sanofi</w:t>
      </w:r>
      <w:proofErr w:type="spellEnd"/>
      <w:r w:rsidRPr="00AF302A">
        <w:rPr>
          <w:sz w:val="24"/>
          <w:szCs w:val="24"/>
        </w:rPr>
        <w:t xml:space="preserve"> </w:t>
      </w:r>
      <w:proofErr w:type="spellStart"/>
      <w:r w:rsidRPr="00AF302A">
        <w:rPr>
          <w:sz w:val="24"/>
          <w:szCs w:val="24"/>
        </w:rPr>
        <w:t>Pasteur</w:t>
      </w:r>
      <w:proofErr w:type="spellEnd"/>
      <w:r w:rsidRPr="00AF302A">
        <w:rPr>
          <w:sz w:val="24"/>
          <w:szCs w:val="24"/>
        </w:rPr>
        <w:t xml:space="preserve"> </w:t>
      </w:r>
      <w:proofErr w:type="spellStart"/>
      <w:r w:rsidRPr="00AF302A">
        <w:rPr>
          <w:sz w:val="24"/>
          <w:szCs w:val="24"/>
        </w:rPr>
        <w:t>acellulær</w:t>
      </w:r>
      <w:proofErr w:type="spellEnd"/>
      <w:r w:rsidRPr="00AF302A">
        <w:rPr>
          <w:sz w:val="24"/>
          <w:szCs w:val="24"/>
        </w:rPr>
        <w:t xml:space="preserve"> </w:t>
      </w:r>
      <w:proofErr w:type="spellStart"/>
      <w:r w:rsidRPr="00AF302A">
        <w:rPr>
          <w:sz w:val="24"/>
          <w:szCs w:val="24"/>
        </w:rPr>
        <w:t>pertussis</w:t>
      </w:r>
      <w:proofErr w:type="spellEnd"/>
      <w:r w:rsidRPr="00AF302A">
        <w:rPr>
          <w:sz w:val="24"/>
          <w:szCs w:val="24"/>
        </w:rPr>
        <w:t xml:space="preserve"> </w:t>
      </w:r>
      <w:proofErr w:type="spellStart"/>
      <w:r w:rsidRPr="00AF302A">
        <w:rPr>
          <w:sz w:val="24"/>
          <w:szCs w:val="24"/>
        </w:rPr>
        <w:t>DTaP</w:t>
      </w:r>
      <w:proofErr w:type="spellEnd"/>
      <w:r w:rsidRPr="00AF302A">
        <w:rPr>
          <w:sz w:val="24"/>
          <w:szCs w:val="24"/>
        </w:rPr>
        <w:t xml:space="preserve">-spædbarnsformulering bekræftede en beskyttende virkning på 85 % mod </w:t>
      </w:r>
      <w:proofErr w:type="spellStart"/>
      <w:r w:rsidRPr="00AF302A">
        <w:rPr>
          <w:sz w:val="24"/>
          <w:szCs w:val="24"/>
        </w:rPr>
        <w:t>pertussis</w:t>
      </w:r>
      <w:proofErr w:type="spellEnd"/>
      <w:r w:rsidRPr="00AF302A">
        <w:rPr>
          <w:sz w:val="24"/>
          <w:szCs w:val="24"/>
        </w:rPr>
        <w:t xml:space="preserve"> sygdom, betragtes </w:t>
      </w:r>
      <w:proofErr w:type="spellStart"/>
      <w:r w:rsidRPr="00AF302A">
        <w:rPr>
          <w:sz w:val="24"/>
          <w:szCs w:val="24"/>
        </w:rPr>
        <w:t>Triaxis</w:t>
      </w:r>
      <w:proofErr w:type="spellEnd"/>
      <w:r w:rsidRPr="00AF302A">
        <w:rPr>
          <w:sz w:val="24"/>
          <w:szCs w:val="24"/>
        </w:rPr>
        <w:t xml:space="preserve"> at have fremkaldt beskyttende immunresponser. </w:t>
      </w:r>
      <w:proofErr w:type="spellStart"/>
      <w:r w:rsidRPr="00AF302A">
        <w:rPr>
          <w:sz w:val="24"/>
          <w:szCs w:val="24"/>
        </w:rPr>
        <w:t>Pertussis</w:t>
      </w:r>
      <w:proofErr w:type="spellEnd"/>
      <w:r w:rsidRPr="00AF302A">
        <w:rPr>
          <w:sz w:val="24"/>
          <w:szCs w:val="24"/>
        </w:rPr>
        <w:t xml:space="preserve"> antistofniveauet for alle antigener efter en </w:t>
      </w:r>
      <w:proofErr w:type="spellStart"/>
      <w:r w:rsidRPr="00AF302A">
        <w:rPr>
          <w:sz w:val="24"/>
          <w:szCs w:val="24"/>
        </w:rPr>
        <w:t>Triaxis</w:t>
      </w:r>
      <w:proofErr w:type="spellEnd"/>
      <w:r w:rsidRPr="00AF302A">
        <w:rPr>
          <w:sz w:val="24"/>
          <w:szCs w:val="24"/>
        </w:rPr>
        <w:t xml:space="preserve"> </w:t>
      </w:r>
      <w:proofErr w:type="spellStart"/>
      <w:r w:rsidRPr="00AF302A">
        <w:rPr>
          <w:sz w:val="24"/>
          <w:szCs w:val="24"/>
        </w:rPr>
        <w:t>boosterdosis</w:t>
      </w:r>
      <w:proofErr w:type="spellEnd"/>
      <w:r w:rsidRPr="00AF302A">
        <w:rPr>
          <w:sz w:val="24"/>
          <w:szCs w:val="24"/>
        </w:rPr>
        <w:t xml:space="preserve"> hos voksne og unge overstiger dem, der er observeret i et husstandskontaktstudie indlejret i virkningsstudiet.</w:t>
      </w:r>
    </w:p>
    <w:p w14:paraId="40ECC8C1" w14:textId="77777777" w:rsidR="009C0072" w:rsidRPr="00AF302A" w:rsidRDefault="009C0072" w:rsidP="009C0072">
      <w:pPr>
        <w:tabs>
          <w:tab w:val="left" w:pos="851"/>
        </w:tabs>
        <w:ind w:left="851"/>
        <w:rPr>
          <w:sz w:val="24"/>
          <w:szCs w:val="24"/>
        </w:rPr>
      </w:pPr>
    </w:p>
    <w:p w14:paraId="2C866E53" w14:textId="2099C581" w:rsidR="009C0072" w:rsidRPr="00AF302A" w:rsidRDefault="009C0072" w:rsidP="00AF302A">
      <w:pPr>
        <w:rPr>
          <w:sz w:val="24"/>
          <w:szCs w:val="24"/>
        </w:rPr>
      </w:pPr>
      <w:bookmarkStart w:id="6" w:name="Table_20040412_170458SNPH"/>
      <w:r w:rsidRPr="00AF302A">
        <w:rPr>
          <w:b/>
          <w:sz w:val="24"/>
          <w:szCs w:val="24"/>
        </w:rPr>
        <w:t>Tabel </w:t>
      </w:r>
      <w:bookmarkEnd w:id="6"/>
      <w:r w:rsidRPr="00AF302A">
        <w:rPr>
          <w:b/>
          <w:sz w:val="24"/>
          <w:szCs w:val="24"/>
        </w:rPr>
        <w:t xml:space="preserve">3: Forholdet mellem </w:t>
      </w:r>
      <w:proofErr w:type="spellStart"/>
      <w:r w:rsidRPr="00AF302A">
        <w:rPr>
          <w:b/>
          <w:sz w:val="24"/>
          <w:szCs w:val="24"/>
        </w:rPr>
        <w:t>pertussis</w:t>
      </w:r>
      <w:proofErr w:type="spellEnd"/>
      <w:r w:rsidRPr="00AF302A">
        <w:rPr>
          <w:b/>
          <w:sz w:val="24"/>
          <w:szCs w:val="24"/>
        </w:rPr>
        <w:t xml:space="preserve">-antistof-GMC observeret en måned efter en dosis </w:t>
      </w:r>
      <w:proofErr w:type="spellStart"/>
      <w:r w:rsidRPr="00AF302A">
        <w:rPr>
          <w:b/>
          <w:sz w:val="24"/>
          <w:szCs w:val="24"/>
        </w:rPr>
        <w:t>Triaxis</w:t>
      </w:r>
      <w:proofErr w:type="spellEnd"/>
      <w:r w:rsidRPr="00AF302A">
        <w:rPr>
          <w:b/>
          <w:sz w:val="24"/>
          <w:szCs w:val="24"/>
        </w:rPr>
        <w:t xml:space="preserve"> hos unge og voksne sammenlignet med dem, der blev observeret hos spædbørn en måned efter vaccination ved 2, 4 og 6 måneders alderen, i det svenske I-</w:t>
      </w:r>
      <w:proofErr w:type="spellStart"/>
      <w:r w:rsidRPr="00AF302A">
        <w:rPr>
          <w:b/>
          <w:sz w:val="24"/>
          <w:szCs w:val="24"/>
        </w:rPr>
        <w:t>pertussis</w:t>
      </w:r>
      <w:proofErr w:type="spellEnd"/>
      <w:r w:rsidRPr="00AF302A">
        <w:rPr>
          <w:b/>
          <w:sz w:val="24"/>
          <w:szCs w:val="24"/>
        </w:rPr>
        <w:t xml:space="preserve">-virkningsstudie med </w:t>
      </w:r>
      <w:proofErr w:type="spellStart"/>
      <w:r w:rsidRPr="00AF302A">
        <w:rPr>
          <w:b/>
          <w:sz w:val="24"/>
          <w:szCs w:val="24"/>
        </w:rPr>
        <w:t>DTaP</w:t>
      </w:r>
      <w:proofErr w:type="spellEnd"/>
      <w:r w:rsidRPr="00AF302A">
        <w:rPr>
          <w:b/>
          <w:sz w:val="24"/>
          <w:szCs w:val="24"/>
        </w:rPr>
        <w:t xml:space="preserve"> (PPI-population</w:t>
      </w:r>
      <w:r w:rsidRPr="00AF302A">
        <w:rPr>
          <w:b/>
          <w:sz w:val="24"/>
          <w:szCs w:val="24"/>
          <w:vertAlign w:val="superscript"/>
        </w:rPr>
        <w:t>1</w:t>
      </w:r>
      <w:r w:rsidRPr="00AF302A">
        <w:rPr>
          <w:b/>
          <w:sz w:val="24"/>
          <w:szCs w:val="24"/>
        </w:rPr>
        <w:t>)</w:t>
      </w:r>
    </w:p>
    <w:tbl>
      <w:tblPr>
        <w:tblpPr w:leftFromText="180" w:rightFromText="180" w:vertAnchor="text" w:horzAnchor="margin" w:tblpXSpec="center" w:tblpY="4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6"/>
        <w:gridCol w:w="3822"/>
        <w:gridCol w:w="3914"/>
      </w:tblGrid>
      <w:tr w:rsidR="009C0072" w:rsidRPr="00AF302A" w14:paraId="121D32BA" w14:textId="77777777" w:rsidTr="009C0072">
        <w:trPr>
          <w:cantSplit/>
          <w:trHeight w:val="519"/>
          <w:tblHeader/>
        </w:trPr>
        <w:tc>
          <w:tcPr>
            <w:tcW w:w="980" w:type="pct"/>
            <w:vMerge w:val="restart"/>
            <w:tcBorders>
              <w:top w:val="single" w:sz="6" w:space="0" w:color="auto"/>
              <w:left w:val="single" w:sz="6" w:space="0" w:color="auto"/>
              <w:bottom w:val="single" w:sz="6" w:space="0" w:color="auto"/>
              <w:right w:val="single" w:sz="6" w:space="0" w:color="auto"/>
            </w:tcBorders>
            <w:vAlign w:val="center"/>
          </w:tcPr>
          <w:p w14:paraId="3C433786" w14:textId="77777777" w:rsidR="009C0072" w:rsidRPr="00AF302A" w:rsidRDefault="009C0072">
            <w:pPr>
              <w:pStyle w:val="wcpTableColHeader"/>
              <w:widowControl w:val="0"/>
              <w:jc w:val="left"/>
              <w:rPr>
                <w:color w:val="000000"/>
                <w:szCs w:val="22"/>
                <w:lang w:val="nb-NO"/>
              </w:rPr>
            </w:pPr>
          </w:p>
        </w:tc>
        <w:tc>
          <w:tcPr>
            <w:tcW w:w="1986" w:type="pct"/>
            <w:tcBorders>
              <w:top w:val="single" w:sz="6" w:space="0" w:color="auto"/>
              <w:left w:val="single" w:sz="6" w:space="0" w:color="auto"/>
              <w:bottom w:val="single" w:sz="6" w:space="0" w:color="auto"/>
              <w:right w:val="single" w:sz="6" w:space="0" w:color="auto"/>
            </w:tcBorders>
            <w:vAlign w:val="center"/>
            <w:hideMark/>
          </w:tcPr>
          <w:p w14:paraId="79B5F38E" w14:textId="77777777" w:rsidR="009C0072" w:rsidRPr="00AF302A" w:rsidRDefault="009C0072">
            <w:pPr>
              <w:pStyle w:val="wcpTableColHeader"/>
              <w:widowControl w:val="0"/>
              <w:rPr>
                <w:color w:val="000000"/>
                <w:szCs w:val="22"/>
                <w:lang w:val="nb-NO"/>
              </w:rPr>
            </w:pPr>
            <w:r w:rsidRPr="00AF302A">
              <w:rPr>
                <w:color w:val="000000"/>
                <w:szCs w:val="22"/>
                <w:lang w:val="nb-NO"/>
              </w:rPr>
              <w:t>Unge:</w:t>
            </w:r>
          </w:p>
          <w:p w14:paraId="544D93A8" w14:textId="77777777" w:rsidR="009C0072" w:rsidRPr="00AF302A" w:rsidRDefault="009C0072">
            <w:pPr>
              <w:pStyle w:val="wcpTableColHeader"/>
              <w:widowControl w:val="0"/>
              <w:rPr>
                <w:color w:val="000000"/>
                <w:szCs w:val="22"/>
                <w:lang w:val="nb-NO"/>
              </w:rPr>
            </w:pPr>
            <w:r w:rsidRPr="00AF302A">
              <w:rPr>
                <w:color w:val="000000"/>
                <w:szCs w:val="22"/>
                <w:lang w:val="nb-NO"/>
              </w:rPr>
              <w:t>(11 – 17 år)</w:t>
            </w:r>
            <w:r w:rsidRPr="00AF302A">
              <w:rPr>
                <w:color w:val="000000"/>
                <w:szCs w:val="22"/>
                <w:vertAlign w:val="superscript"/>
                <w:lang w:val="nb-NO"/>
              </w:rPr>
              <w:t>2</w:t>
            </w:r>
          </w:p>
        </w:tc>
        <w:tc>
          <w:tcPr>
            <w:tcW w:w="2034" w:type="pct"/>
            <w:tcBorders>
              <w:top w:val="single" w:sz="6" w:space="0" w:color="auto"/>
              <w:left w:val="single" w:sz="6" w:space="0" w:color="auto"/>
              <w:bottom w:val="single" w:sz="6" w:space="0" w:color="auto"/>
              <w:right w:val="single" w:sz="6" w:space="0" w:color="auto"/>
            </w:tcBorders>
            <w:hideMark/>
          </w:tcPr>
          <w:p w14:paraId="3F2684A6" w14:textId="77777777" w:rsidR="009C0072" w:rsidRPr="00AF302A" w:rsidRDefault="009C0072">
            <w:pPr>
              <w:pStyle w:val="wcpTableColHeader"/>
              <w:widowControl w:val="0"/>
              <w:rPr>
                <w:color w:val="000000"/>
                <w:szCs w:val="22"/>
                <w:lang w:val="nb-NO"/>
              </w:rPr>
            </w:pPr>
            <w:r w:rsidRPr="00AF302A">
              <w:rPr>
                <w:color w:val="000000"/>
                <w:szCs w:val="22"/>
                <w:lang w:val="nb-NO"/>
              </w:rPr>
              <w:t>Voksne</w:t>
            </w:r>
          </w:p>
          <w:p w14:paraId="43BBAE5E" w14:textId="77777777" w:rsidR="009C0072" w:rsidRPr="00AF302A" w:rsidRDefault="009C0072">
            <w:pPr>
              <w:pStyle w:val="wcpTableColHeader"/>
              <w:widowControl w:val="0"/>
              <w:rPr>
                <w:color w:val="000000"/>
                <w:szCs w:val="22"/>
                <w:lang w:val="nb-NO"/>
              </w:rPr>
            </w:pPr>
            <w:r w:rsidRPr="00AF302A">
              <w:rPr>
                <w:color w:val="000000"/>
                <w:szCs w:val="22"/>
                <w:lang w:val="nb-NO"/>
              </w:rPr>
              <w:t>(18 – 64 år)</w:t>
            </w:r>
            <w:r w:rsidRPr="00AF302A">
              <w:rPr>
                <w:color w:val="000000"/>
                <w:szCs w:val="22"/>
                <w:vertAlign w:val="superscript"/>
                <w:lang w:val="nb-NO"/>
              </w:rPr>
              <w:t>2</w:t>
            </w:r>
          </w:p>
        </w:tc>
      </w:tr>
      <w:tr w:rsidR="009C0072" w:rsidRPr="00AF302A" w14:paraId="015821FB" w14:textId="77777777" w:rsidTr="009C0072">
        <w:trPr>
          <w:cantSplit/>
          <w:trHeight w:val="808"/>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2FD69A" w14:textId="77777777" w:rsidR="009C0072" w:rsidRPr="00AF302A" w:rsidRDefault="009C0072">
            <w:pPr>
              <w:rPr>
                <w:b/>
                <w:color w:val="000000"/>
                <w:sz w:val="22"/>
                <w:szCs w:val="22"/>
                <w:lang w:val="nb-NO"/>
              </w:rPr>
            </w:pPr>
          </w:p>
        </w:tc>
        <w:tc>
          <w:tcPr>
            <w:tcW w:w="1986" w:type="pct"/>
            <w:tcBorders>
              <w:top w:val="single" w:sz="6" w:space="0" w:color="auto"/>
              <w:left w:val="single" w:sz="6" w:space="0" w:color="auto"/>
              <w:bottom w:val="single" w:sz="6" w:space="0" w:color="auto"/>
              <w:right w:val="single" w:sz="6" w:space="0" w:color="auto"/>
            </w:tcBorders>
            <w:vAlign w:val="center"/>
            <w:hideMark/>
          </w:tcPr>
          <w:p w14:paraId="17487AEF" w14:textId="77777777" w:rsidR="009C0072" w:rsidRPr="00AF302A" w:rsidRDefault="009C0072">
            <w:pPr>
              <w:pStyle w:val="wcpTableColHeader"/>
              <w:keepNext w:val="0"/>
              <w:widowControl w:val="0"/>
              <w:rPr>
                <w:color w:val="000000"/>
                <w:szCs w:val="22"/>
                <w:vertAlign w:val="superscript"/>
                <w:lang w:val="nb-NO"/>
              </w:rPr>
            </w:pPr>
            <w:r w:rsidRPr="00AF302A">
              <w:rPr>
                <w:color w:val="000000"/>
                <w:szCs w:val="22"/>
                <w:lang w:val="nb-NO"/>
              </w:rPr>
              <w:t>Triaxis/DTaP</w:t>
            </w:r>
            <w:r w:rsidRPr="00AF302A">
              <w:rPr>
                <w:color w:val="000000"/>
                <w:szCs w:val="22"/>
                <w:vertAlign w:val="superscript"/>
                <w:lang w:val="nb-NO"/>
              </w:rPr>
              <w:t>3</w:t>
            </w:r>
            <w:r w:rsidRPr="00AF302A">
              <w:rPr>
                <w:color w:val="000000"/>
                <w:szCs w:val="22"/>
                <w:lang w:val="nb-NO"/>
              </w:rPr>
              <w:br/>
              <w:t>GMC-forhold</w:t>
            </w:r>
            <w:r w:rsidRPr="00AF302A">
              <w:rPr>
                <w:color w:val="000000"/>
                <w:szCs w:val="22"/>
                <w:lang w:val="nb-NO"/>
              </w:rPr>
              <w:br/>
              <w:t>(95 % CIs)</w:t>
            </w:r>
            <w:r w:rsidRPr="00AF302A">
              <w:rPr>
                <w:color w:val="000000"/>
                <w:szCs w:val="22"/>
                <w:vertAlign w:val="superscript"/>
                <w:lang w:val="nb-NO"/>
              </w:rPr>
              <w:t>4</w:t>
            </w:r>
          </w:p>
        </w:tc>
        <w:tc>
          <w:tcPr>
            <w:tcW w:w="2034" w:type="pct"/>
            <w:tcBorders>
              <w:top w:val="single" w:sz="6" w:space="0" w:color="auto"/>
              <w:left w:val="single" w:sz="6" w:space="0" w:color="auto"/>
              <w:bottom w:val="single" w:sz="6" w:space="0" w:color="auto"/>
              <w:right w:val="single" w:sz="6" w:space="0" w:color="auto"/>
            </w:tcBorders>
            <w:vAlign w:val="center"/>
            <w:hideMark/>
          </w:tcPr>
          <w:p w14:paraId="52A0E403" w14:textId="77777777" w:rsidR="009C0072" w:rsidRPr="00AF302A" w:rsidRDefault="009C0072">
            <w:pPr>
              <w:pStyle w:val="wcpTableColHeader"/>
              <w:keepNext w:val="0"/>
              <w:widowControl w:val="0"/>
              <w:rPr>
                <w:color w:val="000000"/>
                <w:szCs w:val="22"/>
                <w:vertAlign w:val="superscript"/>
                <w:lang w:val="nb-NO"/>
              </w:rPr>
            </w:pPr>
            <w:r w:rsidRPr="00AF302A">
              <w:rPr>
                <w:color w:val="000000"/>
                <w:szCs w:val="22"/>
                <w:lang w:val="nb-NO"/>
              </w:rPr>
              <w:t>Triaxis/DTaP</w:t>
            </w:r>
            <w:r w:rsidRPr="00AF302A">
              <w:rPr>
                <w:color w:val="000000"/>
                <w:szCs w:val="22"/>
                <w:vertAlign w:val="superscript"/>
                <w:lang w:val="nb-NO"/>
              </w:rPr>
              <w:t>3</w:t>
            </w:r>
            <w:r w:rsidRPr="00AF302A">
              <w:rPr>
                <w:color w:val="000000"/>
                <w:szCs w:val="22"/>
                <w:lang w:val="nb-NO"/>
              </w:rPr>
              <w:br/>
              <w:t>GMC-forhold</w:t>
            </w:r>
            <w:r w:rsidRPr="00AF302A">
              <w:rPr>
                <w:color w:val="000000"/>
                <w:szCs w:val="22"/>
                <w:lang w:val="nb-NO"/>
              </w:rPr>
              <w:br/>
              <w:t>(95 % CIs)</w:t>
            </w:r>
            <w:r w:rsidRPr="00AF302A">
              <w:rPr>
                <w:color w:val="000000"/>
                <w:szCs w:val="22"/>
                <w:vertAlign w:val="superscript"/>
                <w:lang w:val="nb-NO"/>
              </w:rPr>
              <w:t>4</w:t>
            </w:r>
          </w:p>
        </w:tc>
      </w:tr>
      <w:tr w:rsidR="009C0072" w:rsidRPr="00AF302A" w14:paraId="71CBF650" w14:textId="77777777" w:rsidTr="009C0072">
        <w:trPr>
          <w:cantSplit/>
          <w:trHeight w:val="520"/>
          <w:tblHeader/>
        </w:trPr>
        <w:tc>
          <w:tcPr>
            <w:tcW w:w="980" w:type="pct"/>
            <w:tcBorders>
              <w:top w:val="single" w:sz="6" w:space="0" w:color="auto"/>
              <w:left w:val="single" w:sz="6" w:space="0" w:color="auto"/>
              <w:bottom w:val="single" w:sz="6" w:space="0" w:color="auto"/>
              <w:right w:val="single" w:sz="6" w:space="0" w:color="auto"/>
            </w:tcBorders>
            <w:vAlign w:val="center"/>
            <w:hideMark/>
          </w:tcPr>
          <w:p w14:paraId="2D1C5A53" w14:textId="77777777" w:rsidR="009C0072" w:rsidRPr="00AF302A" w:rsidRDefault="009C0072">
            <w:pPr>
              <w:pStyle w:val="wcpTableColHeader"/>
              <w:keepNext w:val="0"/>
              <w:widowControl w:val="0"/>
              <w:jc w:val="left"/>
              <w:rPr>
                <w:color w:val="000000"/>
                <w:szCs w:val="22"/>
                <w:lang w:val="nb-NO"/>
              </w:rPr>
            </w:pPr>
            <w:r w:rsidRPr="00AF302A">
              <w:rPr>
                <w:color w:val="000000"/>
                <w:szCs w:val="22"/>
                <w:lang w:val="nb-NO"/>
              </w:rPr>
              <w:t>Deltagere</w:t>
            </w:r>
          </w:p>
        </w:tc>
        <w:tc>
          <w:tcPr>
            <w:tcW w:w="1986" w:type="pct"/>
            <w:tcBorders>
              <w:top w:val="single" w:sz="6" w:space="0" w:color="auto"/>
              <w:left w:val="single" w:sz="6" w:space="0" w:color="auto"/>
              <w:bottom w:val="single" w:sz="6" w:space="0" w:color="auto"/>
              <w:right w:val="single" w:sz="6" w:space="0" w:color="auto"/>
            </w:tcBorders>
            <w:vAlign w:val="center"/>
            <w:hideMark/>
          </w:tcPr>
          <w:p w14:paraId="33C1E836" w14:textId="77777777" w:rsidR="009C0072" w:rsidRPr="00AF302A" w:rsidRDefault="009C0072">
            <w:pPr>
              <w:pStyle w:val="wcpTableColHeader"/>
              <w:keepNext w:val="0"/>
              <w:widowControl w:val="0"/>
              <w:rPr>
                <w:color w:val="000000"/>
                <w:szCs w:val="22"/>
                <w:lang w:val="nb-NO"/>
              </w:rPr>
            </w:pPr>
            <w:r w:rsidRPr="00AF302A">
              <w:rPr>
                <w:color w:val="000000"/>
                <w:szCs w:val="22"/>
                <w:lang w:val="nb-NO"/>
              </w:rPr>
              <w:t>(N = 524 – 526)</w:t>
            </w:r>
          </w:p>
        </w:tc>
        <w:tc>
          <w:tcPr>
            <w:tcW w:w="2034" w:type="pct"/>
            <w:tcBorders>
              <w:top w:val="single" w:sz="6" w:space="0" w:color="auto"/>
              <w:left w:val="single" w:sz="6" w:space="0" w:color="auto"/>
              <w:bottom w:val="single" w:sz="6" w:space="0" w:color="auto"/>
              <w:right w:val="single" w:sz="6" w:space="0" w:color="auto"/>
            </w:tcBorders>
            <w:vAlign w:val="center"/>
            <w:hideMark/>
          </w:tcPr>
          <w:p w14:paraId="30F63E97" w14:textId="77777777" w:rsidR="009C0072" w:rsidRPr="00AF302A" w:rsidRDefault="009C0072">
            <w:pPr>
              <w:pStyle w:val="wcpTableColHeader"/>
              <w:keepNext w:val="0"/>
              <w:widowControl w:val="0"/>
              <w:rPr>
                <w:color w:val="000000"/>
                <w:szCs w:val="22"/>
                <w:lang w:val="nb-NO"/>
              </w:rPr>
            </w:pPr>
            <w:r w:rsidRPr="00AF302A">
              <w:rPr>
                <w:color w:val="000000"/>
                <w:szCs w:val="22"/>
                <w:lang w:val="nb-NO"/>
              </w:rPr>
              <w:t>N = 741</w:t>
            </w:r>
          </w:p>
        </w:tc>
      </w:tr>
      <w:tr w:rsidR="009C0072" w:rsidRPr="00AF302A" w14:paraId="5C872E5B" w14:textId="77777777" w:rsidTr="009C0072">
        <w:tc>
          <w:tcPr>
            <w:tcW w:w="980" w:type="pct"/>
            <w:tcBorders>
              <w:top w:val="single" w:sz="6" w:space="0" w:color="auto"/>
              <w:left w:val="single" w:sz="6" w:space="0" w:color="auto"/>
              <w:bottom w:val="single" w:sz="6" w:space="0" w:color="auto"/>
              <w:right w:val="single" w:sz="6" w:space="0" w:color="auto"/>
            </w:tcBorders>
            <w:vAlign w:val="center"/>
            <w:hideMark/>
          </w:tcPr>
          <w:p w14:paraId="38B56040" w14:textId="77777777" w:rsidR="009C0072" w:rsidRPr="00AF302A" w:rsidRDefault="009C0072">
            <w:pPr>
              <w:pStyle w:val="wcpTableRowHeader"/>
              <w:widowControl w:val="0"/>
              <w:spacing w:before="0" w:after="0"/>
              <w:rPr>
                <w:color w:val="000000"/>
                <w:szCs w:val="22"/>
                <w:lang w:val="nb-NO"/>
              </w:rPr>
            </w:pPr>
            <w:r w:rsidRPr="00AF302A">
              <w:rPr>
                <w:color w:val="000000"/>
                <w:szCs w:val="22"/>
                <w:lang w:val="nb-NO"/>
              </w:rPr>
              <w:t>Anti-PT</w:t>
            </w:r>
          </w:p>
        </w:tc>
        <w:tc>
          <w:tcPr>
            <w:tcW w:w="1986" w:type="pct"/>
            <w:tcBorders>
              <w:top w:val="single" w:sz="6" w:space="0" w:color="auto"/>
              <w:left w:val="single" w:sz="6" w:space="0" w:color="auto"/>
              <w:bottom w:val="single" w:sz="6" w:space="0" w:color="auto"/>
              <w:right w:val="single" w:sz="6" w:space="0" w:color="auto"/>
            </w:tcBorders>
            <w:vAlign w:val="center"/>
            <w:hideMark/>
          </w:tcPr>
          <w:p w14:paraId="213A38D1" w14:textId="77777777" w:rsidR="009C0072" w:rsidRPr="00AF302A" w:rsidRDefault="009C0072">
            <w:pPr>
              <w:pStyle w:val="wcpTableContent"/>
              <w:jc w:val="center"/>
              <w:rPr>
                <w:color w:val="000000"/>
                <w:szCs w:val="22"/>
                <w:lang w:val="nb-NO"/>
              </w:rPr>
            </w:pPr>
            <w:r w:rsidRPr="00AF302A">
              <w:rPr>
                <w:color w:val="000000"/>
                <w:szCs w:val="22"/>
                <w:lang w:val="nb-NO"/>
              </w:rPr>
              <w:t>3,6</w:t>
            </w:r>
            <w:r w:rsidRPr="00AF302A">
              <w:rPr>
                <w:color w:val="000000"/>
                <w:szCs w:val="22"/>
                <w:lang w:val="nb-NO"/>
              </w:rPr>
              <w:br/>
              <w:t>(2,8; 4,5)</w:t>
            </w:r>
          </w:p>
        </w:tc>
        <w:tc>
          <w:tcPr>
            <w:tcW w:w="2034" w:type="pct"/>
            <w:tcBorders>
              <w:top w:val="single" w:sz="6" w:space="0" w:color="auto"/>
              <w:left w:val="single" w:sz="6" w:space="0" w:color="auto"/>
              <w:bottom w:val="single" w:sz="6" w:space="0" w:color="auto"/>
              <w:right w:val="single" w:sz="6" w:space="0" w:color="auto"/>
            </w:tcBorders>
            <w:vAlign w:val="center"/>
            <w:hideMark/>
          </w:tcPr>
          <w:p w14:paraId="51A25AEE" w14:textId="77777777" w:rsidR="009C0072" w:rsidRPr="00AF302A" w:rsidRDefault="009C0072">
            <w:pPr>
              <w:pStyle w:val="wcpTableContent"/>
              <w:jc w:val="center"/>
              <w:rPr>
                <w:color w:val="000000"/>
                <w:szCs w:val="22"/>
                <w:lang w:val="nb-NO"/>
              </w:rPr>
            </w:pPr>
            <w:r w:rsidRPr="00AF302A">
              <w:rPr>
                <w:color w:val="000000"/>
                <w:szCs w:val="22"/>
                <w:lang w:val="nb-NO"/>
              </w:rPr>
              <w:t>2,1</w:t>
            </w:r>
            <w:r w:rsidRPr="00AF302A">
              <w:rPr>
                <w:color w:val="000000"/>
                <w:szCs w:val="22"/>
                <w:lang w:val="nb-NO"/>
              </w:rPr>
              <w:br/>
              <w:t>(1,6; 2,7)</w:t>
            </w:r>
            <w:r w:rsidRPr="00AF302A">
              <w:rPr>
                <w:rStyle w:val="Slutnotehenvisning"/>
                <w:rFonts w:ascii="Times New Roman" w:hAnsi="Times New Roman" w:cs="Times New Roman"/>
                <w:color w:val="000000"/>
                <w:szCs w:val="22"/>
                <w:lang w:val="nb-NO"/>
              </w:rPr>
              <w:t xml:space="preserve"> </w:t>
            </w:r>
          </w:p>
        </w:tc>
      </w:tr>
      <w:tr w:rsidR="009C0072" w:rsidRPr="00AF302A" w14:paraId="7B177172" w14:textId="77777777" w:rsidTr="009C0072">
        <w:tc>
          <w:tcPr>
            <w:tcW w:w="980" w:type="pct"/>
            <w:tcBorders>
              <w:top w:val="single" w:sz="6" w:space="0" w:color="auto"/>
              <w:left w:val="single" w:sz="6" w:space="0" w:color="auto"/>
              <w:bottom w:val="single" w:sz="6" w:space="0" w:color="auto"/>
              <w:right w:val="single" w:sz="6" w:space="0" w:color="auto"/>
            </w:tcBorders>
            <w:vAlign w:val="center"/>
            <w:hideMark/>
          </w:tcPr>
          <w:p w14:paraId="490A475A" w14:textId="77777777" w:rsidR="009C0072" w:rsidRPr="00AF302A" w:rsidRDefault="009C0072">
            <w:pPr>
              <w:pStyle w:val="wcpTableRowHeader"/>
              <w:widowControl w:val="0"/>
              <w:spacing w:before="0" w:after="0"/>
              <w:rPr>
                <w:color w:val="000000"/>
                <w:szCs w:val="22"/>
                <w:lang w:val="nb-NO"/>
              </w:rPr>
            </w:pPr>
            <w:r w:rsidRPr="00AF302A">
              <w:rPr>
                <w:color w:val="000000"/>
                <w:szCs w:val="22"/>
                <w:lang w:val="nb-NO"/>
              </w:rPr>
              <w:t>Anti-FHA</w:t>
            </w:r>
          </w:p>
        </w:tc>
        <w:tc>
          <w:tcPr>
            <w:tcW w:w="1986" w:type="pct"/>
            <w:tcBorders>
              <w:top w:val="single" w:sz="6" w:space="0" w:color="auto"/>
              <w:left w:val="single" w:sz="6" w:space="0" w:color="auto"/>
              <w:bottom w:val="single" w:sz="6" w:space="0" w:color="auto"/>
              <w:right w:val="single" w:sz="6" w:space="0" w:color="auto"/>
            </w:tcBorders>
            <w:vAlign w:val="center"/>
            <w:hideMark/>
          </w:tcPr>
          <w:p w14:paraId="2A602FEC" w14:textId="77777777" w:rsidR="009C0072" w:rsidRPr="00AF302A" w:rsidRDefault="009C0072">
            <w:pPr>
              <w:pStyle w:val="wcpTableContent"/>
              <w:jc w:val="center"/>
              <w:rPr>
                <w:color w:val="000000"/>
                <w:szCs w:val="22"/>
                <w:lang w:val="nb-NO"/>
              </w:rPr>
            </w:pPr>
            <w:r w:rsidRPr="00AF302A">
              <w:rPr>
                <w:color w:val="000000"/>
                <w:szCs w:val="22"/>
                <w:lang w:val="nb-NO"/>
              </w:rPr>
              <w:t>5,4</w:t>
            </w:r>
            <w:r w:rsidRPr="00AF302A">
              <w:rPr>
                <w:color w:val="000000"/>
                <w:szCs w:val="22"/>
                <w:lang w:val="nb-NO"/>
              </w:rPr>
              <w:br/>
              <w:t>(4,5; 6,5)</w:t>
            </w:r>
            <w:r w:rsidRPr="00AF302A">
              <w:rPr>
                <w:rStyle w:val="Slutnotehenvisning"/>
                <w:rFonts w:ascii="Times New Roman" w:hAnsi="Times New Roman" w:cs="Times New Roman"/>
                <w:color w:val="000000"/>
                <w:szCs w:val="22"/>
                <w:lang w:val="nb-NO"/>
              </w:rPr>
              <w:t xml:space="preserve"> </w:t>
            </w:r>
          </w:p>
        </w:tc>
        <w:tc>
          <w:tcPr>
            <w:tcW w:w="2034" w:type="pct"/>
            <w:tcBorders>
              <w:top w:val="single" w:sz="6" w:space="0" w:color="auto"/>
              <w:left w:val="single" w:sz="6" w:space="0" w:color="auto"/>
              <w:bottom w:val="single" w:sz="6" w:space="0" w:color="auto"/>
              <w:right w:val="single" w:sz="6" w:space="0" w:color="auto"/>
            </w:tcBorders>
            <w:vAlign w:val="center"/>
            <w:hideMark/>
          </w:tcPr>
          <w:p w14:paraId="471B3D9C" w14:textId="77777777" w:rsidR="009C0072" w:rsidRPr="00AF302A" w:rsidRDefault="009C0072">
            <w:pPr>
              <w:pStyle w:val="wcpTableContent"/>
              <w:jc w:val="center"/>
              <w:rPr>
                <w:color w:val="000000"/>
                <w:szCs w:val="22"/>
                <w:lang w:val="nb-NO"/>
              </w:rPr>
            </w:pPr>
            <w:r w:rsidRPr="00AF302A">
              <w:rPr>
                <w:color w:val="000000"/>
                <w:szCs w:val="22"/>
                <w:lang w:val="nb-NO"/>
              </w:rPr>
              <w:t>4,8</w:t>
            </w:r>
            <w:r w:rsidRPr="00AF302A">
              <w:rPr>
                <w:color w:val="000000"/>
                <w:szCs w:val="22"/>
                <w:lang w:val="nb-NO"/>
              </w:rPr>
              <w:br/>
              <w:t>(3,9; 5,9)</w:t>
            </w:r>
            <w:r w:rsidRPr="00AF302A">
              <w:rPr>
                <w:rStyle w:val="Slutnotehenvisning"/>
                <w:rFonts w:ascii="Times New Roman" w:hAnsi="Times New Roman" w:cs="Times New Roman"/>
                <w:color w:val="000000"/>
                <w:szCs w:val="22"/>
                <w:lang w:val="nb-NO"/>
              </w:rPr>
              <w:t xml:space="preserve"> </w:t>
            </w:r>
          </w:p>
        </w:tc>
      </w:tr>
      <w:tr w:rsidR="009C0072" w:rsidRPr="00AF302A" w14:paraId="5232BC48" w14:textId="77777777" w:rsidTr="009C0072">
        <w:tc>
          <w:tcPr>
            <w:tcW w:w="980" w:type="pct"/>
            <w:tcBorders>
              <w:top w:val="single" w:sz="6" w:space="0" w:color="auto"/>
              <w:left w:val="single" w:sz="6" w:space="0" w:color="auto"/>
              <w:bottom w:val="single" w:sz="6" w:space="0" w:color="auto"/>
              <w:right w:val="single" w:sz="6" w:space="0" w:color="auto"/>
            </w:tcBorders>
            <w:vAlign w:val="center"/>
            <w:hideMark/>
          </w:tcPr>
          <w:p w14:paraId="4D681235" w14:textId="77777777" w:rsidR="009C0072" w:rsidRPr="00AF302A" w:rsidRDefault="009C0072">
            <w:pPr>
              <w:pStyle w:val="wcpTableRowHeader"/>
              <w:widowControl w:val="0"/>
              <w:spacing w:before="0" w:after="0"/>
              <w:rPr>
                <w:color w:val="000000"/>
                <w:szCs w:val="22"/>
                <w:lang w:val="nb-NO"/>
              </w:rPr>
            </w:pPr>
            <w:r w:rsidRPr="00AF302A">
              <w:rPr>
                <w:color w:val="000000"/>
                <w:szCs w:val="22"/>
                <w:lang w:val="nb-NO"/>
              </w:rPr>
              <w:t>Anti-PRN</w:t>
            </w:r>
          </w:p>
        </w:tc>
        <w:tc>
          <w:tcPr>
            <w:tcW w:w="1986" w:type="pct"/>
            <w:tcBorders>
              <w:top w:val="single" w:sz="6" w:space="0" w:color="auto"/>
              <w:left w:val="single" w:sz="6" w:space="0" w:color="auto"/>
              <w:bottom w:val="single" w:sz="6" w:space="0" w:color="auto"/>
              <w:right w:val="single" w:sz="6" w:space="0" w:color="auto"/>
            </w:tcBorders>
            <w:vAlign w:val="center"/>
            <w:hideMark/>
          </w:tcPr>
          <w:p w14:paraId="2C8F5565" w14:textId="77777777" w:rsidR="009C0072" w:rsidRPr="00AF302A" w:rsidRDefault="009C0072">
            <w:pPr>
              <w:pStyle w:val="wcpTableContent"/>
              <w:jc w:val="center"/>
              <w:rPr>
                <w:color w:val="000000"/>
                <w:szCs w:val="22"/>
                <w:lang w:val="nb-NO"/>
              </w:rPr>
            </w:pPr>
            <w:r w:rsidRPr="00AF302A">
              <w:rPr>
                <w:color w:val="000000"/>
                <w:szCs w:val="22"/>
                <w:lang w:val="nb-NO"/>
              </w:rPr>
              <w:t>3,2</w:t>
            </w:r>
            <w:r w:rsidRPr="00AF302A">
              <w:rPr>
                <w:color w:val="000000"/>
                <w:szCs w:val="22"/>
                <w:lang w:val="nb-NO"/>
              </w:rPr>
              <w:br/>
              <w:t>(2,5; 4,1)</w:t>
            </w:r>
            <w:r w:rsidRPr="00AF302A">
              <w:rPr>
                <w:rStyle w:val="Slutnotehenvisning"/>
                <w:rFonts w:ascii="Times New Roman" w:hAnsi="Times New Roman" w:cs="Times New Roman"/>
                <w:color w:val="000000"/>
                <w:szCs w:val="22"/>
                <w:lang w:val="nb-NO"/>
              </w:rPr>
              <w:t xml:space="preserve"> </w:t>
            </w:r>
          </w:p>
        </w:tc>
        <w:tc>
          <w:tcPr>
            <w:tcW w:w="2034" w:type="pct"/>
            <w:tcBorders>
              <w:top w:val="single" w:sz="6" w:space="0" w:color="auto"/>
              <w:left w:val="single" w:sz="6" w:space="0" w:color="auto"/>
              <w:bottom w:val="single" w:sz="6" w:space="0" w:color="auto"/>
              <w:right w:val="single" w:sz="6" w:space="0" w:color="auto"/>
            </w:tcBorders>
            <w:vAlign w:val="center"/>
            <w:hideMark/>
          </w:tcPr>
          <w:p w14:paraId="11CBCAE0" w14:textId="77777777" w:rsidR="009C0072" w:rsidRPr="00AF302A" w:rsidRDefault="009C0072">
            <w:pPr>
              <w:pStyle w:val="wcpTableContent"/>
              <w:jc w:val="center"/>
              <w:rPr>
                <w:color w:val="000000"/>
                <w:szCs w:val="22"/>
                <w:lang w:val="nb-NO"/>
              </w:rPr>
            </w:pPr>
            <w:r w:rsidRPr="00AF302A">
              <w:rPr>
                <w:color w:val="000000"/>
                <w:szCs w:val="22"/>
                <w:lang w:val="nb-NO"/>
              </w:rPr>
              <w:t>3,2</w:t>
            </w:r>
            <w:r w:rsidRPr="00AF302A">
              <w:rPr>
                <w:color w:val="000000"/>
                <w:szCs w:val="22"/>
                <w:lang w:val="nb-NO"/>
              </w:rPr>
              <w:br/>
              <w:t>(2,3; 4,4)</w:t>
            </w:r>
            <w:r w:rsidRPr="00AF302A">
              <w:rPr>
                <w:rStyle w:val="Slutnotehenvisning"/>
                <w:rFonts w:ascii="Times New Roman" w:hAnsi="Times New Roman" w:cs="Times New Roman"/>
                <w:color w:val="000000"/>
                <w:szCs w:val="22"/>
                <w:lang w:val="nb-NO"/>
              </w:rPr>
              <w:t xml:space="preserve"> </w:t>
            </w:r>
          </w:p>
        </w:tc>
      </w:tr>
      <w:tr w:rsidR="009C0072" w:rsidRPr="00AF302A" w14:paraId="3B79AE1C" w14:textId="77777777" w:rsidTr="009C0072">
        <w:tc>
          <w:tcPr>
            <w:tcW w:w="980" w:type="pct"/>
            <w:tcBorders>
              <w:top w:val="single" w:sz="6" w:space="0" w:color="auto"/>
              <w:left w:val="single" w:sz="6" w:space="0" w:color="auto"/>
              <w:bottom w:val="single" w:sz="6" w:space="0" w:color="auto"/>
              <w:right w:val="single" w:sz="6" w:space="0" w:color="auto"/>
            </w:tcBorders>
            <w:vAlign w:val="center"/>
            <w:hideMark/>
          </w:tcPr>
          <w:p w14:paraId="7F6DE5E0" w14:textId="77777777" w:rsidR="009C0072" w:rsidRPr="00AF302A" w:rsidRDefault="009C0072">
            <w:pPr>
              <w:pStyle w:val="wcpTableRowHeader"/>
              <w:widowControl w:val="0"/>
              <w:spacing w:before="0" w:after="0"/>
              <w:rPr>
                <w:color w:val="000000"/>
                <w:szCs w:val="22"/>
                <w:lang w:val="nb-NO"/>
              </w:rPr>
            </w:pPr>
            <w:r w:rsidRPr="00AF302A">
              <w:rPr>
                <w:color w:val="000000"/>
                <w:szCs w:val="22"/>
                <w:lang w:val="nb-NO"/>
              </w:rPr>
              <w:t>Anti-FIM</w:t>
            </w:r>
          </w:p>
        </w:tc>
        <w:tc>
          <w:tcPr>
            <w:tcW w:w="1986" w:type="pct"/>
            <w:tcBorders>
              <w:top w:val="single" w:sz="6" w:space="0" w:color="auto"/>
              <w:left w:val="single" w:sz="6" w:space="0" w:color="auto"/>
              <w:bottom w:val="single" w:sz="6" w:space="0" w:color="auto"/>
              <w:right w:val="single" w:sz="6" w:space="0" w:color="auto"/>
            </w:tcBorders>
            <w:vAlign w:val="center"/>
            <w:hideMark/>
          </w:tcPr>
          <w:p w14:paraId="3618CCC5" w14:textId="77777777" w:rsidR="009C0072" w:rsidRPr="00AF302A" w:rsidRDefault="009C0072">
            <w:pPr>
              <w:pStyle w:val="wcpTableContent"/>
              <w:jc w:val="center"/>
              <w:rPr>
                <w:color w:val="000000"/>
                <w:szCs w:val="22"/>
                <w:lang w:val="nb-NO"/>
              </w:rPr>
            </w:pPr>
            <w:r w:rsidRPr="00AF302A">
              <w:rPr>
                <w:color w:val="000000"/>
                <w:szCs w:val="22"/>
                <w:lang w:val="nb-NO"/>
              </w:rPr>
              <w:t>5,3</w:t>
            </w:r>
          </w:p>
          <w:p w14:paraId="707467EC" w14:textId="77777777" w:rsidR="009C0072" w:rsidRPr="00AF302A" w:rsidRDefault="009C0072">
            <w:pPr>
              <w:pStyle w:val="wcpTableContent"/>
              <w:jc w:val="center"/>
              <w:rPr>
                <w:color w:val="000000"/>
                <w:szCs w:val="22"/>
                <w:lang w:val="nb-NO"/>
              </w:rPr>
            </w:pPr>
            <w:r w:rsidRPr="00AF302A">
              <w:rPr>
                <w:color w:val="000000"/>
                <w:szCs w:val="22"/>
                <w:lang w:val="nb-NO"/>
              </w:rPr>
              <w:t>(3,9; 7,1)</w:t>
            </w:r>
            <w:r w:rsidRPr="00AF302A">
              <w:rPr>
                <w:rStyle w:val="Slutnotehenvisning"/>
                <w:rFonts w:ascii="Times New Roman" w:hAnsi="Times New Roman" w:cs="Times New Roman"/>
                <w:color w:val="000000"/>
                <w:szCs w:val="22"/>
                <w:lang w:val="nb-NO"/>
              </w:rPr>
              <w:t xml:space="preserve"> </w:t>
            </w:r>
          </w:p>
        </w:tc>
        <w:tc>
          <w:tcPr>
            <w:tcW w:w="2034" w:type="pct"/>
            <w:tcBorders>
              <w:top w:val="single" w:sz="6" w:space="0" w:color="auto"/>
              <w:left w:val="single" w:sz="6" w:space="0" w:color="auto"/>
              <w:bottom w:val="single" w:sz="6" w:space="0" w:color="auto"/>
              <w:right w:val="single" w:sz="6" w:space="0" w:color="auto"/>
            </w:tcBorders>
            <w:vAlign w:val="center"/>
            <w:hideMark/>
          </w:tcPr>
          <w:p w14:paraId="3CC3B814" w14:textId="77777777" w:rsidR="009C0072" w:rsidRPr="00AF302A" w:rsidRDefault="009C0072">
            <w:pPr>
              <w:pStyle w:val="wcpTableContent"/>
              <w:jc w:val="center"/>
              <w:rPr>
                <w:color w:val="000000"/>
                <w:szCs w:val="22"/>
                <w:lang w:val="nb-NO"/>
              </w:rPr>
            </w:pPr>
            <w:r w:rsidRPr="00AF302A">
              <w:rPr>
                <w:color w:val="000000"/>
                <w:szCs w:val="22"/>
                <w:lang w:val="nb-NO"/>
              </w:rPr>
              <w:t>2,5</w:t>
            </w:r>
            <w:r w:rsidRPr="00AF302A">
              <w:rPr>
                <w:color w:val="000000"/>
                <w:szCs w:val="22"/>
                <w:lang w:val="nb-NO"/>
              </w:rPr>
              <w:br/>
              <w:t>(1,8; 3,5)</w:t>
            </w:r>
            <w:r w:rsidRPr="00AF302A">
              <w:rPr>
                <w:rStyle w:val="Slutnotehenvisning"/>
                <w:rFonts w:ascii="Times New Roman" w:hAnsi="Times New Roman" w:cs="Times New Roman"/>
                <w:color w:val="000000"/>
                <w:szCs w:val="22"/>
                <w:lang w:val="nb-NO"/>
              </w:rPr>
              <w:t xml:space="preserve"> </w:t>
            </w:r>
          </w:p>
        </w:tc>
      </w:tr>
    </w:tbl>
    <w:p w14:paraId="46192FA7" w14:textId="77777777" w:rsidR="009C0072" w:rsidRPr="00B84667" w:rsidRDefault="009C0072" w:rsidP="00AF302A">
      <w:pPr>
        <w:rPr>
          <w:sz w:val="20"/>
        </w:rPr>
      </w:pPr>
      <w:proofErr w:type="spellStart"/>
      <w:r w:rsidRPr="00B84667">
        <w:rPr>
          <w:sz w:val="20"/>
        </w:rPr>
        <w:t>DTaP</w:t>
      </w:r>
      <w:proofErr w:type="spellEnd"/>
      <w:r w:rsidRPr="00B84667">
        <w:rPr>
          <w:sz w:val="20"/>
        </w:rPr>
        <w:t xml:space="preserve">: </w:t>
      </w:r>
      <w:proofErr w:type="spellStart"/>
      <w:r w:rsidRPr="00B84667">
        <w:rPr>
          <w:sz w:val="20"/>
        </w:rPr>
        <w:t>difteritoksoid</w:t>
      </w:r>
      <w:proofErr w:type="spellEnd"/>
      <w:r w:rsidRPr="00B84667">
        <w:rPr>
          <w:sz w:val="20"/>
        </w:rPr>
        <w:t xml:space="preserve"> [pædiatrisk dosis], tetanus og </w:t>
      </w:r>
      <w:proofErr w:type="spellStart"/>
      <w:r w:rsidRPr="00B84667">
        <w:rPr>
          <w:sz w:val="20"/>
        </w:rPr>
        <w:t>acellulær</w:t>
      </w:r>
      <w:proofErr w:type="spellEnd"/>
      <w:r w:rsidRPr="00B84667">
        <w:rPr>
          <w:sz w:val="20"/>
        </w:rPr>
        <w:t xml:space="preserve"> </w:t>
      </w:r>
      <w:proofErr w:type="spellStart"/>
      <w:r w:rsidRPr="00B84667">
        <w:rPr>
          <w:sz w:val="20"/>
        </w:rPr>
        <w:t>pertussis</w:t>
      </w:r>
      <w:proofErr w:type="spellEnd"/>
      <w:r w:rsidRPr="00B84667">
        <w:rPr>
          <w:sz w:val="20"/>
        </w:rPr>
        <w:t xml:space="preserve">; GMC: geometrisk middelkoncentration; N: antal deltagere med tilgængelige data, PPI: pr. protokol </w:t>
      </w:r>
      <w:proofErr w:type="spellStart"/>
      <w:r w:rsidRPr="00B84667">
        <w:rPr>
          <w:sz w:val="20"/>
        </w:rPr>
        <w:t>immunogenicitet</w:t>
      </w:r>
      <w:proofErr w:type="spellEnd"/>
    </w:p>
    <w:p w14:paraId="4F45FE72" w14:textId="77777777" w:rsidR="009C0072" w:rsidRPr="00B84667" w:rsidRDefault="009C0072" w:rsidP="00AF302A">
      <w:pPr>
        <w:rPr>
          <w:sz w:val="20"/>
        </w:rPr>
      </w:pPr>
      <w:r w:rsidRPr="00B84667">
        <w:rPr>
          <w:sz w:val="20"/>
          <w:vertAlign w:val="superscript"/>
        </w:rPr>
        <w:t xml:space="preserve">1 </w:t>
      </w:r>
      <w:r w:rsidRPr="00B84667">
        <w:rPr>
          <w:sz w:val="20"/>
        </w:rPr>
        <w:t xml:space="preserve">Egnede deltagere, hos hvem </w:t>
      </w:r>
      <w:proofErr w:type="spellStart"/>
      <w:r w:rsidRPr="00B84667">
        <w:rPr>
          <w:sz w:val="20"/>
        </w:rPr>
        <w:t>immunogenicitetsdata</w:t>
      </w:r>
      <w:proofErr w:type="spellEnd"/>
      <w:r w:rsidRPr="00B84667">
        <w:rPr>
          <w:sz w:val="20"/>
        </w:rPr>
        <w:t xml:space="preserve"> var tilgængelige.</w:t>
      </w:r>
    </w:p>
    <w:p w14:paraId="4B3F4104" w14:textId="77777777" w:rsidR="009C0072" w:rsidRPr="00B84667" w:rsidRDefault="009C0072" w:rsidP="00AF302A">
      <w:pPr>
        <w:rPr>
          <w:iCs/>
          <w:sz w:val="20"/>
        </w:rPr>
      </w:pPr>
      <w:r w:rsidRPr="00B84667">
        <w:rPr>
          <w:sz w:val="20"/>
          <w:vertAlign w:val="superscript"/>
        </w:rPr>
        <w:t>2</w:t>
      </w:r>
      <w:r w:rsidRPr="00B84667">
        <w:rPr>
          <w:sz w:val="20"/>
        </w:rPr>
        <w:t xml:space="preserve"> Studie Td506 blev udført i USA med unge i alderen 11 – 17 år og voksne i alderen 18 – 64 år. </w:t>
      </w:r>
      <w:proofErr w:type="spellStart"/>
      <w:r w:rsidRPr="00B84667">
        <w:rPr>
          <w:sz w:val="20"/>
        </w:rPr>
        <w:t>Antistof-GMC’er</w:t>
      </w:r>
      <w:proofErr w:type="spellEnd"/>
      <w:r w:rsidRPr="00B84667">
        <w:rPr>
          <w:sz w:val="20"/>
        </w:rPr>
        <w:t xml:space="preserve"> målt i ELISA-enheder blev beregnet separat for børn, unge og voksne.</w:t>
      </w:r>
    </w:p>
    <w:p w14:paraId="54AE1BFB" w14:textId="77777777" w:rsidR="009C0072" w:rsidRPr="00B84667" w:rsidRDefault="009C0072" w:rsidP="00AF302A">
      <w:pPr>
        <w:rPr>
          <w:iCs/>
          <w:sz w:val="20"/>
        </w:rPr>
      </w:pPr>
      <w:r w:rsidRPr="00B84667">
        <w:rPr>
          <w:sz w:val="20"/>
          <w:vertAlign w:val="superscript"/>
        </w:rPr>
        <w:t>3</w:t>
      </w:r>
      <w:r w:rsidRPr="00B84667">
        <w:rPr>
          <w:sz w:val="20"/>
        </w:rPr>
        <w:t xml:space="preserve"> N = 80, antal børn, som fik </w:t>
      </w:r>
      <w:proofErr w:type="spellStart"/>
      <w:r w:rsidRPr="00B84667">
        <w:rPr>
          <w:sz w:val="20"/>
        </w:rPr>
        <w:t>DTaP</w:t>
      </w:r>
      <w:proofErr w:type="spellEnd"/>
      <w:r w:rsidRPr="00B84667">
        <w:rPr>
          <w:sz w:val="20"/>
        </w:rPr>
        <w:t xml:space="preserve"> ved 2, 4 og 6 måneders alderen med tilgængelige data efter 3. dosis (sera fra det svenske I-</w:t>
      </w:r>
      <w:proofErr w:type="spellStart"/>
      <w:r w:rsidRPr="00B84667">
        <w:rPr>
          <w:sz w:val="20"/>
        </w:rPr>
        <w:t>pertussis</w:t>
      </w:r>
      <w:proofErr w:type="spellEnd"/>
      <w:r w:rsidRPr="00B84667">
        <w:rPr>
          <w:sz w:val="20"/>
        </w:rPr>
        <w:t>-virkningsstudie testet samtidig med prøver fra studie Td506).</w:t>
      </w:r>
    </w:p>
    <w:p w14:paraId="36744ABE" w14:textId="77777777" w:rsidR="009C0072" w:rsidRPr="00B84667" w:rsidRDefault="009C0072" w:rsidP="00AF302A">
      <w:pPr>
        <w:rPr>
          <w:iCs/>
          <w:sz w:val="20"/>
        </w:rPr>
      </w:pPr>
      <w:r w:rsidRPr="00B84667">
        <w:rPr>
          <w:sz w:val="20"/>
          <w:vertAlign w:val="superscript"/>
        </w:rPr>
        <w:t>4</w:t>
      </w:r>
      <w:r w:rsidRPr="00B84667">
        <w:rPr>
          <w:sz w:val="20"/>
        </w:rPr>
        <w:t xml:space="preserve"> </w:t>
      </w:r>
      <w:proofErr w:type="spellStart"/>
      <w:r w:rsidRPr="00B84667">
        <w:rPr>
          <w:sz w:val="20"/>
        </w:rPr>
        <w:t>GMC’er</w:t>
      </w:r>
      <w:proofErr w:type="spellEnd"/>
      <w:r w:rsidRPr="00B84667">
        <w:rPr>
          <w:sz w:val="20"/>
        </w:rPr>
        <w:t xml:space="preserve"> efter </w:t>
      </w:r>
      <w:proofErr w:type="spellStart"/>
      <w:r w:rsidRPr="00B84667">
        <w:rPr>
          <w:sz w:val="20"/>
        </w:rPr>
        <w:t>Triaxis</w:t>
      </w:r>
      <w:proofErr w:type="spellEnd"/>
      <w:r w:rsidRPr="00B84667">
        <w:rPr>
          <w:sz w:val="20"/>
        </w:rPr>
        <w:t xml:space="preserve"> var ikke-inferiør til </w:t>
      </w:r>
      <w:proofErr w:type="spellStart"/>
      <w:r w:rsidRPr="00B84667">
        <w:rPr>
          <w:sz w:val="20"/>
        </w:rPr>
        <w:t>GMC’er</w:t>
      </w:r>
      <w:proofErr w:type="spellEnd"/>
      <w:r w:rsidRPr="00B84667">
        <w:rPr>
          <w:sz w:val="20"/>
        </w:rPr>
        <w:t xml:space="preserve"> efter </w:t>
      </w:r>
      <w:proofErr w:type="spellStart"/>
      <w:r w:rsidRPr="00B84667">
        <w:rPr>
          <w:sz w:val="20"/>
        </w:rPr>
        <w:t>DTaP</w:t>
      </w:r>
      <w:proofErr w:type="spellEnd"/>
      <w:r w:rsidRPr="00B84667">
        <w:rPr>
          <w:sz w:val="20"/>
        </w:rPr>
        <w:t xml:space="preserve"> (nedre grænse på 95 % CI på forholdet mellem </w:t>
      </w:r>
      <w:proofErr w:type="spellStart"/>
      <w:r w:rsidRPr="00B84667">
        <w:rPr>
          <w:sz w:val="20"/>
        </w:rPr>
        <w:t>GMC’er</w:t>
      </w:r>
      <w:proofErr w:type="spellEnd"/>
      <w:r w:rsidRPr="00B84667">
        <w:rPr>
          <w:sz w:val="20"/>
        </w:rPr>
        <w:t xml:space="preserve"> for </w:t>
      </w:r>
      <w:proofErr w:type="spellStart"/>
      <w:r w:rsidRPr="00B84667">
        <w:rPr>
          <w:sz w:val="20"/>
        </w:rPr>
        <w:t>Triaxis</w:t>
      </w:r>
      <w:proofErr w:type="spellEnd"/>
      <w:r w:rsidRPr="00B84667">
        <w:rPr>
          <w:sz w:val="20"/>
        </w:rPr>
        <w:t xml:space="preserve"> delt med </w:t>
      </w:r>
      <w:proofErr w:type="spellStart"/>
      <w:r w:rsidRPr="00B84667">
        <w:rPr>
          <w:sz w:val="20"/>
        </w:rPr>
        <w:t>DTaP</w:t>
      </w:r>
      <w:proofErr w:type="spellEnd"/>
      <w:r w:rsidRPr="00B84667">
        <w:rPr>
          <w:sz w:val="20"/>
        </w:rPr>
        <w:t> &gt; 0,67).</w:t>
      </w:r>
    </w:p>
    <w:p w14:paraId="26643DB5" w14:textId="77777777" w:rsidR="009C0072" w:rsidRPr="00AF302A" w:rsidRDefault="009C0072" w:rsidP="009C0072">
      <w:pPr>
        <w:tabs>
          <w:tab w:val="left" w:pos="851"/>
        </w:tabs>
        <w:ind w:left="851"/>
        <w:rPr>
          <w:i/>
          <w:sz w:val="24"/>
          <w:szCs w:val="24"/>
        </w:rPr>
      </w:pPr>
    </w:p>
    <w:p w14:paraId="6EA004B2" w14:textId="77777777" w:rsidR="009C0072" w:rsidRPr="00AF302A" w:rsidRDefault="009C0072" w:rsidP="009C0072">
      <w:pPr>
        <w:tabs>
          <w:tab w:val="left" w:pos="851"/>
        </w:tabs>
        <w:ind w:left="851"/>
        <w:rPr>
          <w:i/>
          <w:sz w:val="24"/>
          <w:szCs w:val="24"/>
        </w:rPr>
      </w:pPr>
      <w:proofErr w:type="spellStart"/>
      <w:r w:rsidRPr="00AF302A">
        <w:rPr>
          <w:i/>
          <w:sz w:val="24"/>
          <w:szCs w:val="24"/>
        </w:rPr>
        <w:t>Antistofpersistens</w:t>
      </w:r>
      <w:proofErr w:type="spellEnd"/>
    </w:p>
    <w:p w14:paraId="0BE1067F" w14:textId="77777777" w:rsidR="009C0072" w:rsidRPr="00AF302A" w:rsidRDefault="009C0072" w:rsidP="009C0072">
      <w:pPr>
        <w:tabs>
          <w:tab w:val="left" w:pos="851"/>
        </w:tabs>
        <w:ind w:left="851"/>
        <w:rPr>
          <w:sz w:val="24"/>
          <w:szCs w:val="24"/>
        </w:rPr>
      </w:pPr>
    </w:p>
    <w:p w14:paraId="52C2E3EB" w14:textId="77777777" w:rsidR="009C0072" w:rsidRPr="00AF302A" w:rsidRDefault="009C0072" w:rsidP="009C0072">
      <w:pPr>
        <w:tabs>
          <w:tab w:val="left" w:pos="851"/>
        </w:tabs>
        <w:ind w:left="851"/>
        <w:rPr>
          <w:sz w:val="24"/>
          <w:szCs w:val="24"/>
        </w:rPr>
      </w:pPr>
      <w:r w:rsidRPr="00AF302A">
        <w:rPr>
          <w:sz w:val="24"/>
          <w:szCs w:val="24"/>
        </w:rPr>
        <w:t xml:space="preserve">Der blev udført serologiske opfølgningsstudier efter 3, 5 og 10 år hos personer, der tidligere var immuniseret med en enkelt </w:t>
      </w:r>
      <w:proofErr w:type="spellStart"/>
      <w:r w:rsidRPr="00AF302A">
        <w:rPr>
          <w:sz w:val="24"/>
          <w:szCs w:val="24"/>
        </w:rPr>
        <w:t>boosterdosis</w:t>
      </w:r>
      <w:proofErr w:type="spellEnd"/>
      <w:r w:rsidRPr="00AF302A">
        <w:rPr>
          <w:sz w:val="24"/>
          <w:szCs w:val="24"/>
        </w:rPr>
        <w:t xml:space="preserve"> af </w:t>
      </w:r>
      <w:proofErr w:type="spellStart"/>
      <w:r w:rsidRPr="00AF302A">
        <w:rPr>
          <w:sz w:val="24"/>
          <w:szCs w:val="24"/>
        </w:rPr>
        <w:t>Triaxis</w:t>
      </w:r>
      <w:proofErr w:type="spellEnd"/>
      <w:r w:rsidRPr="00AF302A">
        <w:rPr>
          <w:sz w:val="24"/>
          <w:szCs w:val="24"/>
        </w:rPr>
        <w:t xml:space="preserve">. </w:t>
      </w:r>
      <w:proofErr w:type="spellStart"/>
      <w:r w:rsidRPr="00AF302A">
        <w:rPr>
          <w:sz w:val="24"/>
          <w:szCs w:val="24"/>
        </w:rPr>
        <w:t>Persistens</w:t>
      </w:r>
      <w:proofErr w:type="spellEnd"/>
      <w:r w:rsidRPr="00AF302A">
        <w:rPr>
          <w:sz w:val="24"/>
          <w:szCs w:val="24"/>
        </w:rPr>
        <w:t xml:space="preserve"> af </w:t>
      </w:r>
      <w:proofErr w:type="spellStart"/>
      <w:r w:rsidRPr="00AF302A">
        <w:rPr>
          <w:sz w:val="24"/>
          <w:szCs w:val="24"/>
        </w:rPr>
        <w:t>serobeskyttelse</w:t>
      </w:r>
      <w:proofErr w:type="spellEnd"/>
      <w:r w:rsidRPr="00AF302A">
        <w:rPr>
          <w:sz w:val="24"/>
          <w:szCs w:val="24"/>
        </w:rPr>
        <w:t xml:space="preserve"> mod difteri og tetanus, og </w:t>
      </w:r>
      <w:proofErr w:type="spellStart"/>
      <w:r w:rsidRPr="00AF302A">
        <w:rPr>
          <w:sz w:val="24"/>
          <w:szCs w:val="24"/>
        </w:rPr>
        <w:t>seropositivitet</w:t>
      </w:r>
      <w:proofErr w:type="spellEnd"/>
      <w:r w:rsidRPr="00AF302A">
        <w:rPr>
          <w:sz w:val="24"/>
          <w:szCs w:val="24"/>
        </w:rPr>
        <w:t xml:space="preserve"> mod </w:t>
      </w:r>
      <w:proofErr w:type="spellStart"/>
      <w:r w:rsidRPr="00AF302A">
        <w:rPr>
          <w:sz w:val="24"/>
          <w:szCs w:val="24"/>
        </w:rPr>
        <w:t>pertussis</w:t>
      </w:r>
      <w:proofErr w:type="spellEnd"/>
      <w:r w:rsidRPr="00AF302A">
        <w:rPr>
          <w:sz w:val="24"/>
          <w:szCs w:val="24"/>
        </w:rPr>
        <w:t xml:space="preserve"> er opsummeret i tabel 4.</w:t>
      </w:r>
    </w:p>
    <w:p w14:paraId="19AE878A" w14:textId="36AAC872" w:rsidR="00B84667" w:rsidRDefault="00B84667">
      <w:pPr>
        <w:rPr>
          <w:sz w:val="24"/>
          <w:szCs w:val="24"/>
        </w:rPr>
      </w:pPr>
      <w:r>
        <w:rPr>
          <w:sz w:val="24"/>
          <w:szCs w:val="24"/>
        </w:rPr>
        <w:br w:type="page"/>
      </w:r>
    </w:p>
    <w:p w14:paraId="50D89A06" w14:textId="77777777" w:rsidR="009C0072" w:rsidRPr="00AF302A" w:rsidRDefault="009C0072" w:rsidP="009C0072">
      <w:pPr>
        <w:tabs>
          <w:tab w:val="left" w:pos="851"/>
        </w:tabs>
        <w:ind w:left="851"/>
        <w:rPr>
          <w:sz w:val="24"/>
          <w:szCs w:val="24"/>
        </w:rPr>
      </w:pPr>
    </w:p>
    <w:p w14:paraId="283DA442" w14:textId="0AB805AA" w:rsidR="009C0072" w:rsidRPr="00AF302A" w:rsidRDefault="009C0072" w:rsidP="00B84667">
      <w:pPr>
        <w:rPr>
          <w:b/>
          <w:sz w:val="24"/>
          <w:szCs w:val="24"/>
        </w:rPr>
      </w:pPr>
      <w:bookmarkStart w:id="7" w:name="Table_20170828_153311SNPH"/>
      <w:r w:rsidRPr="00AF302A">
        <w:rPr>
          <w:b/>
          <w:sz w:val="24"/>
          <w:szCs w:val="24"/>
        </w:rPr>
        <w:t>Tabel </w:t>
      </w:r>
      <w:bookmarkEnd w:id="7"/>
      <w:r w:rsidRPr="00AF302A">
        <w:rPr>
          <w:b/>
          <w:sz w:val="24"/>
          <w:szCs w:val="24"/>
        </w:rPr>
        <w:t xml:space="preserve">4: </w:t>
      </w:r>
      <w:proofErr w:type="spellStart"/>
      <w:r w:rsidRPr="00AF302A">
        <w:rPr>
          <w:b/>
          <w:sz w:val="24"/>
          <w:szCs w:val="24"/>
        </w:rPr>
        <w:t>Persistens</w:t>
      </w:r>
      <w:proofErr w:type="spellEnd"/>
      <w:r w:rsidRPr="00AF302A">
        <w:rPr>
          <w:b/>
          <w:sz w:val="24"/>
          <w:szCs w:val="24"/>
        </w:rPr>
        <w:t xml:space="preserve"> af </w:t>
      </w:r>
      <w:proofErr w:type="spellStart"/>
      <w:r w:rsidRPr="00AF302A">
        <w:rPr>
          <w:b/>
          <w:sz w:val="24"/>
          <w:szCs w:val="24"/>
        </w:rPr>
        <w:t>serobeskyttelses</w:t>
      </w:r>
      <w:proofErr w:type="spellEnd"/>
      <w:r w:rsidRPr="00AF302A">
        <w:rPr>
          <w:b/>
          <w:sz w:val="24"/>
          <w:szCs w:val="24"/>
        </w:rPr>
        <w:t>-/</w:t>
      </w:r>
      <w:proofErr w:type="spellStart"/>
      <w:r w:rsidRPr="00AF302A">
        <w:rPr>
          <w:b/>
          <w:sz w:val="24"/>
          <w:szCs w:val="24"/>
        </w:rPr>
        <w:t>seropositivitetsrater</w:t>
      </w:r>
      <w:proofErr w:type="spellEnd"/>
      <w:r w:rsidRPr="00AF302A">
        <w:rPr>
          <w:b/>
          <w:sz w:val="24"/>
          <w:szCs w:val="24"/>
        </w:rPr>
        <w:t xml:space="preserve"> (%) hos børn, unge og voksne 3, 5 og 10 år efter en dosis af </w:t>
      </w:r>
      <w:proofErr w:type="spellStart"/>
      <w:r w:rsidRPr="00AF302A">
        <w:rPr>
          <w:b/>
          <w:sz w:val="24"/>
          <w:szCs w:val="24"/>
        </w:rPr>
        <w:t>Triaxis</w:t>
      </w:r>
      <w:proofErr w:type="spellEnd"/>
      <w:r w:rsidRPr="00AF302A">
        <w:rPr>
          <w:b/>
          <w:sz w:val="24"/>
          <w:szCs w:val="24"/>
        </w:rPr>
        <w:t xml:space="preserve"> (PPI-population</w:t>
      </w:r>
      <w:r w:rsidRPr="00AF302A">
        <w:rPr>
          <w:b/>
          <w:sz w:val="24"/>
          <w:szCs w:val="24"/>
          <w:vertAlign w:val="superscript"/>
        </w:rPr>
        <w:t>1</w:t>
      </w:r>
      <w:r w:rsidRPr="00AF302A">
        <w:rPr>
          <w:b/>
          <w:sz w:val="24"/>
          <w:szCs w:val="24"/>
        </w:rPr>
        <w:t>)</w:t>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2"/>
        <w:gridCol w:w="1133"/>
        <w:gridCol w:w="1133"/>
        <w:gridCol w:w="992"/>
        <w:gridCol w:w="1134"/>
        <w:gridCol w:w="950"/>
        <w:gridCol w:w="922"/>
        <w:gridCol w:w="1105"/>
        <w:gridCol w:w="1134"/>
      </w:tblGrid>
      <w:tr w:rsidR="009C0072" w:rsidRPr="00AF302A" w14:paraId="180F93B2" w14:textId="77777777" w:rsidTr="009C0072">
        <w:trPr>
          <w:tblHeader/>
        </w:trPr>
        <w:tc>
          <w:tcPr>
            <w:tcW w:w="2518" w:type="dxa"/>
            <w:gridSpan w:val="2"/>
            <w:tcBorders>
              <w:top w:val="single" w:sz="6" w:space="0" w:color="auto"/>
              <w:left w:val="single" w:sz="6" w:space="0" w:color="auto"/>
              <w:bottom w:val="single" w:sz="6" w:space="0" w:color="auto"/>
              <w:right w:val="single" w:sz="6" w:space="0" w:color="auto"/>
            </w:tcBorders>
          </w:tcPr>
          <w:p w14:paraId="5FD342D4" w14:textId="77777777" w:rsidR="009C0072" w:rsidRPr="00AF302A" w:rsidRDefault="009C0072">
            <w:pPr>
              <w:pStyle w:val="wcpTableColHeader"/>
              <w:spacing w:before="0" w:after="0"/>
              <w:rPr>
                <w:szCs w:val="22"/>
                <w:lang w:val="nb-NO"/>
              </w:rPr>
            </w:pPr>
          </w:p>
        </w:tc>
        <w:tc>
          <w:tcPr>
            <w:tcW w:w="1134" w:type="dxa"/>
            <w:tcBorders>
              <w:top w:val="single" w:sz="6" w:space="0" w:color="auto"/>
              <w:left w:val="single" w:sz="6" w:space="0" w:color="auto"/>
              <w:bottom w:val="single" w:sz="6" w:space="0" w:color="auto"/>
              <w:right w:val="single" w:sz="6" w:space="0" w:color="auto"/>
            </w:tcBorders>
            <w:hideMark/>
          </w:tcPr>
          <w:p w14:paraId="46B7AA76" w14:textId="77777777" w:rsidR="009C0072" w:rsidRPr="00AF302A" w:rsidRDefault="009C0072">
            <w:pPr>
              <w:pStyle w:val="wcpTableColHeader"/>
              <w:spacing w:before="0" w:after="0"/>
              <w:rPr>
                <w:szCs w:val="22"/>
                <w:lang w:val="nb-NO"/>
              </w:rPr>
            </w:pPr>
            <w:r w:rsidRPr="00AF302A">
              <w:rPr>
                <w:szCs w:val="22"/>
                <w:lang w:val="nb-NO"/>
              </w:rPr>
              <w:t>Børn</w:t>
            </w:r>
          </w:p>
          <w:p w14:paraId="0F135CD8" w14:textId="77777777" w:rsidR="009C0072" w:rsidRPr="00AF302A" w:rsidRDefault="009C0072">
            <w:pPr>
              <w:pStyle w:val="wcpTableColHeader"/>
              <w:spacing w:before="0" w:after="0"/>
              <w:rPr>
                <w:szCs w:val="22"/>
                <w:lang w:val="nb-NO"/>
              </w:rPr>
            </w:pPr>
            <w:r w:rsidRPr="00AF302A">
              <w:rPr>
                <w:b w:val="0"/>
                <w:szCs w:val="22"/>
                <w:lang w:val="nb-NO"/>
              </w:rPr>
              <w:t>(4 – 6 år)</w:t>
            </w:r>
            <w:r w:rsidRPr="00AF302A">
              <w:rPr>
                <w:b w:val="0"/>
                <w:szCs w:val="22"/>
                <w:vertAlign w:val="superscript"/>
                <w:lang w:val="nb-NO"/>
              </w:rPr>
              <w:t>2</w:t>
            </w:r>
          </w:p>
        </w:tc>
        <w:tc>
          <w:tcPr>
            <w:tcW w:w="3076" w:type="dxa"/>
            <w:gridSpan w:val="3"/>
            <w:tcBorders>
              <w:top w:val="single" w:sz="6" w:space="0" w:color="auto"/>
              <w:left w:val="single" w:sz="6" w:space="0" w:color="auto"/>
              <w:bottom w:val="single" w:sz="6" w:space="0" w:color="auto"/>
              <w:right w:val="single" w:sz="6" w:space="0" w:color="auto"/>
            </w:tcBorders>
            <w:hideMark/>
          </w:tcPr>
          <w:p w14:paraId="74DD7420" w14:textId="77777777" w:rsidR="009C0072" w:rsidRPr="00AF302A" w:rsidRDefault="009C0072">
            <w:pPr>
              <w:pStyle w:val="wcpTableColHeader"/>
              <w:spacing w:before="0" w:after="0"/>
              <w:rPr>
                <w:iCs/>
                <w:szCs w:val="22"/>
                <w:lang w:val="nb-NO"/>
              </w:rPr>
            </w:pPr>
            <w:r w:rsidRPr="00AF302A">
              <w:rPr>
                <w:szCs w:val="22"/>
                <w:lang w:val="nb-NO"/>
              </w:rPr>
              <w:t>Unge</w:t>
            </w:r>
          </w:p>
          <w:p w14:paraId="6EBCEF86" w14:textId="77777777" w:rsidR="009C0072" w:rsidRPr="00AF302A" w:rsidRDefault="009C0072">
            <w:pPr>
              <w:pStyle w:val="wcpTableColHeader"/>
              <w:spacing w:before="0" w:after="0"/>
              <w:rPr>
                <w:b w:val="0"/>
                <w:iCs/>
                <w:szCs w:val="22"/>
                <w:lang w:val="nb-NO"/>
              </w:rPr>
            </w:pPr>
            <w:r w:rsidRPr="00AF302A">
              <w:rPr>
                <w:b w:val="0"/>
                <w:szCs w:val="22"/>
                <w:lang w:val="nb-NO"/>
              </w:rPr>
              <w:t>(11 – 17 år)</w:t>
            </w:r>
            <w:r w:rsidRPr="00AF302A">
              <w:rPr>
                <w:b w:val="0"/>
                <w:szCs w:val="22"/>
                <w:vertAlign w:val="superscript"/>
                <w:lang w:val="nb-NO"/>
              </w:rPr>
              <w:t>3</w:t>
            </w:r>
          </w:p>
        </w:tc>
        <w:tc>
          <w:tcPr>
            <w:tcW w:w="3161" w:type="dxa"/>
            <w:gridSpan w:val="3"/>
            <w:tcBorders>
              <w:top w:val="single" w:sz="6" w:space="0" w:color="auto"/>
              <w:left w:val="single" w:sz="6" w:space="0" w:color="auto"/>
              <w:bottom w:val="single" w:sz="6" w:space="0" w:color="auto"/>
              <w:right w:val="single" w:sz="6" w:space="0" w:color="auto"/>
            </w:tcBorders>
            <w:hideMark/>
          </w:tcPr>
          <w:p w14:paraId="613DEA47" w14:textId="77777777" w:rsidR="009C0072" w:rsidRPr="00AF302A" w:rsidRDefault="009C0072">
            <w:pPr>
              <w:pStyle w:val="wcpTableColHeader"/>
              <w:spacing w:before="0" w:after="0"/>
              <w:rPr>
                <w:iCs/>
                <w:szCs w:val="22"/>
                <w:lang w:val="nb-NO"/>
              </w:rPr>
            </w:pPr>
            <w:r w:rsidRPr="00AF302A">
              <w:rPr>
                <w:szCs w:val="22"/>
                <w:lang w:val="nb-NO"/>
              </w:rPr>
              <w:t>Voksne</w:t>
            </w:r>
          </w:p>
          <w:p w14:paraId="1F5196B6" w14:textId="77777777" w:rsidR="009C0072" w:rsidRPr="00AF302A" w:rsidRDefault="009C0072">
            <w:pPr>
              <w:pStyle w:val="wcpTableColHeader"/>
              <w:spacing w:before="0" w:after="0"/>
              <w:rPr>
                <w:b w:val="0"/>
                <w:iCs/>
                <w:szCs w:val="22"/>
                <w:lang w:val="nb-NO"/>
              </w:rPr>
            </w:pPr>
            <w:r w:rsidRPr="00AF302A">
              <w:rPr>
                <w:b w:val="0"/>
                <w:szCs w:val="22"/>
                <w:lang w:val="nb-NO"/>
              </w:rPr>
              <w:t>(18 – 64 år)</w:t>
            </w:r>
            <w:r w:rsidRPr="00AF302A">
              <w:rPr>
                <w:b w:val="0"/>
                <w:szCs w:val="22"/>
                <w:vertAlign w:val="superscript"/>
                <w:lang w:val="nb-NO"/>
              </w:rPr>
              <w:t>3</w:t>
            </w:r>
          </w:p>
        </w:tc>
      </w:tr>
      <w:tr w:rsidR="009C0072" w:rsidRPr="00AF302A" w14:paraId="3AFD02B2" w14:textId="77777777" w:rsidTr="009C0072">
        <w:trPr>
          <w:tblHeader/>
        </w:trPr>
        <w:tc>
          <w:tcPr>
            <w:tcW w:w="2518" w:type="dxa"/>
            <w:gridSpan w:val="2"/>
            <w:tcBorders>
              <w:top w:val="single" w:sz="6" w:space="0" w:color="auto"/>
              <w:left w:val="single" w:sz="6" w:space="0" w:color="auto"/>
              <w:bottom w:val="single" w:sz="6" w:space="0" w:color="auto"/>
              <w:right w:val="single" w:sz="6" w:space="0" w:color="auto"/>
            </w:tcBorders>
            <w:vAlign w:val="center"/>
            <w:hideMark/>
          </w:tcPr>
          <w:p w14:paraId="28A1C365" w14:textId="77777777" w:rsidR="009C0072" w:rsidRPr="00AF302A" w:rsidRDefault="009C0072">
            <w:pPr>
              <w:pStyle w:val="wcpTableContent"/>
              <w:rPr>
                <w:b/>
                <w:szCs w:val="22"/>
                <w:lang w:val="nb-NO"/>
              </w:rPr>
            </w:pPr>
            <w:r w:rsidRPr="00AF302A">
              <w:rPr>
                <w:b/>
                <w:szCs w:val="22"/>
                <w:lang w:val="nb-NO"/>
              </w:rPr>
              <w:t>Tid siden dosis af Triaxis</w:t>
            </w:r>
          </w:p>
        </w:tc>
        <w:tc>
          <w:tcPr>
            <w:tcW w:w="1134" w:type="dxa"/>
            <w:tcBorders>
              <w:top w:val="single" w:sz="6" w:space="0" w:color="auto"/>
              <w:left w:val="single" w:sz="6" w:space="0" w:color="auto"/>
              <w:bottom w:val="single" w:sz="6" w:space="0" w:color="auto"/>
              <w:right w:val="single" w:sz="6" w:space="0" w:color="auto"/>
            </w:tcBorders>
            <w:hideMark/>
          </w:tcPr>
          <w:p w14:paraId="60D1C837" w14:textId="77777777" w:rsidR="009C0072" w:rsidRPr="00AF302A" w:rsidRDefault="009C0072">
            <w:pPr>
              <w:pStyle w:val="wcpTableContent"/>
              <w:jc w:val="center"/>
              <w:rPr>
                <w:szCs w:val="22"/>
                <w:lang w:val="nb-NO"/>
              </w:rPr>
            </w:pPr>
            <w:r w:rsidRPr="00AF302A">
              <w:rPr>
                <w:b/>
                <w:szCs w:val="22"/>
                <w:lang w:val="nb-NO"/>
              </w:rPr>
              <w:t>5 år</w:t>
            </w:r>
          </w:p>
        </w:tc>
        <w:tc>
          <w:tcPr>
            <w:tcW w:w="992" w:type="dxa"/>
            <w:tcBorders>
              <w:top w:val="single" w:sz="6" w:space="0" w:color="auto"/>
              <w:left w:val="single" w:sz="6" w:space="0" w:color="auto"/>
              <w:bottom w:val="single" w:sz="6" w:space="0" w:color="auto"/>
              <w:right w:val="single" w:sz="6" w:space="0" w:color="auto"/>
            </w:tcBorders>
            <w:hideMark/>
          </w:tcPr>
          <w:p w14:paraId="6AFACD9B" w14:textId="77777777" w:rsidR="009C0072" w:rsidRPr="00AF302A" w:rsidRDefault="009C0072">
            <w:pPr>
              <w:pStyle w:val="wcpTableContent"/>
              <w:jc w:val="center"/>
              <w:rPr>
                <w:szCs w:val="22"/>
                <w:lang w:val="nb-NO"/>
              </w:rPr>
            </w:pPr>
            <w:r w:rsidRPr="00AF302A">
              <w:rPr>
                <w:b/>
                <w:szCs w:val="22"/>
                <w:lang w:val="nb-NO"/>
              </w:rPr>
              <w:t>3 år</w:t>
            </w:r>
          </w:p>
        </w:tc>
        <w:tc>
          <w:tcPr>
            <w:tcW w:w="1134" w:type="dxa"/>
            <w:tcBorders>
              <w:top w:val="single" w:sz="6" w:space="0" w:color="auto"/>
              <w:left w:val="single" w:sz="6" w:space="0" w:color="auto"/>
              <w:bottom w:val="single" w:sz="6" w:space="0" w:color="auto"/>
              <w:right w:val="single" w:sz="6" w:space="0" w:color="auto"/>
            </w:tcBorders>
            <w:hideMark/>
          </w:tcPr>
          <w:p w14:paraId="32AE952B" w14:textId="77777777" w:rsidR="009C0072" w:rsidRPr="00AF302A" w:rsidRDefault="009C0072">
            <w:pPr>
              <w:pStyle w:val="wcpTableContent"/>
              <w:jc w:val="center"/>
              <w:rPr>
                <w:szCs w:val="22"/>
                <w:lang w:val="nb-NO"/>
              </w:rPr>
            </w:pPr>
            <w:r w:rsidRPr="00AF302A">
              <w:rPr>
                <w:b/>
                <w:szCs w:val="22"/>
                <w:lang w:val="nb-NO"/>
              </w:rPr>
              <w:t>5 år</w:t>
            </w:r>
          </w:p>
        </w:tc>
        <w:tc>
          <w:tcPr>
            <w:tcW w:w="950" w:type="dxa"/>
            <w:tcBorders>
              <w:top w:val="single" w:sz="6" w:space="0" w:color="auto"/>
              <w:left w:val="single" w:sz="6" w:space="0" w:color="auto"/>
              <w:bottom w:val="single" w:sz="6" w:space="0" w:color="auto"/>
              <w:right w:val="single" w:sz="6" w:space="0" w:color="auto"/>
            </w:tcBorders>
            <w:hideMark/>
          </w:tcPr>
          <w:p w14:paraId="6E9D4EC9" w14:textId="77777777" w:rsidR="009C0072" w:rsidRPr="00AF302A" w:rsidRDefault="009C0072">
            <w:pPr>
              <w:pStyle w:val="wcpTableContent"/>
              <w:jc w:val="center"/>
              <w:rPr>
                <w:szCs w:val="22"/>
                <w:lang w:val="nb-NO"/>
              </w:rPr>
            </w:pPr>
            <w:r w:rsidRPr="00AF302A">
              <w:rPr>
                <w:b/>
                <w:szCs w:val="22"/>
                <w:lang w:val="nb-NO"/>
              </w:rPr>
              <w:t>10 år</w:t>
            </w:r>
          </w:p>
        </w:tc>
        <w:tc>
          <w:tcPr>
            <w:tcW w:w="922" w:type="dxa"/>
            <w:tcBorders>
              <w:top w:val="single" w:sz="6" w:space="0" w:color="auto"/>
              <w:left w:val="single" w:sz="6" w:space="0" w:color="auto"/>
              <w:bottom w:val="single" w:sz="6" w:space="0" w:color="auto"/>
              <w:right w:val="single" w:sz="6" w:space="0" w:color="auto"/>
            </w:tcBorders>
            <w:hideMark/>
          </w:tcPr>
          <w:p w14:paraId="23E46FC1" w14:textId="77777777" w:rsidR="009C0072" w:rsidRPr="00AF302A" w:rsidRDefault="009C0072">
            <w:pPr>
              <w:pStyle w:val="wcpTableContent"/>
              <w:jc w:val="center"/>
              <w:rPr>
                <w:szCs w:val="22"/>
                <w:lang w:val="nb-NO"/>
              </w:rPr>
            </w:pPr>
            <w:r w:rsidRPr="00AF302A">
              <w:rPr>
                <w:b/>
                <w:szCs w:val="22"/>
                <w:lang w:val="nb-NO"/>
              </w:rPr>
              <w:t>3 år</w:t>
            </w:r>
          </w:p>
        </w:tc>
        <w:tc>
          <w:tcPr>
            <w:tcW w:w="1105" w:type="dxa"/>
            <w:tcBorders>
              <w:top w:val="single" w:sz="6" w:space="0" w:color="auto"/>
              <w:left w:val="single" w:sz="6" w:space="0" w:color="auto"/>
              <w:bottom w:val="single" w:sz="6" w:space="0" w:color="auto"/>
              <w:right w:val="single" w:sz="6" w:space="0" w:color="auto"/>
            </w:tcBorders>
            <w:hideMark/>
          </w:tcPr>
          <w:p w14:paraId="0DA006F9" w14:textId="77777777" w:rsidR="009C0072" w:rsidRPr="00AF302A" w:rsidRDefault="009C0072">
            <w:pPr>
              <w:pStyle w:val="wcpTableContent"/>
              <w:jc w:val="center"/>
              <w:rPr>
                <w:szCs w:val="22"/>
                <w:lang w:val="nb-NO"/>
              </w:rPr>
            </w:pPr>
            <w:r w:rsidRPr="00AF302A">
              <w:rPr>
                <w:b/>
                <w:szCs w:val="22"/>
                <w:lang w:val="nb-NO"/>
              </w:rPr>
              <w:t>5 år</w:t>
            </w:r>
          </w:p>
        </w:tc>
        <w:tc>
          <w:tcPr>
            <w:tcW w:w="1134" w:type="dxa"/>
            <w:tcBorders>
              <w:top w:val="single" w:sz="6" w:space="0" w:color="auto"/>
              <w:left w:val="single" w:sz="6" w:space="0" w:color="auto"/>
              <w:bottom w:val="single" w:sz="6" w:space="0" w:color="auto"/>
              <w:right w:val="single" w:sz="6" w:space="0" w:color="auto"/>
            </w:tcBorders>
            <w:hideMark/>
          </w:tcPr>
          <w:p w14:paraId="4F38395A" w14:textId="77777777" w:rsidR="009C0072" w:rsidRPr="00AF302A" w:rsidRDefault="009C0072">
            <w:pPr>
              <w:pStyle w:val="wcpTableContent"/>
              <w:jc w:val="center"/>
              <w:rPr>
                <w:szCs w:val="22"/>
                <w:lang w:val="nb-NO"/>
              </w:rPr>
            </w:pPr>
            <w:r w:rsidRPr="00AF302A">
              <w:rPr>
                <w:b/>
                <w:szCs w:val="22"/>
                <w:lang w:val="nb-NO"/>
              </w:rPr>
              <w:t>10 år</w:t>
            </w:r>
          </w:p>
        </w:tc>
      </w:tr>
      <w:tr w:rsidR="009C0072" w:rsidRPr="00AF302A" w14:paraId="6AA59448" w14:textId="77777777" w:rsidTr="009C0072">
        <w:tc>
          <w:tcPr>
            <w:tcW w:w="2518" w:type="dxa"/>
            <w:gridSpan w:val="2"/>
            <w:tcBorders>
              <w:top w:val="single" w:sz="6" w:space="0" w:color="auto"/>
              <w:left w:val="single" w:sz="6" w:space="0" w:color="auto"/>
              <w:bottom w:val="single" w:sz="6" w:space="0" w:color="auto"/>
              <w:right w:val="single" w:sz="6" w:space="0" w:color="auto"/>
            </w:tcBorders>
            <w:vAlign w:val="center"/>
            <w:hideMark/>
          </w:tcPr>
          <w:p w14:paraId="175D27B4" w14:textId="77777777" w:rsidR="009C0072" w:rsidRPr="00AF302A" w:rsidRDefault="009C0072">
            <w:pPr>
              <w:pStyle w:val="wcpTableContent"/>
              <w:rPr>
                <w:b/>
                <w:szCs w:val="22"/>
                <w:lang w:val="nb-NO"/>
              </w:rPr>
            </w:pPr>
            <w:r w:rsidRPr="00AF302A">
              <w:rPr>
                <w:b/>
                <w:szCs w:val="22"/>
                <w:lang w:val="nb-NO"/>
              </w:rPr>
              <w:t>Deltagere</w:t>
            </w:r>
          </w:p>
        </w:tc>
        <w:tc>
          <w:tcPr>
            <w:tcW w:w="1134" w:type="dxa"/>
            <w:tcBorders>
              <w:top w:val="single" w:sz="6" w:space="0" w:color="auto"/>
              <w:left w:val="single" w:sz="6" w:space="0" w:color="auto"/>
              <w:bottom w:val="single" w:sz="6" w:space="0" w:color="auto"/>
              <w:right w:val="single" w:sz="6" w:space="0" w:color="auto"/>
            </w:tcBorders>
            <w:hideMark/>
          </w:tcPr>
          <w:p w14:paraId="6BC8F157" w14:textId="77777777" w:rsidR="009C0072" w:rsidRPr="00AF302A" w:rsidRDefault="009C0072">
            <w:pPr>
              <w:pStyle w:val="wcpTableContent"/>
              <w:jc w:val="center"/>
              <w:rPr>
                <w:szCs w:val="22"/>
                <w:lang w:val="nb-NO"/>
              </w:rPr>
            </w:pPr>
            <w:r w:rsidRPr="00AF302A">
              <w:rPr>
                <w:szCs w:val="22"/>
                <w:lang w:val="nb-NO"/>
              </w:rPr>
              <w:t>N = 128 – 150</w:t>
            </w:r>
          </w:p>
        </w:tc>
        <w:tc>
          <w:tcPr>
            <w:tcW w:w="992" w:type="dxa"/>
            <w:tcBorders>
              <w:top w:val="single" w:sz="6" w:space="0" w:color="auto"/>
              <w:left w:val="single" w:sz="6" w:space="0" w:color="auto"/>
              <w:bottom w:val="single" w:sz="6" w:space="0" w:color="auto"/>
              <w:right w:val="single" w:sz="6" w:space="0" w:color="auto"/>
            </w:tcBorders>
            <w:hideMark/>
          </w:tcPr>
          <w:p w14:paraId="16DF855A" w14:textId="77777777" w:rsidR="009C0072" w:rsidRPr="00AF302A" w:rsidRDefault="009C0072">
            <w:pPr>
              <w:pStyle w:val="wcpTableContent"/>
              <w:jc w:val="center"/>
              <w:rPr>
                <w:szCs w:val="22"/>
                <w:lang w:val="nb-NO"/>
              </w:rPr>
            </w:pPr>
            <w:r w:rsidRPr="00AF302A">
              <w:rPr>
                <w:szCs w:val="22"/>
                <w:lang w:val="nb-NO"/>
              </w:rPr>
              <w:t>N = 300</w:t>
            </w:r>
          </w:p>
        </w:tc>
        <w:tc>
          <w:tcPr>
            <w:tcW w:w="1134" w:type="dxa"/>
            <w:tcBorders>
              <w:top w:val="single" w:sz="6" w:space="0" w:color="auto"/>
              <w:left w:val="single" w:sz="6" w:space="0" w:color="auto"/>
              <w:bottom w:val="single" w:sz="6" w:space="0" w:color="auto"/>
              <w:right w:val="single" w:sz="6" w:space="0" w:color="auto"/>
            </w:tcBorders>
            <w:hideMark/>
          </w:tcPr>
          <w:p w14:paraId="180B9328" w14:textId="77777777" w:rsidR="009C0072" w:rsidRPr="00AF302A" w:rsidRDefault="009C0072">
            <w:pPr>
              <w:pStyle w:val="wcpTableContent"/>
              <w:jc w:val="center"/>
              <w:rPr>
                <w:szCs w:val="22"/>
                <w:lang w:val="nb-NO"/>
              </w:rPr>
            </w:pPr>
            <w:r w:rsidRPr="00AF302A">
              <w:rPr>
                <w:szCs w:val="22"/>
                <w:lang w:val="nb-NO"/>
              </w:rPr>
              <w:t>N = 204 – 206</w:t>
            </w:r>
          </w:p>
        </w:tc>
        <w:tc>
          <w:tcPr>
            <w:tcW w:w="950" w:type="dxa"/>
            <w:tcBorders>
              <w:top w:val="single" w:sz="6" w:space="0" w:color="auto"/>
              <w:left w:val="single" w:sz="6" w:space="0" w:color="auto"/>
              <w:bottom w:val="single" w:sz="6" w:space="0" w:color="auto"/>
              <w:right w:val="single" w:sz="6" w:space="0" w:color="auto"/>
            </w:tcBorders>
            <w:hideMark/>
          </w:tcPr>
          <w:p w14:paraId="0F19279F" w14:textId="77777777" w:rsidR="009C0072" w:rsidRPr="00AF302A" w:rsidRDefault="009C0072">
            <w:pPr>
              <w:pStyle w:val="wcpTableContent"/>
              <w:jc w:val="center"/>
              <w:rPr>
                <w:szCs w:val="22"/>
                <w:lang w:val="nb-NO"/>
              </w:rPr>
            </w:pPr>
            <w:r w:rsidRPr="00AF302A">
              <w:rPr>
                <w:szCs w:val="22"/>
                <w:lang w:val="nb-NO"/>
              </w:rPr>
              <w:t>N = 28 – 39</w:t>
            </w:r>
          </w:p>
        </w:tc>
        <w:tc>
          <w:tcPr>
            <w:tcW w:w="922" w:type="dxa"/>
            <w:tcBorders>
              <w:top w:val="single" w:sz="6" w:space="0" w:color="auto"/>
              <w:left w:val="single" w:sz="6" w:space="0" w:color="auto"/>
              <w:bottom w:val="single" w:sz="6" w:space="0" w:color="auto"/>
              <w:right w:val="single" w:sz="6" w:space="0" w:color="auto"/>
            </w:tcBorders>
            <w:hideMark/>
          </w:tcPr>
          <w:p w14:paraId="5311BA2E" w14:textId="77777777" w:rsidR="009C0072" w:rsidRPr="00AF302A" w:rsidRDefault="009C0072">
            <w:pPr>
              <w:pStyle w:val="wcpTableContent"/>
              <w:jc w:val="center"/>
              <w:rPr>
                <w:szCs w:val="22"/>
                <w:lang w:val="nb-NO"/>
              </w:rPr>
            </w:pPr>
            <w:r w:rsidRPr="00AF302A">
              <w:rPr>
                <w:szCs w:val="22"/>
                <w:lang w:val="nb-NO"/>
              </w:rPr>
              <w:t>N = 292</w:t>
            </w:r>
          </w:p>
        </w:tc>
        <w:tc>
          <w:tcPr>
            <w:tcW w:w="1105" w:type="dxa"/>
            <w:tcBorders>
              <w:top w:val="single" w:sz="6" w:space="0" w:color="auto"/>
              <w:left w:val="single" w:sz="6" w:space="0" w:color="auto"/>
              <w:bottom w:val="single" w:sz="6" w:space="0" w:color="auto"/>
              <w:right w:val="single" w:sz="6" w:space="0" w:color="auto"/>
            </w:tcBorders>
            <w:hideMark/>
          </w:tcPr>
          <w:p w14:paraId="6A20521F" w14:textId="77777777" w:rsidR="009C0072" w:rsidRPr="00AF302A" w:rsidRDefault="009C0072">
            <w:pPr>
              <w:pStyle w:val="wcpTableContent"/>
              <w:jc w:val="center"/>
              <w:rPr>
                <w:szCs w:val="22"/>
                <w:lang w:val="nb-NO"/>
              </w:rPr>
            </w:pPr>
            <w:r w:rsidRPr="00AF302A">
              <w:rPr>
                <w:szCs w:val="22"/>
                <w:lang w:val="nb-NO"/>
              </w:rPr>
              <w:t>N = 237 – 238</w:t>
            </w:r>
          </w:p>
        </w:tc>
        <w:tc>
          <w:tcPr>
            <w:tcW w:w="1134" w:type="dxa"/>
            <w:tcBorders>
              <w:top w:val="single" w:sz="6" w:space="0" w:color="auto"/>
              <w:left w:val="single" w:sz="6" w:space="0" w:color="auto"/>
              <w:bottom w:val="single" w:sz="6" w:space="0" w:color="auto"/>
              <w:right w:val="single" w:sz="6" w:space="0" w:color="auto"/>
            </w:tcBorders>
            <w:hideMark/>
          </w:tcPr>
          <w:p w14:paraId="74FB602D" w14:textId="77777777" w:rsidR="009C0072" w:rsidRPr="00AF302A" w:rsidRDefault="009C0072">
            <w:pPr>
              <w:pStyle w:val="wcpTableContent"/>
              <w:jc w:val="center"/>
              <w:rPr>
                <w:szCs w:val="22"/>
                <w:lang w:val="nb-NO"/>
              </w:rPr>
            </w:pPr>
            <w:r w:rsidRPr="00AF302A">
              <w:rPr>
                <w:szCs w:val="22"/>
                <w:lang w:val="nb-NO"/>
              </w:rPr>
              <w:t>N = 120 – 136</w:t>
            </w:r>
          </w:p>
        </w:tc>
      </w:tr>
      <w:tr w:rsidR="009C0072" w:rsidRPr="00AF302A" w14:paraId="32346482" w14:textId="77777777" w:rsidTr="009C0072">
        <w:tc>
          <w:tcPr>
            <w:tcW w:w="2518" w:type="dxa"/>
            <w:gridSpan w:val="2"/>
            <w:tcBorders>
              <w:top w:val="single" w:sz="6" w:space="0" w:color="auto"/>
              <w:left w:val="single" w:sz="6" w:space="0" w:color="auto"/>
              <w:bottom w:val="single" w:sz="6" w:space="0" w:color="auto"/>
              <w:right w:val="single" w:sz="6" w:space="0" w:color="auto"/>
            </w:tcBorders>
            <w:vAlign w:val="center"/>
            <w:hideMark/>
          </w:tcPr>
          <w:p w14:paraId="6D368AC2" w14:textId="77777777" w:rsidR="009C0072" w:rsidRPr="00AF302A" w:rsidRDefault="009C0072">
            <w:pPr>
              <w:pStyle w:val="wcpTableContent"/>
              <w:rPr>
                <w:b/>
                <w:szCs w:val="22"/>
                <w:lang w:val="nb-NO"/>
              </w:rPr>
            </w:pPr>
            <w:r w:rsidRPr="00AF302A">
              <w:rPr>
                <w:b/>
                <w:szCs w:val="22"/>
                <w:lang w:val="nb-NO"/>
              </w:rPr>
              <w:t>Antistof</w:t>
            </w:r>
          </w:p>
        </w:tc>
        <w:tc>
          <w:tcPr>
            <w:tcW w:w="7371" w:type="dxa"/>
            <w:gridSpan w:val="7"/>
            <w:tcBorders>
              <w:top w:val="single" w:sz="6" w:space="0" w:color="auto"/>
              <w:left w:val="single" w:sz="6" w:space="0" w:color="auto"/>
              <w:bottom w:val="single" w:sz="6" w:space="0" w:color="auto"/>
              <w:right w:val="single" w:sz="6" w:space="0" w:color="auto"/>
            </w:tcBorders>
            <w:hideMark/>
          </w:tcPr>
          <w:p w14:paraId="6076374D" w14:textId="77777777" w:rsidR="009C0072" w:rsidRPr="00AF302A" w:rsidRDefault="009C0072">
            <w:pPr>
              <w:pStyle w:val="wcpTableContent"/>
              <w:jc w:val="center"/>
              <w:rPr>
                <w:iCs/>
                <w:szCs w:val="22"/>
                <w:lang w:val="nb-NO"/>
              </w:rPr>
            </w:pPr>
            <w:r w:rsidRPr="00AF302A">
              <w:rPr>
                <w:szCs w:val="22"/>
                <w:lang w:val="nb-NO"/>
              </w:rPr>
              <w:t>% Serobeskyttelse/seropositivitet</w:t>
            </w:r>
          </w:p>
        </w:tc>
      </w:tr>
      <w:tr w:rsidR="009C0072" w:rsidRPr="00AF302A" w14:paraId="3C901B9A" w14:textId="77777777" w:rsidTr="009C0072">
        <w:tc>
          <w:tcPr>
            <w:tcW w:w="1384" w:type="dxa"/>
            <w:vMerge w:val="restart"/>
            <w:tcBorders>
              <w:top w:val="single" w:sz="6" w:space="0" w:color="auto"/>
              <w:left w:val="single" w:sz="6" w:space="0" w:color="auto"/>
              <w:bottom w:val="single" w:sz="6" w:space="0" w:color="auto"/>
              <w:right w:val="single" w:sz="6" w:space="0" w:color="auto"/>
            </w:tcBorders>
            <w:hideMark/>
          </w:tcPr>
          <w:p w14:paraId="1F009968" w14:textId="77777777" w:rsidR="009C0072" w:rsidRPr="00AF302A" w:rsidRDefault="009C0072">
            <w:pPr>
              <w:pStyle w:val="wcpTableColHeader"/>
              <w:spacing w:before="20" w:after="20"/>
              <w:jc w:val="left"/>
              <w:rPr>
                <w:szCs w:val="22"/>
                <w:lang w:val="nb-NO"/>
              </w:rPr>
            </w:pPr>
            <w:r w:rsidRPr="00AF302A">
              <w:rPr>
                <w:szCs w:val="22"/>
                <w:lang w:val="nb-NO"/>
              </w:rPr>
              <w:t>Difteri</w:t>
            </w:r>
          </w:p>
          <w:p w14:paraId="7509FDE0" w14:textId="77777777" w:rsidR="009C0072" w:rsidRPr="00AF302A" w:rsidRDefault="009C0072">
            <w:pPr>
              <w:pStyle w:val="wcpTableRowHeader"/>
              <w:rPr>
                <w:szCs w:val="22"/>
                <w:lang w:val="nb-NO"/>
              </w:rPr>
            </w:pPr>
            <w:r w:rsidRPr="00AF302A">
              <w:rPr>
                <w:b w:val="0"/>
                <w:szCs w:val="22"/>
                <w:lang w:val="nb-NO"/>
              </w:rPr>
              <w:t>(SN, IE/ml)</w:t>
            </w:r>
          </w:p>
        </w:tc>
        <w:tc>
          <w:tcPr>
            <w:tcW w:w="1134" w:type="dxa"/>
            <w:tcBorders>
              <w:top w:val="single" w:sz="6" w:space="0" w:color="auto"/>
              <w:left w:val="single" w:sz="6" w:space="0" w:color="auto"/>
              <w:bottom w:val="single" w:sz="6" w:space="0" w:color="auto"/>
              <w:right w:val="single" w:sz="6" w:space="0" w:color="auto"/>
            </w:tcBorders>
            <w:hideMark/>
          </w:tcPr>
          <w:p w14:paraId="1B5D6513" w14:textId="77777777" w:rsidR="009C0072" w:rsidRPr="00AF302A" w:rsidRDefault="009C0072">
            <w:pPr>
              <w:pStyle w:val="wcpTableColHeader"/>
              <w:spacing w:before="20" w:after="20"/>
              <w:jc w:val="left"/>
              <w:rPr>
                <w:b w:val="0"/>
                <w:szCs w:val="22"/>
                <w:lang w:val="nb-NO"/>
              </w:rPr>
            </w:pPr>
            <w:r w:rsidRPr="00AF302A">
              <w:rPr>
                <w:b w:val="0"/>
                <w:szCs w:val="22"/>
                <w:lang w:val="nb-NO"/>
              </w:rPr>
              <w:t xml:space="preserve">≥ 0,1 </w:t>
            </w:r>
          </w:p>
        </w:tc>
        <w:tc>
          <w:tcPr>
            <w:tcW w:w="1134" w:type="dxa"/>
            <w:tcBorders>
              <w:top w:val="single" w:sz="6" w:space="0" w:color="auto"/>
              <w:left w:val="single" w:sz="6" w:space="0" w:color="auto"/>
              <w:bottom w:val="single" w:sz="6" w:space="0" w:color="auto"/>
              <w:right w:val="single" w:sz="6" w:space="0" w:color="auto"/>
            </w:tcBorders>
            <w:hideMark/>
          </w:tcPr>
          <w:p w14:paraId="68FB568D" w14:textId="77777777" w:rsidR="009C0072" w:rsidRPr="00AF302A" w:rsidRDefault="009C0072">
            <w:pPr>
              <w:pStyle w:val="wcpTableContent"/>
              <w:jc w:val="center"/>
              <w:rPr>
                <w:szCs w:val="22"/>
                <w:lang w:val="nb-NO"/>
              </w:rPr>
            </w:pPr>
            <w:r w:rsidRPr="00AF302A">
              <w:rPr>
                <w:szCs w:val="22"/>
                <w:lang w:val="nb-NO"/>
              </w:rPr>
              <w:t>86,0</w:t>
            </w:r>
          </w:p>
        </w:tc>
        <w:tc>
          <w:tcPr>
            <w:tcW w:w="992" w:type="dxa"/>
            <w:tcBorders>
              <w:top w:val="single" w:sz="6" w:space="0" w:color="auto"/>
              <w:left w:val="single" w:sz="6" w:space="0" w:color="auto"/>
              <w:bottom w:val="single" w:sz="6" w:space="0" w:color="auto"/>
              <w:right w:val="single" w:sz="6" w:space="0" w:color="auto"/>
            </w:tcBorders>
            <w:hideMark/>
          </w:tcPr>
          <w:p w14:paraId="0D345876" w14:textId="77777777" w:rsidR="009C0072" w:rsidRPr="00AF302A" w:rsidRDefault="009C0072">
            <w:pPr>
              <w:pStyle w:val="wcpTableContent"/>
              <w:jc w:val="center"/>
              <w:rPr>
                <w:szCs w:val="22"/>
                <w:lang w:val="nb-NO"/>
              </w:rPr>
            </w:pPr>
            <w:r w:rsidRPr="00AF302A">
              <w:rPr>
                <w:szCs w:val="22"/>
                <w:lang w:val="nb-NO"/>
              </w:rPr>
              <w:t>97,0</w:t>
            </w:r>
          </w:p>
        </w:tc>
        <w:tc>
          <w:tcPr>
            <w:tcW w:w="1134" w:type="dxa"/>
            <w:tcBorders>
              <w:top w:val="single" w:sz="6" w:space="0" w:color="auto"/>
              <w:left w:val="single" w:sz="6" w:space="0" w:color="auto"/>
              <w:bottom w:val="single" w:sz="6" w:space="0" w:color="auto"/>
              <w:right w:val="single" w:sz="6" w:space="0" w:color="auto"/>
            </w:tcBorders>
            <w:hideMark/>
          </w:tcPr>
          <w:p w14:paraId="2C32564C" w14:textId="77777777" w:rsidR="009C0072" w:rsidRPr="00AF302A" w:rsidRDefault="009C0072">
            <w:pPr>
              <w:pStyle w:val="wcpTableContent"/>
              <w:jc w:val="center"/>
              <w:rPr>
                <w:szCs w:val="22"/>
                <w:lang w:val="nb-NO"/>
              </w:rPr>
            </w:pPr>
            <w:r w:rsidRPr="00AF302A">
              <w:rPr>
                <w:szCs w:val="22"/>
                <w:lang w:val="nb-NO"/>
              </w:rPr>
              <w:t>95,1</w:t>
            </w:r>
          </w:p>
        </w:tc>
        <w:tc>
          <w:tcPr>
            <w:tcW w:w="950" w:type="dxa"/>
            <w:tcBorders>
              <w:top w:val="single" w:sz="6" w:space="0" w:color="auto"/>
              <w:left w:val="single" w:sz="6" w:space="0" w:color="auto"/>
              <w:bottom w:val="single" w:sz="6" w:space="0" w:color="auto"/>
              <w:right w:val="single" w:sz="6" w:space="0" w:color="auto"/>
            </w:tcBorders>
            <w:hideMark/>
          </w:tcPr>
          <w:p w14:paraId="22257AA0" w14:textId="77777777" w:rsidR="009C0072" w:rsidRPr="00AF302A" w:rsidRDefault="009C0072">
            <w:pPr>
              <w:pStyle w:val="wcpTableContent"/>
              <w:jc w:val="center"/>
              <w:rPr>
                <w:szCs w:val="22"/>
                <w:lang w:val="nb-NO"/>
              </w:rPr>
            </w:pPr>
            <w:r w:rsidRPr="00AF302A">
              <w:rPr>
                <w:szCs w:val="22"/>
                <w:lang w:val="nb-NO"/>
              </w:rPr>
              <w:t>94,9</w:t>
            </w:r>
          </w:p>
        </w:tc>
        <w:tc>
          <w:tcPr>
            <w:tcW w:w="922" w:type="dxa"/>
            <w:tcBorders>
              <w:top w:val="single" w:sz="6" w:space="0" w:color="auto"/>
              <w:left w:val="single" w:sz="6" w:space="0" w:color="auto"/>
              <w:bottom w:val="single" w:sz="6" w:space="0" w:color="auto"/>
              <w:right w:val="single" w:sz="6" w:space="0" w:color="auto"/>
            </w:tcBorders>
            <w:hideMark/>
          </w:tcPr>
          <w:p w14:paraId="12DE1DE0" w14:textId="77777777" w:rsidR="009C0072" w:rsidRPr="00AF302A" w:rsidRDefault="009C0072">
            <w:pPr>
              <w:pStyle w:val="wcpTableContent"/>
              <w:jc w:val="center"/>
              <w:rPr>
                <w:szCs w:val="22"/>
                <w:lang w:val="nb-NO"/>
              </w:rPr>
            </w:pPr>
            <w:r w:rsidRPr="00AF302A">
              <w:rPr>
                <w:szCs w:val="22"/>
                <w:lang w:val="nb-NO"/>
              </w:rPr>
              <w:t>81,2</w:t>
            </w:r>
          </w:p>
        </w:tc>
        <w:tc>
          <w:tcPr>
            <w:tcW w:w="1105" w:type="dxa"/>
            <w:tcBorders>
              <w:top w:val="single" w:sz="6" w:space="0" w:color="auto"/>
              <w:left w:val="single" w:sz="6" w:space="0" w:color="auto"/>
              <w:bottom w:val="single" w:sz="6" w:space="0" w:color="auto"/>
              <w:right w:val="single" w:sz="6" w:space="0" w:color="auto"/>
            </w:tcBorders>
            <w:hideMark/>
          </w:tcPr>
          <w:p w14:paraId="6E2CD45E" w14:textId="77777777" w:rsidR="009C0072" w:rsidRPr="00AF302A" w:rsidRDefault="009C0072">
            <w:pPr>
              <w:pStyle w:val="wcpTableContent"/>
              <w:jc w:val="center"/>
              <w:rPr>
                <w:szCs w:val="22"/>
                <w:lang w:val="nb-NO"/>
              </w:rPr>
            </w:pPr>
            <w:r w:rsidRPr="00AF302A">
              <w:rPr>
                <w:szCs w:val="22"/>
                <w:lang w:val="nb-NO"/>
              </w:rPr>
              <w:t>81,1</w:t>
            </w:r>
          </w:p>
        </w:tc>
        <w:tc>
          <w:tcPr>
            <w:tcW w:w="1134" w:type="dxa"/>
            <w:tcBorders>
              <w:top w:val="single" w:sz="6" w:space="0" w:color="auto"/>
              <w:left w:val="single" w:sz="6" w:space="0" w:color="auto"/>
              <w:bottom w:val="single" w:sz="6" w:space="0" w:color="auto"/>
              <w:right w:val="single" w:sz="6" w:space="0" w:color="auto"/>
            </w:tcBorders>
            <w:hideMark/>
          </w:tcPr>
          <w:p w14:paraId="48DC0A9E" w14:textId="77777777" w:rsidR="009C0072" w:rsidRPr="00AF302A" w:rsidRDefault="009C0072">
            <w:pPr>
              <w:pStyle w:val="wcpTableContent"/>
              <w:jc w:val="center"/>
              <w:rPr>
                <w:szCs w:val="22"/>
                <w:lang w:val="nb-NO"/>
              </w:rPr>
            </w:pPr>
            <w:r w:rsidRPr="00AF302A">
              <w:rPr>
                <w:szCs w:val="22"/>
                <w:lang w:val="nb-NO"/>
              </w:rPr>
              <w:t>84,6</w:t>
            </w:r>
          </w:p>
        </w:tc>
      </w:tr>
      <w:tr w:rsidR="009C0072" w:rsidRPr="00AF302A" w14:paraId="0EAF81AA" w14:textId="77777777" w:rsidTr="009C0072">
        <w:tc>
          <w:tcPr>
            <w:tcW w:w="2518" w:type="dxa"/>
            <w:vMerge/>
            <w:tcBorders>
              <w:top w:val="single" w:sz="6" w:space="0" w:color="auto"/>
              <w:left w:val="single" w:sz="6" w:space="0" w:color="auto"/>
              <w:bottom w:val="single" w:sz="6" w:space="0" w:color="auto"/>
              <w:right w:val="single" w:sz="6" w:space="0" w:color="auto"/>
            </w:tcBorders>
            <w:vAlign w:val="center"/>
            <w:hideMark/>
          </w:tcPr>
          <w:p w14:paraId="7F7FB25E" w14:textId="77777777" w:rsidR="009C0072" w:rsidRPr="00AF302A" w:rsidRDefault="009C0072">
            <w:pPr>
              <w:rPr>
                <w:b/>
                <w:sz w:val="22"/>
                <w:szCs w:val="22"/>
                <w:lang w:val="nb-NO"/>
              </w:rPr>
            </w:pPr>
          </w:p>
        </w:tc>
        <w:tc>
          <w:tcPr>
            <w:tcW w:w="1134" w:type="dxa"/>
            <w:tcBorders>
              <w:top w:val="single" w:sz="6" w:space="0" w:color="auto"/>
              <w:left w:val="single" w:sz="6" w:space="0" w:color="auto"/>
              <w:bottom w:val="single" w:sz="6" w:space="0" w:color="auto"/>
              <w:right w:val="single" w:sz="6" w:space="0" w:color="auto"/>
            </w:tcBorders>
            <w:hideMark/>
          </w:tcPr>
          <w:p w14:paraId="60EAAEAA" w14:textId="77777777" w:rsidR="009C0072" w:rsidRPr="00AF302A" w:rsidRDefault="009C0072">
            <w:pPr>
              <w:pStyle w:val="wcpTableContent"/>
              <w:rPr>
                <w:szCs w:val="22"/>
                <w:lang w:val="nb-NO"/>
              </w:rPr>
            </w:pPr>
            <w:r w:rsidRPr="00AF302A">
              <w:rPr>
                <w:szCs w:val="22"/>
                <w:lang w:val="nb-NO"/>
              </w:rPr>
              <w:t xml:space="preserve">≥ 0,01 </w:t>
            </w:r>
          </w:p>
        </w:tc>
        <w:tc>
          <w:tcPr>
            <w:tcW w:w="1134" w:type="dxa"/>
            <w:tcBorders>
              <w:top w:val="single" w:sz="6" w:space="0" w:color="auto"/>
              <w:left w:val="single" w:sz="6" w:space="0" w:color="auto"/>
              <w:bottom w:val="single" w:sz="6" w:space="0" w:color="auto"/>
              <w:right w:val="single" w:sz="6" w:space="0" w:color="auto"/>
            </w:tcBorders>
            <w:hideMark/>
          </w:tcPr>
          <w:p w14:paraId="263BACF7" w14:textId="77777777" w:rsidR="009C0072" w:rsidRPr="00AF302A" w:rsidRDefault="009C0072">
            <w:pPr>
              <w:pStyle w:val="wcpTableContent"/>
              <w:jc w:val="center"/>
              <w:rPr>
                <w:szCs w:val="22"/>
                <w:lang w:val="nb-NO"/>
              </w:rPr>
            </w:pPr>
            <w:r w:rsidRPr="00AF302A">
              <w:rPr>
                <w:szCs w:val="22"/>
                <w:lang w:val="nb-NO"/>
              </w:rPr>
              <w:t>100</w:t>
            </w:r>
          </w:p>
        </w:tc>
        <w:tc>
          <w:tcPr>
            <w:tcW w:w="992" w:type="dxa"/>
            <w:tcBorders>
              <w:top w:val="single" w:sz="6" w:space="0" w:color="auto"/>
              <w:left w:val="single" w:sz="6" w:space="0" w:color="auto"/>
              <w:bottom w:val="single" w:sz="6" w:space="0" w:color="auto"/>
              <w:right w:val="single" w:sz="6" w:space="0" w:color="auto"/>
            </w:tcBorders>
            <w:hideMark/>
          </w:tcPr>
          <w:p w14:paraId="5A674736" w14:textId="77777777" w:rsidR="009C0072" w:rsidRPr="00AF302A" w:rsidRDefault="009C0072">
            <w:pPr>
              <w:pStyle w:val="wcpTableContent"/>
              <w:jc w:val="center"/>
              <w:rPr>
                <w:szCs w:val="22"/>
                <w:lang w:val="nb-NO"/>
              </w:rPr>
            </w:pPr>
            <w:r w:rsidRPr="00AF302A">
              <w:rPr>
                <w:szCs w:val="22"/>
                <w:lang w:val="nb-NO"/>
              </w:rPr>
              <w:t>100</w:t>
            </w:r>
          </w:p>
        </w:tc>
        <w:tc>
          <w:tcPr>
            <w:tcW w:w="1134" w:type="dxa"/>
            <w:tcBorders>
              <w:top w:val="single" w:sz="6" w:space="0" w:color="auto"/>
              <w:left w:val="single" w:sz="6" w:space="0" w:color="auto"/>
              <w:bottom w:val="single" w:sz="6" w:space="0" w:color="auto"/>
              <w:right w:val="single" w:sz="6" w:space="0" w:color="auto"/>
            </w:tcBorders>
            <w:hideMark/>
          </w:tcPr>
          <w:p w14:paraId="4723C765" w14:textId="77777777" w:rsidR="009C0072" w:rsidRPr="00AF302A" w:rsidRDefault="009C0072">
            <w:pPr>
              <w:pStyle w:val="wcpTableContent"/>
              <w:jc w:val="center"/>
              <w:rPr>
                <w:szCs w:val="22"/>
                <w:lang w:val="nb-NO"/>
              </w:rPr>
            </w:pPr>
            <w:r w:rsidRPr="00AF302A">
              <w:rPr>
                <w:szCs w:val="22"/>
                <w:lang w:val="nb-NO"/>
              </w:rPr>
              <w:t>100</w:t>
            </w:r>
          </w:p>
        </w:tc>
        <w:tc>
          <w:tcPr>
            <w:tcW w:w="950" w:type="dxa"/>
            <w:tcBorders>
              <w:top w:val="single" w:sz="6" w:space="0" w:color="auto"/>
              <w:left w:val="single" w:sz="6" w:space="0" w:color="auto"/>
              <w:bottom w:val="single" w:sz="6" w:space="0" w:color="auto"/>
              <w:right w:val="single" w:sz="6" w:space="0" w:color="auto"/>
            </w:tcBorders>
            <w:hideMark/>
          </w:tcPr>
          <w:p w14:paraId="42A5534B" w14:textId="77777777" w:rsidR="009C0072" w:rsidRPr="00AF302A" w:rsidRDefault="009C0072">
            <w:pPr>
              <w:pStyle w:val="wcpTableContent"/>
              <w:jc w:val="center"/>
              <w:rPr>
                <w:szCs w:val="22"/>
                <w:lang w:val="nb-NO"/>
              </w:rPr>
            </w:pPr>
            <w:r w:rsidRPr="00AF302A">
              <w:rPr>
                <w:szCs w:val="22"/>
                <w:lang w:val="nb-NO"/>
              </w:rPr>
              <w:t>100</w:t>
            </w:r>
          </w:p>
        </w:tc>
        <w:tc>
          <w:tcPr>
            <w:tcW w:w="922" w:type="dxa"/>
            <w:tcBorders>
              <w:top w:val="single" w:sz="6" w:space="0" w:color="auto"/>
              <w:left w:val="single" w:sz="6" w:space="0" w:color="auto"/>
              <w:bottom w:val="single" w:sz="6" w:space="0" w:color="auto"/>
              <w:right w:val="single" w:sz="6" w:space="0" w:color="auto"/>
            </w:tcBorders>
            <w:hideMark/>
          </w:tcPr>
          <w:p w14:paraId="5B7949C6" w14:textId="77777777" w:rsidR="009C0072" w:rsidRPr="00AF302A" w:rsidRDefault="009C0072">
            <w:pPr>
              <w:pStyle w:val="wcpTableContent"/>
              <w:jc w:val="center"/>
              <w:rPr>
                <w:szCs w:val="22"/>
                <w:lang w:val="nb-NO"/>
              </w:rPr>
            </w:pPr>
            <w:r w:rsidRPr="00AF302A">
              <w:rPr>
                <w:szCs w:val="22"/>
                <w:lang w:val="nb-NO"/>
              </w:rPr>
              <w:t>95,2</w:t>
            </w:r>
          </w:p>
        </w:tc>
        <w:tc>
          <w:tcPr>
            <w:tcW w:w="1105" w:type="dxa"/>
            <w:tcBorders>
              <w:top w:val="single" w:sz="6" w:space="0" w:color="auto"/>
              <w:left w:val="single" w:sz="6" w:space="0" w:color="auto"/>
              <w:bottom w:val="single" w:sz="6" w:space="0" w:color="auto"/>
              <w:right w:val="single" w:sz="6" w:space="0" w:color="auto"/>
            </w:tcBorders>
            <w:hideMark/>
          </w:tcPr>
          <w:p w14:paraId="57100F7D" w14:textId="77777777" w:rsidR="009C0072" w:rsidRPr="00AF302A" w:rsidRDefault="009C0072">
            <w:pPr>
              <w:pStyle w:val="wcpTableContent"/>
              <w:jc w:val="center"/>
              <w:rPr>
                <w:szCs w:val="22"/>
                <w:lang w:val="nb-NO"/>
              </w:rPr>
            </w:pPr>
            <w:r w:rsidRPr="00AF302A">
              <w:rPr>
                <w:szCs w:val="22"/>
                <w:lang w:val="nb-NO"/>
              </w:rPr>
              <w:t>93,7</w:t>
            </w:r>
          </w:p>
        </w:tc>
        <w:tc>
          <w:tcPr>
            <w:tcW w:w="1134" w:type="dxa"/>
            <w:tcBorders>
              <w:top w:val="single" w:sz="6" w:space="0" w:color="auto"/>
              <w:left w:val="single" w:sz="6" w:space="0" w:color="auto"/>
              <w:bottom w:val="single" w:sz="6" w:space="0" w:color="auto"/>
              <w:right w:val="single" w:sz="6" w:space="0" w:color="auto"/>
            </w:tcBorders>
            <w:hideMark/>
          </w:tcPr>
          <w:p w14:paraId="1E2F1118" w14:textId="77777777" w:rsidR="009C0072" w:rsidRPr="00AF302A" w:rsidRDefault="009C0072">
            <w:pPr>
              <w:pStyle w:val="wcpTableContent"/>
              <w:jc w:val="center"/>
              <w:rPr>
                <w:szCs w:val="22"/>
                <w:lang w:val="nb-NO"/>
              </w:rPr>
            </w:pPr>
            <w:r w:rsidRPr="00AF302A">
              <w:rPr>
                <w:szCs w:val="22"/>
                <w:lang w:val="nb-NO"/>
              </w:rPr>
              <w:t>99,3</w:t>
            </w:r>
          </w:p>
        </w:tc>
      </w:tr>
      <w:tr w:rsidR="009C0072" w:rsidRPr="00AF302A" w14:paraId="5B10033E" w14:textId="77777777" w:rsidTr="009C0072">
        <w:tc>
          <w:tcPr>
            <w:tcW w:w="1384" w:type="dxa"/>
            <w:tcBorders>
              <w:top w:val="single" w:sz="6" w:space="0" w:color="auto"/>
              <w:left w:val="single" w:sz="6" w:space="0" w:color="auto"/>
              <w:bottom w:val="single" w:sz="6" w:space="0" w:color="auto"/>
              <w:right w:val="single" w:sz="6" w:space="0" w:color="auto"/>
            </w:tcBorders>
            <w:vAlign w:val="center"/>
            <w:hideMark/>
          </w:tcPr>
          <w:p w14:paraId="7E0E1638" w14:textId="77777777" w:rsidR="009C0072" w:rsidRPr="00AF302A" w:rsidRDefault="009C0072">
            <w:pPr>
              <w:pStyle w:val="wcpTableColHeader"/>
              <w:spacing w:before="20" w:after="20"/>
              <w:jc w:val="left"/>
              <w:rPr>
                <w:szCs w:val="22"/>
                <w:lang w:val="nb-NO"/>
              </w:rPr>
            </w:pPr>
            <w:r w:rsidRPr="00AF302A">
              <w:rPr>
                <w:szCs w:val="22"/>
                <w:lang w:val="nb-NO"/>
              </w:rPr>
              <w:t>Tetanus</w:t>
            </w:r>
          </w:p>
          <w:p w14:paraId="7D775CC6" w14:textId="77777777" w:rsidR="009C0072" w:rsidRPr="00AF302A" w:rsidRDefault="009C0072">
            <w:pPr>
              <w:pStyle w:val="wcpTableRowHeader"/>
              <w:rPr>
                <w:szCs w:val="22"/>
                <w:lang w:val="nb-NO"/>
              </w:rPr>
            </w:pPr>
            <w:r w:rsidRPr="00AF302A">
              <w:rPr>
                <w:b w:val="0"/>
                <w:szCs w:val="22"/>
                <w:lang w:val="nb-NO"/>
              </w:rPr>
              <w:t>(ELISA, IE/ml)</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72F10A3" w14:textId="77777777" w:rsidR="009C0072" w:rsidRPr="00AF302A" w:rsidRDefault="009C0072">
            <w:pPr>
              <w:pStyle w:val="wcpTableContent"/>
              <w:rPr>
                <w:szCs w:val="22"/>
                <w:lang w:val="nb-NO"/>
              </w:rPr>
            </w:pPr>
            <w:r w:rsidRPr="00AF302A">
              <w:rPr>
                <w:szCs w:val="22"/>
                <w:lang w:val="nb-NO"/>
              </w:rPr>
              <w:t xml:space="preserve">≥ 0,1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9E2F09" w14:textId="77777777" w:rsidR="009C0072" w:rsidRPr="00AF302A" w:rsidRDefault="009C0072">
            <w:pPr>
              <w:pStyle w:val="wcpTableContent"/>
              <w:jc w:val="center"/>
              <w:rPr>
                <w:szCs w:val="22"/>
                <w:lang w:val="nb-NO"/>
              </w:rPr>
            </w:pPr>
            <w:r w:rsidRPr="00AF302A">
              <w:rPr>
                <w:szCs w:val="22"/>
                <w:lang w:val="nb-NO"/>
              </w:rPr>
              <w:t>97,3</w:t>
            </w:r>
          </w:p>
        </w:tc>
        <w:tc>
          <w:tcPr>
            <w:tcW w:w="992" w:type="dxa"/>
            <w:tcBorders>
              <w:top w:val="single" w:sz="6" w:space="0" w:color="auto"/>
              <w:left w:val="single" w:sz="6" w:space="0" w:color="auto"/>
              <w:bottom w:val="single" w:sz="6" w:space="0" w:color="auto"/>
              <w:right w:val="single" w:sz="6" w:space="0" w:color="auto"/>
            </w:tcBorders>
            <w:vAlign w:val="center"/>
            <w:hideMark/>
          </w:tcPr>
          <w:p w14:paraId="367F1C60" w14:textId="77777777" w:rsidR="009C0072" w:rsidRPr="00AF302A" w:rsidRDefault="009C0072">
            <w:pPr>
              <w:pStyle w:val="wcpTableContent"/>
              <w:jc w:val="center"/>
              <w:rPr>
                <w:szCs w:val="22"/>
                <w:lang w:val="nb-NO"/>
              </w:rPr>
            </w:pPr>
            <w:r w:rsidRPr="00AF302A">
              <w:rPr>
                <w:szCs w:val="22"/>
                <w:lang w:val="nb-NO"/>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57059E1" w14:textId="77777777" w:rsidR="009C0072" w:rsidRPr="00AF302A" w:rsidRDefault="009C0072">
            <w:pPr>
              <w:pStyle w:val="wcpTableContent"/>
              <w:jc w:val="center"/>
              <w:rPr>
                <w:szCs w:val="22"/>
                <w:lang w:val="nb-NO"/>
              </w:rPr>
            </w:pPr>
            <w:r w:rsidRPr="00AF302A">
              <w:rPr>
                <w:szCs w:val="22"/>
                <w:lang w:val="nb-NO"/>
              </w:rPr>
              <w:t>100</w:t>
            </w:r>
          </w:p>
        </w:tc>
        <w:tc>
          <w:tcPr>
            <w:tcW w:w="950" w:type="dxa"/>
            <w:tcBorders>
              <w:top w:val="single" w:sz="6" w:space="0" w:color="auto"/>
              <w:left w:val="single" w:sz="6" w:space="0" w:color="auto"/>
              <w:bottom w:val="single" w:sz="6" w:space="0" w:color="auto"/>
              <w:right w:val="single" w:sz="6" w:space="0" w:color="auto"/>
            </w:tcBorders>
            <w:vAlign w:val="center"/>
            <w:hideMark/>
          </w:tcPr>
          <w:p w14:paraId="0234DFC3" w14:textId="77777777" w:rsidR="009C0072" w:rsidRPr="00AF302A" w:rsidRDefault="009C0072">
            <w:pPr>
              <w:pStyle w:val="wcpTableContent"/>
              <w:jc w:val="center"/>
              <w:rPr>
                <w:szCs w:val="22"/>
                <w:lang w:val="nb-NO"/>
              </w:rPr>
            </w:pPr>
            <w:r w:rsidRPr="00AF302A">
              <w:rPr>
                <w:szCs w:val="22"/>
                <w:lang w:val="nb-NO"/>
              </w:rPr>
              <w:t>100</w:t>
            </w:r>
          </w:p>
        </w:tc>
        <w:tc>
          <w:tcPr>
            <w:tcW w:w="922" w:type="dxa"/>
            <w:tcBorders>
              <w:top w:val="single" w:sz="6" w:space="0" w:color="auto"/>
              <w:left w:val="single" w:sz="6" w:space="0" w:color="auto"/>
              <w:bottom w:val="single" w:sz="6" w:space="0" w:color="auto"/>
              <w:right w:val="single" w:sz="6" w:space="0" w:color="auto"/>
            </w:tcBorders>
            <w:vAlign w:val="center"/>
            <w:hideMark/>
          </w:tcPr>
          <w:p w14:paraId="4178F935" w14:textId="77777777" w:rsidR="009C0072" w:rsidRPr="00AF302A" w:rsidRDefault="009C0072">
            <w:pPr>
              <w:pStyle w:val="wcpTableContent"/>
              <w:jc w:val="center"/>
              <w:rPr>
                <w:szCs w:val="22"/>
                <w:lang w:val="nb-NO"/>
              </w:rPr>
            </w:pPr>
            <w:r w:rsidRPr="00AF302A">
              <w:rPr>
                <w:szCs w:val="22"/>
                <w:lang w:val="nb-NO"/>
              </w:rPr>
              <w:t>99,0</w:t>
            </w:r>
          </w:p>
        </w:tc>
        <w:tc>
          <w:tcPr>
            <w:tcW w:w="1105" w:type="dxa"/>
            <w:tcBorders>
              <w:top w:val="single" w:sz="6" w:space="0" w:color="auto"/>
              <w:left w:val="single" w:sz="6" w:space="0" w:color="auto"/>
              <w:bottom w:val="single" w:sz="6" w:space="0" w:color="auto"/>
              <w:right w:val="single" w:sz="6" w:space="0" w:color="auto"/>
            </w:tcBorders>
            <w:vAlign w:val="center"/>
            <w:hideMark/>
          </w:tcPr>
          <w:p w14:paraId="58FD3707" w14:textId="77777777" w:rsidR="009C0072" w:rsidRPr="00AF302A" w:rsidRDefault="009C0072">
            <w:pPr>
              <w:pStyle w:val="wcpTableContent"/>
              <w:jc w:val="center"/>
              <w:rPr>
                <w:szCs w:val="22"/>
                <w:lang w:val="nb-NO"/>
              </w:rPr>
            </w:pPr>
            <w:r w:rsidRPr="00AF302A">
              <w:rPr>
                <w:szCs w:val="22"/>
                <w:lang w:val="nb-NO"/>
              </w:rPr>
              <w:t>97,1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534F10C" w14:textId="77777777" w:rsidR="009C0072" w:rsidRPr="00AF302A" w:rsidRDefault="009C0072">
            <w:pPr>
              <w:pStyle w:val="wcpTableContent"/>
              <w:jc w:val="center"/>
              <w:rPr>
                <w:szCs w:val="22"/>
                <w:lang w:val="nb-NO"/>
              </w:rPr>
            </w:pPr>
            <w:r w:rsidRPr="00AF302A">
              <w:rPr>
                <w:szCs w:val="22"/>
                <w:lang w:val="nb-NO"/>
              </w:rPr>
              <w:t>100</w:t>
            </w:r>
          </w:p>
        </w:tc>
      </w:tr>
      <w:tr w:rsidR="009C0072" w:rsidRPr="00AF302A" w14:paraId="093FD16F" w14:textId="77777777" w:rsidTr="009C0072">
        <w:tc>
          <w:tcPr>
            <w:tcW w:w="1384" w:type="dxa"/>
            <w:tcBorders>
              <w:top w:val="single" w:sz="6" w:space="0" w:color="auto"/>
              <w:left w:val="single" w:sz="6" w:space="0" w:color="auto"/>
              <w:bottom w:val="single" w:sz="6" w:space="0" w:color="auto"/>
              <w:right w:val="single" w:sz="6" w:space="0" w:color="auto"/>
            </w:tcBorders>
            <w:hideMark/>
          </w:tcPr>
          <w:p w14:paraId="10594FF9" w14:textId="77777777" w:rsidR="009C0072" w:rsidRPr="00AF302A" w:rsidRDefault="009C0072">
            <w:pPr>
              <w:pStyle w:val="wcpTableColHeader"/>
              <w:spacing w:before="20" w:after="20"/>
              <w:jc w:val="left"/>
              <w:rPr>
                <w:szCs w:val="22"/>
                <w:lang w:val="nb-NO"/>
              </w:rPr>
            </w:pPr>
            <w:r w:rsidRPr="00AF302A">
              <w:rPr>
                <w:szCs w:val="22"/>
                <w:lang w:val="nb-NO"/>
              </w:rPr>
              <w:t>Pertussis</w:t>
            </w:r>
          </w:p>
          <w:p w14:paraId="4D5DACE4" w14:textId="77777777" w:rsidR="009C0072" w:rsidRPr="00AF302A" w:rsidRDefault="009C0072">
            <w:pPr>
              <w:pStyle w:val="wcpTableRowHeader"/>
              <w:rPr>
                <w:szCs w:val="22"/>
                <w:lang w:val="nb-NO"/>
              </w:rPr>
            </w:pPr>
            <w:r w:rsidRPr="00AF302A">
              <w:rPr>
                <w:b w:val="0"/>
                <w:szCs w:val="22"/>
                <w:lang w:val="nb-NO"/>
              </w:rPr>
              <w:t>(ELISA, EL.E/ml)</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DBE91D4" w14:textId="77777777" w:rsidR="009C0072" w:rsidRPr="00AF302A" w:rsidRDefault="009C0072">
            <w:pPr>
              <w:pStyle w:val="wcpTableContent"/>
              <w:rPr>
                <w:szCs w:val="22"/>
                <w:lang w:val="nb-NO"/>
              </w:rPr>
            </w:pPr>
            <w:r w:rsidRPr="00AF302A">
              <w:rPr>
                <w:szCs w:val="22"/>
                <w:lang w:val="nb-NO"/>
              </w:rPr>
              <w:t>Sero-positivitet</w:t>
            </w:r>
            <w:r w:rsidRPr="00AF302A">
              <w:rPr>
                <w:szCs w:val="22"/>
                <w:vertAlign w:val="superscript"/>
                <w:lang w:val="nb-NO"/>
              </w:rPr>
              <w:t>4</w:t>
            </w:r>
          </w:p>
        </w:tc>
        <w:tc>
          <w:tcPr>
            <w:tcW w:w="1134" w:type="dxa"/>
            <w:tcBorders>
              <w:top w:val="single" w:sz="6" w:space="0" w:color="auto"/>
              <w:left w:val="single" w:sz="6" w:space="0" w:color="auto"/>
              <w:bottom w:val="nil"/>
              <w:right w:val="single" w:sz="6" w:space="0" w:color="auto"/>
            </w:tcBorders>
          </w:tcPr>
          <w:p w14:paraId="32ED342E" w14:textId="77777777" w:rsidR="009C0072" w:rsidRPr="00AF302A" w:rsidRDefault="009C0072">
            <w:pPr>
              <w:pStyle w:val="wcpTableContent"/>
              <w:jc w:val="center"/>
              <w:rPr>
                <w:szCs w:val="22"/>
                <w:lang w:val="en-GB"/>
              </w:rPr>
            </w:pPr>
          </w:p>
        </w:tc>
        <w:tc>
          <w:tcPr>
            <w:tcW w:w="992" w:type="dxa"/>
            <w:tcBorders>
              <w:top w:val="single" w:sz="6" w:space="0" w:color="auto"/>
              <w:left w:val="single" w:sz="6" w:space="0" w:color="auto"/>
              <w:bottom w:val="nil"/>
              <w:right w:val="single" w:sz="6" w:space="0" w:color="auto"/>
            </w:tcBorders>
          </w:tcPr>
          <w:p w14:paraId="50F78B19" w14:textId="77777777" w:rsidR="009C0072" w:rsidRPr="00AF302A" w:rsidRDefault="009C0072">
            <w:pPr>
              <w:pStyle w:val="wcpTableContent"/>
              <w:jc w:val="center"/>
              <w:rPr>
                <w:szCs w:val="22"/>
                <w:lang w:val="en-GB"/>
              </w:rPr>
            </w:pPr>
          </w:p>
        </w:tc>
        <w:tc>
          <w:tcPr>
            <w:tcW w:w="1134" w:type="dxa"/>
            <w:tcBorders>
              <w:top w:val="single" w:sz="6" w:space="0" w:color="auto"/>
              <w:left w:val="single" w:sz="6" w:space="0" w:color="auto"/>
              <w:bottom w:val="nil"/>
              <w:right w:val="single" w:sz="6" w:space="0" w:color="auto"/>
            </w:tcBorders>
          </w:tcPr>
          <w:p w14:paraId="43A01560" w14:textId="77777777" w:rsidR="009C0072" w:rsidRPr="00AF302A" w:rsidRDefault="009C0072">
            <w:pPr>
              <w:pStyle w:val="wcpTableContent"/>
              <w:jc w:val="center"/>
              <w:rPr>
                <w:szCs w:val="22"/>
                <w:lang w:val="en-GB"/>
              </w:rPr>
            </w:pPr>
          </w:p>
        </w:tc>
        <w:tc>
          <w:tcPr>
            <w:tcW w:w="950" w:type="dxa"/>
            <w:tcBorders>
              <w:top w:val="single" w:sz="6" w:space="0" w:color="auto"/>
              <w:left w:val="single" w:sz="6" w:space="0" w:color="auto"/>
              <w:bottom w:val="nil"/>
              <w:right w:val="single" w:sz="6" w:space="0" w:color="auto"/>
            </w:tcBorders>
          </w:tcPr>
          <w:p w14:paraId="6F60CECD" w14:textId="77777777" w:rsidR="009C0072" w:rsidRPr="00AF302A" w:rsidRDefault="009C0072">
            <w:pPr>
              <w:pStyle w:val="wcpTableContent"/>
              <w:jc w:val="center"/>
              <w:rPr>
                <w:szCs w:val="22"/>
                <w:lang w:val="en-GB"/>
              </w:rPr>
            </w:pPr>
          </w:p>
        </w:tc>
        <w:tc>
          <w:tcPr>
            <w:tcW w:w="922" w:type="dxa"/>
            <w:tcBorders>
              <w:top w:val="single" w:sz="6" w:space="0" w:color="auto"/>
              <w:left w:val="single" w:sz="6" w:space="0" w:color="auto"/>
              <w:bottom w:val="nil"/>
              <w:right w:val="single" w:sz="6" w:space="0" w:color="auto"/>
            </w:tcBorders>
          </w:tcPr>
          <w:p w14:paraId="6FEA80E3" w14:textId="77777777" w:rsidR="009C0072" w:rsidRPr="00AF302A" w:rsidRDefault="009C0072">
            <w:pPr>
              <w:pStyle w:val="wcpTableContent"/>
              <w:jc w:val="center"/>
              <w:rPr>
                <w:szCs w:val="22"/>
                <w:lang w:val="en-GB"/>
              </w:rPr>
            </w:pPr>
          </w:p>
        </w:tc>
        <w:tc>
          <w:tcPr>
            <w:tcW w:w="1105" w:type="dxa"/>
            <w:tcBorders>
              <w:top w:val="single" w:sz="6" w:space="0" w:color="auto"/>
              <w:left w:val="single" w:sz="6" w:space="0" w:color="auto"/>
              <w:bottom w:val="nil"/>
              <w:right w:val="single" w:sz="6" w:space="0" w:color="auto"/>
            </w:tcBorders>
          </w:tcPr>
          <w:p w14:paraId="125F6C65" w14:textId="77777777" w:rsidR="009C0072" w:rsidRPr="00AF302A" w:rsidRDefault="009C0072">
            <w:pPr>
              <w:pStyle w:val="wcpTableContent"/>
              <w:jc w:val="center"/>
              <w:rPr>
                <w:szCs w:val="22"/>
                <w:lang w:val="en-GB"/>
              </w:rPr>
            </w:pPr>
          </w:p>
        </w:tc>
        <w:tc>
          <w:tcPr>
            <w:tcW w:w="1134" w:type="dxa"/>
            <w:tcBorders>
              <w:top w:val="single" w:sz="6" w:space="0" w:color="auto"/>
              <w:left w:val="single" w:sz="6" w:space="0" w:color="auto"/>
              <w:bottom w:val="nil"/>
              <w:right w:val="single" w:sz="6" w:space="0" w:color="auto"/>
            </w:tcBorders>
          </w:tcPr>
          <w:p w14:paraId="71CE0FC4" w14:textId="77777777" w:rsidR="009C0072" w:rsidRPr="00AF302A" w:rsidRDefault="009C0072">
            <w:pPr>
              <w:pStyle w:val="wcpTableContent"/>
              <w:jc w:val="center"/>
              <w:rPr>
                <w:szCs w:val="22"/>
                <w:lang w:val="en-GB"/>
              </w:rPr>
            </w:pPr>
          </w:p>
        </w:tc>
      </w:tr>
      <w:tr w:rsidR="009C0072" w:rsidRPr="00AF302A" w14:paraId="50CB271A" w14:textId="77777777" w:rsidTr="009C0072">
        <w:tc>
          <w:tcPr>
            <w:tcW w:w="1384" w:type="dxa"/>
            <w:tcBorders>
              <w:top w:val="single" w:sz="6" w:space="0" w:color="auto"/>
              <w:left w:val="single" w:sz="6" w:space="0" w:color="auto"/>
              <w:bottom w:val="single" w:sz="6" w:space="0" w:color="auto"/>
              <w:right w:val="single" w:sz="6" w:space="0" w:color="auto"/>
            </w:tcBorders>
            <w:hideMark/>
          </w:tcPr>
          <w:p w14:paraId="70525348" w14:textId="77777777" w:rsidR="009C0072" w:rsidRPr="00AF302A" w:rsidRDefault="009C0072">
            <w:pPr>
              <w:pStyle w:val="wcpTableRowHeader"/>
              <w:ind w:left="270"/>
              <w:rPr>
                <w:szCs w:val="22"/>
                <w:lang w:val="nb-NO"/>
              </w:rPr>
            </w:pPr>
            <w:r w:rsidRPr="00AF302A">
              <w:rPr>
                <w:szCs w:val="22"/>
                <w:lang w:val="nb-NO"/>
              </w:rPr>
              <w:t>PT</w:t>
            </w: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2151E7B2" w14:textId="77777777" w:rsidR="009C0072" w:rsidRPr="00AF302A" w:rsidRDefault="009C0072">
            <w:pPr>
              <w:rPr>
                <w:sz w:val="22"/>
                <w:szCs w:val="22"/>
                <w:lang w:val="nb-NO"/>
              </w:rPr>
            </w:pPr>
          </w:p>
        </w:tc>
        <w:tc>
          <w:tcPr>
            <w:tcW w:w="1134" w:type="dxa"/>
            <w:tcBorders>
              <w:top w:val="nil"/>
              <w:left w:val="single" w:sz="6" w:space="0" w:color="auto"/>
              <w:bottom w:val="single" w:sz="6" w:space="0" w:color="auto"/>
              <w:right w:val="single" w:sz="6" w:space="0" w:color="auto"/>
            </w:tcBorders>
            <w:hideMark/>
          </w:tcPr>
          <w:p w14:paraId="5E3258ED" w14:textId="77777777" w:rsidR="009C0072" w:rsidRPr="00AF302A" w:rsidRDefault="009C0072">
            <w:pPr>
              <w:pStyle w:val="wcpTableContent"/>
              <w:jc w:val="center"/>
              <w:rPr>
                <w:szCs w:val="22"/>
                <w:lang w:val="nb-NO"/>
              </w:rPr>
            </w:pPr>
            <w:r w:rsidRPr="00AF302A">
              <w:rPr>
                <w:szCs w:val="22"/>
                <w:lang w:val="nb-NO"/>
              </w:rPr>
              <w:t>63,3</w:t>
            </w:r>
          </w:p>
        </w:tc>
        <w:tc>
          <w:tcPr>
            <w:tcW w:w="992" w:type="dxa"/>
            <w:tcBorders>
              <w:top w:val="nil"/>
              <w:left w:val="single" w:sz="6" w:space="0" w:color="auto"/>
              <w:bottom w:val="single" w:sz="6" w:space="0" w:color="auto"/>
              <w:right w:val="single" w:sz="6" w:space="0" w:color="auto"/>
            </w:tcBorders>
            <w:hideMark/>
          </w:tcPr>
          <w:p w14:paraId="4C8A5DF4" w14:textId="77777777" w:rsidR="009C0072" w:rsidRPr="00AF302A" w:rsidRDefault="009C0072">
            <w:pPr>
              <w:pStyle w:val="wcpTableContent"/>
              <w:jc w:val="center"/>
              <w:rPr>
                <w:szCs w:val="22"/>
                <w:lang w:val="nb-NO"/>
              </w:rPr>
            </w:pPr>
            <w:r w:rsidRPr="00AF302A">
              <w:rPr>
                <w:szCs w:val="22"/>
                <w:lang w:val="nb-NO"/>
              </w:rPr>
              <w:t>97,3</w:t>
            </w:r>
          </w:p>
        </w:tc>
        <w:tc>
          <w:tcPr>
            <w:tcW w:w="1134" w:type="dxa"/>
            <w:tcBorders>
              <w:top w:val="nil"/>
              <w:left w:val="single" w:sz="6" w:space="0" w:color="auto"/>
              <w:bottom w:val="single" w:sz="6" w:space="0" w:color="auto"/>
              <w:right w:val="single" w:sz="6" w:space="0" w:color="auto"/>
            </w:tcBorders>
            <w:hideMark/>
          </w:tcPr>
          <w:p w14:paraId="73433C05" w14:textId="77777777" w:rsidR="009C0072" w:rsidRPr="00AF302A" w:rsidRDefault="009C0072">
            <w:pPr>
              <w:pStyle w:val="wcpTableContent"/>
              <w:jc w:val="center"/>
              <w:rPr>
                <w:szCs w:val="22"/>
                <w:lang w:val="nb-NO"/>
              </w:rPr>
            </w:pPr>
            <w:r w:rsidRPr="00AF302A">
              <w:rPr>
                <w:szCs w:val="22"/>
                <w:lang w:val="nb-NO"/>
              </w:rPr>
              <w:t>85,4</w:t>
            </w:r>
          </w:p>
        </w:tc>
        <w:tc>
          <w:tcPr>
            <w:tcW w:w="950" w:type="dxa"/>
            <w:tcBorders>
              <w:top w:val="nil"/>
              <w:left w:val="single" w:sz="6" w:space="0" w:color="auto"/>
              <w:bottom w:val="single" w:sz="6" w:space="0" w:color="auto"/>
              <w:right w:val="single" w:sz="6" w:space="0" w:color="auto"/>
            </w:tcBorders>
            <w:hideMark/>
          </w:tcPr>
          <w:p w14:paraId="7562789C" w14:textId="77777777" w:rsidR="009C0072" w:rsidRPr="00AF302A" w:rsidRDefault="009C0072">
            <w:pPr>
              <w:pStyle w:val="wcpTableContent"/>
              <w:jc w:val="center"/>
              <w:rPr>
                <w:szCs w:val="22"/>
                <w:lang w:val="nb-NO"/>
              </w:rPr>
            </w:pPr>
            <w:r w:rsidRPr="00AF302A">
              <w:rPr>
                <w:szCs w:val="22"/>
                <w:lang w:val="nb-NO"/>
              </w:rPr>
              <w:t>82,1</w:t>
            </w:r>
          </w:p>
        </w:tc>
        <w:tc>
          <w:tcPr>
            <w:tcW w:w="922" w:type="dxa"/>
            <w:tcBorders>
              <w:top w:val="nil"/>
              <w:left w:val="single" w:sz="6" w:space="0" w:color="auto"/>
              <w:bottom w:val="single" w:sz="6" w:space="0" w:color="auto"/>
              <w:right w:val="single" w:sz="6" w:space="0" w:color="auto"/>
            </w:tcBorders>
            <w:hideMark/>
          </w:tcPr>
          <w:p w14:paraId="5DB9EEFB" w14:textId="77777777" w:rsidR="009C0072" w:rsidRPr="00AF302A" w:rsidRDefault="009C0072">
            <w:pPr>
              <w:pStyle w:val="wcpTableContent"/>
              <w:jc w:val="center"/>
              <w:rPr>
                <w:szCs w:val="22"/>
                <w:lang w:val="nb-NO"/>
              </w:rPr>
            </w:pPr>
            <w:r w:rsidRPr="00AF302A">
              <w:rPr>
                <w:szCs w:val="22"/>
                <w:lang w:val="nb-NO"/>
              </w:rPr>
              <w:t>94,2</w:t>
            </w:r>
          </w:p>
        </w:tc>
        <w:tc>
          <w:tcPr>
            <w:tcW w:w="1105" w:type="dxa"/>
            <w:tcBorders>
              <w:top w:val="nil"/>
              <w:left w:val="single" w:sz="6" w:space="0" w:color="auto"/>
              <w:bottom w:val="single" w:sz="6" w:space="0" w:color="auto"/>
              <w:right w:val="single" w:sz="6" w:space="0" w:color="auto"/>
            </w:tcBorders>
            <w:hideMark/>
          </w:tcPr>
          <w:p w14:paraId="41120C31" w14:textId="77777777" w:rsidR="009C0072" w:rsidRPr="00AF302A" w:rsidRDefault="009C0072">
            <w:pPr>
              <w:pStyle w:val="wcpTableContent"/>
              <w:jc w:val="center"/>
              <w:rPr>
                <w:szCs w:val="22"/>
                <w:lang w:val="nb-NO"/>
              </w:rPr>
            </w:pPr>
            <w:r w:rsidRPr="00AF302A">
              <w:rPr>
                <w:szCs w:val="22"/>
                <w:lang w:val="nb-NO"/>
              </w:rPr>
              <w:t>89,1</w:t>
            </w:r>
          </w:p>
        </w:tc>
        <w:tc>
          <w:tcPr>
            <w:tcW w:w="1134" w:type="dxa"/>
            <w:tcBorders>
              <w:top w:val="nil"/>
              <w:left w:val="single" w:sz="6" w:space="0" w:color="auto"/>
              <w:bottom w:val="single" w:sz="6" w:space="0" w:color="auto"/>
              <w:right w:val="single" w:sz="6" w:space="0" w:color="auto"/>
            </w:tcBorders>
            <w:hideMark/>
          </w:tcPr>
          <w:p w14:paraId="6C6A9B0D" w14:textId="77777777" w:rsidR="009C0072" w:rsidRPr="00AF302A" w:rsidRDefault="009C0072">
            <w:pPr>
              <w:pStyle w:val="wcpTableContent"/>
              <w:jc w:val="center"/>
              <w:rPr>
                <w:szCs w:val="22"/>
                <w:lang w:val="nb-NO"/>
              </w:rPr>
            </w:pPr>
            <w:r w:rsidRPr="00AF302A">
              <w:rPr>
                <w:szCs w:val="22"/>
                <w:lang w:val="nb-NO"/>
              </w:rPr>
              <w:t>85,8</w:t>
            </w:r>
          </w:p>
        </w:tc>
      </w:tr>
      <w:tr w:rsidR="009C0072" w:rsidRPr="00AF302A" w14:paraId="14D5A362" w14:textId="77777777" w:rsidTr="009C0072">
        <w:tc>
          <w:tcPr>
            <w:tcW w:w="1384" w:type="dxa"/>
            <w:tcBorders>
              <w:top w:val="single" w:sz="6" w:space="0" w:color="auto"/>
              <w:left w:val="single" w:sz="6" w:space="0" w:color="auto"/>
              <w:bottom w:val="single" w:sz="6" w:space="0" w:color="auto"/>
              <w:right w:val="single" w:sz="6" w:space="0" w:color="auto"/>
            </w:tcBorders>
            <w:hideMark/>
          </w:tcPr>
          <w:p w14:paraId="1CA7E125" w14:textId="77777777" w:rsidR="009C0072" w:rsidRPr="00AF302A" w:rsidRDefault="009C0072">
            <w:pPr>
              <w:pStyle w:val="wcpTableRowHeader"/>
              <w:ind w:left="270"/>
              <w:rPr>
                <w:szCs w:val="22"/>
                <w:lang w:val="nb-NO"/>
              </w:rPr>
            </w:pPr>
            <w:r w:rsidRPr="00AF302A">
              <w:rPr>
                <w:szCs w:val="22"/>
                <w:lang w:val="nb-NO"/>
              </w:rPr>
              <w:t>FHA</w:t>
            </w: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F7513F7" w14:textId="77777777" w:rsidR="009C0072" w:rsidRPr="00AF302A" w:rsidRDefault="009C0072">
            <w:pPr>
              <w:rPr>
                <w:sz w:val="22"/>
                <w:szCs w:val="22"/>
                <w:lang w:val="nb-NO"/>
              </w:rPr>
            </w:pPr>
          </w:p>
        </w:tc>
        <w:tc>
          <w:tcPr>
            <w:tcW w:w="1134" w:type="dxa"/>
            <w:tcBorders>
              <w:top w:val="single" w:sz="6" w:space="0" w:color="auto"/>
              <w:left w:val="single" w:sz="6" w:space="0" w:color="auto"/>
              <w:bottom w:val="single" w:sz="6" w:space="0" w:color="auto"/>
              <w:right w:val="single" w:sz="6" w:space="0" w:color="auto"/>
            </w:tcBorders>
            <w:hideMark/>
          </w:tcPr>
          <w:p w14:paraId="798BEE87" w14:textId="77777777" w:rsidR="009C0072" w:rsidRPr="00AF302A" w:rsidRDefault="009C0072">
            <w:pPr>
              <w:pStyle w:val="wcpTableContent"/>
              <w:jc w:val="center"/>
              <w:rPr>
                <w:szCs w:val="22"/>
                <w:lang w:val="nb-NO"/>
              </w:rPr>
            </w:pPr>
            <w:r w:rsidRPr="00AF302A">
              <w:rPr>
                <w:szCs w:val="22"/>
                <w:lang w:val="nb-NO"/>
              </w:rPr>
              <w:t>97,3</w:t>
            </w:r>
          </w:p>
        </w:tc>
        <w:tc>
          <w:tcPr>
            <w:tcW w:w="992" w:type="dxa"/>
            <w:tcBorders>
              <w:top w:val="single" w:sz="6" w:space="0" w:color="auto"/>
              <w:left w:val="single" w:sz="6" w:space="0" w:color="auto"/>
              <w:bottom w:val="single" w:sz="6" w:space="0" w:color="auto"/>
              <w:right w:val="single" w:sz="6" w:space="0" w:color="auto"/>
            </w:tcBorders>
            <w:hideMark/>
          </w:tcPr>
          <w:p w14:paraId="084A9E5E" w14:textId="77777777" w:rsidR="009C0072" w:rsidRPr="00AF302A" w:rsidRDefault="009C0072">
            <w:pPr>
              <w:pStyle w:val="wcpTableContent"/>
              <w:jc w:val="center"/>
              <w:rPr>
                <w:szCs w:val="22"/>
                <w:lang w:val="nb-NO"/>
              </w:rPr>
            </w:pPr>
            <w:r w:rsidRPr="00AF302A">
              <w:rPr>
                <w:szCs w:val="22"/>
                <w:lang w:val="nb-NO"/>
              </w:rPr>
              <w:t>100</w:t>
            </w:r>
          </w:p>
        </w:tc>
        <w:tc>
          <w:tcPr>
            <w:tcW w:w="1134" w:type="dxa"/>
            <w:tcBorders>
              <w:top w:val="single" w:sz="6" w:space="0" w:color="auto"/>
              <w:left w:val="single" w:sz="6" w:space="0" w:color="auto"/>
              <w:bottom w:val="single" w:sz="6" w:space="0" w:color="auto"/>
              <w:right w:val="single" w:sz="6" w:space="0" w:color="auto"/>
            </w:tcBorders>
            <w:hideMark/>
          </w:tcPr>
          <w:p w14:paraId="31AA303A" w14:textId="77777777" w:rsidR="009C0072" w:rsidRPr="00AF302A" w:rsidRDefault="009C0072">
            <w:pPr>
              <w:pStyle w:val="wcpTableContent"/>
              <w:jc w:val="center"/>
              <w:rPr>
                <w:szCs w:val="22"/>
                <w:lang w:val="nb-NO"/>
              </w:rPr>
            </w:pPr>
            <w:r w:rsidRPr="00AF302A">
              <w:rPr>
                <w:szCs w:val="22"/>
                <w:lang w:val="nb-NO"/>
              </w:rPr>
              <w:t>99,5</w:t>
            </w:r>
          </w:p>
        </w:tc>
        <w:tc>
          <w:tcPr>
            <w:tcW w:w="950" w:type="dxa"/>
            <w:tcBorders>
              <w:top w:val="single" w:sz="6" w:space="0" w:color="auto"/>
              <w:left w:val="single" w:sz="6" w:space="0" w:color="auto"/>
              <w:bottom w:val="single" w:sz="6" w:space="0" w:color="auto"/>
              <w:right w:val="single" w:sz="6" w:space="0" w:color="auto"/>
            </w:tcBorders>
            <w:hideMark/>
          </w:tcPr>
          <w:p w14:paraId="6908DDC3" w14:textId="77777777" w:rsidR="009C0072" w:rsidRPr="00AF302A" w:rsidRDefault="009C0072">
            <w:pPr>
              <w:pStyle w:val="wcpTableContent"/>
              <w:jc w:val="center"/>
              <w:rPr>
                <w:szCs w:val="22"/>
                <w:lang w:val="nb-NO"/>
              </w:rPr>
            </w:pPr>
            <w:r w:rsidRPr="00AF302A">
              <w:rPr>
                <w:szCs w:val="22"/>
                <w:lang w:val="nb-NO"/>
              </w:rPr>
              <w:t>100</w:t>
            </w:r>
          </w:p>
        </w:tc>
        <w:tc>
          <w:tcPr>
            <w:tcW w:w="922" w:type="dxa"/>
            <w:tcBorders>
              <w:top w:val="single" w:sz="6" w:space="0" w:color="auto"/>
              <w:left w:val="single" w:sz="6" w:space="0" w:color="auto"/>
              <w:bottom w:val="single" w:sz="6" w:space="0" w:color="auto"/>
              <w:right w:val="single" w:sz="6" w:space="0" w:color="auto"/>
            </w:tcBorders>
            <w:hideMark/>
          </w:tcPr>
          <w:p w14:paraId="143060A1" w14:textId="77777777" w:rsidR="009C0072" w:rsidRPr="00AF302A" w:rsidRDefault="009C0072">
            <w:pPr>
              <w:pStyle w:val="wcpTableContent"/>
              <w:jc w:val="center"/>
              <w:rPr>
                <w:szCs w:val="22"/>
                <w:lang w:val="nb-NO"/>
              </w:rPr>
            </w:pPr>
            <w:r w:rsidRPr="00AF302A">
              <w:rPr>
                <w:szCs w:val="22"/>
                <w:lang w:val="nb-NO"/>
              </w:rPr>
              <w:t>99,3</w:t>
            </w:r>
          </w:p>
        </w:tc>
        <w:tc>
          <w:tcPr>
            <w:tcW w:w="1105" w:type="dxa"/>
            <w:tcBorders>
              <w:top w:val="single" w:sz="6" w:space="0" w:color="auto"/>
              <w:left w:val="single" w:sz="6" w:space="0" w:color="auto"/>
              <w:bottom w:val="single" w:sz="6" w:space="0" w:color="auto"/>
              <w:right w:val="single" w:sz="6" w:space="0" w:color="auto"/>
            </w:tcBorders>
            <w:hideMark/>
          </w:tcPr>
          <w:p w14:paraId="1EF7AB5A" w14:textId="77777777" w:rsidR="009C0072" w:rsidRPr="00AF302A" w:rsidRDefault="009C0072">
            <w:pPr>
              <w:pStyle w:val="wcpTableContent"/>
              <w:jc w:val="center"/>
              <w:rPr>
                <w:szCs w:val="22"/>
                <w:lang w:val="nb-NO"/>
              </w:rPr>
            </w:pPr>
            <w:r w:rsidRPr="00AF302A">
              <w:rPr>
                <w:szCs w:val="22"/>
                <w:lang w:val="nb-NO"/>
              </w:rPr>
              <w:t>100</w:t>
            </w:r>
          </w:p>
        </w:tc>
        <w:tc>
          <w:tcPr>
            <w:tcW w:w="1134" w:type="dxa"/>
            <w:tcBorders>
              <w:top w:val="single" w:sz="6" w:space="0" w:color="auto"/>
              <w:left w:val="single" w:sz="6" w:space="0" w:color="auto"/>
              <w:bottom w:val="single" w:sz="6" w:space="0" w:color="auto"/>
              <w:right w:val="single" w:sz="6" w:space="0" w:color="auto"/>
            </w:tcBorders>
            <w:hideMark/>
          </w:tcPr>
          <w:p w14:paraId="1E754B47" w14:textId="77777777" w:rsidR="009C0072" w:rsidRPr="00AF302A" w:rsidRDefault="009C0072">
            <w:pPr>
              <w:pStyle w:val="wcpTableContent"/>
              <w:jc w:val="center"/>
              <w:rPr>
                <w:szCs w:val="22"/>
                <w:lang w:val="nb-NO"/>
              </w:rPr>
            </w:pPr>
            <w:r w:rsidRPr="00AF302A">
              <w:rPr>
                <w:szCs w:val="22"/>
                <w:lang w:val="nb-NO"/>
              </w:rPr>
              <w:t>100</w:t>
            </w:r>
          </w:p>
        </w:tc>
      </w:tr>
      <w:tr w:rsidR="009C0072" w:rsidRPr="00AF302A" w14:paraId="71ED7553" w14:textId="77777777" w:rsidTr="009C0072">
        <w:tc>
          <w:tcPr>
            <w:tcW w:w="1384" w:type="dxa"/>
            <w:tcBorders>
              <w:top w:val="single" w:sz="6" w:space="0" w:color="auto"/>
              <w:left w:val="single" w:sz="6" w:space="0" w:color="auto"/>
              <w:bottom w:val="single" w:sz="6" w:space="0" w:color="auto"/>
              <w:right w:val="single" w:sz="6" w:space="0" w:color="auto"/>
            </w:tcBorders>
            <w:hideMark/>
          </w:tcPr>
          <w:p w14:paraId="62E9B01B" w14:textId="77777777" w:rsidR="009C0072" w:rsidRPr="00AF302A" w:rsidRDefault="009C0072">
            <w:pPr>
              <w:pStyle w:val="wcpTableRowHeader"/>
              <w:ind w:left="270"/>
              <w:rPr>
                <w:szCs w:val="22"/>
                <w:lang w:val="nb-NO"/>
              </w:rPr>
            </w:pPr>
            <w:r w:rsidRPr="00AF302A">
              <w:rPr>
                <w:szCs w:val="22"/>
                <w:lang w:val="nb-NO"/>
              </w:rPr>
              <w:t>PRN</w:t>
            </w: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3A15DCEB" w14:textId="77777777" w:rsidR="009C0072" w:rsidRPr="00AF302A" w:rsidRDefault="009C0072">
            <w:pPr>
              <w:rPr>
                <w:sz w:val="22"/>
                <w:szCs w:val="22"/>
                <w:lang w:val="nb-NO"/>
              </w:rPr>
            </w:pPr>
          </w:p>
        </w:tc>
        <w:tc>
          <w:tcPr>
            <w:tcW w:w="1134" w:type="dxa"/>
            <w:tcBorders>
              <w:top w:val="single" w:sz="6" w:space="0" w:color="auto"/>
              <w:left w:val="single" w:sz="6" w:space="0" w:color="auto"/>
              <w:bottom w:val="single" w:sz="6" w:space="0" w:color="auto"/>
              <w:right w:val="single" w:sz="6" w:space="0" w:color="auto"/>
            </w:tcBorders>
            <w:hideMark/>
          </w:tcPr>
          <w:p w14:paraId="73C8E66E" w14:textId="77777777" w:rsidR="009C0072" w:rsidRPr="00AF302A" w:rsidRDefault="009C0072">
            <w:pPr>
              <w:pStyle w:val="wcpTableContent"/>
              <w:jc w:val="center"/>
              <w:rPr>
                <w:szCs w:val="22"/>
                <w:lang w:val="nb-NO"/>
              </w:rPr>
            </w:pPr>
            <w:r w:rsidRPr="00AF302A">
              <w:rPr>
                <w:szCs w:val="22"/>
                <w:lang w:val="nb-NO"/>
              </w:rPr>
              <w:t>95,3</w:t>
            </w:r>
          </w:p>
        </w:tc>
        <w:tc>
          <w:tcPr>
            <w:tcW w:w="992" w:type="dxa"/>
            <w:tcBorders>
              <w:top w:val="single" w:sz="6" w:space="0" w:color="auto"/>
              <w:left w:val="single" w:sz="6" w:space="0" w:color="auto"/>
              <w:bottom w:val="single" w:sz="6" w:space="0" w:color="auto"/>
              <w:right w:val="single" w:sz="6" w:space="0" w:color="auto"/>
            </w:tcBorders>
            <w:hideMark/>
          </w:tcPr>
          <w:p w14:paraId="7D3CF99A" w14:textId="77777777" w:rsidR="009C0072" w:rsidRPr="00AF302A" w:rsidRDefault="009C0072">
            <w:pPr>
              <w:pStyle w:val="wcpTableContent"/>
              <w:jc w:val="center"/>
              <w:rPr>
                <w:szCs w:val="22"/>
                <w:lang w:val="nb-NO"/>
              </w:rPr>
            </w:pPr>
            <w:r w:rsidRPr="00AF302A">
              <w:rPr>
                <w:szCs w:val="22"/>
                <w:lang w:val="nb-NO"/>
              </w:rPr>
              <w:t>99,7</w:t>
            </w:r>
          </w:p>
        </w:tc>
        <w:tc>
          <w:tcPr>
            <w:tcW w:w="1134" w:type="dxa"/>
            <w:tcBorders>
              <w:top w:val="single" w:sz="6" w:space="0" w:color="auto"/>
              <w:left w:val="single" w:sz="6" w:space="0" w:color="auto"/>
              <w:bottom w:val="single" w:sz="6" w:space="0" w:color="auto"/>
              <w:right w:val="single" w:sz="6" w:space="0" w:color="auto"/>
            </w:tcBorders>
            <w:hideMark/>
          </w:tcPr>
          <w:p w14:paraId="27407BAA" w14:textId="77777777" w:rsidR="009C0072" w:rsidRPr="00AF302A" w:rsidRDefault="009C0072">
            <w:pPr>
              <w:pStyle w:val="wcpTableContent"/>
              <w:jc w:val="center"/>
              <w:rPr>
                <w:szCs w:val="22"/>
                <w:lang w:val="nb-NO"/>
              </w:rPr>
            </w:pPr>
            <w:r w:rsidRPr="00AF302A">
              <w:rPr>
                <w:szCs w:val="22"/>
                <w:lang w:val="nb-NO"/>
              </w:rPr>
              <w:t>98,5</w:t>
            </w:r>
          </w:p>
        </w:tc>
        <w:tc>
          <w:tcPr>
            <w:tcW w:w="950" w:type="dxa"/>
            <w:tcBorders>
              <w:top w:val="single" w:sz="6" w:space="0" w:color="auto"/>
              <w:left w:val="single" w:sz="6" w:space="0" w:color="auto"/>
              <w:bottom w:val="single" w:sz="6" w:space="0" w:color="auto"/>
              <w:right w:val="single" w:sz="6" w:space="0" w:color="auto"/>
            </w:tcBorders>
            <w:hideMark/>
          </w:tcPr>
          <w:p w14:paraId="6FD4DFD4" w14:textId="77777777" w:rsidR="009C0072" w:rsidRPr="00AF302A" w:rsidRDefault="009C0072">
            <w:pPr>
              <w:pStyle w:val="wcpTableContent"/>
              <w:jc w:val="center"/>
              <w:rPr>
                <w:szCs w:val="22"/>
                <w:lang w:val="nb-NO"/>
              </w:rPr>
            </w:pPr>
            <w:r w:rsidRPr="00AF302A">
              <w:rPr>
                <w:szCs w:val="22"/>
                <w:lang w:val="nb-NO"/>
              </w:rPr>
              <w:t>100</w:t>
            </w:r>
          </w:p>
        </w:tc>
        <w:tc>
          <w:tcPr>
            <w:tcW w:w="922" w:type="dxa"/>
            <w:tcBorders>
              <w:top w:val="single" w:sz="6" w:space="0" w:color="auto"/>
              <w:left w:val="single" w:sz="6" w:space="0" w:color="auto"/>
              <w:bottom w:val="single" w:sz="6" w:space="0" w:color="auto"/>
              <w:right w:val="single" w:sz="6" w:space="0" w:color="auto"/>
            </w:tcBorders>
            <w:hideMark/>
          </w:tcPr>
          <w:p w14:paraId="549BB543" w14:textId="77777777" w:rsidR="009C0072" w:rsidRPr="00AF302A" w:rsidRDefault="009C0072">
            <w:pPr>
              <w:pStyle w:val="wcpTableContent"/>
              <w:jc w:val="center"/>
              <w:rPr>
                <w:szCs w:val="22"/>
                <w:lang w:val="nb-NO"/>
              </w:rPr>
            </w:pPr>
            <w:r w:rsidRPr="00AF302A">
              <w:rPr>
                <w:szCs w:val="22"/>
                <w:lang w:val="nb-NO"/>
              </w:rPr>
              <w:t>98,6</w:t>
            </w:r>
          </w:p>
        </w:tc>
        <w:tc>
          <w:tcPr>
            <w:tcW w:w="1105" w:type="dxa"/>
            <w:tcBorders>
              <w:top w:val="single" w:sz="6" w:space="0" w:color="auto"/>
              <w:left w:val="single" w:sz="6" w:space="0" w:color="auto"/>
              <w:bottom w:val="single" w:sz="6" w:space="0" w:color="auto"/>
              <w:right w:val="single" w:sz="6" w:space="0" w:color="auto"/>
            </w:tcBorders>
            <w:hideMark/>
          </w:tcPr>
          <w:p w14:paraId="74859EE2" w14:textId="77777777" w:rsidR="009C0072" w:rsidRPr="00AF302A" w:rsidRDefault="009C0072">
            <w:pPr>
              <w:pStyle w:val="wcpTableContent"/>
              <w:jc w:val="center"/>
              <w:rPr>
                <w:szCs w:val="22"/>
                <w:lang w:val="nb-NO"/>
              </w:rPr>
            </w:pPr>
            <w:r w:rsidRPr="00AF302A">
              <w:rPr>
                <w:szCs w:val="22"/>
                <w:lang w:val="nb-NO"/>
              </w:rPr>
              <w:t>97,1</w:t>
            </w:r>
          </w:p>
        </w:tc>
        <w:tc>
          <w:tcPr>
            <w:tcW w:w="1134" w:type="dxa"/>
            <w:tcBorders>
              <w:top w:val="single" w:sz="6" w:space="0" w:color="auto"/>
              <w:left w:val="single" w:sz="6" w:space="0" w:color="auto"/>
              <w:bottom w:val="single" w:sz="6" w:space="0" w:color="auto"/>
              <w:right w:val="single" w:sz="6" w:space="0" w:color="auto"/>
            </w:tcBorders>
            <w:hideMark/>
          </w:tcPr>
          <w:p w14:paraId="452D323F" w14:textId="77777777" w:rsidR="009C0072" w:rsidRPr="00AF302A" w:rsidRDefault="009C0072">
            <w:pPr>
              <w:pStyle w:val="wcpTableContent"/>
              <w:jc w:val="center"/>
              <w:rPr>
                <w:szCs w:val="22"/>
                <w:lang w:val="nb-NO"/>
              </w:rPr>
            </w:pPr>
            <w:r w:rsidRPr="00AF302A">
              <w:rPr>
                <w:szCs w:val="22"/>
                <w:lang w:val="nb-NO"/>
              </w:rPr>
              <w:t>99,3</w:t>
            </w:r>
          </w:p>
        </w:tc>
      </w:tr>
      <w:tr w:rsidR="009C0072" w:rsidRPr="00AF302A" w14:paraId="0826208E" w14:textId="77777777" w:rsidTr="009C0072">
        <w:tc>
          <w:tcPr>
            <w:tcW w:w="1384" w:type="dxa"/>
            <w:tcBorders>
              <w:top w:val="single" w:sz="6" w:space="0" w:color="auto"/>
              <w:left w:val="single" w:sz="6" w:space="0" w:color="auto"/>
              <w:bottom w:val="single" w:sz="6" w:space="0" w:color="auto"/>
              <w:right w:val="single" w:sz="6" w:space="0" w:color="auto"/>
            </w:tcBorders>
            <w:hideMark/>
          </w:tcPr>
          <w:p w14:paraId="3DBAD435" w14:textId="77777777" w:rsidR="009C0072" w:rsidRPr="00AF302A" w:rsidRDefault="009C0072">
            <w:pPr>
              <w:pStyle w:val="wcpTableRowHeader"/>
              <w:ind w:left="270"/>
              <w:rPr>
                <w:szCs w:val="22"/>
                <w:lang w:val="nb-NO"/>
              </w:rPr>
            </w:pPr>
            <w:r w:rsidRPr="00AF302A">
              <w:rPr>
                <w:szCs w:val="22"/>
                <w:lang w:val="nb-NO"/>
              </w:rPr>
              <w:t>FIM</w:t>
            </w: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36BD430" w14:textId="77777777" w:rsidR="009C0072" w:rsidRPr="00AF302A" w:rsidRDefault="009C0072">
            <w:pPr>
              <w:rPr>
                <w:sz w:val="22"/>
                <w:szCs w:val="22"/>
                <w:lang w:val="nb-NO"/>
              </w:rPr>
            </w:pPr>
          </w:p>
        </w:tc>
        <w:tc>
          <w:tcPr>
            <w:tcW w:w="1134" w:type="dxa"/>
            <w:tcBorders>
              <w:top w:val="single" w:sz="6" w:space="0" w:color="auto"/>
              <w:left w:val="single" w:sz="6" w:space="0" w:color="auto"/>
              <w:bottom w:val="single" w:sz="6" w:space="0" w:color="auto"/>
              <w:right w:val="single" w:sz="6" w:space="0" w:color="auto"/>
            </w:tcBorders>
            <w:hideMark/>
          </w:tcPr>
          <w:p w14:paraId="1AB81499" w14:textId="77777777" w:rsidR="009C0072" w:rsidRPr="00AF302A" w:rsidRDefault="009C0072">
            <w:pPr>
              <w:pStyle w:val="wcpTableContent"/>
              <w:jc w:val="center"/>
              <w:rPr>
                <w:szCs w:val="22"/>
                <w:lang w:val="nb-NO"/>
              </w:rPr>
            </w:pPr>
            <w:r w:rsidRPr="00AF302A">
              <w:rPr>
                <w:szCs w:val="22"/>
                <w:lang w:val="nb-NO"/>
              </w:rPr>
              <w:t>98,7</w:t>
            </w:r>
          </w:p>
        </w:tc>
        <w:tc>
          <w:tcPr>
            <w:tcW w:w="992" w:type="dxa"/>
            <w:tcBorders>
              <w:top w:val="single" w:sz="6" w:space="0" w:color="auto"/>
              <w:left w:val="single" w:sz="6" w:space="0" w:color="auto"/>
              <w:bottom w:val="single" w:sz="6" w:space="0" w:color="auto"/>
              <w:right w:val="single" w:sz="6" w:space="0" w:color="auto"/>
            </w:tcBorders>
            <w:hideMark/>
          </w:tcPr>
          <w:p w14:paraId="22FAFF49" w14:textId="77777777" w:rsidR="009C0072" w:rsidRPr="00AF302A" w:rsidRDefault="009C0072">
            <w:pPr>
              <w:pStyle w:val="wcpTableContent"/>
              <w:jc w:val="center"/>
              <w:rPr>
                <w:szCs w:val="22"/>
                <w:lang w:val="nb-NO"/>
              </w:rPr>
            </w:pPr>
            <w:r w:rsidRPr="00AF302A">
              <w:rPr>
                <w:szCs w:val="22"/>
                <w:lang w:val="nb-NO"/>
              </w:rPr>
              <w:t>98,3</w:t>
            </w:r>
          </w:p>
        </w:tc>
        <w:tc>
          <w:tcPr>
            <w:tcW w:w="1134" w:type="dxa"/>
            <w:tcBorders>
              <w:top w:val="single" w:sz="6" w:space="0" w:color="auto"/>
              <w:left w:val="single" w:sz="6" w:space="0" w:color="auto"/>
              <w:bottom w:val="single" w:sz="6" w:space="0" w:color="auto"/>
              <w:right w:val="single" w:sz="6" w:space="0" w:color="auto"/>
            </w:tcBorders>
            <w:hideMark/>
          </w:tcPr>
          <w:p w14:paraId="122054DC" w14:textId="77777777" w:rsidR="009C0072" w:rsidRPr="00AF302A" w:rsidRDefault="009C0072">
            <w:pPr>
              <w:pStyle w:val="wcpTableContent"/>
              <w:jc w:val="center"/>
              <w:rPr>
                <w:szCs w:val="22"/>
                <w:lang w:val="nb-NO"/>
              </w:rPr>
            </w:pPr>
            <w:r w:rsidRPr="00AF302A">
              <w:rPr>
                <w:szCs w:val="22"/>
                <w:lang w:val="nb-NO"/>
              </w:rPr>
              <w:t>99,5</w:t>
            </w:r>
          </w:p>
        </w:tc>
        <w:tc>
          <w:tcPr>
            <w:tcW w:w="950" w:type="dxa"/>
            <w:tcBorders>
              <w:top w:val="single" w:sz="6" w:space="0" w:color="auto"/>
              <w:left w:val="single" w:sz="6" w:space="0" w:color="auto"/>
              <w:bottom w:val="single" w:sz="6" w:space="0" w:color="auto"/>
              <w:right w:val="single" w:sz="6" w:space="0" w:color="auto"/>
            </w:tcBorders>
            <w:hideMark/>
          </w:tcPr>
          <w:p w14:paraId="7D643E61" w14:textId="77777777" w:rsidR="009C0072" w:rsidRPr="00AF302A" w:rsidRDefault="009C0072">
            <w:pPr>
              <w:pStyle w:val="wcpTableContent"/>
              <w:jc w:val="center"/>
              <w:rPr>
                <w:szCs w:val="22"/>
                <w:lang w:val="nb-NO"/>
              </w:rPr>
            </w:pPr>
            <w:r w:rsidRPr="00AF302A">
              <w:rPr>
                <w:szCs w:val="22"/>
                <w:lang w:val="nb-NO"/>
              </w:rPr>
              <w:t>100</w:t>
            </w:r>
          </w:p>
        </w:tc>
        <w:tc>
          <w:tcPr>
            <w:tcW w:w="922" w:type="dxa"/>
            <w:tcBorders>
              <w:top w:val="single" w:sz="6" w:space="0" w:color="auto"/>
              <w:left w:val="single" w:sz="6" w:space="0" w:color="auto"/>
              <w:bottom w:val="single" w:sz="6" w:space="0" w:color="auto"/>
              <w:right w:val="single" w:sz="6" w:space="0" w:color="auto"/>
            </w:tcBorders>
            <w:hideMark/>
          </w:tcPr>
          <w:p w14:paraId="09BA13DD" w14:textId="77777777" w:rsidR="009C0072" w:rsidRPr="00AF302A" w:rsidRDefault="009C0072">
            <w:pPr>
              <w:pStyle w:val="wcpTableContent"/>
              <w:jc w:val="center"/>
              <w:rPr>
                <w:szCs w:val="22"/>
                <w:lang w:val="nb-NO"/>
              </w:rPr>
            </w:pPr>
            <w:r w:rsidRPr="00AF302A">
              <w:rPr>
                <w:szCs w:val="22"/>
                <w:lang w:val="nb-NO"/>
              </w:rPr>
              <w:t>93,5</w:t>
            </w:r>
          </w:p>
        </w:tc>
        <w:tc>
          <w:tcPr>
            <w:tcW w:w="1105" w:type="dxa"/>
            <w:tcBorders>
              <w:top w:val="single" w:sz="6" w:space="0" w:color="auto"/>
              <w:left w:val="single" w:sz="6" w:space="0" w:color="auto"/>
              <w:bottom w:val="single" w:sz="6" w:space="0" w:color="auto"/>
              <w:right w:val="single" w:sz="6" w:space="0" w:color="auto"/>
            </w:tcBorders>
            <w:hideMark/>
          </w:tcPr>
          <w:p w14:paraId="4298CC3E" w14:textId="77777777" w:rsidR="009C0072" w:rsidRPr="00AF302A" w:rsidRDefault="009C0072">
            <w:pPr>
              <w:pStyle w:val="wcpTableContent"/>
              <w:jc w:val="center"/>
              <w:rPr>
                <w:szCs w:val="22"/>
                <w:lang w:val="nb-NO"/>
              </w:rPr>
            </w:pPr>
            <w:r w:rsidRPr="00AF302A">
              <w:rPr>
                <w:szCs w:val="22"/>
                <w:lang w:val="nb-NO"/>
              </w:rPr>
              <w:t>99,6</w:t>
            </w:r>
          </w:p>
        </w:tc>
        <w:tc>
          <w:tcPr>
            <w:tcW w:w="1134" w:type="dxa"/>
            <w:tcBorders>
              <w:top w:val="single" w:sz="6" w:space="0" w:color="auto"/>
              <w:left w:val="single" w:sz="6" w:space="0" w:color="auto"/>
              <w:bottom w:val="single" w:sz="6" w:space="0" w:color="auto"/>
              <w:right w:val="single" w:sz="6" w:space="0" w:color="auto"/>
            </w:tcBorders>
            <w:hideMark/>
          </w:tcPr>
          <w:p w14:paraId="7AE040E2" w14:textId="77777777" w:rsidR="009C0072" w:rsidRPr="00AF302A" w:rsidRDefault="009C0072">
            <w:pPr>
              <w:pStyle w:val="wcpTableContent"/>
              <w:jc w:val="center"/>
              <w:rPr>
                <w:szCs w:val="22"/>
                <w:lang w:val="nb-NO"/>
              </w:rPr>
            </w:pPr>
            <w:r w:rsidRPr="00AF302A">
              <w:rPr>
                <w:szCs w:val="22"/>
                <w:lang w:val="nb-NO"/>
              </w:rPr>
              <w:t>98,5</w:t>
            </w:r>
          </w:p>
        </w:tc>
      </w:tr>
    </w:tbl>
    <w:p w14:paraId="39BBA434" w14:textId="77777777" w:rsidR="009C0072" w:rsidRPr="00B84667" w:rsidRDefault="009C0072" w:rsidP="00AF302A">
      <w:pPr>
        <w:pStyle w:val="wcpTablenote"/>
        <w:spacing w:before="0"/>
        <w:ind w:left="0" w:firstLine="0"/>
      </w:pPr>
      <w:bookmarkStart w:id="8" w:name="_Hlk39757333"/>
      <w:r w:rsidRPr="00B84667">
        <w:t xml:space="preserve">ELISA: </w:t>
      </w:r>
      <w:proofErr w:type="spellStart"/>
      <w:r w:rsidRPr="00B84667">
        <w:t>Enzyme-linked</w:t>
      </w:r>
      <w:proofErr w:type="spellEnd"/>
      <w:r w:rsidRPr="00B84667">
        <w:t xml:space="preserve"> </w:t>
      </w:r>
      <w:proofErr w:type="spellStart"/>
      <w:r w:rsidRPr="00B84667">
        <w:t>Immunosorbent</w:t>
      </w:r>
      <w:proofErr w:type="spellEnd"/>
      <w:r w:rsidRPr="00B84667">
        <w:t xml:space="preserve"> </w:t>
      </w:r>
      <w:proofErr w:type="spellStart"/>
      <w:r w:rsidRPr="00B84667">
        <w:t>assay</w:t>
      </w:r>
      <w:proofErr w:type="spellEnd"/>
      <w:r w:rsidRPr="00B84667">
        <w:t xml:space="preserve">; </w:t>
      </w:r>
      <w:proofErr w:type="gramStart"/>
      <w:r w:rsidRPr="00B84667">
        <w:t>EL.E</w:t>
      </w:r>
      <w:proofErr w:type="gramEnd"/>
      <w:r w:rsidRPr="00B84667">
        <w:t xml:space="preserve">: ELISA-enheder; IE internationale enheder; N: antal deltagere med tilgængelige data; PPI: pr. protokol </w:t>
      </w:r>
      <w:proofErr w:type="spellStart"/>
      <w:r w:rsidRPr="00B84667">
        <w:t>immunogenicitet</w:t>
      </w:r>
      <w:proofErr w:type="spellEnd"/>
      <w:r w:rsidRPr="00B84667">
        <w:t xml:space="preserve">; SN: </w:t>
      </w:r>
      <w:proofErr w:type="spellStart"/>
      <w:r w:rsidRPr="00B84667">
        <w:t>seroneutralisering</w:t>
      </w:r>
      <w:proofErr w:type="spellEnd"/>
      <w:r w:rsidRPr="00B84667">
        <w:t>;</w:t>
      </w:r>
    </w:p>
    <w:p w14:paraId="6E9736B4" w14:textId="77777777" w:rsidR="009C0072" w:rsidRPr="00B84667" w:rsidRDefault="009C0072" w:rsidP="00AF302A">
      <w:pPr>
        <w:rPr>
          <w:sz w:val="20"/>
        </w:rPr>
      </w:pPr>
      <w:r w:rsidRPr="00B84667">
        <w:rPr>
          <w:sz w:val="20"/>
          <w:vertAlign w:val="superscript"/>
        </w:rPr>
        <w:t xml:space="preserve">1 </w:t>
      </w:r>
      <w:r w:rsidRPr="00B84667">
        <w:rPr>
          <w:sz w:val="20"/>
        </w:rPr>
        <w:t xml:space="preserve">Egnede deltagere, hvor </w:t>
      </w:r>
      <w:proofErr w:type="spellStart"/>
      <w:r w:rsidRPr="00B84667">
        <w:rPr>
          <w:sz w:val="20"/>
        </w:rPr>
        <w:t>immunogenicitetsdata</w:t>
      </w:r>
      <w:proofErr w:type="spellEnd"/>
      <w:r w:rsidRPr="00B84667">
        <w:rPr>
          <w:sz w:val="20"/>
        </w:rPr>
        <w:t xml:space="preserve"> var tilgængelig for mindst et antistof ved det specificerede tidspunkt.</w:t>
      </w:r>
    </w:p>
    <w:p w14:paraId="3A1A9319" w14:textId="77777777" w:rsidR="009C0072" w:rsidRPr="00B84667" w:rsidRDefault="009C0072" w:rsidP="00AF302A">
      <w:pPr>
        <w:rPr>
          <w:iCs/>
          <w:sz w:val="20"/>
        </w:rPr>
      </w:pPr>
      <w:r w:rsidRPr="00B84667">
        <w:rPr>
          <w:sz w:val="20"/>
          <w:vertAlign w:val="superscript"/>
        </w:rPr>
        <w:t xml:space="preserve">2 </w:t>
      </w:r>
      <w:r w:rsidRPr="00B84667">
        <w:rPr>
          <w:sz w:val="20"/>
        </w:rPr>
        <w:t>Studie Td508 blev udført i Canada med børn i alderen 4 – 6 år.</w:t>
      </w:r>
    </w:p>
    <w:p w14:paraId="2889FBBA" w14:textId="77777777" w:rsidR="009C0072" w:rsidRPr="00B84667" w:rsidRDefault="009C0072" w:rsidP="00AF302A">
      <w:pPr>
        <w:rPr>
          <w:sz w:val="20"/>
          <w:vertAlign w:val="superscript"/>
        </w:rPr>
      </w:pPr>
      <w:r w:rsidRPr="00B84667">
        <w:rPr>
          <w:sz w:val="20"/>
          <w:vertAlign w:val="superscript"/>
        </w:rPr>
        <w:t>3</w:t>
      </w:r>
      <w:r w:rsidRPr="00B84667">
        <w:rPr>
          <w:sz w:val="20"/>
        </w:rPr>
        <w:t xml:space="preserve"> Studie Td506 var udført i USA med unge i alderen 11 – 17 år og voksne i alderen 18 – 64 år.</w:t>
      </w:r>
    </w:p>
    <w:p w14:paraId="508AD9A6" w14:textId="77777777" w:rsidR="009C0072" w:rsidRPr="00B84667" w:rsidRDefault="009C0072" w:rsidP="00AF302A">
      <w:pPr>
        <w:pStyle w:val="wcpTablenote"/>
        <w:spacing w:before="0"/>
        <w:ind w:left="0" w:firstLine="0"/>
      </w:pPr>
      <w:r w:rsidRPr="00B84667">
        <w:rPr>
          <w:vertAlign w:val="superscript"/>
        </w:rPr>
        <w:t>4</w:t>
      </w:r>
      <w:r w:rsidRPr="00B84667">
        <w:t xml:space="preserve"> Procentdel deltagere med antistoffer ≥ 5 </w:t>
      </w:r>
      <w:proofErr w:type="gramStart"/>
      <w:r w:rsidRPr="00B84667">
        <w:t>EL.E</w:t>
      </w:r>
      <w:proofErr w:type="gramEnd"/>
      <w:r w:rsidRPr="00B84667">
        <w:t>/ml mod PT, ≥ 3 EL.E/ml mod FHA og PRN, og ≥ 17 EL.E/ml mod FIM for den 3</w:t>
      </w:r>
      <w:r w:rsidRPr="00B84667">
        <w:noBreakHyphen/>
        <w:t xml:space="preserve">årige opfølgning; ≥ 4 EL.E/ml mod PT, PRN og FIM, og ≥ 3 EL.E/ml mod FHA for den 5-årige og 10-årige opfølgning. </w:t>
      </w:r>
      <w:bookmarkEnd w:id="8"/>
    </w:p>
    <w:p w14:paraId="79CC8F4A" w14:textId="77777777" w:rsidR="009C0072" w:rsidRPr="00AF302A" w:rsidRDefault="009C0072" w:rsidP="009C0072">
      <w:pPr>
        <w:rPr>
          <w:i/>
          <w:sz w:val="24"/>
          <w:szCs w:val="24"/>
        </w:rPr>
      </w:pPr>
      <w:bookmarkStart w:id="9" w:name="_Hlk83735314"/>
    </w:p>
    <w:p w14:paraId="37A20FDB" w14:textId="77777777" w:rsidR="009C0072" w:rsidRPr="00AF302A" w:rsidRDefault="009C0072" w:rsidP="00AF302A">
      <w:pPr>
        <w:ind w:left="851"/>
        <w:rPr>
          <w:i/>
          <w:sz w:val="24"/>
          <w:szCs w:val="24"/>
        </w:rPr>
      </w:pPr>
      <w:proofErr w:type="spellStart"/>
      <w:r w:rsidRPr="00AF302A">
        <w:rPr>
          <w:i/>
          <w:sz w:val="24"/>
          <w:szCs w:val="24"/>
        </w:rPr>
        <w:t>Immunogenicitet</w:t>
      </w:r>
      <w:proofErr w:type="spellEnd"/>
      <w:r w:rsidRPr="00AF302A">
        <w:rPr>
          <w:i/>
          <w:sz w:val="24"/>
          <w:szCs w:val="24"/>
        </w:rPr>
        <w:t xml:space="preserve"> hos personer, der ikke tidligere er vaccineret eller med en ukendt vaccinationsstatus</w:t>
      </w:r>
    </w:p>
    <w:p w14:paraId="5F4715B4" w14:textId="77777777" w:rsidR="009C0072" w:rsidRPr="00AF302A" w:rsidRDefault="009C0072" w:rsidP="00AF302A">
      <w:pPr>
        <w:rPr>
          <w:i/>
          <w:sz w:val="24"/>
          <w:szCs w:val="24"/>
          <w:u w:val="single"/>
        </w:rPr>
      </w:pPr>
    </w:p>
    <w:p w14:paraId="45188FBA" w14:textId="77777777" w:rsidR="009C0072" w:rsidRPr="00AF302A" w:rsidRDefault="009C0072" w:rsidP="00AF302A">
      <w:pPr>
        <w:ind w:left="851"/>
        <w:rPr>
          <w:sz w:val="24"/>
          <w:szCs w:val="24"/>
        </w:rPr>
      </w:pPr>
      <w:r w:rsidRPr="00AF302A">
        <w:rPr>
          <w:sz w:val="24"/>
          <w:szCs w:val="24"/>
        </w:rPr>
        <w:t>Efter administration af en dosis af REPEVAX (</w:t>
      </w:r>
      <w:proofErr w:type="spellStart"/>
      <w:r w:rsidRPr="00AF302A">
        <w:rPr>
          <w:sz w:val="24"/>
          <w:szCs w:val="24"/>
        </w:rPr>
        <w:t>Tdap</w:t>
      </w:r>
      <w:proofErr w:type="spellEnd"/>
      <w:r w:rsidRPr="00AF302A">
        <w:rPr>
          <w:sz w:val="24"/>
          <w:szCs w:val="24"/>
        </w:rPr>
        <w:t xml:space="preserve">-IPV; indeholdende den samme mængde tetanus-, difteri- og </w:t>
      </w:r>
      <w:proofErr w:type="spellStart"/>
      <w:r w:rsidRPr="00AF302A">
        <w:rPr>
          <w:sz w:val="24"/>
          <w:szCs w:val="24"/>
        </w:rPr>
        <w:t>pertussis</w:t>
      </w:r>
      <w:proofErr w:type="spellEnd"/>
      <w:r w:rsidRPr="00AF302A">
        <w:rPr>
          <w:sz w:val="24"/>
          <w:szCs w:val="24"/>
        </w:rPr>
        <w:t xml:space="preserve">-antigener som </w:t>
      </w:r>
      <w:proofErr w:type="spellStart"/>
      <w:r w:rsidRPr="00AF302A">
        <w:rPr>
          <w:sz w:val="24"/>
          <w:szCs w:val="24"/>
        </w:rPr>
        <w:t>Triaxis</w:t>
      </w:r>
      <w:proofErr w:type="spellEnd"/>
      <w:r w:rsidRPr="00AF302A">
        <w:rPr>
          <w:sz w:val="24"/>
          <w:szCs w:val="24"/>
        </w:rPr>
        <w:t>) til 330 voksne i alderen ≥ 40 år, som ikke havde fået difteri- og tetanus-</w:t>
      </w:r>
      <w:proofErr w:type="spellStart"/>
      <w:r w:rsidRPr="00AF302A">
        <w:rPr>
          <w:sz w:val="24"/>
          <w:szCs w:val="24"/>
        </w:rPr>
        <w:t>holdig</w:t>
      </w:r>
      <w:proofErr w:type="spellEnd"/>
      <w:r w:rsidRPr="00AF302A">
        <w:rPr>
          <w:sz w:val="24"/>
          <w:szCs w:val="24"/>
        </w:rPr>
        <w:t xml:space="preserve"> vaccine i de seneste 20 år: </w:t>
      </w:r>
    </w:p>
    <w:p w14:paraId="5A4EBDA4" w14:textId="77777777" w:rsidR="009C0072" w:rsidRPr="00AF302A" w:rsidRDefault="009C0072" w:rsidP="00AF302A">
      <w:pPr>
        <w:numPr>
          <w:ilvl w:val="0"/>
          <w:numId w:val="7"/>
        </w:numPr>
        <w:ind w:left="1418"/>
        <w:contextualSpacing/>
        <w:rPr>
          <w:sz w:val="24"/>
          <w:szCs w:val="24"/>
        </w:rPr>
      </w:pPr>
      <w:r w:rsidRPr="00AF302A">
        <w:rPr>
          <w:sz w:val="24"/>
          <w:szCs w:val="24"/>
        </w:rPr>
        <w:t xml:space="preserve">≥ 95,8 % af voksne var </w:t>
      </w:r>
      <w:proofErr w:type="spellStart"/>
      <w:r w:rsidRPr="00AF302A">
        <w:rPr>
          <w:sz w:val="24"/>
          <w:szCs w:val="24"/>
        </w:rPr>
        <w:t>seropositive</w:t>
      </w:r>
      <w:proofErr w:type="spellEnd"/>
      <w:r w:rsidRPr="00AF302A">
        <w:rPr>
          <w:sz w:val="24"/>
          <w:szCs w:val="24"/>
        </w:rPr>
        <w:t xml:space="preserve"> (≥ 5 </w:t>
      </w:r>
      <w:proofErr w:type="gramStart"/>
      <w:r w:rsidRPr="00AF302A">
        <w:rPr>
          <w:sz w:val="24"/>
          <w:szCs w:val="24"/>
        </w:rPr>
        <w:t>EL.E</w:t>
      </w:r>
      <w:proofErr w:type="gramEnd"/>
      <w:r w:rsidRPr="00AF302A">
        <w:rPr>
          <w:sz w:val="24"/>
          <w:szCs w:val="24"/>
        </w:rPr>
        <w:t xml:space="preserve">/ml) for antistoffer mod alle vacciner indeholdende </w:t>
      </w:r>
      <w:proofErr w:type="spellStart"/>
      <w:r w:rsidRPr="00AF302A">
        <w:rPr>
          <w:sz w:val="24"/>
          <w:szCs w:val="24"/>
        </w:rPr>
        <w:t>pertussis</w:t>
      </w:r>
      <w:proofErr w:type="spellEnd"/>
      <w:r w:rsidRPr="00AF302A">
        <w:rPr>
          <w:sz w:val="24"/>
          <w:szCs w:val="24"/>
        </w:rPr>
        <w:t>-antigener,</w:t>
      </w:r>
    </w:p>
    <w:p w14:paraId="19CE2C13" w14:textId="77777777" w:rsidR="009C0072" w:rsidRPr="00AF302A" w:rsidRDefault="009C0072" w:rsidP="00AF302A">
      <w:pPr>
        <w:numPr>
          <w:ilvl w:val="0"/>
          <w:numId w:val="7"/>
        </w:numPr>
        <w:ind w:left="1418"/>
        <w:contextualSpacing/>
        <w:rPr>
          <w:sz w:val="24"/>
          <w:szCs w:val="24"/>
        </w:rPr>
      </w:pPr>
      <w:r w:rsidRPr="00AF302A">
        <w:rPr>
          <w:sz w:val="24"/>
          <w:szCs w:val="24"/>
        </w:rPr>
        <w:t xml:space="preserve">82,4 % og 92,7 % var </w:t>
      </w:r>
      <w:proofErr w:type="spellStart"/>
      <w:r w:rsidRPr="00AF302A">
        <w:rPr>
          <w:sz w:val="24"/>
          <w:szCs w:val="24"/>
        </w:rPr>
        <w:t>serobeskyttede</w:t>
      </w:r>
      <w:proofErr w:type="spellEnd"/>
      <w:r w:rsidRPr="00AF302A">
        <w:rPr>
          <w:sz w:val="24"/>
          <w:szCs w:val="24"/>
        </w:rPr>
        <w:t xml:space="preserve"> mod difteri ved en tærskel på henholdsvis ≥ 0,1 og ≥ 0,01 IE/ml,</w:t>
      </w:r>
    </w:p>
    <w:p w14:paraId="157D932C" w14:textId="77777777" w:rsidR="009C0072" w:rsidRPr="00AF302A" w:rsidRDefault="009C0072" w:rsidP="00AF302A">
      <w:pPr>
        <w:numPr>
          <w:ilvl w:val="0"/>
          <w:numId w:val="7"/>
        </w:numPr>
        <w:ind w:left="1418"/>
        <w:contextualSpacing/>
        <w:rPr>
          <w:sz w:val="24"/>
          <w:szCs w:val="24"/>
        </w:rPr>
      </w:pPr>
      <w:r w:rsidRPr="00AF302A">
        <w:rPr>
          <w:sz w:val="24"/>
          <w:szCs w:val="24"/>
        </w:rPr>
        <w:t xml:space="preserve">98,5 % og 99,7 % var </w:t>
      </w:r>
      <w:proofErr w:type="spellStart"/>
      <w:r w:rsidRPr="00AF302A">
        <w:rPr>
          <w:sz w:val="24"/>
          <w:szCs w:val="24"/>
        </w:rPr>
        <w:t>serobeskyttede</w:t>
      </w:r>
      <w:proofErr w:type="spellEnd"/>
      <w:r w:rsidRPr="00AF302A">
        <w:rPr>
          <w:sz w:val="24"/>
          <w:szCs w:val="24"/>
        </w:rPr>
        <w:t xml:space="preserve"> mod tetanus ved en tærskel på henholdsvis ≥ 0,1 og ≥ 0,01 IE/ml</w:t>
      </w:r>
    </w:p>
    <w:p w14:paraId="0D83B04A" w14:textId="77777777" w:rsidR="009C0072" w:rsidRPr="00AF302A" w:rsidRDefault="009C0072" w:rsidP="00AF302A">
      <w:pPr>
        <w:numPr>
          <w:ilvl w:val="0"/>
          <w:numId w:val="7"/>
        </w:numPr>
        <w:ind w:left="1418"/>
        <w:contextualSpacing/>
        <w:rPr>
          <w:sz w:val="24"/>
          <w:szCs w:val="24"/>
        </w:rPr>
      </w:pPr>
      <w:r w:rsidRPr="00AF302A">
        <w:rPr>
          <w:sz w:val="24"/>
          <w:szCs w:val="24"/>
        </w:rPr>
        <w:t xml:space="preserve">og ≥ 98,8 % var </w:t>
      </w:r>
      <w:proofErr w:type="spellStart"/>
      <w:r w:rsidRPr="00AF302A">
        <w:rPr>
          <w:sz w:val="24"/>
          <w:szCs w:val="24"/>
        </w:rPr>
        <w:t>serobeskyttede</w:t>
      </w:r>
      <w:proofErr w:type="spellEnd"/>
      <w:r w:rsidRPr="00AF302A">
        <w:rPr>
          <w:sz w:val="24"/>
          <w:szCs w:val="24"/>
        </w:rPr>
        <w:t xml:space="preserve"> mod polio (type 1, 2 og 3) ved en tærskel på ≥ 1:8 fortynding.</w:t>
      </w:r>
    </w:p>
    <w:p w14:paraId="100ECE4B" w14:textId="77777777" w:rsidR="009C0072" w:rsidRPr="00AF302A" w:rsidRDefault="009C0072" w:rsidP="00AF302A">
      <w:pPr>
        <w:ind w:left="851"/>
        <w:rPr>
          <w:sz w:val="24"/>
          <w:szCs w:val="24"/>
        </w:rPr>
      </w:pPr>
    </w:p>
    <w:p w14:paraId="230CCAB2" w14:textId="77777777" w:rsidR="009C0072" w:rsidRPr="00AF302A" w:rsidRDefault="009C0072" w:rsidP="00AF302A">
      <w:pPr>
        <w:ind w:left="851"/>
        <w:rPr>
          <w:sz w:val="24"/>
          <w:szCs w:val="24"/>
        </w:rPr>
      </w:pPr>
      <w:r w:rsidRPr="00AF302A">
        <w:rPr>
          <w:sz w:val="24"/>
          <w:szCs w:val="24"/>
        </w:rPr>
        <w:t xml:space="preserve">Efter administration af yderligere to doser difteri-, tetanus- og polioholdig vaccine hos 316 personer, en og seks måneder efter den første dosis, var </w:t>
      </w:r>
      <w:proofErr w:type="spellStart"/>
      <w:r w:rsidRPr="00AF302A">
        <w:rPr>
          <w:sz w:val="24"/>
          <w:szCs w:val="24"/>
        </w:rPr>
        <w:t>serobeskyttelsesraterne</w:t>
      </w:r>
      <w:proofErr w:type="spellEnd"/>
      <w:r w:rsidRPr="00AF302A">
        <w:rPr>
          <w:sz w:val="24"/>
          <w:szCs w:val="24"/>
        </w:rPr>
        <w:t xml:space="preserve"> 94,6 % og 100 % mod difteri (henholdsvis ≥ 0,1 og ≥ 0,01 IE/ml), 100 % mod tetanus (≥ 0,1 IE/ml), og 100 % mod polio (type 1, 2 og 3) (≥ 1:8 fortynding).</w:t>
      </w:r>
    </w:p>
    <w:bookmarkEnd w:id="9"/>
    <w:p w14:paraId="3CC8D206" w14:textId="77777777" w:rsidR="009C0072" w:rsidRPr="00AF302A" w:rsidRDefault="009C0072" w:rsidP="00AF302A">
      <w:pPr>
        <w:pStyle w:val="wcpTablenote"/>
        <w:spacing w:before="0"/>
        <w:ind w:left="0" w:firstLine="0"/>
        <w:rPr>
          <w:i/>
          <w:sz w:val="24"/>
          <w:szCs w:val="24"/>
        </w:rPr>
      </w:pPr>
    </w:p>
    <w:p w14:paraId="7F2E1554" w14:textId="77777777" w:rsidR="009C0072" w:rsidRPr="00AF302A" w:rsidRDefault="009C0072" w:rsidP="00AF302A">
      <w:pPr>
        <w:pStyle w:val="wcpTablenote"/>
        <w:spacing w:before="0"/>
        <w:ind w:left="851" w:firstLine="0"/>
        <w:rPr>
          <w:i/>
          <w:sz w:val="24"/>
          <w:szCs w:val="24"/>
        </w:rPr>
      </w:pPr>
      <w:proofErr w:type="spellStart"/>
      <w:r w:rsidRPr="00AF302A">
        <w:rPr>
          <w:i/>
          <w:sz w:val="24"/>
          <w:szCs w:val="24"/>
        </w:rPr>
        <w:t>Immunogenicitet</w:t>
      </w:r>
      <w:proofErr w:type="spellEnd"/>
      <w:r w:rsidRPr="00AF302A">
        <w:rPr>
          <w:i/>
          <w:sz w:val="24"/>
          <w:szCs w:val="24"/>
        </w:rPr>
        <w:t xml:space="preserve"> efter gentagen vaccination</w:t>
      </w:r>
    </w:p>
    <w:p w14:paraId="25F53FF6" w14:textId="77777777" w:rsidR="009C0072" w:rsidRPr="00AF302A" w:rsidRDefault="009C0072" w:rsidP="00AF302A">
      <w:pPr>
        <w:pStyle w:val="wcpTablenote"/>
        <w:spacing w:before="0"/>
        <w:ind w:left="851" w:firstLine="0"/>
        <w:rPr>
          <w:i/>
          <w:sz w:val="24"/>
          <w:szCs w:val="24"/>
        </w:rPr>
      </w:pPr>
    </w:p>
    <w:p w14:paraId="4CA3915D" w14:textId="77777777" w:rsidR="009C0072" w:rsidRPr="00AF302A" w:rsidRDefault="009C0072" w:rsidP="00AF302A">
      <w:pPr>
        <w:pStyle w:val="wcpTablenote"/>
        <w:spacing w:before="0"/>
        <w:ind w:left="851" w:firstLine="0"/>
        <w:rPr>
          <w:sz w:val="24"/>
          <w:szCs w:val="24"/>
        </w:rPr>
      </w:pPr>
      <w:proofErr w:type="spellStart"/>
      <w:r w:rsidRPr="00AF302A">
        <w:rPr>
          <w:sz w:val="24"/>
          <w:szCs w:val="24"/>
        </w:rPr>
        <w:t>Immunogeniciteten</w:t>
      </w:r>
      <w:proofErr w:type="spellEnd"/>
      <w:r w:rsidRPr="00AF302A">
        <w:rPr>
          <w:sz w:val="24"/>
          <w:szCs w:val="24"/>
        </w:rPr>
        <w:t xml:space="preserve"> af </w:t>
      </w:r>
      <w:proofErr w:type="spellStart"/>
      <w:r w:rsidRPr="00AF302A">
        <w:rPr>
          <w:sz w:val="24"/>
          <w:szCs w:val="24"/>
        </w:rPr>
        <w:t>Triaxis</w:t>
      </w:r>
      <w:proofErr w:type="spellEnd"/>
      <w:r w:rsidRPr="00AF302A">
        <w:rPr>
          <w:sz w:val="24"/>
          <w:szCs w:val="24"/>
        </w:rPr>
        <w:t xml:space="preserve"> efter gentagen vaccination 10 år efter en tidligere dosis af </w:t>
      </w:r>
      <w:proofErr w:type="spellStart"/>
      <w:r w:rsidRPr="00AF302A">
        <w:rPr>
          <w:sz w:val="24"/>
          <w:szCs w:val="24"/>
        </w:rPr>
        <w:t>Triaxis</w:t>
      </w:r>
      <w:proofErr w:type="spellEnd"/>
      <w:r w:rsidRPr="00AF302A">
        <w:rPr>
          <w:sz w:val="24"/>
          <w:szCs w:val="24"/>
        </w:rPr>
        <w:t xml:space="preserve"> eller REPEVAX er blevet evalueret. En måned efter vaccination opnåede ≥ 98,5 % af studiedeltagerne </w:t>
      </w:r>
      <w:proofErr w:type="spellStart"/>
      <w:r w:rsidRPr="00AF302A">
        <w:rPr>
          <w:sz w:val="24"/>
          <w:szCs w:val="24"/>
        </w:rPr>
        <w:t>serobeskyttende</w:t>
      </w:r>
      <w:proofErr w:type="spellEnd"/>
      <w:r w:rsidRPr="00AF302A">
        <w:rPr>
          <w:sz w:val="24"/>
          <w:szCs w:val="24"/>
        </w:rPr>
        <w:t xml:space="preserve"> antistofniveauer (≥ 0,1 IE/ml) mod difteri og tetanus, og ≥ 84 % opnåede </w:t>
      </w:r>
      <w:proofErr w:type="spellStart"/>
      <w:r w:rsidRPr="00AF302A">
        <w:rPr>
          <w:sz w:val="24"/>
          <w:szCs w:val="24"/>
        </w:rPr>
        <w:t>boosterrespons</w:t>
      </w:r>
      <w:proofErr w:type="spellEnd"/>
      <w:r w:rsidRPr="00AF302A">
        <w:rPr>
          <w:sz w:val="24"/>
          <w:szCs w:val="24"/>
        </w:rPr>
        <w:t xml:space="preserve"> mod </w:t>
      </w:r>
      <w:proofErr w:type="spellStart"/>
      <w:r w:rsidRPr="00AF302A">
        <w:rPr>
          <w:sz w:val="24"/>
          <w:szCs w:val="24"/>
        </w:rPr>
        <w:t>pertussis</w:t>
      </w:r>
      <w:proofErr w:type="spellEnd"/>
      <w:r w:rsidRPr="00AF302A">
        <w:rPr>
          <w:sz w:val="24"/>
          <w:szCs w:val="24"/>
        </w:rPr>
        <w:t xml:space="preserve">-antigenerne. (Et </w:t>
      </w:r>
      <w:proofErr w:type="spellStart"/>
      <w:r w:rsidRPr="00AF302A">
        <w:rPr>
          <w:sz w:val="24"/>
          <w:szCs w:val="24"/>
        </w:rPr>
        <w:t>pertussis-boosterrespons</w:t>
      </w:r>
      <w:proofErr w:type="spellEnd"/>
      <w:r w:rsidRPr="00AF302A">
        <w:rPr>
          <w:sz w:val="24"/>
          <w:szCs w:val="24"/>
        </w:rPr>
        <w:t xml:space="preserve"> blev defineret som en antistofkoncentration efter vaccination ≥ 4 gange LLOQ, hvis niveauet før vaccination var &lt; LLOQ; ≥ 4 gange niveauet før vaccination, hvis det var ≥ LLOQ, men &lt; 4 gange LLOQ; eller ≥ 2 gange niveauet før vaccination, hvis det var ≥ 4 gange LLOQ).</w:t>
      </w:r>
    </w:p>
    <w:p w14:paraId="3A0C8430" w14:textId="77777777" w:rsidR="009C0072" w:rsidRPr="00AF302A" w:rsidRDefault="009C0072" w:rsidP="00AF302A">
      <w:pPr>
        <w:pStyle w:val="wcpTablenote"/>
        <w:spacing w:before="0"/>
        <w:ind w:left="851" w:firstLine="0"/>
        <w:rPr>
          <w:sz w:val="24"/>
          <w:szCs w:val="24"/>
        </w:rPr>
      </w:pPr>
    </w:p>
    <w:p w14:paraId="0D37F264" w14:textId="77777777" w:rsidR="009C0072" w:rsidRPr="00AF302A" w:rsidRDefault="009C0072" w:rsidP="00AF302A">
      <w:pPr>
        <w:pStyle w:val="wcpTablenote"/>
        <w:spacing w:before="0"/>
        <w:ind w:left="851" w:firstLine="0"/>
        <w:rPr>
          <w:sz w:val="24"/>
          <w:szCs w:val="24"/>
        </w:rPr>
      </w:pPr>
      <w:r w:rsidRPr="00AF302A">
        <w:rPr>
          <w:sz w:val="24"/>
          <w:szCs w:val="24"/>
        </w:rPr>
        <w:t xml:space="preserve">Baseret på den serologiske opfølgning og data ved gentagen vaccination kan </w:t>
      </w:r>
      <w:proofErr w:type="spellStart"/>
      <w:r w:rsidRPr="00AF302A">
        <w:rPr>
          <w:sz w:val="24"/>
          <w:szCs w:val="24"/>
        </w:rPr>
        <w:t>Triaxis</w:t>
      </w:r>
      <w:proofErr w:type="spellEnd"/>
      <w:r w:rsidRPr="00AF302A">
        <w:rPr>
          <w:sz w:val="24"/>
          <w:szCs w:val="24"/>
        </w:rPr>
        <w:t xml:space="preserve"> anvendes i stedet for en </w:t>
      </w:r>
      <w:proofErr w:type="spellStart"/>
      <w:r w:rsidRPr="00AF302A">
        <w:rPr>
          <w:sz w:val="24"/>
          <w:szCs w:val="24"/>
        </w:rPr>
        <w:t>dT</w:t>
      </w:r>
      <w:proofErr w:type="spellEnd"/>
      <w:r w:rsidRPr="00AF302A">
        <w:rPr>
          <w:sz w:val="24"/>
          <w:szCs w:val="24"/>
        </w:rPr>
        <w:t xml:space="preserve">-vaccine til at booste immuniteten mod </w:t>
      </w:r>
      <w:proofErr w:type="spellStart"/>
      <w:r w:rsidRPr="00AF302A">
        <w:rPr>
          <w:sz w:val="24"/>
          <w:szCs w:val="24"/>
        </w:rPr>
        <w:t>pertussis</w:t>
      </w:r>
      <w:proofErr w:type="spellEnd"/>
      <w:r w:rsidRPr="00AF302A">
        <w:rPr>
          <w:sz w:val="24"/>
          <w:szCs w:val="24"/>
        </w:rPr>
        <w:t xml:space="preserve"> samt difteri og tetanus.</w:t>
      </w:r>
    </w:p>
    <w:p w14:paraId="365AAEB6" w14:textId="77777777" w:rsidR="009C0072" w:rsidRPr="00AF302A" w:rsidRDefault="009C0072" w:rsidP="00AF302A">
      <w:pPr>
        <w:pStyle w:val="wcpTablenote"/>
        <w:spacing w:before="0"/>
        <w:ind w:left="851" w:firstLine="0"/>
        <w:rPr>
          <w:sz w:val="24"/>
          <w:szCs w:val="24"/>
        </w:rPr>
      </w:pPr>
    </w:p>
    <w:p w14:paraId="4FED416D" w14:textId="77777777" w:rsidR="009C0072" w:rsidRPr="00AF302A" w:rsidRDefault="009C0072" w:rsidP="00AF302A">
      <w:pPr>
        <w:ind w:left="851"/>
        <w:rPr>
          <w:i/>
          <w:sz w:val="24"/>
          <w:szCs w:val="24"/>
        </w:rPr>
      </w:pPr>
      <w:proofErr w:type="spellStart"/>
      <w:r w:rsidRPr="00AF302A">
        <w:rPr>
          <w:i/>
          <w:sz w:val="24"/>
          <w:szCs w:val="24"/>
        </w:rPr>
        <w:t>Immunogenicitet</w:t>
      </w:r>
      <w:proofErr w:type="spellEnd"/>
      <w:r w:rsidRPr="00AF302A">
        <w:rPr>
          <w:i/>
          <w:sz w:val="24"/>
          <w:szCs w:val="24"/>
        </w:rPr>
        <w:t xml:space="preserve"> hos gravide kvinder</w:t>
      </w:r>
    </w:p>
    <w:p w14:paraId="5BF3CD1C" w14:textId="77777777" w:rsidR="009C0072" w:rsidRPr="00AF302A" w:rsidRDefault="009C0072" w:rsidP="00AF302A">
      <w:pPr>
        <w:ind w:left="851"/>
        <w:rPr>
          <w:iCs/>
          <w:sz w:val="24"/>
          <w:szCs w:val="24"/>
        </w:rPr>
      </w:pPr>
      <w:proofErr w:type="spellStart"/>
      <w:r w:rsidRPr="00AF302A">
        <w:rPr>
          <w:sz w:val="24"/>
          <w:szCs w:val="24"/>
        </w:rPr>
        <w:t>Pertussis</w:t>
      </w:r>
      <w:proofErr w:type="spellEnd"/>
      <w:r w:rsidRPr="00AF302A">
        <w:rPr>
          <w:sz w:val="24"/>
          <w:szCs w:val="24"/>
        </w:rPr>
        <w:t>-antistofrespons hos gravide kvinder svarer generelt til dem, der ses hos kvinder, der ikke er gravide. Vaccination under graviditetens andet eller tredje trimester er optimalt for overførsel af antistoffer til det udviklende foster.</w:t>
      </w:r>
    </w:p>
    <w:p w14:paraId="33109532" w14:textId="77777777" w:rsidR="009C0072" w:rsidRPr="00AF302A" w:rsidRDefault="009C0072" w:rsidP="00AF302A">
      <w:pPr>
        <w:ind w:left="851"/>
        <w:rPr>
          <w:iCs/>
          <w:sz w:val="24"/>
          <w:szCs w:val="24"/>
        </w:rPr>
      </w:pPr>
    </w:p>
    <w:p w14:paraId="1E3879D4" w14:textId="77777777" w:rsidR="009C0072" w:rsidRPr="00AF302A" w:rsidRDefault="009C0072" w:rsidP="00AF302A">
      <w:pPr>
        <w:ind w:left="851"/>
        <w:rPr>
          <w:i/>
          <w:sz w:val="24"/>
          <w:szCs w:val="24"/>
        </w:rPr>
      </w:pPr>
      <w:proofErr w:type="spellStart"/>
      <w:r w:rsidRPr="00AF302A">
        <w:rPr>
          <w:i/>
          <w:sz w:val="24"/>
          <w:szCs w:val="24"/>
        </w:rPr>
        <w:t>Immunogenicitet</w:t>
      </w:r>
      <w:proofErr w:type="spellEnd"/>
      <w:r w:rsidRPr="00AF302A">
        <w:rPr>
          <w:i/>
          <w:sz w:val="24"/>
          <w:szCs w:val="24"/>
        </w:rPr>
        <w:t xml:space="preserve"> mod </w:t>
      </w:r>
      <w:proofErr w:type="spellStart"/>
      <w:r w:rsidRPr="00AF302A">
        <w:rPr>
          <w:i/>
          <w:sz w:val="24"/>
          <w:szCs w:val="24"/>
        </w:rPr>
        <w:t>pertussis</w:t>
      </w:r>
      <w:proofErr w:type="spellEnd"/>
      <w:r w:rsidRPr="00AF302A">
        <w:rPr>
          <w:i/>
          <w:sz w:val="24"/>
          <w:szCs w:val="24"/>
        </w:rPr>
        <w:t xml:space="preserve"> hos spædbørn (i alderen &lt; 3 måneder) født af kvinder vaccineret under graviditeten</w:t>
      </w:r>
    </w:p>
    <w:p w14:paraId="77A68B9C" w14:textId="77777777" w:rsidR="009C0072" w:rsidRPr="00AF302A" w:rsidRDefault="009C0072" w:rsidP="00AF302A">
      <w:pPr>
        <w:ind w:left="851"/>
        <w:rPr>
          <w:rFonts w:eastAsia="Calibri"/>
          <w:iCs/>
          <w:sz w:val="24"/>
          <w:szCs w:val="24"/>
        </w:rPr>
      </w:pPr>
      <w:r w:rsidRPr="00AF302A">
        <w:rPr>
          <w:sz w:val="24"/>
          <w:szCs w:val="24"/>
        </w:rPr>
        <w:t xml:space="preserve">Data fra 2 publicerede, randomiserede, kontrollerede studier viser højere koncentrationer af </w:t>
      </w:r>
      <w:proofErr w:type="spellStart"/>
      <w:r w:rsidRPr="00AF302A">
        <w:rPr>
          <w:sz w:val="24"/>
          <w:szCs w:val="24"/>
        </w:rPr>
        <w:t>pertussis</w:t>
      </w:r>
      <w:proofErr w:type="spellEnd"/>
      <w:r w:rsidRPr="00AF302A">
        <w:rPr>
          <w:sz w:val="24"/>
          <w:szCs w:val="24"/>
        </w:rPr>
        <w:t xml:space="preserve">-antistof ved fødslen og ved 2 måneders alderen (dvs. før deres primære vaccinationer startes) hos spædbørn født af kvinder, vaccineret med </w:t>
      </w:r>
      <w:proofErr w:type="spellStart"/>
      <w:r w:rsidRPr="00AF302A">
        <w:rPr>
          <w:sz w:val="24"/>
          <w:szCs w:val="24"/>
        </w:rPr>
        <w:t>Triaxis</w:t>
      </w:r>
      <w:proofErr w:type="spellEnd"/>
      <w:r w:rsidRPr="00AF302A">
        <w:rPr>
          <w:sz w:val="24"/>
          <w:szCs w:val="24"/>
        </w:rPr>
        <w:t xml:space="preserve"> under graviditeten sammenlignet med kvinder, der ikke var vaccineret mod </w:t>
      </w:r>
      <w:proofErr w:type="spellStart"/>
      <w:r w:rsidRPr="00AF302A">
        <w:rPr>
          <w:sz w:val="24"/>
          <w:szCs w:val="24"/>
        </w:rPr>
        <w:t>pertussis</w:t>
      </w:r>
      <w:proofErr w:type="spellEnd"/>
      <w:r w:rsidRPr="00AF302A">
        <w:rPr>
          <w:sz w:val="24"/>
          <w:szCs w:val="24"/>
        </w:rPr>
        <w:t xml:space="preserve"> under graviditeten.</w:t>
      </w:r>
    </w:p>
    <w:p w14:paraId="7F82ED90" w14:textId="77777777" w:rsidR="00B84667" w:rsidRDefault="00B84667" w:rsidP="00AF302A">
      <w:pPr>
        <w:ind w:left="851"/>
        <w:rPr>
          <w:sz w:val="24"/>
          <w:szCs w:val="24"/>
        </w:rPr>
      </w:pPr>
    </w:p>
    <w:p w14:paraId="4B46D875" w14:textId="220045CF" w:rsidR="009C0072" w:rsidRPr="00AF302A" w:rsidRDefault="009C0072" w:rsidP="00AF302A">
      <w:pPr>
        <w:ind w:left="851"/>
        <w:rPr>
          <w:rFonts w:eastAsia="Calibri"/>
          <w:iCs/>
          <w:sz w:val="24"/>
          <w:szCs w:val="24"/>
        </w:rPr>
      </w:pPr>
      <w:r w:rsidRPr="00AF302A">
        <w:rPr>
          <w:sz w:val="24"/>
          <w:szCs w:val="24"/>
        </w:rPr>
        <w:t xml:space="preserve">I det første studie fik 33 gravide kvinder </w:t>
      </w:r>
      <w:proofErr w:type="spellStart"/>
      <w:r w:rsidRPr="00AF302A">
        <w:rPr>
          <w:sz w:val="24"/>
          <w:szCs w:val="24"/>
        </w:rPr>
        <w:t>Triaxis</w:t>
      </w:r>
      <w:proofErr w:type="spellEnd"/>
      <w:r w:rsidRPr="00AF302A">
        <w:rPr>
          <w:sz w:val="24"/>
          <w:szCs w:val="24"/>
        </w:rPr>
        <w:t xml:space="preserve"> og 15 fik placebo med saltvand i 30. og 32. </w:t>
      </w:r>
      <w:proofErr w:type="spellStart"/>
      <w:r w:rsidRPr="00AF302A">
        <w:rPr>
          <w:sz w:val="24"/>
          <w:szCs w:val="24"/>
        </w:rPr>
        <w:t>gestationsuge</w:t>
      </w:r>
      <w:proofErr w:type="spellEnd"/>
      <w:r w:rsidRPr="00AF302A">
        <w:rPr>
          <w:sz w:val="24"/>
          <w:szCs w:val="24"/>
        </w:rPr>
        <w:t xml:space="preserve">. Den geometriske middelkoncentration (GMC) i </w:t>
      </w:r>
      <w:proofErr w:type="gramStart"/>
      <w:r w:rsidRPr="00AF302A">
        <w:rPr>
          <w:sz w:val="24"/>
          <w:szCs w:val="24"/>
        </w:rPr>
        <w:t>EL.E</w:t>
      </w:r>
      <w:proofErr w:type="gramEnd"/>
      <w:r w:rsidRPr="00AF302A">
        <w:rPr>
          <w:sz w:val="24"/>
          <w:szCs w:val="24"/>
        </w:rPr>
        <w:t xml:space="preserve">/ml for </w:t>
      </w:r>
      <w:proofErr w:type="spellStart"/>
      <w:r w:rsidRPr="00AF302A">
        <w:rPr>
          <w:sz w:val="24"/>
          <w:szCs w:val="24"/>
        </w:rPr>
        <w:t>anti</w:t>
      </w:r>
      <w:proofErr w:type="spellEnd"/>
      <w:r w:rsidRPr="00AF302A">
        <w:rPr>
          <w:sz w:val="24"/>
          <w:szCs w:val="24"/>
        </w:rPr>
        <w:t>-</w:t>
      </w:r>
      <w:proofErr w:type="spellStart"/>
      <w:r w:rsidRPr="00AF302A">
        <w:rPr>
          <w:sz w:val="24"/>
          <w:szCs w:val="24"/>
        </w:rPr>
        <w:t>pertussis</w:t>
      </w:r>
      <w:proofErr w:type="spellEnd"/>
      <w:r w:rsidRPr="00AF302A">
        <w:rPr>
          <w:sz w:val="24"/>
          <w:szCs w:val="24"/>
        </w:rPr>
        <w:t xml:space="preserve">-antistofferne mod PT-, FHA-, PRN- og FIM-antigenerne hos spædbørn født af vaccinerede kvinder var henholdsvis 68,8, 234,2, 226,8 og 1 867,0 ved fødslen og 20,6, 99,1, 75,7 og 510,4 ved 2 måneders alderen. Hos spædbørnene i kontrolgruppen var de tilsvarende </w:t>
      </w:r>
      <w:proofErr w:type="spellStart"/>
      <w:r w:rsidRPr="00AF302A">
        <w:rPr>
          <w:sz w:val="24"/>
          <w:szCs w:val="24"/>
        </w:rPr>
        <w:t>GMC’er</w:t>
      </w:r>
      <w:proofErr w:type="spellEnd"/>
      <w:r w:rsidRPr="00AF302A">
        <w:rPr>
          <w:sz w:val="24"/>
          <w:szCs w:val="24"/>
        </w:rPr>
        <w:t xml:space="preserve"> 14,0, 25,1, 14,4 og 48,5 ved fødslen og 5,3, 6,6, 5,2 og 12,0 ved 2 måneder. GMC-forholdene (</w:t>
      </w:r>
      <w:proofErr w:type="spellStart"/>
      <w:r w:rsidRPr="00AF302A">
        <w:rPr>
          <w:sz w:val="24"/>
          <w:szCs w:val="24"/>
        </w:rPr>
        <w:t>Triaxis</w:t>
      </w:r>
      <w:proofErr w:type="spellEnd"/>
      <w:r w:rsidRPr="00AF302A">
        <w:rPr>
          <w:sz w:val="24"/>
          <w:szCs w:val="24"/>
        </w:rPr>
        <w:t>/kontrolgruppe) var 4,9, 9,3, 15,8 og 38,5 ved fødslen og 3,9, 15,0, 14,6 og 42,5 ved 2 måneder.</w:t>
      </w:r>
    </w:p>
    <w:p w14:paraId="313CC069" w14:textId="77777777" w:rsidR="00B84667" w:rsidRDefault="00B84667" w:rsidP="00AF302A">
      <w:pPr>
        <w:ind w:left="851"/>
        <w:rPr>
          <w:sz w:val="24"/>
          <w:szCs w:val="24"/>
        </w:rPr>
      </w:pPr>
    </w:p>
    <w:p w14:paraId="77EAD2D9" w14:textId="5CE0A592" w:rsidR="009C0072" w:rsidRPr="00AF302A" w:rsidRDefault="009C0072" w:rsidP="00AF302A">
      <w:pPr>
        <w:ind w:left="851"/>
        <w:rPr>
          <w:rFonts w:eastAsia="Calibri"/>
          <w:iCs/>
          <w:sz w:val="24"/>
          <w:szCs w:val="24"/>
        </w:rPr>
      </w:pPr>
      <w:r w:rsidRPr="00AF302A">
        <w:rPr>
          <w:sz w:val="24"/>
          <w:szCs w:val="24"/>
        </w:rPr>
        <w:t xml:space="preserve">I det andet studie fik 134 gravide kvinder </w:t>
      </w:r>
      <w:proofErr w:type="spellStart"/>
      <w:r w:rsidRPr="00AF302A">
        <w:rPr>
          <w:sz w:val="24"/>
          <w:szCs w:val="24"/>
        </w:rPr>
        <w:t>Triaxis</w:t>
      </w:r>
      <w:proofErr w:type="spellEnd"/>
      <w:r w:rsidRPr="00AF302A">
        <w:rPr>
          <w:sz w:val="24"/>
          <w:szCs w:val="24"/>
        </w:rPr>
        <w:t xml:space="preserve"> og 138 fik en tetanus- og difteri-kontrolvaccine ved en gennemsnitlig </w:t>
      </w:r>
      <w:proofErr w:type="spellStart"/>
      <w:r w:rsidRPr="00AF302A">
        <w:rPr>
          <w:sz w:val="24"/>
          <w:szCs w:val="24"/>
        </w:rPr>
        <w:t>gestationsalder</w:t>
      </w:r>
      <w:proofErr w:type="spellEnd"/>
      <w:r w:rsidRPr="00AF302A">
        <w:rPr>
          <w:sz w:val="24"/>
          <w:szCs w:val="24"/>
        </w:rPr>
        <w:t xml:space="preserve"> på 34,5 uger. GMC (</w:t>
      </w:r>
      <w:proofErr w:type="gramStart"/>
      <w:r w:rsidRPr="00AF302A">
        <w:rPr>
          <w:sz w:val="24"/>
          <w:szCs w:val="24"/>
        </w:rPr>
        <w:t>EL.E</w:t>
      </w:r>
      <w:proofErr w:type="gramEnd"/>
      <w:r w:rsidRPr="00AF302A">
        <w:rPr>
          <w:sz w:val="24"/>
          <w:szCs w:val="24"/>
        </w:rPr>
        <w:t xml:space="preserve">/ml) for </w:t>
      </w:r>
      <w:proofErr w:type="spellStart"/>
      <w:r w:rsidRPr="00AF302A">
        <w:rPr>
          <w:sz w:val="24"/>
          <w:szCs w:val="24"/>
        </w:rPr>
        <w:t>anti</w:t>
      </w:r>
      <w:proofErr w:type="spellEnd"/>
      <w:r w:rsidRPr="00AF302A">
        <w:rPr>
          <w:sz w:val="24"/>
          <w:szCs w:val="24"/>
        </w:rPr>
        <w:t>-</w:t>
      </w:r>
      <w:proofErr w:type="spellStart"/>
      <w:r w:rsidRPr="00AF302A">
        <w:rPr>
          <w:sz w:val="24"/>
          <w:szCs w:val="24"/>
        </w:rPr>
        <w:t>pertussis</w:t>
      </w:r>
      <w:proofErr w:type="spellEnd"/>
      <w:r w:rsidRPr="00AF302A">
        <w:rPr>
          <w:sz w:val="24"/>
          <w:szCs w:val="24"/>
        </w:rPr>
        <w:t xml:space="preserve">-antistofferne mod PT-, FHA-, PRN- og FIM-antigenerne hos spædbørn født af vaccinerede kvinder var henholdsvis 54,2, 184,2, 294,1 og 939,6 ved fødslen og 14,1, 51,0, 76,8 og 220,0 ved 2 måneders alderen. Hos spædbørnene i kontrolgruppen var de tilsvarende </w:t>
      </w:r>
      <w:proofErr w:type="spellStart"/>
      <w:r w:rsidRPr="00AF302A">
        <w:rPr>
          <w:sz w:val="24"/>
          <w:szCs w:val="24"/>
        </w:rPr>
        <w:t>GMC’er</w:t>
      </w:r>
      <w:proofErr w:type="spellEnd"/>
      <w:r w:rsidRPr="00AF302A">
        <w:rPr>
          <w:sz w:val="24"/>
          <w:szCs w:val="24"/>
        </w:rPr>
        <w:t xml:space="preserve"> 9,5, 21,4, 11,2 og 31,5 ved fødslen og 3,6, 6,1, 4,4 og 9,0 ved 2 måneder. GMC-forholdene (</w:t>
      </w:r>
      <w:proofErr w:type="spellStart"/>
      <w:r w:rsidRPr="00AF302A">
        <w:rPr>
          <w:sz w:val="24"/>
          <w:szCs w:val="24"/>
        </w:rPr>
        <w:t>Triaxis</w:t>
      </w:r>
      <w:proofErr w:type="spellEnd"/>
      <w:r w:rsidRPr="00AF302A">
        <w:rPr>
          <w:sz w:val="24"/>
          <w:szCs w:val="24"/>
        </w:rPr>
        <w:t>/kontrolgruppe) var 5,7, 8,6, 26,3 og 29,8 ved fødslen og 3,9, 8,4, 17,5 og 24,4 ved 2 måneder.</w:t>
      </w:r>
    </w:p>
    <w:p w14:paraId="7298F393" w14:textId="77777777" w:rsidR="00B84667" w:rsidRDefault="00B84667" w:rsidP="00AF302A">
      <w:pPr>
        <w:ind w:left="851"/>
        <w:rPr>
          <w:sz w:val="24"/>
          <w:szCs w:val="24"/>
        </w:rPr>
      </w:pPr>
    </w:p>
    <w:p w14:paraId="06A7C094" w14:textId="02AE44FB" w:rsidR="009C0072" w:rsidRDefault="009C0072" w:rsidP="00AF302A">
      <w:pPr>
        <w:ind w:left="851"/>
        <w:rPr>
          <w:sz w:val="24"/>
          <w:szCs w:val="24"/>
        </w:rPr>
      </w:pPr>
      <w:r w:rsidRPr="00AF302A">
        <w:rPr>
          <w:sz w:val="24"/>
          <w:szCs w:val="24"/>
        </w:rPr>
        <w:t xml:space="preserve">Disse højere antistofkoncentrationer bør give spædbarnet passiv immunitet mod </w:t>
      </w:r>
      <w:proofErr w:type="spellStart"/>
      <w:r w:rsidRPr="00AF302A">
        <w:rPr>
          <w:sz w:val="24"/>
          <w:szCs w:val="24"/>
        </w:rPr>
        <w:t>pertussis</w:t>
      </w:r>
      <w:proofErr w:type="spellEnd"/>
      <w:r w:rsidRPr="00AF302A">
        <w:rPr>
          <w:sz w:val="24"/>
          <w:szCs w:val="24"/>
        </w:rPr>
        <w:t xml:space="preserve"> under de første 2 til 3 levemåneder, som det er blevet vist i observationsstudier af effektiviteten.</w:t>
      </w:r>
    </w:p>
    <w:p w14:paraId="69AB9053" w14:textId="77777777" w:rsidR="00AF302A" w:rsidRPr="00AF302A" w:rsidRDefault="00AF302A" w:rsidP="00AF302A">
      <w:pPr>
        <w:ind w:left="851"/>
        <w:rPr>
          <w:rFonts w:eastAsia="Calibri"/>
          <w:i/>
          <w:iCs/>
          <w:sz w:val="24"/>
          <w:szCs w:val="24"/>
          <w:u w:val="single"/>
        </w:rPr>
      </w:pPr>
    </w:p>
    <w:p w14:paraId="6C93970C" w14:textId="77777777" w:rsidR="009C0072" w:rsidRPr="00AF302A" w:rsidRDefault="009C0072" w:rsidP="00AF302A">
      <w:pPr>
        <w:ind w:left="851"/>
        <w:rPr>
          <w:rFonts w:eastAsia="Calibri"/>
          <w:i/>
          <w:iCs/>
          <w:sz w:val="24"/>
          <w:szCs w:val="24"/>
        </w:rPr>
      </w:pPr>
      <w:proofErr w:type="spellStart"/>
      <w:r w:rsidRPr="00AF302A">
        <w:rPr>
          <w:i/>
          <w:sz w:val="24"/>
          <w:szCs w:val="24"/>
        </w:rPr>
        <w:t>Immunogenicitet</w:t>
      </w:r>
      <w:proofErr w:type="spellEnd"/>
      <w:r w:rsidRPr="00AF302A">
        <w:rPr>
          <w:i/>
          <w:sz w:val="24"/>
          <w:szCs w:val="24"/>
        </w:rPr>
        <w:t xml:space="preserve"> hos spædbørn og småbørn født af kvinder vaccineret under graviditeten</w:t>
      </w:r>
    </w:p>
    <w:p w14:paraId="7516AAC8" w14:textId="77777777" w:rsidR="009C0072" w:rsidRPr="00AF302A" w:rsidRDefault="009C0072" w:rsidP="00AF302A">
      <w:pPr>
        <w:ind w:left="851"/>
        <w:rPr>
          <w:rFonts w:eastAsia="Calibri"/>
          <w:sz w:val="24"/>
          <w:szCs w:val="24"/>
        </w:rPr>
      </w:pPr>
      <w:proofErr w:type="spellStart"/>
      <w:r w:rsidRPr="00AF302A">
        <w:rPr>
          <w:sz w:val="24"/>
          <w:szCs w:val="24"/>
        </w:rPr>
        <w:t>Immunogeniciteten</w:t>
      </w:r>
      <w:proofErr w:type="spellEnd"/>
      <w:r w:rsidRPr="00AF302A">
        <w:rPr>
          <w:sz w:val="24"/>
          <w:szCs w:val="24"/>
        </w:rPr>
        <w:t xml:space="preserve"> af rutinemæssig spædbørnsvaccination hos spædbørn født af kvinder vaccineret med </w:t>
      </w:r>
      <w:proofErr w:type="spellStart"/>
      <w:r w:rsidRPr="00AF302A">
        <w:rPr>
          <w:sz w:val="24"/>
          <w:szCs w:val="24"/>
        </w:rPr>
        <w:t>Triaxis</w:t>
      </w:r>
      <w:proofErr w:type="spellEnd"/>
      <w:r w:rsidRPr="00AF302A">
        <w:rPr>
          <w:sz w:val="24"/>
          <w:szCs w:val="24"/>
        </w:rPr>
        <w:t xml:space="preserve"> eller REPEVAX under graviditeten blev vurderet i flere publicerede studier. Data om spædbarnets respons mod </w:t>
      </w:r>
      <w:proofErr w:type="spellStart"/>
      <w:r w:rsidRPr="00AF302A">
        <w:rPr>
          <w:sz w:val="24"/>
          <w:szCs w:val="24"/>
        </w:rPr>
        <w:t>pertussis</w:t>
      </w:r>
      <w:proofErr w:type="spellEnd"/>
      <w:r w:rsidRPr="00AF302A">
        <w:rPr>
          <w:sz w:val="24"/>
          <w:szCs w:val="24"/>
        </w:rPr>
        <w:t>- og non-</w:t>
      </w:r>
      <w:proofErr w:type="spellStart"/>
      <w:r w:rsidRPr="00AF302A">
        <w:rPr>
          <w:sz w:val="24"/>
          <w:szCs w:val="24"/>
        </w:rPr>
        <w:t>pertussis</w:t>
      </w:r>
      <w:proofErr w:type="spellEnd"/>
      <w:r w:rsidRPr="00AF302A">
        <w:rPr>
          <w:sz w:val="24"/>
          <w:szCs w:val="24"/>
        </w:rPr>
        <w:t>-antigener blev evalueret i løbet af det første leveår.</w:t>
      </w:r>
    </w:p>
    <w:p w14:paraId="58CAC292" w14:textId="77777777" w:rsidR="00B84667" w:rsidRDefault="00B84667" w:rsidP="00AF302A">
      <w:pPr>
        <w:ind w:left="851"/>
        <w:rPr>
          <w:sz w:val="24"/>
          <w:szCs w:val="24"/>
        </w:rPr>
      </w:pPr>
    </w:p>
    <w:p w14:paraId="01A2AB94" w14:textId="70C5368D" w:rsidR="009C0072" w:rsidRPr="00AF302A" w:rsidRDefault="009C0072" w:rsidP="00AF302A">
      <w:pPr>
        <w:ind w:left="851"/>
        <w:rPr>
          <w:rFonts w:eastAsia="Calibri"/>
          <w:sz w:val="24"/>
          <w:szCs w:val="24"/>
        </w:rPr>
      </w:pPr>
      <w:proofErr w:type="spellStart"/>
      <w:r w:rsidRPr="00AF302A">
        <w:rPr>
          <w:sz w:val="24"/>
          <w:szCs w:val="24"/>
        </w:rPr>
        <w:t>Maternelle</w:t>
      </w:r>
      <w:proofErr w:type="spellEnd"/>
      <w:r w:rsidRPr="00AF302A">
        <w:rPr>
          <w:sz w:val="24"/>
          <w:szCs w:val="24"/>
        </w:rPr>
        <w:t xml:space="preserve"> antistoffer afledt efter vaccination med </w:t>
      </w:r>
      <w:proofErr w:type="spellStart"/>
      <w:r w:rsidRPr="00AF302A">
        <w:rPr>
          <w:sz w:val="24"/>
          <w:szCs w:val="24"/>
        </w:rPr>
        <w:t>Triaxis</w:t>
      </w:r>
      <w:proofErr w:type="spellEnd"/>
      <w:r w:rsidRPr="00AF302A">
        <w:rPr>
          <w:sz w:val="24"/>
          <w:szCs w:val="24"/>
        </w:rPr>
        <w:t xml:space="preserve"> eller REPEVAX under graviditeten kan være forbundet med svækkelse af spædbarnets immunrespons på aktiv immunisering mod </w:t>
      </w:r>
      <w:proofErr w:type="spellStart"/>
      <w:r w:rsidRPr="00AF302A">
        <w:rPr>
          <w:sz w:val="24"/>
          <w:szCs w:val="24"/>
        </w:rPr>
        <w:t>pertussis</w:t>
      </w:r>
      <w:proofErr w:type="spellEnd"/>
      <w:r w:rsidRPr="00AF302A">
        <w:rPr>
          <w:sz w:val="24"/>
          <w:szCs w:val="24"/>
        </w:rPr>
        <w:t>. Baseret på nuværende epidemiologiske studier har denne svækkelse muligvis ikke klinisk relevans.</w:t>
      </w:r>
    </w:p>
    <w:p w14:paraId="473B91BC" w14:textId="77777777" w:rsidR="00B84667" w:rsidRDefault="00B84667" w:rsidP="00AF302A">
      <w:pPr>
        <w:ind w:left="851"/>
        <w:rPr>
          <w:sz w:val="24"/>
          <w:szCs w:val="24"/>
        </w:rPr>
      </w:pPr>
    </w:p>
    <w:p w14:paraId="589CF60D" w14:textId="759744E9" w:rsidR="009C0072" w:rsidRPr="00AF302A" w:rsidRDefault="009C0072" w:rsidP="00AF302A">
      <w:pPr>
        <w:ind w:left="851"/>
        <w:rPr>
          <w:rFonts w:eastAsia="Calibri"/>
          <w:sz w:val="24"/>
          <w:szCs w:val="24"/>
        </w:rPr>
      </w:pPr>
      <w:r w:rsidRPr="00AF302A">
        <w:rPr>
          <w:sz w:val="24"/>
          <w:szCs w:val="24"/>
        </w:rPr>
        <w:t xml:space="preserve">Data fra flere studier viste ingen klinisk relevant svækkelse fra vaccination med </w:t>
      </w:r>
      <w:proofErr w:type="spellStart"/>
      <w:r w:rsidRPr="00AF302A">
        <w:rPr>
          <w:sz w:val="24"/>
          <w:szCs w:val="24"/>
        </w:rPr>
        <w:t>Triaxis</w:t>
      </w:r>
      <w:proofErr w:type="spellEnd"/>
      <w:r w:rsidRPr="00AF302A">
        <w:rPr>
          <w:sz w:val="24"/>
          <w:szCs w:val="24"/>
        </w:rPr>
        <w:t xml:space="preserve"> eller REPEVAX under graviditet og spædbørns eller småbørns respons mod difteri-, tetanus-, </w:t>
      </w:r>
      <w:proofErr w:type="spellStart"/>
      <w:r w:rsidRPr="00AF302A">
        <w:rPr>
          <w:i/>
          <w:iCs/>
          <w:sz w:val="24"/>
          <w:szCs w:val="24"/>
        </w:rPr>
        <w:t>Haemophilus</w:t>
      </w:r>
      <w:proofErr w:type="spellEnd"/>
      <w:r w:rsidRPr="00AF302A">
        <w:rPr>
          <w:i/>
          <w:iCs/>
          <w:sz w:val="24"/>
          <w:szCs w:val="24"/>
        </w:rPr>
        <w:t xml:space="preserve"> </w:t>
      </w:r>
      <w:proofErr w:type="spellStart"/>
      <w:r w:rsidRPr="00AF302A">
        <w:rPr>
          <w:i/>
          <w:iCs/>
          <w:sz w:val="24"/>
          <w:szCs w:val="24"/>
        </w:rPr>
        <w:t>influenzae</w:t>
      </w:r>
      <w:proofErr w:type="spellEnd"/>
      <w:r w:rsidRPr="00AF302A">
        <w:rPr>
          <w:sz w:val="24"/>
          <w:szCs w:val="24"/>
        </w:rPr>
        <w:t xml:space="preserve"> type b-, inaktiveret poliovirus- eller </w:t>
      </w:r>
      <w:proofErr w:type="spellStart"/>
      <w:r w:rsidRPr="00AF302A">
        <w:rPr>
          <w:sz w:val="24"/>
          <w:szCs w:val="24"/>
        </w:rPr>
        <w:t>pneumokok</w:t>
      </w:r>
      <w:proofErr w:type="spellEnd"/>
      <w:r w:rsidRPr="00AF302A">
        <w:rPr>
          <w:sz w:val="24"/>
          <w:szCs w:val="24"/>
        </w:rPr>
        <w:t>-antigener.</w:t>
      </w:r>
    </w:p>
    <w:p w14:paraId="53C27EA5" w14:textId="77777777" w:rsidR="00AF302A" w:rsidRDefault="00AF302A" w:rsidP="00AF302A">
      <w:pPr>
        <w:ind w:left="851"/>
        <w:rPr>
          <w:sz w:val="24"/>
          <w:szCs w:val="24"/>
        </w:rPr>
      </w:pPr>
    </w:p>
    <w:p w14:paraId="18982DCA" w14:textId="20075131" w:rsidR="009C0072" w:rsidRPr="00AF302A" w:rsidRDefault="009C0072" w:rsidP="00AF302A">
      <w:pPr>
        <w:ind w:left="851"/>
        <w:rPr>
          <w:rFonts w:eastAsia="Calibri"/>
          <w:i/>
          <w:sz w:val="24"/>
          <w:szCs w:val="24"/>
        </w:rPr>
      </w:pPr>
      <w:r w:rsidRPr="00AF302A">
        <w:rPr>
          <w:i/>
          <w:sz w:val="24"/>
          <w:szCs w:val="24"/>
        </w:rPr>
        <w:t xml:space="preserve">Effektivitet mod </w:t>
      </w:r>
      <w:proofErr w:type="spellStart"/>
      <w:r w:rsidRPr="00AF302A">
        <w:rPr>
          <w:i/>
          <w:sz w:val="24"/>
          <w:szCs w:val="24"/>
        </w:rPr>
        <w:t>pertussis</w:t>
      </w:r>
      <w:proofErr w:type="spellEnd"/>
      <w:r w:rsidRPr="00AF302A">
        <w:rPr>
          <w:i/>
          <w:sz w:val="24"/>
          <w:szCs w:val="24"/>
        </w:rPr>
        <w:t xml:space="preserve"> hos spædbørn af mødre vaccineret under graviditeten</w:t>
      </w:r>
    </w:p>
    <w:p w14:paraId="21214DE4" w14:textId="77777777" w:rsidR="009C0072" w:rsidRPr="00AF302A" w:rsidRDefault="009C0072" w:rsidP="00AF302A">
      <w:pPr>
        <w:ind w:left="851"/>
        <w:rPr>
          <w:b/>
          <w:sz w:val="24"/>
          <w:szCs w:val="24"/>
        </w:rPr>
      </w:pPr>
      <w:r w:rsidRPr="00AF302A">
        <w:rPr>
          <w:sz w:val="24"/>
          <w:szCs w:val="24"/>
        </w:rPr>
        <w:t xml:space="preserve">Vaccineeffektiviteten i de første 2 – 3 levemåneder hos spædbørn født af mødre vaccineret mod </w:t>
      </w:r>
      <w:proofErr w:type="spellStart"/>
      <w:r w:rsidRPr="00AF302A">
        <w:rPr>
          <w:sz w:val="24"/>
          <w:szCs w:val="24"/>
        </w:rPr>
        <w:t>pertussis</w:t>
      </w:r>
      <w:proofErr w:type="spellEnd"/>
      <w:r w:rsidRPr="00AF302A">
        <w:rPr>
          <w:sz w:val="24"/>
          <w:szCs w:val="24"/>
        </w:rPr>
        <w:t xml:space="preserve"> under tredje trimester af graviditeten er blevet evalueret i 3 observationsstudier. Den samlede effektivitet er &gt; 90 %.</w:t>
      </w:r>
    </w:p>
    <w:p w14:paraId="15B5DD73" w14:textId="77777777" w:rsidR="009C0072" w:rsidRPr="00AF302A" w:rsidRDefault="009C0072" w:rsidP="00AF302A">
      <w:pPr>
        <w:pStyle w:val="wcpTablenote"/>
        <w:spacing w:before="0"/>
        <w:ind w:left="851" w:firstLine="0"/>
        <w:rPr>
          <w:sz w:val="24"/>
          <w:szCs w:val="24"/>
        </w:rPr>
      </w:pPr>
    </w:p>
    <w:p w14:paraId="7CFD5266" w14:textId="77777777" w:rsidR="009C0072" w:rsidRPr="00AF302A" w:rsidRDefault="009C0072" w:rsidP="00AF302A">
      <w:pPr>
        <w:rPr>
          <w:b/>
          <w:sz w:val="24"/>
          <w:szCs w:val="24"/>
        </w:rPr>
      </w:pPr>
      <w:r w:rsidRPr="00AF302A">
        <w:rPr>
          <w:b/>
          <w:sz w:val="24"/>
          <w:szCs w:val="24"/>
        </w:rPr>
        <w:t xml:space="preserve">Tabel 5: Vaccineeffektivitet (VE) mod </w:t>
      </w:r>
      <w:proofErr w:type="spellStart"/>
      <w:r w:rsidRPr="00AF302A">
        <w:rPr>
          <w:b/>
          <w:sz w:val="24"/>
          <w:szCs w:val="24"/>
        </w:rPr>
        <w:t>pertussis</w:t>
      </w:r>
      <w:proofErr w:type="spellEnd"/>
      <w:r w:rsidRPr="00AF302A">
        <w:rPr>
          <w:b/>
          <w:sz w:val="24"/>
          <w:szCs w:val="24"/>
        </w:rPr>
        <w:t xml:space="preserve">-sygdom hos spædbørn født af mødre vaccineret med </w:t>
      </w:r>
      <w:proofErr w:type="spellStart"/>
      <w:r w:rsidRPr="00AF302A">
        <w:rPr>
          <w:b/>
          <w:sz w:val="24"/>
          <w:szCs w:val="24"/>
        </w:rPr>
        <w:t>Triaxis</w:t>
      </w:r>
      <w:proofErr w:type="spellEnd"/>
      <w:r w:rsidRPr="00AF302A">
        <w:rPr>
          <w:b/>
          <w:sz w:val="24"/>
          <w:szCs w:val="24"/>
        </w:rPr>
        <w:t xml:space="preserve"> eller REPEVAX under graviditeten i 3 retrospektive studier.</w:t>
      </w:r>
    </w:p>
    <w:tbl>
      <w:tblPr>
        <w:tblW w:w="5000" w:type="pct"/>
        <w:tblBorders>
          <w:top w:val="outset" w:sz="6" w:space="0" w:color="7B7B7B"/>
          <w:left w:val="outset" w:sz="6" w:space="0" w:color="7B7B7B"/>
          <w:bottom w:val="outset" w:sz="6" w:space="0" w:color="7B7B7B"/>
          <w:right w:val="outset" w:sz="6" w:space="0" w:color="7B7B7B"/>
        </w:tblBorders>
        <w:shd w:val="clear" w:color="auto" w:fill="FFFFFF"/>
        <w:tblCellMar>
          <w:left w:w="115" w:type="dxa"/>
          <w:right w:w="115" w:type="dxa"/>
        </w:tblCellMar>
        <w:tblLook w:val="04A0" w:firstRow="1" w:lastRow="0" w:firstColumn="1" w:lastColumn="0" w:noHBand="0" w:noVBand="1"/>
      </w:tblPr>
      <w:tblGrid>
        <w:gridCol w:w="1672"/>
        <w:gridCol w:w="1277"/>
        <w:gridCol w:w="1649"/>
        <w:gridCol w:w="2868"/>
        <w:gridCol w:w="2156"/>
      </w:tblGrid>
      <w:tr w:rsidR="009C0072" w:rsidRPr="00AF302A" w14:paraId="527EF7A6" w14:textId="77777777" w:rsidTr="00AF302A">
        <w:trPr>
          <w:trHeight w:val="324"/>
        </w:trPr>
        <w:tc>
          <w:tcPr>
            <w:tcW w:w="872"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1D4F1A27" w14:textId="77777777" w:rsidR="009C0072" w:rsidRPr="00AF302A" w:rsidRDefault="009C0072">
            <w:pPr>
              <w:pStyle w:val="wcpTablenote"/>
              <w:spacing w:before="0"/>
              <w:rPr>
                <w:sz w:val="22"/>
                <w:szCs w:val="22"/>
                <w:lang w:val="nb-NO"/>
              </w:rPr>
            </w:pPr>
            <w:r w:rsidRPr="00AF302A">
              <w:rPr>
                <w:b/>
                <w:sz w:val="22"/>
                <w:szCs w:val="22"/>
                <w:lang w:val="nb-NO"/>
              </w:rPr>
              <w:t>Lokation</w:t>
            </w:r>
          </w:p>
        </w:tc>
        <w:tc>
          <w:tcPr>
            <w:tcW w:w="66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EAB10D2" w14:textId="77777777" w:rsidR="009C0072" w:rsidRPr="00AF302A" w:rsidRDefault="009C0072">
            <w:pPr>
              <w:pStyle w:val="wcpTablenote"/>
              <w:spacing w:before="0"/>
              <w:rPr>
                <w:sz w:val="22"/>
                <w:szCs w:val="22"/>
                <w:lang w:val="nb-NO"/>
              </w:rPr>
            </w:pPr>
            <w:r w:rsidRPr="00AF302A">
              <w:rPr>
                <w:b/>
                <w:sz w:val="22"/>
                <w:szCs w:val="22"/>
                <w:lang w:val="nb-NO"/>
              </w:rPr>
              <w:t>Vaccine</w:t>
            </w:r>
          </w:p>
        </w:tc>
        <w:tc>
          <w:tcPr>
            <w:tcW w:w="84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3B15383" w14:textId="77777777" w:rsidR="009C0072" w:rsidRPr="00AF302A" w:rsidRDefault="009C0072">
            <w:pPr>
              <w:pStyle w:val="wcpTablenote"/>
              <w:spacing w:before="0"/>
              <w:rPr>
                <w:sz w:val="22"/>
                <w:szCs w:val="22"/>
                <w:lang w:val="nb-NO"/>
              </w:rPr>
            </w:pPr>
            <w:r w:rsidRPr="00AF302A">
              <w:rPr>
                <w:b/>
                <w:sz w:val="22"/>
                <w:szCs w:val="22"/>
                <w:lang w:val="nb-NO"/>
              </w:rPr>
              <w:t>VE (95 % CI)</w:t>
            </w:r>
          </w:p>
        </w:tc>
        <w:tc>
          <w:tcPr>
            <w:tcW w:w="149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44DD6896" w14:textId="77777777" w:rsidR="009C0072" w:rsidRPr="00AF302A" w:rsidRDefault="009C0072">
            <w:pPr>
              <w:pStyle w:val="wcpTablenote"/>
              <w:spacing w:before="0"/>
              <w:rPr>
                <w:sz w:val="22"/>
                <w:szCs w:val="22"/>
                <w:lang w:val="nb-NO"/>
              </w:rPr>
            </w:pPr>
            <w:r w:rsidRPr="00AF302A">
              <w:rPr>
                <w:b/>
                <w:sz w:val="22"/>
                <w:szCs w:val="22"/>
                <w:lang w:val="nb-NO"/>
              </w:rPr>
              <w:t>VE-estimeringsmetode</w:t>
            </w:r>
          </w:p>
        </w:tc>
        <w:tc>
          <w:tcPr>
            <w:tcW w:w="112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D020B78" w14:textId="77777777" w:rsidR="009C0072" w:rsidRPr="00AF302A" w:rsidRDefault="009C0072">
            <w:pPr>
              <w:pStyle w:val="wcpTablenote"/>
              <w:spacing w:before="0"/>
              <w:ind w:left="0" w:firstLine="0"/>
              <w:rPr>
                <w:b/>
                <w:sz w:val="22"/>
                <w:szCs w:val="22"/>
                <w:lang w:val="nb-NO"/>
              </w:rPr>
            </w:pPr>
            <w:r w:rsidRPr="00AF302A">
              <w:rPr>
                <w:b/>
                <w:sz w:val="22"/>
                <w:szCs w:val="22"/>
                <w:lang w:val="nb-NO"/>
              </w:rPr>
              <w:t>Opfølgningsperiode for spædbørn</w:t>
            </w:r>
          </w:p>
        </w:tc>
      </w:tr>
      <w:tr w:rsidR="009C0072" w:rsidRPr="00AF302A" w14:paraId="58FA0296" w14:textId="77777777" w:rsidTr="00AF302A">
        <w:trPr>
          <w:trHeight w:val="324"/>
        </w:trPr>
        <w:tc>
          <w:tcPr>
            <w:tcW w:w="872"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BEF7B49" w14:textId="77777777" w:rsidR="009C0072" w:rsidRPr="00AF302A" w:rsidRDefault="009C0072">
            <w:pPr>
              <w:pStyle w:val="wcpTablenote"/>
              <w:spacing w:before="0"/>
              <w:rPr>
                <w:b/>
                <w:bCs/>
                <w:sz w:val="22"/>
                <w:szCs w:val="22"/>
                <w:lang w:val="nb-NO"/>
              </w:rPr>
            </w:pPr>
            <w:r w:rsidRPr="00AF302A">
              <w:rPr>
                <w:b/>
                <w:sz w:val="22"/>
                <w:szCs w:val="22"/>
                <w:lang w:val="nb-NO"/>
              </w:rPr>
              <w:t xml:space="preserve">Storbritannien </w:t>
            </w:r>
          </w:p>
        </w:tc>
        <w:tc>
          <w:tcPr>
            <w:tcW w:w="66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D599382" w14:textId="77777777" w:rsidR="009C0072" w:rsidRPr="00AF302A" w:rsidRDefault="009C0072">
            <w:pPr>
              <w:pStyle w:val="wcpTablenote"/>
              <w:spacing w:before="0"/>
              <w:rPr>
                <w:iCs/>
                <w:sz w:val="22"/>
                <w:szCs w:val="22"/>
                <w:lang w:val="nb-NO"/>
              </w:rPr>
            </w:pPr>
            <w:r w:rsidRPr="00AF302A">
              <w:rPr>
                <w:sz w:val="22"/>
                <w:szCs w:val="22"/>
                <w:lang w:val="nb-NO"/>
              </w:rPr>
              <w:t>REPEVAX</w:t>
            </w:r>
          </w:p>
        </w:tc>
        <w:tc>
          <w:tcPr>
            <w:tcW w:w="84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07CC2F5" w14:textId="77777777" w:rsidR="009C0072" w:rsidRPr="00AF302A" w:rsidRDefault="009C0072">
            <w:pPr>
              <w:pStyle w:val="wcpTablenote"/>
              <w:spacing w:before="0"/>
              <w:rPr>
                <w:sz w:val="22"/>
                <w:szCs w:val="22"/>
                <w:lang w:val="nb-NO"/>
              </w:rPr>
            </w:pPr>
            <w:r w:rsidRPr="00AF302A">
              <w:rPr>
                <w:sz w:val="22"/>
                <w:szCs w:val="22"/>
                <w:lang w:val="nb-NO"/>
              </w:rPr>
              <w:t>93 % (81; 97)</w:t>
            </w:r>
          </w:p>
        </w:tc>
        <w:tc>
          <w:tcPr>
            <w:tcW w:w="149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D501DF3" w14:textId="77777777" w:rsidR="009C0072" w:rsidRPr="00AF302A" w:rsidRDefault="009C0072">
            <w:pPr>
              <w:pStyle w:val="wcpTablenote"/>
              <w:spacing w:before="0"/>
              <w:rPr>
                <w:sz w:val="22"/>
                <w:szCs w:val="22"/>
                <w:lang w:val="nb-NO"/>
              </w:rPr>
            </w:pPr>
            <w:r w:rsidRPr="00AF302A">
              <w:rPr>
                <w:sz w:val="22"/>
                <w:szCs w:val="22"/>
                <w:lang w:val="nb-NO"/>
              </w:rPr>
              <w:t xml:space="preserve">ikke-matchet </w:t>
            </w:r>
            <w:r w:rsidRPr="00AF302A">
              <w:rPr>
                <w:i/>
                <w:iCs/>
                <w:sz w:val="22"/>
                <w:szCs w:val="22"/>
                <w:lang w:val="nb-NO"/>
              </w:rPr>
              <w:t>case</w:t>
            </w:r>
            <w:r w:rsidRPr="00AF302A">
              <w:rPr>
                <w:sz w:val="22"/>
                <w:szCs w:val="22"/>
                <w:lang w:val="nb-NO"/>
              </w:rPr>
              <w:t>-kontrol</w:t>
            </w:r>
          </w:p>
        </w:tc>
        <w:tc>
          <w:tcPr>
            <w:tcW w:w="112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599D129" w14:textId="77777777" w:rsidR="009C0072" w:rsidRPr="00AF302A" w:rsidRDefault="009C0072">
            <w:pPr>
              <w:pStyle w:val="wcpTablenote"/>
              <w:spacing w:before="0"/>
              <w:rPr>
                <w:sz w:val="22"/>
                <w:szCs w:val="22"/>
                <w:lang w:val="nb-NO"/>
              </w:rPr>
            </w:pPr>
            <w:r w:rsidRPr="00AF302A">
              <w:rPr>
                <w:sz w:val="22"/>
                <w:szCs w:val="22"/>
                <w:lang w:val="nb-NO"/>
              </w:rPr>
              <w:t>2 måneder.</w:t>
            </w:r>
          </w:p>
        </w:tc>
      </w:tr>
      <w:tr w:rsidR="009C0072" w:rsidRPr="00AF302A" w14:paraId="5828BCB7" w14:textId="77777777" w:rsidTr="00AF302A">
        <w:trPr>
          <w:trHeight w:val="324"/>
        </w:trPr>
        <w:tc>
          <w:tcPr>
            <w:tcW w:w="872"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A421587" w14:textId="77777777" w:rsidR="009C0072" w:rsidRPr="00AF302A" w:rsidRDefault="009C0072">
            <w:pPr>
              <w:pStyle w:val="wcpTablenote"/>
              <w:spacing w:before="0"/>
              <w:rPr>
                <w:b/>
                <w:sz w:val="22"/>
                <w:szCs w:val="22"/>
                <w:lang w:val="nb-NO"/>
              </w:rPr>
            </w:pPr>
            <w:r w:rsidRPr="00AF302A">
              <w:rPr>
                <w:b/>
                <w:sz w:val="22"/>
                <w:szCs w:val="22"/>
                <w:lang w:val="nb-NO"/>
              </w:rPr>
              <w:t>USA</w:t>
            </w:r>
          </w:p>
        </w:tc>
        <w:tc>
          <w:tcPr>
            <w:tcW w:w="66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4409823" w14:textId="77777777" w:rsidR="009C0072" w:rsidRPr="00AF302A" w:rsidRDefault="009C0072">
            <w:pPr>
              <w:pStyle w:val="wcpTablenote"/>
              <w:spacing w:before="0"/>
              <w:rPr>
                <w:sz w:val="22"/>
                <w:szCs w:val="22"/>
                <w:lang w:val="nb-NO"/>
              </w:rPr>
            </w:pPr>
            <w:r w:rsidRPr="00AF302A">
              <w:rPr>
                <w:sz w:val="22"/>
                <w:szCs w:val="22"/>
                <w:lang w:val="nb-NO"/>
              </w:rPr>
              <w:t>Triaxis*</w:t>
            </w:r>
          </w:p>
        </w:tc>
        <w:tc>
          <w:tcPr>
            <w:tcW w:w="84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5D19441D" w14:textId="77777777" w:rsidR="009C0072" w:rsidRPr="00AF302A" w:rsidRDefault="009C0072">
            <w:pPr>
              <w:pStyle w:val="wcpTablenote"/>
              <w:spacing w:before="0"/>
              <w:rPr>
                <w:sz w:val="22"/>
                <w:szCs w:val="22"/>
                <w:lang w:val="nb-NO"/>
              </w:rPr>
            </w:pPr>
            <w:r w:rsidRPr="00AF302A">
              <w:rPr>
                <w:sz w:val="22"/>
                <w:szCs w:val="22"/>
                <w:lang w:val="nb-NO"/>
              </w:rPr>
              <w:t>91,4 % (19,5; 99,1)</w:t>
            </w:r>
          </w:p>
        </w:tc>
        <w:tc>
          <w:tcPr>
            <w:tcW w:w="149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D56FEBA" w14:textId="77777777" w:rsidR="009C0072" w:rsidRPr="00AF302A" w:rsidRDefault="009C0072">
            <w:pPr>
              <w:pStyle w:val="wcpTablenote"/>
              <w:spacing w:before="0"/>
              <w:rPr>
                <w:sz w:val="22"/>
                <w:szCs w:val="22"/>
                <w:lang w:val="nb-NO"/>
              </w:rPr>
            </w:pPr>
            <w:r w:rsidRPr="00AF302A">
              <w:rPr>
                <w:sz w:val="22"/>
                <w:szCs w:val="22"/>
                <w:lang w:val="nb-NO"/>
              </w:rPr>
              <w:t>kohorte regressionsmodel</w:t>
            </w:r>
          </w:p>
        </w:tc>
        <w:tc>
          <w:tcPr>
            <w:tcW w:w="112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7D76F883" w14:textId="77777777" w:rsidR="009C0072" w:rsidRPr="00AF302A" w:rsidRDefault="009C0072">
            <w:pPr>
              <w:pStyle w:val="wcpTablenote"/>
              <w:spacing w:before="0"/>
              <w:rPr>
                <w:sz w:val="22"/>
                <w:szCs w:val="22"/>
                <w:lang w:val="nb-NO"/>
              </w:rPr>
            </w:pPr>
            <w:r w:rsidRPr="00AF302A">
              <w:rPr>
                <w:sz w:val="22"/>
                <w:szCs w:val="22"/>
                <w:lang w:val="nb-NO"/>
              </w:rPr>
              <w:t>2 måneder.</w:t>
            </w:r>
          </w:p>
        </w:tc>
      </w:tr>
      <w:tr w:rsidR="009C0072" w:rsidRPr="00AF302A" w14:paraId="7BE6B51E" w14:textId="77777777" w:rsidTr="00AF302A">
        <w:trPr>
          <w:trHeight w:val="324"/>
        </w:trPr>
        <w:tc>
          <w:tcPr>
            <w:tcW w:w="872"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DDC8D87" w14:textId="77777777" w:rsidR="009C0072" w:rsidRPr="00AF302A" w:rsidRDefault="009C0072">
            <w:pPr>
              <w:pStyle w:val="wcpTablenote"/>
              <w:spacing w:before="0"/>
              <w:rPr>
                <w:b/>
                <w:sz w:val="22"/>
                <w:szCs w:val="22"/>
                <w:lang w:val="nb-NO"/>
              </w:rPr>
            </w:pPr>
            <w:r w:rsidRPr="00AF302A">
              <w:rPr>
                <w:b/>
                <w:sz w:val="22"/>
                <w:szCs w:val="22"/>
                <w:lang w:val="nb-NO"/>
              </w:rPr>
              <w:t xml:space="preserve">Storbritannien </w:t>
            </w:r>
          </w:p>
        </w:tc>
        <w:tc>
          <w:tcPr>
            <w:tcW w:w="66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012E2DBE" w14:textId="77777777" w:rsidR="009C0072" w:rsidRPr="00AF302A" w:rsidRDefault="009C0072">
            <w:pPr>
              <w:pStyle w:val="wcpTablenote"/>
              <w:spacing w:before="0"/>
              <w:rPr>
                <w:sz w:val="22"/>
                <w:szCs w:val="22"/>
                <w:lang w:val="nb-NO"/>
              </w:rPr>
            </w:pPr>
            <w:r w:rsidRPr="00AF302A">
              <w:rPr>
                <w:sz w:val="22"/>
                <w:szCs w:val="22"/>
                <w:lang w:val="nb-NO"/>
              </w:rPr>
              <w:t>REPEVAX</w:t>
            </w:r>
          </w:p>
        </w:tc>
        <w:tc>
          <w:tcPr>
            <w:tcW w:w="846"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39D8041" w14:textId="77777777" w:rsidR="009C0072" w:rsidRPr="00AF302A" w:rsidRDefault="009C0072">
            <w:pPr>
              <w:pStyle w:val="wcpTablenote"/>
              <w:spacing w:before="0"/>
              <w:rPr>
                <w:sz w:val="22"/>
                <w:szCs w:val="22"/>
                <w:lang w:val="nb-NO"/>
              </w:rPr>
            </w:pPr>
            <w:r w:rsidRPr="00AF302A">
              <w:rPr>
                <w:sz w:val="22"/>
                <w:szCs w:val="22"/>
                <w:lang w:val="nb-NO"/>
              </w:rPr>
              <w:t>93 % (89; 95)</w:t>
            </w:r>
          </w:p>
        </w:tc>
        <w:tc>
          <w:tcPr>
            <w:tcW w:w="149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C4E1A3A" w14:textId="77777777" w:rsidR="009C0072" w:rsidRPr="00AF302A" w:rsidRDefault="009C0072">
            <w:pPr>
              <w:pStyle w:val="wcpTablenote"/>
              <w:spacing w:before="0"/>
              <w:rPr>
                <w:sz w:val="22"/>
                <w:szCs w:val="22"/>
                <w:lang w:val="nb-NO"/>
              </w:rPr>
            </w:pPr>
            <w:r w:rsidRPr="00AF302A">
              <w:rPr>
                <w:i/>
                <w:iCs/>
                <w:sz w:val="22"/>
                <w:szCs w:val="22"/>
                <w:lang w:val="nb-NO"/>
              </w:rPr>
              <w:t>screening</w:t>
            </w:r>
            <w:r w:rsidRPr="00AF302A">
              <w:rPr>
                <w:sz w:val="22"/>
                <w:szCs w:val="22"/>
                <w:lang w:val="nb-NO"/>
              </w:rPr>
              <w:t xml:space="preserve"> (</w:t>
            </w:r>
            <w:r w:rsidRPr="00AF302A">
              <w:rPr>
                <w:i/>
                <w:iCs/>
                <w:sz w:val="22"/>
                <w:szCs w:val="22"/>
                <w:lang w:val="nb-NO"/>
              </w:rPr>
              <w:t>case</w:t>
            </w:r>
            <w:r w:rsidRPr="00AF302A">
              <w:rPr>
                <w:sz w:val="22"/>
                <w:szCs w:val="22"/>
                <w:lang w:val="nb-NO"/>
              </w:rPr>
              <w:t>-dækning)</w:t>
            </w:r>
          </w:p>
        </w:tc>
        <w:tc>
          <w:tcPr>
            <w:tcW w:w="112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4B50F57E" w14:textId="77777777" w:rsidR="009C0072" w:rsidRPr="00AF302A" w:rsidRDefault="009C0072">
            <w:pPr>
              <w:pStyle w:val="wcpTablenote"/>
              <w:spacing w:before="0"/>
              <w:rPr>
                <w:sz w:val="22"/>
                <w:szCs w:val="22"/>
                <w:lang w:val="nb-NO"/>
              </w:rPr>
            </w:pPr>
            <w:r w:rsidRPr="00AF302A">
              <w:rPr>
                <w:sz w:val="22"/>
                <w:szCs w:val="22"/>
                <w:lang w:val="nb-NO"/>
              </w:rPr>
              <w:t>3 måneder</w:t>
            </w:r>
          </w:p>
        </w:tc>
      </w:tr>
      <w:tr w:rsidR="009C0072" w:rsidRPr="00AF302A" w14:paraId="2DE0303A" w14:textId="77777777" w:rsidTr="00AF302A">
        <w:trPr>
          <w:trHeight w:val="381"/>
        </w:trPr>
        <w:tc>
          <w:tcPr>
            <w:tcW w:w="5000" w:type="pct"/>
            <w:gridSpan w:val="5"/>
            <w:tcBorders>
              <w:top w:val="outset" w:sz="6" w:space="0" w:color="7B7B7B"/>
              <w:left w:val="nil"/>
              <w:bottom w:val="nil"/>
              <w:right w:val="nil"/>
            </w:tcBorders>
            <w:shd w:val="clear" w:color="auto" w:fill="FFFFFF"/>
            <w:vAlign w:val="center"/>
            <w:hideMark/>
          </w:tcPr>
          <w:p w14:paraId="5CBF31A3" w14:textId="77777777" w:rsidR="009C0072" w:rsidRPr="00AF302A" w:rsidRDefault="009C0072">
            <w:pPr>
              <w:pStyle w:val="wcpTablenote"/>
              <w:spacing w:before="0"/>
              <w:rPr>
                <w:sz w:val="22"/>
                <w:szCs w:val="22"/>
                <w:lang w:val="nb-NO"/>
              </w:rPr>
            </w:pPr>
            <w:r w:rsidRPr="00AF302A">
              <w:rPr>
                <w:sz w:val="22"/>
                <w:szCs w:val="22"/>
                <w:lang w:val="nb-NO"/>
              </w:rPr>
              <w:t>*  Omkring 99 % af kvinderne var vaccineret med Triaxis</w:t>
            </w:r>
          </w:p>
        </w:tc>
      </w:tr>
    </w:tbl>
    <w:p w14:paraId="0A3DA2E7" w14:textId="77777777" w:rsidR="009260DE" w:rsidRPr="00AF302A" w:rsidRDefault="009260DE" w:rsidP="009260DE">
      <w:pPr>
        <w:tabs>
          <w:tab w:val="left" w:pos="851"/>
        </w:tabs>
        <w:ind w:left="851"/>
        <w:rPr>
          <w:sz w:val="24"/>
          <w:szCs w:val="24"/>
        </w:rPr>
      </w:pPr>
    </w:p>
    <w:p w14:paraId="799F2EEA" w14:textId="77777777" w:rsidR="009260DE" w:rsidRPr="00AF302A" w:rsidRDefault="009260DE" w:rsidP="009260DE">
      <w:pPr>
        <w:tabs>
          <w:tab w:val="left" w:pos="851"/>
        </w:tabs>
        <w:ind w:left="851" w:hanging="851"/>
        <w:rPr>
          <w:b/>
          <w:sz w:val="24"/>
          <w:szCs w:val="24"/>
        </w:rPr>
      </w:pPr>
      <w:r w:rsidRPr="00AF302A">
        <w:rPr>
          <w:b/>
          <w:sz w:val="24"/>
          <w:szCs w:val="24"/>
        </w:rPr>
        <w:t>5.2</w:t>
      </w:r>
      <w:r w:rsidRPr="00AF302A">
        <w:rPr>
          <w:b/>
          <w:sz w:val="24"/>
          <w:szCs w:val="24"/>
        </w:rPr>
        <w:tab/>
      </w:r>
      <w:proofErr w:type="spellStart"/>
      <w:r w:rsidRPr="00AF302A">
        <w:rPr>
          <w:b/>
          <w:sz w:val="24"/>
          <w:szCs w:val="24"/>
        </w:rPr>
        <w:t>Farmakokinetiske</w:t>
      </w:r>
      <w:proofErr w:type="spellEnd"/>
      <w:r w:rsidRPr="00AF302A">
        <w:rPr>
          <w:b/>
          <w:sz w:val="24"/>
          <w:szCs w:val="24"/>
        </w:rPr>
        <w:t xml:space="preserve"> egenskaber</w:t>
      </w:r>
    </w:p>
    <w:p w14:paraId="35746B27" w14:textId="77777777" w:rsidR="009C0072" w:rsidRPr="00AF302A" w:rsidRDefault="009C0072" w:rsidP="009C0072">
      <w:pPr>
        <w:tabs>
          <w:tab w:val="left" w:pos="851"/>
        </w:tabs>
        <w:ind w:left="851"/>
        <w:rPr>
          <w:sz w:val="24"/>
          <w:szCs w:val="24"/>
          <w:lang w:eastAsia="da-DK"/>
        </w:rPr>
      </w:pPr>
      <w:r w:rsidRPr="00AF302A">
        <w:rPr>
          <w:sz w:val="24"/>
          <w:szCs w:val="24"/>
        </w:rPr>
        <w:t xml:space="preserve">Evaluering af </w:t>
      </w:r>
      <w:proofErr w:type="spellStart"/>
      <w:r w:rsidRPr="00AF302A">
        <w:rPr>
          <w:sz w:val="24"/>
          <w:szCs w:val="24"/>
        </w:rPr>
        <w:t>farmakokinetiske</w:t>
      </w:r>
      <w:proofErr w:type="spellEnd"/>
      <w:r w:rsidRPr="00AF302A">
        <w:rPr>
          <w:sz w:val="24"/>
          <w:szCs w:val="24"/>
        </w:rPr>
        <w:t xml:space="preserve"> egenskaber er ikke påkrævet for vacciner.</w:t>
      </w:r>
    </w:p>
    <w:p w14:paraId="6F1FA11C" w14:textId="77777777" w:rsidR="009260DE" w:rsidRPr="00AF302A" w:rsidRDefault="009260DE" w:rsidP="009260DE">
      <w:pPr>
        <w:tabs>
          <w:tab w:val="left" w:pos="851"/>
        </w:tabs>
        <w:ind w:left="851"/>
        <w:rPr>
          <w:sz w:val="24"/>
          <w:szCs w:val="24"/>
        </w:rPr>
      </w:pPr>
    </w:p>
    <w:p w14:paraId="2B74960D" w14:textId="77777777" w:rsidR="009260DE" w:rsidRPr="00AF302A" w:rsidRDefault="009260DE" w:rsidP="009260DE">
      <w:pPr>
        <w:tabs>
          <w:tab w:val="left" w:pos="851"/>
        </w:tabs>
        <w:ind w:left="851" w:hanging="851"/>
        <w:rPr>
          <w:b/>
          <w:sz w:val="24"/>
          <w:szCs w:val="24"/>
        </w:rPr>
      </w:pPr>
      <w:r w:rsidRPr="00AF302A">
        <w:rPr>
          <w:b/>
          <w:sz w:val="24"/>
          <w:szCs w:val="24"/>
        </w:rPr>
        <w:t>5.3</w:t>
      </w:r>
      <w:r w:rsidRPr="00AF302A">
        <w:rPr>
          <w:b/>
          <w:sz w:val="24"/>
          <w:szCs w:val="24"/>
        </w:rPr>
        <w:tab/>
      </w:r>
      <w:r w:rsidR="00BD7931" w:rsidRPr="00AF302A">
        <w:rPr>
          <w:b/>
          <w:sz w:val="24"/>
          <w:szCs w:val="24"/>
        </w:rPr>
        <w:t>Non-</w:t>
      </w:r>
      <w:r w:rsidRPr="00AF302A">
        <w:rPr>
          <w:b/>
          <w:sz w:val="24"/>
          <w:szCs w:val="24"/>
        </w:rPr>
        <w:t>kliniske sikkerhedsdata</w:t>
      </w:r>
    </w:p>
    <w:p w14:paraId="24619119" w14:textId="77777777" w:rsidR="009C0072" w:rsidRPr="00AF302A" w:rsidRDefault="009C0072" w:rsidP="009C0072">
      <w:pPr>
        <w:tabs>
          <w:tab w:val="left" w:pos="851"/>
        </w:tabs>
        <w:ind w:left="851"/>
        <w:rPr>
          <w:sz w:val="24"/>
          <w:szCs w:val="24"/>
          <w:lang w:eastAsia="da-DK"/>
        </w:rPr>
      </w:pPr>
      <w:r w:rsidRPr="00AF302A">
        <w:rPr>
          <w:sz w:val="24"/>
          <w:szCs w:val="24"/>
        </w:rPr>
        <w:t>Non-kliniske data viser ingen speciel risiko for mennesker vurderet ud fra konventionelle studier af toksicitet efter gentagne doser og toksicitet under graviditet, embryonal/</w:t>
      </w:r>
      <w:proofErr w:type="spellStart"/>
      <w:r w:rsidRPr="00AF302A">
        <w:rPr>
          <w:sz w:val="24"/>
          <w:szCs w:val="24"/>
        </w:rPr>
        <w:t>føtal</w:t>
      </w:r>
      <w:proofErr w:type="spellEnd"/>
      <w:r w:rsidRPr="00AF302A">
        <w:rPr>
          <w:sz w:val="24"/>
          <w:szCs w:val="24"/>
        </w:rPr>
        <w:t xml:space="preserve"> udvikling, fødsel og </w:t>
      </w:r>
      <w:proofErr w:type="spellStart"/>
      <w:r w:rsidRPr="00AF302A">
        <w:rPr>
          <w:sz w:val="24"/>
          <w:szCs w:val="24"/>
        </w:rPr>
        <w:t>postnatal</w:t>
      </w:r>
      <w:proofErr w:type="spellEnd"/>
      <w:r w:rsidRPr="00AF302A">
        <w:rPr>
          <w:sz w:val="24"/>
          <w:szCs w:val="24"/>
        </w:rPr>
        <w:t xml:space="preserve"> udvikling. </w:t>
      </w:r>
    </w:p>
    <w:p w14:paraId="39973013" w14:textId="77777777" w:rsidR="009260DE" w:rsidRPr="00AF302A" w:rsidRDefault="009260DE" w:rsidP="009260DE">
      <w:pPr>
        <w:tabs>
          <w:tab w:val="left" w:pos="851"/>
        </w:tabs>
        <w:ind w:left="851"/>
        <w:rPr>
          <w:sz w:val="24"/>
          <w:szCs w:val="24"/>
        </w:rPr>
      </w:pPr>
    </w:p>
    <w:p w14:paraId="781C2DD4" w14:textId="77777777" w:rsidR="009260DE" w:rsidRPr="00AF302A" w:rsidRDefault="009260DE" w:rsidP="009260DE">
      <w:pPr>
        <w:tabs>
          <w:tab w:val="left" w:pos="851"/>
        </w:tabs>
        <w:ind w:left="851"/>
        <w:rPr>
          <w:sz w:val="24"/>
          <w:szCs w:val="24"/>
        </w:rPr>
      </w:pPr>
    </w:p>
    <w:p w14:paraId="6C17118D" w14:textId="77777777" w:rsidR="009260DE" w:rsidRPr="00AF302A" w:rsidRDefault="009260DE" w:rsidP="009260DE">
      <w:pPr>
        <w:tabs>
          <w:tab w:val="left" w:pos="851"/>
        </w:tabs>
        <w:ind w:left="851" w:hanging="851"/>
        <w:rPr>
          <w:b/>
          <w:sz w:val="24"/>
          <w:szCs w:val="24"/>
        </w:rPr>
      </w:pPr>
      <w:r w:rsidRPr="00AF302A">
        <w:rPr>
          <w:b/>
          <w:sz w:val="24"/>
          <w:szCs w:val="24"/>
        </w:rPr>
        <w:t>6.</w:t>
      </w:r>
      <w:r w:rsidRPr="00AF302A">
        <w:rPr>
          <w:b/>
          <w:sz w:val="24"/>
          <w:szCs w:val="24"/>
        </w:rPr>
        <w:tab/>
        <w:t>FARMACEUTISKE OPLYSNINGER</w:t>
      </w:r>
    </w:p>
    <w:p w14:paraId="4C095205" w14:textId="77777777" w:rsidR="009260DE" w:rsidRPr="00AF302A" w:rsidRDefault="009260DE" w:rsidP="009260DE">
      <w:pPr>
        <w:tabs>
          <w:tab w:val="left" w:pos="851"/>
        </w:tabs>
        <w:ind w:left="851"/>
        <w:rPr>
          <w:sz w:val="24"/>
          <w:szCs w:val="24"/>
        </w:rPr>
      </w:pPr>
    </w:p>
    <w:p w14:paraId="1C9C7724" w14:textId="77777777" w:rsidR="009260DE" w:rsidRPr="00AF302A" w:rsidRDefault="009260DE" w:rsidP="009260DE">
      <w:pPr>
        <w:tabs>
          <w:tab w:val="left" w:pos="851"/>
        </w:tabs>
        <w:ind w:left="851" w:hanging="851"/>
        <w:rPr>
          <w:b/>
          <w:sz w:val="24"/>
          <w:szCs w:val="24"/>
        </w:rPr>
      </w:pPr>
      <w:r w:rsidRPr="00AF302A">
        <w:rPr>
          <w:b/>
          <w:sz w:val="24"/>
          <w:szCs w:val="24"/>
        </w:rPr>
        <w:t>6.1</w:t>
      </w:r>
      <w:r w:rsidRPr="00AF302A">
        <w:rPr>
          <w:b/>
          <w:sz w:val="24"/>
          <w:szCs w:val="24"/>
        </w:rPr>
        <w:tab/>
        <w:t>Hjælpestoffer</w:t>
      </w:r>
    </w:p>
    <w:p w14:paraId="59DD6210" w14:textId="77777777" w:rsidR="009C0072" w:rsidRPr="00AF302A" w:rsidRDefault="009C0072" w:rsidP="009C0072">
      <w:pPr>
        <w:tabs>
          <w:tab w:val="left" w:pos="851"/>
        </w:tabs>
        <w:ind w:left="851"/>
        <w:rPr>
          <w:sz w:val="24"/>
          <w:szCs w:val="24"/>
          <w:lang w:eastAsia="da-DK"/>
        </w:rPr>
      </w:pPr>
      <w:proofErr w:type="spellStart"/>
      <w:r w:rsidRPr="00AF302A">
        <w:rPr>
          <w:sz w:val="24"/>
          <w:szCs w:val="24"/>
        </w:rPr>
        <w:t>Phenoxyethanol</w:t>
      </w:r>
      <w:proofErr w:type="spellEnd"/>
    </w:p>
    <w:p w14:paraId="1D07DCE0" w14:textId="77777777" w:rsidR="009C0072" w:rsidRPr="00AF302A" w:rsidRDefault="009C0072" w:rsidP="009C0072">
      <w:pPr>
        <w:tabs>
          <w:tab w:val="left" w:pos="851"/>
        </w:tabs>
        <w:ind w:left="851"/>
        <w:rPr>
          <w:sz w:val="24"/>
          <w:szCs w:val="24"/>
        </w:rPr>
      </w:pPr>
      <w:r w:rsidRPr="00AF302A">
        <w:rPr>
          <w:sz w:val="24"/>
          <w:szCs w:val="24"/>
        </w:rPr>
        <w:t>Vand til injektionsvæsker</w:t>
      </w:r>
    </w:p>
    <w:p w14:paraId="640D5F5A" w14:textId="77777777" w:rsidR="009260DE" w:rsidRPr="00AF302A" w:rsidRDefault="009260DE" w:rsidP="009260DE">
      <w:pPr>
        <w:tabs>
          <w:tab w:val="left" w:pos="851"/>
        </w:tabs>
        <w:ind w:left="851"/>
        <w:rPr>
          <w:sz w:val="24"/>
          <w:szCs w:val="24"/>
        </w:rPr>
      </w:pPr>
    </w:p>
    <w:p w14:paraId="700FE299" w14:textId="77777777" w:rsidR="009260DE" w:rsidRPr="00AF302A" w:rsidRDefault="009260DE" w:rsidP="009260DE">
      <w:pPr>
        <w:tabs>
          <w:tab w:val="left" w:pos="851"/>
        </w:tabs>
        <w:ind w:left="851" w:hanging="851"/>
        <w:rPr>
          <w:b/>
          <w:sz w:val="24"/>
          <w:szCs w:val="24"/>
        </w:rPr>
      </w:pPr>
      <w:r w:rsidRPr="00AF302A">
        <w:rPr>
          <w:b/>
          <w:sz w:val="24"/>
          <w:szCs w:val="24"/>
        </w:rPr>
        <w:t>6.2</w:t>
      </w:r>
      <w:r w:rsidRPr="00AF302A">
        <w:rPr>
          <w:b/>
          <w:sz w:val="24"/>
          <w:szCs w:val="24"/>
        </w:rPr>
        <w:tab/>
        <w:t>Uforligeligheder</w:t>
      </w:r>
    </w:p>
    <w:p w14:paraId="55E19CCC" w14:textId="77777777" w:rsidR="009C0072" w:rsidRPr="00AF302A" w:rsidRDefault="009C0072" w:rsidP="009C0072">
      <w:pPr>
        <w:tabs>
          <w:tab w:val="left" w:pos="851"/>
        </w:tabs>
        <w:ind w:left="851"/>
        <w:rPr>
          <w:sz w:val="24"/>
          <w:szCs w:val="24"/>
          <w:lang w:eastAsia="da-DK"/>
        </w:rPr>
      </w:pPr>
      <w:r w:rsidRPr="00AF302A">
        <w:rPr>
          <w:sz w:val="24"/>
          <w:szCs w:val="24"/>
        </w:rPr>
        <w:t xml:space="preserve">Da der ikke foreligger studier af eventuelle uforligeligheder, må </w:t>
      </w:r>
      <w:proofErr w:type="spellStart"/>
      <w:r w:rsidRPr="00AF302A">
        <w:rPr>
          <w:sz w:val="24"/>
          <w:szCs w:val="24"/>
        </w:rPr>
        <w:t>Triaxis</w:t>
      </w:r>
      <w:proofErr w:type="spellEnd"/>
      <w:r w:rsidRPr="00AF302A">
        <w:rPr>
          <w:sz w:val="24"/>
          <w:szCs w:val="24"/>
        </w:rPr>
        <w:t xml:space="preserve"> ikke blandes med andre lægemidler.</w:t>
      </w:r>
    </w:p>
    <w:p w14:paraId="1F5F8B4A" w14:textId="5352B323" w:rsidR="00B84667" w:rsidRDefault="00B84667">
      <w:pPr>
        <w:rPr>
          <w:sz w:val="24"/>
          <w:szCs w:val="24"/>
        </w:rPr>
      </w:pPr>
      <w:r>
        <w:rPr>
          <w:sz w:val="24"/>
          <w:szCs w:val="24"/>
        </w:rPr>
        <w:br w:type="page"/>
      </w:r>
    </w:p>
    <w:p w14:paraId="26AF1763" w14:textId="77777777" w:rsidR="009260DE" w:rsidRPr="00AF302A" w:rsidRDefault="009260DE" w:rsidP="009260DE">
      <w:pPr>
        <w:tabs>
          <w:tab w:val="left" w:pos="851"/>
        </w:tabs>
        <w:ind w:left="851"/>
        <w:rPr>
          <w:sz w:val="24"/>
          <w:szCs w:val="24"/>
        </w:rPr>
      </w:pPr>
    </w:p>
    <w:p w14:paraId="2F6F4BAF" w14:textId="77777777" w:rsidR="009260DE" w:rsidRPr="00AF302A" w:rsidRDefault="009260DE" w:rsidP="009260DE">
      <w:pPr>
        <w:tabs>
          <w:tab w:val="left" w:pos="851"/>
        </w:tabs>
        <w:ind w:left="851" w:hanging="851"/>
        <w:rPr>
          <w:b/>
          <w:sz w:val="24"/>
          <w:szCs w:val="24"/>
        </w:rPr>
      </w:pPr>
      <w:r w:rsidRPr="00AF302A">
        <w:rPr>
          <w:b/>
          <w:sz w:val="24"/>
          <w:szCs w:val="24"/>
        </w:rPr>
        <w:t>6.3</w:t>
      </w:r>
      <w:r w:rsidRPr="00AF302A">
        <w:rPr>
          <w:b/>
          <w:sz w:val="24"/>
          <w:szCs w:val="24"/>
        </w:rPr>
        <w:tab/>
        <w:t>Opbevaringstid</w:t>
      </w:r>
    </w:p>
    <w:p w14:paraId="002C0734" w14:textId="024F2F3B" w:rsidR="009C0072" w:rsidRPr="00AF302A" w:rsidRDefault="009C0072" w:rsidP="009C0072">
      <w:pPr>
        <w:tabs>
          <w:tab w:val="left" w:pos="851"/>
        </w:tabs>
        <w:ind w:left="851"/>
        <w:rPr>
          <w:sz w:val="24"/>
          <w:szCs w:val="24"/>
          <w:lang w:eastAsia="da-DK"/>
        </w:rPr>
      </w:pPr>
      <w:r w:rsidRPr="00AF302A">
        <w:rPr>
          <w:sz w:val="24"/>
          <w:szCs w:val="24"/>
        </w:rPr>
        <w:t>4 år.</w:t>
      </w:r>
    </w:p>
    <w:p w14:paraId="1F88E4B9" w14:textId="77777777" w:rsidR="009260DE" w:rsidRPr="00AF302A" w:rsidRDefault="009260DE" w:rsidP="009260DE">
      <w:pPr>
        <w:tabs>
          <w:tab w:val="left" w:pos="851"/>
        </w:tabs>
        <w:ind w:left="851"/>
        <w:rPr>
          <w:sz w:val="24"/>
          <w:szCs w:val="24"/>
        </w:rPr>
      </w:pPr>
    </w:p>
    <w:p w14:paraId="61BB40AE" w14:textId="77777777" w:rsidR="009260DE" w:rsidRPr="00AF302A" w:rsidRDefault="009260DE" w:rsidP="009260DE">
      <w:pPr>
        <w:tabs>
          <w:tab w:val="left" w:pos="851"/>
        </w:tabs>
        <w:ind w:left="851" w:hanging="851"/>
        <w:rPr>
          <w:b/>
          <w:sz w:val="24"/>
          <w:szCs w:val="24"/>
        </w:rPr>
      </w:pPr>
      <w:r w:rsidRPr="00AF302A">
        <w:rPr>
          <w:b/>
          <w:sz w:val="24"/>
          <w:szCs w:val="24"/>
        </w:rPr>
        <w:t>6.4</w:t>
      </w:r>
      <w:r w:rsidRPr="00AF302A">
        <w:rPr>
          <w:b/>
          <w:sz w:val="24"/>
          <w:szCs w:val="24"/>
        </w:rPr>
        <w:tab/>
        <w:t>Særlige opbevaringsforhold</w:t>
      </w:r>
    </w:p>
    <w:p w14:paraId="6C8B4212" w14:textId="77777777" w:rsidR="009C0072" w:rsidRPr="00AF302A" w:rsidRDefault="009C0072" w:rsidP="009C0072">
      <w:pPr>
        <w:tabs>
          <w:tab w:val="left" w:pos="851"/>
        </w:tabs>
        <w:ind w:left="851"/>
        <w:rPr>
          <w:sz w:val="24"/>
          <w:szCs w:val="24"/>
          <w:lang w:eastAsia="da-DK"/>
        </w:rPr>
      </w:pPr>
      <w:r w:rsidRPr="00AF302A">
        <w:rPr>
          <w:sz w:val="24"/>
          <w:szCs w:val="24"/>
        </w:rPr>
        <w:t>Opbevares i køleskab (2 °C – 8 °C).</w:t>
      </w:r>
    </w:p>
    <w:p w14:paraId="35729331" w14:textId="77777777" w:rsidR="009C0072" w:rsidRPr="00AF302A" w:rsidRDefault="009C0072" w:rsidP="009C0072">
      <w:pPr>
        <w:tabs>
          <w:tab w:val="left" w:pos="851"/>
        </w:tabs>
        <w:ind w:left="851"/>
        <w:rPr>
          <w:sz w:val="24"/>
          <w:szCs w:val="24"/>
        </w:rPr>
      </w:pPr>
      <w:r w:rsidRPr="00AF302A">
        <w:rPr>
          <w:b/>
          <w:sz w:val="24"/>
          <w:szCs w:val="24"/>
        </w:rPr>
        <w:t>Må ikke nedfryses.</w:t>
      </w:r>
      <w:r w:rsidRPr="00AF302A">
        <w:rPr>
          <w:sz w:val="24"/>
          <w:szCs w:val="24"/>
        </w:rPr>
        <w:t xml:space="preserve"> Kassér vaccinen, hvis den har været frosset.</w:t>
      </w:r>
    </w:p>
    <w:p w14:paraId="078592F3" w14:textId="77777777" w:rsidR="009C0072" w:rsidRPr="00AF302A" w:rsidRDefault="009C0072" w:rsidP="009C0072">
      <w:pPr>
        <w:tabs>
          <w:tab w:val="left" w:pos="851"/>
        </w:tabs>
        <w:ind w:left="851"/>
        <w:rPr>
          <w:sz w:val="24"/>
          <w:szCs w:val="24"/>
        </w:rPr>
      </w:pPr>
      <w:r w:rsidRPr="00AF302A">
        <w:rPr>
          <w:sz w:val="24"/>
          <w:szCs w:val="24"/>
        </w:rPr>
        <w:t>Opbevar sprøjten i den ydre karton for at beskytte mod lys.</w:t>
      </w:r>
    </w:p>
    <w:p w14:paraId="2A632715" w14:textId="77777777" w:rsidR="009C0072" w:rsidRPr="00AF302A" w:rsidRDefault="009C0072" w:rsidP="009C0072">
      <w:pPr>
        <w:tabs>
          <w:tab w:val="left" w:pos="851"/>
        </w:tabs>
        <w:ind w:left="851"/>
        <w:rPr>
          <w:sz w:val="24"/>
          <w:szCs w:val="24"/>
        </w:rPr>
      </w:pPr>
    </w:p>
    <w:p w14:paraId="38DF09F3" w14:textId="77777777" w:rsidR="009C0072" w:rsidRPr="00AF302A" w:rsidRDefault="009C0072" w:rsidP="009C0072">
      <w:pPr>
        <w:tabs>
          <w:tab w:val="left" w:pos="851"/>
        </w:tabs>
        <w:ind w:left="851"/>
        <w:rPr>
          <w:sz w:val="24"/>
          <w:szCs w:val="24"/>
        </w:rPr>
      </w:pPr>
      <w:r w:rsidRPr="00AF302A">
        <w:rPr>
          <w:sz w:val="24"/>
          <w:szCs w:val="24"/>
        </w:rPr>
        <w:t xml:space="preserve">Holdbarhedsdata indikerer, at vaccinekomponenterne er stabile i 72 timer ved temperaturer op til 25 °C. </w:t>
      </w:r>
      <w:proofErr w:type="spellStart"/>
      <w:r w:rsidRPr="00AF302A">
        <w:rPr>
          <w:sz w:val="24"/>
          <w:szCs w:val="24"/>
        </w:rPr>
        <w:t>Triaxis</w:t>
      </w:r>
      <w:proofErr w:type="spellEnd"/>
      <w:r w:rsidRPr="00AF302A">
        <w:rPr>
          <w:sz w:val="24"/>
          <w:szCs w:val="24"/>
        </w:rPr>
        <w:t xml:space="preserve"> skal administreres inden for denne periode eller kasseres. Disse data er kun beregnet til at vejlede sundhedspersoner i tilfælde af et midlertidigt temperaturudsving.</w:t>
      </w:r>
    </w:p>
    <w:p w14:paraId="7E2C8946" w14:textId="77777777" w:rsidR="009260DE" w:rsidRPr="00AF302A" w:rsidRDefault="009260DE" w:rsidP="009260DE">
      <w:pPr>
        <w:tabs>
          <w:tab w:val="left" w:pos="851"/>
        </w:tabs>
        <w:ind w:left="851"/>
        <w:rPr>
          <w:sz w:val="24"/>
          <w:szCs w:val="24"/>
        </w:rPr>
      </w:pPr>
    </w:p>
    <w:p w14:paraId="0D9B3706" w14:textId="77777777" w:rsidR="009260DE" w:rsidRPr="00AF302A" w:rsidRDefault="009260DE" w:rsidP="009260DE">
      <w:pPr>
        <w:tabs>
          <w:tab w:val="left" w:pos="851"/>
        </w:tabs>
        <w:ind w:left="851" w:hanging="851"/>
        <w:rPr>
          <w:b/>
          <w:sz w:val="24"/>
          <w:szCs w:val="24"/>
        </w:rPr>
      </w:pPr>
      <w:r w:rsidRPr="00AF302A">
        <w:rPr>
          <w:b/>
          <w:sz w:val="24"/>
          <w:szCs w:val="24"/>
        </w:rPr>
        <w:t>6.5</w:t>
      </w:r>
      <w:r w:rsidRPr="00AF302A">
        <w:rPr>
          <w:b/>
          <w:sz w:val="24"/>
          <w:szCs w:val="24"/>
        </w:rPr>
        <w:tab/>
        <w:t>Emballagetype og pakningsstørrelser</w:t>
      </w:r>
    </w:p>
    <w:p w14:paraId="320B7C4D" w14:textId="77777777" w:rsidR="00435FF8" w:rsidRPr="001137BF" w:rsidRDefault="00435FF8" w:rsidP="00435FF8">
      <w:pPr>
        <w:tabs>
          <w:tab w:val="left" w:pos="851"/>
        </w:tabs>
        <w:ind w:left="851"/>
        <w:rPr>
          <w:sz w:val="24"/>
          <w:szCs w:val="24"/>
          <w:u w:val="single"/>
        </w:rPr>
      </w:pPr>
      <w:proofErr w:type="spellStart"/>
      <w:r w:rsidRPr="001137BF">
        <w:rPr>
          <w:sz w:val="24"/>
          <w:szCs w:val="24"/>
          <w:u w:val="single"/>
        </w:rPr>
        <w:t>Triaxis</w:t>
      </w:r>
      <w:proofErr w:type="spellEnd"/>
      <w:r w:rsidRPr="001137BF">
        <w:rPr>
          <w:sz w:val="24"/>
          <w:szCs w:val="24"/>
          <w:u w:val="single"/>
        </w:rPr>
        <w:t xml:space="preserve"> i 1,5 ml fyldt injektionssprøjte med en blød beskyttelseshætte</w:t>
      </w:r>
    </w:p>
    <w:p w14:paraId="7DAC6C5D" w14:textId="77777777" w:rsidR="00435FF8" w:rsidRDefault="00435FF8" w:rsidP="00435FF8">
      <w:pPr>
        <w:tabs>
          <w:tab w:val="left" w:pos="851"/>
        </w:tabs>
        <w:ind w:left="851"/>
        <w:rPr>
          <w:sz w:val="24"/>
          <w:szCs w:val="24"/>
        </w:rPr>
      </w:pPr>
      <w:r w:rsidRPr="00AF302A">
        <w:rPr>
          <w:sz w:val="24"/>
          <w:szCs w:val="24"/>
        </w:rPr>
        <w:t>0,5 ml suspension i fyldt injektionssprøjte (</w:t>
      </w:r>
      <w:r>
        <w:rPr>
          <w:sz w:val="24"/>
          <w:szCs w:val="24"/>
        </w:rPr>
        <w:t>type I-</w:t>
      </w:r>
      <w:r w:rsidRPr="00AF302A">
        <w:rPr>
          <w:sz w:val="24"/>
          <w:szCs w:val="24"/>
        </w:rPr>
        <w:t>glas) med stempelprop (</w:t>
      </w:r>
      <w:proofErr w:type="spellStart"/>
      <w:r w:rsidRPr="00AF302A">
        <w:rPr>
          <w:sz w:val="24"/>
          <w:szCs w:val="24"/>
        </w:rPr>
        <w:t>bromobutyl</w:t>
      </w:r>
      <w:proofErr w:type="spellEnd"/>
      <w:r w:rsidRPr="00AF302A">
        <w:rPr>
          <w:sz w:val="24"/>
          <w:szCs w:val="24"/>
        </w:rPr>
        <w:t xml:space="preserve"> elastomer)</w:t>
      </w:r>
      <w:r>
        <w:rPr>
          <w:sz w:val="24"/>
          <w:szCs w:val="24"/>
        </w:rPr>
        <w:t xml:space="preserve"> og en Luer-Lock-adapter</w:t>
      </w:r>
      <w:r w:rsidRPr="00AF302A">
        <w:rPr>
          <w:sz w:val="24"/>
          <w:szCs w:val="24"/>
        </w:rPr>
        <w:t xml:space="preserve">, med en </w:t>
      </w:r>
      <w:r>
        <w:rPr>
          <w:sz w:val="24"/>
          <w:szCs w:val="24"/>
        </w:rPr>
        <w:t xml:space="preserve">blød </w:t>
      </w:r>
      <w:r w:rsidRPr="00AF302A">
        <w:rPr>
          <w:sz w:val="24"/>
          <w:szCs w:val="24"/>
        </w:rPr>
        <w:t>spidshætte (gummikomponent)</w:t>
      </w:r>
      <w:r>
        <w:rPr>
          <w:sz w:val="24"/>
          <w:szCs w:val="24"/>
        </w:rPr>
        <w:t>.</w:t>
      </w:r>
    </w:p>
    <w:p w14:paraId="5AC6162F" w14:textId="77777777" w:rsidR="00435FF8" w:rsidRPr="00AF302A" w:rsidRDefault="00435FF8" w:rsidP="00435FF8">
      <w:pPr>
        <w:tabs>
          <w:tab w:val="left" w:pos="851"/>
        </w:tabs>
        <w:ind w:left="851"/>
        <w:rPr>
          <w:sz w:val="24"/>
          <w:szCs w:val="24"/>
          <w:lang w:eastAsia="da-DK"/>
        </w:rPr>
      </w:pPr>
    </w:p>
    <w:p w14:paraId="7C4DE036" w14:textId="77777777" w:rsidR="00435FF8" w:rsidRDefault="00435FF8" w:rsidP="00435FF8">
      <w:pPr>
        <w:tabs>
          <w:tab w:val="left" w:pos="851"/>
        </w:tabs>
        <w:ind w:left="851"/>
        <w:rPr>
          <w:sz w:val="24"/>
          <w:szCs w:val="24"/>
        </w:rPr>
      </w:pPr>
      <w:r w:rsidRPr="00AA68E6">
        <w:rPr>
          <w:sz w:val="24"/>
          <w:szCs w:val="24"/>
        </w:rPr>
        <w:t>Pakning med 1</w:t>
      </w:r>
      <w:r>
        <w:rPr>
          <w:sz w:val="24"/>
          <w:szCs w:val="24"/>
        </w:rPr>
        <w:t xml:space="preserve"> </w:t>
      </w:r>
      <w:r w:rsidRPr="00AA68E6">
        <w:rPr>
          <w:sz w:val="24"/>
          <w:szCs w:val="24"/>
        </w:rPr>
        <w:t xml:space="preserve">eller </w:t>
      </w:r>
      <w:r>
        <w:rPr>
          <w:sz w:val="24"/>
          <w:szCs w:val="24"/>
        </w:rPr>
        <w:t>1</w:t>
      </w:r>
      <w:r w:rsidRPr="00AA68E6">
        <w:rPr>
          <w:sz w:val="24"/>
          <w:szCs w:val="24"/>
        </w:rPr>
        <w:t>0</w:t>
      </w:r>
      <w:r>
        <w:rPr>
          <w:sz w:val="24"/>
          <w:szCs w:val="24"/>
        </w:rPr>
        <w:t> </w:t>
      </w:r>
      <w:r w:rsidRPr="00AA68E6">
        <w:rPr>
          <w:sz w:val="24"/>
          <w:szCs w:val="24"/>
        </w:rPr>
        <w:t>fyldte injektionssprøjte(r) uden kanyle(r).</w:t>
      </w:r>
    </w:p>
    <w:p w14:paraId="529F8156" w14:textId="77777777" w:rsidR="00435FF8" w:rsidRPr="00AF302A" w:rsidRDefault="00435FF8" w:rsidP="00435FF8">
      <w:pPr>
        <w:tabs>
          <w:tab w:val="left" w:pos="851"/>
        </w:tabs>
        <w:ind w:left="851"/>
        <w:rPr>
          <w:sz w:val="24"/>
          <w:szCs w:val="24"/>
        </w:rPr>
      </w:pPr>
      <w:r w:rsidRPr="00AA68E6">
        <w:rPr>
          <w:sz w:val="24"/>
          <w:szCs w:val="24"/>
        </w:rPr>
        <w:t>Pakning med 1 eller 10</w:t>
      </w:r>
      <w:r>
        <w:rPr>
          <w:sz w:val="24"/>
          <w:szCs w:val="24"/>
        </w:rPr>
        <w:t> </w:t>
      </w:r>
      <w:r w:rsidRPr="00AA68E6">
        <w:rPr>
          <w:sz w:val="24"/>
          <w:szCs w:val="24"/>
        </w:rPr>
        <w:t xml:space="preserve">fyldte injektionssprøjte(r) med </w:t>
      </w:r>
      <w:r>
        <w:rPr>
          <w:sz w:val="24"/>
          <w:szCs w:val="24"/>
        </w:rPr>
        <w:t>1 eller 2 </w:t>
      </w:r>
      <w:r w:rsidRPr="00AA68E6">
        <w:rPr>
          <w:sz w:val="24"/>
          <w:szCs w:val="24"/>
        </w:rPr>
        <w:t>separat</w:t>
      </w:r>
      <w:r>
        <w:rPr>
          <w:sz w:val="24"/>
          <w:szCs w:val="24"/>
        </w:rPr>
        <w:t>e</w:t>
      </w:r>
      <w:r w:rsidRPr="00AA68E6">
        <w:rPr>
          <w:sz w:val="24"/>
          <w:szCs w:val="24"/>
        </w:rPr>
        <w:t xml:space="preserve"> kanyle(r) (rustfrit stål)</w:t>
      </w:r>
      <w:r>
        <w:rPr>
          <w:sz w:val="24"/>
          <w:szCs w:val="24"/>
        </w:rPr>
        <w:t>.</w:t>
      </w:r>
    </w:p>
    <w:p w14:paraId="4C3194B0" w14:textId="77777777" w:rsidR="00435FF8" w:rsidRPr="00AF302A" w:rsidRDefault="00435FF8" w:rsidP="00435FF8">
      <w:pPr>
        <w:tabs>
          <w:tab w:val="left" w:pos="851"/>
        </w:tabs>
        <w:ind w:left="851"/>
        <w:rPr>
          <w:sz w:val="24"/>
          <w:szCs w:val="24"/>
        </w:rPr>
      </w:pPr>
      <w:r>
        <w:rPr>
          <w:sz w:val="24"/>
          <w:szCs w:val="24"/>
        </w:rPr>
        <w:t>De bløde s</w:t>
      </w:r>
      <w:r w:rsidRPr="00AF302A">
        <w:rPr>
          <w:sz w:val="24"/>
          <w:szCs w:val="24"/>
        </w:rPr>
        <w:t>pidshætte</w:t>
      </w:r>
      <w:r>
        <w:rPr>
          <w:sz w:val="24"/>
          <w:szCs w:val="24"/>
        </w:rPr>
        <w:t xml:space="preserve">r </w:t>
      </w:r>
      <w:r w:rsidRPr="00AF302A">
        <w:rPr>
          <w:sz w:val="24"/>
          <w:szCs w:val="24"/>
        </w:rPr>
        <w:t>på de fyldte injektionssprøjter indeholder et derivat af naturgummi-latex.</w:t>
      </w:r>
    </w:p>
    <w:p w14:paraId="2521F29D" w14:textId="77777777" w:rsidR="00435FF8" w:rsidRDefault="00435FF8" w:rsidP="00435FF8">
      <w:pPr>
        <w:tabs>
          <w:tab w:val="left" w:pos="851"/>
        </w:tabs>
        <w:ind w:left="851"/>
        <w:rPr>
          <w:sz w:val="24"/>
          <w:szCs w:val="24"/>
        </w:rPr>
      </w:pPr>
    </w:p>
    <w:p w14:paraId="2265403D" w14:textId="77777777" w:rsidR="00435FF8" w:rsidRDefault="00435FF8" w:rsidP="00435FF8">
      <w:pPr>
        <w:tabs>
          <w:tab w:val="left" w:pos="851"/>
        </w:tabs>
        <w:ind w:left="851"/>
        <w:rPr>
          <w:sz w:val="24"/>
          <w:szCs w:val="24"/>
          <w:u w:val="single"/>
        </w:rPr>
      </w:pPr>
      <w:proofErr w:type="spellStart"/>
      <w:r w:rsidRPr="00CB2B83">
        <w:rPr>
          <w:sz w:val="24"/>
          <w:szCs w:val="24"/>
          <w:u w:val="single"/>
        </w:rPr>
        <w:t>Triaxis</w:t>
      </w:r>
      <w:proofErr w:type="spellEnd"/>
      <w:r w:rsidRPr="00CB2B83">
        <w:rPr>
          <w:sz w:val="24"/>
          <w:szCs w:val="24"/>
          <w:u w:val="single"/>
        </w:rPr>
        <w:t xml:space="preserve"> i 1</w:t>
      </w:r>
      <w:r>
        <w:rPr>
          <w:sz w:val="24"/>
          <w:szCs w:val="24"/>
          <w:u w:val="single"/>
        </w:rPr>
        <w:t> ml</w:t>
      </w:r>
      <w:r w:rsidRPr="00CB2B83">
        <w:rPr>
          <w:sz w:val="24"/>
          <w:szCs w:val="24"/>
          <w:u w:val="single"/>
        </w:rPr>
        <w:t xml:space="preserve"> fyldt injektionssprøjte med e</w:t>
      </w:r>
      <w:r>
        <w:rPr>
          <w:sz w:val="24"/>
          <w:szCs w:val="24"/>
          <w:u w:val="single"/>
        </w:rPr>
        <w:t xml:space="preserve">n stiv </w:t>
      </w:r>
      <w:r w:rsidRPr="00CB2B83">
        <w:rPr>
          <w:sz w:val="24"/>
          <w:szCs w:val="24"/>
          <w:u w:val="single"/>
        </w:rPr>
        <w:t>beskyttelseshætte.</w:t>
      </w:r>
    </w:p>
    <w:p w14:paraId="215E176A" w14:textId="77777777" w:rsidR="00435FF8" w:rsidRPr="00CB2B83" w:rsidRDefault="00435FF8" w:rsidP="00435FF8">
      <w:pPr>
        <w:tabs>
          <w:tab w:val="left" w:pos="851"/>
        </w:tabs>
        <w:ind w:left="851"/>
        <w:rPr>
          <w:sz w:val="24"/>
          <w:szCs w:val="24"/>
          <w:u w:val="single"/>
        </w:rPr>
      </w:pPr>
    </w:p>
    <w:p w14:paraId="31B4FA47" w14:textId="77777777" w:rsidR="00435FF8" w:rsidRPr="00CB2B83" w:rsidRDefault="00435FF8" w:rsidP="00435FF8">
      <w:pPr>
        <w:tabs>
          <w:tab w:val="left" w:pos="851"/>
        </w:tabs>
        <w:ind w:left="851"/>
        <w:rPr>
          <w:sz w:val="24"/>
          <w:szCs w:val="24"/>
        </w:rPr>
      </w:pPr>
      <w:r w:rsidRPr="00CB2B83">
        <w:rPr>
          <w:sz w:val="24"/>
          <w:szCs w:val="24"/>
        </w:rPr>
        <w:t>0,5 ml suspension i fyldt injektionssprøjte (type I-glas) med stempelprop (</w:t>
      </w:r>
      <w:proofErr w:type="spellStart"/>
      <w:r>
        <w:rPr>
          <w:sz w:val="24"/>
          <w:szCs w:val="24"/>
        </w:rPr>
        <w:t>chlorob</w:t>
      </w:r>
      <w:r w:rsidRPr="00CB2B83">
        <w:rPr>
          <w:sz w:val="24"/>
          <w:szCs w:val="24"/>
        </w:rPr>
        <w:t>utyl</w:t>
      </w:r>
      <w:proofErr w:type="spellEnd"/>
      <w:r w:rsidRPr="00CB2B83">
        <w:rPr>
          <w:sz w:val="24"/>
          <w:szCs w:val="24"/>
        </w:rPr>
        <w:t xml:space="preserve"> elastomer) og en Luer-Lock-adapter, med en </w:t>
      </w:r>
      <w:r>
        <w:rPr>
          <w:sz w:val="24"/>
          <w:szCs w:val="24"/>
        </w:rPr>
        <w:t>stiv spidshætte</w:t>
      </w:r>
      <w:r w:rsidRPr="00CB2B83">
        <w:rPr>
          <w:sz w:val="24"/>
          <w:szCs w:val="24"/>
        </w:rPr>
        <w:t xml:space="preserve"> (</w:t>
      </w:r>
      <w:r>
        <w:rPr>
          <w:sz w:val="24"/>
          <w:szCs w:val="24"/>
        </w:rPr>
        <w:t xml:space="preserve">syntetisk </w:t>
      </w:r>
      <w:proofErr w:type="spellStart"/>
      <w:r>
        <w:rPr>
          <w:sz w:val="24"/>
          <w:szCs w:val="24"/>
        </w:rPr>
        <w:t>isopren</w:t>
      </w:r>
      <w:proofErr w:type="spellEnd"/>
      <w:r>
        <w:rPr>
          <w:sz w:val="24"/>
          <w:szCs w:val="24"/>
        </w:rPr>
        <w:t xml:space="preserve"> </w:t>
      </w:r>
      <w:proofErr w:type="spellStart"/>
      <w:r>
        <w:rPr>
          <w:sz w:val="24"/>
          <w:szCs w:val="24"/>
        </w:rPr>
        <w:t>bromobutyl</w:t>
      </w:r>
      <w:proofErr w:type="spellEnd"/>
      <w:r>
        <w:rPr>
          <w:sz w:val="24"/>
          <w:szCs w:val="24"/>
        </w:rPr>
        <w:t xml:space="preserve"> + polypropylen</w:t>
      </w:r>
      <w:r w:rsidRPr="00CB2B83">
        <w:rPr>
          <w:sz w:val="24"/>
          <w:szCs w:val="24"/>
        </w:rPr>
        <w:t>)</w:t>
      </w:r>
    </w:p>
    <w:p w14:paraId="06F23530" w14:textId="77777777" w:rsidR="00435FF8" w:rsidRPr="00CB2B83" w:rsidRDefault="00435FF8" w:rsidP="00435FF8">
      <w:pPr>
        <w:tabs>
          <w:tab w:val="left" w:pos="851"/>
        </w:tabs>
        <w:ind w:left="851"/>
        <w:rPr>
          <w:sz w:val="24"/>
          <w:szCs w:val="24"/>
        </w:rPr>
      </w:pPr>
    </w:p>
    <w:p w14:paraId="14EF192E" w14:textId="77777777" w:rsidR="00435FF8" w:rsidRPr="00CB2B83" w:rsidRDefault="00435FF8" w:rsidP="00435FF8">
      <w:pPr>
        <w:tabs>
          <w:tab w:val="left" w:pos="851"/>
        </w:tabs>
        <w:ind w:left="851"/>
        <w:rPr>
          <w:sz w:val="24"/>
          <w:szCs w:val="24"/>
        </w:rPr>
      </w:pPr>
      <w:r w:rsidRPr="00CB2B83">
        <w:rPr>
          <w:sz w:val="24"/>
          <w:szCs w:val="24"/>
        </w:rPr>
        <w:t>Pakning med 1 eller 10 fyldte injektionssprøjte(r) uden kanyle(r).</w:t>
      </w:r>
    </w:p>
    <w:p w14:paraId="33A5A9AB" w14:textId="77777777" w:rsidR="00435FF8" w:rsidRDefault="00435FF8" w:rsidP="00435FF8">
      <w:pPr>
        <w:tabs>
          <w:tab w:val="left" w:pos="851"/>
        </w:tabs>
        <w:ind w:left="851"/>
        <w:rPr>
          <w:sz w:val="24"/>
          <w:szCs w:val="24"/>
        </w:rPr>
      </w:pPr>
      <w:r w:rsidRPr="00CB2B83">
        <w:rPr>
          <w:sz w:val="24"/>
          <w:szCs w:val="24"/>
        </w:rPr>
        <w:t>Pakning med 1</w:t>
      </w:r>
      <w:r>
        <w:rPr>
          <w:sz w:val="24"/>
          <w:szCs w:val="24"/>
        </w:rPr>
        <w:t xml:space="preserve"> fyldt </w:t>
      </w:r>
      <w:r w:rsidRPr="00CB2B83">
        <w:rPr>
          <w:sz w:val="24"/>
          <w:szCs w:val="24"/>
        </w:rPr>
        <w:t>injektionssprøjte med 1 eller 2</w:t>
      </w:r>
      <w:r>
        <w:rPr>
          <w:sz w:val="24"/>
          <w:szCs w:val="24"/>
        </w:rPr>
        <w:t> </w:t>
      </w:r>
      <w:r w:rsidRPr="00CB2B83">
        <w:rPr>
          <w:sz w:val="24"/>
          <w:szCs w:val="24"/>
        </w:rPr>
        <w:t>separat</w:t>
      </w:r>
      <w:r>
        <w:rPr>
          <w:sz w:val="24"/>
          <w:szCs w:val="24"/>
        </w:rPr>
        <w:t xml:space="preserve">e </w:t>
      </w:r>
      <w:r w:rsidRPr="00CB2B83">
        <w:rPr>
          <w:sz w:val="24"/>
          <w:szCs w:val="24"/>
        </w:rPr>
        <w:t>kanyle(r) (rustfrit stål).</w:t>
      </w:r>
    </w:p>
    <w:p w14:paraId="756AC22F" w14:textId="77777777" w:rsidR="00435FF8" w:rsidRDefault="00435FF8" w:rsidP="00435FF8">
      <w:pPr>
        <w:tabs>
          <w:tab w:val="left" w:pos="851"/>
        </w:tabs>
        <w:ind w:left="851"/>
        <w:rPr>
          <w:sz w:val="24"/>
          <w:szCs w:val="24"/>
        </w:rPr>
      </w:pPr>
      <w:r w:rsidRPr="008F207E">
        <w:rPr>
          <w:sz w:val="24"/>
          <w:szCs w:val="24"/>
        </w:rPr>
        <w:t>Pakning med 1</w:t>
      </w:r>
      <w:r>
        <w:rPr>
          <w:sz w:val="24"/>
          <w:szCs w:val="24"/>
        </w:rPr>
        <w:t>0</w:t>
      </w:r>
      <w:r w:rsidRPr="008F207E">
        <w:rPr>
          <w:sz w:val="24"/>
          <w:szCs w:val="24"/>
        </w:rPr>
        <w:t> fyldt</w:t>
      </w:r>
      <w:r>
        <w:rPr>
          <w:sz w:val="24"/>
          <w:szCs w:val="24"/>
        </w:rPr>
        <w:t>e</w:t>
      </w:r>
      <w:r w:rsidRPr="008F207E">
        <w:rPr>
          <w:sz w:val="24"/>
          <w:szCs w:val="24"/>
        </w:rPr>
        <w:t xml:space="preserve"> injektionssprøjte</w:t>
      </w:r>
      <w:r>
        <w:rPr>
          <w:sz w:val="24"/>
          <w:szCs w:val="24"/>
        </w:rPr>
        <w:t>r</w:t>
      </w:r>
      <w:r w:rsidRPr="008F207E">
        <w:rPr>
          <w:sz w:val="24"/>
          <w:szCs w:val="24"/>
        </w:rPr>
        <w:t xml:space="preserve"> med 1</w:t>
      </w:r>
      <w:r>
        <w:rPr>
          <w:sz w:val="24"/>
          <w:szCs w:val="24"/>
        </w:rPr>
        <w:t> </w:t>
      </w:r>
      <w:r w:rsidRPr="008F207E">
        <w:rPr>
          <w:sz w:val="24"/>
          <w:szCs w:val="24"/>
        </w:rPr>
        <w:t>separat kanyle (rustfrit stål).</w:t>
      </w:r>
    </w:p>
    <w:p w14:paraId="1BA886B4" w14:textId="77777777" w:rsidR="00435FF8" w:rsidRDefault="00435FF8" w:rsidP="00435FF8">
      <w:pPr>
        <w:tabs>
          <w:tab w:val="left" w:pos="851"/>
        </w:tabs>
        <w:ind w:left="851"/>
        <w:rPr>
          <w:sz w:val="24"/>
          <w:szCs w:val="24"/>
        </w:rPr>
      </w:pPr>
      <w:r w:rsidRPr="00092197">
        <w:rPr>
          <w:sz w:val="24"/>
          <w:szCs w:val="24"/>
        </w:rPr>
        <w:t>Pakning med 1</w:t>
      </w:r>
      <w:r>
        <w:rPr>
          <w:sz w:val="24"/>
          <w:szCs w:val="24"/>
        </w:rPr>
        <w:t xml:space="preserve"> eller 10</w:t>
      </w:r>
      <w:r w:rsidRPr="00092197">
        <w:rPr>
          <w:sz w:val="24"/>
          <w:szCs w:val="24"/>
        </w:rPr>
        <w:t> fyldt</w:t>
      </w:r>
      <w:r>
        <w:rPr>
          <w:sz w:val="24"/>
          <w:szCs w:val="24"/>
        </w:rPr>
        <w:t>e</w:t>
      </w:r>
      <w:r w:rsidRPr="00092197">
        <w:rPr>
          <w:sz w:val="24"/>
          <w:szCs w:val="24"/>
        </w:rPr>
        <w:t xml:space="preserve"> injektionssprøjte</w:t>
      </w:r>
      <w:r>
        <w:rPr>
          <w:sz w:val="24"/>
          <w:szCs w:val="24"/>
        </w:rPr>
        <w:t>(r)</w:t>
      </w:r>
      <w:r w:rsidRPr="00092197">
        <w:rPr>
          <w:sz w:val="24"/>
          <w:szCs w:val="24"/>
        </w:rPr>
        <w:t xml:space="preserve"> med </w:t>
      </w:r>
      <w:r>
        <w:rPr>
          <w:sz w:val="24"/>
          <w:szCs w:val="24"/>
        </w:rPr>
        <w:t>sikkerhedskappe</w:t>
      </w:r>
      <w:r w:rsidRPr="00092197">
        <w:rPr>
          <w:sz w:val="24"/>
          <w:szCs w:val="24"/>
        </w:rPr>
        <w:t xml:space="preserve"> (</w:t>
      </w:r>
      <w:proofErr w:type="spellStart"/>
      <w:r>
        <w:rPr>
          <w:sz w:val="24"/>
          <w:szCs w:val="24"/>
        </w:rPr>
        <w:t>polycarbonat</w:t>
      </w:r>
      <w:proofErr w:type="spellEnd"/>
      <w:r w:rsidRPr="00092197">
        <w:rPr>
          <w:sz w:val="24"/>
          <w:szCs w:val="24"/>
        </w:rPr>
        <w:t>).</w:t>
      </w:r>
    </w:p>
    <w:p w14:paraId="2B446429" w14:textId="77777777" w:rsidR="00435FF8" w:rsidRPr="00AF302A" w:rsidRDefault="00435FF8" w:rsidP="00435FF8">
      <w:pPr>
        <w:tabs>
          <w:tab w:val="left" w:pos="851"/>
        </w:tabs>
        <w:ind w:left="851"/>
        <w:rPr>
          <w:sz w:val="24"/>
          <w:szCs w:val="24"/>
        </w:rPr>
      </w:pPr>
    </w:p>
    <w:p w14:paraId="79C33848" w14:textId="77777777" w:rsidR="00435FF8" w:rsidRPr="00AF302A" w:rsidRDefault="00435FF8" w:rsidP="00435FF8">
      <w:pPr>
        <w:tabs>
          <w:tab w:val="left" w:pos="851"/>
        </w:tabs>
        <w:ind w:left="851"/>
        <w:rPr>
          <w:sz w:val="24"/>
          <w:szCs w:val="24"/>
        </w:rPr>
      </w:pPr>
      <w:r w:rsidRPr="00AF302A">
        <w:rPr>
          <w:sz w:val="24"/>
          <w:szCs w:val="24"/>
        </w:rPr>
        <w:t>Ikke alle pakningsstørrelser er nødvendigvis markedsført.</w:t>
      </w:r>
    </w:p>
    <w:p w14:paraId="41295B04" w14:textId="77777777" w:rsidR="009260DE" w:rsidRPr="00AF302A" w:rsidRDefault="009260DE" w:rsidP="009260DE">
      <w:pPr>
        <w:tabs>
          <w:tab w:val="left" w:pos="851"/>
        </w:tabs>
        <w:ind w:left="851"/>
        <w:rPr>
          <w:sz w:val="24"/>
          <w:szCs w:val="24"/>
        </w:rPr>
      </w:pPr>
    </w:p>
    <w:p w14:paraId="3D2E2055" w14:textId="6C6532DC" w:rsidR="00435FF8" w:rsidRPr="00BB180C" w:rsidRDefault="009260DE" w:rsidP="00BB180C">
      <w:pPr>
        <w:tabs>
          <w:tab w:val="left" w:pos="851"/>
        </w:tabs>
        <w:ind w:left="851" w:hanging="851"/>
        <w:rPr>
          <w:b/>
          <w:sz w:val="24"/>
          <w:szCs w:val="24"/>
        </w:rPr>
      </w:pPr>
      <w:r w:rsidRPr="00AF302A">
        <w:rPr>
          <w:b/>
          <w:sz w:val="24"/>
          <w:szCs w:val="24"/>
        </w:rPr>
        <w:t>6.6</w:t>
      </w:r>
      <w:r w:rsidRPr="00AF302A">
        <w:rPr>
          <w:b/>
          <w:sz w:val="24"/>
          <w:szCs w:val="24"/>
        </w:rPr>
        <w:tab/>
        <w:t xml:space="preserve">Regler for </w:t>
      </w:r>
      <w:r w:rsidR="00BD7931" w:rsidRPr="00AF302A">
        <w:rPr>
          <w:b/>
          <w:sz w:val="24"/>
          <w:szCs w:val="24"/>
        </w:rPr>
        <w:t>bortskaffelse</w:t>
      </w:r>
      <w:r w:rsidRPr="00AF302A">
        <w:rPr>
          <w:b/>
          <w:sz w:val="24"/>
          <w:szCs w:val="24"/>
        </w:rPr>
        <w:t xml:space="preserve"> og anden håndtering</w:t>
      </w:r>
    </w:p>
    <w:p w14:paraId="2D9B3C44" w14:textId="77777777" w:rsidR="00435FF8" w:rsidRPr="00AF302A" w:rsidRDefault="00435FF8" w:rsidP="00435FF8">
      <w:pPr>
        <w:tabs>
          <w:tab w:val="left" w:pos="851"/>
        </w:tabs>
        <w:ind w:left="851"/>
        <w:rPr>
          <w:sz w:val="24"/>
          <w:szCs w:val="24"/>
        </w:rPr>
      </w:pPr>
      <w:r w:rsidRPr="00AF302A">
        <w:rPr>
          <w:sz w:val="24"/>
          <w:szCs w:val="24"/>
        </w:rPr>
        <w:t xml:space="preserve">Vaccinen fremstår normalt som en ensartet, uklar, hvid suspension, som kan bundfælde </w:t>
      </w:r>
      <w:r>
        <w:rPr>
          <w:sz w:val="24"/>
          <w:szCs w:val="24"/>
        </w:rPr>
        <w:t xml:space="preserve">og danne klumper eller skællende aggregater </w:t>
      </w:r>
      <w:r w:rsidRPr="00AF302A">
        <w:rPr>
          <w:sz w:val="24"/>
          <w:szCs w:val="24"/>
        </w:rPr>
        <w:t xml:space="preserve">under opbevaring. Omryst den fyldte injektionssprøjte grundigt for at fordele suspensionen jævnt, før vaccinen administreres. </w:t>
      </w:r>
      <w:r>
        <w:rPr>
          <w:sz w:val="24"/>
          <w:szCs w:val="24"/>
        </w:rPr>
        <w:t>I tilfælde af aggregater, kan produktet omrystes igen indtil en ensartet suspension er opnået.</w:t>
      </w:r>
    </w:p>
    <w:p w14:paraId="3763B8F2" w14:textId="77777777" w:rsidR="00435FF8" w:rsidRPr="00AF302A" w:rsidRDefault="00435FF8" w:rsidP="00435FF8">
      <w:pPr>
        <w:tabs>
          <w:tab w:val="left" w:pos="851"/>
        </w:tabs>
        <w:ind w:left="851"/>
        <w:rPr>
          <w:sz w:val="24"/>
          <w:szCs w:val="24"/>
        </w:rPr>
      </w:pPr>
    </w:p>
    <w:p w14:paraId="2AAC3C33" w14:textId="015D0821" w:rsidR="00435FF8" w:rsidRPr="00BB180C" w:rsidRDefault="00435FF8" w:rsidP="00BB180C">
      <w:pPr>
        <w:tabs>
          <w:tab w:val="left" w:pos="851"/>
        </w:tabs>
        <w:ind w:left="851"/>
        <w:rPr>
          <w:bCs/>
          <w:sz w:val="24"/>
          <w:szCs w:val="24"/>
          <w:u w:val="single"/>
        </w:rPr>
      </w:pPr>
      <w:r>
        <w:rPr>
          <w:b/>
          <w:bCs/>
          <w:sz w:val="24"/>
          <w:szCs w:val="24"/>
        </w:rPr>
        <w:t>Forberedelse til administration</w:t>
      </w:r>
    </w:p>
    <w:p w14:paraId="2C8E4439" w14:textId="77777777" w:rsidR="00435FF8" w:rsidRDefault="00435FF8" w:rsidP="00435FF8">
      <w:pPr>
        <w:tabs>
          <w:tab w:val="left" w:pos="851"/>
        </w:tabs>
        <w:ind w:left="851"/>
        <w:rPr>
          <w:bCs/>
          <w:sz w:val="24"/>
          <w:szCs w:val="24"/>
        </w:rPr>
      </w:pPr>
      <w:r w:rsidRPr="00724658">
        <w:rPr>
          <w:bCs/>
          <w:sz w:val="24"/>
          <w:szCs w:val="24"/>
        </w:rPr>
        <w:t>Den fyldte injektionssprøjte kan suppleres med en Luer-Lock med enten en blød spidshætte (Billede A) eller en stiv spidshætte (Billede B</w:t>
      </w:r>
      <w:r w:rsidRPr="004A1CF6">
        <w:rPr>
          <w:bCs/>
          <w:sz w:val="24"/>
          <w:szCs w:val="24"/>
        </w:rPr>
        <w:t xml:space="preserve">). </w:t>
      </w:r>
      <w:r>
        <w:rPr>
          <w:bCs/>
          <w:sz w:val="24"/>
          <w:szCs w:val="24"/>
        </w:rPr>
        <w:t>S</w:t>
      </w:r>
      <w:r w:rsidRPr="002E6FEB">
        <w:rPr>
          <w:bCs/>
          <w:sz w:val="24"/>
          <w:szCs w:val="24"/>
        </w:rPr>
        <w:t xml:space="preserve">prøjten med </w:t>
      </w:r>
      <w:r>
        <w:rPr>
          <w:bCs/>
          <w:sz w:val="24"/>
          <w:szCs w:val="24"/>
        </w:rPr>
        <w:t xml:space="preserve">suspension til injektion, </w:t>
      </w:r>
      <w:r w:rsidRPr="002E6FEB">
        <w:rPr>
          <w:bCs/>
          <w:sz w:val="24"/>
          <w:szCs w:val="24"/>
        </w:rPr>
        <w:t>skal inspiceres visuelt før administration. I tilfælde af fremmede partikler, lækage, for tidlig aktivering af stemplet eller defekt spidsforsegling kasseres den fyldte injektionssprøjte.</w:t>
      </w:r>
      <w:r>
        <w:rPr>
          <w:bCs/>
          <w:sz w:val="24"/>
          <w:szCs w:val="24"/>
        </w:rPr>
        <w:t xml:space="preserve"> S</w:t>
      </w:r>
      <w:r w:rsidRPr="002E6FEB">
        <w:rPr>
          <w:bCs/>
          <w:sz w:val="24"/>
          <w:szCs w:val="24"/>
        </w:rPr>
        <w:t>prøjten er kun beregnet til engangsbrug og må ikke genbruges.</w:t>
      </w:r>
    </w:p>
    <w:p w14:paraId="68DC146C" w14:textId="690D842C" w:rsidR="00435FF8" w:rsidRDefault="00435FF8" w:rsidP="00435FF8">
      <w:pPr>
        <w:tabs>
          <w:tab w:val="left" w:pos="851"/>
        </w:tabs>
        <w:ind w:left="851"/>
        <w:rPr>
          <w:bCs/>
          <w:sz w:val="24"/>
          <w:szCs w:val="24"/>
        </w:rPr>
      </w:pPr>
    </w:p>
    <w:p w14:paraId="46946FF1" w14:textId="77777777" w:rsidR="00BB180C" w:rsidRDefault="00BB180C" w:rsidP="00435FF8">
      <w:pPr>
        <w:tabs>
          <w:tab w:val="left" w:pos="851"/>
        </w:tabs>
        <w:ind w:left="851"/>
        <w:rPr>
          <w:bCs/>
          <w:sz w:val="24"/>
          <w:szCs w:val="24"/>
        </w:rPr>
      </w:pPr>
    </w:p>
    <w:p w14:paraId="5E086BA5" w14:textId="77777777" w:rsidR="00435FF8" w:rsidRPr="00C5646B" w:rsidRDefault="00435FF8" w:rsidP="00435FF8">
      <w:pPr>
        <w:tabs>
          <w:tab w:val="left" w:pos="851"/>
        </w:tabs>
        <w:ind w:left="851"/>
        <w:rPr>
          <w:bCs/>
          <w:sz w:val="24"/>
          <w:szCs w:val="24"/>
        </w:rPr>
      </w:pPr>
      <w:r w:rsidRPr="00C5646B">
        <w:rPr>
          <w:bCs/>
          <w:sz w:val="24"/>
          <w:szCs w:val="24"/>
        </w:rPr>
        <w:t>Instruktioner til brug af Luer Lock fyldt injektionssprøjte:</w:t>
      </w:r>
    </w:p>
    <w:p w14:paraId="04166ED0" w14:textId="77777777" w:rsidR="00435FF8" w:rsidRPr="00C5646B" w:rsidRDefault="00435FF8" w:rsidP="00435FF8">
      <w:pPr>
        <w:tabs>
          <w:tab w:val="left" w:pos="851"/>
        </w:tabs>
        <w:ind w:left="851"/>
        <w:rPr>
          <w:bCs/>
          <w:sz w:val="24"/>
          <w:szCs w:val="24"/>
        </w:rPr>
      </w:pPr>
    </w:p>
    <w:p w14:paraId="6BA5DB2E" w14:textId="77777777" w:rsidR="00435FF8" w:rsidRPr="00C5646B" w:rsidRDefault="00435FF8" w:rsidP="00435FF8">
      <w:pPr>
        <w:tabs>
          <w:tab w:val="left" w:pos="851"/>
        </w:tabs>
        <w:ind w:left="851"/>
        <w:rPr>
          <w:b/>
          <w:bCs/>
          <w:sz w:val="24"/>
          <w:szCs w:val="24"/>
        </w:rPr>
      </w:pPr>
      <w:r w:rsidRPr="00C5646B">
        <w:rPr>
          <w:b/>
          <w:bCs/>
          <w:sz w:val="24"/>
          <w:szCs w:val="24"/>
        </w:rPr>
        <w:t>Billede</w:t>
      </w:r>
      <w:r>
        <w:rPr>
          <w:b/>
          <w:bCs/>
          <w:sz w:val="24"/>
          <w:szCs w:val="24"/>
        </w:rPr>
        <w:t> </w:t>
      </w:r>
      <w:r w:rsidRPr="00C5646B">
        <w:rPr>
          <w:b/>
          <w:bCs/>
          <w:sz w:val="24"/>
          <w:szCs w:val="24"/>
        </w:rPr>
        <w:t xml:space="preserve">A: Luer Lock-sprøjte med </w:t>
      </w:r>
      <w:r>
        <w:rPr>
          <w:b/>
          <w:bCs/>
          <w:sz w:val="24"/>
          <w:szCs w:val="24"/>
        </w:rPr>
        <w:t>blød</w:t>
      </w:r>
      <w:r w:rsidRPr="00C5646B">
        <w:rPr>
          <w:b/>
          <w:bCs/>
          <w:sz w:val="24"/>
          <w:szCs w:val="24"/>
        </w:rPr>
        <w:t xml:space="preserve"> spidshætte</w:t>
      </w:r>
    </w:p>
    <w:p w14:paraId="54D667B3" w14:textId="77777777" w:rsidR="00435FF8" w:rsidRDefault="00435FF8" w:rsidP="00435FF8">
      <w:pPr>
        <w:tabs>
          <w:tab w:val="left" w:pos="851"/>
        </w:tabs>
        <w:ind w:left="851"/>
        <w:rPr>
          <w:bCs/>
          <w:sz w:val="24"/>
          <w:szCs w:val="24"/>
        </w:rPr>
      </w:pPr>
      <w:r w:rsidRPr="001F5B10">
        <w:rPr>
          <w:bCs/>
          <w:noProof/>
          <w:sz w:val="24"/>
          <w:szCs w:val="24"/>
        </w:rPr>
        <w:drawing>
          <wp:inline distT="0" distB="0" distL="0" distR="0" wp14:anchorId="148C4EBA" wp14:editId="65B4E5D2">
            <wp:extent cx="3489960" cy="2326640"/>
            <wp:effectExtent l="0" t="0" r="0" b="0"/>
            <wp:docPr id="48712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29315" name=""/>
                    <pic:cNvPicPr/>
                  </pic:nvPicPr>
                  <pic:blipFill>
                    <a:blip r:embed="rId9"/>
                    <a:stretch>
                      <a:fillRect/>
                    </a:stretch>
                  </pic:blipFill>
                  <pic:spPr>
                    <a:xfrm>
                      <a:off x="0" y="0"/>
                      <a:ext cx="3490282" cy="2326855"/>
                    </a:xfrm>
                    <a:prstGeom prst="rect">
                      <a:avLst/>
                    </a:prstGeom>
                  </pic:spPr>
                </pic:pic>
              </a:graphicData>
            </a:graphic>
          </wp:inline>
        </w:drawing>
      </w:r>
    </w:p>
    <w:p w14:paraId="40551EC3" w14:textId="77777777" w:rsidR="00435FF8" w:rsidRPr="002E6FEB" w:rsidRDefault="00435FF8" w:rsidP="00435FF8">
      <w:pPr>
        <w:tabs>
          <w:tab w:val="left" w:pos="851"/>
        </w:tabs>
        <w:ind w:left="851"/>
        <w:rPr>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0"/>
      </w:tblGrid>
      <w:tr w:rsidR="00435FF8" w:rsidRPr="001C51A6" w14:paraId="2151CB4A" w14:textId="77777777" w:rsidTr="001137BF">
        <w:trPr>
          <w:trHeight w:val="2841"/>
        </w:trPr>
        <w:tc>
          <w:tcPr>
            <w:tcW w:w="3402" w:type="dxa"/>
            <w:tcBorders>
              <w:top w:val="single" w:sz="4" w:space="0" w:color="auto"/>
              <w:left w:val="single" w:sz="4" w:space="0" w:color="auto"/>
              <w:bottom w:val="single" w:sz="4" w:space="0" w:color="auto"/>
              <w:right w:val="single" w:sz="4" w:space="0" w:color="auto"/>
            </w:tcBorders>
          </w:tcPr>
          <w:p w14:paraId="1C89E56D" w14:textId="77777777" w:rsidR="00435FF8" w:rsidRPr="002E6FEB" w:rsidRDefault="00435FF8" w:rsidP="001137BF">
            <w:pPr>
              <w:tabs>
                <w:tab w:val="left" w:pos="851"/>
              </w:tabs>
              <w:rPr>
                <w:bCs/>
                <w:sz w:val="24"/>
                <w:szCs w:val="24"/>
              </w:rPr>
            </w:pPr>
            <w:r w:rsidRPr="002E6FEB">
              <w:rPr>
                <w:b/>
                <w:bCs/>
                <w:sz w:val="24"/>
                <w:szCs w:val="24"/>
              </w:rPr>
              <w:t>Trin</w:t>
            </w:r>
            <w:r>
              <w:rPr>
                <w:b/>
                <w:bCs/>
                <w:sz w:val="24"/>
                <w:szCs w:val="24"/>
              </w:rPr>
              <w:t> </w:t>
            </w:r>
            <w:r w:rsidRPr="002E6FEB">
              <w:rPr>
                <w:b/>
                <w:bCs/>
                <w:sz w:val="24"/>
                <w:szCs w:val="24"/>
              </w:rPr>
              <w:t xml:space="preserve">1: </w:t>
            </w:r>
            <w:r w:rsidRPr="002E6FEB">
              <w:rPr>
                <w:bCs/>
                <w:sz w:val="24"/>
                <w:szCs w:val="24"/>
              </w:rPr>
              <w:t xml:space="preserve">Hold </w:t>
            </w:r>
            <w:r>
              <w:rPr>
                <w:bCs/>
                <w:sz w:val="24"/>
                <w:szCs w:val="24"/>
              </w:rPr>
              <w:t>sprøjtens hætte</w:t>
            </w:r>
            <w:r w:rsidRPr="002E6FEB">
              <w:rPr>
                <w:bCs/>
                <w:sz w:val="24"/>
                <w:szCs w:val="24"/>
              </w:rPr>
              <w:t xml:space="preserve"> i den ene hånd (undgå at holde i sprøjtens stempel eller cylinder), </w:t>
            </w:r>
            <w:r>
              <w:rPr>
                <w:bCs/>
                <w:sz w:val="24"/>
                <w:szCs w:val="24"/>
              </w:rPr>
              <w:t xml:space="preserve">træk </w:t>
            </w:r>
            <w:r w:rsidRPr="002E6FEB">
              <w:rPr>
                <w:bCs/>
                <w:sz w:val="24"/>
                <w:szCs w:val="24"/>
              </w:rPr>
              <w:t>spidshætten</w:t>
            </w:r>
            <w:r>
              <w:rPr>
                <w:bCs/>
                <w:sz w:val="24"/>
                <w:szCs w:val="24"/>
              </w:rPr>
              <w:t xml:space="preserve"> af.</w:t>
            </w:r>
          </w:p>
          <w:p w14:paraId="71333E1E" w14:textId="77777777" w:rsidR="00435FF8" w:rsidRPr="002E6FEB" w:rsidRDefault="00435FF8" w:rsidP="001137BF">
            <w:pPr>
              <w:tabs>
                <w:tab w:val="left" w:pos="851"/>
              </w:tabs>
              <w:ind w:left="851"/>
              <w:rPr>
                <w:bCs/>
                <w:sz w:val="24"/>
                <w:szCs w:val="24"/>
              </w:rPr>
            </w:pPr>
          </w:p>
          <w:p w14:paraId="55E2F597" w14:textId="77777777" w:rsidR="00435FF8" w:rsidRPr="002E6FEB" w:rsidRDefault="00435FF8" w:rsidP="001137BF">
            <w:pPr>
              <w:tabs>
                <w:tab w:val="left" w:pos="851"/>
              </w:tabs>
              <w:ind w:left="851"/>
              <w:rPr>
                <w:bCs/>
                <w:sz w:val="24"/>
                <w:szCs w:val="24"/>
              </w:rPr>
            </w:pPr>
          </w:p>
          <w:p w14:paraId="7EF482E2" w14:textId="77777777" w:rsidR="00435FF8" w:rsidRPr="002E6FEB" w:rsidRDefault="00435FF8" w:rsidP="001137BF">
            <w:pPr>
              <w:tabs>
                <w:tab w:val="left" w:pos="851"/>
              </w:tabs>
              <w:ind w:left="851"/>
              <w:rPr>
                <w:bCs/>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14:paraId="054E20ED" w14:textId="77777777" w:rsidR="00435FF8" w:rsidRPr="001C51A6" w:rsidRDefault="00435FF8" w:rsidP="001137BF">
            <w:pPr>
              <w:tabs>
                <w:tab w:val="left" w:pos="851"/>
              </w:tabs>
              <w:rPr>
                <w:bCs/>
                <w:sz w:val="24"/>
                <w:szCs w:val="24"/>
                <w:u w:val="single"/>
                <w:lang w:val="en-US"/>
              </w:rPr>
            </w:pPr>
            <w:r>
              <w:rPr>
                <w:noProof/>
                <w:sz w:val="22"/>
                <w:szCs w:val="22"/>
              </w:rPr>
              <w:drawing>
                <wp:inline distT="0" distB="0" distL="0" distR="0" wp14:anchorId="67E1A897" wp14:editId="570D99FF">
                  <wp:extent cx="3038475" cy="1905000"/>
                  <wp:effectExtent l="0" t="0" r="0" b="0"/>
                  <wp:docPr id="274299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905000"/>
                          </a:xfrm>
                          <a:prstGeom prst="rect">
                            <a:avLst/>
                          </a:prstGeom>
                          <a:noFill/>
                          <a:ln>
                            <a:noFill/>
                          </a:ln>
                        </pic:spPr>
                      </pic:pic>
                    </a:graphicData>
                  </a:graphic>
                </wp:inline>
              </w:drawing>
            </w:r>
          </w:p>
        </w:tc>
      </w:tr>
      <w:tr w:rsidR="00435FF8" w:rsidRPr="001C51A6" w14:paraId="6276E837" w14:textId="77777777" w:rsidTr="001137BF">
        <w:trPr>
          <w:trHeight w:val="2830"/>
        </w:trPr>
        <w:tc>
          <w:tcPr>
            <w:tcW w:w="3402" w:type="dxa"/>
            <w:tcBorders>
              <w:top w:val="single" w:sz="4" w:space="0" w:color="auto"/>
              <w:left w:val="single" w:sz="4" w:space="0" w:color="auto"/>
              <w:bottom w:val="single" w:sz="4" w:space="0" w:color="auto"/>
              <w:right w:val="single" w:sz="4" w:space="0" w:color="auto"/>
            </w:tcBorders>
          </w:tcPr>
          <w:p w14:paraId="59F08948" w14:textId="77777777" w:rsidR="00435FF8" w:rsidRPr="002E6FEB" w:rsidRDefault="00435FF8" w:rsidP="001137BF">
            <w:pPr>
              <w:tabs>
                <w:tab w:val="left" w:pos="851"/>
              </w:tabs>
              <w:rPr>
                <w:bCs/>
                <w:sz w:val="24"/>
                <w:szCs w:val="24"/>
              </w:rPr>
            </w:pPr>
            <w:r w:rsidRPr="002E6FEB">
              <w:rPr>
                <w:b/>
                <w:bCs/>
                <w:sz w:val="24"/>
                <w:szCs w:val="24"/>
              </w:rPr>
              <w:t>Trin</w:t>
            </w:r>
            <w:r>
              <w:rPr>
                <w:b/>
                <w:bCs/>
                <w:sz w:val="24"/>
                <w:szCs w:val="24"/>
              </w:rPr>
              <w:t> </w:t>
            </w:r>
            <w:r w:rsidRPr="002E6FEB">
              <w:rPr>
                <w:b/>
                <w:bCs/>
                <w:sz w:val="24"/>
                <w:szCs w:val="24"/>
              </w:rPr>
              <w:t xml:space="preserve">2: </w:t>
            </w:r>
            <w:r w:rsidRPr="002E6FEB">
              <w:rPr>
                <w:bCs/>
                <w:sz w:val="24"/>
                <w:szCs w:val="24"/>
              </w:rPr>
              <w:t xml:space="preserve">For at fastgøre kanylen til sprøjten skal du forsigtigt dreje kanylen </w:t>
            </w:r>
            <w:r>
              <w:rPr>
                <w:bCs/>
                <w:sz w:val="24"/>
                <w:szCs w:val="24"/>
              </w:rPr>
              <w:t>med uret i</w:t>
            </w:r>
            <w:r w:rsidRPr="002E6FEB">
              <w:rPr>
                <w:bCs/>
                <w:sz w:val="24"/>
                <w:szCs w:val="24"/>
              </w:rPr>
              <w:t>nd i sprøjten, indtil der mærkes let modstand.</w:t>
            </w:r>
          </w:p>
        </w:tc>
        <w:tc>
          <w:tcPr>
            <w:tcW w:w="5380" w:type="dxa"/>
            <w:tcBorders>
              <w:top w:val="single" w:sz="4" w:space="0" w:color="auto"/>
              <w:left w:val="single" w:sz="4" w:space="0" w:color="auto"/>
              <w:bottom w:val="single" w:sz="4" w:space="0" w:color="auto"/>
              <w:right w:val="single" w:sz="4" w:space="0" w:color="auto"/>
            </w:tcBorders>
            <w:hideMark/>
          </w:tcPr>
          <w:p w14:paraId="7BCF8038" w14:textId="77777777" w:rsidR="00435FF8" w:rsidRPr="001C51A6" w:rsidRDefault="00435FF8" w:rsidP="001137BF">
            <w:pPr>
              <w:tabs>
                <w:tab w:val="left" w:pos="851"/>
              </w:tabs>
              <w:rPr>
                <w:bCs/>
                <w:sz w:val="24"/>
                <w:szCs w:val="24"/>
                <w:u w:val="single"/>
                <w:lang w:val="en-US"/>
              </w:rPr>
            </w:pPr>
            <w:r>
              <w:rPr>
                <w:noProof/>
                <w:sz w:val="22"/>
                <w:szCs w:val="22"/>
                <w:lang w:eastAsia="ja-JP"/>
              </w:rPr>
              <w:drawing>
                <wp:inline distT="0" distB="0" distL="0" distR="0" wp14:anchorId="3FD9B01E" wp14:editId="1D4638A1">
                  <wp:extent cx="2924175" cy="181927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819275"/>
                          </a:xfrm>
                          <a:prstGeom prst="rect">
                            <a:avLst/>
                          </a:prstGeom>
                          <a:noFill/>
                          <a:ln>
                            <a:noFill/>
                          </a:ln>
                        </pic:spPr>
                      </pic:pic>
                    </a:graphicData>
                  </a:graphic>
                </wp:inline>
              </w:drawing>
            </w:r>
          </w:p>
        </w:tc>
      </w:tr>
    </w:tbl>
    <w:p w14:paraId="06B77A33" w14:textId="77777777" w:rsidR="00435FF8" w:rsidRDefault="00435FF8" w:rsidP="00435FF8">
      <w:pPr>
        <w:tabs>
          <w:tab w:val="left" w:pos="851"/>
        </w:tabs>
        <w:ind w:left="851"/>
        <w:rPr>
          <w:bCs/>
          <w:sz w:val="24"/>
          <w:szCs w:val="24"/>
          <w:u w:val="single"/>
        </w:rPr>
      </w:pPr>
    </w:p>
    <w:p w14:paraId="47D79F70" w14:textId="77777777" w:rsidR="00435FF8" w:rsidRPr="00AC562A" w:rsidRDefault="00435FF8" w:rsidP="00435FF8">
      <w:pPr>
        <w:keepNext/>
        <w:tabs>
          <w:tab w:val="left" w:pos="851"/>
        </w:tabs>
        <w:ind w:left="851"/>
        <w:rPr>
          <w:b/>
          <w:bCs/>
          <w:sz w:val="24"/>
          <w:szCs w:val="24"/>
        </w:rPr>
      </w:pPr>
      <w:r w:rsidRPr="00AC562A">
        <w:rPr>
          <w:b/>
          <w:bCs/>
          <w:sz w:val="24"/>
          <w:szCs w:val="24"/>
        </w:rPr>
        <w:t>Billede B: Luer Lock-sprøjte med stiv spidshætte</w:t>
      </w:r>
    </w:p>
    <w:p w14:paraId="360C6C45" w14:textId="77777777" w:rsidR="00435FF8" w:rsidRPr="00E91E7D" w:rsidRDefault="00435FF8" w:rsidP="00435FF8">
      <w:pPr>
        <w:keepNext/>
        <w:tabs>
          <w:tab w:val="left" w:pos="851"/>
        </w:tabs>
        <w:ind w:left="851"/>
        <w:rPr>
          <w:bCs/>
          <w:sz w:val="24"/>
          <w:szCs w:val="24"/>
          <w:u w:val="single"/>
        </w:rPr>
      </w:pPr>
    </w:p>
    <w:p w14:paraId="15A27214" w14:textId="77777777" w:rsidR="00435FF8" w:rsidRPr="00E91E7D" w:rsidRDefault="00435FF8" w:rsidP="00435FF8">
      <w:pPr>
        <w:tabs>
          <w:tab w:val="left" w:pos="851"/>
        </w:tabs>
        <w:ind w:left="851"/>
        <w:rPr>
          <w:bCs/>
          <w:sz w:val="24"/>
          <w:szCs w:val="24"/>
          <w:u w:val="single"/>
        </w:rPr>
      </w:pPr>
      <w:r w:rsidRPr="00E91E7D">
        <w:rPr>
          <w:bCs/>
          <w:noProof/>
          <w:sz w:val="24"/>
          <w:szCs w:val="24"/>
          <w:u w:val="single"/>
        </w:rPr>
        <w:drawing>
          <wp:inline distT="0" distB="0" distL="0" distR="0" wp14:anchorId="29F74824" wp14:editId="0E9743C7">
            <wp:extent cx="3449691" cy="2066925"/>
            <wp:effectExtent l="0" t="0" r="0" b="0"/>
            <wp:docPr id="1284480486" name="Picture 128448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5193" cy="2076213"/>
                    </a:xfrm>
                    <a:prstGeom prst="rect">
                      <a:avLst/>
                    </a:prstGeom>
                  </pic:spPr>
                </pic:pic>
              </a:graphicData>
            </a:graphic>
          </wp:inline>
        </w:drawing>
      </w:r>
    </w:p>
    <w:p w14:paraId="13FF2908" w14:textId="77777777" w:rsidR="00435FF8" w:rsidRPr="00E91E7D" w:rsidRDefault="00435FF8" w:rsidP="00435FF8">
      <w:pPr>
        <w:tabs>
          <w:tab w:val="left" w:pos="851"/>
        </w:tabs>
        <w:ind w:left="851"/>
        <w:rPr>
          <w:bCs/>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0"/>
      </w:tblGrid>
      <w:tr w:rsidR="00435FF8" w:rsidRPr="00E91E7D" w14:paraId="17185022" w14:textId="77777777" w:rsidTr="001137BF">
        <w:trPr>
          <w:trHeight w:val="2841"/>
        </w:trPr>
        <w:tc>
          <w:tcPr>
            <w:tcW w:w="3402" w:type="dxa"/>
            <w:tcBorders>
              <w:top w:val="single" w:sz="4" w:space="0" w:color="auto"/>
              <w:left w:val="single" w:sz="4" w:space="0" w:color="auto"/>
              <w:bottom w:val="single" w:sz="4" w:space="0" w:color="auto"/>
              <w:right w:val="single" w:sz="4" w:space="0" w:color="auto"/>
            </w:tcBorders>
          </w:tcPr>
          <w:p w14:paraId="3ED5E17C" w14:textId="77777777" w:rsidR="00435FF8" w:rsidRPr="002E6FEB" w:rsidRDefault="00435FF8" w:rsidP="001137BF">
            <w:pPr>
              <w:tabs>
                <w:tab w:val="left" w:pos="851"/>
              </w:tabs>
              <w:rPr>
                <w:bCs/>
                <w:sz w:val="24"/>
                <w:szCs w:val="24"/>
              </w:rPr>
            </w:pPr>
            <w:r w:rsidRPr="002E6FEB">
              <w:rPr>
                <w:b/>
                <w:bCs/>
                <w:sz w:val="24"/>
                <w:szCs w:val="24"/>
              </w:rPr>
              <w:t xml:space="preserve">Trin 1: </w:t>
            </w:r>
            <w:r w:rsidRPr="002E6FEB">
              <w:rPr>
                <w:bCs/>
                <w:sz w:val="24"/>
                <w:szCs w:val="24"/>
              </w:rPr>
              <w:t xml:space="preserve">Hold </w:t>
            </w:r>
            <w:r>
              <w:rPr>
                <w:bCs/>
                <w:sz w:val="24"/>
                <w:szCs w:val="24"/>
              </w:rPr>
              <w:t xml:space="preserve">Luer-Lock-adapteren </w:t>
            </w:r>
            <w:r w:rsidRPr="002E6FEB">
              <w:rPr>
                <w:bCs/>
                <w:sz w:val="24"/>
                <w:szCs w:val="24"/>
              </w:rPr>
              <w:t xml:space="preserve">i den ene hånd (undgå at holde i sprøjtens stempel eller cylinder), </w:t>
            </w:r>
            <w:r>
              <w:rPr>
                <w:bCs/>
                <w:sz w:val="24"/>
                <w:szCs w:val="24"/>
              </w:rPr>
              <w:t>skru spidshætten af ved at dreje den.</w:t>
            </w:r>
          </w:p>
          <w:p w14:paraId="2E383A20" w14:textId="77777777" w:rsidR="00435FF8" w:rsidRPr="002E6FEB" w:rsidRDefault="00435FF8" w:rsidP="001137BF">
            <w:pPr>
              <w:tabs>
                <w:tab w:val="left" w:pos="851"/>
              </w:tabs>
              <w:ind w:left="851"/>
              <w:rPr>
                <w:bCs/>
                <w:sz w:val="24"/>
                <w:szCs w:val="24"/>
              </w:rPr>
            </w:pPr>
          </w:p>
          <w:p w14:paraId="3E1A9C91" w14:textId="77777777" w:rsidR="00435FF8" w:rsidRPr="002E6FEB" w:rsidRDefault="00435FF8" w:rsidP="001137BF">
            <w:pPr>
              <w:tabs>
                <w:tab w:val="left" w:pos="851"/>
              </w:tabs>
              <w:ind w:left="851"/>
              <w:rPr>
                <w:bCs/>
                <w:sz w:val="24"/>
                <w:szCs w:val="24"/>
              </w:rPr>
            </w:pPr>
          </w:p>
          <w:p w14:paraId="1DF53055" w14:textId="77777777" w:rsidR="00435FF8" w:rsidRPr="002E6FEB" w:rsidRDefault="00435FF8" w:rsidP="001137BF">
            <w:pPr>
              <w:tabs>
                <w:tab w:val="left" w:pos="851"/>
              </w:tabs>
              <w:ind w:left="851"/>
              <w:rPr>
                <w:bCs/>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14:paraId="624BF58F" w14:textId="77777777" w:rsidR="00435FF8" w:rsidRPr="00E91E7D" w:rsidRDefault="00435FF8" w:rsidP="001137BF">
            <w:pPr>
              <w:tabs>
                <w:tab w:val="left" w:pos="851"/>
              </w:tabs>
              <w:rPr>
                <w:bCs/>
                <w:sz w:val="24"/>
                <w:szCs w:val="24"/>
                <w:u w:val="single"/>
                <w:lang w:val="en-US"/>
              </w:rPr>
            </w:pPr>
            <w:r>
              <w:rPr>
                <w:noProof/>
                <w:sz w:val="22"/>
                <w:szCs w:val="22"/>
                <w:lang w:eastAsia="ja-JP"/>
              </w:rPr>
              <w:drawing>
                <wp:inline distT="0" distB="0" distL="0" distR="0" wp14:anchorId="5C0FF3B2" wp14:editId="6B04DBAA">
                  <wp:extent cx="3095625" cy="1704975"/>
                  <wp:effectExtent l="0" t="0" r="9525"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704975"/>
                          </a:xfrm>
                          <a:prstGeom prst="rect">
                            <a:avLst/>
                          </a:prstGeom>
                          <a:noFill/>
                          <a:ln>
                            <a:noFill/>
                          </a:ln>
                        </pic:spPr>
                      </pic:pic>
                    </a:graphicData>
                  </a:graphic>
                </wp:inline>
              </w:drawing>
            </w:r>
          </w:p>
        </w:tc>
      </w:tr>
      <w:tr w:rsidR="00435FF8" w:rsidRPr="00E91E7D" w14:paraId="7C392B6A" w14:textId="77777777" w:rsidTr="001137BF">
        <w:trPr>
          <w:trHeight w:val="2830"/>
        </w:trPr>
        <w:tc>
          <w:tcPr>
            <w:tcW w:w="3402" w:type="dxa"/>
            <w:tcBorders>
              <w:top w:val="single" w:sz="4" w:space="0" w:color="auto"/>
              <w:left w:val="single" w:sz="4" w:space="0" w:color="auto"/>
              <w:bottom w:val="single" w:sz="4" w:space="0" w:color="auto"/>
              <w:right w:val="single" w:sz="4" w:space="0" w:color="auto"/>
            </w:tcBorders>
          </w:tcPr>
          <w:p w14:paraId="1AC6F262" w14:textId="77777777" w:rsidR="00435FF8" w:rsidRPr="002E6FEB" w:rsidRDefault="00435FF8" w:rsidP="001137BF">
            <w:pPr>
              <w:tabs>
                <w:tab w:val="left" w:pos="851"/>
              </w:tabs>
              <w:rPr>
                <w:bCs/>
                <w:sz w:val="24"/>
                <w:szCs w:val="24"/>
              </w:rPr>
            </w:pPr>
            <w:r w:rsidRPr="002E6FEB">
              <w:rPr>
                <w:b/>
                <w:bCs/>
                <w:sz w:val="24"/>
                <w:szCs w:val="24"/>
              </w:rPr>
              <w:t xml:space="preserve">Trin 2: </w:t>
            </w:r>
            <w:r w:rsidRPr="002E6FEB">
              <w:rPr>
                <w:bCs/>
                <w:sz w:val="24"/>
                <w:szCs w:val="24"/>
              </w:rPr>
              <w:t>For at fastgøre kanylen til sprøjten skal du forsigtigt dreje kanylen ind i sprøjten</w:t>
            </w:r>
            <w:r>
              <w:rPr>
                <w:bCs/>
                <w:sz w:val="24"/>
                <w:szCs w:val="24"/>
              </w:rPr>
              <w:t>s Luer-Lock-adapter</w:t>
            </w:r>
            <w:r w:rsidRPr="002E6FEB">
              <w:rPr>
                <w:bCs/>
                <w:sz w:val="24"/>
                <w:szCs w:val="24"/>
              </w:rPr>
              <w:t>, indtil der mærkes let modstand.</w:t>
            </w:r>
          </w:p>
        </w:tc>
        <w:tc>
          <w:tcPr>
            <w:tcW w:w="5380" w:type="dxa"/>
            <w:tcBorders>
              <w:top w:val="single" w:sz="4" w:space="0" w:color="auto"/>
              <w:left w:val="single" w:sz="4" w:space="0" w:color="auto"/>
              <w:bottom w:val="single" w:sz="4" w:space="0" w:color="auto"/>
              <w:right w:val="single" w:sz="4" w:space="0" w:color="auto"/>
            </w:tcBorders>
            <w:hideMark/>
          </w:tcPr>
          <w:p w14:paraId="5D4D5EC2" w14:textId="77777777" w:rsidR="00435FF8" w:rsidRPr="00E91E7D" w:rsidRDefault="00435FF8" w:rsidP="001137BF">
            <w:pPr>
              <w:tabs>
                <w:tab w:val="left" w:pos="851"/>
              </w:tabs>
              <w:rPr>
                <w:bCs/>
                <w:sz w:val="24"/>
                <w:szCs w:val="24"/>
                <w:u w:val="single"/>
                <w:lang w:val="en-US"/>
              </w:rPr>
            </w:pPr>
            <w:r>
              <w:rPr>
                <w:noProof/>
                <w:sz w:val="22"/>
                <w:szCs w:val="22"/>
                <w:lang w:eastAsia="ja-JP"/>
              </w:rPr>
              <w:drawing>
                <wp:inline distT="0" distB="0" distL="0" distR="0" wp14:anchorId="346BE718" wp14:editId="2A8D5192">
                  <wp:extent cx="2924175" cy="173355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1733550"/>
                          </a:xfrm>
                          <a:prstGeom prst="rect">
                            <a:avLst/>
                          </a:prstGeom>
                          <a:noFill/>
                          <a:ln>
                            <a:noFill/>
                          </a:ln>
                        </pic:spPr>
                      </pic:pic>
                    </a:graphicData>
                  </a:graphic>
                </wp:inline>
              </w:drawing>
            </w:r>
          </w:p>
        </w:tc>
      </w:tr>
    </w:tbl>
    <w:p w14:paraId="384373C6" w14:textId="77777777" w:rsidR="00435FF8" w:rsidRDefault="00435FF8" w:rsidP="00435FF8">
      <w:pPr>
        <w:tabs>
          <w:tab w:val="left" w:pos="851"/>
        </w:tabs>
        <w:ind w:left="851"/>
        <w:rPr>
          <w:bCs/>
          <w:sz w:val="24"/>
          <w:szCs w:val="24"/>
          <w:u w:val="single"/>
        </w:rPr>
      </w:pPr>
    </w:p>
    <w:p w14:paraId="0EBD4CEC" w14:textId="77777777" w:rsidR="00435FF8" w:rsidRDefault="00435FF8" w:rsidP="00435FF8">
      <w:pPr>
        <w:tabs>
          <w:tab w:val="left" w:pos="851"/>
        </w:tabs>
        <w:ind w:left="851"/>
        <w:rPr>
          <w:bCs/>
          <w:sz w:val="24"/>
          <w:szCs w:val="24"/>
        </w:rPr>
      </w:pPr>
    </w:p>
    <w:p w14:paraId="0F3CB2FC" w14:textId="77777777" w:rsidR="00435FF8" w:rsidRDefault="00435FF8" w:rsidP="00435FF8">
      <w:pPr>
        <w:rPr>
          <w:bCs/>
          <w:sz w:val="24"/>
          <w:szCs w:val="24"/>
        </w:rPr>
      </w:pPr>
      <w:r>
        <w:rPr>
          <w:bCs/>
          <w:sz w:val="24"/>
          <w:szCs w:val="24"/>
        </w:rPr>
        <w:br w:type="page"/>
      </w:r>
    </w:p>
    <w:p w14:paraId="26AB1855" w14:textId="77777777" w:rsidR="00435FF8" w:rsidRPr="006D2822" w:rsidRDefault="00435FF8" w:rsidP="00435FF8">
      <w:pPr>
        <w:keepNext/>
        <w:tabs>
          <w:tab w:val="left" w:pos="851"/>
        </w:tabs>
        <w:ind w:left="851"/>
        <w:rPr>
          <w:bCs/>
          <w:sz w:val="24"/>
          <w:szCs w:val="24"/>
        </w:rPr>
      </w:pPr>
      <w:r w:rsidRPr="006D2822">
        <w:rPr>
          <w:bCs/>
          <w:sz w:val="24"/>
          <w:szCs w:val="24"/>
        </w:rPr>
        <w:t xml:space="preserve">Instruktioner til brug af </w:t>
      </w:r>
      <w:r>
        <w:rPr>
          <w:bCs/>
          <w:sz w:val="24"/>
          <w:szCs w:val="24"/>
        </w:rPr>
        <w:t xml:space="preserve">sikkerhedskanyle med </w:t>
      </w:r>
      <w:r w:rsidRPr="006D2822">
        <w:rPr>
          <w:bCs/>
          <w:sz w:val="24"/>
          <w:szCs w:val="24"/>
        </w:rPr>
        <w:t>Luer Lock fyldt injektionssprøjt</w:t>
      </w:r>
      <w:r>
        <w:rPr>
          <w:bCs/>
          <w:sz w:val="24"/>
          <w:szCs w:val="24"/>
        </w:rPr>
        <w:t>e:</w:t>
      </w:r>
    </w:p>
    <w:p w14:paraId="0CD143DB" w14:textId="77777777" w:rsidR="00435FF8" w:rsidRPr="00EA39B6" w:rsidRDefault="00435FF8" w:rsidP="00435FF8">
      <w:pPr>
        <w:tabs>
          <w:tab w:val="left" w:pos="851"/>
        </w:tabs>
        <w:ind w:left="851"/>
        <w:rPr>
          <w:bCs/>
          <w:sz w:val="24"/>
          <w:szCs w:val="24"/>
        </w:rPr>
      </w:pPr>
    </w:p>
    <w:p w14:paraId="5324ED44" w14:textId="77777777" w:rsidR="00435FF8" w:rsidRDefault="00435FF8" w:rsidP="00435FF8">
      <w:pPr>
        <w:keepNext/>
        <w:tabs>
          <w:tab w:val="left" w:pos="851"/>
        </w:tabs>
        <w:ind w:left="851"/>
        <w:rPr>
          <w:bCs/>
          <w:sz w:val="24"/>
          <w:szCs w:val="24"/>
        </w:rPr>
      </w:pPr>
      <w:r w:rsidRPr="00EA39B6">
        <w:rPr>
          <w:bCs/>
          <w:i/>
          <w:iCs/>
          <w:sz w:val="24"/>
          <w:szCs w:val="24"/>
        </w:rPr>
        <w:t>Følg trin 1 og 2 ovenfor for at klargøre Luer Lock injektionssprøjten og kanylen</w:t>
      </w:r>
      <w:r>
        <w:rPr>
          <w:bCs/>
          <w:i/>
          <w:iCs/>
          <w:sz w:val="24"/>
          <w:szCs w:val="24"/>
        </w:rPr>
        <w:t xml:space="preserve"> for fastgørelse.</w:t>
      </w:r>
    </w:p>
    <w:p w14:paraId="4AAF3932" w14:textId="77777777" w:rsidR="00435FF8" w:rsidRDefault="00435FF8" w:rsidP="00435FF8">
      <w:pPr>
        <w:keepNext/>
        <w:tabs>
          <w:tab w:val="left" w:pos="851"/>
        </w:tabs>
        <w:ind w:left="851"/>
        <w:rPr>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3"/>
        <w:gridCol w:w="5367"/>
      </w:tblGrid>
      <w:tr w:rsidR="00435FF8" w:rsidRPr="00D57775" w14:paraId="5FB8C759" w14:textId="77777777" w:rsidTr="001137BF">
        <w:trPr>
          <w:trHeight w:val="377"/>
        </w:trPr>
        <w:tc>
          <w:tcPr>
            <w:tcW w:w="3415" w:type="dxa"/>
            <w:gridSpan w:val="2"/>
            <w:shd w:val="clear" w:color="auto" w:fill="auto"/>
          </w:tcPr>
          <w:p w14:paraId="3F3217CB" w14:textId="77777777" w:rsidR="00435FF8" w:rsidRDefault="00435FF8" w:rsidP="001137BF">
            <w:pPr>
              <w:keepNext/>
              <w:tabs>
                <w:tab w:val="left" w:pos="851"/>
              </w:tabs>
              <w:rPr>
                <w:b/>
                <w:bCs/>
                <w:sz w:val="24"/>
                <w:szCs w:val="24"/>
              </w:rPr>
            </w:pPr>
          </w:p>
          <w:p w14:paraId="7FC79E69" w14:textId="77777777" w:rsidR="00435FF8" w:rsidRDefault="00435FF8" w:rsidP="001137BF">
            <w:pPr>
              <w:keepNext/>
              <w:tabs>
                <w:tab w:val="left" w:pos="851"/>
              </w:tabs>
              <w:rPr>
                <w:b/>
                <w:bCs/>
                <w:sz w:val="24"/>
                <w:szCs w:val="24"/>
              </w:rPr>
            </w:pPr>
            <w:r w:rsidRPr="00D57775">
              <w:rPr>
                <w:b/>
                <w:bCs/>
                <w:sz w:val="24"/>
                <w:szCs w:val="24"/>
              </w:rPr>
              <w:t>Billede C: Sikkerhedskanyle (inde i etui)</w:t>
            </w:r>
          </w:p>
          <w:p w14:paraId="28150FEB" w14:textId="77777777" w:rsidR="00435FF8" w:rsidRPr="00D57775" w:rsidRDefault="00435FF8" w:rsidP="001137BF">
            <w:pPr>
              <w:keepNext/>
              <w:tabs>
                <w:tab w:val="left" w:pos="851"/>
              </w:tabs>
              <w:rPr>
                <w:bCs/>
                <w:sz w:val="24"/>
                <w:szCs w:val="24"/>
              </w:rPr>
            </w:pPr>
          </w:p>
        </w:tc>
        <w:tc>
          <w:tcPr>
            <w:tcW w:w="5367" w:type="dxa"/>
            <w:shd w:val="clear" w:color="auto" w:fill="auto"/>
          </w:tcPr>
          <w:p w14:paraId="4B1061E5" w14:textId="77777777" w:rsidR="00435FF8" w:rsidRDefault="00435FF8" w:rsidP="001137BF">
            <w:pPr>
              <w:keepNext/>
              <w:tabs>
                <w:tab w:val="left" w:pos="851"/>
              </w:tabs>
              <w:rPr>
                <w:b/>
                <w:bCs/>
                <w:sz w:val="24"/>
                <w:szCs w:val="24"/>
              </w:rPr>
            </w:pPr>
          </w:p>
          <w:p w14:paraId="4E885885" w14:textId="77777777" w:rsidR="00435FF8" w:rsidRPr="00D57775" w:rsidRDefault="00435FF8" w:rsidP="001137BF">
            <w:pPr>
              <w:keepNext/>
              <w:tabs>
                <w:tab w:val="left" w:pos="851"/>
              </w:tabs>
              <w:rPr>
                <w:bCs/>
                <w:sz w:val="24"/>
                <w:szCs w:val="24"/>
              </w:rPr>
            </w:pPr>
            <w:r w:rsidRPr="00D57775">
              <w:rPr>
                <w:b/>
                <w:bCs/>
                <w:sz w:val="24"/>
                <w:szCs w:val="24"/>
              </w:rPr>
              <w:t>Billede D: Sikkerhedskanylens komponenter (klargjort til brug)</w:t>
            </w:r>
          </w:p>
        </w:tc>
      </w:tr>
      <w:tr w:rsidR="00435FF8" w:rsidRPr="00D57775" w14:paraId="7D8E5B20" w14:textId="77777777" w:rsidTr="001137BF">
        <w:trPr>
          <w:trHeight w:val="2398"/>
        </w:trPr>
        <w:tc>
          <w:tcPr>
            <w:tcW w:w="3402" w:type="dxa"/>
            <w:shd w:val="clear" w:color="auto" w:fill="auto"/>
          </w:tcPr>
          <w:p w14:paraId="4EC483CA" w14:textId="77777777" w:rsidR="00435FF8" w:rsidRPr="00D57775" w:rsidRDefault="00435FF8" w:rsidP="001137BF">
            <w:pPr>
              <w:tabs>
                <w:tab w:val="left" w:pos="851"/>
              </w:tabs>
              <w:ind w:left="851"/>
              <w:rPr>
                <w:bCs/>
                <w:sz w:val="24"/>
                <w:szCs w:val="24"/>
              </w:rPr>
            </w:pPr>
            <w:r w:rsidRPr="00D57775">
              <w:rPr>
                <w:bCs/>
                <w:noProof/>
                <w:sz w:val="24"/>
                <w:szCs w:val="24"/>
                <w:lang w:val="en-GB"/>
              </w:rPr>
              <w:drawing>
                <wp:anchor distT="0" distB="0" distL="114300" distR="114300" simplePos="0" relativeHeight="251660288" behindDoc="0" locked="0" layoutInCell="1" allowOverlap="1" wp14:anchorId="0A7F1D51" wp14:editId="499466A5">
                  <wp:simplePos x="0" y="0"/>
                  <wp:positionH relativeFrom="column">
                    <wp:posOffset>184166</wp:posOffset>
                  </wp:positionH>
                  <wp:positionV relativeFrom="paragraph">
                    <wp:posOffset>250061</wp:posOffset>
                  </wp:positionV>
                  <wp:extent cx="2164080" cy="1040725"/>
                  <wp:effectExtent l="0" t="0" r="7620" b="7620"/>
                  <wp:wrapThrough wrapText="bothSides">
                    <wp:wrapPolygon edited="0">
                      <wp:start x="0" y="0"/>
                      <wp:lineTo x="0" y="21363"/>
                      <wp:lineTo x="21486" y="21363"/>
                      <wp:lineTo x="21486" y="0"/>
                      <wp:lineTo x="0" y="0"/>
                    </wp:wrapPolygon>
                  </wp:wrapThrough>
                  <wp:docPr id="751971743" name="Picture 75197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4080" cy="1040725"/>
                          </a:xfrm>
                          <a:prstGeom prst="rect">
                            <a:avLst/>
                          </a:prstGeom>
                        </pic:spPr>
                      </pic:pic>
                    </a:graphicData>
                  </a:graphic>
                </wp:anchor>
              </w:drawing>
            </w:r>
          </w:p>
          <w:p w14:paraId="6400A9C8" w14:textId="77777777" w:rsidR="00435FF8" w:rsidRPr="00D57775" w:rsidRDefault="00435FF8" w:rsidP="001137BF">
            <w:pPr>
              <w:tabs>
                <w:tab w:val="left" w:pos="851"/>
              </w:tabs>
              <w:ind w:left="851"/>
              <w:rPr>
                <w:bCs/>
                <w:sz w:val="24"/>
                <w:szCs w:val="24"/>
              </w:rPr>
            </w:pPr>
          </w:p>
        </w:tc>
        <w:tc>
          <w:tcPr>
            <w:tcW w:w="5380" w:type="dxa"/>
            <w:gridSpan w:val="2"/>
            <w:shd w:val="clear" w:color="auto" w:fill="auto"/>
          </w:tcPr>
          <w:p w14:paraId="087E4FDA" w14:textId="77777777" w:rsidR="00435FF8" w:rsidRPr="00D57775" w:rsidRDefault="00435FF8" w:rsidP="001137BF">
            <w:pPr>
              <w:tabs>
                <w:tab w:val="left" w:pos="851"/>
              </w:tabs>
              <w:ind w:left="851"/>
              <w:rPr>
                <w:bCs/>
                <w:sz w:val="24"/>
                <w:szCs w:val="24"/>
              </w:rPr>
            </w:pPr>
            <w:r w:rsidRPr="00D57775">
              <w:rPr>
                <w:bCs/>
                <w:noProof/>
                <w:sz w:val="24"/>
                <w:szCs w:val="24"/>
                <w:lang w:val="en-GB"/>
              </w:rPr>
              <w:drawing>
                <wp:anchor distT="0" distB="0" distL="114300" distR="114300" simplePos="0" relativeHeight="251661312" behindDoc="0" locked="0" layoutInCell="1" allowOverlap="1" wp14:anchorId="5D32A6F3" wp14:editId="7B3B9E67">
                  <wp:simplePos x="0" y="0"/>
                  <wp:positionH relativeFrom="column">
                    <wp:posOffset>38735</wp:posOffset>
                  </wp:positionH>
                  <wp:positionV relativeFrom="paragraph">
                    <wp:posOffset>191376</wp:posOffset>
                  </wp:positionV>
                  <wp:extent cx="2924810" cy="1205865"/>
                  <wp:effectExtent l="0" t="0" r="0" b="0"/>
                  <wp:wrapNone/>
                  <wp:docPr id="1520394543" name="Picture 152039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810" cy="1205865"/>
                          </a:xfrm>
                          <a:prstGeom prst="rect">
                            <a:avLst/>
                          </a:prstGeom>
                          <a:noFill/>
                        </pic:spPr>
                      </pic:pic>
                    </a:graphicData>
                  </a:graphic>
                </wp:anchor>
              </w:drawing>
            </w:r>
          </w:p>
          <w:p w14:paraId="70CA0AC6" w14:textId="77777777" w:rsidR="00435FF8" w:rsidRPr="00D57775" w:rsidRDefault="00435FF8" w:rsidP="001137BF">
            <w:pPr>
              <w:tabs>
                <w:tab w:val="left" w:pos="851"/>
              </w:tabs>
              <w:ind w:left="851"/>
              <w:rPr>
                <w:b/>
                <w:bCs/>
                <w:sz w:val="24"/>
                <w:szCs w:val="24"/>
              </w:rPr>
            </w:pPr>
          </w:p>
          <w:p w14:paraId="120C510F" w14:textId="77777777" w:rsidR="00435FF8" w:rsidRPr="00D57775" w:rsidRDefault="00435FF8" w:rsidP="001137BF">
            <w:pPr>
              <w:tabs>
                <w:tab w:val="left" w:pos="851"/>
              </w:tabs>
              <w:ind w:left="851"/>
              <w:rPr>
                <w:bCs/>
                <w:sz w:val="24"/>
                <w:szCs w:val="24"/>
              </w:rPr>
            </w:pPr>
          </w:p>
        </w:tc>
      </w:tr>
    </w:tbl>
    <w:p w14:paraId="594AE10C" w14:textId="77777777" w:rsidR="00435FF8" w:rsidRPr="00EA39B6" w:rsidRDefault="00435FF8" w:rsidP="00435FF8">
      <w:pPr>
        <w:tabs>
          <w:tab w:val="left" w:pos="851"/>
        </w:tabs>
        <w:ind w:left="851"/>
        <w:rPr>
          <w:bCs/>
          <w:sz w:val="24"/>
          <w:szCs w:val="24"/>
        </w:rPr>
      </w:pPr>
    </w:p>
    <w:p w14:paraId="28A85E1B" w14:textId="77777777" w:rsidR="00435FF8" w:rsidRPr="00EA39B6" w:rsidRDefault="00435FF8" w:rsidP="00435FF8">
      <w:pPr>
        <w:tabs>
          <w:tab w:val="left" w:pos="851"/>
        </w:tabs>
        <w:ind w:left="851"/>
        <w:rPr>
          <w:bCs/>
          <w:sz w:val="24"/>
          <w:szCs w:val="24"/>
        </w:rPr>
      </w:pPr>
    </w:p>
    <w:tbl>
      <w:tblPr>
        <w:tblW w:w="87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0"/>
      </w:tblGrid>
      <w:tr w:rsidR="00435FF8" w:rsidRPr="00EA39B6" w14:paraId="16DD9B3F" w14:textId="77777777" w:rsidTr="001137BF">
        <w:trPr>
          <w:trHeight w:val="377"/>
        </w:trPr>
        <w:tc>
          <w:tcPr>
            <w:tcW w:w="8782" w:type="dxa"/>
            <w:gridSpan w:val="2"/>
            <w:shd w:val="clear" w:color="auto" w:fill="auto"/>
          </w:tcPr>
          <w:p w14:paraId="5E2EF5FE" w14:textId="77777777" w:rsidR="00435FF8" w:rsidRDefault="00435FF8" w:rsidP="001137BF">
            <w:pPr>
              <w:tabs>
                <w:tab w:val="left" w:pos="851"/>
              </w:tabs>
              <w:rPr>
                <w:b/>
                <w:bCs/>
                <w:sz w:val="24"/>
                <w:szCs w:val="24"/>
              </w:rPr>
            </w:pPr>
          </w:p>
          <w:p w14:paraId="4A9FF65A" w14:textId="77777777" w:rsidR="00435FF8" w:rsidRDefault="00435FF8" w:rsidP="001137BF">
            <w:pPr>
              <w:tabs>
                <w:tab w:val="left" w:pos="851"/>
              </w:tabs>
              <w:rPr>
                <w:bCs/>
                <w:sz w:val="24"/>
                <w:szCs w:val="24"/>
              </w:rPr>
            </w:pPr>
            <w:r w:rsidRPr="00EA39B6">
              <w:rPr>
                <w:b/>
                <w:bCs/>
                <w:sz w:val="24"/>
                <w:szCs w:val="24"/>
              </w:rPr>
              <w:t xml:space="preserve">Trin 3: </w:t>
            </w:r>
            <w:r w:rsidRPr="00EA39B6">
              <w:rPr>
                <w:bCs/>
                <w:sz w:val="24"/>
                <w:szCs w:val="24"/>
              </w:rPr>
              <w:t>Træk sikkerhedskanylens etui lige af. Kanylen er dækket af sikkerhedskappen og kanylebeskytteren.</w:t>
            </w:r>
          </w:p>
          <w:p w14:paraId="75BAB5CE" w14:textId="77777777" w:rsidR="00435FF8" w:rsidRPr="00EA39B6" w:rsidRDefault="00435FF8" w:rsidP="001137BF">
            <w:pPr>
              <w:tabs>
                <w:tab w:val="left" w:pos="851"/>
              </w:tabs>
              <w:rPr>
                <w:bCs/>
                <w:sz w:val="24"/>
                <w:szCs w:val="24"/>
              </w:rPr>
            </w:pPr>
          </w:p>
        </w:tc>
      </w:tr>
      <w:tr w:rsidR="00435FF8" w:rsidRPr="00EA39B6" w14:paraId="1A80990C" w14:textId="77777777" w:rsidTr="001137BF">
        <w:trPr>
          <w:trHeight w:val="2398"/>
        </w:trPr>
        <w:tc>
          <w:tcPr>
            <w:tcW w:w="3402" w:type="dxa"/>
            <w:shd w:val="clear" w:color="auto" w:fill="auto"/>
          </w:tcPr>
          <w:p w14:paraId="4E9979A8" w14:textId="77777777" w:rsidR="00435FF8" w:rsidRDefault="00435FF8" w:rsidP="001137BF">
            <w:pPr>
              <w:tabs>
                <w:tab w:val="left" w:pos="851"/>
              </w:tabs>
              <w:rPr>
                <w:b/>
                <w:bCs/>
                <w:sz w:val="24"/>
                <w:szCs w:val="24"/>
              </w:rPr>
            </w:pPr>
          </w:p>
          <w:p w14:paraId="70DCFD97" w14:textId="77777777" w:rsidR="00435FF8" w:rsidRDefault="00435FF8" w:rsidP="001137BF">
            <w:pPr>
              <w:tabs>
                <w:tab w:val="left" w:pos="851"/>
              </w:tabs>
              <w:rPr>
                <w:b/>
                <w:bCs/>
                <w:sz w:val="24"/>
                <w:szCs w:val="24"/>
              </w:rPr>
            </w:pPr>
          </w:p>
          <w:p w14:paraId="68F988B5" w14:textId="77777777" w:rsidR="00435FF8" w:rsidRDefault="00435FF8" w:rsidP="001137BF">
            <w:pPr>
              <w:tabs>
                <w:tab w:val="left" w:pos="851"/>
              </w:tabs>
              <w:rPr>
                <w:b/>
                <w:bCs/>
                <w:sz w:val="24"/>
                <w:szCs w:val="24"/>
              </w:rPr>
            </w:pPr>
          </w:p>
          <w:p w14:paraId="47FE7586" w14:textId="77777777" w:rsidR="00435FF8" w:rsidRDefault="00435FF8" w:rsidP="001137BF">
            <w:pPr>
              <w:tabs>
                <w:tab w:val="left" w:pos="851"/>
              </w:tabs>
              <w:rPr>
                <w:b/>
                <w:bCs/>
                <w:sz w:val="24"/>
                <w:szCs w:val="24"/>
              </w:rPr>
            </w:pPr>
            <w:r w:rsidRPr="00EA39B6">
              <w:rPr>
                <w:b/>
                <w:bCs/>
                <w:sz w:val="24"/>
                <w:szCs w:val="24"/>
              </w:rPr>
              <w:t>Trin 4:</w:t>
            </w:r>
          </w:p>
          <w:p w14:paraId="07EF737E" w14:textId="77777777" w:rsidR="00435FF8" w:rsidRPr="00EA39B6" w:rsidRDefault="00435FF8" w:rsidP="001137BF">
            <w:pPr>
              <w:tabs>
                <w:tab w:val="left" w:pos="851"/>
              </w:tabs>
              <w:rPr>
                <w:b/>
                <w:bCs/>
                <w:sz w:val="24"/>
                <w:szCs w:val="24"/>
              </w:rPr>
            </w:pPr>
          </w:p>
          <w:p w14:paraId="082E6C23" w14:textId="77777777" w:rsidR="00435FF8" w:rsidRPr="00EA39B6" w:rsidRDefault="00435FF8" w:rsidP="001137BF">
            <w:pPr>
              <w:tabs>
                <w:tab w:val="left" w:pos="851"/>
              </w:tabs>
              <w:rPr>
                <w:bCs/>
                <w:sz w:val="24"/>
                <w:szCs w:val="24"/>
              </w:rPr>
            </w:pPr>
            <w:r w:rsidRPr="00EA39B6">
              <w:rPr>
                <w:b/>
                <w:bCs/>
                <w:sz w:val="24"/>
                <w:szCs w:val="24"/>
              </w:rPr>
              <w:t xml:space="preserve">A: </w:t>
            </w:r>
            <w:r w:rsidRPr="00EA39B6">
              <w:rPr>
                <w:bCs/>
                <w:sz w:val="24"/>
                <w:szCs w:val="24"/>
              </w:rPr>
              <w:t xml:space="preserve">Bevæg sikkerhedskappen væk fra kanylen i retning mod sprøjtecylinderen i en vinkel, som vist. </w:t>
            </w:r>
          </w:p>
          <w:p w14:paraId="77F73980" w14:textId="77777777" w:rsidR="00435FF8" w:rsidRPr="00EA39B6" w:rsidRDefault="00435FF8" w:rsidP="001137BF">
            <w:pPr>
              <w:tabs>
                <w:tab w:val="left" w:pos="851"/>
              </w:tabs>
              <w:rPr>
                <w:bCs/>
                <w:sz w:val="24"/>
                <w:szCs w:val="24"/>
              </w:rPr>
            </w:pPr>
            <w:r w:rsidRPr="00EA39B6">
              <w:rPr>
                <w:b/>
                <w:bCs/>
                <w:sz w:val="24"/>
                <w:szCs w:val="24"/>
              </w:rPr>
              <w:t xml:space="preserve">B: </w:t>
            </w:r>
            <w:r w:rsidRPr="00EA39B6">
              <w:rPr>
                <w:bCs/>
                <w:sz w:val="24"/>
                <w:szCs w:val="24"/>
              </w:rPr>
              <w:t>Træk kanylebeskytteren lige af.</w:t>
            </w:r>
          </w:p>
        </w:tc>
        <w:tc>
          <w:tcPr>
            <w:tcW w:w="5380" w:type="dxa"/>
            <w:shd w:val="clear" w:color="auto" w:fill="auto"/>
          </w:tcPr>
          <w:p w14:paraId="6265EBF1" w14:textId="77777777" w:rsidR="00435FF8" w:rsidRDefault="00435FF8" w:rsidP="001137BF">
            <w:pPr>
              <w:tabs>
                <w:tab w:val="left" w:pos="851"/>
              </w:tabs>
              <w:rPr>
                <w:bCs/>
                <w:sz w:val="24"/>
                <w:szCs w:val="24"/>
              </w:rPr>
            </w:pPr>
          </w:p>
          <w:p w14:paraId="7B1973E9" w14:textId="77777777" w:rsidR="00435FF8" w:rsidRPr="00EA39B6" w:rsidRDefault="00435FF8" w:rsidP="001137BF">
            <w:pPr>
              <w:tabs>
                <w:tab w:val="left" w:pos="851"/>
              </w:tabs>
              <w:rPr>
                <w:bCs/>
                <w:sz w:val="24"/>
                <w:szCs w:val="24"/>
              </w:rPr>
            </w:pPr>
            <w:r>
              <w:rPr>
                <w:noProof/>
                <w:sz w:val="22"/>
                <w:szCs w:val="22"/>
              </w:rPr>
              <w:drawing>
                <wp:inline distT="0" distB="0" distL="0" distR="0" wp14:anchorId="3938C55D" wp14:editId="51F842A5">
                  <wp:extent cx="2790825" cy="14859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485900"/>
                          </a:xfrm>
                          <a:prstGeom prst="rect">
                            <a:avLst/>
                          </a:prstGeom>
                          <a:noFill/>
                          <a:ln>
                            <a:noFill/>
                          </a:ln>
                        </pic:spPr>
                      </pic:pic>
                    </a:graphicData>
                  </a:graphic>
                </wp:inline>
              </w:drawing>
            </w:r>
          </w:p>
        </w:tc>
      </w:tr>
      <w:tr w:rsidR="00435FF8" w:rsidRPr="00E9380D" w14:paraId="45B16EEE" w14:textId="77777777" w:rsidTr="001137BF">
        <w:tc>
          <w:tcPr>
            <w:tcW w:w="3402" w:type="dxa"/>
            <w:shd w:val="clear" w:color="auto" w:fill="auto"/>
          </w:tcPr>
          <w:p w14:paraId="527C2E4F" w14:textId="77777777" w:rsidR="00435FF8" w:rsidRPr="00E9380D" w:rsidRDefault="00435FF8" w:rsidP="001137BF">
            <w:pPr>
              <w:spacing w:before="240" w:after="240"/>
              <w:ind w:left="33"/>
              <w:rPr>
                <w:bCs/>
                <w:sz w:val="24"/>
                <w:szCs w:val="24"/>
              </w:rPr>
            </w:pPr>
            <w:r w:rsidRPr="00E9380D">
              <w:rPr>
                <w:b/>
                <w:sz w:val="24"/>
                <w:szCs w:val="24"/>
              </w:rPr>
              <w:t>Trin 5:</w:t>
            </w:r>
            <w:r w:rsidRPr="00E9380D">
              <w:rPr>
                <w:bCs/>
                <w:sz w:val="24"/>
                <w:szCs w:val="24"/>
              </w:rPr>
              <w:t xml:space="preserve"> Når injektionen er fuldført, luk (aktivér) sikkerhedskappen ved at anvende én af de tre (3) </w:t>
            </w:r>
            <w:proofErr w:type="spellStart"/>
            <w:r w:rsidRPr="00E9380D">
              <w:rPr>
                <w:b/>
                <w:sz w:val="24"/>
                <w:szCs w:val="24"/>
              </w:rPr>
              <w:t>enhånds</w:t>
            </w:r>
            <w:r w:rsidRPr="00E9380D">
              <w:rPr>
                <w:bCs/>
                <w:sz w:val="24"/>
                <w:szCs w:val="24"/>
              </w:rPr>
              <w:t>metoder</w:t>
            </w:r>
            <w:proofErr w:type="spellEnd"/>
            <w:r w:rsidRPr="00E9380D">
              <w:rPr>
                <w:bCs/>
                <w:sz w:val="24"/>
                <w:szCs w:val="24"/>
              </w:rPr>
              <w:t>, der er vist: overflade-, tommel- eller fingeraktivering.</w:t>
            </w:r>
          </w:p>
          <w:p w14:paraId="01097B73" w14:textId="77777777" w:rsidR="00435FF8" w:rsidRPr="00E84F11" w:rsidRDefault="00435FF8" w:rsidP="001137BF">
            <w:pPr>
              <w:spacing w:before="240" w:after="240"/>
              <w:ind w:left="33"/>
              <w:rPr>
                <w:bCs/>
                <w:sz w:val="24"/>
                <w:szCs w:val="24"/>
              </w:rPr>
            </w:pPr>
            <w:r w:rsidRPr="00E84F11">
              <w:rPr>
                <w:bCs/>
                <w:sz w:val="24"/>
                <w:szCs w:val="24"/>
              </w:rPr>
              <w:t>N</w:t>
            </w:r>
            <w:r>
              <w:rPr>
                <w:bCs/>
                <w:sz w:val="24"/>
                <w:szCs w:val="24"/>
              </w:rPr>
              <w:t>ote</w:t>
            </w:r>
            <w:r w:rsidRPr="00E84F11">
              <w:rPr>
                <w:bCs/>
                <w:sz w:val="24"/>
                <w:szCs w:val="24"/>
              </w:rPr>
              <w:t xml:space="preserve">: Aktiveringen bekræftes ved </w:t>
            </w:r>
            <w:r>
              <w:rPr>
                <w:bCs/>
                <w:sz w:val="24"/>
                <w:szCs w:val="24"/>
              </w:rPr>
              <w:t>et</w:t>
            </w:r>
            <w:r w:rsidRPr="00E84F11">
              <w:rPr>
                <w:bCs/>
                <w:sz w:val="24"/>
                <w:szCs w:val="24"/>
              </w:rPr>
              <w:t xml:space="preserve"> hør</w:t>
            </w:r>
            <w:r>
              <w:rPr>
                <w:bCs/>
                <w:sz w:val="24"/>
                <w:szCs w:val="24"/>
              </w:rPr>
              <w:t>- og/</w:t>
            </w:r>
            <w:r w:rsidRPr="00E84F11">
              <w:rPr>
                <w:bCs/>
                <w:sz w:val="24"/>
                <w:szCs w:val="24"/>
              </w:rPr>
              <w:t xml:space="preserve"> eller følbart “klik”. </w:t>
            </w:r>
          </w:p>
          <w:p w14:paraId="63D189B9" w14:textId="77777777" w:rsidR="00435FF8" w:rsidRPr="00E84F11" w:rsidRDefault="00435FF8" w:rsidP="001137BF">
            <w:pPr>
              <w:spacing w:before="240" w:after="240"/>
              <w:ind w:left="33"/>
              <w:rPr>
                <w:sz w:val="24"/>
                <w:szCs w:val="24"/>
              </w:rPr>
            </w:pPr>
          </w:p>
        </w:tc>
        <w:tc>
          <w:tcPr>
            <w:tcW w:w="5380" w:type="dxa"/>
            <w:shd w:val="clear" w:color="auto" w:fill="auto"/>
          </w:tcPr>
          <w:p w14:paraId="789D58B8" w14:textId="77777777" w:rsidR="00435FF8" w:rsidRPr="00E84F11" w:rsidRDefault="00435FF8" w:rsidP="001137BF">
            <w:pPr>
              <w:spacing w:before="240" w:after="240"/>
              <w:ind w:left="33"/>
              <w:rPr>
                <w:sz w:val="24"/>
                <w:szCs w:val="24"/>
              </w:rPr>
            </w:pPr>
          </w:p>
          <w:p w14:paraId="47618055" w14:textId="77777777" w:rsidR="00435FF8" w:rsidRPr="00E84F11" w:rsidRDefault="00435FF8" w:rsidP="001137BF">
            <w:pPr>
              <w:spacing w:before="240" w:after="240"/>
              <w:rPr>
                <w:sz w:val="24"/>
                <w:szCs w:val="24"/>
              </w:rPr>
            </w:pPr>
          </w:p>
          <w:p w14:paraId="02850F87" w14:textId="77777777" w:rsidR="00435FF8" w:rsidRPr="00E9380D" w:rsidRDefault="00435FF8" w:rsidP="001137BF">
            <w:pPr>
              <w:spacing w:before="240" w:after="240"/>
              <w:ind w:left="33"/>
              <w:rPr>
                <w:sz w:val="24"/>
                <w:szCs w:val="24"/>
                <w:lang w:val="en-GB"/>
              </w:rPr>
            </w:pPr>
            <w:r w:rsidRPr="00E9380D">
              <w:rPr>
                <w:noProof/>
                <w:sz w:val="24"/>
                <w:szCs w:val="24"/>
                <w:lang w:val="en-GB"/>
              </w:rPr>
              <w:drawing>
                <wp:inline distT="0" distB="0" distL="0" distR="0" wp14:anchorId="3C21A72F" wp14:editId="7217777C">
                  <wp:extent cx="3177076" cy="622300"/>
                  <wp:effectExtent l="0" t="0" r="4445" b="6350"/>
                  <wp:docPr id="1820003995" name="Picture 182000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9877" cy="622849"/>
                          </a:xfrm>
                          <a:prstGeom prst="rect">
                            <a:avLst/>
                          </a:prstGeom>
                          <a:noFill/>
                          <a:ln>
                            <a:noFill/>
                          </a:ln>
                        </pic:spPr>
                      </pic:pic>
                    </a:graphicData>
                  </a:graphic>
                </wp:inline>
              </w:drawing>
            </w:r>
          </w:p>
        </w:tc>
      </w:tr>
      <w:tr w:rsidR="00435FF8" w:rsidRPr="00EA39B6" w14:paraId="71553BCC" w14:textId="77777777" w:rsidTr="001137BF">
        <w:trPr>
          <w:trHeight w:val="2483"/>
        </w:trPr>
        <w:tc>
          <w:tcPr>
            <w:tcW w:w="3402" w:type="dxa"/>
            <w:shd w:val="clear" w:color="auto" w:fill="auto"/>
          </w:tcPr>
          <w:p w14:paraId="42F985D7" w14:textId="77777777" w:rsidR="00435FF8" w:rsidRDefault="00435FF8" w:rsidP="001137BF">
            <w:pPr>
              <w:tabs>
                <w:tab w:val="left" w:pos="851"/>
              </w:tabs>
              <w:rPr>
                <w:b/>
                <w:bCs/>
                <w:sz w:val="24"/>
                <w:szCs w:val="24"/>
              </w:rPr>
            </w:pPr>
          </w:p>
          <w:p w14:paraId="799070BA" w14:textId="77777777" w:rsidR="00435FF8" w:rsidRPr="002E6FEB" w:rsidRDefault="00435FF8" w:rsidP="001137BF">
            <w:pPr>
              <w:tabs>
                <w:tab w:val="left" w:pos="851"/>
              </w:tabs>
              <w:rPr>
                <w:b/>
                <w:bCs/>
                <w:sz w:val="24"/>
                <w:szCs w:val="24"/>
              </w:rPr>
            </w:pPr>
            <w:r w:rsidRPr="00EA39B6">
              <w:rPr>
                <w:b/>
                <w:bCs/>
                <w:sz w:val="24"/>
                <w:szCs w:val="24"/>
              </w:rPr>
              <w:t xml:space="preserve">Trin 6: </w:t>
            </w:r>
            <w:r>
              <w:rPr>
                <w:bCs/>
                <w:sz w:val="24"/>
                <w:szCs w:val="24"/>
              </w:rPr>
              <w:t xml:space="preserve">Inspicer visuelt </w:t>
            </w:r>
            <w:r w:rsidRPr="00EA39B6">
              <w:rPr>
                <w:bCs/>
                <w:sz w:val="24"/>
                <w:szCs w:val="24"/>
              </w:rPr>
              <w:t>aktiveringen af sikkerhedskappen.</w:t>
            </w:r>
            <w:r>
              <w:rPr>
                <w:b/>
                <w:bCs/>
                <w:sz w:val="24"/>
                <w:szCs w:val="24"/>
              </w:rPr>
              <w:t xml:space="preserve"> </w:t>
            </w:r>
            <w:r w:rsidRPr="00EA39B6">
              <w:rPr>
                <w:bCs/>
                <w:sz w:val="24"/>
                <w:szCs w:val="24"/>
              </w:rPr>
              <w:t xml:space="preserve">Sikkerhedskappen skal være </w:t>
            </w:r>
            <w:r w:rsidRPr="00EA39B6">
              <w:rPr>
                <w:b/>
                <w:bCs/>
                <w:sz w:val="24"/>
                <w:szCs w:val="24"/>
              </w:rPr>
              <w:t>fuldstændigt lukket (aktiveret)</w:t>
            </w:r>
            <w:r w:rsidRPr="00EA39B6">
              <w:rPr>
                <w:bCs/>
                <w:sz w:val="24"/>
                <w:szCs w:val="24"/>
              </w:rPr>
              <w:t xml:space="preserve"> som vist på Figur</w:t>
            </w:r>
            <w:r>
              <w:rPr>
                <w:bCs/>
                <w:sz w:val="24"/>
                <w:szCs w:val="24"/>
              </w:rPr>
              <w:t> </w:t>
            </w:r>
            <w:r w:rsidRPr="00EA39B6">
              <w:rPr>
                <w:bCs/>
                <w:sz w:val="24"/>
                <w:szCs w:val="24"/>
              </w:rPr>
              <w:t xml:space="preserve">C. </w:t>
            </w:r>
          </w:p>
          <w:p w14:paraId="354197CA" w14:textId="77777777" w:rsidR="00435FF8" w:rsidRPr="00EA39B6" w:rsidRDefault="00435FF8" w:rsidP="001137BF">
            <w:pPr>
              <w:tabs>
                <w:tab w:val="left" w:pos="851"/>
              </w:tabs>
              <w:rPr>
                <w:bCs/>
                <w:sz w:val="24"/>
                <w:szCs w:val="24"/>
              </w:rPr>
            </w:pPr>
          </w:p>
          <w:p w14:paraId="306902EA" w14:textId="77777777" w:rsidR="00435FF8" w:rsidRDefault="00435FF8" w:rsidP="001137BF">
            <w:pPr>
              <w:tabs>
                <w:tab w:val="left" w:pos="851"/>
              </w:tabs>
              <w:rPr>
                <w:bCs/>
                <w:sz w:val="24"/>
                <w:szCs w:val="24"/>
              </w:rPr>
            </w:pPr>
          </w:p>
          <w:p w14:paraId="47A19F60" w14:textId="77777777" w:rsidR="00435FF8" w:rsidRPr="00EA39B6" w:rsidRDefault="00435FF8" w:rsidP="001137BF">
            <w:pPr>
              <w:tabs>
                <w:tab w:val="left" w:pos="851"/>
              </w:tabs>
              <w:rPr>
                <w:bCs/>
                <w:sz w:val="24"/>
                <w:szCs w:val="24"/>
              </w:rPr>
            </w:pPr>
          </w:p>
          <w:p w14:paraId="1E6C13F2" w14:textId="77777777" w:rsidR="00435FF8" w:rsidRDefault="00435FF8" w:rsidP="001137BF">
            <w:pPr>
              <w:tabs>
                <w:tab w:val="left" w:pos="851"/>
              </w:tabs>
              <w:rPr>
                <w:b/>
                <w:bCs/>
                <w:sz w:val="24"/>
                <w:szCs w:val="24"/>
              </w:rPr>
            </w:pPr>
            <w:r w:rsidRPr="00EA39B6">
              <w:rPr>
                <w:bCs/>
                <w:sz w:val="24"/>
                <w:szCs w:val="24"/>
              </w:rPr>
              <w:t>Figur</w:t>
            </w:r>
            <w:r>
              <w:rPr>
                <w:bCs/>
                <w:sz w:val="24"/>
                <w:szCs w:val="24"/>
              </w:rPr>
              <w:t> </w:t>
            </w:r>
            <w:r w:rsidRPr="00EA39B6">
              <w:rPr>
                <w:bCs/>
                <w:sz w:val="24"/>
                <w:szCs w:val="24"/>
              </w:rPr>
              <w:t xml:space="preserve">D viser, </w:t>
            </w:r>
            <w:r>
              <w:rPr>
                <w:bCs/>
                <w:sz w:val="24"/>
                <w:szCs w:val="24"/>
              </w:rPr>
              <w:t>hvordan det ser ud, når s</w:t>
            </w:r>
            <w:r w:rsidRPr="00EA39B6">
              <w:rPr>
                <w:bCs/>
                <w:sz w:val="24"/>
                <w:szCs w:val="24"/>
              </w:rPr>
              <w:t xml:space="preserve">ikkerhedskappen </w:t>
            </w:r>
            <w:r w:rsidRPr="00AC562A">
              <w:rPr>
                <w:b/>
                <w:bCs/>
                <w:sz w:val="24"/>
                <w:szCs w:val="24"/>
                <w:u w:val="single"/>
              </w:rPr>
              <w:t>IKKE</w:t>
            </w:r>
            <w:r w:rsidRPr="00EA39B6">
              <w:rPr>
                <w:b/>
                <w:bCs/>
                <w:sz w:val="24"/>
                <w:szCs w:val="24"/>
              </w:rPr>
              <w:t xml:space="preserve"> er fuldstændigt lukket (ikke aktiveret).</w:t>
            </w:r>
          </w:p>
          <w:p w14:paraId="3345FE3C" w14:textId="77777777" w:rsidR="00435FF8" w:rsidRDefault="00435FF8" w:rsidP="001137BF">
            <w:pPr>
              <w:tabs>
                <w:tab w:val="left" w:pos="851"/>
              </w:tabs>
              <w:rPr>
                <w:b/>
                <w:bCs/>
                <w:sz w:val="24"/>
                <w:szCs w:val="24"/>
              </w:rPr>
            </w:pPr>
          </w:p>
          <w:p w14:paraId="1F371D0A" w14:textId="77777777" w:rsidR="00435FF8" w:rsidRPr="00EA39B6" w:rsidRDefault="00435FF8" w:rsidP="001137BF">
            <w:pPr>
              <w:tabs>
                <w:tab w:val="left" w:pos="851"/>
              </w:tabs>
              <w:rPr>
                <w:bCs/>
                <w:sz w:val="24"/>
                <w:szCs w:val="24"/>
              </w:rPr>
            </w:pPr>
          </w:p>
        </w:tc>
        <w:tc>
          <w:tcPr>
            <w:tcW w:w="5380" w:type="dxa"/>
            <w:shd w:val="clear" w:color="auto" w:fill="auto"/>
          </w:tcPr>
          <w:p w14:paraId="2061C8EC" w14:textId="77777777" w:rsidR="00435FF8" w:rsidRPr="00EA39B6" w:rsidRDefault="00435FF8" w:rsidP="001137BF">
            <w:pPr>
              <w:tabs>
                <w:tab w:val="left" w:pos="851"/>
              </w:tabs>
              <w:rPr>
                <w:bCs/>
                <w:sz w:val="24"/>
                <w:szCs w:val="24"/>
              </w:rPr>
            </w:pP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sidR="00BB180C">
              <w:rPr>
                <w:bCs/>
                <w:sz w:val="24"/>
                <w:szCs w:val="24"/>
                <w:lang w:val="en-GB"/>
              </w:rPr>
              <w:fldChar w:fldCharType="begin"/>
            </w:r>
            <w:r w:rsidR="00BB180C">
              <w:rPr>
                <w:bCs/>
                <w:sz w:val="24"/>
                <w:szCs w:val="24"/>
                <w:lang w:val="en-GB"/>
              </w:rPr>
              <w:instrText xml:space="preserve"> </w:instrText>
            </w:r>
            <w:r w:rsidR="00BB180C">
              <w:rPr>
                <w:bCs/>
                <w:sz w:val="24"/>
                <w:szCs w:val="24"/>
                <w:lang w:val="en-GB"/>
              </w:rPr>
              <w:instrText>INCLUDEPICTURE  "cid</w:instrText>
            </w:r>
            <w:r w:rsidR="00BB180C">
              <w:rPr>
                <w:bCs/>
                <w:sz w:val="24"/>
                <w:szCs w:val="24"/>
                <w:lang w:val="en-GB"/>
              </w:rPr>
              <w:instrText>:image001.png@01D95CA1.8DECB290" \* MERGEFORMATINET</w:instrText>
            </w:r>
            <w:r w:rsidR="00BB180C">
              <w:rPr>
                <w:bCs/>
                <w:sz w:val="24"/>
                <w:szCs w:val="24"/>
                <w:lang w:val="en-GB"/>
              </w:rPr>
              <w:instrText xml:space="preserve"> </w:instrText>
            </w:r>
            <w:r w:rsidR="00BB180C">
              <w:rPr>
                <w:bCs/>
                <w:sz w:val="24"/>
                <w:szCs w:val="24"/>
                <w:lang w:val="en-GB"/>
              </w:rPr>
              <w:fldChar w:fldCharType="separate"/>
            </w:r>
            <w:r w:rsidR="00A96C6B">
              <w:rPr>
                <w:bCs/>
                <w:sz w:val="24"/>
                <w:szCs w:val="24"/>
                <w:lang w:val="en-GB"/>
              </w:rPr>
              <w:pict w14:anchorId="2B36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6.25pt">
                  <v:imagedata r:id="rId18" r:href="rId19" cropleft="1000f" cropright="32844f"/>
                </v:shape>
              </w:pict>
            </w:r>
            <w:r w:rsidR="00BB180C">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p>
          <w:p w14:paraId="6265D9BA" w14:textId="77777777" w:rsidR="00435FF8" w:rsidRDefault="00435FF8" w:rsidP="001137BF">
            <w:pPr>
              <w:tabs>
                <w:tab w:val="left" w:pos="851"/>
              </w:tabs>
              <w:rPr>
                <w:bCs/>
                <w:sz w:val="24"/>
                <w:szCs w:val="24"/>
                <w:lang w:val="en-GB"/>
              </w:rPr>
            </w:pPr>
          </w:p>
          <w:p w14:paraId="785EA629" w14:textId="77777777" w:rsidR="00435FF8" w:rsidRDefault="00435FF8" w:rsidP="001137BF">
            <w:pPr>
              <w:tabs>
                <w:tab w:val="left" w:pos="851"/>
              </w:tabs>
              <w:rPr>
                <w:bCs/>
                <w:sz w:val="24"/>
                <w:szCs w:val="24"/>
                <w:lang w:val="en-GB"/>
              </w:rPr>
            </w:pPr>
          </w:p>
          <w:p w14:paraId="62195AD1" w14:textId="77777777" w:rsidR="00435FF8" w:rsidRPr="00EA39B6" w:rsidRDefault="00435FF8" w:rsidP="001137BF">
            <w:pPr>
              <w:tabs>
                <w:tab w:val="left" w:pos="851"/>
              </w:tabs>
              <w:rPr>
                <w:bCs/>
                <w:sz w:val="24"/>
                <w:szCs w:val="24"/>
                <w:lang w:val="en-GB"/>
              </w:rPr>
            </w:pPr>
          </w:p>
          <w:p w14:paraId="01BE01BC" w14:textId="77777777" w:rsidR="00435FF8" w:rsidRPr="00EA39B6" w:rsidRDefault="00435FF8" w:rsidP="001137BF">
            <w:pPr>
              <w:tabs>
                <w:tab w:val="left" w:pos="851"/>
              </w:tabs>
              <w:rPr>
                <w:bCs/>
                <w:sz w:val="24"/>
                <w:szCs w:val="24"/>
                <w:lang w:val="en-GB"/>
              </w:rPr>
            </w:pP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sidRPr="00EA39B6">
              <w:rPr>
                <w:bCs/>
                <w:sz w:val="24"/>
                <w:szCs w:val="24"/>
                <w:lang w:val="en-GB"/>
              </w:rPr>
              <w:fldChar w:fldCharType="begin"/>
            </w:r>
            <w:r w:rsidRPr="00EA39B6">
              <w:rPr>
                <w:bCs/>
                <w:sz w:val="24"/>
                <w:szCs w:val="24"/>
                <w:lang w:val="en-GB"/>
              </w:rPr>
              <w:instrText xml:space="preserve"> INCLUDEPICTURE  "cid:image001.png@01D95CA1.8DECB290" \* MERGEFORMATINET </w:instrText>
            </w:r>
            <w:r w:rsidRPr="00EA39B6">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Pr>
                <w:bCs/>
                <w:sz w:val="24"/>
                <w:szCs w:val="24"/>
                <w:lang w:val="en-GB"/>
              </w:rPr>
              <w:fldChar w:fldCharType="begin"/>
            </w:r>
            <w:r>
              <w:rPr>
                <w:bCs/>
                <w:sz w:val="24"/>
                <w:szCs w:val="24"/>
                <w:lang w:val="en-GB"/>
              </w:rPr>
              <w:instrText xml:space="preserve"> INCLUDEPICTURE  "cid:image001.png@01D95CA1.8DECB290" \* MERGEFORMATINET </w:instrText>
            </w:r>
            <w:r>
              <w:rPr>
                <w:bCs/>
                <w:sz w:val="24"/>
                <w:szCs w:val="24"/>
                <w:lang w:val="en-GB"/>
              </w:rPr>
              <w:fldChar w:fldCharType="separate"/>
            </w:r>
            <w:r w:rsidR="00BB180C">
              <w:rPr>
                <w:bCs/>
                <w:sz w:val="24"/>
                <w:szCs w:val="24"/>
                <w:lang w:val="en-GB"/>
              </w:rPr>
              <w:fldChar w:fldCharType="begin"/>
            </w:r>
            <w:r w:rsidR="00BB180C">
              <w:rPr>
                <w:bCs/>
                <w:sz w:val="24"/>
                <w:szCs w:val="24"/>
                <w:lang w:val="en-GB"/>
              </w:rPr>
              <w:instrText xml:space="preserve"> </w:instrText>
            </w:r>
            <w:r w:rsidR="00BB180C">
              <w:rPr>
                <w:bCs/>
                <w:sz w:val="24"/>
                <w:szCs w:val="24"/>
                <w:lang w:val="en-GB"/>
              </w:rPr>
              <w:instrText>INCLUDEPICTURE  "cid:image001.png@01D95CA1.8DECB290" \* MERGEFORMATINET</w:instrText>
            </w:r>
            <w:r w:rsidR="00BB180C">
              <w:rPr>
                <w:bCs/>
                <w:sz w:val="24"/>
                <w:szCs w:val="24"/>
                <w:lang w:val="en-GB"/>
              </w:rPr>
              <w:instrText xml:space="preserve"> </w:instrText>
            </w:r>
            <w:r w:rsidR="00BB180C">
              <w:rPr>
                <w:bCs/>
                <w:sz w:val="24"/>
                <w:szCs w:val="24"/>
                <w:lang w:val="en-GB"/>
              </w:rPr>
              <w:fldChar w:fldCharType="separate"/>
            </w:r>
            <w:r w:rsidR="00A96C6B">
              <w:rPr>
                <w:bCs/>
                <w:sz w:val="24"/>
                <w:szCs w:val="24"/>
                <w:lang w:val="en-GB"/>
              </w:rPr>
              <w:pict w14:anchorId="556C776B">
                <v:shape id="_x0000_i1026" type="#_x0000_t75" style="width:230.25pt;height:78pt">
                  <v:imagedata r:id="rId18" r:href="rId20" croptop="7904f" cropleft="32692f"/>
                </v:shape>
              </w:pict>
            </w:r>
            <w:r w:rsidR="00BB180C">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Pr>
                <w:bCs/>
                <w:sz w:val="24"/>
                <w:szCs w:val="24"/>
                <w:lang w:val="en-GB"/>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r w:rsidRPr="00EA39B6">
              <w:rPr>
                <w:bCs/>
                <w:sz w:val="24"/>
                <w:szCs w:val="24"/>
              </w:rPr>
              <w:fldChar w:fldCharType="end"/>
            </w:r>
          </w:p>
        </w:tc>
      </w:tr>
      <w:tr w:rsidR="00435FF8" w:rsidRPr="00EA39B6" w14:paraId="5BC628C2" w14:textId="77777777" w:rsidTr="001137BF">
        <w:tc>
          <w:tcPr>
            <w:tcW w:w="8782" w:type="dxa"/>
            <w:gridSpan w:val="2"/>
            <w:shd w:val="clear" w:color="auto" w:fill="auto"/>
          </w:tcPr>
          <w:p w14:paraId="6DE3EB48" w14:textId="77777777" w:rsidR="00435FF8" w:rsidRPr="001137BF" w:rsidRDefault="00435FF8" w:rsidP="001137BF">
            <w:pPr>
              <w:tabs>
                <w:tab w:val="left" w:pos="851"/>
              </w:tabs>
              <w:rPr>
                <w:bCs/>
                <w:sz w:val="24"/>
                <w:szCs w:val="24"/>
              </w:rPr>
            </w:pPr>
            <w:r w:rsidRPr="00EA39B6">
              <w:rPr>
                <w:b/>
                <w:bCs/>
                <w:sz w:val="24"/>
                <w:szCs w:val="24"/>
              </w:rPr>
              <w:t xml:space="preserve">Advarsel: Forsøg ikke at åbne (deaktivere) sikkerhedsanordningen ved at </w:t>
            </w:r>
            <w:r>
              <w:rPr>
                <w:b/>
                <w:bCs/>
                <w:sz w:val="24"/>
                <w:szCs w:val="24"/>
              </w:rPr>
              <w:t>tvinge</w:t>
            </w:r>
            <w:r w:rsidRPr="00EA39B6">
              <w:rPr>
                <w:b/>
                <w:bCs/>
                <w:sz w:val="24"/>
                <w:szCs w:val="24"/>
              </w:rPr>
              <w:t xml:space="preserve"> kanylen ud af sikkerhedskappen.</w:t>
            </w:r>
          </w:p>
        </w:tc>
      </w:tr>
    </w:tbl>
    <w:p w14:paraId="5C168134" w14:textId="77777777" w:rsidR="00435FF8" w:rsidRPr="002E6FEB" w:rsidRDefault="00435FF8" w:rsidP="00435FF8">
      <w:pPr>
        <w:tabs>
          <w:tab w:val="left" w:pos="851"/>
        </w:tabs>
        <w:ind w:left="851"/>
        <w:rPr>
          <w:bCs/>
          <w:sz w:val="24"/>
          <w:szCs w:val="24"/>
        </w:rPr>
      </w:pPr>
    </w:p>
    <w:p w14:paraId="666782DA" w14:textId="77777777" w:rsidR="00435FF8" w:rsidRPr="00AF302A" w:rsidRDefault="00435FF8" w:rsidP="00435FF8">
      <w:pPr>
        <w:keepNext/>
        <w:tabs>
          <w:tab w:val="left" w:pos="851"/>
        </w:tabs>
        <w:ind w:left="851"/>
        <w:rPr>
          <w:bCs/>
          <w:sz w:val="24"/>
          <w:szCs w:val="24"/>
          <w:u w:val="single"/>
        </w:rPr>
      </w:pPr>
      <w:r w:rsidRPr="00AF302A">
        <w:rPr>
          <w:sz w:val="24"/>
          <w:szCs w:val="24"/>
          <w:u w:val="single"/>
        </w:rPr>
        <w:t>Bortskaffelse</w:t>
      </w:r>
    </w:p>
    <w:p w14:paraId="2C13D2AB" w14:textId="77777777" w:rsidR="00435FF8" w:rsidRPr="00AF302A" w:rsidRDefault="00435FF8" w:rsidP="00435FF8">
      <w:pPr>
        <w:keepNext/>
        <w:tabs>
          <w:tab w:val="left" w:pos="851"/>
        </w:tabs>
        <w:ind w:left="851"/>
        <w:rPr>
          <w:bCs/>
          <w:sz w:val="24"/>
          <w:szCs w:val="24"/>
          <w:u w:val="single"/>
        </w:rPr>
      </w:pPr>
    </w:p>
    <w:p w14:paraId="0F85AC10" w14:textId="77777777" w:rsidR="00435FF8" w:rsidRPr="00AF302A" w:rsidRDefault="00435FF8" w:rsidP="00435FF8">
      <w:pPr>
        <w:keepNext/>
        <w:tabs>
          <w:tab w:val="left" w:pos="851"/>
        </w:tabs>
        <w:ind w:left="851"/>
        <w:rPr>
          <w:sz w:val="24"/>
          <w:szCs w:val="24"/>
        </w:rPr>
      </w:pPr>
      <w:r w:rsidRPr="00AF302A">
        <w:rPr>
          <w:sz w:val="24"/>
          <w:szCs w:val="24"/>
        </w:rPr>
        <w:t>Ikke anvendt lægemiddel samt affald heraf skal bortskaffes i henhold til lokale retningslinjer.</w:t>
      </w:r>
    </w:p>
    <w:p w14:paraId="16268F4C" w14:textId="77777777" w:rsidR="00435FF8" w:rsidRPr="00AF302A" w:rsidRDefault="00435FF8" w:rsidP="00435FF8">
      <w:pPr>
        <w:tabs>
          <w:tab w:val="left" w:pos="851"/>
        </w:tabs>
        <w:ind w:left="851"/>
        <w:rPr>
          <w:sz w:val="24"/>
          <w:szCs w:val="24"/>
        </w:rPr>
      </w:pPr>
    </w:p>
    <w:p w14:paraId="605413E6" w14:textId="77777777" w:rsidR="00435FF8" w:rsidRPr="00AF302A" w:rsidRDefault="00435FF8" w:rsidP="00435FF8">
      <w:pPr>
        <w:tabs>
          <w:tab w:val="left" w:pos="851"/>
        </w:tabs>
        <w:ind w:left="851"/>
        <w:rPr>
          <w:sz w:val="24"/>
          <w:szCs w:val="24"/>
        </w:rPr>
      </w:pPr>
      <w:r w:rsidRPr="00AF302A">
        <w:rPr>
          <w:sz w:val="24"/>
          <w:szCs w:val="24"/>
        </w:rPr>
        <w:t>Hætterne må ikke genpåsættes på kanylerne.</w:t>
      </w:r>
    </w:p>
    <w:p w14:paraId="11391A7C" w14:textId="77777777" w:rsidR="009260DE" w:rsidRPr="00AF302A" w:rsidRDefault="009260DE" w:rsidP="000730CA">
      <w:pPr>
        <w:tabs>
          <w:tab w:val="left" w:pos="851"/>
        </w:tabs>
        <w:ind w:left="851"/>
        <w:rPr>
          <w:sz w:val="24"/>
          <w:szCs w:val="24"/>
        </w:rPr>
      </w:pPr>
    </w:p>
    <w:p w14:paraId="56B9D220" w14:textId="77777777" w:rsidR="009260DE" w:rsidRPr="00AF302A" w:rsidRDefault="009260DE" w:rsidP="009260DE">
      <w:pPr>
        <w:tabs>
          <w:tab w:val="left" w:pos="851"/>
        </w:tabs>
        <w:ind w:left="851" w:hanging="851"/>
        <w:rPr>
          <w:b/>
          <w:sz w:val="24"/>
          <w:szCs w:val="24"/>
        </w:rPr>
      </w:pPr>
      <w:r w:rsidRPr="00AF302A">
        <w:rPr>
          <w:b/>
          <w:sz w:val="24"/>
          <w:szCs w:val="24"/>
        </w:rPr>
        <w:t>7.</w:t>
      </w:r>
      <w:r w:rsidRPr="00AF302A">
        <w:rPr>
          <w:b/>
          <w:sz w:val="24"/>
          <w:szCs w:val="24"/>
        </w:rPr>
        <w:tab/>
        <w:t>INDEHAVER AF MARKEDSFØRINGSTILLADELSEN</w:t>
      </w:r>
    </w:p>
    <w:p w14:paraId="57C0D6CC" w14:textId="2C033173" w:rsidR="00BB180C" w:rsidRPr="00BB180C" w:rsidRDefault="00BB180C" w:rsidP="00BB180C">
      <w:pPr>
        <w:tabs>
          <w:tab w:val="left" w:pos="0"/>
          <w:tab w:val="left" w:pos="851"/>
        </w:tabs>
        <w:ind w:left="850" w:hanging="850"/>
        <w:jc w:val="both"/>
        <w:rPr>
          <w:spacing w:val="-3"/>
          <w:sz w:val="24"/>
          <w:szCs w:val="24"/>
          <w:lang w:val="en-US"/>
        </w:rPr>
      </w:pPr>
      <w:r>
        <w:rPr>
          <w:spacing w:val="-3"/>
          <w:sz w:val="24"/>
          <w:szCs w:val="24"/>
          <w:lang w:val="en-US"/>
        </w:rPr>
        <w:tab/>
      </w:r>
      <w:r w:rsidRPr="00BB180C">
        <w:rPr>
          <w:spacing w:val="-3"/>
          <w:sz w:val="24"/>
          <w:szCs w:val="24"/>
          <w:lang w:val="en-US"/>
        </w:rPr>
        <w:t xml:space="preserve">Sanofi Winthrop </w:t>
      </w:r>
      <w:proofErr w:type="spellStart"/>
      <w:r w:rsidRPr="00BB180C">
        <w:rPr>
          <w:spacing w:val="-3"/>
          <w:sz w:val="24"/>
          <w:szCs w:val="24"/>
          <w:lang w:val="en-US"/>
        </w:rPr>
        <w:t>Industrie</w:t>
      </w:r>
      <w:proofErr w:type="spellEnd"/>
      <w:r w:rsidRPr="00BB180C">
        <w:rPr>
          <w:spacing w:val="-3"/>
          <w:sz w:val="24"/>
          <w:szCs w:val="24"/>
          <w:lang w:val="en-US"/>
        </w:rPr>
        <w:t xml:space="preserve"> </w:t>
      </w:r>
    </w:p>
    <w:p w14:paraId="1BFD2D2C" w14:textId="77777777" w:rsidR="00BB180C" w:rsidRPr="00BB180C" w:rsidRDefault="00BB180C" w:rsidP="00BB180C">
      <w:pPr>
        <w:tabs>
          <w:tab w:val="left" w:pos="0"/>
          <w:tab w:val="left" w:pos="851"/>
        </w:tabs>
        <w:ind w:left="850" w:hanging="850"/>
        <w:jc w:val="both"/>
        <w:rPr>
          <w:spacing w:val="-3"/>
          <w:sz w:val="24"/>
          <w:szCs w:val="24"/>
          <w:lang w:val="en-US"/>
        </w:rPr>
      </w:pPr>
      <w:r w:rsidRPr="00BB180C">
        <w:rPr>
          <w:spacing w:val="-3"/>
          <w:sz w:val="24"/>
          <w:szCs w:val="24"/>
          <w:lang w:val="en-US"/>
        </w:rPr>
        <w:tab/>
        <w:t xml:space="preserve">82 Avenue </w:t>
      </w:r>
      <w:proofErr w:type="spellStart"/>
      <w:r w:rsidRPr="00BB180C">
        <w:rPr>
          <w:spacing w:val="-3"/>
          <w:sz w:val="24"/>
          <w:szCs w:val="24"/>
          <w:lang w:val="en-US"/>
        </w:rPr>
        <w:t>Raspail</w:t>
      </w:r>
      <w:proofErr w:type="spellEnd"/>
      <w:r w:rsidRPr="00BB180C">
        <w:rPr>
          <w:spacing w:val="-3"/>
          <w:sz w:val="24"/>
          <w:szCs w:val="24"/>
          <w:lang w:val="en-US"/>
        </w:rPr>
        <w:t xml:space="preserve"> </w:t>
      </w:r>
    </w:p>
    <w:p w14:paraId="5ABABB63" w14:textId="77777777" w:rsidR="00BB180C" w:rsidRPr="00BB180C" w:rsidRDefault="00BB180C" w:rsidP="00BB180C">
      <w:pPr>
        <w:tabs>
          <w:tab w:val="left" w:pos="0"/>
          <w:tab w:val="left" w:pos="851"/>
        </w:tabs>
        <w:ind w:left="850" w:hanging="850"/>
        <w:jc w:val="both"/>
        <w:rPr>
          <w:spacing w:val="-3"/>
          <w:sz w:val="24"/>
          <w:szCs w:val="24"/>
          <w:lang w:val="en-US"/>
        </w:rPr>
      </w:pPr>
      <w:r w:rsidRPr="00BB180C">
        <w:rPr>
          <w:spacing w:val="-3"/>
          <w:sz w:val="24"/>
          <w:szCs w:val="24"/>
          <w:lang w:val="en-US"/>
        </w:rPr>
        <w:tab/>
        <w:t>94250 Gentilly</w:t>
      </w:r>
    </w:p>
    <w:p w14:paraId="2981C3B5" w14:textId="77777777" w:rsidR="009C0072" w:rsidRPr="00AF302A" w:rsidRDefault="009C0072" w:rsidP="00AF302A">
      <w:pPr>
        <w:ind w:left="851"/>
        <w:rPr>
          <w:sz w:val="24"/>
          <w:szCs w:val="24"/>
          <w:lang w:val="nb-NO"/>
        </w:rPr>
      </w:pPr>
      <w:r w:rsidRPr="00AF302A">
        <w:rPr>
          <w:sz w:val="24"/>
          <w:szCs w:val="24"/>
          <w:lang w:val="nb-NO"/>
        </w:rPr>
        <w:t>Frankrig</w:t>
      </w:r>
    </w:p>
    <w:p w14:paraId="723DB804" w14:textId="77777777" w:rsidR="009C0072" w:rsidRPr="00AF302A" w:rsidRDefault="009C0072" w:rsidP="00AF302A">
      <w:pPr>
        <w:ind w:left="851"/>
        <w:rPr>
          <w:sz w:val="24"/>
          <w:szCs w:val="24"/>
        </w:rPr>
      </w:pPr>
    </w:p>
    <w:p w14:paraId="44C9534F" w14:textId="77777777" w:rsidR="009C0072" w:rsidRPr="00AF302A" w:rsidRDefault="009C0072" w:rsidP="00AF302A">
      <w:pPr>
        <w:ind w:left="851"/>
        <w:rPr>
          <w:b/>
          <w:sz w:val="24"/>
          <w:szCs w:val="24"/>
        </w:rPr>
      </w:pPr>
      <w:r w:rsidRPr="00AF302A">
        <w:rPr>
          <w:b/>
          <w:sz w:val="24"/>
          <w:szCs w:val="24"/>
        </w:rPr>
        <w:t>Repræsentant</w:t>
      </w:r>
    </w:p>
    <w:p w14:paraId="7A8DE03A" w14:textId="77777777" w:rsidR="009C0072" w:rsidRPr="00AF302A" w:rsidRDefault="009C0072" w:rsidP="00AF302A">
      <w:pPr>
        <w:ind w:left="851"/>
        <w:rPr>
          <w:sz w:val="24"/>
          <w:szCs w:val="24"/>
        </w:rPr>
      </w:pPr>
      <w:proofErr w:type="spellStart"/>
      <w:r w:rsidRPr="00AF302A">
        <w:rPr>
          <w:sz w:val="24"/>
          <w:szCs w:val="24"/>
        </w:rPr>
        <w:t>Sanofi</w:t>
      </w:r>
      <w:proofErr w:type="spellEnd"/>
      <w:r w:rsidRPr="00AF302A">
        <w:rPr>
          <w:sz w:val="24"/>
          <w:szCs w:val="24"/>
        </w:rPr>
        <w:t xml:space="preserve"> A/S</w:t>
      </w:r>
    </w:p>
    <w:p w14:paraId="2FE00BCE" w14:textId="77777777" w:rsidR="009C0072" w:rsidRPr="00AF302A" w:rsidRDefault="009C0072" w:rsidP="00AF302A">
      <w:pPr>
        <w:ind w:left="851"/>
        <w:rPr>
          <w:sz w:val="24"/>
          <w:szCs w:val="24"/>
        </w:rPr>
      </w:pPr>
      <w:r w:rsidRPr="00AF302A">
        <w:rPr>
          <w:sz w:val="24"/>
          <w:szCs w:val="24"/>
        </w:rPr>
        <w:t>Lyngbyvej 2</w:t>
      </w:r>
    </w:p>
    <w:p w14:paraId="4131A5B1" w14:textId="77777777" w:rsidR="009C0072" w:rsidRPr="00AF302A" w:rsidRDefault="009C0072" w:rsidP="00AF302A">
      <w:pPr>
        <w:ind w:left="851"/>
        <w:rPr>
          <w:sz w:val="24"/>
          <w:szCs w:val="24"/>
        </w:rPr>
      </w:pPr>
      <w:r w:rsidRPr="00AF302A">
        <w:rPr>
          <w:sz w:val="24"/>
          <w:szCs w:val="24"/>
        </w:rPr>
        <w:t>2100 København Ø</w:t>
      </w:r>
    </w:p>
    <w:p w14:paraId="28AE588F" w14:textId="77777777" w:rsidR="009C0072" w:rsidRPr="00AF302A" w:rsidRDefault="009C0072" w:rsidP="009C0072">
      <w:pPr>
        <w:tabs>
          <w:tab w:val="left" w:pos="851"/>
        </w:tabs>
        <w:ind w:left="851"/>
        <w:rPr>
          <w:sz w:val="24"/>
          <w:szCs w:val="24"/>
        </w:rPr>
      </w:pPr>
    </w:p>
    <w:p w14:paraId="2DA99010" w14:textId="77777777" w:rsidR="009260DE" w:rsidRPr="00AF302A" w:rsidRDefault="009260DE" w:rsidP="009260DE">
      <w:pPr>
        <w:tabs>
          <w:tab w:val="left" w:pos="851"/>
        </w:tabs>
        <w:ind w:left="851" w:hanging="851"/>
        <w:rPr>
          <w:b/>
          <w:sz w:val="24"/>
          <w:szCs w:val="24"/>
        </w:rPr>
      </w:pPr>
      <w:r w:rsidRPr="00AF302A">
        <w:rPr>
          <w:b/>
          <w:sz w:val="24"/>
          <w:szCs w:val="24"/>
        </w:rPr>
        <w:t>8.</w:t>
      </w:r>
      <w:r w:rsidRPr="00AF302A">
        <w:rPr>
          <w:b/>
          <w:sz w:val="24"/>
          <w:szCs w:val="24"/>
        </w:rPr>
        <w:tab/>
        <w:t>MARKEDSFØRINGSTILLADELSESNUMMER (</w:t>
      </w:r>
      <w:r w:rsidR="00BF6243" w:rsidRPr="00AF302A">
        <w:rPr>
          <w:b/>
          <w:sz w:val="24"/>
          <w:szCs w:val="24"/>
        </w:rPr>
        <w:t>-</w:t>
      </w:r>
      <w:r w:rsidRPr="00AF302A">
        <w:rPr>
          <w:b/>
          <w:sz w:val="24"/>
          <w:szCs w:val="24"/>
        </w:rPr>
        <w:t>NUMRE)</w:t>
      </w:r>
    </w:p>
    <w:p w14:paraId="5D087B1F" w14:textId="567461AD" w:rsidR="009260DE" w:rsidRPr="00AF302A" w:rsidRDefault="00F41562" w:rsidP="009260DE">
      <w:pPr>
        <w:tabs>
          <w:tab w:val="left" w:pos="851"/>
        </w:tabs>
        <w:ind w:left="851"/>
        <w:rPr>
          <w:sz w:val="24"/>
          <w:szCs w:val="24"/>
        </w:rPr>
      </w:pPr>
      <w:r w:rsidRPr="00AF302A">
        <w:rPr>
          <w:sz w:val="24"/>
          <w:szCs w:val="24"/>
        </w:rPr>
        <w:t>68423</w:t>
      </w:r>
    </w:p>
    <w:p w14:paraId="29682EC7" w14:textId="77777777" w:rsidR="009260DE" w:rsidRPr="00AF302A" w:rsidRDefault="009260DE" w:rsidP="009260DE">
      <w:pPr>
        <w:tabs>
          <w:tab w:val="left" w:pos="851"/>
        </w:tabs>
        <w:ind w:left="851"/>
        <w:jc w:val="both"/>
        <w:rPr>
          <w:sz w:val="24"/>
          <w:szCs w:val="24"/>
        </w:rPr>
      </w:pPr>
    </w:p>
    <w:p w14:paraId="1CD74BF5" w14:textId="77777777" w:rsidR="009260DE" w:rsidRPr="00AF302A" w:rsidRDefault="009260DE" w:rsidP="009260DE">
      <w:pPr>
        <w:tabs>
          <w:tab w:val="left" w:pos="851"/>
        </w:tabs>
        <w:ind w:left="851" w:hanging="851"/>
        <w:rPr>
          <w:b/>
          <w:sz w:val="24"/>
          <w:szCs w:val="24"/>
        </w:rPr>
      </w:pPr>
      <w:r w:rsidRPr="00AF302A">
        <w:rPr>
          <w:b/>
          <w:sz w:val="24"/>
          <w:szCs w:val="24"/>
        </w:rPr>
        <w:t>9.</w:t>
      </w:r>
      <w:r w:rsidRPr="00AF302A">
        <w:rPr>
          <w:b/>
          <w:sz w:val="24"/>
          <w:szCs w:val="24"/>
        </w:rPr>
        <w:tab/>
        <w:t>DATO FOR FØRSTE MARKEDSFØRINGSTILLADELSE</w:t>
      </w:r>
    </w:p>
    <w:p w14:paraId="0A89AA4F" w14:textId="5FAA2729" w:rsidR="009260DE" w:rsidRPr="00AF302A" w:rsidRDefault="0045686C" w:rsidP="009260DE">
      <w:pPr>
        <w:tabs>
          <w:tab w:val="left" w:pos="851"/>
        </w:tabs>
        <w:ind w:left="851"/>
        <w:rPr>
          <w:sz w:val="24"/>
          <w:szCs w:val="24"/>
        </w:rPr>
      </w:pPr>
      <w:r>
        <w:rPr>
          <w:sz w:val="24"/>
          <w:szCs w:val="24"/>
        </w:rPr>
        <w:t>23. juni 2023</w:t>
      </w:r>
    </w:p>
    <w:p w14:paraId="5E5743EE" w14:textId="77777777" w:rsidR="009260DE" w:rsidRPr="00AF302A" w:rsidRDefault="009260DE" w:rsidP="009260DE">
      <w:pPr>
        <w:tabs>
          <w:tab w:val="left" w:pos="851"/>
        </w:tabs>
        <w:ind w:left="851"/>
        <w:rPr>
          <w:sz w:val="24"/>
          <w:szCs w:val="24"/>
        </w:rPr>
      </w:pPr>
    </w:p>
    <w:p w14:paraId="54D5FA3F" w14:textId="77777777" w:rsidR="009260DE" w:rsidRPr="00AF302A" w:rsidRDefault="009260DE" w:rsidP="009260DE">
      <w:pPr>
        <w:tabs>
          <w:tab w:val="left" w:pos="851"/>
        </w:tabs>
        <w:ind w:left="851" w:hanging="851"/>
        <w:rPr>
          <w:b/>
          <w:sz w:val="24"/>
          <w:szCs w:val="24"/>
        </w:rPr>
      </w:pPr>
      <w:r w:rsidRPr="00AF302A">
        <w:rPr>
          <w:b/>
          <w:sz w:val="24"/>
          <w:szCs w:val="24"/>
        </w:rPr>
        <w:t>10.</w:t>
      </w:r>
      <w:r w:rsidRPr="00AF302A">
        <w:rPr>
          <w:b/>
          <w:sz w:val="24"/>
          <w:szCs w:val="24"/>
        </w:rPr>
        <w:tab/>
        <w:t>DATO FOR ÆNDRING AF TEKSTEN</w:t>
      </w:r>
    </w:p>
    <w:p w14:paraId="2FEE153C" w14:textId="1DAF6292" w:rsidR="009260DE" w:rsidRPr="00AF302A" w:rsidRDefault="00BB180C" w:rsidP="009260DE">
      <w:pPr>
        <w:tabs>
          <w:tab w:val="left" w:pos="851"/>
        </w:tabs>
        <w:ind w:left="851"/>
        <w:rPr>
          <w:sz w:val="24"/>
          <w:szCs w:val="24"/>
        </w:rPr>
      </w:pPr>
      <w:r>
        <w:rPr>
          <w:sz w:val="24"/>
          <w:szCs w:val="24"/>
        </w:rPr>
        <w:t>3</w:t>
      </w:r>
      <w:r w:rsidR="00421AFA">
        <w:rPr>
          <w:sz w:val="24"/>
          <w:szCs w:val="24"/>
        </w:rPr>
        <w:t xml:space="preserve">. </w:t>
      </w:r>
      <w:r>
        <w:rPr>
          <w:sz w:val="24"/>
          <w:szCs w:val="24"/>
        </w:rPr>
        <w:t>marts</w:t>
      </w:r>
      <w:r w:rsidR="00421AFA">
        <w:rPr>
          <w:sz w:val="24"/>
          <w:szCs w:val="24"/>
        </w:rPr>
        <w:t xml:space="preserve"> 202</w:t>
      </w:r>
      <w:r w:rsidR="00435FF8">
        <w:rPr>
          <w:sz w:val="24"/>
          <w:szCs w:val="24"/>
        </w:rPr>
        <w:t>5</w:t>
      </w:r>
    </w:p>
    <w:sectPr w:rsidR="009260DE" w:rsidRPr="00AF302A" w:rsidSect="00A1617F">
      <w:footerReference w:type="default" r:id="rId21"/>
      <w:footerReference w:type="first" r:id="rId22"/>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A794" w14:textId="77777777" w:rsidR="009C0072" w:rsidRDefault="009C0072">
      <w:r>
        <w:separator/>
      </w:r>
    </w:p>
  </w:endnote>
  <w:endnote w:type="continuationSeparator" w:id="0">
    <w:p w14:paraId="5C9B9903" w14:textId="77777777" w:rsidR="009C0072" w:rsidRDefault="009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150D" w14:textId="77777777" w:rsidR="009C0072" w:rsidRDefault="009C0072">
    <w:pPr>
      <w:pStyle w:val="Sidefod"/>
      <w:pBdr>
        <w:bottom w:val="single" w:sz="6" w:space="1" w:color="auto"/>
      </w:pBdr>
    </w:pPr>
  </w:p>
  <w:p w14:paraId="0F346732" w14:textId="77777777" w:rsidR="009C0072" w:rsidRDefault="009C0072" w:rsidP="00C42586">
    <w:pPr>
      <w:pStyle w:val="Sidefod"/>
      <w:tabs>
        <w:tab w:val="clear" w:pos="4819"/>
        <w:tab w:val="left" w:pos="8505"/>
      </w:tabs>
      <w:rPr>
        <w:i/>
        <w:sz w:val="18"/>
        <w:szCs w:val="18"/>
      </w:rPr>
    </w:pPr>
  </w:p>
  <w:p w14:paraId="6867A9FA" w14:textId="3A1D03AB" w:rsidR="009C0072" w:rsidRPr="00B373D7" w:rsidRDefault="009C007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B2530">
      <w:rPr>
        <w:i/>
        <w:noProof/>
        <w:sz w:val="18"/>
        <w:szCs w:val="18"/>
      </w:rPr>
      <w:t>Triaxis, injektionsvæske, suspension i fyldt injektionssprøjte.docx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DA5F" w14:textId="77777777" w:rsidR="001B2530" w:rsidRDefault="001B2530" w:rsidP="001B2530">
    <w:pPr>
      <w:pStyle w:val="Sidefod"/>
      <w:pBdr>
        <w:bottom w:val="single" w:sz="6" w:space="1" w:color="auto"/>
      </w:pBdr>
    </w:pPr>
  </w:p>
  <w:p w14:paraId="02E47743" w14:textId="77777777" w:rsidR="001B2530" w:rsidRDefault="001B2530" w:rsidP="001B2530">
    <w:pPr>
      <w:pStyle w:val="Sidefod"/>
      <w:tabs>
        <w:tab w:val="clear" w:pos="4819"/>
        <w:tab w:val="left" w:pos="8505"/>
      </w:tabs>
      <w:rPr>
        <w:i/>
        <w:sz w:val="18"/>
        <w:szCs w:val="18"/>
      </w:rPr>
    </w:pPr>
  </w:p>
  <w:p w14:paraId="4A1E204D" w14:textId="73518AE1" w:rsidR="00A1617F" w:rsidRPr="001B2530" w:rsidRDefault="001B2530" w:rsidP="001B2530">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Pr>
        <w:i/>
        <w:noProof/>
        <w:sz w:val="18"/>
        <w:szCs w:val="18"/>
      </w:rPr>
      <w:t>Triaxis, injektionsvæske, suspension i fyldt injektionssprøjte.docx</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DCA9" w14:textId="77777777" w:rsidR="009C0072" w:rsidRDefault="009C0072">
      <w:r>
        <w:separator/>
      </w:r>
    </w:p>
  </w:footnote>
  <w:footnote w:type="continuationSeparator" w:id="0">
    <w:p w14:paraId="01637176" w14:textId="77777777" w:rsidR="009C0072" w:rsidRDefault="009C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2400E7"/>
    <w:multiLevelType w:val="hybridMultilevel"/>
    <w:tmpl w:val="7BBC6B94"/>
    <w:lvl w:ilvl="0" w:tplc="FFFFFFFF">
      <w:start w:val="1"/>
      <w:numFmt w:val="bullet"/>
      <w:lvlText w:val=""/>
      <w:lvlJc w:val="left"/>
      <w:pPr>
        <w:ind w:left="2880" w:hanging="360"/>
      </w:pPr>
      <w:rPr>
        <w:rFonts w:ascii="Symbol" w:hAnsi="Symbol" w:hint="default"/>
      </w:rPr>
    </w:lvl>
    <w:lvl w:ilvl="1" w:tplc="FFFFFFFF">
      <w:start w:val="1"/>
      <w:numFmt w:val="bullet"/>
      <w:lvlText w:val="o"/>
      <w:lvlJc w:val="left"/>
      <w:pPr>
        <w:ind w:left="3600" w:hanging="360"/>
      </w:pPr>
      <w:rPr>
        <w:rFonts w:ascii="Courier New" w:hAnsi="Courier New" w:cs="Courier New" w:hint="default"/>
      </w:rPr>
    </w:lvl>
    <w:lvl w:ilvl="2" w:tplc="FFFFFFFF">
      <w:start w:val="1"/>
      <w:numFmt w:val="bullet"/>
      <w:lvlText w:val=""/>
      <w:lvlJc w:val="left"/>
      <w:pPr>
        <w:ind w:left="4320" w:hanging="360"/>
      </w:pPr>
      <w:rPr>
        <w:rFonts w:ascii="Wingdings" w:hAnsi="Wingdings" w:hint="default"/>
      </w:rPr>
    </w:lvl>
    <w:lvl w:ilvl="3" w:tplc="FFFFFFFF">
      <w:start w:val="1"/>
      <w:numFmt w:val="bullet"/>
      <w:lvlText w:val=""/>
      <w:lvlJc w:val="left"/>
      <w:pPr>
        <w:ind w:left="5040" w:hanging="360"/>
      </w:pPr>
      <w:rPr>
        <w:rFonts w:ascii="Symbol" w:hAnsi="Symbol" w:hint="default"/>
      </w:rPr>
    </w:lvl>
    <w:lvl w:ilvl="4" w:tplc="FFFFFFFF">
      <w:start w:val="1"/>
      <w:numFmt w:val="bullet"/>
      <w:lvlText w:val="o"/>
      <w:lvlJc w:val="left"/>
      <w:pPr>
        <w:ind w:left="5760" w:hanging="360"/>
      </w:pPr>
      <w:rPr>
        <w:rFonts w:ascii="Courier New" w:hAnsi="Courier New" w:cs="Courier New" w:hint="default"/>
      </w:rPr>
    </w:lvl>
    <w:lvl w:ilvl="5" w:tplc="FFFFFFFF">
      <w:start w:val="1"/>
      <w:numFmt w:val="bullet"/>
      <w:lvlText w:val=""/>
      <w:lvlJc w:val="left"/>
      <w:pPr>
        <w:ind w:left="6480" w:hanging="360"/>
      </w:pPr>
      <w:rPr>
        <w:rFonts w:ascii="Wingdings" w:hAnsi="Wingdings" w:hint="default"/>
      </w:rPr>
    </w:lvl>
    <w:lvl w:ilvl="6" w:tplc="FFFFFFFF">
      <w:start w:val="1"/>
      <w:numFmt w:val="bullet"/>
      <w:lvlText w:val=""/>
      <w:lvlJc w:val="left"/>
      <w:pPr>
        <w:ind w:left="7200" w:hanging="360"/>
      </w:pPr>
      <w:rPr>
        <w:rFonts w:ascii="Symbol" w:hAnsi="Symbol" w:hint="default"/>
      </w:rPr>
    </w:lvl>
    <w:lvl w:ilvl="7" w:tplc="FFFFFFFF">
      <w:start w:val="1"/>
      <w:numFmt w:val="bullet"/>
      <w:lvlText w:val="o"/>
      <w:lvlJc w:val="left"/>
      <w:pPr>
        <w:ind w:left="7920" w:hanging="360"/>
      </w:pPr>
      <w:rPr>
        <w:rFonts w:ascii="Courier New" w:hAnsi="Courier New" w:cs="Courier New" w:hint="default"/>
      </w:rPr>
    </w:lvl>
    <w:lvl w:ilvl="8" w:tplc="FFFFFFFF">
      <w:start w:val="1"/>
      <w:numFmt w:val="bullet"/>
      <w:lvlText w:val=""/>
      <w:lvlJc w:val="left"/>
      <w:pPr>
        <w:ind w:left="86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EC600A2"/>
    <w:multiLevelType w:val="hybridMultilevel"/>
    <w:tmpl w:val="FE9E784C"/>
    <w:lvl w:ilvl="0" w:tplc="FFFFFFFF">
      <w:start w:val="1"/>
      <w:numFmt w:val="bullet"/>
      <w:lvlText w:val="-"/>
      <w:lvlJc w:val="left"/>
      <w:pPr>
        <w:ind w:left="1211" w:hanging="360"/>
      </w:p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BE"/>
    <w:rsid w:val="0001136D"/>
    <w:rsid w:val="000259B9"/>
    <w:rsid w:val="00041491"/>
    <w:rsid w:val="00050D16"/>
    <w:rsid w:val="00063375"/>
    <w:rsid w:val="000730CA"/>
    <w:rsid w:val="00074F2A"/>
    <w:rsid w:val="000A1CA8"/>
    <w:rsid w:val="000A466B"/>
    <w:rsid w:val="000B058C"/>
    <w:rsid w:val="000D68B0"/>
    <w:rsid w:val="000E4EE6"/>
    <w:rsid w:val="001454E2"/>
    <w:rsid w:val="001B2530"/>
    <w:rsid w:val="00206CE8"/>
    <w:rsid w:val="0021526C"/>
    <w:rsid w:val="00283A2B"/>
    <w:rsid w:val="002B30AD"/>
    <w:rsid w:val="002C1EC0"/>
    <w:rsid w:val="002C2C01"/>
    <w:rsid w:val="003A29AE"/>
    <w:rsid w:val="003A32D7"/>
    <w:rsid w:val="003B4074"/>
    <w:rsid w:val="003C769A"/>
    <w:rsid w:val="003D3A90"/>
    <w:rsid w:val="003F1838"/>
    <w:rsid w:val="00421AFA"/>
    <w:rsid w:val="00435FF8"/>
    <w:rsid w:val="0045686C"/>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8617D"/>
    <w:rsid w:val="00790EE7"/>
    <w:rsid w:val="007B6649"/>
    <w:rsid w:val="0082576E"/>
    <w:rsid w:val="00851ECB"/>
    <w:rsid w:val="0088503A"/>
    <w:rsid w:val="00907F75"/>
    <w:rsid w:val="009260DE"/>
    <w:rsid w:val="0093258A"/>
    <w:rsid w:val="009C0072"/>
    <w:rsid w:val="009C7BA3"/>
    <w:rsid w:val="009D1F5A"/>
    <w:rsid w:val="00A10294"/>
    <w:rsid w:val="00A1617F"/>
    <w:rsid w:val="00A9433E"/>
    <w:rsid w:val="00A96C6B"/>
    <w:rsid w:val="00AF302A"/>
    <w:rsid w:val="00B003BF"/>
    <w:rsid w:val="00B373D7"/>
    <w:rsid w:val="00B55271"/>
    <w:rsid w:val="00B81C42"/>
    <w:rsid w:val="00B84667"/>
    <w:rsid w:val="00BB180C"/>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11CF"/>
    <w:rsid w:val="00D93992"/>
    <w:rsid w:val="00DC3FBE"/>
    <w:rsid w:val="00E108AA"/>
    <w:rsid w:val="00E3749A"/>
    <w:rsid w:val="00E7437F"/>
    <w:rsid w:val="00E865B8"/>
    <w:rsid w:val="00EC0984"/>
    <w:rsid w:val="00EC0B9B"/>
    <w:rsid w:val="00ED5E9F"/>
    <w:rsid w:val="00F41562"/>
    <w:rsid w:val="00F66D4F"/>
    <w:rsid w:val="00F8242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49CC23"/>
  <w15:chartTrackingRefBased/>
  <w15:docId w15:val="{487F4E00-4AE9-4BA1-A7FB-6627AC29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9C0072"/>
    <w:rPr>
      <w:color w:val="0563C1" w:themeColor="hyperlink"/>
      <w:u w:val="single"/>
    </w:rPr>
  </w:style>
  <w:style w:type="paragraph" w:customStyle="1" w:styleId="wcpTableContent">
    <w:name w:val="wcp_TableContent"/>
    <w:basedOn w:val="Normal"/>
    <w:rsid w:val="009C0072"/>
    <w:pPr>
      <w:spacing w:before="40" w:after="40"/>
    </w:pPr>
    <w:rPr>
      <w:sz w:val="22"/>
    </w:rPr>
  </w:style>
  <w:style w:type="paragraph" w:customStyle="1" w:styleId="wcpTableColHeader">
    <w:name w:val="wcp_TableColHeader"/>
    <w:basedOn w:val="Normal"/>
    <w:rsid w:val="009C0072"/>
    <w:pPr>
      <w:keepNext/>
      <w:spacing w:before="120" w:after="120"/>
      <w:jc w:val="center"/>
    </w:pPr>
    <w:rPr>
      <w:b/>
      <w:sz w:val="22"/>
    </w:rPr>
  </w:style>
  <w:style w:type="paragraph" w:styleId="Billedtekst">
    <w:name w:val="caption"/>
    <w:aliases w:val="Légende_Legend,wcp_Caption"/>
    <w:basedOn w:val="Normal"/>
    <w:next w:val="Normal"/>
    <w:semiHidden/>
    <w:unhideWhenUsed/>
    <w:qFormat/>
    <w:rsid w:val="009C0072"/>
    <w:pPr>
      <w:keepNext/>
      <w:spacing w:before="360" w:after="240"/>
    </w:pPr>
    <w:rPr>
      <w:b/>
      <w:sz w:val="24"/>
    </w:rPr>
  </w:style>
  <w:style w:type="paragraph" w:customStyle="1" w:styleId="wcpTableRowHeader">
    <w:name w:val="wcp_TableRowHeader"/>
    <w:basedOn w:val="Normal"/>
    <w:rsid w:val="009C0072"/>
    <w:pPr>
      <w:spacing w:before="40" w:after="40"/>
    </w:pPr>
    <w:rPr>
      <w:b/>
      <w:sz w:val="22"/>
    </w:rPr>
  </w:style>
  <w:style w:type="paragraph" w:customStyle="1" w:styleId="wcpTablenote">
    <w:name w:val="wcp_Tablenote"/>
    <w:basedOn w:val="Fodnotetekst"/>
    <w:rsid w:val="009C0072"/>
    <w:pPr>
      <w:spacing w:before="60"/>
      <w:ind w:left="850" w:hanging="850"/>
    </w:pPr>
  </w:style>
  <w:style w:type="character" w:styleId="Slutnotehenvisning">
    <w:name w:val="endnote reference"/>
    <w:aliases w:val="Ref CAll_Appel Ref,wcpc_EndnoteMark"/>
    <w:semiHidden/>
    <w:unhideWhenUsed/>
    <w:rsid w:val="009C0072"/>
    <w:rPr>
      <w:rFonts w:ascii="Arial" w:hAnsi="Arial" w:cs="Arial" w:hint="default"/>
      <w:strike w:val="0"/>
      <w:dstrike w:val="0"/>
      <w:color w:val="auto"/>
      <w:sz w:val="22"/>
      <w:u w:val="none"/>
      <w:effect w:val="none"/>
      <w:vertAlign w:val="baseline"/>
    </w:rPr>
  </w:style>
  <w:style w:type="paragraph" w:styleId="Fodnotetekst">
    <w:name w:val="footnote text"/>
    <w:basedOn w:val="Normal"/>
    <w:link w:val="FodnotetekstTegn"/>
    <w:uiPriority w:val="99"/>
    <w:semiHidden/>
    <w:unhideWhenUsed/>
    <w:rsid w:val="009C0072"/>
    <w:rPr>
      <w:sz w:val="20"/>
    </w:rPr>
  </w:style>
  <w:style w:type="character" w:customStyle="1" w:styleId="FodnotetekstTegn">
    <w:name w:val="Fodnotetekst Tegn"/>
    <w:basedOn w:val="Standardskrifttypeiafsnit"/>
    <w:link w:val="Fodnotetekst"/>
    <w:uiPriority w:val="99"/>
    <w:semiHidden/>
    <w:rsid w:val="009C0072"/>
    <w:rPr>
      <w:lang w:eastAsia="en-US"/>
    </w:rPr>
  </w:style>
  <w:style w:type="character" w:customStyle="1" w:styleId="SidefodTegn">
    <w:name w:val="Sidefod Tegn"/>
    <w:basedOn w:val="Standardskrifttypeiafsnit"/>
    <w:link w:val="Sidefod"/>
    <w:rsid w:val="001B253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411452">
      <w:bodyDiv w:val="1"/>
      <w:marLeft w:val="0"/>
      <w:marRight w:val="0"/>
      <w:marTop w:val="0"/>
      <w:marBottom w:val="0"/>
      <w:divBdr>
        <w:top w:val="none" w:sz="0" w:space="0" w:color="auto"/>
        <w:left w:val="none" w:sz="0" w:space="0" w:color="auto"/>
        <w:bottom w:val="none" w:sz="0" w:space="0" w:color="auto"/>
        <w:right w:val="none" w:sz="0" w:space="0" w:color="auto"/>
      </w:divBdr>
    </w:div>
    <w:div w:id="322397256">
      <w:bodyDiv w:val="1"/>
      <w:marLeft w:val="0"/>
      <w:marRight w:val="0"/>
      <w:marTop w:val="0"/>
      <w:marBottom w:val="0"/>
      <w:divBdr>
        <w:top w:val="none" w:sz="0" w:space="0" w:color="auto"/>
        <w:left w:val="none" w:sz="0" w:space="0" w:color="auto"/>
        <w:bottom w:val="none" w:sz="0" w:space="0" w:color="auto"/>
        <w:right w:val="none" w:sz="0" w:space="0" w:color="auto"/>
      </w:divBdr>
    </w:div>
    <w:div w:id="375349384">
      <w:bodyDiv w:val="1"/>
      <w:marLeft w:val="0"/>
      <w:marRight w:val="0"/>
      <w:marTop w:val="0"/>
      <w:marBottom w:val="0"/>
      <w:divBdr>
        <w:top w:val="none" w:sz="0" w:space="0" w:color="auto"/>
        <w:left w:val="none" w:sz="0" w:space="0" w:color="auto"/>
        <w:bottom w:val="none" w:sz="0" w:space="0" w:color="auto"/>
        <w:right w:val="none" w:sz="0" w:space="0" w:color="auto"/>
      </w:divBdr>
    </w:div>
    <w:div w:id="387269948">
      <w:bodyDiv w:val="1"/>
      <w:marLeft w:val="0"/>
      <w:marRight w:val="0"/>
      <w:marTop w:val="0"/>
      <w:marBottom w:val="0"/>
      <w:divBdr>
        <w:top w:val="none" w:sz="0" w:space="0" w:color="auto"/>
        <w:left w:val="none" w:sz="0" w:space="0" w:color="auto"/>
        <w:bottom w:val="none" w:sz="0" w:space="0" w:color="auto"/>
        <w:right w:val="none" w:sz="0" w:space="0" w:color="auto"/>
      </w:divBdr>
    </w:div>
    <w:div w:id="472259533">
      <w:bodyDiv w:val="1"/>
      <w:marLeft w:val="0"/>
      <w:marRight w:val="0"/>
      <w:marTop w:val="0"/>
      <w:marBottom w:val="0"/>
      <w:divBdr>
        <w:top w:val="none" w:sz="0" w:space="0" w:color="auto"/>
        <w:left w:val="none" w:sz="0" w:space="0" w:color="auto"/>
        <w:bottom w:val="none" w:sz="0" w:space="0" w:color="auto"/>
        <w:right w:val="none" w:sz="0" w:space="0" w:color="auto"/>
      </w:divBdr>
    </w:div>
    <w:div w:id="514423138">
      <w:bodyDiv w:val="1"/>
      <w:marLeft w:val="0"/>
      <w:marRight w:val="0"/>
      <w:marTop w:val="0"/>
      <w:marBottom w:val="0"/>
      <w:divBdr>
        <w:top w:val="none" w:sz="0" w:space="0" w:color="auto"/>
        <w:left w:val="none" w:sz="0" w:space="0" w:color="auto"/>
        <w:bottom w:val="none" w:sz="0" w:space="0" w:color="auto"/>
        <w:right w:val="none" w:sz="0" w:space="0" w:color="auto"/>
      </w:divBdr>
    </w:div>
    <w:div w:id="517626258">
      <w:bodyDiv w:val="1"/>
      <w:marLeft w:val="0"/>
      <w:marRight w:val="0"/>
      <w:marTop w:val="0"/>
      <w:marBottom w:val="0"/>
      <w:divBdr>
        <w:top w:val="none" w:sz="0" w:space="0" w:color="auto"/>
        <w:left w:val="none" w:sz="0" w:space="0" w:color="auto"/>
        <w:bottom w:val="none" w:sz="0" w:space="0" w:color="auto"/>
        <w:right w:val="none" w:sz="0" w:space="0" w:color="auto"/>
      </w:divBdr>
    </w:div>
    <w:div w:id="914507941">
      <w:bodyDiv w:val="1"/>
      <w:marLeft w:val="0"/>
      <w:marRight w:val="0"/>
      <w:marTop w:val="0"/>
      <w:marBottom w:val="0"/>
      <w:divBdr>
        <w:top w:val="none" w:sz="0" w:space="0" w:color="auto"/>
        <w:left w:val="none" w:sz="0" w:space="0" w:color="auto"/>
        <w:bottom w:val="none" w:sz="0" w:space="0" w:color="auto"/>
        <w:right w:val="none" w:sz="0" w:space="0" w:color="auto"/>
      </w:divBdr>
    </w:div>
    <w:div w:id="914625292">
      <w:bodyDiv w:val="1"/>
      <w:marLeft w:val="0"/>
      <w:marRight w:val="0"/>
      <w:marTop w:val="0"/>
      <w:marBottom w:val="0"/>
      <w:divBdr>
        <w:top w:val="none" w:sz="0" w:space="0" w:color="auto"/>
        <w:left w:val="none" w:sz="0" w:space="0" w:color="auto"/>
        <w:bottom w:val="none" w:sz="0" w:space="0" w:color="auto"/>
        <w:right w:val="none" w:sz="0" w:space="0" w:color="auto"/>
      </w:divBdr>
    </w:div>
    <w:div w:id="1108354819">
      <w:bodyDiv w:val="1"/>
      <w:marLeft w:val="0"/>
      <w:marRight w:val="0"/>
      <w:marTop w:val="0"/>
      <w:marBottom w:val="0"/>
      <w:divBdr>
        <w:top w:val="none" w:sz="0" w:space="0" w:color="auto"/>
        <w:left w:val="none" w:sz="0" w:space="0" w:color="auto"/>
        <w:bottom w:val="none" w:sz="0" w:space="0" w:color="auto"/>
        <w:right w:val="none" w:sz="0" w:space="0" w:color="auto"/>
      </w:divBdr>
    </w:div>
    <w:div w:id="1339312563">
      <w:bodyDiv w:val="1"/>
      <w:marLeft w:val="0"/>
      <w:marRight w:val="0"/>
      <w:marTop w:val="0"/>
      <w:marBottom w:val="0"/>
      <w:divBdr>
        <w:top w:val="none" w:sz="0" w:space="0" w:color="auto"/>
        <w:left w:val="none" w:sz="0" w:space="0" w:color="auto"/>
        <w:bottom w:val="none" w:sz="0" w:space="0" w:color="auto"/>
        <w:right w:val="none" w:sz="0" w:space="0" w:color="auto"/>
      </w:divBdr>
    </w:div>
    <w:div w:id="1351445066">
      <w:bodyDiv w:val="1"/>
      <w:marLeft w:val="0"/>
      <w:marRight w:val="0"/>
      <w:marTop w:val="0"/>
      <w:marBottom w:val="0"/>
      <w:divBdr>
        <w:top w:val="none" w:sz="0" w:space="0" w:color="auto"/>
        <w:left w:val="none" w:sz="0" w:space="0" w:color="auto"/>
        <w:bottom w:val="none" w:sz="0" w:space="0" w:color="auto"/>
        <w:right w:val="none" w:sz="0" w:space="0" w:color="auto"/>
      </w:divBdr>
    </w:div>
    <w:div w:id="1381055260">
      <w:bodyDiv w:val="1"/>
      <w:marLeft w:val="0"/>
      <w:marRight w:val="0"/>
      <w:marTop w:val="0"/>
      <w:marBottom w:val="0"/>
      <w:divBdr>
        <w:top w:val="none" w:sz="0" w:space="0" w:color="auto"/>
        <w:left w:val="none" w:sz="0" w:space="0" w:color="auto"/>
        <w:bottom w:val="none" w:sz="0" w:space="0" w:color="auto"/>
        <w:right w:val="none" w:sz="0" w:space="0" w:color="auto"/>
      </w:divBdr>
    </w:div>
    <w:div w:id="1430152943">
      <w:bodyDiv w:val="1"/>
      <w:marLeft w:val="0"/>
      <w:marRight w:val="0"/>
      <w:marTop w:val="0"/>
      <w:marBottom w:val="0"/>
      <w:divBdr>
        <w:top w:val="none" w:sz="0" w:space="0" w:color="auto"/>
        <w:left w:val="none" w:sz="0" w:space="0" w:color="auto"/>
        <w:bottom w:val="none" w:sz="0" w:space="0" w:color="auto"/>
        <w:right w:val="none" w:sz="0" w:space="0" w:color="auto"/>
      </w:divBdr>
    </w:div>
    <w:div w:id="1518814004">
      <w:bodyDiv w:val="1"/>
      <w:marLeft w:val="0"/>
      <w:marRight w:val="0"/>
      <w:marTop w:val="0"/>
      <w:marBottom w:val="0"/>
      <w:divBdr>
        <w:top w:val="none" w:sz="0" w:space="0" w:color="auto"/>
        <w:left w:val="none" w:sz="0" w:space="0" w:color="auto"/>
        <w:bottom w:val="none" w:sz="0" w:space="0" w:color="auto"/>
        <w:right w:val="none" w:sz="0" w:space="0" w:color="auto"/>
      </w:divBdr>
    </w:div>
    <w:div w:id="1580866536">
      <w:bodyDiv w:val="1"/>
      <w:marLeft w:val="0"/>
      <w:marRight w:val="0"/>
      <w:marTop w:val="0"/>
      <w:marBottom w:val="0"/>
      <w:divBdr>
        <w:top w:val="none" w:sz="0" w:space="0" w:color="auto"/>
        <w:left w:val="none" w:sz="0" w:space="0" w:color="auto"/>
        <w:bottom w:val="none" w:sz="0" w:space="0" w:color="auto"/>
        <w:right w:val="none" w:sz="0" w:space="0" w:color="auto"/>
      </w:divBdr>
    </w:div>
    <w:div w:id="1608737638">
      <w:bodyDiv w:val="1"/>
      <w:marLeft w:val="0"/>
      <w:marRight w:val="0"/>
      <w:marTop w:val="0"/>
      <w:marBottom w:val="0"/>
      <w:divBdr>
        <w:top w:val="none" w:sz="0" w:space="0" w:color="auto"/>
        <w:left w:val="none" w:sz="0" w:space="0" w:color="auto"/>
        <w:bottom w:val="none" w:sz="0" w:space="0" w:color="auto"/>
        <w:right w:val="none" w:sz="0" w:space="0" w:color="auto"/>
      </w:divBdr>
    </w:div>
    <w:div w:id="1783374003">
      <w:bodyDiv w:val="1"/>
      <w:marLeft w:val="0"/>
      <w:marRight w:val="0"/>
      <w:marTop w:val="0"/>
      <w:marBottom w:val="0"/>
      <w:divBdr>
        <w:top w:val="none" w:sz="0" w:space="0" w:color="auto"/>
        <w:left w:val="none" w:sz="0" w:space="0" w:color="auto"/>
        <w:bottom w:val="none" w:sz="0" w:space="0" w:color="auto"/>
        <w:right w:val="none" w:sz="0" w:space="0" w:color="auto"/>
      </w:divBdr>
    </w:div>
    <w:div w:id="1816021964">
      <w:bodyDiv w:val="1"/>
      <w:marLeft w:val="0"/>
      <w:marRight w:val="0"/>
      <w:marTop w:val="0"/>
      <w:marBottom w:val="0"/>
      <w:divBdr>
        <w:top w:val="none" w:sz="0" w:space="0" w:color="auto"/>
        <w:left w:val="none" w:sz="0" w:space="0" w:color="auto"/>
        <w:bottom w:val="none" w:sz="0" w:space="0" w:color="auto"/>
        <w:right w:val="none" w:sz="0" w:space="0" w:color="auto"/>
      </w:divBdr>
    </w:div>
    <w:div w:id="1882135062">
      <w:bodyDiv w:val="1"/>
      <w:marLeft w:val="0"/>
      <w:marRight w:val="0"/>
      <w:marTop w:val="0"/>
      <w:marBottom w:val="0"/>
      <w:divBdr>
        <w:top w:val="none" w:sz="0" w:space="0" w:color="auto"/>
        <w:left w:val="none" w:sz="0" w:space="0" w:color="auto"/>
        <w:bottom w:val="none" w:sz="0" w:space="0" w:color="auto"/>
        <w:right w:val="none" w:sz="0" w:space="0" w:color="auto"/>
      </w:divBdr>
    </w:div>
    <w:div w:id="2079135895">
      <w:bodyDiv w:val="1"/>
      <w:marLeft w:val="0"/>
      <w:marRight w:val="0"/>
      <w:marTop w:val="0"/>
      <w:marBottom w:val="0"/>
      <w:divBdr>
        <w:top w:val="none" w:sz="0" w:space="0" w:color="auto"/>
        <w:left w:val="none" w:sz="0" w:space="0" w:color="auto"/>
        <w:bottom w:val="none" w:sz="0" w:space="0" w:color="auto"/>
        <w:right w:val="none" w:sz="0" w:space="0" w:color="auto"/>
      </w:divBdr>
    </w:div>
    <w:div w:id="2114781193">
      <w:bodyDiv w:val="1"/>
      <w:marLeft w:val="0"/>
      <w:marRight w:val="0"/>
      <w:marTop w:val="0"/>
      <w:marBottom w:val="0"/>
      <w:divBdr>
        <w:top w:val="none" w:sz="0" w:space="0" w:color="auto"/>
        <w:left w:val="none" w:sz="0" w:space="0" w:color="auto"/>
        <w:bottom w:val="none" w:sz="0" w:space="0" w:color="auto"/>
        <w:right w:val="none" w:sz="0" w:space="0" w:color="auto"/>
      </w:divBdr>
    </w:div>
    <w:div w:id="2132897447">
      <w:bodyDiv w:val="1"/>
      <w:marLeft w:val="0"/>
      <w:marRight w:val="0"/>
      <w:marTop w:val="0"/>
      <w:marBottom w:val="0"/>
      <w:divBdr>
        <w:top w:val="none" w:sz="0" w:space="0" w:color="auto"/>
        <w:left w:val="none" w:sz="0" w:space="0" w:color="auto"/>
        <w:bottom w:val="none" w:sz="0" w:space="0" w:color="auto"/>
        <w:right w:val="none" w:sz="0" w:space="0" w:color="auto"/>
      </w:divBdr>
    </w:div>
    <w:div w:id="21417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cid:image001.png@01D95CA1.8DECB2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cid:image001.png@01D95CA1.8DECB2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17</Pages>
  <Words>4620</Words>
  <Characters>32559</Characters>
  <Application>Microsoft Office Word</Application>
  <DocSecurity>0</DocSecurity>
  <Lines>271</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2025010180_x000d_
Skift af MAH fra Sanofi Pasteur</dc:description>
  <cp:lastModifiedBy>Marianne Ott Jensen</cp:lastModifiedBy>
  <cp:revision>3</cp:revision>
  <cp:lastPrinted>2012-08-22T08:53:00Z</cp:lastPrinted>
  <dcterms:created xsi:type="dcterms:W3CDTF">2025-02-28T07:42:00Z</dcterms:created>
  <dcterms:modified xsi:type="dcterms:W3CDTF">2025-02-28T07:45:00Z</dcterms:modified>
</cp:coreProperties>
</file>