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9BEC5" w14:textId="78C2E8DA" w:rsidR="00436F40" w:rsidRPr="00B96C9E" w:rsidRDefault="0021526C" w:rsidP="008D59A9">
      <w:pPr>
        <w:rPr>
          <w:b/>
          <w:szCs w:val="24"/>
        </w:rPr>
      </w:pPr>
      <w:r w:rsidRPr="009260DE">
        <w:rPr>
          <w:noProof/>
          <w:sz w:val="24"/>
          <w:szCs w:val="24"/>
          <w:lang w:eastAsia="da-DK"/>
        </w:rPr>
        <w:drawing>
          <wp:anchor distT="0" distB="0" distL="114300" distR="114300" simplePos="0" relativeHeight="251658240" behindDoc="0" locked="0" layoutInCell="1" allowOverlap="1" wp14:anchorId="43389A6F" wp14:editId="6D8967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91D0505" w14:textId="3DA58F2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70F84">
        <w:rPr>
          <w:szCs w:val="24"/>
        </w:rPr>
        <w:t>3</w:t>
      </w:r>
      <w:r w:rsidR="009825BA">
        <w:rPr>
          <w:szCs w:val="24"/>
        </w:rPr>
        <w:t xml:space="preserve">. </w:t>
      </w:r>
      <w:r w:rsidR="00DB16E4">
        <w:rPr>
          <w:szCs w:val="24"/>
        </w:rPr>
        <w:t>marts</w:t>
      </w:r>
      <w:r w:rsidR="009825BA">
        <w:rPr>
          <w:szCs w:val="24"/>
        </w:rPr>
        <w:t xml:space="preserve"> 202</w:t>
      </w:r>
      <w:r w:rsidR="00070F84">
        <w:rPr>
          <w:szCs w:val="24"/>
        </w:rPr>
        <w:t>5</w:t>
      </w:r>
    </w:p>
    <w:p w14:paraId="6956767E" w14:textId="77777777" w:rsidR="009260DE" w:rsidRPr="00C84483" w:rsidRDefault="009260DE" w:rsidP="009260DE">
      <w:pPr>
        <w:pStyle w:val="Titel"/>
        <w:tabs>
          <w:tab w:val="left" w:pos="8222"/>
        </w:tabs>
        <w:jc w:val="left"/>
        <w:rPr>
          <w:b w:val="0"/>
          <w:szCs w:val="24"/>
        </w:rPr>
      </w:pPr>
    </w:p>
    <w:p w14:paraId="350CAC58" w14:textId="0AFF44AA" w:rsidR="009260DE" w:rsidRPr="00C84483" w:rsidRDefault="009260DE" w:rsidP="009260DE">
      <w:pPr>
        <w:pStyle w:val="Titel"/>
        <w:jc w:val="left"/>
        <w:rPr>
          <w:b w:val="0"/>
          <w:szCs w:val="24"/>
        </w:rPr>
      </w:pPr>
    </w:p>
    <w:p w14:paraId="423C8D60" w14:textId="77777777" w:rsidR="009260DE" w:rsidRPr="00C84483" w:rsidRDefault="009260DE" w:rsidP="009260DE">
      <w:pPr>
        <w:pStyle w:val="Titel"/>
        <w:jc w:val="left"/>
        <w:rPr>
          <w:b w:val="0"/>
          <w:szCs w:val="24"/>
        </w:rPr>
      </w:pPr>
    </w:p>
    <w:p w14:paraId="28087AD0" w14:textId="77777777" w:rsidR="009260DE" w:rsidRPr="00C84483" w:rsidRDefault="009260DE" w:rsidP="009260DE">
      <w:pPr>
        <w:jc w:val="center"/>
        <w:rPr>
          <w:b/>
          <w:sz w:val="24"/>
          <w:szCs w:val="24"/>
        </w:rPr>
      </w:pPr>
      <w:r w:rsidRPr="00C84483">
        <w:rPr>
          <w:b/>
          <w:sz w:val="24"/>
          <w:szCs w:val="24"/>
        </w:rPr>
        <w:t>PRODUKTRESUMÉ</w:t>
      </w:r>
    </w:p>
    <w:p w14:paraId="685C365B" w14:textId="77777777" w:rsidR="009260DE" w:rsidRPr="00C84483" w:rsidRDefault="009260DE" w:rsidP="009260DE">
      <w:pPr>
        <w:jc w:val="center"/>
        <w:rPr>
          <w:b/>
          <w:sz w:val="24"/>
          <w:szCs w:val="24"/>
        </w:rPr>
      </w:pPr>
    </w:p>
    <w:p w14:paraId="349E3520" w14:textId="77777777" w:rsidR="009260DE" w:rsidRDefault="009260DE" w:rsidP="009260DE">
      <w:pPr>
        <w:jc w:val="center"/>
        <w:rPr>
          <w:b/>
          <w:sz w:val="24"/>
          <w:szCs w:val="24"/>
        </w:rPr>
      </w:pPr>
      <w:r w:rsidRPr="00C84483">
        <w:rPr>
          <w:b/>
          <w:sz w:val="24"/>
          <w:szCs w:val="24"/>
        </w:rPr>
        <w:t>for</w:t>
      </w:r>
    </w:p>
    <w:p w14:paraId="3468CDF7" w14:textId="77777777" w:rsidR="000B058C" w:rsidRPr="00C84483" w:rsidRDefault="000B058C" w:rsidP="009260DE">
      <w:pPr>
        <w:jc w:val="center"/>
        <w:rPr>
          <w:b/>
          <w:sz w:val="24"/>
          <w:szCs w:val="24"/>
        </w:rPr>
      </w:pPr>
    </w:p>
    <w:p w14:paraId="33B23F31" w14:textId="603F27EF" w:rsidR="009260DE" w:rsidRPr="00C84483" w:rsidRDefault="002D1F47" w:rsidP="009260DE">
      <w:pPr>
        <w:jc w:val="center"/>
        <w:rPr>
          <w:b/>
          <w:sz w:val="24"/>
          <w:szCs w:val="24"/>
        </w:rPr>
      </w:pPr>
      <w:proofErr w:type="spellStart"/>
      <w:r>
        <w:rPr>
          <w:b/>
          <w:sz w:val="24"/>
          <w:szCs w:val="24"/>
        </w:rPr>
        <w:t>Trientine</w:t>
      </w:r>
      <w:proofErr w:type="spellEnd"/>
      <w:r>
        <w:rPr>
          <w:b/>
          <w:sz w:val="24"/>
          <w:szCs w:val="24"/>
        </w:rPr>
        <w:t xml:space="preserve"> "</w:t>
      </w:r>
      <w:proofErr w:type="spellStart"/>
      <w:r>
        <w:rPr>
          <w:b/>
          <w:sz w:val="24"/>
          <w:szCs w:val="24"/>
        </w:rPr>
        <w:t>Tillomed</w:t>
      </w:r>
      <w:proofErr w:type="spellEnd"/>
      <w:r>
        <w:rPr>
          <w:b/>
          <w:sz w:val="24"/>
          <w:szCs w:val="24"/>
        </w:rPr>
        <w:t>", hårde kapsler</w:t>
      </w:r>
    </w:p>
    <w:p w14:paraId="582F190F" w14:textId="77777777" w:rsidR="009260DE" w:rsidRPr="00C84483" w:rsidRDefault="009260DE" w:rsidP="009260DE">
      <w:pPr>
        <w:jc w:val="both"/>
        <w:rPr>
          <w:sz w:val="24"/>
          <w:szCs w:val="24"/>
        </w:rPr>
      </w:pPr>
    </w:p>
    <w:p w14:paraId="21E1419F" w14:textId="77777777" w:rsidR="009260DE" w:rsidRPr="008D59A9" w:rsidRDefault="009260DE" w:rsidP="009260DE">
      <w:pPr>
        <w:jc w:val="both"/>
        <w:rPr>
          <w:sz w:val="24"/>
          <w:szCs w:val="24"/>
        </w:rPr>
      </w:pPr>
    </w:p>
    <w:p w14:paraId="599F3D30" w14:textId="77777777" w:rsidR="009260DE" w:rsidRPr="008D59A9" w:rsidRDefault="009260DE" w:rsidP="009260DE">
      <w:pPr>
        <w:tabs>
          <w:tab w:val="left" w:pos="851"/>
        </w:tabs>
        <w:ind w:left="851" w:hanging="851"/>
        <w:rPr>
          <w:b/>
          <w:sz w:val="24"/>
          <w:szCs w:val="24"/>
        </w:rPr>
      </w:pPr>
      <w:r w:rsidRPr="008D59A9">
        <w:rPr>
          <w:b/>
          <w:sz w:val="24"/>
          <w:szCs w:val="24"/>
        </w:rPr>
        <w:t>0.</w:t>
      </w:r>
      <w:r w:rsidRPr="008D59A9">
        <w:rPr>
          <w:b/>
          <w:sz w:val="24"/>
          <w:szCs w:val="24"/>
        </w:rPr>
        <w:tab/>
        <w:t>D.SP.NR.</w:t>
      </w:r>
    </w:p>
    <w:p w14:paraId="4CFB3EC4" w14:textId="26D998CD" w:rsidR="009260DE" w:rsidRPr="008D59A9" w:rsidRDefault="002D1F47" w:rsidP="009260DE">
      <w:pPr>
        <w:tabs>
          <w:tab w:val="left" w:pos="851"/>
        </w:tabs>
        <w:ind w:left="851"/>
        <w:rPr>
          <w:sz w:val="24"/>
          <w:szCs w:val="24"/>
        </w:rPr>
      </w:pPr>
      <w:r w:rsidRPr="008D59A9">
        <w:rPr>
          <w:sz w:val="24"/>
          <w:szCs w:val="24"/>
        </w:rPr>
        <w:t>31529</w:t>
      </w:r>
    </w:p>
    <w:p w14:paraId="5DA3C75C" w14:textId="77777777" w:rsidR="009260DE" w:rsidRPr="008D59A9" w:rsidRDefault="009260DE" w:rsidP="009260DE">
      <w:pPr>
        <w:tabs>
          <w:tab w:val="left" w:pos="851"/>
        </w:tabs>
        <w:ind w:left="851"/>
        <w:rPr>
          <w:sz w:val="24"/>
          <w:szCs w:val="24"/>
        </w:rPr>
      </w:pPr>
    </w:p>
    <w:p w14:paraId="6F23EC4F" w14:textId="77777777" w:rsidR="009260DE" w:rsidRPr="008D59A9" w:rsidRDefault="009260DE" w:rsidP="009260DE">
      <w:pPr>
        <w:tabs>
          <w:tab w:val="left" w:pos="851"/>
        </w:tabs>
        <w:ind w:left="851" w:hanging="851"/>
        <w:rPr>
          <w:b/>
          <w:sz w:val="24"/>
          <w:szCs w:val="24"/>
        </w:rPr>
      </w:pPr>
      <w:r w:rsidRPr="008D59A9">
        <w:rPr>
          <w:b/>
          <w:sz w:val="24"/>
          <w:szCs w:val="24"/>
        </w:rPr>
        <w:t>1.</w:t>
      </w:r>
      <w:r w:rsidRPr="008D59A9">
        <w:rPr>
          <w:b/>
          <w:sz w:val="24"/>
          <w:szCs w:val="24"/>
        </w:rPr>
        <w:tab/>
        <w:t>LÆGEMIDLETS NAVN</w:t>
      </w:r>
    </w:p>
    <w:p w14:paraId="502D9560" w14:textId="7873DC02" w:rsidR="009260DE" w:rsidRPr="008D59A9" w:rsidRDefault="002D1F47" w:rsidP="009260DE">
      <w:pPr>
        <w:tabs>
          <w:tab w:val="left" w:pos="851"/>
        </w:tabs>
        <w:ind w:left="851"/>
        <w:rPr>
          <w:sz w:val="24"/>
          <w:szCs w:val="24"/>
        </w:rPr>
      </w:pPr>
      <w:proofErr w:type="spellStart"/>
      <w:r w:rsidRPr="008D59A9">
        <w:rPr>
          <w:sz w:val="24"/>
          <w:szCs w:val="24"/>
        </w:rPr>
        <w:t>Trientine</w:t>
      </w:r>
      <w:proofErr w:type="spellEnd"/>
      <w:r w:rsidRPr="008D59A9">
        <w:rPr>
          <w:sz w:val="24"/>
          <w:szCs w:val="24"/>
        </w:rPr>
        <w:t xml:space="preserve"> "</w:t>
      </w:r>
      <w:proofErr w:type="spellStart"/>
      <w:r w:rsidRPr="008D59A9">
        <w:rPr>
          <w:sz w:val="24"/>
          <w:szCs w:val="24"/>
        </w:rPr>
        <w:t>Tillomed</w:t>
      </w:r>
      <w:proofErr w:type="spellEnd"/>
      <w:r w:rsidRPr="008D59A9">
        <w:rPr>
          <w:sz w:val="24"/>
          <w:szCs w:val="24"/>
        </w:rPr>
        <w:t>"</w:t>
      </w:r>
    </w:p>
    <w:p w14:paraId="7FC85552" w14:textId="77777777" w:rsidR="009260DE" w:rsidRPr="008D59A9" w:rsidRDefault="009260DE" w:rsidP="009260DE">
      <w:pPr>
        <w:tabs>
          <w:tab w:val="left" w:pos="851"/>
        </w:tabs>
        <w:ind w:left="851"/>
        <w:rPr>
          <w:sz w:val="24"/>
          <w:szCs w:val="24"/>
        </w:rPr>
      </w:pPr>
    </w:p>
    <w:p w14:paraId="437E15A3" w14:textId="77777777" w:rsidR="009260DE" w:rsidRPr="008D59A9" w:rsidRDefault="009260DE" w:rsidP="009260DE">
      <w:pPr>
        <w:tabs>
          <w:tab w:val="left" w:pos="851"/>
        </w:tabs>
        <w:ind w:left="851" w:hanging="851"/>
        <w:rPr>
          <w:b/>
          <w:sz w:val="24"/>
          <w:szCs w:val="24"/>
        </w:rPr>
      </w:pPr>
      <w:r w:rsidRPr="008D59A9">
        <w:rPr>
          <w:b/>
          <w:sz w:val="24"/>
          <w:szCs w:val="24"/>
        </w:rPr>
        <w:t>2.</w:t>
      </w:r>
      <w:r w:rsidRPr="008D59A9">
        <w:rPr>
          <w:b/>
          <w:sz w:val="24"/>
          <w:szCs w:val="24"/>
        </w:rPr>
        <w:tab/>
        <w:t>KVALITATIV OG KVANTITATIV SAMMENSÆTNING</w:t>
      </w:r>
    </w:p>
    <w:p w14:paraId="786A8D25" w14:textId="77777777" w:rsidR="00D2612B" w:rsidRPr="008D59A9" w:rsidRDefault="00D2612B" w:rsidP="00A065D7">
      <w:pPr>
        <w:ind w:left="851"/>
        <w:rPr>
          <w:sz w:val="24"/>
          <w:szCs w:val="24"/>
          <w:lang w:eastAsia="en-GB"/>
        </w:rPr>
      </w:pPr>
      <w:r w:rsidRPr="008D59A9">
        <w:rPr>
          <w:sz w:val="24"/>
          <w:szCs w:val="24"/>
        </w:rPr>
        <w:t xml:space="preserve">Hver hårde kapsel indeholder 167 mg </w:t>
      </w:r>
      <w:proofErr w:type="spellStart"/>
      <w:r w:rsidRPr="008D59A9">
        <w:rPr>
          <w:sz w:val="24"/>
          <w:szCs w:val="24"/>
        </w:rPr>
        <w:t>trientin</w:t>
      </w:r>
      <w:proofErr w:type="spellEnd"/>
      <w:r w:rsidRPr="008D59A9">
        <w:rPr>
          <w:sz w:val="24"/>
          <w:szCs w:val="24"/>
        </w:rPr>
        <w:t xml:space="preserve"> svarende til 250 mg </w:t>
      </w:r>
      <w:proofErr w:type="spellStart"/>
      <w:r w:rsidRPr="008D59A9">
        <w:rPr>
          <w:sz w:val="24"/>
          <w:szCs w:val="24"/>
        </w:rPr>
        <w:t>trientin</w:t>
      </w:r>
      <w:bookmarkStart w:id="0" w:name="_Hlk532371864"/>
      <w:r w:rsidRPr="008D59A9">
        <w:rPr>
          <w:sz w:val="24"/>
          <w:szCs w:val="24"/>
        </w:rPr>
        <w:t>dihydrochlorid</w:t>
      </w:r>
      <w:bookmarkEnd w:id="0"/>
      <w:proofErr w:type="spellEnd"/>
      <w:r w:rsidRPr="008D59A9">
        <w:rPr>
          <w:sz w:val="24"/>
          <w:szCs w:val="24"/>
        </w:rPr>
        <w:t>.</w:t>
      </w:r>
    </w:p>
    <w:p w14:paraId="11F9758F" w14:textId="77777777" w:rsidR="008D59A9" w:rsidRDefault="008D59A9" w:rsidP="00A065D7">
      <w:pPr>
        <w:ind w:left="851"/>
        <w:rPr>
          <w:sz w:val="24"/>
          <w:szCs w:val="24"/>
        </w:rPr>
      </w:pPr>
    </w:p>
    <w:p w14:paraId="17A51DF4" w14:textId="55C8C34E" w:rsidR="00D2612B" w:rsidRPr="008D59A9" w:rsidRDefault="00D2612B" w:rsidP="00A065D7">
      <w:pPr>
        <w:ind w:left="851"/>
        <w:rPr>
          <w:sz w:val="24"/>
          <w:szCs w:val="24"/>
          <w:lang w:eastAsia="en-GB"/>
        </w:rPr>
      </w:pPr>
      <w:r w:rsidRPr="008D59A9">
        <w:rPr>
          <w:sz w:val="24"/>
          <w:szCs w:val="24"/>
        </w:rPr>
        <w:t>Alle hjælpestoffer er anført under pkt. 6.1.</w:t>
      </w:r>
    </w:p>
    <w:p w14:paraId="3EC5B135" w14:textId="77777777" w:rsidR="009260DE" w:rsidRPr="008D59A9" w:rsidRDefault="009260DE" w:rsidP="009260DE">
      <w:pPr>
        <w:tabs>
          <w:tab w:val="left" w:pos="851"/>
        </w:tabs>
        <w:ind w:left="851"/>
        <w:rPr>
          <w:sz w:val="24"/>
          <w:szCs w:val="24"/>
        </w:rPr>
      </w:pPr>
    </w:p>
    <w:p w14:paraId="412C0C8E" w14:textId="77777777" w:rsidR="009260DE" w:rsidRPr="008D59A9" w:rsidRDefault="009260DE" w:rsidP="009260DE">
      <w:pPr>
        <w:tabs>
          <w:tab w:val="left" w:pos="851"/>
        </w:tabs>
        <w:ind w:left="851" w:hanging="851"/>
        <w:rPr>
          <w:b/>
          <w:sz w:val="24"/>
          <w:szCs w:val="24"/>
        </w:rPr>
      </w:pPr>
      <w:r w:rsidRPr="008D59A9">
        <w:rPr>
          <w:b/>
          <w:sz w:val="24"/>
          <w:szCs w:val="24"/>
        </w:rPr>
        <w:t>3.</w:t>
      </w:r>
      <w:r w:rsidRPr="008D59A9">
        <w:rPr>
          <w:b/>
          <w:sz w:val="24"/>
          <w:szCs w:val="24"/>
        </w:rPr>
        <w:tab/>
        <w:t>LÆGEMIDDELFORM</w:t>
      </w:r>
    </w:p>
    <w:p w14:paraId="755EDA11" w14:textId="10F97764" w:rsidR="00D2612B" w:rsidRPr="008D59A9" w:rsidRDefault="008D59A9" w:rsidP="00A065D7">
      <w:pPr>
        <w:ind w:left="851"/>
        <w:rPr>
          <w:sz w:val="24"/>
          <w:szCs w:val="24"/>
          <w:lang w:eastAsia="en-GB"/>
        </w:rPr>
      </w:pPr>
      <w:r>
        <w:rPr>
          <w:sz w:val="24"/>
          <w:szCs w:val="24"/>
        </w:rPr>
        <w:t>Hårde kapsler</w:t>
      </w:r>
    </w:p>
    <w:p w14:paraId="11A6EFFD" w14:textId="126EA969" w:rsidR="00D2612B" w:rsidRPr="008D59A9" w:rsidRDefault="00D2612B" w:rsidP="00A065D7">
      <w:pPr>
        <w:ind w:left="851"/>
        <w:rPr>
          <w:sz w:val="24"/>
          <w:szCs w:val="24"/>
        </w:rPr>
      </w:pPr>
      <w:bookmarkStart w:id="1" w:name="_Hlk532372046"/>
      <w:r w:rsidRPr="008D59A9">
        <w:rPr>
          <w:sz w:val="24"/>
          <w:szCs w:val="24"/>
        </w:rPr>
        <w:t>Brun, uigennemsigtig, hård</w:t>
      </w:r>
      <w:r w:rsidR="00226CF4">
        <w:rPr>
          <w:sz w:val="24"/>
          <w:szCs w:val="24"/>
        </w:rPr>
        <w:t>,</w:t>
      </w:r>
      <w:r w:rsidRPr="008D59A9">
        <w:rPr>
          <w:sz w:val="24"/>
          <w:szCs w:val="24"/>
        </w:rPr>
        <w:t xml:space="preserve"> gelatine</w:t>
      </w:r>
      <w:r w:rsidR="00226CF4">
        <w:rPr>
          <w:sz w:val="24"/>
          <w:szCs w:val="24"/>
        </w:rPr>
        <w:t>,</w:t>
      </w:r>
      <w:r w:rsidRPr="008D59A9">
        <w:rPr>
          <w:sz w:val="24"/>
          <w:szCs w:val="24"/>
        </w:rPr>
        <w:t xml:space="preserve"> størrelse 1 kapsel påtrykt "HP551" med sort blæk på kapsellegemet og hætten, fyldt med hvidt til mat, gult pulver. Kapslen har en længde på mellem 18,9 mm og 19,7 mm.</w:t>
      </w:r>
      <w:bookmarkEnd w:id="1"/>
    </w:p>
    <w:p w14:paraId="2AC97C8F" w14:textId="77777777" w:rsidR="009260DE" w:rsidRPr="008D59A9" w:rsidRDefault="009260DE" w:rsidP="009260DE">
      <w:pPr>
        <w:tabs>
          <w:tab w:val="left" w:pos="851"/>
        </w:tabs>
        <w:ind w:left="851"/>
        <w:rPr>
          <w:sz w:val="24"/>
          <w:szCs w:val="24"/>
        </w:rPr>
      </w:pPr>
    </w:p>
    <w:p w14:paraId="0EBC34D9" w14:textId="77777777" w:rsidR="009260DE" w:rsidRPr="008D59A9" w:rsidRDefault="009260DE" w:rsidP="009260DE">
      <w:pPr>
        <w:tabs>
          <w:tab w:val="left" w:pos="851"/>
        </w:tabs>
        <w:ind w:left="851"/>
        <w:rPr>
          <w:sz w:val="24"/>
          <w:szCs w:val="24"/>
        </w:rPr>
      </w:pPr>
    </w:p>
    <w:p w14:paraId="65441377" w14:textId="77777777" w:rsidR="009260DE" w:rsidRPr="008D59A9" w:rsidRDefault="009260DE" w:rsidP="009260DE">
      <w:pPr>
        <w:tabs>
          <w:tab w:val="left" w:pos="851"/>
        </w:tabs>
        <w:ind w:left="851" w:hanging="851"/>
        <w:rPr>
          <w:b/>
          <w:sz w:val="24"/>
          <w:szCs w:val="24"/>
        </w:rPr>
      </w:pPr>
      <w:r w:rsidRPr="008D59A9">
        <w:rPr>
          <w:b/>
          <w:sz w:val="24"/>
          <w:szCs w:val="24"/>
        </w:rPr>
        <w:t>4.</w:t>
      </w:r>
      <w:r w:rsidRPr="008D59A9">
        <w:rPr>
          <w:b/>
          <w:sz w:val="24"/>
          <w:szCs w:val="24"/>
        </w:rPr>
        <w:tab/>
        <w:t>KLINISKE OPLYSNINGER</w:t>
      </w:r>
    </w:p>
    <w:p w14:paraId="7FABA3A1" w14:textId="77777777" w:rsidR="009260DE" w:rsidRPr="008D59A9" w:rsidRDefault="009260DE" w:rsidP="009260DE">
      <w:pPr>
        <w:tabs>
          <w:tab w:val="left" w:pos="851"/>
        </w:tabs>
        <w:ind w:left="851"/>
        <w:rPr>
          <w:b/>
          <w:sz w:val="24"/>
          <w:szCs w:val="24"/>
        </w:rPr>
      </w:pPr>
    </w:p>
    <w:p w14:paraId="76B14ACD" w14:textId="77777777" w:rsidR="009260DE" w:rsidRPr="008D59A9" w:rsidRDefault="009260DE" w:rsidP="009260DE">
      <w:pPr>
        <w:tabs>
          <w:tab w:val="left" w:pos="851"/>
        </w:tabs>
        <w:ind w:left="851" w:hanging="851"/>
        <w:rPr>
          <w:b/>
          <w:sz w:val="24"/>
          <w:szCs w:val="24"/>
          <w:u w:val="single"/>
        </w:rPr>
      </w:pPr>
      <w:r w:rsidRPr="008D59A9">
        <w:rPr>
          <w:b/>
          <w:sz w:val="24"/>
          <w:szCs w:val="24"/>
        </w:rPr>
        <w:t>4.1</w:t>
      </w:r>
      <w:r w:rsidRPr="008D59A9">
        <w:rPr>
          <w:b/>
          <w:sz w:val="24"/>
          <w:szCs w:val="24"/>
        </w:rPr>
        <w:tab/>
        <w:t>Terapeutiske indikationer</w:t>
      </w:r>
    </w:p>
    <w:p w14:paraId="5DB4E3CD" w14:textId="5FB0B549" w:rsidR="00D2612B" w:rsidRPr="008D59A9" w:rsidRDefault="00D2612B" w:rsidP="00A065D7">
      <w:pPr>
        <w:ind w:left="851"/>
        <w:rPr>
          <w:sz w:val="24"/>
          <w:szCs w:val="24"/>
          <w:lang w:eastAsia="en-GB"/>
        </w:rPr>
      </w:pPr>
      <w:r w:rsidRPr="008D59A9">
        <w:rPr>
          <w:sz w:val="24"/>
          <w:szCs w:val="24"/>
        </w:rPr>
        <w:t xml:space="preserve">Til behandling af Wilsons sygdom hos </w:t>
      </w:r>
      <w:r w:rsidR="00EB0770" w:rsidRPr="008D59A9">
        <w:rPr>
          <w:sz w:val="24"/>
          <w:szCs w:val="24"/>
        </w:rPr>
        <w:t>voksne, unge og børn på 5 år og ældre</w:t>
      </w:r>
      <w:r w:rsidRPr="008D59A9">
        <w:rPr>
          <w:sz w:val="24"/>
          <w:szCs w:val="24"/>
        </w:rPr>
        <w:t>, der er intolerante over for behandling med D-</w:t>
      </w:r>
      <w:proofErr w:type="spellStart"/>
      <w:r w:rsidRPr="008D59A9">
        <w:rPr>
          <w:sz w:val="24"/>
          <w:szCs w:val="24"/>
        </w:rPr>
        <w:t>penicillamin</w:t>
      </w:r>
      <w:proofErr w:type="spellEnd"/>
      <w:r w:rsidRPr="008D59A9">
        <w:rPr>
          <w:sz w:val="24"/>
          <w:szCs w:val="24"/>
        </w:rPr>
        <w:t xml:space="preserve">. </w:t>
      </w:r>
    </w:p>
    <w:p w14:paraId="3F92CE99" w14:textId="77777777" w:rsidR="009260DE" w:rsidRPr="008D59A9" w:rsidRDefault="009260DE" w:rsidP="009260DE">
      <w:pPr>
        <w:tabs>
          <w:tab w:val="left" w:pos="851"/>
        </w:tabs>
        <w:ind w:left="851"/>
        <w:rPr>
          <w:sz w:val="24"/>
          <w:szCs w:val="24"/>
        </w:rPr>
      </w:pPr>
    </w:p>
    <w:p w14:paraId="7E0CA0F0" w14:textId="23AF0093" w:rsidR="009260DE" w:rsidRPr="008D59A9" w:rsidRDefault="009260DE" w:rsidP="009260DE">
      <w:pPr>
        <w:tabs>
          <w:tab w:val="left" w:pos="851"/>
        </w:tabs>
        <w:ind w:left="851" w:hanging="851"/>
        <w:rPr>
          <w:b/>
          <w:sz w:val="24"/>
          <w:szCs w:val="24"/>
        </w:rPr>
      </w:pPr>
      <w:r w:rsidRPr="008D59A9">
        <w:rPr>
          <w:b/>
          <w:sz w:val="24"/>
          <w:szCs w:val="24"/>
        </w:rPr>
        <w:t>4.2</w:t>
      </w:r>
      <w:r w:rsidRPr="008D59A9">
        <w:rPr>
          <w:b/>
          <w:sz w:val="24"/>
          <w:szCs w:val="24"/>
        </w:rPr>
        <w:tab/>
        <w:t xml:space="preserve">Dosering og </w:t>
      </w:r>
      <w:r w:rsidR="00DB16E4">
        <w:rPr>
          <w:b/>
          <w:sz w:val="24"/>
          <w:szCs w:val="24"/>
        </w:rPr>
        <w:t>administration</w:t>
      </w:r>
    </w:p>
    <w:p w14:paraId="286D2F9A" w14:textId="77777777" w:rsidR="00D2612B" w:rsidRPr="008D59A9" w:rsidRDefault="00D2612B" w:rsidP="00A065D7">
      <w:pPr>
        <w:ind w:left="851"/>
        <w:rPr>
          <w:sz w:val="24"/>
          <w:szCs w:val="24"/>
        </w:rPr>
      </w:pPr>
      <w:r w:rsidRPr="008D59A9">
        <w:rPr>
          <w:sz w:val="24"/>
          <w:szCs w:val="24"/>
        </w:rPr>
        <w:t xml:space="preserve">Behandling må kun indledes af speciallæger med erfaring i håndteringen af Wilsons sygdom. </w:t>
      </w:r>
    </w:p>
    <w:p w14:paraId="7FC7F6BE" w14:textId="77777777" w:rsidR="00D2612B" w:rsidRPr="008D59A9" w:rsidRDefault="00D2612B" w:rsidP="00A065D7">
      <w:pPr>
        <w:ind w:left="851"/>
        <w:rPr>
          <w:sz w:val="24"/>
          <w:szCs w:val="24"/>
          <w:u w:val="single"/>
        </w:rPr>
      </w:pPr>
    </w:p>
    <w:p w14:paraId="3551C206" w14:textId="77777777" w:rsidR="00D2612B" w:rsidRPr="008D59A9" w:rsidRDefault="00D2612B" w:rsidP="00A065D7">
      <w:pPr>
        <w:ind w:left="851"/>
        <w:rPr>
          <w:sz w:val="24"/>
          <w:szCs w:val="24"/>
          <w:u w:val="single"/>
        </w:rPr>
      </w:pPr>
      <w:r w:rsidRPr="008D59A9">
        <w:rPr>
          <w:sz w:val="24"/>
          <w:szCs w:val="24"/>
          <w:u w:val="single"/>
        </w:rPr>
        <w:t>Dosering:</w:t>
      </w:r>
    </w:p>
    <w:p w14:paraId="1C8D2258" w14:textId="3673CE8F" w:rsidR="00D2612B" w:rsidRPr="008D59A9" w:rsidRDefault="00D2612B" w:rsidP="00A065D7">
      <w:pPr>
        <w:ind w:left="851"/>
        <w:rPr>
          <w:sz w:val="24"/>
          <w:szCs w:val="24"/>
        </w:rPr>
      </w:pPr>
      <w:r w:rsidRPr="008D59A9">
        <w:rPr>
          <w:sz w:val="24"/>
          <w:szCs w:val="24"/>
        </w:rPr>
        <w:t>Startdosis svarer sædvanligvis til den laveste dosis i intervallet, og dosis bør efterfølgende tilpasses patientens kliniske respons (se pkt</w:t>
      </w:r>
      <w:r w:rsidR="00881441">
        <w:rPr>
          <w:sz w:val="24"/>
          <w:szCs w:val="24"/>
        </w:rPr>
        <w:t>.</w:t>
      </w:r>
      <w:r w:rsidRPr="008D59A9">
        <w:rPr>
          <w:sz w:val="24"/>
          <w:szCs w:val="24"/>
        </w:rPr>
        <w:t xml:space="preserve"> 4.4). </w:t>
      </w:r>
    </w:p>
    <w:p w14:paraId="1FA69CBD" w14:textId="77777777" w:rsidR="00EB0770" w:rsidRDefault="00EB0770" w:rsidP="00A065D7">
      <w:pPr>
        <w:ind w:left="851"/>
        <w:rPr>
          <w:sz w:val="24"/>
          <w:szCs w:val="24"/>
        </w:rPr>
      </w:pPr>
    </w:p>
    <w:p w14:paraId="6D6B4C5A" w14:textId="19279C5F" w:rsidR="00D2612B" w:rsidRPr="008D59A9" w:rsidRDefault="00D2612B" w:rsidP="00A065D7">
      <w:pPr>
        <w:ind w:left="851"/>
        <w:rPr>
          <w:sz w:val="24"/>
          <w:szCs w:val="24"/>
        </w:rPr>
      </w:pPr>
      <w:r w:rsidRPr="008D59A9">
        <w:rPr>
          <w:sz w:val="24"/>
          <w:szCs w:val="24"/>
        </w:rPr>
        <w:t>Voksne (herunder ældre): 1,0-2,0 g (4-8 kapsler) dagligt i 2-4 opdelte doser.</w:t>
      </w:r>
    </w:p>
    <w:p w14:paraId="485D165A" w14:textId="77777777" w:rsidR="00D2612B" w:rsidRPr="008D59A9" w:rsidRDefault="00D2612B" w:rsidP="00A065D7">
      <w:pPr>
        <w:ind w:left="851"/>
        <w:rPr>
          <w:sz w:val="24"/>
          <w:szCs w:val="24"/>
        </w:rPr>
      </w:pPr>
    </w:p>
    <w:p w14:paraId="362F45B3" w14:textId="77777777" w:rsidR="00D2612B" w:rsidRPr="008D59A9" w:rsidRDefault="00D2612B" w:rsidP="00A065D7">
      <w:pPr>
        <w:ind w:left="851"/>
        <w:rPr>
          <w:sz w:val="24"/>
          <w:szCs w:val="24"/>
        </w:rPr>
      </w:pPr>
      <w:r w:rsidRPr="008D59A9">
        <w:rPr>
          <w:sz w:val="24"/>
          <w:szCs w:val="24"/>
        </w:rPr>
        <w:t xml:space="preserve">Den anbefalede dosis er udtrykt i g eller mg </w:t>
      </w:r>
      <w:proofErr w:type="spellStart"/>
      <w:r w:rsidRPr="008D59A9">
        <w:rPr>
          <w:sz w:val="24"/>
          <w:szCs w:val="24"/>
        </w:rPr>
        <w:t>trientindihydrochloridsalt</w:t>
      </w:r>
      <w:proofErr w:type="spellEnd"/>
      <w:r w:rsidRPr="008D59A9">
        <w:rPr>
          <w:sz w:val="24"/>
          <w:szCs w:val="24"/>
        </w:rPr>
        <w:t>.</w:t>
      </w:r>
    </w:p>
    <w:p w14:paraId="4E91B70C" w14:textId="77777777" w:rsidR="00D2612B" w:rsidRPr="008D59A9" w:rsidRDefault="00D2612B" w:rsidP="00A065D7">
      <w:pPr>
        <w:ind w:left="851"/>
        <w:rPr>
          <w:i/>
          <w:sz w:val="24"/>
          <w:szCs w:val="24"/>
          <w:u w:val="single"/>
        </w:rPr>
      </w:pPr>
    </w:p>
    <w:p w14:paraId="47282B17" w14:textId="77777777" w:rsidR="00D2612B" w:rsidRPr="008D59A9" w:rsidRDefault="00D2612B" w:rsidP="00A065D7">
      <w:pPr>
        <w:ind w:left="851"/>
        <w:rPr>
          <w:i/>
          <w:sz w:val="24"/>
          <w:szCs w:val="24"/>
          <w:u w:val="single"/>
        </w:rPr>
      </w:pPr>
      <w:r w:rsidRPr="008D59A9">
        <w:rPr>
          <w:i/>
          <w:sz w:val="24"/>
          <w:szCs w:val="24"/>
          <w:u w:val="single"/>
        </w:rPr>
        <w:t>Særlige populationer</w:t>
      </w:r>
    </w:p>
    <w:p w14:paraId="6B09E220" w14:textId="77777777" w:rsidR="00D2612B" w:rsidRPr="008D59A9" w:rsidRDefault="00D2612B" w:rsidP="00A065D7">
      <w:pPr>
        <w:ind w:left="851"/>
        <w:rPr>
          <w:i/>
          <w:iCs/>
          <w:sz w:val="24"/>
          <w:szCs w:val="24"/>
        </w:rPr>
      </w:pPr>
    </w:p>
    <w:p w14:paraId="7534DE7B" w14:textId="77777777" w:rsidR="00D2612B" w:rsidRPr="008D59A9" w:rsidRDefault="00D2612B" w:rsidP="00A065D7">
      <w:pPr>
        <w:ind w:left="851"/>
        <w:rPr>
          <w:sz w:val="24"/>
          <w:szCs w:val="24"/>
        </w:rPr>
      </w:pPr>
      <w:r w:rsidRPr="008D59A9">
        <w:rPr>
          <w:i/>
          <w:iCs/>
          <w:sz w:val="24"/>
          <w:szCs w:val="24"/>
        </w:rPr>
        <w:t xml:space="preserve">Ældre </w:t>
      </w:r>
    </w:p>
    <w:p w14:paraId="08481471" w14:textId="77777777" w:rsidR="00D2612B" w:rsidRPr="008D59A9" w:rsidRDefault="00D2612B" w:rsidP="00A065D7">
      <w:pPr>
        <w:ind w:left="851"/>
        <w:rPr>
          <w:sz w:val="24"/>
          <w:szCs w:val="24"/>
        </w:rPr>
      </w:pPr>
      <w:r w:rsidRPr="008D59A9">
        <w:rPr>
          <w:sz w:val="24"/>
          <w:szCs w:val="24"/>
        </w:rPr>
        <w:t xml:space="preserve">Der er ikke behov for dosisjustering hos ældre patienter. </w:t>
      </w:r>
    </w:p>
    <w:p w14:paraId="5044DAFD" w14:textId="77777777" w:rsidR="00D2612B" w:rsidRPr="008D59A9" w:rsidRDefault="00D2612B" w:rsidP="00A065D7">
      <w:pPr>
        <w:ind w:left="851"/>
        <w:rPr>
          <w:i/>
          <w:iCs/>
          <w:sz w:val="24"/>
          <w:szCs w:val="24"/>
        </w:rPr>
      </w:pPr>
    </w:p>
    <w:p w14:paraId="7C91EEA1" w14:textId="77777777" w:rsidR="00D2612B" w:rsidRPr="008D59A9" w:rsidRDefault="00D2612B" w:rsidP="00A065D7">
      <w:pPr>
        <w:ind w:left="851"/>
        <w:rPr>
          <w:sz w:val="24"/>
          <w:szCs w:val="24"/>
        </w:rPr>
      </w:pPr>
      <w:r w:rsidRPr="008D59A9">
        <w:rPr>
          <w:i/>
          <w:iCs/>
          <w:sz w:val="24"/>
          <w:szCs w:val="24"/>
        </w:rPr>
        <w:t xml:space="preserve">Nedsat nyrefunktion </w:t>
      </w:r>
    </w:p>
    <w:p w14:paraId="057C84B6" w14:textId="39C9631D" w:rsidR="00D2612B" w:rsidRPr="008D59A9" w:rsidRDefault="00D2612B" w:rsidP="00A065D7">
      <w:pPr>
        <w:ind w:left="851"/>
        <w:rPr>
          <w:sz w:val="24"/>
          <w:szCs w:val="24"/>
        </w:rPr>
      </w:pPr>
      <w:r w:rsidRPr="008D59A9">
        <w:rPr>
          <w:sz w:val="24"/>
          <w:szCs w:val="24"/>
        </w:rPr>
        <w:t>Der er begrænsede oplysninger om patienter med nedsat nyrefunktion. Det er ikke nødvendigt med en specifik dosisjustering hos disse patienter (se pkt</w:t>
      </w:r>
      <w:r w:rsidR="0092596E">
        <w:rPr>
          <w:sz w:val="24"/>
          <w:szCs w:val="24"/>
        </w:rPr>
        <w:t>.</w:t>
      </w:r>
      <w:r w:rsidRPr="008D59A9">
        <w:rPr>
          <w:sz w:val="24"/>
          <w:szCs w:val="24"/>
        </w:rPr>
        <w:t xml:space="preserve"> 4.4).</w:t>
      </w:r>
    </w:p>
    <w:p w14:paraId="14FBF517" w14:textId="77777777" w:rsidR="00D2612B" w:rsidRPr="008D59A9" w:rsidRDefault="00D2612B" w:rsidP="00A065D7">
      <w:pPr>
        <w:ind w:left="851"/>
        <w:rPr>
          <w:sz w:val="24"/>
          <w:szCs w:val="24"/>
        </w:rPr>
      </w:pPr>
    </w:p>
    <w:p w14:paraId="20F624F6" w14:textId="77777777" w:rsidR="00D2612B" w:rsidRPr="008D59A9" w:rsidRDefault="00D2612B" w:rsidP="00A065D7">
      <w:pPr>
        <w:ind w:left="851"/>
        <w:rPr>
          <w:i/>
          <w:iCs/>
          <w:sz w:val="24"/>
          <w:szCs w:val="24"/>
        </w:rPr>
      </w:pPr>
      <w:r w:rsidRPr="008D59A9">
        <w:rPr>
          <w:i/>
          <w:iCs/>
          <w:sz w:val="24"/>
          <w:szCs w:val="24"/>
        </w:rPr>
        <w:t>Nedsat leverfunktion</w:t>
      </w:r>
    </w:p>
    <w:p w14:paraId="1DF4AE49" w14:textId="7F43E6AA" w:rsidR="00D2612B" w:rsidRPr="008D59A9" w:rsidRDefault="00D2612B" w:rsidP="00A065D7">
      <w:pPr>
        <w:ind w:left="851"/>
        <w:rPr>
          <w:sz w:val="24"/>
          <w:szCs w:val="24"/>
        </w:rPr>
      </w:pPr>
      <w:r w:rsidRPr="008D59A9">
        <w:rPr>
          <w:sz w:val="24"/>
          <w:szCs w:val="24"/>
        </w:rPr>
        <w:t xml:space="preserve">Der foreligger ingen data om brugen af </w:t>
      </w:r>
      <w:proofErr w:type="spellStart"/>
      <w:r w:rsidRPr="008D59A9">
        <w:rPr>
          <w:sz w:val="24"/>
          <w:szCs w:val="24"/>
        </w:rPr>
        <w:t>trientin</w:t>
      </w:r>
      <w:proofErr w:type="spellEnd"/>
      <w:r w:rsidRPr="008D59A9">
        <w:rPr>
          <w:sz w:val="24"/>
          <w:szCs w:val="24"/>
        </w:rPr>
        <w:t xml:space="preserve"> hos patienter med nedsat leverfunktion. Monitorering </w:t>
      </w:r>
      <w:r w:rsidR="00EB0770">
        <w:rPr>
          <w:sz w:val="24"/>
          <w:szCs w:val="24"/>
        </w:rPr>
        <w:t>kan</w:t>
      </w:r>
      <w:r w:rsidRPr="008D59A9">
        <w:rPr>
          <w:sz w:val="24"/>
          <w:szCs w:val="24"/>
        </w:rPr>
        <w:t xml:space="preserve"> imidlertid </w:t>
      </w:r>
      <w:r w:rsidR="00EB0770">
        <w:rPr>
          <w:sz w:val="24"/>
          <w:szCs w:val="24"/>
        </w:rPr>
        <w:t xml:space="preserve">være </w:t>
      </w:r>
      <w:r w:rsidRPr="008D59A9">
        <w:rPr>
          <w:sz w:val="24"/>
          <w:szCs w:val="24"/>
        </w:rPr>
        <w:t>nødvendig for at undgå både toksicitet og ineffektivitet (se pkt. 4.4).</w:t>
      </w:r>
    </w:p>
    <w:p w14:paraId="4ECEF3D8" w14:textId="77777777" w:rsidR="00D2612B" w:rsidRPr="008D59A9" w:rsidRDefault="00D2612B" w:rsidP="00A065D7">
      <w:pPr>
        <w:ind w:left="851"/>
        <w:rPr>
          <w:i/>
          <w:sz w:val="24"/>
          <w:szCs w:val="24"/>
        </w:rPr>
      </w:pPr>
    </w:p>
    <w:p w14:paraId="746D90B0" w14:textId="77777777" w:rsidR="00D2612B" w:rsidRPr="008D59A9" w:rsidRDefault="00D2612B" w:rsidP="00A065D7">
      <w:pPr>
        <w:ind w:left="851"/>
        <w:rPr>
          <w:i/>
          <w:iCs/>
          <w:sz w:val="24"/>
          <w:szCs w:val="24"/>
        </w:rPr>
      </w:pPr>
      <w:r w:rsidRPr="008D59A9">
        <w:rPr>
          <w:i/>
          <w:iCs/>
          <w:sz w:val="24"/>
          <w:szCs w:val="24"/>
        </w:rPr>
        <w:t xml:space="preserve">Pædiatrisk population </w:t>
      </w:r>
    </w:p>
    <w:p w14:paraId="2A54AD5E" w14:textId="77777777" w:rsidR="00D2612B" w:rsidRPr="008D59A9" w:rsidRDefault="00D2612B" w:rsidP="00A065D7">
      <w:pPr>
        <w:ind w:left="851"/>
        <w:rPr>
          <w:sz w:val="24"/>
          <w:szCs w:val="24"/>
        </w:rPr>
      </w:pPr>
      <w:r w:rsidRPr="008D59A9">
        <w:rPr>
          <w:sz w:val="24"/>
          <w:szCs w:val="24"/>
        </w:rPr>
        <w:t>Startdosis hos pædiatriske patienter er lavere end hos voksne og afhænger af alder og kropsvægt.</w:t>
      </w:r>
    </w:p>
    <w:p w14:paraId="0D8BCBB0" w14:textId="77777777" w:rsidR="00D2612B" w:rsidRPr="008D59A9" w:rsidRDefault="00D2612B" w:rsidP="00A065D7">
      <w:pPr>
        <w:ind w:left="851"/>
        <w:rPr>
          <w:i/>
          <w:sz w:val="24"/>
          <w:szCs w:val="24"/>
        </w:rPr>
      </w:pPr>
    </w:p>
    <w:p w14:paraId="4711DEED" w14:textId="77777777" w:rsidR="00D2612B" w:rsidRPr="008D59A9" w:rsidRDefault="00D2612B" w:rsidP="00A065D7">
      <w:pPr>
        <w:ind w:left="851"/>
        <w:rPr>
          <w:i/>
          <w:sz w:val="24"/>
          <w:szCs w:val="24"/>
        </w:rPr>
      </w:pPr>
      <w:r w:rsidRPr="008D59A9">
        <w:rPr>
          <w:i/>
          <w:sz w:val="24"/>
          <w:szCs w:val="24"/>
        </w:rPr>
        <w:t xml:space="preserve">Børn ≥ 5 år: </w:t>
      </w:r>
    </w:p>
    <w:p w14:paraId="13A20896" w14:textId="2DE18A04" w:rsidR="00D2612B" w:rsidRPr="008D59A9" w:rsidRDefault="00D2612B" w:rsidP="00A065D7">
      <w:pPr>
        <w:ind w:left="851"/>
        <w:rPr>
          <w:sz w:val="24"/>
          <w:szCs w:val="24"/>
        </w:rPr>
      </w:pPr>
      <w:r w:rsidRPr="008D59A9">
        <w:rPr>
          <w:sz w:val="24"/>
          <w:szCs w:val="24"/>
        </w:rPr>
        <w:t xml:space="preserve">Den vægtbaserede dosis er ikke fastlagt, men den startdosis, der sædvanligvis gives, er 20 mg/kg/dag afrundet til nærmeste 250 mg kapsel med </w:t>
      </w:r>
      <w:proofErr w:type="spellStart"/>
      <w:r w:rsidR="002636C0">
        <w:rPr>
          <w:sz w:val="24"/>
          <w:szCs w:val="24"/>
        </w:rPr>
        <w:t>t</w:t>
      </w:r>
      <w:r w:rsidR="002636C0" w:rsidRPr="008D59A9">
        <w:rPr>
          <w:sz w:val="24"/>
          <w:szCs w:val="24"/>
        </w:rPr>
        <w:t>rientindihydrochlorid</w:t>
      </w:r>
      <w:proofErr w:type="spellEnd"/>
      <w:r w:rsidRPr="008D59A9">
        <w:rPr>
          <w:sz w:val="24"/>
          <w:szCs w:val="24"/>
        </w:rPr>
        <w:t xml:space="preserve"> i 2-3 opdelte doser. Den anbefalede startdosis </w:t>
      </w:r>
      <w:proofErr w:type="spellStart"/>
      <w:r w:rsidRPr="008D59A9">
        <w:rPr>
          <w:sz w:val="24"/>
          <w:szCs w:val="24"/>
        </w:rPr>
        <w:t>trientindihydrochlorid</w:t>
      </w:r>
      <w:proofErr w:type="spellEnd"/>
      <w:r w:rsidRPr="008D59A9">
        <w:rPr>
          <w:sz w:val="24"/>
          <w:szCs w:val="24"/>
        </w:rPr>
        <w:t xml:space="preserve"> er sædvanligvis 500-1250 mg (2-5 kapsler). Vedligeholdelsesdosen titreres i overensstemmelse med klinisk respons og kobberniveau i serum.</w:t>
      </w:r>
    </w:p>
    <w:p w14:paraId="4A3017D7" w14:textId="77777777" w:rsidR="00D2612B" w:rsidRPr="008D59A9" w:rsidRDefault="00D2612B" w:rsidP="00A065D7">
      <w:pPr>
        <w:ind w:left="851"/>
        <w:rPr>
          <w:i/>
          <w:sz w:val="24"/>
          <w:szCs w:val="24"/>
        </w:rPr>
      </w:pPr>
    </w:p>
    <w:p w14:paraId="320F7989" w14:textId="77777777" w:rsidR="00D2612B" w:rsidRPr="008D59A9" w:rsidRDefault="00D2612B" w:rsidP="00A065D7">
      <w:pPr>
        <w:ind w:left="851"/>
        <w:rPr>
          <w:i/>
          <w:sz w:val="24"/>
          <w:szCs w:val="24"/>
        </w:rPr>
      </w:pPr>
      <w:r w:rsidRPr="008D59A9">
        <w:rPr>
          <w:i/>
          <w:sz w:val="24"/>
          <w:szCs w:val="24"/>
        </w:rPr>
        <w:t>Børn &lt; 5 år:</w:t>
      </w:r>
    </w:p>
    <w:p w14:paraId="16B63BDD" w14:textId="77777777" w:rsidR="00D2612B" w:rsidRPr="008D59A9" w:rsidRDefault="00D2612B" w:rsidP="00A065D7">
      <w:pPr>
        <w:ind w:left="851"/>
        <w:rPr>
          <w:sz w:val="24"/>
          <w:szCs w:val="24"/>
        </w:rPr>
      </w:pPr>
      <w:r w:rsidRPr="008D59A9">
        <w:rPr>
          <w:sz w:val="24"/>
          <w:szCs w:val="24"/>
        </w:rPr>
        <w:t xml:space="preserve">Sikkerheden ved og virkningen af </w:t>
      </w:r>
      <w:proofErr w:type="spellStart"/>
      <w:r w:rsidRPr="008D59A9">
        <w:rPr>
          <w:sz w:val="24"/>
          <w:szCs w:val="24"/>
        </w:rPr>
        <w:t>trientin</w:t>
      </w:r>
      <w:proofErr w:type="spellEnd"/>
      <w:r w:rsidRPr="008D59A9">
        <w:rPr>
          <w:sz w:val="24"/>
          <w:szCs w:val="24"/>
        </w:rPr>
        <w:t xml:space="preserve"> hos børn &lt; 5 år er ikke fastlagt. Der foreligger ingen data.</w:t>
      </w:r>
    </w:p>
    <w:p w14:paraId="68233E83" w14:textId="77777777" w:rsidR="00D2612B" w:rsidRPr="008D59A9" w:rsidRDefault="00D2612B" w:rsidP="00A065D7">
      <w:pPr>
        <w:ind w:left="851"/>
        <w:rPr>
          <w:sz w:val="24"/>
          <w:szCs w:val="24"/>
          <w:u w:val="single"/>
        </w:rPr>
      </w:pPr>
    </w:p>
    <w:p w14:paraId="2B220E65" w14:textId="77777777" w:rsidR="00D2612B" w:rsidRPr="008D59A9" w:rsidRDefault="00D2612B" w:rsidP="00A065D7">
      <w:pPr>
        <w:ind w:left="851"/>
        <w:rPr>
          <w:sz w:val="24"/>
          <w:szCs w:val="24"/>
          <w:u w:val="single"/>
          <w:lang w:eastAsia="en-GB"/>
        </w:rPr>
      </w:pPr>
      <w:r w:rsidRPr="008D59A9">
        <w:rPr>
          <w:sz w:val="24"/>
          <w:szCs w:val="24"/>
          <w:u w:val="single"/>
        </w:rPr>
        <w:t>Administration</w:t>
      </w:r>
    </w:p>
    <w:p w14:paraId="548EF442" w14:textId="77777777" w:rsidR="00D2612B" w:rsidRPr="008D59A9" w:rsidRDefault="00D2612B" w:rsidP="00A065D7">
      <w:pPr>
        <w:ind w:left="851"/>
        <w:rPr>
          <w:sz w:val="24"/>
          <w:szCs w:val="24"/>
        </w:rPr>
      </w:pPr>
      <w:r w:rsidRPr="008D59A9">
        <w:rPr>
          <w:sz w:val="24"/>
          <w:szCs w:val="24"/>
        </w:rPr>
        <w:t>Til oral anvendelse.</w:t>
      </w:r>
    </w:p>
    <w:p w14:paraId="0B3D7154" w14:textId="77777777" w:rsidR="00D2612B" w:rsidRPr="008D59A9" w:rsidRDefault="00D2612B" w:rsidP="00A065D7">
      <w:pPr>
        <w:ind w:left="851"/>
        <w:rPr>
          <w:sz w:val="24"/>
          <w:szCs w:val="24"/>
        </w:rPr>
      </w:pPr>
    </w:p>
    <w:p w14:paraId="4F3165D4" w14:textId="2DC6B271" w:rsidR="00D2612B" w:rsidRPr="008D59A9" w:rsidRDefault="00D2612B" w:rsidP="00A065D7">
      <w:pPr>
        <w:ind w:left="851"/>
        <w:rPr>
          <w:sz w:val="24"/>
          <w:szCs w:val="24"/>
          <w:u w:val="single"/>
          <w:lang w:eastAsia="en-GB"/>
        </w:rPr>
      </w:pPr>
      <w:r w:rsidRPr="008D59A9">
        <w:rPr>
          <w:sz w:val="24"/>
          <w:szCs w:val="24"/>
        </w:rPr>
        <w:t xml:space="preserve">Kapslerne skal sluges hele med vand. Det er vigtigt, at </w:t>
      </w:r>
      <w:proofErr w:type="spellStart"/>
      <w:r w:rsidRPr="008D59A9">
        <w:rPr>
          <w:sz w:val="24"/>
          <w:szCs w:val="24"/>
        </w:rPr>
        <w:t>trientin</w:t>
      </w:r>
      <w:proofErr w:type="spellEnd"/>
      <w:r w:rsidRPr="008D59A9">
        <w:rPr>
          <w:sz w:val="24"/>
          <w:szCs w:val="24"/>
        </w:rPr>
        <w:t xml:space="preserve"> gives på tom mave mindst en time før et måltid eller to timer efter et måltid og mindst en time før/efter anden medicin, føde eller mælk (se pkt. 4.5).</w:t>
      </w:r>
    </w:p>
    <w:p w14:paraId="6C76539B" w14:textId="77777777" w:rsidR="009260DE" w:rsidRPr="008D59A9" w:rsidRDefault="009260DE" w:rsidP="009260DE">
      <w:pPr>
        <w:tabs>
          <w:tab w:val="left" w:pos="851"/>
        </w:tabs>
        <w:ind w:left="851"/>
        <w:rPr>
          <w:sz w:val="24"/>
          <w:szCs w:val="24"/>
        </w:rPr>
      </w:pPr>
    </w:p>
    <w:p w14:paraId="1272481D" w14:textId="77777777" w:rsidR="009260DE" w:rsidRPr="008D59A9" w:rsidRDefault="009260DE" w:rsidP="009260DE">
      <w:pPr>
        <w:tabs>
          <w:tab w:val="left" w:pos="851"/>
        </w:tabs>
        <w:ind w:left="851" w:hanging="851"/>
        <w:rPr>
          <w:b/>
          <w:sz w:val="24"/>
          <w:szCs w:val="24"/>
        </w:rPr>
      </w:pPr>
      <w:r w:rsidRPr="008D59A9">
        <w:rPr>
          <w:b/>
          <w:sz w:val="24"/>
          <w:szCs w:val="24"/>
        </w:rPr>
        <w:t>4.3</w:t>
      </w:r>
      <w:r w:rsidRPr="008D59A9">
        <w:rPr>
          <w:b/>
          <w:sz w:val="24"/>
          <w:szCs w:val="24"/>
        </w:rPr>
        <w:tab/>
        <w:t>Kontraindikationer</w:t>
      </w:r>
    </w:p>
    <w:p w14:paraId="4DF47104" w14:textId="77777777" w:rsidR="00D2612B" w:rsidRPr="008D59A9" w:rsidRDefault="00D2612B" w:rsidP="00A065D7">
      <w:pPr>
        <w:ind w:left="851"/>
        <w:rPr>
          <w:sz w:val="24"/>
          <w:szCs w:val="24"/>
          <w:lang w:eastAsia="en-GB"/>
        </w:rPr>
      </w:pPr>
      <w:r w:rsidRPr="008D59A9">
        <w:rPr>
          <w:sz w:val="24"/>
          <w:szCs w:val="24"/>
        </w:rPr>
        <w:t>Overfølsomhed over for det aktive stof eller over for et eller flere af hjælpestofferne anført i pkt. 6.1.</w:t>
      </w:r>
    </w:p>
    <w:p w14:paraId="0C1F9ACC" w14:textId="77777777" w:rsidR="009260DE" w:rsidRPr="008D59A9" w:rsidRDefault="009260DE" w:rsidP="009260DE">
      <w:pPr>
        <w:tabs>
          <w:tab w:val="left" w:pos="851"/>
        </w:tabs>
        <w:ind w:left="851"/>
        <w:rPr>
          <w:sz w:val="24"/>
          <w:szCs w:val="24"/>
        </w:rPr>
      </w:pPr>
    </w:p>
    <w:p w14:paraId="3382466C" w14:textId="77777777" w:rsidR="009260DE" w:rsidRPr="008D59A9" w:rsidRDefault="009260DE" w:rsidP="009260DE">
      <w:pPr>
        <w:tabs>
          <w:tab w:val="left" w:pos="851"/>
        </w:tabs>
        <w:ind w:left="851" w:hanging="851"/>
        <w:rPr>
          <w:b/>
          <w:sz w:val="24"/>
          <w:szCs w:val="24"/>
        </w:rPr>
      </w:pPr>
      <w:r w:rsidRPr="008D59A9">
        <w:rPr>
          <w:b/>
          <w:sz w:val="24"/>
          <w:szCs w:val="24"/>
        </w:rPr>
        <w:t>4.4</w:t>
      </w:r>
      <w:r w:rsidRPr="008D59A9">
        <w:rPr>
          <w:b/>
          <w:sz w:val="24"/>
          <w:szCs w:val="24"/>
        </w:rPr>
        <w:tab/>
        <w:t>Særlige advarsler og forsigtighedsregler vedrørende brugen</w:t>
      </w:r>
    </w:p>
    <w:p w14:paraId="473D771D" w14:textId="77777777" w:rsidR="00070F84" w:rsidRDefault="00070F84" w:rsidP="00070F84">
      <w:pPr>
        <w:ind w:left="851"/>
        <w:rPr>
          <w:sz w:val="24"/>
          <w:szCs w:val="24"/>
          <w:lang w:eastAsia="en-GB"/>
        </w:rPr>
      </w:pPr>
      <w:r>
        <w:rPr>
          <w:sz w:val="24"/>
          <w:szCs w:val="24"/>
        </w:rPr>
        <w:t xml:space="preserve">Når en patient skiftes fra en anden formulering af </w:t>
      </w:r>
      <w:proofErr w:type="spellStart"/>
      <w:r>
        <w:rPr>
          <w:sz w:val="24"/>
          <w:szCs w:val="24"/>
        </w:rPr>
        <w:t>trientin</w:t>
      </w:r>
      <w:proofErr w:type="spellEnd"/>
      <w:r>
        <w:rPr>
          <w:sz w:val="24"/>
          <w:szCs w:val="24"/>
        </w:rPr>
        <w:t xml:space="preserve">, tilrådes forsigtighed, da der kan fås forskellige </w:t>
      </w:r>
      <w:proofErr w:type="spellStart"/>
      <w:r>
        <w:rPr>
          <w:sz w:val="24"/>
          <w:szCs w:val="24"/>
        </w:rPr>
        <w:t>trientinsalte</w:t>
      </w:r>
      <w:proofErr w:type="spellEnd"/>
      <w:r>
        <w:rPr>
          <w:sz w:val="24"/>
          <w:szCs w:val="24"/>
        </w:rPr>
        <w:t>, som kan have forskellige biotilgængelighed. Dosisjustering kan være nødvendig (se pkt. 4.2).</w:t>
      </w:r>
    </w:p>
    <w:p w14:paraId="1C0F7206" w14:textId="77777777" w:rsidR="00070F84" w:rsidRDefault="00070F84" w:rsidP="00070F84">
      <w:pPr>
        <w:ind w:left="851"/>
        <w:rPr>
          <w:sz w:val="24"/>
          <w:szCs w:val="24"/>
        </w:rPr>
      </w:pPr>
    </w:p>
    <w:p w14:paraId="17960588" w14:textId="77777777" w:rsidR="00070F84" w:rsidRDefault="00070F84" w:rsidP="00070F84">
      <w:pPr>
        <w:ind w:left="851"/>
        <w:rPr>
          <w:sz w:val="24"/>
          <w:szCs w:val="24"/>
        </w:rPr>
      </w:pPr>
      <w:proofErr w:type="spellStart"/>
      <w:r>
        <w:rPr>
          <w:sz w:val="24"/>
          <w:szCs w:val="24"/>
        </w:rPr>
        <w:t>Trientin</w:t>
      </w:r>
      <w:proofErr w:type="spellEnd"/>
      <w:r>
        <w:rPr>
          <w:sz w:val="24"/>
          <w:szCs w:val="24"/>
        </w:rPr>
        <w:t xml:space="preserve"> er et </w:t>
      </w:r>
      <w:proofErr w:type="spellStart"/>
      <w:r>
        <w:rPr>
          <w:sz w:val="24"/>
          <w:szCs w:val="24"/>
        </w:rPr>
        <w:t>chelatdannende</w:t>
      </w:r>
      <w:proofErr w:type="spellEnd"/>
      <w:r>
        <w:rPr>
          <w:sz w:val="24"/>
          <w:szCs w:val="24"/>
        </w:rPr>
        <w:t xml:space="preserve"> middel, der er fundet at nedsætte indholdet af jern i serum. I nogle tilfælde kan jerntilskud være nødvendigt. Samtidig oralt jern skal administreres på et andet tidspunkt end </w:t>
      </w:r>
      <w:proofErr w:type="spellStart"/>
      <w:r>
        <w:rPr>
          <w:sz w:val="24"/>
          <w:szCs w:val="24"/>
        </w:rPr>
        <w:t>trientin</w:t>
      </w:r>
      <w:proofErr w:type="spellEnd"/>
      <w:r>
        <w:rPr>
          <w:sz w:val="24"/>
          <w:szCs w:val="24"/>
        </w:rPr>
        <w:t xml:space="preserve"> (se pkt. 4.5).</w:t>
      </w:r>
    </w:p>
    <w:p w14:paraId="23C4375C" w14:textId="77777777" w:rsidR="00635CB2" w:rsidRPr="008D59A9" w:rsidRDefault="00635CB2" w:rsidP="00A065D7">
      <w:pPr>
        <w:ind w:left="851"/>
        <w:rPr>
          <w:sz w:val="24"/>
          <w:szCs w:val="24"/>
        </w:rPr>
      </w:pPr>
    </w:p>
    <w:p w14:paraId="398C7DAB" w14:textId="79937241" w:rsidR="00635CB2" w:rsidRDefault="00635CB2" w:rsidP="00A065D7">
      <w:pPr>
        <w:ind w:left="851"/>
        <w:rPr>
          <w:sz w:val="24"/>
          <w:szCs w:val="24"/>
        </w:rPr>
      </w:pPr>
      <w:r w:rsidRPr="008D59A9">
        <w:rPr>
          <w:sz w:val="24"/>
          <w:szCs w:val="24"/>
        </w:rPr>
        <w:lastRenderedPageBreak/>
        <w:t xml:space="preserve">Kombinationen af </w:t>
      </w:r>
      <w:proofErr w:type="spellStart"/>
      <w:r w:rsidRPr="008D59A9">
        <w:rPr>
          <w:sz w:val="24"/>
          <w:szCs w:val="24"/>
        </w:rPr>
        <w:t>trientin</w:t>
      </w:r>
      <w:proofErr w:type="spellEnd"/>
      <w:r w:rsidRPr="008D59A9">
        <w:rPr>
          <w:sz w:val="24"/>
          <w:szCs w:val="24"/>
        </w:rPr>
        <w:t xml:space="preserve"> og zink anbefales ikke. Der foreligger kun begrænsede data om samtidig brug, og det er ikke muligt at angive specifikke anbefalinger til dosis</w:t>
      </w:r>
      <w:r w:rsidR="00070F84">
        <w:rPr>
          <w:sz w:val="24"/>
          <w:szCs w:val="24"/>
        </w:rPr>
        <w:t>.</w:t>
      </w:r>
    </w:p>
    <w:p w14:paraId="28931636" w14:textId="2DC7D888" w:rsidR="00070F84" w:rsidRDefault="00070F84" w:rsidP="00A065D7">
      <w:pPr>
        <w:ind w:left="851"/>
        <w:rPr>
          <w:sz w:val="24"/>
          <w:szCs w:val="24"/>
        </w:rPr>
      </w:pPr>
    </w:p>
    <w:p w14:paraId="66CA94BF" w14:textId="367846BE" w:rsidR="00070F84" w:rsidRPr="008D59A9" w:rsidRDefault="00070F84" w:rsidP="00070F84">
      <w:pPr>
        <w:ind w:left="851"/>
        <w:rPr>
          <w:sz w:val="24"/>
          <w:szCs w:val="24"/>
        </w:rPr>
      </w:pPr>
      <w:r>
        <w:rPr>
          <w:sz w:val="24"/>
          <w:szCs w:val="24"/>
        </w:rPr>
        <w:t xml:space="preserve">Der er ingen evidens for, at calcium- og </w:t>
      </w:r>
      <w:proofErr w:type="spellStart"/>
      <w:r>
        <w:rPr>
          <w:sz w:val="24"/>
          <w:szCs w:val="24"/>
        </w:rPr>
        <w:t>magnesiumantacida</w:t>
      </w:r>
      <w:proofErr w:type="spellEnd"/>
      <w:r>
        <w:rPr>
          <w:sz w:val="24"/>
          <w:szCs w:val="24"/>
        </w:rPr>
        <w:t xml:space="preserve"> ændrer </w:t>
      </w:r>
      <w:proofErr w:type="spellStart"/>
      <w:r>
        <w:rPr>
          <w:sz w:val="24"/>
          <w:szCs w:val="24"/>
        </w:rPr>
        <w:t>trientins</w:t>
      </w:r>
      <w:proofErr w:type="spellEnd"/>
      <w:r>
        <w:rPr>
          <w:sz w:val="24"/>
          <w:szCs w:val="24"/>
        </w:rPr>
        <w:t xml:space="preserve"> virkning, men de bør gives på forskellige tidspunkter (se pkt. 4.5).</w:t>
      </w:r>
    </w:p>
    <w:p w14:paraId="5DBDDA44" w14:textId="77777777" w:rsidR="00635CB2" w:rsidRPr="008D59A9" w:rsidRDefault="00635CB2" w:rsidP="00A065D7">
      <w:pPr>
        <w:ind w:left="851"/>
        <w:rPr>
          <w:sz w:val="24"/>
          <w:szCs w:val="24"/>
        </w:rPr>
      </w:pPr>
    </w:p>
    <w:p w14:paraId="576B580A" w14:textId="77777777" w:rsidR="00635CB2" w:rsidRPr="008D59A9" w:rsidRDefault="00635CB2" w:rsidP="00A065D7">
      <w:pPr>
        <w:ind w:left="851"/>
        <w:rPr>
          <w:sz w:val="24"/>
          <w:szCs w:val="24"/>
        </w:rPr>
      </w:pPr>
      <w:r w:rsidRPr="008D59A9">
        <w:rPr>
          <w:sz w:val="24"/>
          <w:szCs w:val="24"/>
        </w:rPr>
        <w:t>Der er hos patienter, som tidligere har været i behandling med D-</w:t>
      </w:r>
      <w:proofErr w:type="spellStart"/>
      <w:r w:rsidRPr="008D59A9">
        <w:rPr>
          <w:sz w:val="24"/>
          <w:szCs w:val="24"/>
        </w:rPr>
        <w:t>penicillamin</w:t>
      </w:r>
      <w:proofErr w:type="spellEnd"/>
      <w:r w:rsidRPr="008D59A9">
        <w:rPr>
          <w:sz w:val="24"/>
          <w:szCs w:val="24"/>
        </w:rPr>
        <w:t xml:space="preserve">, rapporteret lupuslignende reaktioner under samtidig behandling med </w:t>
      </w:r>
      <w:proofErr w:type="spellStart"/>
      <w:r w:rsidRPr="008D59A9">
        <w:rPr>
          <w:sz w:val="24"/>
          <w:szCs w:val="24"/>
        </w:rPr>
        <w:t>trientin</w:t>
      </w:r>
      <w:proofErr w:type="spellEnd"/>
      <w:r w:rsidRPr="008D59A9">
        <w:rPr>
          <w:sz w:val="24"/>
          <w:szCs w:val="24"/>
        </w:rPr>
        <w:t xml:space="preserve">, men det er ikke muligt at afgøre, om der er en årsagssammenhæng med </w:t>
      </w:r>
      <w:proofErr w:type="spellStart"/>
      <w:r w:rsidRPr="008D59A9">
        <w:rPr>
          <w:sz w:val="24"/>
          <w:szCs w:val="24"/>
        </w:rPr>
        <w:t>trientin</w:t>
      </w:r>
      <w:proofErr w:type="spellEnd"/>
      <w:r w:rsidRPr="008D59A9">
        <w:rPr>
          <w:sz w:val="24"/>
          <w:szCs w:val="24"/>
        </w:rPr>
        <w:t>.</w:t>
      </w:r>
    </w:p>
    <w:p w14:paraId="4C1D62B4" w14:textId="77777777" w:rsidR="00635CB2" w:rsidRPr="008D59A9" w:rsidRDefault="00635CB2" w:rsidP="00A065D7">
      <w:pPr>
        <w:ind w:left="851"/>
        <w:rPr>
          <w:sz w:val="24"/>
          <w:szCs w:val="24"/>
        </w:rPr>
      </w:pPr>
    </w:p>
    <w:p w14:paraId="23066B1D" w14:textId="77777777" w:rsidR="00070F84" w:rsidRDefault="00070F84" w:rsidP="00070F84">
      <w:pPr>
        <w:ind w:left="851"/>
        <w:rPr>
          <w:sz w:val="24"/>
          <w:szCs w:val="24"/>
          <w:u w:val="single"/>
        </w:rPr>
      </w:pPr>
      <w:r>
        <w:rPr>
          <w:sz w:val="24"/>
          <w:szCs w:val="24"/>
          <w:u w:val="single"/>
        </w:rPr>
        <w:t>Monitorering</w:t>
      </w:r>
    </w:p>
    <w:p w14:paraId="484806E2" w14:textId="77777777" w:rsidR="00070F84" w:rsidRDefault="00070F84" w:rsidP="00070F84">
      <w:pPr>
        <w:ind w:left="851"/>
        <w:rPr>
          <w:sz w:val="24"/>
          <w:szCs w:val="24"/>
        </w:rPr>
      </w:pPr>
      <w:r>
        <w:rPr>
          <w:sz w:val="24"/>
          <w:szCs w:val="24"/>
        </w:rPr>
        <w:t xml:space="preserve">Patienter, som får </w:t>
      </w:r>
      <w:proofErr w:type="spellStart"/>
      <w:r>
        <w:rPr>
          <w:sz w:val="24"/>
          <w:szCs w:val="24"/>
        </w:rPr>
        <w:t>trientin</w:t>
      </w:r>
      <w:proofErr w:type="spellEnd"/>
      <w:r>
        <w:rPr>
          <w:sz w:val="24"/>
          <w:szCs w:val="24"/>
        </w:rPr>
        <w:t>, skal være under regelmæssigt lægeligt opsyn og overvåges ved hjælp af alle tilgængelige kliniske data med henblik på tilstrækkelig kontrol af kliniske symptomer og kobberkoncentrationer for at optimere behandlingen. Overvågningen skal foregå mindst to gange om året. Hyppigere overvågning tilrådes i behandlingens indledende fase, under sygdomsprogression, eller når dosisjusteringerne foretages og besluttes af den behandlende læge (se pkt. 4.2).</w:t>
      </w:r>
    </w:p>
    <w:p w14:paraId="0E3CF3A8" w14:textId="77777777" w:rsidR="00070F84" w:rsidRDefault="00070F84" w:rsidP="00070F84">
      <w:pPr>
        <w:ind w:left="851"/>
        <w:rPr>
          <w:sz w:val="24"/>
          <w:szCs w:val="24"/>
        </w:rPr>
      </w:pPr>
      <w:r>
        <w:rPr>
          <w:sz w:val="24"/>
          <w:szCs w:val="24"/>
        </w:rPr>
        <w:t>Formålet med vedligeholdelsesbehandlingen er at holde niveauet af frit kobber i plasma (også kaldet ikke-</w:t>
      </w:r>
      <w:proofErr w:type="spellStart"/>
      <w:r>
        <w:rPr>
          <w:sz w:val="24"/>
          <w:szCs w:val="24"/>
        </w:rPr>
        <w:t>ceruloplasmin</w:t>
      </w:r>
      <w:proofErr w:type="spellEnd"/>
      <w:r>
        <w:rPr>
          <w:sz w:val="24"/>
          <w:szCs w:val="24"/>
        </w:rPr>
        <w:t xml:space="preserve"> plasmakobber) og udskillelsen af kobber i urinen inden for acceptable grænser som anført nedenfor. </w:t>
      </w:r>
    </w:p>
    <w:p w14:paraId="535C288E" w14:textId="77777777" w:rsidR="00070F84" w:rsidRDefault="00070F84" w:rsidP="00070F84">
      <w:pPr>
        <w:ind w:left="851"/>
        <w:rPr>
          <w:sz w:val="24"/>
          <w:szCs w:val="24"/>
        </w:rPr>
      </w:pPr>
    </w:p>
    <w:p w14:paraId="118CB617" w14:textId="77777777" w:rsidR="00070F84" w:rsidRDefault="00070F84" w:rsidP="00070F84">
      <w:pPr>
        <w:ind w:left="851"/>
        <w:rPr>
          <w:sz w:val="24"/>
          <w:szCs w:val="24"/>
        </w:rPr>
      </w:pPr>
      <w:r>
        <w:rPr>
          <w:sz w:val="24"/>
          <w:szCs w:val="24"/>
        </w:rPr>
        <w:t xml:space="preserve">Bestemmelse af serumfrit kobber, der beregnes ved hjælp af forskellen mellem kobber i alt og det </w:t>
      </w:r>
      <w:proofErr w:type="spellStart"/>
      <w:r>
        <w:rPr>
          <w:sz w:val="24"/>
          <w:szCs w:val="24"/>
        </w:rPr>
        <w:t>ceruloplasminbundne</w:t>
      </w:r>
      <w:proofErr w:type="spellEnd"/>
      <w:r>
        <w:rPr>
          <w:sz w:val="24"/>
          <w:szCs w:val="24"/>
        </w:rPr>
        <w:t xml:space="preserve"> kopper (det normale niveau af frit kobber i serum er sædvanligvis 100-150 mikrogram/l), kan være et nyttigt indeks til overvågning af behandlingen.</w:t>
      </w:r>
    </w:p>
    <w:p w14:paraId="5E325669" w14:textId="77777777" w:rsidR="00070F84" w:rsidRDefault="00070F84" w:rsidP="00070F84">
      <w:pPr>
        <w:ind w:left="851"/>
        <w:rPr>
          <w:sz w:val="24"/>
          <w:szCs w:val="24"/>
        </w:rPr>
      </w:pPr>
    </w:p>
    <w:p w14:paraId="4C29F3FA" w14:textId="77777777" w:rsidR="00070F84" w:rsidRDefault="00070F84" w:rsidP="00070F84">
      <w:pPr>
        <w:ind w:left="851"/>
        <w:rPr>
          <w:sz w:val="24"/>
          <w:szCs w:val="24"/>
        </w:rPr>
      </w:pPr>
      <w:r>
        <w:rPr>
          <w:sz w:val="24"/>
          <w:szCs w:val="24"/>
        </w:rPr>
        <w:t xml:space="preserve">Der kan foretages en måling af udskillelsen af kobber i urin under behandlingen. Eftersom </w:t>
      </w:r>
      <w:proofErr w:type="spellStart"/>
      <w:r>
        <w:rPr>
          <w:sz w:val="24"/>
          <w:szCs w:val="24"/>
        </w:rPr>
        <w:t>chelaterende</w:t>
      </w:r>
      <w:proofErr w:type="spellEnd"/>
      <w:r>
        <w:rPr>
          <w:sz w:val="24"/>
          <w:szCs w:val="24"/>
        </w:rPr>
        <w:t xml:space="preserve"> behandling fører til en stigning i kobberniveauet i urin, vil dette muligvis ikke give et nøjagtigt billede af den overskydende jernmængde i kroppen, men være et nyttigt mål for behandlingscompliance.</w:t>
      </w:r>
    </w:p>
    <w:p w14:paraId="0081A500" w14:textId="77777777" w:rsidR="00070F84" w:rsidRDefault="00070F84" w:rsidP="00070F84">
      <w:pPr>
        <w:ind w:left="851"/>
        <w:rPr>
          <w:sz w:val="24"/>
          <w:szCs w:val="24"/>
        </w:rPr>
      </w:pPr>
    </w:p>
    <w:p w14:paraId="08A3A90D" w14:textId="77777777" w:rsidR="00070F84" w:rsidRDefault="00070F84" w:rsidP="00070F84">
      <w:pPr>
        <w:ind w:left="851"/>
        <w:rPr>
          <w:sz w:val="24"/>
          <w:szCs w:val="24"/>
        </w:rPr>
      </w:pPr>
      <w:r>
        <w:rPr>
          <w:sz w:val="24"/>
          <w:szCs w:val="24"/>
        </w:rPr>
        <w:t>Brugen af passende målintervaller for kobberparametre er beskrevet i de kliniske retningslinjer for Wilsons sygdom.</w:t>
      </w:r>
    </w:p>
    <w:p w14:paraId="0999061C" w14:textId="77777777" w:rsidR="00070F84" w:rsidRDefault="00070F84" w:rsidP="00070F84">
      <w:pPr>
        <w:ind w:left="851"/>
        <w:rPr>
          <w:sz w:val="24"/>
          <w:szCs w:val="24"/>
        </w:rPr>
      </w:pPr>
    </w:p>
    <w:p w14:paraId="4E8C097F" w14:textId="77777777" w:rsidR="00070F84" w:rsidRDefault="00070F84" w:rsidP="00070F84">
      <w:pPr>
        <w:ind w:left="851"/>
        <w:rPr>
          <w:sz w:val="24"/>
          <w:szCs w:val="24"/>
        </w:rPr>
      </w:pPr>
      <w:r>
        <w:rPr>
          <w:sz w:val="24"/>
          <w:szCs w:val="24"/>
        </w:rPr>
        <w:t xml:space="preserve">Som med alle </w:t>
      </w:r>
      <w:proofErr w:type="spellStart"/>
      <w:r>
        <w:rPr>
          <w:sz w:val="24"/>
          <w:szCs w:val="24"/>
        </w:rPr>
        <w:t>anti</w:t>
      </w:r>
      <w:proofErr w:type="spellEnd"/>
      <w:r>
        <w:rPr>
          <w:sz w:val="24"/>
          <w:szCs w:val="24"/>
        </w:rPr>
        <w:t>-kobberpræparater kan overbehandling medføre en risiko for kobbermangel, der især er skadelig for børn og gravide kvinder (se pkt. 4.6), idet kobber er nødvendigt for en naturlig vækst og psykisk udvikling. Derfor skal manifestationer på overbehandling overvåges.</w:t>
      </w:r>
    </w:p>
    <w:p w14:paraId="6D551A7F" w14:textId="77777777" w:rsidR="00070F84" w:rsidRDefault="00070F84" w:rsidP="00070F84">
      <w:pPr>
        <w:ind w:left="851"/>
        <w:rPr>
          <w:sz w:val="24"/>
          <w:szCs w:val="24"/>
        </w:rPr>
      </w:pPr>
    </w:p>
    <w:p w14:paraId="74E67C0F" w14:textId="77777777" w:rsidR="00070F84" w:rsidRDefault="00070F84" w:rsidP="00070F84">
      <w:pPr>
        <w:ind w:left="851"/>
        <w:rPr>
          <w:sz w:val="24"/>
          <w:szCs w:val="24"/>
        </w:rPr>
      </w:pPr>
      <w:r>
        <w:rPr>
          <w:sz w:val="24"/>
          <w:szCs w:val="24"/>
        </w:rPr>
        <w:t xml:space="preserve">Patienter, der har nedsat nyre- og/eller leverfunktion og er i behandling med </w:t>
      </w:r>
      <w:proofErr w:type="spellStart"/>
      <w:r>
        <w:rPr>
          <w:sz w:val="24"/>
          <w:szCs w:val="24"/>
        </w:rPr>
        <w:t>trientin</w:t>
      </w:r>
      <w:proofErr w:type="spellEnd"/>
      <w:r>
        <w:rPr>
          <w:sz w:val="24"/>
          <w:szCs w:val="24"/>
        </w:rPr>
        <w:t>, skal fortsat være under regelmæssigt lægeligt opsyn for at kontrollere symptomer og kobberniveauer tilstrækkeligt. Desuden anbefales tæt overvågning af nyre- og/eller leverfunktionen hos disse patienter (se pkt. 4.2).</w:t>
      </w:r>
    </w:p>
    <w:p w14:paraId="49324A74" w14:textId="77777777" w:rsidR="00070F84" w:rsidRDefault="00070F84" w:rsidP="00070F84">
      <w:pPr>
        <w:ind w:left="851"/>
        <w:rPr>
          <w:sz w:val="24"/>
          <w:szCs w:val="24"/>
        </w:rPr>
      </w:pPr>
    </w:p>
    <w:p w14:paraId="295F197C" w14:textId="77777777" w:rsidR="00070F84" w:rsidRDefault="00070F84" w:rsidP="00070F84">
      <w:pPr>
        <w:ind w:left="851"/>
        <w:rPr>
          <w:sz w:val="24"/>
          <w:szCs w:val="24"/>
        </w:rPr>
      </w:pPr>
      <w:r>
        <w:rPr>
          <w:sz w:val="24"/>
          <w:szCs w:val="24"/>
        </w:rPr>
        <w:t xml:space="preserve">Neurologiske symptomer kan forværres i begyndelsen af </w:t>
      </w:r>
      <w:proofErr w:type="spellStart"/>
      <w:r>
        <w:rPr>
          <w:sz w:val="24"/>
          <w:szCs w:val="24"/>
        </w:rPr>
        <w:t>chelatbehandlingen</w:t>
      </w:r>
      <w:proofErr w:type="spellEnd"/>
      <w:r>
        <w:rPr>
          <w:sz w:val="24"/>
          <w:szCs w:val="24"/>
        </w:rPr>
        <w:t xml:space="preserve"> på grund af overskuddet af frit kobber i serum i den initiale respons på behandlingen. Denne effekt kan være mere fremtrædende hos patienter med eksisterende neurologiske symptomer. Det anbefales at overvåge patienterne tæt for sådanne tegn og symptomer samt overveje omhyggelig titrering for at nå den anbefalede terapeutiske dosis og reducere dosis, når det er nødvendigt.</w:t>
      </w:r>
    </w:p>
    <w:p w14:paraId="40617F9E" w14:textId="77777777" w:rsidR="00070F84" w:rsidRDefault="00070F84" w:rsidP="00070F84">
      <w:pPr>
        <w:ind w:left="851"/>
        <w:rPr>
          <w:sz w:val="24"/>
          <w:szCs w:val="24"/>
        </w:rPr>
      </w:pPr>
    </w:p>
    <w:p w14:paraId="77699481" w14:textId="77777777" w:rsidR="00070F84" w:rsidRDefault="00070F84" w:rsidP="00070F84">
      <w:pPr>
        <w:ind w:left="851"/>
        <w:rPr>
          <w:sz w:val="24"/>
          <w:szCs w:val="24"/>
        </w:rPr>
      </w:pPr>
      <w:r>
        <w:rPr>
          <w:sz w:val="24"/>
          <w:szCs w:val="24"/>
        </w:rPr>
        <w:lastRenderedPageBreak/>
        <w:t xml:space="preserve">Dosisjusteringer af </w:t>
      </w:r>
      <w:proofErr w:type="spellStart"/>
      <w:r>
        <w:rPr>
          <w:sz w:val="24"/>
          <w:szCs w:val="24"/>
        </w:rPr>
        <w:t>trientindosis</w:t>
      </w:r>
      <w:proofErr w:type="spellEnd"/>
      <w:r>
        <w:rPr>
          <w:sz w:val="24"/>
          <w:szCs w:val="24"/>
        </w:rPr>
        <w:t xml:space="preserve"> skal overvejes ved tegn på nedsat virkning såsom (vedvarende) stigning i levertal og forværring af </w:t>
      </w:r>
      <w:proofErr w:type="spellStart"/>
      <w:r>
        <w:rPr>
          <w:sz w:val="24"/>
          <w:szCs w:val="24"/>
        </w:rPr>
        <w:t>tremor</w:t>
      </w:r>
      <w:proofErr w:type="spellEnd"/>
      <w:r>
        <w:rPr>
          <w:sz w:val="24"/>
          <w:szCs w:val="24"/>
        </w:rPr>
        <w:t xml:space="preserve">. Når </w:t>
      </w:r>
      <w:proofErr w:type="spellStart"/>
      <w:r>
        <w:rPr>
          <w:sz w:val="24"/>
          <w:szCs w:val="24"/>
        </w:rPr>
        <w:t>trientindosis</w:t>
      </w:r>
      <w:proofErr w:type="spellEnd"/>
      <w:r>
        <w:rPr>
          <w:sz w:val="24"/>
          <w:szCs w:val="24"/>
        </w:rPr>
        <w:t xml:space="preserve"> justeres, skal det ske i små trin. </w:t>
      </w:r>
      <w:proofErr w:type="spellStart"/>
      <w:r>
        <w:rPr>
          <w:sz w:val="24"/>
          <w:szCs w:val="24"/>
        </w:rPr>
        <w:t>Trientindosis</w:t>
      </w:r>
      <w:proofErr w:type="spellEnd"/>
      <w:r>
        <w:rPr>
          <w:sz w:val="24"/>
          <w:szCs w:val="24"/>
        </w:rPr>
        <w:t xml:space="preserve"> kan også reduceres, hvis der opstår bivirkninger ved </w:t>
      </w:r>
      <w:proofErr w:type="spellStart"/>
      <w:r>
        <w:rPr>
          <w:sz w:val="24"/>
          <w:szCs w:val="24"/>
        </w:rPr>
        <w:t>trientin</w:t>
      </w:r>
      <w:proofErr w:type="spellEnd"/>
      <w:r>
        <w:rPr>
          <w:sz w:val="24"/>
          <w:szCs w:val="24"/>
        </w:rPr>
        <w:t xml:space="preserve"> såsom </w:t>
      </w:r>
      <w:proofErr w:type="spellStart"/>
      <w:r>
        <w:rPr>
          <w:sz w:val="24"/>
          <w:szCs w:val="24"/>
        </w:rPr>
        <w:t>gastrointestinale</w:t>
      </w:r>
      <w:proofErr w:type="spellEnd"/>
      <w:r>
        <w:rPr>
          <w:sz w:val="24"/>
          <w:szCs w:val="24"/>
        </w:rPr>
        <w:t xml:space="preserve"> problemer og hæmatologiske ændringer. </w:t>
      </w:r>
      <w:proofErr w:type="spellStart"/>
      <w:r>
        <w:rPr>
          <w:sz w:val="24"/>
          <w:szCs w:val="24"/>
        </w:rPr>
        <w:t>Trientindoserne</w:t>
      </w:r>
      <w:proofErr w:type="spellEnd"/>
      <w:r>
        <w:rPr>
          <w:sz w:val="24"/>
          <w:szCs w:val="24"/>
        </w:rPr>
        <w:t xml:space="preserve"> skal reduceres til en mere </w:t>
      </w:r>
      <w:proofErr w:type="spellStart"/>
      <w:r>
        <w:rPr>
          <w:sz w:val="24"/>
          <w:szCs w:val="24"/>
        </w:rPr>
        <w:t>tolererbar</w:t>
      </w:r>
      <w:proofErr w:type="spellEnd"/>
      <w:r>
        <w:rPr>
          <w:sz w:val="24"/>
          <w:szCs w:val="24"/>
        </w:rPr>
        <w:t xml:space="preserve"> dosis og kan øges igen, når bivirkningerne er forsvundet.</w:t>
      </w:r>
    </w:p>
    <w:p w14:paraId="37C1FCAE" w14:textId="77777777" w:rsidR="00635CB2" w:rsidRPr="00F37F5F" w:rsidRDefault="00635CB2" w:rsidP="00070F84">
      <w:pPr>
        <w:rPr>
          <w:sz w:val="24"/>
          <w:szCs w:val="24"/>
        </w:rPr>
      </w:pPr>
    </w:p>
    <w:p w14:paraId="28077994" w14:textId="77777777" w:rsidR="00635CB2" w:rsidRPr="00F37F5F" w:rsidRDefault="00635CB2" w:rsidP="00A065D7">
      <w:pPr>
        <w:ind w:left="851"/>
        <w:rPr>
          <w:iCs/>
          <w:sz w:val="24"/>
          <w:szCs w:val="24"/>
          <w:u w:val="single"/>
        </w:rPr>
      </w:pPr>
      <w:r w:rsidRPr="00F37F5F">
        <w:rPr>
          <w:iCs/>
          <w:sz w:val="24"/>
          <w:szCs w:val="24"/>
          <w:u w:val="single"/>
        </w:rPr>
        <w:t>Hjælpestoffer</w:t>
      </w:r>
    </w:p>
    <w:p w14:paraId="5DB11650" w14:textId="77777777" w:rsidR="00635CB2" w:rsidRPr="008D59A9" w:rsidRDefault="00635CB2" w:rsidP="00A065D7">
      <w:pPr>
        <w:ind w:left="851"/>
        <w:rPr>
          <w:sz w:val="24"/>
          <w:szCs w:val="24"/>
        </w:rPr>
      </w:pPr>
      <w:r w:rsidRPr="008D59A9">
        <w:rPr>
          <w:sz w:val="24"/>
          <w:szCs w:val="24"/>
        </w:rPr>
        <w:t>Denne medicin indeholder under 1 mmol natrium (23 mg) pr. kapsel, dvs. det er i det væsentlige "natriumfrit".</w:t>
      </w:r>
    </w:p>
    <w:p w14:paraId="1B7BD600" w14:textId="77777777" w:rsidR="009260DE" w:rsidRPr="008D59A9" w:rsidRDefault="009260DE" w:rsidP="009260DE">
      <w:pPr>
        <w:tabs>
          <w:tab w:val="left" w:pos="851"/>
        </w:tabs>
        <w:ind w:left="851"/>
        <w:rPr>
          <w:sz w:val="24"/>
          <w:szCs w:val="24"/>
        </w:rPr>
      </w:pPr>
    </w:p>
    <w:p w14:paraId="78CD89AD" w14:textId="77777777" w:rsidR="009260DE" w:rsidRPr="008D59A9" w:rsidRDefault="009260DE" w:rsidP="009260DE">
      <w:pPr>
        <w:tabs>
          <w:tab w:val="left" w:pos="851"/>
        </w:tabs>
        <w:ind w:left="851" w:hanging="851"/>
        <w:rPr>
          <w:b/>
          <w:sz w:val="24"/>
          <w:szCs w:val="24"/>
        </w:rPr>
      </w:pPr>
      <w:r w:rsidRPr="008D59A9">
        <w:rPr>
          <w:b/>
          <w:sz w:val="24"/>
          <w:szCs w:val="24"/>
        </w:rPr>
        <w:t>4.5</w:t>
      </w:r>
      <w:r w:rsidRPr="008D59A9">
        <w:rPr>
          <w:b/>
          <w:sz w:val="24"/>
          <w:szCs w:val="24"/>
        </w:rPr>
        <w:tab/>
        <w:t>Interaktion med andre lægemidler og andre former for interaktion</w:t>
      </w:r>
    </w:p>
    <w:p w14:paraId="47DFBB41" w14:textId="23EF5F86" w:rsidR="00635CB2" w:rsidRPr="008D59A9" w:rsidRDefault="00635CB2" w:rsidP="00070F84">
      <w:pPr>
        <w:ind w:left="851"/>
        <w:rPr>
          <w:sz w:val="24"/>
          <w:szCs w:val="24"/>
          <w:lang w:eastAsia="en-GB"/>
        </w:rPr>
      </w:pPr>
      <w:r w:rsidRPr="008D59A9">
        <w:rPr>
          <w:sz w:val="24"/>
          <w:szCs w:val="24"/>
        </w:rPr>
        <w:t>Der er ikke udført interaktions</w:t>
      </w:r>
      <w:r w:rsidR="00F37F5F">
        <w:rPr>
          <w:sz w:val="24"/>
          <w:szCs w:val="24"/>
        </w:rPr>
        <w:t>studier</w:t>
      </w:r>
      <w:r w:rsidRPr="008D59A9">
        <w:rPr>
          <w:sz w:val="24"/>
          <w:szCs w:val="24"/>
        </w:rPr>
        <w:t>.</w:t>
      </w:r>
    </w:p>
    <w:p w14:paraId="6009E4EB" w14:textId="77777777" w:rsidR="00070F84" w:rsidRDefault="00070F84" w:rsidP="00070F84">
      <w:pPr>
        <w:ind w:left="851"/>
        <w:rPr>
          <w:sz w:val="24"/>
          <w:szCs w:val="24"/>
        </w:rPr>
      </w:pPr>
    </w:p>
    <w:p w14:paraId="769FE9C7" w14:textId="77777777" w:rsidR="00070F84" w:rsidRDefault="00070F84" w:rsidP="00070F84">
      <w:pPr>
        <w:ind w:left="851"/>
        <w:rPr>
          <w:sz w:val="24"/>
          <w:szCs w:val="24"/>
          <w:u w:val="single"/>
        </w:rPr>
      </w:pPr>
      <w:r>
        <w:rPr>
          <w:sz w:val="24"/>
          <w:szCs w:val="24"/>
          <w:u w:val="single"/>
        </w:rPr>
        <w:t>Zink</w:t>
      </w:r>
    </w:p>
    <w:p w14:paraId="6FD87266" w14:textId="77777777" w:rsidR="00070F84" w:rsidRDefault="00070F84" w:rsidP="00070F84">
      <w:pPr>
        <w:ind w:left="851"/>
        <w:rPr>
          <w:sz w:val="24"/>
          <w:szCs w:val="24"/>
        </w:rPr>
      </w:pPr>
      <w:r>
        <w:rPr>
          <w:sz w:val="24"/>
          <w:szCs w:val="24"/>
        </w:rPr>
        <w:t xml:space="preserve">Der er utilstrækkelige data til at underbygge samtidig brug af zink og </w:t>
      </w:r>
      <w:proofErr w:type="spellStart"/>
      <w:r>
        <w:rPr>
          <w:sz w:val="24"/>
          <w:szCs w:val="24"/>
        </w:rPr>
        <w:t>trientin</w:t>
      </w:r>
      <w:proofErr w:type="spellEnd"/>
      <w:r>
        <w:rPr>
          <w:sz w:val="24"/>
          <w:szCs w:val="24"/>
        </w:rPr>
        <w:t xml:space="preserve">. Det frarådes at kombinere </w:t>
      </w:r>
      <w:proofErr w:type="spellStart"/>
      <w:r>
        <w:rPr>
          <w:sz w:val="24"/>
          <w:szCs w:val="24"/>
        </w:rPr>
        <w:t>trientin</w:t>
      </w:r>
      <w:proofErr w:type="spellEnd"/>
      <w:r>
        <w:rPr>
          <w:sz w:val="24"/>
          <w:szCs w:val="24"/>
        </w:rPr>
        <w:t xml:space="preserve"> med zink på grund af zinks sandsynlige interaktion med </w:t>
      </w:r>
      <w:proofErr w:type="spellStart"/>
      <w:r>
        <w:rPr>
          <w:sz w:val="24"/>
          <w:szCs w:val="24"/>
        </w:rPr>
        <w:t>trientin</w:t>
      </w:r>
      <w:proofErr w:type="spellEnd"/>
      <w:r>
        <w:rPr>
          <w:sz w:val="24"/>
          <w:szCs w:val="24"/>
        </w:rPr>
        <w:t>, hvorved effekten af begge aktive stoffer reduceres.</w:t>
      </w:r>
    </w:p>
    <w:p w14:paraId="5DA99DAD" w14:textId="77777777" w:rsidR="00070F84" w:rsidRDefault="00070F84" w:rsidP="00070F84">
      <w:pPr>
        <w:ind w:left="851"/>
        <w:rPr>
          <w:sz w:val="24"/>
          <w:szCs w:val="24"/>
        </w:rPr>
      </w:pPr>
    </w:p>
    <w:p w14:paraId="4F12E1F8" w14:textId="77777777" w:rsidR="00070F84" w:rsidRDefault="00070F84" w:rsidP="00070F84">
      <w:pPr>
        <w:ind w:left="851"/>
        <w:rPr>
          <w:sz w:val="24"/>
          <w:szCs w:val="24"/>
          <w:u w:val="single"/>
        </w:rPr>
      </w:pPr>
      <w:r>
        <w:rPr>
          <w:sz w:val="24"/>
          <w:szCs w:val="24"/>
          <w:u w:val="single"/>
        </w:rPr>
        <w:t xml:space="preserve">Andre </w:t>
      </w:r>
      <w:proofErr w:type="spellStart"/>
      <w:r>
        <w:rPr>
          <w:sz w:val="24"/>
          <w:szCs w:val="24"/>
          <w:u w:val="single"/>
        </w:rPr>
        <w:t>anti</w:t>
      </w:r>
      <w:proofErr w:type="spellEnd"/>
      <w:r>
        <w:rPr>
          <w:sz w:val="24"/>
          <w:szCs w:val="24"/>
          <w:u w:val="single"/>
        </w:rPr>
        <w:t>-kobberpræparater</w:t>
      </w:r>
    </w:p>
    <w:p w14:paraId="2273C50E" w14:textId="77777777" w:rsidR="00070F84" w:rsidRDefault="00070F84" w:rsidP="00070F84">
      <w:pPr>
        <w:ind w:left="851"/>
        <w:rPr>
          <w:sz w:val="24"/>
          <w:szCs w:val="24"/>
        </w:rPr>
      </w:pPr>
      <w:r>
        <w:rPr>
          <w:sz w:val="24"/>
          <w:szCs w:val="24"/>
        </w:rPr>
        <w:t xml:space="preserve">Der er ikke udført interaktionsstudier med samtidig administration af </w:t>
      </w:r>
      <w:proofErr w:type="spellStart"/>
      <w:r>
        <w:rPr>
          <w:sz w:val="24"/>
          <w:szCs w:val="24"/>
        </w:rPr>
        <w:t>trientin</w:t>
      </w:r>
      <w:proofErr w:type="spellEnd"/>
      <w:r>
        <w:rPr>
          <w:sz w:val="24"/>
          <w:szCs w:val="24"/>
        </w:rPr>
        <w:t xml:space="preserve"> og D-</w:t>
      </w:r>
      <w:proofErr w:type="spellStart"/>
      <w:r>
        <w:rPr>
          <w:sz w:val="24"/>
          <w:szCs w:val="24"/>
        </w:rPr>
        <w:t>penicillamin</w:t>
      </w:r>
      <w:proofErr w:type="spellEnd"/>
      <w:r>
        <w:rPr>
          <w:sz w:val="24"/>
          <w:szCs w:val="24"/>
        </w:rPr>
        <w:t>.</w:t>
      </w:r>
    </w:p>
    <w:p w14:paraId="4E5B7B62" w14:textId="77777777" w:rsidR="00070F84" w:rsidRDefault="00070F84" w:rsidP="00070F84">
      <w:pPr>
        <w:ind w:left="851"/>
        <w:rPr>
          <w:sz w:val="24"/>
          <w:szCs w:val="24"/>
          <w:u w:val="single"/>
        </w:rPr>
      </w:pPr>
    </w:p>
    <w:p w14:paraId="26993B84" w14:textId="77777777" w:rsidR="00070F84" w:rsidRDefault="00070F84" w:rsidP="00070F84">
      <w:pPr>
        <w:ind w:left="851"/>
        <w:rPr>
          <w:sz w:val="24"/>
          <w:szCs w:val="24"/>
          <w:u w:val="single"/>
        </w:rPr>
      </w:pPr>
      <w:r>
        <w:rPr>
          <w:sz w:val="24"/>
          <w:szCs w:val="24"/>
          <w:u w:val="single"/>
        </w:rPr>
        <w:t>Mad</w:t>
      </w:r>
    </w:p>
    <w:p w14:paraId="5F8CF36B" w14:textId="77777777" w:rsidR="00070F84" w:rsidRPr="00070F84" w:rsidRDefault="00070F84" w:rsidP="00070F84">
      <w:pPr>
        <w:ind w:left="851"/>
        <w:rPr>
          <w:sz w:val="24"/>
          <w:szCs w:val="24"/>
        </w:rPr>
      </w:pPr>
      <w:proofErr w:type="spellStart"/>
      <w:r w:rsidRPr="00070F84">
        <w:rPr>
          <w:sz w:val="24"/>
          <w:szCs w:val="24"/>
        </w:rPr>
        <w:t>Trientin</w:t>
      </w:r>
      <w:proofErr w:type="spellEnd"/>
      <w:r w:rsidRPr="00070F84">
        <w:rPr>
          <w:sz w:val="24"/>
          <w:szCs w:val="24"/>
        </w:rPr>
        <w:t xml:space="preserve"> absorberes dårligt efter oral indtagelse, og mad hæmmer desuden absorberingen. Der er udført specifikke studier vedrørende fødevareinteraktion i forhold til </w:t>
      </w:r>
      <w:proofErr w:type="spellStart"/>
      <w:r w:rsidRPr="00070F84">
        <w:rPr>
          <w:sz w:val="24"/>
          <w:szCs w:val="24"/>
        </w:rPr>
        <w:t>trientin</w:t>
      </w:r>
      <w:proofErr w:type="spellEnd"/>
      <w:r w:rsidRPr="00070F84">
        <w:rPr>
          <w:sz w:val="24"/>
          <w:szCs w:val="24"/>
        </w:rPr>
        <w:t xml:space="preserve"> hos raske patienter, der viser en reduktion af absorberingsgraden af </w:t>
      </w:r>
      <w:proofErr w:type="spellStart"/>
      <w:r w:rsidRPr="00070F84">
        <w:rPr>
          <w:sz w:val="24"/>
          <w:szCs w:val="24"/>
        </w:rPr>
        <w:t>trientin</w:t>
      </w:r>
      <w:proofErr w:type="spellEnd"/>
      <w:r w:rsidRPr="00070F84">
        <w:rPr>
          <w:sz w:val="24"/>
          <w:szCs w:val="24"/>
        </w:rPr>
        <w:t xml:space="preserve"> med op til 45 %. Systemisk eksponering er afgørende for den primære virkningsmekanisme, </w:t>
      </w:r>
      <w:proofErr w:type="spellStart"/>
      <w:r w:rsidRPr="00070F84">
        <w:rPr>
          <w:sz w:val="24"/>
          <w:szCs w:val="24"/>
        </w:rPr>
        <w:t>kobberchelatet</w:t>
      </w:r>
      <w:proofErr w:type="spellEnd"/>
      <w:r w:rsidRPr="00070F84">
        <w:rPr>
          <w:sz w:val="24"/>
          <w:szCs w:val="24"/>
        </w:rPr>
        <w:t xml:space="preserve"> (se pkt. 5.1). Derfor anbefales det, at </w:t>
      </w:r>
      <w:proofErr w:type="spellStart"/>
      <w:r w:rsidRPr="00070F84">
        <w:rPr>
          <w:sz w:val="24"/>
          <w:szCs w:val="24"/>
        </w:rPr>
        <w:t>trientin</w:t>
      </w:r>
      <w:proofErr w:type="spellEnd"/>
      <w:r w:rsidRPr="00070F84">
        <w:rPr>
          <w:sz w:val="24"/>
          <w:szCs w:val="24"/>
        </w:rPr>
        <w:t xml:space="preserve"> tages mindst 1 time før et måltid eller 2 timer efter et måltid, og mindst 1 time før eller efter ethvert andet lægemiddel, mad eller mælk for at tillade maksimal absorption og reducere sandsynligheden for dannelse af komplekser ved metalbinding i mave-tarm-kanalen (se pkt. 4.2).</w:t>
      </w:r>
    </w:p>
    <w:p w14:paraId="3D63401D" w14:textId="77777777" w:rsidR="00070F84" w:rsidRDefault="00070F84" w:rsidP="00070F84">
      <w:pPr>
        <w:ind w:left="851"/>
        <w:rPr>
          <w:sz w:val="24"/>
          <w:szCs w:val="24"/>
        </w:rPr>
      </w:pPr>
    </w:p>
    <w:p w14:paraId="239F761F" w14:textId="77777777" w:rsidR="00070F84" w:rsidRDefault="00070F84" w:rsidP="00070F84">
      <w:pPr>
        <w:ind w:left="851"/>
        <w:rPr>
          <w:sz w:val="24"/>
          <w:szCs w:val="24"/>
          <w:u w:val="single"/>
        </w:rPr>
      </w:pPr>
      <w:r>
        <w:rPr>
          <w:sz w:val="24"/>
          <w:szCs w:val="24"/>
          <w:u w:val="single"/>
        </w:rPr>
        <w:t>Andre produkter</w:t>
      </w:r>
    </w:p>
    <w:p w14:paraId="37835815" w14:textId="77777777" w:rsidR="00070F84" w:rsidRDefault="00070F84" w:rsidP="00070F84">
      <w:pPr>
        <w:ind w:left="851"/>
        <w:rPr>
          <w:sz w:val="24"/>
          <w:szCs w:val="24"/>
        </w:rPr>
      </w:pPr>
      <w:proofErr w:type="spellStart"/>
      <w:r>
        <w:rPr>
          <w:sz w:val="24"/>
          <w:szCs w:val="24"/>
        </w:rPr>
        <w:t>Trientin</w:t>
      </w:r>
      <w:proofErr w:type="spellEnd"/>
      <w:r>
        <w:rPr>
          <w:sz w:val="24"/>
          <w:szCs w:val="24"/>
        </w:rPr>
        <w:t xml:space="preserve"> har vist sig at reducere jernniveauer i serum. Derfor kan jerntilskud i nogle tilfælde være nødvendigt. Samtidig oralt jern eller andre tungmetaller skal administreres på et andet tidspunkt end </w:t>
      </w:r>
      <w:proofErr w:type="spellStart"/>
      <w:r>
        <w:rPr>
          <w:sz w:val="24"/>
          <w:szCs w:val="24"/>
        </w:rPr>
        <w:t>trientin</w:t>
      </w:r>
      <w:proofErr w:type="spellEnd"/>
      <w:r>
        <w:rPr>
          <w:sz w:val="24"/>
          <w:szCs w:val="24"/>
        </w:rPr>
        <w:t xml:space="preserve"> for at forebygge dannelsen af komplekser (se pkt. 4.4).</w:t>
      </w:r>
    </w:p>
    <w:p w14:paraId="44D6E8C8" w14:textId="77777777" w:rsidR="00070F84" w:rsidRDefault="00070F84" w:rsidP="00070F84">
      <w:pPr>
        <w:ind w:left="851"/>
        <w:rPr>
          <w:sz w:val="24"/>
          <w:szCs w:val="24"/>
        </w:rPr>
      </w:pPr>
    </w:p>
    <w:p w14:paraId="03AD219E" w14:textId="77777777" w:rsidR="00070F84" w:rsidRDefault="00070F84" w:rsidP="00070F84">
      <w:pPr>
        <w:ind w:left="851"/>
        <w:rPr>
          <w:sz w:val="24"/>
          <w:szCs w:val="24"/>
        </w:rPr>
      </w:pPr>
      <w:r>
        <w:rPr>
          <w:sz w:val="24"/>
          <w:szCs w:val="24"/>
        </w:rPr>
        <w:t xml:space="preserve">Selvom der ikke er evidens for, at calcium- og </w:t>
      </w:r>
      <w:proofErr w:type="spellStart"/>
      <w:r>
        <w:rPr>
          <w:sz w:val="24"/>
          <w:szCs w:val="24"/>
        </w:rPr>
        <w:t>magnesiumantacida</w:t>
      </w:r>
      <w:proofErr w:type="spellEnd"/>
      <w:r>
        <w:rPr>
          <w:sz w:val="24"/>
          <w:szCs w:val="24"/>
        </w:rPr>
        <w:t xml:space="preserve"> ændrer </w:t>
      </w:r>
      <w:proofErr w:type="spellStart"/>
      <w:r>
        <w:rPr>
          <w:sz w:val="24"/>
          <w:szCs w:val="24"/>
        </w:rPr>
        <w:t>trientins</w:t>
      </w:r>
      <w:proofErr w:type="spellEnd"/>
      <w:r>
        <w:rPr>
          <w:sz w:val="24"/>
          <w:szCs w:val="24"/>
        </w:rPr>
        <w:t xml:space="preserve"> virkning, anses det som god praksis at give dem på forskellige tidspunkter (se pkt. 4.4).</w:t>
      </w:r>
    </w:p>
    <w:p w14:paraId="0AC7526D" w14:textId="77777777" w:rsidR="009260DE" w:rsidRPr="008D59A9" w:rsidRDefault="009260DE" w:rsidP="009260DE">
      <w:pPr>
        <w:tabs>
          <w:tab w:val="left" w:pos="851"/>
        </w:tabs>
        <w:ind w:left="851"/>
        <w:rPr>
          <w:sz w:val="24"/>
          <w:szCs w:val="24"/>
        </w:rPr>
      </w:pPr>
    </w:p>
    <w:p w14:paraId="1BB1D45A" w14:textId="5482E8A6" w:rsidR="009260DE" w:rsidRPr="008D59A9" w:rsidRDefault="009260DE" w:rsidP="009260DE">
      <w:pPr>
        <w:tabs>
          <w:tab w:val="left" w:pos="851"/>
        </w:tabs>
        <w:ind w:left="851" w:hanging="851"/>
        <w:rPr>
          <w:b/>
          <w:sz w:val="24"/>
          <w:szCs w:val="24"/>
        </w:rPr>
      </w:pPr>
      <w:r w:rsidRPr="008D59A9">
        <w:rPr>
          <w:b/>
          <w:sz w:val="24"/>
          <w:szCs w:val="24"/>
        </w:rPr>
        <w:t>4.6</w:t>
      </w:r>
      <w:r w:rsidRPr="008D59A9">
        <w:rPr>
          <w:b/>
          <w:sz w:val="24"/>
          <w:szCs w:val="24"/>
        </w:rPr>
        <w:tab/>
      </w:r>
      <w:r w:rsidR="00DB16E4">
        <w:rPr>
          <w:b/>
          <w:sz w:val="24"/>
          <w:szCs w:val="24"/>
        </w:rPr>
        <w:t>Fertilitet, g</w:t>
      </w:r>
      <w:r w:rsidRPr="008D59A9">
        <w:rPr>
          <w:b/>
          <w:sz w:val="24"/>
          <w:szCs w:val="24"/>
        </w:rPr>
        <w:t>raviditet og amning</w:t>
      </w:r>
    </w:p>
    <w:p w14:paraId="1D8EB4A9" w14:textId="77777777" w:rsidR="0071016A" w:rsidRDefault="0071016A" w:rsidP="00A065D7">
      <w:pPr>
        <w:ind w:left="851"/>
        <w:rPr>
          <w:sz w:val="24"/>
          <w:szCs w:val="24"/>
        </w:rPr>
      </w:pPr>
    </w:p>
    <w:p w14:paraId="0CFD4403" w14:textId="691D212D" w:rsidR="00635CB2" w:rsidRPr="0071016A" w:rsidRDefault="00635CB2" w:rsidP="00A065D7">
      <w:pPr>
        <w:ind w:left="851"/>
        <w:rPr>
          <w:sz w:val="24"/>
          <w:szCs w:val="24"/>
          <w:u w:val="single"/>
          <w:lang w:eastAsia="en-GB"/>
        </w:rPr>
      </w:pPr>
      <w:r w:rsidRPr="0071016A">
        <w:rPr>
          <w:sz w:val="24"/>
          <w:szCs w:val="24"/>
          <w:u w:val="single"/>
        </w:rPr>
        <w:t>Graviditet</w:t>
      </w:r>
    </w:p>
    <w:p w14:paraId="6B26E0B5" w14:textId="4B564161" w:rsidR="00635CB2" w:rsidRPr="008D59A9" w:rsidRDefault="00635CB2" w:rsidP="00A065D7">
      <w:pPr>
        <w:ind w:left="851"/>
        <w:rPr>
          <w:sz w:val="24"/>
          <w:szCs w:val="24"/>
        </w:rPr>
      </w:pPr>
      <w:r w:rsidRPr="008D59A9">
        <w:rPr>
          <w:sz w:val="24"/>
          <w:szCs w:val="24"/>
        </w:rPr>
        <w:t xml:space="preserve">Der findes begrænsede data om brug af </w:t>
      </w:r>
      <w:proofErr w:type="spellStart"/>
      <w:r w:rsidRPr="008D59A9">
        <w:rPr>
          <w:sz w:val="24"/>
          <w:szCs w:val="24"/>
        </w:rPr>
        <w:t>trientin</w:t>
      </w:r>
      <w:proofErr w:type="spellEnd"/>
      <w:r w:rsidRPr="008D59A9">
        <w:rPr>
          <w:sz w:val="24"/>
          <w:szCs w:val="24"/>
        </w:rPr>
        <w:t xml:space="preserve"> til gravide kvinder. </w:t>
      </w:r>
    </w:p>
    <w:p w14:paraId="4D8773BE" w14:textId="77777777" w:rsidR="00635CB2" w:rsidRPr="008D59A9" w:rsidRDefault="00635CB2" w:rsidP="00A065D7">
      <w:pPr>
        <w:ind w:left="851"/>
        <w:rPr>
          <w:sz w:val="24"/>
          <w:szCs w:val="24"/>
        </w:rPr>
      </w:pPr>
    </w:p>
    <w:p w14:paraId="607020C1" w14:textId="77777777" w:rsidR="00635CB2" w:rsidRPr="008D59A9" w:rsidRDefault="00635CB2" w:rsidP="00A065D7">
      <w:pPr>
        <w:ind w:left="851"/>
        <w:rPr>
          <w:sz w:val="24"/>
          <w:szCs w:val="24"/>
        </w:rPr>
      </w:pPr>
      <w:r w:rsidRPr="008D59A9">
        <w:rPr>
          <w:sz w:val="24"/>
          <w:szCs w:val="24"/>
        </w:rPr>
        <w:t xml:space="preserve">Dyreforsøg har vist reproduktiv toksicitet, der sandsynligvis skyldes </w:t>
      </w:r>
      <w:proofErr w:type="spellStart"/>
      <w:r w:rsidRPr="008D59A9">
        <w:rPr>
          <w:sz w:val="24"/>
          <w:szCs w:val="24"/>
        </w:rPr>
        <w:t>trientininduceret</w:t>
      </w:r>
      <w:proofErr w:type="spellEnd"/>
      <w:r w:rsidRPr="008D59A9">
        <w:rPr>
          <w:sz w:val="24"/>
          <w:szCs w:val="24"/>
        </w:rPr>
        <w:t xml:space="preserve"> kobbermangel (se pkt. 5.3).</w:t>
      </w:r>
    </w:p>
    <w:p w14:paraId="5884188F" w14:textId="77777777" w:rsidR="00070F84" w:rsidRDefault="00070F84" w:rsidP="00070F84">
      <w:pPr>
        <w:rPr>
          <w:sz w:val="24"/>
          <w:szCs w:val="24"/>
        </w:rPr>
      </w:pPr>
    </w:p>
    <w:p w14:paraId="5EAF06FB" w14:textId="77777777" w:rsidR="00070F84" w:rsidRDefault="00070F84" w:rsidP="00070F84">
      <w:pPr>
        <w:ind w:left="851"/>
        <w:rPr>
          <w:sz w:val="24"/>
          <w:szCs w:val="24"/>
        </w:rPr>
      </w:pPr>
      <w:proofErr w:type="spellStart"/>
      <w:r>
        <w:rPr>
          <w:sz w:val="24"/>
          <w:szCs w:val="24"/>
        </w:rPr>
        <w:t>Trientin</w:t>
      </w:r>
      <w:proofErr w:type="spellEnd"/>
      <w:r>
        <w:rPr>
          <w:sz w:val="24"/>
          <w:szCs w:val="24"/>
        </w:rPr>
        <w:t xml:space="preserve"> bør kun anvendes ved graviditet efter nøje afvejning af fordelene i forhold til risiciene ved at afbryde behandlingen hos den enkelte patient. Der skal bl.a. tages højde for kendte risici i forbindelse med ubehandlet eller underbehandlet Wilsons sygdom, risici i </w:t>
      </w:r>
      <w:r>
        <w:rPr>
          <w:sz w:val="24"/>
          <w:szCs w:val="24"/>
        </w:rPr>
        <w:lastRenderedPageBreak/>
        <w:t xml:space="preserve">forbindelse med sygdomsfase, risikoen ved de tilgængelige alternative behandlinger og </w:t>
      </w:r>
      <w:proofErr w:type="spellStart"/>
      <w:r>
        <w:rPr>
          <w:sz w:val="24"/>
          <w:szCs w:val="24"/>
        </w:rPr>
        <w:t>trientins</w:t>
      </w:r>
      <w:proofErr w:type="spellEnd"/>
      <w:r>
        <w:rPr>
          <w:sz w:val="24"/>
          <w:szCs w:val="24"/>
        </w:rPr>
        <w:t xml:space="preserve"> mulige virkninger (se pkt. 5.3).</w:t>
      </w:r>
    </w:p>
    <w:p w14:paraId="7BABADA3" w14:textId="77777777" w:rsidR="00070F84" w:rsidRDefault="00070F84" w:rsidP="00070F84">
      <w:pPr>
        <w:ind w:left="851"/>
        <w:rPr>
          <w:sz w:val="24"/>
          <w:szCs w:val="24"/>
        </w:rPr>
      </w:pPr>
      <w:r>
        <w:rPr>
          <w:sz w:val="24"/>
          <w:szCs w:val="24"/>
        </w:rPr>
        <w:t xml:space="preserve">Hvis behandling med </w:t>
      </w:r>
      <w:proofErr w:type="spellStart"/>
      <w:r>
        <w:rPr>
          <w:sz w:val="24"/>
          <w:szCs w:val="24"/>
        </w:rPr>
        <w:t>trientin</w:t>
      </w:r>
      <w:proofErr w:type="spellEnd"/>
      <w:r>
        <w:rPr>
          <w:sz w:val="24"/>
          <w:szCs w:val="24"/>
        </w:rPr>
        <w:t xml:space="preserve"> skal fortsættes efter en </w:t>
      </w:r>
      <w:proofErr w:type="spellStart"/>
      <w:r>
        <w:rPr>
          <w:sz w:val="24"/>
          <w:szCs w:val="24"/>
        </w:rPr>
        <w:t>risk</w:t>
      </w:r>
      <w:proofErr w:type="spellEnd"/>
      <w:r>
        <w:rPr>
          <w:sz w:val="24"/>
          <w:szCs w:val="24"/>
        </w:rPr>
        <w:t xml:space="preserve">-benefit-analyse, skal det overvejes at reducere </w:t>
      </w:r>
      <w:proofErr w:type="spellStart"/>
      <w:r>
        <w:rPr>
          <w:sz w:val="24"/>
          <w:szCs w:val="24"/>
        </w:rPr>
        <w:t>trientindosis</w:t>
      </w:r>
      <w:proofErr w:type="spellEnd"/>
      <w:r>
        <w:rPr>
          <w:sz w:val="24"/>
          <w:szCs w:val="24"/>
        </w:rPr>
        <w:t xml:space="preserve"> til den laveste effektive dosis og overvåge </w:t>
      </w:r>
      <w:proofErr w:type="spellStart"/>
      <w:r>
        <w:rPr>
          <w:sz w:val="24"/>
          <w:szCs w:val="24"/>
        </w:rPr>
        <w:t>komplians</w:t>
      </w:r>
      <w:proofErr w:type="spellEnd"/>
      <w:r>
        <w:rPr>
          <w:sz w:val="24"/>
          <w:szCs w:val="24"/>
        </w:rPr>
        <w:t xml:space="preserve"> med behandlingsregimet.</w:t>
      </w:r>
    </w:p>
    <w:p w14:paraId="043139FC" w14:textId="77777777" w:rsidR="00070F84" w:rsidRDefault="00070F84" w:rsidP="00070F84">
      <w:pPr>
        <w:ind w:left="851"/>
        <w:rPr>
          <w:sz w:val="24"/>
          <w:szCs w:val="24"/>
        </w:rPr>
      </w:pPr>
    </w:p>
    <w:p w14:paraId="6F8A1E15" w14:textId="77777777" w:rsidR="00070F84" w:rsidRDefault="00070F84" w:rsidP="00070F84">
      <w:pPr>
        <w:ind w:left="851"/>
        <w:rPr>
          <w:sz w:val="24"/>
          <w:szCs w:val="24"/>
        </w:rPr>
      </w:pPr>
      <w:r>
        <w:rPr>
          <w:sz w:val="24"/>
          <w:szCs w:val="24"/>
        </w:rPr>
        <w:t xml:space="preserve">Graviditeten bør overvåges tæt for at opdage evt. fostermisdannelse og for at vurdere den </w:t>
      </w:r>
      <w:proofErr w:type="spellStart"/>
      <w:r>
        <w:rPr>
          <w:sz w:val="24"/>
          <w:szCs w:val="24"/>
        </w:rPr>
        <w:t>maternelle</w:t>
      </w:r>
      <w:proofErr w:type="spellEnd"/>
      <w:r>
        <w:rPr>
          <w:sz w:val="24"/>
          <w:szCs w:val="24"/>
        </w:rPr>
        <w:t xml:space="preserve"> koncentration af kobber gennem hele graviditeten. </w:t>
      </w:r>
      <w:proofErr w:type="spellStart"/>
      <w:r>
        <w:rPr>
          <w:sz w:val="24"/>
          <w:szCs w:val="24"/>
        </w:rPr>
        <w:t>Trientindosis</w:t>
      </w:r>
      <w:proofErr w:type="spellEnd"/>
      <w:r>
        <w:rPr>
          <w:sz w:val="24"/>
          <w:szCs w:val="24"/>
        </w:rPr>
        <w:t xml:space="preserve"> bør justeres for at holde koncentrationen af kobber i serum inden for normalområdet. Eftersom kobber er </w:t>
      </w:r>
      <w:proofErr w:type="gramStart"/>
      <w:r>
        <w:rPr>
          <w:sz w:val="24"/>
          <w:szCs w:val="24"/>
        </w:rPr>
        <w:t>nødvendigt for normal vækst</w:t>
      </w:r>
      <w:proofErr w:type="gramEnd"/>
      <w:r>
        <w:rPr>
          <w:sz w:val="24"/>
          <w:szCs w:val="24"/>
        </w:rPr>
        <w:t xml:space="preserve"> og psykisk udvikling, kan dosisjusteringer være nødvendige for at sikre, at fosteret ikke kommer til at mangle kobber, og tæt overvågning af patienten er absolut nødvendig (se pkt. 4.4).</w:t>
      </w:r>
    </w:p>
    <w:p w14:paraId="20B10BE9" w14:textId="77777777" w:rsidR="00070F84" w:rsidRDefault="00070F84" w:rsidP="00070F84">
      <w:pPr>
        <w:ind w:left="851"/>
        <w:rPr>
          <w:sz w:val="24"/>
          <w:szCs w:val="24"/>
        </w:rPr>
      </w:pPr>
    </w:p>
    <w:p w14:paraId="43229BEC" w14:textId="77777777" w:rsidR="00070F84" w:rsidRDefault="00070F84" w:rsidP="00070F84">
      <w:pPr>
        <w:ind w:left="851"/>
        <w:rPr>
          <w:sz w:val="24"/>
          <w:szCs w:val="24"/>
        </w:rPr>
      </w:pPr>
      <w:r>
        <w:rPr>
          <w:sz w:val="24"/>
          <w:szCs w:val="24"/>
        </w:rPr>
        <w:t xml:space="preserve">Børn født af mødre i behandling med </w:t>
      </w:r>
      <w:proofErr w:type="spellStart"/>
      <w:r>
        <w:rPr>
          <w:sz w:val="24"/>
          <w:szCs w:val="24"/>
        </w:rPr>
        <w:t>trientin</w:t>
      </w:r>
      <w:proofErr w:type="spellEnd"/>
      <w:r>
        <w:rPr>
          <w:sz w:val="24"/>
          <w:szCs w:val="24"/>
        </w:rPr>
        <w:t xml:space="preserve"> skal overvåges for indholdet af kobber i serum og </w:t>
      </w:r>
      <w:proofErr w:type="spellStart"/>
      <w:r>
        <w:rPr>
          <w:sz w:val="24"/>
          <w:szCs w:val="24"/>
        </w:rPr>
        <w:t>ceruloplasmin</w:t>
      </w:r>
      <w:proofErr w:type="spellEnd"/>
      <w:r>
        <w:rPr>
          <w:sz w:val="24"/>
          <w:szCs w:val="24"/>
        </w:rPr>
        <w:t>, hvis det er hensigtsmæssigt.</w:t>
      </w:r>
    </w:p>
    <w:p w14:paraId="6E72A952" w14:textId="77777777" w:rsidR="00635CB2" w:rsidRPr="008D59A9" w:rsidRDefault="00635CB2" w:rsidP="00A065D7">
      <w:pPr>
        <w:ind w:left="851"/>
        <w:rPr>
          <w:sz w:val="24"/>
          <w:szCs w:val="24"/>
        </w:rPr>
      </w:pPr>
    </w:p>
    <w:p w14:paraId="3FD6AA0C" w14:textId="77777777" w:rsidR="00635CB2" w:rsidRPr="00EC633F" w:rsidRDefault="00635CB2" w:rsidP="00A065D7">
      <w:pPr>
        <w:ind w:left="851"/>
        <w:rPr>
          <w:sz w:val="24"/>
          <w:szCs w:val="24"/>
          <w:u w:val="single"/>
        </w:rPr>
      </w:pPr>
      <w:r w:rsidRPr="00EC633F">
        <w:rPr>
          <w:sz w:val="24"/>
          <w:szCs w:val="24"/>
          <w:u w:val="single"/>
        </w:rPr>
        <w:t>Amning</w:t>
      </w:r>
    </w:p>
    <w:p w14:paraId="2946608F" w14:textId="77777777" w:rsidR="00635CB2" w:rsidRPr="008D59A9" w:rsidRDefault="00635CB2" w:rsidP="00A065D7">
      <w:pPr>
        <w:ind w:left="851"/>
        <w:rPr>
          <w:sz w:val="24"/>
          <w:szCs w:val="24"/>
        </w:rPr>
      </w:pPr>
      <w:r w:rsidRPr="008D59A9">
        <w:rPr>
          <w:sz w:val="24"/>
          <w:szCs w:val="24"/>
        </w:rPr>
        <w:t xml:space="preserve">Det vides ikke, om </w:t>
      </w:r>
      <w:proofErr w:type="spellStart"/>
      <w:r w:rsidRPr="008D59A9">
        <w:rPr>
          <w:sz w:val="24"/>
          <w:szCs w:val="24"/>
        </w:rPr>
        <w:t>trientin</w:t>
      </w:r>
      <w:proofErr w:type="spellEnd"/>
      <w:r w:rsidRPr="008D59A9">
        <w:rPr>
          <w:sz w:val="24"/>
          <w:szCs w:val="24"/>
        </w:rPr>
        <w:t xml:space="preserve"> udskilles i modermælken. Det er ikke muligt at udelukke en risiko for nyfødte/spædbørn. Beslutningen om, hvorvidt amning skal afbrydes, eller om behandling med </w:t>
      </w:r>
      <w:proofErr w:type="spellStart"/>
      <w:r w:rsidRPr="008D59A9">
        <w:rPr>
          <w:sz w:val="24"/>
          <w:szCs w:val="24"/>
        </w:rPr>
        <w:t>trientin</w:t>
      </w:r>
      <w:proofErr w:type="spellEnd"/>
      <w:r w:rsidRPr="008D59A9">
        <w:rPr>
          <w:sz w:val="24"/>
          <w:szCs w:val="24"/>
        </w:rPr>
        <w:t xml:space="preserve"> skal fortsættes/afbrydes, bør foretages under hensyntagen til fordelen ved amning for barnet og fordelen ved behandlingen for moderen.</w:t>
      </w:r>
    </w:p>
    <w:p w14:paraId="0BF30B65" w14:textId="77777777" w:rsidR="00635CB2" w:rsidRPr="008D59A9" w:rsidRDefault="00635CB2" w:rsidP="00A065D7">
      <w:pPr>
        <w:ind w:left="851"/>
        <w:rPr>
          <w:sz w:val="24"/>
          <w:szCs w:val="24"/>
        </w:rPr>
      </w:pPr>
    </w:p>
    <w:p w14:paraId="0608D313" w14:textId="77777777" w:rsidR="00635CB2" w:rsidRPr="00EC633F" w:rsidRDefault="00635CB2" w:rsidP="00A065D7">
      <w:pPr>
        <w:ind w:left="851"/>
        <w:rPr>
          <w:sz w:val="24"/>
          <w:szCs w:val="24"/>
          <w:u w:val="single"/>
        </w:rPr>
      </w:pPr>
      <w:r w:rsidRPr="00EC633F">
        <w:rPr>
          <w:sz w:val="24"/>
          <w:szCs w:val="24"/>
          <w:u w:val="single"/>
        </w:rPr>
        <w:t xml:space="preserve">Fertilitet </w:t>
      </w:r>
    </w:p>
    <w:p w14:paraId="1B9627EB" w14:textId="77777777" w:rsidR="00635CB2" w:rsidRPr="008D59A9" w:rsidRDefault="00635CB2" w:rsidP="00A065D7">
      <w:pPr>
        <w:ind w:left="851"/>
        <w:rPr>
          <w:sz w:val="24"/>
          <w:szCs w:val="24"/>
        </w:rPr>
      </w:pPr>
      <w:r w:rsidRPr="008D59A9">
        <w:rPr>
          <w:sz w:val="24"/>
          <w:szCs w:val="24"/>
        </w:rPr>
        <w:t xml:space="preserve">Det vides ikke, om </w:t>
      </w:r>
      <w:proofErr w:type="spellStart"/>
      <w:r w:rsidRPr="008D59A9">
        <w:rPr>
          <w:sz w:val="24"/>
          <w:szCs w:val="24"/>
        </w:rPr>
        <w:t>trientin</w:t>
      </w:r>
      <w:proofErr w:type="spellEnd"/>
      <w:r w:rsidRPr="008D59A9">
        <w:rPr>
          <w:sz w:val="24"/>
          <w:szCs w:val="24"/>
        </w:rPr>
        <w:t xml:space="preserve"> har en effekt på fertiliteten hos mennesker.</w:t>
      </w:r>
    </w:p>
    <w:p w14:paraId="0C49E122" w14:textId="77777777" w:rsidR="009260DE" w:rsidRPr="008D59A9" w:rsidRDefault="009260DE" w:rsidP="009260DE">
      <w:pPr>
        <w:tabs>
          <w:tab w:val="left" w:pos="851"/>
        </w:tabs>
        <w:ind w:left="851"/>
        <w:rPr>
          <w:sz w:val="24"/>
          <w:szCs w:val="24"/>
        </w:rPr>
      </w:pPr>
    </w:p>
    <w:p w14:paraId="094E802D" w14:textId="6FD54622" w:rsidR="009260DE" w:rsidRPr="008D59A9" w:rsidRDefault="009260DE" w:rsidP="009260DE">
      <w:pPr>
        <w:tabs>
          <w:tab w:val="left" w:pos="851"/>
        </w:tabs>
        <w:ind w:left="851" w:hanging="851"/>
        <w:rPr>
          <w:b/>
          <w:sz w:val="24"/>
          <w:szCs w:val="24"/>
        </w:rPr>
      </w:pPr>
      <w:r w:rsidRPr="008D59A9">
        <w:rPr>
          <w:b/>
          <w:sz w:val="24"/>
          <w:szCs w:val="24"/>
        </w:rPr>
        <w:t>4.7</w:t>
      </w:r>
      <w:r w:rsidRPr="008D59A9">
        <w:rPr>
          <w:b/>
          <w:sz w:val="24"/>
          <w:szCs w:val="24"/>
        </w:rPr>
        <w:tab/>
        <w:t xml:space="preserve">Virkning på evnen til at føre motorkøretøj </w:t>
      </w:r>
      <w:r w:rsidR="00DB16E4">
        <w:rPr>
          <w:b/>
          <w:sz w:val="24"/>
          <w:szCs w:val="24"/>
        </w:rPr>
        <w:t>og</w:t>
      </w:r>
      <w:r w:rsidRPr="008D59A9">
        <w:rPr>
          <w:b/>
          <w:sz w:val="24"/>
          <w:szCs w:val="24"/>
        </w:rPr>
        <w:t xml:space="preserve"> betjene maskiner</w:t>
      </w:r>
    </w:p>
    <w:p w14:paraId="4B0786AB" w14:textId="77777777" w:rsidR="00EC633F" w:rsidRDefault="00EC633F" w:rsidP="00A065D7">
      <w:pPr>
        <w:ind w:left="851"/>
        <w:rPr>
          <w:sz w:val="24"/>
          <w:szCs w:val="24"/>
        </w:rPr>
      </w:pPr>
      <w:r>
        <w:rPr>
          <w:sz w:val="24"/>
          <w:szCs w:val="24"/>
        </w:rPr>
        <w:t>Ikke mærkning.</w:t>
      </w:r>
    </w:p>
    <w:p w14:paraId="2AEB3EAF" w14:textId="14B3A682" w:rsidR="00635CB2" w:rsidRPr="008D59A9" w:rsidRDefault="00635CB2" w:rsidP="00A065D7">
      <w:pPr>
        <w:ind w:left="851"/>
        <w:rPr>
          <w:sz w:val="24"/>
          <w:szCs w:val="24"/>
        </w:rPr>
      </w:pPr>
      <w:proofErr w:type="spellStart"/>
      <w:r w:rsidRPr="008D59A9">
        <w:rPr>
          <w:sz w:val="24"/>
          <w:szCs w:val="24"/>
        </w:rPr>
        <w:t>Trientin</w:t>
      </w:r>
      <w:proofErr w:type="spellEnd"/>
      <w:r w:rsidRPr="008D59A9">
        <w:rPr>
          <w:sz w:val="24"/>
          <w:szCs w:val="24"/>
        </w:rPr>
        <w:t xml:space="preserve"> påvirker ikke eller kun i ubetydelig grad evnen til at føre motorkøretøj og betjene maskiner.</w:t>
      </w:r>
    </w:p>
    <w:p w14:paraId="18E9B8F5" w14:textId="77777777" w:rsidR="009260DE" w:rsidRPr="008D59A9" w:rsidRDefault="009260DE" w:rsidP="009260DE">
      <w:pPr>
        <w:tabs>
          <w:tab w:val="left" w:pos="851"/>
        </w:tabs>
        <w:ind w:left="851"/>
        <w:rPr>
          <w:sz w:val="24"/>
          <w:szCs w:val="24"/>
        </w:rPr>
      </w:pPr>
    </w:p>
    <w:p w14:paraId="59695852" w14:textId="77777777" w:rsidR="009260DE" w:rsidRPr="008D59A9" w:rsidRDefault="009260DE" w:rsidP="009260DE">
      <w:pPr>
        <w:tabs>
          <w:tab w:val="left" w:pos="851"/>
        </w:tabs>
        <w:ind w:left="851" w:hanging="851"/>
        <w:rPr>
          <w:b/>
          <w:sz w:val="24"/>
          <w:szCs w:val="24"/>
        </w:rPr>
      </w:pPr>
      <w:r w:rsidRPr="008D59A9">
        <w:rPr>
          <w:b/>
          <w:sz w:val="24"/>
          <w:szCs w:val="24"/>
        </w:rPr>
        <w:t>4.8</w:t>
      </w:r>
      <w:r w:rsidRPr="008D59A9">
        <w:rPr>
          <w:b/>
          <w:sz w:val="24"/>
          <w:szCs w:val="24"/>
        </w:rPr>
        <w:tab/>
        <w:t>Bivirkninger</w:t>
      </w:r>
    </w:p>
    <w:p w14:paraId="1EA75DAA" w14:textId="21C48201" w:rsidR="00EC633F" w:rsidRDefault="00EC633F" w:rsidP="00A065D7">
      <w:pPr>
        <w:ind w:left="851"/>
        <w:rPr>
          <w:sz w:val="24"/>
          <w:szCs w:val="24"/>
        </w:rPr>
      </w:pPr>
    </w:p>
    <w:p w14:paraId="19203E21" w14:textId="77777777" w:rsidR="00070F84" w:rsidRDefault="00070F84" w:rsidP="00070F84">
      <w:pPr>
        <w:ind w:left="851"/>
        <w:rPr>
          <w:sz w:val="24"/>
          <w:szCs w:val="24"/>
          <w:u w:val="single"/>
        </w:rPr>
      </w:pPr>
      <w:r>
        <w:rPr>
          <w:sz w:val="24"/>
          <w:szCs w:val="24"/>
          <w:u w:val="single"/>
        </w:rPr>
        <w:t>Sammenfatning af sikkerhedsprofil</w:t>
      </w:r>
    </w:p>
    <w:p w14:paraId="04FC417F" w14:textId="77777777" w:rsidR="00070F84" w:rsidRDefault="00070F84" w:rsidP="00070F84">
      <w:pPr>
        <w:ind w:left="851"/>
        <w:rPr>
          <w:sz w:val="24"/>
          <w:szCs w:val="24"/>
        </w:rPr>
      </w:pPr>
      <w:r>
        <w:rPr>
          <w:sz w:val="24"/>
          <w:szCs w:val="24"/>
        </w:rPr>
        <w:t xml:space="preserve">Der kan ofte forekomme kvalme i den indledende behandling, og der kan undertiden forekomme hududslæt. Der er rapporteret </w:t>
      </w:r>
      <w:proofErr w:type="spellStart"/>
      <w:r>
        <w:rPr>
          <w:sz w:val="24"/>
          <w:szCs w:val="24"/>
        </w:rPr>
        <w:t>duodenitis</w:t>
      </w:r>
      <w:proofErr w:type="spellEnd"/>
      <w:r>
        <w:rPr>
          <w:sz w:val="24"/>
          <w:szCs w:val="24"/>
        </w:rPr>
        <w:t xml:space="preserve"> og svær </w:t>
      </w:r>
      <w:proofErr w:type="spellStart"/>
      <w:r>
        <w:rPr>
          <w:sz w:val="24"/>
          <w:szCs w:val="24"/>
        </w:rPr>
        <w:t>kolitis</w:t>
      </w:r>
      <w:proofErr w:type="spellEnd"/>
      <w:r>
        <w:rPr>
          <w:sz w:val="24"/>
          <w:szCs w:val="24"/>
        </w:rPr>
        <w:t>. Neurologisk forværring kan forekomme i starten af behandlingen.</w:t>
      </w:r>
    </w:p>
    <w:p w14:paraId="5C695FE1" w14:textId="77777777" w:rsidR="00070F84" w:rsidRDefault="00070F84" w:rsidP="00070F84">
      <w:pPr>
        <w:ind w:left="851"/>
        <w:rPr>
          <w:sz w:val="24"/>
          <w:szCs w:val="24"/>
        </w:rPr>
      </w:pPr>
    </w:p>
    <w:p w14:paraId="51902429" w14:textId="77777777" w:rsidR="00070F84" w:rsidRDefault="00070F84" w:rsidP="00070F84">
      <w:pPr>
        <w:ind w:left="851"/>
        <w:rPr>
          <w:sz w:val="24"/>
          <w:szCs w:val="24"/>
          <w:u w:val="single"/>
        </w:rPr>
      </w:pPr>
      <w:r>
        <w:rPr>
          <w:sz w:val="24"/>
          <w:szCs w:val="24"/>
          <w:u w:val="single"/>
        </w:rPr>
        <w:t>Tabel over bivirkninger</w:t>
      </w:r>
    </w:p>
    <w:p w14:paraId="21C8288A" w14:textId="77777777" w:rsidR="00070F84" w:rsidRDefault="00070F84" w:rsidP="00070F84">
      <w:pPr>
        <w:ind w:left="851"/>
        <w:rPr>
          <w:sz w:val="24"/>
          <w:szCs w:val="24"/>
        </w:rPr>
      </w:pPr>
      <w:r>
        <w:rPr>
          <w:sz w:val="24"/>
          <w:szCs w:val="24"/>
        </w:rPr>
        <w:t xml:space="preserve">Tabellen nedenfor er præsenteret i henhold til </w:t>
      </w:r>
      <w:proofErr w:type="spellStart"/>
      <w:r>
        <w:rPr>
          <w:sz w:val="24"/>
          <w:szCs w:val="24"/>
        </w:rPr>
        <w:t>MedDRA</w:t>
      </w:r>
      <w:proofErr w:type="spellEnd"/>
      <w:r>
        <w:rPr>
          <w:sz w:val="24"/>
          <w:szCs w:val="24"/>
        </w:rPr>
        <w:t xml:space="preserve">-systemets organklassificering (SOC og </w:t>
      </w:r>
      <w:proofErr w:type="spellStart"/>
      <w:r>
        <w:rPr>
          <w:sz w:val="24"/>
          <w:szCs w:val="24"/>
        </w:rPr>
        <w:t>Preferred</w:t>
      </w:r>
      <w:proofErr w:type="spellEnd"/>
      <w:r>
        <w:rPr>
          <w:sz w:val="24"/>
          <w:szCs w:val="24"/>
        </w:rPr>
        <w:t xml:space="preserve"> Term Level).</w:t>
      </w:r>
    </w:p>
    <w:p w14:paraId="16C80256" w14:textId="77777777" w:rsidR="00070F84" w:rsidRDefault="00070F84" w:rsidP="00070F84">
      <w:pPr>
        <w:ind w:left="851"/>
        <w:rPr>
          <w:sz w:val="24"/>
          <w:szCs w:val="24"/>
        </w:rPr>
      </w:pPr>
      <w:r>
        <w:rPr>
          <w:sz w:val="24"/>
          <w:szCs w:val="24"/>
        </w:rPr>
        <w:t>Hyppigheden defineres som: Meget almindelig (≥ 1/10); Almindelig (≥ 1/100 til &lt; 1/10); Ikke almindelig (≥ 1/1.000 til &lt; 1/100); Sjælden (≥ 1/10.000 til &lt; 1/1.000); Meget sjælden (&lt; 1/10.000); Ikke kendt (kan ikke estimeres ud fra forhåndenværende data).</w:t>
      </w:r>
    </w:p>
    <w:p w14:paraId="120E6CAB" w14:textId="77777777" w:rsidR="00070F84" w:rsidRDefault="00070F84" w:rsidP="00070F84">
      <w:pPr>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1"/>
        <w:gridCol w:w="3891"/>
      </w:tblGrid>
      <w:tr w:rsidR="00070F84" w14:paraId="555D6AD3" w14:textId="77777777" w:rsidTr="00070F84">
        <w:trPr>
          <w:trHeight w:val="147"/>
        </w:trPr>
        <w:tc>
          <w:tcPr>
            <w:tcW w:w="3891" w:type="dxa"/>
            <w:tcBorders>
              <w:top w:val="single" w:sz="4" w:space="0" w:color="auto"/>
              <w:left w:val="single" w:sz="4" w:space="0" w:color="auto"/>
              <w:bottom w:val="single" w:sz="4" w:space="0" w:color="auto"/>
              <w:right w:val="single" w:sz="4" w:space="0" w:color="auto"/>
            </w:tcBorders>
            <w:hideMark/>
          </w:tcPr>
          <w:p w14:paraId="4E6BA447" w14:textId="77777777" w:rsidR="00070F84" w:rsidRDefault="00070F84">
            <w:pPr>
              <w:pStyle w:val="Default"/>
            </w:pPr>
            <w:r>
              <w:rPr>
                <w:b/>
                <w:bCs/>
              </w:rPr>
              <w:t xml:space="preserve">Systemorganklasse </w:t>
            </w:r>
          </w:p>
        </w:tc>
        <w:tc>
          <w:tcPr>
            <w:tcW w:w="3891" w:type="dxa"/>
            <w:tcBorders>
              <w:top w:val="single" w:sz="4" w:space="0" w:color="auto"/>
              <w:left w:val="single" w:sz="4" w:space="0" w:color="auto"/>
              <w:bottom w:val="single" w:sz="4" w:space="0" w:color="auto"/>
              <w:right w:val="single" w:sz="4" w:space="0" w:color="auto"/>
            </w:tcBorders>
            <w:hideMark/>
          </w:tcPr>
          <w:p w14:paraId="128A0E90" w14:textId="77777777" w:rsidR="00070F84" w:rsidRDefault="00070F84">
            <w:pPr>
              <w:pStyle w:val="Default"/>
            </w:pPr>
            <w:r>
              <w:rPr>
                <w:b/>
                <w:bCs/>
              </w:rPr>
              <w:t xml:space="preserve">Bivirkninger </w:t>
            </w:r>
          </w:p>
        </w:tc>
      </w:tr>
      <w:tr w:rsidR="00070F84" w14:paraId="71DF68AF" w14:textId="77777777" w:rsidTr="00070F84">
        <w:trPr>
          <w:trHeight w:val="231"/>
        </w:trPr>
        <w:tc>
          <w:tcPr>
            <w:tcW w:w="3891" w:type="dxa"/>
            <w:tcBorders>
              <w:top w:val="single" w:sz="4" w:space="0" w:color="auto"/>
              <w:left w:val="single" w:sz="4" w:space="0" w:color="auto"/>
              <w:bottom w:val="single" w:sz="4" w:space="0" w:color="auto"/>
              <w:right w:val="single" w:sz="4" w:space="0" w:color="auto"/>
            </w:tcBorders>
            <w:hideMark/>
          </w:tcPr>
          <w:p w14:paraId="7BD8098C" w14:textId="77777777" w:rsidR="00070F84" w:rsidRDefault="00070F84">
            <w:pPr>
              <w:pStyle w:val="Default"/>
            </w:pPr>
            <w:r>
              <w:t xml:space="preserve">Blod og lymfesystem </w:t>
            </w:r>
          </w:p>
        </w:tc>
        <w:tc>
          <w:tcPr>
            <w:tcW w:w="3891" w:type="dxa"/>
            <w:tcBorders>
              <w:top w:val="single" w:sz="4" w:space="0" w:color="auto"/>
              <w:left w:val="single" w:sz="4" w:space="0" w:color="auto"/>
              <w:bottom w:val="single" w:sz="4" w:space="0" w:color="auto"/>
              <w:right w:val="single" w:sz="4" w:space="0" w:color="auto"/>
            </w:tcBorders>
            <w:hideMark/>
          </w:tcPr>
          <w:p w14:paraId="29F34B74" w14:textId="77777777" w:rsidR="00070F84" w:rsidRDefault="00070F84">
            <w:pPr>
              <w:pStyle w:val="Default"/>
            </w:pPr>
            <w:r>
              <w:rPr>
                <w:i/>
                <w:iCs/>
              </w:rPr>
              <w:t xml:space="preserve">Ikke almindelig: </w:t>
            </w:r>
            <w:r>
              <w:t xml:space="preserve">Anæmi, </w:t>
            </w:r>
            <w:proofErr w:type="spellStart"/>
            <w:r>
              <w:t>aplastisk</w:t>
            </w:r>
            <w:proofErr w:type="spellEnd"/>
          </w:p>
          <w:p w14:paraId="75A263E6" w14:textId="77777777" w:rsidR="00070F84" w:rsidRDefault="00070F84">
            <w:pPr>
              <w:pStyle w:val="Default"/>
            </w:pPr>
            <w:r>
              <w:t xml:space="preserve">anæmi, </w:t>
            </w:r>
            <w:proofErr w:type="spellStart"/>
            <w:r>
              <w:t>sideroblastisk</w:t>
            </w:r>
            <w:proofErr w:type="spellEnd"/>
            <w:r>
              <w:t xml:space="preserve"> anæmi. </w:t>
            </w:r>
          </w:p>
        </w:tc>
      </w:tr>
      <w:tr w:rsidR="00070F84" w14:paraId="4288AE7D" w14:textId="77777777" w:rsidTr="00070F84">
        <w:trPr>
          <w:trHeight w:val="229"/>
        </w:trPr>
        <w:tc>
          <w:tcPr>
            <w:tcW w:w="3891" w:type="dxa"/>
            <w:tcBorders>
              <w:top w:val="single" w:sz="4" w:space="0" w:color="auto"/>
              <w:left w:val="single" w:sz="4" w:space="0" w:color="auto"/>
              <w:bottom w:val="single" w:sz="4" w:space="0" w:color="auto"/>
              <w:right w:val="single" w:sz="4" w:space="0" w:color="auto"/>
            </w:tcBorders>
            <w:hideMark/>
          </w:tcPr>
          <w:p w14:paraId="22C004C7" w14:textId="77777777" w:rsidR="00070F84" w:rsidRDefault="00070F84">
            <w:pPr>
              <w:pStyle w:val="Default"/>
            </w:pPr>
            <w:r>
              <w:t>Nervesystemet</w:t>
            </w:r>
          </w:p>
        </w:tc>
        <w:tc>
          <w:tcPr>
            <w:tcW w:w="3891" w:type="dxa"/>
            <w:tcBorders>
              <w:top w:val="single" w:sz="4" w:space="0" w:color="auto"/>
              <w:left w:val="single" w:sz="4" w:space="0" w:color="auto"/>
              <w:bottom w:val="single" w:sz="4" w:space="0" w:color="auto"/>
              <w:right w:val="single" w:sz="4" w:space="0" w:color="auto"/>
            </w:tcBorders>
            <w:hideMark/>
          </w:tcPr>
          <w:p w14:paraId="3B83FBDE" w14:textId="77777777" w:rsidR="00070F84" w:rsidRDefault="00070F84">
            <w:pPr>
              <w:pStyle w:val="Default"/>
            </w:pPr>
            <w:r>
              <w:rPr>
                <w:i/>
                <w:iCs/>
              </w:rPr>
              <w:t>Ikke almindelig:</w:t>
            </w:r>
            <w:r>
              <w:t xml:space="preserve"> </w:t>
            </w:r>
            <w:proofErr w:type="spellStart"/>
            <w:r>
              <w:t>dystoni</w:t>
            </w:r>
            <w:proofErr w:type="spellEnd"/>
            <w:r>
              <w:t xml:space="preserve">, </w:t>
            </w:r>
            <w:proofErr w:type="spellStart"/>
            <w:r>
              <w:t>tremor</w:t>
            </w:r>
            <w:proofErr w:type="spellEnd"/>
            <w:r>
              <w:t>.</w:t>
            </w:r>
          </w:p>
          <w:p w14:paraId="5162489E" w14:textId="77777777" w:rsidR="00070F84" w:rsidRDefault="00070F84">
            <w:pPr>
              <w:pStyle w:val="Default"/>
            </w:pPr>
            <w:r>
              <w:rPr>
                <w:i/>
                <w:iCs/>
              </w:rPr>
              <w:t>Ikke kendt:</w:t>
            </w:r>
            <w:r>
              <w:t xml:space="preserve"> </w:t>
            </w:r>
            <w:proofErr w:type="spellStart"/>
            <w:r>
              <w:t>dysartri</w:t>
            </w:r>
            <w:proofErr w:type="spellEnd"/>
            <w:r>
              <w:t>, muskelstivhed, neurologisk forværring.</w:t>
            </w:r>
          </w:p>
        </w:tc>
      </w:tr>
      <w:tr w:rsidR="00070F84" w14:paraId="160C2DC4" w14:textId="77777777" w:rsidTr="00070F84">
        <w:trPr>
          <w:trHeight w:val="229"/>
        </w:trPr>
        <w:tc>
          <w:tcPr>
            <w:tcW w:w="3891" w:type="dxa"/>
            <w:tcBorders>
              <w:top w:val="single" w:sz="4" w:space="0" w:color="auto"/>
              <w:left w:val="single" w:sz="4" w:space="0" w:color="auto"/>
              <w:bottom w:val="single" w:sz="4" w:space="0" w:color="auto"/>
              <w:right w:val="single" w:sz="4" w:space="0" w:color="auto"/>
            </w:tcBorders>
            <w:hideMark/>
          </w:tcPr>
          <w:p w14:paraId="109ACA21" w14:textId="77777777" w:rsidR="00070F84" w:rsidRDefault="00070F84">
            <w:pPr>
              <w:pStyle w:val="Default"/>
            </w:pPr>
            <w:r>
              <w:lastRenderedPageBreak/>
              <w:t>Immunsystemet</w:t>
            </w:r>
          </w:p>
        </w:tc>
        <w:tc>
          <w:tcPr>
            <w:tcW w:w="3891" w:type="dxa"/>
            <w:tcBorders>
              <w:top w:val="single" w:sz="4" w:space="0" w:color="auto"/>
              <w:left w:val="single" w:sz="4" w:space="0" w:color="auto"/>
              <w:bottom w:val="single" w:sz="4" w:space="0" w:color="auto"/>
              <w:right w:val="single" w:sz="4" w:space="0" w:color="auto"/>
            </w:tcBorders>
            <w:hideMark/>
          </w:tcPr>
          <w:p w14:paraId="1D4909DD" w14:textId="77777777" w:rsidR="00070F84" w:rsidRDefault="00070F84">
            <w:pPr>
              <w:pStyle w:val="Default"/>
              <w:rPr>
                <w:i/>
                <w:iCs/>
              </w:rPr>
            </w:pPr>
            <w:r>
              <w:rPr>
                <w:i/>
                <w:iCs/>
              </w:rPr>
              <w:t xml:space="preserve">Ikke kendt: </w:t>
            </w:r>
            <w:r>
              <w:t xml:space="preserve">lupuslignende syndrom, lupus </w:t>
            </w:r>
            <w:proofErr w:type="spellStart"/>
            <w:r>
              <w:t>nephritis</w:t>
            </w:r>
            <w:proofErr w:type="spellEnd"/>
            <w:r>
              <w:t>.</w:t>
            </w:r>
          </w:p>
        </w:tc>
      </w:tr>
      <w:tr w:rsidR="00070F84" w14:paraId="721D9F2D" w14:textId="77777777" w:rsidTr="00070F84">
        <w:trPr>
          <w:trHeight w:val="407"/>
        </w:trPr>
        <w:tc>
          <w:tcPr>
            <w:tcW w:w="3891" w:type="dxa"/>
            <w:tcBorders>
              <w:top w:val="single" w:sz="4" w:space="0" w:color="auto"/>
              <w:left w:val="single" w:sz="4" w:space="0" w:color="auto"/>
              <w:bottom w:val="single" w:sz="4" w:space="0" w:color="auto"/>
              <w:right w:val="single" w:sz="4" w:space="0" w:color="auto"/>
            </w:tcBorders>
            <w:hideMark/>
          </w:tcPr>
          <w:p w14:paraId="6C4480CE" w14:textId="77777777" w:rsidR="00070F84" w:rsidRDefault="00070F84">
            <w:pPr>
              <w:pStyle w:val="Default"/>
            </w:pPr>
            <w:r>
              <w:t xml:space="preserve">Mave-tarm-kanalen </w:t>
            </w:r>
          </w:p>
        </w:tc>
        <w:tc>
          <w:tcPr>
            <w:tcW w:w="3891" w:type="dxa"/>
            <w:tcBorders>
              <w:top w:val="single" w:sz="4" w:space="0" w:color="auto"/>
              <w:left w:val="single" w:sz="4" w:space="0" w:color="auto"/>
              <w:bottom w:val="single" w:sz="4" w:space="0" w:color="auto"/>
              <w:right w:val="single" w:sz="4" w:space="0" w:color="auto"/>
            </w:tcBorders>
            <w:hideMark/>
          </w:tcPr>
          <w:p w14:paraId="1B0E5F6A" w14:textId="77777777" w:rsidR="00070F84" w:rsidRDefault="00070F84">
            <w:pPr>
              <w:pStyle w:val="Default"/>
            </w:pPr>
            <w:r>
              <w:rPr>
                <w:i/>
                <w:iCs/>
              </w:rPr>
              <w:t xml:space="preserve">Almindelig: </w:t>
            </w:r>
            <w:r>
              <w:t xml:space="preserve">kvalme. </w:t>
            </w:r>
          </w:p>
          <w:p w14:paraId="116F33A9" w14:textId="77777777" w:rsidR="00070F84" w:rsidRDefault="00070F84">
            <w:pPr>
              <w:pStyle w:val="Default"/>
            </w:pPr>
            <w:r>
              <w:rPr>
                <w:i/>
                <w:iCs/>
              </w:rPr>
              <w:t xml:space="preserve">Ikke kendt: </w:t>
            </w:r>
            <w:proofErr w:type="spellStart"/>
            <w:r>
              <w:t>duodenitis</w:t>
            </w:r>
            <w:proofErr w:type="spellEnd"/>
            <w:r>
              <w:t xml:space="preserve">, colitis. </w:t>
            </w:r>
          </w:p>
        </w:tc>
      </w:tr>
      <w:tr w:rsidR="00070F84" w14:paraId="044377BF" w14:textId="77777777" w:rsidTr="00070F84">
        <w:trPr>
          <w:trHeight w:val="276"/>
        </w:trPr>
        <w:tc>
          <w:tcPr>
            <w:tcW w:w="3891" w:type="dxa"/>
            <w:tcBorders>
              <w:top w:val="single" w:sz="4" w:space="0" w:color="auto"/>
              <w:left w:val="single" w:sz="4" w:space="0" w:color="auto"/>
              <w:bottom w:val="single" w:sz="4" w:space="0" w:color="auto"/>
              <w:right w:val="single" w:sz="4" w:space="0" w:color="auto"/>
            </w:tcBorders>
            <w:hideMark/>
          </w:tcPr>
          <w:p w14:paraId="757077CE" w14:textId="77777777" w:rsidR="00070F84" w:rsidRDefault="00070F84">
            <w:pPr>
              <w:pStyle w:val="Default"/>
            </w:pPr>
            <w:r>
              <w:t xml:space="preserve">Hud og subkutane væv </w:t>
            </w:r>
          </w:p>
        </w:tc>
        <w:tc>
          <w:tcPr>
            <w:tcW w:w="3891" w:type="dxa"/>
            <w:tcBorders>
              <w:top w:val="single" w:sz="4" w:space="0" w:color="auto"/>
              <w:left w:val="single" w:sz="4" w:space="0" w:color="auto"/>
              <w:bottom w:val="single" w:sz="4" w:space="0" w:color="auto"/>
              <w:right w:val="single" w:sz="4" w:space="0" w:color="auto"/>
            </w:tcBorders>
            <w:hideMark/>
          </w:tcPr>
          <w:p w14:paraId="76B120C7" w14:textId="77777777" w:rsidR="00070F84" w:rsidRDefault="00070F84">
            <w:pPr>
              <w:pStyle w:val="Default"/>
            </w:pPr>
            <w:r>
              <w:rPr>
                <w:i/>
                <w:iCs/>
              </w:rPr>
              <w:t xml:space="preserve">Ikke almindelig: </w:t>
            </w:r>
            <w:r>
              <w:t xml:space="preserve">hududslæt </w:t>
            </w:r>
          </w:p>
        </w:tc>
      </w:tr>
    </w:tbl>
    <w:p w14:paraId="2B557AD5" w14:textId="77777777" w:rsidR="00070F84" w:rsidRDefault="00070F84" w:rsidP="00070F84">
      <w:pPr>
        <w:autoSpaceDE w:val="0"/>
        <w:autoSpaceDN w:val="0"/>
        <w:adjustRightInd w:val="0"/>
        <w:rPr>
          <w:sz w:val="24"/>
          <w:szCs w:val="24"/>
          <w:u w:val="single"/>
          <w:lang w:eastAsia="en-GB"/>
        </w:rPr>
      </w:pPr>
    </w:p>
    <w:p w14:paraId="095609CF" w14:textId="77777777" w:rsidR="00070F84" w:rsidRDefault="00070F84" w:rsidP="00070F84">
      <w:pPr>
        <w:autoSpaceDE w:val="0"/>
        <w:autoSpaceDN w:val="0"/>
        <w:ind w:left="851"/>
        <w:rPr>
          <w:sz w:val="24"/>
          <w:szCs w:val="24"/>
          <w:u w:val="single"/>
        </w:rPr>
      </w:pPr>
      <w:r>
        <w:rPr>
          <w:sz w:val="24"/>
          <w:szCs w:val="24"/>
          <w:u w:val="single"/>
        </w:rPr>
        <w:t>Beskrivelse af udvalgte bivirkninger</w:t>
      </w:r>
    </w:p>
    <w:p w14:paraId="44C3082A" w14:textId="77777777" w:rsidR="00070F84" w:rsidRDefault="00070F84" w:rsidP="00070F84">
      <w:pPr>
        <w:autoSpaceDE w:val="0"/>
        <w:autoSpaceDN w:val="0"/>
        <w:ind w:left="851"/>
        <w:rPr>
          <w:sz w:val="24"/>
          <w:szCs w:val="24"/>
        </w:rPr>
      </w:pPr>
      <w:r>
        <w:rPr>
          <w:sz w:val="24"/>
          <w:szCs w:val="24"/>
        </w:rPr>
        <w:t xml:space="preserve">Der har været rapporter om neurologisk forværring i starten af behandlingen hos patienter med Wilsons sygdom, som behandles med </w:t>
      </w:r>
      <w:proofErr w:type="spellStart"/>
      <w:r>
        <w:rPr>
          <w:sz w:val="24"/>
          <w:szCs w:val="24"/>
        </w:rPr>
        <w:t>kobberchelat</w:t>
      </w:r>
      <w:proofErr w:type="spellEnd"/>
      <w:r>
        <w:rPr>
          <w:sz w:val="24"/>
          <w:szCs w:val="24"/>
        </w:rPr>
        <w:t xml:space="preserve">, herunder </w:t>
      </w:r>
      <w:proofErr w:type="spellStart"/>
      <w:r>
        <w:rPr>
          <w:sz w:val="24"/>
          <w:szCs w:val="24"/>
        </w:rPr>
        <w:t>trientin</w:t>
      </w:r>
      <w:proofErr w:type="spellEnd"/>
      <w:r>
        <w:rPr>
          <w:sz w:val="24"/>
          <w:szCs w:val="24"/>
        </w:rPr>
        <w:t xml:space="preserve">, med symptomer på f.eks. </w:t>
      </w:r>
      <w:proofErr w:type="spellStart"/>
      <w:r>
        <w:rPr>
          <w:sz w:val="24"/>
          <w:szCs w:val="24"/>
        </w:rPr>
        <w:t>dystoni</w:t>
      </w:r>
      <w:proofErr w:type="spellEnd"/>
      <w:r>
        <w:rPr>
          <w:sz w:val="24"/>
          <w:szCs w:val="24"/>
        </w:rPr>
        <w:t xml:space="preserve">, stivhed, </w:t>
      </w:r>
      <w:proofErr w:type="spellStart"/>
      <w:r>
        <w:rPr>
          <w:sz w:val="24"/>
          <w:szCs w:val="24"/>
        </w:rPr>
        <w:t>tremor</w:t>
      </w:r>
      <w:proofErr w:type="spellEnd"/>
      <w:r>
        <w:rPr>
          <w:sz w:val="24"/>
          <w:szCs w:val="24"/>
        </w:rPr>
        <w:t xml:space="preserve"> og </w:t>
      </w:r>
      <w:proofErr w:type="spellStart"/>
      <w:r>
        <w:rPr>
          <w:sz w:val="24"/>
          <w:szCs w:val="24"/>
        </w:rPr>
        <w:t>dysartri</w:t>
      </w:r>
      <w:proofErr w:type="spellEnd"/>
      <w:r>
        <w:rPr>
          <w:sz w:val="24"/>
          <w:szCs w:val="24"/>
        </w:rPr>
        <w:t xml:space="preserve"> (se pkt. 4.2).</w:t>
      </w:r>
    </w:p>
    <w:p w14:paraId="091D156B" w14:textId="77777777" w:rsidR="00070F84" w:rsidRDefault="00070F84" w:rsidP="00070F84">
      <w:pPr>
        <w:autoSpaceDE w:val="0"/>
        <w:autoSpaceDN w:val="0"/>
        <w:ind w:left="851"/>
        <w:rPr>
          <w:sz w:val="24"/>
          <w:szCs w:val="24"/>
          <w:u w:val="single"/>
        </w:rPr>
      </w:pPr>
    </w:p>
    <w:p w14:paraId="3BCB5B66" w14:textId="77777777" w:rsidR="00070F84" w:rsidRDefault="00070F84" w:rsidP="00070F84">
      <w:pPr>
        <w:autoSpaceDE w:val="0"/>
        <w:autoSpaceDN w:val="0"/>
        <w:ind w:left="851"/>
        <w:rPr>
          <w:sz w:val="24"/>
          <w:szCs w:val="24"/>
          <w:u w:val="single"/>
        </w:rPr>
      </w:pPr>
      <w:r>
        <w:rPr>
          <w:sz w:val="24"/>
          <w:szCs w:val="24"/>
          <w:u w:val="single"/>
        </w:rPr>
        <w:t>Pædiatrisk population</w:t>
      </w:r>
    </w:p>
    <w:p w14:paraId="0ABC2EF7" w14:textId="1BABCB99" w:rsidR="00070F84" w:rsidRDefault="00070F84" w:rsidP="00070F84">
      <w:pPr>
        <w:autoSpaceDE w:val="0"/>
        <w:autoSpaceDN w:val="0"/>
        <w:ind w:left="851"/>
        <w:rPr>
          <w:sz w:val="24"/>
          <w:szCs w:val="24"/>
        </w:rPr>
      </w:pPr>
      <w:r>
        <w:rPr>
          <w:sz w:val="24"/>
          <w:szCs w:val="24"/>
        </w:rPr>
        <w:t xml:space="preserve">Kliniske forsøg med </w:t>
      </w:r>
      <w:proofErr w:type="spellStart"/>
      <w:r>
        <w:rPr>
          <w:sz w:val="24"/>
          <w:szCs w:val="24"/>
        </w:rPr>
        <w:t>trientin</w:t>
      </w:r>
      <w:proofErr w:type="spellEnd"/>
      <w:r>
        <w:rPr>
          <w:sz w:val="24"/>
          <w:szCs w:val="24"/>
        </w:rPr>
        <w:t>, herunder et begrænset antal børn i alderen 5 til 17 år i starten af behandlingen tyder på, at hyppigheden, typen og sværhedsgraden af bivirkninger hos børn forventes at være de samme som for voksne.</w:t>
      </w:r>
    </w:p>
    <w:p w14:paraId="6842C204" w14:textId="77777777" w:rsidR="00635CB2" w:rsidRPr="008D59A9" w:rsidRDefault="00635CB2" w:rsidP="00635CB2">
      <w:pPr>
        <w:autoSpaceDE w:val="0"/>
        <w:autoSpaceDN w:val="0"/>
        <w:adjustRightInd w:val="0"/>
        <w:rPr>
          <w:sz w:val="24"/>
          <w:szCs w:val="24"/>
          <w:u w:val="single"/>
          <w:lang w:eastAsia="en-GB"/>
        </w:rPr>
      </w:pPr>
    </w:p>
    <w:p w14:paraId="184B82FD" w14:textId="77777777" w:rsidR="00EC633F" w:rsidRDefault="00EC633F" w:rsidP="00EC633F">
      <w:pPr>
        <w:autoSpaceDE w:val="0"/>
        <w:autoSpaceDN w:val="0"/>
        <w:ind w:left="851"/>
        <w:rPr>
          <w:sz w:val="24"/>
          <w:szCs w:val="24"/>
          <w:u w:val="single"/>
        </w:rPr>
      </w:pPr>
      <w:r>
        <w:rPr>
          <w:sz w:val="24"/>
          <w:szCs w:val="24"/>
          <w:u w:val="single"/>
        </w:rPr>
        <w:t>Indberetning af formodede bivirkninger</w:t>
      </w:r>
    </w:p>
    <w:p w14:paraId="23ECD13E" w14:textId="082D328F" w:rsidR="00EC633F" w:rsidRDefault="00EC633F" w:rsidP="00EC633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AB162A">
        <w:rPr>
          <w:sz w:val="24"/>
          <w:szCs w:val="24"/>
        </w:rPr>
        <w:t>S</w:t>
      </w:r>
      <w:r>
        <w:rPr>
          <w:sz w:val="24"/>
          <w:szCs w:val="24"/>
        </w:rPr>
        <w:t>undhedsp</w:t>
      </w:r>
      <w:r w:rsidR="00B96C9E">
        <w:rPr>
          <w:sz w:val="24"/>
          <w:szCs w:val="24"/>
        </w:rPr>
        <w:t>ersoner</w:t>
      </w:r>
      <w:r>
        <w:rPr>
          <w:sz w:val="24"/>
          <w:szCs w:val="24"/>
        </w:rPr>
        <w:t xml:space="preserve"> anmodes om at indberette alle formodede bivirkninger via:</w:t>
      </w:r>
    </w:p>
    <w:p w14:paraId="4F240D3E" w14:textId="77777777" w:rsidR="00EC633F" w:rsidRDefault="00EC633F" w:rsidP="00EC633F">
      <w:pPr>
        <w:tabs>
          <w:tab w:val="left" w:pos="2440"/>
        </w:tabs>
        <w:ind w:left="851"/>
        <w:rPr>
          <w:sz w:val="24"/>
          <w:szCs w:val="24"/>
        </w:rPr>
      </w:pPr>
    </w:p>
    <w:p w14:paraId="351CD592" w14:textId="77777777" w:rsidR="00EC633F" w:rsidRDefault="00EC633F" w:rsidP="00EC633F">
      <w:pPr>
        <w:ind w:left="851"/>
        <w:rPr>
          <w:sz w:val="24"/>
          <w:szCs w:val="24"/>
        </w:rPr>
      </w:pPr>
      <w:r>
        <w:rPr>
          <w:sz w:val="24"/>
          <w:szCs w:val="24"/>
        </w:rPr>
        <w:t>Lægemiddelstyrelsen</w:t>
      </w:r>
    </w:p>
    <w:p w14:paraId="2E3A17E9" w14:textId="77777777" w:rsidR="00EC633F" w:rsidRDefault="00EC633F" w:rsidP="00EC633F">
      <w:pPr>
        <w:ind w:left="851"/>
        <w:rPr>
          <w:sz w:val="24"/>
          <w:szCs w:val="24"/>
        </w:rPr>
      </w:pPr>
      <w:r>
        <w:rPr>
          <w:sz w:val="24"/>
          <w:szCs w:val="24"/>
        </w:rPr>
        <w:t>Axel Heides Gade 1</w:t>
      </w:r>
    </w:p>
    <w:p w14:paraId="05B3FF45" w14:textId="77777777" w:rsidR="00EC633F" w:rsidRDefault="00EC633F" w:rsidP="00EC633F">
      <w:pPr>
        <w:ind w:left="851"/>
        <w:rPr>
          <w:sz w:val="24"/>
          <w:szCs w:val="24"/>
        </w:rPr>
      </w:pPr>
      <w:r>
        <w:rPr>
          <w:sz w:val="24"/>
          <w:szCs w:val="24"/>
        </w:rPr>
        <w:t>DK-2300 København S</w:t>
      </w:r>
    </w:p>
    <w:p w14:paraId="6554A154" w14:textId="77777777" w:rsidR="00EC633F" w:rsidRPr="009825BA" w:rsidRDefault="00EC633F" w:rsidP="00EC633F">
      <w:pPr>
        <w:ind w:left="851"/>
        <w:rPr>
          <w:sz w:val="24"/>
          <w:szCs w:val="24"/>
        </w:rPr>
      </w:pPr>
      <w:r w:rsidRPr="009825BA">
        <w:rPr>
          <w:sz w:val="24"/>
          <w:szCs w:val="24"/>
        </w:rPr>
        <w:t xml:space="preserve">Websted: </w:t>
      </w:r>
      <w:hyperlink r:id="rId9" w:history="1">
        <w:r w:rsidRPr="009825BA">
          <w:rPr>
            <w:rStyle w:val="Hyperlink"/>
            <w:sz w:val="24"/>
            <w:szCs w:val="24"/>
          </w:rPr>
          <w:t>www.meldenbivirkning.dk</w:t>
        </w:r>
      </w:hyperlink>
    </w:p>
    <w:p w14:paraId="5181218A" w14:textId="77777777" w:rsidR="009260DE" w:rsidRPr="008D59A9" w:rsidRDefault="009260DE" w:rsidP="009260DE">
      <w:pPr>
        <w:pStyle w:val="Sidehoved"/>
        <w:tabs>
          <w:tab w:val="left" w:pos="851"/>
        </w:tabs>
        <w:ind w:left="851"/>
        <w:rPr>
          <w:szCs w:val="24"/>
        </w:rPr>
      </w:pPr>
    </w:p>
    <w:p w14:paraId="61F0832C" w14:textId="77777777" w:rsidR="009260DE" w:rsidRPr="008D59A9" w:rsidRDefault="009260DE" w:rsidP="009260DE">
      <w:pPr>
        <w:tabs>
          <w:tab w:val="left" w:pos="851"/>
        </w:tabs>
        <w:ind w:left="851" w:hanging="851"/>
        <w:rPr>
          <w:b/>
          <w:sz w:val="24"/>
          <w:szCs w:val="24"/>
        </w:rPr>
      </w:pPr>
      <w:r w:rsidRPr="008D59A9">
        <w:rPr>
          <w:b/>
          <w:sz w:val="24"/>
          <w:szCs w:val="24"/>
        </w:rPr>
        <w:t>4.9</w:t>
      </w:r>
      <w:r w:rsidRPr="008D59A9">
        <w:rPr>
          <w:b/>
          <w:sz w:val="24"/>
          <w:szCs w:val="24"/>
        </w:rPr>
        <w:tab/>
        <w:t>Overdosering</w:t>
      </w:r>
    </w:p>
    <w:p w14:paraId="15CC9A34" w14:textId="77777777" w:rsidR="00070F84" w:rsidRDefault="00070F84" w:rsidP="00070F84">
      <w:pPr>
        <w:autoSpaceDE w:val="0"/>
        <w:autoSpaceDN w:val="0"/>
        <w:adjustRightInd w:val="0"/>
        <w:ind w:left="851"/>
        <w:rPr>
          <w:sz w:val="24"/>
          <w:szCs w:val="24"/>
        </w:rPr>
      </w:pPr>
      <w:r>
        <w:rPr>
          <w:sz w:val="24"/>
          <w:szCs w:val="24"/>
        </w:rPr>
        <w:t xml:space="preserve">Der har været rapporteret lejlighedsvise tilfælde af overdosering med </w:t>
      </w:r>
      <w:proofErr w:type="spellStart"/>
      <w:r>
        <w:rPr>
          <w:sz w:val="24"/>
          <w:szCs w:val="24"/>
        </w:rPr>
        <w:t>trientin</w:t>
      </w:r>
      <w:proofErr w:type="spellEnd"/>
      <w:r>
        <w:rPr>
          <w:sz w:val="24"/>
          <w:szCs w:val="24"/>
        </w:rPr>
        <w:t xml:space="preserve">. Der blev ikke rapporteret tydelige bivirkninger i tilfælde med op til 20 g </w:t>
      </w:r>
      <w:proofErr w:type="spellStart"/>
      <w:r>
        <w:rPr>
          <w:sz w:val="24"/>
          <w:szCs w:val="24"/>
        </w:rPr>
        <w:t>trientin</w:t>
      </w:r>
      <w:proofErr w:type="spellEnd"/>
      <w:r>
        <w:rPr>
          <w:sz w:val="24"/>
          <w:szCs w:val="24"/>
        </w:rPr>
        <w:t xml:space="preserve"> base. En stor overdosering af 40 g </w:t>
      </w:r>
      <w:proofErr w:type="spellStart"/>
      <w:r>
        <w:rPr>
          <w:sz w:val="24"/>
          <w:szCs w:val="24"/>
        </w:rPr>
        <w:t>trientin</w:t>
      </w:r>
      <w:proofErr w:type="spellEnd"/>
      <w:r>
        <w:rPr>
          <w:sz w:val="24"/>
          <w:szCs w:val="24"/>
        </w:rPr>
        <w:t xml:space="preserve"> base førte til selvbegrænsende svimmelhed og opkastning uden rapportering om andre kliniske følgevirkninger eller signifikante biokemiske </w:t>
      </w:r>
      <w:proofErr w:type="spellStart"/>
      <w:r>
        <w:rPr>
          <w:sz w:val="24"/>
          <w:szCs w:val="24"/>
        </w:rPr>
        <w:t>abnormaliteter</w:t>
      </w:r>
      <w:proofErr w:type="spellEnd"/>
      <w:r>
        <w:rPr>
          <w:sz w:val="24"/>
          <w:szCs w:val="24"/>
        </w:rPr>
        <w:t>.</w:t>
      </w:r>
    </w:p>
    <w:p w14:paraId="65447130" w14:textId="77777777" w:rsidR="00070F84" w:rsidRDefault="00070F84" w:rsidP="00070F84">
      <w:pPr>
        <w:autoSpaceDE w:val="0"/>
        <w:autoSpaceDN w:val="0"/>
        <w:adjustRightInd w:val="0"/>
        <w:ind w:left="851"/>
        <w:rPr>
          <w:sz w:val="24"/>
          <w:szCs w:val="24"/>
        </w:rPr>
      </w:pPr>
    </w:p>
    <w:p w14:paraId="0DB73667" w14:textId="77777777" w:rsidR="00070F84" w:rsidRDefault="00070F84" w:rsidP="00070F84">
      <w:pPr>
        <w:autoSpaceDE w:val="0"/>
        <w:autoSpaceDN w:val="0"/>
        <w:adjustRightInd w:val="0"/>
        <w:ind w:left="851"/>
        <w:rPr>
          <w:sz w:val="24"/>
          <w:szCs w:val="24"/>
          <w:lang w:eastAsia="en-GB"/>
        </w:rPr>
      </w:pPr>
      <w:r>
        <w:rPr>
          <w:sz w:val="24"/>
          <w:szCs w:val="24"/>
        </w:rPr>
        <w:t xml:space="preserve">Patienten skal i tilfælde af en overdosis observeres, der skal foretages passede biokemiske analyser og gives symptomatisk behandling. Der er ingen modgift mod </w:t>
      </w:r>
      <w:proofErr w:type="spellStart"/>
      <w:r>
        <w:rPr>
          <w:sz w:val="24"/>
          <w:szCs w:val="24"/>
        </w:rPr>
        <w:t>trientin</w:t>
      </w:r>
      <w:proofErr w:type="spellEnd"/>
      <w:r>
        <w:rPr>
          <w:sz w:val="24"/>
          <w:szCs w:val="24"/>
        </w:rPr>
        <w:t xml:space="preserve">.  </w:t>
      </w:r>
    </w:p>
    <w:p w14:paraId="48AEB97A" w14:textId="77777777" w:rsidR="00070F84" w:rsidRDefault="00070F84" w:rsidP="00070F84">
      <w:pPr>
        <w:autoSpaceDE w:val="0"/>
        <w:autoSpaceDN w:val="0"/>
        <w:adjustRightInd w:val="0"/>
        <w:ind w:left="851"/>
        <w:rPr>
          <w:sz w:val="24"/>
          <w:szCs w:val="24"/>
        </w:rPr>
      </w:pPr>
    </w:p>
    <w:p w14:paraId="720E4FAA" w14:textId="77777777" w:rsidR="00070F84" w:rsidRDefault="00070F84" w:rsidP="00070F84">
      <w:pPr>
        <w:ind w:left="851"/>
        <w:rPr>
          <w:sz w:val="24"/>
          <w:szCs w:val="24"/>
        </w:rPr>
      </w:pPr>
      <w:r>
        <w:rPr>
          <w:sz w:val="24"/>
          <w:szCs w:val="24"/>
        </w:rPr>
        <w:t xml:space="preserve">Kronisk overbehandling kan resultere i kobbermangel og reversibel </w:t>
      </w:r>
      <w:proofErr w:type="spellStart"/>
      <w:r>
        <w:rPr>
          <w:sz w:val="24"/>
          <w:szCs w:val="24"/>
        </w:rPr>
        <w:t>sideroblastisk</w:t>
      </w:r>
      <w:proofErr w:type="spellEnd"/>
      <w:r>
        <w:rPr>
          <w:sz w:val="24"/>
          <w:szCs w:val="24"/>
        </w:rPr>
        <w:t xml:space="preserve"> anæmi. Overbehandling og fjernelse af overskydende kobber kan monitoreres ved hjælp af værdier for udskillelsen af kobber i urin og non-</w:t>
      </w:r>
      <w:proofErr w:type="spellStart"/>
      <w:r>
        <w:rPr>
          <w:sz w:val="24"/>
          <w:szCs w:val="24"/>
        </w:rPr>
        <w:t>ceruloplasminbunden</w:t>
      </w:r>
      <w:proofErr w:type="spellEnd"/>
      <w:r>
        <w:rPr>
          <w:sz w:val="24"/>
          <w:szCs w:val="24"/>
        </w:rPr>
        <w:t xml:space="preserve"> kobber. Tæt monitorering er påkrævet for at optimere dosis eller tilpasse behandlingen, hvis det er nødvendigt (se pkt. 4.4).</w:t>
      </w:r>
    </w:p>
    <w:p w14:paraId="0A05DC01" w14:textId="77777777" w:rsidR="009260DE" w:rsidRPr="008D59A9" w:rsidRDefault="009260DE" w:rsidP="00070F84">
      <w:pPr>
        <w:tabs>
          <w:tab w:val="left" w:pos="851"/>
        </w:tabs>
        <w:rPr>
          <w:sz w:val="24"/>
          <w:szCs w:val="24"/>
        </w:rPr>
      </w:pPr>
    </w:p>
    <w:p w14:paraId="1DD5D799" w14:textId="77777777" w:rsidR="009260DE" w:rsidRPr="008D59A9" w:rsidRDefault="009260DE" w:rsidP="009260DE">
      <w:pPr>
        <w:tabs>
          <w:tab w:val="left" w:pos="851"/>
        </w:tabs>
        <w:ind w:left="851" w:hanging="851"/>
        <w:rPr>
          <w:b/>
          <w:sz w:val="24"/>
          <w:szCs w:val="24"/>
        </w:rPr>
      </w:pPr>
      <w:r w:rsidRPr="008D59A9">
        <w:rPr>
          <w:b/>
          <w:sz w:val="24"/>
          <w:szCs w:val="24"/>
        </w:rPr>
        <w:t>4.10</w:t>
      </w:r>
      <w:r w:rsidRPr="008D59A9">
        <w:rPr>
          <w:b/>
          <w:sz w:val="24"/>
          <w:szCs w:val="24"/>
        </w:rPr>
        <w:tab/>
        <w:t>Udlevering</w:t>
      </w:r>
    </w:p>
    <w:p w14:paraId="2FBCDC21" w14:textId="44AC8AC7" w:rsidR="009260DE" w:rsidRPr="008D59A9" w:rsidRDefault="00F53035" w:rsidP="009260DE">
      <w:pPr>
        <w:tabs>
          <w:tab w:val="left" w:pos="851"/>
        </w:tabs>
        <w:ind w:left="851"/>
        <w:rPr>
          <w:sz w:val="24"/>
          <w:szCs w:val="24"/>
        </w:rPr>
      </w:pPr>
      <w:r w:rsidRPr="008D59A9">
        <w:rPr>
          <w:sz w:val="24"/>
          <w:szCs w:val="24"/>
        </w:rPr>
        <w:t>BEGR – kun til sygehuse</w:t>
      </w:r>
    </w:p>
    <w:p w14:paraId="7B55A5C4" w14:textId="77777777" w:rsidR="009260DE" w:rsidRPr="008D59A9" w:rsidRDefault="009260DE" w:rsidP="009260DE">
      <w:pPr>
        <w:tabs>
          <w:tab w:val="left" w:pos="851"/>
        </w:tabs>
        <w:ind w:left="851"/>
        <w:rPr>
          <w:sz w:val="24"/>
          <w:szCs w:val="24"/>
        </w:rPr>
      </w:pPr>
    </w:p>
    <w:p w14:paraId="1FC550DB" w14:textId="77777777" w:rsidR="009260DE" w:rsidRPr="008D59A9" w:rsidRDefault="009260DE" w:rsidP="009260DE">
      <w:pPr>
        <w:tabs>
          <w:tab w:val="left" w:pos="851"/>
        </w:tabs>
        <w:ind w:left="851"/>
        <w:rPr>
          <w:sz w:val="24"/>
          <w:szCs w:val="24"/>
        </w:rPr>
      </w:pPr>
    </w:p>
    <w:p w14:paraId="6FBBB6C0" w14:textId="77777777" w:rsidR="009260DE" w:rsidRPr="008D59A9" w:rsidRDefault="009260DE" w:rsidP="009260DE">
      <w:pPr>
        <w:tabs>
          <w:tab w:val="left" w:pos="851"/>
        </w:tabs>
        <w:ind w:left="851" w:hanging="851"/>
        <w:rPr>
          <w:b/>
          <w:sz w:val="24"/>
          <w:szCs w:val="24"/>
        </w:rPr>
      </w:pPr>
      <w:r w:rsidRPr="008D59A9">
        <w:rPr>
          <w:b/>
          <w:sz w:val="24"/>
          <w:szCs w:val="24"/>
        </w:rPr>
        <w:t>5.</w:t>
      </w:r>
      <w:r w:rsidRPr="008D59A9">
        <w:rPr>
          <w:b/>
          <w:sz w:val="24"/>
          <w:szCs w:val="24"/>
        </w:rPr>
        <w:tab/>
        <w:t>FARMAKOLOGISKE EGENSKABER</w:t>
      </w:r>
    </w:p>
    <w:p w14:paraId="0F5ED1BF" w14:textId="77777777" w:rsidR="009260DE" w:rsidRPr="008D59A9" w:rsidRDefault="009260DE" w:rsidP="009260DE">
      <w:pPr>
        <w:tabs>
          <w:tab w:val="left" w:pos="851"/>
        </w:tabs>
        <w:ind w:left="851"/>
        <w:rPr>
          <w:sz w:val="24"/>
          <w:szCs w:val="24"/>
        </w:rPr>
      </w:pPr>
    </w:p>
    <w:p w14:paraId="6857263C" w14:textId="77777777" w:rsidR="009260DE" w:rsidRPr="008D59A9" w:rsidRDefault="009260DE" w:rsidP="009260DE">
      <w:pPr>
        <w:tabs>
          <w:tab w:val="num" w:pos="851"/>
        </w:tabs>
        <w:ind w:left="851" w:hanging="851"/>
        <w:rPr>
          <w:b/>
          <w:sz w:val="24"/>
          <w:szCs w:val="24"/>
        </w:rPr>
      </w:pPr>
      <w:r w:rsidRPr="008D59A9">
        <w:rPr>
          <w:b/>
          <w:sz w:val="24"/>
          <w:szCs w:val="24"/>
        </w:rPr>
        <w:t>5.1</w:t>
      </w:r>
      <w:r w:rsidRPr="008D59A9">
        <w:rPr>
          <w:b/>
          <w:sz w:val="24"/>
          <w:szCs w:val="24"/>
        </w:rPr>
        <w:tab/>
      </w:r>
      <w:proofErr w:type="spellStart"/>
      <w:r w:rsidRPr="008D59A9">
        <w:rPr>
          <w:b/>
          <w:sz w:val="24"/>
          <w:szCs w:val="24"/>
        </w:rPr>
        <w:t>Farmakodynamiske</w:t>
      </w:r>
      <w:proofErr w:type="spellEnd"/>
      <w:r w:rsidRPr="008D59A9">
        <w:rPr>
          <w:b/>
          <w:sz w:val="24"/>
          <w:szCs w:val="24"/>
        </w:rPr>
        <w:t xml:space="preserve"> egenskaber</w:t>
      </w:r>
    </w:p>
    <w:p w14:paraId="458BCEF9" w14:textId="77C59667" w:rsidR="00E84C76" w:rsidRDefault="00DB16E4" w:rsidP="00A065D7">
      <w:pPr>
        <w:ind w:left="851"/>
        <w:rPr>
          <w:sz w:val="24"/>
          <w:szCs w:val="24"/>
        </w:rPr>
      </w:pPr>
      <w:proofErr w:type="spellStart"/>
      <w:r>
        <w:rPr>
          <w:sz w:val="24"/>
          <w:szCs w:val="24"/>
        </w:rPr>
        <w:t>Farmakoterapeutisk</w:t>
      </w:r>
      <w:proofErr w:type="spellEnd"/>
      <w:r>
        <w:rPr>
          <w:sz w:val="24"/>
          <w:szCs w:val="24"/>
        </w:rPr>
        <w:t xml:space="preserve"> klassifikation: Diverse midler til </w:t>
      </w:r>
      <w:r w:rsidRPr="008D59A9">
        <w:rPr>
          <w:sz w:val="24"/>
          <w:szCs w:val="24"/>
        </w:rPr>
        <w:t>fordøjelses</w:t>
      </w:r>
      <w:r>
        <w:rPr>
          <w:sz w:val="24"/>
          <w:szCs w:val="24"/>
        </w:rPr>
        <w:t xml:space="preserve">organer </w:t>
      </w:r>
      <w:r w:rsidRPr="008D59A9">
        <w:rPr>
          <w:sz w:val="24"/>
          <w:szCs w:val="24"/>
        </w:rPr>
        <w:t>og stofskifte.</w:t>
      </w:r>
    </w:p>
    <w:p w14:paraId="1AF2C0F3" w14:textId="0AAC38AC" w:rsidR="00DB16E4" w:rsidRDefault="00DB16E4" w:rsidP="00A065D7">
      <w:pPr>
        <w:ind w:left="851"/>
        <w:rPr>
          <w:sz w:val="24"/>
          <w:szCs w:val="24"/>
        </w:rPr>
      </w:pPr>
      <w:r w:rsidRPr="008D59A9">
        <w:rPr>
          <w:sz w:val="24"/>
          <w:szCs w:val="24"/>
        </w:rPr>
        <w:t>ATC-kode: A</w:t>
      </w:r>
      <w:r>
        <w:rPr>
          <w:sz w:val="24"/>
          <w:szCs w:val="24"/>
        </w:rPr>
        <w:t xml:space="preserve"> </w:t>
      </w:r>
      <w:r w:rsidRPr="008D59A9">
        <w:rPr>
          <w:sz w:val="24"/>
          <w:szCs w:val="24"/>
        </w:rPr>
        <w:t>16</w:t>
      </w:r>
      <w:r>
        <w:rPr>
          <w:sz w:val="24"/>
          <w:szCs w:val="24"/>
        </w:rPr>
        <w:t xml:space="preserve"> </w:t>
      </w:r>
      <w:r w:rsidRPr="008D59A9">
        <w:rPr>
          <w:sz w:val="24"/>
          <w:szCs w:val="24"/>
        </w:rPr>
        <w:t>AX</w:t>
      </w:r>
      <w:r>
        <w:rPr>
          <w:sz w:val="24"/>
          <w:szCs w:val="24"/>
        </w:rPr>
        <w:t xml:space="preserve"> </w:t>
      </w:r>
      <w:r w:rsidRPr="008D59A9">
        <w:rPr>
          <w:sz w:val="24"/>
          <w:szCs w:val="24"/>
        </w:rPr>
        <w:t>12</w:t>
      </w:r>
      <w:r>
        <w:rPr>
          <w:sz w:val="24"/>
          <w:szCs w:val="24"/>
        </w:rPr>
        <w:t>.</w:t>
      </w:r>
    </w:p>
    <w:p w14:paraId="39018731" w14:textId="77777777" w:rsidR="00DB16E4" w:rsidRDefault="00DB16E4" w:rsidP="00A065D7">
      <w:pPr>
        <w:ind w:left="851"/>
        <w:rPr>
          <w:sz w:val="24"/>
          <w:szCs w:val="24"/>
          <w:u w:val="single"/>
        </w:rPr>
      </w:pPr>
    </w:p>
    <w:p w14:paraId="78BAE9BB" w14:textId="77777777" w:rsidR="00070F84" w:rsidRDefault="00070F84" w:rsidP="00070F84">
      <w:pPr>
        <w:ind w:left="851"/>
        <w:rPr>
          <w:sz w:val="24"/>
          <w:szCs w:val="24"/>
          <w:u w:val="single"/>
          <w:lang w:eastAsia="en-GB"/>
        </w:rPr>
      </w:pPr>
      <w:r>
        <w:rPr>
          <w:sz w:val="24"/>
          <w:szCs w:val="24"/>
          <w:u w:val="single"/>
        </w:rPr>
        <w:t>Virkningsmekanisme</w:t>
      </w:r>
    </w:p>
    <w:p w14:paraId="35A5B600" w14:textId="77777777" w:rsidR="00070F84" w:rsidRDefault="00070F84" w:rsidP="00070F84">
      <w:pPr>
        <w:ind w:left="851"/>
        <w:rPr>
          <w:sz w:val="24"/>
          <w:szCs w:val="24"/>
        </w:rPr>
      </w:pPr>
      <w:proofErr w:type="spellStart"/>
      <w:r>
        <w:rPr>
          <w:sz w:val="24"/>
          <w:szCs w:val="24"/>
        </w:rPr>
        <w:t>Trientin</w:t>
      </w:r>
      <w:proofErr w:type="spellEnd"/>
      <w:r>
        <w:rPr>
          <w:sz w:val="24"/>
          <w:szCs w:val="24"/>
        </w:rPr>
        <w:t xml:space="preserve"> er et kobber-</w:t>
      </w:r>
      <w:proofErr w:type="spellStart"/>
      <w:r>
        <w:rPr>
          <w:sz w:val="24"/>
          <w:szCs w:val="24"/>
        </w:rPr>
        <w:t>chelatdannende</w:t>
      </w:r>
      <w:proofErr w:type="spellEnd"/>
      <w:r>
        <w:rPr>
          <w:sz w:val="24"/>
          <w:szCs w:val="24"/>
        </w:rPr>
        <w:t xml:space="preserve"> middel, der forstærker systemisk eliminering af divalent kobber ved at danne et stabilt kompleks, der problemfrit udskilles af nyrerne. </w:t>
      </w:r>
      <w:proofErr w:type="spellStart"/>
      <w:r>
        <w:rPr>
          <w:sz w:val="24"/>
          <w:szCs w:val="24"/>
        </w:rPr>
        <w:t>Trientin</w:t>
      </w:r>
      <w:proofErr w:type="spellEnd"/>
      <w:r>
        <w:rPr>
          <w:sz w:val="24"/>
          <w:szCs w:val="24"/>
        </w:rPr>
        <w:t xml:space="preserve"> er et </w:t>
      </w:r>
      <w:proofErr w:type="spellStart"/>
      <w:r>
        <w:rPr>
          <w:sz w:val="24"/>
          <w:szCs w:val="24"/>
        </w:rPr>
        <w:t>chelatdannende</w:t>
      </w:r>
      <w:proofErr w:type="spellEnd"/>
      <w:r>
        <w:rPr>
          <w:sz w:val="24"/>
          <w:szCs w:val="24"/>
        </w:rPr>
        <w:t xml:space="preserve"> middel med en </w:t>
      </w:r>
      <w:proofErr w:type="spellStart"/>
      <w:r>
        <w:rPr>
          <w:sz w:val="24"/>
          <w:szCs w:val="24"/>
        </w:rPr>
        <w:t>polyaminlignende</w:t>
      </w:r>
      <w:proofErr w:type="spellEnd"/>
      <w:r>
        <w:rPr>
          <w:sz w:val="24"/>
          <w:szCs w:val="24"/>
        </w:rPr>
        <w:t xml:space="preserve"> struktur, og kobber </w:t>
      </w:r>
      <w:proofErr w:type="spellStart"/>
      <w:r>
        <w:rPr>
          <w:sz w:val="24"/>
          <w:szCs w:val="24"/>
        </w:rPr>
        <w:t>chelateres</w:t>
      </w:r>
      <w:proofErr w:type="spellEnd"/>
      <w:r>
        <w:rPr>
          <w:sz w:val="24"/>
          <w:szCs w:val="24"/>
        </w:rPr>
        <w:t xml:space="preserve"> ved at danne et stabilt kompleks med de fire indgående </w:t>
      </w:r>
      <w:proofErr w:type="spellStart"/>
      <w:r>
        <w:rPr>
          <w:sz w:val="24"/>
          <w:szCs w:val="24"/>
        </w:rPr>
        <w:t>nitrogener</w:t>
      </w:r>
      <w:proofErr w:type="spellEnd"/>
      <w:r>
        <w:rPr>
          <w:sz w:val="24"/>
          <w:szCs w:val="24"/>
        </w:rPr>
        <w:t xml:space="preserve"> i en plan ring. </w:t>
      </w:r>
      <w:proofErr w:type="spellStart"/>
      <w:r>
        <w:rPr>
          <w:sz w:val="24"/>
          <w:szCs w:val="24"/>
        </w:rPr>
        <w:t>Trientins</w:t>
      </w:r>
      <w:proofErr w:type="spellEnd"/>
      <w:r>
        <w:rPr>
          <w:sz w:val="24"/>
          <w:szCs w:val="24"/>
        </w:rPr>
        <w:t xml:space="preserve"> </w:t>
      </w:r>
      <w:proofErr w:type="spellStart"/>
      <w:r>
        <w:rPr>
          <w:sz w:val="24"/>
          <w:szCs w:val="24"/>
        </w:rPr>
        <w:t>farmakodynamiske</w:t>
      </w:r>
      <w:proofErr w:type="spellEnd"/>
      <w:r>
        <w:rPr>
          <w:sz w:val="24"/>
          <w:szCs w:val="24"/>
        </w:rPr>
        <w:t xml:space="preserve"> virkning afhænger dermed af dens kemiske evne til at </w:t>
      </w:r>
      <w:proofErr w:type="spellStart"/>
      <w:r>
        <w:rPr>
          <w:sz w:val="24"/>
          <w:szCs w:val="24"/>
        </w:rPr>
        <w:t>chelatere</w:t>
      </w:r>
      <w:proofErr w:type="spellEnd"/>
      <w:r>
        <w:rPr>
          <w:sz w:val="24"/>
          <w:szCs w:val="24"/>
        </w:rPr>
        <w:t xml:space="preserve"> kobber og ikke af dens interaktion med receptorer, enzymsystemer eller andet biologisk system, der kan være forskellige fra art til art. </w:t>
      </w:r>
      <w:proofErr w:type="spellStart"/>
      <w:r>
        <w:rPr>
          <w:sz w:val="24"/>
          <w:szCs w:val="24"/>
        </w:rPr>
        <w:t>Trientin</w:t>
      </w:r>
      <w:proofErr w:type="spellEnd"/>
      <w:r>
        <w:rPr>
          <w:sz w:val="24"/>
          <w:szCs w:val="24"/>
        </w:rPr>
        <w:t xml:space="preserve"> kan også </w:t>
      </w:r>
      <w:proofErr w:type="spellStart"/>
      <w:r>
        <w:rPr>
          <w:sz w:val="24"/>
          <w:szCs w:val="24"/>
        </w:rPr>
        <w:t>chelatere</w:t>
      </w:r>
      <w:proofErr w:type="spellEnd"/>
      <w:r>
        <w:rPr>
          <w:sz w:val="24"/>
          <w:szCs w:val="24"/>
        </w:rPr>
        <w:t xml:space="preserve"> kobber i tarmkanalen og dermed hæmme absorptionen af kobber.</w:t>
      </w:r>
    </w:p>
    <w:p w14:paraId="4E5F258A" w14:textId="77777777" w:rsidR="009260DE" w:rsidRPr="008D59A9" w:rsidRDefault="009260DE" w:rsidP="009260DE">
      <w:pPr>
        <w:tabs>
          <w:tab w:val="left" w:pos="851"/>
        </w:tabs>
        <w:ind w:left="851"/>
        <w:rPr>
          <w:sz w:val="24"/>
          <w:szCs w:val="24"/>
        </w:rPr>
      </w:pPr>
    </w:p>
    <w:p w14:paraId="33300842" w14:textId="77777777" w:rsidR="009260DE" w:rsidRPr="008D59A9" w:rsidRDefault="009260DE" w:rsidP="009260DE">
      <w:pPr>
        <w:tabs>
          <w:tab w:val="left" w:pos="851"/>
        </w:tabs>
        <w:ind w:left="851" w:hanging="851"/>
        <w:rPr>
          <w:b/>
          <w:sz w:val="24"/>
          <w:szCs w:val="24"/>
        </w:rPr>
      </w:pPr>
      <w:r w:rsidRPr="008D59A9">
        <w:rPr>
          <w:b/>
          <w:sz w:val="24"/>
          <w:szCs w:val="24"/>
        </w:rPr>
        <w:t>5.2</w:t>
      </w:r>
      <w:r w:rsidRPr="008D59A9">
        <w:rPr>
          <w:b/>
          <w:sz w:val="24"/>
          <w:szCs w:val="24"/>
        </w:rPr>
        <w:tab/>
      </w:r>
      <w:proofErr w:type="spellStart"/>
      <w:r w:rsidRPr="008D59A9">
        <w:rPr>
          <w:b/>
          <w:sz w:val="24"/>
          <w:szCs w:val="24"/>
        </w:rPr>
        <w:t>Farmakokinetiske</w:t>
      </w:r>
      <w:proofErr w:type="spellEnd"/>
      <w:r w:rsidRPr="008D59A9">
        <w:rPr>
          <w:b/>
          <w:sz w:val="24"/>
          <w:szCs w:val="24"/>
        </w:rPr>
        <w:t xml:space="preserve"> egenskaber</w:t>
      </w:r>
    </w:p>
    <w:p w14:paraId="6FC7938A" w14:textId="77777777" w:rsidR="00E84C76" w:rsidRDefault="00E84C76" w:rsidP="00A065D7">
      <w:pPr>
        <w:ind w:left="851"/>
        <w:rPr>
          <w:sz w:val="24"/>
          <w:szCs w:val="24"/>
        </w:rPr>
      </w:pPr>
    </w:p>
    <w:p w14:paraId="6795C7AD" w14:textId="77777777" w:rsidR="00070F84" w:rsidRDefault="00070F84" w:rsidP="00070F84">
      <w:pPr>
        <w:ind w:left="851"/>
        <w:rPr>
          <w:sz w:val="24"/>
          <w:szCs w:val="24"/>
          <w:u w:val="single"/>
          <w:lang w:eastAsia="en-GB"/>
        </w:rPr>
      </w:pPr>
      <w:r>
        <w:rPr>
          <w:sz w:val="24"/>
          <w:szCs w:val="24"/>
          <w:u w:val="single"/>
        </w:rPr>
        <w:t>Absorption</w:t>
      </w:r>
    </w:p>
    <w:p w14:paraId="781A2012" w14:textId="77777777" w:rsidR="00070F84" w:rsidRDefault="00070F84" w:rsidP="00070F84">
      <w:pPr>
        <w:ind w:left="851"/>
        <w:rPr>
          <w:noProof/>
          <w:sz w:val="24"/>
          <w:szCs w:val="24"/>
        </w:rPr>
      </w:pPr>
      <w:r>
        <w:rPr>
          <w:sz w:val="24"/>
          <w:szCs w:val="24"/>
        </w:rPr>
        <w:t xml:space="preserve">Efter oral administration i en enkelt dosis på 167 mg </w:t>
      </w:r>
      <w:proofErr w:type="spellStart"/>
      <w:r>
        <w:rPr>
          <w:sz w:val="24"/>
          <w:szCs w:val="24"/>
        </w:rPr>
        <w:t>trientinbase</w:t>
      </w:r>
      <w:proofErr w:type="spellEnd"/>
      <w:r>
        <w:rPr>
          <w:sz w:val="24"/>
          <w:szCs w:val="24"/>
        </w:rPr>
        <w:t xml:space="preserve"> (250 mg </w:t>
      </w:r>
      <w:proofErr w:type="spellStart"/>
      <w:r>
        <w:rPr>
          <w:sz w:val="24"/>
          <w:szCs w:val="24"/>
        </w:rPr>
        <w:t>trientindihydro</w:t>
      </w:r>
      <w:r>
        <w:rPr>
          <w:sz w:val="24"/>
          <w:szCs w:val="24"/>
        </w:rPr>
        <w:softHyphen/>
        <w:t>chloridsalt</w:t>
      </w:r>
      <w:proofErr w:type="spellEnd"/>
      <w:r>
        <w:rPr>
          <w:sz w:val="24"/>
          <w:szCs w:val="24"/>
        </w:rPr>
        <w:t xml:space="preserve">) </w:t>
      </w:r>
      <w:proofErr w:type="spellStart"/>
      <w:r>
        <w:rPr>
          <w:sz w:val="24"/>
          <w:szCs w:val="24"/>
        </w:rPr>
        <w:t>Trientine</w:t>
      </w:r>
      <w:proofErr w:type="spellEnd"/>
      <w:r>
        <w:rPr>
          <w:sz w:val="24"/>
          <w:szCs w:val="24"/>
        </w:rPr>
        <w:t xml:space="preserve"> "</w:t>
      </w:r>
      <w:proofErr w:type="spellStart"/>
      <w:r>
        <w:rPr>
          <w:sz w:val="24"/>
          <w:szCs w:val="24"/>
        </w:rPr>
        <w:t>Tillomed</w:t>
      </w:r>
      <w:proofErr w:type="spellEnd"/>
      <w:r>
        <w:rPr>
          <w:sz w:val="24"/>
          <w:szCs w:val="24"/>
        </w:rPr>
        <w:t xml:space="preserve">" hos raske deltagere, blev </w:t>
      </w:r>
      <w:proofErr w:type="spellStart"/>
      <w:r>
        <w:rPr>
          <w:sz w:val="24"/>
          <w:szCs w:val="24"/>
        </w:rPr>
        <w:t>trientin</w:t>
      </w:r>
      <w:proofErr w:type="spellEnd"/>
      <w:r>
        <w:rPr>
          <w:sz w:val="24"/>
          <w:szCs w:val="24"/>
        </w:rPr>
        <w:t xml:space="preserve"> hurtigt absorberet med median </w:t>
      </w:r>
      <w:proofErr w:type="spellStart"/>
      <w:r>
        <w:rPr>
          <w:sz w:val="24"/>
          <w:szCs w:val="24"/>
        </w:rPr>
        <w:t>T</w:t>
      </w:r>
      <w:r>
        <w:rPr>
          <w:sz w:val="24"/>
          <w:szCs w:val="24"/>
          <w:vertAlign w:val="subscript"/>
        </w:rPr>
        <w:t>max</w:t>
      </w:r>
      <w:proofErr w:type="spellEnd"/>
      <w:r>
        <w:rPr>
          <w:sz w:val="24"/>
          <w:szCs w:val="24"/>
        </w:rPr>
        <w:t xml:space="preserve"> værdier på 1,25 time. </w:t>
      </w:r>
      <w:proofErr w:type="spellStart"/>
      <w:r>
        <w:rPr>
          <w:sz w:val="24"/>
          <w:szCs w:val="24"/>
        </w:rPr>
        <w:t>C</w:t>
      </w:r>
      <w:r>
        <w:rPr>
          <w:sz w:val="24"/>
          <w:szCs w:val="24"/>
          <w:vertAlign w:val="subscript"/>
        </w:rPr>
        <w:t>max</w:t>
      </w:r>
      <w:proofErr w:type="spellEnd"/>
      <w:r>
        <w:rPr>
          <w:sz w:val="24"/>
          <w:szCs w:val="24"/>
        </w:rPr>
        <w:t xml:space="preserve"> var 933,99 ± 345,99 </w:t>
      </w:r>
      <w:proofErr w:type="spellStart"/>
      <w:r>
        <w:rPr>
          <w:sz w:val="24"/>
          <w:szCs w:val="24"/>
        </w:rPr>
        <w:t>ng</w:t>
      </w:r>
      <w:proofErr w:type="spellEnd"/>
      <w:r>
        <w:rPr>
          <w:sz w:val="24"/>
          <w:szCs w:val="24"/>
        </w:rPr>
        <w:t>/ml og AUC</w:t>
      </w:r>
      <w:r>
        <w:rPr>
          <w:sz w:val="24"/>
          <w:szCs w:val="24"/>
          <w:vertAlign w:val="subscript"/>
        </w:rPr>
        <w:t>0-t</w:t>
      </w:r>
      <w:r>
        <w:rPr>
          <w:sz w:val="24"/>
          <w:szCs w:val="24"/>
        </w:rPr>
        <w:t xml:space="preserve"> 3771,15 ± 1962,20 t.ng/ml.</w:t>
      </w:r>
    </w:p>
    <w:p w14:paraId="1D4D45C8" w14:textId="77777777" w:rsidR="00070F84" w:rsidRDefault="00070F84" w:rsidP="00070F84">
      <w:pPr>
        <w:ind w:left="851"/>
        <w:rPr>
          <w:strike/>
          <w:sz w:val="24"/>
          <w:szCs w:val="24"/>
        </w:rPr>
      </w:pPr>
    </w:p>
    <w:p w14:paraId="387ACB38" w14:textId="77777777" w:rsidR="00070F84" w:rsidRDefault="00070F84" w:rsidP="00070F84">
      <w:pPr>
        <w:ind w:left="851"/>
        <w:rPr>
          <w:sz w:val="24"/>
          <w:szCs w:val="24"/>
        </w:rPr>
      </w:pPr>
      <w:r>
        <w:rPr>
          <w:sz w:val="24"/>
          <w:szCs w:val="24"/>
        </w:rPr>
        <w:t xml:space="preserve">Indtagelse af mad hæmmer absorptionen, der vises ved reduceret </w:t>
      </w:r>
      <w:proofErr w:type="spellStart"/>
      <w:r>
        <w:rPr>
          <w:sz w:val="24"/>
          <w:szCs w:val="24"/>
        </w:rPr>
        <w:t>C</w:t>
      </w:r>
      <w:r>
        <w:rPr>
          <w:sz w:val="24"/>
          <w:szCs w:val="24"/>
          <w:vertAlign w:val="subscript"/>
        </w:rPr>
        <w:t>max</w:t>
      </w:r>
      <w:proofErr w:type="spellEnd"/>
      <w:r>
        <w:rPr>
          <w:sz w:val="24"/>
          <w:szCs w:val="24"/>
        </w:rPr>
        <w:t xml:space="preserve"> og mindsket område under kurven, AUC. Derfor skal </w:t>
      </w:r>
      <w:proofErr w:type="spellStart"/>
      <w:r>
        <w:rPr>
          <w:sz w:val="24"/>
          <w:szCs w:val="24"/>
        </w:rPr>
        <w:t>trientin</w:t>
      </w:r>
      <w:proofErr w:type="spellEnd"/>
      <w:r>
        <w:rPr>
          <w:sz w:val="24"/>
          <w:szCs w:val="24"/>
        </w:rPr>
        <w:t xml:space="preserve"> gives på tom mave mindst 1 time før eller 2 timer efter et måltid.</w:t>
      </w:r>
    </w:p>
    <w:p w14:paraId="59D2FAB5" w14:textId="77777777" w:rsidR="00070F84" w:rsidRDefault="00070F84" w:rsidP="00070F84">
      <w:pPr>
        <w:ind w:left="851"/>
        <w:rPr>
          <w:sz w:val="24"/>
          <w:szCs w:val="24"/>
        </w:rPr>
      </w:pPr>
    </w:p>
    <w:p w14:paraId="0DE8EA04" w14:textId="77777777" w:rsidR="00070F84" w:rsidRDefault="00070F84" w:rsidP="00070F84">
      <w:pPr>
        <w:ind w:left="851"/>
        <w:rPr>
          <w:sz w:val="24"/>
          <w:szCs w:val="24"/>
          <w:u w:val="single"/>
        </w:rPr>
      </w:pPr>
      <w:r>
        <w:rPr>
          <w:sz w:val="24"/>
          <w:szCs w:val="24"/>
          <w:u w:val="single"/>
        </w:rPr>
        <w:t>Fordeling</w:t>
      </w:r>
    </w:p>
    <w:p w14:paraId="3B666363" w14:textId="77777777" w:rsidR="00070F84" w:rsidRDefault="00070F84" w:rsidP="00070F84">
      <w:pPr>
        <w:ind w:left="851"/>
        <w:rPr>
          <w:sz w:val="24"/>
          <w:szCs w:val="24"/>
        </w:rPr>
      </w:pPr>
      <w:r>
        <w:rPr>
          <w:sz w:val="24"/>
          <w:szCs w:val="24"/>
        </w:rPr>
        <w:t xml:space="preserve">Det centrale og perifere fordelingsvolumen er henholdsvis 393 l og 252 l, hvilket indikerer, at </w:t>
      </w:r>
      <w:proofErr w:type="spellStart"/>
      <w:r>
        <w:rPr>
          <w:sz w:val="24"/>
          <w:szCs w:val="24"/>
        </w:rPr>
        <w:t>trientin</w:t>
      </w:r>
      <w:proofErr w:type="spellEnd"/>
      <w:r>
        <w:rPr>
          <w:sz w:val="24"/>
          <w:szCs w:val="24"/>
        </w:rPr>
        <w:t xml:space="preserve"> fordeles i kroppen, hvor der sandsynligvis sker akkumulering i vævet.</w:t>
      </w:r>
    </w:p>
    <w:p w14:paraId="61FF8ED3" w14:textId="77777777" w:rsidR="00070F84" w:rsidRDefault="00070F84" w:rsidP="00070F84">
      <w:pPr>
        <w:ind w:left="851"/>
        <w:rPr>
          <w:sz w:val="24"/>
          <w:szCs w:val="24"/>
        </w:rPr>
      </w:pPr>
    </w:p>
    <w:p w14:paraId="241727E5" w14:textId="77777777" w:rsidR="00070F84" w:rsidRDefault="00070F84" w:rsidP="00070F84">
      <w:pPr>
        <w:ind w:left="851"/>
        <w:rPr>
          <w:sz w:val="24"/>
          <w:szCs w:val="24"/>
          <w:u w:val="single"/>
        </w:rPr>
      </w:pPr>
      <w:r>
        <w:rPr>
          <w:sz w:val="24"/>
          <w:szCs w:val="24"/>
          <w:u w:val="single"/>
        </w:rPr>
        <w:t xml:space="preserve">Biotransformation </w:t>
      </w:r>
    </w:p>
    <w:p w14:paraId="27623D9B" w14:textId="77777777" w:rsidR="00070F84" w:rsidRDefault="00070F84" w:rsidP="00070F84">
      <w:pPr>
        <w:ind w:left="851"/>
        <w:rPr>
          <w:sz w:val="24"/>
          <w:szCs w:val="24"/>
        </w:rPr>
      </w:pPr>
      <w:proofErr w:type="spellStart"/>
      <w:r>
        <w:rPr>
          <w:sz w:val="24"/>
          <w:szCs w:val="24"/>
        </w:rPr>
        <w:t>Trientin</w:t>
      </w:r>
      <w:proofErr w:type="spellEnd"/>
      <w:r>
        <w:rPr>
          <w:sz w:val="24"/>
          <w:szCs w:val="24"/>
        </w:rPr>
        <w:t xml:space="preserve"> </w:t>
      </w:r>
      <w:proofErr w:type="spellStart"/>
      <w:r>
        <w:rPr>
          <w:sz w:val="24"/>
          <w:szCs w:val="24"/>
        </w:rPr>
        <w:t>acetyleres</w:t>
      </w:r>
      <w:proofErr w:type="spellEnd"/>
      <w:r>
        <w:rPr>
          <w:sz w:val="24"/>
          <w:szCs w:val="24"/>
        </w:rPr>
        <w:t xml:space="preserve"> til de to hovedmetabolitter N</w:t>
      </w:r>
      <w:r>
        <w:rPr>
          <w:sz w:val="24"/>
          <w:szCs w:val="24"/>
          <w:vertAlign w:val="subscript"/>
        </w:rPr>
        <w:t>1</w:t>
      </w:r>
      <w:r>
        <w:rPr>
          <w:sz w:val="24"/>
          <w:szCs w:val="24"/>
        </w:rPr>
        <w:t>-acetyltriethylentetramin (MAT) og N</w:t>
      </w:r>
      <w:proofErr w:type="gramStart"/>
      <w:r>
        <w:rPr>
          <w:sz w:val="24"/>
          <w:szCs w:val="24"/>
          <w:vertAlign w:val="subscript"/>
        </w:rPr>
        <w:t>1</w:t>
      </w:r>
      <w:r>
        <w:rPr>
          <w:sz w:val="24"/>
          <w:szCs w:val="24"/>
        </w:rPr>
        <w:t>,N</w:t>
      </w:r>
      <w:proofErr w:type="gramEnd"/>
      <w:r>
        <w:rPr>
          <w:sz w:val="24"/>
          <w:szCs w:val="24"/>
          <w:vertAlign w:val="subscript"/>
        </w:rPr>
        <w:t>10</w:t>
      </w:r>
      <w:r>
        <w:rPr>
          <w:sz w:val="24"/>
          <w:szCs w:val="24"/>
        </w:rPr>
        <w:t xml:space="preserve">-diacetyltriethylentetramin (DAT). Kliniske data for raske forsøgspersoner indikerer at plasmaeksponeringen for MAT-metabolitten er ca. 3 gange større end </w:t>
      </w:r>
      <w:proofErr w:type="spellStart"/>
      <w:proofErr w:type="gramStart"/>
      <w:r>
        <w:rPr>
          <w:sz w:val="24"/>
          <w:szCs w:val="24"/>
        </w:rPr>
        <w:t>umodificeret</w:t>
      </w:r>
      <w:proofErr w:type="spellEnd"/>
      <w:r>
        <w:rPr>
          <w:sz w:val="24"/>
          <w:szCs w:val="24"/>
        </w:rPr>
        <w:t xml:space="preserve">  </w:t>
      </w:r>
      <w:proofErr w:type="spellStart"/>
      <w:r>
        <w:rPr>
          <w:sz w:val="24"/>
          <w:szCs w:val="24"/>
        </w:rPr>
        <w:t>trientins</w:t>
      </w:r>
      <w:proofErr w:type="spellEnd"/>
      <w:proofErr w:type="gramEnd"/>
      <w:r>
        <w:rPr>
          <w:sz w:val="24"/>
          <w:szCs w:val="24"/>
        </w:rPr>
        <w:t xml:space="preserve">, mens eksponering for DAT-metabolitten er en smule langsommere end </w:t>
      </w:r>
      <w:proofErr w:type="spellStart"/>
      <w:r>
        <w:rPr>
          <w:sz w:val="24"/>
          <w:szCs w:val="24"/>
        </w:rPr>
        <w:t>trientins</w:t>
      </w:r>
      <w:proofErr w:type="spellEnd"/>
      <w:r>
        <w:rPr>
          <w:sz w:val="24"/>
          <w:szCs w:val="24"/>
        </w:rPr>
        <w:t xml:space="preserve">. </w:t>
      </w:r>
      <w:proofErr w:type="spellStart"/>
      <w:r>
        <w:rPr>
          <w:sz w:val="24"/>
          <w:szCs w:val="24"/>
        </w:rPr>
        <w:t>Trientins</w:t>
      </w:r>
      <w:proofErr w:type="spellEnd"/>
      <w:r>
        <w:rPr>
          <w:sz w:val="24"/>
          <w:szCs w:val="24"/>
        </w:rPr>
        <w:t xml:space="preserve"> metabolitter har Cu-</w:t>
      </w:r>
      <w:proofErr w:type="spellStart"/>
      <w:r>
        <w:rPr>
          <w:sz w:val="24"/>
          <w:szCs w:val="24"/>
        </w:rPr>
        <w:t>chelerende</w:t>
      </w:r>
      <w:proofErr w:type="spellEnd"/>
      <w:r>
        <w:rPr>
          <w:sz w:val="24"/>
          <w:szCs w:val="24"/>
        </w:rPr>
        <w:t xml:space="preserve"> egenskaber, men stabiliteten af disse Cu-komplekser er lav på grund af introduktionen af acetylgrupperne. Kliniske data hos raske frivillige tyder på et begrænset bidrag fra MAT- og DAT- metabolitternes </w:t>
      </w:r>
      <w:proofErr w:type="spellStart"/>
      <w:r>
        <w:rPr>
          <w:sz w:val="24"/>
          <w:szCs w:val="24"/>
        </w:rPr>
        <w:t>chelerende</w:t>
      </w:r>
      <w:proofErr w:type="spellEnd"/>
      <w:r>
        <w:rPr>
          <w:sz w:val="24"/>
          <w:szCs w:val="24"/>
        </w:rPr>
        <w:t xml:space="preserve"> aktivitet. Omfanget af </w:t>
      </w:r>
      <w:proofErr w:type="spellStart"/>
      <w:r>
        <w:rPr>
          <w:sz w:val="24"/>
          <w:szCs w:val="24"/>
        </w:rPr>
        <w:t>MAT's</w:t>
      </w:r>
      <w:proofErr w:type="spellEnd"/>
      <w:r>
        <w:rPr>
          <w:sz w:val="24"/>
          <w:szCs w:val="24"/>
        </w:rPr>
        <w:t xml:space="preserve"> og </w:t>
      </w:r>
      <w:proofErr w:type="spellStart"/>
      <w:r>
        <w:rPr>
          <w:sz w:val="24"/>
          <w:szCs w:val="24"/>
        </w:rPr>
        <w:t>DAT's</w:t>
      </w:r>
      <w:proofErr w:type="spellEnd"/>
      <w:r>
        <w:rPr>
          <w:sz w:val="24"/>
          <w:szCs w:val="24"/>
        </w:rPr>
        <w:t xml:space="preserve"> bidrag til den samlede virkning af </w:t>
      </w:r>
      <w:proofErr w:type="spellStart"/>
      <w:r>
        <w:rPr>
          <w:sz w:val="24"/>
          <w:szCs w:val="24"/>
        </w:rPr>
        <w:t>trientin</w:t>
      </w:r>
      <w:proofErr w:type="spellEnd"/>
      <w:r>
        <w:rPr>
          <w:sz w:val="24"/>
          <w:szCs w:val="24"/>
        </w:rPr>
        <w:t xml:space="preserve"> på kobberniveauer hos patienter med Wilsons sygdom er endnu ikke fastlagt.</w:t>
      </w:r>
    </w:p>
    <w:p w14:paraId="7EE22CBC" w14:textId="77777777" w:rsidR="00070F84" w:rsidRPr="00070F84" w:rsidRDefault="00070F84" w:rsidP="00070F84">
      <w:pPr>
        <w:ind w:left="851"/>
        <w:rPr>
          <w:sz w:val="24"/>
          <w:szCs w:val="24"/>
          <w:lang w:val="nb-NO"/>
        </w:rPr>
      </w:pPr>
      <w:r w:rsidRPr="00070F84">
        <w:rPr>
          <w:sz w:val="24"/>
          <w:szCs w:val="24"/>
          <w:lang w:val="nb-NO"/>
        </w:rPr>
        <w:t>Trientin metaboliseres ved acetylering via spermidin/spermin N-acetyltransferase og ikke via N-acetyltransferase 2.</w:t>
      </w:r>
    </w:p>
    <w:p w14:paraId="45DB28CD" w14:textId="77777777" w:rsidR="00070F84" w:rsidRPr="00070F84" w:rsidRDefault="00070F84" w:rsidP="00070F84">
      <w:pPr>
        <w:ind w:left="851"/>
        <w:rPr>
          <w:sz w:val="24"/>
          <w:szCs w:val="24"/>
          <w:lang w:val="nb-NO"/>
        </w:rPr>
      </w:pPr>
    </w:p>
    <w:p w14:paraId="03B907BC" w14:textId="77777777" w:rsidR="00070F84" w:rsidRDefault="00070F84" w:rsidP="00070F84">
      <w:pPr>
        <w:ind w:left="851"/>
        <w:rPr>
          <w:sz w:val="24"/>
          <w:szCs w:val="24"/>
          <w:u w:val="single"/>
        </w:rPr>
      </w:pPr>
      <w:r>
        <w:rPr>
          <w:sz w:val="24"/>
          <w:szCs w:val="24"/>
          <w:u w:val="single"/>
        </w:rPr>
        <w:t>Elimination</w:t>
      </w:r>
    </w:p>
    <w:p w14:paraId="6C6A60CE" w14:textId="77777777" w:rsidR="00070F84" w:rsidRDefault="00070F84" w:rsidP="00070F84">
      <w:pPr>
        <w:ind w:left="851"/>
        <w:rPr>
          <w:sz w:val="24"/>
          <w:szCs w:val="24"/>
        </w:rPr>
      </w:pPr>
      <w:r>
        <w:rPr>
          <w:sz w:val="24"/>
          <w:szCs w:val="24"/>
        </w:rPr>
        <w:t xml:space="preserve">Efter absorbering udskilles </w:t>
      </w:r>
      <w:proofErr w:type="spellStart"/>
      <w:r>
        <w:rPr>
          <w:sz w:val="24"/>
          <w:szCs w:val="24"/>
        </w:rPr>
        <w:t>trientin</w:t>
      </w:r>
      <w:proofErr w:type="spellEnd"/>
      <w:r>
        <w:rPr>
          <w:sz w:val="24"/>
          <w:szCs w:val="24"/>
        </w:rPr>
        <w:t xml:space="preserve"> og dets metabolitter hurtigt i urinen, enten bundet til kobber eller ubundet. Den </w:t>
      </w:r>
      <w:proofErr w:type="spellStart"/>
      <w:r>
        <w:rPr>
          <w:sz w:val="24"/>
          <w:szCs w:val="24"/>
        </w:rPr>
        <w:t>uabsorberede</w:t>
      </w:r>
      <w:proofErr w:type="spellEnd"/>
      <w:r>
        <w:rPr>
          <w:sz w:val="24"/>
          <w:szCs w:val="24"/>
        </w:rPr>
        <w:t xml:space="preserve"> fraktion af oralt administreret </w:t>
      </w:r>
      <w:proofErr w:type="spellStart"/>
      <w:r>
        <w:rPr>
          <w:sz w:val="24"/>
          <w:szCs w:val="24"/>
        </w:rPr>
        <w:t>trientin</w:t>
      </w:r>
      <w:proofErr w:type="spellEnd"/>
      <w:r>
        <w:rPr>
          <w:sz w:val="24"/>
          <w:szCs w:val="24"/>
        </w:rPr>
        <w:t xml:space="preserve"> bindes til </w:t>
      </w:r>
      <w:proofErr w:type="spellStart"/>
      <w:r>
        <w:rPr>
          <w:sz w:val="24"/>
          <w:szCs w:val="24"/>
        </w:rPr>
        <w:t>intestinalt</w:t>
      </w:r>
      <w:proofErr w:type="spellEnd"/>
      <w:r>
        <w:rPr>
          <w:sz w:val="24"/>
          <w:szCs w:val="24"/>
        </w:rPr>
        <w:t xml:space="preserve"> kobber og udskilles gennem fæces.</w:t>
      </w:r>
    </w:p>
    <w:p w14:paraId="4810B0CD" w14:textId="77777777" w:rsidR="00070F84" w:rsidRDefault="00070F84" w:rsidP="00070F84">
      <w:pPr>
        <w:ind w:left="851"/>
        <w:rPr>
          <w:sz w:val="24"/>
          <w:szCs w:val="24"/>
        </w:rPr>
      </w:pPr>
      <w:proofErr w:type="spellStart"/>
      <w:r>
        <w:rPr>
          <w:sz w:val="24"/>
          <w:szCs w:val="24"/>
        </w:rPr>
        <w:t>Trientins</w:t>
      </w:r>
      <w:proofErr w:type="spellEnd"/>
      <w:r>
        <w:rPr>
          <w:sz w:val="24"/>
          <w:szCs w:val="24"/>
        </w:rPr>
        <w:t xml:space="preserve"> eliminationshalveringstid er ca. 4 timer (gennemsnitlig t</w:t>
      </w:r>
      <w:r>
        <w:rPr>
          <w:sz w:val="24"/>
          <w:szCs w:val="24"/>
          <w:vertAlign w:val="subscript"/>
        </w:rPr>
        <w:t>1/2</w:t>
      </w:r>
      <w:r>
        <w:rPr>
          <w:sz w:val="24"/>
          <w:szCs w:val="24"/>
        </w:rPr>
        <w:t xml:space="preserve"> </w:t>
      </w:r>
      <w:r>
        <w:rPr>
          <w:sz w:val="24"/>
          <w:szCs w:val="24"/>
          <w:vertAlign w:val="subscript"/>
        </w:rPr>
        <w:t xml:space="preserve">a </w:t>
      </w:r>
      <w:r>
        <w:rPr>
          <w:sz w:val="24"/>
          <w:szCs w:val="24"/>
        </w:rPr>
        <w:t xml:space="preserve">f 3,8 ±1,3 timer målt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hos WD-patienter og 4,4 ±4,7 timer målt efter en enkelt dosis hos raske frivillige). De to metabolitters eliminationshalveringstid var 14,1 ±3,7 timer for MAT og 8,5 ±3,0 timer for DAT efter en enkelt dosis </w:t>
      </w:r>
      <w:proofErr w:type="spellStart"/>
      <w:r>
        <w:rPr>
          <w:sz w:val="24"/>
          <w:szCs w:val="24"/>
        </w:rPr>
        <w:t>trientine</w:t>
      </w:r>
      <w:proofErr w:type="spellEnd"/>
      <w:r>
        <w:rPr>
          <w:sz w:val="24"/>
          <w:szCs w:val="24"/>
        </w:rPr>
        <w:t xml:space="preserve"> hos raske voksne.</w:t>
      </w:r>
    </w:p>
    <w:p w14:paraId="70323F12" w14:textId="77777777" w:rsidR="009260DE" w:rsidRPr="008D59A9" w:rsidRDefault="009260DE" w:rsidP="009260DE">
      <w:pPr>
        <w:tabs>
          <w:tab w:val="left" w:pos="851"/>
        </w:tabs>
        <w:ind w:left="851"/>
        <w:rPr>
          <w:sz w:val="24"/>
          <w:szCs w:val="24"/>
        </w:rPr>
      </w:pPr>
    </w:p>
    <w:p w14:paraId="6AAA98F6" w14:textId="5E4E332D" w:rsidR="009260DE" w:rsidRPr="00070F84" w:rsidRDefault="009260DE" w:rsidP="00070F84">
      <w:pPr>
        <w:keepNext/>
        <w:tabs>
          <w:tab w:val="left" w:pos="851"/>
        </w:tabs>
        <w:ind w:left="851" w:hanging="851"/>
        <w:rPr>
          <w:b/>
          <w:sz w:val="24"/>
          <w:szCs w:val="24"/>
        </w:rPr>
      </w:pPr>
      <w:r w:rsidRPr="008D59A9">
        <w:rPr>
          <w:b/>
          <w:sz w:val="24"/>
          <w:szCs w:val="24"/>
        </w:rPr>
        <w:lastRenderedPageBreak/>
        <w:t>5.3</w:t>
      </w:r>
      <w:r w:rsidRPr="008D59A9">
        <w:rPr>
          <w:b/>
          <w:sz w:val="24"/>
          <w:szCs w:val="24"/>
        </w:rPr>
        <w:tab/>
      </w:r>
      <w:r w:rsidR="00DB16E4">
        <w:rPr>
          <w:b/>
          <w:sz w:val="24"/>
          <w:szCs w:val="24"/>
        </w:rPr>
        <w:t>Non-</w:t>
      </w:r>
      <w:r w:rsidRPr="008D59A9">
        <w:rPr>
          <w:b/>
          <w:sz w:val="24"/>
          <w:szCs w:val="24"/>
        </w:rPr>
        <w:t>kliniske sikkerhedsdata</w:t>
      </w:r>
    </w:p>
    <w:p w14:paraId="10CD3175" w14:textId="0810E154" w:rsidR="00070F84" w:rsidRDefault="00070F84" w:rsidP="00070F84">
      <w:pPr>
        <w:ind w:left="851"/>
        <w:rPr>
          <w:sz w:val="24"/>
          <w:szCs w:val="24"/>
        </w:rPr>
      </w:pPr>
      <w:r>
        <w:rPr>
          <w:sz w:val="24"/>
          <w:szCs w:val="24"/>
        </w:rPr>
        <w:t>Non-kliniske data viser ingen speciel risiko for mennesker vurderet ud fra konventionelle studier af sikkerhedsfarmakologi, toksicitet efter gentagne doser, genotoksicitet og embryo-</w:t>
      </w:r>
      <w:proofErr w:type="spellStart"/>
      <w:r>
        <w:rPr>
          <w:sz w:val="24"/>
          <w:szCs w:val="24"/>
        </w:rPr>
        <w:t>føtal</w:t>
      </w:r>
      <w:proofErr w:type="spellEnd"/>
      <w:r>
        <w:rPr>
          <w:sz w:val="24"/>
          <w:szCs w:val="24"/>
        </w:rPr>
        <w:t xml:space="preserve"> udviklingstoksicitet.</w:t>
      </w:r>
    </w:p>
    <w:p w14:paraId="2AEF0CA7" w14:textId="77777777" w:rsidR="00070F84" w:rsidRDefault="00070F84" w:rsidP="00070F84">
      <w:pPr>
        <w:ind w:left="851"/>
        <w:rPr>
          <w:sz w:val="24"/>
          <w:szCs w:val="24"/>
        </w:rPr>
      </w:pPr>
    </w:p>
    <w:p w14:paraId="2FC53085" w14:textId="77777777" w:rsidR="00070F84" w:rsidRDefault="00070F84" w:rsidP="00070F84">
      <w:pPr>
        <w:ind w:left="851"/>
        <w:rPr>
          <w:sz w:val="24"/>
          <w:szCs w:val="24"/>
        </w:rPr>
      </w:pPr>
      <w:r>
        <w:rPr>
          <w:sz w:val="24"/>
          <w:szCs w:val="24"/>
        </w:rPr>
        <w:t xml:space="preserve">Virkningerne i ikke-kliniske studier var stort set overensstemmende med induceret kobbermangel i plasma og lever hos tidligere kobbernormative dyr og kunne som sådan tilskrives </w:t>
      </w:r>
      <w:proofErr w:type="spellStart"/>
      <w:r>
        <w:rPr>
          <w:sz w:val="24"/>
          <w:szCs w:val="24"/>
        </w:rPr>
        <w:t>trientins</w:t>
      </w:r>
      <w:proofErr w:type="spellEnd"/>
      <w:r>
        <w:rPr>
          <w:sz w:val="24"/>
          <w:szCs w:val="24"/>
        </w:rPr>
        <w:t xml:space="preserve"> farmakologiske virkning. De vigtigste toksikologiske fund i forbindelse med </w:t>
      </w:r>
      <w:proofErr w:type="spellStart"/>
      <w:r>
        <w:rPr>
          <w:sz w:val="24"/>
          <w:szCs w:val="24"/>
        </w:rPr>
        <w:t>trientin</w:t>
      </w:r>
      <w:proofErr w:type="spellEnd"/>
      <w:r>
        <w:rPr>
          <w:sz w:val="24"/>
          <w:szCs w:val="24"/>
        </w:rPr>
        <w:t xml:space="preserve">, der generelt blev set hos alle undersøgte arter, omfattede vægttab eller nedsat tilvækst, ændrede elektrolytter i urinen, lave kobberniveauer i plasma og forskellige </w:t>
      </w:r>
      <w:proofErr w:type="spellStart"/>
      <w:r>
        <w:rPr>
          <w:sz w:val="24"/>
          <w:szCs w:val="24"/>
        </w:rPr>
        <w:t>histopatologiske</w:t>
      </w:r>
      <w:proofErr w:type="spellEnd"/>
      <w:r>
        <w:rPr>
          <w:sz w:val="24"/>
          <w:szCs w:val="24"/>
        </w:rPr>
        <w:t xml:space="preserve"> ændringer i lungerne (fortrinsvis </w:t>
      </w:r>
      <w:proofErr w:type="spellStart"/>
      <w:r>
        <w:rPr>
          <w:sz w:val="24"/>
          <w:szCs w:val="24"/>
        </w:rPr>
        <w:t>interstitial</w:t>
      </w:r>
      <w:proofErr w:type="spellEnd"/>
      <w:r>
        <w:rPr>
          <w:sz w:val="24"/>
          <w:szCs w:val="24"/>
        </w:rPr>
        <w:t xml:space="preserve"> pneumonitis). Alle virkninger var reversible med undtagelse af lungefundene. De dosisniveauer, hvor disse virkninger blev observeret, er dog langt højere end de klinisk anvendte doser. Der var derudover nogen tvivl om forholdet til </w:t>
      </w:r>
      <w:proofErr w:type="spellStart"/>
      <w:r>
        <w:rPr>
          <w:sz w:val="24"/>
          <w:szCs w:val="24"/>
        </w:rPr>
        <w:t>trientin</w:t>
      </w:r>
      <w:proofErr w:type="spellEnd"/>
      <w:r>
        <w:rPr>
          <w:sz w:val="24"/>
          <w:szCs w:val="24"/>
        </w:rPr>
        <w:t xml:space="preserve">, eftersom lungefundene også blev observeret hos de fleste kontrolhunde i studiet på 26 uger. Hos hunde blev der observeret </w:t>
      </w:r>
      <w:proofErr w:type="spellStart"/>
      <w:r>
        <w:rPr>
          <w:sz w:val="24"/>
          <w:szCs w:val="24"/>
        </w:rPr>
        <w:t>ataksi</w:t>
      </w:r>
      <w:proofErr w:type="spellEnd"/>
      <w:r>
        <w:rPr>
          <w:sz w:val="24"/>
          <w:szCs w:val="24"/>
        </w:rPr>
        <w:t>, rysten (</w:t>
      </w:r>
      <w:proofErr w:type="spellStart"/>
      <w:r>
        <w:rPr>
          <w:sz w:val="24"/>
          <w:szCs w:val="24"/>
        </w:rPr>
        <w:t>tremor</w:t>
      </w:r>
      <w:proofErr w:type="spellEnd"/>
      <w:r>
        <w:rPr>
          <w:sz w:val="24"/>
          <w:szCs w:val="24"/>
        </w:rPr>
        <w:t xml:space="preserve">), unormal gang og underaktivitet efter administration af meget høje </w:t>
      </w:r>
      <w:proofErr w:type="spellStart"/>
      <w:r>
        <w:rPr>
          <w:sz w:val="24"/>
          <w:szCs w:val="24"/>
        </w:rPr>
        <w:t>trientinniveauer</w:t>
      </w:r>
      <w:proofErr w:type="spellEnd"/>
      <w:r>
        <w:rPr>
          <w:sz w:val="24"/>
          <w:szCs w:val="24"/>
        </w:rPr>
        <w:t>. Der blev også identificeret visse funktionelle neurologiske abnormiteter, særligt hos svært ramte dyr. Der blev dog ikke observeret noget associerede nerveskader. Elektrokardiografi var heller ikke berørt.</w:t>
      </w:r>
    </w:p>
    <w:p w14:paraId="3AE32D97" w14:textId="77777777" w:rsidR="00070F84" w:rsidRDefault="00070F84" w:rsidP="00070F84">
      <w:pPr>
        <w:ind w:left="851"/>
        <w:rPr>
          <w:sz w:val="24"/>
          <w:szCs w:val="24"/>
        </w:rPr>
      </w:pPr>
    </w:p>
    <w:p w14:paraId="3858DA70" w14:textId="77777777" w:rsidR="00070F84" w:rsidRDefault="00070F84" w:rsidP="00070F84">
      <w:pPr>
        <w:ind w:left="851"/>
        <w:rPr>
          <w:sz w:val="24"/>
          <w:szCs w:val="24"/>
        </w:rPr>
      </w:pPr>
      <w:r>
        <w:rPr>
          <w:sz w:val="24"/>
          <w:szCs w:val="24"/>
        </w:rPr>
        <w:t xml:space="preserve">Hos drægtige dyr viste høje doser </w:t>
      </w:r>
      <w:proofErr w:type="spellStart"/>
      <w:r>
        <w:rPr>
          <w:sz w:val="24"/>
          <w:szCs w:val="24"/>
        </w:rPr>
        <w:t>trientin</w:t>
      </w:r>
      <w:proofErr w:type="spellEnd"/>
      <w:r>
        <w:rPr>
          <w:sz w:val="24"/>
          <w:szCs w:val="24"/>
        </w:rPr>
        <w:t xml:space="preserve"> med væsentlige reduktioner af kobber i serum en tidlig virkning på fostres overlevelse og en marginalt lavere fostervægt. Der var ikke evidens for embryo- </w:t>
      </w:r>
      <w:proofErr w:type="spellStart"/>
      <w:r>
        <w:rPr>
          <w:sz w:val="24"/>
          <w:szCs w:val="24"/>
        </w:rPr>
        <w:t>føtal</w:t>
      </w:r>
      <w:proofErr w:type="spellEnd"/>
      <w:r>
        <w:rPr>
          <w:sz w:val="24"/>
          <w:szCs w:val="24"/>
        </w:rPr>
        <w:t xml:space="preserve"> toksicitet ved lavere dosisniveauer trods dosisrelaterede reduktioner i kobber i serum. Disse virkninger blev kun set efter doser, der i væsentlig grad overstiger den maksimale humane eksponering. Disse virkninger vurderes derfor til at være af ringe relevans ved klinisk brug.</w:t>
      </w:r>
    </w:p>
    <w:p w14:paraId="43C0D9B2" w14:textId="77777777" w:rsidR="00070F84" w:rsidRDefault="00070F84" w:rsidP="00070F84">
      <w:pPr>
        <w:ind w:left="851"/>
        <w:rPr>
          <w:sz w:val="24"/>
          <w:szCs w:val="24"/>
        </w:rPr>
      </w:pPr>
    </w:p>
    <w:p w14:paraId="586C67CA" w14:textId="77777777" w:rsidR="00070F84" w:rsidRDefault="00070F84" w:rsidP="00070F84">
      <w:pPr>
        <w:ind w:left="851"/>
        <w:rPr>
          <w:sz w:val="24"/>
          <w:szCs w:val="24"/>
        </w:rPr>
      </w:pPr>
      <w:r>
        <w:rPr>
          <w:sz w:val="24"/>
          <w:szCs w:val="24"/>
        </w:rPr>
        <w:t xml:space="preserve">Der foreligger ingen fertilitetsdata, men </w:t>
      </w:r>
      <w:proofErr w:type="spellStart"/>
      <w:r>
        <w:rPr>
          <w:sz w:val="24"/>
          <w:szCs w:val="24"/>
        </w:rPr>
        <w:t>østralperioderne</w:t>
      </w:r>
      <w:proofErr w:type="spellEnd"/>
      <w:r>
        <w:rPr>
          <w:sz w:val="24"/>
          <w:szCs w:val="24"/>
        </w:rPr>
        <w:t xml:space="preserve"> var upåvirkede, og reproduktionsorganerne blev ikke identificeret som målorganer i generelle toksicitetsstudier med gentagen dosering.</w:t>
      </w:r>
    </w:p>
    <w:p w14:paraId="51D6A053" w14:textId="77777777" w:rsidR="00070F84" w:rsidRDefault="00070F84" w:rsidP="00070F84">
      <w:pPr>
        <w:ind w:left="851"/>
        <w:rPr>
          <w:sz w:val="24"/>
          <w:szCs w:val="24"/>
        </w:rPr>
      </w:pPr>
    </w:p>
    <w:p w14:paraId="31D1783B" w14:textId="77777777" w:rsidR="00070F84" w:rsidRDefault="00070F84" w:rsidP="00070F84">
      <w:pPr>
        <w:ind w:left="851"/>
        <w:rPr>
          <w:sz w:val="24"/>
          <w:szCs w:val="24"/>
        </w:rPr>
      </w:pPr>
      <w:r>
        <w:rPr>
          <w:sz w:val="24"/>
          <w:szCs w:val="24"/>
        </w:rPr>
        <w:t xml:space="preserve">OECD SIDS </w:t>
      </w:r>
      <w:proofErr w:type="spellStart"/>
      <w:r>
        <w:rPr>
          <w:sz w:val="24"/>
          <w:szCs w:val="24"/>
        </w:rPr>
        <w:t>triethylenetetramin</w:t>
      </w:r>
      <w:proofErr w:type="spellEnd"/>
      <w:r>
        <w:rPr>
          <w:sz w:val="24"/>
          <w:szCs w:val="24"/>
        </w:rPr>
        <w:t xml:space="preserve"> 2002 klassificerer </w:t>
      </w:r>
      <w:proofErr w:type="spellStart"/>
      <w:r>
        <w:rPr>
          <w:sz w:val="24"/>
          <w:szCs w:val="24"/>
        </w:rPr>
        <w:t>trientins</w:t>
      </w:r>
      <w:proofErr w:type="spellEnd"/>
      <w:r>
        <w:rPr>
          <w:sz w:val="24"/>
          <w:szCs w:val="24"/>
        </w:rPr>
        <w:t xml:space="preserve"> genotoksiske profil som lavprioritet/mindre problem. Der blev indhentet nogle positive </w:t>
      </w:r>
      <w:r>
        <w:rPr>
          <w:i/>
          <w:iCs/>
          <w:sz w:val="24"/>
          <w:szCs w:val="24"/>
        </w:rPr>
        <w:t xml:space="preserve">in </w:t>
      </w:r>
      <w:proofErr w:type="spellStart"/>
      <w:r>
        <w:rPr>
          <w:i/>
          <w:iCs/>
          <w:sz w:val="24"/>
          <w:szCs w:val="24"/>
        </w:rPr>
        <w:t>vitro</w:t>
      </w:r>
      <w:r>
        <w:rPr>
          <w:sz w:val="24"/>
          <w:szCs w:val="24"/>
        </w:rPr>
        <w:t>-mutagenicitetsdata</w:t>
      </w:r>
      <w:proofErr w:type="spellEnd"/>
      <w:r>
        <w:rPr>
          <w:sz w:val="24"/>
          <w:szCs w:val="24"/>
        </w:rPr>
        <w:t xml:space="preserve">, men testsystemer </w:t>
      </w:r>
      <w:r>
        <w:rPr>
          <w:i/>
          <w:iCs/>
          <w:sz w:val="24"/>
          <w:szCs w:val="24"/>
        </w:rPr>
        <w:t xml:space="preserve">in </w:t>
      </w:r>
      <w:proofErr w:type="spellStart"/>
      <w:r>
        <w:rPr>
          <w:i/>
          <w:iCs/>
          <w:sz w:val="24"/>
          <w:szCs w:val="24"/>
        </w:rPr>
        <w:t>vivo</w:t>
      </w:r>
      <w:proofErr w:type="spellEnd"/>
      <w:r>
        <w:rPr>
          <w:sz w:val="24"/>
          <w:szCs w:val="24"/>
        </w:rPr>
        <w:t xml:space="preserve"> viste ingen mutagen aktivitet. Der er indtil nu ikke udført langsigtede dyreforsøg af </w:t>
      </w:r>
      <w:proofErr w:type="spellStart"/>
      <w:r>
        <w:rPr>
          <w:sz w:val="24"/>
          <w:szCs w:val="24"/>
        </w:rPr>
        <w:t>karcinogenicitet</w:t>
      </w:r>
      <w:proofErr w:type="spellEnd"/>
      <w:r>
        <w:rPr>
          <w:sz w:val="24"/>
          <w:szCs w:val="24"/>
        </w:rPr>
        <w:t xml:space="preserve"> med </w:t>
      </w:r>
      <w:proofErr w:type="spellStart"/>
      <w:r>
        <w:rPr>
          <w:sz w:val="24"/>
          <w:szCs w:val="24"/>
        </w:rPr>
        <w:t>trientin</w:t>
      </w:r>
      <w:proofErr w:type="spellEnd"/>
      <w:r>
        <w:rPr>
          <w:sz w:val="24"/>
          <w:szCs w:val="24"/>
        </w:rPr>
        <w:t xml:space="preserve"> indtaget oralt, men </w:t>
      </w:r>
      <w:proofErr w:type="spellStart"/>
      <w:r>
        <w:rPr>
          <w:sz w:val="24"/>
          <w:szCs w:val="24"/>
        </w:rPr>
        <w:t>dermalt</w:t>
      </w:r>
      <w:proofErr w:type="spellEnd"/>
      <w:r>
        <w:rPr>
          <w:sz w:val="24"/>
          <w:szCs w:val="24"/>
        </w:rPr>
        <w:t xml:space="preserve"> var der ingen stigning i cancertilfælde i forhold til baseline. Der er desuden evidens, der tyder på, at </w:t>
      </w:r>
      <w:proofErr w:type="spellStart"/>
      <w:r>
        <w:rPr>
          <w:sz w:val="24"/>
          <w:szCs w:val="24"/>
        </w:rPr>
        <w:t>trientin</w:t>
      </w:r>
      <w:proofErr w:type="spellEnd"/>
      <w:r>
        <w:rPr>
          <w:sz w:val="24"/>
          <w:szCs w:val="24"/>
        </w:rPr>
        <w:t xml:space="preserve"> rent faktisk reducerer endogene DNA-skader i en rottestamme (Long-Evans Cinnamon), der anses for at repræsentere en passende model af Wilsons sygdom. Dette tyder på en reduceret </w:t>
      </w:r>
      <w:proofErr w:type="gramStart"/>
      <w:r>
        <w:rPr>
          <w:sz w:val="24"/>
          <w:szCs w:val="24"/>
        </w:rPr>
        <w:t>karcinogen risiko</w:t>
      </w:r>
      <w:proofErr w:type="gramEnd"/>
      <w:r>
        <w:rPr>
          <w:sz w:val="24"/>
          <w:szCs w:val="24"/>
        </w:rPr>
        <w:t xml:space="preserve"> for patienter med Wilsons sygdom som følge af behandling med </w:t>
      </w:r>
      <w:proofErr w:type="spellStart"/>
      <w:r>
        <w:rPr>
          <w:sz w:val="24"/>
          <w:szCs w:val="24"/>
        </w:rPr>
        <w:t>trientin</w:t>
      </w:r>
      <w:proofErr w:type="spellEnd"/>
      <w:r>
        <w:rPr>
          <w:sz w:val="24"/>
          <w:szCs w:val="24"/>
        </w:rPr>
        <w:t>.</w:t>
      </w:r>
    </w:p>
    <w:p w14:paraId="4BFE2E5F" w14:textId="77777777" w:rsidR="00070F84" w:rsidRDefault="00070F84" w:rsidP="00070F84">
      <w:pPr>
        <w:ind w:left="851"/>
        <w:rPr>
          <w:sz w:val="24"/>
          <w:szCs w:val="24"/>
        </w:rPr>
      </w:pPr>
    </w:p>
    <w:p w14:paraId="7145E287" w14:textId="77777777" w:rsidR="00070F84" w:rsidRDefault="00070F84" w:rsidP="00070F84">
      <w:pPr>
        <w:ind w:left="851"/>
        <w:rPr>
          <w:sz w:val="24"/>
          <w:szCs w:val="24"/>
        </w:rPr>
      </w:pPr>
      <w:proofErr w:type="spellStart"/>
      <w:r>
        <w:rPr>
          <w:sz w:val="24"/>
          <w:szCs w:val="24"/>
        </w:rPr>
        <w:t>Trientindihydrochlorid</w:t>
      </w:r>
      <w:proofErr w:type="spellEnd"/>
      <w:r>
        <w:rPr>
          <w:sz w:val="24"/>
          <w:szCs w:val="24"/>
        </w:rPr>
        <w:t xml:space="preserve"> er et kendt lokalirriterende stof, især for slimhinder, øvre luftveje og hud, og inducerer hudsensibilisering hos marsvin, mus og mennesker (OECD SIDS </w:t>
      </w:r>
      <w:proofErr w:type="spellStart"/>
      <w:r>
        <w:rPr>
          <w:sz w:val="24"/>
          <w:szCs w:val="24"/>
        </w:rPr>
        <w:t>triethylenetetramin</w:t>
      </w:r>
      <w:proofErr w:type="spellEnd"/>
      <w:r>
        <w:rPr>
          <w:sz w:val="24"/>
          <w:szCs w:val="24"/>
        </w:rPr>
        <w:t xml:space="preserve"> 2002).</w:t>
      </w:r>
    </w:p>
    <w:p w14:paraId="21104417" w14:textId="77777777" w:rsidR="00070F84" w:rsidRDefault="00070F84" w:rsidP="00070F84">
      <w:pPr>
        <w:ind w:left="851"/>
        <w:rPr>
          <w:sz w:val="24"/>
          <w:szCs w:val="24"/>
        </w:rPr>
      </w:pPr>
    </w:p>
    <w:p w14:paraId="3CA1AA29" w14:textId="2109C3F5" w:rsidR="00070F84" w:rsidRPr="008D59A9" w:rsidRDefault="00070F84" w:rsidP="00AB162A">
      <w:pPr>
        <w:tabs>
          <w:tab w:val="left" w:pos="851"/>
        </w:tabs>
        <w:rPr>
          <w:sz w:val="24"/>
          <w:szCs w:val="24"/>
        </w:rPr>
      </w:pPr>
    </w:p>
    <w:p w14:paraId="08B7FCE4" w14:textId="77777777" w:rsidR="009260DE" w:rsidRPr="008D59A9" w:rsidRDefault="009260DE" w:rsidP="009260DE">
      <w:pPr>
        <w:tabs>
          <w:tab w:val="left" w:pos="851"/>
        </w:tabs>
        <w:ind w:left="851" w:hanging="851"/>
        <w:rPr>
          <w:b/>
          <w:sz w:val="24"/>
          <w:szCs w:val="24"/>
        </w:rPr>
      </w:pPr>
      <w:r w:rsidRPr="008D59A9">
        <w:rPr>
          <w:b/>
          <w:sz w:val="24"/>
          <w:szCs w:val="24"/>
        </w:rPr>
        <w:t>6.</w:t>
      </w:r>
      <w:r w:rsidRPr="008D59A9">
        <w:rPr>
          <w:b/>
          <w:sz w:val="24"/>
          <w:szCs w:val="24"/>
        </w:rPr>
        <w:tab/>
        <w:t>FARMACEUTISKE OPLYSNINGER</w:t>
      </w:r>
    </w:p>
    <w:p w14:paraId="156D63B7" w14:textId="77777777" w:rsidR="009260DE" w:rsidRPr="008D59A9" w:rsidRDefault="009260DE" w:rsidP="009260DE">
      <w:pPr>
        <w:tabs>
          <w:tab w:val="left" w:pos="851"/>
        </w:tabs>
        <w:ind w:left="851"/>
        <w:rPr>
          <w:sz w:val="24"/>
          <w:szCs w:val="24"/>
        </w:rPr>
      </w:pPr>
    </w:p>
    <w:p w14:paraId="20970F64" w14:textId="77777777" w:rsidR="009260DE" w:rsidRPr="008D59A9" w:rsidRDefault="009260DE" w:rsidP="009260DE">
      <w:pPr>
        <w:tabs>
          <w:tab w:val="left" w:pos="851"/>
        </w:tabs>
        <w:ind w:left="851" w:hanging="851"/>
        <w:rPr>
          <w:b/>
          <w:sz w:val="24"/>
          <w:szCs w:val="24"/>
        </w:rPr>
      </w:pPr>
      <w:r w:rsidRPr="008D59A9">
        <w:rPr>
          <w:b/>
          <w:sz w:val="24"/>
          <w:szCs w:val="24"/>
        </w:rPr>
        <w:t>6.1</w:t>
      </w:r>
      <w:r w:rsidRPr="008D59A9">
        <w:rPr>
          <w:b/>
          <w:sz w:val="24"/>
          <w:szCs w:val="24"/>
        </w:rPr>
        <w:tab/>
        <w:t>Hjælpestoffer</w:t>
      </w:r>
    </w:p>
    <w:p w14:paraId="160F7CB4" w14:textId="77777777" w:rsidR="00797448" w:rsidRDefault="00797448" w:rsidP="00A065D7">
      <w:pPr>
        <w:ind w:left="851"/>
        <w:rPr>
          <w:sz w:val="24"/>
          <w:szCs w:val="24"/>
        </w:rPr>
      </w:pPr>
      <w:bookmarkStart w:id="2" w:name="_Hlk532371879"/>
    </w:p>
    <w:p w14:paraId="19395F95" w14:textId="1902A8B9" w:rsidR="00635CB2" w:rsidRPr="00797448" w:rsidRDefault="00635CB2" w:rsidP="00A065D7">
      <w:pPr>
        <w:ind w:left="851"/>
        <w:rPr>
          <w:sz w:val="24"/>
          <w:szCs w:val="24"/>
          <w:u w:val="single"/>
          <w:lang w:eastAsia="en-GB"/>
        </w:rPr>
      </w:pPr>
      <w:r w:rsidRPr="00797448">
        <w:rPr>
          <w:sz w:val="24"/>
          <w:szCs w:val="24"/>
          <w:u w:val="single"/>
        </w:rPr>
        <w:t>Kapselindhold:</w:t>
      </w:r>
    </w:p>
    <w:p w14:paraId="49149133" w14:textId="77777777" w:rsidR="00635CB2" w:rsidRPr="008D59A9" w:rsidRDefault="00635CB2" w:rsidP="00A065D7">
      <w:pPr>
        <w:ind w:left="851"/>
        <w:rPr>
          <w:color w:val="000000"/>
          <w:sz w:val="24"/>
          <w:szCs w:val="24"/>
        </w:rPr>
      </w:pPr>
      <w:proofErr w:type="spellStart"/>
      <w:r w:rsidRPr="008D59A9">
        <w:rPr>
          <w:color w:val="000000"/>
          <w:sz w:val="24"/>
          <w:szCs w:val="24"/>
        </w:rPr>
        <w:lastRenderedPageBreak/>
        <w:t>Silica</w:t>
      </w:r>
      <w:proofErr w:type="spellEnd"/>
      <w:r w:rsidRPr="008D59A9">
        <w:rPr>
          <w:color w:val="000000"/>
          <w:sz w:val="24"/>
          <w:szCs w:val="24"/>
        </w:rPr>
        <w:t>, vandfri kolloid</w:t>
      </w:r>
    </w:p>
    <w:p w14:paraId="3513229A" w14:textId="77777777" w:rsidR="00635CB2" w:rsidRPr="008D59A9" w:rsidRDefault="00635CB2" w:rsidP="00A065D7">
      <w:pPr>
        <w:ind w:left="851"/>
        <w:rPr>
          <w:sz w:val="24"/>
          <w:szCs w:val="24"/>
        </w:rPr>
      </w:pPr>
      <w:r w:rsidRPr="008D59A9">
        <w:rPr>
          <w:sz w:val="24"/>
          <w:szCs w:val="24"/>
        </w:rPr>
        <w:t>Stearinsyre</w:t>
      </w:r>
      <w:bookmarkEnd w:id="2"/>
    </w:p>
    <w:p w14:paraId="3A2335F4" w14:textId="77777777" w:rsidR="00635CB2" w:rsidRPr="008D59A9" w:rsidRDefault="00635CB2" w:rsidP="00A065D7">
      <w:pPr>
        <w:ind w:left="851"/>
        <w:rPr>
          <w:sz w:val="24"/>
          <w:szCs w:val="24"/>
        </w:rPr>
      </w:pPr>
    </w:p>
    <w:p w14:paraId="73D99A78" w14:textId="77777777" w:rsidR="00635CB2" w:rsidRPr="00797448" w:rsidRDefault="00635CB2" w:rsidP="00A065D7">
      <w:pPr>
        <w:ind w:left="851"/>
        <w:rPr>
          <w:sz w:val="24"/>
          <w:szCs w:val="24"/>
          <w:u w:val="single"/>
        </w:rPr>
      </w:pPr>
      <w:bookmarkStart w:id="3" w:name="_Hlk532371920"/>
      <w:r w:rsidRPr="00797448">
        <w:rPr>
          <w:sz w:val="24"/>
          <w:szCs w:val="24"/>
          <w:u w:val="single"/>
        </w:rPr>
        <w:t>Kapselskal:</w:t>
      </w:r>
    </w:p>
    <w:p w14:paraId="7E07DCB5" w14:textId="77777777" w:rsidR="00635CB2" w:rsidRPr="008D59A9" w:rsidRDefault="00635CB2" w:rsidP="00A065D7">
      <w:pPr>
        <w:ind w:left="851"/>
        <w:rPr>
          <w:sz w:val="24"/>
          <w:szCs w:val="24"/>
        </w:rPr>
      </w:pPr>
      <w:r w:rsidRPr="008D59A9">
        <w:rPr>
          <w:sz w:val="24"/>
          <w:szCs w:val="24"/>
        </w:rPr>
        <w:t>Gelatine</w:t>
      </w:r>
    </w:p>
    <w:p w14:paraId="0EAB1A59" w14:textId="77777777" w:rsidR="00635CB2" w:rsidRPr="008D59A9" w:rsidRDefault="00635CB2" w:rsidP="00A065D7">
      <w:pPr>
        <w:ind w:left="851"/>
        <w:rPr>
          <w:sz w:val="24"/>
          <w:szCs w:val="24"/>
        </w:rPr>
      </w:pPr>
      <w:proofErr w:type="spellStart"/>
      <w:r w:rsidRPr="008D59A9">
        <w:rPr>
          <w:sz w:val="24"/>
          <w:szCs w:val="24"/>
        </w:rPr>
        <w:t>Natriumlaurylsulfat</w:t>
      </w:r>
      <w:proofErr w:type="spellEnd"/>
    </w:p>
    <w:p w14:paraId="551E6EEB" w14:textId="77777777" w:rsidR="00635CB2" w:rsidRPr="008D59A9" w:rsidRDefault="00635CB2" w:rsidP="00A065D7">
      <w:pPr>
        <w:ind w:left="851"/>
        <w:rPr>
          <w:sz w:val="24"/>
          <w:szCs w:val="24"/>
        </w:rPr>
      </w:pPr>
      <w:r w:rsidRPr="008D59A9">
        <w:rPr>
          <w:sz w:val="24"/>
          <w:szCs w:val="24"/>
        </w:rPr>
        <w:t>Rød jernoxid (E172)</w:t>
      </w:r>
    </w:p>
    <w:p w14:paraId="0B921C1E" w14:textId="77777777" w:rsidR="00635CB2" w:rsidRPr="008D59A9" w:rsidRDefault="00635CB2" w:rsidP="00A065D7">
      <w:pPr>
        <w:ind w:left="851"/>
        <w:rPr>
          <w:sz w:val="24"/>
          <w:szCs w:val="24"/>
        </w:rPr>
      </w:pPr>
      <w:r w:rsidRPr="008D59A9">
        <w:rPr>
          <w:sz w:val="24"/>
          <w:szCs w:val="24"/>
        </w:rPr>
        <w:t>Gul jernoxid (E172)</w:t>
      </w:r>
    </w:p>
    <w:p w14:paraId="7F4D7034" w14:textId="18C5C0B8" w:rsidR="00635CB2" w:rsidRPr="008D59A9" w:rsidRDefault="00635CB2" w:rsidP="00A065D7">
      <w:pPr>
        <w:ind w:left="851"/>
        <w:rPr>
          <w:sz w:val="24"/>
          <w:szCs w:val="24"/>
        </w:rPr>
      </w:pPr>
      <w:r w:rsidRPr="008D59A9">
        <w:rPr>
          <w:sz w:val="24"/>
          <w:szCs w:val="24"/>
        </w:rPr>
        <w:t>Titandioxid (E171)</w:t>
      </w:r>
      <w:bookmarkEnd w:id="3"/>
    </w:p>
    <w:p w14:paraId="58D67BC4" w14:textId="77777777" w:rsidR="00635CB2" w:rsidRPr="008D59A9" w:rsidRDefault="00635CB2" w:rsidP="00A065D7">
      <w:pPr>
        <w:ind w:left="851"/>
        <w:rPr>
          <w:sz w:val="24"/>
          <w:szCs w:val="24"/>
        </w:rPr>
      </w:pPr>
    </w:p>
    <w:p w14:paraId="3756F83A" w14:textId="77777777" w:rsidR="00635CB2" w:rsidRPr="0099694A" w:rsidRDefault="00635CB2" w:rsidP="00A065D7">
      <w:pPr>
        <w:ind w:left="851"/>
        <w:rPr>
          <w:sz w:val="24"/>
          <w:szCs w:val="24"/>
          <w:u w:val="single"/>
        </w:rPr>
      </w:pPr>
      <w:bookmarkStart w:id="4" w:name="_Hlk532371974"/>
      <w:r w:rsidRPr="0099694A">
        <w:rPr>
          <w:sz w:val="24"/>
          <w:szCs w:val="24"/>
          <w:u w:val="single"/>
        </w:rPr>
        <w:t>Blæk indeholder:</w:t>
      </w:r>
    </w:p>
    <w:p w14:paraId="1E7DA3BC" w14:textId="240B7602" w:rsidR="00635CB2" w:rsidRPr="008D59A9" w:rsidRDefault="00635CB2" w:rsidP="00A065D7">
      <w:pPr>
        <w:ind w:left="851"/>
        <w:rPr>
          <w:sz w:val="24"/>
          <w:szCs w:val="24"/>
        </w:rPr>
      </w:pPr>
      <w:proofErr w:type="spellStart"/>
      <w:r w:rsidRPr="008D59A9">
        <w:rPr>
          <w:sz w:val="24"/>
          <w:szCs w:val="24"/>
        </w:rPr>
        <w:t>Shella</w:t>
      </w:r>
      <w:r w:rsidR="00797448">
        <w:rPr>
          <w:sz w:val="24"/>
          <w:szCs w:val="24"/>
        </w:rPr>
        <w:t>c</w:t>
      </w:r>
      <w:proofErr w:type="spellEnd"/>
    </w:p>
    <w:p w14:paraId="54FF34E5" w14:textId="2C46E768" w:rsidR="00635CB2" w:rsidRPr="008D59A9" w:rsidRDefault="00635CB2" w:rsidP="00A065D7">
      <w:pPr>
        <w:ind w:left="851"/>
        <w:rPr>
          <w:sz w:val="24"/>
          <w:szCs w:val="24"/>
        </w:rPr>
      </w:pPr>
      <w:bookmarkStart w:id="5" w:name="_Hlk532907942"/>
      <w:r w:rsidRPr="008D59A9">
        <w:rPr>
          <w:sz w:val="24"/>
          <w:szCs w:val="24"/>
        </w:rPr>
        <w:t>Propylengly</w:t>
      </w:r>
      <w:r w:rsidR="00797448">
        <w:rPr>
          <w:sz w:val="24"/>
          <w:szCs w:val="24"/>
        </w:rPr>
        <w:t>c</w:t>
      </w:r>
      <w:r w:rsidRPr="008D59A9">
        <w:rPr>
          <w:sz w:val="24"/>
          <w:szCs w:val="24"/>
        </w:rPr>
        <w:t>ol</w:t>
      </w:r>
    </w:p>
    <w:p w14:paraId="5D9D079C" w14:textId="77777777" w:rsidR="00635CB2" w:rsidRPr="008D59A9" w:rsidRDefault="00635CB2" w:rsidP="00A065D7">
      <w:pPr>
        <w:ind w:left="851"/>
        <w:rPr>
          <w:sz w:val="24"/>
          <w:szCs w:val="24"/>
        </w:rPr>
      </w:pPr>
      <w:r w:rsidRPr="008D59A9">
        <w:rPr>
          <w:sz w:val="24"/>
          <w:szCs w:val="24"/>
        </w:rPr>
        <w:t>Kaliumhydroxid</w:t>
      </w:r>
    </w:p>
    <w:p w14:paraId="6C39E461" w14:textId="77777777" w:rsidR="00635CB2" w:rsidRPr="008D59A9" w:rsidRDefault="00635CB2" w:rsidP="00A065D7">
      <w:pPr>
        <w:ind w:left="851"/>
        <w:rPr>
          <w:sz w:val="24"/>
          <w:szCs w:val="24"/>
        </w:rPr>
      </w:pPr>
      <w:r w:rsidRPr="008D59A9">
        <w:rPr>
          <w:sz w:val="24"/>
          <w:szCs w:val="24"/>
        </w:rPr>
        <w:t>Sort jernoxid (E172)</w:t>
      </w:r>
      <w:bookmarkEnd w:id="4"/>
      <w:bookmarkEnd w:id="5"/>
    </w:p>
    <w:p w14:paraId="606BAD47" w14:textId="77777777" w:rsidR="009260DE" w:rsidRPr="008D59A9" w:rsidRDefault="009260DE" w:rsidP="009260DE">
      <w:pPr>
        <w:tabs>
          <w:tab w:val="left" w:pos="851"/>
        </w:tabs>
        <w:ind w:left="851"/>
        <w:rPr>
          <w:sz w:val="24"/>
          <w:szCs w:val="24"/>
        </w:rPr>
      </w:pPr>
    </w:p>
    <w:p w14:paraId="1DE371E9" w14:textId="77777777" w:rsidR="009260DE" w:rsidRPr="008D59A9" w:rsidRDefault="009260DE" w:rsidP="009260DE">
      <w:pPr>
        <w:tabs>
          <w:tab w:val="left" w:pos="851"/>
        </w:tabs>
        <w:ind w:left="851" w:hanging="851"/>
        <w:rPr>
          <w:b/>
          <w:sz w:val="24"/>
          <w:szCs w:val="24"/>
        </w:rPr>
      </w:pPr>
      <w:r w:rsidRPr="008D59A9">
        <w:rPr>
          <w:b/>
          <w:sz w:val="24"/>
          <w:szCs w:val="24"/>
        </w:rPr>
        <w:t>6.2</w:t>
      </w:r>
      <w:r w:rsidRPr="008D59A9">
        <w:rPr>
          <w:b/>
          <w:sz w:val="24"/>
          <w:szCs w:val="24"/>
        </w:rPr>
        <w:tab/>
        <w:t>Uforligeligheder</w:t>
      </w:r>
    </w:p>
    <w:p w14:paraId="2927A049" w14:textId="77777777" w:rsidR="00635CB2" w:rsidRPr="008D59A9" w:rsidRDefault="00635CB2" w:rsidP="00A065D7">
      <w:pPr>
        <w:ind w:left="851"/>
        <w:rPr>
          <w:sz w:val="24"/>
          <w:szCs w:val="24"/>
          <w:lang w:eastAsia="en-GB"/>
        </w:rPr>
      </w:pPr>
      <w:r w:rsidRPr="008D59A9">
        <w:rPr>
          <w:sz w:val="24"/>
          <w:szCs w:val="24"/>
        </w:rPr>
        <w:t>Ikke relevant.</w:t>
      </w:r>
    </w:p>
    <w:p w14:paraId="3D45BC45" w14:textId="77777777" w:rsidR="009260DE" w:rsidRPr="008D59A9" w:rsidRDefault="009260DE" w:rsidP="009260DE">
      <w:pPr>
        <w:tabs>
          <w:tab w:val="left" w:pos="851"/>
        </w:tabs>
        <w:ind w:left="851"/>
        <w:rPr>
          <w:sz w:val="24"/>
          <w:szCs w:val="24"/>
        </w:rPr>
      </w:pPr>
    </w:p>
    <w:p w14:paraId="37548692" w14:textId="77777777" w:rsidR="009260DE" w:rsidRPr="008D59A9" w:rsidRDefault="009260DE" w:rsidP="009260DE">
      <w:pPr>
        <w:tabs>
          <w:tab w:val="left" w:pos="851"/>
        </w:tabs>
        <w:ind w:left="851" w:hanging="851"/>
        <w:rPr>
          <w:b/>
          <w:sz w:val="24"/>
          <w:szCs w:val="24"/>
        </w:rPr>
      </w:pPr>
      <w:r w:rsidRPr="008D59A9">
        <w:rPr>
          <w:b/>
          <w:sz w:val="24"/>
          <w:szCs w:val="24"/>
        </w:rPr>
        <w:t>6.3</w:t>
      </w:r>
      <w:r w:rsidRPr="008D59A9">
        <w:rPr>
          <w:b/>
          <w:sz w:val="24"/>
          <w:szCs w:val="24"/>
        </w:rPr>
        <w:tab/>
        <w:t>Opbevaringstid</w:t>
      </w:r>
    </w:p>
    <w:p w14:paraId="71F542EC" w14:textId="574717AB" w:rsidR="009260DE" w:rsidRDefault="00B96C9E" w:rsidP="009260DE">
      <w:pPr>
        <w:tabs>
          <w:tab w:val="left" w:pos="851"/>
        </w:tabs>
        <w:ind w:left="851"/>
        <w:rPr>
          <w:sz w:val="24"/>
          <w:szCs w:val="24"/>
        </w:rPr>
      </w:pPr>
      <w:r w:rsidRPr="00B96C9E">
        <w:rPr>
          <w:sz w:val="24"/>
          <w:szCs w:val="24"/>
        </w:rPr>
        <w:t>3</w:t>
      </w:r>
      <w:r>
        <w:rPr>
          <w:sz w:val="24"/>
          <w:szCs w:val="24"/>
        </w:rPr>
        <w:t xml:space="preserve"> år. </w:t>
      </w:r>
    </w:p>
    <w:p w14:paraId="03AC2F1F" w14:textId="77777777" w:rsidR="00B96C9E" w:rsidRPr="008D59A9" w:rsidRDefault="00B96C9E" w:rsidP="009260DE">
      <w:pPr>
        <w:tabs>
          <w:tab w:val="left" w:pos="851"/>
        </w:tabs>
        <w:ind w:left="851"/>
        <w:rPr>
          <w:sz w:val="24"/>
          <w:szCs w:val="24"/>
        </w:rPr>
      </w:pPr>
    </w:p>
    <w:p w14:paraId="69155649" w14:textId="77777777" w:rsidR="009260DE" w:rsidRPr="008D59A9" w:rsidRDefault="009260DE" w:rsidP="009260DE">
      <w:pPr>
        <w:tabs>
          <w:tab w:val="left" w:pos="851"/>
        </w:tabs>
        <w:ind w:left="851" w:hanging="851"/>
        <w:rPr>
          <w:b/>
          <w:sz w:val="24"/>
          <w:szCs w:val="24"/>
        </w:rPr>
      </w:pPr>
      <w:r w:rsidRPr="008D59A9">
        <w:rPr>
          <w:b/>
          <w:sz w:val="24"/>
          <w:szCs w:val="24"/>
        </w:rPr>
        <w:t>6.4</w:t>
      </w:r>
      <w:r w:rsidRPr="008D59A9">
        <w:rPr>
          <w:b/>
          <w:sz w:val="24"/>
          <w:szCs w:val="24"/>
        </w:rPr>
        <w:tab/>
        <w:t>Særlige opbevaringsforhold</w:t>
      </w:r>
    </w:p>
    <w:p w14:paraId="557BBD53" w14:textId="77777777" w:rsidR="00D10640" w:rsidRDefault="0099694A" w:rsidP="00A065D7">
      <w:pPr>
        <w:ind w:left="851"/>
        <w:rPr>
          <w:sz w:val="24"/>
          <w:szCs w:val="24"/>
        </w:rPr>
      </w:pPr>
      <w:r>
        <w:rPr>
          <w:sz w:val="24"/>
          <w:szCs w:val="24"/>
        </w:rPr>
        <w:t>Der er ingen særlige krav vedrørende opbevaringstemperaturer for d</w:t>
      </w:r>
      <w:r w:rsidR="00635CB2" w:rsidRPr="008D59A9">
        <w:rPr>
          <w:sz w:val="24"/>
          <w:szCs w:val="24"/>
        </w:rPr>
        <w:t xml:space="preserve">ette lægemiddel. </w:t>
      </w:r>
    </w:p>
    <w:p w14:paraId="7DD7C568" w14:textId="2B3A7FFA" w:rsidR="00635CB2" w:rsidRPr="008D59A9" w:rsidRDefault="00635CB2" w:rsidP="00A065D7">
      <w:pPr>
        <w:ind w:left="851"/>
        <w:rPr>
          <w:sz w:val="24"/>
          <w:szCs w:val="24"/>
        </w:rPr>
      </w:pPr>
      <w:r w:rsidRPr="008D59A9">
        <w:rPr>
          <w:sz w:val="24"/>
          <w:szCs w:val="24"/>
        </w:rPr>
        <w:t xml:space="preserve">Hold </w:t>
      </w:r>
      <w:r w:rsidR="00D10640">
        <w:rPr>
          <w:sz w:val="24"/>
          <w:szCs w:val="24"/>
        </w:rPr>
        <w:t xml:space="preserve">beholderen </w:t>
      </w:r>
      <w:r w:rsidRPr="008D59A9">
        <w:rPr>
          <w:sz w:val="24"/>
          <w:szCs w:val="24"/>
        </w:rPr>
        <w:t>tæt tillukket for at beskytte mod fugt.</w:t>
      </w:r>
    </w:p>
    <w:p w14:paraId="6B888E96" w14:textId="77777777" w:rsidR="009260DE" w:rsidRPr="008D59A9" w:rsidRDefault="009260DE" w:rsidP="009260DE">
      <w:pPr>
        <w:tabs>
          <w:tab w:val="left" w:pos="851"/>
        </w:tabs>
        <w:ind w:left="851"/>
        <w:rPr>
          <w:sz w:val="24"/>
          <w:szCs w:val="24"/>
        </w:rPr>
      </w:pPr>
    </w:p>
    <w:p w14:paraId="70D2F8B7" w14:textId="3A114765" w:rsidR="009260DE" w:rsidRPr="008D59A9" w:rsidRDefault="009260DE" w:rsidP="009260DE">
      <w:pPr>
        <w:tabs>
          <w:tab w:val="left" w:pos="851"/>
        </w:tabs>
        <w:ind w:left="851" w:hanging="851"/>
        <w:rPr>
          <w:b/>
          <w:sz w:val="24"/>
          <w:szCs w:val="24"/>
        </w:rPr>
      </w:pPr>
      <w:r w:rsidRPr="008D59A9">
        <w:rPr>
          <w:b/>
          <w:sz w:val="24"/>
          <w:szCs w:val="24"/>
        </w:rPr>
        <w:t>6.5</w:t>
      </w:r>
      <w:r w:rsidRPr="008D59A9">
        <w:rPr>
          <w:b/>
          <w:sz w:val="24"/>
          <w:szCs w:val="24"/>
        </w:rPr>
        <w:tab/>
        <w:t>Emballagetype og pakningsstørrelser</w:t>
      </w:r>
    </w:p>
    <w:p w14:paraId="0728D68A" w14:textId="6D57FE79" w:rsidR="00635CB2" w:rsidRPr="008D59A9" w:rsidRDefault="00635CB2" w:rsidP="008D59A9">
      <w:pPr>
        <w:ind w:left="851"/>
        <w:rPr>
          <w:rFonts w:eastAsia="Calibri"/>
          <w:sz w:val="24"/>
          <w:szCs w:val="24"/>
          <w:lang w:eastAsia="en-GB"/>
        </w:rPr>
      </w:pPr>
      <w:bookmarkStart w:id="6" w:name="_Hlk532372090"/>
      <w:r w:rsidRPr="008D59A9">
        <w:rPr>
          <w:sz w:val="24"/>
          <w:szCs w:val="24"/>
        </w:rPr>
        <w:t>Hvid, uigennemsigtig HDPE-</w:t>
      </w:r>
      <w:r w:rsidR="00D10640">
        <w:rPr>
          <w:sz w:val="24"/>
          <w:szCs w:val="24"/>
        </w:rPr>
        <w:t>beholder</w:t>
      </w:r>
      <w:r w:rsidRPr="008D59A9">
        <w:rPr>
          <w:sz w:val="24"/>
          <w:szCs w:val="24"/>
        </w:rPr>
        <w:t xml:space="preserve"> med børnesikker PP-lukning. </w:t>
      </w:r>
      <w:bookmarkEnd w:id="6"/>
    </w:p>
    <w:p w14:paraId="44BB30EB" w14:textId="661FE905" w:rsidR="00635CB2" w:rsidRDefault="00635CB2" w:rsidP="008D59A9">
      <w:pPr>
        <w:ind w:left="851"/>
        <w:rPr>
          <w:sz w:val="24"/>
          <w:szCs w:val="24"/>
        </w:rPr>
      </w:pPr>
      <w:r w:rsidRPr="008D59A9">
        <w:rPr>
          <w:sz w:val="24"/>
          <w:szCs w:val="24"/>
        </w:rPr>
        <w:t>Pakningsstørrelse: 100 kapsler.</w:t>
      </w:r>
    </w:p>
    <w:p w14:paraId="713B62EC" w14:textId="0E4EDD1E" w:rsidR="00DB16E4" w:rsidRDefault="00DB16E4" w:rsidP="008D59A9">
      <w:pPr>
        <w:ind w:left="851"/>
        <w:rPr>
          <w:rFonts w:eastAsia="Calibri"/>
          <w:sz w:val="24"/>
          <w:szCs w:val="24"/>
        </w:rPr>
      </w:pPr>
    </w:p>
    <w:p w14:paraId="547C3353" w14:textId="77777777" w:rsidR="00DB16E4" w:rsidRPr="00975EAC" w:rsidRDefault="00DB16E4" w:rsidP="00DB16E4">
      <w:pPr>
        <w:ind w:left="851"/>
        <w:rPr>
          <w:rFonts w:eastAsia="Calibri"/>
          <w:sz w:val="24"/>
          <w:szCs w:val="24"/>
        </w:rPr>
      </w:pPr>
      <w:proofErr w:type="spellStart"/>
      <w:r w:rsidRPr="00975EAC">
        <w:rPr>
          <w:rFonts w:eastAsia="Calibri"/>
          <w:sz w:val="24"/>
          <w:szCs w:val="24"/>
        </w:rPr>
        <w:t>Alu-Alu</w:t>
      </w:r>
      <w:proofErr w:type="spellEnd"/>
      <w:r w:rsidRPr="00975EAC">
        <w:rPr>
          <w:rFonts w:eastAsia="Calibri"/>
          <w:sz w:val="24"/>
          <w:szCs w:val="24"/>
        </w:rPr>
        <w:t xml:space="preserve"> blisterpakninger.</w:t>
      </w:r>
    </w:p>
    <w:p w14:paraId="3BC9D497" w14:textId="77777777" w:rsidR="00DB16E4" w:rsidRPr="00975EAC" w:rsidRDefault="00DB16E4" w:rsidP="00DB16E4">
      <w:pPr>
        <w:ind w:left="851"/>
        <w:rPr>
          <w:rFonts w:eastAsia="Calibri"/>
          <w:sz w:val="24"/>
          <w:szCs w:val="24"/>
        </w:rPr>
      </w:pPr>
      <w:r w:rsidRPr="00975EAC">
        <w:rPr>
          <w:rFonts w:eastAsia="Calibri"/>
          <w:sz w:val="24"/>
          <w:szCs w:val="24"/>
        </w:rPr>
        <w:t>Pakningsstørrelse: 30, 72, 96, 100, 240 og 300 kapsler.</w:t>
      </w:r>
    </w:p>
    <w:p w14:paraId="48ED82BE" w14:textId="77777777" w:rsidR="00DB16E4" w:rsidRPr="008D59A9" w:rsidRDefault="00DB16E4" w:rsidP="00DB16E4">
      <w:pPr>
        <w:ind w:left="851"/>
        <w:rPr>
          <w:rFonts w:eastAsia="Calibri"/>
          <w:sz w:val="24"/>
          <w:szCs w:val="24"/>
        </w:rPr>
      </w:pPr>
      <w:r w:rsidRPr="00975EAC">
        <w:rPr>
          <w:rFonts w:eastAsia="Calibri"/>
          <w:sz w:val="24"/>
          <w:szCs w:val="24"/>
        </w:rPr>
        <w:t>Ikke alle pakningsstørrelser er muligvis markedsført.</w:t>
      </w:r>
    </w:p>
    <w:p w14:paraId="55AC9590" w14:textId="77777777" w:rsidR="009260DE" w:rsidRPr="008D59A9" w:rsidRDefault="009260DE" w:rsidP="009260DE">
      <w:pPr>
        <w:tabs>
          <w:tab w:val="left" w:pos="851"/>
        </w:tabs>
        <w:ind w:left="851"/>
        <w:rPr>
          <w:sz w:val="24"/>
          <w:szCs w:val="24"/>
        </w:rPr>
      </w:pPr>
    </w:p>
    <w:p w14:paraId="58F2A7F4" w14:textId="36B432E5" w:rsidR="009260DE" w:rsidRPr="008D59A9" w:rsidRDefault="009260DE" w:rsidP="009260DE">
      <w:pPr>
        <w:tabs>
          <w:tab w:val="left" w:pos="851"/>
        </w:tabs>
        <w:ind w:left="851" w:hanging="851"/>
        <w:rPr>
          <w:b/>
          <w:sz w:val="24"/>
          <w:szCs w:val="24"/>
        </w:rPr>
      </w:pPr>
      <w:r w:rsidRPr="008D59A9">
        <w:rPr>
          <w:b/>
          <w:sz w:val="24"/>
          <w:szCs w:val="24"/>
        </w:rPr>
        <w:t>6.6</w:t>
      </w:r>
      <w:r w:rsidRPr="008D59A9">
        <w:rPr>
          <w:b/>
          <w:sz w:val="24"/>
          <w:szCs w:val="24"/>
        </w:rPr>
        <w:tab/>
        <w:t xml:space="preserve">Regler for </w:t>
      </w:r>
      <w:r w:rsidR="00DB16E4">
        <w:rPr>
          <w:b/>
          <w:sz w:val="24"/>
          <w:szCs w:val="24"/>
        </w:rPr>
        <w:t>bortskaffelse</w:t>
      </w:r>
      <w:r w:rsidRPr="008D59A9">
        <w:rPr>
          <w:b/>
          <w:sz w:val="24"/>
          <w:szCs w:val="24"/>
        </w:rPr>
        <w:t xml:space="preserve"> og anden håndtering</w:t>
      </w:r>
    </w:p>
    <w:p w14:paraId="46128F5E" w14:textId="77777777" w:rsidR="00070F84" w:rsidRDefault="00070F84" w:rsidP="00070F84">
      <w:pPr>
        <w:ind w:left="851"/>
        <w:rPr>
          <w:iCs/>
          <w:noProof/>
          <w:sz w:val="24"/>
          <w:szCs w:val="24"/>
          <w:lang w:eastAsia="en-GB"/>
        </w:rPr>
      </w:pPr>
      <w:r>
        <w:rPr>
          <w:sz w:val="24"/>
          <w:szCs w:val="24"/>
        </w:rPr>
        <w:t>Ikke anvendt lægemiddel samt affald heraf skal bortskaffes i henhold til lokale retningslinjer.</w:t>
      </w:r>
    </w:p>
    <w:p w14:paraId="661AA74D" w14:textId="77777777" w:rsidR="009260DE" w:rsidRPr="008D59A9" w:rsidRDefault="009260DE" w:rsidP="009260DE">
      <w:pPr>
        <w:tabs>
          <w:tab w:val="left" w:pos="851"/>
        </w:tabs>
        <w:ind w:left="851"/>
        <w:jc w:val="both"/>
        <w:rPr>
          <w:sz w:val="24"/>
          <w:szCs w:val="24"/>
        </w:rPr>
      </w:pPr>
    </w:p>
    <w:p w14:paraId="2791327B" w14:textId="77777777" w:rsidR="009260DE" w:rsidRPr="008D59A9" w:rsidRDefault="009260DE" w:rsidP="009260DE">
      <w:pPr>
        <w:tabs>
          <w:tab w:val="left" w:pos="851"/>
        </w:tabs>
        <w:ind w:left="851" w:hanging="851"/>
        <w:rPr>
          <w:b/>
          <w:sz w:val="24"/>
          <w:szCs w:val="24"/>
        </w:rPr>
      </w:pPr>
      <w:r w:rsidRPr="008D59A9">
        <w:rPr>
          <w:b/>
          <w:sz w:val="24"/>
          <w:szCs w:val="24"/>
        </w:rPr>
        <w:t>7.</w:t>
      </w:r>
      <w:r w:rsidRPr="008D59A9">
        <w:rPr>
          <w:b/>
          <w:sz w:val="24"/>
          <w:szCs w:val="24"/>
        </w:rPr>
        <w:tab/>
        <w:t>INDEHAVER AF MARKEDSFØRINGSTILLADELSEN</w:t>
      </w:r>
    </w:p>
    <w:p w14:paraId="4395532C" w14:textId="77777777" w:rsidR="00635CB2" w:rsidRPr="008D59A9" w:rsidRDefault="00635CB2" w:rsidP="008D59A9">
      <w:pPr>
        <w:ind w:left="851"/>
        <w:rPr>
          <w:noProof/>
          <w:sz w:val="24"/>
          <w:szCs w:val="24"/>
          <w:lang w:eastAsia="en-GB"/>
        </w:rPr>
      </w:pPr>
      <w:proofErr w:type="spellStart"/>
      <w:r w:rsidRPr="008D59A9">
        <w:rPr>
          <w:sz w:val="24"/>
          <w:szCs w:val="24"/>
        </w:rPr>
        <w:t>Tillomed</w:t>
      </w:r>
      <w:proofErr w:type="spellEnd"/>
      <w:r w:rsidRPr="008D59A9">
        <w:rPr>
          <w:sz w:val="24"/>
          <w:szCs w:val="24"/>
        </w:rPr>
        <w:t xml:space="preserve"> Pharma GmbH</w:t>
      </w:r>
    </w:p>
    <w:p w14:paraId="52A4A7BC" w14:textId="77777777" w:rsidR="00635CB2" w:rsidRPr="007B1DBA" w:rsidRDefault="00635CB2" w:rsidP="008D59A9">
      <w:pPr>
        <w:ind w:left="851"/>
        <w:rPr>
          <w:noProof/>
          <w:sz w:val="24"/>
          <w:szCs w:val="24"/>
          <w:lang w:val="sv-SE"/>
        </w:rPr>
      </w:pPr>
      <w:proofErr w:type="spellStart"/>
      <w:r w:rsidRPr="007B1DBA">
        <w:rPr>
          <w:sz w:val="24"/>
          <w:szCs w:val="24"/>
          <w:lang w:val="sv-SE"/>
        </w:rPr>
        <w:t>Mittelstrasse</w:t>
      </w:r>
      <w:proofErr w:type="spellEnd"/>
      <w:r w:rsidRPr="007B1DBA">
        <w:rPr>
          <w:sz w:val="24"/>
          <w:szCs w:val="24"/>
          <w:lang w:val="sv-SE"/>
        </w:rPr>
        <w:t xml:space="preserve"> 5/5a</w:t>
      </w:r>
    </w:p>
    <w:p w14:paraId="11C3AE97" w14:textId="77777777" w:rsidR="00635CB2" w:rsidRPr="007B1DBA" w:rsidRDefault="00635CB2" w:rsidP="008D59A9">
      <w:pPr>
        <w:ind w:left="851"/>
        <w:rPr>
          <w:noProof/>
          <w:sz w:val="24"/>
          <w:szCs w:val="24"/>
          <w:lang w:val="sv-SE"/>
        </w:rPr>
      </w:pPr>
      <w:proofErr w:type="gramStart"/>
      <w:r w:rsidRPr="007B1DBA">
        <w:rPr>
          <w:sz w:val="24"/>
          <w:szCs w:val="24"/>
          <w:lang w:val="sv-SE"/>
        </w:rPr>
        <w:t>12529</w:t>
      </w:r>
      <w:proofErr w:type="gramEnd"/>
      <w:r w:rsidRPr="007B1DBA">
        <w:rPr>
          <w:sz w:val="24"/>
          <w:szCs w:val="24"/>
          <w:lang w:val="sv-SE"/>
        </w:rPr>
        <w:t xml:space="preserve"> </w:t>
      </w:r>
      <w:proofErr w:type="spellStart"/>
      <w:r w:rsidRPr="007B1DBA">
        <w:rPr>
          <w:sz w:val="24"/>
          <w:szCs w:val="24"/>
          <w:lang w:val="sv-SE"/>
        </w:rPr>
        <w:t>Schönefeld</w:t>
      </w:r>
      <w:proofErr w:type="spellEnd"/>
    </w:p>
    <w:p w14:paraId="1B0DA1C9" w14:textId="77777777" w:rsidR="00635CB2" w:rsidRPr="007B1DBA" w:rsidRDefault="00635CB2" w:rsidP="008D59A9">
      <w:pPr>
        <w:ind w:left="851"/>
        <w:rPr>
          <w:sz w:val="24"/>
          <w:szCs w:val="24"/>
          <w:lang w:val="sv-SE"/>
        </w:rPr>
      </w:pPr>
      <w:r w:rsidRPr="007B1DBA">
        <w:rPr>
          <w:sz w:val="24"/>
          <w:szCs w:val="24"/>
          <w:lang w:val="sv-SE"/>
        </w:rPr>
        <w:t>Tyskland</w:t>
      </w:r>
    </w:p>
    <w:p w14:paraId="75046812" w14:textId="77777777" w:rsidR="00635CB2" w:rsidRPr="007B1DBA" w:rsidRDefault="00635CB2" w:rsidP="008D59A9">
      <w:pPr>
        <w:ind w:left="851"/>
        <w:rPr>
          <w:sz w:val="24"/>
          <w:szCs w:val="24"/>
          <w:lang w:val="sv-SE"/>
        </w:rPr>
      </w:pPr>
    </w:p>
    <w:p w14:paraId="45196264" w14:textId="77777777" w:rsidR="00635CB2" w:rsidRPr="007B1DBA" w:rsidRDefault="00635CB2" w:rsidP="008D59A9">
      <w:pPr>
        <w:ind w:left="851"/>
        <w:rPr>
          <w:b/>
          <w:bCs/>
          <w:sz w:val="24"/>
          <w:szCs w:val="24"/>
          <w:lang w:val="sv-SE"/>
        </w:rPr>
      </w:pPr>
      <w:proofErr w:type="spellStart"/>
      <w:r w:rsidRPr="007B1DBA">
        <w:rPr>
          <w:b/>
          <w:bCs/>
          <w:sz w:val="24"/>
          <w:szCs w:val="24"/>
          <w:lang w:val="sv-SE"/>
        </w:rPr>
        <w:t>Repræsentant</w:t>
      </w:r>
      <w:proofErr w:type="spellEnd"/>
    </w:p>
    <w:p w14:paraId="0898E933" w14:textId="77777777" w:rsidR="00AB162A" w:rsidRPr="007B1DBA" w:rsidRDefault="00AB162A" w:rsidP="00AB162A">
      <w:pPr>
        <w:ind w:left="851"/>
        <w:rPr>
          <w:sz w:val="24"/>
          <w:szCs w:val="24"/>
          <w:lang w:val="sv-SE"/>
        </w:rPr>
      </w:pPr>
      <w:proofErr w:type="spellStart"/>
      <w:r w:rsidRPr="007B1DBA">
        <w:rPr>
          <w:sz w:val="24"/>
          <w:szCs w:val="24"/>
          <w:lang w:val="sv-SE"/>
        </w:rPr>
        <w:t>FrostPharma</w:t>
      </w:r>
      <w:proofErr w:type="spellEnd"/>
      <w:r w:rsidRPr="007B1DBA">
        <w:rPr>
          <w:sz w:val="24"/>
          <w:szCs w:val="24"/>
          <w:lang w:val="sv-SE"/>
        </w:rPr>
        <w:t xml:space="preserve"> AB</w:t>
      </w:r>
    </w:p>
    <w:p w14:paraId="6D37041E" w14:textId="77777777" w:rsidR="00AB162A" w:rsidRPr="007B1DBA" w:rsidRDefault="00AB162A" w:rsidP="00AB162A">
      <w:pPr>
        <w:ind w:left="851"/>
        <w:rPr>
          <w:sz w:val="24"/>
          <w:szCs w:val="24"/>
          <w:lang w:val="sv-SE"/>
        </w:rPr>
      </w:pPr>
      <w:r w:rsidRPr="007B1DBA">
        <w:rPr>
          <w:sz w:val="24"/>
          <w:szCs w:val="24"/>
          <w:lang w:val="sv-SE"/>
        </w:rPr>
        <w:t>Berga backe 2</w:t>
      </w:r>
    </w:p>
    <w:p w14:paraId="72A5F4BF" w14:textId="77777777" w:rsidR="00AB162A" w:rsidRPr="00AB162A" w:rsidRDefault="00AB162A" w:rsidP="00AB162A">
      <w:pPr>
        <w:ind w:left="851"/>
        <w:rPr>
          <w:sz w:val="24"/>
          <w:szCs w:val="24"/>
        </w:rPr>
      </w:pPr>
      <w:r w:rsidRPr="00AB162A">
        <w:rPr>
          <w:sz w:val="24"/>
          <w:szCs w:val="24"/>
        </w:rPr>
        <w:t xml:space="preserve">182 53 </w:t>
      </w:r>
      <w:proofErr w:type="spellStart"/>
      <w:r w:rsidRPr="00AB162A">
        <w:rPr>
          <w:sz w:val="24"/>
          <w:szCs w:val="24"/>
        </w:rPr>
        <w:t>Danderyd</w:t>
      </w:r>
      <w:proofErr w:type="spellEnd"/>
    </w:p>
    <w:p w14:paraId="26C5A225" w14:textId="5C3ED9B8" w:rsidR="009260DE" w:rsidRDefault="00AB162A" w:rsidP="00070F84">
      <w:pPr>
        <w:ind w:left="851"/>
        <w:rPr>
          <w:noProof/>
          <w:sz w:val="24"/>
          <w:szCs w:val="24"/>
        </w:rPr>
      </w:pPr>
      <w:r w:rsidRPr="00AB162A">
        <w:rPr>
          <w:sz w:val="24"/>
          <w:szCs w:val="24"/>
        </w:rPr>
        <w:t>Sverige</w:t>
      </w:r>
    </w:p>
    <w:p w14:paraId="72335204" w14:textId="77777777" w:rsidR="00070F84" w:rsidRPr="009825BA" w:rsidRDefault="00070F84" w:rsidP="00070F84">
      <w:pPr>
        <w:ind w:left="851"/>
        <w:rPr>
          <w:noProof/>
          <w:sz w:val="24"/>
          <w:szCs w:val="24"/>
        </w:rPr>
      </w:pPr>
    </w:p>
    <w:p w14:paraId="06EA262F" w14:textId="0C3D9E40" w:rsidR="009260DE" w:rsidRPr="008D59A9" w:rsidRDefault="009260DE" w:rsidP="00070F84">
      <w:pPr>
        <w:keepNext/>
        <w:tabs>
          <w:tab w:val="left" w:pos="851"/>
        </w:tabs>
        <w:ind w:left="851" w:hanging="851"/>
        <w:rPr>
          <w:b/>
          <w:sz w:val="24"/>
          <w:szCs w:val="24"/>
        </w:rPr>
      </w:pPr>
      <w:r w:rsidRPr="008D59A9">
        <w:rPr>
          <w:b/>
          <w:sz w:val="24"/>
          <w:szCs w:val="24"/>
        </w:rPr>
        <w:lastRenderedPageBreak/>
        <w:t>8.</w:t>
      </w:r>
      <w:r w:rsidRPr="008D59A9">
        <w:rPr>
          <w:b/>
          <w:sz w:val="24"/>
          <w:szCs w:val="24"/>
        </w:rPr>
        <w:tab/>
        <w:t>MARKEDSFØRINGSTILLADELSESNUMMER (</w:t>
      </w:r>
      <w:r w:rsidR="00DB16E4">
        <w:rPr>
          <w:b/>
          <w:sz w:val="24"/>
          <w:szCs w:val="24"/>
        </w:rPr>
        <w:t>-</w:t>
      </w:r>
      <w:r w:rsidRPr="008D59A9">
        <w:rPr>
          <w:b/>
          <w:sz w:val="24"/>
          <w:szCs w:val="24"/>
        </w:rPr>
        <w:t>NUMRE)</w:t>
      </w:r>
    </w:p>
    <w:p w14:paraId="5FC78A27" w14:textId="12F3F408" w:rsidR="009260DE" w:rsidRPr="008D59A9" w:rsidRDefault="00F53035" w:rsidP="009260DE">
      <w:pPr>
        <w:tabs>
          <w:tab w:val="left" w:pos="851"/>
        </w:tabs>
        <w:ind w:left="851"/>
        <w:rPr>
          <w:sz w:val="24"/>
          <w:szCs w:val="24"/>
        </w:rPr>
      </w:pPr>
      <w:r w:rsidRPr="008D59A9">
        <w:rPr>
          <w:sz w:val="24"/>
          <w:szCs w:val="24"/>
        </w:rPr>
        <w:t>62360</w:t>
      </w:r>
    </w:p>
    <w:p w14:paraId="050BD309" w14:textId="77777777" w:rsidR="009260DE" w:rsidRPr="008D59A9" w:rsidRDefault="009260DE" w:rsidP="009260DE">
      <w:pPr>
        <w:tabs>
          <w:tab w:val="left" w:pos="851"/>
        </w:tabs>
        <w:ind w:left="851"/>
        <w:jc w:val="both"/>
        <w:rPr>
          <w:sz w:val="24"/>
          <w:szCs w:val="24"/>
        </w:rPr>
      </w:pPr>
    </w:p>
    <w:p w14:paraId="31ABC415" w14:textId="77777777" w:rsidR="009260DE" w:rsidRPr="008D59A9" w:rsidRDefault="009260DE" w:rsidP="009260DE">
      <w:pPr>
        <w:tabs>
          <w:tab w:val="left" w:pos="851"/>
        </w:tabs>
        <w:ind w:left="851" w:hanging="851"/>
        <w:rPr>
          <w:b/>
          <w:sz w:val="24"/>
          <w:szCs w:val="24"/>
        </w:rPr>
      </w:pPr>
      <w:r w:rsidRPr="008D59A9">
        <w:rPr>
          <w:b/>
          <w:sz w:val="24"/>
          <w:szCs w:val="24"/>
        </w:rPr>
        <w:t>9.</w:t>
      </w:r>
      <w:r w:rsidRPr="008D59A9">
        <w:rPr>
          <w:b/>
          <w:sz w:val="24"/>
          <w:szCs w:val="24"/>
        </w:rPr>
        <w:tab/>
        <w:t>DATO FOR FØRSTE MARKEDSFØRINGSTILLADELSE</w:t>
      </w:r>
    </w:p>
    <w:p w14:paraId="258E1BDE" w14:textId="61451CA7" w:rsidR="009260DE" w:rsidRPr="008D59A9" w:rsidRDefault="009825BA" w:rsidP="009260DE">
      <w:pPr>
        <w:tabs>
          <w:tab w:val="left" w:pos="851"/>
        </w:tabs>
        <w:ind w:left="851"/>
        <w:rPr>
          <w:sz w:val="24"/>
          <w:szCs w:val="24"/>
        </w:rPr>
      </w:pPr>
      <w:r>
        <w:rPr>
          <w:sz w:val="24"/>
          <w:szCs w:val="24"/>
        </w:rPr>
        <w:t>9. marts 2020</w:t>
      </w:r>
    </w:p>
    <w:p w14:paraId="57CFDD01" w14:textId="77777777" w:rsidR="009260DE" w:rsidRPr="008D59A9" w:rsidRDefault="009260DE" w:rsidP="009260DE">
      <w:pPr>
        <w:tabs>
          <w:tab w:val="left" w:pos="851"/>
        </w:tabs>
        <w:ind w:left="851"/>
        <w:rPr>
          <w:sz w:val="24"/>
          <w:szCs w:val="24"/>
        </w:rPr>
      </w:pPr>
    </w:p>
    <w:p w14:paraId="5C5E4288" w14:textId="77777777" w:rsidR="009260DE" w:rsidRPr="008D59A9" w:rsidRDefault="009260DE" w:rsidP="009260DE">
      <w:pPr>
        <w:tabs>
          <w:tab w:val="left" w:pos="851"/>
        </w:tabs>
        <w:ind w:left="851" w:hanging="851"/>
        <w:rPr>
          <w:b/>
          <w:sz w:val="24"/>
          <w:szCs w:val="24"/>
        </w:rPr>
      </w:pPr>
      <w:r w:rsidRPr="008D59A9">
        <w:rPr>
          <w:b/>
          <w:sz w:val="24"/>
          <w:szCs w:val="24"/>
        </w:rPr>
        <w:t>10.</w:t>
      </w:r>
      <w:r w:rsidRPr="008D59A9">
        <w:rPr>
          <w:b/>
          <w:sz w:val="24"/>
          <w:szCs w:val="24"/>
        </w:rPr>
        <w:tab/>
        <w:t>DATO FOR ÆNDRING AF TEKSTEN</w:t>
      </w:r>
    </w:p>
    <w:p w14:paraId="272B4D13" w14:textId="7613419E" w:rsidR="009260DE" w:rsidRPr="008D59A9" w:rsidRDefault="00070F84" w:rsidP="009260DE">
      <w:pPr>
        <w:tabs>
          <w:tab w:val="left" w:pos="851"/>
        </w:tabs>
        <w:ind w:left="851"/>
        <w:rPr>
          <w:sz w:val="24"/>
          <w:szCs w:val="24"/>
        </w:rPr>
      </w:pPr>
      <w:r>
        <w:rPr>
          <w:sz w:val="24"/>
          <w:szCs w:val="24"/>
        </w:rPr>
        <w:t>3</w:t>
      </w:r>
      <w:r w:rsidR="00AB162A">
        <w:rPr>
          <w:sz w:val="24"/>
          <w:szCs w:val="24"/>
        </w:rPr>
        <w:t xml:space="preserve">. </w:t>
      </w:r>
      <w:r w:rsidR="00DB16E4">
        <w:rPr>
          <w:sz w:val="24"/>
          <w:szCs w:val="24"/>
        </w:rPr>
        <w:t>marts</w:t>
      </w:r>
      <w:r w:rsidR="00AB162A">
        <w:rPr>
          <w:sz w:val="24"/>
          <w:szCs w:val="24"/>
        </w:rPr>
        <w:t xml:space="preserve"> 202</w:t>
      </w:r>
      <w:r>
        <w:rPr>
          <w:sz w:val="24"/>
          <w:szCs w:val="24"/>
        </w:rPr>
        <w:t>5</w:t>
      </w:r>
      <w:bookmarkStart w:id="7" w:name="_GoBack"/>
      <w:bookmarkEnd w:id="7"/>
    </w:p>
    <w:sectPr w:rsidR="009260DE" w:rsidRPr="008D59A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37EB" w14:textId="77777777" w:rsidR="003D5C3C" w:rsidRDefault="003D5C3C">
      <w:r>
        <w:separator/>
      </w:r>
    </w:p>
  </w:endnote>
  <w:endnote w:type="continuationSeparator" w:id="0">
    <w:p w14:paraId="61A3D121" w14:textId="77777777" w:rsidR="003D5C3C" w:rsidRDefault="003D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73EB" w14:textId="77777777" w:rsidR="000259B9" w:rsidRDefault="000259B9">
    <w:pPr>
      <w:pStyle w:val="Sidefod"/>
      <w:pBdr>
        <w:bottom w:val="single" w:sz="6" w:space="1" w:color="auto"/>
      </w:pBdr>
    </w:pPr>
  </w:p>
  <w:p w14:paraId="42DFCEB2" w14:textId="77777777" w:rsidR="000259B9" w:rsidRDefault="000259B9" w:rsidP="00C42586">
    <w:pPr>
      <w:pStyle w:val="Sidefod"/>
      <w:tabs>
        <w:tab w:val="clear" w:pos="4819"/>
        <w:tab w:val="left" w:pos="8505"/>
      </w:tabs>
      <w:rPr>
        <w:i/>
        <w:sz w:val="18"/>
        <w:szCs w:val="18"/>
      </w:rPr>
    </w:pPr>
  </w:p>
  <w:p w14:paraId="1F0951B7" w14:textId="062B7D3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25BA">
      <w:rPr>
        <w:i/>
        <w:noProof/>
        <w:sz w:val="18"/>
        <w:szCs w:val="18"/>
      </w:rPr>
      <w:t>Trientine Tillomed, hårde kapsler 167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6B5C" w14:textId="77777777" w:rsidR="003D5C3C" w:rsidRDefault="003D5C3C">
      <w:r>
        <w:separator/>
      </w:r>
    </w:p>
  </w:footnote>
  <w:footnote w:type="continuationSeparator" w:id="0">
    <w:p w14:paraId="428D4F37" w14:textId="77777777" w:rsidR="003D5C3C" w:rsidRDefault="003D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3C"/>
    <w:rsid w:val="000259B9"/>
    <w:rsid w:val="00041491"/>
    <w:rsid w:val="00050D16"/>
    <w:rsid w:val="00070F84"/>
    <w:rsid w:val="00074F2A"/>
    <w:rsid w:val="000A1CA8"/>
    <w:rsid w:val="000A466B"/>
    <w:rsid w:val="000B058C"/>
    <w:rsid w:val="000E4EE6"/>
    <w:rsid w:val="001454E2"/>
    <w:rsid w:val="00206CE8"/>
    <w:rsid w:val="0021526C"/>
    <w:rsid w:val="00226CF4"/>
    <w:rsid w:val="00227B81"/>
    <w:rsid w:val="002636C0"/>
    <w:rsid w:val="00283A2B"/>
    <w:rsid w:val="002B30AD"/>
    <w:rsid w:val="002C2C01"/>
    <w:rsid w:val="002D1F47"/>
    <w:rsid w:val="003A29AE"/>
    <w:rsid w:val="003A32D7"/>
    <w:rsid w:val="003B4074"/>
    <w:rsid w:val="003C6C7F"/>
    <w:rsid w:val="003C769A"/>
    <w:rsid w:val="003D5C3C"/>
    <w:rsid w:val="003F1838"/>
    <w:rsid w:val="00436F40"/>
    <w:rsid w:val="0045746C"/>
    <w:rsid w:val="004873C3"/>
    <w:rsid w:val="0049104B"/>
    <w:rsid w:val="004E3B12"/>
    <w:rsid w:val="00532310"/>
    <w:rsid w:val="005400C7"/>
    <w:rsid w:val="00565F0F"/>
    <w:rsid w:val="00594A86"/>
    <w:rsid w:val="00596D86"/>
    <w:rsid w:val="005E2F5C"/>
    <w:rsid w:val="00635CB2"/>
    <w:rsid w:val="00637F5A"/>
    <w:rsid w:val="006560B1"/>
    <w:rsid w:val="006756DD"/>
    <w:rsid w:val="0069210E"/>
    <w:rsid w:val="0071016A"/>
    <w:rsid w:val="007161DB"/>
    <w:rsid w:val="00737275"/>
    <w:rsid w:val="00740EEC"/>
    <w:rsid w:val="0078011A"/>
    <w:rsid w:val="00782AF4"/>
    <w:rsid w:val="00790EE7"/>
    <w:rsid w:val="00797448"/>
    <w:rsid w:val="007B1DBA"/>
    <w:rsid w:val="007B6649"/>
    <w:rsid w:val="007E6C34"/>
    <w:rsid w:val="0082576E"/>
    <w:rsid w:val="00881441"/>
    <w:rsid w:val="008D59A9"/>
    <w:rsid w:val="00907F75"/>
    <w:rsid w:val="00914C44"/>
    <w:rsid w:val="0092596E"/>
    <w:rsid w:val="009260DE"/>
    <w:rsid w:val="0093258A"/>
    <w:rsid w:val="009734A3"/>
    <w:rsid w:val="009825BA"/>
    <w:rsid w:val="00990AC8"/>
    <w:rsid w:val="0099694A"/>
    <w:rsid w:val="009C7BA3"/>
    <w:rsid w:val="009D1F5A"/>
    <w:rsid w:val="00A065D7"/>
    <w:rsid w:val="00A932FC"/>
    <w:rsid w:val="00AB162A"/>
    <w:rsid w:val="00B003BF"/>
    <w:rsid w:val="00B373D7"/>
    <w:rsid w:val="00B96C9E"/>
    <w:rsid w:val="00BF64CE"/>
    <w:rsid w:val="00C36276"/>
    <w:rsid w:val="00C42586"/>
    <w:rsid w:val="00C52672"/>
    <w:rsid w:val="00C60CCD"/>
    <w:rsid w:val="00C84483"/>
    <w:rsid w:val="00C95551"/>
    <w:rsid w:val="00CB20D7"/>
    <w:rsid w:val="00CF44E6"/>
    <w:rsid w:val="00D020B0"/>
    <w:rsid w:val="00D10640"/>
    <w:rsid w:val="00D11748"/>
    <w:rsid w:val="00D2612B"/>
    <w:rsid w:val="00D366CF"/>
    <w:rsid w:val="00D66B7D"/>
    <w:rsid w:val="00DB16E4"/>
    <w:rsid w:val="00E108AA"/>
    <w:rsid w:val="00E3749A"/>
    <w:rsid w:val="00E7437F"/>
    <w:rsid w:val="00E84C76"/>
    <w:rsid w:val="00E865B8"/>
    <w:rsid w:val="00EB0770"/>
    <w:rsid w:val="00EC0B9B"/>
    <w:rsid w:val="00EC633F"/>
    <w:rsid w:val="00ED5E9F"/>
    <w:rsid w:val="00F37F5F"/>
    <w:rsid w:val="00F53035"/>
    <w:rsid w:val="00F66D4F"/>
    <w:rsid w:val="00F810D1"/>
    <w:rsid w:val="00FB6D01"/>
    <w:rsid w:val="00FD24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795E0"/>
  <w15:chartTrackingRefBased/>
  <w15:docId w15:val="{CEC364D8-8F28-460F-832E-D26EA701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semiHidden/>
    <w:unhideWhenUsed/>
    <w:qFormat/>
    <w:rsid w:val="00D2612B"/>
    <w:pPr>
      <w:keepNext/>
      <w:spacing w:before="240" w:after="60"/>
      <w:outlineLvl w:val="1"/>
    </w:pPr>
    <w:rPr>
      <w:b/>
      <w:sz w:val="24"/>
      <w:lang w:eastAsia="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D2612B"/>
    <w:pPr>
      <w:spacing w:after="120"/>
      <w:ind w:left="720"/>
    </w:pPr>
    <w:rPr>
      <w:sz w:val="22"/>
      <w:lang w:eastAsia="en-GB"/>
    </w:rPr>
  </w:style>
  <w:style w:type="paragraph" w:customStyle="1" w:styleId="Default">
    <w:name w:val="Default"/>
    <w:rsid w:val="00D2612B"/>
    <w:pPr>
      <w:autoSpaceDE w:val="0"/>
      <w:autoSpaceDN w:val="0"/>
      <w:adjustRightInd w:val="0"/>
    </w:pPr>
    <w:rPr>
      <w:color w:val="000000"/>
      <w:sz w:val="24"/>
      <w:szCs w:val="24"/>
      <w:lang w:eastAsia="en-US"/>
    </w:rPr>
  </w:style>
  <w:style w:type="character" w:customStyle="1" w:styleId="Overskrift2Tegn">
    <w:name w:val="Overskrift 2 Tegn"/>
    <w:basedOn w:val="Standardskrifttypeiafsnit"/>
    <w:link w:val="Overskrift2"/>
    <w:semiHidden/>
    <w:rsid w:val="00D2612B"/>
    <w:rPr>
      <w:b/>
      <w:sz w:val="24"/>
      <w:lang w:eastAsia="en-GB"/>
    </w:rPr>
  </w:style>
  <w:style w:type="character" w:styleId="Hyperlink">
    <w:name w:val="Hyperlink"/>
    <w:uiPriority w:val="99"/>
    <w:semiHidden/>
    <w:unhideWhenUsed/>
    <w:rsid w:val="00635CB2"/>
    <w:rPr>
      <w:color w:val="0000FF"/>
      <w:u w:val="single"/>
    </w:rPr>
  </w:style>
  <w:style w:type="paragraph" w:customStyle="1" w:styleId="Standard">
    <w:name w:val="Standard"/>
    <w:rsid w:val="00635CB2"/>
    <w:pPr>
      <w:widowControl w:val="0"/>
      <w:suppressAutoHyphens/>
      <w:autoSpaceDN w:val="0"/>
    </w:pPr>
    <w:rPr>
      <w:rFonts w:eastAsia="Andale Sans UI" w:cs="Tahoma"/>
      <w:kern w:val="3"/>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00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827881">
      <w:bodyDiv w:val="1"/>
      <w:marLeft w:val="0"/>
      <w:marRight w:val="0"/>
      <w:marTop w:val="0"/>
      <w:marBottom w:val="0"/>
      <w:divBdr>
        <w:top w:val="none" w:sz="0" w:space="0" w:color="auto"/>
        <w:left w:val="none" w:sz="0" w:space="0" w:color="auto"/>
        <w:bottom w:val="none" w:sz="0" w:space="0" w:color="auto"/>
        <w:right w:val="none" w:sz="0" w:space="0" w:color="auto"/>
      </w:divBdr>
    </w:div>
    <w:div w:id="377123011">
      <w:bodyDiv w:val="1"/>
      <w:marLeft w:val="0"/>
      <w:marRight w:val="0"/>
      <w:marTop w:val="0"/>
      <w:marBottom w:val="0"/>
      <w:divBdr>
        <w:top w:val="none" w:sz="0" w:space="0" w:color="auto"/>
        <w:left w:val="none" w:sz="0" w:space="0" w:color="auto"/>
        <w:bottom w:val="none" w:sz="0" w:space="0" w:color="auto"/>
        <w:right w:val="none" w:sz="0" w:space="0" w:color="auto"/>
      </w:divBdr>
    </w:div>
    <w:div w:id="407968467">
      <w:bodyDiv w:val="1"/>
      <w:marLeft w:val="0"/>
      <w:marRight w:val="0"/>
      <w:marTop w:val="0"/>
      <w:marBottom w:val="0"/>
      <w:divBdr>
        <w:top w:val="none" w:sz="0" w:space="0" w:color="auto"/>
        <w:left w:val="none" w:sz="0" w:space="0" w:color="auto"/>
        <w:bottom w:val="none" w:sz="0" w:space="0" w:color="auto"/>
        <w:right w:val="none" w:sz="0" w:space="0" w:color="auto"/>
      </w:divBdr>
    </w:div>
    <w:div w:id="443769385">
      <w:bodyDiv w:val="1"/>
      <w:marLeft w:val="0"/>
      <w:marRight w:val="0"/>
      <w:marTop w:val="0"/>
      <w:marBottom w:val="0"/>
      <w:divBdr>
        <w:top w:val="none" w:sz="0" w:space="0" w:color="auto"/>
        <w:left w:val="none" w:sz="0" w:space="0" w:color="auto"/>
        <w:bottom w:val="none" w:sz="0" w:space="0" w:color="auto"/>
        <w:right w:val="none" w:sz="0" w:space="0" w:color="auto"/>
      </w:divBdr>
    </w:div>
    <w:div w:id="492528908">
      <w:bodyDiv w:val="1"/>
      <w:marLeft w:val="0"/>
      <w:marRight w:val="0"/>
      <w:marTop w:val="0"/>
      <w:marBottom w:val="0"/>
      <w:divBdr>
        <w:top w:val="none" w:sz="0" w:space="0" w:color="auto"/>
        <w:left w:val="none" w:sz="0" w:space="0" w:color="auto"/>
        <w:bottom w:val="none" w:sz="0" w:space="0" w:color="auto"/>
        <w:right w:val="none" w:sz="0" w:space="0" w:color="auto"/>
      </w:divBdr>
    </w:div>
    <w:div w:id="547693117">
      <w:bodyDiv w:val="1"/>
      <w:marLeft w:val="0"/>
      <w:marRight w:val="0"/>
      <w:marTop w:val="0"/>
      <w:marBottom w:val="0"/>
      <w:divBdr>
        <w:top w:val="none" w:sz="0" w:space="0" w:color="auto"/>
        <w:left w:val="none" w:sz="0" w:space="0" w:color="auto"/>
        <w:bottom w:val="none" w:sz="0" w:space="0" w:color="auto"/>
        <w:right w:val="none" w:sz="0" w:space="0" w:color="auto"/>
      </w:divBdr>
    </w:div>
    <w:div w:id="559173906">
      <w:bodyDiv w:val="1"/>
      <w:marLeft w:val="0"/>
      <w:marRight w:val="0"/>
      <w:marTop w:val="0"/>
      <w:marBottom w:val="0"/>
      <w:divBdr>
        <w:top w:val="none" w:sz="0" w:space="0" w:color="auto"/>
        <w:left w:val="none" w:sz="0" w:space="0" w:color="auto"/>
        <w:bottom w:val="none" w:sz="0" w:space="0" w:color="auto"/>
        <w:right w:val="none" w:sz="0" w:space="0" w:color="auto"/>
      </w:divBdr>
    </w:div>
    <w:div w:id="650477464">
      <w:bodyDiv w:val="1"/>
      <w:marLeft w:val="0"/>
      <w:marRight w:val="0"/>
      <w:marTop w:val="0"/>
      <w:marBottom w:val="0"/>
      <w:divBdr>
        <w:top w:val="none" w:sz="0" w:space="0" w:color="auto"/>
        <w:left w:val="none" w:sz="0" w:space="0" w:color="auto"/>
        <w:bottom w:val="none" w:sz="0" w:space="0" w:color="auto"/>
        <w:right w:val="none" w:sz="0" w:space="0" w:color="auto"/>
      </w:divBdr>
    </w:div>
    <w:div w:id="723984285">
      <w:bodyDiv w:val="1"/>
      <w:marLeft w:val="0"/>
      <w:marRight w:val="0"/>
      <w:marTop w:val="0"/>
      <w:marBottom w:val="0"/>
      <w:divBdr>
        <w:top w:val="none" w:sz="0" w:space="0" w:color="auto"/>
        <w:left w:val="none" w:sz="0" w:space="0" w:color="auto"/>
        <w:bottom w:val="none" w:sz="0" w:space="0" w:color="auto"/>
        <w:right w:val="none" w:sz="0" w:space="0" w:color="auto"/>
      </w:divBdr>
    </w:div>
    <w:div w:id="798382386">
      <w:bodyDiv w:val="1"/>
      <w:marLeft w:val="0"/>
      <w:marRight w:val="0"/>
      <w:marTop w:val="0"/>
      <w:marBottom w:val="0"/>
      <w:divBdr>
        <w:top w:val="none" w:sz="0" w:space="0" w:color="auto"/>
        <w:left w:val="none" w:sz="0" w:space="0" w:color="auto"/>
        <w:bottom w:val="none" w:sz="0" w:space="0" w:color="auto"/>
        <w:right w:val="none" w:sz="0" w:space="0" w:color="auto"/>
      </w:divBdr>
    </w:div>
    <w:div w:id="804857021">
      <w:bodyDiv w:val="1"/>
      <w:marLeft w:val="0"/>
      <w:marRight w:val="0"/>
      <w:marTop w:val="0"/>
      <w:marBottom w:val="0"/>
      <w:divBdr>
        <w:top w:val="none" w:sz="0" w:space="0" w:color="auto"/>
        <w:left w:val="none" w:sz="0" w:space="0" w:color="auto"/>
        <w:bottom w:val="none" w:sz="0" w:space="0" w:color="auto"/>
        <w:right w:val="none" w:sz="0" w:space="0" w:color="auto"/>
      </w:divBdr>
    </w:div>
    <w:div w:id="861864792">
      <w:bodyDiv w:val="1"/>
      <w:marLeft w:val="0"/>
      <w:marRight w:val="0"/>
      <w:marTop w:val="0"/>
      <w:marBottom w:val="0"/>
      <w:divBdr>
        <w:top w:val="none" w:sz="0" w:space="0" w:color="auto"/>
        <w:left w:val="none" w:sz="0" w:space="0" w:color="auto"/>
        <w:bottom w:val="none" w:sz="0" w:space="0" w:color="auto"/>
        <w:right w:val="none" w:sz="0" w:space="0" w:color="auto"/>
      </w:divBdr>
    </w:div>
    <w:div w:id="879783247">
      <w:bodyDiv w:val="1"/>
      <w:marLeft w:val="0"/>
      <w:marRight w:val="0"/>
      <w:marTop w:val="0"/>
      <w:marBottom w:val="0"/>
      <w:divBdr>
        <w:top w:val="none" w:sz="0" w:space="0" w:color="auto"/>
        <w:left w:val="none" w:sz="0" w:space="0" w:color="auto"/>
        <w:bottom w:val="none" w:sz="0" w:space="0" w:color="auto"/>
        <w:right w:val="none" w:sz="0" w:space="0" w:color="auto"/>
      </w:divBdr>
    </w:div>
    <w:div w:id="1023554002">
      <w:bodyDiv w:val="1"/>
      <w:marLeft w:val="0"/>
      <w:marRight w:val="0"/>
      <w:marTop w:val="0"/>
      <w:marBottom w:val="0"/>
      <w:divBdr>
        <w:top w:val="none" w:sz="0" w:space="0" w:color="auto"/>
        <w:left w:val="none" w:sz="0" w:space="0" w:color="auto"/>
        <w:bottom w:val="none" w:sz="0" w:space="0" w:color="auto"/>
        <w:right w:val="none" w:sz="0" w:space="0" w:color="auto"/>
      </w:divBdr>
    </w:div>
    <w:div w:id="1024286120">
      <w:bodyDiv w:val="1"/>
      <w:marLeft w:val="0"/>
      <w:marRight w:val="0"/>
      <w:marTop w:val="0"/>
      <w:marBottom w:val="0"/>
      <w:divBdr>
        <w:top w:val="none" w:sz="0" w:space="0" w:color="auto"/>
        <w:left w:val="none" w:sz="0" w:space="0" w:color="auto"/>
        <w:bottom w:val="none" w:sz="0" w:space="0" w:color="auto"/>
        <w:right w:val="none" w:sz="0" w:space="0" w:color="auto"/>
      </w:divBdr>
    </w:div>
    <w:div w:id="1057629668">
      <w:bodyDiv w:val="1"/>
      <w:marLeft w:val="0"/>
      <w:marRight w:val="0"/>
      <w:marTop w:val="0"/>
      <w:marBottom w:val="0"/>
      <w:divBdr>
        <w:top w:val="none" w:sz="0" w:space="0" w:color="auto"/>
        <w:left w:val="none" w:sz="0" w:space="0" w:color="auto"/>
        <w:bottom w:val="none" w:sz="0" w:space="0" w:color="auto"/>
        <w:right w:val="none" w:sz="0" w:space="0" w:color="auto"/>
      </w:divBdr>
    </w:div>
    <w:div w:id="1094322271">
      <w:bodyDiv w:val="1"/>
      <w:marLeft w:val="0"/>
      <w:marRight w:val="0"/>
      <w:marTop w:val="0"/>
      <w:marBottom w:val="0"/>
      <w:divBdr>
        <w:top w:val="none" w:sz="0" w:space="0" w:color="auto"/>
        <w:left w:val="none" w:sz="0" w:space="0" w:color="auto"/>
        <w:bottom w:val="none" w:sz="0" w:space="0" w:color="auto"/>
        <w:right w:val="none" w:sz="0" w:space="0" w:color="auto"/>
      </w:divBdr>
    </w:div>
    <w:div w:id="1112091049">
      <w:bodyDiv w:val="1"/>
      <w:marLeft w:val="0"/>
      <w:marRight w:val="0"/>
      <w:marTop w:val="0"/>
      <w:marBottom w:val="0"/>
      <w:divBdr>
        <w:top w:val="none" w:sz="0" w:space="0" w:color="auto"/>
        <w:left w:val="none" w:sz="0" w:space="0" w:color="auto"/>
        <w:bottom w:val="none" w:sz="0" w:space="0" w:color="auto"/>
        <w:right w:val="none" w:sz="0" w:space="0" w:color="auto"/>
      </w:divBdr>
    </w:div>
    <w:div w:id="1113280608">
      <w:bodyDiv w:val="1"/>
      <w:marLeft w:val="0"/>
      <w:marRight w:val="0"/>
      <w:marTop w:val="0"/>
      <w:marBottom w:val="0"/>
      <w:divBdr>
        <w:top w:val="none" w:sz="0" w:space="0" w:color="auto"/>
        <w:left w:val="none" w:sz="0" w:space="0" w:color="auto"/>
        <w:bottom w:val="none" w:sz="0" w:space="0" w:color="auto"/>
        <w:right w:val="none" w:sz="0" w:space="0" w:color="auto"/>
      </w:divBdr>
    </w:div>
    <w:div w:id="1224021129">
      <w:bodyDiv w:val="1"/>
      <w:marLeft w:val="0"/>
      <w:marRight w:val="0"/>
      <w:marTop w:val="0"/>
      <w:marBottom w:val="0"/>
      <w:divBdr>
        <w:top w:val="none" w:sz="0" w:space="0" w:color="auto"/>
        <w:left w:val="none" w:sz="0" w:space="0" w:color="auto"/>
        <w:bottom w:val="none" w:sz="0" w:space="0" w:color="auto"/>
        <w:right w:val="none" w:sz="0" w:space="0" w:color="auto"/>
      </w:divBdr>
    </w:div>
    <w:div w:id="1299341940">
      <w:bodyDiv w:val="1"/>
      <w:marLeft w:val="0"/>
      <w:marRight w:val="0"/>
      <w:marTop w:val="0"/>
      <w:marBottom w:val="0"/>
      <w:divBdr>
        <w:top w:val="none" w:sz="0" w:space="0" w:color="auto"/>
        <w:left w:val="none" w:sz="0" w:space="0" w:color="auto"/>
        <w:bottom w:val="none" w:sz="0" w:space="0" w:color="auto"/>
        <w:right w:val="none" w:sz="0" w:space="0" w:color="auto"/>
      </w:divBdr>
    </w:div>
    <w:div w:id="1387608155">
      <w:bodyDiv w:val="1"/>
      <w:marLeft w:val="0"/>
      <w:marRight w:val="0"/>
      <w:marTop w:val="0"/>
      <w:marBottom w:val="0"/>
      <w:divBdr>
        <w:top w:val="none" w:sz="0" w:space="0" w:color="auto"/>
        <w:left w:val="none" w:sz="0" w:space="0" w:color="auto"/>
        <w:bottom w:val="none" w:sz="0" w:space="0" w:color="auto"/>
        <w:right w:val="none" w:sz="0" w:space="0" w:color="auto"/>
      </w:divBdr>
    </w:div>
    <w:div w:id="1394506996">
      <w:bodyDiv w:val="1"/>
      <w:marLeft w:val="0"/>
      <w:marRight w:val="0"/>
      <w:marTop w:val="0"/>
      <w:marBottom w:val="0"/>
      <w:divBdr>
        <w:top w:val="none" w:sz="0" w:space="0" w:color="auto"/>
        <w:left w:val="none" w:sz="0" w:space="0" w:color="auto"/>
        <w:bottom w:val="none" w:sz="0" w:space="0" w:color="auto"/>
        <w:right w:val="none" w:sz="0" w:space="0" w:color="auto"/>
      </w:divBdr>
    </w:div>
    <w:div w:id="1399552829">
      <w:bodyDiv w:val="1"/>
      <w:marLeft w:val="0"/>
      <w:marRight w:val="0"/>
      <w:marTop w:val="0"/>
      <w:marBottom w:val="0"/>
      <w:divBdr>
        <w:top w:val="none" w:sz="0" w:space="0" w:color="auto"/>
        <w:left w:val="none" w:sz="0" w:space="0" w:color="auto"/>
        <w:bottom w:val="none" w:sz="0" w:space="0" w:color="auto"/>
        <w:right w:val="none" w:sz="0" w:space="0" w:color="auto"/>
      </w:divBdr>
    </w:div>
    <w:div w:id="1454251698">
      <w:bodyDiv w:val="1"/>
      <w:marLeft w:val="0"/>
      <w:marRight w:val="0"/>
      <w:marTop w:val="0"/>
      <w:marBottom w:val="0"/>
      <w:divBdr>
        <w:top w:val="none" w:sz="0" w:space="0" w:color="auto"/>
        <w:left w:val="none" w:sz="0" w:space="0" w:color="auto"/>
        <w:bottom w:val="none" w:sz="0" w:space="0" w:color="auto"/>
        <w:right w:val="none" w:sz="0" w:space="0" w:color="auto"/>
      </w:divBdr>
    </w:div>
    <w:div w:id="1668437533">
      <w:bodyDiv w:val="1"/>
      <w:marLeft w:val="0"/>
      <w:marRight w:val="0"/>
      <w:marTop w:val="0"/>
      <w:marBottom w:val="0"/>
      <w:divBdr>
        <w:top w:val="none" w:sz="0" w:space="0" w:color="auto"/>
        <w:left w:val="none" w:sz="0" w:space="0" w:color="auto"/>
        <w:bottom w:val="none" w:sz="0" w:space="0" w:color="auto"/>
        <w:right w:val="none" w:sz="0" w:space="0" w:color="auto"/>
      </w:divBdr>
    </w:div>
    <w:div w:id="1701315473">
      <w:bodyDiv w:val="1"/>
      <w:marLeft w:val="0"/>
      <w:marRight w:val="0"/>
      <w:marTop w:val="0"/>
      <w:marBottom w:val="0"/>
      <w:divBdr>
        <w:top w:val="none" w:sz="0" w:space="0" w:color="auto"/>
        <w:left w:val="none" w:sz="0" w:space="0" w:color="auto"/>
        <w:bottom w:val="none" w:sz="0" w:space="0" w:color="auto"/>
        <w:right w:val="none" w:sz="0" w:space="0" w:color="auto"/>
      </w:divBdr>
    </w:div>
    <w:div w:id="1792937270">
      <w:bodyDiv w:val="1"/>
      <w:marLeft w:val="0"/>
      <w:marRight w:val="0"/>
      <w:marTop w:val="0"/>
      <w:marBottom w:val="0"/>
      <w:divBdr>
        <w:top w:val="none" w:sz="0" w:space="0" w:color="auto"/>
        <w:left w:val="none" w:sz="0" w:space="0" w:color="auto"/>
        <w:bottom w:val="none" w:sz="0" w:space="0" w:color="auto"/>
        <w:right w:val="none" w:sz="0" w:space="0" w:color="auto"/>
      </w:divBdr>
    </w:div>
    <w:div w:id="1860702544">
      <w:bodyDiv w:val="1"/>
      <w:marLeft w:val="0"/>
      <w:marRight w:val="0"/>
      <w:marTop w:val="0"/>
      <w:marBottom w:val="0"/>
      <w:divBdr>
        <w:top w:val="none" w:sz="0" w:space="0" w:color="auto"/>
        <w:left w:val="none" w:sz="0" w:space="0" w:color="auto"/>
        <w:bottom w:val="none" w:sz="0" w:space="0" w:color="auto"/>
        <w:right w:val="none" w:sz="0" w:space="0" w:color="auto"/>
      </w:divBdr>
    </w:div>
    <w:div w:id="1911621922">
      <w:bodyDiv w:val="1"/>
      <w:marLeft w:val="0"/>
      <w:marRight w:val="0"/>
      <w:marTop w:val="0"/>
      <w:marBottom w:val="0"/>
      <w:divBdr>
        <w:top w:val="none" w:sz="0" w:space="0" w:color="auto"/>
        <w:left w:val="none" w:sz="0" w:space="0" w:color="auto"/>
        <w:bottom w:val="none" w:sz="0" w:space="0" w:color="auto"/>
        <w:right w:val="none" w:sz="0" w:space="0" w:color="auto"/>
      </w:divBdr>
    </w:div>
    <w:div w:id="1950239322">
      <w:bodyDiv w:val="1"/>
      <w:marLeft w:val="0"/>
      <w:marRight w:val="0"/>
      <w:marTop w:val="0"/>
      <w:marBottom w:val="0"/>
      <w:divBdr>
        <w:top w:val="none" w:sz="0" w:space="0" w:color="auto"/>
        <w:left w:val="none" w:sz="0" w:space="0" w:color="auto"/>
        <w:bottom w:val="none" w:sz="0" w:space="0" w:color="auto"/>
        <w:right w:val="none" w:sz="0" w:space="0" w:color="auto"/>
      </w:divBdr>
    </w:div>
    <w:div w:id="2009941056">
      <w:bodyDiv w:val="1"/>
      <w:marLeft w:val="0"/>
      <w:marRight w:val="0"/>
      <w:marTop w:val="0"/>
      <w:marBottom w:val="0"/>
      <w:divBdr>
        <w:top w:val="none" w:sz="0" w:space="0" w:color="auto"/>
        <w:left w:val="none" w:sz="0" w:space="0" w:color="auto"/>
        <w:bottom w:val="none" w:sz="0" w:space="0" w:color="auto"/>
        <w:right w:val="none" w:sz="0" w:space="0" w:color="auto"/>
      </w:divBdr>
    </w:div>
    <w:div w:id="20872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85E4-59FA-4FA3-99D0-5BE257BE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2846</Words>
  <Characters>17936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2021101957_x000d_
SPC pkt. 4.4, 4.5, 4.6, 4.8, 4.9, 5.1, 5.2, 5.3, 6.6</dc:description>
  <cp:lastModifiedBy>Victoria Alexsandra Ringgaard</cp:lastModifiedBy>
  <cp:revision>3</cp:revision>
  <cp:lastPrinted>2020-03-09T10:03:00Z</cp:lastPrinted>
  <dcterms:created xsi:type="dcterms:W3CDTF">2025-02-27T10:17:00Z</dcterms:created>
  <dcterms:modified xsi:type="dcterms:W3CDTF">2025-02-27T10:26:00Z</dcterms:modified>
</cp:coreProperties>
</file>