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9F9" w:rsidRDefault="001F29F9" w:rsidP="001F29F9">
      <w:pPr>
        <w:rPr>
          <w:sz w:val="24"/>
          <w:szCs w:val="24"/>
        </w:rPr>
      </w:pPr>
      <w:r>
        <w:rPr>
          <w:noProof/>
          <w:sz w:val="24"/>
          <w:szCs w:val="24"/>
          <w:lang w:eastAsia="da-DK"/>
        </w:rPr>
        <w:drawing>
          <wp:inline distT="0" distB="0" distL="0" distR="0" wp14:anchorId="07D87F81" wp14:editId="17A019E2">
            <wp:extent cx="2428875" cy="685800"/>
            <wp:effectExtent l="0" t="0" r="9525" b="0"/>
            <wp:docPr id="2" name="Billede 2" descr="cid:image001.jpg@01D1601C.B3FB0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id:image001.jpg@01D1601C.B3FB0B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1F29F9" w:rsidRDefault="001F29F9" w:rsidP="001F29F9">
      <w:pPr>
        <w:rPr>
          <w:sz w:val="24"/>
          <w:szCs w:val="24"/>
        </w:rPr>
      </w:pPr>
    </w:p>
    <w:p w:rsidR="001F29F9" w:rsidRPr="00970188" w:rsidRDefault="001F29F9" w:rsidP="001F29F9">
      <w:pPr>
        <w:pStyle w:val="Titel"/>
        <w:tabs>
          <w:tab w:val="right" w:pos="9356"/>
        </w:tabs>
        <w:jc w:val="left"/>
        <w:rPr>
          <w:szCs w:val="24"/>
        </w:rPr>
      </w:pPr>
      <w:r w:rsidRPr="006658C3">
        <w:rPr>
          <w:b w:val="0"/>
          <w:szCs w:val="24"/>
          <w:lang w:eastAsia="en-US"/>
        </w:rPr>
        <w:tab/>
      </w:r>
      <w:r w:rsidR="00970188" w:rsidRPr="00970188">
        <w:rPr>
          <w:szCs w:val="24"/>
          <w:lang w:eastAsia="en-US"/>
        </w:rPr>
        <w:t>1</w:t>
      </w:r>
      <w:r w:rsidR="00970188">
        <w:rPr>
          <w:szCs w:val="24"/>
          <w:lang w:eastAsia="en-US"/>
        </w:rPr>
        <w:t>8</w:t>
      </w:r>
      <w:r w:rsidR="00970188" w:rsidRPr="00970188">
        <w:rPr>
          <w:szCs w:val="24"/>
          <w:lang w:eastAsia="en-US"/>
        </w:rPr>
        <w:t xml:space="preserve">. marts </w:t>
      </w:r>
      <w:r w:rsidR="00970188" w:rsidRPr="00970188">
        <w:rPr>
          <w:szCs w:val="24"/>
        </w:rPr>
        <w:t>2025</w:t>
      </w:r>
    </w:p>
    <w:p w:rsidR="001F29F9" w:rsidRPr="006658C3" w:rsidRDefault="001F29F9" w:rsidP="001F29F9">
      <w:pPr>
        <w:pStyle w:val="Titel"/>
        <w:jc w:val="left"/>
        <w:rPr>
          <w:b w:val="0"/>
          <w:szCs w:val="24"/>
        </w:rPr>
      </w:pPr>
    </w:p>
    <w:p w:rsidR="001F29F9" w:rsidRPr="006658C3" w:rsidRDefault="001F29F9" w:rsidP="001F29F9">
      <w:pPr>
        <w:tabs>
          <w:tab w:val="center" w:pos="4819"/>
        </w:tabs>
        <w:rPr>
          <w:b/>
          <w:sz w:val="24"/>
          <w:szCs w:val="24"/>
        </w:rPr>
      </w:pPr>
      <w:r>
        <w:rPr>
          <w:b/>
          <w:sz w:val="24"/>
          <w:szCs w:val="24"/>
        </w:rPr>
        <w:tab/>
      </w:r>
      <w:r w:rsidRPr="006658C3">
        <w:rPr>
          <w:b/>
          <w:sz w:val="24"/>
          <w:szCs w:val="24"/>
        </w:rPr>
        <w:t>PRODUKTRESUMÉ</w:t>
      </w:r>
    </w:p>
    <w:p w:rsidR="001F29F9" w:rsidRPr="006658C3" w:rsidRDefault="001F29F9" w:rsidP="001F29F9">
      <w:pPr>
        <w:jc w:val="center"/>
        <w:rPr>
          <w:b/>
          <w:sz w:val="24"/>
          <w:szCs w:val="24"/>
        </w:rPr>
      </w:pPr>
    </w:p>
    <w:p w:rsidR="001F29F9" w:rsidRPr="006658C3" w:rsidRDefault="001F29F9" w:rsidP="001F29F9">
      <w:pPr>
        <w:tabs>
          <w:tab w:val="left" w:pos="570"/>
          <w:tab w:val="center" w:pos="4819"/>
        </w:tabs>
        <w:rPr>
          <w:b/>
          <w:sz w:val="24"/>
          <w:szCs w:val="24"/>
        </w:rPr>
      </w:pPr>
      <w:r>
        <w:rPr>
          <w:b/>
          <w:sz w:val="24"/>
          <w:szCs w:val="24"/>
        </w:rPr>
        <w:tab/>
      </w:r>
      <w:r>
        <w:rPr>
          <w:b/>
          <w:sz w:val="24"/>
          <w:szCs w:val="24"/>
        </w:rPr>
        <w:tab/>
      </w:r>
      <w:r w:rsidRPr="006658C3">
        <w:rPr>
          <w:b/>
          <w:sz w:val="24"/>
          <w:szCs w:val="24"/>
        </w:rPr>
        <w:t>for</w:t>
      </w:r>
    </w:p>
    <w:p w:rsidR="001F29F9" w:rsidRPr="006658C3" w:rsidRDefault="001F29F9" w:rsidP="001F29F9">
      <w:pPr>
        <w:jc w:val="center"/>
        <w:rPr>
          <w:b/>
          <w:sz w:val="24"/>
          <w:szCs w:val="24"/>
        </w:rPr>
      </w:pPr>
    </w:p>
    <w:p w:rsidR="001F29F9" w:rsidRPr="006658C3" w:rsidRDefault="001F29F9" w:rsidP="001F29F9">
      <w:pPr>
        <w:jc w:val="center"/>
        <w:rPr>
          <w:b/>
          <w:sz w:val="24"/>
          <w:szCs w:val="24"/>
        </w:rPr>
      </w:pPr>
      <w:proofErr w:type="spellStart"/>
      <w:r w:rsidRPr="006658C3">
        <w:rPr>
          <w:b/>
          <w:sz w:val="24"/>
          <w:szCs w:val="24"/>
        </w:rPr>
        <w:t>Ulcerex</w:t>
      </w:r>
      <w:proofErr w:type="spellEnd"/>
      <w:r w:rsidRPr="006658C3">
        <w:rPr>
          <w:b/>
          <w:sz w:val="24"/>
          <w:szCs w:val="24"/>
        </w:rPr>
        <w:t xml:space="preserve">, hårde </w:t>
      </w:r>
      <w:proofErr w:type="spellStart"/>
      <w:r w:rsidRPr="006658C3">
        <w:rPr>
          <w:b/>
          <w:sz w:val="24"/>
          <w:szCs w:val="24"/>
        </w:rPr>
        <w:t>enterokapsler</w:t>
      </w:r>
      <w:proofErr w:type="spellEnd"/>
    </w:p>
    <w:p w:rsidR="001F29F9" w:rsidRPr="006658C3" w:rsidRDefault="001F29F9" w:rsidP="001F29F9">
      <w:pPr>
        <w:rPr>
          <w:sz w:val="24"/>
          <w:szCs w:val="24"/>
        </w:rPr>
      </w:pPr>
    </w:p>
    <w:p w:rsidR="001F29F9" w:rsidRPr="006658C3" w:rsidRDefault="001F29F9" w:rsidP="001F29F9">
      <w:pPr>
        <w:rPr>
          <w:sz w:val="24"/>
          <w:szCs w:val="24"/>
        </w:rPr>
      </w:pPr>
    </w:p>
    <w:p w:rsidR="001F29F9" w:rsidRPr="006658C3" w:rsidRDefault="001F29F9" w:rsidP="001F29F9">
      <w:pPr>
        <w:numPr>
          <w:ilvl w:val="0"/>
          <w:numId w:val="1"/>
        </w:numPr>
        <w:tabs>
          <w:tab w:val="clear" w:pos="855"/>
          <w:tab w:val="left" w:pos="851"/>
        </w:tabs>
        <w:rPr>
          <w:b/>
          <w:sz w:val="24"/>
          <w:szCs w:val="24"/>
        </w:rPr>
      </w:pPr>
      <w:r w:rsidRPr="006658C3">
        <w:rPr>
          <w:b/>
          <w:sz w:val="24"/>
          <w:szCs w:val="24"/>
        </w:rPr>
        <w:t>D.SP.NR.</w:t>
      </w:r>
    </w:p>
    <w:p w:rsidR="001F29F9" w:rsidRPr="006658C3" w:rsidRDefault="001F29F9" w:rsidP="001F29F9">
      <w:pPr>
        <w:tabs>
          <w:tab w:val="left" w:pos="851"/>
        </w:tabs>
        <w:rPr>
          <w:sz w:val="24"/>
          <w:szCs w:val="24"/>
        </w:rPr>
      </w:pPr>
      <w:r w:rsidRPr="006658C3">
        <w:rPr>
          <w:sz w:val="24"/>
          <w:szCs w:val="24"/>
        </w:rPr>
        <w:tab/>
        <w:t>27281</w:t>
      </w:r>
    </w:p>
    <w:p w:rsidR="001F29F9" w:rsidRPr="006658C3" w:rsidRDefault="001F29F9" w:rsidP="001F29F9">
      <w:pPr>
        <w:tabs>
          <w:tab w:val="left" w:pos="851"/>
        </w:tabs>
        <w:rPr>
          <w:sz w:val="24"/>
          <w:szCs w:val="24"/>
        </w:rPr>
      </w:pPr>
    </w:p>
    <w:p w:rsidR="001F29F9" w:rsidRPr="006658C3" w:rsidRDefault="001F29F9" w:rsidP="001F29F9">
      <w:pPr>
        <w:numPr>
          <w:ilvl w:val="0"/>
          <w:numId w:val="1"/>
        </w:numPr>
        <w:rPr>
          <w:b/>
          <w:sz w:val="24"/>
          <w:szCs w:val="24"/>
        </w:rPr>
      </w:pPr>
      <w:r w:rsidRPr="006658C3">
        <w:rPr>
          <w:b/>
          <w:sz w:val="24"/>
          <w:szCs w:val="24"/>
        </w:rPr>
        <w:t>LÆGEMIDLETS NAVN</w:t>
      </w:r>
    </w:p>
    <w:p w:rsidR="00E52120" w:rsidRPr="00E52120" w:rsidRDefault="00E52120" w:rsidP="00E52120">
      <w:pPr>
        <w:tabs>
          <w:tab w:val="left" w:pos="851"/>
        </w:tabs>
        <w:ind w:left="851"/>
        <w:rPr>
          <w:sz w:val="24"/>
          <w:szCs w:val="24"/>
        </w:rPr>
      </w:pPr>
      <w:proofErr w:type="spellStart"/>
      <w:r w:rsidRPr="00E52120">
        <w:rPr>
          <w:sz w:val="24"/>
          <w:szCs w:val="24"/>
        </w:rPr>
        <w:t>Ulcerex</w:t>
      </w:r>
      <w:proofErr w:type="spellEnd"/>
      <w:r w:rsidRPr="00E52120">
        <w:rPr>
          <w:sz w:val="24"/>
          <w:szCs w:val="24"/>
        </w:rPr>
        <w:t xml:space="preserve"> 20 mg </w:t>
      </w:r>
      <w:proofErr w:type="spellStart"/>
      <w:r w:rsidRPr="00E52120">
        <w:rPr>
          <w:sz w:val="24"/>
          <w:szCs w:val="24"/>
        </w:rPr>
        <w:t>enterokapsler</w:t>
      </w:r>
      <w:proofErr w:type="spellEnd"/>
      <w:r w:rsidRPr="00E52120">
        <w:rPr>
          <w:sz w:val="24"/>
          <w:szCs w:val="24"/>
        </w:rPr>
        <w:t>, hårde</w:t>
      </w:r>
    </w:p>
    <w:p w:rsidR="00E52120" w:rsidRPr="00E52120" w:rsidRDefault="00E52120" w:rsidP="00E52120">
      <w:pPr>
        <w:tabs>
          <w:tab w:val="left" w:pos="851"/>
        </w:tabs>
        <w:ind w:left="851"/>
        <w:rPr>
          <w:sz w:val="24"/>
          <w:szCs w:val="24"/>
        </w:rPr>
      </w:pPr>
      <w:proofErr w:type="spellStart"/>
      <w:r w:rsidRPr="00E52120">
        <w:rPr>
          <w:sz w:val="24"/>
          <w:szCs w:val="24"/>
        </w:rPr>
        <w:t>Ulcerex</w:t>
      </w:r>
      <w:proofErr w:type="spellEnd"/>
      <w:r w:rsidRPr="00E52120">
        <w:rPr>
          <w:sz w:val="24"/>
          <w:szCs w:val="24"/>
        </w:rPr>
        <w:t xml:space="preserve"> 40 mg </w:t>
      </w:r>
      <w:proofErr w:type="spellStart"/>
      <w:r w:rsidRPr="00E52120">
        <w:rPr>
          <w:sz w:val="24"/>
          <w:szCs w:val="24"/>
        </w:rPr>
        <w:t>enterokapsler</w:t>
      </w:r>
      <w:proofErr w:type="spellEnd"/>
      <w:r w:rsidRPr="00E52120">
        <w:rPr>
          <w:sz w:val="24"/>
          <w:szCs w:val="24"/>
        </w:rPr>
        <w:t>, hårde</w:t>
      </w:r>
    </w:p>
    <w:p w:rsidR="001F29F9" w:rsidRPr="006658C3" w:rsidRDefault="001F29F9" w:rsidP="001F29F9">
      <w:pPr>
        <w:tabs>
          <w:tab w:val="left" w:pos="851"/>
        </w:tabs>
        <w:rPr>
          <w:sz w:val="24"/>
          <w:szCs w:val="24"/>
        </w:rPr>
      </w:pPr>
      <w:r w:rsidRPr="006658C3">
        <w:rPr>
          <w:sz w:val="24"/>
          <w:szCs w:val="24"/>
        </w:rPr>
        <w:tab/>
      </w:r>
    </w:p>
    <w:p w:rsidR="001F29F9" w:rsidRPr="006658C3" w:rsidRDefault="001F29F9" w:rsidP="001F29F9">
      <w:pPr>
        <w:numPr>
          <w:ilvl w:val="0"/>
          <w:numId w:val="1"/>
        </w:numPr>
        <w:rPr>
          <w:b/>
          <w:sz w:val="24"/>
          <w:szCs w:val="24"/>
        </w:rPr>
      </w:pPr>
      <w:r w:rsidRPr="006658C3">
        <w:rPr>
          <w:b/>
          <w:sz w:val="24"/>
          <w:szCs w:val="24"/>
        </w:rPr>
        <w:t>KVALITATIV OG KVANTITATIV SAMMENSÆTNING</w:t>
      </w:r>
    </w:p>
    <w:p w:rsidR="00E52120" w:rsidRPr="00E52120" w:rsidRDefault="00E52120" w:rsidP="00E52120">
      <w:pPr>
        <w:ind w:left="851"/>
        <w:rPr>
          <w:sz w:val="24"/>
          <w:szCs w:val="24"/>
          <w:u w:val="single"/>
        </w:rPr>
      </w:pPr>
      <w:proofErr w:type="spellStart"/>
      <w:r w:rsidRPr="00E52120">
        <w:rPr>
          <w:sz w:val="24"/>
          <w:szCs w:val="24"/>
          <w:u w:val="single"/>
        </w:rPr>
        <w:t>Ulcerex</w:t>
      </w:r>
      <w:proofErr w:type="spellEnd"/>
      <w:r w:rsidRPr="00E52120">
        <w:rPr>
          <w:sz w:val="24"/>
          <w:szCs w:val="24"/>
          <w:u w:val="single"/>
        </w:rPr>
        <w:t xml:space="preserve"> 20 mg </w:t>
      </w:r>
      <w:proofErr w:type="spellStart"/>
      <w:r w:rsidRPr="00E52120">
        <w:rPr>
          <w:sz w:val="24"/>
          <w:szCs w:val="24"/>
          <w:u w:val="single"/>
        </w:rPr>
        <w:t>enterokapsler</w:t>
      </w:r>
      <w:proofErr w:type="spellEnd"/>
      <w:r w:rsidRPr="00E52120">
        <w:rPr>
          <w:sz w:val="24"/>
          <w:szCs w:val="24"/>
          <w:u w:val="single"/>
        </w:rPr>
        <w:t>, hårde</w:t>
      </w:r>
    </w:p>
    <w:p w:rsidR="00E52120" w:rsidRPr="00E52120" w:rsidRDefault="00E52120" w:rsidP="00E52120">
      <w:pPr>
        <w:ind w:left="851"/>
        <w:rPr>
          <w:sz w:val="24"/>
          <w:szCs w:val="24"/>
        </w:rPr>
      </w:pPr>
      <w:r w:rsidRPr="00E52120">
        <w:rPr>
          <w:sz w:val="24"/>
          <w:szCs w:val="24"/>
        </w:rPr>
        <w:t xml:space="preserve">Hver hård </w:t>
      </w:r>
      <w:proofErr w:type="spellStart"/>
      <w:r w:rsidRPr="00E52120">
        <w:rPr>
          <w:sz w:val="24"/>
          <w:szCs w:val="24"/>
        </w:rPr>
        <w:t>enterokapsel</w:t>
      </w:r>
      <w:proofErr w:type="spellEnd"/>
      <w:r w:rsidRPr="00E52120">
        <w:rPr>
          <w:sz w:val="24"/>
          <w:szCs w:val="24"/>
        </w:rPr>
        <w:t xml:space="preserve"> indeholder: 20 mg </w:t>
      </w:r>
      <w:proofErr w:type="spellStart"/>
      <w:r w:rsidRPr="00E52120">
        <w:rPr>
          <w:sz w:val="24"/>
          <w:szCs w:val="24"/>
        </w:rPr>
        <w:t>esomeprazol</w:t>
      </w:r>
      <w:proofErr w:type="spellEnd"/>
      <w:r w:rsidRPr="00E52120">
        <w:rPr>
          <w:sz w:val="24"/>
          <w:szCs w:val="24"/>
        </w:rPr>
        <w:t xml:space="preserve"> (som </w:t>
      </w:r>
      <w:proofErr w:type="spellStart"/>
      <w:r w:rsidRPr="00E52120">
        <w:rPr>
          <w:sz w:val="24"/>
          <w:szCs w:val="24"/>
        </w:rPr>
        <w:t>esomeprazol-magnesiumdihydrat</w:t>
      </w:r>
      <w:proofErr w:type="spellEnd"/>
      <w:r w:rsidRPr="00E52120">
        <w:rPr>
          <w:sz w:val="24"/>
          <w:szCs w:val="24"/>
        </w:rPr>
        <w:t>).</w:t>
      </w:r>
    </w:p>
    <w:p w:rsidR="00E52120" w:rsidRPr="00E52120" w:rsidRDefault="00E52120" w:rsidP="00E52120">
      <w:pPr>
        <w:ind w:firstLine="851"/>
        <w:rPr>
          <w:sz w:val="24"/>
          <w:szCs w:val="24"/>
        </w:rPr>
      </w:pPr>
    </w:p>
    <w:p w:rsidR="00E52120" w:rsidRPr="00E52120" w:rsidRDefault="00E52120" w:rsidP="00E52120">
      <w:pPr>
        <w:ind w:firstLine="851"/>
        <w:rPr>
          <w:sz w:val="24"/>
          <w:szCs w:val="24"/>
          <w:u w:val="single"/>
        </w:rPr>
      </w:pPr>
      <w:proofErr w:type="spellStart"/>
      <w:r w:rsidRPr="00E52120">
        <w:rPr>
          <w:sz w:val="24"/>
          <w:szCs w:val="24"/>
          <w:u w:val="single"/>
        </w:rPr>
        <w:t>Ulcerex</w:t>
      </w:r>
      <w:proofErr w:type="spellEnd"/>
      <w:r w:rsidRPr="00E52120">
        <w:rPr>
          <w:sz w:val="24"/>
          <w:szCs w:val="24"/>
          <w:u w:val="single"/>
        </w:rPr>
        <w:t xml:space="preserve"> 40 mg </w:t>
      </w:r>
      <w:proofErr w:type="spellStart"/>
      <w:r w:rsidRPr="00E52120">
        <w:rPr>
          <w:sz w:val="24"/>
          <w:szCs w:val="24"/>
          <w:u w:val="single"/>
        </w:rPr>
        <w:t>enterokapsler</w:t>
      </w:r>
      <w:proofErr w:type="spellEnd"/>
      <w:r w:rsidRPr="00E52120">
        <w:rPr>
          <w:sz w:val="24"/>
          <w:szCs w:val="24"/>
          <w:u w:val="single"/>
        </w:rPr>
        <w:t xml:space="preserve">, hårde </w:t>
      </w:r>
    </w:p>
    <w:p w:rsidR="00E52120" w:rsidRPr="00E52120" w:rsidRDefault="00E52120" w:rsidP="00E52120">
      <w:pPr>
        <w:ind w:left="851"/>
        <w:rPr>
          <w:sz w:val="24"/>
          <w:szCs w:val="24"/>
        </w:rPr>
      </w:pPr>
      <w:r w:rsidRPr="00E52120">
        <w:rPr>
          <w:sz w:val="24"/>
          <w:szCs w:val="24"/>
        </w:rPr>
        <w:t xml:space="preserve">Hver hård </w:t>
      </w:r>
      <w:proofErr w:type="spellStart"/>
      <w:r w:rsidRPr="00E52120">
        <w:rPr>
          <w:sz w:val="24"/>
          <w:szCs w:val="24"/>
        </w:rPr>
        <w:t>enterokapsel</w:t>
      </w:r>
      <w:proofErr w:type="spellEnd"/>
      <w:r w:rsidRPr="00E52120">
        <w:rPr>
          <w:sz w:val="24"/>
          <w:szCs w:val="24"/>
        </w:rPr>
        <w:t xml:space="preserve"> indeholder 40 mg </w:t>
      </w:r>
      <w:proofErr w:type="spellStart"/>
      <w:r w:rsidRPr="00E52120">
        <w:rPr>
          <w:sz w:val="24"/>
          <w:szCs w:val="24"/>
        </w:rPr>
        <w:t>esomeprazol</w:t>
      </w:r>
      <w:proofErr w:type="spellEnd"/>
      <w:r w:rsidRPr="00E52120">
        <w:rPr>
          <w:sz w:val="24"/>
          <w:szCs w:val="24"/>
        </w:rPr>
        <w:t xml:space="preserve"> (som </w:t>
      </w:r>
      <w:proofErr w:type="spellStart"/>
      <w:r w:rsidRPr="00E52120">
        <w:rPr>
          <w:sz w:val="24"/>
          <w:szCs w:val="24"/>
        </w:rPr>
        <w:t>esomeprazol-magnesiumdihydrat</w:t>
      </w:r>
      <w:proofErr w:type="spellEnd"/>
      <w:r w:rsidRPr="00E52120">
        <w:rPr>
          <w:sz w:val="24"/>
          <w:szCs w:val="24"/>
        </w:rPr>
        <w:t>).</w:t>
      </w:r>
    </w:p>
    <w:p w:rsidR="00E52120" w:rsidRPr="00E52120" w:rsidRDefault="00E52120" w:rsidP="00E52120">
      <w:pPr>
        <w:ind w:firstLine="851"/>
        <w:rPr>
          <w:sz w:val="24"/>
          <w:szCs w:val="24"/>
        </w:rPr>
      </w:pPr>
    </w:p>
    <w:p w:rsidR="00E52120" w:rsidRDefault="00E52120" w:rsidP="00E52120">
      <w:pPr>
        <w:autoSpaceDE w:val="0"/>
        <w:autoSpaceDN w:val="0"/>
        <w:adjustRightInd w:val="0"/>
        <w:ind w:left="851"/>
        <w:rPr>
          <w:sz w:val="24"/>
          <w:szCs w:val="24"/>
        </w:rPr>
      </w:pPr>
      <w:r w:rsidRPr="00E52120">
        <w:rPr>
          <w:sz w:val="24"/>
          <w:szCs w:val="24"/>
        </w:rPr>
        <w:t>Alle hjælpestoffer er anført under pkt. 6.1.</w:t>
      </w:r>
    </w:p>
    <w:p w:rsidR="00E52120" w:rsidRPr="00A619D7" w:rsidRDefault="00E52120" w:rsidP="00E52120">
      <w:pPr>
        <w:autoSpaceDE w:val="0"/>
        <w:autoSpaceDN w:val="0"/>
        <w:adjustRightInd w:val="0"/>
        <w:ind w:left="851"/>
        <w:rPr>
          <w:sz w:val="24"/>
          <w:szCs w:val="24"/>
        </w:rPr>
      </w:pPr>
    </w:p>
    <w:p w:rsidR="001F29F9" w:rsidRPr="006658C3" w:rsidRDefault="001F29F9" w:rsidP="001F29F9">
      <w:pPr>
        <w:numPr>
          <w:ilvl w:val="0"/>
          <w:numId w:val="1"/>
        </w:numPr>
        <w:rPr>
          <w:b/>
          <w:sz w:val="24"/>
          <w:szCs w:val="24"/>
        </w:rPr>
      </w:pPr>
      <w:r w:rsidRPr="006658C3">
        <w:rPr>
          <w:b/>
          <w:sz w:val="24"/>
          <w:szCs w:val="24"/>
        </w:rPr>
        <w:t>LÆGEMIDDELFORM</w:t>
      </w:r>
    </w:p>
    <w:p w:rsidR="00E52120" w:rsidRPr="00E52120" w:rsidRDefault="00E52120" w:rsidP="00E52120">
      <w:pPr>
        <w:autoSpaceDE w:val="0"/>
        <w:autoSpaceDN w:val="0"/>
        <w:adjustRightInd w:val="0"/>
        <w:ind w:left="855"/>
        <w:rPr>
          <w:iCs/>
          <w:sz w:val="24"/>
          <w:szCs w:val="24"/>
        </w:rPr>
      </w:pPr>
      <w:r w:rsidRPr="00E52120">
        <w:rPr>
          <w:iCs/>
          <w:sz w:val="24"/>
          <w:szCs w:val="24"/>
        </w:rPr>
        <w:t xml:space="preserve">Hård </w:t>
      </w:r>
      <w:proofErr w:type="spellStart"/>
      <w:r w:rsidRPr="00E52120">
        <w:rPr>
          <w:iCs/>
          <w:sz w:val="24"/>
          <w:szCs w:val="24"/>
        </w:rPr>
        <w:t>enterokapsel</w:t>
      </w:r>
      <w:proofErr w:type="spellEnd"/>
      <w:r w:rsidRPr="00E52120">
        <w:rPr>
          <w:iCs/>
          <w:sz w:val="24"/>
          <w:szCs w:val="24"/>
        </w:rPr>
        <w:t>.</w:t>
      </w:r>
    </w:p>
    <w:p w:rsidR="00E52120" w:rsidRPr="00E52120" w:rsidRDefault="00E52120" w:rsidP="00E52120">
      <w:pPr>
        <w:autoSpaceDE w:val="0"/>
        <w:autoSpaceDN w:val="0"/>
        <w:adjustRightInd w:val="0"/>
        <w:ind w:left="855"/>
        <w:rPr>
          <w:iCs/>
          <w:sz w:val="24"/>
          <w:szCs w:val="24"/>
        </w:rPr>
      </w:pPr>
    </w:p>
    <w:p w:rsidR="00E52120" w:rsidRPr="00E52120" w:rsidRDefault="00E52120" w:rsidP="00E52120">
      <w:pPr>
        <w:autoSpaceDE w:val="0"/>
        <w:autoSpaceDN w:val="0"/>
        <w:adjustRightInd w:val="0"/>
        <w:ind w:left="855"/>
        <w:rPr>
          <w:iCs/>
          <w:sz w:val="24"/>
          <w:szCs w:val="24"/>
          <w:u w:val="single"/>
        </w:rPr>
      </w:pPr>
      <w:proofErr w:type="spellStart"/>
      <w:r w:rsidRPr="00E52120">
        <w:rPr>
          <w:iCs/>
          <w:sz w:val="24"/>
          <w:szCs w:val="24"/>
          <w:u w:val="single"/>
        </w:rPr>
        <w:t>Ulcerex</w:t>
      </w:r>
      <w:proofErr w:type="spellEnd"/>
      <w:r w:rsidRPr="00E52120">
        <w:rPr>
          <w:iCs/>
          <w:sz w:val="24"/>
          <w:szCs w:val="24"/>
          <w:u w:val="single"/>
        </w:rPr>
        <w:t xml:space="preserve"> 20 mg </w:t>
      </w:r>
      <w:proofErr w:type="spellStart"/>
      <w:r w:rsidRPr="00E52120">
        <w:rPr>
          <w:iCs/>
          <w:sz w:val="24"/>
          <w:szCs w:val="24"/>
          <w:u w:val="single"/>
        </w:rPr>
        <w:t>enterokapsler</w:t>
      </w:r>
      <w:proofErr w:type="spellEnd"/>
      <w:r w:rsidRPr="00E52120">
        <w:rPr>
          <w:iCs/>
          <w:sz w:val="24"/>
          <w:szCs w:val="24"/>
          <w:u w:val="single"/>
        </w:rPr>
        <w:t>, hårde</w:t>
      </w:r>
    </w:p>
    <w:p w:rsidR="00E52120" w:rsidRPr="00E52120" w:rsidRDefault="00E52120" w:rsidP="00E52120">
      <w:pPr>
        <w:autoSpaceDE w:val="0"/>
        <w:autoSpaceDN w:val="0"/>
        <w:adjustRightInd w:val="0"/>
        <w:ind w:left="855"/>
        <w:rPr>
          <w:iCs/>
          <w:sz w:val="24"/>
          <w:szCs w:val="24"/>
        </w:rPr>
      </w:pPr>
      <w:r w:rsidRPr="00E52120">
        <w:rPr>
          <w:sz w:val="24"/>
          <w:szCs w:val="24"/>
        </w:rPr>
        <w:t xml:space="preserve">Hvid, uigennemsigtig krop og en lys gul, uigennemsigtig hætte, som indeholder hvide til råhvide, </w:t>
      </w:r>
      <w:proofErr w:type="spellStart"/>
      <w:r w:rsidRPr="00E52120">
        <w:rPr>
          <w:sz w:val="24"/>
          <w:szCs w:val="24"/>
        </w:rPr>
        <w:t>gastroresistente</w:t>
      </w:r>
      <w:proofErr w:type="spellEnd"/>
      <w:r w:rsidRPr="00E52120">
        <w:rPr>
          <w:sz w:val="24"/>
          <w:szCs w:val="24"/>
        </w:rPr>
        <w:t xml:space="preserve"> pellets</w:t>
      </w:r>
      <w:bookmarkStart w:id="0" w:name="_Hlk67301929"/>
      <w:r w:rsidRPr="00E52120">
        <w:rPr>
          <w:sz w:val="24"/>
          <w:szCs w:val="24"/>
        </w:rPr>
        <w:t xml:space="preserve"> og kan have en karakteristisk lugt. </w:t>
      </w:r>
      <w:bookmarkEnd w:id="0"/>
      <w:r w:rsidRPr="00E52120">
        <w:rPr>
          <w:sz w:val="24"/>
          <w:szCs w:val="24"/>
        </w:rPr>
        <w:t>Kapselstørrelse 3.</w:t>
      </w:r>
    </w:p>
    <w:p w:rsidR="00E52120" w:rsidRPr="00E52120" w:rsidRDefault="00E52120" w:rsidP="00E52120">
      <w:pPr>
        <w:autoSpaceDE w:val="0"/>
        <w:autoSpaceDN w:val="0"/>
        <w:adjustRightInd w:val="0"/>
        <w:ind w:left="855"/>
        <w:rPr>
          <w:iCs/>
          <w:sz w:val="24"/>
          <w:szCs w:val="24"/>
        </w:rPr>
      </w:pPr>
    </w:p>
    <w:p w:rsidR="00E52120" w:rsidRPr="00E52120" w:rsidRDefault="00E52120" w:rsidP="00E52120">
      <w:pPr>
        <w:autoSpaceDE w:val="0"/>
        <w:autoSpaceDN w:val="0"/>
        <w:adjustRightInd w:val="0"/>
        <w:ind w:left="855"/>
        <w:rPr>
          <w:iCs/>
          <w:sz w:val="24"/>
          <w:szCs w:val="24"/>
          <w:u w:val="single"/>
        </w:rPr>
      </w:pPr>
      <w:proofErr w:type="spellStart"/>
      <w:r w:rsidRPr="00E52120">
        <w:rPr>
          <w:iCs/>
          <w:sz w:val="24"/>
          <w:szCs w:val="24"/>
          <w:u w:val="single"/>
        </w:rPr>
        <w:t>Ulcerex</w:t>
      </w:r>
      <w:proofErr w:type="spellEnd"/>
      <w:r w:rsidRPr="00E52120">
        <w:rPr>
          <w:iCs/>
          <w:sz w:val="24"/>
          <w:szCs w:val="24"/>
          <w:u w:val="single"/>
        </w:rPr>
        <w:t xml:space="preserve"> 40 mg </w:t>
      </w:r>
      <w:proofErr w:type="spellStart"/>
      <w:r w:rsidRPr="00E52120">
        <w:rPr>
          <w:iCs/>
          <w:sz w:val="24"/>
          <w:szCs w:val="24"/>
          <w:u w:val="single"/>
        </w:rPr>
        <w:t>enterokapsler</w:t>
      </w:r>
      <w:proofErr w:type="spellEnd"/>
      <w:r w:rsidRPr="00E52120">
        <w:rPr>
          <w:iCs/>
          <w:sz w:val="24"/>
          <w:szCs w:val="24"/>
          <w:u w:val="single"/>
        </w:rPr>
        <w:t>, hårde</w:t>
      </w:r>
    </w:p>
    <w:p w:rsidR="001F29F9" w:rsidRPr="00EC0B9B" w:rsidRDefault="00E52120" w:rsidP="00E52120">
      <w:pPr>
        <w:ind w:left="855"/>
        <w:rPr>
          <w:sz w:val="24"/>
          <w:szCs w:val="24"/>
        </w:rPr>
      </w:pPr>
      <w:r w:rsidRPr="00E52120">
        <w:rPr>
          <w:sz w:val="24"/>
          <w:szCs w:val="24"/>
        </w:rPr>
        <w:t xml:space="preserve">Hvid, uigennemsigtig krop og en lys orange, uigennemsigtig hætte, som indeholder hvide til råhvide, </w:t>
      </w:r>
      <w:proofErr w:type="spellStart"/>
      <w:r w:rsidRPr="00E52120">
        <w:rPr>
          <w:sz w:val="24"/>
          <w:szCs w:val="24"/>
        </w:rPr>
        <w:t>gastroresistente</w:t>
      </w:r>
      <w:proofErr w:type="spellEnd"/>
      <w:r w:rsidRPr="00E52120">
        <w:rPr>
          <w:sz w:val="24"/>
          <w:szCs w:val="24"/>
        </w:rPr>
        <w:t xml:space="preserve"> pellets og kan have en karakteristisk lugt. Kapselstørrelse 1.</w:t>
      </w:r>
    </w:p>
    <w:p w:rsidR="001F29F9" w:rsidRDefault="001F29F9" w:rsidP="001F29F9">
      <w:pPr>
        <w:tabs>
          <w:tab w:val="left" w:pos="851"/>
        </w:tabs>
        <w:rPr>
          <w:sz w:val="24"/>
          <w:szCs w:val="24"/>
        </w:rPr>
      </w:pPr>
    </w:p>
    <w:p w:rsidR="001F29F9" w:rsidRPr="00EC0B9B" w:rsidRDefault="001F29F9" w:rsidP="001F29F9">
      <w:pPr>
        <w:tabs>
          <w:tab w:val="left" w:pos="851"/>
        </w:tabs>
        <w:rPr>
          <w:sz w:val="24"/>
          <w:szCs w:val="24"/>
        </w:rPr>
      </w:pPr>
    </w:p>
    <w:p w:rsidR="001F29F9" w:rsidRPr="00EC0B9B" w:rsidRDefault="001F29F9" w:rsidP="001F29F9">
      <w:pPr>
        <w:numPr>
          <w:ilvl w:val="0"/>
          <w:numId w:val="1"/>
        </w:numPr>
        <w:rPr>
          <w:b/>
          <w:sz w:val="24"/>
          <w:szCs w:val="24"/>
        </w:rPr>
      </w:pPr>
      <w:r w:rsidRPr="00EC0B9B">
        <w:rPr>
          <w:b/>
          <w:sz w:val="24"/>
          <w:szCs w:val="24"/>
        </w:rPr>
        <w:t>KLINISKE OPLYSNINGER</w:t>
      </w:r>
    </w:p>
    <w:p w:rsidR="001F29F9" w:rsidRPr="00EC0B9B" w:rsidRDefault="001F29F9" w:rsidP="001F29F9">
      <w:pPr>
        <w:tabs>
          <w:tab w:val="left" w:pos="851"/>
        </w:tabs>
        <w:rPr>
          <w:b/>
          <w:sz w:val="24"/>
          <w:szCs w:val="24"/>
        </w:rPr>
      </w:pPr>
    </w:p>
    <w:p w:rsidR="001F29F9" w:rsidRPr="00EC0B9B" w:rsidRDefault="001F29F9" w:rsidP="001F29F9">
      <w:pPr>
        <w:numPr>
          <w:ilvl w:val="1"/>
          <w:numId w:val="1"/>
        </w:numPr>
        <w:rPr>
          <w:b/>
          <w:sz w:val="24"/>
          <w:szCs w:val="24"/>
          <w:u w:val="single"/>
        </w:rPr>
      </w:pPr>
      <w:r w:rsidRPr="00EC0B9B">
        <w:rPr>
          <w:b/>
          <w:sz w:val="24"/>
          <w:szCs w:val="24"/>
        </w:rPr>
        <w:t>Terapeutiske indikationer</w:t>
      </w:r>
    </w:p>
    <w:p w:rsidR="00E52120" w:rsidRPr="00A619D7" w:rsidRDefault="00E52120" w:rsidP="00E52120">
      <w:pPr>
        <w:widowControl w:val="0"/>
        <w:autoSpaceDE w:val="0"/>
        <w:autoSpaceDN w:val="0"/>
        <w:adjustRightInd w:val="0"/>
        <w:ind w:firstLine="855"/>
        <w:rPr>
          <w:sz w:val="24"/>
          <w:szCs w:val="24"/>
          <w:lang w:eastAsia="pt-PT"/>
        </w:rPr>
      </w:pPr>
      <w:proofErr w:type="spellStart"/>
      <w:r w:rsidRPr="00A619D7">
        <w:rPr>
          <w:sz w:val="24"/>
          <w:szCs w:val="24"/>
        </w:rPr>
        <w:t>Ulcerex</w:t>
      </w:r>
      <w:proofErr w:type="spellEnd"/>
      <w:r w:rsidRPr="00A619D7">
        <w:rPr>
          <w:sz w:val="24"/>
          <w:szCs w:val="24"/>
        </w:rPr>
        <w:t xml:space="preserve">-kapsler er indiceret hos voksne </w:t>
      </w:r>
      <w:r>
        <w:rPr>
          <w:sz w:val="24"/>
          <w:szCs w:val="24"/>
        </w:rPr>
        <w:t>for:</w:t>
      </w:r>
    </w:p>
    <w:p w:rsidR="00E52120" w:rsidRPr="00A619D7" w:rsidRDefault="00E52120" w:rsidP="00E52120">
      <w:pPr>
        <w:autoSpaceDE w:val="0"/>
        <w:autoSpaceDN w:val="0"/>
        <w:adjustRightInd w:val="0"/>
        <w:rPr>
          <w:sz w:val="24"/>
          <w:szCs w:val="24"/>
        </w:rPr>
      </w:pPr>
    </w:p>
    <w:p w:rsidR="00E52120" w:rsidRPr="00E52120" w:rsidRDefault="00E52120" w:rsidP="00E52120">
      <w:pPr>
        <w:ind w:left="851"/>
        <w:rPr>
          <w:i/>
          <w:iCs/>
          <w:sz w:val="24"/>
          <w:szCs w:val="24"/>
        </w:rPr>
      </w:pPr>
      <w:proofErr w:type="spellStart"/>
      <w:r w:rsidRPr="00E52120">
        <w:rPr>
          <w:i/>
          <w:iCs/>
          <w:sz w:val="24"/>
          <w:szCs w:val="24"/>
        </w:rPr>
        <w:t>Gastroøsofageal</w:t>
      </w:r>
      <w:proofErr w:type="spellEnd"/>
      <w:r w:rsidRPr="00E52120">
        <w:rPr>
          <w:i/>
          <w:iCs/>
          <w:sz w:val="24"/>
          <w:szCs w:val="24"/>
        </w:rPr>
        <w:t xml:space="preserve"> </w:t>
      </w:r>
      <w:proofErr w:type="spellStart"/>
      <w:r w:rsidRPr="00E52120">
        <w:rPr>
          <w:i/>
          <w:iCs/>
          <w:sz w:val="24"/>
          <w:szCs w:val="24"/>
        </w:rPr>
        <w:t>reflukssygdom</w:t>
      </w:r>
      <w:proofErr w:type="spellEnd"/>
      <w:r w:rsidRPr="00E52120">
        <w:rPr>
          <w:i/>
          <w:iCs/>
          <w:sz w:val="24"/>
          <w:szCs w:val="24"/>
        </w:rPr>
        <w:t xml:space="preserve"> (GERD)</w:t>
      </w:r>
    </w:p>
    <w:p w:rsidR="00E52120" w:rsidRPr="00EA7094" w:rsidRDefault="00E52120" w:rsidP="00E52120">
      <w:pPr>
        <w:numPr>
          <w:ilvl w:val="0"/>
          <w:numId w:val="6"/>
        </w:numPr>
        <w:ind w:left="851" w:firstLine="0"/>
        <w:rPr>
          <w:sz w:val="24"/>
          <w:szCs w:val="24"/>
        </w:rPr>
      </w:pPr>
      <w:r w:rsidRPr="00A619D7">
        <w:rPr>
          <w:sz w:val="24"/>
          <w:szCs w:val="24"/>
        </w:rPr>
        <w:t xml:space="preserve">Behandling af </w:t>
      </w:r>
      <w:proofErr w:type="spellStart"/>
      <w:r w:rsidRPr="00A619D7">
        <w:rPr>
          <w:sz w:val="24"/>
          <w:szCs w:val="24"/>
        </w:rPr>
        <w:t>erosiv</w:t>
      </w:r>
      <w:proofErr w:type="spellEnd"/>
      <w:r w:rsidRPr="00A619D7">
        <w:rPr>
          <w:sz w:val="24"/>
          <w:szCs w:val="24"/>
        </w:rPr>
        <w:t xml:space="preserve"> </w:t>
      </w:r>
      <w:proofErr w:type="spellStart"/>
      <w:r w:rsidRPr="00A619D7">
        <w:rPr>
          <w:sz w:val="24"/>
          <w:szCs w:val="24"/>
        </w:rPr>
        <w:t>refluksøsofagit</w:t>
      </w:r>
      <w:proofErr w:type="spellEnd"/>
    </w:p>
    <w:p w:rsidR="00E52120" w:rsidRPr="00A619D7" w:rsidRDefault="00E52120" w:rsidP="00E52120">
      <w:pPr>
        <w:numPr>
          <w:ilvl w:val="0"/>
          <w:numId w:val="6"/>
        </w:numPr>
        <w:ind w:left="851" w:firstLine="0"/>
        <w:rPr>
          <w:sz w:val="24"/>
          <w:szCs w:val="24"/>
        </w:rPr>
      </w:pPr>
      <w:r w:rsidRPr="00A619D7">
        <w:rPr>
          <w:sz w:val="24"/>
          <w:szCs w:val="24"/>
        </w:rPr>
        <w:lastRenderedPageBreak/>
        <w:t xml:space="preserve">Langtidsbehandling af patienter med helet </w:t>
      </w:r>
      <w:proofErr w:type="spellStart"/>
      <w:r w:rsidRPr="00A619D7">
        <w:rPr>
          <w:sz w:val="24"/>
          <w:szCs w:val="24"/>
        </w:rPr>
        <w:t>øsofagit</w:t>
      </w:r>
      <w:proofErr w:type="spellEnd"/>
      <w:r w:rsidRPr="00A619D7">
        <w:rPr>
          <w:sz w:val="24"/>
          <w:szCs w:val="24"/>
        </w:rPr>
        <w:t xml:space="preserve"> til forebyggelse af recidiv</w:t>
      </w:r>
    </w:p>
    <w:p w:rsidR="00E52120" w:rsidRPr="00A619D7" w:rsidRDefault="00E52120" w:rsidP="00E52120">
      <w:pPr>
        <w:numPr>
          <w:ilvl w:val="0"/>
          <w:numId w:val="6"/>
        </w:numPr>
        <w:ind w:left="851" w:firstLine="0"/>
        <w:rPr>
          <w:sz w:val="24"/>
          <w:szCs w:val="24"/>
        </w:rPr>
      </w:pPr>
      <w:r w:rsidRPr="00A619D7">
        <w:rPr>
          <w:sz w:val="24"/>
          <w:szCs w:val="24"/>
        </w:rPr>
        <w:t xml:space="preserve">Symptomatisk behandling af </w:t>
      </w:r>
      <w:proofErr w:type="spellStart"/>
      <w:r w:rsidRPr="00A619D7">
        <w:rPr>
          <w:sz w:val="24"/>
          <w:szCs w:val="24"/>
        </w:rPr>
        <w:t>gastroøsofageal</w:t>
      </w:r>
      <w:proofErr w:type="spellEnd"/>
      <w:r w:rsidRPr="00A619D7">
        <w:rPr>
          <w:sz w:val="24"/>
          <w:szCs w:val="24"/>
        </w:rPr>
        <w:t xml:space="preserve"> </w:t>
      </w:r>
      <w:proofErr w:type="spellStart"/>
      <w:r w:rsidRPr="00A619D7">
        <w:rPr>
          <w:sz w:val="24"/>
          <w:szCs w:val="24"/>
        </w:rPr>
        <w:t>reflukssygdom</w:t>
      </w:r>
      <w:proofErr w:type="spellEnd"/>
      <w:r w:rsidRPr="00A619D7">
        <w:rPr>
          <w:sz w:val="24"/>
          <w:szCs w:val="24"/>
        </w:rPr>
        <w:t xml:space="preserve"> (GERD)</w:t>
      </w:r>
    </w:p>
    <w:p w:rsidR="00E52120" w:rsidRPr="00A619D7" w:rsidRDefault="00E52120" w:rsidP="00E52120">
      <w:pPr>
        <w:ind w:left="851"/>
        <w:rPr>
          <w:b/>
          <w:bCs/>
          <w:sz w:val="24"/>
          <w:szCs w:val="24"/>
        </w:rPr>
      </w:pPr>
    </w:p>
    <w:p w:rsidR="00E52120" w:rsidRPr="00E52120" w:rsidRDefault="00E52120" w:rsidP="00E52120">
      <w:pPr>
        <w:ind w:left="851"/>
        <w:rPr>
          <w:i/>
          <w:iCs/>
          <w:sz w:val="24"/>
          <w:szCs w:val="24"/>
        </w:rPr>
      </w:pPr>
      <w:r w:rsidRPr="00E52120">
        <w:rPr>
          <w:i/>
          <w:iCs/>
          <w:sz w:val="24"/>
          <w:szCs w:val="24"/>
        </w:rPr>
        <w:t xml:space="preserve">I kombination med passende antibakterielle behandlingsregimer til </w:t>
      </w:r>
      <w:proofErr w:type="spellStart"/>
      <w:r w:rsidRPr="00E52120">
        <w:rPr>
          <w:i/>
          <w:iCs/>
          <w:sz w:val="24"/>
          <w:szCs w:val="24"/>
        </w:rPr>
        <w:t>eradikation</w:t>
      </w:r>
      <w:proofErr w:type="spellEnd"/>
      <w:r w:rsidRPr="00E52120">
        <w:rPr>
          <w:i/>
          <w:iCs/>
          <w:sz w:val="24"/>
          <w:szCs w:val="24"/>
        </w:rPr>
        <w:t xml:space="preserve"> af </w:t>
      </w:r>
      <w:proofErr w:type="spellStart"/>
      <w:r w:rsidRPr="00E52120">
        <w:rPr>
          <w:i/>
          <w:iCs/>
          <w:sz w:val="24"/>
          <w:szCs w:val="24"/>
        </w:rPr>
        <w:t>Helicobacter</w:t>
      </w:r>
      <w:proofErr w:type="spellEnd"/>
      <w:r w:rsidRPr="00E52120">
        <w:rPr>
          <w:i/>
          <w:iCs/>
          <w:sz w:val="24"/>
          <w:szCs w:val="24"/>
        </w:rPr>
        <w:t xml:space="preserve"> </w:t>
      </w:r>
      <w:proofErr w:type="spellStart"/>
      <w:r w:rsidRPr="00E52120">
        <w:rPr>
          <w:i/>
          <w:iCs/>
          <w:sz w:val="24"/>
          <w:szCs w:val="24"/>
        </w:rPr>
        <w:t>pylori</w:t>
      </w:r>
      <w:proofErr w:type="spellEnd"/>
      <w:r w:rsidRPr="00E52120">
        <w:rPr>
          <w:i/>
          <w:iCs/>
          <w:sz w:val="24"/>
          <w:szCs w:val="24"/>
        </w:rPr>
        <w:t xml:space="preserve"> og</w:t>
      </w:r>
    </w:p>
    <w:p w:rsidR="00E52120" w:rsidRPr="00A619D7" w:rsidRDefault="00E52120" w:rsidP="00E52120">
      <w:pPr>
        <w:numPr>
          <w:ilvl w:val="0"/>
          <w:numId w:val="7"/>
        </w:numPr>
        <w:ind w:left="851" w:firstLine="0"/>
        <w:rPr>
          <w:sz w:val="24"/>
          <w:szCs w:val="24"/>
        </w:rPr>
      </w:pPr>
      <w:r w:rsidRPr="00A619D7">
        <w:rPr>
          <w:sz w:val="24"/>
          <w:szCs w:val="24"/>
        </w:rPr>
        <w:t xml:space="preserve">Heling af </w:t>
      </w:r>
      <w:proofErr w:type="spellStart"/>
      <w:r w:rsidRPr="00EA7094">
        <w:rPr>
          <w:i/>
          <w:iCs/>
          <w:sz w:val="24"/>
          <w:szCs w:val="24"/>
        </w:rPr>
        <w:t>Helicobacter</w:t>
      </w:r>
      <w:proofErr w:type="spellEnd"/>
      <w:r w:rsidRPr="00EA7094">
        <w:rPr>
          <w:i/>
          <w:iCs/>
          <w:sz w:val="24"/>
          <w:szCs w:val="24"/>
        </w:rPr>
        <w:t xml:space="preserve"> </w:t>
      </w:r>
      <w:proofErr w:type="spellStart"/>
      <w:r w:rsidRPr="00EA7094">
        <w:rPr>
          <w:i/>
          <w:iCs/>
          <w:sz w:val="24"/>
          <w:szCs w:val="24"/>
        </w:rPr>
        <w:t>pylori</w:t>
      </w:r>
      <w:proofErr w:type="spellEnd"/>
      <w:r w:rsidRPr="00A619D7">
        <w:rPr>
          <w:sz w:val="24"/>
          <w:szCs w:val="24"/>
        </w:rPr>
        <w:t xml:space="preserve">-forbundet, </w:t>
      </w:r>
      <w:proofErr w:type="spellStart"/>
      <w:r w:rsidRPr="00A619D7">
        <w:rPr>
          <w:sz w:val="24"/>
          <w:szCs w:val="24"/>
        </w:rPr>
        <w:t>duodenalt</w:t>
      </w:r>
      <w:proofErr w:type="spellEnd"/>
      <w:r w:rsidRPr="00A619D7">
        <w:rPr>
          <w:sz w:val="24"/>
          <w:szCs w:val="24"/>
        </w:rPr>
        <w:t xml:space="preserve"> </w:t>
      </w:r>
      <w:proofErr w:type="spellStart"/>
      <w:r w:rsidRPr="00A619D7">
        <w:rPr>
          <w:sz w:val="24"/>
          <w:szCs w:val="24"/>
        </w:rPr>
        <w:t>ulcer</w:t>
      </w:r>
      <w:proofErr w:type="spellEnd"/>
      <w:r w:rsidRPr="00A619D7">
        <w:rPr>
          <w:sz w:val="24"/>
          <w:szCs w:val="24"/>
        </w:rPr>
        <w:t xml:space="preserve"> og</w:t>
      </w:r>
    </w:p>
    <w:p w:rsidR="00E52120" w:rsidRPr="00A619D7" w:rsidRDefault="00E52120" w:rsidP="00E52120">
      <w:pPr>
        <w:numPr>
          <w:ilvl w:val="0"/>
          <w:numId w:val="7"/>
        </w:numPr>
        <w:ind w:left="1276" w:hanging="425"/>
        <w:rPr>
          <w:sz w:val="24"/>
          <w:szCs w:val="24"/>
        </w:rPr>
      </w:pPr>
      <w:r w:rsidRPr="00A619D7">
        <w:rPr>
          <w:sz w:val="24"/>
          <w:szCs w:val="24"/>
        </w:rPr>
        <w:t xml:space="preserve">Forebyggelse af recidiv af </w:t>
      </w:r>
      <w:proofErr w:type="spellStart"/>
      <w:r w:rsidRPr="00A619D7">
        <w:rPr>
          <w:sz w:val="24"/>
          <w:szCs w:val="24"/>
        </w:rPr>
        <w:t>peptiske</w:t>
      </w:r>
      <w:proofErr w:type="spellEnd"/>
      <w:r w:rsidRPr="00A619D7">
        <w:rPr>
          <w:sz w:val="24"/>
          <w:szCs w:val="24"/>
        </w:rPr>
        <w:t xml:space="preserve"> </w:t>
      </w:r>
      <w:proofErr w:type="spellStart"/>
      <w:r w:rsidRPr="00A619D7">
        <w:rPr>
          <w:sz w:val="24"/>
          <w:szCs w:val="24"/>
        </w:rPr>
        <w:t>ulcera</w:t>
      </w:r>
      <w:proofErr w:type="spellEnd"/>
      <w:r w:rsidRPr="00A619D7">
        <w:rPr>
          <w:sz w:val="24"/>
          <w:szCs w:val="24"/>
        </w:rPr>
        <w:t xml:space="preserve"> hos patienter med </w:t>
      </w:r>
      <w:proofErr w:type="spellStart"/>
      <w:r w:rsidRPr="00A619D7">
        <w:rPr>
          <w:i/>
          <w:iCs/>
          <w:sz w:val="24"/>
          <w:szCs w:val="24"/>
        </w:rPr>
        <w:t>Helicobacter</w:t>
      </w:r>
      <w:proofErr w:type="spellEnd"/>
      <w:r w:rsidRPr="00A619D7">
        <w:rPr>
          <w:i/>
          <w:iCs/>
          <w:sz w:val="24"/>
          <w:szCs w:val="24"/>
        </w:rPr>
        <w:t xml:space="preserve"> </w:t>
      </w:r>
      <w:proofErr w:type="spellStart"/>
      <w:r w:rsidRPr="00A619D7">
        <w:rPr>
          <w:i/>
          <w:iCs/>
          <w:sz w:val="24"/>
          <w:szCs w:val="24"/>
        </w:rPr>
        <w:t>pylori</w:t>
      </w:r>
      <w:proofErr w:type="spellEnd"/>
      <w:r w:rsidRPr="00A619D7">
        <w:rPr>
          <w:sz w:val="24"/>
          <w:szCs w:val="24"/>
        </w:rPr>
        <w:t xml:space="preserve">-forbundne </w:t>
      </w:r>
      <w:proofErr w:type="spellStart"/>
      <w:r w:rsidRPr="00A619D7">
        <w:rPr>
          <w:sz w:val="24"/>
          <w:szCs w:val="24"/>
        </w:rPr>
        <w:t>ulcera</w:t>
      </w:r>
      <w:proofErr w:type="spellEnd"/>
      <w:r w:rsidRPr="00A619D7">
        <w:rPr>
          <w:sz w:val="24"/>
          <w:szCs w:val="24"/>
        </w:rPr>
        <w:t>.</w:t>
      </w:r>
    </w:p>
    <w:p w:rsidR="00E52120" w:rsidRPr="00A619D7" w:rsidRDefault="00E52120" w:rsidP="00E52120">
      <w:pPr>
        <w:ind w:left="851"/>
        <w:rPr>
          <w:b/>
          <w:bCs/>
          <w:sz w:val="24"/>
          <w:szCs w:val="24"/>
        </w:rPr>
      </w:pPr>
    </w:p>
    <w:p w:rsidR="00E52120" w:rsidRPr="00E52120" w:rsidRDefault="00E52120" w:rsidP="00E52120">
      <w:pPr>
        <w:ind w:left="851"/>
        <w:rPr>
          <w:i/>
          <w:iCs/>
          <w:sz w:val="24"/>
          <w:szCs w:val="24"/>
        </w:rPr>
      </w:pPr>
      <w:r w:rsidRPr="00E52120">
        <w:rPr>
          <w:i/>
          <w:iCs/>
          <w:sz w:val="24"/>
          <w:szCs w:val="24"/>
        </w:rPr>
        <w:t>Patienter, der har behov for fortsat NSAID-behandling</w:t>
      </w:r>
    </w:p>
    <w:p w:rsidR="00E52120" w:rsidRPr="00E52120" w:rsidRDefault="00E52120" w:rsidP="00E52120">
      <w:pPr>
        <w:pStyle w:val="Listeafsnit"/>
        <w:numPr>
          <w:ilvl w:val="0"/>
          <w:numId w:val="10"/>
        </w:numPr>
        <w:ind w:left="1134" w:hanging="283"/>
        <w:rPr>
          <w:sz w:val="24"/>
          <w:szCs w:val="24"/>
        </w:rPr>
      </w:pPr>
      <w:r w:rsidRPr="00E52120">
        <w:rPr>
          <w:sz w:val="24"/>
          <w:szCs w:val="24"/>
        </w:rPr>
        <w:t xml:space="preserve">Heling af gastriske </w:t>
      </w:r>
      <w:proofErr w:type="spellStart"/>
      <w:r w:rsidRPr="00E52120">
        <w:rPr>
          <w:sz w:val="24"/>
          <w:szCs w:val="24"/>
        </w:rPr>
        <w:t>ulcera</w:t>
      </w:r>
      <w:proofErr w:type="spellEnd"/>
      <w:r w:rsidRPr="00E52120">
        <w:rPr>
          <w:sz w:val="24"/>
          <w:szCs w:val="24"/>
        </w:rPr>
        <w:t>, der er forbundet med NSAID-behandling.</w:t>
      </w:r>
    </w:p>
    <w:p w:rsidR="00E52120" w:rsidRPr="00E52120" w:rsidRDefault="00E52120" w:rsidP="00E52120">
      <w:pPr>
        <w:pStyle w:val="Listeafsnit"/>
        <w:numPr>
          <w:ilvl w:val="0"/>
          <w:numId w:val="10"/>
        </w:numPr>
        <w:ind w:left="1134" w:hanging="283"/>
        <w:rPr>
          <w:sz w:val="24"/>
          <w:szCs w:val="24"/>
        </w:rPr>
      </w:pPr>
      <w:r w:rsidRPr="00E52120">
        <w:rPr>
          <w:sz w:val="24"/>
          <w:szCs w:val="24"/>
        </w:rPr>
        <w:t xml:space="preserve">Forebyggelse af gastriske og </w:t>
      </w:r>
      <w:proofErr w:type="spellStart"/>
      <w:r w:rsidRPr="00E52120">
        <w:rPr>
          <w:sz w:val="24"/>
          <w:szCs w:val="24"/>
        </w:rPr>
        <w:t>duodenale</w:t>
      </w:r>
      <w:proofErr w:type="spellEnd"/>
      <w:r w:rsidRPr="00E52120">
        <w:rPr>
          <w:sz w:val="24"/>
          <w:szCs w:val="24"/>
        </w:rPr>
        <w:t xml:space="preserve"> </w:t>
      </w:r>
      <w:proofErr w:type="spellStart"/>
      <w:r w:rsidRPr="00E52120">
        <w:rPr>
          <w:sz w:val="24"/>
          <w:szCs w:val="24"/>
        </w:rPr>
        <w:t>ulcera</w:t>
      </w:r>
      <w:proofErr w:type="spellEnd"/>
      <w:r w:rsidRPr="00E52120">
        <w:rPr>
          <w:sz w:val="24"/>
          <w:szCs w:val="24"/>
        </w:rPr>
        <w:t>, der er forbundet med NSAID-behandling, hos risikopatienter.</w:t>
      </w:r>
    </w:p>
    <w:p w:rsidR="00E52120" w:rsidRPr="00A619D7" w:rsidRDefault="00E52120" w:rsidP="00E52120">
      <w:pPr>
        <w:ind w:left="851"/>
        <w:rPr>
          <w:b/>
          <w:bCs/>
          <w:sz w:val="24"/>
          <w:szCs w:val="24"/>
        </w:rPr>
      </w:pPr>
    </w:p>
    <w:p w:rsidR="00E52120" w:rsidRPr="00E52120" w:rsidRDefault="00E52120" w:rsidP="00E52120">
      <w:pPr>
        <w:ind w:left="851"/>
        <w:rPr>
          <w:i/>
          <w:iCs/>
          <w:sz w:val="24"/>
          <w:szCs w:val="24"/>
        </w:rPr>
      </w:pPr>
      <w:r w:rsidRPr="00E52120">
        <w:rPr>
          <w:i/>
          <w:iCs/>
          <w:sz w:val="24"/>
          <w:szCs w:val="24"/>
        </w:rPr>
        <w:t xml:space="preserve">Langvarig behandling efter </w:t>
      </w:r>
      <w:proofErr w:type="spellStart"/>
      <w:r w:rsidRPr="00E52120">
        <w:rPr>
          <w:i/>
          <w:iCs/>
          <w:sz w:val="24"/>
          <w:szCs w:val="24"/>
        </w:rPr>
        <w:t>i.v</w:t>
      </w:r>
      <w:proofErr w:type="spellEnd"/>
      <w:r w:rsidRPr="00E52120">
        <w:rPr>
          <w:i/>
          <w:iCs/>
          <w:sz w:val="24"/>
          <w:szCs w:val="24"/>
        </w:rPr>
        <w:t xml:space="preserve">.-induceret forebyggelse af fornyet blødning fra </w:t>
      </w:r>
      <w:proofErr w:type="spellStart"/>
      <w:r w:rsidRPr="00E52120">
        <w:rPr>
          <w:i/>
          <w:iCs/>
          <w:sz w:val="24"/>
          <w:szCs w:val="24"/>
        </w:rPr>
        <w:t>peptiske</w:t>
      </w:r>
      <w:proofErr w:type="spellEnd"/>
      <w:r w:rsidRPr="00E52120">
        <w:rPr>
          <w:i/>
          <w:iCs/>
          <w:sz w:val="24"/>
          <w:szCs w:val="24"/>
        </w:rPr>
        <w:t xml:space="preserve"> </w:t>
      </w:r>
      <w:proofErr w:type="spellStart"/>
      <w:r w:rsidRPr="00E52120">
        <w:rPr>
          <w:i/>
          <w:iCs/>
          <w:sz w:val="24"/>
          <w:szCs w:val="24"/>
        </w:rPr>
        <w:t>ulcera</w:t>
      </w:r>
      <w:proofErr w:type="spellEnd"/>
      <w:r w:rsidRPr="00E52120">
        <w:rPr>
          <w:i/>
          <w:iCs/>
          <w:sz w:val="24"/>
          <w:szCs w:val="24"/>
        </w:rPr>
        <w:t>.</w:t>
      </w:r>
    </w:p>
    <w:p w:rsidR="00E52120" w:rsidRPr="00A619D7" w:rsidRDefault="00E52120" w:rsidP="00E52120">
      <w:pPr>
        <w:autoSpaceDE w:val="0"/>
        <w:autoSpaceDN w:val="0"/>
        <w:adjustRightInd w:val="0"/>
        <w:ind w:left="851"/>
        <w:rPr>
          <w:b/>
          <w:bCs/>
          <w:sz w:val="24"/>
          <w:szCs w:val="24"/>
        </w:rPr>
      </w:pPr>
    </w:p>
    <w:p w:rsidR="00E52120" w:rsidRPr="00E52120" w:rsidRDefault="00E52120" w:rsidP="00E52120">
      <w:pPr>
        <w:autoSpaceDE w:val="0"/>
        <w:autoSpaceDN w:val="0"/>
        <w:adjustRightInd w:val="0"/>
        <w:ind w:left="851"/>
        <w:rPr>
          <w:i/>
          <w:iCs/>
          <w:sz w:val="24"/>
          <w:szCs w:val="24"/>
        </w:rPr>
      </w:pPr>
      <w:r w:rsidRPr="00E52120">
        <w:rPr>
          <w:i/>
          <w:iCs/>
          <w:sz w:val="24"/>
          <w:szCs w:val="24"/>
        </w:rPr>
        <w:t xml:space="preserve">Behandling af </w:t>
      </w:r>
      <w:proofErr w:type="spellStart"/>
      <w:r w:rsidRPr="00E52120">
        <w:rPr>
          <w:i/>
          <w:iCs/>
          <w:sz w:val="24"/>
          <w:szCs w:val="24"/>
        </w:rPr>
        <w:t>Zollinger-Ellison’s</w:t>
      </w:r>
      <w:proofErr w:type="spellEnd"/>
      <w:r w:rsidRPr="00E52120">
        <w:rPr>
          <w:i/>
          <w:iCs/>
          <w:sz w:val="24"/>
          <w:szCs w:val="24"/>
        </w:rPr>
        <w:t xml:space="preserve"> syndrom.</w:t>
      </w:r>
    </w:p>
    <w:p w:rsidR="00E52120" w:rsidRPr="00A619D7" w:rsidRDefault="00E52120" w:rsidP="00E52120">
      <w:pPr>
        <w:autoSpaceDE w:val="0"/>
        <w:autoSpaceDN w:val="0"/>
        <w:adjustRightInd w:val="0"/>
        <w:ind w:left="851"/>
        <w:rPr>
          <w:b/>
          <w:bCs/>
          <w:sz w:val="24"/>
          <w:szCs w:val="24"/>
        </w:rPr>
      </w:pPr>
    </w:p>
    <w:p w:rsidR="00E52120" w:rsidRPr="00A619D7" w:rsidRDefault="00E52120" w:rsidP="00E52120">
      <w:pPr>
        <w:autoSpaceDE w:val="0"/>
        <w:autoSpaceDN w:val="0"/>
        <w:adjustRightInd w:val="0"/>
        <w:ind w:left="851"/>
        <w:rPr>
          <w:sz w:val="24"/>
          <w:szCs w:val="24"/>
          <w:u w:val="single"/>
        </w:rPr>
      </w:pPr>
      <w:proofErr w:type="spellStart"/>
      <w:r w:rsidRPr="00EA7094">
        <w:rPr>
          <w:sz w:val="24"/>
          <w:szCs w:val="24"/>
          <w:u w:val="single"/>
        </w:rPr>
        <w:t>U</w:t>
      </w:r>
      <w:r>
        <w:rPr>
          <w:sz w:val="24"/>
          <w:szCs w:val="24"/>
          <w:u w:val="single"/>
        </w:rPr>
        <w:t>lcerex</w:t>
      </w:r>
      <w:proofErr w:type="spellEnd"/>
      <w:r>
        <w:rPr>
          <w:sz w:val="24"/>
          <w:szCs w:val="24"/>
          <w:u w:val="single"/>
        </w:rPr>
        <w:t>-kapsler er indiceret hos u</w:t>
      </w:r>
      <w:r w:rsidRPr="00EA7094">
        <w:rPr>
          <w:sz w:val="24"/>
          <w:szCs w:val="24"/>
          <w:u w:val="single"/>
        </w:rPr>
        <w:t>nge fra 12 </w:t>
      </w:r>
      <w:r w:rsidRPr="00A619D7">
        <w:rPr>
          <w:sz w:val="24"/>
          <w:szCs w:val="24"/>
          <w:u w:val="single"/>
        </w:rPr>
        <w:t>år</w:t>
      </w:r>
      <w:r>
        <w:rPr>
          <w:sz w:val="24"/>
          <w:szCs w:val="24"/>
          <w:u w:val="single"/>
        </w:rPr>
        <w:t xml:space="preserve"> for:</w:t>
      </w:r>
    </w:p>
    <w:p w:rsidR="00E52120" w:rsidRPr="00A619D7" w:rsidRDefault="00E52120" w:rsidP="00E52120">
      <w:pPr>
        <w:autoSpaceDE w:val="0"/>
        <w:autoSpaceDN w:val="0"/>
        <w:adjustRightInd w:val="0"/>
        <w:ind w:left="851"/>
        <w:rPr>
          <w:b/>
          <w:bCs/>
          <w:sz w:val="24"/>
          <w:szCs w:val="24"/>
        </w:rPr>
      </w:pPr>
    </w:p>
    <w:p w:rsidR="00E52120" w:rsidRPr="00E52120" w:rsidRDefault="00E52120" w:rsidP="00E52120">
      <w:pPr>
        <w:ind w:left="851"/>
        <w:rPr>
          <w:i/>
          <w:iCs/>
          <w:sz w:val="24"/>
          <w:szCs w:val="24"/>
        </w:rPr>
      </w:pPr>
      <w:proofErr w:type="spellStart"/>
      <w:r w:rsidRPr="00E52120">
        <w:rPr>
          <w:i/>
          <w:iCs/>
          <w:sz w:val="24"/>
          <w:szCs w:val="24"/>
        </w:rPr>
        <w:t>Gastroøsofageal</w:t>
      </w:r>
      <w:proofErr w:type="spellEnd"/>
      <w:r w:rsidRPr="00E52120">
        <w:rPr>
          <w:i/>
          <w:iCs/>
          <w:sz w:val="24"/>
          <w:szCs w:val="24"/>
        </w:rPr>
        <w:t xml:space="preserve"> </w:t>
      </w:r>
      <w:proofErr w:type="spellStart"/>
      <w:r w:rsidRPr="00E52120">
        <w:rPr>
          <w:i/>
          <w:iCs/>
          <w:sz w:val="24"/>
          <w:szCs w:val="24"/>
        </w:rPr>
        <w:t>reflukssygdom</w:t>
      </w:r>
      <w:proofErr w:type="spellEnd"/>
      <w:r w:rsidRPr="00E52120">
        <w:rPr>
          <w:i/>
          <w:iCs/>
          <w:sz w:val="24"/>
          <w:szCs w:val="24"/>
        </w:rPr>
        <w:t xml:space="preserve"> (GERD)</w:t>
      </w:r>
    </w:p>
    <w:p w:rsidR="00E52120" w:rsidRPr="00EA7094" w:rsidRDefault="00E52120" w:rsidP="00E52120">
      <w:pPr>
        <w:numPr>
          <w:ilvl w:val="0"/>
          <w:numId w:val="6"/>
        </w:numPr>
        <w:ind w:left="851" w:firstLine="0"/>
        <w:rPr>
          <w:sz w:val="24"/>
          <w:szCs w:val="24"/>
        </w:rPr>
      </w:pPr>
      <w:r w:rsidRPr="00A619D7">
        <w:rPr>
          <w:sz w:val="24"/>
          <w:szCs w:val="24"/>
        </w:rPr>
        <w:t xml:space="preserve">Behandling af </w:t>
      </w:r>
      <w:proofErr w:type="spellStart"/>
      <w:r w:rsidRPr="00A619D7">
        <w:rPr>
          <w:sz w:val="24"/>
          <w:szCs w:val="24"/>
        </w:rPr>
        <w:t>erosiv</w:t>
      </w:r>
      <w:proofErr w:type="spellEnd"/>
      <w:r w:rsidRPr="00A619D7">
        <w:rPr>
          <w:sz w:val="24"/>
          <w:szCs w:val="24"/>
        </w:rPr>
        <w:t xml:space="preserve"> </w:t>
      </w:r>
      <w:proofErr w:type="spellStart"/>
      <w:r w:rsidRPr="00A619D7">
        <w:rPr>
          <w:sz w:val="24"/>
          <w:szCs w:val="24"/>
        </w:rPr>
        <w:t>refluksøsofagit</w:t>
      </w:r>
      <w:proofErr w:type="spellEnd"/>
    </w:p>
    <w:p w:rsidR="00E52120" w:rsidRPr="00A619D7" w:rsidRDefault="00E52120" w:rsidP="00E52120">
      <w:pPr>
        <w:numPr>
          <w:ilvl w:val="0"/>
          <w:numId w:val="6"/>
        </w:numPr>
        <w:ind w:left="851" w:firstLine="0"/>
        <w:rPr>
          <w:sz w:val="24"/>
          <w:szCs w:val="24"/>
        </w:rPr>
      </w:pPr>
      <w:r w:rsidRPr="00A619D7">
        <w:rPr>
          <w:sz w:val="24"/>
          <w:szCs w:val="24"/>
        </w:rPr>
        <w:t xml:space="preserve">Langtidsbehandling af patienter med helet </w:t>
      </w:r>
      <w:proofErr w:type="spellStart"/>
      <w:r w:rsidRPr="00A619D7">
        <w:rPr>
          <w:sz w:val="24"/>
          <w:szCs w:val="24"/>
        </w:rPr>
        <w:t>øsofagit</w:t>
      </w:r>
      <w:proofErr w:type="spellEnd"/>
      <w:r w:rsidRPr="00A619D7">
        <w:rPr>
          <w:sz w:val="24"/>
          <w:szCs w:val="24"/>
        </w:rPr>
        <w:t xml:space="preserve"> til forebyggelse af recidiv</w:t>
      </w:r>
    </w:p>
    <w:p w:rsidR="00E52120" w:rsidRPr="00A619D7" w:rsidRDefault="00E52120" w:rsidP="00E52120">
      <w:pPr>
        <w:numPr>
          <w:ilvl w:val="0"/>
          <w:numId w:val="6"/>
        </w:numPr>
        <w:ind w:left="851" w:firstLine="0"/>
        <w:rPr>
          <w:sz w:val="24"/>
          <w:szCs w:val="24"/>
        </w:rPr>
      </w:pPr>
      <w:r w:rsidRPr="00A619D7">
        <w:rPr>
          <w:sz w:val="24"/>
          <w:szCs w:val="24"/>
        </w:rPr>
        <w:t xml:space="preserve">Symptomatisk behandling af </w:t>
      </w:r>
      <w:proofErr w:type="spellStart"/>
      <w:r w:rsidRPr="00A619D7">
        <w:rPr>
          <w:sz w:val="24"/>
          <w:szCs w:val="24"/>
        </w:rPr>
        <w:t>gastroøsofageal</w:t>
      </w:r>
      <w:proofErr w:type="spellEnd"/>
      <w:r w:rsidRPr="00A619D7">
        <w:rPr>
          <w:sz w:val="24"/>
          <w:szCs w:val="24"/>
        </w:rPr>
        <w:t xml:space="preserve"> </w:t>
      </w:r>
      <w:proofErr w:type="spellStart"/>
      <w:r w:rsidRPr="00A619D7">
        <w:rPr>
          <w:sz w:val="24"/>
          <w:szCs w:val="24"/>
        </w:rPr>
        <w:t>reflukssygdom</w:t>
      </w:r>
      <w:proofErr w:type="spellEnd"/>
      <w:r w:rsidRPr="00A619D7">
        <w:rPr>
          <w:sz w:val="24"/>
          <w:szCs w:val="24"/>
        </w:rPr>
        <w:t xml:space="preserve"> (GERD)</w:t>
      </w:r>
    </w:p>
    <w:p w:rsidR="00E52120" w:rsidRPr="00A619D7" w:rsidRDefault="00E52120" w:rsidP="00E52120">
      <w:pPr>
        <w:autoSpaceDE w:val="0"/>
        <w:autoSpaceDN w:val="0"/>
        <w:adjustRightInd w:val="0"/>
        <w:ind w:left="851"/>
        <w:rPr>
          <w:b/>
          <w:bCs/>
          <w:sz w:val="24"/>
          <w:szCs w:val="24"/>
        </w:rPr>
      </w:pPr>
    </w:p>
    <w:p w:rsidR="00E52120" w:rsidRPr="00E52120" w:rsidRDefault="00E52120" w:rsidP="00E52120">
      <w:pPr>
        <w:autoSpaceDE w:val="0"/>
        <w:autoSpaceDN w:val="0"/>
        <w:adjustRightInd w:val="0"/>
        <w:ind w:left="851"/>
        <w:rPr>
          <w:i/>
          <w:iCs/>
          <w:sz w:val="24"/>
          <w:szCs w:val="24"/>
        </w:rPr>
      </w:pPr>
      <w:r w:rsidRPr="00E52120">
        <w:rPr>
          <w:i/>
          <w:iCs/>
          <w:sz w:val="24"/>
          <w:szCs w:val="24"/>
        </w:rPr>
        <w:t xml:space="preserve">I kombination med antibiotika til behandling af </w:t>
      </w:r>
      <w:proofErr w:type="spellStart"/>
      <w:r w:rsidRPr="00E52120">
        <w:rPr>
          <w:i/>
          <w:iCs/>
          <w:sz w:val="24"/>
          <w:szCs w:val="24"/>
        </w:rPr>
        <w:t>duodenale</w:t>
      </w:r>
      <w:proofErr w:type="spellEnd"/>
      <w:r w:rsidRPr="00E52120">
        <w:rPr>
          <w:i/>
          <w:iCs/>
          <w:sz w:val="24"/>
          <w:szCs w:val="24"/>
        </w:rPr>
        <w:t xml:space="preserve"> </w:t>
      </w:r>
      <w:proofErr w:type="spellStart"/>
      <w:r w:rsidRPr="00E52120">
        <w:rPr>
          <w:i/>
          <w:iCs/>
          <w:sz w:val="24"/>
          <w:szCs w:val="24"/>
        </w:rPr>
        <w:t>ulcera</w:t>
      </w:r>
      <w:proofErr w:type="spellEnd"/>
      <w:r w:rsidRPr="00E52120">
        <w:rPr>
          <w:i/>
          <w:iCs/>
          <w:sz w:val="24"/>
          <w:szCs w:val="24"/>
        </w:rPr>
        <w:t xml:space="preserve"> forårsaget af </w:t>
      </w:r>
      <w:proofErr w:type="spellStart"/>
      <w:r w:rsidRPr="00E52120">
        <w:rPr>
          <w:i/>
          <w:iCs/>
          <w:sz w:val="24"/>
          <w:szCs w:val="24"/>
        </w:rPr>
        <w:t>Helicobacter</w:t>
      </w:r>
      <w:proofErr w:type="spellEnd"/>
      <w:r w:rsidRPr="00E52120">
        <w:rPr>
          <w:i/>
          <w:iCs/>
          <w:sz w:val="24"/>
          <w:szCs w:val="24"/>
        </w:rPr>
        <w:t xml:space="preserve"> </w:t>
      </w:r>
      <w:proofErr w:type="spellStart"/>
      <w:r w:rsidRPr="00E52120">
        <w:rPr>
          <w:i/>
          <w:iCs/>
          <w:sz w:val="24"/>
          <w:szCs w:val="24"/>
        </w:rPr>
        <w:t>pylori</w:t>
      </w:r>
      <w:proofErr w:type="spellEnd"/>
      <w:r w:rsidRPr="00E52120">
        <w:rPr>
          <w:i/>
          <w:iCs/>
          <w:sz w:val="24"/>
          <w:szCs w:val="24"/>
        </w:rPr>
        <w:t>.</w:t>
      </w:r>
    </w:p>
    <w:p w:rsidR="001F29F9" w:rsidRPr="006510F2" w:rsidRDefault="001F29F9" w:rsidP="001F29F9">
      <w:pPr>
        <w:autoSpaceDE w:val="0"/>
        <w:autoSpaceDN w:val="0"/>
        <w:adjustRightInd w:val="0"/>
        <w:ind w:left="851"/>
        <w:rPr>
          <w:b/>
          <w:bCs/>
          <w:sz w:val="24"/>
          <w:szCs w:val="24"/>
        </w:rPr>
      </w:pPr>
    </w:p>
    <w:p w:rsidR="001F29F9" w:rsidRPr="006510F2" w:rsidRDefault="001F29F9" w:rsidP="001F29F9">
      <w:pPr>
        <w:autoSpaceDE w:val="0"/>
        <w:autoSpaceDN w:val="0"/>
        <w:adjustRightInd w:val="0"/>
        <w:ind w:left="851" w:hanging="851"/>
        <w:rPr>
          <w:b/>
          <w:bCs/>
          <w:sz w:val="24"/>
          <w:szCs w:val="24"/>
        </w:rPr>
      </w:pPr>
      <w:r w:rsidRPr="006510F2">
        <w:rPr>
          <w:b/>
          <w:bCs/>
          <w:sz w:val="24"/>
          <w:szCs w:val="24"/>
        </w:rPr>
        <w:t>4.2</w:t>
      </w:r>
      <w:r w:rsidRPr="006510F2">
        <w:rPr>
          <w:b/>
          <w:bCs/>
          <w:sz w:val="24"/>
          <w:szCs w:val="24"/>
        </w:rPr>
        <w:tab/>
        <w:t xml:space="preserve">Dosering og </w:t>
      </w:r>
      <w:r w:rsidR="00E52120">
        <w:rPr>
          <w:b/>
          <w:bCs/>
          <w:sz w:val="24"/>
          <w:szCs w:val="24"/>
        </w:rPr>
        <w:t>administration</w:t>
      </w:r>
    </w:p>
    <w:p w:rsidR="00E52120" w:rsidRDefault="00E52120" w:rsidP="00E52120">
      <w:pPr>
        <w:widowControl w:val="0"/>
        <w:ind w:left="561" w:firstLine="290"/>
        <w:rPr>
          <w:b/>
          <w:bCs/>
          <w:sz w:val="24"/>
          <w:szCs w:val="24"/>
        </w:rPr>
      </w:pPr>
    </w:p>
    <w:p w:rsidR="00E52120" w:rsidRPr="00E52120" w:rsidRDefault="00E52120" w:rsidP="00E52120">
      <w:pPr>
        <w:widowControl w:val="0"/>
        <w:ind w:left="561" w:firstLine="290"/>
        <w:rPr>
          <w:b/>
          <w:bCs/>
          <w:sz w:val="24"/>
          <w:szCs w:val="24"/>
        </w:rPr>
      </w:pPr>
      <w:r w:rsidRPr="00E52120">
        <w:rPr>
          <w:b/>
          <w:bCs/>
          <w:sz w:val="24"/>
          <w:szCs w:val="24"/>
        </w:rPr>
        <w:t>Dosering</w:t>
      </w:r>
    </w:p>
    <w:p w:rsidR="00E52120" w:rsidRPr="00A619D7" w:rsidRDefault="00E52120" w:rsidP="00E52120">
      <w:pPr>
        <w:widowControl w:val="0"/>
        <w:ind w:left="561" w:firstLine="290"/>
        <w:rPr>
          <w:sz w:val="24"/>
          <w:szCs w:val="24"/>
        </w:rPr>
      </w:pPr>
    </w:p>
    <w:p w:rsidR="00E52120" w:rsidRPr="00A619D7" w:rsidRDefault="00E52120" w:rsidP="00E52120">
      <w:pPr>
        <w:ind w:left="561" w:firstLine="290"/>
        <w:rPr>
          <w:bCs/>
          <w:sz w:val="24"/>
          <w:szCs w:val="24"/>
          <w:u w:val="single"/>
        </w:rPr>
      </w:pPr>
      <w:r w:rsidRPr="00E52120">
        <w:rPr>
          <w:bCs/>
          <w:sz w:val="24"/>
          <w:szCs w:val="24"/>
          <w:u w:val="single"/>
        </w:rPr>
        <w:t>Voksne</w:t>
      </w:r>
    </w:p>
    <w:p w:rsidR="00E52120" w:rsidRPr="00EA7094" w:rsidRDefault="00E52120" w:rsidP="00E52120">
      <w:pPr>
        <w:ind w:left="561" w:firstLine="290"/>
        <w:rPr>
          <w:b/>
          <w:bCs/>
          <w:sz w:val="24"/>
          <w:szCs w:val="24"/>
        </w:rPr>
      </w:pPr>
    </w:p>
    <w:p w:rsidR="00E52120" w:rsidRPr="00E52120" w:rsidRDefault="00E52120" w:rsidP="00E52120">
      <w:pPr>
        <w:ind w:left="561" w:firstLine="290"/>
        <w:rPr>
          <w:i/>
          <w:iCs/>
          <w:sz w:val="24"/>
          <w:szCs w:val="24"/>
          <w:u w:val="single"/>
        </w:rPr>
      </w:pPr>
      <w:proofErr w:type="spellStart"/>
      <w:r w:rsidRPr="00E52120">
        <w:rPr>
          <w:i/>
          <w:iCs/>
          <w:sz w:val="24"/>
          <w:szCs w:val="24"/>
          <w:u w:val="single"/>
        </w:rPr>
        <w:t>Gastroøsofageal</w:t>
      </w:r>
      <w:proofErr w:type="spellEnd"/>
      <w:r w:rsidRPr="00E52120">
        <w:rPr>
          <w:i/>
          <w:iCs/>
          <w:sz w:val="24"/>
          <w:szCs w:val="24"/>
          <w:u w:val="single"/>
        </w:rPr>
        <w:t xml:space="preserve"> </w:t>
      </w:r>
      <w:proofErr w:type="spellStart"/>
      <w:r w:rsidRPr="00E52120">
        <w:rPr>
          <w:i/>
          <w:iCs/>
          <w:sz w:val="24"/>
          <w:szCs w:val="24"/>
          <w:u w:val="single"/>
        </w:rPr>
        <w:t>reflukssygdom</w:t>
      </w:r>
      <w:proofErr w:type="spellEnd"/>
      <w:r w:rsidRPr="00E52120">
        <w:rPr>
          <w:i/>
          <w:iCs/>
          <w:sz w:val="24"/>
          <w:szCs w:val="24"/>
          <w:u w:val="single"/>
        </w:rPr>
        <w:t xml:space="preserve"> (GERD)</w:t>
      </w:r>
    </w:p>
    <w:p w:rsidR="00E52120" w:rsidRPr="00E52120" w:rsidRDefault="00E52120" w:rsidP="00E52120">
      <w:pPr>
        <w:numPr>
          <w:ilvl w:val="0"/>
          <w:numId w:val="8"/>
        </w:numPr>
        <w:tabs>
          <w:tab w:val="clear" w:pos="1134"/>
          <w:tab w:val="num" w:pos="1695"/>
        </w:tabs>
        <w:ind w:left="1128" w:hanging="277"/>
        <w:rPr>
          <w:i/>
          <w:iCs/>
          <w:sz w:val="24"/>
          <w:szCs w:val="24"/>
        </w:rPr>
      </w:pPr>
      <w:r w:rsidRPr="00E52120">
        <w:rPr>
          <w:i/>
          <w:iCs/>
          <w:sz w:val="24"/>
          <w:szCs w:val="24"/>
        </w:rPr>
        <w:t xml:space="preserve">Behandling af </w:t>
      </w:r>
      <w:proofErr w:type="spellStart"/>
      <w:r w:rsidRPr="00E52120">
        <w:rPr>
          <w:i/>
          <w:iCs/>
          <w:sz w:val="24"/>
          <w:szCs w:val="24"/>
        </w:rPr>
        <w:t>erosiv</w:t>
      </w:r>
      <w:proofErr w:type="spellEnd"/>
      <w:r w:rsidRPr="00E52120">
        <w:rPr>
          <w:i/>
          <w:iCs/>
          <w:sz w:val="24"/>
          <w:szCs w:val="24"/>
        </w:rPr>
        <w:t xml:space="preserve"> </w:t>
      </w:r>
      <w:proofErr w:type="spellStart"/>
      <w:r w:rsidRPr="00E52120">
        <w:rPr>
          <w:i/>
          <w:iCs/>
          <w:sz w:val="24"/>
          <w:szCs w:val="24"/>
        </w:rPr>
        <w:t>refluksøsofagit</w:t>
      </w:r>
      <w:proofErr w:type="spellEnd"/>
    </w:p>
    <w:p w:rsidR="00E52120" w:rsidRPr="00EA7094" w:rsidRDefault="00E52120" w:rsidP="00E52120">
      <w:pPr>
        <w:ind w:left="1128"/>
        <w:rPr>
          <w:sz w:val="24"/>
          <w:szCs w:val="24"/>
        </w:rPr>
      </w:pPr>
      <w:r w:rsidRPr="00A619D7">
        <w:rPr>
          <w:sz w:val="24"/>
          <w:szCs w:val="24"/>
        </w:rPr>
        <w:t>40 mg en gang daglig i 4 uger.</w:t>
      </w:r>
    </w:p>
    <w:p w:rsidR="00E52120" w:rsidRPr="00A619D7" w:rsidRDefault="00E52120" w:rsidP="00E52120">
      <w:pPr>
        <w:ind w:left="1128"/>
        <w:rPr>
          <w:sz w:val="24"/>
          <w:szCs w:val="24"/>
        </w:rPr>
      </w:pPr>
      <w:r w:rsidRPr="00A619D7">
        <w:rPr>
          <w:sz w:val="24"/>
          <w:szCs w:val="24"/>
        </w:rPr>
        <w:t xml:space="preserve">Yderligere 4 ugers behandling anbefales til patienter, hos hvem </w:t>
      </w:r>
      <w:proofErr w:type="spellStart"/>
      <w:r w:rsidRPr="00A619D7">
        <w:rPr>
          <w:sz w:val="24"/>
          <w:szCs w:val="24"/>
        </w:rPr>
        <w:t>øsofagitten</w:t>
      </w:r>
      <w:proofErr w:type="spellEnd"/>
      <w:r w:rsidRPr="00A619D7">
        <w:rPr>
          <w:sz w:val="24"/>
          <w:szCs w:val="24"/>
        </w:rPr>
        <w:t xml:space="preserve"> ikke er helet, eller som har persisterende symptomer.</w:t>
      </w:r>
    </w:p>
    <w:p w:rsidR="00E52120" w:rsidRPr="00A619D7" w:rsidRDefault="00E52120" w:rsidP="00E52120">
      <w:pPr>
        <w:ind w:left="567"/>
        <w:rPr>
          <w:sz w:val="24"/>
          <w:szCs w:val="24"/>
        </w:rPr>
      </w:pPr>
    </w:p>
    <w:p w:rsidR="00E52120" w:rsidRPr="00E52120" w:rsidRDefault="00E52120" w:rsidP="00E52120">
      <w:pPr>
        <w:numPr>
          <w:ilvl w:val="0"/>
          <w:numId w:val="8"/>
        </w:numPr>
        <w:ind w:left="851" w:firstLine="0"/>
        <w:rPr>
          <w:i/>
          <w:iCs/>
          <w:sz w:val="24"/>
          <w:szCs w:val="24"/>
        </w:rPr>
      </w:pPr>
      <w:r w:rsidRPr="00E52120">
        <w:rPr>
          <w:i/>
          <w:iCs/>
          <w:sz w:val="24"/>
          <w:szCs w:val="24"/>
        </w:rPr>
        <w:t xml:space="preserve">Langtidsbehandling af patienter med helet </w:t>
      </w:r>
      <w:proofErr w:type="spellStart"/>
      <w:r w:rsidRPr="00E52120">
        <w:rPr>
          <w:i/>
          <w:iCs/>
          <w:sz w:val="24"/>
          <w:szCs w:val="24"/>
        </w:rPr>
        <w:t>øsofagit</w:t>
      </w:r>
      <w:proofErr w:type="spellEnd"/>
      <w:r w:rsidRPr="00E52120">
        <w:rPr>
          <w:i/>
          <w:iCs/>
          <w:sz w:val="24"/>
          <w:szCs w:val="24"/>
        </w:rPr>
        <w:t xml:space="preserve"> til forebyggelse af recidiv</w:t>
      </w:r>
    </w:p>
    <w:p w:rsidR="00E52120" w:rsidRPr="00EA7094" w:rsidRDefault="00E52120" w:rsidP="00E52120">
      <w:pPr>
        <w:ind w:left="709" w:firstLine="453"/>
        <w:rPr>
          <w:sz w:val="24"/>
          <w:szCs w:val="24"/>
        </w:rPr>
      </w:pPr>
      <w:r w:rsidRPr="00A619D7">
        <w:rPr>
          <w:sz w:val="24"/>
          <w:szCs w:val="24"/>
        </w:rPr>
        <w:t>20 mg en gang daglig.</w:t>
      </w:r>
    </w:p>
    <w:p w:rsidR="00E52120" w:rsidRPr="00A619D7" w:rsidRDefault="00E52120" w:rsidP="00E52120">
      <w:pPr>
        <w:ind w:left="851"/>
        <w:rPr>
          <w:sz w:val="24"/>
          <w:szCs w:val="24"/>
        </w:rPr>
      </w:pPr>
    </w:p>
    <w:p w:rsidR="00E52120" w:rsidRPr="00E52120" w:rsidRDefault="00E52120" w:rsidP="00E52120">
      <w:pPr>
        <w:numPr>
          <w:ilvl w:val="0"/>
          <w:numId w:val="8"/>
        </w:numPr>
        <w:ind w:left="851" w:firstLine="0"/>
        <w:rPr>
          <w:i/>
          <w:iCs/>
          <w:sz w:val="24"/>
          <w:szCs w:val="24"/>
        </w:rPr>
      </w:pPr>
      <w:r w:rsidRPr="00E52120">
        <w:rPr>
          <w:i/>
          <w:iCs/>
          <w:sz w:val="24"/>
          <w:szCs w:val="24"/>
        </w:rPr>
        <w:t xml:space="preserve">Symptomatisk behandling af </w:t>
      </w:r>
      <w:proofErr w:type="spellStart"/>
      <w:r w:rsidRPr="00E52120">
        <w:rPr>
          <w:i/>
          <w:iCs/>
          <w:sz w:val="24"/>
          <w:szCs w:val="24"/>
        </w:rPr>
        <w:t>gastroøsofageal</w:t>
      </w:r>
      <w:proofErr w:type="spellEnd"/>
      <w:r w:rsidRPr="00E52120">
        <w:rPr>
          <w:i/>
          <w:iCs/>
          <w:sz w:val="24"/>
          <w:szCs w:val="24"/>
        </w:rPr>
        <w:t xml:space="preserve"> </w:t>
      </w:r>
      <w:proofErr w:type="spellStart"/>
      <w:r w:rsidRPr="00E52120">
        <w:rPr>
          <w:i/>
          <w:iCs/>
          <w:sz w:val="24"/>
          <w:szCs w:val="24"/>
        </w:rPr>
        <w:t>reflukssygdom</w:t>
      </w:r>
      <w:proofErr w:type="spellEnd"/>
      <w:r w:rsidRPr="00E52120">
        <w:rPr>
          <w:i/>
          <w:iCs/>
          <w:sz w:val="24"/>
          <w:szCs w:val="24"/>
        </w:rPr>
        <w:t xml:space="preserve"> (GERD)</w:t>
      </w:r>
    </w:p>
    <w:p w:rsidR="00E52120" w:rsidRPr="00A619D7" w:rsidRDefault="00E52120" w:rsidP="00E52120">
      <w:pPr>
        <w:ind w:left="1134"/>
        <w:rPr>
          <w:sz w:val="24"/>
          <w:szCs w:val="24"/>
        </w:rPr>
      </w:pPr>
      <w:r w:rsidRPr="00A619D7">
        <w:rPr>
          <w:sz w:val="24"/>
          <w:szCs w:val="24"/>
        </w:rPr>
        <w:t xml:space="preserve">20 mg en gang daglig hos patienter uden </w:t>
      </w:r>
      <w:proofErr w:type="spellStart"/>
      <w:r w:rsidRPr="00A619D7">
        <w:rPr>
          <w:sz w:val="24"/>
          <w:szCs w:val="24"/>
        </w:rPr>
        <w:t>øsofagit</w:t>
      </w:r>
      <w:proofErr w:type="spellEnd"/>
      <w:r w:rsidRPr="00A619D7">
        <w:rPr>
          <w:sz w:val="24"/>
          <w:szCs w:val="24"/>
        </w:rPr>
        <w:t>. Hvis der ikke er opnået symptomkontrol efter 4 uger, bør patienten undersøges yderligere. Når symptomerne har fortaget sig, kan efterfølgende</w:t>
      </w:r>
      <w:r w:rsidRPr="00EA7094">
        <w:rPr>
          <w:sz w:val="24"/>
          <w:szCs w:val="24"/>
        </w:rPr>
        <w:t xml:space="preserve"> symptomkontrol opnås ved indtagelse af </w:t>
      </w:r>
      <w:r w:rsidRPr="00A619D7">
        <w:rPr>
          <w:sz w:val="24"/>
          <w:szCs w:val="24"/>
        </w:rPr>
        <w:t>20 mg en gang daglig</w:t>
      </w:r>
      <w:r w:rsidRPr="00E52120">
        <w:rPr>
          <w:sz w:val="24"/>
          <w:szCs w:val="24"/>
        </w:rPr>
        <w:t>. Et efter-behov-</w:t>
      </w:r>
      <w:r w:rsidRPr="00A619D7">
        <w:rPr>
          <w:sz w:val="24"/>
          <w:szCs w:val="24"/>
        </w:rPr>
        <w:t xml:space="preserve">regime med indtagelse af 20 mg en gang daglig, når det er nødvendigt. Hos NSAID-behandlede patienter, der har risiko for udvikling af gastriske </w:t>
      </w:r>
      <w:r w:rsidRPr="00A619D7">
        <w:rPr>
          <w:sz w:val="24"/>
          <w:szCs w:val="24"/>
        </w:rPr>
        <w:lastRenderedPageBreak/>
        <w:t xml:space="preserve">og </w:t>
      </w:r>
      <w:proofErr w:type="spellStart"/>
      <w:r w:rsidRPr="00A619D7">
        <w:rPr>
          <w:sz w:val="24"/>
          <w:szCs w:val="24"/>
        </w:rPr>
        <w:t>duodenale</w:t>
      </w:r>
      <w:proofErr w:type="spellEnd"/>
      <w:r w:rsidRPr="00A619D7">
        <w:rPr>
          <w:sz w:val="24"/>
          <w:szCs w:val="24"/>
        </w:rPr>
        <w:t xml:space="preserve"> </w:t>
      </w:r>
      <w:proofErr w:type="spellStart"/>
      <w:r w:rsidRPr="00A619D7">
        <w:rPr>
          <w:sz w:val="24"/>
          <w:szCs w:val="24"/>
        </w:rPr>
        <w:t>ulcera</w:t>
      </w:r>
      <w:proofErr w:type="spellEnd"/>
      <w:r w:rsidRPr="00A619D7">
        <w:rPr>
          <w:sz w:val="24"/>
          <w:szCs w:val="24"/>
        </w:rPr>
        <w:t>, frarådes anvendelse af et efter-behov-regime til efterfølgende symptomkontrol.</w:t>
      </w:r>
    </w:p>
    <w:p w:rsidR="00E52120" w:rsidRPr="00A619D7" w:rsidRDefault="00E52120" w:rsidP="00E52120">
      <w:pPr>
        <w:ind w:left="851"/>
        <w:rPr>
          <w:b/>
          <w:bCs/>
          <w:sz w:val="24"/>
          <w:szCs w:val="24"/>
        </w:rPr>
      </w:pPr>
    </w:p>
    <w:p w:rsidR="00E52120" w:rsidRPr="00E52120" w:rsidRDefault="00E52120" w:rsidP="00E52120">
      <w:pPr>
        <w:ind w:left="851"/>
        <w:rPr>
          <w:i/>
          <w:iCs/>
          <w:sz w:val="24"/>
          <w:szCs w:val="24"/>
          <w:u w:val="single"/>
        </w:rPr>
      </w:pPr>
      <w:r w:rsidRPr="00E52120">
        <w:rPr>
          <w:i/>
          <w:iCs/>
          <w:sz w:val="24"/>
          <w:szCs w:val="24"/>
          <w:u w:val="single"/>
        </w:rPr>
        <w:t xml:space="preserve">I kombination med passende antibakterielle behandlingsregimer til </w:t>
      </w:r>
      <w:proofErr w:type="spellStart"/>
      <w:r w:rsidRPr="00E52120">
        <w:rPr>
          <w:i/>
          <w:iCs/>
          <w:sz w:val="24"/>
          <w:szCs w:val="24"/>
          <w:u w:val="single"/>
        </w:rPr>
        <w:t>eradikation</w:t>
      </w:r>
      <w:proofErr w:type="spellEnd"/>
      <w:r w:rsidRPr="00E52120">
        <w:rPr>
          <w:i/>
          <w:iCs/>
          <w:sz w:val="24"/>
          <w:szCs w:val="24"/>
          <w:u w:val="single"/>
        </w:rPr>
        <w:t xml:space="preserve"> af </w:t>
      </w:r>
      <w:proofErr w:type="spellStart"/>
      <w:r w:rsidRPr="00E52120">
        <w:rPr>
          <w:i/>
          <w:iCs/>
          <w:sz w:val="24"/>
          <w:szCs w:val="24"/>
          <w:u w:val="single"/>
        </w:rPr>
        <w:t>Helicobacter</w:t>
      </w:r>
      <w:proofErr w:type="spellEnd"/>
      <w:r w:rsidRPr="00E52120">
        <w:rPr>
          <w:i/>
          <w:iCs/>
          <w:sz w:val="24"/>
          <w:szCs w:val="24"/>
          <w:u w:val="single"/>
        </w:rPr>
        <w:t xml:space="preserve"> </w:t>
      </w:r>
      <w:proofErr w:type="spellStart"/>
      <w:r w:rsidRPr="00E52120">
        <w:rPr>
          <w:i/>
          <w:iCs/>
          <w:sz w:val="24"/>
          <w:szCs w:val="24"/>
          <w:u w:val="single"/>
        </w:rPr>
        <w:t>pylori</w:t>
      </w:r>
      <w:proofErr w:type="spellEnd"/>
      <w:r w:rsidRPr="00E52120">
        <w:rPr>
          <w:i/>
          <w:iCs/>
          <w:sz w:val="24"/>
          <w:szCs w:val="24"/>
          <w:u w:val="single"/>
        </w:rPr>
        <w:t xml:space="preserve"> og</w:t>
      </w:r>
    </w:p>
    <w:p w:rsidR="00E52120" w:rsidRPr="00E52120" w:rsidRDefault="00E52120" w:rsidP="00E52120">
      <w:pPr>
        <w:numPr>
          <w:ilvl w:val="0"/>
          <w:numId w:val="9"/>
        </w:numPr>
        <w:ind w:left="851" w:firstLine="0"/>
        <w:rPr>
          <w:i/>
          <w:iCs/>
          <w:sz w:val="24"/>
          <w:szCs w:val="24"/>
        </w:rPr>
      </w:pPr>
      <w:r w:rsidRPr="00E52120">
        <w:rPr>
          <w:i/>
          <w:iCs/>
          <w:sz w:val="24"/>
          <w:szCs w:val="24"/>
        </w:rPr>
        <w:t xml:space="preserve">Heling af </w:t>
      </w:r>
      <w:proofErr w:type="spellStart"/>
      <w:r w:rsidRPr="00A619D7">
        <w:rPr>
          <w:i/>
          <w:iCs/>
          <w:sz w:val="24"/>
          <w:szCs w:val="24"/>
        </w:rPr>
        <w:t>Helicobacter</w:t>
      </w:r>
      <w:proofErr w:type="spellEnd"/>
      <w:r w:rsidRPr="00A619D7">
        <w:rPr>
          <w:i/>
          <w:iCs/>
          <w:sz w:val="24"/>
          <w:szCs w:val="24"/>
        </w:rPr>
        <w:t xml:space="preserve"> </w:t>
      </w:r>
      <w:proofErr w:type="spellStart"/>
      <w:r w:rsidRPr="00A619D7">
        <w:rPr>
          <w:i/>
          <w:iCs/>
          <w:sz w:val="24"/>
          <w:szCs w:val="24"/>
        </w:rPr>
        <w:t>pylori</w:t>
      </w:r>
      <w:proofErr w:type="spellEnd"/>
      <w:r w:rsidRPr="00E52120">
        <w:rPr>
          <w:i/>
          <w:iCs/>
          <w:sz w:val="24"/>
          <w:szCs w:val="24"/>
        </w:rPr>
        <w:t xml:space="preserve">-forbundet, </w:t>
      </w:r>
      <w:proofErr w:type="spellStart"/>
      <w:r w:rsidRPr="00E52120">
        <w:rPr>
          <w:i/>
          <w:iCs/>
          <w:sz w:val="24"/>
          <w:szCs w:val="24"/>
        </w:rPr>
        <w:t>duodenalt</w:t>
      </w:r>
      <w:proofErr w:type="spellEnd"/>
      <w:r w:rsidRPr="00E52120">
        <w:rPr>
          <w:i/>
          <w:iCs/>
          <w:sz w:val="24"/>
          <w:szCs w:val="24"/>
        </w:rPr>
        <w:t xml:space="preserve"> </w:t>
      </w:r>
      <w:proofErr w:type="spellStart"/>
      <w:r w:rsidRPr="00E52120">
        <w:rPr>
          <w:i/>
          <w:iCs/>
          <w:sz w:val="24"/>
          <w:szCs w:val="24"/>
        </w:rPr>
        <w:t>ulcer</w:t>
      </w:r>
      <w:proofErr w:type="spellEnd"/>
      <w:r w:rsidRPr="00E52120">
        <w:rPr>
          <w:i/>
          <w:iCs/>
          <w:sz w:val="24"/>
          <w:szCs w:val="24"/>
        </w:rPr>
        <w:t xml:space="preserve"> og</w:t>
      </w:r>
    </w:p>
    <w:p w:rsidR="00E52120" w:rsidRPr="00E52120" w:rsidRDefault="00E52120" w:rsidP="00E52120">
      <w:pPr>
        <w:numPr>
          <w:ilvl w:val="0"/>
          <w:numId w:val="9"/>
        </w:numPr>
        <w:ind w:hanging="283"/>
        <w:rPr>
          <w:i/>
          <w:iCs/>
          <w:sz w:val="24"/>
          <w:szCs w:val="24"/>
        </w:rPr>
      </w:pPr>
      <w:r w:rsidRPr="00E52120">
        <w:rPr>
          <w:i/>
          <w:iCs/>
          <w:sz w:val="24"/>
          <w:szCs w:val="24"/>
        </w:rPr>
        <w:t xml:space="preserve">Forebyggelse af recidiv af </w:t>
      </w:r>
      <w:proofErr w:type="spellStart"/>
      <w:r w:rsidRPr="00E52120">
        <w:rPr>
          <w:i/>
          <w:iCs/>
          <w:sz w:val="24"/>
          <w:szCs w:val="24"/>
        </w:rPr>
        <w:t>peptiske</w:t>
      </w:r>
      <w:proofErr w:type="spellEnd"/>
      <w:r w:rsidRPr="00E52120">
        <w:rPr>
          <w:i/>
          <w:iCs/>
          <w:sz w:val="24"/>
          <w:szCs w:val="24"/>
        </w:rPr>
        <w:t xml:space="preserve"> </w:t>
      </w:r>
      <w:proofErr w:type="spellStart"/>
      <w:r w:rsidRPr="00E52120">
        <w:rPr>
          <w:i/>
          <w:iCs/>
          <w:sz w:val="24"/>
          <w:szCs w:val="24"/>
        </w:rPr>
        <w:t>ulcera</w:t>
      </w:r>
      <w:proofErr w:type="spellEnd"/>
      <w:r w:rsidRPr="00E52120">
        <w:rPr>
          <w:i/>
          <w:iCs/>
          <w:sz w:val="24"/>
          <w:szCs w:val="24"/>
        </w:rPr>
        <w:t xml:space="preserve"> hos patienter med </w:t>
      </w:r>
      <w:proofErr w:type="spellStart"/>
      <w:r w:rsidRPr="00A619D7">
        <w:rPr>
          <w:i/>
          <w:iCs/>
          <w:sz w:val="24"/>
          <w:szCs w:val="24"/>
        </w:rPr>
        <w:t>Helicobacter</w:t>
      </w:r>
      <w:proofErr w:type="spellEnd"/>
      <w:r w:rsidRPr="00A619D7">
        <w:rPr>
          <w:i/>
          <w:iCs/>
          <w:sz w:val="24"/>
          <w:szCs w:val="24"/>
        </w:rPr>
        <w:t xml:space="preserve"> </w:t>
      </w:r>
      <w:proofErr w:type="spellStart"/>
      <w:r w:rsidRPr="00A619D7">
        <w:rPr>
          <w:i/>
          <w:iCs/>
          <w:sz w:val="24"/>
          <w:szCs w:val="24"/>
        </w:rPr>
        <w:t>pylori</w:t>
      </w:r>
      <w:proofErr w:type="spellEnd"/>
      <w:r w:rsidRPr="00E52120">
        <w:rPr>
          <w:i/>
          <w:iCs/>
          <w:sz w:val="24"/>
          <w:szCs w:val="24"/>
        </w:rPr>
        <w:t xml:space="preserve">-forbundne </w:t>
      </w:r>
      <w:proofErr w:type="spellStart"/>
      <w:r w:rsidRPr="00E52120">
        <w:rPr>
          <w:i/>
          <w:iCs/>
          <w:sz w:val="24"/>
          <w:szCs w:val="24"/>
        </w:rPr>
        <w:t>ulcera</w:t>
      </w:r>
      <w:proofErr w:type="spellEnd"/>
      <w:r w:rsidRPr="00E52120">
        <w:rPr>
          <w:i/>
          <w:iCs/>
          <w:sz w:val="24"/>
          <w:szCs w:val="24"/>
        </w:rPr>
        <w:t>.</w:t>
      </w:r>
    </w:p>
    <w:p w:rsidR="00E52120" w:rsidRPr="00A619D7" w:rsidRDefault="00E52120" w:rsidP="00E52120">
      <w:pPr>
        <w:ind w:left="851"/>
        <w:rPr>
          <w:sz w:val="24"/>
          <w:szCs w:val="24"/>
          <w:lang w:eastAsia="de-CH"/>
        </w:rPr>
      </w:pPr>
    </w:p>
    <w:p w:rsidR="00E52120" w:rsidRPr="00A619D7" w:rsidRDefault="00E52120" w:rsidP="00E52120">
      <w:pPr>
        <w:ind w:left="851"/>
        <w:rPr>
          <w:sz w:val="24"/>
          <w:szCs w:val="24"/>
          <w:lang w:eastAsia="pt-PT"/>
        </w:rPr>
      </w:pPr>
      <w:r w:rsidRPr="00EA7094">
        <w:rPr>
          <w:sz w:val="24"/>
          <w:szCs w:val="24"/>
        </w:rPr>
        <w:t xml:space="preserve">20 mg </w:t>
      </w:r>
      <w:proofErr w:type="spellStart"/>
      <w:r w:rsidRPr="00EA7094">
        <w:rPr>
          <w:sz w:val="24"/>
          <w:szCs w:val="24"/>
        </w:rPr>
        <w:t>esomeprazol</w:t>
      </w:r>
      <w:proofErr w:type="spellEnd"/>
      <w:r w:rsidRPr="00EA7094">
        <w:rPr>
          <w:sz w:val="24"/>
          <w:szCs w:val="24"/>
        </w:rPr>
        <w:t xml:space="preserve"> med 1 g </w:t>
      </w:r>
      <w:proofErr w:type="spellStart"/>
      <w:r w:rsidRPr="00EA7094">
        <w:rPr>
          <w:sz w:val="24"/>
          <w:szCs w:val="24"/>
        </w:rPr>
        <w:t>amoxicillin</w:t>
      </w:r>
      <w:proofErr w:type="spellEnd"/>
      <w:r w:rsidRPr="00EA7094">
        <w:rPr>
          <w:sz w:val="24"/>
          <w:szCs w:val="24"/>
        </w:rPr>
        <w:t xml:space="preserve"> og 500 mg </w:t>
      </w:r>
      <w:proofErr w:type="spellStart"/>
      <w:r w:rsidRPr="00EA7094">
        <w:rPr>
          <w:sz w:val="24"/>
          <w:szCs w:val="24"/>
        </w:rPr>
        <w:t>clarithromycin</w:t>
      </w:r>
      <w:proofErr w:type="spellEnd"/>
      <w:r w:rsidRPr="00EA7094">
        <w:rPr>
          <w:sz w:val="24"/>
          <w:szCs w:val="24"/>
        </w:rPr>
        <w:t>, alle to gange daglig i 7 dage.</w:t>
      </w:r>
    </w:p>
    <w:p w:rsidR="00E52120" w:rsidRPr="00A619D7" w:rsidRDefault="00E52120" w:rsidP="00E52120">
      <w:pPr>
        <w:pStyle w:val="NormalWeb"/>
        <w:spacing w:before="0" w:beforeAutospacing="0" w:after="0" w:afterAutospacing="0"/>
        <w:ind w:left="851"/>
        <w:rPr>
          <w:b/>
          <w:bCs/>
          <w:lang w:val="da-DK"/>
        </w:rPr>
      </w:pPr>
    </w:p>
    <w:p w:rsidR="00E52120" w:rsidRPr="00E52120" w:rsidRDefault="00E52120" w:rsidP="00E52120">
      <w:pPr>
        <w:pStyle w:val="NormalWeb"/>
        <w:spacing w:before="0" w:beforeAutospacing="0" w:after="0" w:afterAutospacing="0"/>
        <w:ind w:left="851"/>
        <w:rPr>
          <w:i/>
          <w:iCs/>
          <w:u w:val="single"/>
          <w:lang w:val="da-DK"/>
        </w:rPr>
      </w:pPr>
      <w:r w:rsidRPr="00E52120">
        <w:rPr>
          <w:i/>
          <w:iCs/>
          <w:u w:val="single"/>
          <w:lang w:val="da-DK"/>
        </w:rPr>
        <w:t>Patienter, der har behov for fortsat NSAID-behandling</w:t>
      </w:r>
    </w:p>
    <w:p w:rsidR="00E52120" w:rsidRPr="00E52120" w:rsidRDefault="00E52120" w:rsidP="00E52120">
      <w:pPr>
        <w:pStyle w:val="Listeafsnit"/>
        <w:numPr>
          <w:ilvl w:val="0"/>
          <w:numId w:val="11"/>
        </w:numPr>
        <w:ind w:left="1134" w:hanging="283"/>
        <w:rPr>
          <w:i/>
          <w:iCs/>
          <w:sz w:val="24"/>
          <w:szCs w:val="24"/>
        </w:rPr>
      </w:pPr>
      <w:r w:rsidRPr="00E52120">
        <w:rPr>
          <w:i/>
          <w:iCs/>
          <w:sz w:val="24"/>
          <w:szCs w:val="24"/>
        </w:rPr>
        <w:t xml:space="preserve">Heling af gastriske </w:t>
      </w:r>
      <w:proofErr w:type="spellStart"/>
      <w:r w:rsidRPr="00E52120">
        <w:rPr>
          <w:i/>
          <w:iCs/>
          <w:sz w:val="24"/>
          <w:szCs w:val="24"/>
        </w:rPr>
        <w:t>ulcera</w:t>
      </w:r>
      <w:proofErr w:type="spellEnd"/>
      <w:r w:rsidRPr="00E52120">
        <w:rPr>
          <w:i/>
          <w:iCs/>
          <w:sz w:val="24"/>
          <w:szCs w:val="24"/>
        </w:rPr>
        <w:t>, der er forbundet med NSAID-behandling</w:t>
      </w:r>
    </w:p>
    <w:p w:rsidR="00E52120" w:rsidRPr="00EA7094" w:rsidRDefault="00E52120" w:rsidP="00E52120">
      <w:pPr>
        <w:ind w:left="1134"/>
        <w:rPr>
          <w:sz w:val="24"/>
          <w:szCs w:val="24"/>
        </w:rPr>
      </w:pPr>
      <w:r w:rsidRPr="00A619D7">
        <w:rPr>
          <w:sz w:val="24"/>
          <w:szCs w:val="24"/>
        </w:rPr>
        <w:t>Den sædvanlige dosis er 20 mg en gang daglig. Behandlingsvarigheden er 4</w:t>
      </w:r>
      <w:r w:rsidRPr="00A619D7">
        <w:rPr>
          <w:sz w:val="24"/>
          <w:szCs w:val="24"/>
        </w:rPr>
        <w:noBreakHyphen/>
        <w:t>8 uger.</w:t>
      </w:r>
    </w:p>
    <w:p w:rsidR="00E52120" w:rsidRPr="00A619D7" w:rsidRDefault="00E52120" w:rsidP="00E52120">
      <w:pPr>
        <w:ind w:left="851"/>
        <w:rPr>
          <w:sz w:val="24"/>
          <w:szCs w:val="24"/>
        </w:rPr>
      </w:pPr>
    </w:p>
    <w:p w:rsidR="00E52120" w:rsidRPr="00E52120" w:rsidRDefault="00E52120" w:rsidP="00E52120">
      <w:pPr>
        <w:pStyle w:val="Listeafsnit"/>
        <w:numPr>
          <w:ilvl w:val="0"/>
          <w:numId w:val="11"/>
        </w:numPr>
        <w:ind w:left="1134"/>
        <w:rPr>
          <w:i/>
          <w:iCs/>
          <w:sz w:val="24"/>
          <w:szCs w:val="24"/>
        </w:rPr>
      </w:pPr>
      <w:r w:rsidRPr="00E52120">
        <w:rPr>
          <w:i/>
          <w:iCs/>
          <w:sz w:val="24"/>
          <w:szCs w:val="24"/>
        </w:rPr>
        <w:t xml:space="preserve">Forebyggelse af gastriske og </w:t>
      </w:r>
      <w:proofErr w:type="spellStart"/>
      <w:r w:rsidRPr="00E52120">
        <w:rPr>
          <w:i/>
          <w:iCs/>
          <w:sz w:val="24"/>
          <w:szCs w:val="24"/>
        </w:rPr>
        <w:t>duodenale</w:t>
      </w:r>
      <w:proofErr w:type="spellEnd"/>
      <w:r w:rsidRPr="00E52120">
        <w:rPr>
          <w:i/>
          <w:iCs/>
          <w:sz w:val="24"/>
          <w:szCs w:val="24"/>
        </w:rPr>
        <w:t xml:space="preserve"> </w:t>
      </w:r>
      <w:proofErr w:type="spellStart"/>
      <w:r w:rsidRPr="00E52120">
        <w:rPr>
          <w:i/>
          <w:iCs/>
          <w:sz w:val="24"/>
          <w:szCs w:val="24"/>
        </w:rPr>
        <w:t>ulcera</w:t>
      </w:r>
      <w:proofErr w:type="spellEnd"/>
      <w:r w:rsidRPr="00E52120">
        <w:rPr>
          <w:i/>
          <w:iCs/>
          <w:sz w:val="24"/>
          <w:szCs w:val="24"/>
        </w:rPr>
        <w:t xml:space="preserve">, der er forbundet med NSAID-behandling, hos risikopatienter </w:t>
      </w:r>
    </w:p>
    <w:p w:rsidR="00E52120" w:rsidRPr="00A619D7" w:rsidRDefault="00E52120" w:rsidP="00E52120">
      <w:pPr>
        <w:ind w:left="1134"/>
        <w:rPr>
          <w:sz w:val="24"/>
          <w:szCs w:val="24"/>
        </w:rPr>
      </w:pPr>
      <w:r w:rsidRPr="00A619D7">
        <w:rPr>
          <w:sz w:val="24"/>
          <w:szCs w:val="24"/>
        </w:rPr>
        <w:t xml:space="preserve">20 mg </w:t>
      </w:r>
      <w:r w:rsidRPr="00EA7094">
        <w:rPr>
          <w:sz w:val="24"/>
          <w:szCs w:val="24"/>
        </w:rPr>
        <w:t>en gang daglig.</w:t>
      </w:r>
    </w:p>
    <w:p w:rsidR="00E52120" w:rsidRPr="00A619D7" w:rsidRDefault="00E52120" w:rsidP="00E52120">
      <w:pPr>
        <w:ind w:left="851"/>
        <w:rPr>
          <w:b/>
          <w:bCs/>
          <w:sz w:val="24"/>
          <w:szCs w:val="24"/>
        </w:rPr>
      </w:pPr>
    </w:p>
    <w:p w:rsidR="00E52120" w:rsidRPr="00E52120" w:rsidRDefault="00E52120" w:rsidP="00E52120">
      <w:pPr>
        <w:ind w:left="851"/>
        <w:rPr>
          <w:i/>
          <w:iCs/>
          <w:sz w:val="24"/>
          <w:szCs w:val="24"/>
          <w:u w:val="single"/>
        </w:rPr>
      </w:pPr>
      <w:r w:rsidRPr="00E52120">
        <w:rPr>
          <w:i/>
          <w:iCs/>
          <w:sz w:val="24"/>
          <w:szCs w:val="24"/>
          <w:u w:val="single"/>
        </w:rPr>
        <w:t xml:space="preserve">Langvarig behandling efter IV-induceret forebyggelse af fornyet blødning fra </w:t>
      </w:r>
      <w:proofErr w:type="spellStart"/>
      <w:r w:rsidRPr="00E52120">
        <w:rPr>
          <w:i/>
          <w:iCs/>
          <w:sz w:val="24"/>
          <w:szCs w:val="24"/>
          <w:u w:val="single"/>
        </w:rPr>
        <w:t>peptiske</w:t>
      </w:r>
      <w:proofErr w:type="spellEnd"/>
      <w:r w:rsidRPr="00E52120">
        <w:rPr>
          <w:i/>
          <w:iCs/>
          <w:sz w:val="24"/>
          <w:szCs w:val="24"/>
          <w:u w:val="single"/>
        </w:rPr>
        <w:t xml:space="preserve"> </w:t>
      </w:r>
      <w:proofErr w:type="spellStart"/>
      <w:r w:rsidRPr="00E52120">
        <w:rPr>
          <w:i/>
          <w:iCs/>
          <w:sz w:val="24"/>
          <w:szCs w:val="24"/>
          <w:u w:val="single"/>
        </w:rPr>
        <w:t>ulcera</w:t>
      </w:r>
      <w:proofErr w:type="spellEnd"/>
    </w:p>
    <w:p w:rsidR="00E52120" w:rsidRPr="00A619D7" w:rsidRDefault="00E52120" w:rsidP="00E52120">
      <w:pPr>
        <w:ind w:left="851"/>
        <w:rPr>
          <w:sz w:val="24"/>
          <w:szCs w:val="24"/>
        </w:rPr>
      </w:pPr>
      <w:r w:rsidRPr="00EA7094">
        <w:rPr>
          <w:sz w:val="24"/>
          <w:szCs w:val="24"/>
        </w:rPr>
        <w:t xml:space="preserve">40 mg en gang daglig i 4 uger efter IV-induceret forebyggelse af fornyet blødning fra </w:t>
      </w:r>
      <w:proofErr w:type="spellStart"/>
      <w:r w:rsidRPr="00EA7094">
        <w:rPr>
          <w:sz w:val="24"/>
          <w:szCs w:val="24"/>
        </w:rPr>
        <w:t>peptiske</w:t>
      </w:r>
      <w:proofErr w:type="spellEnd"/>
      <w:r w:rsidRPr="00EA7094">
        <w:rPr>
          <w:sz w:val="24"/>
          <w:szCs w:val="24"/>
        </w:rPr>
        <w:t xml:space="preserve"> </w:t>
      </w:r>
      <w:proofErr w:type="spellStart"/>
      <w:r w:rsidRPr="00EA7094">
        <w:rPr>
          <w:sz w:val="24"/>
          <w:szCs w:val="24"/>
        </w:rPr>
        <w:t>ulcera</w:t>
      </w:r>
      <w:proofErr w:type="spellEnd"/>
      <w:r w:rsidRPr="00EA7094">
        <w:rPr>
          <w:sz w:val="24"/>
          <w:szCs w:val="24"/>
        </w:rPr>
        <w:t>.</w:t>
      </w:r>
    </w:p>
    <w:p w:rsidR="00E52120" w:rsidRPr="00A619D7" w:rsidRDefault="00E52120" w:rsidP="00E52120">
      <w:pPr>
        <w:ind w:left="851"/>
        <w:rPr>
          <w:b/>
          <w:bCs/>
          <w:sz w:val="24"/>
          <w:szCs w:val="24"/>
        </w:rPr>
      </w:pPr>
    </w:p>
    <w:p w:rsidR="00E52120" w:rsidRPr="00E52120" w:rsidRDefault="00E52120" w:rsidP="00E52120">
      <w:pPr>
        <w:ind w:left="851"/>
        <w:rPr>
          <w:i/>
          <w:iCs/>
          <w:sz w:val="24"/>
          <w:szCs w:val="24"/>
          <w:u w:val="single"/>
        </w:rPr>
      </w:pPr>
      <w:r w:rsidRPr="00E52120">
        <w:rPr>
          <w:i/>
          <w:iCs/>
          <w:sz w:val="24"/>
          <w:szCs w:val="24"/>
          <w:u w:val="single"/>
        </w:rPr>
        <w:t xml:space="preserve">Behandling af </w:t>
      </w:r>
      <w:proofErr w:type="spellStart"/>
      <w:r w:rsidRPr="00E52120">
        <w:rPr>
          <w:i/>
          <w:iCs/>
          <w:sz w:val="24"/>
          <w:szCs w:val="24"/>
          <w:u w:val="single"/>
        </w:rPr>
        <w:t>Zollinger-Ellison’s</w:t>
      </w:r>
      <w:proofErr w:type="spellEnd"/>
      <w:r w:rsidRPr="00E52120">
        <w:rPr>
          <w:i/>
          <w:iCs/>
          <w:sz w:val="24"/>
          <w:szCs w:val="24"/>
          <w:u w:val="single"/>
        </w:rPr>
        <w:t xml:space="preserve"> syndrom.</w:t>
      </w:r>
    </w:p>
    <w:p w:rsidR="00E52120" w:rsidRPr="00A619D7" w:rsidRDefault="00E52120" w:rsidP="00E52120">
      <w:pPr>
        <w:ind w:left="851"/>
        <w:rPr>
          <w:sz w:val="24"/>
          <w:szCs w:val="24"/>
        </w:rPr>
      </w:pPr>
      <w:r w:rsidRPr="00A619D7">
        <w:rPr>
          <w:sz w:val="24"/>
          <w:szCs w:val="24"/>
        </w:rPr>
        <w:t xml:space="preserve">Den anbefalede initialdosis er 40 mg </w:t>
      </w:r>
      <w:proofErr w:type="spellStart"/>
      <w:r w:rsidRPr="00A619D7">
        <w:rPr>
          <w:sz w:val="24"/>
          <w:szCs w:val="24"/>
        </w:rPr>
        <w:t>e</w:t>
      </w:r>
      <w:r w:rsidRPr="00EA7094">
        <w:rPr>
          <w:sz w:val="24"/>
          <w:szCs w:val="24"/>
        </w:rPr>
        <w:t>someprazol</w:t>
      </w:r>
      <w:proofErr w:type="spellEnd"/>
      <w:r w:rsidRPr="00EA7094">
        <w:rPr>
          <w:sz w:val="24"/>
          <w:szCs w:val="24"/>
        </w:rPr>
        <w:t xml:space="preserve"> to gange daglig. Dosen skal herefter justeres individuelt o</w:t>
      </w:r>
      <w:r w:rsidRPr="00A619D7">
        <w:rPr>
          <w:sz w:val="24"/>
          <w:szCs w:val="24"/>
        </w:rPr>
        <w:t xml:space="preserve">g behandlingen fortsættes så længe det er klinisk indiceret. Vurderet ud fra tilgængelige, kliniske data kan størstedelen af patienterne kontrolleres på doser mellem 80 og 160 mg </w:t>
      </w:r>
      <w:proofErr w:type="spellStart"/>
      <w:r w:rsidRPr="00A619D7">
        <w:rPr>
          <w:sz w:val="24"/>
          <w:szCs w:val="24"/>
        </w:rPr>
        <w:t>esomeprazol</w:t>
      </w:r>
      <w:proofErr w:type="spellEnd"/>
      <w:r w:rsidRPr="00A619D7">
        <w:rPr>
          <w:sz w:val="24"/>
          <w:szCs w:val="24"/>
        </w:rPr>
        <w:t xml:space="preserve"> daglig. Ved doser over 80 mg daglig bør dosen deles og gives to gange daglig.</w:t>
      </w:r>
    </w:p>
    <w:p w:rsidR="00E52120" w:rsidRPr="00A619D7" w:rsidRDefault="00E52120" w:rsidP="00E52120">
      <w:pPr>
        <w:ind w:left="851"/>
        <w:rPr>
          <w:sz w:val="24"/>
          <w:szCs w:val="24"/>
        </w:rPr>
      </w:pPr>
    </w:p>
    <w:p w:rsidR="00E52120" w:rsidRPr="00A619D7" w:rsidRDefault="00E52120" w:rsidP="00E52120">
      <w:pPr>
        <w:widowControl w:val="0"/>
        <w:ind w:left="851"/>
        <w:rPr>
          <w:sz w:val="24"/>
          <w:szCs w:val="24"/>
          <w:u w:val="single"/>
        </w:rPr>
      </w:pPr>
      <w:r w:rsidRPr="00A619D7">
        <w:rPr>
          <w:sz w:val="24"/>
          <w:szCs w:val="24"/>
          <w:u w:val="single"/>
        </w:rPr>
        <w:t>Særlige patientgrupper</w:t>
      </w:r>
    </w:p>
    <w:p w:rsidR="00E52120" w:rsidRPr="00A619D7" w:rsidRDefault="00E52120" w:rsidP="00E52120">
      <w:pPr>
        <w:widowControl w:val="0"/>
        <w:ind w:left="851"/>
        <w:rPr>
          <w:sz w:val="24"/>
          <w:szCs w:val="24"/>
        </w:rPr>
      </w:pPr>
    </w:p>
    <w:p w:rsidR="00E52120" w:rsidRPr="00E52120" w:rsidRDefault="00E52120" w:rsidP="00E52120">
      <w:pPr>
        <w:widowControl w:val="0"/>
        <w:ind w:left="851"/>
        <w:rPr>
          <w:bCs/>
          <w:i/>
          <w:iCs/>
          <w:sz w:val="24"/>
          <w:szCs w:val="24"/>
          <w:u w:val="single"/>
        </w:rPr>
      </w:pPr>
      <w:r>
        <w:rPr>
          <w:bCs/>
          <w:i/>
          <w:iCs/>
          <w:sz w:val="24"/>
          <w:szCs w:val="24"/>
          <w:u w:val="single"/>
        </w:rPr>
        <w:t>N</w:t>
      </w:r>
      <w:r w:rsidRPr="00E52120">
        <w:rPr>
          <w:bCs/>
          <w:i/>
          <w:iCs/>
          <w:sz w:val="24"/>
          <w:szCs w:val="24"/>
          <w:u w:val="single"/>
        </w:rPr>
        <w:t>edsat nyrefunktion</w:t>
      </w:r>
    </w:p>
    <w:p w:rsidR="00E52120" w:rsidRPr="00A619D7" w:rsidRDefault="00E52120" w:rsidP="00E52120">
      <w:pPr>
        <w:widowControl w:val="0"/>
        <w:ind w:left="851"/>
        <w:rPr>
          <w:sz w:val="24"/>
          <w:szCs w:val="24"/>
        </w:rPr>
      </w:pPr>
      <w:r w:rsidRPr="00A619D7">
        <w:rPr>
          <w:sz w:val="24"/>
          <w:szCs w:val="24"/>
        </w:rPr>
        <w:t>Der er ikke behov for dosisjustering hos patienter med nedsat nyrefunktion. På grund af begrænset erfaring med pat</w:t>
      </w:r>
      <w:r w:rsidRPr="00EA7094">
        <w:rPr>
          <w:sz w:val="24"/>
          <w:szCs w:val="24"/>
        </w:rPr>
        <w:t>ienter med svær nyreinsufficiens skal disse patienter behandles med fo</w:t>
      </w:r>
      <w:r w:rsidRPr="00A619D7">
        <w:rPr>
          <w:sz w:val="24"/>
          <w:szCs w:val="24"/>
        </w:rPr>
        <w:t>rsigtighed (se pkt. 5.2).</w:t>
      </w:r>
    </w:p>
    <w:p w:rsidR="00E52120" w:rsidRPr="00A619D7" w:rsidRDefault="00E52120" w:rsidP="00E52120">
      <w:pPr>
        <w:widowControl w:val="0"/>
        <w:ind w:left="851"/>
        <w:rPr>
          <w:sz w:val="24"/>
          <w:szCs w:val="24"/>
        </w:rPr>
      </w:pPr>
    </w:p>
    <w:p w:rsidR="00E52120" w:rsidRPr="00E52120" w:rsidRDefault="00E52120" w:rsidP="00E52120">
      <w:pPr>
        <w:widowControl w:val="0"/>
        <w:ind w:left="851"/>
        <w:rPr>
          <w:bCs/>
          <w:i/>
          <w:iCs/>
          <w:sz w:val="24"/>
          <w:szCs w:val="24"/>
          <w:u w:val="single"/>
        </w:rPr>
      </w:pPr>
      <w:r>
        <w:rPr>
          <w:bCs/>
          <w:i/>
          <w:iCs/>
          <w:sz w:val="24"/>
          <w:szCs w:val="24"/>
          <w:u w:val="single"/>
        </w:rPr>
        <w:t>N</w:t>
      </w:r>
      <w:r w:rsidRPr="00E52120">
        <w:rPr>
          <w:bCs/>
          <w:i/>
          <w:iCs/>
          <w:sz w:val="24"/>
          <w:szCs w:val="24"/>
          <w:u w:val="single"/>
        </w:rPr>
        <w:t>edsat leverfunktion</w:t>
      </w:r>
    </w:p>
    <w:p w:rsidR="00E52120" w:rsidRPr="00A619D7" w:rsidRDefault="00E52120" w:rsidP="00E52120">
      <w:pPr>
        <w:widowControl w:val="0"/>
        <w:ind w:left="851"/>
        <w:rPr>
          <w:sz w:val="24"/>
          <w:szCs w:val="24"/>
        </w:rPr>
      </w:pPr>
      <w:r w:rsidRPr="00A619D7">
        <w:rPr>
          <w:sz w:val="24"/>
          <w:szCs w:val="24"/>
        </w:rPr>
        <w:t>Der er ikke behov for dosisjustering hos patienter med mild til moderat nedsat leverfunktion. Hos patienter med svært nedsat</w:t>
      </w:r>
      <w:r w:rsidRPr="00EA7094">
        <w:rPr>
          <w:sz w:val="24"/>
          <w:szCs w:val="24"/>
        </w:rPr>
        <w:t xml:space="preserve"> leverfunktion bør en maksimal dosis på 20 mg </w:t>
      </w:r>
      <w:proofErr w:type="spellStart"/>
      <w:r w:rsidRPr="00EA7094">
        <w:rPr>
          <w:sz w:val="24"/>
          <w:szCs w:val="24"/>
        </w:rPr>
        <w:t>esomeprazol</w:t>
      </w:r>
      <w:proofErr w:type="spellEnd"/>
      <w:r w:rsidRPr="00EA7094">
        <w:rPr>
          <w:sz w:val="24"/>
          <w:szCs w:val="24"/>
        </w:rPr>
        <w:t xml:space="preserve"> ikke overskr</w:t>
      </w:r>
      <w:r w:rsidRPr="00A619D7">
        <w:rPr>
          <w:sz w:val="24"/>
          <w:szCs w:val="24"/>
        </w:rPr>
        <w:t>ides (se pkt. 5.2).</w:t>
      </w:r>
    </w:p>
    <w:p w:rsidR="00E52120" w:rsidRPr="00A619D7" w:rsidRDefault="00E52120" w:rsidP="00E52120">
      <w:pPr>
        <w:widowControl w:val="0"/>
        <w:ind w:left="851"/>
        <w:rPr>
          <w:sz w:val="24"/>
          <w:szCs w:val="24"/>
        </w:rPr>
      </w:pPr>
    </w:p>
    <w:p w:rsidR="00E52120" w:rsidRPr="00E52120" w:rsidRDefault="00E52120" w:rsidP="00E52120">
      <w:pPr>
        <w:widowControl w:val="0"/>
        <w:ind w:left="851"/>
        <w:rPr>
          <w:bCs/>
          <w:i/>
          <w:iCs/>
          <w:sz w:val="24"/>
          <w:szCs w:val="24"/>
          <w:u w:val="single"/>
        </w:rPr>
      </w:pPr>
      <w:r w:rsidRPr="00E52120">
        <w:rPr>
          <w:bCs/>
          <w:i/>
          <w:iCs/>
          <w:sz w:val="24"/>
          <w:szCs w:val="24"/>
          <w:u w:val="single"/>
        </w:rPr>
        <w:t>Ældre</w:t>
      </w:r>
    </w:p>
    <w:p w:rsidR="00E52120" w:rsidRPr="00EA7094" w:rsidRDefault="00E52120" w:rsidP="00E52120">
      <w:pPr>
        <w:widowControl w:val="0"/>
        <w:ind w:left="851"/>
        <w:rPr>
          <w:sz w:val="24"/>
          <w:szCs w:val="24"/>
        </w:rPr>
      </w:pPr>
      <w:r w:rsidRPr="00A619D7">
        <w:rPr>
          <w:sz w:val="24"/>
          <w:szCs w:val="24"/>
        </w:rPr>
        <w:t>Der er ikke behov for dosisjustering hos ældre patienter.</w:t>
      </w:r>
    </w:p>
    <w:p w:rsidR="00E52120" w:rsidRPr="00A619D7" w:rsidRDefault="00E52120" w:rsidP="00E52120">
      <w:pPr>
        <w:widowControl w:val="0"/>
        <w:ind w:left="851"/>
        <w:rPr>
          <w:sz w:val="24"/>
          <w:szCs w:val="24"/>
        </w:rPr>
      </w:pPr>
    </w:p>
    <w:p w:rsidR="00E52120" w:rsidRPr="00A619D7" w:rsidRDefault="00E52120" w:rsidP="00E52120">
      <w:pPr>
        <w:widowControl w:val="0"/>
        <w:ind w:left="851"/>
        <w:rPr>
          <w:sz w:val="24"/>
          <w:szCs w:val="24"/>
          <w:u w:val="single"/>
        </w:rPr>
      </w:pPr>
      <w:r w:rsidRPr="00A619D7">
        <w:rPr>
          <w:sz w:val="24"/>
          <w:szCs w:val="24"/>
          <w:u w:val="single"/>
        </w:rPr>
        <w:t>Pædiatrisk population</w:t>
      </w:r>
    </w:p>
    <w:p w:rsidR="00E52120" w:rsidRPr="00A619D7" w:rsidRDefault="00E52120" w:rsidP="00E52120">
      <w:pPr>
        <w:ind w:left="851"/>
        <w:rPr>
          <w:sz w:val="24"/>
          <w:szCs w:val="24"/>
        </w:rPr>
      </w:pPr>
    </w:p>
    <w:p w:rsidR="00E52120" w:rsidRPr="00E52120" w:rsidRDefault="00E52120" w:rsidP="00E52120">
      <w:pPr>
        <w:ind w:left="851"/>
        <w:rPr>
          <w:bCs/>
          <w:i/>
          <w:iCs/>
          <w:sz w:val="24"/>
          <w:szCs w:val="24"/>
          <w:u w:val="single"/>
        </w:rPr>
      </w:pPr>
      <w:r w:rsidRPr="00E52120">
        <w:rPr>
          <w:bCs/>
          <w:i/>
          <w:iCs/>
          <w:sz w:val="24"/>
          <w:szCs w:val="24"/>
          <w:u w:val="single"/>
        </w:rPr>
        <w:t>Unge fra 12 år</w:t>
      </w:r>
    </w:p>
    <w:p w:rsidR="00E52120" w:rsidRPr="00A619D7" w:rsidRDefault="00E52120" w:rsidP="00E52120">
      <w:pPr>
        <w:widowControl w:val="0"/>
        <w:ind w:left="851"/>
        <w:rPr>
          <w:sz w:val="24"/>
          <w:szCs w:val="24"/>
        </w:rPr>
      </w:pPr>
    </w:p>
    <w:p w:rsidR="00E52120" w:rsidRPr="00E52120" w:rsidRDefault="00E52120" w:rsidP="00E52120">
      <w:pPr>
        <w:widowControl w:val="0"/>
        <w:ind w:left="851"/>
        <w:rPr>
          <w:i/>
          <w:iCs/>
          <w:sz w:val="24"/>
          <w:szCs w:val="24"/>
          <w:u w:val="single"/>
        </w:rPr>
      </w:pPr>
      <w:proofErr w:type="spellStart"/>
      <w:r w:rsidRPr="00E52120">
        <w:rPr>
          <w:i/>
          <w:iCs/>
          <w:sz w:val="24"/>
          <w:szCs w:val="24"/>
          <w:u w:val="single"/>
        </w:rPr>
        <w:lastRenderedPageBreak/>
        <w:t>Gastroøsofageal</w:t>
      </w:r>
      <w:proofErr w:type="spellEnd"/>
      <w:r w:rsidRPr="00E52120">
        <w:rPr>
          <w:i/>
          <w:iCs/>
          <w:sz w:val="24"/>
          <w:szCs w:val="24"/>
          <w:u w:val="single"/>
        </w:rPr>
        <w:t xml:space="preserve"> </w:t>
      </w:r>
      <w:proofErr w:type="spellStart"/>
      <w:r w:rsidRPr="00E52120">
        <w:rPr>
          <w:i/>
          <w:iCs/>
          <w:sz w:val="24"/>
          <w:szCs w:val="24"/>
          <w:u w:val="single"/>
        </w:rPr>
        <w:t>reflukssygdom</w:t>
      </w:r>
      <w:proofErr w:type="spellEnd"/>
      <w:r w:rsidRPr="00E52120">
        <w:rPr>
          <w:i/>
          <w:iCs/>
          <w:sz w:val="24"/>
          <w:szCs w:val="24"/>
          <w:u w:val="single"/>
        </w:rPr>
        <w:t xml:space="preserve"> (GERD)</w:t>
      </w:r>
    </w:p>
    <w:p w:rsidR="00E52120" w:rsidRPr="00E52120" w:rsidRDefault="00E52120" w:rsidP="00E52120">
      <w:pPr>
        <w:pStyle w:val="Listeafsnit"/>
        <w:widowControl w:val="0"/>
        <w:numPr>
          <w:ilvl w:val="0"/>
          <w:numId w:val="12"/>
        </w:numPr>
        <w:ind w:left="1134" w:hanging="283"/>
        <w:rPr>
          <w:i/>
          <w:iCs/>
          <w:sz w:val="24"/>
          <w:szCs w:val="24"/>
          <w:u w:val="single"/>
        </w:rPr>
      </w:pPr>
      <w:r w:rsidRPr="00E52120">
        <w:rPr>
          <w:i/>
          <w:iCs/>
          <w:sz w:val="24"/>
          <w:szCs w:val="24"/>
        </w:rPr>
        <w:t xml:space="preserve">Behandling af </w:t>
      </w:r>
      <w:proofErr w:type="spellStart"/>
      <w:r w:rsidRPr="00E52120">
        <w:rPr>
          <w:i/>
          <w:iCs/>
          <w:sz w:val="24"/>
          <w:szCs w:val="24"/>
        </w:rPr>
        <w:t>erosiv</w:t>
      </w:r>
      <w:proofErr w:type="spellEnd"/>
      <w:r w:rsidRPr="00E52120">
        <w:rPr>
          <w:i/>
          <w:iCs/>
          <w:sz w:val="24"/>
          <w:szCs w:val="24"/>
        </w:rPr>
        <w:t xml:space="preserve"> </w:t>
      </w:r>
      <w:proofErr w:type="spellStart"/>
      <w:r w:rsidRPr="00E52120">
        <w:rPr>
          <w:i/>
          <w:iCs/>
          <w:sz w:val="24"/>
          <w:szCs w:val="24"/>
        </w:rPr>
        <w:t>refluksøsofagit</w:t>
      </w:r>
      <w:proofErr w:type="spellEnd"/>
    </w:p>
    <w:p w:rsidR="00E52120" w:rsidRPr="00E52120" w:rsidRDefault="00E52120" w:rsidP="00E52120">
      <w:pPr>
        <w:widowControl w:val="0"/>
        <w:ind w:left="491" w:firstLine="643"/>
        <w:rPr>
          <w:sz w:val="24"/>
          <w:szCs w:val="24"/>
        </w:rPr>
      </w:pPr>
      <w:r w:rsidRPr="00E52120">
        <w:rPr>
          <w:sz w:val="24"/>
          <w:szCs w:val="24"/>
        </w:rPr>
        <w:t>40 mg en gang daglig i 4 uger.</w:t>
      </w:r>
    </w:p>
    <w:p w:rsidR="00E52120" w:rsidRPr="00E52120" w:rsidRDefault="00E52120" w:rsidP="00E52120">
      <w:pPr>
        <w:pStyle w:val="Listeafsnit"/>
        <w:widowControl w:val="0"/>
        <w:numPr>
          <w:ilvl w:val="0"/>
          <w:numId w:val="12"/>
        </w:numPr>
        <w:ind w:left="1134" w:hanging="283"/>
        <w:rPr>
          <w:sz w:val="24"/>
          <w:szCs w:val="24"/>
        </w:rPr>
      </w:pPr>
      <w:r w:rsidRPr="00E52120">
        <w:rPr>
          <w:sz w:val="24"/>
          <w:szCs w:val="24"/>
        </w:rPr>
        <w:t xml:space="preserve">Yderligere 4 ugers behandling anbefales til patienter, hos hvem </w:t>
      </w:r>
      <w:proofErr w:type="spellStart"/>
      <w:r w:rsidRPr="00E52120">
        <w:rPr>
          <w:sz w:val="24"/>
          <w:szCs w:val="24"/>
        </w:rPr>
        <w:t>øsofagitten</w:t>
      </w:r>
      <w:proofErr w:type="spellEnd"/>
      <w:r w:rsidRPr="00E52120">
        <w:rPr>
          <w:sz w:val="24"/>
          <w:szCs w:val="24"/>
        </w:rPr>
        <w:t xml:space="preserve"> ikke er helet, eller som har persisterende symptomer.</w:t>
      </w:r>
    </w:p>
    <w:p w:rsidR="00E52120" w:rsidRPr="00A619D7" w:rsidRDefault="00E52120" w:rsidP="00E52120">
      <w:pPr>
        <w:widowControl w:val="0"/>
        <w:ind w:left="851"/>
        <w:rPr>
          <w:sz w:val="24"/>
          <w:szCs w:val="24"/>
        </w:rPr>
      </w:pPr>
    </w:p>
    <w:p w:rsidR="00E52120" w:rsidRPr="00E52120" w:rsidRDefault="00E52120" w:rsidP="00E52120">
      <w:pPr>
        <w:pStyle w:val="Listeafsnit"/>
        <w:widowControl w:val="0"/>
        <w:numPr>
          <w:ilvl w:val="0"/>
          <w:numId w:val="12"/>
        </w:numPr>
        <w:ind w:left="1134" w:hanging="283"/>
        <w:rPr>
          <w:i/>
          <w:iCs/>
          <w:sz w:val="24"/>
          <w:szCs w:val="24"/>
        </w:rPr>
      </w:pPr>
      <w:r w:rsidRPr="00E52120">
        <w:rPr>
          <w:i/>
          <w:iCs/>
          <w:sz w:val="24"/>
          <w:szCs w:val="24"/>
        </w:rPr>
        <w:t xml:space="preserve">Langtidsbehandling af patienter med helet </w:t>
      </w:r>
      <w:proofErr w:type="spellStart"/>
      <w:r w:rsidRPr="00E52120">
        <w:rPr>
          <w:i/>
          <w:iCs/>
          <w:sz w:val="24"/>
          <w:szCs w:val="24"/>
        </w:rPr>
        <w:t>øsofagit</w:t>
      </w:r>
      <w:proofErr w:type="spellEnd"/>
      <w:r w:rsidRPr="00E52120">
        <w:rPr>
          <w:i/>
          <w:iCs/>
          <w:sz w:val="24"/>
          <w:szCs w:val="24"/>
        </w:rPr>
        <w:t xml:space="preserve"> til forebyggelse af recidiv</w:t>
      </w:r>
    </w:p>
    <w:p w:rsidR="00E52120" w:rsidRPr="00EA7094" w:rsidRDefault="00E52120" w:rsidP="00E52120">
      <w:pPr>
        <w:widowControl w:val="0"/>
        <w:ind w:left="1418" w:hanging="283"/>
        <w:rPr>
          <w:sz w:val="24"/>
          <w:szCs w:val="24"/>
        </w:rPr>
      </w:pPr>
      <w:r w:rsidRPr="00A619D7">
        <w:rPr>
          <w:sz w:val="24"/>
          <w:szCs w:val="24"/>
        </w:rPr>
        <w:t>20 mg en gang daglig.</w:t>
      </w:r>
    </w:p>
    <w:p w:rsidR="00E52120" w:rsidRPr="00A619D7" w:rsidRDefault="00E52120" w:rsidP="00E52120">
      <w:pPr>
        <w:widowControl w:val="0"/>
        <w:ind w:left="851"/>
        <w:rPr>
          <w:sz w:val="24"/>
          <w:szCs w:val="24"/>
        </w:rPr>
      </w:pPr>
    </w:p>
    <w:p w:rsidR="00E52120" w:rsidRPr="00E52120" w:rsidRDefault="00E52120" w:rsidP="00E52120">
      <w:pPr>
        <w:pStyle w:val="Listeafsnit"/>
        <w:widowControl w:val="0"/>
        <w:numPr>
          <w:ilvl w:val="0"/>
          <w:numId w:val="13"/>
        </w:numPr>
        <w:ind w:left="1134" w:hanging="283"/>
        <w:rPr>
          <w:i/>
          <w:iCs/>
          <w:sz w:val="24"/>
          <w:szCs w:val="24"/>
          <w:u w:val="single"/>
        </w:rPr>
      </w:pPr>
      <w:r w:rsidRPr="00E52120">
        <w:rPr>
          <w:i/>
          <w:iCs/>
          <w:sz w:val="24"/>
          <w:szCs w:val="24"/>
        </w:rPr>
        <w:t xml:space="preserve">Symptomatisk behandling af </w:t>
      </w:r>
      <w:proofErr w:type="spellStart"/>
      <w:r w:rsidRPr="00E52120">
        <w:rPr>
          <w:i/>
          <w:iCs/>
          <w:sz w:val="24"/>
          <w:szCs w:val="24"/>
        </w:rPr>
        <w:t>gastroøsofageal</w:t>
      </w:r>
      <w:proofErr w:type="spellEnd"/>
      <w:r w:rsidRPr="00E52120">
        <w:rPr>
          <w:i/>
          <w:iCs/>
          <w:sz w:val="24"/>
          <w:szCs w:val="24"/>
        </w:rPr>
        <w:t xml:space="preserve"> </w:t>
      </w:r>
      <w:proofErr w:type="spellStart"/>
      <w:r w:rsidRPr="00E52120">
        <w:rPr>
          <w:i/>
          <w:iCs/>
          <w:sz w:val="24"/>
          <w:szCs w:val="24"/>
        </w:rPr>
        <w:t>reflukssygdom</w:t>
      </w:r>
      <w:proofErr w:type="spellEnd"/>
      <w:r w:rsidRPr="00E52120">
        <w:rPr>
          <w:i/>
          <w:iCs/>
          <w:sz w:val="24"/>
          <w:szCs w:val="24"/>
        </w:rPr>
        <w:t xml:space="preserve"> (GERD)</w:t>
      </w:r>
    </w:p>
    <w:p w:rsidR="00E52120" w:rsidRPr="00A619D7" w:rsidRDefault="00E52120" w:rsidP="00E52120">
      <w:pPr>
        <w:widowControl w:val="0"/>
        <w:ind w:left="1134"/>
        <w:rPr>
          <w:sz w:val="24"/>
          <w:szCs w:val="24"/>
        </w:rPr>
      </w:pPr>
      <w:r w:rsidRPr="00A619D7">
        <w:rPr>
          <w:sz w:val="24"/>
          <w:szCs w:val="24"/>
        </w:rPr>
        <w:t xml:space="preserve">20 mg en gang daglig hos patienter uden </w:t>
      </w:r>
      <w:proofErr w:type="spellStart"/>
      <w:r w:rsidRPr="00A619D7">
        <w:rPr>
          <w:sz w:val="24"/>
          <w:szCs w:val="24"/>
        </w:rPr>
        <w:t>øsofagit</w:t>
      </w:r>
      <w:proofErr w:type="spellEnd"/>
      <w:r w:rsidRPr="00A619D7">
        <w:rPr>
          <w:sz w:val="24"/>
          <w:szCs w:val="24"/>
        </w:rPr>
        <w:t>. Hvis der ikke er opnået symptomkontrol efter 4 uger, bør patienten undersøges yderligere. Når symptomerne har for</w:t>
      </w:r>
      <w:r w:rsidRPr="00EA7094">
        <w:rPr>
          <w:sz w:val="24"/>
          <w:szCs w:val="24"/>
        </w:rPr>
        <w:t>taget sig, kan efterfølgende</w:t>
      </w:r>
      <w:r w:rsidRPr="00A619D7">
        <w:rPr>
          <w:sz w:val="24"/>
          <w:szCs w:val="24"/>
        </w:rPr>
        <w:t xml:space="preserve"> symptomkontrol opnås ved indtagelse af 20 mg en gang daglig.</w:t>
      </w:r>
    </w:p>
    <w:p w:rsidR="00E52120" w:rsidRPr="00A619D7" w:rsidRDefault="00E52120" w:rsidP="00E52120">
      <w:pPr>
        <w:ind w:left="851"/>
        <w:rPr>
          <w:sz w:val="24"/>
          <w:szCs w:val="24"/>
        </w:rPr>
      </w:pPr>
    </w:p>
    <w:p w:rsidR="00E52120" w:rsidRPr="00E52120" w:rsidRDefault="00E52120" w:rsidP="00E52120">
      <w:pPr>
        <w:ind w:left="851"/>
        <w:rPr>
          <w:i/>
          <w:iCs/>
          <w:sz w:val="24"/>
          <w:szCs w:val="24"/>
          <w:u w:val="single"/>
        </w:rPr>
      </w:pPr>
      <w:r w:rsidRPr="00E52120">
        <w:rPr>
          <w:i/>
          <w:iCs/>
          <w:sz w:val="24"/>
          <w:szCs w:val="24"/>
          <w:u w:val="single"/>
        </w:rPr>
        <w:t xml:space="preserve">Behandling af </w:t>
      </w:r>
      <w:proofErr w:type="spellStart"/>
      <w:r w:rsidRPr="00E52120">
        <w:rPr>
          <w:i/>
          <w:iCs/>
          <w:sz w:val="24"/>
          <w:szCs w:val="24"/>
          <w:u w:val="single"/>
        </w:rPr>
        <w:t>duodenalt</w:t>
      </w:r>
      <w:proofErr w:type="spellEnd"/>
      <w:r w:rsidRPr="00E52120">
        <w:rPr>
          <w:i/>
          <w:iCs/>
          <w:sz w:val="24"/>
          <w:szCs w:val="24"/>
          <w:u w:val="single"/>
        </w:rPr>
        <w:t xml:space="preserve"> </w:t>
      </w:r>
      <w:proofErr w:type="spellStart"/>
      <w:r w:rsidRPr="00E52120">
        <w:rPr>
          <w:i/>
          <w:iCs/>
          <w:sz w:val="24"/>
          <w:szCs w:val="24"/>
          <w:u w:val="single"/>
        </w:rPr>
        <w:t>ulcer</w:t>
      </w:r>
      <w:proofErr w:type="spellEnd"/>
      <w:r w:rsidRPr="00E52120">
        <w:rPr>
          <w:i/>
          <w:iCs/>
          <w:sz w:val="24"/>
          <w:szCs w:val="24"/>
          <w:u w:val="single"/>
        </w:rPr>
        <w:t xml:space="preserve"> forårsaget af </w:t>
      </w:r>
      <w:proofErr w:type="spellStart"/>
      <w:r w:rsidRPr="00E52120">
        <w:rPr>
          <w:i/>
          <w:iCs/>
          <w:sz w:val="24"/>
          <w:szCs w:val="24"/>
          <w:u w:val="single"/>
        </w:rPr>
        <w:t>Helicobacter</w:t>
      </w:r>
      <w:proofErr w:type="spellEnd"/>
      <w:r w:rsidRPr="00E52120">
        <w:rPr>
          <w:i/>
          <w:iCs/>
          <w:sz w:val="24"/>
          <w:szCs w:val="24"/>
          <w:u w:val="single"/>
        </w:rPr>
        <w:t xml:space="preserve"> </w:t>
      </w:r>
      <w:proofErr w:type="spellStart"/>
      <w:r w:rsidRPr="00E52120">
        <w:rPr>
          <w:i/>
          <w:iCs/>
          <w:sz w:val="24"/>
          <w:szCs w:val="24"/>
          <w:u w:val="single"/>
        </w:rPr>
        <w:t>pylori</w:t>
      </w:r>
      <w:proofErr w:type="spellEnd"/>
    </w:p>
    <w:p w:rsidR="00E52120" w:rsidRPr="00E52120" w:rsidRDefault="00E52120" w:rsidP="00E52120">
      <w:pPr>
        <w:ind w:left="851"/>
        <w:rPr>
          <w:sz w:val="24"/>
          <w:szCs w:val="24"/>
        </w:rPr>
      </w:pPr>
      <w:r w:rsidRPr="00A619D7">
        <w:rPr>
          <w:sz w:val="24"/>
          <w:szCs w:val="24"/>
        </w:rPr>
        <w:t xml:space="preserve">Ved valg af passende kombinationsbehandling skal følgende tages med i betragtning: </w:t>
      </w:r>
      <w:r w:rsidRPr="00EA7094">
        <w:rPr>
          <w:sz w:val="24"/>
          <w:szCs w:val="24"/>
        </w:rPr>
        <w:t>O</w:t>
      </w:r>
      <w:r w:rsidRPr="00A619D7">
        <w:rPr>
          <w:sz w:val="24"/>
          <w:szCs w:val="24"/>
        </w:rPr>
        <w:t xml:space="preserve">fficielle, nationale, regionale og lokale retningslinjer vedrørende bakterieresistens, behandlingsvarighed (som oftest 7 dage, men undertiden op til 14 dage) og passende brug af antibakterielle midler. </w:t>
      </w:r>
      <w:r w:rsidRPr="00E52120">
        <w:rPr>
          <w:sz w:val="24"/>
          <w:szCs w:val="24"/>
        </w:rPr>
        <w:t>Behandlingen bør overvåges af en specialist.</w:t>
      </w:r>
    </w:p>
    <w:p w:rsidR="00E52120" w:rsidRPr="00E52120" w:rsidRDefault="00E52120" w:rsidP="00E52120">
      <w:pPr>
        <w:ind w:left="851"/>
        <w:rPr>
          <w:sz w:val="24"/>
          <w:szCs w:val="24"/>
        </w:rPr>
      </w:pPr>
    </w:p>
    <w:p w:rsidR="00E52120" w:rsidRPr="00E52120" w:rsidRDefault="00E52120" w:rsidP="00E52120">
      <w:pPr>
        <w:ind w:left="851"/>
        <w:rPr>
          <w:sz w:val="24"/>
          <w:szCs w:val="24"/>
        </w:rPr>
      </w:pPr>
      <w:r w:rsidRPr="00A619D7">
        <w:rPr>
          <w:sz w:val="24"/>
          <w:szCs w:val="24"/>
        </w:rPr>
        <w:t>Doseringsanbefalingen er</w:t>
      </w:r>
      <w:r w:rsidRPr="00EA7094">
        <w:rPr>
          <w:sz w:val="24"/>
          <w:szCs w:val="24"/>
        </w:rPr>
        <w:t>:</w:t>
      </w:r>
    </w:p>
    <w:p w:rsidR="00E52120" w:rsidRPr="00E52120" w:rsidRDefault="00E52120" w:rsidP="00E52120">
      <w:pPr>
        <w:ind w:left="851"/>
        <w:rPr>
          <w:sz w:val="24"/>
          <w:szCs w:val="24"/>
        </w:rPr>
      </w:pPr>
    </w:p>
    <w:tbl>
      <w:tblPr>
        <w:tblW w:w="457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7627"/>
      </w:tblGrid>
      <w:tr w:rsidR="00E52120" w:rsidRPr="00A619D7" w:rsidTr="00E52120">
        <w:tc>
          <w:tcPr>
            <w:tcW w:w="674" w:type="pct"/>
            <w:tcBorders>
              <w:top w:val="single" w:sz="4" w:space="0" w:color="auto"/>
              <w:left w:val="single" w:sz="4" w:space="0" w:color="auto"/>
              <w:bottom w:val="single" w:sz="4" w:space="0" w:color="auto"/>
              <w:right w:val="single" w:sz="4" w:space="0" w:color="auto"/>
            </w:tcBorders>
            <w:hideMark/>
          </w:tcPr>
          <w:p w:rsidR="00E52120" w:rsidRPr="00E52120" w:rsidRDefault="00E52120" w:rsidP="00E52120">
            <w:pPr>
              <w:spacing w:line="276" w:lineRule="auto"/>
              <w:ind w:left="851" w:hanging="851"/>
              <w:rPr>
                <w:sz w:val="24"/>
                <w:szCs w:val="24"/>
              </w:rPr>
            </w:pPr>
            <w:r w:rsidRPr="00A619D7">
              <w:rPr>
                <w:sz w:val="24"/>
                <w:szCs w:val="24"/>
              </w:rPr>
              <w:t>Vægt</w:t>
            </w:r>
          </w:p>
        </w:tc>
        <w:tc>
          <w:tcPr>
            <w:tcW w:w="4326" w:type="pct"/>
            <w:tcBorders>
              <w:top w:val="single" w:sz="4" w:space="0" w:color="auto"/>
              <w:left w:val="single" w:sz="4" w:space="0" w:color="auto"/>
              <w:bottom w:val="single" w:sz="4" w:space="0" w:color="auto"/>
              <w:right w:val="single" w:sz="4" w:space="0" w:color="auto"/>
            </w:tcBorders>
            <w:hideMark/>
          </w:tcPr>
          <w:p w:rsidR="00E52120" w:rsidRPr="00EA7094" w:rsidRDefault="00E52120" w:rsidP="00E52120">
            <w:pPr>
              <w:spacing w:line="276" w:lineRule="auto"/>
              <w:ind w:left="124"/>
              <w:rPr>
                <w:sz w:val="24"/>
                <w:szCs w:val="24"/>
              </w:rPr>
            </w:pPr>
            <w:r w:rsidRPr="00A619D7">
              <w:rPr>
                <w:sz w:val="24"/>
                <w:szCs w:val="24"/>
              </w:rPr>
              <w:t>Dosering</w:t>
            </w:r>
          </w:p>
        </w:tc>
      </w:tr>
      <w:tr w:rsidR="00E52120" w:rsidRPr="00A619D7" w:rsidTr="00E52120">
        <w:tc>
          <w:tcPr>
            <w:tcW w:w="674" w:type="pct"/>
            <w:tcBorders>
              <w:top w:val="single" w:sz="4" w:space="0" w:color="auto"/>
              <w:left w:val="single" w:sz="4" w:space="0" w:color="auto"/>
              <w:bottom w:val="single" w:sz="4" w:space="0" w:color="auto"/>
              <w:right w:val="single" w:sz="4" w:space="0" w:color="auto"/>
            </w:tcBorders>
            <w:hideMark/>
          </w:tcPr>
          <w:p w:rsidR="00E52120" w:rsidRPr="00A619D7" w:rsidRDefault="00E52120" w:rsidP="00E52120">
            <w:pPr>
              <w:spacing w:line="276" w:lineRule="auto"/>
              <w:ind w:left="851" w:hanging="818"/>
              <w:rPr>
                <w:sz w:val="24"/>
                <w:szCs w:val="24"/>
              </w:rPr>
            </w:pPr>
            <w:r w:rsidRPr="00A619D7">
              <w:rPr>
                <w:sz w:val="24"/>
                <w:szCs w:val="24"/>
              </w:rPr>
              <w:t>30</w:t>
            </w:r>
            <w:r w:rsidRPr="00A619D7">
              <w:rPr>
                <w:sz w:val="24"/>
                <w:szCs w:val="24"/>
              </w:rPr>
              <w:noBreakHyphen/>
              <w:t>40 kg</w:t>
            </w:r>
          </w:p>
        </w:tc>
        <w:tc>
          <w:tcPr>
            <w:tcW w:w="4326" w:type="pct"/>
            <w:tcBorders>
              <w:top w:val="single" w:sz="4" w:space="0" w:color="auto"/>
              <w:left w:val="single" w:sz="4" w:space="0" w:color="auto"/>
              <w:bottom w:val="single" w:sz="4" w:space="0" w:color="auto"/>
              <w:right w:val="single" w:sz="4" w:space="0" w:color="auto"/>
            </w:tcBorders>
            <w:hideMark/>
          </w:tcPr>
          <w:p w:rsidR="00E52120" w:rsidRPr="00A619D7" w:rsidRDefault="00E52120" w:rsidP="00E52120">
            <w:pPr>
              <w:spacing w:line="276" w:lineRule="auto"/>
              <w:ind w:left="124"/>
              <w:rPr>
                <w:sz w:val="24"/>
                <w:szCs w:val="24"/>
              </w:rPr>
            </w:pPr>
            <w:r w:rsidRPr="00A619D7">
              <w:rPr>
                <w:sz w:val="24"/>
                <w:szCs w:val="24"/>
              </w:rPr>
              <w:t xml:space="preserve">Kombination med to antibiotika: </w:t>
            </w:r>
            <w:proofErr w:type="spellStart"/>
            <w:r w:rsidRPr="00A619D7">
              <w:rPr>
                <w:sz w:val="24"/>
                <w:szCs w:val="24"/>
              </w:rPr>
              <w:t>Esomeprazol</w:t>
            </w:r>
            <w:proofErr w:type="spellEnd"/>
            <w:r w:rsidRPr="00A619D7">
              <w:rPr>
                <w:sz w:val="24"/>
                <w:szCs w:val="24"/>
              </w:rPr>
              <w:t xml:space="preserve"> 20 mg, </w:t>
            </w:r>
            <w:proofErr w:type="spellStart"/>
            <w:r w:rsidRPr="00A619D7">
              <w:rPr>
                <w:sz w:val="24"/>
                <w:szCs w:val="24"/>
              </w:rPr>
              <w:t>amoxicillin</w:t>
            </w:r>
            <w:proofErr w:type="spellEnd"/>
            <w:r w:rsidRPr="00A619D7">
              <w:rPr>
                <w:sz w:val="24"/>
                <w:szCs w:val="24"/>
              </w:rPr>
              <w:t xml:space="preserve"> 750 mg og </w:t>
            </w:r>
            <w:proofErr w:type="spellStart"/>
            <w:r w:rsidRPr="00A619D7">
              <w:rPr>
                <w:sz w:val="24"/>
                <w:szCs w:val="24"/>
              </w:rPr>
              <w:t>clarithromycin</w:t>
            </w:r>
            <w:proofErr w:type="spellEnd"/>
            <w:r w:rsidRPr="00A619D7">
              <w:rPr>
                <w:sz w:val="24"/>
                <w:szCs w:val="24"/>
              </w:rPr>
              <w:t xml:space="preserve"> 7,5 mg/kg kropsvægt administreres alle samlet to gange daglig i en uge.</w:t>
            </w:r>
          </w:p>
        </w:tc>
      </w:tr>
      <w:tr w:rsidR="00E52120" w:rsidRPr="00A619D7" w:rsidTr="00E52120">
        <w:tc>
          <w:tcPr>
            <w:tcW w:w="674" w:type="pct"/>
            <w:tcBorders>
              <w:top w:val="single" w:sz="4" w:space="0" w:color="auto"/>
              <w:left w:val="single" w:sz="4" w:space="0" w:color="auto"/>
              <w:bottom w:val="single" w:sz="4" w:space="0" w:color="auto"/>
              <w:right w:val="single" w:sz="4" w:space="0" w:color="auto"/>
            </w:tcBorders>
            <w:hideMark/>
          </w:tcPr>
          <w:p w:rsidR="00E52120" w:rsidRPr="00A619D7" w:rsidRDefault="00E52120" w:rsidP="00E52120">
            <w:pPr>
              <w:spacing w:line="276" w:lineRule="auto"/>
              <w:ind w:left="851" w:hanging="818"/>
              <w:rPr>
                <w:sz w:val="24"/>
                <w:szCs w:val="24"/>
              </w:rPr>
            </w:pPr>
            <w:r w:rsidRPr="00A619D7">
              <w:rPr>
                <w:sz w:val="24"/>
                <w:szCs w:val="24"/>
              </w:rPr>
              <w:t>&gt; 40 kg</w:t>
            </w:r>
          </w:p>
        </w:tc>
        <w:tc>
          <w:tcPr>
            <w:tcW w:w="4326" w:type="pct"/>
            <w:tcBorders>
              <w:top w:val="single" w:sz="4" w:space="0" w:color="auto"/>
              <w:left w:val="single" w:sz="4" w:space="0" w:color="auto"/>
              <w:bottom w:val="single" w:sz="4" w:space="0" w:color="auto"/>
              <w:right w:val="single" w:sz="4" w:space="0" w:color="auto"/>
            </w:tcBorders>
            <w:hideMark/>
          </w:tcPr>
          <w:p w:rsidR="00E52120" w:rsidRPr="00A619D7" w:rsidRDefault="00E52120" w:rsidP="00E52120">
            <w:pPr>
              <w:spacing w:line="276" w:lineRule="auto"/>
              <w:ind w:left="124"/>
              <w:rPr>
                <w:sz w:val="24"/>
                <w:szCs w:val="24"/>
              </w:rPr>
            </w:pPr>
            <w:r w:rsidRPr="00A619D7">
              <w:rPr>
                <w:sz w:val="24"/>
                <w:szCs w:val="24"/>
              </w:rPr>
              <w:t xml:space="preserve">Kombination med to antibiotika: </w:t>
            </w:r>
            <w:proofErr w:type="spellStart"/>
            <w:r w:rsidRPr="00A619D7">
              <w:rPr>
                <w:sz w:val="24"/>
                <w:szCs w:val="24"/>
              </w:rPr>
              <w:t>Esomeprazol</w:t>
            </w:r>
            <w:proofErr w:type="spellEnd"/>
            <w:r w:rsidRPr="00A619D7">
              <w:rPr>
                <w:sz w:val="24"/>
                <w:szCs w:val="24"/>
              </w:rPr>
              <w:t xml:space="preserve"> 20 mg, </w:t>
            </w:r>
            <w:proofErr w:type="spellStart"/>
            <w:r w:rsidRPr="00A619D7">
              <w:rPr>
                <w:sz w:val="24"/>
                <w:szCs w:val="24"/>
              </w:rPr>
              <w:t>amoxicillin</w:t>
            </w:r>
            <w:proofErr w:type="spellEnd"/>
            <w:r w:rsidRPr="00A619D7">
              <w:rPr>
                <w:sz w:val="24"/>
                <w:szCs w:val="24"/>
              </w:rPr>
              <w:t xml:space="preserve"> 1 g og </w:t>
            </w:r>
            <w:proofErr w:type="spellStart"/>
            <w:r w:rsidRPr="00A619D7">
              <w:rPr>
                <w:sz w:val="24"/>
                <w:szCs w:val="24"/>
              </w:rPr>
              <w:t>clarithromycin</w:t>
            </w:r>
            <w:proofErr w:type="spellEnd"/>
            <w:r w:rsidRPr="00A619D7">
              <w:rPr>
                <w:sz w:val="24"/>
                <w:szCs w:val="24"/>
              </w:rPr>
              <w:t xml:space="preserve"> 500 mg administreres alle samlet to gange daglig i en uge.</w:t>
            </w:r>
          </w:p>
        </w:tc>
      </w:tr>
    </w:tbl>
    <w:p w:rsidR="00E52120" w:rsidRPr="00A619D7" w:rsidRDefault="00E52120" w:rsidP="00E52120">
      <w:pPr>
        <w:ind w:left="851"/>
        <w:rPr>
          <w:sz w:val="24"/>
          <w:szCs w:val="24"/>
          <w:lang w:eastAsia="pt-PT"/>
        </w:rPr>
      </w:pPr>
    </w:p>
    <w:p w:rsidR="00E52120" w:rsidRPr="00E52120" w:rsidRDefault="00E52120" w:rsidP="00E52120">
      <w:pPr>
        <w:pStyle w:val="NormalWeb"/>
        <w:spacing w:before="0" w:beforeAutospacing="0" w:after="0" w:afterAutospacing="0"/>
        <w:ind w:left="851"/>
        <w:rPr>
          <w:u w:val="single"/>
          <w:lang w:val="da-DK"/>
        </w:rPr>
      </w:pPr>
      <w:bookmarkStart w:id="1" w:name="_Hlk67310588"/>
      <w:r w:rsidRPr="00E52120">
        <w:rPr>
          <w:u w:val="single"/>
          <w:lang w:val="da-DK"/>
        </w:rPr>
        <w:t>Børn under 12 år</w:t>
      </w:r>
    </w:p>
    <w:p w:rsidR="00E52120" w:rsidRPr="00A619D7" w:rsidRDefault="00E52120" w:rsidP="00E52120">
      <w:pPr>
        <w:pStyle w:val="NormalWeb"/>
        <w:spacing w:before="0" w:beforeAutospacing="0" w:after="0" w:afterAutospacing="0"/>
        <w:ind w:left="851"/>
        <w:rPr>
          <w:lang w:val="da-DK"/>
        </w:rPr>
      </w:pPr>
      <w:proofErr w:type="spellStart"/>
      <w:r w:rsidRPr="00E52120">
        <w:rPr>
          <w:lang w:val="da-DK"/>
        </w:rPr>
        <w:t>Ulcerex</w:t>
      </w:r>
      <w:proofErr w:type="spellEnd"/>
      <w:r w:rsidRPr="00E52120">
        <w:rPr>
          <w:lang w:val="da-DK"/>
        </w:rPr>
        <w:t xml:space="preserve"> bør ikke</w:t>
      </w:r>
      <w:r w:rsidRPr="00A619D7">
        <w:rPr>
          <w:lang w:val="da-DK"/>
        </w:rPr>
        <w:t xml:space="preserve"> anvendes til børn under 12 år, da der ikke findes tilgængelige data.</w:t>
      </w:r>
    </w:p>
    <w:bookmarkEnd w:id="1"/>
    <w:p w:rsidR="00E52120" w:rsidRPr="00A619D7" w:rsidRDefault="00E52120" w:rsidP="00E52120">
      <w:pPr>
        <w:pStyle w:val="NormalWeb"/>
        <w:spacing w:before="0" w:beforeAutospacing="0" w:after="0" w:afterAutospacing="0"/>
        <w:ind w:left="851"/>
        <w:rPr>
          <w:b/>
          <w:bCs/>
          <w:lang w:val="da-DK"/>
        </w:rPr>
      </w:pPr>
    </w:p>
    <w:p w:rsidR="00704D69" w:rsidRPr="00704D69" w:rsidRDefault="00704D69" w:rsidP="00704D69">
      <w:pPr>
        <w:ind w:left="851"/>
        <w:rPr>
          <w:bCs/>
          <w:sz w:val="24"/>
          <w:szCs w:val="24"/>
          <w:u w:val="single"/>
        </w:rPr>
      </w:pPr>
      <w:r w:rsidRPr="00704D69">
        <w:rPr>
          <w:bCs/>
          <w:sz w:val="24"/>
          <w:szCs w:val="24"/>
          <w:u w:val="single"/>
        </w:rPr>
        <w:t>Administration</w:t>
      </w:r>
    </w:p>
    <w:p w:rsidR="00704D69" w:rsidRPr="00704D69" w:rsidRDefault="00704D69" w:rsidP="00704D69">
      <w:pPr>
        <w:ind w:left="851"/>
        <w:rPr>
          <w:bCs/>
          <w:sz w:val="24"/>
          <w:szCs w:val="24"/>
        </w:rPr>
      </w:pPr>
      <w:r w:rsidRPr="00704D69">
        <w:rPr>
          <w:bCs/>
          <w:sz w:val="24"/>
          <w:szCs w:val="24"/>
        </w:rPr>
        <w:t>Kapslerne skal sluges hele sammen med væske. Kapslerne bør ikke tygges eller knuses.</w:t>
      </w:r>
    </w:p>
    <w:p w:rsidR="00704D69" w:rsidRPr="00704D69" w:rsidRDefault="00704D69" w:rsidP="00704D69">
      <w:pPr>
        <w:ind w:left="851"/>
        <w:rPr>
          <w:bCs/>
          <w:sz w:val="24"/>
          <w:szCs w:val="24"/>
        </w:rPr>
      </w:pPr>
      <w:r w:rsidRPr="00704D69">
        <w:rPr>
          <w:bCs/>
          <w:sz w:val="24"/>
          <w:szCs w:val="24"/>
        </w:rPr>
        <w:t xml:space="preserve">Patienter, der har problemer med at synke kapslerne, kan åbne disse og komme indholdet i et halvt glas ikke-kulsyreholdigt vand. Der må ikke anvendes andre væsker, da den </w:t>
      </w:r>
      <w:proofErr w:type="spellStart"/>
      <w:r w:rsidRPr="00704D69">
        <w:rPr>
          <w:bCs/>
          <w:sz w:val="24"/>
          <w:szCs w:val="24"/>
        </w:rPr>
        <w:t>gastro</w:t>
      </w:r>
      <w:proofErr w:type="spellEnd"/>
      <w:r w:rsidRPr="00704D69">
        <w:rPr>
          <w:bCs/>
          <w:sz w:val="24"/>
          <w:szCs w:val="24"/>
        </w:rPr>
        <w:t>-resistente coating kan blive opløst. Omrør og drik væsken med pellets straks eller inden for 30 minutter. Skyl glasset med et halvt glas vand og drik dette. Pellets må ikke tygges eller knuses.</w:t>
      </w:r>
    </w:p>
    <w:p w:rsidR="00704D69" w:rsidRPr="00704D69" w:rsidRDefault="00704D69" w:rsidP="00704D69">
      <w:pPr>
        <w:ind w:left="851"/>
        <w:rPr>
          <w:bCs/>
          <w:sz w:val="24"/>
          <w:szCs w:val="24"/>
        </w:rPr>
      </w:pPr>
    </w:p>
    <w:p w:rsidR="00704D69" w:rsidRPr="00704D69" w:rsidRDefault="00704D69" w:rsidP="00704D69">
      <w:pPr>
        <w:ind w:left="851"/>
        <w:rPr>
          <w:bCs/>
          <w:sz w:val="24"/>
          <w:szCs w:val="24"/>
        </w:rPr>
      </w:pPr>
      <w:r w:rsidRPr="00704D69">
        <w:rPr>
          <w:bCs/>
          <w:sz w:val="24"/>
          <w:szCs w:val="24"/>
        </w:rPr>
        <w:t>For patienter, der slet ikke kan synke, kan kapslerne åbnes og indholdet opslæmmes i vand uden kuldioxid og administreres gennem en ernæringssonde. Det er vigtigt, at den udvalgte sprøjte og sondes egnethed er testet grundigt før anvendelse. For instruktioner om tilberedning og administration af lægemidlet, se pkt. 6.6.</w:t>
      </w:r>
    </w:p>
    <w:p w:rsidR="001F29F9" w:rsidRPr="006510F2" w:rsidRDefault="001F29F9" w:rsidP="001F29F9">
      <w:pPr>
        <w:ind w:left="851"/>
        <w:rPr>
          <w:sz w:val="24"/>
          <w:szCs w:val="24"/>
        </w:rPr>
      </w:pPr>
    </w:p>
    <w:p w:rsidR="001F29F9" w:rsidRPr="006510F2" w:rsidRDefault="001F29F9" w:rsidP="001F29F9">
      <w:pPr>
        <w:autoSpaceDE w:val="0"/>
        <w:autoSpaceDN w:val="0"/>
        <w:adjustRightInd w:val="0"/>
        <w:ind w:left="851" w:hanging="851"/>
        <w:rPr>
          <w:b/>
          <w:bCs/>
          <w:sz w:val="24"/>
          <w:szCs w:val="24"/>
        </w:rPr>
      </w:pPr>
      <w:r w:rsidRPr="006510F2">
        <w:rPr>
          <w:b/>
          <w:bCs/>
          <w:sz w:val="24"/>
          <w:szCs w:val="24"/>
        </w:rPr>
        <w:t>4.3</w:t>
      </w:r>
      <w:r w:rsidRPr="006510F2">
        <w:rPr>
          <w:b/>
          <w:bCs/>
          <w:sz w:val="24"/>
          <w:szCs w:val="24"/>
        </w:rPr>
        <w:tab/>
        <w:t>Kontraindikationer</w:t>
      </w:r>
    </w:p>
    <w:p w:rsidR="001F29F9" w:rsidRPr="006510F2" w:rsidRDefault="001F29F9" w:rsidP="001F29F9">
      <w:pPr>
        <w:ind w:left="851"/>
        <w:rPr>
          <w:sz w:val="24"/>
          <w:szCs w:val="24"/>
        </w:rPr>
      </w:pPr>
      <w:r w:rsidRPr="006510F2">
        <w:rPr>
          <w:sz w:val="24"/>
          <w:szCs w:val="24"/>
        </w:rPr>
        <w:t xml:space="preserve">Overfølsomhed over for det aktive stof, over for substituerede </w:t>
      </w:r>
      <w:proofErr w:type="spellStart"/>
      <w:r w:rsidRPr="006510F2">
        <w:rPr>
          <w:sz w:val="24"/>
          <w:szCs w:val="24"/>
        </w:rPr>
        <w:t>benzimidazoler</w:t>
      </w:r>
      <w:proofErr w:type="spellEnd"/>
      <w:r w:rsidRPr="006510F2">
        <w:rPr>
          <w:sz w:val="24"/>
          <w:szCs w:val="24"/>
        </w:rPr>
        <w:t xml:space="preserve"> eller over for et eller flere af hjælpestofferne anført under pkt.  6.1.</w:t>
      </w:r>
    </w:p>
    <w:p w:rsidR="001F29F9" w:rsidRPr="006510F2" w:rsidRDefault="001F29F9" w:rsidP="001F29F9">
      <w:pPr>
        <w:autoSpaceDE w:val="0"/>
        <w:autoSpaceDN w:val="0"/>
        <w:adjustRightInd w:val="0"/>
        <w:ind w:left="851"/>
        <w:rPr>
          <w:sz w:val="24"/>
          <w:szCs w:val="24"/>
        </w:rPr>
      </w:pPr>
    </w:p>
    <w:p w:rsidR="001F29F9" w:rsidRPr="006510F2" w:rsidRDefault="001F29F9" w:rsidP="001F29F9">
      <w:pPr>
        <w:autoSpaceDE w:val="0"/>
        <w:autoSpaceDN w:val="0"/>
        <w:adjustRightInd w:val="0"/>
        <w:ind w:left="851"/>
        <w:rPr>
          <w:sz w:val="24"/>
          <w:szCs w:val="24"/>
        </w:rPr>
      </w:pPr>
      <w:proofErr w:type="spellStart"/>
      <w:r w:rsidRPr="006510F2">
        <w:rPr>
          <w:sz w:val="24"/>
          <w:szCs w:val="24"/>
        </w:rPr>
        <w:lastRenderedPageBreak/>
        <w:t>Esomeprazol</w:t>
      </w:r>
      <w:proofErr w:type="spellEnd"/>
      <w:r w:rsidRPr="006510F2">
        <w:rPr>
          <w:sz w:val="24"/>
          <w:szCs w:val="24"/>
        </w:rPr>
        <w:t xml:space="preserve"> bør ikke anvendes sammen med </w:t>
      </w:r>
      <w:proofErr w:type="spellStart"/>
      <w:r w:rsidRPr="006510F2">
        <w:rPr>
          <w:sz w:val="24"/>
          <w:szCs w:val="24"/>
        </w:rPr>
        <w:t>nelfinavir</w:t>
      </w:r>
      <w:proofErr w:type="spellEnd"/>
      <w:r w:rsidRPr="006510F2">
        <w:rPr>
          <w:sz w:val="24"/>
          <w:szCs w:val="24"/>
        </w:rPr>
        <w:t xml:space="preserve"> (se pkt.  4.5).</w:t>
      </w:r>
    </w:p>
    <w:p w:rsidR="001F29F9" w:rsidRPr="006510F2" w:rsidRDefault="001F29F9" w:rsidP="001F29F9">
      <w:pPr>
        <w:autoSpaceDE w:val="0"/>
        <w:autoSpaceDN w:val="0"/>
        <w:adjustRightInd w:val="0"/>
        <w:ind w:left="851"/>
        <w:rPr>
          <w:b/>
          <w:bCs/>
          <w:sz w:val="24"/>
          <w:szCs w:val="24"/>
        </w:rPr>
      </w:pPr>
    </w:p>
    <w:p w:rsidR="001F29F9" w:rsidRPr="006510F2" w:rsidRDefault="001F29F9" w:rsidP="001F29F9">
      <w:pPr>
        <w:autoSpaceDE w:val="0"/>
        <w:autoSpaceDN w:val="0"/>
        <w:adjustRightInd w:val="0"/>
        <w:ind w:left="851" w:hanging="851"/>
        <w:rPr>
          <w:b/>
          <w:bCs/>
          <w:sz w:val="24"/>
          <w:szCs w:val="24"/>
        </w:rPr>
      </w:pPr>
      <w:r w:rsidRPr="006510F2">
        <w:rPr>
          <w:b/>
          <w:bCs/>
          <w:sz w:val="24"/>
          <w:szCs w:val="24"/>
        </w:rPr>
        <w:t>4.4</w:t>
      </w:r>
      <w:r w:rsidRPr="006510F2">
        <w:rPr>
          <w:b/>
          <w:bCs/>
          <w:sz w:val="24"/>
          <w:szCs w:val="24"/>
        </w:rPr>
        <w:tab/>
        <w:t>Særlige advarsler og forsigtighedsregler vedrørende brugen</w:t>
      </w:r>
    </w:p>
    <w:p w:rsidR="00E52120" w:rsidRPr="00A619D7" w:rsidRDefault="00E52120" w:rsidP="00E52120">
      <w:pPr>
        <w:ind w:left="851"/>
        <w:rPr>
          <w:sz w:val="24"/>
          <w:szCs w:val="24"/>
        </w:rPr>
      </w:pPr>
      <w:r w:rsidRPr="00A619D7">
        <w:rPr>
          <w:sz w:val="24"/>
          <w:szCs w:val="24"/>
        </w:rPr>
        <w:t xml:space="preserve">Ved forekomst af et eller flere alarmsymptomer (f.eks. betydeligt, utilsigtet vægttab, tilbagevendende opkastning, </w:t>
      </w:r>
      <w:proofErr w:type="spellStart"/>
      <w:r w:rsidRPr="00A619D7">
        <w:rPr>
          <w:sz w:val="24"/>
          <w:szCs w:val="24"/>
        </w:rPr>
        <w:t>dysfagi</w:t>
      </w:r>
      <w:proofErr w:type="spellEnd"/>
      <w:r w:rsidRPr="00A619D7">
        <w:rPr>
          <w:sz w:val="24"/>
          <w:szCs w:val="24"/>
        </w:rPr>
        <w:t xml:space="preserve">, </w:t>
      </w:r>
      <w:proofErr w:type="spellStart"/>
      <w:r w:rsidRPr="00A619D7">
        <w:rPr>
          <w:sz w:val="24"/>
          <w:szCs w:val="24"/>
        </w:rPr>
        <w:t>hæmatemese</w:t>
      </w:r>
      <w:proofErr w:type="spellEnd"/>
      <w:r w:rsidRPr="00A619D7">
        <w:rPr>
          <w:sz w:val="24"/>
          <w:szCs w:val="24"/>
        </w:rPr>
        <w:t xml:space="preserve"> eller </w:t>
      </w:r>
      <w:proofErr w:type="spellStart"/>
      <w:r w:rsidRPr="00A619D7">
        <w:rPr>
          <w:sz w:val="24"/>
          <w:szCs w:val="24"/>
        </w:rPr>
        <w:t>melæna</w:t>
      </w:r>
      <w:proofErr w:type="spellEnd"/>
      <w:r w:rsidRPr="00A619D7">
        <w:rPr>
          <w:sz w:val="24"/>
          <w:szCs w:val="24"/>
        </w:rPr>
        <w:t xml:space="preserve">), og når der er mistanke om eller forekomst af gastrisk </w:t>
      </w:r>
      <w:proofErr w:type="spellStart"/>
      <w:r w:rsidRPr="00A619D7">
        <w:rPr>
          <w:sz w:val="24"/>
          <w:szCs w:val="24"/>
        </w:rPr>
        <w:t>ulcer</w:t>
      </w:r>
      <w:proofErr w:type="spellEnd"/>
      <w:r w:rsidRPr="00A619D7">
        <w:rPr>
          <w:sz w:val="24"/>
          <w:szCs w:val="24"/>
        </w:rPr>
        <w:t xml:space="preserve">, bør </w:t>
      </w:r>
      <w:proofErr w:type="spellStart"/>
      <w:r w:rsidRPr="00A619D7">
        <w:rPr>
          <w:sz w:val="24"/>
          <w:szCs w:val="24"/>
        </w:rPr>
        <w:t>malignitet</w:t>
      </w:r>
      <w:proofErr w:type="spellEnd"/>
      <w:r w:rsidRPr="00A619D7">
        <w:rPr>
          <w:sz w:val="24"/>
          <w:szCs w:val="24"/>
        </w:rPr>
        <w:t xml:space="preserve"> udelukkes, da behandling med </w:t>
      </w:r>
      <w:proofErr w:type="spellStart"/>
      <w:r w:rsidRPr="00A619D7">
        <w:rPr>
          <w:sz w:val="24"/>
          <w:szCs w:val="24"/>
        </w:rPr>
        <w:t>esomeprazol</w:t>
      </w:r>
      <w:proofErr w:type="spellEnd"/>
      <w:r w:rsidRPr="00A619D7">
        <w:rPr>
          <w:sz w:val="24"/>
          <w:szCs w:val="24"/>
        </w:rPr>
        <w:t xml:space="preserve"> kan dæmpe symptomerne og forsinke en diagnose.</w:t>
      </w:r>
    </w:p>
    <w:p w:rsidR="00E52120" w:rsidRPr="00A619D7" w:rsidRDefault="00E52120" w:rsidP="00E52120">
      <w:pPr>
        <w:ind w:left="851"/>
        <w:rPr>
          <w:sz w:val="24"/>
          <w:szCs w:val="24"/>
        </w:rPr>
      </w:pPr>
    </w:p>
    <w:p w:rsidR="00E52120" w:rsidRPr="00A619D7" w:rsidRDefault="00E52120" w:rsidP="00E52120">
      <w:pPr>
        <w:widowControl w:val="0"/>
        <w:ind w:left="851"/>
        <w:rPr>
          <w:sz w:val="24"/>
          <w:szCs w:val="24"/>
          <w:u w:val="single"/>
        </w:rPr>
      </w:pPr>
      <w:r w:rsidRPr="00A619D7">
        <w:rPr>
          <w:sz w:val="24"/>
          <w:szCs w:val="24"/>
          <w:u w:val="single"/>
        </w:rPr>
        <w:t>Brug over længere tid</w:t>
      </w:r>
    </w:p>
    <w:p w:rsidR="00E52120" w:rsidRPr="00A619D7" w:rsidRDefault="00E52120" w:rsidP="00E52120">
      <w:pPr>
        <w:ind w:left="851"/>
        <w:rPr>
          <w:sz w:val="24"/>
          <w:szCs w:val="24"/>
        </w:rPr>
      </w:pPr>
      <w:r w:rsidRPr="00A619D7">
        <w:rPr>
          <w:sz w:val="24"/>
          <w:szCs w:val="24"/>
        </w:rPr>
        <w:t>Patienter på langtidsbehandling (især patienter, der behandles i mere end et år) bør kontrolleres regelmæssigt.</w:t>
      </w:r>
    </w:p>
    <w:p w:rsidR="00E52120" w:rsidRPr="00A619D7" w:rsidRDefault="00E52120" w:rsidP="00E52120">
      <w:pPr>
        <w:ind w:left="851"/>
        <w:rPr>
          <w:sz w:val="24"/>
          <w:szCs w:val="24"/>
        </w:rPr>
      </w:pPr>
    </w:p>
    <w:p w:rsidR="00E52120" w:rsidRPr="00A619D7" w:rsidRDefault="00E52120" w:rsidP="00E52120">
      <w:pPr>
        <w:widowControl w:val="0"/>
        <w:ind w:left="851"/>
        <w:rPr>
          <w:sz w:val="24"/>
          <w:szCs w:val="24"/>
          <w:u w:val="single"/>
        </w:rPr>
      </w:pPr>
      <w:r w:rsidRPr="00A619D7">
        <w:rPr>
          <w:sz w:val="24"/>
          <w:szCs w:val="24"/>
          <w:u w:val="single"/>
        </w:rPr>
        <w:t xml:space="preserve">Efter-behov-behandling </w:t>
      </w:r>
    </w:p>
    <w:p w:rsidR="00E52120" w:rsidRPr="00A619D7" w:rsidRDefault="00E52120" w:rsidP="00E52120">
      <w:pPr>
        <w:ind w:left="851"/>
        <w:rPr>
          <w:sz w:val="24"/>
          <w:szCs w:val="24"/>
        </w:rPr>
      </w:pPr>
      <w:r w:rsidRPr="00A619D7">
        <w:rPr>
          <w:sz w:val="24"/>
          <w:szCs w:val="24"/>
        </w:rPr>
        <w:t xml:space="preserve">Patienter på efter-behov-behandling skal instrueres i at kontakte deres læge, hvis deres symptomer ændrer karakter. </w:t>
      </w:r>
    </w:p>
    <w:p w:rsidR="00E52120" w:rsidRPr="00A619D7" w:rsidRDefault="00E52120" w:rsidP="00E52120">
      <w:pPr>
        <w:ind w:left="851"/>
        <w:rPr>
          <w:sz w:val="24"/>
          <w:szCs w:val="24"/>
          <w:lang w:eastAsia="de-CH"/>
        </w:rPr>
      </w:pPr>
    </w:p>
    <w:p w:rsidR="00E52120" w:rsidRPr="00A619D7" w:rsidRDefault="00E52120" w:rsidP="00E52120">
      <w:pPr>
        <w:widowControl w:val="0"/>
        <w:ind w:left="851"/>
        <w:rPr>
          <w:sz w:val="24"/>
          <w:szCs w:val="24"/>
          <w:u w:val="single"/>
          <w:lang w:eastAsia="de-CH"/>
        </w:rPr>
      </w:pPr>
      <w:proofErr w:type="spellStart"/>
      <w:r w:rsidRPr="00A619D7">
        <w:rPr>
          <w:sz w:val="24"/>
          <w:szCs w:val="24"/>
          <w:u w:val="single"/>
          <w:lang w:eastAsia="de-CH"/>
        </w:rPr>
        <w:t>Eradikation</w:t>
      </w:r>
      <w:proofErr w:type="spellEnd"/>
      <w:r w:rsidRPr="00A619D7">
        <w:rPr>
          <w:sz w:val="24"/>
          <w:szCs w:val="24"/>
          <w:u w:val="single"/>
          <w:lang w:eastAsia="de-CH"/>
        </w:rPr>
        <w:t xml:space="preserve"> af </w:t>
      </w:r>
      <w:proofErr w:type="spellStart"/>
      <w:r w:rsidRPr="00A619D7">
        <w:rPr>
          <w:i/>
          <w:sz w:val="24"/>
          <w:szCs w:val="24"/>
          <w:u w:val="single"/>
          <w:lang w:eastAsia="de-CH"/>
        </w:rPr>
        <w:t>Helicobacter</w:t>
      </w:r>
      <w:proofErr w:type="spellEnd"/>
      <w:r w:rsidRPr="00A619D7">
        <w:rPr>
          <w:i/>
          <w:sz w:val="24"/>
          <w:szCs w:val="24"/>
          <w:u w:val="single"/>
          <w:lang w:eastAsia="de-CH"/>
        </w:rPr>
        <w:t xml:space="preserve"> </w:t>
      </w:r>
      <w:proofErr w:type="spellStart"/>
      <w:r w:rsidRPr="00A619D7">
        <w:rPr>
          <w:i/>
          <w:sz w:val="24"/>
          <w:szCs w:val="24"/>
          <w:u w:val="single"/>
          <w:lang w:eastAsia="de-CH"/>
        </w:rPr>
        <w:t>pylori</w:t>
      </w:r>
      <w:proofErr w:type="spellEnd"/>
    </w:p>
    <w:p w:rsidR="00E52120" w:rsidRPr="00A619D7" w:rsidRDefault="00E52120" w:rsidP="00E52120">
      <w:pPr>
        <w:ind w:left="851"/>
        <w:rPr>
          <w:sz w:val="24"/>
          <w:szCs w:val="24"/>
          <w:lang w:eastAsia="pt-PT"/>
        </w:rPr>
      </w:pPr>
      <w:r w:rsidRPr="00A619D7">
        <w:rPr>
          <w:sz w:val="24"/>
          <w:szCs w:val="24"/>
        </w:rPr>
        <w:t xml:space="preserve">Ved ordinering af </w:t>
      </w:r>
      <w:proofErr w:type="spellStart"/>
      <w:r w:rsidRPr="00A619D7">
        <w:rPr>
          <w:sz w:val="24"/>
          <w:szCs w:val="24"/>
        </w:rPr>
        <w:t>esomeprazol</w:t>
      </w:r>
      <w:proofErr w:type="spellEnd"/>
      <w:r w:rsidRPr="00A619D7">
        <w:rPr>
          <w:sz w:val="24"/>
          <w:szCs w:val="24"/>
        </w:rPr>
        <w:t xml:space="preserve"> til </w:t>
      </w:r>
      <w:proofErr w:type="spellStart"/>
      <w:r w:rsidRPr="00A619D7">
        <w:rPr>
          <w:sz w:val="24"/>
          <w:szCs w:val="24"/>
        </w:rPr>
        <w:t>eradikation</w:t>
      </w:r>
      <w:proofErr w:type="spellEnd"/>
      <w:r w:rsidRPr="00A619D7">
        <w:rPr>
          <w:sz w:val="24"/>
          <w:szCs w:val="24"/>
        </w:rPr>
        <w:t xml:space="preserve"> af </w:t>
      </w:r>
      <w:proofErr w:type="spellStart"/>
      <w:r w:rsidRPr="00A619D7">
        <w:rPr>
          <w:i/>
          <w:iCs/>
          <w:sz w:val="24"/>
          <w:szCs w:val="24"/>
        </w:rPr>
        <w:t>Helicobacter</w:t>
      </w:r>
      <w:proofErr w:type="spellEnd"/>
      <w:r w:rsidRPr="00A619D7">
        <w:rPr>
          <w:i/>
          <w:iCs/>
          <w:sz w:val="24"/>
          <w:szCs w:val="24"/>
        </w:rPr>
        <w:t xml:space="preserve"> </w:t>
      </w:r>
      <w:proofErr w:type="spellStart"/>
      <w:r w:rsidRPr="00A619D7">
        <w:rPr>
          <w:i/>
          <w:iCs/>
          <w:sz w:val="24"/>
          <w:szCs w:val="24"/>
        </w:rPr>
        <w:t>pylori</w:t>
      </w:r>
      <w:proofErr w:type="spellEnd"/>
      <w:r w:rsidRPr="00A619D7">
        <w:rPr>
          <w:sz w:val="24"/>
          <w:szCs w:val="24"/>
        </w:rPr>
        <w:t xml:space="preserve"> bør mulige lægemiddelinteraktioner tages i betragtning for alle bestanddele i </w:t>
      </w:r>
      <w:proofErr w:type="spellStart"/>
      <w:r w:rsidRPr="00A619D7">
        <w:rPr>
          <w:sz w:val="24"/>
          <w:szCs w:val="24"/>
        </w:rPr>
        <w:t>tripelbehandlingen</w:t>
      </w:r>
      <w:proofErr w:type="spellEnd"/>
      <w:r w:rsidRPr="00A619D7">
        <w:rPr>
          <w:sz w:val="24"/>
          <w:szCs w:val="24"/>
        </w:rPr>
        <w:t xml:space="preserve">. </w:t>
      </w:r>
      <w:proofErr w:type="spellStart"/>
      <w:r w:rsidRPr="00A619D7">
        <w:rPr>
          <w:sz w:val="24"/>
          <w:szCs w:val="24"/>
        </w:rPr>
        <w:t>Clarithromycin</w:t>
      </w:r>
      <w:proofErr w:type="spellEnd"/>
      <w:r w:rsidRPr="00A619D7">
        <w:rPr>
          <w:sz w:val="24"/>
          <w:szCs w:val="24"/>
        </w:rPr>
        <w:t xml:space="preserve"> er en potent inhibitor af CYP3A4, og som følge heraf bør kontraindikationer og interaktioner for </w:t>
      </w:r>
      <w:proofErr w:type="spellStart"/>
      <w:r w:rsidRPr="00A619D7">
        <w:rPr>
          <w:sz w:val="24"/>
          <w:szCs w:val="24"/>
        </w:rPr>
        <w:t>clarithromycin</w:t>
      </w:r>
      <w:proofErr w:type="spellEnd"/>
      <w:r w:rsidRPr="00A619D7">
        <w:rPr>
          <w:sz w:val="24"/>
          <w:szCs w:val="24"/>
        </w:rPr>
        <w:t xml:space="preserve"> tages med i betragtning ved anvendelse af </w:t>
      </w:r>
      <w:proofErr w:type="spellStart"/>
      <w:r w:rsidRPr="00A619D7">
        <w:rPr>
          <w:sz w:val="24"/>
          <w:szCs w:val="24"/>
        </w:rPr>
        <w:t>tripelbehandlingen</w:t>
      </w:r>
      <w:proofErr w:type="spellEnd"/>
      <w:r w:rsidRPr="00A619D7">
        <w:rPr>
          <w:sz w:val="24"/>
          <w:szCs w:val="24"/>
        </w:rPr>
        <w:t xml:space="preserve"> til patienter, der samtidig tager andre lægemidler, der </w:t>
      </w:r>
      <w:proofErr w:type="spellStart"/>
      <w:r w:rsidRPr="00A619D7">
        <w:rPr>
          <w:sz w:val="24"/>
          <w:szCs w:val="24"/>
        </w:rPr>
        <w:t>metaboliseres</w:t>
      </w:r>
      <w:proofErr w:type="spellEnd"/>
      <w:r w:rsidRPr="00A619D7">
        <w:rPr>
          <w:sz w:val="24"/>
          <w:szCs w:val="24"/>
        </w:rPr>
        <w:t xml:space="preserve"> af CYP3A4, såsom </w:t>
      </w:r>
      <w:proofErr w:type="spellStart"/>
      <w:r w:rsidRPr="00A619D7">
        <w:rPr>
          <w:sz w:val="24"/>
          <w:szCs w:val="24"/>
        </w:rPr>
        <w:t>cisaprid</w:t>
      </w:r>
      <w:proofErr w:type="spellEnd"/>
      <w:r w:rsidRPr="00A619D7">
        <w:rPr>
          <w:sz w:val="24"/>
          <w:szCs w:val="24"/>
        </w:rPr>
        <w:t>.</w:t>
      </w:r>
    </w:p>
    <w:p w:rsidR="00E52120" w:rsidRPr="00A619D7" w:rsidRDefault="00E52120" w:rsidP="00E52120">
      <w:pPr>
        <w:ind w:left="851"/>
        <w:rPr>
          <w:sz w:val="24"/>
          <w:szCs w:val="24"/>
          <w:lang w:eastAsia="de-CH"/>
        </w:rPr>
      </w:pPr>
    </w:p>
    <w:p w:rsidR="00E52120" w:rsidRPr="00A619D7" w:rsidRDefault="00E52120" w:rsidP="00E52120">
      <w:pPr>
        <w:widowControl w:val="0"/>
        <w:ind w:left="851"/>
        <w:rPr>
          <w:sz w:val="24"/>
          <w:szCs w:val="24"/>
          <w:u w:val="single"/>
          <w:lang w:eastAsia="pt-PT"/>
        </w:rPr>
      </w:pPr>
      <w:proofErr w:type="spellStart"/>
      <w:r w:rsidRPr="00A619D7">
        <w:rPr>
          <w:sz w:val="24"/>
          <w:szCs w:val="24"/>
          <w:u w:val="single"/>
        </w:rPr>
        <w:t>Gastrointestinale</w:t>
      </w:r>
      <w:proofErr w:type="spellEnd"/>
      <w:r w:rsidRPr="00A619D7">
        <w:rPr>
          <w:sz w:val="24"/>
          <w:szCs w:val="24"/>
          <w:u w:val="single"/>
        </w:rPr>
        <w:t xml:space="preserve"> infektioner</w:t>
      </w:r>
    </w:p>
    <w:p w:rsidR="00E52120" w:rsidRPr="00A619D7" w:rsidRDefault="00E52120" w:rsidP="00E52120">
      <w:pPr>
        <w:ind w:left="851"/>
        <w:rPr>
          <w:sz w:val="24"/>
          <w:szCs w:val="24"/>
        </w:rPr>
      </w:pPr>
      <w:r w:rsidRPr="00A619D7">
        <w:rPr>
          <w:sz w:val="24"/>
          <w:szCs w:val="24"/>
        </w:rPr>
        <w:t xml:space="preserve">Behandling med </w:t>
      </w:r>
      <w:proofErr w:type="spellStart"/>
      <w:r w:rsidRPr="00A619D7">
        <w:rPr>
          <w:sz w:val="24"/>
          <w:szCs w:val="24"/>
        </w:rPr>
        <w:t>protonpumpehæmmerekan</w:t>
      </w:r>
      <w:proofErr w:type="spellEnd"/>
      <w:r w:rsidRPr="00A619D7">
        <w:rPr>
          <w:sz w:val="24"/>
          <w:szCs w:val="24"/>
        </w:rPr>
        <w:t xml:space="preserve"> føre til en let forøget risiko for </w:t>
      </w:r>
      <w:proofErr w:type="spellStart"/>
      <w:r w:rsidRPr="00A619D7">
        <w:rPr>
          <w:sz w:val="24"/>
          <w:szCs w:val="24"/>
        </w:rPr>
        <w:t>gastrointestinale</w:t>
      </w:r>
      <w:proofErr w:type="spellEnd"/>
      <w:r w:rsidRPr="00A619D7">
        <w:rPr>
          <w:sz w:val="24"/>
          <w:szCs w:val="24"/>
        </w:rPr>
        <w:t xml:space="preserve"> infektioner, såsom </w:t>
      </w:r>
      <w:r w:rsidRPr="00A619D7">
        <w:rPr>
          <w:i/>
          <w:iCs/>
          <w:sz w:val="24"/>
          <w:szCs w:val="24"/>
        </w:rPr>
        <w:t>Salmonella</w:t>
      </w:r>
      <w:r w:rsidRPr="00A619D7">
        <w:rPr>
          <w:sz w:val="24"/>
          <w:szCs w:val="24"/>
        </w:rPr>
        <w:t xml:space="preserve"> og </w:t>
      </w:r>
      <w:r w:rsidRPr="00A619D7">
        <w:rPr>
          <w:i/>
          <w:iCs/>
          <w:sz w:val="24"/>
          <w:szCs w:val="24"/>
        </w:rPr>
        <w:t>Campylobacter</w:t>
      </w:r>
      <w:r w:rsidRPr="00A619D7">
        <w:rPr>
          <w:sz w:val="24"/>
          <w:szCs w:val="24"/>
        </w:rPr>
        <w:t xml:space="preserve"> (se pkt.  5.1).</w:t>
      </w:r>
    </w:p>
    <w:p w:rsidR="00E52120" w:rsidRPr="00A619D7" w:rsidRDefault="00E52120" w:rsidP="00E52120">
      <w:pPr>
        <w:ind w:left="851"/>
        <w:rPr>
          <w:sz w:val="24"/>
          <w:szCs w:val="24"/>
          <w:lang w:eastAsia="de-CH"/>
        </w:rPr>
      </w:pPr>
    </w:p>
    <w:p w:rsidR="00E52120" w:rsidRPr="00A619D7" w:rsidRDefault="00E52120" w:rsidP="00E52120">
      <w:pPr>
        <w:widowControl w:val="0"/>
        <w:ind w:left="851"/>
        <w:rPr>
          <w:sz w:val="24"/>
          <w:szCs w:val="24"/>
          <w:u w:val="single"/>
          <w:lang w:eastAsia="pt-PT"/>
        </w:rPr>
      </w:pPr>
      <w:r w:rsidRPr="00A619D7">
        <w:rPr>
          <w:sz w:val="24"/>
          <w:szCs w:val="24"/>
          <w:u w:val="single"/>
        </w:rPr>
        <w:t>Absorption af vitamin B12</w:t>
      </w:r>
    </w:p>
    <w:p w:rsidR="00E52120" w:rsidRPr="00A619D7" w:rsidRDefault="00E52120" w:rsidP="00E52120">
      <w:pPr>
        <w:widowControl w:val="0"/>
        <w:ind w:left="851"/>
        <w:rPr>
          <w:sz w:val="24"/>
          <w:szCs w:val="24"/>
        </w:rPr>
      </w:pPr>
      <w:proofErr w:type="spellStart"/>
      <w:r w:rsidRPr="00A619D7">
        <w:rPr>
          <w:sz w:val="24"/>
          <w:szCs w:val="24"/>
        </w:rPr>
        <w:t>Esomeprazol</w:t>
      </w:r>
      <w:proofErr w:type="spellEnd"/>
      <w:r w:rsidRPr="00A619D7">
        <w:rPr>
          <w:sz w:val="24"/>
          <w:szCs w:val="24"/>
        </w:rPr>
        <w:t xml:space="preserve"> kan i lighed med alle syreblokerende lægemidler reducere absorptionen af vitamin B12 (</w:t>
      </w:r>
      <w:proofErr w:type="spellStart"/>
      <w:r w:rsidRPr="00A619D7">
        <w:rPr>
          <w:sz w:val="24"/>
          <w:szCs w:val="24"/>
        </w:rPr>
        <w:t>cyancobalamin</w:t>
      </w:r>
      <w:proofErr w:type="spellEnd"/>
      <w:r w:rsidRPr="00A619D7">
        <w:rPr>
          <w:sz w:val="24"/>
          <w:szCs w:val="24"/>
        </w:rPr>
        <w:t xml:space="preserve">) som følge af </w:t>
      </w:r>
      <w:proofErr w:type="spellStart"/>
      <w:r w:rsidRPr="00A619D7">
        <w:rPr>
          <w:sz w:val="24"/>
          <w:szCs w:val="24"/>
        </w:rPr>
        <w:t>hypo</w:t>
      </w:r>
      <w:proofErr w:type="spellEnd"/>
      <w:r w:rsidRPr="00A619D7">
        <w:rPr>
          <w:sz w:val="24"/>
          <w:szCs w:val="24"/>
        </w:rPr>
        <w:t xml:space="preserve">- eller </w:t>
      </w:r>
      <w:proofErr w:type="spellStart"/>
      <w:r w:rsidRPr="00A619D7">
        <w:rPr>
          <w:sz w:val="24"/>
          <w:szCs w:val="24"/>
        </w:rPr>
        <w:t>aklorhydri</w:t>
      </w:r>
      <w:proofErr w:type="spellEnd"/>
      <w:r w:rsidRPr="00A619D7">
        <w:rPr>
          <w:sz w:val="24"/>
          <w:szCs w:val="24"/>
        </w:rPr>
        <w:t>. Dette skal tages med i betragtning hos patienter med reducerede kropsdepoter eller risikofaktorer for reduceret absorption af vitamin B12 ved langtidsbehandling.</w:t>
      </w:r>
    </w:p>
    <w:p w:rsidR="00E52120" w:rsidRPr="00A619D7" w:rsidRDefault="00E52120" w:rsidP="00E52120">
      <w:pPr>
        <w:widowControl w:val="0"/>
        <w:ind w:left="851"/>
        <w:rPr>
          <w:iCs/>
          <w:sz w:val="24"/>
          <w:szCs w:val="24"/>
        </w:rPr>
      </w:pPr>
    </w:p>
    <w:p w:rsidR="00E52120" w:rsidRPr="00A619D7" w:rsidRDefault="00E52120" w:rsidP="00E52120">
      <w:pPr>
        <w:widowControl w:val="0"/>
        <w:ind w:left="851"/>
        <w:rPr>
          <w:sz w:val="24"/>
          <w:szCs w:val="24"/>
          <w:u w:val="single"/>
          <w:lang w:eastAsia="de-CH"/>
        </w:rPr>
      </w:pPr>
      <w:proofErr w:type="spellStart"/>
      <w:r w:rsidRPr="00A619D7">
        <w:rPr>
          <w:iCs/>
          <w:sz w:val="24"/>
          <w:szCs w:val="24"/>
          <w:u w:val="single"/>
        </w:rPr>
        <w:t>Hypomagnesiæmi</w:t>
      </w:r>
      <w:proofErr w:type="spellEnd"/>
    </w:p>
    <w:p w:rsidR="00E52120" w:rsidRPr="00A619D7" w:rsidRDefault="00E52120" w:rsidP="00E52120">
      <w:pPr>
        <w:widowControl w:val="0"/>
        <w:ind w:left="851"/>
        <w:rPr>
          <w:sz w:val="24"/>
          <w:szCs w:val="24"/>
          <w:lang w:eastAsia="pt-PT"/>
        </w:rPr>
      </w:pPr>
      <w:r w:rsidRPr="00A619D7">
        <w:rPr>
          <w:sz w:val="24"/>
          <w:szCs w:val="24"/>
        </w:rPr>
        <w:t xml:space="preserve">Svær </w:t>
      </w:r>
      <w:proofErr w:type="spellStart"/>
      <w:r w:rsidRPr="00A619D7">
        <w:rPr>
          <w:sz w:val="24"/>
          <w:szCs w:val="24"/>
        </w:rPr>
        <w:t>hypomagnesiæmi</w:t>
      </w:r>
      <w:proofErr w:type="spellEnd"/>
      <w:r w:rsidRPr="00A619D7">
        <w:rPr>
          <w:sz w:val="24"/>
          <w:szCs w:val="24"/>
        </w:rPr>
        <w:t xml:space="preserve"> er rapporteret hos patienter behandlet med syrepumpehæmmer (</w:t>
      </w:r>
      <w:proofErr w:type="spellStart"/>
      <w:r w:rsidRPr="00A619D7">
        <w:rPr>
          <w:sz w:val="24"/>
          <w:szCs w:val="24"/>
        </w:rPr>
        <w:t>PPI’er</w:t>
      </w:r>
      <w:proofErr w:type="spellEnd"/>
      <w:r w:rsidRPr="00A619D7">
        <w:rPr>
          <w:sz w:val="24"/>
          <w:szCs w:val="24"/>
        </w:rPr>
        <w:t xml:space="preserve">) som </w:t>
      </w:r>
      <w:proofErr w:type="spellStart"/>
      <w:r w:rsidRPr="00A619D7">
        <w:rPr>
          <w:sz w:val="24"/>
          <w:szCs w:val="24"/>
        </w:rPr>
        <w:t>esomeprazol</w:t>
      </w:r>
      <w:proofErr w:type="spellEnd"/>
      <w:r w:rsidRPr="00A619D7">
        <w:rPr>
          <w:sz w:val="24"/>
          <w:szCs w:val="24"/>
        </w:rPr>
        <w:t xml:space="preserve"> i mindst tre måneder og i de fleste tilfælde i et år. Alvorlige tegn på </w:t>
      </w:r>
      <w:proofErr w:type="spellStart"/>
      <w:r w:rsidRPr="00A619D7">
        <w:rPr>
          <w:sz w:val="24"/>
          <w:szCs w:val="24"/>
        </w:rPr>
        <w:t>hypomagnesiæmi</w:t>
      </w:r>
      <w:proofErr w:type="spellEnd"/>
      <w:r w:rsidRPr="00A619D7">
        <w:rPr>
          <w:sz w:val="24"/>
          <w:szCs w:val="24"/>
        </w:rPr>
        <w:t xml:space="preserve">, såsom træthed, tetani, delirium, kramper, svimmelhed og </w:t>
      </w:r>
      <w:proofErr w:type="spellStart"/>
      <w:r w:rsidRPr="00A619D7">
        <w:rPr>
          <w:sz w:val="24"/>
          <w:szCs w:val="24"/>
        </w:rPr>
        <w:t>ventrikulær</w:t>
      </w:r>
      <w:proofErr w:type="spellEnd"/>
      <w:r w:rsidRPr="00A619D7">
        <w:rPr>
          <w:sz w:val="24"/>
          <w:szCs w:val="24"/>
        </w:rPr>
        <w:t xml:space="preserve"> </w:t>
      </w:r>
      <w:proofErr w:type="spellStart"/>
      <w:r w:rsidRPr="00A619D7">
        <w:rPr>
          <w:sz w:val="24"/>
          <w:szCs w:val="24"/>
        </w:rPr>
        <w:t>arytmi</w:t>
      </w:r>
      <w:proofErr w:type="spellEnd"/>
      <w:r w:rsidRPr="00A619D7">
        <w:rPr>
          <w:sz w:val="24"/>
          <w:szCs w:val="24"/>
        </w:rPr>
        <w:t xml:space="preserve">, kan forekomme, men de kan begynde snigende og kan overses. Hos de fleste berørte patienter forbedredes </w:t>
      </w:r>
      <w:proofErr w:type="spellStart"/>
      <w:r w:rsidRPr="00A619D7">
        <w:rPr>
          <w:sz w:val="24"/>
          <w:szCs w:val="24"/>
        </w:rPr>
        <w:t>hypomagnesiæmi</w:t>
      </w:r>
      <w:proofErr w:type="spellEnd"/>
      <w:r w:rsidRPr="00A619D7">
        <w:rPr>
          <w:sz w:val="24"/>
          <w:szCs w:val="24"/>
        </w:rPr>
        <w:t xml:space="preserve"> efter magnesiumerstatning og </w:t>
      </w:r>
      <w:proofErr w:type="spellStart"/>
      <w:r w:rsidRPr="00A619D7">
        <w:rPr>
          <w:sz w:val="24"/>
          <w:szCs w:val="24"/>
        </w:rPr>
        <w:t>seponering</w:t>
      </w:r>
      <w:proofErr w:type="spellEnd"/>
      <w:r w:rsidRPr="00A619D7">
        <w:rPr>
          <w:sz w:val="24"/>
          <w:szCs w:val="24"/>
        </w:rPr>
        <w:t xml:space="preserve"> af PPI.</w:t>
      </w:r>
    </w:p>
    <w:p w:rsidR="00E52120" w:rsidRPr="00A619D7" w:rsidRDefault="00E52120" w:rsidP="00E52120">
      <w:pPr>
        <w:widowControl w:val="0"/>
        <w:ind w:left="851"/>
        <w:rPr>
          <w:sz w:val="24"/>
          <w:szCs w:val="24"/>
        </w:rPr>
      </w:pPr>
      <w:r w:rsidRPr="00A619D7">
        <w:rPr>
          <w:sz w:val="24"/>
          <w:szCs w:val="24"/>
        </w:rPr>
        <w:t xml:space="preserve">For patienter, der forventes at være på langvarig behandling, eller som tager </w:t>
      </w:r>
      <w:proofErr w:type="spellStart"/>
      <w:r w:rsidRPr="00A619D7">
        <w:rPr>
          <w:sz w:val="24"/>
          <w:szCs w:val="24"/>
        </w:rPr>
        <w:t>PPI’er</w:t>
      </w:r>
      <w:proofErr w:type="spellEnd"/>
      <w:r w:rsidRPr="00A619D7">
        <w:rPr>
          <w:sz w:val="24"/>
          <w:szCs w:val="24"/>
        </w:rPr>
        <w:t xml:space="preserve"> med </w:t>
      </w:r>
      <w:proofErr w:type="spellStart"/>
      <w:r w:rsidRPr="00A619D7">
        <w:rPr>
          <w:sz w:val="24"/>
          <w:szCs w:val="24"/>
        </w:rPr>
        <w:t>digoxin</w:t>
      </w:r>
      <w:proofErr w:type="spellEnd"/>
      <w:r w:rsidRPr="00A619D7">
        <w:rPr>
          <w:sz w:val="24"/>
          <w:szCs w:val="24"/>
        </w:rPr>
        <w:t xml:space="preserve"> eller lægemidler, der kan forårsage </w:t>
      </w:r>
      <w:proofErr w:type="spellStart"/>
      <w:r w:rsidRPr="00A619D7">
        <w:rPr>
          <w:sz w:val="24"/>
          <w:szCs w:val="24"/>
        </w:rPr>
        <w:t>hypomagnesiæmi</w:t>
      </w:r>
      <w:proofErr w:type="spellEnd"/>
      <w:r w:rsidRPr="00A619D7">
        <w:rPr>
          <w:sz w:val="24"/>
          <w:szCs w:val="24"/>
        </w:rPr>
        <w:t xml:space="preserve"> (f.eks. </w:t>
      </w:r>
      <w:proofErr w:type="spellStart"/>
      <w:r w:rsidRPr="00A619D7">
        <w:rPr>
          <w:sz w:val="24"/>
          <w:szCs w:val="24"/>
        </w:rPr>
        <w:t>diuretika</w:t>
      </w:r>
      <w:proofErr w:type="spellEnd"/>
      <w:r w:rsidRPr="00A619D7">
        <w:rPr>
          <w:sz w:val="24"/>
          <w:szCs w:val="24"/>
        </w:rPr>
        <w:t>), bør sundhedspersonalet overveje måling af magnesiumniveauer før start på PPI-behandling og periodisk under behandlingen.</w:t>
      </w:r>
    </w:p>
    <w:p w:rsidR="00E52120" w:rsidRPr="00A619D7" w:rsidRDefault="00E52120" w:rsidP="00E52120">
      <w:pPr>
        <w:widowControl w:val="0"/>
        <w:ind w:left="851"/>
        <w:rPr>
          <w:sz w:val="24"/>
          <w:szCs w:val="24"/>
        </w:rPr>
      </w:pPr>
    </w:p>
    <w:p w:rsidR="00E52120" w:rsidRPr="00A619D7" w:rsidRDefault="00E52120" w:rsidP="00E52120">
      <w:pPr>
        <w:widowControl w:val="0"/>
        <w:ind w:left="851"/>
        <w:rPr>
          <w:sz w:val="24"/>
          <w:szCs w:val="24"/>
          <w:u w:val="single"/>
        </w:rPr>
      </w:pPr>
      <w:r w:rsidRPr="00A619D7">
        <w:rPr>
          <w:sz w:val="24"/>
          <w:szCs w:val="24"/>
          <w:u w:val="single"/>
        </w:rPr>
        <w:t>Risiko for frakturer</w:t>
      </w:r>
    </w:p>
    <w:p w:rsidR="00E52120" w:rsidRPr="00A619D7" w:rsidRDefault="00E52120" w:rsidP="00E52120">
      <w:pPr>
        <w:widowControl w:val="0"/>
        <w:ind w:left="851"/>
        <w:rPr>
          <w:sz w:val="24"/>
          <w:szCs w:val="24"/>
        </w:rPr>
      </w:pPr>
      <w:proofErr w:type="spellStart"/>
      <w:r w:rsidRPr="00A619D7">
        <w:rPr>
          <w:sz w:val="24"/>
          <w:szCs w:val="24"/>
        </w:rPr>
        <w:t>Protonpumpehæmmere</w:t>
      </w:r>
      <w:proofErr w:type="spellEnd"/>
      <w:r w:rsidRPr="00A619D7">
        <w:rPr>
          <w:sz w:val="24"/>
          <w:szCs w:val="24"/>
        </w:rPr>
        <w:t xml:space="preserve"> kan, især hvis de anvendes ved høje doser og over lang tid (&gt; 1 år), i beskedent omfang øge risikoen for hofte-, håndleds- og rygsøjlefraktur, overvejende hos ældre eller ved tilstedeværelse af andre anerkendte risikofaktorer. Observationsstudier tyder på, at </w:t>
      </w:r>
      <w:proofErr w:type="spellStart"/>
      <w:r w:rsidRPr="00A619D7">
        <w:rPr>
          <w:sz w:val="24"/>
          <w:szCs w:val="24"/>
        </w:rPr>
        <w:t>protonpumpehæmmere</w:t>
      </w:r>
      <w:proofErr w:type="spellEnd"/>
      <w:r w:rsidRPr="00A619D7">
        <w:rPr>
          <w:sz w:val="24"/>
          <w:szCs w:val="24"/>
        </w:rPr>
        <w:t xml:space="preserve"> kan øge den generelle risiko for fraktur med 10</w:t>
      </w:r>
      <w:r w:rsidRPr="00A619D7">
        <w:rPr>
          <w:sz w:val="24"/>
          <w:szCs w:val="24"/>
        </w:rPr>
        <w:noBreakHyphen/>
        <w:t xml:space="preserve">40 %. </w:t>
      </w:r>
      <w:r w:rsidRPr="00A619D7">
        <w:rPr>
          <w:sz w:val="24"/>
          <w:szCs w:val="24"/>
        </w:rPr>
        <w:lastRenderedPageBreak/>
        <w:t>Noget af denne forøgelse kan skyldes andre risikofaktorer. Patienter med risiko for osteoporose skal modtage behandling i overensstemmelse med aktuelle, kliniske retningslinjer, og de bør have en tilstrækkelig indtagelse af vitamin D og calcium.</w:t>
      </w:r>
    </w:p>
    <w:p w:rsidR="00E52120" w:rsidRPr="00A619D7" w:rsidRDefault="00E52120" w:rsidP="00E52120">
      <w:pPr>
        <w:widowControl w:val="0"/>
        <w:ind w:left="851"/>
        <w:rPr>
          <w:sz w:val="24"/>
          <w:szCs w:val="24"/>
        </w:rPr>
      </w:pPr>
    </w:p>
    <w:p w:rsidR="00E52120" w:rsidRPr="00E52120" w:rsidRDefault="00E52120" w:rsidP="00C55A79">
      <w:pPr>
        <w:keepNext/>
        <w:widowControl w:val="0"/>
        <w:ind w:firstLine="851"/>
        <w:rPr>
          <w:sz w:val="24"/>
          <w:szCs w:val="24"/>
          <w:u w:val="single"/>
          <w:lang w:val="fi-FI"/>
        </w:rPr>
      </w:pPr>
      <w:r w:rsidRPr="00E52120">
        <w:rPr>
          <w:sz w:val="24"/>
          <w:szCs w:val="24"/>
          <w:u w:val="single"/>
          <w:lang w:val="fi-FI"/>
        </w:rPr>
        <w:t>Subakut kutan lupus erythematosus (SCLE)</w:t>
      </w:r>
    </w:p>
    <w:p w:rsidR="00E52120" w:rsidRPr="00E52120" w:rsidRDefault="00E52120" w:rsidP="00E52120">
      <w:pPr>
        <w:widowControl w:val="0"/>
        <w:ind w:left="851"/>
        <w:rPr>
          <w:sz w:val="24"/>
          <w:szCs w:val="24"/>
        </w:rPr>
      </w:pPr>
      <w:proofErr w:type="spellStart"/>
      <w:r w:rsidRPr="00E52120">
        <w:rPr>
          <w:sz w:val="24"/>
          <w:szCs w:val="24"/>
        </w:rPr>
        <w:t>Protonpumpehæmmere</w:t>
      </w:r>
      <w:proofErr w:type="spellEnd"/>
      <w:r w:rsidRPr="00E52120">
        <w:rPr>
          <w:sz w:val="24"/>
          <w:szCs w:val="24"/>
        </w:rPr>
        <w:t xml:space="preserve"> er forbundet med meget sjældne tilfælde af SCLE. Hvis sådanne hudreaktioner optræder, navnlig på hudområder udsat for sol, og er ledsaget af </w:t>
      </w:r>
      <w:proofErr w:type="spellStart"/>
      <w:r w:rsidRPr="00E52120">
        <w:rPr>
          <w:sz w:val="24"/>
          <w:szCs w:val="24"/>
        </w:rPr>
        <w:t>artralgi</w:t>
      </w:r>
      <w:proofErr w:type="spellEnd"/>
      <w:r w:rsidRPr="00E52120">
        <w:rPr>
          <w:sz w:val="24"/>
          <w:szCs w:val="24"/>
        </w:rPr>
        <w:t xml:space="preserve">, bør patienten straks søge læge, og lægen bør overveje at seponere </w:t>
      </w:r>
      <w:proofErr w:type="spellStart"/>
      <w:r w:rsidRPr="00E52120">
        <w:rPr>
          <w:iCs/>
          <w:sz w:val="24"/>
          <w:szCs w:val="24"/>
        </w:rPr>
        <w:t>Ulcerex</w:t>
      </w:r>
      <w:proofErr w:type="spellEnd"/>
      <w:r w:rsidRPr="00E52120">
        <w:rPr>
          <w:sz w:val="24"/>
          <w:szCs w:val="24"/>
        </w:rPr>
        <w:t xml:space="preserve">. SCLE efter tidligere behandling med en protonpumpehæmmer kan øge risikoen for SCLE med andre </w:t>
      </w:r>
      <w:proofErr w:type="spellStart"/>
      <w:r w:rsidRPr="00E52120">
        <w:rPr>
          <w:sz w:val="24"/>
          <w:szCs w:val="24"/>
        </w:rPr>
        <w:t>protonpumpehæmmere</w:t>
      </w:r>
      <w:proofErr w:type="spellEnd"/>
      <w:r w:rsidRPr="00E52120">
        <w:rPr>
          <w:sz w:val="24"/>
          <w:szCs w:val="24"/>
        </w:rPr>
        <w:t>.</w:t>
      </w:r>
    </w:p>
    <w:p w:rsidR="00E52120" w:rsidRPr="00E52120" w:rsidRDefault="00E52120" w:rsidP="00E52120">
      <w:pPr>
        <w:ind w:left="851"/>
        <w:rPr>
          <w:sz w:val="24"/>
          <w:szCs w:val="24"/>
          <w:lang w:eastAsia="de-CH"/>
        </w:rPr>
      </w:pPr>
    </w:p>
    <w:p w:rsidR="00E52120" w:rsidRPr="00A619D7" w:rsidRDefault="00E52120" w:rsidP="00E52120">
      <w:pPr>
        <w:widowControl w:val="0"/>
        <w:ind w:left="851"/>
        <w:rPr>
          <w:sz w:val="24"/>
          <w:szCs w:val="24"/>
          <w:u w:val="single"/>
          <w:lang w:eastAsia="pt-PT"/>
        </w:rPr>
      </w:pPr>
      <w:r w:rsidRPr="00E52120">
        <w:rPr>
          <w:sz w:val="24"/>
          <w:szCs w:val="24"/>
          <w:u w:val="single"/>
        </w:rPr>
        <w:t>Kombination med andre lægemidl</w:t>
      </w:r>
      <w:r w:rsidRPr="00A619D7">
        <w:rPr>
          <w:sz w:val="24"/>
          <w:szCs w:val="24"/>
          <w:u w:val="single"/>
        </w:rPr>
        <w:t>er</w:t>
      </w:r>
    </w:p>
    <w:p w:rsidR="00E52120" w:rsidRPr="00A619D7" w:rsidRDefault="00E52120" w:rsidP="00E52120">
      <w:pPr>
        <w:ind w:left="851"/>
        <w:rPr>
          <w:sz w:val="24"/>
          <w:szCs w:val="24"/>
        </w:rPr>
      </w:pPr>
      <w:r w:rsidRPr="00A619D7">
        <w:rPr>
          <w:sz w:val="24"/>
          <w:szCs w:val="24"/>
        </w:rPr>
        <w:t xml:space="preserve">Samtidig administration af </w:t>
      </w:r>
      <w:proofErr w:type="spellStart"/>
      <w:r w:rsidRPr="00A619D7">
        <w:rPr>
          <w:sz w:val="24"/>
          <w:szCs w:val="24"/>
        </w:rPr>
        <w:t>esomeprazol</w:t>
      </w:r>
      <w:proofErr w:type="spellEnd"/>
      <w:r w:rsidRPr="00A619D7">
        <w:rPr>
          <w:sz w:val="24"/>
          <w:szCs w:val="24"/>
        </w:rPr>
        <w:t xml:space="preserve"> og </w:t>
      </w:r>
      <w:proofErr w:type="spellStart"/>
      <w:r w:rsidRPr="00A619D7">
        <w:rPr>
          <w:sz w:val="24"/>
          <w:szCs w:val="24"/>
        </w:rPr>
        <w:t>atazanavir</w:t>
      </w:r>
      <w:proofErr w:type="spellEnd"/>
      <w:r w:rsidRPr="00A619D7">
        <w:rPr>
          <w:sz w:val="24"/>
          <w:szCs w:val="24"/>
        </w:rPr>
        <w:t xml:space="preserve"> frarådes (se pkt.  4.5). Hvis en kombination af </w:t>
      </w:r>
      <w:proofErr w:type="spellStart"/>
      <w:r w:rsidRPr="00A619D7">
        <w:rPr>
          <w:sz w:val="24"/>
          <w:szCs w:val="24"/>
        </w:rPr>
        <w:t>atazanavir</w:t>
      </w:r>
      <w:proofErr w:type="spellEnd"/>
      <w:r w:rsidRPr="00A619D7">
        <w:rPr>
          <w:sz w:val="24"/>
          <w:szCs w:val="24"/>
        </w:rPr>
        <w:t xml:space="preserve"> og en protonpumpehæmmer vurderes uundgåelig, anbefales tæt klinisk overvågning kombineret med en forøgelse af dosen af </w:t>
      </w:r>
      <w:proofErr w:type="spellStart"/>
      <w:r w:rsidRPr="00A619D7">
        <w:rPr>
          <w:sz w:val="24"/>
          <w:szCs w:val="24"/>
        </w:rPr>
        <w:t>atazanavir</w:t>
      </w:r>
      <w:proofErr w:type="spellEnd"/>
      <w:r w:rsidRPr="00A619D7">
        <w:rPr>
          <w:sz w:val="24"/>
          <w:szCs w:val="24"/>
        </w:rPr>
        <w:t xml:space="preserve"> til 400 mg med 100 mg </w:t>
      </w:r>
      <w:proofErr w:type="spellStart"/>
      <w:r w:rsidRPr="00A619D7">
        <w:rPr>
          <w:sz w:val="24"/>
          <w:szCs w:val="24"/>
        </w:rPr>
        <w:t>ritonavir</w:t>
      </w:r>
      <w:proofErr w:type="spellEnd"/>
      <w:r w:rsidRPr="00A619D7">
        <w:rPr>
          <w:sz w:val="24"/>
          <w:szCs w:val="24"/>
        </w:rPr>
        <w:t xml:space="preserve">. </w:t>
      </w:r>
      <w:proofErr w:type="spellStart"/>
      <w:r w:rsidRPr="00A619D7">
        <w:rPr>
          <w:sz w:val="24"/>
          <w:szCs w:val="24"/>
        </w:rPr>
        <w:t>Esomeprazol</w:t>
      </w:r>
      <w:proofErr w:type="spellEnd"/>
      <w:r w:rsidRPr="00A619D7">
        <w:rPr>
          <w:sz w:val="24"/>
          <w:szCs w:val="24"/>
        </w:rPr>
        <w:t xml:space="preserve"> 20 mg bør ikke overskrides.</w:t>
      </w:r>
    </w:p>
    <w:p w:rsidR="00E52120" w:rsidRPr="00A619D7" w:rsidRDefault="00E52120" w:rsidP="00E52120">
      <w:pPr>
        <w:autoSpaceDE w:val="0"/>
        <w:autoSpaceDN w:val="0"/>
        <w:adjustRightInd w:val="0"/>
        <w:ind w:left="851"/>
        <w:rPr>
          <w:b/>
          <w:bCs/>
          <w:sz w:val="24"/>
          <w:szCs w:val="24"/>
        </w:rPr>
      </w:pPr>
    </w:p>
    <w:p w:rsidR="00E52120" w:rsidRPr="00A619D7" w:rsidRDefault="00E52120" w:rsidP="00E52120">
      <w:pPr>
        <w:ind w:left="851"/>
        <w:rPr>
          <w:sz w:val="24"/>
          <w:szCs w:val="24"/>
        </w:rPr>
      </w:pPr>
      <w:proofErr w:type="spellStart"/>
      <w:r w:rsidRPr="00A619D7">
        <w:rPr>
          <w:sz w:val="24"/>
          <w:szCs w:val="24"/>
        </w:rPr>
        <w:t>Esomeprazol</w:t>
      </w:r>
      <w:proofErr w:type="spellEnd"/>
      <w:r w:rsidRPr="00A619D7">
        <w:rPr>
          <w:sz w:val="24"/>
          <w:szCs w:val="24"/>
        </w:rPr>
        <w:t xml:space="preserve"> er en CYP2C19-inhibitor. Ved start eller afslutning af behandling med </w:t>
      </w:r>
      <w:proofErr w:type="spellStart"/>
      <w:r w:rsidRPr="00A619D7">
        <w:rPr>
          <w:sz w:val="24"/>
          <w:szCs w:val="24"/>
        </w:rPr>
        <w:t>esomeprazol</w:t>
      </w:r>
      <w:proofErr w:type="spellEnd"/>
      <w:r w:rsidRPr="00A619D7">
        <w:rPr>
          <w:sz w:val="24"/>
          <w:szCs w:val="24"/>
        </w:rPr>
        <w:t xml:space="preserve"> bør muligheden for interaktioner med lægemidler, der </w:t>
      </w:r>
      <w:proofErr w:type="spellStart"/>
      <w:r w:rsidRPr="00A619D7">
        <w:rPr>
          <w:sz w:val="24"/>
          <w:szCs w:val="24"/>
        </w:rPr>
        <w:t>metaboliseres</w:t>
      </w:r>
      <w:proofErr w:type="spellEnd"/>
      <w:r w:rsidRPr="00A619D7">
        <w:rPr>
          <w:sz w:val="24"/>
          <w:szCs w:val="24"/>
        </w:rPr>
        <w:t xml:space="preserve"> af CYP2C19, tages med i betragtning. Der er observeret en interaktion mellem </w:t>
      </w:r>
      <w:proofErr w:type="spellStart"/>
      <w:r w:rsidRPr="00A619D7">
        <w:rPr>
          <w:sz w:val="24"/>
          <w:szCs w:val="24"/>
        </w:rPr>
        <w:t>clopidogrel</w:t>
      </w:r>
      <w:proofErr w:type="spellEnd"/>
      <w:r w:rsidRPr="00A619D7">
        <w:rPr>
          <w:sz w:val="24"/>
          <w:szCs w:val="24"/>
        </w:rPr>
        <w:t xml:space="preserve"> og </w:t>
      </w:r>
      <w:proofErr w:type="spellStart"/>
      <w:r w:rsidRPr="00A619D7">
        <w:rPr>
          <w:sz w:val="24"/>
          <w:szCs w:val="24"/>
        </w:rPr>
        <w:t>esomeprazol</w:t>
      </w:r>
      <w:proofErr w:type="spellEnd"/>
      <w:r w:rsidRPr="00A619D7">
        <w:rPr>
          <w:sz w:val="24"/>
          <w:szCs w:val="24"/>
        </w:rPr>
        <w:t xml:space="preserve"> (se pkt. 4.5). Den kliniske relevans af denne interaktion er uvis. Som en sikkerhedsforanstaltning bør samtidig brug af </w:t>
      </w:r>
      <w:proofErr w:type="spellStart"/>
      <w:r w:rsidRPr="00A619D7">
        <w:rPr>
          <w:sz w:val="24"/>
          <w:szCs w:val="24"/>
        </w:rPr>
        <w:t>esomeprazol</w:t>
      </w:r>
      <w:proofErr w:type="spellEnd"/>
      <w:r w:rsidRPr="00A619D7">
        <w:rPr>
          <w:sz w:val="24"/>
          <w:szCs w:val="24"/>
        </w:rPr>
        <w:t xml:space="preserve"> og </w:t>
      </w:r>
      <w:proofErr w:type="spellStart"/>
      <w:r w:rsidRPr="00A619D7">
        <w:rPr>
          <w:sz w:val="24"/>
          <w:szCs w:val="24"/>
        </w:rPr>
        <w:t>clopidogrel</w:t>
      </w:r>
      <w:proofErr w:type="spellEnd"/>
      <w:r w:rsidRPr="00A619D7">
        <w:rPr>
          <w:sz w:val="24"/>
          <w:szCs w:val="24"/>
        </w:rPr>
        <w:t xml:space="preserve"> frarådes.</w:t>
      </w:r>
    </w:p>
    <w:p w:rsidR="00E52120" w:rsidRPr="00A619D7" w:rsidRDefault="00E52120" w:rsidP="00E52120">
      <w:pPr>
        <w:autoSpaceDE w:val="0"/>
        <w:autoSpaceDN w:val="0"/>
        <w:adjustRightInd w:val="0"/>
        <w:ind w:left="851"/>
        <w:rPr>
          <w:b/>
          <w:bCs/>
          <w:sz w:val="24"/>
          <w:szCs w:val="24"/>
        </w:rPr>
      </w:pPr>
    </w:p>
    <w:p w:rsidR="00E52120" w:rsidRPr="00A619D7" w:rsidRDefault="00E52120" w:rsidP="00E52120">
      <w:pPr>
        <w:widowControl w:val="0"/>
        <w:autoSpaceDE w:val="0"/>
        <w:autoSpaceDN w:val="0"/>
        <w:adjustRightInd w:val="0"/>
        <w:ind w:left="851"/>
        <w:rPr>
          <w:sz w:val="24"/>
          <w:szCs w:val="24"/>
        </w:rPr>
      </w:pPr>
      <w:r w:rsidRPr="00A619D7">
        <w:rPr>
          <w:sz w:val="24"/>
          <w:szCs w:val="24"/>
        </w:rPr>
        <w:t xml:space="preserve">Ved ordinering af </w:t>
      </w:r>
      <w:proofErr w:type="spellStart"/>
      <w:r w:rsidRPr="00A619D7">
        <w:rPr>
          <w:sz w:val="24"/>
          <w:szCs w:val="24"/>
        </w:rPr>
        <w:t>esomeprazol</w:t>
      </w:r>
      <w:proofErr w:type="spellEnd"/>
      <w:r w:rsidRPr="00A619D7">
        <w:rPr>
          <w:sz w:val="24"/>
          <w:szCs w:val="24"/>
        </w:rPr>
        <w:t xml:space="preserve"> til efter-behov-behandling skal implikationer for interaktioner med andre lægemidler som følge af fluktuerende plasmakoncentrationer af </w:t>
      </w:r>
      <w:proofErr w:type="spellStart"/>
      <w:r w:rsidRPr="00A619D7">
        <w:rPr>
          <w:sz w:val="24"/>
          <w:szCs w:val="24"/>
        </w:rPr>
        <w:t>esomeprazol</w:t>
      </w:r>
      <w:proofErr w:type="spellEnd"/>
      <w:r w:rsidRPr="00A619D7">
        <w:rPr>
          <w:sz w:val="24"/>
          <w:szCs w:val="24"/>
        </w:rPr>
        <w:t xml:space="preserve"> tages med i betragtning, se pkt. 4.5.</w:t>
      </w:r>
    </w:p>
    <w:p w:rsidR="00E52120" w:rsidRDefault="00E52120" w:rsidP="00E52120">
      <w:pPr>
        <w:autoSpaceDE w:val="0"/>
        <w:autoSpaceDN w:val="0"/>
        <w:adjustRightInd w:val="0"/>
        <w:ind w:left="851"/>
        <w:rPr>
          <w:b/>
          <w:bCs/>
          <w:sz w:val="24"/>
          <w:szCs w:val="24"/>
        </w:rPr>
      </w:pPr>
    </w:p>
    <w:p w:rsidR="00E52120" w:rsidRDefault="00E52120" w:rsidP="00E52120">
      <w:pPr>
        <w:tabs>
          <w:tab w:val="left" w:pos="2410"/>
        </w:tabs>
        <w:ind w:left="851"/>
        <w:rPr>
          <w:sz w:val="24"/>
          <w:szCs w:val="24"/>
          <w:u w:val="single"/>
        </w:rPr>
      </w:pPr>
      <w:r>
        <w:rPr>
          <w:sz w:val="24"/>
          <w:szCs w:val="24"/>
          <w:u w:val="single"/>
        </w:rPr>
        <w:t xml:space="preserve">Alvorlige </w:t>
      </w:r>
      <w:proofErr w:type="spellStart"/>
      <w:r>
        <w:rPr>
          <w:sz w:val="24"/>
          <w:szCs w:val="24"/>
          <w:u w:val="single"/>
        </w:rPr>
        <w:t>kutane</w:t>
      </w:r>
      <w:proofErr w:type="spellEnd"/>
      <w:r>
        <w:rPr>
          <w:sz w:val="24"/>
          <w:szCs w:val="24"/>
          <w:u w:val="single"/>
        </w:rPr>
        <w:t xml:space="preserve"> bivirkninger (</w:t>
      </w:r>
      <w:proofErr w:type="spellStart"/>
      <w:r>
        <w:rPr>
          <w:sz w:val="24"/>
          <w:szCs w:val="24"/>
          <w:u w:val="single"/>
        </w:rPr>
        <w:t>SCARs</w:t>
      </w:r>
      <w:proofErr w:type="spellEnd"/>
      <w:r>
        <w:rPr>
          <w:sz w:val="24"/>
          <w:szCs w:val="24"/>
          <w:u w:val="single"/>
        </w:rPr>
        <w:t>)</w:t>
      </w:r>
    </w:p>
    <w:p w:rsidR="00E52120" w:rsidRDefault="00E52120" w:rsidP="00E52120">
      <w:pPr>
        <w:tabs>
          <w:tab w:val="left" w:pos="2410"/>
        </w:tabs>
        <w:ind w:left="851"/>
        <w:rPr>
          <w:sz w:val="24"/>
          <w:szCs w:val="24"/>
        </w:rPr>
      </w:pPr>
      <w:r>
        <w:rPr>
          <w:sz w:val="24"/>
          <w:szCs w:val="24"/>
        </w:rPr>
        <w:t xml:space="preserve">Alvorlige </w:t>
      </w:r>
      <w:proofErr w:type="spellStart"/>
      <w:r>
        <w:rPr>
          <w:sz w:val="24"/>
          <w:szCs w:val="24"/>
        </w:rPr>
        <w:t>kutane</w:t>
      </w:r>
      <w:proofErr w:type="spellEnd"/>
      <w:r>
        <w:rPr>
          <w:sz w:val="24"/>
          <w:szCs w:val="24"/>
        </w:rPr>
        <w:t xml:space="preserve"> bivirkninger (</w:t>
      </w:r>
      <w:proofErr w:type="spellStart"/>
      <w:r>
        <w:rPr>
          <w:sz w:val="24"/>
          <w:szCs w:val="24"/>
        </w:rPr>
        <w:t>SCARs</w:t>
      </w:r>
      <w:proofErr w:type="spellEnd"/>
      <w:r>
        <w:rPr>
          <w:sz w:val="24"/>
          <w:szCs w:val="24"/>
        </w:rPr>
        <w:t xml:space="preserve">) så som </w:t>
      </w:r>
      <w:proofErr w:type="spellStart"/>
      <w:r>
        <w:rPr>
          <w:sz w:val="24"/>
          <w:szCs w:val="24"/>
        </w:rPr>
        <w:t>erythema</w:t>
      </w:r>
      <w:proofErr w:type="spellEnd"/>
      <w:r>
        <w:rPr>
          <w:sz w:val="24"/>
          <w:szCs w:val="24"/>
        </w:rPr>
        <w:t xml:space="preserve"> multiforme (EM), Stevens</w:t>
      </w:r>
      <w:r>
        <w:rPr>
          <w:sz w:val="24"/>
          <w:szCs w:val="24"/>
        </w:rPr>
        <w:noBreakHyphen/>
        <w:t xml:space="preserve">Johnsons syndrom (SJS),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og lægemiddelreaktion med </w:t>
      </w:r>
      <w:proofErr w:type="spellStart"/>
      <w:r>
        <w:rPr>
          <w:sz w:val="24"/>
          <w:szCs w:val="24"/>
        </w:rPr>
        <w:t>eosinofili</w:t>
      </w:r>
      <w:proofErr w:type="spellEnd"/>
      <w:r>
        <w:rPr>
          <w:sz w:val="24"/>
          <w:szCs w:val="24"/>
        </w:rPr>
        <w:t xml:space="preserve"> og systemiske symptomer (DRESS), hvilke kan være livstruende, er kun meget sjældent indberettet i forbindelse med </w:t>
      </w:r>
      <w:proofErr w:type="spellStart"/>
      <w:r>
        <w:rPr>
          <w:sz w:val="24"/>
          <w:szCs w:val="24"/>
        </w:rPr>
        <w:t>esomeprazolbehandling</w:t>
      </w:r>
      <w:proofErr w:type="spellEnd"/>
      <w:r>
        <w:rPr>
          <w:sz w:val="24"/>
          <w:szCs w:val="24"/>
        </w:rPr>
        <w:t>.</w:t>
      </w:r>
    </w:p>
    <w:p w:rsidR="00E52120" w:rsidRDefault="00E52120" w:rsidP="00E52120">
      <w:pPr>
        <w:tabs>
          <w:tab w:val="left" w:pos="2410"/>
        </w:tabs>
        <w:ind w:left="851"/>
        <w:rPr>
          <w:sz w:val="24"/>
          <w:szCs w:val="24"/>
        </w:rPr>
      </w:pPr>
    </w:p>
    <w:p w:rsidR="00E52120" w:rsidRDefault="00E52120" w:rsidP="00E52120">
      <w:pPr>
        <w:tabs>
          <w:tab w:val="left" w:pos="2410"/>
        </w:tabs>
        <w:ind w:left="851"/>
        <w:rPr>
          <w:sz w:val="24"/>
          <w:szCs w:val="24"/>
        </w:rPr>
      </w:pPr>
      <w:r>
        <w:rPr>
          <w:sz w:val="24"/>
          <w:szCs w:val="24"/>
        </w:rPr>
        <w:t xml:space="preserve">Patienter bør informeres om tegn og symptomer på de alvorlige hudreaktioner EM/SJS/TEN/DRESS og bør straks søge lægehjælp, hvis de observerer nogen tegn eller symptomer på disse. </w:t>
      </w:r>
    </w:p>
    <w:p w:rsidR="00E52120" w:rsidRDefault="00E52120" w:rsidP="00E52120">
      <w:pPr>
        <w:tabs>
          <w:tab w:val="left" w:pos="2410"/>
        </w:tabs>
        <w:ind w:left="851"/>
        <w:rPr>
          <w:sz w:val="24"/>
          <w:szCs w:val="24"/>
        </w:rPr>
      </w:pPr>
    </w:p>
    <w:p w:rsidR="00E52120" w:rsidRDefault="00E52120" w:rsidP="00E52120">
      <w:pPr>
        <w:tabs>
          <w:tab w:val="left" w:pos="2410"/>
        </w:tabs>
        <w:ind w:left="851"/>
        <w:rPr>
          <w:sz w:val="24"/>
          <w:szCs w:val="24"/>
        </w:rPr>
      </w:pPr>
      <w:proofErr w:type="spellStart"/>
      <w:r>
        <w:rPr>
          <w:sz w:val="24"/>
          <w:szCs w:val="24"/>
        </w:rPr>
        <w:t>Esomeprazol</w:t>
      </w:r>
      <w:proofErr w:type="spellEnd"/>
      <w:r>
        <w:rPr>
          <w:sz w:val="24"/>
          <w:szCs w:val="24"/>
        </w:rPr>
        <w:t xml:space="preserve"> bør seponeres straks ved tegn og symptomer på alvorlige hudreaktioner og yderligere medicinsk behandling/nøje monitorering skal iværksættes efter behov.</w:t>
      </w:r>
    </w:p>
    <w:p w:rsidR="00E52120" w:rsidRDefault="00E52120" w:rsidP="00E52120">
      <w:pPr>
        <w:tabs>
          <w:tab w:val="left" w:pos="2410"/>
        </w:tabs>
        <w:ind w:left="851"/>
        <w:rPr>
          <w:sz w:val="24"/>
          <w:szCs w:val="24"/>
        </w:rPr>
      </w:pPr>
    </w:p>
    <w:p w:rsidR="00E52120" w:rsidRDefault="00E52120" w:rsidP="00E52120">
      <w:pPr>
        <w:tabs>
          <w:tab w:val="left" w:pos="2410"/>
        </w:tabs>
        <w:ind w:left="851"/>
        <w:rPr>
          <w:sz w:val="24"/>
          <w:szCs w:val="24"/>
        </w:rPr>
      </w:pPr>
      <w:r>
        <w:rPr>
          <w:sz w:val="24"/>
          <w:szCs w:val="24"/>
        </w:rPr>
        <w:t>Genbehandling bør ikke foretages hos patienter med EM/SJS/TEN/DRESS.</w:t>
      </w:r>
    </w:p>
    <w:p w:rsidR="00E52120" w:rsidRPr="00A619D7" w:rsidRDefault="00E52120" w:rsidP="00E52120">
      <w:pPr>
        <w:autoSpaceDE w:val="0"/>
        <w:autoSpaceDN w:val="0"/>
        <w:adjustRightInd w:val="0"/>
        <w:ind w:left="851"/>
        <w:rPr>
          <w:b/>
          <w:bCs/>
          <w:sz w:val="24"/>
          <w:szCs w:val="24"/>
        </w:rPr>
      </w:pPr>
    </w:p>
    <w:p w:rsidR="00E52120" w:rsidRPr="00A619D7" w:rsidRDefault="00E52120" w:rsidP="00E52120">
      <w:pPr>
        <w:ind w:left="851"/>
        <w:rPr>
          <w:iCs/>
          <w:sz w:val="24"/>
          <w:szCs w:val="24"/>
          <w:u w:val="single"/>
        </w:rPr>
      </w:pPr>
      <w:r w:rsidRPr="00A619D7">
        <w:rPr>
          <w:iCs/>
          <w:sz w:val="24"/>
          <w:szCs w:val="24"/>
          <w:u w:val="single"/>
        </w:rPr>
        <w:t>Interferens med laboratorietest</w:t>
      </w:r>
    </w:p>
    <w:p w:rsidR="00E52120" w:rsidRPr="00E52120" w:rsidRDefault="00E52120" w:rsidP="00E52120">
      <w:pPr>
        <w:autoSpaceDE w:val="0"/>
        <w:autoSpaceDN w:val="0"/>
        <w:adjustRightInd w:val="0"/>
        <w:ind w:left="851"/>
        <w:rPr>
          <w:sz w:val="24"/>
          <w:szCs w:val="24"/>
        </w:rPr>
      </w:pPr>
      <w:r w:rsidRPr="00A619D7">
        <w:rPr>
          <w:sz w:val="24"/>
          <w:szCs w:val="24"/>
        </w:rPr>
        <w:t xml:space="preserve">Forhøjet </w:t>
      </w:r>
      <w:proofErr w:type="spellStart"/>
      <w:r w:rsidRPr="00A619D7">
        <w:rPr>
          <w:sz w:val="24"/>
          <w:szCs w:val="24"/>
        </w:rPr>
        <w:t>Chromogranin</w:t>
      </w:r>
      <w:proofErr w:type="spellEnd"/>
      <w:r w:rsidRPr="00A619D7">
        <w:rPr>
          <w:sz w:val="24"/>
          <w:szCs w:val="24"/>
        </w:rPr>
        <w:t xml:space="preserve"> A (</w:t>
      </w:r>
      <w:proofErr w:type="spellStart"/>
      <w:r w:rsidRPr="00A619D7">
        <w:rPr>
          <w:sz w:val="24"/>
          <w:szCs w:val="24"/>
        </w:rPr>
        <w:t>CgA</w:t>
      </w:r>
      <w:proofErr w:type="spellEnd"/>
      <w:r w:rsidRPr="00A619D7">
        <w:rPr>
          <w:sz w:val="24"/>
          <w:szCs w:val="24"/>
        </w:rPr>
        <w:t xml:space="preserve">) kan interferere med undersøgelser for </w:t>
      </w:r>
      <w:proofErr w:type="spellStart"/>
      <w:r w:rsidRPr="00A619D7">
        <w:rPr>
          <w:sz w:val="24"/>
          <w:szCs w:val="24"/>
        </w:rPr>
        <w:t>neuroendokrine</w:t>
      </w:r>
      <w:proofErr w:type="spellEnd"/>
      <w:r w:rsidRPr="00A619D7">
        <w:rPr>
          <w:sz w:val="24"/>
          <w:szCs w:val="24"/>
        </w:rPr>
        <w:t xml:space="preserve"> tumorer. For at undgå denne interferens bør </w:t>
      </w:r>
      <w:proofErr w:type="spellStart"/>
      <w:r w:rsidRPr="00A619D7">
        <w:rPr>
          <w:sz w:val="24"/>
          <w:szCs w:val="24"/>
        </w:rPr>
        <w:t>Ulcerex</w:t>
      </w:r>
      <w:proofErr w:type="spellEnd"/>
      <w:r w:rsidRPr="00A619D7">
        <w:rPr>
          <w:sz w:val="24"/>
          <w:szCs w:val="24"/>
        </w:rPr>
        <w:t xml:space="preserve"> seponeres mindst 5 dage inden måling af </w:t>
      </w:r>
      <w:proofErr w:type="spellStart"/>
      <w:r w:rsidRPr="00A619D7">
        <w:rPr>
          <w:sz w:val="24"/>
          <w:szCs w:val="24"/>
        </w:rPr>
        <w:t>CgA</w:t>
      </w:r>
      <w:proofErr w:type="spellEnd"/>
      <w:r w:rsidRPr="00A619D7">
        <w:rPr>
          <w:sz w:val="24"/>
          <w:szCs w:val="24"/>
        </w:rPr>
        <w:t xml:space="preserve"> (se pkt. 5.1). Hvis indholdet af </w:t>
      </w:r>
      <w:proofErr w:type="spellStart"/>
      <w:r w:rsidRPr="00A619D7">
        <w:rPr>
          <w:sz w:val="24"/>
          <w:szCs w:val="24"/>
        </w:rPr>
        <w:t>CgA</w:t>
      </w:r>
      <w:proofErr w:type="spellEnd"/>
      <w:r w:rsidRPr="00A619D7">
        <w:rPr>
          <w:sz w:val="24"/>
          <w:szCs w:val="24"/>
        </w:rPr>
        <w:t xml:space="preserve"> og gastrin ikke er returneret til referenceområdet ved den første måling, bør målingen gentages 14 dage efter </w:t>
      </w:r>
      <w:proofErr w:type="spellStart"/>
      <w:r w:rsidRPr="00A619D7">
        <w:rPr>
          <w:sz w:val="24"/>
          <w:szCs w:val="24"/>
        </w:rPr>
        <w:t>seponering</w:t>
      </w:r>
      <w:proofErr w:type="spellEnd"/>
      <w:r w:rsidRPr="00A619D7">
        <w:rPr>
          <w:sz w:val="24"/>
          <w:szCs w:val="24"/>
        </w:rPr>
        <w:t xml:space="preserve"> af </w:t>
      </w:r>
      <w:r w:rsidRPr="00E52120">
        <w:rPr>
          <w:sz w:val="24"/>
          <w:szCs w:val="24"/>
        </w:rPr>
        <w:t>protonpumpehæmmeren.</w:t>
      </w:r>
    </w:p>
    <w:p w:rsidR="00E52120" w:rsidRPr="00E52120" w:rsidRDefault="00E52120" w:rsidP="00E52120">
      <w:pPr>
        <w:autoSpaceDE w:val="0"/>
        <w:autoSpaceDN w:val="0"/>
        <w:adjustRightInd w:val="0"/>
        <w:ind w:left="851"/>
        <w:rPr>
          <w:b/>
          <w:bCs/>
          <w:sz w:val="24"/>
          <w:szCs w:val="24"/>
        </w:rPr>
      </w:pPr>
    </w:p>
    <w:p w:rsidR="00E52120" w:rsidRPr="00E52120" w:rsidRDefault="00E52120" w:rsidP="00E52120">
      <w:pPr>
        <w:autoSpaceDE w:val="0"/>
        <w:autoSpaceDN w:val="0"/>
        <w:adjustRightInd w:val="0"/>
        <w:ind w:left="851"/>
        <w:rPr>
          <w:sz w:val="24"/>
          <w:szCs w:val="24"/>
          <w:u w:val="single"/>
        </w:rPr>
      </w:pPr>
      <w:proofErr w:type="spellStart"/>
      <w:r w:rsidRPr="00E52120">
        <w:rPr>
          <w:sz w:val="24"/>
          <w:szCs w:val="24"/>
          <w:u w:val="single"/>
        </w:rPr>
        <w:t>Ulcerex</w:t>
      </w:r>
      <w:proofErr w:type="spellEnd"/>
      <w:r w:rsidRPr="00E52120">
        <w:rPr>
          <w:sz w:val="24"/>
          <w:szCs w:val="24"/>
          <w:u w:val="single"/>
        </w:rPr>
        <w:t xml:space="preserve"> indeholder natrium</w:t>
      </w:r>
    </w:p>
    <w:p w:rsidR="001F29F9" w:rsidRPr="00E52120" w:rsidRDefault="00E52120" w:rsidP="00E52120">
      <w:pPr>
        <w:autoSpaceDE w:val="0"/>
        <w:autoSpaceDN w:val="0"/>
        <w:adjustRightInd w:val="0"/>
        <w:ind w:left="851"/>
        <w:rPr>
          <w:sz w:val="24"/>
          <w:szCs w:val="24"/>
        </w:rPr>
      </w:pPr>
      <w:r w:rsidRPr="00E52120">
        <w:lastRenderedPageBreak/>
        <w:t>Dette lægemiddel</w:t>
      </w:r>
      <w:r w:rsidRPr="00E52120">
        <w:rPr>
          <w:sz w:val="24"/>
          <w:szCs w:val="24"/>
        </w:rPr>
        <w:t xml:space="preserve"> indeholder mindre end 1 mmol (23 mg) natrium pr. </w:t>
      </w:r>
      <w:r w:rsidRPr="00E52120">
        <w:t>kapsel,</w:t>
      </w:r>
      <w:r w:rsidRPr="00E52120">
        <w:rPr>
          <w:sz w:val="24"/>
          <w:szCs w:val="24"/>
        </w:rPr>
        <w:t xml:space="preserve"> dvs. de</w:t>
      </w:r>
      <w:r w:rsidRPr="00E52120">
        <w:t>t</w:t>
      </w:r>
      <w:r w:rsidRPr="00E52120">
        <w:rPr>
          <w:sz w:val="24"/>
          <w:szCs w:val="24"/>
        </w:rPr>
        <w:t xml:space="preserve"> er i det væsentlige natriumfri.</w:t>
      </w:r>
    </w:p>
    <w:p w:rsidR="00E52120" w:rsidRPr="006510F2" w:rsidRDefault="00E52120" w:rsidP="00E52120">
      <w:pPr>
        <w:autoSpaceDE w:val="0"/>
        <w:autoSpaceDN w:val="0"/>
        <w:adjustRightInd w:val="0"/>
        <w:ind w:left="851"/>
        <w:rPr>
          <w:b/>
          <w:bCs/>
          <w:sz w:val="24"/>
          <w:szCs w:val="24"/>
        </w:rPr>
      </w:pPr>
    </w:p>
    <w:p w:rsidR="001F29F9" w:rsidRPr="00E50259" w:rsidRDefault="001F29F9" w:rsidP="001F29F9">
      <w:pPr>
        <w:autoSpaceDE w:val="0"/>
        <w:autoSpaceDN w:val="0"/>
        <w:adjustRightInd w:val="0"/>
        <w:ind w:left="851" w:hanging="851"/>
        <w:rPr>
          <w:b/>
          <w:bCs/>
          <w:sz w:val="24"/>
          <w:szCs w:val="24"/>
        </w:rPr>
      </w:pPr>
      <w:r w:rsidRPr="006510F2">
        <w:rPr>
          <w:b/>
          <w:bCs/>
          <w:sz w:val="24"/>
          <w:szCs w:val="24"/>
        </w:rPr>
        <w:t>4.5</w:t>
      </w:r>
      <w:r w:rsidRPr="006510F2">
        <w:rPr>
          <w:b/>
          <w:bCs/>
          <w:sz w:val="24"/>
          <w:szCs w:val="24"/>
        </w:rPr>
        <w:tab/>
        <w:t>Interaktion med andre lægemidler og andre former for interaktion</w:t>
      </w:r>
    </w:p>
    <w:p w:rsidR="00C55A79" w:rsidRDefault="00C55A79" w:rsidP="00C55A79">
      <w:pPr>
        <w:pStyle w:val="NormalWeb"/>
        <w:spacing w:before="0" w:beforeAutospacing="0" w:after="0" w:afterAutospacing="0"/>
        <w:ind w:firstLine="851"/>
        <w:rPr>
          <w:b/>
          <w:bCs/>
          <w:lang w:val="da-DK"/>
        </w:rPr>
      </w:pPr>
    </w:p>
    <w:p w:rsidR="00C55A79" w:rsidRPr="00C55A79" w:rsidRDefault="00C55A79" w:rsidP="00C55A79">
      <w:pPr>
        <w:pStyle w:val="NormalWeb"/>
        <w:spacing w:before="0" w:beforeAutospacing="0" w:after="0" w:afterAutospacing="0"/>
        <w:ind w:firstLine="851"/>
        <w:rPr>
          <w:u w:val="single"/>
          <w:lang w:val="da-DK"/>
        </w:rPr>
      </w:pPr>
      <w:r w:rsidRPr="00C55A79">
        <w:rPr>
          <w:u w:val="single"/>
          <w:lang w:val="da-DK"/>
        </w:rPr>
        <w:t xml:space="preserve">Effekter af </w:t>
      </w:r>
      <w:proofErr w:type="spellStart"/>
      <w:r w:rsidRPr="00C55A79">
        <w:rPr>
          <w:u w:val="single"/>
          <w:lang w:val="da-DK"/>
        </w:rPr>
        <w:t>esomeprazol</w:t>
      </w:r>
      <w:proofErr w:type="spellEnd"/>
      <w:r w:rsidRPr="00C55A79">
        <w:rPr>
          <w:u w:val="single"/>
          <w:lang w:val="da-DK"/>
        </w:rPr>
        <w:t xml:space="preserve"> på farmakokinetikken for andre lægemidler</w:t>
      </w:r>
    </w:p>
    <w:p w:rsidR="00C55A79" w:rsidRPr="00C55A79" w:rsidRDefault="00C55A79" w:rsidP="00C55A79">
      <w:pPr>
        <w:widowControl w:val="0"/>
        <w:ind w:left="851"/>
        <w:rPr>
          <w:i/>
          <w:sz w:val="24"/>
          <w:szCs w:val="24"/>
        </w:rPr>
      </w:pPr>
    </w:p>
    <w:p w:rsidR="00C55A79" w:rsidRPr="00C55A79" w:rsidRDefault="00C55A79" w:rsidP="00C55A79">
      <w:pPr>
        <w:widowControl w:val="0"/>
        <w:ind w:left="851"/>
        <w:rPr>
          <w:i/>
          <w:sz w:val="24"/>
          <w:szCs w:val="24"/>
          <w:u w:val="single"/>
          <w:lang w:eastAsia="pt-PT"/>
        </w:rPr>
      </w:pPr>
      <w:proofErr w:type="spellStart"/>
      <w:r w:rsidRPr="00C55A79">
        <w:rPr>
          <w:i/>
          <w:sz w:val="24"/>
          <w:szCs w:val="24"/>
          <w:u w:val="single"/>
        </w:rPr>
        <w:t>Proteaseinhibitorer</w:t>
      </w:r>
      <w:proofErr w:type="spellEnd"/>
    </w:p>
    <w:p w:rsidR="00C55A79" w:rsidRPr="00C55A79" w:rsidRDefault="00C55A79" w:rsidP="00C55A79">
      <w:pPr>
        <w:ind w:left="851"/>
        <w:rPr>
          <w:sz w:val="24"/>
          <w:szCs w:val="24"/>
        </w:rPr>
      </w:pPr>
      <w:r w:rsidRPr="00C55A79">
        <w:rPr>
          <w:sz w:val="24"/>
          <w:szCs w:val="24"/>
        </w:rPr>
        <w:t xml:space="preserve">Det er blevet rapporteret, at </w:t>
      </w:r>
      <w:proofErr w:type="spellStart"/>
      <w:r w:rsidRPr="00C55A79">
        <w:rPr>
          <w:sz w:val="24"/>
          <w:szCs w:val="24"/>
        </w:rPr>
        <w:t>omeprazol</w:t>
      </w:r>
      <w:proofErr w:type="spellEnd"/>
      <w:r w:rsidRPr="00C55A79">
        <w:rPr>
          <w:sz w:val="24"/>
          <w:szCs w:val="24"/>
        </w:rPr>
        <w:t xml:space="preserve"> interagerer med nogle </w:t>
      </w:r>
      <w:proofErr w:type="spellStart"/>
      <w:r w:rsidRPr="00C55A79">
        <w:rPr>
          <w:sz w:val="24"/>
          <w:szCs w:val="24"/>
        </w:rPr>
        <w:t>proteaseinhibitorer</w:t>
      </w:r>
      <w:proofErr w:type="spellEnd"/>
      <w:r w:rsidRPr="00C55A79">
        <w:rPr>
          <w:sz w:val="24"/>
          <w:szCs w:val="24"/>
        </w:rPr>
        <w:t xml:space="preserve">. Den kliniske betydning af og mekanismerne bag disse rapporterede interaktioner er ikke altid kendt. Forhøjet gastrisk pH under </w:t>
      </w:r>
      <w:proofErr w:type="spellStart"/>
      <w:r w:rsidRPr="00C55A79">
        <w:rPr>
          <w:sz w:val="24"/>
          <w:szCs w:val="24"/>
        </w:rPr>
        <w:t>omeprazol</w:t>
      </w:r>
      <w:proofErr w:type="spellEnd"/>
      <w:r w:rsidRPr="00C55A79">
        <w:rPr>
          <w:sz w:val="24"/>
          <w:szCs w:val="24"/>
        </w:rPr>
        <w:t xml:space="preserve">-behandling kan muligvis ændre absorptionen af </w:t>
      </w:r>
      <w:proofErr w:type="spellStart"/>
      <w:r w:rsidRPr="00C55A79">
        <w:rPr>
          <w:sz w:val="24"/>
          <w:szCs w:val="24"/>
        </w:rPr>
        <w:t>proteaseinhibitorerne</w:t>
      </w:r>
      <w:proofErr w:type="spellEnd"/>
      <w:r w:rsidRPr="00C55A79">
        <w:rPr>
          <w:sz w:val="24"/>
          <w:szCs w:val="24"/>
        </w:rPr>
        <w:t xml:space="preserve">. Andre mulige interaktionsmekanismer er via </w:t>
      </w:r>
      <w:proofErr w:type="spellStart"/>
      <w:r w:rsidRPr="00C55A79">
        <w:rPr>
          <w:sz w:val="24"/>
          <w:szCs w:val="24"/>
        </w:rPr>
        <w:t>inhibering</w:t>
      </w:r>
      <w:proofErr w:type="spellEnd"/>
      <w:r w:rsidRPr="00C55A79">
        <w:rPr>
          <w:sz w:val="24"/>
          <w:szCs w:val="24"/>
        </w:rPr>
        <w:t xml:space="preserve"> af CYP2C19. </w:t>
      </w:r>
    </w:p>
    <w:p w:rsidR="00C55A79" w:rsidRPr="00C55A79" w:rsidRDefault="00C55A79" w:rsidP="00C55A79">
      <w:pPr>
        <w:ind w:left="851"/>
        <w:rPr>
          <w:sz w:val="24"/>
          <w:szCs w:val="24"/>
        </w:rPr>
      </w:pPr>
    </w:p>
    <w:p w:rsidR="00C55A79" w:rsidRPr="00C55A79" w:rsidRDefault="00C55A79" w:rsidP="00C55A79">
      <w:pPr>
        <w:ind w:left="851"/>
        <w:rPr>
          <w:sz w:val="24"/>
          <w:szCs w:val="24"/>
        </w:rPr>
      </w:pPr>
      <w:r w:rsidRPr="00C55A79">
        <w:rPr>
          <w:sz w:val="24"/>
          <w:szCs w:val="24"/>
        </w:rPr>
        <w:t xml:space="preserve">For </w:t>
      </w:r>
      <w:proofErr w:type="spellStart"/>
      <w:r w:rsidRPr="00C55A79">
        <w:rPr>
          <w:sz w:val="24"/>
          <w:szCs w:val="24"/>
        </w:rPr>
        <w:t>atazanavir</w:t>
      </w:r>
      <w:proofErr w:type="spellEnd"/>
      <w:r w:rsidRPr="00C55A79">
        <w:rPr>
          <w:sz w:val="24"/>
          <w:szCs w:val="24"/>
        </w:rPr>
        <w:t xml:space="preserve"> og </w:t>
      </w:r>
      <w:proofErr w:type="spellStart"/>
      <w:r w:rsidRPr="00C55A79">
        <w:rPr>
          <w:sz w:val="24"/>
          <w:szCs w:val="24"/>
        </w:rPr>
        <w:t>nelfinavir</w:t>
      </w:r>
      <w:proofErr w:type="spellEnd"/>
      <w:r w:rsidRPr="00C55A79">
        <w:rPr>
          <w:sz w:val="24"/>
          <w:szCs w:val="24"/>
        </w:rPr>
        <w:t xml:space="preserve"> er rapporteret reducerede serumniveauer ved administration sammen med </w:t>
      </w:r>
      <w:proofErr w:type="spellStart"/>
      <w:r w:rsidRPr="00C55A79">
        <w:rPr>
          <w:sz w:val="24"/>
          <w:szCs w:val="24"/>
        </w:rPr>
        <w:t>omeprazol</w:t>
      </w:r>
      <w:proofErr w:type="spellEnd"/>
      <w:r w:rsidRPr="00C55A79">
        <w:rPr>
          <w:sz w:val="24"/>
          <w:szCs w:val="24"/>
        </w:rPr>
        <w:t xml:space="preserve">, og samtidig administration frarådes. Samtidig administration af </w:t>
      </w:r>
      <w:proofErr w:type="spellStart"/>
      <w:r w:rsidRPr="00C55A79">
        <w:rPr>
          <w:sz w:val="24"/>
          <w:szCs w:val="24"/>
        </w:rPr>
        <w:t>omeprazol</w:t>
      </w:r>
      <w:proofErr w:type="spellEnd"/>
      <w:r w:rsidRPr="00C55A79">
        <w:rPr>
          <w:sz w:val="24"/>
          <w:szCs w:val="24"/>
        </w:rPr>
        <w:t xml:space="preserve"> (40 mg en gang daglig) med </w:t>
      </w:r>
      <w:proofErr w:type="spellStart"/>
      <w:r w:rsidRPr="00C55A79">
        <w:rPr>
          <w:sz w:val="24"/>
          <w:szCs w:val="24"/>
        </w:rPr>
        <w:t>atazanavir</w:t>
      </w:r>
      <w:proofErr w:type="spellEnd"/>
      <w:r w:rsidRPr="00C55A79">
        <w:rPr>
          <w:sz w:val="24"/>
          <w:szCs w:val="24"/>
        </w:rPr>
        <w:t xml:space="preserve"> 300 mg/</w:t>
      </w:r>
      <w:proofErr w:type="spellStart"/>
      <w:r w:rsidRPr="00C55A79">
        <w:rPr>
          <w:sz w:val="24"/>
          <w:szCs w:val="24"/>
        </w:rPr>
        <w:t>ritonavir</w:t>
      </w:r>
      <w:proofErr w:type="spellEnd"/>
      <w:r w:rsidRPr="00C55A79">
        <w:rPr>
          <w:sz w:val="24"/>
          <w:szCs w:val="24"/>
        </w:rPr>
        <w:t xml:space="preserve"> 100 mg til raske frivillige resulterede i en væsentlig reduktion i </w:t>
      </w:r>
      <w:proofErr w:type="spellStart"/>
      <w:r w:rsidRPr="00C55A79">
        <w:rPr>
          <w:sz w:val="24"/>
          <w:szCs w:val="24"/>
        </w:rPr>
        <w:t>atazanavir</w:t>
      </w:r>
      <w:proofErr w:type="spellEnd"/>
      <w:r w:rsidRPr="00C55A79">
        <w:rPr>
          <w:sz w:val="24"/>
          <w:szCs w:val="24"/>
        </w:rPr>
        <w:t xml:space="preserve">-eksponering (ca. 75 % fald i AUC, </w:t>
      </w:r>
      <w:proofErr w:type="spellStart"/>
      <w:r w:rsidRPr="00C55A79">
        <w:rPr>
          <w:sz w:val="24"/>
          <w:szCs w:val="24"/>
        </w:rPr>
        <w:t>C</w:t>
      </w:r>
      <w:r w:rsidRPr="00C55A79">
        <w:rPr>
          <w:sz w:val="24"/>
          <w:szCs w:val="24"/>
          <w:vertAlign w:val="subscript"/>
        </w:rPr>
        <w:t>max</w:t>
      </w:r>
      <w:proofErr w:type="spellEnd"/>
      <w:r w:rsidRPr="00C55A79">
        <w:rPr>
          <w:sz w:val="24"/>
          <w:szCs w:val="24"/>
        </w:rPr>
        <w:t xml:space="preserve"> og </w:t>
      </w:r>
      <w:proofErr w:type="spellStart"/>
      <w:r w:rsidRPr="00C55A79">
        <w:rPr>
          <w:sz w:val="24"/>
          <w:szCs w:val="24"/>
        </w:rPr>
        <w:t>C</w:t>
      </w:r>
      <w:r w:rsidRPr="00C55A79">
        <w:rPr>
          <w:sz w:val="24"/>
          <w:szCs w:val="24"/>
          <w:vertAlign w:val="subscript"/>
        </w:rPr>
        <w:t>min</w:t>
      </w:r>
      <w:proofErr w:type="spellEnd"/>
      <w:r w:rsidRPr="00C55A79">
        <w:rPr>
          <w:sz w:val="24"/>
          <w:szCs w:val="24"/>
        </w:rPr>
        <w:t xml:space="preserve">). En forøgelse af </w:t>
      </w:r>
      <w:proofErr w:type="spellStart"/>
      <w:r w:rsidRPr="00C55A79">
        <w:rPr>
          <w:sz w:val="24"/>
          <w:szCs w:val="24"/>
        </w:rPr>
        <w:t>atazanavir</w:t>
      </w:r>
      <w:proofErr w:type="spellEnd"/>
      <w:r w:rsidRPr="00C55A79">
        <w:rPr>
          <w:sz w:val="24"/>
          <w:szCs w:val="24"/>
        </w:rPr>
        <w:t xml:space="preserve">-dosen til 400 mg kompenserede ikke for virkningen af </w:t>
      </w:r>
      <w:proofErr w:type="spellStart"/>
      <w:r w:rsidRPr="00C55A79">
        <w:rPr>
          <w:sz w:val="24"/>
          <w:szCs w:val="24"/>
        </w:rPr>
        <w:t>omeprazol</w:t>
      </w:r>
      <w:proofErr w:type="spellEnd"/>
      <w:r w:rsidRPr="00C55A79">
        <w:rPr>
          <w:sz w:val="24"/>
          <w:szCs w:val="24"/>
        </w:rPr>
        <w:t xml:space="preserve"> på </w:t>
      </w:r>
      <w:proofErr w:type="spellStart"/>
      <w:r w:rsidRPr="00C55A79">
        <w:rPr>
          <w:sz w:val="24"/>
          <w:szCs w:val="24"/>
        </w:rPr>
        <w:t>atazanavir</w:t>
      </w:r>
      <w:proofErr w:type="spellEnd"/>
      <w:r w:rsidRPr="00C55A79">
        <w:rPr>
          <w:sz w:val="24"/>
          <w:szCs w:val="24"/>
        </w:rPr>
        <w:t xml:space="preserve">-eksponering. Samtidig administration af </w:t>
      </w:r>
      <w:proofErr w:type="spellStart"/>
      <w:r w:rsidRPr="00C55A79">
        <w:rPr>
          <w:sz w:val="24"/>
          <w:szCs w:val="24"/>
        </w:rPr>
        <w:t>omeprazol</w:t>
      </w:r>
      <w:proofErr w:type="spellEnd"/>
      <w:r w:rsidRPr="00C55A79">
        <w:rPr>
          <w:sz w:val="24"/>
          <w:szCs w:val="24"/>
        </w:rPr>
        <w:t xml:space="preserve"> (20 mg en gang daglig) og </w:t>
      </w:r>
      <w:proofErr w:type="spellStart"/>
      <w:r w:rsidRPr="00C55A79">
        <w:rPr>
          <w:sz w:val="24"/>
          <w:szCs w:val="24"/>
        </w:rPr>
        <w:t>atazanavir</w:t>
      </w:r>
      <w:proofErr w:type="spellEnd"/>
      <w:r w:rsidRPr="00C55A79">
        <w:rPr>
          <w:sz w:val="24"/>
          <w:szCs w:val="24"/>
        </w:rPr>
        <w:t xml:space="preserve"> 400 mg/</w:t>
      </w:r>
      <w:proofErr w:type="spellStart"/>
      <w:r w:rsidRPr="00C55A79">
        <w:rPr>
          <w:sz w:val="24"/>
          <w:szCs w:val="24"/>
        </w:rPr>
        <w:t>ritonavir</w:t>
      </w:r>
      <w:proofErr w:type="spellEnd"/>
      <w:r w:rsidRPr="00C55A79">
        <w:rPr>
          <w:sz w:val="24"/>
          <w:szCs w:val="24"/>
        </w:rPr>
        <w:t xml:space="preserve"> 100 mg til raske frivillige resulterede i et fald på ca. 30 % i </w:t>
      </w:r>
      <w:proofErr w:type="spellStart"/>
      <w:r w:rsidRPr="00C55A79">
        <w:rPr>
          <w:sz w:val="24"/>
          <w:szCs w:val="24"/>
        </w:rPr>
        <w:t>atazanavir</w:t>
      </w:r>
      <w:proofErr w:type="spellEnd"/>
      <w:r w:rsidRPr="00C55A79">
        <w:rPr>
          <w:sz w:val="24"/>
          <w:szCs w:val="24"/>
        </w:rPr>
        <w:t xml:space="preserve">-eksponeringen sammenlignet med den eksponering, der observeredes med </w:t>
      </w:r>
      <w:proofErr w:type="spellStart"/>
      <w:r w:rsidRPr="00C55A79">
        <w:rPr>
          <w:sz w:val="24"/>
          <w:szCs w:val="24"/>
        </w:rPr>
        <w:t>atazanavir</w:t>
      </w:r>
      <w:proofErr w:type="spellEnd"/>
      <w:r w:rsidRPr="00C55A79">
        <w:rPr>
          <w:sz w:val="24"/>
          <w:szCs w:val="24"/>
        </w:rPr>
        <w:t xml:space="preserve"> 300 mg/</w:t>
      </w:r>
      <w:proofErr w:type="spellStart"/>
      <w:r w:rsidRPr="00C55A79">
        <w:rPr>
          <w:sz w:val="24"/>
          <w:szCs w:val="24"/>
        </w:rPr>
        <w:t>ritonavir</w:t>
      </w:r>
      <w:proofErr w:type="spellEnd"/>
      <w:r w:rsidRPr="00C55A79">
        <w:rPr>
          <w:sz w:val="24"/>
          <w:szCs w:val="24"/>
        </w:rPr>
        <w:t xml:space="preserve"> 100 mg en gang daglig uden </w:t>
      </w:r>
      <w:proofErr w:type="spellStart"/>
      <w:r w:rsidRPr="00C55A79">
        <w:rPr>
          <w:sz w:val="24"/>
          <w:szCs w:val="24"/>
        </w:rPr>
        <w:t>omeprazol</w:t>
      </w:r>
      <w:proofErr w:type="spellEnd"/>
      <w:r w:rsidRPr="00C55A79">
        <w:rPr>
          <w:sz w:val="24"/>
          <w:szCs w:val="24"/>
        </w:rPr>
        <w:t xml:space="preserve"> 20 mg en gang daglig. </w:t>
      </w:r>
    </w:p>
    <w:p w:rsidR="00C55A79" w:rsidRPr="00C55A79" w:rsidRDefault="00C55A79" w:rsidP="00C55A79">
      <w:pPr>
        <w:ind w:left="851"/>
        <w:rPr>
          <w:sz w:val="24"/>
          <w:szCs w:val="24"/>
        </w:rPr>
      </w:pPr>
      <w:r w:rsidRPr="00C55A79">
        <w:rPr>
          <w:sz w:val="24"/>
          <w:szCs w:val="24"/>
        </w:rPr>
        <w:t xml:space="preserve">Samtidig administration af </w:t>
      </w:r>
      <w:proofErr w:type="spellStart"/>
      <w:r w:rsidRPr="00C55A79">
        <w:rPr>
          <w:sz w:val="24"/>
          <w:szCs w:val="24"/>
        </w:rPr>
        <w:t>omeprazol</w:t>
      </w:r>
      <w:proofErr w:type="spellEnd"/>
      <w:r w:rsidRPr="00C55A79">
        <w:rPr>
          <w:sz w:val="24"/>
          <w:szCs w:val="24"/>
        </w:rPr>
        <w:t xml:space="preserve"> (40 mg en gang daglig) reducerede </w:t>
      </w:r>
      <w:proofErr w:type="spellStart"/>
      <w:r w:rsidRPr="00C55A79">
        <w:rPr>
          <w:sz w:val="24"/>
          <w:szCs w:val="24"/>
        </w:rPr>
        <w:t>nelfinavirs</w:t>
      </w:r>
      <w:proofErr w:type="spellEnd"/>
      <w:r w:rsidRPr="00C55A79">
        <w:rPr>
          <w:sz w:val="24"/>
          <w:szCs w:val="24"/>
        </w:rPr>
        <w:t xml:space="preserve"> middel-AUC, -</w:t>
      </w:r>
      <w:proofErr w:type="spellStart"/>
      <w:r w:rsidRPr="00C55A79">
        <w:rPr>
          <w:sz w:val="24"/>
          <w:szCs w:val="24"/>
        </w:rPr>
        <w:t>C</w:t>
      </w:r>
      <w:r w:rsidRPr="00C55A79">
        <w:rPr>
          <w:sz w:val="24"/>
          <w:szCs w:val="24"/>
          <w:vertAlign w:val="subscript"/>
        </w:rPr>
        <w:t>max</w:t>
      </w:r>
      <w:proofErr w:type="spellEnd"/>
      <w:r w:rsidRPr="00C55A79">
        <w:rPr>
          <w:sz w:val="24"/>
          <w:szCs w:val="24"/>
          <w:vertAlign w:val="subscript"/>
        </w:rPr>
        <w:t xml:space="preserve"> </w:t>
      </w:r>
      <w:r w:rsidRPr="00C55A79">
        <w:rPr>
          <w:sz w:val="24"/>
          <w:szCs w:val="24"/>
        </w:rPr>
        <w:t>og -</w:t>
      </w:r>
      <w:proofErr w:type="spellStart"/>
      <w:r w:rsidRPr="00C55A79">
        <w:rPr>
          <w:sz w:val="24"/>
          <w:szCs w:val="24"/>
        </w:rPr>
        <w:t>C</w:t>
      </w:r>
      <w:r w:rsidRPr="00C55A79">
        <w:rPr>
          <w:sz w:val="24"/>
          <w:szCs w:val="24"/>
          <w:vertAlign w:val="subscript"/>
        </w:rPr>
        <w:t>min</w:t>
      </w:r>
      <w:proofErr w:type="spellEnd"/>
      <w:r w:rsidRPr="00C55A79">
        <w:rPr>
          <w:sz w:val="24"/>
          <w:szCs w:val="24"/>
        </w:rPr>
        <w:t xml:space="preserve"> med 36–39 %, og middel-AUC, -</w:t>
      </w:r>
      <w:proofErr w:type="spellStart"/>
      <w:r w:rsidRPr="00C55A79">
        <w:rPr>
          <w:sz w:val="24"/>
          <w:szCs w:val="24"/>
        </w:rPr>
        <w:t>C</w:t>
      </w:r>
      <w:r w:rsidRPr="00C55A79">
        <w:rPr>
          <w:sz w:val="24"/>
          <w:szCs w:val="24"/>
          <w:vertAlign w:val="subscript"/>
        </w:rPr>
        <w:t>max</w:t>
      </w:r>
      <w:proofErr w:type="spellEnd"/>
      <w:r w:rsidRPr="00C55A79">
        <w:rPr>
          <w:sz w:val="24"/>
          <w:szCs w:val="24"/>
        </w:rPr>
        <w:t xml:space="preserve"> og -</w:t>
      </w:r>
      <w:proofErr w:type="spellStart"/>
      <w:r w:rsidRPr="00C55A79">
        <w:rPr>
          <w:sz w:val="24"/>
          <w:szCs w:val="24"/>
        </w:rPr>
        <w:t>C</w:t>
      </w:r>
      <w:r w:rsidRPr="00C55A79">
        <w:rPr>
          <w:sz w:val="24"/>
          <w:szCs w:val="24"/>
          <w:vertAlign w:val="subscript"/>
        </w:rPr>
        <w:t>min</w:t>
      </w:r>
      <w:proofErr w:type="spellEnd"/>
      <w:r w:rsidRPr="00C55A79">
        <w:rPr>
          <w:sz w:val="24"/>
          <w:szCs w:val="24"/>
        </w:rPr>
        <w:t xml:space="preserve"> for den farmakologisk aktive metabolit M8 blev reduceret med 75</w:t>
      </w:r>
      <w:r w:rsidRPr="00C55A79">
        <w:rPr>
          <w:sz w:val="24"/>
          <w:szCs w:val="24"/>
        </w:rPr>
        <w:noBreakHyphen/>
        <w:t xml:space="preserve">92 %. På grund af de tilsvarende </w:t>
      </w:r>
      <w:proofErr w:type="spellStart"/>
      <w:r w:rsidRPr="00C55A79">
        <w:rPr>
          <w:sz w:val="24"/>
          <w:szCs w:val="24"/>
        </w:rPr>
        <w:t>farmakodynamiske</w:t>
      </w:r>
      <w:proofErr w:type="spellEnd"/>
      <w:r w:rsidRPr="00C55A79">
        <w:rPr>
          <w:sz w:val="24"/>
          <w:szCs w:val="24"/>
        </w:rPr>
        <w:t xml:space="preserve"> effekter og </w:t>
      </w:r>
      <w:proofErr w:type="spellStart"/>
      <w:r w:rsidRPr="00C55A79">
        <w:rPr>
          <w:sz w:val="24"/>
          <w:szCs w:val="24"/>
        </w:rPr>
        <w:t>farmakokinetiske</w:t>
      </w:r>
      <w:proofErr w:type="spellEnd"/>
      <w:r w:rsidRPr="00C55A79">
        <w:rPr>
          <w:sz w:val="24"/>
          <w:szCs w:val="24"/>
        </w:rPr>
        <w:t xml:space="preserve"> egenskaber hos </w:t>
      </w:r>
      <w:proofErr w:type="spellStart"/>
      <w:r w:rsidRPr="00C55A79">
        <w:rPr>
          <w:sz w:val="24"/>
          <w:szCs w:val="24"/>
        </w:rPr>
        <w:t>omeprazol</w:t>
      </w:r>
      <w:proofErr w:type="spellEnd"/>
      <w:r w:rsidRPr="00C55A79">
        <w:rPr>
          <w:sz w:val="24"/>
          <w:szCs w:val="24"/>
        </w:rPr>
        <w:t xml:space="preserve"> og </w:t>
      </w:r>
      <w:proofErr w:type="spellStart"/>
      <w:r w:rsidRPr="00C55A79">
        <w:rPr>
          <w:sz w:val="24"/>
          <w:szCs w:val="24"/>
        </w:rPr>
        <w:t>esomeprazol</w:t>
      </w:r>
      <w:proofErr w:type="spellEnd"/>
      <w:r w:rsidRPr="00C55A79">
        <w:rPr>
          <w:sz w:val="24"/>
          <w:szCs w:val="24"/>
        </w:rPr>
        <w:t xml:space="preserve"> frarådes samtidig administration af </w:t>
      </w:r>
      <w:proofErr w:type="spellStart"/>
      <w:r w:rsidRPr="00C55A79">
        <w:rPr>
          <w:sz w:val="24"/>
          <w:szCs w:val="24"/>
        </w:rPr>
        <w:t>esomeprazol</w:t>
      </w:r>
      <w:proofErr w:type="spellEnd"/>
      <w:r w:rsidRPr="00C55A79">
        <w:rPr>
          <w:sz w:val="24"/>
          <w:szCs w:val="24"/>
        </w:rPr>
        <w:t xml:space="preserve"> og </w:t>
      </w:r>
      <w:proofErr w:type="spellStart"/>
      <w:r w:rsidRPr="00C55A79">
        <w:rPr>
          <w:sz w:val="24"/>
          <w:szCs w:val="24"/>
        </w:rPr>
        <w:t>atazanavir</w:t>
      </w:r>
      <w:proofErr w:type="spellEnd"/>
      <w:r w:rsidRPr="00C55A79">
        <w:rPr>
          <w:sz w:val="24"/>
          <w:szCs w:val="24"/>
        </w:rPr>
        <w:t xml:space="preserve"> (se pkt. 4.4), og samtidig administration af </w:t>
      </w:r>
      <w:proofErr w:type="spellStart"/>
      <w:r w:rsidRPr="00C55A79">
        <w:rPr>
          <w:sz w:val="24"/>
          <w:szCs w:val="24"/>
        </w:rPr>
        <w:t>esomeprazol</w:t>
      </w:r>
      <w:proofErr w:type="spellEnd"/>
      <w:r w:rsidRPr="00C55A79">
        <w:rPr>
          <w:sz w:val="24"/>
          <w:szCs w:val="24"/>
        </w:rPr>
        <w:t xml:space="preserve"> og </w:t>
      </w:r>
      <w:proofErr w:type="spellStart"/>
      <w:r w:rsidRPr="00C55A79">
        <w:rPr>
          <w:sz w:val="24"/>
          <w:szCs w:val="24"/>
        </w:rPr>
        <w:t>nelfinavir</w:t>
      </w:r>
      <w:proofErr w:type="spellEnd"/>
      <w:r w:rsidRPr="00C55A79">
        <w:rPr>
          <w:sz w:val="24"/>
          <w:szCs w:val="24"/>
        </w:rPr>
        <w:t xml:space="preserve"> er kontraindiceret (se pkt. 4.3).</w:t>
      </w:r>
    </w:p>
    <w:p w:rsidR="00C55A79" w:rsidRPr="00C55A79" w:rsidRDefault="00C55A79" w:rsidP="00C55A79">
      <w:pPr>
        <w:ind w:left="851"/>
        <w:rPr>
          <w:sz w:val="24"/>
          <w:szCs w:val="24"/>
        </w:rPr>
      </w:pPr>
    </w:p>
    <w:p w:rsidR="00C55A79" w:rsidRPr="00C55A79" w:rsidRDefault="00C55A79" w:rsidP="00C55A79">
      <w:pPr>
        <w:ind w:left="851"/>
        <w:rPr>
          <w:sz w:val="24"/>
          <w:szCs w:val="24"/>
        </w:rPr>
      </w:pPr>
      <w:r w:rsidRPr="00C55A79">
        <w:rPr>
          <w:sz w:val="24"/>
          <w:szCs w:val="24"/>
        </w:rPr>
        <w:t xml:space="preserve">For </w:t>
      </w:r>
      <w:proofErr w:type="spellStart"/>
      <w:r w:rsidRPr="00C55A79">
        <w:rPr>
          <w:sz w:val="24"/>
          <w:szCs w:val="24"/>
        </w:rPr>
        <w:t>saquinavir</w:t>
      </w:r>
      <w:proofErr w:type="spellEnd"/>
      <w:r w:rsidRPr="00C55A79">
        <w:rPr>
          <w:sz w:val="24"/>
          <w:szCs w:val="24"/>
        </w:rPr>
        <w:t xml:space="preserve"> (med samtidig </w:t>
      </w:r>
      <w:proofErr w:type="spellStart"/>
      <w:r w:rsidRPr="00C55A79">
        <w:rPr>
          <w:sz w:val="24"/>
          <w:szCs w:val="24"/>
        </w:rPr>
        <w:t>ritonavir</w:t>
      </w:r>
      <w:proofErr w:type="spellEnd"/>
      <w:r w:rsidRPr="00C55A79">
        <w:rPr>
          <w:sz w:val="24"/>
          <w:szCs w:val="24"/>
        </w:rPr>
        <w:t>) er rapporteret forøgede serumniveauer (80</w:t>
      </w:r>
      <w:r w:rsidRPr="00C55A79">
        <w:rPr>
          <w:sz w:val="24"/>
          <w:szCs w:val="24"/>
        </w:rPr>
        <w:noBreakHyphen/>
        <w:t xml:space="preserve">100 %) under samtidig </w:t>
      </w:r>
      <w:proofErr w:type="spellStart"/>
      <w:r w:rsidRPr="00C55A79">
        <w:rPr>
          <w:sz w:val="24"/>
          <w:szCs w:val="24"/>
        </w:rPr>
        <w:t>omeprazol</w:t>
      </w:r>
      <w:proofErr w:type="spellEnd"/>
      <w:r w:rsidRPr="00C55A79">
        <w:rPr>
          <w:sz w:val="24"/>
          <w:szCs w:val="24"/>
        </w:rPr>
        <w:t xml:space="preserve">-behandling (40 mg en gang daglig). Behandling med </w:t>
      </w:r>
      <w:proofErr w:type="spellStart"/>
      <w:r w:rsidRPr="00C55A79">
        <w:rPr>
          <w:sz w:val="24"/>
          <w:szCs w:val="24"/>
        </w:rPr>
        <w:t>omeprazol</w:t>
      </w:r>
      <w:proofErr w:type="spellEnd"/>
      <w:r w:rsidRPr="00C55A79">
        <w:rPr>
          <w:sz w:val="24"/>
          <w:szCs w:val="24"/>
        </w:rPr>
        <w:t xml:space="preserve"> 20 mg en gang daglig havde ingen effekt på eksponeringen af </w:t>
      </w:r>
      <w:proofErr w:type="spellStart"/>
      <w:r w:rsidRPr="00C55A79">
        <w:rPr>
          <w:sz w:val="24"/>
          <w:szCs w:val="24"/>
        </w:rPr>
        <w:t>darunavir</w:t>
      </w:r>
      <w:proofErr w:type="spellEnd"/>
      <w:r w:rsidRPr="00C55A79">
        <w:rPr>
          <w:sz w:val="24"/>
          <w:szCs w:val="24"/>
        </w:rPr>
        <w:t xml:space="preserve"> (med samtidig </w:t>
      </w:r>
      <w:proofErr w:type="spellStart"/>
      <w:r w:rsidRPr="00C55A79">
        <w:rPr>
          <w:sz w:val="24"/>
          <w:szCs w:val="24"/>
        </w:rPr>
        <w:t>ritonavir</w:t>
      </w:r>
      <w:proofErr w:type="spellEnd"/>
      <w:r w:rsidRPr="00C55A79">
        <w:rPr>
          <w:sz w:val="24"/>
          <w:szCs w:val="24"/>
        </w:rPr>
        <w:t xml:space="preserve">) og </w:t>
      </w:r>
      <w:proofErr w:type="spellStart"/>
      <w:r w:rsidRPr="00C55A79">
        <w:rPr>
          <w:sz w:val="24"/>
          <w:szCs w:val="24"/>
        </w:rPr>
        <w:t>amprenavir</w:t>
      </w:r>
      <w:proofErr w:type="spellEnd"/>
      <w:r w:rsidRPr="00C55A79">
        <w:rPr>
          <w:sz w:val="24"/>
          <w:szCs w:val="24"/>
        </w:rPr>
        <w:t xml:space="preserve"> (med samtidig </w:t>
      </w:r>
      <w:proofErr w:type="spellStart"/>
      <w:r w:rsidRPr="00C55A79">
        <w:rPr>
          <w:sz w:val="24"/>
          <w:szCs w:val="24"/>
        </w:rPr>
        <w:t>ritonavir</w:t>
      </w:r>
      <w:proofErr w:type="spellEnd"/>
      <w:r w:rsidRPr="00C55A79">
        <w:rPr>
          <w:sz w:val="24"/>
          <w:szCs w:val="24"/>
        </w:rPr>
        <w:t xml:space="preserve">). Behandling med </w:t>
      </w:r>
      <w:proofErr w:type="spellStart"/>
      <w:r w:rsidRPr="00C55A79">
        <w:rPr>
          <w:sz w:val="24"/>
          <w:szCs w:val="24"/>
        </w:rPr>
        <w:t>esomeprazol</w:t>
      </w:r>
      <w:proofErr w:type="spellEnd"/>
      <w:r w:rsidRPr="00C55A79">
        <w:rPr>
          <w:sz w:val="24"/>
          <w:szCs w:val="24"/>
        </w:rPr>
        <w:t xml:space="preserve"> 20 mg en gang daglig havde ingen effekt på eksponeringen af </w:t>
      </w:r>
      <w:proofErr w:type="spellStart"/>
      <w:r w:rsidRPr="00C55A79">
        <w:rPr>
          <w:sz w:val="24"/>
          <w:szCs w:val="24"/>
        </w:rPr>
        <w:t>amprenavir</w:t>
      </w:r>
      <w:proofErr w:type="spellEnd"/>
      <w:r w:rsidRPr="00C55A79">
        <w:rPr>
          <w:sz w:val="24"/>
          <w:szCs w:val="24"/>
        </w:rPr>
        <w:t xml:space="preserve"> (med og uden samtidig </w:t>
      </w:r>
      <w:proofErr w:type="spellStart"/>
      <w:r w:rsidRPr="00C55A79">
        <w:rPr>
          <w:sz w:val="24"/>
          <w:szCs w:val="24"/>
        </w:rPr>
        <w:t>ritonavir</w:t>
      </w:r>
      <w:proofErr w:type="spellEnd"/>
      <w:r w:rsidRPr="00C55A79">
        <w:rPr>
          <w:sz w:val="24"/>
          <w:szCs w:val="24"/>
        </w:rPr>
        <w:t xml:space="preserve">). Behandling med </w:t>
      </w:r>
      <w:proofErr w:type="spellStart"/>
      <w:r w:rsidRPr="00C55A79">
        <w:rPr>
          <w:sz w:val="24"/>
          <w:szCs w:val="24"/>
        </w:rPr>
        <w:t>omeprazol</w:t>
      </w:r>
      <w:proofErr w:type="spellEnd"/>
      <w:r w:rsidRPr="00C55A79">
        <w:rPr>
          <w:sz w:val="24"/>
          <w:szCs w:val="24"/>
        </w:rPr>
        <w:t xml:space="preserve"> 40 mg en gang daglig havde ingen effekt på eksponeringen af </w:t>
      </w:r>
      <w:proofErr w:type="spellStart"/>
      <w:r w:rsidRPr="00C55A79">
        <w:rPr>
          <w:sz w:val="24"/>
          <w:szCs w:val="24"/>
        </w:rPr>
        <w:t>lopinavir</w:t>
      </w:r>
      <w:proofErr w:type="spellEnd"/>
      <w:r w:rsidRPr="00C55A79">
        <w:rPr>
          <w:sz w:val="24"/>
          <w:szCs w:val="24"/>
        </w:rPr>
        <w:t xml:space="preserve"> (med samtidig </w:t>
      </w:r>
      <w:proofErr w:type="spellStart"/>
      <w:r w:rsidRPr="00C55A79">
        <w:rPr>
          <w:sz w:val="24"/>
          <w:szCs w:val="24"/>
        </w:rPr>
        <w:t>ritonavir</w:t>
      </w:r>
      <w:proofErr w:type="spellEnd"/>
      <w:r w:rsidRPr="00C55A79">
        <w:rPr>
          <w:sz w:val="24"/>
          <w:szCs w:val="24"/>
        </w:rPr>
        <w:t xml:space="preserve">). </w:t>
      </w:r>
    </w:p>
    <w:p w:rsidR="00C55A79" w:rsidRPr="00C55A79" w:rsidRDefault="00C55A79" w:rsidP="00C55A79">
      <w:pPr>
        <w:pStyle w:val="NormalWeb"/>
        <w:spacing w:before="0" w:beforeAutospacing="0" w:after="0" w:afterAutospacing="0"/>
        <w:ind w:left="851"/>
        <w:rPr>
          <w:iCs/>
          <w:lang w:val="da-DK"/>
        </w:rPr>
      </w:pPr>
    </w:p>
    <w:p w:rsidR="00C55A79" w:rsidRPr="00C55A79" w:rsidRDefault="00C55A79" w:rsidP="00C55A79">
      <w:pPr>
        <w:widowControl w:val="0"/>
        <w:ind w:left="851"/>
        <w:rPr>
          <w:sz w:val="24"/>
          <w:szCs w:val="24"/>
          <w:u w:val="single"/>
        </w:rPr>
      </w:pPr>
      <w:proofErr w:type="spellStart"/>
      <w:r w:rsidRPr="00C55A79">
        <w:rPr>
          <w:i/>
          <w:sz w:val="24"/>
          <w:szCs w:val="24"/>
          <w:u w:val="single"/>
        </w:rPr>
        <w:t>Methotrexat</w:t>
      </w:r>
      <w:proofErr w:type="spellEnd"/>
    </w:p>
    <w:p w:rsidR="00C55A79" w:rsidRPr="00C55A79" w:rsidRDefault="00C55A79" w:rsidP="00C55A79">
      <w:pPr>
        <w:widowControl w:val="0"/>
        <w:ind w:left="851"/>
        <w:rPr>
          <w:sz w:val="24"/>
          <w:szCs w:val="24"/>
        </w:rPr>
      </w:pPr>
      <w:r w:rsidRPr="00C55A79">
        <w:rPr>
          <w:sz w:val="24"/>
          <w:szCs w:val="24"/>
        </w:rPr>
        <w:t xml:space="preserve">Ved samtidig administration med </w:t>
      </w:r>
      <w:proofErr w:type="spellStart"/>
      <w:r w:rsidRPr="00C55A79">
        <w:rPr>
          <w:sz w:val="24"/>
          <w:szCs w:val="24"/>
        </w:rPr>
        <w:t>PPI’er</w:t>
      </w:r>
      <w:proofErr w:type="spellEnd"/>
      <w:r w:rsidRPr="00C55A79">
        <w:rPr>
          <w:sz w:val="24"/>
          <w:szCs w:val="24"/>
        </w:rPr>
        <w:t xml:space="preserve"> er der hos nogle patienter rapporteret en stigning i</w:t>
      </w:r>
      <w:r w:rsidRPr="00C55A79">
        <w:rPr>
          <w:spacing w:val="27"/>
          <w:sz w:val="24"/>
          <w:szCs w:val="24"/>
        </w:rPr>
        <w:t xml:space="preserve"> </w:t>
      </w:r>
      <w:proofErr w:type="spellStart"/>
      <w:r w:rsidRPr="00C55A79">
        <w:rPr>
          <w:sz w:val="24"/>
          <w:szCs w:val="24"/>
        </w:rPr>
        <w:t>methotrexatniveauerne</w:t>
      </w:r>
      <w:proofErr w:type="spellEnd"/>
      <w:r w:rsidRPr="00C55A79">
        <w:rPr>
          <w:sz w:val="24"/>
          <w:szCs w:val="24"/>
        </w:rPr>
        <w:t xml:space="preserve">. Ved administration af </w:t>
      </w:r>
      <w:proofErr w:type="spellStart"/>
      <w:r w:rsidRPr="00C55A79">
        <w:rPr>
          <w:sz w:val="24"/>
          <w:szCs w:val="24"/>
        </w:rPr>
        <w:t>methotrexat</w:t>
      </w:r>
      <w:proofErr w:type="spellEnd"/>
      <w:r w:rsidRPr="00C55A79">
        <w:rPr>
          <w:sz w:val="24"/>
          <w:szCs w:val="24"/>
        </w:rPr>
        <w:t xml:space="preserve"> i høje doser kan det overvejes midlertidigt</w:t>
      </w:r>
      <w:r w:rsidRPr="00C55A79">
        <w:rPr>
          <w:spacing w:val="22"/>
          <w:sz w:val="24"/>
          <w:szCs w:val="24"/>
        </w:rPr>
        <w:t xml:space="preserve"> </w:t>
      </w:r>
      <w:r w:rsidRPr="00C55A79">
        <w:rPr>
          <w:sz w:val="24"/>
          <w:szCs w:val="24"/>
        </w:rPr>
        <w:t xml:space="preserve">at seponere </w:t>
      </w:r>
      <w:proofErr w:type="spellStart"/>
      <w:r w:rsidRPr="00C55A79">
        <w:rPr>
          <w:sz w:val="24"/>
          <w:szCs w:val="24"/>
        </w:rPr>
        <w:t>esomeprazol</w:t>
      </w:r>
      <w:proofErr w:type="spellEnd"/>
      <w:r w:rsidRPr="00C55A79">
        <w:rPr>
          <w:sz w:val="24"/>
          <w:szCs w:val="24"/>
        </w:rPr>
        <w:t>.</w:t>
      </w:r>
    </w:p>
    <w:p w:rsidR="00C55A79" w:rsidRPr="00C55A79" w:rsidRDefault="00C55A79" w:rsidP="00C55A79">
      <w:pPr>
        <w:widowControl w:val="0"/>
        <w:ind w:left="851"/>
        <w:rPr>
          <w:sz w:val="24"/>
          <w:szCs w:val="24"/>
        </w:rPr>
      </w:pPr>
    </w:p>
    <w:p w:rsidR="00C55A79" w:rsidRPr="00C55A79" w:rsidRDefault="00C55A79" w:rsidP="00C55A79">
      <w:pPr>
        <w:widowControl w:val="0"/>
        <w:ind w:left="851"/>
        <w:rPr>
          <w:sz w:val="24"/>
          <w:szCs w:val="24"/>
          <w:u w:val="single"/>
        </w:rPr>
      </w:pPr>
      <w:proofErr w:type="spellStart"/>
      <w:r w:rsidRPr="00C55A79">
        <w:rPr>
          <w:i/>
          <w:sz w:val="24"/>
          <w:szCs w:val="24"/>
          <w:u w:val="single"/>
        </w:rPr>
        <w:t>Tacrolimus</w:t>
      </w:r>
      <w:proofErr w:type="spellEnd"/>
    </w:p>
    <w:p w:rsidR="00C55A79" w:rsidRPr="00C55A79" w:rsidRDefault="00C55A79" w:rsidP="00C55A79">
      <w:pPr>
        <w:widowControl w:val="0"/>
        <w:ind w:left="851"/>
        <w:rPr>
          <w:sz w:val="24"/>
          <w:szCs w:val="24"/>
        </w:rPr>
      </w:pPr>
      <w:r w:rsidRPr="00C55A79">
        <w:rPr>
          <w:sz w:val="24"/>
          <w:szCs w:val="24"/>
        </w:rPr>
        <w:t xml:space="preserve">Det er blevet rapporteret, at samtidig administration af </w:t>
      </w:r>
      <w:proofErr w:type="spellStart"/>
      <w:r w:rsidRPr="00C55A79">
        <w:rPr>
          <w:sz w:val="24"/>
          <w:szCs w:val="24"/>
        </w:rPr>
        <w:t>esomeprazol</w:t>
      </w:r>
      <w:proofErr w:type="spellEnd"/>
      <w:r w:rsidRPr="00C55A79">
        <w:rPr>
          <w:sz w:val="24"/>
          <w:szCs w:val="24"/>
        </w:rPr>
        <w:t xml:space="preserve"> øger serumniveauerne for </w:t>
      </w:r>
      <w:proofErr w:type="spellStart"/>
      <w:r w:rsidRPr="00C55A79">
        <w:rPr>
          <w:sz w:val="24"/>
          <w:szCs w:val="24"/>
        </w:rPr>
        <w:t>tacrolimus</w:t>
      </w:r>
      <w:proofErr w:type="spellEnd"/>
      <w:r w:rsidRPr="00C55A79">
        <w:rPr>
          <w:sz w:val="24"/>
          <w:szCs w:val="24"/>
        </w:rPr>
        <w:t xml:space="preserve">. Der skal udføres øget monitorering af </w:t>
      </w:r>
      <w:proofErr w:type="spellStart"/>
      <w:r w:rsidRPr="00C55A79">
        <w:rPr>
          <w:sz w:val="24"/>
          <w:szCs w:val="24"/>
        </w:rPr>
        <w:t>tacrolimuskoncentrationer</w:t>
      </w:r>
      <w:proofErr w:type="spellEnd"/>
      <w:r w:rsidRPr="00C55A79">
        <w:rPr>
          <w:sz w:val="24"/>
          <w:szCs w:val="24"/>
        </w:rPr>
        <w:t xml:space="preserve"> samt nyrefunktionen (</w:t>
      </w:r>
      <w:proofErr w:type="spellStart"/>
      <w:r w:rsidRPr="00C55A79">
        <w:rPr>
          <w:sz w:val="24"/>
          <w:szCs w:val="24"/>
        </w:rPr>
        <w:t>kreatininclearance</w:t>
      </w:r>
      <w:proofErr w:type="spellEnd"/>
      <w:r w:rsidRPr="00C55A79">
        <w:rPr>
          <w:sz w:val="24"/>
          <w:szCs w:val="24"/>
        </w:rPr>
        <w:t xml:space="preserve">), og om nødvendigt skal </w:t>
      </w:r>
      <w:proofErr w:type="spellStart"/>
      <w:r w:rsidRPr="00C55A79">
        <w:rPr>
          <w:sz w:val="24"/>
          <w:szCs w:val="24"/>
        </w:rPr>
        <w:t>tacrolimusdosen</w:t>
      </w:r>
      <w:proofErr w:type="spellEnd"/>
      <w:r w:rsidRPr="00C55A79">
        <w:rPr>
          <w:sz w:val="24"/>
          <w:szCs w:val="24"/>
        </w:rPr>
        <w:t xml:space="preserve"> justeres.</w:t>
      </w:r>
    </w:p>
    <w:p w:rsidR="00C55A79" w:rsidRPr="00C55A79" w:rsidRDefault="00C55A79" w:rsidP="00C55A79">
      <w:pPr>
        <w:widowControl w:val="0"/>
        <w:ind w:left="851"/>
        <w:rPr>
          <w:sz w:val="24"/>
          <w:szCs w:val="24"/>
        </w:rPr>
      </w:pPr>
    </w:p>
    <w:p w:rsidR="00C55A79" w:rsidRPr="00C55A79" w:rsidRDefault="00C55A79" w:rsidP="00C55A79">
      <w:pPr>
        <w:widowControl w:val="0"/>
        <w:ind w:left="851"/>
        <w:rPr>
          <w:i/>
          <w:sz w:val="24"/>
          <w:szCs w:val="24"/>
          <w:u w:val="single"/>
        </w:rPr>
      </w:pPr>
      <w:r w:rsidRPr="00C55A79">
        <w:rPr>
          <w:i/>
          <w:sz w:val="24"/>
          <w:szCs w:val="24"/>
          <w:u w:val="single"/>
        </w:rPr>
        <w:t>Lægemidler med pH-afhængig absorption</w:t>
      </w:r>
    </w:p>
    <w:p w:rsidR="00C55A79" w:rsidRPr="00C55A79" w:rsidRDefault="00C55A79" w:rsidP="00C55A79">
      <w:pPr>
        <w:widowControl w:val="0"/>
        <w:ind w:left="851"/>
        <w:rPr>
          <w:i/>
          <w:iCs/>
          <w:sz w:val="24"/>
          <w:szCs w:val="24"/>
        </w:rPr>
      </w:pPr>
      <w:r w:rsidRPr="00C55A79">
        <w:rPr>
          <w:sz w:val="24"/>
          <w:szCs w:val="24"/>
        </w:rPr>
        <w:t xml:space="preserve">Den mavesyrehæmmende virkning fra </w:t>
      </w:r>
      <w:proofErr w:type="spellStart"/>
      <w:r w:rsidRPr="00C55A79">
        <w:rPr>
          <w:sz w:val="24"/>
          <w:szCs w:val="24"/>
        </w:rPr>
        <w:t>esomeprazol</w:t>
      </w:r>
      <w:proofErr w:type="spellEnd"/>
      <w:r w:rsidRPr="00C55A79">
        <w:rPr>
          <w:sz w:val="24"/>
          <w:szCs w:val="24"/>
        </w:rPr>
        <w:t xml:space="preserve"> og andre </w:t>
      </w:r>
      <w:proofErr w:type="spellStart"/>
      <w:r w:rsidRPr="00C55A79">
        <w:rPr>
          <w:sz w:val="24"/>
          <w:szCs w:val="24"/>
        </w:rPr>
        <w:t>PPI’er</w:t>
      </w:r>
      <w:proofErr w:type="spellEnd"/>
      <w:r w:rsidRPr="00C55A79">
        <w:rPr>
          <w:sz w:val="24"/>
          <w:szCs w:val="24"/>
        </w:rPr>
        <w:t xml:space="preserve"> kan muligvis mindske </w:t>
      </w:r>
      <w:r w:rsidRPr="00C55A79">
        <w:rPr>
          <w:sz w:val="24"/>
          <w:szCs w:val="24"/>
        </w:rPr>
        <w:lastRenderedPageBreak/>
        <w:t xml:space="preserve">eller øge absorptionen af lægemidler med gastrisk pH-afhængig absorption. Som med andre lægemidler, der reducerer mavesyren i mave-tarm-kanalen, kan absorptionen af lægemidler såsom </w:t>
      </w:r>
      <w:proofErr w:type="spellStart"/>
      <w:r w:rsidRPr="00C55A79">
        <w:rPr>
          <w:sz w:val="24"/>
          <w:szCs w:val="24"/>
        </w:rPr>
        <w:t>ketoconazol</w:t>
      </w:r>
      <w:proofErr w:type="spellEnd"/>
      <w:r w:rsidRPr="00C55A79">
        <w:rPr>
          <w:sz w:val="24"/>
          <w:szCs w:val="24"/>
        </w:rPr>
        <w:t xml:space="preserve">, </w:t>
      </w:r>
      <w:proofErr w:type="spellStart"/>
      <w:r w:rsidRPr="00C55A79">
        <w:rPr>
          <w:sz w:val="24"/>
          <w:szCs w:val="24"/>
        </w:rPr>
        <w:t>itraconazol</w:t>
      </w:r>
      <w:proofErr w:type="spellEnd"/>
      <w:r w:rsidRPr="00C55A79">
        <w:rPr>
          <w:sz w:val="24"/>
          <w:szCs w:val="24"/>
        </w:rPr>
        <w:t xml:space="preserve"> og </w:t>
      </w:r>
      <w:proofErr w:type="spellStart"/>
      <w:r w:rsidRPr="00C55A79">
        <w:rPr>
          <w:sz w:val="24"/>
          <w:szCs w:val="24"/>
        </w:rPr>
        <w:t>erlotinib</w:t>
      </w:r>
      <w:proofErr w:type="spellEnd"/>
      <w:r w:rsidRPr="00C55A79">
        <w:rPr>
          <w:sz w:val="24"/>
          <w:szCs w:val="24"/>
        </w:rPr>
        <w:t xml:space="preserve"> mindskes under behandling med </w:t>
      </w:r>
      <w:proofErr w:type="spellStart"/>
      <w:r w:rsidRPr="00C55A79">
        <w:rPr>
          <w:sz w:val="24"/>
          <w:szCs w:val="24"/>
        </w:rPr>
        <w:t>esomeprazol</w:t>
      </w:r>
      <w:proofErr w:type="spellEnd"/>
      <w:r w:rsidRPr="00C55A79">
        <w:rPr>
          <w:sz w:val="24"/>
          <w:szCs w:val="24"/>
        </w:rPr>
        <w:t xml:space="preserve">, og absorptionen af </w:t>
      </w:r>
      <w:proofErr w:type="spellStart"/>
      <w:r w:rsidRPr="00C55A79">
        <w:rPr>
          <w:sz w:val="24"/>
          <w:szCs w:val="24"/>
        </w:rPr>
        <w:t>digoxin</w:t>
      </w:r>
      <w:proofErr w:type="spellEnd"/>
      <w:r w:rsidRPr="00C55A79">
        <w:rPr>
          <w:sz w:val="24"/>
          <w:szCs w:val="24"/>
        </w:rPr>
        <w:t xml:space="preserve"> kan øges under behandling med </w:t>
      </w:r>
      <w:proofErr w:type="spellStart"/>
      <w:r w:rsidRPr="00C55A79">
        <w:rPr>
          <w:sz w:val="24"/>
          <w:szCs w:val="24"/>
        </w:rPr>
        <w:t>esomeprazol</w:t>
      </w:r>
      <w:proofErr w:type="spellEnd"/>
      <w:r w:rsidRPr="00C55A79">
        <w:rPr>
          <w:sz w:val="24"/>
          <w:szCs w:val="24"/>
        </w:rPr>
        <w:t xml:space="preserve">. Samtidig behandling med </w:t>
      </w:r>
      <w:proofErr w:type="spellStart"/>
      <w:r w:rsidRPr="00C55A79">
        <w:rPr>
          <w:sz w:val="24"/>
          <w:szCs w:val="24"/>
        </w:rPr>
        <w:t>omeprazol</w:t>
      </w:r>
      <w:proofErr w:type="spellEnd"/>
      <w:r w:rsidRPr="00C55A79">
        <w:rPr>
          <w:sz w:val="24"/>
          <w:szCs w:val="24"/>
        </w:rPr>
        <w:t xml:space="preserve"> (20 mg daglig) og </w:t>
      </w:r>
      <w:proofErr w:type="spellStart"/>
      <w:r w:rsidRPr="00C55A79">
        <w:rPr>
          <w:sz w:val="24"/>
          <w:szCs w:val="24"/>
        </w:rPr>
        <w:t>digoxin</w:t>
      </w:r>
      <w:proofErr w:type="spellEnd"/>
      <w:r w:rsidRPr="00C55A79">
        <w:rPr>
          <w:sz w:val="24"/>
          <w:szCs w:val="24"/>
        </w:rPr>
        <w:t xml:space="preserve"> hos raske personer forøgede biotilgængeligheden af </w:t>
      </w:r>
      <w:proofErr w:type="spellStart"/>
      <w:r w:rsidRPr="00C55A79">
        <w:rPr>
          <w:sz w:val="24"/>
          <w:szCs w:val="24"/>
        </w:rPr>
        <w:t>digoxin</w:t>
      </w:r>
      <w:proofErr w:type="spellEnd"/>
      <w:r w:rsidRPr="00C55A79">
        <w:rPr>
          <w:sz w:val="24"/>
          <w:szCs w:val="24"/>
        </w:rPr>
        <w:t xml:space="preserve"> med 10 % (op til 30 % hos to ud af ti personer). </w:t>
      </w:r>
      <w:proofErr w:type="spellStart"/>
      <w:r w:rsidRPr="00C55A79">
        <w:rPr>
          <w:sz w:val="24"/>
          <w:szCs w:val="24"/>
        </w:rPr>
        <w:t>Digoxintoksicitet</w:t>
      </w:r>
      <w:proofErr w:type="spellEnd"/>
      <w:r w:rsidRPr="00C55A79">
        <w:rPr>
          <w:sz w:val="24"/>
          <w:szCs w:val="24"/>
        </w:rPr>
        <w:t xml:space="preserve"> er sjældent rapporteret. Der skal dog udvises forsigtighed, når </w:t>
      </w:r>
      <w:proofErr w:type="spellStart"/>
      <w:r w:rsidRPr="00C55A79">
        <w:rPr>
          <w:sz w:val="24"/>
          <w:szCs w:val="24"/>
        </w:rPr>
        <w:t>esomeprazol</w:t>
      </w:r>
      <w:proofErr w:type="spellEnd"/>
      <w:r w:rsidRPr="00C55A79">
        <w:rPr>
          <w:sz w:val="24"/>
          <w:szCs w:val="24"/>
        </w:rPr>
        <w:t xml:space="preserve"> gives ved høje doser hos ældre patienter. Terapeutisk lægemiddelovervågning af </w:t>
      </w:r>
      <w:proofErr w:type="spellStart"/>
      <w:r w:rsidRPr="00C55A79">
        <w:rPr>
          <w:sz w:val="24"/>
          <w:szCs w:val="24"/>
        </w:rPr>
        <w:t>digoxin</w:t>
      </w:r>
      <w:proofErr w:type="spellEnd"/>
      <w:r w:rsidRPr="00C55A79">
        <w:rPr>
          <w:sz w:val="24"/>
          <w:szCs w:val="24"/>
        </w:rPr>
        <w:t xml:space="preserve"> bør herefter forstærkes.</w:t>
      </w:r>
    </w:p>
    <w:p w:rsidR="00C55A79" w:rsidRPr="00C55A79" w:rsidRDefault="00C55A79" w:rsidP="00C55A79">
      <w:pPr>
        <w:pStyle w:val="NormalWeb"/>
        <w:spacing w:before="0" w:beforeAutospacing="0" w:after="0" w:afterAutospacing="0"/>
        <w:ind w:left="851"/>
        <w:rPr>
          <w:iCs/>
          <w:lang w:val="da-DK"/>
        </w:rPr>
      </w:pPr>
    </w:p>
    <w:p w:rsidR="00C55A79" w:rsidRPr="00C55A79" w:rsidRDefault="00C55A79" w:rsidP="00C55A79">
      <w:pPr>
        <w:pStyle w:val="NormalWeb"/>
        <w:spacing w:before="0" w:beforeAutospacing="0" w:after="0" w:afterAutospacing="0"/>
        <w:ind w:left="851"/>
        <w:rPr>
          <w:u w:val="single"/>
          <w:lang w:val="da-DK"/>
        </w:rPr>
      </w:pPr>
      <w:r w:rsidRPr="00C55A79">
        <w:rPr>
          <w:u w:val="single"/>
          <w:lang w:val="da-DK"/>
        </w:rPr>
        <w:t xml:space="preserve">Lægemidler, der </w:t>
      </w:r>
      <w:proofErr w:type="spellStart"/>
      <w:r w:rsidRPr="00C55A79">
        <w:rPr>
          <w:u w:val="single"/>
          <w:lang w:val="da-DK"/>
        </w:rPr>
        <w:t>metaboliseres</w:t>
      </w:r>
      <w:proofErr w:type="spellEnd"/>
      <w:r w:rsidRPr="00C55A79">
        <w:rPr>
          <w:u w:val="single"/>
          <w:lang w:val="da-DK"/>
        </w:rPr>
        <w:t xml:space="preserve"> af CYP2C19</w:t>
      </w:r>
    </w:p>
    <w:p w:rsidR="00C55A79" w:rsidRPr="00C55A79" w:rsidRDefault="00C55A79" w:rsidP="00C55A79">
      <w:pPr>
        <w:ind w:left="851"/>
        <w:rPr>
          <w:sz w:val="24"/>
          <w:szCs w:val="24"/>
        </w:rPr>
      </w:pPr>
      <w:proofErr w:type="spellStart"/>
      <w:r w:rsidRPr="00C55A79">
        <w:rPr>
          <w:sz w:val="24"/>
          <w:szCs w:val="24"/>
        </w:rPr>
        <w:t>Esomeprazol</w:t>
      </w:r>
      <w:proofErr w:type="spellEnd"/>
      <w:r w:rsidRPr="00C55A79">
        <w:rPr>
          <w:sz w:val="24"/>
          <w:szCs w:val="24"/>
        </w:rPr>
        <w:t xml:space="preserve"> inhiberer CYP2C19, det vigtigste enzym i </w:t>
      </w:r>
      <w:proofErr w:type="spellStart"/>
      <w:r w:rsidRPr="00C55A79">
        <w:rPr>
          <w:sz w:val="24"/>
          <w:szCs w:val="24"/>
        </w:rPr>
        <w:t>metaboliseringen</w:t>
      </w:r>
      <w:proofErr w:type="spellEnd"/>
      <w:r w:rsidRPr="00C55A79">
        <w:rPr>
          <w:sz w:val="24"/>
          <w:szCs w:val="24"/>
        </w:rPr>
        <w:t xml:space="preserve"> af </w:t>
      </w:r>
      <w:proofErr w:type="spellStart"/>
      <w:r w:rsidRPr="00C55A79">
        <w:rPr>
          <w:sz w:val="24"/>
          <w:szCs w:val="24"/>
        </w:rPr>
        <w:t>esomeprazol</w:t>
      </w:r>
      <w:proofErr w:type="spellEnd"/>
      <w:r w:rsidRPr="00C55A79">
        <w:rPr>
          <w:sz w:val="24"/>
          <w:szCs w:val="24"/>
        </w:rPr>
        <w:t xml:space="preserve">. Når </w:t>
      </w:r>
      <w:proofErr w:type="spellStart"/>
      <w:r w:rsidRPr="00C55A79">
        <w:rPr>
          <w:sz w:val="24"/>
          <w:szCs w:val="24"/>
        </w:rPr>
        <w:t>esomeprazol</w:t>
      </w:r>
      <w:proofErr w:type="spellEnd"/>
      <w:r w:rsidRPr="00C55A79">
        <w:rPr>
          <w:sz w:val="24"/>
          <w:szCs w:val="24"/>
        </w:rPr>
        <w:t xml:space="preserve"> kombineres med lægemidler, der </w:t>
      </w:r>
      <w:proofErr w:type="spellStart"/>
      <w:r w:rsidRPr="00C55A79">
        <w:rPr>
          <w:sz w:val="24"/>
          <w:szCs w:val="24"/>
        </w:rPr>
        <w:t>metaboliseres</w:t>
      </w:r>
      <w:proofErr w:type="spellEnd"/>
      <w:r w:rsidRPr="00C55A79">
        <w:rPr>
          <w:sz w:val="24"/>
          <w:szCs w:val="24"/>
        </w:rPr>
        <w:t xml:space="preserve"> af CYP2C19, såsom </w:t>
      </w:r>
      <w:proofErr w:type="spellStart"/>
      <w:r w:rsidRPr="00C55A79">
        <w:rPr>
          <w:sz w:val="24"/>
          <w:szCs w:val="24"/>
        </w:rPr>
        <w:t>diazepam</w:t>
      </w:r>
      <w:proofErr w:type="spellEnd"/>
      <w:r w:rsidRPr="00C55A79">
        <w:rPr>
          <w:sz w:val="24"/>
          <w:szCs w:val="24"/>
        </w:rPr>
        <w:t xml:space="preserve">, </w:t>
      </w:r>
      <w:proofErr w:type="spellStart"/>
      <w:r w:rsidRPr="00C55A79">
        <w:rPr>
          <w:sz w:val="24"/>
          <w:szCs w:val="24"/>
        </w:rPr>
        <w:t>citalopram</w:t>
      </w:r>
      <w:proofErr w:type="spellEnd"/>
      <w:r w:rsidRPr="00C55A79">
        <w:rPr>
          <w:sz w:val="24"/>
          <w:szCs w:val="24"/>
        </w:rPr>
        <w:t xml:space="preserve">, </w:t>
      </w:r>
      <w:proofErr w:type="spellStart"/>
      <w:r w:rsidRPr="00C55A79">
        <w:rPr>
          <w:sz w:val="24"/>
          <w:szCs w:val="24"/>
        </w:rPr>
        <w:t>imipramin</w:t>
      </w:r>
      <w:proofErr w:type="spellEnd"/>
      <w:r w:rsidRPr="00C55A79">
        <w:rPr>
          <w:sz w:val="24"/>
          <w:szCs w:val="24"/>
        </w:rPr>
        <w:t xml:space="preserve">, </w:t>
      </w:r>
      <w:proofErr w:type="spellStart"/>
      <w:r w:rsidRPr="00C55A79">
        <w:rPr>
          <w:sz w:val="24"/>
          <w:szCs w:val="24"/>
        </w:rPr>
        <w:t>clomipramin</w:t>
      </w:r>
      <w:proofErr w:type="spellEnd"/>
      <w:r w:rsidRPr="00C55A79">
        <w:rPr>
          <w:sz w:val="24"/>
          <w:szCs w:val="24"/>
        </w:rPr>
        <w:t xml:space="preserve">, </w:t>
      </w:r>
      <w:proofErr w:type="spellStart"/>
      <w:r w:rsidRPr="00C55A79">
        <w:rPr>
          <w:sz w:val="24"/>
          <w:szCs w:val="24"/>
        </w:rPr>
        <w:t>phenytoin</w:t>
      </w:r>
      <w:proofErr w:type="spellEnd"/>
      <w:r w:rsidRPr="00C55A79">
        <w:rPr>
          <w:sz w:val="24"/>
          <w:szCs w:val="24"/>
        </w:rPr>
        <w:t xml:space="preserve">, osv., kan plasmakoncentrationerne af disse lægemidler derfor øges, og en dosisreduktion kan være nødvendig. Dette bør tages med i betragtning, især ved ordinering af </w:t>
      </w:r>
      <w:proofErr w:type="spellStart"/>
      <w:r w:rsidRPr="00C55A79">
        <w:rPr>
          <w:sz w:val="24"/>
          <w:szCs w:val="24"/>
        </w:rPr>
        <w:t>esomeprazol</w:t>
      </w:r>
      <w:proofErr w:type="spellEnd"/>
      <w:r w:rsidRPr="00C55A79">
        <w:rPr>
          <w:sz w:val="24"/>
          <w:szCs w:val="24"/>
        </w:rPr>
        <w:t xml:space="preserve"> til efter-behov-behandling. </w:t>
      </w:r>
    </w:p>
    <w:p w:rsidR="00C55A79" w:rsidRPr="00C55A79" w:rsidRDefault="00C55A79" w:rsidP="00C55A79">
      <w:pPr>
        <w:ind w:left="851"/>
        <w:rPr>
          <w:sz w:val="24"/>
          <w:szCs w:val="24"/>
        </w:rPr>
      </w:pPr>
    </w:p>
    <w:p w:rsidR="00C55A79" w:rsidRPr="00C55A79" w:rsidRDefault="00C55A79" w:rsidP="00C55A79">
      <w:pPr>
        <w:widowControl w:val="0"/>
        <w:tabs>
          <w:tab w:val="left" w:pos="142"/>
        </w:tabs>
        <w:ind w:left="851"/>
        <w:rPr>
          <w:sz w:val="24"/>
          <w:szCs w:val="24"/>
          <w:u w:val="single"/>
        </w:rPr>
      </w:pPr>
      <w:proofErr w:type="spellStart"/>
      <w:r w:rsidRPr="00C55A79">
        <w:rPr>
          <w:i/>
          <w:sz w:val="24"/>
          <w:szCs w:val="24"/>
          <w:u w:val="single"/>
        </w:rPr>
        <w:t>Diazepam</w:t>
      </w:r>
      <w:proofErr w:type="spellEnd"/>
    </w:p>
    <w:p w:rsidR="00C55A79" w:rsidRPr="00C55A79" w:rsidRDefault="00C55A79" w:rsidP="00C55A79">
      <w:pPr>
        <w:tabs>
          <w:tab w:val="left" w:pos="142"/>
        </w:tabs>
        <w:ind w:left="851"/>
        <w:rPr>
          <w:sz w:val="24"/>
          <w:szCs w:val="24"/>
        </w:rPr>
      </w:pPr>
      <w:r w:rsidRPr="00C55A79">
        <w:rPr>
          <w:sz w:val="24"/>
          <w:szCs w:val="24"/>
        </w:rPr>
        <w:t xml:space="preserve">Samtidig administration af 30 mg </w:t>
      </w:r>
      <w:proofErr w:type="spellStart"/>
      <w:r w:rsidRPr="00C55A79">
        <w:rPr>
          <w:sz w:val="24"/>
          <w:szCs w:val="24"/>
        </w:rPr>
        <w:t>esomeprazol</w:t>
      </w:r>
      <w:proofErr w:type="spellEnd"/>
      <w:r w:rsidRPr="00C55A79">
        <w:rPr>
          <w:sz w:val="24"/>
          <w:szCs w:val="24"/>
        </w:rPr>
        <w:t xml:space="preserve"> resulterede i et 45 % fald i </w:t>
      </w:r>
      <w:proofErr w:type="spellStart"/>
      <w:r w:rsidRPr="00C55A79">
        <w:rPr>
          <w:sz w:val="24"/>
          <w:szCs w:val="24"/>
        </w:rPr>
        <w:t>clearance</w:t>
      </w:r>
      <w:proofErr w:type="spellEnd"/>
      <w:r w:rsidRPr="00C55A79">
        <w:rPr>
          <w:sz w:val="24"/>
          <w:szCs w:val="24"/>
        </w:rPr>
        <w:t xml:space="preserve"> af CYP2C19-substratet </w:t>
      </w:r>
      <w:proofErr w:type="spellStart"/>
      <w:r w:rsidRPr="00C55A79">
        <w:rPr>
          <w:sz w:val="24"/>
          <w:szCs w:val="24"/>
        </w:rPr>
        <w:t>diazepam</w:t>
      </w:r>
      <w:proofErr w:type="spellEnd"/>
      <w:r w:rsidRPr="00C55A79">
        <w:rPr>
          <w:sz w:val="24"/>
          <w:szCs w:val="24"/>
        </w:rPr>
        <w:t xml:space="preserve">. </w:t>
      </w:r>
    </w:p>
    <w:p w:rsidR="00C55A79" w:rsidRPr="00C55A79" w:rsidRDefault="00C55A79" w:rsidP="00C55A79">
      <w:pPr>
        <w:tabs>
          <w:tab w:val="left" w:pos="142"/>
        </w:tabs>
        <w:ind w:left="851"/>
        <w:rPr>
          <w:sz w:val="24"/>
          <w:szCs w:val="24"/>
        </w:rPr>
      </w:pPr>
    </w:p>
    <w:p w:rsidR="00C55A79" w:rsidRPr="00C55A79" w:rsidRDefault="00C55A79" w:rsidP="00C55A79">
      <w:pPr>
        <w:widowControl w:val="0"/>
        <w:tabs>
          <w:tab w:val="left" w:pos="142"/>
        </w:tabs>
        <w:ind w:left="851"/>
        <w:rPr>
          <w:sz w:val="24"/>
          <w:szCs w:val="24"/>
          <w:u w:val="single"/>
        </w:rPr>
      </w:pPr>
      <w:proofErr w:type="spellStart"/>
      <w:r w:rsidRPr="00C55A79">
        <w:rPr>
          <w:i/>
          <w:sz w:val="24"/>
          <w:szCs w:val="24"/>
          <w:u w:val="single"/>
        </w:rPr>
        <w:t>Phenytoin</w:t>
      </w:r>
      <w:proofErr w:type="spellEnd"/>
    </w:p>
    <w:p w:rsidR="00C55A79" w:rsidRPr="00C55A79" w:rsidRDefault="00C55A79" w:rsidP="00C55A79">
      <w:pPr>
        <w:tabs>
          <w:tab w:val="left" w:pos="142"/>
        </w:tabs>
        <w:ind w:left="851"/>
        <w:rPr>
          <w:sz w:val="24"/>
          <w:szCs w:val="24"/>
        </w:rPr>
      </w:pPr>
      <w:r w:rsidRPr="00C55A79">
        <w:rPr>
          <w:sz w:val="24"/>
          <w:szCs w:val="24"/>
        </w:rPr>
        <w:t xml:space="preserve">Samtidig administration af 40 mg </w:t>
      </w:r>
      <w:proofErr w:type="spellStart"/>
      <w:r w:rsidRPr="00C55A79">
        <w:rPr>
          <w:sz w:val="24"/>
          <w:szCs w:val="24"/>
        </w:rPr>
        <w:t>esomeprazol</w:t>
      </w:r>
      <w:proofErr w:type="spellEnd"/>
      <w:r w:rsidRPr="00C55A79">
        <w:rPr>
          <w:sz w:val="24"/>
          <w:szCs w:val="24"/>
        </w:rPr>
        <w:t xml:space="preserve"> resulterede i et 13 % fald i lavpunktsplasmaniveauer af </w:t>
      </w:r>
      <w:proofErr w:type="spellStart"/>
      <w:r w:rsidRPr="00C55A79">
        <w:rPr>
          <w:sz w:val="24"/>
          <w:szCs w:val="24"/>
        </w:rPr>
        <w:t>phenytoin</w:t>
      </w:r>
      <w:proofErr w:type="spellEnd"/>
      <w:r w:rsidRPr="00C55A79">
        <w:rPr>
          <w:sz w:val="24"/>
          <w:szCs w:val="24"/>
        </w:rPr>
        <w:t xml:space="preserve"> hos epileptiske patienter. Det anbefales at overvåge plasmakoncentrationerne af </w:t>
      </w:r>
      <w:proofErr w:type="spellStart"/>
      <w:r w:rsidRPr="00C55A79">
        <w:rPr>
          <w:sz w:val="24"/>
          <w:szCs w:val="24"/>
        </w:rPr>
        <w:t>phenytoin</w:t>
      </w:r>
      <w:proofErr w:type="spellEnd"/>
      <w:r w:rsidRPr="00C55A79">
        <w:rPr>
          <w:sz w:val="24"/>
          <w:szCs w:val="24"/>
        </w:rPr>
        <w:t xml:space="preserve">, når behandling med </w:t>
      </w:r>
      <w:proofErr w:type="spellStart"/>
      <w:r w:rsidRPr="00C55A79">
        <w:rPr>
          <w:sz w:val="24"/>
          <w:szCs w:val="24"/>
        </w:rPr>
        <w:t>esomeprazol</w:t>
      </w:r>
      <w:proofErr w:type="spellEnd"/>
      <w:r w:rsidRPr="00C55A79">
        <w:rPr>
          <w:sz w:val="24"/>
          <w:szCs w:val="24"/>
        </w:rPr>
        <w:t xml:space="preserve"> indledes eller afbrydes. </w:t>
      </w:r>
    </w:p>
    <w:p w:rsidR="00C55A79" w:rsidRPr="00C55A79" w:rsidRDefault="00C55A79" w:rsidP="00C55A79">
      <w:pPr>
        <w:tabs>
          <w:tab w:val="left" w:pos="142"/>
        </w:tabs>
        <w:ind w:left="851"/>
        <w:rPr>
          <w:sz w:val="24"/>
          <w:szCs w:val="24"/>
        </w:rPr>
      </w:pPr>
    </w:p>
    <w:p w:rsidR="00C55A79" w:rsidRPr="00C55A79" w:rsidRDefault="00C55A79" w:rsidP="00C55A79">
      <w:pPr>
        <w:widowControl w:val="0"/>
        <w:tabs>
          <w:tab w:val="left" w:pos="142"/>
        </w:tabs>
        <w:ind w:left="851"/>
        <w:rPr>
          <w:i/>
          <w:sz w:val="24"/>
          <w:szCs w:val="24"/>
          <w:u w:val="single"/>
        </w:rPr>
      </w:pPr>
      <w:proofErr w:type="spellStart"/>
      <w:r w:rsidRPr="00C55A79">
        <w:rPr>
          <w:i/>
          <w:sz w:val="24"/>
          <w:szCs w:val="24"/>
          <w:u w:val="single"/>
        </w:rPr>
        <w:t>Voriconazol</w:t>
      </w:r>
      <w:proofErr w:type="spellEnd"/>
    </w:p>
    <w:p w:rsidR="00C55A79" w:rsidRPr="00C55A79" w:rsidRDefault="00C55A79" w:rsidP="00C55A79">
      <w:pPr>
        <w:tabs>
          <w:tab w:val="left" w:pos="142"/>
        </w:tabs>
        <w:ind w:left="851"/>
        <w:rPr>
          <w:sz w:val="24"/>
          <w:szCs w:val="24"/>
        </w:rPr>
      </w:pPr>
      <w:proofErr w:type="spellStart"/>
      <w:r w:rsidRPr="00C55A79">
        <w:rPr>
          <w:sz w:val="24"/>
          <w:szCs w:val="24"/>
        </w:rPr>
        <w:t>Omeprazol</w:t>
      </w:r>
      <w:proofErr w:type="spellEnd"/>
      <w:r w:rsidRPr="00C55A79">
        <w:rPr>
          <w:sz w:val="24"/>
          <w:szCs w:val="24"/>
        </w:rPr>
        <w:t xml:space="preserve"> (40 mg en gang daglig) forøgede </w:t>
      </w:r>
      <w:proofErr w:type="spellStart"/>
      <w:r w:rsidRPr="00C55A79">
        <w:rPr>
          <w:sz w:val="24"/>
          <w:szCs w:val="24"/>
        </w:rPr>
        <w:t>voriconazols</w:t>
      </w:r>
      <w:proofErr w:type="spellEnd"/>
      <w:r w:rsidRPr="00C55A79">
        <w:rPr>
          <w:sz w:val="24"/>
          <w:szCs w:val="24"/>
        </w:rPr>
        <w:t xml:space="preserve"> (et CYP2C19-substrat) </w:t>
      </w:r>
      <w:proofErr w:type="spellStart"/>
      <w:r w:rsidRPr="00C55A79">
        <w:rPr>
          <w:sz w:val="24"/>
          <w:szCs w:val="24"/>
        </w:rPr>
        <w:t>C</w:t>
      </w:r>
      <w:r w:rsidRPr="00C55A79">
        <w:rPr>
          <w:sz w:val="24"/>
          <w:szCs w:val="24"/>
          <w:vertAlign w:val="subscript"/>
        </w:rPr>
        <w:t>max</w:t>
      </w:r>
      <w:proofErr w:type="spellEnd"/>
      <w:r w:rsidRPr="00C55A79">
        <w:rPr>
          <w:sz w:val="24"/>
          <w:szCs w:val="24"/>
          <w:vertAlign w:val="subscript"/>
        </w:rPr>
        <w:t xml:space="preserve"> </w:t>
      </w:r>
      <w:r w:rsidRPr="00C55A79">
        <w:rPr>
          <w:sz w:val="24"/>
          <w:szCs w:val="24"/>
        </w:rPr>
        <w:t xml:space="preserve">og </w:t>
      </w:r>
      <w:proofErr w:type="spellStart"/>
      <w:r w:rsidRPr="00C55A79">
        <w:rPr>
          <w:sz w:val="24"/>
          <w:szCs w:val="24"/>
        </w:rPr>
        <w:t>AUC</w:t>
      </w:r>
      <w:r w:rsidRPr="00C55A79">
        <w:rPr>
          <w:sz w:val="24"/>
          <w:szCs w:val="24"/>
          <w:vertAlign w:val="subscript"/>
        </w:rPr>
        <w:t>τ</w:t>
      </w:r>
      <w:proofErr w:type="spellEnd"/>
      <w:r w:rsidRPr="00C55A79">
        <w:rPr>
          <w:sz w:val="24"/>
          <w:szCs w:val="24"/>
        </w:rPr>
        <w:t xml:space="preserve"> med henholdsvis 15 % og 41 %.</w:t>
      </w:r>
    </w:p>
    <w:p w:rsidR="00C55A79" w:rsidRPr="00C55A79" w:rsidRDefault="00C55A79" w:rsidP="00C55A79">
      <w:pPr>
        <w:tabs>
          <w:tab w:val="left" w:pos="142"/>
        </w:tabs>
        <w:ind w:left="851"/>
        <w:rPr>
          <w:sz w:val="24"/>
          <w:szCs w:val="24"/>
        </w:rPr>
      </w:pPr>
    </w:p>
    <w:p w:rsidR="00C55A79" w:rsidRPr="00C55A79" w:rsidRDefault="00C55A79" w:rsidP="00C55A79">
      <w:pPr>
        <w:widowControl w:val="0"/>
        <w:tabs>
          <w:tab w:val="left" w:pos="142"/>
        </w:tabs>
        <w:ind w:left="851"/>
        <w:rPr>
          <w:sz w:val="24"/>
          <w:szCs w:val="24"/>
          <w:u w:val="single"/>
        </w:rPr>
      </w:pPr>
      <w:proofErr w:type="spellStart"/>
      <w:r w:rsidRPr="00C55A79">
        <w:rPr>
          <w:i/>
          <w:sz w:val="24"/>
          <w:szCs w:val="24"/>
          <w:u w:val="single"/>
        </w:rPr>
        <w:t>Cilostazol</w:t>
      </w:r>
      <w:proofErr w:type="spellEnd"/>
    </w:p>
    <w:p w:rsidR="00C55A79" w:rsidRPr="00C55A79" w:rsidRDefault="00C55A79" w:rsidP="00C55A79">
      <w:pPr>
        <w:widowControl w:val="0"/>
        <w:tabs>
          <w:tab w:val="left" w:pos="142"/>
        </w:tabs>
        <w:ind w:left="851"/>
        <w:rPr>
          <w:sz w:val="24"/>
          <w:szCs w:val="24"/>
        </w:rPr>
      </w:pPr>
      <w:proofErr w:type="spellStart"/>
      <w:r w:rsidRPr="00C55A79">
        <w:rPr>
          <w:sz w:val="24"/>
          <w:szCs w:val="24"/>
        </w:rPr>
        <w:t>Omeprazol</w:t>
      </w:r>
      <w:proofErr w:type="spellEnd"/>
      <w:r w:rsidRPr="00C55A79">
        <w:rPr>
          <w:sz w:val="24"/>
          <w:szCs w:val="24"/>
        </w:rPr>
        <w:t xml:space="preserve"> og ligeledes </w:t>
      </w:r>
      <w:proofErr w:type="spellStart"/>
      <w:r w:rsidRPr="00C55A79">
        <w:rPr>
          <w:sz w:val="24"/>
          <w:szCs w:val="24"/>
        </w:rPr>
        <w:t>esomeprazol</w:t>
      </w:r>
      <w:proofErr w:type="spellEnd"/>
      <w:r w:rsidRPr="00C55A79">
        <w:rPr>
          <w:sz w:val="24"/>
          <w:szCs w:val="24"/>
        </w:rPr>
        <w:t xml:space="preserve"> er begge inhibitorer af CYP2C19-enzymsystemet. </w:t>
      </w:r>
      <w:proofErr w:type="spellStart"/>
      <w:r w:rsidRPr="00C55A79">
        <w:rPr>
          <w:sz w:val="24"/>
          <w:szCs w:val="24"/>
        </w:rPr>
        <w:t>Omeprazol</w:t>
      </w:r>
      <w:proofErr w:type="spellEnd"/>
      <w:r w:rsidRPr="00C55A79">
        <w:rPr>
          <w:sz w:val="24"/>
          <w:szCs w:val="24"/>
        </w:rPr>
        <w:t xml:space="preserve"> givet i 40 mg doser til raske forsøgspersoner viste i et crossover-studie øget </w:t>
      </w:r>
      <w:proofErr w:type="spellStart"/>
      <w:r w:rsidRPr="00C55A79">
        <w:rPr>
          <w:sz w:val="24"/>
          <w:szCs w:val="24"/>
        </w:rPr>
        <w:t>C</w:t>
      </w:r>
      <w:r w:rsidRPr="00C55A79">
        <w:rPr>
          <w:sz w:val="24"/>
          <w:szCs w:val="24"/>
          <w:vertAlign w:val="subscript"/>
        </w:rPr>
        <w:t>max</w:t>
      </w:r>
      <w:proofErr w:type="spellEnd"/>
      <w:r w:rsidRPr="00C55A79">
        <w:rPr>
          <w:sz w:val="24"/>
          <w:szCs w:val="24"/>
        </w:rPr>
        <w:t xml:space="preserve"> og AUC for </w:t>
      </w:r>
      <w:proofErr w:type="spellStart"/>
      <w:r w:rsidRPr="00C55A79">
        <w:rPr>
          <w:sz w:val="24"/>
          <w:szCs w:val="24"/>
        </w:rPr>
        <w:t>cilostazol</w:t>
      </w:r>
      <w:proofErr w:type="spellEnd"/>
      <w:r w:rsidRPr="00C55A79">
        <w:rPr>
          <w:sz w:val="24"/>
          <w:szCs w:val="24"/>
        </w:rPr>
        <w:t xml:space="preserve"> på hhv. 18 % og 26 % og øgning af den aktive metabolit med hhv. 29 % og 69 %.</w:t>
      </w:r>
    </w:p>
    <w:p w:rsidR="00C55A79" w:rsidRPr="00C55A79" w:rsidRDefault="00C55A79" w:rsidP="00C55A79">
      <w:pPr>
        <w:tabs>
          <w:tab w:val="left" w:pos="142"/>
        </w:tabs>
        <w:ind w:left="851"/>
        <w:rPr>
          <w:sz w:val="24"/>
          <w:szCs w:val="24"/>
        </w:rPr>
      </w:pPr>
    </w:p>
    <w:p w:rsidR="00C55A79" w:rsidRPr="00C55A79" w:rsidRDefault="00C55A79" w:rsidP="00C55A79">
      <w:pPr>
        <w:tabs>
          <w:tab w:val="left" w:pos="142"/>
        </w:tabs>
        <w:ind w:left="851"/>
        <w:rPr>
          <w:i/>
          <w:sz w:val="24"/>
          <w:szCs w:val="24"/>
          <w:u w:val="single"/>
        </w:rPr>
      </w:pPr>
      <w:proofErr w:type="spellStart"/>
      <w:r w:rsidRPr="00C55A79">
        <w:rPr>
          <w:i/>
          <w:sz w:val="24"/>
          <w:szCs w:val="24"/>
          <w:u w:val="single"/>
        </w:rPr>
        <w:t>Cisaprid</w:t>
      </w:r>
      <w:proofErr w:type="spellEnd"/>
    </w:p>
    <w:p w:rsidR="00C55A79" w:rsidRPr="00C55A79" w:rsidRDefault="00C55A79" w:rsidP="00C55A79">
      <w:pPr>
        <w:tabs>
          <w:tab w:val="left" w:pos="142"/>
        </w:tabs>
        <w:ind w:left="851"/>
        <w:rPr>
          <w:sz w:val="24"/>
          <w:szCs w:val="24"/>
        </w:rPr>
      </w:pPr>
      <w:r w:rsidRPr="00C55A79">
        <w:rPr>
          <w:sz w:val="24"/>
          <w:szCs w:val="24"/>
        </w:rPr>
        <w:t xml:space="preserve">Hos raske frivillige resulterede samtidig administration af 40 mg </w:t>
      </w:r>
      <w:proofErr w:type="spellStart"/>
      <w:r w:rsidRPr="00C55A79">
        <w:rPr>
          <w:sz w:val="24"/>
          <w:szCs w:val="24"/>
        </w:rPr>
        <w:t>esomeprazol</w:t>
      </w:r>
      <w:proofErr w:type="spellEnd"/>
      <w:r w:rsidRPr="00C55A79">
        <w:rPr>
          <w:sz w:val="24"/>
          <w:szCs w:val="24"/>
        </w:rPr>
        <w:t xml:space="preserve"> i en 32 % stigning i arealet under plasmakoncentration-tids-kurven (AUC) og en 31 % forlængelse af eliminationshalveringstiden (t</w:t>
      </w:r>
      <w:r w:rsidRPr="00C55A79">
        <w:rPr>
          <w:sz w:val="24"/>
          <w:szCs w:val="24"/>
          <w:vertAlign w:val="subscript"/>
        </w:rPr>
        <w:t>1/2</w:t>
      </w:r>
      <w:r w:rsidRPr="00C55A79">
        <w:rPr>
          <w:sz w:val="24"/>
          <w:szCs w:val="24"/>
        </w:rPr>
        <w:t xml:space="preserve">), men ingen signifikant stigning i de maksimale plasmaniveauer af </w:t>
      </w:r>
      <w:proofErr w:type="spellStart"/>
      <w:r w:rsidRPr="00C55A79">
        <w:rPr>
          <w:sz w:val="24"/>
          <w:szCs w:val="24"/>
        </w:rPr>
        <w:t>cisaprid</w:t>
      </w:r>
      <w:proofErr w:type="spellEnd"/>
      <w:r w:rsidRPr="00C55A79">
        <w:rPr>
          <w:sz w:val="24"/>
          <w:szCs w:val="24"/>
        </w:rPr>
        <w:t xml:space="preserve">. Det lidt forlængede </w:t>
      </w:r>
      <w:proofErr w:type="spellStart"/>
      <w:r w:rsidRPr="00C55A79">
        <w:rPr>
          <w:sz w:val="24"/>
          <w:szCs w:val="24"/>
        </w:rPr>
        <w:t>QTc</w:t>
      </w:r>
      <w:proofErr w:type="spellEnd"/>
      <w:r w:rsidRPr="00C55A79">
        <w:rPr>
          <w:sz w:val="24"/>
          <w:szCs w:val="24"/>
        </w:rPr>
        <w:t xml:space="preserve">-interval, der observeredes efter administration af </w:t>
      </w:r>
      <w:proofErr w:type="spellStart"/>
      <w:r w:rsidRPr="00C55A79">
        <w:rPr>
          <w:sz w:val="24"/>
          <w:szCs w:val="24"/>
        </w:rPr>
        <w:t>cisaprid</w:t>
      </w:r>
      <w:proofErr w:type="spellEnd"/>
      <w:r w:rsidRPr="00C55A79">
        <w:rPr>
          <w:sz w:val="24"/>
          <w:szCs w:val="24"/>
        </w:rPr>
        <w:t xml:space="preserve"> alene, blev ikke yderligere forlænget, når </w:t>
      </w:r>
      <w:proofErr w:type="spellStart"/>
      <w:r w:rsidRPr="00C55A79">
        <w:rPr>
          <w:sz w:val="24"/>
          <w:szCs w:val="24"/>
        </w:rPr>
        <w:t>cisaprid</w:t>
      </w:r>
      <w:proofErr w:type="spellEnd"/>
      <w:r w:rsidRPr="00C55A79">
        <w:rPr>
          <w:sz w:val="24"/>
          <w:szCs w:val="24"/>
        </w:rPr>
        <w:t xml:space="preserve"> blev givet i kombination med </w:t>
      </w:r>
      <w:proofErr w:type="spellStart"/>
      <w:r w:rsidRPr="00C55A79">
        <w:rPr>
          <w:sz w:val="24"/>
          <w:szCs w:val="24"/>
        </w:rPr>
        <w:t>esomeprazol</w:t>
      </w:r>
      <w:proofErr w:type="spellEnd"/>
      <w:r w:rsidRPr="00C55A79">
        <w:rPr>
          <w:sz w:val="24"/>
          <w:szCs w:val="24"/>
        </w:rPr>
        <w:t xml:space="preserve"> (se også pkt. 4.4).</w:t>
      </w:r>
    </w:p>
    <w:p w:rsidR="00C55A79" w:rsidRPr="00C55A79" w:rsidRDefault="00C55A79" w:rsidP="00C55A79">
      <w:pPr>
        <w:ind w:left="851"/>
        <w:rPr>
          <w:sz w:val="24"/>
          <w:szCs w:val="24"/>
        </w:rPr>
      </w:pPr>
    </w:p>
    <w:p w:rsidR="00C55A79" w:rsidRPr="00C55A79" w:rsidRDefault="00C55A79" w:rsidP="00C55A79">
      <w:pPr>
        <w:widowControl w:val="0"/>
        <w:ind w:left="851"/>
        <w:rPr>
          <w:sz w:val="24"/>
          <w:szCs w:val="24"/>
          <w:u w:val="single"/>
        </w:rPr>
      </w:pPr>
      <w:proofErr w:type="spellStart"/>
      <w:r w:rsidRPr="00C55A79">
        <w:rPr>
          <w:i/>
          <w:sz w:val="24"/>
          <w:szCs w:val="24"/>
          <w:u w:val="single"/>
        </w:rPr>
        <w:t>Warfarin</w:t>
      </w:r>
      <w:proofErr w:type="spellEnd"/>
    </w:p>
    <w:p w:rsidR="00C55A79" w:rsidRPr="00C55A79" w:rsidRDefault="00C55A79" w:rsidP="00C55A79">
      <w:pPr>
        <w:widowControl w:val="0"/>
        <w:ind w:left="851"/>
        <w:rPr>
          <w:sz w:val="24"/>
          <w:szCs w:val="24"/>
        </w:rPr>
      </w:pPr>
      <w:r w:rsidRPr="00C55A79">
        <w:rPr>
          <w:sz w:val="24"/>
          <w:szCs w:val="24"/>
        </w:rPr>
        <w:t xml:space="preserve">Samtidig administration af 40 mg </w:t>
      </w:r>
      <w:proofErr w:type="spellStart"/>
      <w:r w:rsidRPr="00C55A79">
        <w:rPr>
          <w:sz w:val="24"/>
          <w:szCs w:val="24"/>
        </w:rPr>
        <w:t>esomeprazol</w:t>
      </w:r>
      <w:proofErr w:type="spellEnd"/>
      <w:r w:rsidRPr="00C55A79">
        <w:rPr>
          <w:sz w:val="24"/>
          <w:szCs w:val="24"/>
        </w:rPr>
        <w:t xml:space="preserve"> til </w:t>
      </w:r>
      <w:proofErr w:type="spellStart"/>
      <w:r w:rsidRPr="00C55A79">
        <w:rPr>
          <w:sz w:val="24"/>
          <w:szCs w:val="24"/>
        </w:rPr>
        <w:t>warfarin</w:t>
      </w:r>
      <w:proofErr w:type="spellEnd"/>
      <w:r w:rsidRPr="00C55A79">
        <w:rPr>
          <w:sz w:val="24"/>
          <w:szCs w:val="24"/>
        </w:rPr>
        <w:t xml:space="preserve">-behandlede patienter i et klinisk forsøg viste, at koagulationstiderne lå inden for det accepterede interval. Efter markedsføring er der imidlertid indberettet nogle få isolerede tilfælde af forhøjet INR af klinisk signifikans under samtidig behandling. Overvågning anbefales ved start og </w:t>
      </w:r>
      <w:r w:rsidRPr="00C55A79">
        <w:rPr>
          <w:sz w:val="24"/>
          <w:szCs w:val="24"/>
        </w:rPr>
        <w:lastRenderedPageBreak/>
        <w:t xml:space="preserve">afslutning af samtidig </w:t>
      </w:r>
      <w:proofErr w:type="spellStart"/>
      <w:r w:rsidRPr="00C55A79">
        <w:rPr>
          <w:sz w:val="24"/>
          <w:szCs w:val="24"/>
        </w:rPr>
        <w:t>esomeprazolbehandling</w:t>
      </w:r>
      <w:proofErr w:type="spellEnd"/>
      <w:r w:rsidRPr="00C55A79">
        <w:rPr>
          <w:sz w:val="24"/>
          <w:szCs w:val="24"/>
        </w:rPr>
        <w:t xml:space="preserve"> under behandling med </w:t>
      </w:r>
      <w:proofErr w:type="spellStart"/>
      <w:r w:rsidRPr="00C55A79">
        <w:rPr>
          <w:sz w:val="24"/>
          <w:szCs w:val="24"/>
        </w:rPr>
        <w:t>warfarin</w:t>
      </w:r>
      <w:proofErr w:type="spellEnd"/>
      <w:r w:rsidRPr="00C55A79">
        <w:rPr>
          <w:sz w:val="24"/>
          <w:szCs w:val="24"/>
        </w:rPr>
        <w:t xml:space="preserve"> eller andre </w:t>
      </w:r>
      <w:proofErr w:type="spellStart"/>
      <w:r w:rsidRPr="00C55A79">
        <w:rPr>
          <w:sz w:val="24"/>
          <w:szCs w:val="24"/>
        </w:rPr>
        <w:t>coumarinderivater</w:t>
      </w:r>
      <w:proofErr w:type="spellEnd"/>
      <w:r w:rsidRPr="00C55A79">
        <w:rPr>
          <w:sz w:val="24"/>
          <w:szCs w:val="24"/>
        </w:rPr>
        <w:t>.</w:t>
      </w:r>
    </w:p>
    <w:p w:rsidR="00C55A79" w:rsidRPr="00C55A79" w:rsidRDefault="00C55A79" w:rsidP="00C55A79">
      <w:pPr>
        <w:widowControl w:val="0"/>
        <w:ind w:left="851"/>
        <w:rPr>
          <w:sz w:val="24"/>
          <w:szCs w:val="24"/>
        </w:rPr>
      </w:pPr>
    </w:p>
    <w:p w:rsidR="00C55A79" w:rsidRPr="00C55A79" w:rsidRDefault="00C55A79" w:rsidP="00C55A79">
      <w:pPr>
        <w:widowControl w:val="0"/>
        <w:ind w:left="851"/>
        <w:rPr>
          <w:sz w:val="24"/>
          <w:szCs w:val="24"/>
        </w:rPr>
      </w:pPr>
      <w:proofErr w:type="spellStart"/>
      <w:r w:rsidRPr="00C55A79">
        <w:rPr>
          <w:i/>
          <w:sz w:val="24"/>
          <w:szCs w:val="24"/>
        </w:rPr>
        <w:t>Clopidogrel</w:t>
      </w:r>
      <w:proofErr w:type="spellEnd"/>
    </w:p>
    <w:p w:rsidR="00C55A79" w:rsidRPr="00C55A79" w:rsidRDefault="00C55A79" w:rsidP="00C55A79">
      <w:pPr>
        <w:widowControl w:val="0"/>
        <w:ind w:left="851"/>
        <w:rPr>
          <w:sz w:val="24"/>
          <w:szCs w:val="24"/>
        </w:rPr>
      </w:pPr>
      <w:r w:rsidRPr="00C55A79">
        <w:rPr>
          <w:sz w:val="24"/>
          <w:szCs w:val="24"/>
        </w:rPr>
        <w:t xml:space="preserve">Resultater fra studier med raske forsøgspersoner har vist en </w:t>
      </w:r>
      <w:proofErr w:type="spellStart"/>
      <w:r w:rsidRPr="00C55A79">
        <w:rPr>
          <w:sz w:val="24"/>
          <w:szCs w:val="24"/>
        </w:rPr>
        <w:t>farmakokinetisk</w:t>
      </w:r>
      <w:proofErr w:type="spellEnd"/>
      <w:r w:rsidRPr="00C55A79">
        <w:rPr>
          <w:sz w:val="24"/>
          <w:szCs w:val="24"/>
        </w:rPr>
        <w:t xml:space="preserve"> (PK)/</w:t>
      </w:r>
      <w:proofErr w:type="spellStart"/>
      <w:r w:rsidRPr="00C55A79">
        <w:rPr>
          <w:sz w:val="24"/>
          <w:szCs w:val="24"/>
        </w:rPr>
        <w:t>farmakodynamisk</w:t>
      </w:r>
      <w:proofErr w:type="spellEnd"/>
      <w:r w:rsidRPr="00C55A79">
        <w:rPr>
          <w:sz w:val="24"/>
          <w:szCs w:val="24"/>
        </w:rPr>
        <w:t xml:space="preserve"> (PD) interaktion mellem </w:t>
      </w:r>
      <w:proofErr w:type="spellStart"/>
      <w:r w:rsidRPr="00C55A79">
        <w:rPr>
          <w:sz w:val="24"/>
          <w:szCs w:val="24"/>
        </w:rPr>
        <w:t>clopidogrel</w:t>
      </w:r>
      <w:proofErr w:type="spellEnd"/>
      <w:r w:rsidRPr="00C55A79">
        <w:rPr>
          <w:sz w:val="24"/>
          <w:szCs w:val="24"/>
        </w:rPr>
        <w:t xml:space="preserve"> (300 mg </w:t>
      </w:r>
      <w:proofErr w:type="spellStart"/>
      <w:r w:rsidRPr="00C55A79">
        <w:rPr>
          <w:sz w:val="24"/>
          <w:szCs w:val="24"/>
        </w:rPr>
        <w:t>loading</w:t>
      </w:r>
      <w:proofErr w:type="spellEnd"/>
      <w:r w:rsidRPr="00C55A79">
        <w:rPr>
          <w:sz w:val="24"/>
          <w:szCs w:val="24"/>
        </w:rPr>
        <w:t xml:space="preserve">-dosis/75 mg daglig vedligeholdelsesdosis) og </w:t>
      </w:r>
      <w:proofErr w:type="spellStart"/>
      <w:r w:rsidRPr="00C55A79">
        <w:rPr>
          <w:sz w:val="24"/>
          <w:szCs w:val="24"/>
        </w:rPr>
        <w:t>esomeprazol</w:t>
      </w:r>
      <w:proofErr w:type="spellEnd"/>
      <w:r w:rsidRPr="00C55A79">
        <w:rPr>
          <w:sz w:val="24"/>
          <w:szCs w:val="24"/>
        </w:rPr>
        <w:t xml:space="preserve"> (40 mg oralt dagligt), hvilket resulterede i nedsat eksponering for den aktive metabolit af </w:t>
      </w:r>
      <w:proofErr w:type="spellStart"/>
      <w:r w:rsidRPr="00C55A79">
        <w:rPr>
          <w:sz w:val="24"/>
          <w:szCs w:val="24"/>
        </w:rPr>
        <w:t>clopidogrel</w:t>
      </w:r>
      <w:proofErr w:type="spellEnd"/>
      <w:r w:rsidRPr="00C55A79">
        <w:rPr>
          <w:sz w:val="24"/>
          <w:szCs w:val="24"/>
        </w:rPr>
        <w:t xml:space="preserve"> med et gennemsnit på 40 % og resulterede i mindsket maksimal hæmning af (ADP- induceret) blodpladeaggregering på gennemsnitligt 14 %.</w:t>
      </w:r>
    </w:p>
    <w:p w:rsidR="00C55A79" w:rsidRPr="00C55A79" w:rsidRDefault="00C55A79" w:rsidP="00C55A79">
      <w:pPr>
        <w:widowControl w:val="0"/>
        <w:ind w:left="851"/>
        <w:rPr>
          <w:sz w:val="24"/>
          <w:szCs w:val="24"/>
        </w:rPr>
      </w:pPr>
    </w:p>
    <w:p w:rsidR="00C55A79" w:rsidRPr="00C55A79" w:rsidRDefault="00C55A79" w:rsidP="00C55A79">
      <w:pPr>
        <w:widowControl w:val="0"/>
        <w:ind w:left="851"/>
        <w:rPr>
          <w:sz w:val="24"/>
          <w:szCs w:val="24"/>
        </w:rPr>
      </w:pPr>
      <w:r w:rsidRPr="00C55A79">
        <w:rPr>
          <w:sz w:val="24"/>
          <w:szCs w:val="24"/>
        </w:rPr>
        <w:t xml:space="preserve">I et studie med raske forsøgspersoner var der en mindsket eksponering på næsten 40 % af den aktive metabolit af </w:t>
      </w:r>
      <w:proofErr w:type="spellStart"/>
      <w:r w:rsidRPr="00C55A79">
        <w:rPr>
          <w:sz w:val="24"/>
          <w:szCs w:val="24"/>
        </w:rPr>
        <w:t>clopidogrel</w:t>
      </w:r>
      <w:proofErr w:type="spellEnd"/>
      <w:r w:rsidRPr="00C55A79">
        <w:rPr>
          <w:sz w:val="24"/>
          <w:szCs w:val="24"/>
        </w:rPr>
        <w:t xml:space="preserve">, når der blev givet en fast dosiskombination med </w:t>
      </w:r>
      <w:proofErr w:type="spellStart"/>
      <w:r w:rsidRPr="00C55A79">
        <w:rPr>
          <w:sz w:val="24"/>
          <w:szCs w:val="24"/>
        </w:rPr>
        <w:t>esomeprazol</w:t>
      </w:r>
      <w:proofErr w:type="spellEnd"/>
      <w:r w:rsidRPr="00C55A79">
        <w:rPr>
          <w:sz w:val="24"/>
          <w:szCs w:val="24"/>
        </w:rPr>
        <w:t xml:space="preserve"> 20 mg + ASA 81 mg samtidigt med </w:t>
      </w:r>
      <w:proofErr w:type="spellStart"/>
      <w:r w:rsidRPr="00C55A79">
        <w:rPr>
          <w:sz w:val="24"/>
          <w:szCs w:val="24"/>
        </w:rPr>
        <w:t>clopidogrel</w:t>
      </w:r>
      <w:proofErr w:type="spellEnd"/>
      <w:r w:rsidRPr="00C55A79">
        <w:rPr>
          <w:sz w:val="24"/>
          <w:szCs w:val="24"/>
        </w:rPr>
        <w:t xml:space="preserve"> sammenlignet med </w:t>
      </w:r>
      <w:proofErr w:type="spellStart"/>
      <w:r w:rsidRPr="00C55A79">
        <w:rPr>
          <w:sz w:val="24"/>
          <w:szCs w:val="24"/>
        </w:rPr>
        <w:t>clopidogrel</w:t>
      </w:r>
      <w:proofErr w:type="spellEnd"/>
      <w:r w:rsidRPr="00C55A79">
        <w:rPr>
          <w:sz w:val="24"/>
          <w:szCs w:val="24"/>
        </w:rPr>
        <w:t xml:space="preserve"> alene.</w:t>
      </w:r>
    </w:p>
    <w:p w:rsidR="00C55A79" w:rsidRPr="00C55A79" w:rsidRDefault="00C55A79" w:rsidP="00C55A79">
      <w:pPr>
        <w:widowControl w:val="0"/>
        <w:ind w:left="851"/>
        <w:rPr>
          <w:sz w:val="24"/>
          <w:szCs w:val="24"/>
        </w:rPr>
      </w:pPr>
      <w:r w:rsidRPr="00C55A79">
        <w:rPr>
          <w:sz w:val="24"/>
          <w:szCs w:val="24"/>
        </w:rPr>
        <w:t>De maksimale niveauer for hæmning af (ADP-induceret) blodpladeaggregering hos disse forsøgspersoner var imidlertid ens i begge grupper.</w:t>
      </w:r>
    </w:p>
    <w:p w:rsidR="00C55A79" w:rsidRPr="00C55A79" w:rsidRDefault="00C55A79" w:rsidP="00C55A79">
      <w:pPr>
        <w:widowControl w:val="0"/>
        <w:ind w:left="851"/>
        <w:rPr>
          <w:sz w:val="24"/>
          <w:szCs w:val="24"/>
        </w:rPr>
      </w:pPr>
      <w:r w:rsidRPr="00C55A79">
        <w:rPr>
          <w:sz w:val="24"/>
          <w:szCs w:val="24"/>
        </w:rPr>
        <w:t xml:space="preserve">Uoverensstemmende data vedrørende kliniske implikationer af denne PK-/PD-interaktion, hvad angår større </w:t>
      </w:r>
      <w:proofErr w:type="spellStart"/>
      <w:r w:rsidRPr="00C55A79">
        <w:rPr>
          <w:sz w:val="24"/>
          <w:szCs w:val="24"/>
        </w:rPr>
        <w:t>kardiovaskulære</w:t>
      </w:r>
      <w:proofErr w:type="spellEnd"/>
      <w:r w:rsidRPr="00C55A79">
        <w:rPr>
          <w:sz w:val="24"/>
          <w:szCs w:val="24"/>
        </w:rPr>
        <w:t xml:space="preserve"> hændelser, er rapporteret fra både observationsstudier og kliniske studier. Som sikkerhedsforanstaltning bør samtidig brug af </w:t>
      </w:r>
      <w:proofErr w:type="spellStart"/>
      <w:r w:rsidRPr="00C55A79">
        <w:rPr>
          <w:sz w:val="24"/>
          <w:szCs w:val="24"/>
        </w:rPr>
        <w:t>clopidogrel</w:t>
      </w:r>
      <w:proofErr w:type="spellEnd"/>
      <w:r w:rsidRPr="00C55A79">
        <w:rPr>
          <w:sz w:val="24"/>
          <w:szCs w:val="24"/>
        </w:rPr>
        <w:t xml:space="preserve"> frarådes.</w:t>
      </w:r>
    </w:p>
    <w:p w:rsidR="00C55A79" w:rsidRPr="00C55A79" w:rsidRDefault="00C55A79" w:rsidP="00C55A79">
      <w:pPr>
        <w:ind w:left="851"/>
        <w:rPr>
          <w:sz w:val="24"/>
          <w:szCs w:val="24"/>
        </w:rPr>
      </w:pPr>
    </w:p>
    <w:p w:rsidR="00C55A79" w:rsidRPr="00C55A79" w:rsidRDefault="00C55A79" w:rsidP="00C55A79">
      <w:pPr>
        <w:widowControl w:val="0"/>
        <w:ind w:left="851"/>
        <w:rPr>
          <w:bCs/>
          <w:sz w:val="24"/>
          <w:szCs w:val="24"/>
          <w:u w:val="single"/>
        </w:rPr>
      </w:pPr>
      <w:r w:rsidRPr="00C55A79">
        <w:rPr>
          <w:bCs/>
          <w:sz w:val="24"/>
          <w:szCs w:val="24"/>
          <w:u w:val="single"/>
        </w:rPr>
        <w:t>Undersøgte lægemidler uden klinisk relevante interaktioner</w:t>
      </w:r>
    </w:p>
    <w:p w:rsidR="00C55A79" w:rsidRPr="00C55A79" w:rsidRDefault="00C55A79" w:rsidP="00C55A79">
      <w:pPr>
        <w:widowControl w:val="0"/>
        <w:ind w:left="851"/>
        <w:rPr>
          <w:sz w:val="24"/>
          <w:szCs w:val="24"/>
        </w:rPr>
      </w:pPr>
    </w:p>
    <w:p w:rsidR="00C55A79" w:rsidRPr="00C55A79" w:rsidRDefault="00C55A79" w:rsidP="00C55A79">
      <w:pPr>
        <w:widowControl w:val="0"/>
        <w:ind w:left="851"/>
        <w:rPr>
          <w:sz w:val="24"/>
          <w:szCs w:val="24"/>
          <w:u w:val="single"/>
        </w:rPr>
      </w:pPr>
      <w:proofErr w:type="spellStart"/>
      <w:r w:rsidRPr="00C55A79">
        <w:rPr>
          <w:i/>
          <w:sz w:val="24"/>
          <w:szCs w:val="24"/>
          <w:u w:val="single"/>
        </w:rPr>
        <w:t>Amoxicillin</w:t>
      </w:r>
      <w:proofErr w:type="spellEnd"/>
      <w:r w:rsidRPr="00C55A79">
        <w:rPr>
          <w:i/>
          <w:sz w:val="24"/>
          <w:szCs w:val="24"/>
          <w:u w:val="single"/>
        </w:rPr>
        <w:t xml:space="preserve"> og </w:t>
      </w:r>
      <w:proofErr w:type="spellStart"/>
      <w:r w:rsidRPr="00C55A79">
        <w:rPr>
          <w:i/>
          <w:sz w:val="24"/>
          <w:szCs w:val="24"/>
          <w:u w:val="single"/>
        </w:rPr>
        <w:t>quinidin</w:t>
      </w:r>
      <w:proofErr w:type="spellEnd"/>
    </w:p>
    <w:p w:rsidR="00C55A79" w:rsidRPr="00C55A79" w:rsidRDefault="00C55A79" w:rsidP="00C55A79">
      <w:pPr>
        <w:ind w:left="851"/>
        <w:rPr>
          <w:sz w:val="24"/>
          <w:szCs w:val="24"/>
        </w:rPr>
      </w:pPr>
      <w:proofErr w:type="spellStart"/>
      <w:r w:rsidRPr="00C55A79">
        <w:rPr>
          <w:sz w:val="24"/>
          <w:szCs w:val="24"/>
        </w:rPr>
        <w:t>Esomeprazol</w:t>
      </w:r>
      <w:proofErr w:type="spellEnd"/>
      <w:r w:rsidRPr="00C55A79">
        <w:rPr>
          <w:sz w:val="24"/>
          <w:szCs w:val="24"/>
        </w:rPr>
        <w:t xml:space="preserve"> har vist sig ikke at have nogen klinisk relevante effekter på farmakokinetikken for </w:t>
      </w:r>
      <w:proofErr w:type="spellStart"/>
      <w:r w:rsidRPr="00C55A79">
        <w:rPr>
          <w:sz w:val="24"/>
          <w:szCs w:val="24"/>
        </w:rPr>
        <w:t>amoxicillin</w:t>
      </w:r>
      <w:proofErr w:type="spellEnd"/>
      <w:r w:rsidRPr="00C55A79">
        <w:rPr>
          <w:sz w:val="24"/>
          <w:szCs w:val="24"/>
        </w:rPr>
        <w:t xml:space="preserve"> eller </w:t>
      </w:r>
      <w:proofErr w:type="spellStart"/>
      <w:r w:rsidRPr="00C55A79">
        <w:rPr>
          <w:sz w:val="24"/>
          <w:szCs w:val="24"/>
        </w:rPr>
        <w:t>quinidin</w:t>
      </w:r>
      <w:proofErr w:type="spellEnd"/>
      <w:r w:rsidRPr="00C55A79">
        <w:rPr>
          <w:sz w:val="24"/>
          <w:szCs w:val="24"/>
        </w:rPr>
        <w:t>.</w:t>
      </w:r>
    </w:p>
    <w:p w:rsidR="00C55A79" w:rsidRPr="00C55A79" w:rsidRDefault="00C55A79" w:rsidP="00C55A79">
      <w:pPr>
        <w:ind w:left="851"/>
        <w:rPr>
          <w:sz w:val="24"/>
          <w:szCs w:val="24"/>
        </w:rPr>
      </w:pPr>
    </w:p>
    <w:p w:rsidR="00C55A79" w:rsidRPr="00C55A79" w:rsidRDefault="00C55A79" w:rsidP="00C55A79">
      <w:pPr>
        <w:widowControl w:val="0"/>
        <w:ind w:left="851"/>
        <w:rPr>
          <w:sz w:val="24"/>
          <w:szCs w:val="24"/>
          <w:u w:val="single"/>
        </w:rPr>
      </w:pPr>
      <w:proofErr w:type="spellStart"/>
      <w:r w:rsidRPr="00C55A79">
        <w:rPr>
          <w:i/>
          <w:sz w:val="24"/>
          <w:szCs w:val="24"/>
          <w:u w:val="single"/>
        </w:rPr>
        <w:t>Naproxen</w:t>
      </w:r>
      <w:proofErr w:type="spellEnd"/>
      <w:r w:rsidRPr="00C55A79">
        <w:rPr>
          <w:i/>
          <w:sz w:val="24"/>
          <w:szCs w:val="24"/>
          <w:u w:val="single"/>
        </w:rPr>
        <w:t xml:space="preserve"> eller </w:t>
      </w:r>
      <w:proofErr w:type="spellStart"/>
      <w:r w:rsidRPr="00C55A79">
        <w:rPr>
          <w:i/>
          <w:sz w:val="24"/>
          <w:szCs w:val="24"/>
          <w:u w:val="single"/>
        </w:rPr>
        <w:t>rofecoxib</w:t>
      </w:r>
      <w:proofErr w:type="spellEnd"/>
    </w:p>
    <w:p w:rsidR="00C55A79" w:rsidRPr="00C55A79" w:rsidRDefault="00C55A79" w:rsidP="00C55A79">
      <w:pPr>
        <w:ind w:left="851"/>
        <w:rPr>
          <w:sz w:val="24"/>
          <w:szCs w:val="24"/>
        </w:rPr>
      </w:pPr>
      <w:r w:rsidRPr="00C55A79">
        <w:rPr>
          <w:sz w:val="24"/>
          <w:szCs w:val="24"/>
        </w:rPr>
        <w:t xml:space="preserve">Studier, der evaluerede samtidig administration af </w:t>
      </w:r>
      <w:proofErr w:type="spellStart"/>
      <w:r w:rsidRPr="00C55A79">
        <w:rPr>
          <w:sz w:val="24"/>
          <w:szCs w:val="24"/>
        </w:rPr>
        <w:t>esomeprazol</w:t>
      </w:r>
      <w:proofErr w:type="spellEnd"/>
      <w:r w:rsidRPr="00C55A79">
        <w:rPr>
          <w:sz w:val="24"/>
          <w:szCs w:val="24"/>
        </w:rPr>
        <w:t xml:space="preserve"> og enten </w:t>
      </w:r>
      <w:proofErr w:type="spellStart"/>
      <w:r w:rsidRPr="00C55A79">
        <w:rPr>
          <w:sz w:val="24"/>
          <w:szCs w:val="24"/>
        </w:rPr>
        <w:t>naproxen</w:t>
      </w:r>
      <w:proofErr w:type="spellEnd"/>
      <w:r w:rsidRPr="00C55A79">
        <w:rPr>
          <w:sz w:val="24"/>
          <w:szCs w:val="24"/>
        </w:rPr>
        <w:t xml:space="preserve"> eller </w:t>
      </w:r>
      <w:proofErr w:type="spellStart"/>
      <w:r w:rsidRPr="00C55A79">
        <w:rPr>
          <w:sz w:val="24"/>
          <w:szCs w:val="24"/>
        </w:rPr>
        <w:t>rofecoxib</w:t>
      </w:r>
      <w:proofErr w:type="spellEnd"/>
      <w:r w:rsidRPr="00C55A79">
        <w:rPr>
          <w:sz w:val="24"/>
          <w:szCs w:val="24"/>
        </w:rPr>
        <w:t xml:space="preserve">, identificerede ingen klinisk relevante </w:t>
      </w:r>
      <w:proofErr w:type="spellStart"/>
      <w:r w:rsidRPr="00C55A79">
        <w:rPr>
          <w:sz w:val="24"/>
          <w:szCs w:val="24"/>
        </w:rPr>
        <w:t>farmakokinetiske</w:t>
      </w:r>
      <w:proofErr w:type="spellEnd"/>
      <w:r w:rsidRPr="00C55A79">
        <w:rPr>
          <w:sz w:val="24"/>
          <w:szCs w:val="24"/>
        </w:rPr>
        <w:t xml:space="preserve"> interaktioner i løbet af korttidsstudier.</w:t>
      </w:r>
    </w:p>
    <w:p w:rsidR="00C55A79" w:rsidRPr="00C55A79" w:rsidRDefault="00C55A79" w:rsidP="00C55A79">
      <w:pPr>
        <w:pStyle w:val="NormalWeb"/>
        <w:spacing w:before="0" w:beforeAutospacing="0" w:after="0" w:afterAutospacing="0"/>
        <w:ind w:left="851"/>
        <w:rPr>
          <w:b/>
          <w:bCs/>
          <w:i/>
          <w:iCs/>
          <w:lang w:val="da-DK"/>
        </w:rPr>
      </w:pPr>
    </w:p>
    <w:p w:rsidR="00C55A79" w:rsidRPr="00C55A79" w:rsidRDefault="00C55A79" w:rsidP="00C55A79">
      <w:pPr>
        <w:pStyle w:val="NormalWeb"/>
        <w:spacing w:before="0" w:beforeAutospacing="0" w:after="0" w:afterAutospacing="0"/>
        <w:ind w:left="851"/>
        <w:rPr>
          <w:u w:val="single"/>
          <w:lang w:val="da-DK"/>
        </w:rPr>
      </w:pPr>
      <w:r w:rsidRPr="00C55A79">
        <w:rPr>
          <w:u w:val="single"/>
          <w:lang w:val="da-DK"/>
        </w:rPr>
        <w:t xml:space="preserve">Effekter af andre lægemidler på farmakokinetikken for </w:t>
      </w:r>
      <w:proofErr w:type="spellStart"/>
      <w:r w:rsidRPr="00C55A79">
        <w:rPr>
          <w:u w:val="single"/>
          <w:lang w:val="da-DK"/>
        </w:rPr>
        <w:t>esomeprazol</w:t>
      </w:r>
      <w:proofErr w:type="spellEnd"/>
    </w:p>
    <w:p w:rsidR="00C55A79" w:rsidRPr="00C55A79" w:rsidRDefault="00C55A79" w:rsidP="00C55A79">
      <w:pPr>
        <w:autoSpaceDE w:val="0"/>
        <w:autoSpaceDN w:val="0"/>
        <w:adjustRightInd w:val="0"/>
        <w:ind w:left="851"/>
        <w:rPr>
          <w:sz w:val="24"/>
          <w:szCs w:val="24"/>
        </w:rPr>
      </w:pPr>
    </w:p>
    <w:p w:rsidR="00C55A79" w:rsidRPr="00C55A79" w:rsidRDefault="00C55A79" w:rsidP="00C55A79">
      <w:pPr>
        <w:widowControl w:val="0"/>
        <w:autoSpaceDE w:val="0"/>
        <w:autoSpaceDN w:val="0"/>
        <w:adjustRightInd w:val="0"/>
        <w:ind w:left="851"/>
        <w:rPr>
          <w:i/>
          <w:sz w:val="24"/>
          <w:szCs w:val="24"/>
          <w:u w:val="single"/>
        </w:rPr>
      </w:pPr>
      <w:r w:rsidRPr="00C55A79">
        <w:rPr>
          <w:i/>
          <w:sz w:val="24"/>
          <w:szCs w:val="24"/>
          <w:u w:val="single"/>
        </w:rPr>
        <w:t>Lægemidler, der hæmmer CYP2C19 og/eller CYP3A4</w:t>
      </w:r>
    </w:p>
    <w:p w:rsidR="00C55A79" w:rsidRPr="00C55A79" w:rsidRDefault="00C55A79" w:rsidP="00C55A79">
      <w:pPr>
        <w:autoSpaceDE w:val="0"/>
        <w:autoSpaceDN w:val="0"/>
        <w:adjustRightInd w:val="0"/>
        <w:ind w:left="851"/>
        <w:rPr>
          <w:sz w:val="24"/>
          <w:szCs w:val="24"/>
        </w:rPr>
      </w:pPr>
      <w:proofErr w:type="spellStart"/>
      <w:r w:rsidRPr="00C55A79">
        <w:rPr>
          <w:sz w:val="24"/>
          <w:szCs w:val="24"/>
        </w:rPr>
        <w:t>Esomeprazol</w:t>
      </w:r>
      <w:proofErr w:type="spellEnd"/>
      <w:r w:rsidRPr="00C55A79">
        <w:rPr>
          <w:sz w:val="24"/>
          <w:szCs w:val="24"/>
        </w:rPr>
        <w:t xml:space="preserve"> </w:t>
      </w:r>
      <w:proofErr w:type="spellStart"/>
      <w:r w:rsidRPr="00C55A79">
        <w:rPr>
          <w:sz w:val="24"/>
          <w:szCs w:val="24"/>
        </w:rPr>
        <w:t>metaboliseres</w:t>
      </w:r>
      <w:proofErr w:type="spellEnd"/>
      <w:r w:rsidRPr="00C55A79">
        <w:rPr>
          <w:sz w:val="24"/>
          <w:szCs w:val="24"/>
        </w:rPr>
        <w:t xml:space="preserve"> af CYP2C19 og CYP3A4. Samtidig administration af </w:t>
      </w:r>
      <w:proofErr w:type="spellStart"/>
      <w:r w:rsidRPr="00C55A79">
        <w:rPr>
          <w:sz w:val="24"/>
          <w:szCs w:val="24"/>
        </w:rPr>
        <w:t>esomeprazol</w:t>
      </w:r>
      <w:proofErr w:type="spellEnd"/>
      <w:r w:rsidRPr="00C55A79">
        <w:rPr>
          <w:sz w:val="24"/>
          <w:szCs w:val="24"/>
        </w:rPr>
        <w:t xml:space="preserve"> og en CYP3A4-inhibitor, </w:t>
      </w:r>
      <w:proofErr w:type="spellStart"/>
      <w:r w:rsidRPr="00C55A79">
        <w:rPr>
          <w:sz w:val="24"/>
          <w:szCs w:val="24"/>
        </w:rPr>
        <w:t>clarithromycin</w:t>
      </w:r>
      <w:proofErr w:type="spellEnd"/>
      <w:r w:rsidRPr="00C55A79">
        <w:rPr>
          <w:sz w:val="24"/>
          <w:szCs w:val="24"/>
        </w:rPr>
        <w:t xml:space="preserve"> (500 mg to gange daglig), resulterede i en fordobling af eksponeringen (AUC) for </w:t>
      </w:r>
      <w:proofErr w:type="spellStart"/>
      <w:r w:rsidRPr="00C55A79">
        <w:rPr>
          <w:sz w:val="24"/>
          <w:szCs w:val="24"/>
        </w:rPr>
        <w:t>esomeprazol</w:t>
      </w:r>
      <w:proofErr w:type="spellEnd"/>
      <w:r w:rsidRPr="00C55A79">
        <w:rPr>
          <w:sz w:val="24"/>
          <w:szCs w:val="24"/>
        </w:rPr>
        <w:t xml:space="preserve">. Samtidig administration af </w:t>
      </w:r>
      <w:proofErr w:type="spellStart"/>
      <w:r w:rsidRPr="00C55A79">
        <w:rPr>
          <w:sz w:val="24"/>
          <w:szCs w:val="24"/>
        </w:rPr>
        <w:t>esomeprazol</w:t>
      </w:r>
      <w:proofErr w:type="spellEnd"/>
      <w:r w:rsidRPr="00C55A79">
        <w:rPr>
          <w:sz w:val="24"/>
          <w:szCs w:val="24"/>
        </w:rPr>
        <w:t xml:space="preserve"> og en kombineret inhibitor af CYP2C19 og CYP 3A4 kan resultere i mere end en fordobling af </w:t>
      </w:r>
      <w:proofErr w:type="spellStart"/>
      <w:r w:rsidRPr="00C55A79">
        <w:rPr>
          <w:sz w:val="24"/>
          <w:szCs w:val="24"/>
        </w:rPr>
        <w:t>esomeprazol</w:t>
      </w:r>
      <w:proofErr w:type="spellEnd"/>
      <w:r w:rsidRPr="00C55A79">
        <w:rPr>
          <w:sz w:val="24"/>
          <w:szCs w:val="24"/>
        </w:rPr>
        <w:t xml:space="preserve">-eksponeringen. CYP2C19- og CYP3A4-inhibitoren </w:t>
      </w:r>
      <w:proofErr w:type="spellStart"/>
      <w:r w:rsidRPr="00C55A79">
        <w:rPr>
          <w:sz w:val="24"/>
          <w:szCs w:val="24"/>
        </w:rPr>
        <w:t>voriconazol</w:t>
      </w:r>
      <w:proofErr w:type="spellEnd"/>
      <w:r w:rsidRPr="00C55A79">
        <w:rPr>
          <w:sz w:val="24"/>
          <w:szCs w:val="24"/>
        </w:rPr>
        <w:t xml:space="preserve"> forøgede </w:t>
      </w:r>
      <w:proofErr w:type="spellStart"/>
      <w:r w:rsidRPr="00C55A79">
        <w:rPr>
          <w:sz w:val="24"/>
          <w:szCs w:val="24"/>
        </w:rPr>
        <w:t>omeprazol-AUCτ</w:t>
      </w:r>
      <w:proofErr w:type="spellEnd"/>
      <w:r w:rsidRPr="00C55A79">
        <w:rPr>
          <w:sz w:val="24"/>
          <w:szCs w:val="24"/>
          <w:vertAlign w:val="subscript"/>
        </w:rPr>
        <w:t> </w:t>
      </w:r>
      <w:r w:rsidRPr="00C55A79">
        <w:rPr>
          <w:sz w:val="24"/>
          <w:szCs w:val="24"/>
        </w:rPr>
        <w:t xml:space="preserve">med 280 %. En dosisjustering af </w:t>
      </w:r>
      <w:proofErr w:type="spellStart"/>
      <w:r w:rsidRPr="00C55A79">
        <w:rPr>
          <w:sz w:val="24"/>
          <w:szCs w:val="24"/>
        </w:rPr>
        <w:t>esomeprazol</w:t>
      </w:r>
      <w:proofErr w:type="spellEnd"/>
      <w:r w:rsidRPr="00C55A79">
        <w:rPr>
          <w:sz w:val="24"/>
          <w:szCs w:val="24"/>
        </w:rPr>
        <w:t xml:space="preserve"> er ikke generelt nødvendig i nogen af disse situationer. En dosisjustering bør dog overvejes hos patienter med svært nedsat leverfunktion, og hvis langtidsbehandling er indiceret.</w:t>
      </w:r>
    </w:p>
    <w:p w:rsidR="00C55A79" w:rsidRPr="00C55A79" w:rsidRDefault="00C55A79" w:rsidP="00C55A79">
      <w:pPr>
        <w:autoSpaceDE w:val="0"/>
        <w:autoSpaceDN w:val="0"/>
        <w:adjustRightInd w:val="0"/>
        <w:ind w:left="851"/>
        <w:rPr>
          <w:sz w:val="24"/>
          <w:szCs w:val="24"/>
        </w:rPr>
      </w:pPr>
    </w:p>
    <w:p w:rsidR="00C55A79" w:rsidRPr="00C55A79" w:rsidRDefault="00C55A79" w:rsidP="00C55A79">
      <w:pPr>
        <w:widowControl w:val="0"/>
        <w:autoSpaceDE w:val="0"/>
        <w:autoSpaceDN w:val="0"/>
        <w:adjustRightInd w:val="0"/>
        <w:ind w:left="851"/>
        <w:rPr>
          <w:sz w:val="24"/>
          <w:szCs w:val="24"/>
          <w:u w:val="single"/>
        </w:rPr>
      </w:pPr>
      <w:r w:rsidRPr="00C55A79">
        <w:rPr>
          <w:i/>
          <w:sz w:val="24"/>
          <w:szCs w:val="24"/>
          <w:u w:val="single"/>
        </w:rPr>
        <w:t>Lægemidler, der inducerer CYP2C19 og/eller CYP3A4</w:t>
      </w:r>
    </w:p>
    <w:p w:rsidR="00C55A79" w:rsidRPr="00C55A79" w:rsidRDefault="00C55A79" w:rsidP="00C55A79">
      <w:pPr>
        <w:autoSpaceDE w:val="0"/>
        <w:autoSpaceDN w:val="0"/>
        <w:adjustRightInd w:val="0"/>
        <w:ind w:left="851"/>
        <w:rPr>
          <w:sz w:val="24"/>
          <w:szCs w:val="24"/>
        </w:rPr>
      </w:pPr>
      <w:r w:rsidRPr="00C55A79">
        <w:rPr>
          <w:sz w:val="24"/>
          <w:szCs w:val="24"/>
        </w:rPr>
        <w:t xml:space="preserve">Lægemidler, som, man ved, inducerer CYP2C19 eller CYP3A4 eller begge (såsom </w:t>
      </w:r>
      <w:proofErr w:type="spellStart"/>
      <w:r w:rsidRPr="00C55A79">
        <w:rPr>
          <w:sz w:val="24"/>
          <w:szCs w:val="24"/>
        </w:rPr>
        <w:t>rifampicin</w:t>
      </w:r>
      <w:proofErr w:type="spellEnd"/>
      <w:r w:rsidRPr="00C55A79">
        <w:rPr>
          <w:sz w:val="24"/>
          <w:szCs w:val="24"/>
        </w:rPr>
        <w:t xml:space="preserve"> og prikbladet perikum), kan føre til reducerede serumniveauer af </w:t>
      </w:r>
      <w:proofErr w:type="spellStart"/>
      <w:r w:rsidRPr="00C55A79">
        <w:rPr>
          <w:sz w:val="24"/>
          <w:szCs w:val="24"/>
        </w:rPr>
        <w:t>esomeprazol</w:t>
      </w:r>
      <w:proofErr w:type="spellEnd"/>
      <w:r w:rsidRPr="00C55A79">
        <w:rPr>
          <w:sz w:val="24"/>
          <w:szCs w:val="24"/>
        </w:rPr>
        <w:t xml:space="preserve"> ved en forøgelse af </w:t>
      </w:r>
      <w:proofErr w:type="spellStart"/>
      <w:r w:rsidRPr="00C55A79">
        <w:rPr>
          <w:sz w:val="24"/>
          <w:szCs w:val="24"/>
        </w:rPr>
        <w:t>esomeprazol</w:t>
      </w:r>
      <w:proofErr w:type="spellEnd"/>
      <w:r w:rsidRPr="00C55A79">
        <w:rPr>
          <w:sz w:val="24"/>
          <w:szCs w:val="24"/>
        </w:rPr>
        <w:t>-metabolismen.</w:t>
      </w:r>
    </w:p>
    <w:p w:rsidR="00C55A79" w:rsidRPr="00C55A79" w:rsidRDefault="00C55A79" w:rsidP="00C55A79">
      <w:pPr>
        <w:autoSpaceDE w:val="0"/>
        <w:autoSpaceDN w:val="0"/>
        <w:adjustRightInd w:val="0"/>
        <w:ind w:left="851"/>
        <w:rPr>
          <w:sz w:val="24"/>
          <w:szCs w:val="24"/>
        </w:rPr>
      </w:pPr>
    </w:p>
    <w:p w:rsidR="00C55A79" w:rsidRPr="00A619D7" w:rsidRDefault="00C55A79" w:rsidP="00C55A79">
      <w:pPr>
        <w:widowControl w:val="0"/>
        <w:ind w:left="851"/>
        <w:rPr>
          <w:i/>
          <w:sz w:val="24"/>
          <w:szCs w:val="24"/>
          <w:u w:val="single"/>
        </w:rPr>
      </w:pPr>
      <w:r w:rsidRPr="00C55A79">
        <w:rPr>
          <w:i/>
          <w:sz w:val="24"/>
          <w:szCs w:val="24"/>
          <w:u w:val="single"/>
        </w:rPr>
        <w:lastRenderedPageBreak/>
        <w:t>Pædiatrisk population</w:t>
      </w:r>
    </w:p>
    <w:p w:rsidR="00C55A79" w:rsidRPr="00A619D7" w:rsidRDefault="00C55A79" w:rsidP="00C55A79">
      <w:pPr>
        <w:widowControl w:val="0"/>
        <w:ind w:left="851"/>
        <w:rPr>
          <w:sz w:val="24"/>
          <w:szCs w:val="24"/>
        </w:rPr>
      </w:pPr>
      <w:r w:rsidRPr="00A619D7">
        <w:rPr>
          <w:sz w:val="24"/>
          <w:szCs w:val="24"/>
        </w:rPr>
        <w:t>Interaktionsstudier er kun udført hos voksne.</w:t>
      </w:r>
    </w:p>
    <w:p w:rsidR="001F29F9" w:rsidRPr="006510F2" w:rsidRDefault="001F29F9" w:rsidP="001F29F9">
      <w:pPr>
        <w:autoSpaceDE w:val="0"/>
        <w:autoSpaceDN w:val="0"/>
        <w:adjustRightInd w:val="0"/>
        <w:ind w:left="851"/>
        <w:rPr>
          <w:sz w:val="24"/>
          <w:szCs w:val="24"/>
        </w:rPr>
      </w:pPr>
    </w:p>
    <w:p w:rsidR="001F29F9" w:rsidRPr="006510F2" w:rsidRDefault="001F29F9" w:rsidP="001F29F9">
      <w:pPr>
        <w:autoSpaceDE w:val="0"/>
        <w:autoSpaceDN w:val="0"/>
        <w:adjustRightInd w:val="0"/>
        <w:ind w:left="851" w:hanging="851"/>
        <w:rPr>
          <w:b/>
          <w:bCs/>
          <w:sz w:val="24"/>
          <w:szCs w:val="24"/>
        </w:rPr>
      </w:pPr>
      <w:r w:rsidRPr="006510F2">
        <w:rPr>
          <w:b/>
          <w:bCs/>
          <w:sz w:val="24"/>
          <w:szCs w:val="24"/>
        </w:rPr>
        <w:t>4.6</w:t>
      </w:r>
      <w:r w:rsidRPr="006510F2">
        <w:rPr>
          <w:b/>
          <w:bCs/>
          <w:sz w:val="24"/>
          <w:szCs w:val="24"/>
        </w:rPr>
        <w:tab/>
      </w:r>
      <w:r w:rsidR="00C55A79">
        <w:rPr>
          <w:b/>
          <w:bCs/>
          <w:sz w:val="24"/>
          <w:szCs w:val="24"/>
        </w:rPr>
        <w:t>Fertilitet, g</w:t>
      </w:r>
      <w:r w:rsidRPr="006510F2">
        <w:rPr>
          <w:b/>
          <w:bCs/>
          <w:sz w:val="24"/>
          <w:szCs w:val="24"/>
        </w:rPr>
        <w:t>raviditet og amning</w:t>
      </w:r>
    </w:p>
    <w:p w:rsidR="00C55A79" w:rsidRPr="00C55A79" w:rsidRDefault="00C55A79" w:rsidP="00C55A79">
      <w:pPr>
        <w:widowControl w:val="0"/>
        <w:autoSpaceDE w:val="0"/>
        <w:autoSpaceDN w:val="0"/>
        <w:adjustRightInd w:val="0"/>
        <w:ind w:left="851"/>
        <w:rPr>
          <w:sz w:val="24"/>
          <w:szCs w:val="24"/>
          <w:u w:val="single"/>
        </w:rPr>
      </w:pPr>
      <w:r w:rsidRPr="00C55A79">
        <w:rPr>
          <w:sz w:val="24"/>
          <w:szCs w:val="24"/>
          <w:u w:val="single"/>
        </w:rPr>
        <w:t>Graviditet</w:t>
      </w:r>
    </w:p>
    <w:p w:rsidR="00C55A79" w:rsidRPr="00C55A79" w:rsidRDefault="00C55A79" w:rsidP="00C55A79">
      <w:pPr>
        <w:ind w:left="851"/>
        <w:rPr>
          <w:sz w:val="24"/>
          <w:szCs w:val="24"/>
        </w:rPr>
      </w:pPr>
      <w:r w:rsidRPr="00C55A79">
        <w:rPr>
          <w:sz w:val="24"/>
          <w:szCs w:val="24"/>
        </w:rPr>
        <w:t xml:space="preserve">Der er for </w:t>
      </w:r>
      <w:proofErr w:type="spellStart"/>
      <w:r w:rsidRPr="00C55A79">
        <w:rPr>
          <w:sz w:val="24"/>
          <w:szCs w:val="24"/>
        </w:rPr>
        <w:t>esomeprazol</w:t>
      </w:r>
      <w:proofErr w:type="spellEnd"/>
      <w:r w:rsidRPr="00C55A79">
        <w:rPr>
          <w:sz w:val="24"/>
          <w:szCs w:val="24"/>
        </w:rPr>
        <w:t xml:space="preserve"> utilstrækkelige, kliniske data om eksponerede graviditeter. </w:t>
      </w:r>
      <w:proofErr w:type="spellStart"/>
      <w:r w:rsidRPr="00C55A79">
        <w:rPr>
          <w:sz w:val="24"/>
          <w:szCs w:val="24"/>
        </w:rPr>
        <w:t>Omeprazoldata</w:t>
      </w:r>
      <w:proofErr w:type="spellEnd"/>
      <w:r w:rsidRPr="00C55A79">
        <w:rPr>
          <w:sz w:val="24"/>
          <w:szCs w:val="24"/>
        </w:rPr>
        <w:t xml:space="preserve"> fra et stort antal eksponerede graviditeter fra epidemiologiske studier viser ingen tegn på en misdannende eller </w:t>
      </w:r>
      <w:proofErr w:type="spellStart"/>
      <w:r w:rsidRPr="00C55A79">
        <w:rPr>
          <w:sz w:val="24"/>
          <w:szCs w:val="24"/>
        </w:rPr>
        <w:t>føtotoksisk</w:t>
      </w:r>
      <w:proofErr w:type="spellEnd"/>
      <w:r w:rsidRPr="00C55A79">
        <w:rPr>
          <w:sz w:val="24"/>
          <w:szCs w:val="24"/>
        </w:rPr>
        <w:t xml:space="preserve"> effekt med den </w:t>
      </w:r>
      <w:proofErr w:type="spellStart"/>
      <w:r w:rsidRPr="00C55A79">
        <w:rPr>
          <w:sz w:val="24"/>
          <w:szCs w:val="24"/>
        </w:rPr>
        <w:t>racemiske</w:t>
      </w:r>
      <w:proofErr w:type="spellEnd"/>
      <w:r w:rsidRPr="00C55A79">
        <w:rPr>
          <w:sz w:val="24"/>
          <w:szCs w:val="24"/>
        </w:rPr>
        <w:t xml:space="preserve"> blanding. Dyrestudier med </w:t>
      </w:r>
      <w:proofErr w:type="spellStart"/>
      <w:r w:rsidRPr="00C55A79">
        <w:rPr>
          <w:sz w:val="24"/>
          <w:szCs w:val="24"/>
        </w:rPr>
        <w:t>esomeprazol</w:t>
      </w:r>
      <w:proofErr w:type="spellEnd"/>
      <w:r w:rsidRPr="00C55A79">
        <w:rPr>
          <w:sz w:val="24"/>
          <w:szCs w:val="24"/>
        </w:rPr>
        <w:t xml:space="preserve"> indikerer hverken direkte eller indirekte skadelige virkninger hvad angår embryo/fosterudvikling. Dyrestudier med den </w:t>
      </w:r>
      <w:proofErr w:type="spellStart"/>
      <w:r w:rsidRPr="00C55A79">
        <w:rPr>
          <w:sz w:val="24"/>
          <w:szCs w:val="24"/>
        </w:rPr>
        <w:t>racemiske</w:t>
      </w:r>
      <w:proofErr w:type="spellEnd"/>
      <w:r w:rsidRPr="00C55A79">
        <w:rPr>
          <w:sz w:val="24"/>
          <w:szCs w:val="24"/>
        </w:rPr>
        <w:t xml:space="preserve"> blanding indikerer hverken direkte eller indirekte skadelige virkninger hvad angår graviditet, fødsel eller </w:t>
      </w:r>
      <w:proofErr w:type="spellStart"/>
      <w:r w:rsidRPr="00C55A79">
        <w:rPr>
          <w:sz w:val="24"/>
          <w:szCs w:val="24"/>
        </w:rPr>
        <w:t>postnatal</w:t>
      </w:r>
      <w:proofErr w:type="spellEnd"/>
      <w:r w:rsidRPr="00C55A79">
        <w:rPr>
          <w:sz w:val="24"/>
          <w:szCs w:val="24"/>
        </w:rPr>
        <w:t xml:space="preserve"> udvikling. Der bør udvises forsigtighed ved ordinering til gravide kvinder.</w:t>
      </w:r>
    </w:p>
    <w:p w:rsidR="00C55A79" w:rsidRPr="00C55A79" w:rsidRDefault="00C55A79" w:rsidP="00C55A79">
      <w:pPr>
        <w:widowControl w:val="0"/>
        <w:autoSpaceDE w:val="0"/>
        <w:autoSpaceDN w:val="0"/>
        <w:adjustRightInd w:val="0"/>
        <w:ind w:left="851"/>
        <w:rPr>
          <w:sz w:val="24"/>
          <w:szCs w:val="24"/>
        </w:rPr>
      </w:pPr>
    </w:p>
    <w:p w:rsidR="00C55A79" w:rsidRPr="00C55A79" w:rsidRDefault="00C55A79" w:rsidP="00C55A79">
      <w:pPr>
        <w:widowControl w:val="0"/>
        <w:autoSpaceDE w:val="0"/>
        <w:autoSpaceDN w:val="0"/>
        <w:adjustRightInd w:val="0"/>
        <w:ind w:left="851"/>
        <w:rPr>
          <w:sz w:val="24"/>
          <w:szCs w:val="24"/>
        </w:rPr>
      </w:pPr>
      <w:r w:rsidRPr="00C55A79">
        <w:rPr>
          <w:sz w:val="24"/>
          <w:szCs w:val="24"/>
        </w:rPr>
        <w:t xml:space="preserve">Data fra anvendelse af </w:t>
      </w:r>
      <w:proofErr w:type="spellStart"/>
      <w:r w:rsidRPr="00C55A79">
        <w:rPr>
          <w:sz w:val="24"/>
          <w:szCs w:val="24"/>
        </w:rPr>
        <w:t>esomeprazol</w:t>
      </w:r>
      <w:proofErr w:type="spellEnd"/>
      <w:r w:rsidRPr="00C55A79">
        <w:rPr>
          <w:sz w:val="24"/>
          <w:szCs w:val="24"/>
        </w:rPr>
        <w:t xml:space="preserve"> hos et begrænset antal gravide kvinder (mellem 300 og 1000) indikerer ingen misdannelser eller </w:t>
      </w:r>
      <w:proofErr w:type="spellStart"/>
      <w:r w:rsidRPr="00C55A79">
        <w:rPr>
          <w:sz w:val="24"/>
          <w:szCs w:val="24"/>
        </w:rPr>
        <w:t>føtal</w:t>
      </w:r>
      <w:proofErr w:type="spellEnd"/>
      <w:r w:rsidRPr="00C55A79">
        <w:rPr>
          <w:sz w:val="24"/>
          <w:szCs w:val="24"/>
        </w:rPr>
        <w:t xml:space="preserve">/neonatal toksicitet af </w:t>
      </w:r>
      <w:proofErr w:type="spellStart"/>
      <w:r w:rsidRPr="00C55A79">
        <w:rPr>
          <w:sz w:val="24"/>
          <w:szCs w:val="24"/>
        </w:rPr>
        <w:t>esomeprazol</w:t>
      </w:r>
      <w:proofErr w:type="spellEnd"/>
      <w:r w:rsidRPr="00C55A79">
        <w:rPr>
          <w:sz w:val="24"/>
          <w:szCs w:val="24"/>
        </w:rPr>
        <w:t>.</w:t>
      </w:r>
    </w:p>
    <w:p w:rsidR="00C55A79" w:rsidRPr="00C55A79" w:rsidRDefault="00C55A79" w:rsidP="00C55A79">
      <w:pPr>
        <w:widowControl w:val="0"/>
        <w:autoSpaceDE w:val="0"/>
        <w:autoSpaceDN w:val="0"/>
        <w:adjustRightInd w:val="0"/>
        <w:ind w:left="851"/>
        <w:rPr>
          <w:sz w:val="24"/>
          <w:szCs w:val="24"/>
        </w:rPr>
      </w:pPr>
      <w:r w:rsidRPr="00C55A79">
        <w:rPr>
          <w:sz w:val="24"/>
          <w:szCs w:val="24"/>
        </w:rPr>
        <w:t>Dyrestudier indikerer hverken direkte eller indirekte skadelige virkninger, hvad angår reproduktionstoksicitet (se pkt. 5.3).</w:t>
      </w:r>
    </w:p>
    <w:p w:rsidR="00C55A79" w:rsidRPr="00C55A79" w:rsidRDefault="00C55A79" w:rsidP="00C55A79">
      <w:pPr>
        <w:widowControl w:val="0"/>
        <w:autoSpaceDE w:val="0"/>
        <w:autoSpaceDN w:val="0"/>
        <w:adjustRightInd w:val="0"/>
        <w:ind w:left="851"/>
        <w:rPr>
          <w:sz w:val="24"/>
          <w:szCs w:val="24"/>
        </w:rPr>
      </w:pPr>
    </w:p>
    <w:p w:rsidR="00C55A79" w:rsidRPr="00C55A79" w:rsidRDefault="00C55A79" w:rsidP="00C55A79">
      <w:pPr>
        <w:widowControl w:val="0"/>
        <w:autoSpaceDE w:val="0"/>
        <w:autoSpaceDN w:val="0"/>
        <w:adjustRightInd w:val="0"/>
        <w:ind w:left="851"/>
        <w:rPr>
          <w:sz w:val="24"/>
          <w:szCs w:val="24"/>
        </w:rPr>
      </w:pPr>
      <w:r w:rsidRPr="00C55A79">
        <w:rPr>
          <w:sz w:val="24"/>
          <w:szCs w:val="24"/>
          <w:u w:val="single"/>
        </w:rPr>
        <w:t>Amning</w:t>
      </w:r>
    </w:p>
    <w:p w:rsidR="00C55A79" w:rsidRPr="00C55A79" w:rsidRDefault="00C55A79" w:rsidP="00C55A79">
      <w:pPr>
        <w:autoSpaceDE w:val="0"/>
        <w:autoSpaceDN w:val="0"/>
        <w:adjustRightInd w:val="0"/>
        <w:ind w:left="851"/>
        <w:rPr>
          <w:sz w:val="24"/>
          <w:szCs w:val="24"/>
        </w:rPr>
      </w:pPr>
      <w:r w:rsidRPr="00C55A79">
        <w:rPr>
          <w:sz w:val="24"/>
          <w:szCs w:val="24"/>
        </w:rPr>
        <w:t xml:space="preserve">Det er uvist, om </w:t>
      </w:r>
      <w:proofErr w:type="spellStart"/>
      <w:r w:rsidRPr="00C55A79">
        <w:rPr>
          <w:sz w:val="24"/>
          <w:szCs w:val="24"/>
        </w:rPr>
        <w:t>esomeprazol</w:t>
      </w:r>
      <w:proofErr w:type="spellEnd"/>
      <w:r w:rsidRPr="00C55A79">
        <w:rPr>
          <w:sz w:val="24"/>
          <w:szCs w:val="24"/>
        </w:rPr>
        <w:t xml:space="preserve"> udskilles i human mælk. Data for virkningen af </w:t>
      </w:r>
      <w:proofErr w:type="spellStart"/>
      <w:r w:rsidRPr="00C55A79">
        <w:rPr>
          <w:sz w:val="24"/>
          <w:szCs w:val="24"/>
        </w:rPr>
        <w:t>esomeprazol</w:t>
      </w:r>
      <w:proofErr w:type="spellEnd"/>
      <w:r w:rsidRPr="00C55A79">
        <w:rPr>
          <w:sz w:val="24"/>
          <w:szCs w:val="24"/>
        </w:rPr>
        <w:t xml:space="preserve"> hos nyfødte/spædbørn er utilstrækkelige. </w:t>
      </w:r>
      <w:proofErr w:type="spellStart"/>
      <w:r w:rsidRPr="00C55A79">
        <w:rPr>
          <w:sz w:val="24"/>
          <w:szCs w:val="24"/>
        </w:rPr>
        <w:t>Esomeprazol</w:t>
      </w:r>
      <w:proofErr w:type="spellEnd"/>
      <w:r w:rsidRPr="00C55A79">
        <w:rPr>
          <w:sz w:val="24"/>
          <w:szCs w:val="24"/>
        </w:rPr>
        <w:t xml:space="preserve"> må ikke anvendes under amning.</w:t>
      </w:r>
    </w:p>
    <w:p w:rsidR="00C55A79" w:rsidRPr="00C55A79" w:rsidRDefault="00C55A79" w:rsidP="00C55A79">
      <w:pPr>
        <w:widowControl w:val="0"/>
        <w:autoSpaceDE w:val="0"/>
        <w:autoSpaceDN w:val="0"/>
        <w:adjustRightInd w:val="0"/>
        <w:ind w:left="851"/>
        <w:rPr>
          <w:bCs/>
          <w:sz w:val="24"/>
          <w:szCs w:val="24"/>
        </w:rPr>
      </w:pPr>
    </w:p>
    <w:p w:rsidR="00C55A79" w:rsidRPr="00C55A79" w:rsidRDefault="00C55A79" w:rsidP="00C55A79">
      <w:pPr>
        <w:widowControl w:val="0"/>
        <w:autoSpaceDE w:val="0"/>
        <w:autoSpaceDN w:val="0"/>
        <w:adjustRightInd w:val="0"/>
        <w:ind w:left="851"/>
        <w:rPr>
          <w:bCs/>
          <w:sz w:val="24"/>
          <w:szCs w:val="24"/>
          <w:u w:val="single"/>
        </w:rPr>
      </w:pPr>
      <w:r w:rsidRPr="00C55A79">
        <w:rPr>
          <w:bCs/>
          <w:sz w:val="24"/>
          <w:szCs w:val="24"/>
          <w:u w:val="single"/>
        </w:rPr>
        <w:t>Fertilitet</w:t>
      </w:r>
    </w:p>
    <w:p w:rsidR="00C55A79" w:rsidRPr="00A619D7" w:rsidRDefault="00C55A79" w:rsidP="00C55A79">
      <w:pPr>
        <w:widowControl w:val="0"/>
        <w:autoSpaceDE w:val="0"/>
        <w:autoSpaceDN w:val="0"/>
        <w:adjustRightInd w:val="0"/>
        <w:ind w:left="851"/>
        <w:rPr>
          <w:bCs/>
          <w:sz w:val="24"/>
          <w:szCs w:val="24"/>
        </w:rPr>
      </w:pPr>
      <w:r w:rsidRPr="00C55A79">
        <w:rPr>
          <w:bCs/>
          <w:sz w:val="24"/>
          <w:szCs w:val="24"/>
        </w:rPr>
        <w:t xml:space="preserve">Dyrestudier med den </w:t>
      </w:r>
      <w:proofErr w:type="spellStart"/>
      <w:r w:rsidRPr="00C55A79">
        <w:rPr>
          <w:bCs/>
          <w:sz w:val="24"/>
          <w:szCs w:val="24"/>
        </w:rPr>
        <w:t>racemiske</w:t>
      </w:r>
      <w:proofErr w:type="spellEnd"/>
      <w:r w:rsidRPr="00C55A79">
        <w:rPr>
          <w:bCs/>
          <w:sz w:val="24"/>
          <w:szCs w:val="24"/>
        </w:rPr>
        <w:t xml:space="preserve"> blanding af </w:t>
      </w:r>
      <w:proofErr w:type="spellStart"/>
      <w:r w:rsidRPr="00C55A79">
        <w:rPr>
          <w:bCs/>
          <w:sz w:val="24"/>
          <w:szCs w:val="24"/>
        </w:rPr>
        <w:t>omeprazol</w:t>
      </w:r>
      <w:proofErr w:type="spellEnd"/>
      <w:r w:rsidRPr="00C55A79">
        <w:rPr>
          <w:bCs/>
          <w:sz w:val="24"/>
          <w:szCs w:val="24"/>
        </w:rPr>
        <w:t>, givet ved oral administration, indikerer ingen virkninger med hensyn til fertilitet.</w:t>
      </w:r>
    </w:p>
    <w:p w:rsidR="001F29F9" w:rsidRPr="006510F2" w:rsidRDefault="001F29F9" w:rsidP="00C55A79">
      <w:pPr>
        <w:autoSpaceDE w:val="0"/>
        <w:autoSpaceDN w:val="0"/>
        <w:adjustRightInd w:val="0"/>
        <w:rPr>
          <w:b/>
          <w:bCs/>
          <w:sz w:val="24"/>
          <w:szCs w:val="24"/>
        </w:rPr>
      </w:pPr>
    </w:p>
    <w:p w:rsidR="001F29F9" w:rsidRPr="006510F2" w:rsidRDefault="001F29F9" w:rsidP="001F29F9">
      <w:pPr>
        <w:autoSpaceDE w:val="0"/>
        <w:autoSpaceDN w:val="0"/>
        <w:adjustRightInd w:val="0"/>
        <w:ind w:left="851" w:hanging="851"/>
        <w:rPr>
          <w:b/>
          <w:bCs/>
          <w:sz w:val="24"/>
          <w:szCs w:val="24"/>
        </w:rPr>
      </w:pPr>
      <w:r w:rsidRPr="006510F2">
        <w:rPr>
          <w:b/>
          <w:bCs/>
          <w:sz w:val="24"/>
          <w:szCs w:val="24"/>
        </w:rPr>
        <w:t>4.7</w:t>
      </w:r>
      <w:r w:rsidRPr="006510F2">
        <w:rPr>
          <w:b/>
          <w:bCs/>
          <w:sz w:val="24"/>
          <w:szCs w:val="24"/>
        </w:rPr>
        <w:tab/>
        <w:t xml:space="preserve">Virkning på evnen til at føre motorkøretøj </w:t>
      </w:r>
      <w:r w:rsidR="00C55A79">
        <w:rPr>
          <w:b/>
          <w:bCs/>
          <w:sz w:val="24"/>
          <w:szCs w:val="24"/>
        </w:rPr>
        <w:t>og</w:t>
      </w:r>
      <w:r w:rsidRPr="006510F2">
        <w:rPr>
          <w:b/>
          <w:bCs/>
          <w:sz w:val="24"/>
          <w:szCs w:val="24"/>
        </w:rPr>
        <w:t xml:space="preserve"> betjene maskiner</w:t>
      </w:r>
    </w:p>
    <w:p w:rsidR="001F29F9" w:rsidRDefault="00C55A79" w:rsidP="001F29F9">
      <w:pPr>
        <w:autoSpaceDE w:val="0"/>
        <w:autoSpaceDN w:val="0"/>
        <w:adjustRightInd w:val="0"/>
        <w:ind w:left="851"/>
        <w:rPr>
          <w:sz w:val="24"/>
          <w:szCs w:val="24"/>
        </w:rPr>
      </w:pPr>
      <w:proofErr w:type="spellStart"/>
      <w:r w:rsidRPr="00C55A79">
        <w:rPr>
          <w:sz w:val="24"/>
          <w:szCs w:val="24"/>
        </w:rPr>
        <w:t>Esomeprazol</w:t>
      </w:r>
      <w:proofErr w:type="spellEnd"/>
      <w:r w:rsidRPr="00C55A79">
        <w:rPr>
          <w:sz w:val="24"/>
          <w:szCs w:val="24"/>
        </w:rPr>
        <w:t xml:space="preserve"> påvirker i mindre grad evnen til at føre motorkøretøj og betjene maskiner. Bivirkninger såsom svimmelhed (ikke almindelig) og synsforstyrrelser (sjælden) er ikke almindelige (se pkt. 4.8). Hvis de forekommer, må patienterne ikke føre motorkøretøj eller betjene maskiner.</w:t>
      </w:r>
    </w:p>
    <w:p w:rsidR="00C55A79" w:rsidRPr="006510F2" w:rsidRDefault="00C55A79" w:rsidP="001F29F9">
      <w:pPr>
        <w:autoSpaceDE w:val="0"/>
        <w:autoSpaceDN w:val="0"/>
        <w:adjustRightInd w:val="0"/>
        <w:ind w:left="851"/>
        <w:rPr>
          <w:b/>
          <w:bCs/>
          <w:sz w:val="24"/>
          <w:szCs w:val="24"/>
        </w:rPr>
      </w:pPr>
    </w:p>
    <w:p w:rsidR="001F29F9" w:rsidRPr="006510F2" w:rsidRDefault="001F29F9" w:rsidP="001F29F9">
      <w:pPr>
        <w:autoSpaceDE w:val="0"/>
        <w:autoSpaceDN w:val="0"/>
        <w:adjustRightInd w:val="0"/>
        <w:ind w:left="851" w:hanging="851"/>
        <w:rPr>
          <w:b/>
          <w:bCs/>
          <w:sz w:val="24"/>
          <w:szCs w:val="24"/>
        </w:rPr>
      </w:pPr>
      <w:r w:rsidRPr="006510F2">
        <w:rPr>
          <w:b/>
          <w:bCs/>
          <w:sz w:val="24"/>
          <w:szCs w:val="24"/>
        </w:rPr>
        <w:t>4.8</w:t>
      </w:r>
      <w:r w:rsidRPr="006510F2">
        <w:rPr>
          <w:b/>
          <w:bCs/>
          <w:sz w:val="24"/>
          <w:szCs w:val="24"/>
        </w:rPr>
        <w:tab/>
        <w:t xml:space="preserve">Bivirkninger </w:t>
      </w:r>
    </w:p>
    <w:p w:rsidR="00C55A79" w:rsidRPr="00EA7094" w:rsidRDefault="00C55A79" w:rsidP="00C55A79">
      <w:pPr>
        <w:widowControl w:val="0"/>
        <w:ind w:left="851"/>
        <w:rPr>
          <w:sz w:val="24"/>
          <w:szCs w:val="24"/>
          <w:u w:val="single"/>
        </w:rPr>
      </w:pPr>
      <w:r w:rsidRPr="00A619D7">
        <w:rPr>
          <w:sz w:val="24"/>
          <w:szCs w:val="24"/>
          <w:u w:val="single"/>
        </w:rPr>
        <w:t>Resumé af sikkerhedsprofilen</w:t>
      </w:r>
    </w:p>
    <w:p w:rsidR="00C55A79" w:rsidRPr="00C55A79" w:rsidRDefault="00C55A79" w:rsidP="00C55A79">
      <w:pPr>
        <w:widowControl w:val="0"/>
        <w:tabs>
          <w:tab w:val="left" w:pos="851"/>
        </w:tabs>
        <w:ind w:left="851"/>
        <w:rPr>
          <w:sz w:val="24"/>
          <w:szCs w:val="24"/>
        </w:rPr>
      </w:pPr>
      <w:r w:rsidRPr="00EA7094">
        <w:rPr>
          <w:sz w:val="24"/>
          <w:szCs w:val="24"/>
        </w:rPr>
        <w:t xml:space="preserve">Hovedpine, mavesmerter, diarré og kvalme er blandt de mest almindeligt indberettede </w:t>
      </w:r>
      <w:r w:rsidRPr="00C55A79">
        <w:rPr>
          <w:sz w:val="24"/>
          <w:szCs w:val="24"/>
        </w:rPr>
        <w:t>bivirkninger i kliniske forsøg (og også ved brug efter markedsføring). Derudover er sikkerhedsprofilen ens for forskellige formuleringer, behandlingsindikationer, aldersgrupper og patientgrupper. Der er ikke identificeret nogen dosisrelaterede bivirkninger.</w:t>
      </w:r>
    </w:p>
    <w:p w:rsidR="00C55A79" w:rsidRPr="00C55A79" w:rsidRDefault="00C55A79" w:rsidP="00C55A79">
      <w:pPr>
        <w:widowControl w:val="0"/>
        <w:ind w:left="851"/>
        <w:rPr>
          <w:sz w:val="24"/>
          <w:szCs w:val="24"/>
        </w:rPr>
      </w:pPr>
    </w:p>
    <w:p w:rsidR="00C55A79" w:rsidRPr="00C55A79" w:rsidRDefault="00C55A79" w:rsidP="00C55A79">
      <w:pPr>
        <w:ind w:left="851"/>
        <w:rPr>
          <w:sz w:val="24"/>
          <w:szCs w:val="24"/>
        </w:rPr>
      </w:pPr>
      <w:r w:rsidRPr="00C55A79">
        <w:rPr>
          <w:sz w:val="24"/>
          <w:szCs w:val="24"/>
          <w:u w:val="single"/>
        </w:rPr>
        <w:t>Bivirkningstabel</w:t>
      </w:r>
      <w:r w:rsidRPr="00C55A79">
        <w:rPr>
          <w:sz w:val="24"/>
          <w:szCs w:val="24"/>
        </w:rPr>
        <w:t xml:space="preserve"> </w:t>
      </w:r>
    </w:p>
    <w:p w:rsidR="00C55A79" w:rsidRPr="00C55A79" w:rsidRDefault="00C55A79" w:rsidP="00C55A79">
      <w:pPr>
        <w:ind w:left="851"/>
        <w:rPr>
          <w:sz w:val="24"/>
          <w:szCs w:val="24"/>
        </w:rPr>
      </w:pPr>
      <w:r w:rsidRPr="00C55A79">
        <w:rPr>
          <w:sz w:val="24"/>
          <w:szCs w:val="24"/>
        </w:rPr>
        <w:t xml:space="preserve">Følgende bivirkninger er blevet identificeret eller er der mistanke om i det kliniske forsøgsprogram for </w:t>
      </w:r>
      <w:proofErr w:type="spellStart"/>
      <w:r w:rsidRPr="00C55A79">
        <w:rPr>
          <w:sz w:val="24"/>
          <w:szCs w:val="24"/>
        </w:rPr>
        <w:t>esomeprazol</w:t>
      </w:r>
      <w:proofErr w:type="spellEnd"/>
      <w:r w:rsidRPr="00C55A79">
        <w:rPr>
          <w:sz w:val="24"/>
          <w:szCs w:val="24"/>
        </w:rPr>
        <w:t xml:space="preserve"> og efter markedsføring. Ingen viste sig dosisrelaterede. </w:t>
      </w:r>
    </w:p>
    <w:p w:rsidR="00C55A79" w:rsidRPr="00C55A79" w:rsidRDefault="00C55A79" w:rsidP="00C55A79">
      <w:pPr>
        <w:ind w:left="851"/>
        <w:rPr>
          <w:sz w:val="24"/>
          <w:szCs w:val="24"/>
        </w:rPr>
      </w:pPr>
      <w:r w:rsidRPr="00C55A79">
        <w:rPr>
          <w:sz w:val="24"/>
          <w:szCs w:val="24"/>
        </w:rPr>
        <w:t xml:space="preserve">Bivirkningerne klassificeres efter frekvenserne: Meget almindelige (≥1/10), almindelige (≥1/100 til &lt;1/10), ikke almindelige (≥1/1 000 til &lt;1/100), </w:t>
      </w:r>
    </w:p>
    <w:p w:rsidR="00C55A79" w:rsidRDefault="00C55A79" w:rsidP="00C55A79">
      <w:pPr>
        <w:ind w:left="851"/>
        <w:rPr>
          <w:sz w:val="24"/>
          <w:szCs w:val="24"/>
        </w:rPr>
      </w:pPr>
      <w:r w:rsidRPr="00C55A79">
        <w:rPr>
          <w:sz w:val="24"/>
          <w:szCs w:val="24"/>
        </w:rPr>
        <w:t xml:space="preserve">sjældne (≥1/10 000 til &lt;1/1 000), meget sjældne (&lt;1/10 000), ikke kendt (kan ikke estimeres ud fra forhåndenværende data). </w:t>
      </w:r>
    </w:p>
    <w:p w:rsidR="00C55A79" w:rsidRPr="00C55A79" w:rsidRDefault="00C55A79" w:rsidP="00C55A79">
      <w:pPr>
        <w:ind w:left="851"/>
        <w:rPr>
          <w:sz w:val="24"/>
          <w:szCs w:val="24"/>
        </w:rPr>
      </w:pPr>
    </w:p>
    <w:p w:rsidR="00C55A79" w:rsidRPr="00C55A79" w:rsidRDefault="00C55A79" w:rsidP="00C55A79">
      <w:pPr>
        <w:widowControl w:val="0"/>
        <w:rPr>
          <w:bCs/>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070"/>
        <w:gridCol w:w="3070"/>
      </w:tblGrid>
      <w:tr w:rsidR="00C55A79" w:rsidRPr="00C55A79" w:rsidTr="00335C9E">
        <w:tc>
          <w:tcPr>
            <w:tcW w:w="2962"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
                <w:sz w:val="24"/>
                <w:szCs w:val="24"/>
              </w:rPr>
            </w:pPr>
            <w:r w:rsidRPr="00C55A79">
              <w:rPr>
                <w:b/>
                <w:sz w:val="24"/>
                <w:szCs w:val="24"/>
              </w:rPr>
              <w:t>Systemorganklasse</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
                <w:sz w:val="24"/>
                <w:szCs w:val="24"/>
              </w:rPr>
            </w:pPr>
            <w:r w:rsidRPr="00C55A79">
              <w:rPr>
                <w:b/>
                <w:sz w:val="24"/>
                <w:szCs w:val="24"/>
              </w:rPr>
              <w:t>Frekvens</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iCs/>
                <w:sz w:val="24"/>
                <w:szCs w:val="24"/>
              </w:rPr>
            </w:pPr>
            <w:r w:rsidRPr="00C55A79">
              <w:rPr>
                <w:b/>
                <w:sz w:val="24"/>
                <w:szCs w:val="24"/>
                <w:lang w:eastAsia="de-DE"/>
              </w:rPr>
              <w:t>Bivirkninger</w:t>
            </w:r>
          </w:p>
        </w:tc>
      </w:tr>
      <w:tr w:rsidR="00C55A79" w:rsidRPr="00C55A79" w:rsidTr="00335C9E">
        <w:tc>
          <w:tcPr>
            <w:tcW w:w="2962" w:type="dxa"/>
            <w:vMerge w:val="restart"/>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iCs/>
                <w:sz w:val="24"/>
                <w:szCs w:val="24"/>
              </w:rPr>
            </w:pPr>
            <w:r w:rsidRPr="00C55A79">
              <w:rPr>
                <w:sz w:val="24"/>
                <w:szCs w:val="24"/>
                <w:lang w:eastAsia="de-DE"/>
              </w:rPr>
              <w:t>Blod og lymfesystem</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Sjældne</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proofErr w:type="spellStart"/>
            <w:r w:rsidRPr="00C55A79">
              <w:rPr>
                <w:sz w:val="24"/>
                <w:szCs w:val="24"/>
                <w:lang w:eastAsia="de-DE"/>
              </w:rPr>
              <w:t>Leukopeni</w:t>
            </w:r>
            <w:proofErr w:type="spellEnd"/>
            <w:r w:rsidRPr="00C55A79">
              <w:rPr>
                <w:sz w:val="24"/>
                <w:szCs w:val="24"/>
                <w:lang w:eastAsia="de-DE"/>
              </w:rPr>
              <w:t xml:space="preserve">, </w:t>
            </w:r>
            <w:proofErr w:type="spellStart"/>
            <w:r w:rsidRPr="00C55A79">
              <w:rPr>
                <w:sz w:val="24"/>
                <w:szCs w:val="24"/>
                <w:lang w:eastAsia="de-DE"/>
              </w:rPr>
              <w:t>trombocytopeni</w:t>
            </w:r>
            <w:proofErr w:type="spellEnd"/>
          </w:p>
        </w:tc>
      </w:tr>
      <w:tr w:rsidR="00C55A79" w:rsidRPr="00C55A79" w:rsidTr="00335C9E">
        <w:tc>
          <w:tcPr>
            <w:tcW w:w="0" w:type="auto"/>
            <w:vMerge/>
            <w:tcBorders>
              <w:top w:val="single" w:sz="4" w:space="0" w:color="auto"/>
              <w:left w:val="single" w:sz="4" w:space="0" w:color="auto"/>
              <w:bottom w:val="single" w:sz="4" w:space="0" w:color="auto"/>
              <w:right w:val="single" w:sz="4" w:space="0" w:color="auto"/>
            </w:tcBorders>
            <w:vAlign w:val="center"/>
            <w:hideMark/>
          </w:tcPr>
          <w:p w:rsidR="00C55A79" w:rsidRPr="00C55A79" w:rsidRDefault="00C55A79" w:rsidP="00335C9E">
            <w:pPr>
              <w:spacing w:line="276" w:lineRule="auto"/>
              <w:rPr>
                <w:iCs/>
                <w:sz w:val="24"/>
                <w:szCs w:val="24"/>
                <w:lang w:eastAsia="pt-PT"/>
              </w:rPr>
            </w:pP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Meget sjældne</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proofErr w:type="spellStart"/>
            <w:r w:rsidRPr="00C55A79">
              <w:rPr>
                <w:sz w:val="24"/>
                <w:szCs w:val="24"/>
                <w:lang w:eastAsia="de-DE"/>
              </w:rPr>
              <w:t>Agranulocytose</w:t>
            </w:r>
            <w:proofErr w:type="spellEnd"/>
            <w:r w:rsidRPr="00C55A79">
              <w:rPr>
                <w:sz w:val="24"/>
                <w:szCs w:val="24"/>
                <w:lang w:eastAsia="de-DE"/>
              </w:rPr>
              <w:t xml:space="preserve">, </w:t>
            </w:r>
            <w:proofErr w:type="spellStart"/>
            <w:r w:rsidRPr="00C55A79">
              <w:rPr>
                <w:sz w:val="24"/>
                <w:szCs w:val="24"/>
                <w:lang w:eastAsia="de-DE"/>
              </w:rPr>
              <w:t>pancytopeni</w:t>
            </w:r>
            <w:proofErr w:type="spellEnd"/>
          </w:p>
        </w:tc>
      </w:tr>
      <w:tr w:rsidR="00C55A79" w:rsidRPr="00C55A79" w:rsidTr="00335C9E">
        <w:tc>
          <w:tcPr>
            <w:tcW w:w="2962"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iCs/>
                <w:sz w:val="24"/>
                <w:szCs w:val="24"/>
              </w:rPr>
            </w:pPr>
            <w:r w:rsidRPr="00C55A79">
              <w:rPr>
                <w:sz w:val="24"/>
                <w:szCs w:val="24"/>
                <w:lang w:eastAsia="de-DE"/>
              </w:rPr>
              <w:t>Immunsystemet</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Sjældne</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 xml:space="preserve">Overfølsomhedsreaktioner, f.eks. feber, </w:t>
            </w:r>
            <w:proofErr w:type="spellStart"/>
            <w:r w:rsidRPr="00C55A79">
              <w:rPr>
                <w:sz w:val="24"/>
                <w:szCs w:val="24"/>
                <w:lang w:eastAsia="de-DE"/>
              </w:rPr>
              <w:t>angioødem</w:t>
            </w:r>
            <w:proofErr w:type="spellEnd"/>
            <w:r w:rsidRPr="00C55A79">
              <w:rPr>
                <w:sz w:val="24"/>
                <w:szCs w:val="24"/>
                <w:lang w:eastAsia="de-DE"/>
              </w:rPr>
              <w:t xml:space="preserve"> og </w:t>
            </w:r>
            <w:proofErr w:type="spellStart"/>
            <w:r w:rsidRPr="00C55A79">
              <w:rPr>
                <w:sz w:val="24"/>
                <w:szCs w:val="24"/>
                <w:lang w:eastAsia="de-DE"/>
              </w:rPr>
              <w:t>anafylaktisk</w:t>
            </w:r>
            <w:proofErr w:type="spellEnd"/>
            <w:r w:rsidRPr="00C55A79">
              <w:rPr>
                <w:sz w:val="24"/>
                <w:szCs w:val="24"/>
                <w:lang w:eastAsia="de-DE"/>
              </w:rPr>
              <w:t xml:space="preserve"> reaktion/</w:t>
            </w:r>
            <w:proofErr w:type="spellStart"/>
            <w:r w:rsidRPr="00C55A79">
              <w:rPr>
                <w:sz w:val="24"/>
                <w:szCs w:val="24"/>
                <w:lang w:eastAsia="de-DE"/>
              </w:rPr>
              <w:t>shock</w:t>
            </w:r>
            <w:proofErr w:type="spellEnd"/>
          </w:p>
        </w:tc>
      </w:tr>
      <w:tr w:rsidR="00C55A79" w:rsidRPr="00C55A79" w:rsidTr="00335C9E">
        <w:tc>
          <w:tcPr>
            <w:tcW w:w="2962" w:type="dxa"/>
            <w:vMerge w:val="restart"/>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iCs/>
                <w:sz w:val="24"/>
                <w:szCs w:val="24"/>
              </w:rPr>
            </w:pPr>
            <w:r w:rsidRPr="00C55A79">
              <w:rPr>
                <w:sz w:val="24"/>
                <w:szCs w:val="24"/>
                <w:lang w:eastAsia="de-DE"/>
              </w:rPr>
              <w:t>Metabolisme og ernæring</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Ikke almindelig</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Perifert ødem</w:t>
            </w:r>
          </w:p>
        </w:tc>
      </w:tr>
      <w:tr w:rsidR="00C55A79" w:rsidRPr="00C55A79" w:rsidTr="00335C9E">
        <w:tc>
          <w:tcPr>
            <w:tcW w:w="0" w:type="auto"/>
            <w:vMerge/>
            <w:tcBorders>
              <w:top w:val="single" w:sz="4" w:space="0" w:color="auto"/>
              <w:left w:val="single" w:sz="4" w:space="0" w:color="auto"/>
              <w:bottom w:val="single" w:sz="4" w:space="0" w:color="auto"/>
              <w:right w:val="single" w:sz="4" w:space="0" w:color="auto"/>
            </w:tcBorders>
            <w:vAlign w:val="center"/>
            <w:hideMark/>
          </w:tcPr>
          <w:p w:rsidR="00C55A79" w:rsidRPr="00C55A79" w:rsidRDefault="00C55A79" w:rsidP="00335C9E">
            <w:pPr>
              <w:spacing w:line="276" w:lineRule="auto"/>
              <w:rPr>
                <w:iCs/>
                <w:sz w:val="24"/>
                <w:szCs w:val="24"/>
                <w:lang w:eastAsia="pt-PT"/>
              </w:rPr>
            </w:pP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Sjældne</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proofErr w:type="spellStart"/>
            <w:r w:rsidRPr="00C55A79">
              <w:rPr>
                <w:sz w:val="24"/>
                <w:szCs w:val="24"/>
                <w:lang w:eastAsia="de-DE"/>
              </w:rPr>
              <w:t>Hyponatræmi</w:t>
            </w:r>
            <w:proofErr w:type="spellEnd"/>
          </w:p>
        </w:tc>
      </w:tr>
      <w:tr w:rsidR="00C55A79" w:rsidRPr="00C55A79" w:rsidTr="00335C9E">
        <w:tc>
          <w:tcPr>
            <w:tcW w:w="0" w:type="auto"/>
            <w:vMerge/>
            <w:tcBorders>
              <w:top w:val="single" w:sz="4" w:space="0" w:color="auto"/>
              <w:left w:val="single" w:sz="4" w:space="0" w:color="auto"/>
              <w:bottom w:val="single" w:sz="4" w:space="0" w:color="auto"/>
              <w:right w:val="single" w:sz="4" w:space="0" w:color="auto"/>
            </w:tcBorders>
            <w:vAlign w:val="center"/>
            <w:hideMark/>
          </w:tcPr>
          <w:p w:rsidR="00C55A79" w:rsidRPr="00C55A79" w:rsidRDefault="00C55A79" w:rsidP="00335C9E">
            <w:pPr>
              <w:spacing w:line="276" w:lineRule="auto"/>
              <w:rPr>
                <w:iCs/>
                <w:sz w:val="24"/>
                <w:szCs w:val="24"/>
                <w:lang w:eastAsia="pt-PT"/>
              </w:rPr>
            </w:pP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Frekvens ikke kendt</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C55A79">
            <w:pPr>
              <w:pStyle w:val="TableParagraph"/>
              <w:ind w:right="197"/>
              <w:rPr>
                <w:sz w:val="24"/>
                <w:szCs w:val="24"/>
                <w:lang w:val="da-DK"/>
              </w:rPr>
            </w:pPr>
            <w:proofErr w:type="spellStart"/>
            <w:r w:rsidRPr="00C55A79">
              <w:rPr>
                <w:sz w:val="24"/>
                <w:szCs w:val="24"/>
                <w:lang w:val="da-DK" w:eastAsia="de-DE"/>
              </w:rPr>
              <w:t>Hypomagnesiæmi</w:t>
            </w:r>
            <w:proofErr w:type="spellEnd"/>
            <w:r w:rsidRPr="00C55A79">
              <w:rPr>
                <w:sz w:val="24"/>
                <w:szCs w:val="24"/>
                <w:lang w:val="da-DK" w:eastAsia="de-DE"/>
              </w:rPr>
              <w:t xml:space="preserve"> (se pkt. 4.4.), svær </w:t>
            </w:r>
            <w:proofErr w:type="spellStart"/>
            <w:r w:rsidRPr="00C55A79">
              <w:rPr>
                <w:sz w:val="24"/>
                <w:szCs w:val="24"/>
                <w:lang w:val="da-DK" w:eastAsia="de-DE"/>
              </w:rPr>
              <w:t>hypomagnesiæmi</w:t>
            </w:r>
            <w:proofErr w:type="spellEnd"/>
            <w:r w:rsidRPr="00C55A79">
              <w:rPr>
                <w:sz w:val="24"/>
                <w:szCs w:val="24"/>
                <w:lang w:val="da-DK" w:eastAsia="de-DE"/>
              </w:rPr>
              <w:t xml:space="preserve"> kan være forbundet med </w:t>
            </w:r>
            <w:proofErr w:type="spellStart"/>
            <w:r w:rsidRPr="00C55A79">
              <w:rPr>
                <w:sz w:val="24"/>
                <w:szCs w:val="24"/>
                <w:lang w:val="da-DK" w:eastAsia="de-DE"/>
              </w:rPr>
              <w:t>hypocalciæmi</w:t>
            </w:r>
            <w:proofErr w:type="spellEnd"/>
            <w:r w:rsidRPr="00C55A79">
              <w:rPr>
                <w:sz w:val="24"/>
                <w:szCs w:val="24"/>
                <w:lang w:val="da-DK" w:eastAsia="de-DE"/>
              </w:rPr>
              <w:t xml:space="preserve">. </w:t>
            </w:r>
            <w:proofErr w:type="spellStart"/>
            <w:r w:rsidRPr="00C55A79">
              <w:rPr>
                <w:sz w:val="24"/>
                <w:szCs w:val="24"/>
                <w:lang w:val="da-DK"/>
              </w:rPr>
              <w:t>Hypomagnesiæmi</w:t>
            </w:r>
            <w:proofErr w:type="spellEnd"/>
            <w:r w:rsidRPr="00C55A79">
              <w:rPr>
                <w:sz w:val="24"/>
                <w:szCs w:val="24"/>
                <w:lang w:val="da-DK"/>
              </w:rPr>
              <w:t xml:space="preserve"> kan</w:t>
            </w:r>
            <w:r w:rsidRPr="00C55A79">
              <w:rPr>
                <w:spacing w:val="1"/>
                <w:sz w:val="24"/>
                <w:szCs w:val="24"/>
                <w:lang w:val="da-DK"/>
              </w:rPr>
              <w:t xml:space="preserve"> </w:t>
            </w:r>
            <w:r w:rsidRPr="00C55A79">
              <w:rPr>
                <w:sz w:val="24"/>
                <w:szCs w:val="24"/>
                <w:lang w:val="da-DK"/>
              </w:rPr>
              <w:t>også</w:t>
            </w:r>
            <w:r w:rsidRPr="00C55A79">
              <w:rPr>
                <w:spacing w:val="-1"/>
                <w:sz w:val="24"/>
                <w:szCs w:val="24"/>
                <w:lang w:val="da-DK"/>
              </w:rPr>
              <w:t xml:space="preserve"> </w:t>
            </w:r>
            <w:r w:rsidRPr="00C55A79">
              <w:rPr>
                <w:sz w:val="24"/>
                <w:szCs w:val="24"/>
                <w:lang w:val="da-DK"/>
              </w:rPr>
              <w:t>føre</w:t>
            </w:r>
            <w:r w:rsidRPr="00C55A79">
              <w:rPr>
                <w:spacing w:val="-1"/>
                <w:sz w:val="24"/>
                <w:szCs w:val="24"/>
                <w:lang w:val="da-DK"/>
              </w:rPr>
              <w:t xml:space="preserve"> </w:t>
            </w:r>
            <w:r w:rsidRPr="00C55A79">
              <w:rPr>
                <w:sz w:val="24"/>
                <w:szCs w:val="24"/>
                <w:lang w:val="da-DK"/>
              </w:rPr>
              <w:t>til</w:t>
            </w:r>
          </w:p>
          <w:p w:rsidR="00C55A79" w:rsidRPr="00C55A79" w:rsidRDefault="00C55A79" w:rsidP="00335C9E">
            <w:pPr>
              <w:widowControl w:val="0"/>
              <w:spacing w:line="276" w:lineRule="auto"/>
              <w:rPr>
                <w:bCs/>
                <w:iCs/>
                <w:sz w:val="24"/>
                <w:szCs w:val="24"/>
              </w:rPr>
            </w:pPr>
            <w:proofErr w:type="spellStart"/>
            <w:r w:rsidRPr="00C55A79">
              <w:rPr>
                <w:sz w:val="24"/>
                <w:szCs w:val="24"/>
              </w:rPr>
              <w:t>hypokaliæmi</w:t>
            </w:r>
            <w:proofErr w:type="spellEnd"/>
            <w:r w:rsidRPr="00C55A79">
              <w:rPr>
                <w:sz w:val="24"/>
                <w:szCs w:val="24"/>
                <w:lang w:eastAsia="de-DE"/>
              </w:rPr>
              <w:t>.</w:t>
            </w:r>
          </w:p>
        </w:tc>
      </w:tr>
      <w:tr w:rsidR="00C55A79" w:rsidRPr="00C55A79" w:rsidTr="00335C9E">
        <w:tc>
          <w:tcPr>
            <w:tcW w:w="2962" w:type="dxa"/>
            <w:vMerge w:val="restart"/>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iCs/>
                <w:sz w:val="24"/>
                <w:szCs w:val="24"/>
              </w:rPr>
            </w:pPr>
            <w:r w:rsidRPr="00C55A79">
              <w:rPr>
                <w:sz w:val="24"/>
                <w:szCs w:val="24"/>
                <w:lang w:eastAsia="de-DE"/>
              </w:rPr>
              <w:t>Psykiske forstyrrelser</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Ikke almindelig</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proofErr w:type="spellStart"/>
            <w:r w:rsidRPr="00C55A79">
              <w:rPr>
                <w:sz w:val="24"/>
                <w:szCs w:val="24"/>
                <w:lang w:eastAsia="de-DE"/>
              </w:rPr>
              <w:t>Insomni</w:t>
            </w:r>
            <w:proofErr w:type="spellEnd"/>
          </w:p>
        </w:tc>
      </w:tr>
      <w:tr w:rsidR="00C55A79" w:rsidRPr="00C55A79" w:rsidTr="00335C9E">
        <w:tc>
          <w:tcPr>
            <w:tcW w:w="0" w:type="auto"/>
            <w:vMerge/>
            <w:tcBorders>
              <w:top w:val="single" w:sz="4" w:space="0" w:color="auto"/>
              <w:left w:val="single" w:sz="4" w:space="0" w:color="auto"/>
              <w:bottom w:val="single" w:sz="4" w:space="0" w:color="auto"/>
              <w:right w:val="single" w:sz="4" w:space="0" w:color="auto"/>
            </w:tcBorders>
            <w:vAlign w:val="center"/>
            <w:hideMark/>
          </w:tcPr>
          <w:p w:rsidR="00C55A79" w:rsidRPr="00C55A79" w:rsidRDefault="00C55A79" w:rsidP="00335C9E">
            <w:pPr>
              <w:spacing w:line="276" w:lineRule="auto"/>
              <w:rPr>
                <w:iCs/>
                <w:sz w:val="24"/>
                <w:szCs w:val="24"/>
                <w:lang w:eastAsia="pt-PT"/>
              </w:rPr>
            </w:pP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Sjældne</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Agitation, konfusion, depression</w:t>
            </w:r>
          </w:p>
        </w:tc>
      </w:tr>
      <w:tr w:rsidR="00C55A79" w:rsidRPr="00C55A79" w:rsidTr="00335C9E">
        <w:tc>
          <w:tcPr>
            <w:tcW w:w="0" w:type="auto"/>
            <w:vMerge/>
            <w:tcBorders>
              <w:top w:val="single" w:sz="4" w:space="0" w:color="auto"/>
              <w:left w:val="single" w:sz="4" w:space="0" w:color="auto"/>
              <w:bottom w:val="single" w:sz="4" w:space="0" w:color="auto"/>
              <w:right w:val="single" w:sz="4" w:space="0" w:color="auto"/>
            </w:tcBorders>
            <w:vAlign w:val="center"/>
            <w:hideMark/>
          </w:tcPr>
          <w:p w:rsidR="00C55A79" w:rsidRPr="00C55A79" w:rsidRDefault="00C55A79" w:rsidP="00335C9E">
            <w:pPr>
              <w:spacing w:line="276" w:lineRule="auto"/>
              <w:rPr>
                <w:iCs/>
                <w:sz w:val="24"/>
                <w:szCs w:val="24"/>
                <w:lang w:eastAsia="pt-PT"/>
              </w:rPr>
            </w:pP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Meget sjældne</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Aggression, hallucinationer</w:t>
            </w:r>
          </w:p>
        </w:tc>
      </w:tr>
      <w:tr w:rsidR="00C55A79" w:rsidRPr="00C55A79" w:rsidTr="00335C9E">
        <w:tc>
          <w:tcPr>
            <w:tcW w:w="2962" w:type="dxa"/>
            <w:vMerge w:val="restart"/>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iCs/>
                <w:sz w:val="24"/>
                <w:szCs w:val="24"/>
              </w:rPr>
            </w:pPr>
            <w:r w:rsidRPr="00C55A79">
              <w:rPr>
                <w:sz w:val="24"/>
                <w:szCs w:val="24"/>
                <w:lang w:eastAsia="de-DE"/>
              </w:rPr>
              <w:t>Nervesystemet</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r w:rsidRPr="00C55A79">
              <w:rPr>
                <w:sz w:val="24"/>
                <w:szCs w:val="24"/>
                <w:lang w:eastAsia="de-DE"/>
              </w:rPr>
              <w:t>Almindelig</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Hovedpine</w:t>
            </w:r>
          </w:p>
        </w:tc>
      </w:tr>
      <w:tr w:rsidR="00C55A79" w:rsidRPr="00C55A79" w:rsidTr="00335C9E">
        <w:tc>
          <w:tcPr>
            <w:tcW w:w="0" w:type="auto"/>
            <w:vMerge/>
            <w:tcBorders>
              <w:top w:val="single" w:sz="4" w:space="0" w:color="auto"/>
              <w:left w:val="single" w:sz="4" w:space="0" w:color="auto"/>
              <w:bottom w:val="single" w:sz="4" w:space="0" w:color="auto"/>
              <w:right w:val="single" w:sz="4" w:space="0" w:color="auto"/>
            </w:tcBorders>
            <w:vAlign w:val="center"/>
            <w:hideMark/>
          </w:tcPr>
          <w:p w:rsidR="00C55A79" w:rsidRPr="00C55A79" w:rsidRDefault="00C55A79" w:rsidP="00335C9E">
            <w:pPr>
              <w:spacing w:line="276" w:lineRule="auto"/>
              <w:rPr>
                <w:iCs/>
                <w:sz w:val="24"/>
                <w:szCs w:val="24"/>
                <w:lang w:eastAsia="pt-PT"/>
              </w:rPr>
            </w:pP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Ikke almindelig</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 xml:space="preserve">Svimmelhed, </w:t>
            </w:r>
            <w:proofErr w:type="spellStart"/>
            <w:r w:rsidRPr="00C55A79">
              <w:rPr>
                <w:sz w:val="24"/>
                <w:szCs w:val="24"/>
                <w:lang w:eastAsia="de-DE"/>
              </w:rPr>
              <w:t>paræstesi</w:t>
            </w:r>
            <w:proofErr w:type="spellEnd"/>
            <w:r w:rsidRPr="00C55A79">
              <w:rPr>
                <w:sz w:val="24"/>
                <w:szCs w:val="24"/>
                <w:lang w:eastAsia="de-DE"/>
              </w:rPr>
              <w:t xml:space="preserve">, </w:t>
            </w:r>
            <w:proofErr w:type="spellStart"/>
            <w:r w:rsidRPr="00C55A79">
              <w:rPr>
                <w:sz w:val="24"/>
                <w:szCs w:val="24"/>
                <w:lang w:eastAsia="de-DE"/>
              </w:rPr>
              <w:t>somnolens</w:t>
            </w:r>
            <w:proofErr w:type="spellEnd"/>
          </w:p>
        </w:tc>
      </w:tr>
      <w:tr w:rsidR="00C55A79" w:rsidRPr="00C55A79" w:rsidTr="00335C9E">
        <w:tc>
          <w:tcPr>
            <w:tcW w:w="0" w:type="auto"/>
            <w:vMerge/>
            <w:tcBorders>
              <w:top w:val="single" w:sz="4" w:space="0" w:color="auto"/>
              <w:left w:val="single" w:sz="4" w:space="0" w:color="auto"/>
              <w:bottom w:val="single" w:sz="4" w:space="0" w:color="auto"/>
              <w:right w:val="single" w:sz="4" w:space="0" w:color="auto"/>
            </w:tcBorders>
            <w:vAlign w:val="center"/>
            <w:hideMark/>
          </w:tcPr>
          <w:p w:rsidR="00C55A79" w:rsidRPr="00C55A79" w:rsidRDefault="00C55A79" w:rsidP="00335C9E">
            <w:pPr>
              <w:spacing w:line="276" w:lineRule="auto"/>
              <w:rPr>
                <w:iCs/>
                <w:sz w:val="24"/>
                <w:szCs w:val="24"/>
                <w:lang w:eastAsia="pt-PT"/>
              </w:rPr>
            </w:pP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Sjældne</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Smagsforstyrrelse</w:t>
            </w:r>
          </w:p>
        </w:tc>
      </w:tr>
      <w:tr w:rsidR="00C55A79" w:rsidRPr="00C55A79" w:rsidTr="00335C9E">
        <w:tc>
          <w:tcPr>
            <w:tcW w:w="2962"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iCs/>
                <w:sz w:val="24"/>
                <w:szCs w:val="24"/>
              </w:rPr>
            </w:pPr>
            <w:r w:rsidRPr="00C55A79">
              <w:rPr>
                <w:sz w:val="24"/>
                <w:szCs w:val="24"/>
                <w:lang w:eastAsia="de-DE"/>
              </w:rPr>
              <w:t>Øjne</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Sjældne</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r w:rsidRPr="00C55A79">
              <w:rPr>
                <w:sz w:val="24"/>
                <w:szCs w:val="24"/>
                <w:lang w:eastAsia="de-DE"/>
              </w:rPr>
              <w:t>Sløret syn</w:t>
            </w:r>
          </w:p>
        </w:tc>
      </w:tr>
      <w:tr w:rsidR="00C55A79" w:rsidRPr="00C55A79" w:rsidTr="00335C9E">
        <w:tc>
          <w:tcPr>
            <w:tcW w:w="2962"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iCs/>
                <w:sz w:val="24"/>
                <w:szCs w:val="24"/>
              </w:rPr>
            </w:pPr>
            <w:r w:rsidRPr="00C55A79">
              <w:rPr>
                <w:sz w:val="24"/>
                <w:szCs w:val="24"/>
                <w:lang w:eastAsia="de-DE"/>
              </w:rPr>
              <w:t>Øre og labyrint</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Ikke almindelig</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proofErr w:type="spellStart"/>
            <w:r w:rsidRPr="00C55A79">
              <w:rPr>
                <w:sz w:val="24"/>
                <w:szCs w:val="24"/>
                <w:lang w:eastAsia="de-DE"/>
              </w:rPr>
              <w:t>Vertigo</w:t>
            </w:r>
            <w:proofErr w:type="spellEnd"/>
          </w:p>
        </w:tc>
      </w:tr>
      <w:tr w:rsidR="00C55A79" w:rsidRPr="00C55A79" w:rsidTr="00335C9E">
        <w:tc>
          <w:tcPr>
            <w:tcW w:w="2962"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iCs/>
                <w:sz w:val="24"/>
                <w:szCs w:val="24"/>
              </w:rPr>
            </w:pPr>
            <w:r w:rsidRPr="00C55A79">
              <w:rPr>
                <w:sz w:val="24"/>
                <w:szCs w:val="24"/>
                <w:lang w:eastAsia="de-DE"/>
              </w:rPr>
              <w:t xml:space="preserve">Luftveje, thorax og </w:t>
            </w:r>
            <w:proofErr w:type="spellStart"/>
            <w:r w:rsidRPr="00C55A79">
              <w:rPr>
                <w:sz w:val="24"/>
                <w:szCs w:val="24"/>
                <w:lang w:eastAsia="de-DE"/>
              </w:rPr>
              <w:t>mediastinum</w:t>
            </w:r>
            <w:proofErr w:type="spellEnd"/>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Sjældne</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proofErr w:type="spellStart"/>
            <w:r w:rsidRPr="00C55A79">
              <w:rPr>
                <w:sz w:val="24"/>
                <w:szCs w:val="24"/>
                <w:lang w:eastAsia="de-DE"/>
              </w:rPr>
              <w:t>Bronkospasme</w:t>
            </w:r>
            <w:proofErr w:type="spellEnd"/>
          </w:p>
        </w:tc>
      </w:tr>
      <w:tr w:rsidR="00C55A79" w:rsidRPr="00C55A79" w:rsidTr="00335C9E">
        <w:tc>
          <w:tcPr>
            <w:tcW w:w="2962" w:type="dxa"/>
            <w:vMerge w:val="restart"/>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r w:rsidRPr="00C55A79">
              <w:rPr>
                <w:sz w:val="24"/>
                <w:szCs w:val="24"/>
                <w:lang w:eastAsia="de-DE"/>
              </w:rPr>
              <w:t>Mave-tarm-kanalen</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r w:rsidRPr="00C55A79">
              <w:rPr>
                <w:sz w:val="24"/>
                <w:szCs w:val="24"/>
                <w:lang w:eastAsia="de-DE"/>
              </w:rPr>
              <w:t>Almindelig</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roofErr w:type="spellStart"/>
            <w:r w:rsidRPr="00C55A79">
              <w:rPr>
                <w:lang w:eastAsia="de-DE"/>
              </w:rPr>
              <w:t>Abdominalsmerter</w:t>
            </w:r>
            <w:proofErr w:type="spellEnd"/>
            <w:r w:rsidRPr="00C55A79">
              <w:rPr>
                <w:lang w:eastAsia="de-DE"/>
              </w:rPr>
              <w:t xml:space="preserve">, konstipation, </w:t>
            </w:r>
            <w:proofErr w:type="spellStart"/>
            <w:r w:rsidRPr="00C55A79">
              <w:rPr>
                <w:lang w:eastAsia="de-DE"/>
              </w:rPr>
              <w:t>diaré</w:t>
            </w:r>
            <w:proofErr w:type="spellEnd"/>
            <w:r w:rsidRPr="00C55A79">
              <w:rPr>
                <w:lang w:eastAsia="de-DE"/>
              </w:rPr>
              <w:t xml:space="preserve">, </w:t>
            </w:r>
            <w:proofErr w:type="spellStart"/>
            <w:r w:rsidRPr="00C55A79">
              <w:rPr>
                <w:lang w:eastAsia="de-DE"/>
              </w:rPr>
              <w:t>flatulens</w:t>
            </w:r>
            <w:proofErr w:type="spellEnd"/>
            <w:r w:rsidRPr="00C55A79">
              <w:rPr>
                <w:lang w:eastAsia="de-DE"/>
              </w:rPr>
              <w:t>, kvalme/opkastning, benigne gastriske polypper</w:t>
            </w:r>
          </w:p>
        </w:tc>
      </w:tr>
      <w:tr w:rsidR="00C55A79" w:rsidRPr="00C55A79" w:rsidTr="00335C9E">
        <w:tc>
          <w:tcPr>
            <w:tcW w:w="0" w:type="auto"/>
            <w:vMerge/>
            <w:tcBorders>
              <w:top w:val="single" w:sz="4" w:space="0" w:color="auto"/>
              <w:left w:val="single" w:sz="4" w:space="0" w:color="auto"/>
              <w:bottom w:val="single" w:sz="4" w:space="0" w:color="auto"/>
              <w:right w:val="single" w:sz="4" w:space="0" w:color="auto"/>
            </w:tcBorders>
            <w:vAlign w:val="center"/>
            <w:hideMark/>
          </w:tcPr>
          <w:p w:rsidR="00C55A79" w:rsidRPr="00C55A79" w:rsidRDefault="00C55A79" w:rsidP="00335C9E">
            <w:pPr>
              <w:spacing w:line="276" w:lineRule="auto"/>
              <w:rPr>
                <w:sz w:val="24"/>
                <w:szCs w:val="24"/>
                <w:lang w:eastAsia="pt-PT"/>
              </w:rPr>
            </w:pP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Ikke almindelig</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r w:rsidRPr="00C55A79">
              <w:rPr>
                <w:sz w:val="24"/>
                <w:szCs w:val="24"/>
                <w:lang w:eastAsia="de-DE"/>
              </w:rPr>
              <w:t>Mundtørhed</w:t>
            </w:r>
          </w:p>
        </w:tc>
      </w:tr>
      <w:tr w:rsidR="00C55A79" w:rsidRPr="00C55A79" w:rsidTr="00335C9E">
        <w:tc>
          <w:tcPr>
            <w:tcW w:w="0" w:type="auto"/>
            <w:vMerge/>
            <w:tcBorders>
              <w:top w:val="single" w:sz="4" w:space="0" w:color="auto"/>
              <w:left w:val="single" w:sz="4" w:space="0" w:color="auto"/>
              <w:bottom w:val="single" w:sz="4" w:space="0" w:color="auto"/>
              <w:right w:val="single" w:sz="4" w:space="0" w:color="auto"/>
            </w:tcBorders>
            <w:vAlign w:val="center"/>
            <w:hideMark/>
          </w:tcPr>
          <w:p w:rsidR="00C55A79" w:rsidRPr="00C55A79" w:rsidRDefault="00C55A79" w:rsidP="00335C9E">
            <w:pPr>
              <w:spacing w:line="276" w:lineRule="auto"/>
              <w:rPr>
                <w:sz w:val="24"/>
                <w:szCs w:val="24"/>
                <w:lang w:eastAsia="pt-PT"/>
              </w:rPr>
            </w:pP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Sjældne</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proofErr w:type="spellStart"/>
            <w:r w:rsidRPr="00C55A79">
              <w:rPr>
                <w:sz w:val="24"/>
                <w:szCs w:val="24"/>
                <w:lang w:eastAsia="de-DE"/>
              </w:rPr>
              <w:t>Stomatitis</w:t>
            </w:r>
            <w:proofErr w:type="spellEnd"/>
            <w:r w:rsidRPr="00C55A79">
              <w:rPr>
                <w:sz w:val="24"/>
                <w:szCs w:val="24"/>
                <w:lang w:eastAsia="de-DE"/>
              </w:rPr>
              <w:t xml:space="preserve">, </w:t>
            </w:r>
            <w:proofErr w:type="spellStart"/>
            <w:r w:rsidRPr="00C55A79">
              <w:rPr>
                <w:sz w:val="24"/>
                <w:szCs w:val="24"/>
                <w:lang w:eastAsia="de-DE"/>
              </w:rPr>
              <w:t>gastrointestinal</w:t>
            </w:r>
            <w:proofErr w:type="spellEnd"/>
            <w:r w:rsidRPr="00C55A79">
              <w:rPr>
                <w:sz w:val="24"/>
                <w:szCs w:val="24"/>
                <w:lang w:eastAsia="de-DE"/>
              </w:rPr>
              <w:t xml:space="preserve"> </w:t>
            </w:r>
            <w:proofErr w:type="spellStart"/>
            <w:r w:rsidRPr="00C55A79">
              <w:rPr>
                <w:sz w:val="24"/>
                <w:szCs w:val="24"/>
                <w:lang w:eastAsia="de-DE"/>
              </w:rPr>
              <w:t>candidiasis</w:t>
            </w:r>
            <w:proofErr w:type="spellEnd"/>
          </w:p>
        </w:tc>
      </w:tr>
      <w:tr w:rsidR="00C55A79" w:rsidRPr="00C55A79" w:rsidTr="00335C9E">
        <w:tc>
          <w:tcPr>
            <w:tcW w:w="0" w:type="auto"/>
            <w:vMerge/>
            <w:tcBorders>
              <w:top w:val="single" w:sz="4" w:space="0" w:color="auto"/>
              <w:left w:val="single" w:sz="4" w:space="0" w:color="auto"/>
              <w:bottom w:val="single" w:sz="4" w:space="0" w:color="auto"/>
              <w:right w:val="single" w:sz="4" w:space="0" w:color="auto"/>
            </w:tcBorders>
            <w:vAlign w:val="center"/>
            <w:hideMark/>
          </w:tcPr>
          <w:p w:rsidR="00C55A79" w:rsidRPr="00C55A79" w:rsidRDefault="00C55A79" w:rsidP="00335C9E">
            <w:pPr>
              <w:spacing w:line="276" w:lineRule="auto"/>
              <w:rPr>
                <w:sz w:val="24"/>
                <w:szCs w:val="24"/>
                <w:lang w:eastAsia="pt-PT"/>
              </w:rPr>
            </w:pP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Frekvens ikke kendt</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r w:rsidRPr="00C55A79">
              <w:rPr>
                <w:sz w:val="24"/>
                <w:szCs w:val="24"/>
                <w:lang w:eastAsia="de-DE"/>
              </w:rPr>
              <w:t xml:space="preserve">Mikroskopisk </w:t>
            </w:r>
            <w:proofErr w:type="spellStart"/>
            <w:r w:rsidRPr="00C55A79">
              <w:rPr>
                <w:sz w:val="24"/>
                <w:szCs w:val="24"/>
                <w:lang w:eastAsia="de-DE"/>
              </w:rPr>
              <w:t>kolit</w:t>
            </w:r>
            <w:proofErr w:type="spellEnd"/>
          </w:p>
        </w:tc>
      </w:tr>
      <w:tr w:rsidR="00C55A79" w:rsidRPr="00C55A79" w:rsidTr="00335C9E">
        <w:tc>
          <w:tcPr>
            <w:tcW w:w="2962" w:type="dxa"/>
            <w:vMerge w:val="restart"/>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r w:rsidRPr="00C55A79">
              <w:rPr>
                <w:sz w:val="24"/>
                <w:szCs w:val="24"/>
                <w:lang w:eastAsia="de-DE"/>
              </w:rPr>
              <w:t>Lever og galdeveje</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Ikke almindelig</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r w:rsidRPr="00C55A79">
              <w:rPr>
                <w:sz w:val="24"/>
                <w:szCs w:val="24"/>
                <w:lang w:eastAsia="de-DE"/>
              </w:rPr>
              <w:t>Forhøjede niveauer af leverenzymer</w:t>
            </w:r>
          </w:p>
        </w:tc>
      </w:tr>
      <w:tr w:rsidR="00C55A79" w:rsidRPr="00C55A79" w:rsidTr="00335C9E">
        <w:tc>
          <w:tcPr>
            <w:tcW w:w="0" w:type="auto"/>
            <w:vMerge/>
            <w:tcBorders>
              <w:top w:val="single" w:sz="4" w:space="0" w:color="auto"/>
              <w:left w:val="single" w:sz="4" w:space="0" w:color="auto"/>
              <w:bottom w:val="single" w:sz="4" w:space="0" w:color="auto"/>
              <w:right w:val="single" w:sz="4" w:space="0" w:color="auto"/>
            </w:tcBorders>
            <w:vAlign w:val="center"/>
            <w:hideMark/>
          </w:tcPr>
          <w:p w:rsidR="00C55A79" w:rsidRPr="00C55A79" w:rsidRDefault="00C55A79" w:rsidP="00335C9E">
            <w:pPr>
              <w:spacing w:line="276" w:lineRule="auto"/>
              <w:rPr>
                <w:sz w:val="24"/>
                <w:szCs w:val="24"/>
                <w:lang w:eastAsia="pt-PT"/>
              </w:rPr>
            </w:pP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Sjældne</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r w:rsidRPr="00C55A79">
              <w:rPr>
                <w:sz w:val="24"/>
                <w:szCs w:val="24"/>
                <w:lang w:eastAsia="de-DE"/>
              </w:rPr>
              <w:t>Hepatitis med eller uden gulsot</w:t>
            </w:r>
          </w:p>
        </w:tc>
      </w:tr>
      <w:tr w:rsidR="00C55A79" w:rsidRPr="00C55A79" w:rsidTr="00335C9E">
        <w:tc>
          <w:tcPr>
            <w:tcW w:w="0" w:type="auto"/>
            <w:vMerge/>
            <w:tcBorders>
              <w:top w:val="single" w:sz="4" w:space="0" w:color="auto"/>
              <w:left w:val="single" w:sz="4" w:space="0" w:color="auto"/>
              <w:bottom w:val="single" w:sz="4" w:space="0" w:color="auto"/>
              <w:right w:val="single" w:sz="4" w:space="0" w:color="auto"/>
            </w:tcBorders>
            <w:vAlign w:val="center"/>
            <w:hideMark/>
          </w:tcPr>
          <w:p w:rsidR="00C55A79" w:rsidRPr="00C55A79" w:rsidRDefault="00C55A79" w:rsidP="00335C9E">
            <w:pPr>
              <w:spacing w:line="276" w:lineRule="auto"/>
              <w:rPr>
                <w:sz w:val="24"/>
                <w:szCs w:val="24"/>
                <w:lang w:eastAsia="pt-PT"/>
              </w:rPr>
            </w:pP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Meget sjældne</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r w:rsidRPr="00C55A79">
              <w:rPr>
                <w:sz w:val="24"/>
                <w:szCs w:val="24"/>
                <w:lang w:eastAsia="de-DE"/>
              </w:rPr>
              <w:t>Leversvigt, encefalopati hos patienter med i forvejen eksisterende leversygdom</w:t>
            </w:r>
          </w:p>
        </w:tc>
      </w:tr>
      <w:tr w:rsidR="00C55A79" w:rsidRPr="00C55A79" w:rsidTr="00335C9E">
        <w:tc>
          <w:tcPr>
            <w:tcW w:w="2962" w:type="dxa"/>
            <w:vMerge w:val="restart"/>
            <w:tcBorders>
              <w:top w:val="single" w:sz="4" w:space="0" w:color="auto"/>
              <w:left w:val="single" w:sz="4" w:space="0" w:color="auto"/>
              <w:right w:val="single" w:sz="4" w:space="0" w:color="auto"/>
            </w:tcBorders>
            <w:hideMark/>
          </w:tcPr>
          <w:p w:rsidR="00C55A79" w:rsidRPr="00C55A79" w:rsidRDefault="00C55A79" w:rsidP="00335C9E">
            <w:pPr>
              <w:widowControl w:val="0"/>
              <w:spacing w:line="276" w:lineRule="auto"/>
              <w:rPr>
                <w:sz w:val="24"/>
                <w:szCs w:val="24"/>
              </w:rPr>
            </w:pPr>
            <w:r w:rsidRPr="00C55A79">
              <w:rPr>
                <w:sz w:val="24"/>
                <w:szCs w:val="24"/>
                <w:lang w:eastAsia="de-DE"/>
              </w:rPr>
              <w:t>Hud og subkutane væv</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Ikke almindelig</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proofErr w:type="spellStart"/>
            <w:r w:rsidRPr="00C55A79">
              <w:rPr>
                <w:sz w:val="24"/>
                <w:szCs w:val="24"/>
                <w:lang w:eastAsia="de-DE"/>
              </w:rPr>
              <w:t>Dermatitis</w:t>
            </w:r>
            <w:proofErr w:type="spellEnd"/>
            <w:r w:rsidRPr="00C55A79">
              <w:rPr>
                <w:sz w:val="24"/>
                <w:szCs w:val="24"/>
                <w:lang w:eastAsia="de-DE"/>
              </w:rPr>
              <w:t xml:space="preserve">, </w:t>
            </w:r>
            <w:proofErr w:type="spellStart"/>
            <w:r w:rsidRPr="00C55A79">
              <w:rPr>
                <w:sz w:val="24"/>
                <w:szCs w:val="24"/>
                <w:lang w:eastAsia="de-DE"/>
              </w:rPr>
              <w:t>pruritus</w:t>
            </w:r>
            <w:proofErr w:type="spellEnd"/>
            <w:r w:rsidRPr="00C55A79">
              <w:rPr>
                <w:sz w:val="24"/>
                <w:szCs w:val="24"/>
                <w:lang w:eastAsia="de-DE"/>
              </w:rPr>
              <w:t xml:space="preserve">, udslæt, </w:t>
            </w:r>
            <w:proofErr w:type="spellStart"/>
            <w:r w:rsidRPr="00C55A79">
              <w:rPr>
                <w:sz w:val="24"/>
                <w:szCs w:val="24"/>
                <w:lang w:eastAsia="de-DE"/>
              </w:rPr>
              <w:t>urticaria</w:t>
            </w:r>
            <w:proofErr w:type="spellEnd"/>
          </w:p>
        </w:tc>
      </w:tr>
      <w:tr w:rsidR="00C55A79" w:rsidRPr="00C55A79" w:rsidTr="00335C9E">
        <w:tc>
          <w:tcPr>
            <w:tcW w:w="0" w:type="auto"/>
            <w:vMerge/>
            <w:tcBorders>
              <w:left w:val="single" w:sz="4" w:space="0" w:color="auto"/>
              <w:right w:val="single" w:sz="4" w:space="0" w:color="auto"/>
            </w:tcBorders>
            <w:vAlign w:val="center"/>
            <w:hideMark/>
          </w:tcPr>
          <w:p w:rsidR="00C55A79" w:rsidRPr="00C55A79" w:rsidRDefault="00C55A79" w:rsidP="00335C9E">
            <w:pPr>
              <w:spacing w:line="276" w:lineRule="auto"/>
              <w:rPr>
                <w:sz w:val="24"/>
                <w:szCs w:val="24"/>
                <w:lang w:eastAsia="pt-PT"/>
              </w:rPr>
            </w:pP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Sjældne</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proofErr w:type="spellStart"/>
            <w:r w:rsidRPr="00C55A79">
              <w:rPr>
                <w:sz w:val="24"/>
                <w:szCs w:val="24"/>
                <w:lang w:eastAsia="de-DE"/>
              </w:rPr>
              <w:t>Alopeci</w:t>
            </w:r>
            <w:proofErr w:type="spellEnd"/>
            <w:r w:rsidRPr="00C55A79">
              <w:rPr>
                <w:sz w:val="24"/>
                <w:szCs w:val="24"/>
                <w:lang w:eastAsia="de-DE"/>
              </w:rPr>
              <w:t>, lysfølsomhed</w:t>
            </w:r>
          </w:p>
        </w:tc>
      </w:tr>
      <w:tr w:rsidR="00C55A79" w:rsidRPr="00C55A79" w:rsidTr="00335C9E">
        <w:tc>
          <w:tcPr>
            <w:tcW w:w="0" w:type="auto"/>
            <w:vMerge/>
            <w:tcBorders>
              <w:left w:val="single" w:sz="4" w:space="0" w:color="auto"/>
              <w:right w:val="single" w:sz="4" w:space="0" w:color="auto"/>
            </w:tcBorders>
            <w:vAlign w:val="center"/>
            <w:hideMark/>
          </w:tcPr>
          <w:p w:rsidR="00C55A79" w:rsidRPr="00C55A79" w:rsidRDefault="00C55A79" w:rsidP="00335C9E">
            <w:pPr>
              <w:spacing w:line="276" w:lineRule="auto"/>
              <w:rPr>
                <w:sz w:val="24"/>
                <w:szCs w:val="24"/>
                <w:lang w:eastAsia="pt-PT"/>
              </w:rPr>
            </w:pP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Meget sjældne</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lang w:val="nb-NO" w:eastAsia="de-DE"/>
              </w:rPr>
            </w:pPr>
            <w:r w:rsidRPr="00C55A79">
              <w:rPr>
                <w:sz w:val="24"/>
                <w:szCs w:val="24"/>
                <w:lang w:val="nb-NO" w:eastAsia="de-DE"/>
              </w:rPr>
              <w:t xml:space="preserve">Erythema multiforme, </w:t>
            </w:r>
            <w:r w:rsidRPr="00C55A79">
              <w:rPr>
                <w:sz w:val="24"/>
                <w:szCs w:val="24"/>
                <w:lang w:val="nb-NO" w:eastAsia="de-DE"/>
              </w:rPr>
              <w:lastRenderedPageBreak/>
              <w:t>Stevens-Johnsons syndrom, toksisk epidermal nekrolyse (TEN)</w:t>
            </w:r>
          </w:p>
          <w:p w:rsidR="00C55A79" w:rsidRPr="00C55A79" w:rsidRDefault="00C55A79" w:rsidP="00335C9E">
            <w:pPr>
              <w:widowControl w:val="0"/>
              <w:spacing w:line="276" w:lineRule="auto"/>
              <w:rPr>
                <w:sz w:val="24"/>
                <w:szCs w:val="24"/>
                <w:lang w:val="nb-NO"/>
              </w:rPr>
            </w:pPr>
            <w:r w:rsidRPr="00C55A79">
              <w:rPr>
                <w:sz w:val="24"/>
                <w:szCs w:val="24"/>
              </w:rPr>
              <w:t xml:space="preserve">Lægemiddelreaktion med </w:t>
            </w:r>
            <w:proofErr w:type="spellStart"/>
            <w:r w:rsidRPr="00C55A79">
              <w:rPr>
                <w:sz w:val="24"/>
                <w:szCs w:val="24"/>
              </w:rPr>
              <w:t>eosinofili</w:t>
            </w:r>
            <w:proofErr w:type="spellEnd"/>
            <w:r w:rsidRPr="00C55A79">
              <w:rPr>
                <w:sz w:val="24"/>
                <w:szCs w:val="24"/>
              </w:rPr>
              <w:t xml:space="preserve"> og systemiske symptomer (DRESS)</w:t>
            </w:r>
          </w:p>
        </w:tc>
      </w:tr>
      <w:tr w:rsidR="00C55A79" w:rsidRPr="00C55A79" w:rsidTr="00335C9E">
        <w:tc>
          <w:tcPr>
            <w:tcW w:w="0" w:type="auto"/>
            <w:vMerge/>
            <w:tcBorders>
              <w:left w:val="single" w:sz="4" w:space="0" w:color="auto"/>
              <w:bottom w:val="single" w:sz="4" w:space="0" w:color="auto"/>
              <w:right w:val="single" w:sz="4" w:space="0" w:color="auto"/>
            </w:tcBorders>
            <w:vAlign w:val="center"/>
          </w:tcPr>
          <w:p w:rsidR="00C55A79" w:rsidRPr="00C55A79" w:rsidRDefault="00C55A79" w:rsidP="00335C9E">
            <w:pPr>
              <w:spacing w:line="276" w:lineRule="auto"/>
              <w:rPr>
                <w:sz w:val="24"/>
                <w:szCs w:val="24"/>
                <w:lang w:val="nb-NO" w:eastAsia="pt-PT"/>
              </w:rPr>
            </w:pPr>
          </w:p>
        </w:tc>
        <w:tc>
          <w:tcPr>
            <w:tcW w:w="3070" w:type="dxa"/>
            <w:tcBorders>
              <w:top w:val="single" w:sz="4" w:space="0" w:color="auto"/>
              <w:left w:val="single" w:sz="4" w:space="0" w:color="auto"/>
              <w:bottom w:val="single" w:sz="4" w:space="0" w:color="auto"/>
              <w:right w:val="single" w:sz="4" w:space="0" w:color="auto"/>
            </w:tcBorders>
          </w:tcPr>
          <w:p w:rsidR="00C55A79" w:rsidRPr="00C55A79" w:rsidRDefault="00C55A79" w:rsidP="00335C9E">
            <w:pPr>
              <w:widowControl w:val="0"/>
              <w:spacing w:line="276" w:lineRule="auto"/>
              <w:rPr>
                <w:sz w:val="24"/>
                <w:szCs w:val="24"/>
                <w:lang w:eastAsia="de-DE"/>
              </w:rPr>
            </w:pPr>
            <w:r w:rsidRPr="00C55A79">
              <w:rPr>
                <w:sz w:val="22"/>
                <w:lang w:eastAsia="de-DE"/>
              </w:rPr>
              <w:t>Frekvens ikke kendt</w:t>
            </w:r>
          </w:p>
        </w:tc>
        <w:tc>
          <w:tcPr>
            <w:tcW w:w="3070" w:type="dxa"/>
            <w:tcBorders>
              <w:top w:val="single" w:sz="4" w:space="0" w:color="auto"/>
              <w:left w:val="single" w:sz="4" w:space="0" w:color="auto"/>
              <w:bottom w:val="single" w:sz="4" w:space="0" w:color="auto"/>
              <w:right w:val="single" w:sz="4" w:space="0" w:color="auto"/>
            </w:tcBorders>
          </w:tcPr>
          <w:p w:rsidR="00C55A79" w:rsidRPr="00C55A79" w:rsidRDefault="00C55A79" w:rsidP="00335C9E">
            <w:pPr>
              <w:widowControl w:val="0"/>
              <w:spacing w:line="276" w:lineRule="auto"/>
              <w:rPr>
                <w:sz w:val="24"/>
                <w:szCs w:val="24"/>
                <w:lang w:val="fi-FI" w:eastAsia="de-DE"/>
              </w:rPr>
            </w:pPr>
            <w:r w:rsidRPr="00C55A79">
              <w:rPr>
                <w:sz w:val="22"/>
                <w:lang w:val="fi-FI" w:eastAsia="de-DE"/>
              </w:rPr>
              <w:t>Subakut kutan lupus erythematosus (se pkt. 4.4).</w:t>
            </w:r>
          </w:p>
        </w:tc>
      </w:tr>
      <w:tr w:rsidR="00C55A79" w:rsidRPr="00C55A79" w:rsidTr="00335C9E">
        <w:tc>
          <w:tcPr>
            <w:tcW w:w="2962" w:type="dxa"/>
            <w:vMerge w:val="restart"/>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r w:rsidRPr="00C55A79">
              <w:rPr>
                <w:sz w:val="24"/>
                <w:szCs w:val="24"/>
                <w:lang w:eastAsia="de-DE"/>
              </w:rPr>
              <w:t>Knogler, led, muskler og bindevæv</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Ikke almindelig</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r w:rsidRPr="00C55A79">
              <w:rPr>
                <w:sz w:val="24"/>
                <w:szCs w:val="24"/>
                <w:lang w:eastAsia="de-DE"/>
              </w:rPr>
              <w:t>Fraktur af hofte, håndled eller rygsøjle (se pkt. 4.4.)</w:t>
            </w:r>
          </w:p>
        </w:tc>
      </w:tr>
      <w:tr w:rsidR="00C55A79" w:rsidRPr="00C55A79" w:rsidTr="00335C9E">
        <w:tc>
          <w:tcPr>
            <w:tcW w:w="0" w:type="auto"/>
            <w:vMerge/>
            <w:tcBorders>
              <w:top w:val="single" w:sz="4" w:space="0" w:color="auto"/>
              <w:left w:val="single" w:sz="4" w:space="0" w:color="auto"/>
              <w:bottom w:val="single" w:sz="4" w:space="0" w:color="auto"/>
              <w:right w:val="single" w:sz="4" w:space="0" w:color="auto"/>
            </w:tcBorders>
            <w:vAlign w:val="center"/>
            <w:hideMark/>
          </w:tcPr>
          <w:p w:rsidR="00C55A79" w:rsidRPr="00C55A79" w:rsidRDefault="00C55A79" w:rsidP="00335C9E">
            <w:pPr>
              <w:spacing w:line="276" w:lineRule="auto"/>
              <w:rPr>
                <w:sz w:val="24"/>
                <w:szCs w:val="24"/>
                <w:lang w:eastAsia="pt-PT"/>
              </w:rPr>
            </w:pP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Sjældne</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proofErr w:type="spellStart"/>
            <w:r w:rsidRPr="00C55A79">
              <w:rPr>
                <w:sz w:val="24"/>
                <w:szCs w:val="24"/>
                <w:lang w:eastAsia="de-DE"/>
              </w:rPr>
              <w:t>Artralgi</w:t>
            </w:r>
            <w:proofErr w:type="spellEnd"/>
            <w:r w:rsidRPr="00C55A79">
              <w:rPr>
                <w:sz w:val="24"/>
                <w:szCs w:val="24"/>
                <w:lang w:eastAsia="de-DE"/>
              </w:rPr>
              <w:t>, myalgi</w:t>
            </w:r>
          </w:p>
        </w:tc>
      </w:tr>
      <w:tr w:rsidR="00C55A79" w:rsidRPr="00C55A79" w:rsidTr="00335C9E">
        <w:tc>
          <w:tcPr>
            <w:tcW w:w="0" w:type="auto"/>
            <w:vMerge/>
            <w:tcBorders>
              <w:top w:val="single" w:sz="4" w:space="0" w:color="auto"/>
              <w:left w:val="single" w:sz="4" w:space="0" w:color="auto"/>
              <w:bottom w:val="single" w:sz="4" w:space="0" w:color="auto"/>
              <w:right w:val="single" w:sz="4" w:space="0" w:color="auto"/>
            </w:tcBorders>
            <w:vAlign w:val="center"/>
            <w:hideMark/>
          </w:tcPr>
          <w:p w:rsidR="00C55A79" w:rsidRPr="00C55A79" w:rsidRDefault="00C55A79" w:rsidP="00335C9E">
            <w:pPr>
              <w:spacing w:line="276" w:lineRule="auto"/>
              <w:rPr>
                <w:sz w:val="24"/>
                <w:szCs w:val="24"/>
                <w:lang w:eastAsia="pt-PT"/>
              </w:rPr>
            </w:pP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Meget sjældne</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r w:rsidRPr="00C55A79">
              <w:rPr>
                <w:sz w:val="24"/>
                <w:szCs w:val="24"/>
                <w:lang w:eastAsia="de-DE"/>
              </w:rPr>
              <w:t>Muskelsvaghed</w:t>
            </w:r>
          </w:p>
        </w:tc>
      </w:tr>
      <w:tr w:rsidR="00C55A79" w:rsidRPr="00C55A79" w:rsidTr="00335C9E">
        <w:tc>
          <w:tcPr>
            <w:tcW w:w="2962"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r w:rsidRPr="00C55A79">
              <w:rPr>
                <w:sz w:val="24"/>
                <w:szCs w:val="24"/>
                <w:lang w:eastAsia="de-DE"/>
              </w:rPr>
              <w:t>Nyrer og urinveje</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Meget sjældne</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proofErr w:type="spellStart"/>
            <w:r w:rsidRPr="00C55A79">
              <w:rPr>
                <w:sz w:val="24"/>
                <w:szCs w:val="24"/>
                <w:lang w:eastAsia="de-DE"/>
              </w:rPr>
              <w:t>Interstitiel</w:t>
            </w:r>
            <w:proofErr w:type="spellEnd"/>
            <w:r w:rsidRPr="00C55A79">
              <w:rPr>
                <w:sz w:val="24"/>
                <w:szCs w:val="24"/>
                <w:lang w:eastAsia="de-DE"/>
              </w:rPr>
              <w:t xml:space="preserve"> </w:t>
            </w:r>
            <w:proofErr w:type="spellStart"/>
            <w:r w:rsidRPr="00C55A79">
              <w:rPr>
                <w:sz w:val="24"/>
                <w:szCs w:val="24"/>
                <w:lang w:eastAsia="de-DE"/>
              </w:rPr>
              <w:t>nefrit</w:t>
            </w:r>
            <w:proofErr w:type="spellEnd"/>
            <w:r w:rsidRPr="00C55A79">
              <w:rPr>
                <w:sz w:val="24"/>
                <w:szCs w:val="24"/>
                <w:lang w:eastAsia="de-DE"/>
              </w:rPr>
              <w:t>; Hos nogle patienter er der samtidig rapporteret om nyresvigt.</w:t>
            </w:r>
          </w:p>
        </w:tc>
      </w:tr>
      <w:tr w:rsidR="00C55A79" w:rsidRPr="00C55A79" w:rsidTr="00335C9E">
        <w:tc>
          <w:tcPr>
            <w:tcW w:w="2962"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r w:rsidRPr="00C55A79">
              <w:rPr>
                <w:sz w:val="24"/>
                <w:szCs w:val="24"/>
                <w:lang w:eastAsia="de-DE"/>
              </w:rPr>
              <w:t>Det reproduktive system og mammae</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Meget sjældne</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proofErr w:type="spellStart"/>
            <w:r w:rsidRPr="00C55A79">
              <w:rPr>
                <w:sz w:val="24"/>
                <w:szCs w:val="24"/>
                <w:lang w:eastAsia="de-DE"/>
              </w:rPr>
              <w:t>Gynækomasti</w:t>
            </w:r>
            <w:proofErr w:type="spellEnd"/>
          </w:p>
        </w:tc>
      </w:tr>
      <w:tr w:rsidR="00C55A79" w:rsidRPr="00C55A79" w:rsidTr="00335C9E">
        <w:tc>
          <w:tcPr>
            <w:tcW w:w="2962"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r w:rsidRPr="00C55A79">
              <w:rPr>
                <w:sz w:val="24"/>
                <w:szCs w:val="24"/>
                <w:lang w:eastAsia="de-DE"/>
              </w:rPr>
              <w:t>Almene symptomer og reaktioner på administrationsstedet</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bCs/>
                <w:iCs/>
                <w:sz w:val="24"/>
                <w:szCs w:val="24"/>
              </w:rPr>
            </w:pPr>
            <w:r w:rsidRPr="00C55A79">
              <w:rPr>
                <w:sz w:val="24"/>
                <w:szCs w:val="24"/>
                <w:lang w:eastAsia="de-DE"/>
              </w:rPr>
              <w:t>Sjældne</w:t>
            </w:r>
          </w:p>
        </w:tc>
        <w:tc>
          <w:tcPr>
            <w:tcW w:w="3070" w:type="dxa"/>
            <w:tcBorders>
              <w:top w:val="single" w:sz="4" w:space="0" w:color="auto"/>
              <w:left w:val="single" w:sz="4" w:space="0" w:color="auto"/>
              <w:bottom w:val="single" w:sz="4" w:space="0" w:color="auto"/>
              <w:right w:val="single" w:sz="4" w:space="0" w:color="auto"/>
            </w:tcBorders>
            <w:hideMark/>
          </w:tcPr>
          <w:p w:rsidR="00C55A79" w:rsidRPr="00C55A79" w:rsidRDefault="00C55A79" w:rsidP="00335C9E">
            <w:pPr>
              <w:widowControl w:val="0"/>
              <w:spacing w:line="276" w:lineRule="auto"/>
              <w:rPr>
                <w:sz w:val="24"/>
                <w:szCs w:val="24"/>
              </w:rPr>
            </w:pPr>
            <w:r w:rsidRPr="00C55A79">
              <w:rPr>
                <w:sz w:val="24"/>
                <w:szCs w:val="24"/>
                <w:lang w:eastAsia="de-DE"/>
              </w:rPr>
              <w:t>Utilpashed, øget svedproduktion</w:t>
            </w:r>
          </w:p>
        </w:tc>
      </w:tr>
    </w:tbl>
    <w:p w:rsidR="00C55A79" w:rsidRPr="00C55A79" w:rsidRDefault="00C55A79" w:rsidP="00C55A79">
      <w:pPr>
        <w:widowControl w:val="0"/>
        <w:rPr>
          <w:bCs/>
          <w:sz w:val="24"/>
          <w:szCs w:val="24"/>
          <w:lang w:eastAsia="pt-PT"/>
        </w:rPr>
      </w:pPr>
    </w:p>
    <w:p w:rsidR="00C55A79" w:rsidRPr="00C55A79" w:rsidRDefault="00C55A79" w:rsidP="00C55A79">
      <w:pPr>
        <w:autoSpaceDE w:val="0"/>
        <w:autoSpaceDN w:val="0"/>
        <w:ind w:left="851"/>
        <w:rPr>
          <w:sz w:val="24"/>
          <w:szCs w:val="24"/>
          <w:u w:val="single"/>
        </w:rPr>
      </w:pPr>
      <w:r w:rsidRPr="00C55A79">
        <w:rPr>
          <w:sz w:val="24"/>
          <w:szCs w:val="24"/>
          <w:u w:val="single"/>
        </w:rPr>
        <w:t>Indberetning af formodede bivirkninger</w:t>
      </w:r>
    </w:p>
    <w:p w:rsidR="00C55A79" w:rsidRPr="00A619D7" w:rsidRDefault="00C55A79" w:rsidP="00C55A79">
      <w:pPr>
        <w:ind w:left="851"/>
        <w:rPr>
          <w:sz w:val="24"/>
          <w:szCs w:val="24"/>
        </w:rPr>
      </w:pPr>
      <w:r w:rsidRPr="00C55A79">
        <w:rPr>
          <w:sz w:val="24"/>
          <w:szCs w:val="24"/>
        </w:rPr>
        <w:t>Når lægemidlet er godkendt, er indberetning af formodede bivirkninger vigtig. Det muliggør løbende overvågning af benefit/</w:t>
      </w:r>
      <w:proofErr w:type="spellStart"/>
      <w:r w:rsidRPr="00C55A79">
        <w:rPr>
          <w:sz w:val="24"/>
          <w:szCs w:val="24"/>
        </w:rPr>
        <w:t>risk</w:t>
      </w:r>
      <w:proofErr w:type="spellEnd"/>
      <w:r w:rsidRPr="00C55A79">
        <w:rPr>
          <w:sz w:val="24"/>
          <w:szCs w:val="24"/>
        </w:rPr>
        <w:t>-forholdet for lægemidlet. Sundhedspersoner anmodes om at indberette alle formodede bivirkninger via:</w:t>
      </w:r>
    </w:p>
    <w:p w:rsidR="00C55A79" w:rsidRPr="00A619D7" w:rsidRDefault="00C55A79" w:rsidP="00C55A79">
      <w:pPr>
        <w:ind w:left="851"/>
        <w:rPr>
          <w:sz w:val="24"/>
          <w:szCs w:val="24"/>
        </w:rPr>
      </w:pPr>
    </w:p>
    <w:p w:rsidR="00C55A79" w:rsidRPr="00A619D7" w:rsidRDefault="00C55A79" w:rsidP="00C55A79">
      <w:pPr>
        <w:ind w:left="851"/>
        <w:rPr>
          <w:sz w:val="24"/>
          <w:szCs w:val="24"/>
        </w:rPr>
      </w:pPr>
      <w:r w:rsidRPr="00A619D7">
        <w:rPr>
          <w:sz w:val="24"/>
          <w:szCs w:val="24"/>
        </w:rPr>
        <w:t>Lægemiddelstyrelsen</w:t>
      </w:r>
    </w:p>
    <w:p w:rsidR="00C55A79" w:rsidRPr="00A619D7" w:rsidRDefault="00C55A79" w:rsidP="00C55A79">
      <w:pPr>
        <w:ind w:left="851"/>
        <w:rPr>
          <w:sz w:val="24"/>
          <w:szCs w:val="24"/>
        </w:rPr>
      </w:pPr>
      <w:r w:rsidRPr="00A619D7">
        <w:rPr>
          <w:sz w:val="24"/>
          <w:szCs w:val="24"/>
        </w:rPr>
        <w:t>Axel Heides Gade 1</w:t>
      </w:r>
    </w:p>
    <w:p w:rsidR="00C55A79" w:rsidRPr="00A619D7" w:rsidRDefault="00C55A79" w:rsidP="00C55A79">
      <w:pPr>
        <w:ind w:left="851"/>
        <w:rPr>
          <w:sz w:val="24"/>
          <w:szCs w:val="24"/>
        </w:rPr>
      </w:pPr>
      <w:r w:rsidRPr="00A619D7">
        <w:rPr>
          <w:sz w:val="24"/>
          <w:szCs w:val="24"/>
        </w:rPr>
        <w:t>DK-2300 København S</w:t>
      </w:r>
    </w:p>
    <w:p w:rsidR="00C55A79" w:rsidRPr="00C55A79" w:rsidRDefault="00C55A79" w:rsidP="00C55A79">
      <w:pPr>
        <w:ind w:left="851"/>
        <w:rPr>
          <w:sz w:val="24"/>
          <w:szCs w:val="24"/>
        </w:rPr>
      </w:pPr>
      <w:r w:rsidRPr="00C55A79">
        <w:rPr>
          <w:sz w:val="24"/>
          <w:szCs w:val="24"/>
        </w:rPr>
        <w:t xml:space="preserve">Websted: </w:t>
      </w:r>
      <w:hyperlink r:id="rId9" w:history="1">
        <w:r w:rsidRPr="00C55A79">
          <w:rPr>
            <w:rStyle w:val="Hyperlink"/>
            <w:sz w:val="24"/>
            <w:szCs w:val="24"/>
          </w:rPr>
          <w:t>www.meldenbivirkning.dk</w:t>
        </w:r>
      </w:hyperlink>
    </w:p>
    <w:p w:rsidR="001F29F9" w:rsidRPr="00C55A79" w:rsidRDefault="001F29F9" w:rsidP="001F29F9">
      <w:pPr>
        <w:autoSpaceDE w:val="0"/>
        <w:autoSpaceDN w:val="0"/>
        <w:adjustRightInd w:val="0"/>
        <w:ind w:left="561" w:hanging="561"/>
        <w:rPr>
          <w:b/>
          <w:bCs/>
          <w:sz w:val="24"/>
          <w:szCs w:val="24"/>
        </w:rPr>
      </w:pPr>
    </w:p>
    <w:p w:rsidR="001F29F9" w:rsidRPr="006510F2" w:rsidRDefault="001F29F9" w:rsidP="001F29F9">
      <w:pPr>
        <w:autoSpaceDE w:val="0"/>
        <w:autoSpaceDN w:val="0"/>
        <w:adjustRightInd w:val="0"/>
        <w:ind w:left="851" w:hanging="851"/>
        <w:rPr>
          <w:b/>
          <w:bCs/>
          <w:sz w:val="24"/>
          <w:szCs w:val="24"/>
        </w:rPr>
      </w:pPr>
      <w:r w:rsidRPr="006510F2">
        <w:rPr>
          <w:b/>
          <w:bCs/>
          <w:sz w:val="24"/>
          <w:szCs w:val="24"/>
        </w:rPr>
        <w:t>4.9</w:t>
      </w:r>
      <w:r w:rsidRPr="006510F2">
        <w:rPr>
          <w:b/>
          <w:bCs/>
          <w:sz w:val="24"/>
          <w:szCs w:val="24"/>
        </w:rPr>
        <w:tab/>
        <w:t xml:space="preserve">Overdosering </w:t>
      </w:r>
    </w:p>
    <w:p w:rsidR="001F29F9" w:rsidRPr="006510F2" w:rsidRDefault="001F29F9" w:rsidP="001F29F9">
      <w:pPr>
        <w:autoSpaceDE w:val="0"/>
        <w:autoSpaceDN w:val="0"/>
        <w:adjustRightInd w:val="0"/>
        <w:ind w:left="851"/>
        <w:rPr>
          <w:i/>
          <w:iCs/>
          <w:sz w:val="24"/>
          <w:szCs w:val="24"/>
        </w:rPr>
      </w:pPr>
      <w:r w:rsidRPr="006510F2">
        <w:rPr>
          <w:sz w:val="24"/>
          <w:szCs w:val="24"/>
        </w:rPr>
        <w:t xml:space="preserve">Der er til dato meget begrænset erfaring med bevidst overdosering. De symptomer, der er beskrevet i forbindelse med 280 mg, var mave-tarm-symptomer og svaghed. Enkeltdoser af 80 mg </w:t>
      </w:r>
      <w:proofErr w:type="spellStart"/>
      <w:r w:rsidRPr="006510F2">
        <w:rPr>
          <w:sz w:val="24"/>
          <w:szCs w:val="24"/>
        </w:rPr>
        <w:t>esomeprazol</w:t>
      </w:r>
      <w:proofErr w:type="spellEnd"/>
      <w:r w:rsidRPr="006510F2">
        <w:rPr>
          <w:sz w:val="24"/>
          <w:szCs w:val="24"/>
        </w:rPr>
        <w:t xml:space="preserve"> var uden hændelser. Der er intet kendt specifikt </w:t>
      </w:r>
      <w:proofErr w:type="spellStart"/>
      <w:r w:rsidRPr="006510F2">
        <w:rPr>
          <w:sz w:val="24"/>
          <w:szCs w:val="24"/>
        </w:rPr>
        <w:t>antidot</w:t>
      </w:r>
      <w:proofErr w:type="spellEnd"/>
      <w:r w:rsidRPr="006510F2">
        <w:rPr>
          <w:sz w:val="24"/>
          <w:szCs w:val="24"/>
        </w:rPr>
        <w:t xml:space="preserve">. </w:t>
      </w:r>
      <w:proofErr w:type="spellStart"/>
      <w:r w:rsidRPr="006510F2">
        <w:rPr>
          <w:sz w:val="24"/>
          <w:szCs w:val="24"/>
        </w:rPr>
        <w:t>Esomeprazol</w:t>
      </w:r>
      <w:proofErr w:type="spellEnd"/>
      <w:r w:rsidRPr="006510F2">
        <w:rPr>
          <w:sz w:val="24"/>
          <w:szCs w:val="24"/>
        </w:rPr>
        <w:t xml:space="preserve"> er i vid udstrækning plasmaproteinbundet og er derfor ikke umiddelbart </w:t>
      </w:r>
      <w:proofErr w:type="spellStart"/>
      <w:r w:rsidRPr="006510F2">
        <w:rPr>
          <w:sz w:val="24"/>
          <w:szCs w:val="24"/>
        </w:rPr>
        <w:t>dialyserbar</w:t>
      </w:r>
      <w:proofErr w:type="spellEnd"/>
      <w:r w:rsidRPr="006510F2">
        <w:rPr>
          <w:sz w:val="24"/>
          <w:szCs w:val="24"/>
        </w:rPr>
        <w:t>. Som ved ethvert tilfælde af overdosering skal behandlingen være symptomatisk, og generelle understøttende tiltag skal iværksættes.</w:t>
      </w:r>
    </w:p>
    <w:p w:rsidR="001F29F9" w:rsidRPr="006510F2" w:rsidRDefault="001F29F9" w:rsidP="001F29F9">
      <w:pPr>
        <w:autoSpaceDE w:val="0"/>
        <w:autoSpaceDN w:val="0"/>
        <w:adjustRightInd w:val="0"/>
        <w:rPr>
          <w:b/>
          <w:bCs/>
          <w:sz w:val="24"/>
          <w:szCs w:val="24"/>
        </w:rPr>
      </w:pPr>
    </w:p>
    <w:p w:rsidR="001F29F9" w:rsidRDefault="001F29F9" w:rsidP="001F29F9">
      <w:pPr>
        <w:tabs>
          <w:tab w:val="left" w:pos="851"/>
        </w:tabs>
        <w:autoSpaceDE w:val="0"/>
        <w:autoSpaceDN w:val="0"/>
        <w:adjustRightInd w:val="0"/>
        <w:rPr>
          <w:b/>
          <w:bCs/>
          <w:sz w:val="24"/>
          <w:szCs w:val="24"/>
        </w:rPr>
      </w:pPr>
      <w:r>
        <w:rPr>
          <w:b/>
          <w:bCs/>
          <w:sz w:val="24"/>
          <w:szCs w:val="24"/>
        </w:rPr>
        <w:t>4.10</w:t>
      </w:r>
      <w:r>
        <w:rPr>
          <w:b/>
          <w:bCs/>
          <w:sz w:val="24"/>
          <w:szCs w:val="24"/>
        </w:rPr>
        <w:tab/>
        <w:t>Udlevering</w:t>
      </w:r>
    </w:p>
    <w:p w:rsidR="001F29F9" w:rsidRDefault="001F29F9" w:rsidP="001F29F9">
      <w:pPr>
        <w:tabs>
          <w:tab w:val="left" w:pos="851"/>
        </w:tabs>
        <w:autoSpaceDE w:val="0"/>
        <w:autoSpaceDN w:val="0"/>
        <w:adjustRightInd w:val="0"/>
        <w:rPr>
          <w:b/>
          <w:bCs/>
          <w:sz w:val="24"/>
          <w:szCs w:val="24"/>
        </w:rPr>
      </w:pPr>
      <w:r>
        <w:rPr>
          <w:b/>
          <w:bCs/>
          <w:sz w:val="24"/>
          <w:szCs w:val="24"/>
        </w:rPr>
        <w:tab/>
        <w:t>B</w:t>
      </w:r>
    </w:p>
    <w:p w:rsidR="001F29F9" w:rsidRDefault="001F29F9" w:rsidP="001F29F9">
      <w:pPr>
        <w:tabs>
          <w:tab w:val="left" w:pos="851"/>
        </w:tabs>
        <w:autoSpaceDE w:val="0"/>
        <w:autoSpaceDN w:val="0"/>
        <w:adjustRightInd w:val="0"/>
        <w:rPr>
          <w:b/>
          <w:bCs/>
          <w:sz w:val="24"/>
          <w:szCs w:val="24"/>
        </w:rPr>
      </w:pPr>
    </w:p>
    <w:p w:rsidR="001F29F9" w:rsidRPr="006510F2" w:rsidRDefault="001F29F9" w:rsidP="001F29F9">
      <w:pPr>
        <w:tabs>
          <w:tab w:val="left" w:pos="851"/>
        </w:tabs>
        <w:autoSpaceDE w:val="0"/>
        <w:autoSpaceDN w:val="0"/>
        <w:adjustRightInd w:val="0"/>
        <w:rPr>
          <w:b/>
          <w:bCs/>
          <w:sz w:val="24"/>
          <w:szCs w:val="24"/>
        </w:rPr>
      </w:pPr>
    </w:p>
    <w:p w:rsidR="001F29F9" w:rsidRPr="00C55A79" w:rsidRDefault="001F29F9" w:rsidP="00C55A79">
      <w:pPr>
        <w:pStyle w:val="Listeafsnit"/>
        <w:numPr>
          <w:ilvl w:val="0"/>
          <w:numId w:val="1"/>
        </w:numPr>
        <w:tabs>
          <w:tab w:val="clear" w:pos="855"/>
          <w:tab w:val="left" w:pos="851"/>
        </w:tabs>
        <w:autoSpaceDE w:val="0"/>
        <w:autoSpaceDN w:val="0"/>
        <w:adjustRightInd w:val="0"/>
        <w:rPr>
          <w:b/>
          <w:bCs/>
          <w:sz w:val="24"/>
          <w:szCs w:val="24"/>
        </w:rPr>
      </w:pPr>
      <w:r w:rsidRPr="002C3C50">
        <w:rPr>
          <w:b/>
          <w:bCs/>
          <w:sz w:val="24"/>
          <w:szCs w:val="24"/>
        </w:rPr>
        <w:t>FARMAKOLOGISKE EGENSKABER</w:t>
      </w:r>
    </w:p>
    <w:p w:rsidR="001F29F9" w:rsidRPr="006510F2" w:rsidRDefault="001F29F9" w:rsidP="001F29F9">
      <w:pPr>
        <w:autoSpaceDE w:val="0"/>
        <w:autoSpaceDN w:val="0"/>
        <w:adjustRightInd w:val="0"/>
        <w:ind w:left="851"/>
        <w:rPr>
          <w:b/>
          <w:bCs/>
          <w:sz w:val="24"/>
          <w:szCs w:val="24"/>
        </w:rPr>
      </w:pPr>
    </w:p>
    <w:p w:rsidR="001F29F9" w:rsidRPr="006510F2" w:rsidRDefault="001F29F9" w:rsidP="001F29F9">
      <w:pPr>
        <w:autoSpaceDE w:val="0"/>
        <w:autoSpaceDN w:val="0"/>
        <w:adjustRightInd w:val="0"/>
        <w:ind w:left="851" w:hanging="851"/>
        <w:rPr>
          <w:b/>
          <w:bCs/>
          <w:sz w:val="24"/>
          <w:szCs w:val="24"/>
        </w:rPr>
      </w:pPr>
      <w:r w:rsidRPr="006510F2">
        <w:rPr>
          <w:b/>
          <w:bCs/>
          <w:sz w:val="24"/>
          <w:szCs w:val="24"/>
        </w:rPr>
        <w:t>5.1</w:t>
      </w:r>
      <w:r w:rsidRPr="006510F2">
        <w:rPr>
          <w:b/>
          <w:bCs/>
          <w:sz w:val="24"/>
          <w:szCs w:val="24"/>
        </w:rPr>
        <w:tab/>
      </w:r>
      <w:proofErr w:type="spellStart"/>
      <w:r w:rsidRPr="006510F2">
        <w:rPr>
          <w:b/>
          <w:bCs/>
          <w:sz w:val="24"/>
          <w:szCs w:val="24"/>
        </w:rPr>
        <w:t>Farmakodynamiske</w:t>
      </w:r>
      <w:proofErr w:type="spellEnd"/>
      <w:r w:rsidRPr="006510F2">
        <w:rPr>
          <w:b/>
          <w:bCs/>
          <w:sz w:val="24"/>
          <w:szCs w:val="24"/>
        </w:rPr>
        <w:t xml:space="preserve"> egenskaber</w:t>
      </w:r>
    </w:p>
    <w:p w:rsidR="00704D69" w:rsidRDefault="00704D69" w:rsidP="00704D69">
      <w:pPr>
        <w:widowControl w:val="0"/>
        <w:autoSpaceDE w:val="0"/>
        <w:autoSpaceDN w:val="0"/>
        <w:adjustRightInd w:val="0"/>
        <w:ind w:left="851"/>
        <w:rPr>
          <w:sz w:val="24"/>
          <w:szCs w:val="24"/>
        </w:rPr>
      </w:pPr>
      <w:proofErr w:type="spellStart"/>
      <w:r>
        <w:rPr>
          <w:sz w:val="24"/>
          <w:szCs w:val="24"/>
        </w:rPr>
        <w:t>Farmakoterapeutisk</w:t>
      </w:r>
      <w:proofErr w:type="spellEnd"/>
      <w:r>
        <w:rPr>
          <w:sz w:val="24"/>
          <w:szCs w:val="24"/>
        </w:rPr>
        <w:t xml:space="preserve"> klassifikation: Midler mod syrerelaterede forstyrrelser, </w:t>
      </w:r>
      <w:proofErr w:type="spellStart"/>
      <w:r>
        <w:rPr>
          <w:sz w:val="24"/>
          <w:szCs w:val="24"/>
        </w:rPr>
        <w:t>protonpumpehæmmere</w:t>
      </w:r>
      <w:proofErr w:type="spellEnd"/>
      <w:r>
        <w:rPr>
          <w:sz w:val="24"/>
          <w:szCs w:val="24"/>
        </w:rPr>
        <w:t>, ATC-kode: A02BC05.</w:t>
      </w:r>
    </w:p>
    <w:p w:rsidR="00C55A79" w:rsidRDefault="00C55A79" w:rsidP="00C55A79">
      <w:pPr>
        <w:rPr>
          <w:sz w:val="24"/>
          <w:szCs w:val="24"/>
        </w:rPr>
      </w:pPr>
    </w:p>
    <w:p w:rsidR="00C55A79" w:rsidRPr="00A619D7" w:rsidRDefault="00C55A79" w:rsidP="00C55A79">
      <w:pPr>
        <w:ind w:left="851"/>
        <w:rPr>
          <w:sz w:val="24"/>
          <w:szCs w:val="24"/>
        </w:rPr>
      </w:pPr>
      <w:proofErr w:type="spellStart"/>
      <w:r w:rsidRPr="00A619D7">
        <w:rPr>
          <w:sz w:val="24"/>
          <w:szCs w:val="24"/>
        </w:rPr>
        <w:t>Esomeprazol</w:t>
      </w:r>
      <w:proofErr w:type="spellEnd"/>
      <w:r w:rsidRPr="00A619D7">
        <w:rPr>
          <w:sz w:val="24"/>
          <w:szCs w:val="24"/>
        </w:rPr>
        <w:t xml:space="preserve"> er </w:t>
      </w:r>
      <w:r w:rsidRPr="00A619D7">
        <w:rPr>
          <w:i/>
          <w:iCs/>
          <w:sz w:val="24"/>
          <w:szCs w:val="24"/>
        </w:rPr>
        <w:t>S</w:t>
      </w:r>
      <w:r w:rsidRPr="00A619D7">
        <w:rPr>
          <w:sz w:val="24"/>
          <w:szCs w:val="24"/>
        </w:rPr>
        <w:t xml:space="preserve">-isomeren af </w:t>
      </w:r>
      <w:proofErr w:type="spellStart"/>
      <w:r w:rsidRPr="00A619D7">
        <w:rPr>
          <w:sz w:val="24"/>
          <w:szCs w:val="24"/>
        </w:rPr>
        <w:t>omeprazol</w:t>
      </w:r>
      <w:proofErr w:type="spellEnd"/>
      <w:r w:rsidRPr="00A619D7">
        <w:rPr>
          <w:sz w:val="24"/>
          <w:szCs w:val="24"/>
        </w:rPr>
        <w:t xml:space="preserve">, som reducerer mavesyreudskillelse ved hjælp af en specifik målrettet virkningsmekanisme. Det er en specifik inhibitor af syrepumpen i </w:t>
      </w:r>
      <w:proofErr w:type="spellStart"/>
      <w:r w:rsidRPr="00A619D7">
        <w:rPr>
          <w:sz w:val="24"/>
          <w:szCs w:val="24"/>
        </w:rPr>
        <w:t>parietalcellen</w:t>
      </w:r>
      <w:proofErr w:type="spellEnd"/>
      <w:r w:rsidRPr="00A619D7">
        <w:rPr>
          <w:sz w:val="24"/>
          <w:szCs w:val="24"/>
        </w:rPr>
        <w:t xml:space="preserve">. </w:t>
      </w:r>
      <w:r w:rsidRPr="00A619D7">
        <w:rPr>
          <w:i/>
          <w:iCs/>
          <w:sz w:val="24"/>
          <w:szCs w:val="24"/>
        </w:rPr>
        <w:t>R</w:t>
      </w:r>
      <w:r w:rsidRPr="00A619D7">
        <w:rPr>
          <w:sz w:val="24"/>
          <w:szCs w:val="24"/>
        </w:rPr>
        <w:t xml:space="preserve">- og </w:t>
      </w:r>
      <w:r w:rsidRPr="00A619D7">
        <w:rPr>
          <w:i/>
          <w:iCs/>
          <w:sz w:val="24"/>
          <w:szCs w:val="24"/>
        </w:rPr>
        <w:t>S</w:t>
      </w:r>
      <w:r w:rsidRPr="00A619D7">
        <w:rPr>
          <w:sz w:val="24"/>
          <w:szCs w:val="24"/>
        </w:rPr>
        <w:t xml:space="preserve">-isomeren af </w:t>
      </w:r>
      <w:proofErr w:type="spellStart"/>
      <w:r w:rsidRPr="00A619D7">
        <w:rPr>
          <w:sz w:val="24"/>
          <w:szCs w:val="24"/>
        </w:rPr>
        <w:t>omeprazol</w:t>
      </w:r>
      <w:proofErr w:type="spellEnd"/>
      <w:r w:rsidRPr="00A619D7">
        <w:rPr>
          <w:sz w:val="24"/>
          <w:szCs w:val="24"/>
        </w:rPr>
        <w:t xml:space="preserve"> har tilsvarende </w:t>
      </w:r>
      <w:proofErr w:type="spellStart"/>
      <w:r w:rsidRPr="00A619D7">
        <w:rPr>
          <w:sz w:val="24"/>
          <w:szCs w:val="24"/>
        </w:rPr>
        <w:t>farmakodynamisk</w:t>
      </w:r>
      <w:proofErr w:type="spellEnd"/>
      <w:r w:rsidRPr="00A619D7">
        <w:rPr>
          <w:sz w:val="24"/>
          <w:szCs w:val="24"/>
        </w:rPr>
        <w:t xml:space="preserve"> aktivitet.</w:t>
      </w:r>
    </w:p>
    <w:p w:rsidR="00C55A79" w:rsidRPr="00A619D7" w:rsidRDefault="00C55A79" w:rsidP="00C55A79">
      <w:pPr>
        <w:rPr>
          <w:b/>
          <w:bCs/>
          <w:i/>
          <w:iCs/>
          <w:sz w:val="24"/>
          <w:szCs w:val="24"/>
        </w:rPr>
      </w:pPr>
    </w:p>
    <w:p w:rsidR="00C55A79" w:rsidRPr="00A619D7" w:rsidRDefault="00C55A79" w:rsidP="00C55A79">
      <w:pPr>
        <w:ind w:left="851"/>
        <w:rPr>
          <w:b/>
          <w:bCs/>
          <w:sz w:val="24"/>
          <w:szCs w:val="24"/>
        </w:rPr>
      </w:pPr>
      <w:r w:rsidRPr="00A619D7">
        <w:rPr>
          <w:bCs/>
          <w:sz w:val="24"/>
          <w:szCs w:val="24"/>
          <w:u w:val="single"/>
        </w:rPr>
        <w:t>Virkningsmekanisme</w:t>
      </w:r>
    </w:p>
    <w:p w:rsidR="00C55A79" w:rsidRPr="00A619D7" w:rsidRDefault="00C55A79" w:rsidP="00C55A79">
      <w:pPr>
        <w:ind w:left="851"/>
        <w:rPr>
          <w:sz w:val="24"/>
          <w:szCs w:val="24"/>
        </w:rPr>
      </w:pPr>
      <w:proofErr w:type="spellStart"/>
      <w:r w:rsidRPr="00A619D7">
        <w:rPr>
          <w:sz w:val="24"/>
          <w:szCs w:val="24"/>
        </w:rPr>
        <w:t>Esomeprazol</w:t>
      </w:r>
      <w:proofErr w:type="spellEnd"/>
      <w:r w:rsidRPr="00A619D7">
        <w:rPr>
          <w:sz w:val="24"/>
          <w:szCs w:val="24"/>
        </w:rPr>
        <w:t xml:space="preserve"> er en svag base, som </w:t>
      </w:r>
      <w:proofErr w:type="spellStart"/>
      <w:r w:rsidRPr="00A619D7">
        <w:rPr>
          <w:sz w:val="24"/>
          <w:szCs w:val="24"/>
        </w:rPr>
        <w:t>opkoncentreres</w:t>
      </w:r>
      <w:proofErr w:type="spellEnd"/>
      <w:r w:rsidRPr="00A619D7">
        <w:rPr>
          <w:sz w:val="24"/>
          <w:szCs w:val="24"/>
        </w:rPr>
        <w:t xml:space="preserve"> og omdannes til den aktive form i det stærkt sure miljø i </w:t>
      </w:r>
      <w:proofErr w:type="spellStart"/>
      <w:r w:rsidRPr="00A619D7">
        <w:rPr>
          <w:sz w:val="24"/>
          <w:szCs w:val="24"/>
        </w:rPr>
        <w:t>parietalcellens</w:t>
      </w:r>
      <w:proofErr w:type="spellEnd"/>
      <w:r w:rsidRPr="00A619D7">
        <w:rPr>
          <w:sz w:val="24"/>
          <w:szCs w:val="24"/>
        </w:rPr>
        <w:t xml:space="preserve"> </w:t>
      </w:r>
      <w:proofErr w:type="spellStart"/>
      <w:r w:rsidRPr="00A619D7">
        <w:rPr>
          <w:sz w:val="24"/>
          <w:szCs w:val="24"/>
        </w:rPr>
        <w:t>sekretoriske</w:t>
      </w:r>
      <w:proofErr w:type="spellEnd"/>
      <w:r w:rsidRPr="00A619D7">
        <w:rPr>
          <w:sz w:val="24"/>
          <w:szCs w:val="24"/>
        </w:rPr>
        <w:t xml:space="preserve"> </w:t>
      </w:r>
      <w:proofErr w:type="spellStart"/>
      <w:r w:rsidRPr="00A619D7">
        <w:rPr>
          <w:sz w:val="24"/>
          <w:szCs w:val="24"/>
        </w:rPr>
        <w:t>canaliculi</w:t>
      </w:r>
      <w:proofErr w:type="spellEnd"/>
      <w:r w:rsidRPr="00A619D7">
        <w:rPr>
          <w:sz w:val="24"/>
          <w:szCs w:val="24"/>
        </w:rPr>
        <w:t>, hvor det hæmmer enzymet H</w:t>
      </w:r>
      <w:r w:rsidRPr="00A619D7">
        <w:rPr>
          <w:sz w:val="24"/>
          <w:szCs w:val="24"/>
          <w:vertAlign w:val="superscript"/>
        </w:rPr>
        <w:t>+</w:t>
      </w:r>
      <w:r w:rsidRPr="00A619D7">
        <w:rPr>
          <w:sz w:val="24"/>
          <w:szCs w:val="24"/>
        </w:rPr>
        <w:t>K</w:t>
      </w:r>
      <w:r w:rsidRPr="00A619D7">
        <w:rPr>
          <w:sz w:val="24"/>
          <w:szCs w:val="24"/>
          <w:vertAlign w:val="superscript"/>
        </w:rPr>
        <w:t>+</w:t>
      </w:r>
      <w:r w:rsidRPr="00A619D7">
        <w:rPr>
          <w:sz w:val="24"/>
          <w:szCs w:val="24"/>
        </w:rPr>
        <w:t>-</w:t>
      </w:r>
      <w:proofErr w:type="spellStart"/>
      <w:r w:rsidRPr="00A619D7">
        <w:rPr>
          <w:sz w:val="24"/>
          <w:szCs w:val="24"/>
        </w:rPr>
        <w:t>ATPase</w:t>
      </w:r>
      <w:proofErr w:type="spellEnd"/>
      <w:r w:rsidRPr="00A619D7">
        <w:rPr>
          <w:sz w:val="24"/>
          <w:szCs w:val="24"/>
        </w:rPr>
        <w:t xml:space="preserve"> – syrepumpen og hæmmer både basal og stimuleret syreudskillelse.</w:t>
      </w:r>
    </w:p>
    <w:p w:rsidR="00C55A79" w:rsidRPr="00A619D7" w:rsidRDefault="00C55A79" w:rsidP="00C55A79">
      <w:pPr>
        <w:ind w:left="851"/>
        <w:rPr>
          <w:b/>
          <w:bCs/>
          <w:i/>
          <w:iCs/>
          <w:sz w:val="24"/>
          <w:szCs w:val="24"/>
        </w:rPr>
      </w:pPr>
    </w:p>
    <w:p w:rsidR="00C55A79" w:rsidRPr="00A619D7" w:rsidRDefault="00C55A79" w:rsidP="00C55A79">
      <w:pPr>
        <w:ind w:left="851"/>
        <w:rPr>
          <w:b/>
          <w:bCs/>
          <w:sz w:val="24"/>
          <w:szCs w:val="24"/>
        </w:rPr>
      </w:pPr>
      <w:proofErr w:type="spellStart"/>
      <w:r w:rsidRPr="00A619D7">
        <w:rPr>
          <w:bCs/>
          <w:sz w:val="24"/>
          <w:szCs w:val="24"/>
          <w:u w:val="single"/>
        </w:rPr>
        <w:t>Farmakodynamisk</w:t>
      </w:r>
      <w:proofErr w:type="spellEnd"/>
      <w:r w:rsidRPr="00A619D7">
        <w:rPr>
          <w:bCs/>
          <w:sz w:val="24"/>
          <w:szCs w:val="24"/>
          <w:u w:val="single"/>
        </w:rPr>
        <w:t xml:space="preserve"> virkning</w:t>
      </w:r>
    </w:p>
    <w:p w:rsidR="00C55A79" w:rsidRPr="00A619D7" w:rsidRDefault="00C55A79" w:rsidP="00C55A79">
      <w:pPr>
        <w:ind w:left="851"/>
        <w:rPr>
          <w:sz w:val="24"/>
          <w:szCs w:val="24"/>
        </w:rPr>
      </w:pPr>
      <w:r w:rsidRPr="00A619D7">
        <w:rPr>
          <w:sz w:val="24"/>
          <w:szCs w:val="24"/>
        </w:rPr>
        <w:t xml:space="preserve">Efter oral dosering med </w:t>
      </w:r>
      <w:proofErr w:type="spellStart"/>
      <w:r w:rsidRPr="00A619D7">
        <w:rPr>
          <w:sz w:val="24"/>
          <w:szCs w:val="24"/>
        </w:rPr>
        <w:t>esomeprazol</w:t>
      </w:r>
      <w:proofErr w:type="spellEnd"/>
      <w:r w:rsidRPr="00A619D7">
        <w:rPr>
          <w:sz w:val="24"/>
          <w:szCs w:val="24"/>
        </w:rPr>
        <w:t xml:space="preserve"> 20 mg og 40 mg indtræder virkningsstarten inden for en time. Efter gentagen administration af 20 mg </w:t>
      </w:r>
      <w:proofErr w:type="spellStart"/>
      <w:r w:rsidRPr="00A619D7">
        <w:rPr>
          <w:sz w:val="24"/>
          <w:szCs w:val="24"/>
        </w:rPr>
        <w:t>esomeprazol</w:t>
      </w:r>
      <w:proofErr w:type="spellEnd"/>
      <w:r w:rsidRPr="00A619D7">
        <w:rPr>
          <w:sz w:val="24"/>
          <w:szCs w:val="24"/>
        </w:rPr>
        <w:t xml:space="preserve"> en gang daglig i fem dage er det gennemsnitlige, maksimale syreoutput efter </w:t>
      </w:r>
      <w:proofErr w:type="spellStart"/>
      <w:r w:rsidRPr="00A619D7">
        <w:rPr>
          <w:sz w:val="24"/>
          <w:szCs w:val="24"/>
        </w:rPr>
        <w:t>pentagastrin</w:t>
      </w:r>
      <w:proofErr w:type="spellEnd"/>
      <w:r w:rsidRPr="00A619D7">
        <w:rPr>
          <w:sz w:val="24"/>
          <w:szCs w:val="24"/>
        </w:rPr>
        <w:t>-stimulering faldet 90 % ved måling 6</w:t>
      </w:r>
      <w:r w:rsidRPr="00A619D7">
        <w:rPr>
          <w:sz w:val="24"/>
          <w:szCs w:val="24"/>
        </w:rPr>
        <w:noBreakHyphen/>
        <w:t>7 timer efter dosering på dag fem.</w:t>
      </w:r>
    </w:p>
    <w:p w:rsidR="00C55A79" w:rsidRPr="00A619D7" w:rsidRDefault="00C55A79" w:rsidP="00C55A79">
      <w:pPr>
        <w:ind w:left="851"/>
        <w:rPr>
          <w:sz w:val="24"/>
          <w:szCs w:val="24"/>
        </w:rPr>
      </w:pPr>
      <w:r w:rsidRPr="00A619D7">
        <w:rPr>
          <w:sz w:val="24"/>
          <w:szCs w:val="24"/>
        </w:rPr>
        <w:t xml:space="preserve">Efter fem dage med oral dosering med 20 mg og 40 mg </w:t>
      </w:r>
      <w:proofErr w:type="spellStart"/>
      <w:r w:rsidRPr="00A619D7">
        <w:rPr>
          <w:sz w:val="24"/>
          <w:szCs w:val="24"/>
        </w:rPr>
        <w:t>esomeprazol</w:t>
      </w:r>
      <w:proofErr w:type="spellEnd"/>
      <w:r w:rsidRPr="00A619D7">
        <w:rPr>
          <w:sz w:val="24"/>
          <w:szCs w:val="24"/>
        </w:rPr>
        <w:t xml:space="preserve"> blev et intragastrisk pH på over 4 opretholdt i et gennemsnitligt tidsrum på henholdsvis 13 timer og 17 timer over 24 timer hos symptomatiske GERD-patienter. </w:t>
      </w:r>
      <w:r w:rsidRPr="00C55A79">
        <w:rPr>
          <w:sz w:val="24"/>
          <w:szCs w:val="24"/>
        </w:rPr>
        <w:t>Den andel af patienter, der opretholdt et intragastrisk pH på over 4 i mindst 8, 12 og 16 timer, var fo</w:t>
      </w:r>
      <w:r w:rsidRPr="00A619D7">
        <w:rPr>
          <w:sz w:val="24"/>
          <w:szCs w:val="24"/>
        </w:rPr>
        <w:t xml:space="preserve">r </w:t>
      </w:r>
      <w:proofErr w:type="spellStart"/>
      <w:r w:rsidRPr="00A619D7">
        <w:rPr>
          <w:sz w:val="24"/>
          <w:szCs w:val="24"/>
        </w:rPr>
        <w:t>esomeprazol</w:t>
      </w:r>
      <w:proofErr w:type="spellEnd"/>
      <w:r w:rsidRPr="00A619D7">
        <w:rPr>
          <w:sz w:val="24"/>
          <w:szCs w:val="24"/>
        </w:rPr>
        <w:t xml:space="preserve"> 20 mg henholdsvis 76 %, 54 % og 24 %. De tilsvarende andele for </w:t>
      </w:r>
      <w:proofErr w:type="spellStart"/>
      <w:r w:rsidRPr="00A619D7">
        <w:rPr>
          <w:sz w:val="24"/>
          <w:szCs w:val="24"/>
        </w:rPr>
        <w:t>esomeprazol</w:t>
      </w:r>
      <w:proofErr w:type="spellEnd"/>
      <w:r w:rsidRPr="00A619D7">
        <w:rPr>
          <w:sz w:val="24"/>
          <w:szCs w:val="24"/>
        </w:rPr>
        <w:t xml:space="preserve"> 40 mg var 97 %, 92 % og 56 %.</w:t>
      </w:r>
    </w:p>
    <w:p w:rsidR="00C55A79" w:rsidRPr="00A619D7" w:rsidRDefault="00C55A79" w:rsidP="00C55A79">
      <w:pPr>
        <w:ind w:left="851"/>
        <w:rPr>
          <w:sz w:val="24"/>
          <w:szCs w:val="24"/>
        </w:rPr>
      </w:pPr>
    </w:p>
    <w:p w:rsidR="00C55A79" w:rsidRPr="00A619D7" w:rsidRDefault="00C55A79" w:rsidP="00C55A79">
      <w:pPr>
        <w:ind w:left="851"/>
        <w:rPr>
          <w:sz w:val="24"/>
          <w:szCs w:val="24"/>
        </w:rPr>
      </w:pPr>
      <w:r w:rsidRPr="00A619D7">
        <w:rPr>
          <w:sz w:val="24"/>
          <w:szCs w:val="24"/>
        </w:rPr>
        <w:t xml:space="preserve">Der er ved brug af AUC som en surrogatparameter for plasmakoncentrationen vist et indbyrdes forhold mellem </w:t>
      </w:r>
      <w:proofErr w:type="spellStart"/>
      <w:r w:rsidRPr="00A619D7">
        <w:rPr>
          <w:sz w:val="24"/>
          <w:szCs w:val="24"/>
        </w:rPr>
        <w:t>inhibering</w:t>
      </w:r>
      <w:proofErr w:type="spellEnd"/>
      <w:r w:rsidRPr="00A619D7">
        <w:rPr>
          <w:sz w:val="24"/>
          <w:szCs w:val="24"/>
        </w:rPr>
        <w:t xml:space="preserve"> af syreudskillelse og eksponering.</w:t>
      </w:r>
    </w:p>
    <w:p w:rsidR="00C55A79" w:rsidRPr="00A619D7" w:rsidRDefault="00C55A79" w:rsidP="00C55A79">
      <w:pPr>
        <w:ind w:left="851"/>
        <w:rPr>
          <w:b/>
          <w:bCs/>
          <w:i/>
          <w:iCs/>
          <w:sz w:val="24"/>
          <w:szCs w:val="24"/>
        </w:rPr>
      </w:pPr>
    </w:p>
    <w:p w:rsidR="00C55A79" w:rsidRPr="00A619D7" w:rsidRDefault="00C55A79" w:rsidP="00C55A79">
      <w:pPr>
        <w:ind w:left="851"/>
        <w:rPr>
          <w:sz w:val="24"/>
          <w:szCs w:val="24"/>
        </w:rPr>
      </w:pPr>
      <w:r w:rsidRPr="00A619D7">
        <w:rPr>
          <w:sz w:val="24"/>
          <w:szCs w:val="24"/>
        </w:rPr>
        <w:t xml:space="preserve">Heling af </w:t>
      </w:r>
      <w:proofErr w:type="spellStart"/>
      <w:r w:rsidRPr="00A619D7">
        <w:rPr>
          <w:sz w:val="24"/>
          <w:szCs w:val="24"/>
        </w:rPr>
        <w:t>refluksøsofagit</w:t>
      </w:r>
      <w:proofErr w:type="spellEnd"/>
      <w:r w:rsidRPr="00A619D7">
        <w:rPr>
          <w:sz w:val="24"/>
          <w:szCs w:val="24"/>
        </w:rPr>
        <w:t xml:space="preserve"> med </w:t>
      </w:r>
      <w:proofErr w:type="spellStart"/>
      <w:r w:rsidRPr="00A619D7">
        <w:rPr>
          <w:sz w:val="24"/>
          <w:szCs w:val="24"/>
        </w:rPr>
        <w:t>esomeprazol</w:t>
      </w:r>
      <w:proofErr w:type="spellEnd"/>
      <w:r w:rsidRPr="00A619D7">
        <w:rPr>
          <w:sz w:val="24"/>
          <w:szCs w:val="24"/>
        </w:rPr>
        <w:t xml:space="preserve"> 40 mg forekommer hos ca. 78 % af patienterne efter fire uger og hos 93 % efter otte uger.</w:t>
      </w:r>
    </w:p>
    <w:p w:rsidR="00C55A79" w:rsidRPr="00A619D7" w:rsidRDefault="00C55A79" w:rsidP="00C55A79">
      <w:pPr>
        <w:ind w:left="851"/>
        <w:rPr>
          <w:sz w:val="24"/>
          <w:szCs w:val="24"/>
          <w:lang w:eastAsia="de-CH"/>
        </w:rPr>
      </w:pPr>
    </w:p>
    <w:p w:rsidR="00C55A79" w:rsidRDefault="00C55A79" w:rsidP="00C55A79">
      <w:pPr>
        <w:ind w:left="851"/>
        <w:rPr>
          <w:sz w:val="24"/>
          <w:szCs w:val="24"/>
        </w:rPr>
      </w:pPr>
      <w:r w:rsidRPr="00A619D7">
        <w:rPr>
          <w:sz w:val="24"/>
          <w:szCs w:val="24"/>
        </w:rPr>
        <w:t xml:space="preserve">En uges behandling med </w:t>
      </w:r>
      <w:proofErr w:type="spellStart"/>
      <w:r w:rsidRPr="00A619D7">
        <w:rPr>
          <w:sz w:val="24"/>
          <w:szCs w:val="24"/>
        </w:rPr>
        <w:t>esomeprazol</w:t>
      </w:r>
      <w:proofErr w:type="spellEnd"/>
      <w:r w:rsidRPr="00A619D7">
        <w:rPr>
          <w:sz w:val="24"/>
          <w:szCs w:val="24"/>
        </w:rPr>
        <w:t xml:space="preserve"> 20 mg to gange daglig og passende antibiotika resulterede i succesfuld </w:t>
      </w:r>
      <w:proofErr w:type="spellStart"/>
      <w:r w:rsidRPr="00A619D7">
        <w:rPr>
          <w:sz w:val="24"/>
          <w:szCs w:val="24"/>
        </w:rPr>
        <w:t>eradikation</w:t>
      </w:r>
      <w:proofErr w:type="spellEnd"/>
      <w:r w:rsidRPr="00A619D7">
        <w:rPr>
          <w:sz w:val="24"/>
          <w:szCs w:val="24"/>
        </w:rPr>
        <w:t xml:space="preserve"> af </w:t>
      </w:r>
      <w:r w:rsidRPr="00A619D7">
        <w:rPr>
          <w:i/>
          <w:iCs/>
          <w:sz w:val="24"/>
          <w:szCs w:val="24"/>
        </w:rPr>
        <w:t xml:space="preserve">H. </w:t>
      </w:r>
      <w:proofErr w:type="spellStart"/>
      <w:r w:rsidRPr="00A619D7">
        <w:rPr>
          <w:i/>
          <w:iCs/>
          <w:sz w:val="24"/>
          <w:szCs w:val="24"/>
        </w:rPr>
        <w:t>pylori</w:t>
      </w:r>
      <w:proofErr w:type="spellEnd"/>
      <w:r w:rsidRPr="00A619D7">
        <w:rPr>
          <w:sz w:val="24"/>
          <w:szCs w:val="24"/>
        </w:rPr>
        <w:t xml:space="preserve"> hos ca. 90 % af patienterne. </w:t>
      </w:r>
    </w:p>
    <w:p w:rsidR="00C55A79" w:rsidRPr="00E80C1F" w:rsidRDefault="00C55A79" w:rsidP="00C55A79">
      <w:pPr>
        <w:ind w:left="851"/>
        <w:rPr>
          <w:sz w:val="24"/>
          <w:szCs w:val="24"/>
          <w:lang w:eastAsia="pt-PT"/>
        </w:rPr>
      </w:pPr>
    </w:p>
    <w:p w:rsidR="00C55A79" w:rsidRPr="00A619D7" w:rsidRDefault="00C55A79" w:rsidP="00C55A79">
      <w:pPr>
        <w:ind w:left="851"/>
        <w:rPr>
          <w:sz w:val="24"/>
          <w:szCs w:val="24"/>
        </w:rPr>
      </w:pPr>
      <w:r w:rsidRPr="00A619D7">
        <w:rPr>
          <w:sz w:val="24"/>
          <w:szCs w:val="24"/>
        </w:rPr>
        <w:t xml:space="preserve">Efter </w:t>
      </w:r>
      <w:proofErr w:type="spellStart"/>
      <w:r w:rsidRPr="00A619D7">
        <w:rPr>
          <w:sz w:val="24"/>
          <w:szCs w:val="24"/>
        </w:rPr>
        <w:t>eradikationsbehandling</w:t>
      </w:r>
      <w:proofErr w:type="spellEnd"/>
      <w:r w:rsidRPr="00A619D7">
        <w:rPr>
          <w:sz w:val="24"/>
          <w:szCs w:val="24"/>
        </w:rPr>
        <w:t xml:space="preserve"> i en uge er der intet behov for efterfølgende monoterapi med </w:t>
      </w:r>
      <w:proofErr w:type="spellStart"/>
      <w:r w:rsidRPr="00A619D7">
        <w:rPr>
          <w:sz w:val="24"/>
          <w:szCs w:val="24"/>
        </w:rPr>
        <w:t>antisekretoriske</w:t>
      </w:r>
      <w:proofErr w:type="spellEnd"/>
      <w:r w:rsidRPr="00A619D7">
        <w:rPr>
          <w:sz w:val="24"/>
          <w:szCs w:val="24"/>
        </w:rPr>
        <w:t xml:space="preserve"> lægemidler for effektiv </w:t>
      </w:r>
      <w:proofErr w:type="spellStart"/>
      <w:r w:rsidRPr="00A619D7">
        <w:rPr>
          <w:sz w:val="24"/>
          <w:szCs w:val="24"/>
        </w:rPr>
        <w:t>ulcerheling</w:t>
      </w:r>
      <w:proofErr w:type="spellEnd"/>
      <w:r w:rsidRPr="00A619D7">
        <w:rPr>
          <w:sz w:val="24"/>
          <w:szCs w:val="24"/>
        </w:rPr>
        <w:t xml:space="preserve"> og symptomfjernelse ved ukomplicerede </w:t>
      </w:r>
      <w:proofErr w:type="spellStart"/>
      <w:r w:rsidRPr="00A619D7">
        <w:rPr>
          <w:sz w:val="24"/>
          <w:szCs w:val="24"/>
        </w:rPr>
        <w:t>duodenale</w:t>
      </w:r>
      <w:proofErr w:type="spellEnd"/>
      <w:r w:rsidRPr="00A619D7">
        <w:rPr>
          <w:sz w:val="24"/>
          <w:szCs w:val="24"/>
        </w:rPr>
        <w:t xml:space="preserve"> </w:t>
      </w:r>
      <w:proofErr w:type="spellStart"/>
      <w:r w:rsidRPr="00A619D7">
        <w:rPr>
          <w:sz w:val="24"/>
          <w:szCs w:val="24"/>
        </w:rPr>
        <w:t>ulcera</w:t>
      </w:r>
      <w:proofErr w:type="spellEnd"/>
      <w:r w:rsidRPr="00A619D7">
        <w:rPr>
          <w:sz w:val="24"/>
          <w:szCs w:val="24"/>
        </w:rPr>
        <w:t xml:space="preserve">. </w:t>
      </w:r>
    </w:p>
    <w:p w:rsidR="00C55A79" w:rsidRPr="000A595A" w:rsidRDefault="00C55A79" w:rsidP="00C55A79">
      <w:pPr>
        <w:ind w:left="851"/>
        <w:rPr>
          <w:sz w:val="24"/>
          <w:szCs w:val="24"/>
        </w:rPr>
      </w:pPr>
      <w:r w:rsidRPr="00C55A79">
        <w:rPr>
          <w:sz w:val="24"/>
          <w:szCs w:val="24"/>
        </w:rPr>
        <w:t xml:space="preserve">I et randomiseret, dobbeltblindt, placebokontrolleret klinisk studie blev patienter med </w:t>
      </w:r>
      <w:proofErr w:type="spellStart"/>
      <w:r w:rsidRPr="00C55A79">
        <w:rPr>
          <w:sz w:val="24"/>
          <w:szCs w:val="24"/>
        </w:rPr>
        <w:t>endoskopisk</w:t>
      </w:r>
      <w:proofErr w:type="spellEnd"/>
      <w:r w:rsidRPr="00C55A79">
        <w:rPr>
          <w:sz w:val="24"/>
          <w:szCs w:val="24"/>
        </w:rPr>
        <w:t xml:space="preserve"> bekræftet </w:t>
      </w:r>
      <w:proofErr w:type="spellStart"/>
      <w:r w:rsidRPr="00C55A79">
        <w:rPr>
          <w:sz w:val="24"/>
          <w:szCs w:val="24"/>
        </w:rPr>
        <w:t>peptisk</w:t>
      </w:r>
      <w:proofErr w:type="spellEnd"/>
      <w:r w:rsidRPr="00C55A79">
        <w:rPr>
          <w:sz w:val="24"/>
          <w:szCs w:val="24"/>
        </w:rPr>
        <w:t xml:space="preserve"> </w:t>
      </w:r>
      <w:proofErr w:type="spellStart"/>
      <w:r w:rsidRPr="00C55A79">
        <w:rPr>
          <w:sz w:val="24"/>
          <w:szCs w:val="24"/>
        </w:rPr>
        <w:t>ulcerblødning</w:t>
      </w:r>
      <w:proofErr w:type="spellEnd"/>
      <w:r w:rsidRPr="00C55A79">
        <w:rPr>
          <w:sz w:val="24"/>
          <w:szCs w:val="24"/>
        </w:rPr>
        <w:t xml:space="preserve">, der var karakteriseret som Forrest Ia, Ib, </w:t>
      </w:r>
      <w:proofErr w:type="spellStart"/>
      <w:r w:rsidRPr="00C55A79">
        <w:rPr>
          <w:sz w:val="24"/>
          <w:szCs w:val="24"/>
        </w:rPr>
        <w:t>IIa</w:t>
      </w:r>
      <w:proofErr w:type="spellEnd"/>
      <w:r w:rsidRPr="00C55A79">
        <w:rPr>
          <w:sz w:val="24"/>
          <w:szCs w:val="24"/>
        </w:rPr>
        <w:t xml:space="preserve"> eller </w:t>
      </w:r>
      <w:proofErr w:type="spellStart"/>
      <w:r w:rsidRPr="00C55A79">
        <w:rPr>
          <w:sz w:val="24"/>
          <w:szCs w:val="24"/>
        </w:rPr>
        <w:t>IIb</w:t>
      </w:r>
      <w:proofErr w:type="spellEnd"/>
      <w:r w:rsidRPr="00C55A79">
        <w:rPr>
          <w:sz w:val="24"/>
          <w:szCs w:val="24"/>
        </w:rPr>
        <w:t xml:space="preserve"> (henholdsvis 9 %, 43 %, 38 % og 10 %), randomiseret til at få </w:t>
      </w:r>
      <w:proofErr w:type="spellStart"/>
      <w:r w:rsidRPr="00C55A79">
        <w:rPr>
          <w:sz w:val="24"/>
          <w:szCs w:val="24"/>
        </w:rPr>
        <w:t>esomeprazol</w:t>
      </w:r>
      <w:proofErr w:type="spellEnd"/>
      <w:r w:rsidRPr="00C55A79">
        <w:rPr>
          <w:sz w:val="24"/>
          <w:szCs w:val="24"/>
        </w:rPr>
        <w:t xml:space="preserve">-opløsning til infusion (n=375) eller placebo (n=389). Efter </w:t>
      </w:r>
      <w:proofErr w:type="spellStart"/>
      <w:r w:rsidRPr="00C55A79">
        <w:rPr>
          <w:sz w:val="24"/>
          <w:szCs w:val="24"/>
        </w:rPr>
        <w:t>endoskopisk</w:t>
      </w:r>
      <w:proofErr w:type="spellEnd"/>
      <w:r w:rsidRPr="00C55A79">
        <w:rPr>
          <w:sz w:val="24"/>
          <w:szCs w:val="24"/>
        </w:rPr>
        <w:t xml:space="preserve"> </w:t>
      </w:r>
      <w:proofErr w:type="spellStart"/>
      <w:r w:rsidRPr="00C55A79">
        <w:rPr>
          <w:sz w:val="24"/>
          <w:szCs w:val="24"/>
        </w:rPr>
        <w:t>hæmostase</w:t>
      </w:r>
      <w:proofErr w:type="spellEnd"/>
      <w:r w:rsidRPr="00C55A79">
        <w:rPr>
          <w:sz w:val="24"/>
          <w:szCs w:val="24"/>
        </w:rPr>
        <w:t xml:space="preserve"> fik patienterne enten 80 mg </w:t>
      </w:r>
      <w:proofErr w:type="spellStart"/>
      <w:r w:rsidRPr="00C55A79">
        <w:rPr>
          <w:sz w:val="24"/>
          <w:szCs w:val="24"/>
        </w:rPr>
        <w:t>esomeprazol</w:t>
      </w:r>
      <w:proofErr w:type="spellEnd"/>
      <w:r w:rsidRPr="00C55A79">
        <w:rPr>
          <w:sz w:val="24"/>
          <w:szCs w:val="24"/>
        </w:rPr>
        <w:t xml:space="preserve"> som en intravenøs infusion over 30 minutter, efterfulgt af en kontinuerlig infusion af 8 mg pr. time eller placebo i 72 timer. Efter den indledende 72 timers periode fik alle patienter ikke-blindet 40 mg oral </w:t>
      </w:r>
      <w:proofErr w:type="spellStart"/>
      <w:r w:rsidRPr="00C55A79">
        <w:rPr>
          <w:sz w:val="24"/>
          <w:szCs w:val="24"/>
        </w:rPr>
        <w:t>esomeprazol</w:t>
      </w:r>
      <w:proofErr w:type="spellEnd"/>
      <w:r w:rsidRPr="00C55A79">
        <w:rPr>
          <w:sz w:val="24"/>
          <w:szCs w:val="24"/>
        </w:rPr>
        <w:t xml:space="preserve"> i 27 dage til syresuppression. Forekomsten af fornyet blødning inden</w:t>
      </w:r>
      <w:r w:rsidRPr="000A595A">
        <w:rPr>
          <w:sz w:val="24"/>
          <w:szCs w:val="24"/>
        </w:rPr>
        <w:t xml:space="preserve"> for 3 dage var 5,9 % i den </w:t>
      </w:r>
      <w:proofErr w:type="spellStart"/>
      <w:r w:rsidRPr="000A595A">
        <w:rPr>
          <w:sz w:val="24"/>
          <w:szCs w:val="24"/>
        </w:rPr>
        <w:t>esomeprazol</w:t>
      </w:r>
      <w:proofErr w:type="spellEnd"/>
      <w:r w:rsidRPr="000A595A">
        <w:rPr>
          <w:sz w:val="24"/>
          <w:szCs w:val="24"/>
        </w:rPr>
        <w:t xml:space="preserve">-behandlede gruppe sammenlignet med 10,3 % for placebogruppen. 30 dage efter behandling var forekomsten af fornyet blødning i den </w:t>
      </w:r>
      <w:proofErr w:type="spellStart"/>
      <w:r w:rsidRPr="000A595A">
        <w:rPr>
          <w:sz w:val="24"/>
          <w:szCs w:val="24"/>
        </w:rPr>
        <w:t>esomeprazol</w:t>
      </w:r>
      <w:proofErr w:type="spellEnd"/>
      <w:r w:rsidRPr="000A595A">
        <w:rPr>
          <w:sz w:val="24"/>
          <w:szCs w:val="24"/>
        </w:rPr>
        <w:t>-behandlede versus den placebobehandlede gruppe 7,7 % versus 13,6 %.</w:t>
      </w:r>
    </w:p>
    <w:p w:rsidR="00C55A79" w:rsidRPr="00A619D7" w:rsidRDefault="00C55A79" w:rsidP="00C55A79">
      <w:pPr>
        <w:ind w:left="851"/>
        <w:rPr>
          <w:b/>
          <w:bCs/>
          <w:i/>
          <w:iCs/>
          <w:sz w:val="24"/>
          <w:szCs w:val="24"/>
        </w:rPr>
      </w:pPr>
    </w:p>
    <w:p w:rsidR="00C55A79" w:rsidRPr="00A619D7" w:rsidRDefault="00C55A79" w:rsidP="00C55A79">
      <w:pPr>
        <w:widowControl w:val="0"/>
        <w:ind w:left="851"/>
        <w:rPr>
          <w:sz w:val="24"/>
          <w:szCs w:val="24"/>
        </w:rPr>
      </w:pPr>
      <w:r w:rsidRPr="00A619D7">
        <w:rPr>
          <w:sz w:val="24"/>
          <w:szCs w:val="24"/>
        </w:rPr>
        <w:t xml:space="preserve">Under behandling med </w:t>
      </w:r>
      <w:proofErr w:type="spellStart"/>
      <w:r w:rsidRPr="00A619D7">
        <w:rPr>
          <w:sz w:val="24"/>
          <w:szCs w:val="24"/>
        </w:rPr>
        <w:t>antisekretoriske</w:t>
      </w:r>
      <w:proofErr w:type="spellEnd"/>
      <w:r w:rsidRPr="00A619D7">
        <w:rPr>
          <w:sz w:val="24"/>
          <w:szCs w:val="24"/>
        </w:rPr>
        <w:t xml:space="preserve"> lægemidler stiger </w:t>
      </w:r>
      <w:proofErr w:type="spellStart"/>
      <w:r w:rsidRPr="00A619D7">
        <w:rPr>
          <w:sz w:val="24"/>
          <w:szCs w:val="24"/>
        </w:rPr>
        <w:t>serumgastrin</w:t>
      </w:r>
      <w:proofErr w:type="spellEnd"/>
      <w:r w:rsidRPr="00A619D7">
        <w:rPr>
          <w:sz w:val="24"/>
          <w:szCs w:val="24"/>
        </w:rPr>
        <w:t xml:space="preserve"> som reaktion på den reducerede syreudskillelse. </w:t>
      </w:r>
      <w:proofErr w:type="spellStart"/>
      <w:r w:rsidRPr="00A619D7">
        <w:rPr>
          <w:sz w:val="24"/>
          <w:szCs w:val="24"/>
        </w:rPr>
        <w:t>CgA</w:t>
      </w:r>
      <w:proofErr w:type="spellEnd"/>
      <w:r w:rsidRPr="00A619D7">
        <w:rPr>
          <w:sz w:val="24"/>
          <w:szCs w:val="24"/>
        </w:rPr>
        <w:t xml:space="preserve">-niveauet stiger også som følge af nedsat mavesyre. Det forhøjede </w:t>
      </w:r>
      <w:proofErr w:type="spellStart"/>
      <w:r w:rsidRPr="00A619D7">
        <w:rPr>
          <w:sz w:val="24"/>
          <w:szCs w:val="24"/>
        </w:rPr>
        <w:t>CgA</w:t>
      </w:r>
      <w:proofErr w:type="spellEnd"/>
      <w:r w:rsidRPr="00A619D7">
        <w:rPr>
          <w:sz w:val="24"/>
          <w:szCs w:val="24"/>
        </w:rPr>
        <w:t xml:space="preserve">-niveau kan påvirke undersøgelser for </w:t>
      </w:r>
      <w:proofErr w:type="spellStart"/>
      <w:r w:rsidRPr="00A619D7">
        <w:rPr>
          <w:sz w:val="24"/>
          <w:szCs w:val="24"/>
        </w:rPr>
        <w:t>neuroendokrine</w:t>
      </w:r>
      <w:proofErr w:type="spellEnd"/>
      <w:r w:rsidRPr="00A619D7">
        <w:rPr>
          <w:sz w:val="24"/>
          <w:szCs w:val="24"/>
        </w:rPr>
        <w:t xml:space="preserve"> tumorer. Publicerede rapporter tyder på, at behandlingen med protonpumpeinhibitorer bør stoppes </w:t>
      </w:r>
      <w:r w:rsidRPr="00A619D7">
        <w:rPr>
          <w:sz w:val="24"/>
          <w:szCs w:val="24"/>
        </w:rPr>
        <w:lastRenderedPageBreak/>
        <w:t xml:space="preserve">mellem 5 dage og 2 uger før </w:t>
      </w:r>
      <w:proofErr w:type="spellStart"/>
      <w:r w:rsidRPr="00A619D7">
        <w:rPr>
          <w:sz w:val="24"/>
          <w:szCs w:val="24"/>
        </w:rPr>
        <w:t>CgA</w:t>
      </w:r>
      <w:proofErr w:type="spellEnd"/>
      <w:r w:rsidRPr="00A619D7">
        <w:rPr>
          <w:sz w:val="24"/>
          <w:szCs w:val="24"/>
        </w:rPr>
        <w:t xml:space="preserve">-målingen. Dette skal medføre, at </w:t>
      </w:r>
      <w:proofErr w:type="spellStart"/>
      <w:r w:rsidRPr="00A619D7">
        <w:rPr>
          <w:sz w:val="24"/>
          <w:szCs w:val="24"/>
        </w:rPr>
        <w:t>CgAniveauet</w:t>
      </w:r>
      <w:proofErr w:type="spellEnd"/>
      <w:r w:rsidRPr="00A619D7">
        <w:rPr>
          <w:sz w:val="24"/>
          <w:szCs w:val="24"/>
        </w:rPr>
        <w:t>, der kan være fejlagtigt forhøjet som følge af PPI-behandlingen, vender tilbage til referenceintervallet.</w:t>
      </w:r>
    </w:p>
    <w:p w:rsidR="00C55A79" w:rsidRPr="00A619D7" w:rsidRDefault="00C55A79" w:rsidP="00C55A79">
      <w:pPr>
        <w:widowControl w:val="0"/>
        <w:ind w:left="851"/>
        <w:rPr>
          <w:sz w:val="24"/>
          <w:szCs w:val="24"/>
        </w:rPr>
      </w:pPr>
    </w:p>
    <w:p w:rsidR="00C55A79" w:rsidRPr="00A619D7" w:rsidRDefault="00C55A79" w:rsidP="00C55A79">
      <w:pPr>
        <w:widowControl w:val="0"/>
        <w:ind w:left="851"/>
        <w:rPr>
          <w:sz w:val="24"/>
          <w:szCs w:val="24"/>
        </w:rPr>
      </w:pPr>
      <w:r w:rsidRPr="00A619D7">
        <w:rPr>
          <w:sz w:val="24"/>
          <w:szCs w:val="24"/>
        </w:rPr>
        <w:t xml:space="preserve">Hos både børn og unge er der under langtidsbehandling med </w:t>
      </w:r>
      <w:proofErr w:type="spellStart"/>
      <w:r w:rsidRPr="00A619D7">
        <w:rPr>
          <w:sz w:val="24"/>
          <w:szCs w:val="24"/>
        </w:rPr>
        <w:t>esomeprazol</w:t>
      </w:r>
      <w:proofErr w:type="spellEnd"/>
      <w:r w:rsidRPr="00A619D7">
        <w:rPr>
          <w:sz w:val="24"/>
          <w:szCs w:val="24"/>
        </w:rPr>
        <w:t xml:space="preserve"> set et øget antal ECL-celler, hvilket muligvis er relateret til det forhøjede </w:t>
      </w:r>
      <w:proofErr w:type="spellStart"/>
      <w:r w:rsidRPr="00A619D7">
        <w:rPr>
          <w:sz w:val="24"/>
          <w:szCs w:val="24"/>
        </w:rPr>
        <w:t>serumgastrin</w:t>
      </w:r>
      <w:proofErr w:type="spellEnd"/>
      <w:r w:rsidRPr="00A619D7">
        <w:rPr>
          <w:sz w:val="24"/>
          <w:szCs w:val="24"/>
        </w:rPr>
        <w:t>. Fundene anses ikke for at have nogen klinisk betydning.</w:t>
      </w:r>
    </w:p>
    <w:p w:rsidR="00C55A79" w:rsidRPr="00A619D7" w:rsidRDefault="00C55A79" w:rsidP="00C55A79">
      <w:pPr>
        <w:ind w:left="851"/>
        <w:rPr>
          <w:sz w:val="24"/>
          <w:szCs w:val="24"/>
        </w:rPr>
      </w:pPr>
      <w:r w:rsidRPr="00A619D7">
        <w:rPr>
          <w:sz w:val="24"/>
          <w:szCs w:val="24"/>
        </w:rPr>
        <w:t xml:space="preserve"> </w:t>
      </w:r>
    </w:p>
    <w:p w:rsidR="00C55A79" w:rsidRPr="00A619D7" w:rsidRDefault="00C55A79" w:rsidP="00C55A79">
      <w:pPr>
        <w:ind w:left="851"/>
        <w:rPr>
          <w:sz w:val="24"/>
          <w:szCs w:val="24"/>
        </w:rPr>
      </w:pPr>
      <w:r w:rsidRPr="00A619D7">
        <w:rPr>
          <w:sz w:val="24"/>
          <w:szCs w:val="24"/>
        </w:rPr>
        <w:t xml:space="preserve">Under langtidsbehandling med </w:t>
      </w:r>
      <w:proofErr w:type="spellStart"/>
      <w:r w:rsidRPr="00A619D7">
        <w:rPr>
          <w:sz w:val="24"/>
          <w:szCs w:val="24"/>
        </w:rPr>
        <w:t>antisekretoriske</w:t>
      </w:r>
      <w:proofErr w:type="spellEnd"/>
      <w:r w:rsidRPr="00A619D7">
        <w:rPr>
          <w:sz w:val="24"/>
          <w:szCs w:val="24"/>
        </w:rPr>
        <w:t xml:space="preserve"> lægemidler er der rapporteret om forekomst af </w:t>
      </w:r>
      <w:proofErr w:type="spellStart"/>
      <w:r w:rsidRPr="00A619D7">
        <w:rPr>
          <w:sz w:val="24"/>
          <w:szCs w:val="24"/>
        </w:rPr>
        <w:t>glandulære</w:t>
      </w:r>
      <w:proofErr w:type="spellEnd"/>
      <w:r w:rsidRPr="00A619D7">
        <w:rPr>
          <w:sz w:val="24"/>
          <w:szCs w:val="24"/>
        </w:rPr>
        <w:t xml:space="preserve"> cyster ved en noget forhøjet frekvens. Disse ændringer er en fysiologisk konsekvens af udtalt </w:t>
      </w:r>
      <w:proofErr w:type="spellStart"/>
      <w:r w:rsidRPr="00A619D7">
        <w:rPr>
          <w:sz w:val="24"/>
          <w:szCs w:val="24"/>
        </w:rPr>
        <w:t>inhibering</w:t>
      </w:r>
      <w:proofErr w:type="spellEnd"/>
      <w:r w:rsidRPr="00A619D7">
        <w:rPr>
          <w:sz w:val="24"/>
          <w:szCs w:val="24"/>
        </w:rPr>
        <w:t xml:space="preserve"> af syreudskillelse, er godartede og har vist sig at være reversible.</w:t>
      </w:r>
    </w:p>
    <w:p w:rsidR="00C55A79" w:rsidRPr="00A619D7" w:rsidRDefault="00C55A79" w:rsidP="00C55A79">
      <w:pPr>
        <w:ind w:left="851"/>
        <w:rPr>
          <w:sz w:val="24"/>
          <w:szCs w:val="24"/>
          <w:lang w:eastAsia="de-CH"/>
        </w:rPr>
      </w:pPr>
    </w:p>
    <w:p w:rsidR="00C55A79" w:rsidRPr="00A619D7" w:rsidRDefault="00C55A79" w:rsidP="00C55A79">
      <w:pPr>
        <w:widowControl w:val="0"/>
        <w:ind w:left="851"/>
        <w:rPr>
          <w:sz w:val="24"/>
          <w:szCs w:val="24"/>
          <w:lang w:eastAsia="pt-PT"/>
        </w:rPr>
      </w:pPr>
      <w:r w:rsidRPr="00A619D7">
        <w:rPr>
          <w:sz w:val="24"/>
          <w:szCs w:val="24"/>
        </w:rPr>
        <w:t xml:space="preserve">Nedsat gastrisk surhedsgrad generelt, og som følge af </w:t>
      </w:r>
      <w:proofErr w:type="spellStart"/>
      <w:r w:rsidRPr="00A619D7">
        <w:rPr>
          <w:sz w:val="24"/>
          <w:szCs w:val="24"/>
        </w:rPr>
        <w:t>PPI’er</w:t>
      </w:r>
      <w:proofErr w:type="spellEnd"/>
      <w:r w:rsidRPr="00A619D7">
        <w:rPr>
          <w:sz w:val="24"/>
          <w:szCs w:val="24"/>
        </w:rPr>
        <w:t xml:space="preserve">, forårsager et øget antal af de normalt forekommende bakterier i mave-tarm-kanalen. Behandling med </w:t>
      </w:r>
      <w:proofErr w:type="spellStart"/>
      <w:r w:rsidRPr="00A619D7">
        <w:rPr>
          <w:sz w:val="24"/>
          <w:szCs w:val="24"/>
        </w:rPr>
        <w:t>PPI’er</w:t>
      </w:r>
      <w:proofErr w:type="spellEnd"/>
      <w:r w:rsidRPr="00A619D7">
        <w:rPr>
          <w:sz w:val="24"/>
          <w:szCs w:val="24"/>
        </w:rPr>
        <w:t xml:space="preserve"> kan derfor forårsage en let forøget risiko for </w:t>
      </w:r>
      <w:proofErr w:type="spellStart"/>
      <w:r w:rsidRPr="00A619D7">
        <w:rPr>
          <w:sz w:val="24"/>
          <w:szCs w:val="24"/>
        </w:rPr>
        <w:t>gastrointestinale</w:t>
      </w:r>
      <w:proofErr w:type="spellEnd"/>
      <w:r w:rsidRPr="00A619D7">
        <w:rPr>
          <w:sz w:val="24"/>
          <w:szCs w:val="24"/>
        </w:rPr>
        <w:t xml:space="preserve"> infektioner såsom </w:t>
      </w:r>
      <w:r w:rsidRPr="00A619D7">
        <w:rPr>
          <w:i/>
          <w:sz w:val="24"/>
          <w:szCs w:val="24"/>
        </w:rPr>
        <w:t xml:space="preserve">Salmonella </w:t>
      </w:r>
      <w:r w:rsidRPr="00A619D7">
        <w:rPr>
          <w:sz w:val="24"/>
          <w:szCs w:val="24"/>
        </w:rPr>
        <w:t xml:space="preserve">og </w:t>
      </w:r>
      <w:r w:rsidRPr="00A619D7">
        <w:rPr>
          <w:i/>
          <w:sz w:val="24"/>
          <w:szCs w:val="24"/>
        </w:rPr>
        <w:t xml:space="preserve">Campylobacter </w:t>
      </w:r>
      <w:r w:rsidRPr="00A619D7">
        <w:rPr>
          <w:sz w:val="24"/>
          <w:szCs w:val="24"/>
        </w:rPr>
        <w:t xml:space="preserve">og hos indlagte patienter muligvis også </w:t>
      </w:r>
      <w:proofErr w:type="spellStart"/>
      <w:r w:rsidRPr="00A619D7">
        <w:rPr>
          <w:i/>
          <w:sz w:val="24"/>
          <w:szCs w:val="24"/>
        </w:rPr>
        <w:t>Clostridium</w:t>
      </w:r>
      <w:proofErr w:type="spellEnd"/>
      <w:r w:rsidRPr="00A619D7">
        <w:rPr>
          <w:i/>
          <w:sz w:val="24"/>
          <w:szCs w:val="24"/>
        </w:rPr>
        <w:t xml:space="preserve"> difficile</w:t>
      </w:r>
      <w:r w:rsidRPr="00A619D7">
        <w:rPr>
          <w:sz w:val="24"/>
          <w:szCs w:val="24"/>
        </w:rPr>
        <w:t>.</w:t>
      </w:r>
    </w:p>
    <w:p w:rsidR="00C55A79" w:rsidRPr="00A619D7" w:rsidRDefault="00C55A79" w:rsidP="00C55A79">
      <w:pPr>
        <w:ind w:left="851"/>
        <w:rPr>
          <w:sz w:val="24"/>
          <w:szCs w:val="24"/>
          <w:lang w:eastAsia="de-CH"/>
        </w:rPr>
      </w:pPr>
    </w:p>
    <w:p w:rsidR="00C55A79" w:rsidRPr="00C55A79" w:rsidRDefault="00C55A79" w:rsidP="00C55A79">
      <w:pPr>
        <w:widowControl w:val="0"/>
        <w:autoSpaceDE w:val="0"/>
        <w:autoSpaceDN w:val="0"/>
        <w:adjustRightInd w:val="0"/>
        <w:ind w:left="851"/>
        <w:rPr>
          <w:sz w:val="24"/>
          <w:szCs w:val="24"/>
          <w:lang w:eastAsia="pt-PT"/>
        </w:rPr>
      </w:pPr>
      <w:r w:rsidRPr="00C55A79">
        <w:rPr>
          <w:sz w:val="24"/>
          <w:szCs w:val="24"/>
          <w:u w:val="single"/>
        </w:rPr>
        <w:t>Klinisk virkning og sikkerhed</w:t>
      </w:r>
    </w:p>
    <w:p w:rsidR="00C55A79" w:rsidRPr="00C55A79" w:rsidRDefault="00C55A79" w:rsidP="00C55A79">
      <w:pPr>
        <w:autoSpaceDE w:val="0"/>
        <w:autoSpaceDN w:val="0"/>
        <w:adjustRightInd w:val="0"/>
        <w:ind w:left="851"/>
        <w:rPr>
          <w:sz w:val="24"/>
          <w:szCs w:val="24"/>
        </w:rPr>
      </w:pPr>
      <w:r w:rsidRPr="00C55A79">
        <w:rPr>
          <w:sz w:val="24"/>
          <w:szCs w:val="24"/>
        </w:rPr>
        <w:t xml:space="preserve">I to studier med </w:t>
      </w:r>
      <w:proofErr w:type="spellStart"/>
      <w:r w:rsidRPr="00C55A79">
        <w:rPr>
          <w:sz w:val="24"/>
          <w:szCs w:val="24"/>
        </w:rPr>
        <w:t>ranitidin</w:t>
      </w:r>
      <w:proofErr w:type="spellEnd"/>
      <w:r w:rsidRPr="00C55A79">
        <w:rPr>
          <w:sz w:val="24"/>
          <w:szCs w:val="24"/>
        </w:rPr>
        <w:t xml:space="preserve"> som en aktiv </w:t>
      </w:r>
      <w:proofErr w:type="spellStart"/>
      <w:r w:rsidRPr="00C55A79">
        <w:rPr>
          <w:sz w:val="24"/>
          <w:szCs w:val="24"/>
        </w:rPr>
        <w:t>komparator</w:t>
      </w:r>
      <w:proofErr w:type="spellEnd"/>
      <w:r w:rsidRPr="00C55A79">
        <w:rPr>
          <w:sz w:val="24"/>
          <w:szCs w:val="24"/>
        </w:rPr>
        <w:t xml:space="preserve"> viste </w:t>
      </w:r>
      <w:proofErr w:type="spellStart"/>
      <w:r w:rsidRPr="00C55A79">
        <w:rPr>
          <w:sz w:val="24"/>
          <w:szCs w:val="24"/>
        </w:rPr>
        <w:t>esomeprazol</w:t>
      </w:r>
      <w:proofErr w:type="spellEnd"/>
      <w:r w:rsidRPr="00C55A79">
        <w:rPr>
          <w:sz w:val="24"/>
          <w:szCs w:val="24"/>
        </w:rPr>
        <w:t xml:space="preserve"> en bedre virkning ved heling af gastriske </w:t>
      </w:r>
      <w:proofErr w:type="spellStart"/>
      <w:r w:rsidRPr="00C55A79">
        <w:rPr>
          <w:sz w:val="24"/>
          <w:szCs w:val="24"/>
        </w:rPr>
        <w:t>ulcera</w:t>
      </w:r>
      <w:proofErr w:type="spellEnd"/>
      <w:r w:rsidRPr="00C55A79">
        <w:rPr>
          <w:sz w:val="24"/>
          <w:szCs w:val="24"/>
        </w:rPr>
        <w:t xml:space="preserve"> hos patienter, der brugte </w:t>
      </w:r>
      <w:proofErr w:type="spellStart"/>
      <w:r w:rsidRPr="00C55A79">
        <w:rPr>
          <w:sz w:val="24"/>
          <w:szCs w:val="24"/>
        </w:rPr>
        <w:t>NSAID’er</w:t>
      </w:r>
      <w:proofErr w:type="spellEnd"/>
      <w:r w:rsidRPr="00C55A79">
        <w:rPr>
          <w:sz w:val="24"/>
          <w:szCs w:val="24"/>
        </w:rPr>
        <w:t xml:space="preserve">, herunder COX-2-selektive </w:t>
      </w:r>
      <w:proofErr w:type="spellStart"/>
      <w:r w:rsidRPr="00C55A79">
        <w:rPr>
          <w:sz w:val="24"/>
          <w:szCs w:val="24"/>
        </w:rPr>
        <w:t>NSAID’er</w:t>
      </w:r>
      <w:proofErr w:type="spellEnd"/>
      <w:r w:rsidRPr="00C55A79">
        <w:rPr>
          <w:sz w:val="24"/>
          <w:szCs w:val="24"/>
        </w:rPr>
        <w:t>.</w:t>
      </w:r>
    </w:p>
    <w:p w:rsidR="00C55A79" w:rsidRPr="00A619D7" w:rsidRDefault="00C55A79" w:rsidP="00C55A79">
      <w:pPr>
        <w:autoSpaceDE w:val="0"/>
        <w:autoSpaceDN w:val="0"/>
        <w:adjustRightInd w:val="0"/>
        <w:ind w:left="851"/>
        <w:rPr>
          <w:sz w:val="24"/>
          <w:szCs w:val="24"/>
        </w:rPr>
      </w:pPr>
      <w:r w:rsidRPr="00C55A79">
        <w:rPr>
          <w:sz w:val="24"/>
          <w:szCs w:val="24"/>
        </w:rPr>
        <w:t xml:space="preserve">I to studier med placebo som </w:t>
      </w:r>
      <w:proofErr w:type="spellStart"/>
      <w:r w:rsidRPr="00C55A79">
        <w:rPr>
          <w:sz w:val="24"/>
          <w:szCs w:val="24"/>
        </w:rPr>
        <w:t>komparator</w:t>
      </w:r>
      <w:proofErr w:type="spellEnd"/>
      <w:r w:rsidRPr="00C55A79">
        <w:rPr>
          <w:sz w:val="24"/>
          <w:szCs w:val="24"/>
        </w:rPr>
        <w:t xml:space="preserve"> viste </w:t>
      </w:r>
      <w:proofErr w:type="spellStart"/>
      <w:r w:rsidRPr="00C55A79">
        <w:rPr>
          <w:sz w:val="24"/>
          <w:szCs w:val="24"/>
        </w:rPr>
        <w:t>esomeprazol</w:t>
      </w:r>
      <w:proofErr w:type="spellEnd"/>
      <w:r w:rsidRPr="00C55A79">
        <w:rPr>
          <w:sz w:val="24"/>
          <w:szCs w:val="24"/>
        </w:rPr>
        <w:t xml:space="preserve"> en bedre virkning til forebyggelse af gastriske og </w:t>
      </w:r>
      <w:proofErr w:type="spellStart"/>
      <w:r w:rsidRPr="00C55A79">
        <w:rPr>
          <w:sz w:val="24"/>
          <w:szCs w:val="24"/>
        </w:rPr>
        <w:t>duodenale</w:t>
      </w:r>
      <w:proofErr w:type="spellEnd"/>
      <w:r w:rsidRPr="00C55A79">
        <w:rPr>
          <w:sz w:val="24"/>
          <w:szCs w:val="24"/>
        </w:rPr>
        <w:t xml:space="preserve"> </w:t>
      </w:r>
      <w:proofErr w:type="spellStart"/>
      <w:r w:rsidRPr="00C55A79">
        <w:rPr>
          <w:sz w:val="24"/>
          <w:szCs w:val="24"/>
        </w:rPr>
        <w:t>ulcera</w:t>
      </w:r>
      <w:proofErr w:type="spellEnd"/>
      <w:r w:rsidRPr="00C55A79">
        <w:rPr>
          <w:sz w:val="24"/>
          <w:szCs w:val="24"/>
        </w:rPr>
        <w:t xml:space="preserve"> hos patienter, der brugte </w:t>
      </w:r>
      <w:proofErr w:type="spellStart"/>
      <w:r w:rsidRPr="00C55A79">
        <w:rPr>
          <w:sz w:val="24"/>
          <w:szCs w:val="24"/>
        </w:rPr>
        <w:t>NSAID’er</w:t>
      </w:r>
      <w:proofErr w:type="spellEnd"/>
      <w:r w:rsidRPr="00C55A79">
        <w:rPr>
          <w:sz w:val="24"/>
          <w:szCs w:val="24"/>
        </w:rPr>
        <w:t xml:space="preserve"> (&gt;60 år og/eller med et tidligere </w:t>
      </w:r>
      <w:proofErr w:type="spellStart"/>
      <w:r w:rsidRPr="00C55A79">
        <w:rPr>
          <w:sz w:val="24"/>
          <w:szCs w:val="24"/>
        </w:rPr>
        <w:t>ulcer</w:t>
      </w:r>
      <w:proofErr w:type="spellEnd"/>
      <w:r w:rsidRPr="00C55A79">
        <w:rPr>
          <w:sz w:val="24"/>
          <w:szCs w:val="24"/>
        </w:rPr>
        <w:t xml:space="preserve">), herunder COX-2-selektive </w:t>
      </w:r>
      <w:proofErr w:type="spellStart"/>
      <w:r w:rsidRPr="00C55A79">
        <w:rPr>
          <w:sz w:val="24"/>
          <w:szCs w:val="24"/>
        </w:rPr>
        <w:t>NSAID’er</w:t>
      </w:r>
      <w:proofErr w:type="spellEnd"/>
      <w:r w:rsidRPr="00C55A79">
        <w:rPr>
          <w:sz w:val="24"/>
          <w:szCs w:val="24"/>
        </w:rPr>
        <w:t>.</w:t>
      </w:r>
    </w:p>
    <w:p w:rsidR="00C55A79" w:rsidRPr="00A619D7" w:rsidRDefault="00C55A79" w:rsidP="00C55A79">
      <w:pPr>
        <w:widowControl w:val="0"/>
        <w:autoSpaceDE w:val="0"/>
        <w:autoSpaceDN w:val="0"/>
        <w:adjustRightInd w:val="0"/>
        <w:ind w:left="851"/>
        <w:rPr>
          <w:bCs/>
          <w:sz w:val="24"/>
          <w:szCs w:val="24"/>
          <w:u w:val="single"/>
        </w:rPr>
      </w:pPr>
    </w:p>
    <w:p w:rsidR="00C55A79" w:rsidRPr="00A619D7" w:rsidRDefault="00C55A79" w:rsidP="00C55A79">
      <w:pPr>
        <w:widowControl w:val="0"/>
        <w:autoSpaceDE w:val="0"/>
        <w:autoSpaceDN w:val="0"/>
        <w:adjustRightInd w:val="0"/>
        <w:ind w:left="851"/>
        <w:rPr>
          <w:bCs/>
          <w:sz w:val="24"/>
          <w:szCs w:val="24"/>
          <w:u w:val="single"/>
        </w:rPr>
      </w:pPr>
      <w:r w:rsidRPr="00A619D7">
        <w:rPr>
          <w:bCs/>
          <w:sz w:val="24"/>
          <w:szCs w:val="24"/>
          <w:u w:val="single"/>
        </w:rPr>
        <w:t>Pædiatrisk population</w:t>
      </w:r>
    </w:p>
    <w:p w:rsidR="00C55A79" w:rsidRPr="00A619D7" w:rsidRDefault="00C55A79" w:rsidP="00C55A79">
      <w:pPr>
        <w:widowControl w:val="0"/>
        <w:autoSpaceDE w:val="0"/>
        <w:autoSpaceDN w:val="0"/>
        <w:adjustRightInd w:val="0"/>
        <w:ind w:left="851"/>
        <w:rPr>
          <w:bCs/>
          <w:sz w:val="24"/>
          <w:szCs w:val="24"/>
        </w:rPr>
      </w:pPr>
      <w:r w:rsidRPr="00A619D7">
        <w:rPr>
          <w:bCs/>
          <w:sz w:val="24"/>
          <w:szCs w:val="24"/>
        </w:rPr>
        <w:t>I et studie med pædiatriske GERD-patienter (&lt; 1</w:t>
      </w:r>
      <w:r>
        <w:rPr>
          <w:bCs/>
          <w:sz w:val="24"/>
          <w:szCs w:val="24"/>
        </w:rPr>
        <w:t xml:space="preserve"> til </w:t>
      </w:r>
      <w:r w:rsidRPr="00A619D7">
        <w:rPr>
          <w:bCs/>
          <w:sz w:val="24"/>
          <w:szCs w:val="24"/>
        </w:rPr>
        <w:t>17 år), der fik PPI-behandling over længere tid, udviklede 61 % af børnene lave grader af ECL-</w:t>
      </w:r>
      <w:proofErr w:type="spellStart"/>
      <w:r w:rsidRPr="00A619D7">
        <w:rPr>
          <w:bCs/>
          <w:sz w:val="24"/>
          <w:szCs w:val="24"/>
        </w:rPr>
        <w:t>cellehyperplasi</w:t>
      </w:r>
      <w:proofErr w:type="spellEnd"/>
      <w:r w:rsidRPr="00A619D7">
        <w:rPr>
          <w:bCs/>
          <w:sz w:val="24"/>
          <w:szCs w:val="24"/>
        </w:rPr>
        <w:t xml:space="preserve"> uden nogen kendt klinisk betydning og uden udvikling af atrofisk gastrit eller </w:t>
      </w:r>
      <w:proofErr w:type="spellStart"/>
      <w:r w:rsidRPr="00A619D7">
        <w:rPr>
          <w:bCs/>
          <w:sz w:val="24"/>
          <w:szCs w:val="24"/>
        </w:rPr>
        <w:t>karcinoide</w:t>
      </w:r>
      <w:proofErr w:type="spellEnd"/>
      <w:r w:rsidRPr="00A619D7">
        <w:rPr>
          <w:bCs/>
          <w:sz w:val="24"/>
          <w:szCs w:val="24"/>
        </w:rPr>
        <w:t xml:space="preserve"> tumorer.</w:t>
      </w:r>
    </w:p>
    <w:p w:rsidR="001F29F9" w:rsidRPr="006510F2" w:rsidRDefault="001F29F9" w:rsidP="001F29F9">
      <w:pPr>
        <w:autoSpaceDE w:val="0"/>
        <w:autoSpaceDN w:val="0"/>
        <w:adjustRightInd w:val="0"/>
        <w:ind w:left="561" w:hanging="561"/>
        <w:rPr>
          <w:b/>
          <w:bCs/>
          <w:sz w:val="24"/>
          <w:szCs w:val="24"/>
        </w:rPr>
      </w:pPr>
    </w:p>
    <w:p w:rsidR="001F29F9" w:rsidRPr="006510F2" w:rsidRDefault="001F29F9" w:rsidP="001F29F9">
      <w:pPr>
        <w:autoSpaceDE w:val="0"/>
        <w:autoSpaceDN w:val="0"/>
        <w:adjustRightInd w:val="0"/>
        <w:ind w:left="851" w:hanging="851"/>
        <w:rPr>
          <w:b/>
          <w:bCs/>
          <w:sz w:val="24"/>
          <w:szCs w:val="24"/>
        </w:rPr>
      </w:pPr>
      <w:r w:rsidRPr="006510F2">
        <w:rPr>
          <w:b/>
          <w:bCs/>
          <w:sz w:val="24"/>
          <w:szCs w:val="24"/>
        </w:rPr>
        <w:t>5.2</w:t>
      </w:r>
      <w:r w:rsidRPr="006510F2">
        <w:rPr>
          <w:b/>
          <w:bCs/>
          <w:sz w:val="24"/>
          <w:szCs w:val="24"/>
        </w:rPr>
        <w:tab/>
      </w:r>
      <w:proofErr w:type="spellStart"/>
      <w:r w:rsidRPr="006510F2">
        <w:rPr>
          <w:b/>
          <w:bCs/>
          <w:sz w:val="24"/>
          <w:szCs w:val="24"/>
        </w:rPr>
        <w:t>Farmakokinetiske</w:t>
      </w:r>
      <w:proofErr w:type="spellEnd"/>
      <w:r w:rsidRPr="006510F2">
        <w:rPr>
          <w:b/>
          <w:bCs/>
          <w:sz w:val="24"/>
          <w:szCs w:val="24"/>
        </w:rPr>
        <w:t xml:space="preserve"> egenskaber </w:t>
      </w:r>
    </w:p>
    <w:p w:rsidR="00C55A79" w:rsidRPr="005160F1" w:rsidRDefault="00C55A79" w:rsidP="00C55A79">
      <w:pPr>
        <w:ind w:left="851"/>
        <w:rPr>
          <w:b/>
          <w:bCs/>
          <w:sz w:val="24"/>
          <w:szCs w:val="24"/>
        </w:rPr>
      </w:pPr>
      <w:r w:rsidRPr="00462FE3">
        <w:rPr>
          <w:bCs/>
          <w:sz w:val="24"/>
          <w:szCs w:val="24"/>
          <w:u w:val="single"/>
        </w:rPr>
        <w:t>Absorption</w:t>
      </w:r>
    </w:p>
    <w:p w:rsidR="00C55A79" w:rsidRPr="00A619D7" w:rsidRDefault="00C55A79" w:rsidP="00C55A79">
      <w:pPr>
        <w:ind w:left="851"/>
        <w:rPr>
          <w:sz w:val="24"/>
          <w:szCs w:val="24"/>
        </w:rPr>
      </w:pPr>
      <w:proofErr w:type="spellStart"/>
      <w:r w:rsidRPr="00A619D7">
        <w:rPr>
          <w:sz w:val="24"/>
          <w:szCs w:val="24"/>
        </w:rPr>
        <w:t>Esomeprazol</w:t>
      </w:r>
      <w:proofErr w:type="spellEnd"/>
      <w:r w:rsidRPr="00A619D7">
        <w:rPr>
          <w:sz w:val="24"/>
          <w:szCs w:val="24"/>
        </w:rPr>
        <w:t xml:space="preserve"> er syrelabil og administreres oralt som </w:t>
      </w:r>
      <w:proofErr w:type="spellStart"/>
      <w:r w:rsidRPr="00A619D7">
        <w:rPr>
          <w:sz w:val="24"/>
          <w:szCs w:val="24"/>
        </w:rPr>
        <w:t>gastroresistente</w:t>
      </w:r>
      <w:proofErr w:type="spellEnd"/>
      <w:r w:rsidRPr="00A619D7">
        <w:rPr>
          <w:sz w:val="24"/>
          <w:szCs w:val="24"/>
        </w:rPr>
        <w:t xml:space="preserve"> pellets. </w:t>
      </w:r>
      <w:r w:rsidRPr="00A619D7">
        <w:rPr>
          <w:i/>
          <w:iCs/>
          <w:sz w:val="24"/>
          <w:szCs w:val="24"/>
        </w:rPr>
        <w:t xml:space="preserve">In </w:t>
      </w:r>
      <w:proofErr w:type="spellStart"/>
      <w:r w:rsidRPr="00A619D7">
        <w:rPr>
          <w:i/>
          <w:iCs/>
          <w:sz w:val="24"/>
          <w:szCs w:val="24"/>
        </w:rPr>
        <w:t>vivo</w:t>
      </w:r>
      <w:proofErr w:type="spellEnd"/>
      <w:r w:rsidRPr="00A619D7">
        <w:rPr>
          <w:sz w:val="24"/>
          <w:szCs w:val="24"/>
        </w:rPr>
        <w:t xml:space="preserve">-omdannelse til </w:t>
      </w:r>
      <w:r w:rsidRPr="00A619D7">
        <w:rPr>
          <w:i/>
          <w:iCs/>
          <w:sz w:val="24"/>
          <w:szCs w:val="24"/>
        </w:rPr>
        <w:t>R</w:t>
      </w:r>
      <w:r w:rsidRPr="00A619D7">
        <w:rPr>
          <w:sz w:val="24"/>
          <w:szCs w:val="24"/>
        </w:rPr>
        <w:t xml:space="preserve">-isomeren er ubetydelig. Absorption af </w:t>
      </w:r>
      <w:proofErr w:type="spellStart"/>
      <w:r w:rsidRPr="00A619D7">
        <w:rPr>
          <w:sz w:val="24"/>
          <w:szCs w:val="24"/>
        </w:rPr>
        <w:t>esomeprazol</w:t>
      </w:r>
      <w:proofErr w:type="spellEnd"/>
      <w:r w:rsidRPr="00A619D7">
        <w:rPr>
          <w:sz w:val="24"/>
          <w:szCs w:val="24"/>
        </w:rPr>
        <w:t xml:space="preserve"> er hurtig med maksimale plasmaniveauer ca. 1</w:t>
      </w:r>
      <w:r w:rsidRPr="00A619D7">
        <w:rPr>
          <w:sz w:val="24"/>
          <w:szCs w:val="24"/>
        </w:rPr>
        <w:noBreakHyphen/>
        <w:t xml:space="preserve">2 timer efter dosering. Den absolutte biotilgængelighed er 64 % efter en enkelt dosis af 40 mg og stiger til 89 % efter gentagen administration en gang daglig. For 20 mg </w:t>
      </w:r>
      <w:proofErr w:type="spellStart"/>
      <w:r w:rsidRPr="00A619D7">
        <w:rPr>
          <w:sz w:val="24"/>
          <w:szCs w:val="24"/>
        </w:rPr>
        <w:t>esomeprazol</w:t>
      </w:r>
      <w:proofErr w:type="spellEnd"/>
      <w:r w:rsidRPr="00A619D7">
        <w:rPr>
          <w:sz w:val="24"/>
          <w:szCs w:val="24"/>
        </w:rPr>
        <w:t xml:space="preserve"> er de tilsvarende værdier henholdsvis 50 % og 68 %. </w:t>
      </w:r>
    </w:p>
    <w:p w:rsidR="00C55A79" w:rsidRPr="00A619D7" w:rsidRDefault="00C55A79" w:rsidP="00C55A79">
      <w:pPr>
        <w:ind w:left="851"/>
        <w:rPr>
          <w:sz w:val="24"/>
          <w:szCs w:val="24"/>
        </w:rPr>
      </w:pPr>
    </w:p>
    <w:p w:rsidR="00C55A79" w:rsidRPr="00A619D7" w:rsidRDefault="00C55A79" w:rsidP="00C55A79">
      <w:pPr>
        <w:ind w:left="851"/>
        <w:rPr>
          <w:sz w:val="24"/>
          <w:szCs w:val="24"/>
        </w:rPr>
      </w:pPr>
      <w:r w:rsidRPr="00A619D7">
        <w:rPr>
          <w:sz w:val="24"/>
          <w:szCs w:val="24"/>
        </w:rPr>
        <w:t xml:space="preserve">Fødeindtagelse både forsinker og nedsætter absorptionen af </w:t>
      </w:r>
      <w:proofErr w:type="spellStart"/>
      <w:r w:rsidRPr="00A619D7">
        <w:rPr>
          <w:sz w:val="24"/>
          <w:szCs w:val="24"/>
        </w:rPr>
        <w:t>esomeprazol</w:t>
      </w:r>
      <w:proofErr w:type="spellEnd"/>
      <w:r w:rsidRPr="00A619D7">
        <w:rPr>
          <w:sz w:val="24"/>
          <w:szCs w:val="24"/>
        </w:rPr>
        <w:t xml:space="preserve">. Dette har dog ingen signifikant indflydelse på virkningen af </w:t>
      </w:r>
      <w:proofErr w:type="spellStart"/>
      <w:r w:rsidRPr="00A619D7">
        <w:rPr>
          <w:sz w:val="24"/>
          <w:szCs w:val="24"/>
        </w:rPr>
        <w:t>esomeprazol</w:t>
      </w:r>
      <w:proofErr w:type="spellEnd"/>
      <w:r w:rsidRPr="00A619D7">
        <w:rPr>
          <w:sz w:val="24"/>
          <w:szCs w:val="24"/>
        </w:rPr>
        <w:t xml:space="preserve"> på det intragastriske pH.</w:t>
      </w:r>
    </w:p>
    <w:p w:rsidR="00C55A79" w:rsidRPr="00A619D7" w:rsidRDefault="00C55A79" w:rsidP="00C55A79">
      <w:pPr>
        <w:ind w:left="851"/>
        <w:rPr>
          <w:b/>
          <w:bCs/>
          <w:i/>
          <w:iCs/>
          <w:sz w:val="24"/>
          <w:szCs w:val="24"/>
        </w:rPr>
      </w:pPr>
    </w:p>
    <w:p w:rsidR="00C55A79" w:rsidRPr="00A619D7" w:rsidRDefault="00C55A79" w:rsidP="00C55A79">
      <w:pPr>
        <w:widowControl w:val="0"/>
        <w:ind w:left="851"/>
        <w:rPr>
          <w:sz w:val="24"/>
          <w:szCs w:val="24"/>
          <w:u w:val="single"/>
        </w:rPr>
      </w:pPr>
      <w:r w:rsidRPr="00A619D7">
        <w:rPr>
          <w:sz w:val="24"/>
          <w:szCs w:val="24"/>
          <w:u w:val="single"/>
        </w:rPr>
        <w:t>Fordeling</w:t>
      </w:r>
    </w:p>
    <w:p w:rsidR="00C55A79" w:rsidRPr="00A619D7" w:rsidRDefault="00C55A79" w:rsidP="00C55A79">
      <w:pPr>
        <w:widowControl w:val="0"/>
        <w:ind w:left="851"/>
        <w:rPr>
          <w:b/>
          <w:bCs/>
          <w:i/>
          <w:iCs/>
          <w:sz w:val="24"/>
          <w:szCs w:val="24"/>
        </w:rPr>
      </w:pPr>
      <w:r w:rsidRPr="00A619D7">
        <w:rPr>
          <w:sz w:val="24"/>
          <w:szCs w:val="24"/>
        </w:rPr>
        <w:t xml:space="preserve">Det tilsyneladende distributionsvolumen ved </w:t>
      </w:r>
      <w:proofErr w:type="spellStart"/>
      <w:r w:rsidRPr="00A619D7">
        <w:rPr>
          <w:sz w:val="24"/>
          <w:szCs w:val="24"/>
        </w:rPr>
        <w:t>steady</w:t>
      </w:r>
      <w:proofErr w:type="spellEnd"/>
      <w:r w:rsidRPr="00A619D7">
        <w:rPr>
          <w:sz w:val="24"/>
          <w:szCs w:val="24"/>
        </w:rPr>
        <w:t xml:space="preserve"> </w:t>
      </w:r>
      <w:proofErr w:type="spellStart"/>
      <w:r w:rsidRPr="00A619D7">
        <w:rPr>
          <w:sz w:val="24"/>
          <w:szCs w:val="24"/>
        </w:rPr>
        <w:t>state</w:t>
      </w:r>
      <w:proofErr w:type="spellEnd"/>
      <w:r w:rsidRPr="00A619D7">
        <w:rPr>
          <w:sz w:val="24"/>
          <w:szCs w:val="24"/>
        </w:rPr>
        <w:t xml:space="preserve"> er hos raske personer ca. 0,22 l/kg kropsvægt. </w:t>
      </w:r>
      <w:proofErr w:type="spellStart"/>
      <w:r w:rsidRPr="00A619D7">
        <w:rPr>
          <w:sz w:val="24"/>
          <w:szCs w:val="24"/>
        </w:rPr>
        <w:t>Esomeprazol</w:t>
      </w:r>
      <w:proofErr w:type="spellEnd"/>
      <w:r w:rsidRPr="00A619D7">
        <w:rPr>
          <w:sz w:val="24"/>
          <w:szCs w:val="24"/>
        </w:rPr>
        <w:t xml:space="preserve"> er 97 % plasmaproteinbundet.</w:t>
      </w:r>
    </w:p>
    <w:p w:rsidR="00C55A79" w:rsidRPr="00A619D7" w:rsidRDefault="00C55A79" w:rsidP="00C55A79">
      <w:pPr>
        <w:ind w:left="851"/>
        <w:rPr>
          <w:b/>
          <w:bCs/>
          <w:i/>
          <w:iCs/>
          <w:sz w:val="24"/>
          <w:szCs w:val="24"/>
        </w:rPr>
      </w:pPr>
    </w:p>
    <w:p w:rsidR="00C55A79" w:rsidRPr="00A619D7" w:rsidRDefault="00C55A79" w:rsidP="00C55A79">
      <w:pPr>
        <w:ind w:left="851"/>
        <w:rPr>
          <w:b/>
          <w:bCs/>
          <w:sz w:val="24"/>
          <w:szCs w:val="24"/>
        </w:rPr>
      </w:pPr>
      <w:r w:rsidRPr="00A619D7">
        <w:rPr>
          <w:bCs/>
          <w:sz w:val="24"/>
          <w:szCs w:val="24"/>
          <w:u w:val="single"/>
        </w:rPr>
        <w:t>Biotransformation</w:t>
      </w:r>
    </w:p>
    <w:p w:rsidR="00C55A79" w:rsidRPr="00A619D7" w:rsidRDefault="00C55A79" w:rsidP="00C55A79">
      <w:pPr>
        <w:ind w:left="851"/>
        <w:rPr>
          <w:sz w:val="24"/>
          <w:szCs w:val="24"/>
        </w:rPr>
      </w:pPr>
      <w:proofErr w:type="spellStart"/>
      <w:r w:rsidRPr="00A619D7">
        <w:rPr>
          <w:sz w:val="24"/>
          <w:szCs w:val="24"/>
        </w:rPr>
        <w:t>Esomeprazol</w:t>
      </w:r>
      <w:proofErr w:type="spellEnd"/>
      <w:r w:rsidRPr="00A619D7">
        <w:rPr>
          <w:sz w:val="24"/>
          <w:szCs w:val="24"/>
        </w:rPr>
        <w:t xml:space="preserve"> </w:t>
      </w:r>
      <w:proofErr w:type="spellStart"/>
      <w:r w:rsidRPr="00A619D7">
        <w:rPr>
          <w:sz w:val="24"/>
          <w:szCs w:val="24"/>
        </w:rPr>
        <w:t>metaboliseres</w:t>
      </w:r>
      <w:proofErr w:type="spellEnd"/>
      <w:r w:rsidRPr="00A619D7">
        <w:rPr>
          <w:sz w:val="24"/>
          <w:szCs w:val="24"/>
        </w:rPr>
        <w:t xml:space="preserve"> fuldstændigt af </w:t>
      </w:r>
      <w:proofErr w:type="spellStart"/>
      <w:r w:rsidRPr="00A619D7">
        <w:rPr>
          <w:sz w:val="24"/>
          <w:szCs w:val="24"/>
        </w:rPr>
        <w:t>cytochrom</w:t>
      </w:r>
      <w:proofErr w:type="spellEnd"/>
      <w:r w:rsidRPr="00A619D7">
        <w:rPr>
          <w:sz w:val="24"/>
          <w:szCs w:val="24"/>
        </w:rPr>
        <w:t xml:space="preserve"> P450-systemet (CYP). Den største del af metabolismen af </w:t>
      </w:r>
      <w:proofErr w:type="spellStart"/>
      <w:r w:rsidRPr="00A619D7">
        <w:rPr>
          <w:sz w:val="24"/>
          <w:szCs w:val="24"/>
        </w:rPr>
        <w:t>esomeprazol</w:t>
      </w:r>
      <w:proofErr w:type="spellEnd"/>
      <w:r w:rsidRPr="00A619D7">
        <w:rPr>
          <w:sz w:val="24"/>
          <w:szCs w:val="24"/>
        </w:rPr>
        <w:t xml:space="preserve"> er afhængig af det polymorfe CYP2C19, der er ansvarlig for dannelsen af </w:t>
      </w:r>
      <w:proofErr w:type="spellStart"/>
      <w:r w:rsidRPr="00A619D7">
        <w:rPr>
          <w:sz w:val="24"/>
          <w:szCs w:val="24"/>
        </w:rPr>
        <w:t>hydroxy</w:t>
      </w:r>
      <w:proofErr w:type="spellEnd"/>
      <w:r w:rsidRPr="00A619D7">
        <w:rPr>
          <w:sz w:val="24"/>
          <w:szCs w:val="24"/>
        </w:rPr>
        <w:t xml:space="preserve">- og </w:t>
      </w:r>
      <w:proofErr w:type="spellStart"/>
      <w:r w:rsidRPr="00A619D7">
        <w:rPr>
          <w:sz w:val="24"/>
          <w:szCs w:val="24"/>
        </w:rPr>
        <w:t>desmethylmetabolitterne</w:t>
      </w:r>
      <w:proofErr w:type="spellEnd"/>
      <w:r w:rsidRPr="00A619D7">
        <w:rPr>
          <w:sz w:val="24"/>
          <w:szCs w:val="24"/>
        </w:rPr>
        <w:t xml:space="preserve"> af </w:t>
      </w:r>
      <w:proofErr w:type="spellStart"/>
      <w:r w:rsidRPr="00A619D7">
        <w:rPr>
          <w:sz w:val="24"/>
          <w:szCs w:val="24"/>
        </w:rPr>
        <w:t>esomeprazol</w:t>
      </w:r>
      <w:proofErr w:type="spellEnd"/>
      <w:r w:rsidRPr="00A619D7">
        <w:rPr>
          <w:sz w:val="24"/>
          <w:szCs w:val="24"/>
        </w:rPr>
        <w:t xml:space="preserve">. Den </w:t>
      </w:r>
      <w:r w:rsidRPr="00A619D7">
        <w:rPr>
          <w:sz w:val="24"/>
          <w:szCs w:val="24"/>
        </w:rPr>
        <w:lastRenderedPageBreak/>
        <w:t xml:space="preserve">resterende del er afhængig af en anden specifik </w:t>
      </w:r>
      <w:proofErr w:type="spellStart"/>
      <w:r w:rsidRPr="00A619D7">
        <w:rPr>
          <w:sz w:val="24"/>
          <w:szCs w:val="24"/>
        </w:rPr>
        <w:t>isoform</w:t>
      </w:r>
      <w:proofErr w:type="spellEnd"/>
      <w:r w:rsidRPr="00A619D7">
        <w:rPr>
          <w:sz w:val="24"/>
          <w:szCs w:val="24"/>
        </w:rPr>
        <w:t xml:space="preserve">, CYP3A4, der er ansvarlig for dannelsen af </w:t>
      </w:r>
      <w:proofErr w:type="spellStart"/>
      <w:r w:rsidRPr="00A619D7">
        <w:rPr>
          <w:sz w:val="24"/>
          <w:szCs w:val="24"/>
        </w:rPr>
        <w:t>esomeprazolsulfon</w:t>
      </w:r>
      <w:proofErr w:type="spellEnd"/>
      <w:r w:rsidRPr="00A619D7">
        <w:rPr>
          <w:sz w:val="24"/>
          <w:szCs w:val="24"/>
        </w:rPr>
        <w:t>, den vigtigste metabolit i plasma.</w:t>
      </w:r>
    </w:p>
    <w:p w:rsidR="00C55A79" w:rsidRPr="00A619D7" w:rsidRDefault="00C55A79" w:rsidP="00C55A79">
      <w:pPr>
        <w:rPr>
          <w:sz w:val="24"/>
          <w:szCs w:val="24"/>
        </w:rPr>
      </w:pPr>
    </w:p>
    <w:p w:rsidR="00C55A79" w:rsidRPr="00C55A79" w:rsidRDefault="00C55A79" w:rsidP="00C55A79">
      <w:pPr>
        <w:widowControl w:val="0"/>
        <w:ind w:left="851"/>
        <w:rPr>
          <w:sz w:val="24"/>
          <w:szCs w:val="24"/>
          <w:u w:val="single"/>
        </w:rPr>
      </w:pPr>
      <w:r w:rsidRPr="00C55A79">
        <w:rPr>
          <w:bCs/>
          <w:sz w:val="24"/>
          <w:szCs w:val="24"/>
          <w:u w:val="single"/>
        </w:rPr>
        <w:t>Elimination</w:t>
      </w:r>
    </w:p>
    <w:p w:rsidR="00C55A79" w:rsidRPr="00C55A79" w:rsidRDefault="00C55A79" w:rsidP="00C55A79">
      <w:pPr>
        <w:ind w:left="851"/>
        <w:rPr>
          <w:sz w:val="24"/>
          <w:szCs w:val="24"/>
        </w:rPr>
      </w:pPr>
      <w:r w:rsidRPr="00C55A79">
        <w:rPr>
          <w:sz w:val="24"/>
          <w:szCs w:val="24"/>
        </w:rPr>
        <w:t>Parametrene nedenfor afspejler overvejende farmakokinetikken hos personer med et funktionelt CYP2C19-enzym, ”</w:t>
      </w:r>
      <w:proofErr w:type="spellStart"/>
      <w:r w:rsidRPr="00C55A79">
        <w:rPr>
          <w:sz w:val="24"/>
          <w:szCs w:val="24"/>
        </w:rPr>
        <w:t>extensive</w:t>
      </w:r>
      <w:proofErr w:type="spellEnd"/>
      <w:r w:rsidRPr="00C55A79">
        <w:rPr>
          <w:spacing w:val="-1"/>
          <w:sz w:val="24"/>
          <w:szCs w:val="24"/>
        </w:rPr>
        <w:t xml:space="preserve"> </w:t>
      </w:r>
      <w:proofErr w:type="spellStart"/>
      <w:r w:rsidRPr="00C55A79">
        <w:rPr>
          <w:sz w:val="24"/>
          <w:szCs w:val="24"/>
        </w:rPr>
        <w:t>metabolisers</w:t>
      </w:r>
      <w:proofErr w:type="spellEnd"/>
      <w:r w:rsidRPr="00C55A79">
        <w:rPr>
          <w:sz w:val="24"/>
          <w:szCs w:val="24"/>
        </w:rPr>
        <w:t xml:space="preserve">”. </w:t>
      </w:r>
    </w:p>
    <w:p w:rsidR="00C55A79" w:rsidRPr="00C55A79" w:rsidRDefault="00C55A79" w:rsidP="00C55A79">
      <w:pPr>
        <w:ind w:left="851"/>
        <w:rPr>
          <w:sz w:val="24"/>
          <w:szCs w:val="24"/>
        </w:rPr>
      </w:pPr>
    </w:p>
    <w:p w:rsidR="00C55A79" w:rsidRPr="00C55A79" w:rsidRDefault="00C55A79" w:rsidP="00C55A79">
      <w:pPr>
        <w:ind w:left="851"/>
        <w:rPr>
          <w:sz w:val="24"/>
          <w:szCs w:val="24"/>
        </w:rPr>
      </w:pPr>
      <w:r w:rsidRPr="00C55A79">
        <w:rPr>
          <w:sz w:val="24"/>
          <w:szCs w:val="24"/>
        </w:rPr>
        <w:t>Den totale plasma-</w:t>
      </w:r>
      <w:proofErr w:type="spellStart"/>
      <w:r w:rsidRPr="00C55A79">
        <w:rPr>
          <w:sz w:val="24"/>
          <w:szCs w:val="24"/>
        </w:rPr>
        <w:t>clearance</w:t>
      </w:r>
      <w:proofErr w:type="spellEnd"/>
      <w:r w:rsidRPr="00C55A79">
        <w:rPr>
          <w:sz w:val="24"/>
          <w:szCs w:val="24"/>
        </w:rPr>
        <w:t xml:space="preserve"> er ca. 17 l/time efter en enkelt dosis og ca. 9 l/time efter gentagen administration. Halveringstiden for plasmaeliminering er ca. 1,3 timer efter gentagen dosering en gang daglig. </w:t>
      </w:r>
      <w:proofErr w:type="spellStart"/>
      <w:r w:rsidRPr="00C55A79">
        <w:rPr>
          <w:sz w:val="24"/>
          <w:szCs w:val="24"/>
        </w:rPr>
        <w:t>Esomeprazol</w:t>
      </w:r>
      <w:proofErr w:type="spellEnd"/>
      <w:r w:rsidRPr="00C55A79">
        <w:rPr>
          <w:sz w:val="24"/>
          <w:szCs w:val="24"/>
        </w:rPr>
        <w:t xml:space="preserve"> elimineres fuldstændigt fra plasma mellem doserne uden tendens til akkumulering under administration en gang daglig.</w:t>
      </w:r>
    </w:p>
    <w:p w:rsidR="00C55A79" w:rsidRPr="00C55A79" w:rsidRDefault="00C55A79" w:rsidP="00C55A79">
      <w:pPr>
        <w:ind w:left="851"/>
        <w:rPr>
          <w:sz w:val="24"/>
          <w:szCs w:val="24"/>
        </w:rPr>
      </w:pPr>
    </w:p>
    <w:p w:rsidR="00C55A79" w:rsidRPr="00C55A79" w:rsidRDefault="00C55A79" w:rsidP="00C55A79">
      <w:pPr>
        <w:ind w:left="851"/>
        <w:rPr>
          <w:sz w:val="24"/>
          <w:szCs w:val="24"/>
        </w:rPr>
      </w:pPr>
      <w:r w:rsidRPr="00C55A79">
        <w:rPr>
          <w:sz w:val="24"/>
          <w:szCs w:val="24"/>
        </w:rPr>
        <w:t xml:space="preserve">De vigtigste metabolitter af </w:t>
      </w:r>
      <w:proofErr w:type="spellStart"/>
      <w:r w:rsidRPr="00C55A79">
        <w:rPr>
          <w:sz w:val="24"/>
          <w:szCs w:val="24"/>
        </w:rPr>
        <w:t>esomeprazol</w:t>
      </w:r>
      <w:proofErr w:type="spellEnd"/>
      <w:r w:rsidRPr="00C55A79">
        <w:rPr>
          <w:sz w:val="24"/>
          <w:szCs w:val="24"/>
        </w:rPr>
        <w:t xml:space="preserve"> har ingen virkning på gastrisk syreudskillelse. Næsten 80 % af en oral dosis af </w:t>
      </w:r>
      <w:proofErr w:type="spellStart"/>
      <w:r w:rsidRPr="00C55A79">
        <w:rPr>
          <w:sz w:val="24"/>
          <w:szCs w:val="24"/>
        </w:rPr>
        <w:t>esomeprazol</w:t>
      </w:r>
      <w:proofErr w:type="spellEnd"/>
      <w:r w:rsidRPr="00C55A79">
        <w:rPr>
          <w:sz w:val="24"/>
          <w:szCs w:val="24"/>
        </w:rPr>
        <w:t xml:space="preserve"> udskilles som metabolitter i urinen, den resterende del i fæces. Mindre end 1 % af det oprindelige lægemiddel findes i urin.</w:t>
      </w:r>
    </w:p>
    <w:p w:rsidR="00C55A79" w:rsidRPr="00C55A79" w:rsidRDefault="00C55A79" w:rsidP="00C55A79">
      <w:pPr>
        <w:ind w:left="851"/>
        <w:rPr>
          <w:sz w:val="24"/>
          <w:szCs w:val="24"/>
        </w:rPr>
      </w:pPr>
    </w:p>
    <w:p w:rsidR="00C55A79" w:rsidRPr="00C55A79" w:rsidRDefault="00C55A79" w:rsidP="00C55A79">
      <w:pPr>
        <w:widowControl w:val="0"/>
        <w:ind w:left="851"/>
        <w:rPr>
          <w:sz w:val="24"/>
          <w:szCs w:val="24"/>
        </w:rPr>
      </w:pPr>
      <w:r w:rsidRPr="00C55A79">
        <w:rPr>
          <w:sz w:val="24"/>
          <w:szCs w:val="24"/>
          <w:u w:val="single"/>
        </w:rPr>
        <w:t>Linearitet/non-linearitet</w:t>
      </w:r>
    </w:p>
    <w:p w:rsidR="00C55A79" w:rsidRPr="00C55A79" w:rsidRDefault="00C55A79" w:rsidP="00C55A79">
      <w:pPr>
        <w:ind w:left="851"/>
        <w:rPr>
          <w:sz w:val="24"/>
          <w:szCs w:val="24"/>
        </w:rPr>
      </w:pPr>
      <w:r w:rsidRPr="00C55A79">
        <w:rPr>
          <w:sz w:val="24"/>
          <w:szCs w:val="24"/>
        </w:rPr>
        <w:t xml:space="preserve">Farmakokinetikken for </w:t>
      </w:r>
      <w:proofErr w:type="spellStart"/>
      <w:r w:rsidRPr="00C55A79">
        <w:rPr>
          <w:sz w:val="24"/>
          <w:szCs w:val="24"/>
        </w:rPr>
        <w:t>esomeprazol</w:t>
      </w:r>
      <w:proofErr w:type="spellEnd"/>
      <w:r w:rsidRPr="00C55A79">
        <w:rPr>
          <w:sz w:val="24"/>
          <w:szCs w:val="24"/>
        </w:rPr>
        <w:t xml:space="preserve"> er blevet undersøgt i doser på op til 40 mg to gange daglig. Arealet under plasmakoncentration-tids-kurven stiger ved gentagen administration af </w:t>
      </w:r>
      <w:proofErr w:type="spellStart"/>
      <w:r w:rsidRPr="00C55A79">
        <w:rPr>
          <w:sz w:val="24"/>
          <w:szCs w:val="24"/>
        </w:rPr>
        <w:t>esomeprazol</w:t>
      </w:r>
      <w:proofErr w:type="spellEnd"/>
      <w:r w:rsidRPr="00C55A79">
        <w:rPr>
          <w:sz w:val="24"/>
          <w:szCs w:val="24"/>
        </w:rPr>
        <w:t xml:space="preserve">. Denne stigning er dosisafhængig og resulterer i en mere end dosisproportional stigning i AUC ved gentagen administration. Denne tids- og dosisafhængighed skyldes et fald i første passage-metabolisme og systemisk </w:t>
      </w:r>
      <w:proofErr w:type="spellStart"/>
      <w:r w:rsidRPr="00C55A79">
        <w:rPr>
          <w:sz w:val="24"/>
          <w:szCs w:val="24"/>
        </w:rPr>
        <w:t>clearance</w:t>
      </w:r>
      <w:proofErr w:type="spellEnd"/>
      <w:r w:rsidRPr="00C55A79">
        <w:rPr>
          <w:sz w:val="24"/>
          <w:szCs w:val="24"/>
        </w:rPr>
        <w:t xml:space="preserve">, der sandsynligvis forårsages af en </w:t>
      </w:r>
      <w:proofErr w:type="spellStart"/>
      <w:r w:rsidRPr="00C55A79">
        <w:rPr>
          <w:sz w:val="24"/>
          <w:szCs w:val="24"/>
        </w:rPr>
        <w:t>inhibering</w:t>
      </w:r>
      <w:proofErr w:type="spellEnd"/>
      <w:r w:rsidRPr="00C55A79">
        <w:rPr>
          <w:sz w:val="24"/>
          <w:szCs w:val="24"/>
        </w:rPr>
        <w:t xml:space="preserve"> af CYP2C19-enzymet ved hjælp af </w:t>
      </w:r>
      <w:proofErr w:type="spellStart"/>
      <w:r w:rsidRPr="00C55A79">
        <w:rPr>
          <w:sz w:val="24"/>
          <w:szCs w:val="24"/>
        </w:rPr>
        <w:t>esomeprazol</w:t>
      </w:r>
      <w:proofErr w:type="spellEnd"/>
      <w:r w:rsidRPr="00C55A79">
        <w:rPr>
          <w:sz w:val="24"/>
          <w:szCs w:val="24"/>
        </w:rPr>
        <w:t xml:space="preserve"> og/eller dets </w:t>
      </w:r>
      <w:proofErr w:type="spellStart"/>
      <w:r w:rsidRPr="00C55A79">
        <w:rPr>
          <w:sz w:val="24"/>
          <w:szCs w:val="24"/>
        </w:rPr>
        <w:t>sulfonmetabolit</w:t>
      </w:r>
      <w:proofErr w:type="spellEnd"/>
      <w:r w:rsidRPr="00C55A79">
        <w:rPr>
          <w:sz w:val="24"/>
          <w:szCs w:val="24"/>
        </w:rPr>
        <w:t xml:space="preserve">. </w:t>
      </w:r>
    </w:p>
    <w:p w:rsidR="00C55A79" w:rsidRPr="00C55A79" w:rsidRDefault="00C55A79" w:rsidP="00C55A79">
      <w:pPr>
        <w:rPr>
          <w:sz w:val="24"/>
          <w:szCs w:val="24"/>
        </w:rPr>
      </w:pPr>
    </w:p>
    <w:p w:rsidR="00C55A79" w:rsidRPr="00C55A79" w:rsidRDefault="00C55A79" w:rsidP="00C55A79">
      <w:pPr>
        <w:ind w:left="851"/>
        <w:rPr>
          <w:bCs/>
          <w:sz w:val="24"/>
          <w:szCs w:val="24"/>
          <w:u w:val="single"/>
        </w:rPr>
      </w:pPr>
      <w:r w:rsidRPr="00C55A79">
        <w:rPr>
          <w:bCs/>
          <w:sz w:val="24"/>
          <w:szCs w:val="24"/>
          <w:u w:val="single"/>
        </w:rPr>
        <w:t>Særlige patientpopulationer</w:t>
      </w:r>
    </w:p>
    <w:p w:rsidR="00C55A79" w:rsidRPr="00C55A79" w:rsidRDefault="00C55A79" w:rsidP="00C55A79">
      <w:pPr>
        <w:ind w:left="851"/>
        <w:rPr>
          <w:sz w:val="24"/>
          <w:szCs w:val="24"/>
        </w:rPr>
      </w:pPr>
    </w:p>
    <w:p w:rsidR="00C55A79" w:rsidRPr="00C55A79" w:rsidRDefault="00C55A79" w:rsidP="00C55A79">
      <w:pPr>
        <w:spacing w:line="252" w:lineRule="exact"/>
        <w:ind w:left="235" w:firstLine="616"/>
        <w:rPr>
          <w:i/>
          <w:sz w:val="22"/>
        </w:rPr>
      </w:pPr>
      <w:r w:rsidRPr="00C55A79">
        <w:rPr>
          <w:i/>
          <w:u w:val="single"/>
        </w:rPr>
        <w:t>Patienter</w:t>
      </w:r>
      <w:r w:rsidRPr="00C55A79">
        <w:rPr>
          <w:i/>
          <w:spacing w:val="-4"/>
          <w:u w:val="single"/>
        </w:rPr>
        <w:t xml:space="preserve"> </w:t>
      </w:r>
      <w:r w:rsidRPr="00C55A79">
        <w:rPr>
          <w:i/>
          <w:u w:val="single"/>
        </w:rPr>
        <w:t>med</w:t>
      </w:r>
      <w:r w:rsidRPr="00C55A79">
        <w:rPr>
          <w:i/>
          <w:spacing w:val="-4"/>
          <w:u w:val="single"/>
        </w:rPr>
        <w:t xml:space="preserve"> </w:t>
      </w:r>
      <w:r w:rsidRPr="00C55A79">
        <w:rPr>
          <w:i/>
          <w:u w:val="single"/>
        </w:rPr>
        <w:t>nedsat</w:t>
      </w:r>
      <w:r w:rsidRPr="00C55A79">
        <w:rPr>
          <w:i/>
          <w:spacing w:val="-4"/>
          <w:u w:val="single"/>
        </w:rPr>
        <w:t xml:space="preserve"> </w:t>
      </w:r>
      <w:r w:rsidRPr="00C55A79">
        <w:rPr>
          <w:i/>
          <w:u w:val="single"/>
        </w:rPr>
        <w:t>metabolisme</w:t>
      </w:r>
      <w:r w:rsidRPr="00C55A79">
        <w:rPr>
          <w:i/>
          <w:spacing w:val="-4"/>
          <w:u w:val="single"/>
        </w:rPr>
        <w:t xml:space="preserve"> </w:t>
      </w:r>
      <w:r w:rsidRPr="00C55A79">
        <w:rPr>
          <w:i/>
          <w:u w:val="single"/>
        </w:rPr>
        <w:t>(</w:t>
      </w:r>
      <w:proofErr w:type="spellStart"/>
      <w:r w:rsidRPr="00C55A79">
        <w:rPr>
          <w:i/>
          <w:u w:val="single"/>
        </w:rPr>
        <w:t>Poor</w:t>
      </w:r>
      <w:proofErr w:type="spellEnd"/>
      <w:r w:rsidRPr="00C55A79">
        <w:rPr>
          <w:i/>
          <w:spacing w:val="-3"/>
          <w:u w:val="single"/>
        </w:rPr>
        <w:t xml:space="preserve"> </w:t>
      </w:r>
      <w:proofErr w:type="spellStart"/>
      <w:r w:rsidRPr="00C55A79">
        <w:rPr>
          <w:i/>
          <w:u w:val="single"/>
        </w:rPr>
        <w:t>metabolisers</w:t>
      </w:r>
      <w:proofErr w:type="spellEnd"/>
      <w:r w:rsidRPr="00C55A79">
        <w:rPr>
          <w:i/>
          <w:u w:val="single"/>
        </w:rPr>
        <w:t>)</w:t>
      </w:r>
    </w:p>
    <w:p w:rsidR="00C55A79" w:rsidRPr="00C55A79" w:rsidRDefault="00C55A79" w:rsidP="00C55A79">
      <w:pPr>
        <w:ind w:left="851"/>
        <w:rPr>
          <w:sz w:val="24"/>
          <w:szCs w:val="24"/>
        </w:rPr>
      </w:pPr>
      <w:r w:rsidRPr="00C55A79">
        <w:rPr>
          <w:sz w:val="24"/>
          <w:szCs w:val="24"/>
        </w:rPr>
        <w:t>Cirka 2,9 ± 1,5 % af befolkningen mangler et funktionelt CYP2C19-enzym. Patienter med en nedsat</w:t>
      </w:r>
      <w:r w:rsidRPr="00C55A79">
        <w:rPr>
          <w:spacing w:val="1"/>
          <w:sz w:val="24"/>
          <w:szCs w:val="24"/>
        </w:rPr>
        <w:t xml:space="preserve"> </w:t>
      </w:r>
      <w:r w:rsidRPr="00C55A79">
        <w:rPr>
          <w:sz w:val="24"/>
          <w:szCs w:val="24"/>
        </w:rPr>
        <w:t>metabolisme kaldes ”</w:t>
      </w:r>
      <w:proofErr w:type="spellStart"/>
      <w:r w:rsidRPr="00C55A79">
        <w:rPr>
          <w:sz w:val="24"/>
          <w:szCs w:val="24"/>
        </w:rPr>
        <w:t>poor</w:t>
      </w:r>
      <w:proofErr w:type="spellEnd"/>
      <w:r w:rsidRPr="00C55A79">
        <w:rPr>
          <w:sz w:val="24"/>
          <w:szCs w:val="24"/>
        </w:rPr>
        <w:t xml:space="preserve"> </w:t>
      </w:r>
      <w:proofErr w:type="spellStart"/>
      <w:r w:rsidRPr="00C55A79">
        <w:rPr>
          <w:sz w:val="24"/>
          <w:szCs w:val="24"/>
        </w:rPr>
        <w:t>metabolisers</w:t>
      </w:r>
      <w:proofErr w:type="spellEnd"/>
      <w:r w:rsidRPr="00C55A79">
        <w:rPr>
          <w:sz w:val="24"/>
          <w:szCs w:val="24"/>
        </w:rPr>
        <w:t xml:space="preserve">”. Hos disse personer katalyseres metabolismen af </w:t>
      </w:r>
      <w:proofErr w:type="spellStart"/>
      <w:r w:rsidRPr="00C55A79">
        <w:rPr>
          <w:sz w:val="24"/>
          <w:szCs w:val="24"/>
        </w:rPr>
        <w:t>esomeprazol</w:t>
      </w:r>
      <w:proofErr w:type="spellEnd"/>
      <w:r w:rsidRPr="00C55A79">
        <w:rPr>
          <w:sz w:val="24"/>
          <w:szCs w:val="24"/>
        </w:rPr>
        <w:t xml:space="preserve"> sandsynligvis overvejende af CYP3A4. Efter gentagen administration en gang daglig af 40 mg </w:t>
      </w:r>
      <w:proofErr w:type="spellStart"/>
      <w:r w:rsidRPr="00C55A79">
        <w:rPr>
          <w:sz w:val="24"/>
          <w:szCs w:val="24"/>
        </w:rPr>
        <w:t>esomeprazol</w:t>
      </w:r>
      <w:proofErr w:type="spellEnd"/>
      <w:r w:rsidRPr="00C55A79">
        <w:rPr>
          <w:sz w:val="24"/>
          <w:szCs w:val="24"/>
        </w:rPr>
        <w:t xml:space="preserve"> var middelarealet under plasmakoncentration-tids-kurven ca. 100 % højere hos ”</w:t>
      </w:r>
      <w:proofErr w:type="spellStart"/>
      <w:r w:rsidRPr="00C55A79">
        <w:rPr>
          <w:sz w:val="22"/>
          <w:szCs w:val="22"/>
        </w:rPr>
        <w:t>poor</w:t>
      </w:r>
      <w:proofErr w:type="spellEnd"/>
      <w:r w:rsidRPr="00C55A79">
        <w:rPr>
          <w:sz w:val="22"/>
          <w:szCs w:val="22"/>
        </w:rPr>
        <w:t xml:space="preserve"> </w:t>
      </w:r>
      <w:proofErr w:type="spellStart"/>
      <w:r w:rsidRPr="00C55A79">
        <w:rPr>
          <w:sz w:val="22"/>
          <w:szCs w:val="22"/>
        </w:rPr>
        <w:t>metabolisers</w:t>
      </w:r>
      <w:proofErr w:type="spellEnd"/>
      <w:r w:rsidRPr="00C55A79">
        <w:rPr>
          <w:sz w:val="22"/>
          <w:szCs w:val="22"/>
        </w:rPr>
        <w:t xml:space="preserve">” </w:t>
      </w:r>
      <w:r w:rsidRPr="00C55A79">
        <w:rPr>
          <w:sz w:val="24"/>
          <w:szCs w:val="24"/>
        </w:rPr>
        <w:t>end hos personer med et funktionelt CYP2C19-enzym (”</w:t>
      </w:r>
      <w:proofErr w:type="spellStart"/>
      <w:r w:rsidRPr="00C55A79">
        <w:rPr>
          <w:sz w:val="22"/>
          <w:szCs w:val="22"/>
        </w:rPr>
        <w:t>extensive</w:t>
      </w:r>
      <w:proofErr w:type="spellEnd"/>
      <w:r w:rsidRPr="00C55A79">
        <w:rPr>
          <w:sz w:val="22"/>
          <w:szCs w:val="22"/>
        </w:rPr>
        <w:t xml:space="preserve"> </w:t>
      </w:r>
      <w:proofErr w:type="spellStart"/>
      <w:r w:rsidRPr="00C55A79">
        <w:rPr>
          <w:sz w:val="22"/>
          <w:szCs w:val="22"/>
        </w:rPr>
        <w:t>metabolisers</w:t>
      </w:r>
      <w:proofErr w:type="spellEnd"/>
      <w:r w:rsidRPr="00C55A79">
        <w:rPr>
          <w:sz w:val="22"/>
          <w:szCs w:val="22"/>
        </w:rPr>
        <w:t>”</w:t>
      </w:r>
      <w:r w:rsidRPr="00C55A79">
        <w:rPr>
          <w:sz w:val="24"/>
          <w:szCs w:val="24"/>
        </w:rPr>
        <w:t xml:space="preserve">). Gennemsnitlige, maksimale plasmakoncentrationer steg med ca. 60 %. Disse fund har ingen betydning for doseringen af </w:t>
      </w:r>
      <w:proofErr w:type="spellStart"/>
      <w:r w:rsidRPr="00C55A79">
        <w:rPr>
          <w:sz w:val="24"/>
          <w:szCs w:val="24"/>
        </w:rPr>
        <w:t>esomeprazol</w:t>
      </w:r>
      <w:proofErr w:type="spellEnd"/>
      <w:r w:rsidRPr="00C55A79">
        <w:rPr>
          <w:sz w:val="24"/>
          <w:szCs w:val="24"/>
        </w:rPr>
        <w:t>.</w:t>
      </w:r>
    </w:p>
    <w:p w:rsidR="00C55A79" w:rsidRPr="00C55A79" w:rsidRDefault="00C55A79" w:rsidP="00C55A79">
      <w:pPr>
        <w:ind w:left="851"/>
        <w:rPr>
          <w:sz w:val="24"/>
          <w:szCs w:val="24"/>
        </w:rPr>
      </w:pPr>
    </w:p>
    <w:p w:rsidR="00C55A79" w:rsidRPr="00C55A79" w:rsidRDefault="00C55A79" w:rsidP="00C55A79">
      <w:pPr>
        <w:widowControl w:val="0"/>
        <w:ind w:left="851"/>
        <w:rPr>
          <w:sz w:val="24"/>
          <w:szCs w:val="24"/>
        </w:rPr>
      </w:pPr>
      <w:r w:rsidRPr="00C55A79">
        <w:rPr>
          <w:i/>
          <w:sz w:val="24"/>
          <w:szCs w:val="24"/>
          <w:u w:val="single"/>
        </w:rPr>
        <w:t>Køn</w:t>
      </w:r>
    </w:p>
    <w:p w:rsidR="00C55A79" w:rsidRPr="00C55A79" w:rsidRDefault="00C55A79" w:rsidP="00C55A79">
      <w:pPr>
        <w:ind w:left="851"/>
        <w:rPr>
          <w:sz w:val="24"/>
          <w:szCs w:val="24"/>
        </w:rPr>
      </w:pPr>
      <w:r w:rsidRPr="00C55A79">
        <w:rPr>
          <w:sz w:val="24"/>
          <w:szCs w:val="24"/>
        </w:rPr>
        <w:t xml:space="preserve">Efter en enkelt dosis af 40 mg </w:t>
      </w:r>
      <w:proofErr w:type="spellStart"/>
      <w:r w:rsidRPr="00C55A79">
        <w:rPr>
          <w:sz w:val="24"/>
          <w:szCs w:val="24"/>
        </w:rPr>
        <w:t>esomeprazol</w:t>
      </w:r>
      <w:proofErr w:type="spellEnd"/>
      <w:r w:rsidRPr="00C55A79">
        <w:rPr>
          <w:sz w:val="24"/>
          <w:szCs w:val="24"/>
        </w:rPr>
        <w:t xml:space="preserve"> er middelarealet under plasmakoncentration-tids-kurven ca. 30 % højere hos kvinder end hos mænd. Der ses ingen kønsforskel efter gentagen administration en gang daglig. Disse fund har ingen betydning for doseringen af </w:t>
      </w:r>
      <w:proofErr w:type="spellStart"/>
      <w:r w:rsidRPr="00C55A79">
        <w:rPr>
          <w:sz w:val="24"/>
          <w:szCs w:val="24"/>
        </w:rPr>
        <w:t>esomeprazol</w:t>
      </w:r>
      <w:proofErr w:type="spellEnd"/>
      <w:r w:rsidRPr="00C55A79">
        <w:rPr>
          <w:sz w:val="24"/>
          <w:szCs w:val="24"/>
        </w:rPr>
        <w:t>.</w:t>
      </w:r>
    </w:p>
    <w:p w:rsidR="00C55A79" w:rsidRPr="00C55A79" w:rsidRDefault="00C55A79" w:rsidP="00C55A79">
      <w:pPr>
        <w:ind w:left="851"/>
        <w:rPr>
          <w:b/>
          <w:bCs/>
          <w:sz w:val="24"/>
          <w:szCs w:val="24"/>
        </w:rPr>
      </w:pPr>
    </w:p>
    <w:p w:rsidR="00C55A79" w:rsidRPr="00C55A79" w:rsidRDefault="00C55A79" w:rsidP="00C55A79">
      <w:pPr>
        <w:widowControl w:val="0"/>
        <w:ind w:left="851"/>
        <w:rPr>
          <w:sz w:val="24"/>
          <w:szCs w:val="24"/>
        </w:rPr>
      </w:pPr>
      <w:r w:rsidRPr="00C55A79">
        <w:rPr>
          <w:i/>
          <w:sz w:val="24"/>
          <w:szCs w:val="24"/>
          <w:u w:val="single"/>
        </w:rPr>
        <w:t>Nedsat leverfunktion</w:t>
      </w:r>
    </w:p>
    <w:p w:rsidR="00C55A79" w:rsidRPr="00C55A79" w:rsidRDefault="00C55A79" w:rsidP="00C55A79">
      <w:pPr>
        <w:ind w:left="851"/>
        <w:rPr>
          <w:sz w:val="24"/>
          <w:szCs w:val="24"/>
        </w:rPr>
      </w:pPr>
      <w:r w:rsidRPr="00C55A79">
        <w:rPr>
          <w:sz w:val="24"/>
          <w:szCs w:val="24"/>
        </w:rPr>
        <w:t xml:space="preserve">Metabolismen af </w:t>
      </w:r>
      <w:proofErr w:type="spellStart"/>
      <w:r w:rsidRPr="00C55A79">
        <w:rPr>
          <w:sz w:val="24"/>
          <w:szCs w:val="24"/>
        </w:rPr>
        <w:t>esomeprazol</w:t>
      </w:r>
      <w:proofErr w:type="spellEnd"/>
      <w:r w:rsidRPr="00C55A79">
        <w:rPr>
          <w:sz w:val="24"/>
          <w:szCs w:val="24"/>
        </w:rPr>
        <w:t xml:space="preserve"> hos patienter med mild til moderat nedsat leverfunktion kan være reduceret. Metabolismehastigheden falder hos patienter med svært nedsat leverfunktion og resulterer i en fordobling af arealet under plasmakoncentration-tids-kurven for </w:t>
      </w:r>
      <w:proofErr w:type="spellStart"/>
      <w:r w:rsidRPr="00C55A79">
        <w:rPr>
          <w:sz w:val="24"/>
          <w:szCs w:val="24"/>
        </w:rPr>
        <w:t>esomeprazol</w:t>
      </w:r>
      <w:proofErr w:type="spellEnd"/>
      <w:r w:rsidRPr="00C55A79">
        <w:rPr>
          <w:sz w:val="24"/>
          <w:szCs w:val="24"/>
        </w:rPr>
        <w:t xml:space="preserve">. Et maksimum på 20 mg bør derfor ikke overskrides hos patienter med svært nedsat leverfunktion. </w:t>
      </w:r>
      <w:proofErr w:type="spellStart"/>
      <w:r w:rsidRPr="00C55A79">
        <w:rPr>
          <w:sz w:val="24"/>
          <w:szCs w:val="24"/>
        </w:rPr>
        <w:t>Esomeprazol</w:t>
      </w:r>
      <w:proofErr w:type="spellEnd"/>
      <w:r w:rsidRPr="00C55A79">
        <w:rPr>
          <w:sz w:val="24"/>
          <w:szCs w:val="24"/>
        </w:rPr>
        <w:t xml:space="preserve"> eller dets vigtigste metabolitter viser ingen tendens til at akkumulere ved dosering en gang daglig.</w:t>
      </w:r>
    </w:p>
    <w:p w:rsidR="00C55A79" w:rsidRPr="00C55A79" w:rsidRDefault="00C55A79" w:rsidP="00C55A79">
      <w:pPr>
        <w:autoSpaceDE w:val="0"/>
        <w:autoSpaceDN w:val="0"/>
        <w:adjustRightInd w:val="0"/>
        <w:rPr>
          <w:sz w:val="24"/>
          <w:szCs w:val="24"/>
        </w:rPr>
      </w:pPr>
    </w:p>
    <w:p w:rsidR="00C55A79" w:rsidRPr="00C55A79" w:rsidRDefault="00C55A79" w:rsidP="00C55A79">
      <w:pPr>
        <w:widowControl w:val="0"/>
        <w:autoSpaceDE w:val="0"/>
        <w:autoSpaceDN w:val="0"/>
        <w:adjustRightInd w:val="0"/>
        <w:ind w:firstLine="851"/>
        <w:rPr>
          <w:sz w:val="24"/>
          <w:szCs w:val="24"/>
        </w:rPr>
      </w:pPr>
      <w:r w:rsidRPr="00C55A79">
        <w:rPr>
          <w:i/>
          <w:sz w:val="24"/>
          <w:szCs w:val="24"/>
          <w:u w:val="single"/>
        </w:rPr>
        <w:lastRenderedPageBreak/>
        <w:t>Nedsat nyrefunktion</w:t>
      </w:r>
    </w:p>
    <w:p w:rsidR="00C55A79" w:rsidRPr="00A619D7" w:rsidRDefault="00C55A79" w:rsidP="00C55A79">
      <w:pPr>
        <w:autoSpaceDE w:val="0"/>
        <w:autoSpaceDN w:val="0"/>
        <w:adjustRightInd w:val="0"/>
        <w:ind w:left="851"/>
        <w:rPr>
          <w:sz w:val="24"/>
          <w:szCs w:val="24"/>
        </w:rPr>
      </w:pPr>
      <w:r w:rsidRPr="00C55A79">
        <w:rPr>
          <w:sz w:val="24"/>
          <w:szCs w:val="24"/>
        </w:rPr>
        <w:t xml:space="preserve">Der er ikke udført studier hos patienter med nedsat nyrefunktion. Da nyren er ansvarlig for udskillelsen af metabolitterne af </w:t>
      </w:r>
      <w:proofErr w:type="spellStart"/>
      <w:r w:rsidRPr="00C55A79">
        <w:rPr>
          <w:sz w:val="24"/>
          <w:szCs w:val="24"/>
        </w:rPr>
        <w:t>esomeprazol</w:t>
      </w:r>
      <w:proofErr w:type="spellEnd"/>
      <w:r w:rsidRPr="00C55A79">
        <w:rPr>
          <w:sz w:val="24"/>
          <w:szCs w:val="24"/>
        </w:rPr>
        <w:t>, men ikke for elimineringen af den oprindelige forbindelse, forventes</w:t>
      </w:r>
      <w:r w:rsidRPr="00A619D7">
        <w:rPr>
          <w:sz w:val="24"/>
          <w:szCs w:val="24"/>
        </w:rPr>
        <w:t xml:space="preserve"> metabolismen af </w:t>
      </w:r>
      <w:proofErr w:type="spellStart"/>
      <w:r w:rsidRPr="00A619D7">
        <w:rPr>
          <w:sz w:val="24"/>
          <w:szCs w:val="24"/>
        </w:rPr>
        <w:t>esomeprazol</w:t>
      </w:r>
      <w:proofErr w:type="spellEnd"/>
      <w:r w:rsidRPr="00A619D7">
        <w:rPr>
          <w:sz w:val="24"/>
          <w:szCs w:val="24"/>
        </w:rPr>
        <w:t xml:space="preserve"> ikke at være ændret hos patienter med nedsat nyrefunktion.</w:t>
      </w:r>
    </w:p>
    <w:p w:rsidR="00C55A79" w:rsidRPr="00A619D7" w:rsidRDefault="00C55A79" w:rsidP="00C55A79">
      <w:pPr>
        <w:autoSpaceDE w:val="0"/>
        <w:autoSpaceDN w:val="0"/>
        <w:adjustRightInd w:val="0"/>
        <w:ind w:left="851"/>
        <w:rPr>
          <w:b/>
          <w:bCs/>
          <w:sz w:val="24"/>
          <w:szCs w:val="24"/>
        </w:rPr>
      </w:pPr>
    </w:p>
    <w:p w:rsidR="00C55A79" w:rsidRPr="00A619D7" w:rsidRDefault="00C55A79" w:rsidP="00C55A79">
      <w:pPr>
        <w:widowControl w:val="0"/>
        <w:ind w:left="851"/>
        <w:rPr>
          <w:sz w:val="24"/>
          <w:szCs w:val="24"/>
        </w:rPr>
      </w:pPr>
      <w:r w:rsidRPr="00A619D7">
        <w:rPr>
          <w:i/>
          <w:sz w:val="24"/>
          <w:szCs w:val="24"/>
          <w:u w:val="single"/>
        </w:rPr>
        <w:t>Ældre</w:t>
      </w:r>
    </w:p>
    <w:p w:rsidR="00C55A79" w:rsidRPr="00A619D7" w:rsidRDefault="00C55A79" w:rsidP="00C55A79">
      <w:pPr>
        <w:widowControl w:val="0"/>
        <w:ind w:left="851"/>
        <w:rPr>
          <w:sz w:val="24"/>
          <w:szCs w:val="24"/>
        </w:rPr>
      </w:pPr>
      <w:r w:rsidRPr="00A619D7">
        <w:rPr>
          <w:sz w:val="24"/>
          <w:szCs w:val="24"/>
        </w:rPr>
        <w:t xml:space="preserve">Metabolismen af </w:t>
      </w:r>
      <w:proofErr w:type="spellStart"/>
      <w:r w:rsidRPr="00A619D7">
        <w:rPr>
          <w:sz w:val="24"/>
          <w:szCs w:val="24"/>
        </w:rPr>
        <w:t>esomeprazol</w:t>
      </w:r>
      <w:proofErr w:type="spellEnd"/>
      <w:r w:rsidRPr="00A619D7">
        <w:rPr>
          <w:sz w:val="24"/>
          <w:szCs w:val="24"/>
        </w:rPr>
        <w:t xml:space="preserve"> er ikke signifikant ændret hos ældre personer (71</w:t>
      </w:r>
      <w:r w:rsidRPr="00A619D7">
        <w:rPr>
          <w:sz w:val="24"/>
          <w:szCs w:val="24"/>
        </w:rPr>
        <w:noBreakHyphen/>
        <w:t>80 år).</w:t>
      </w:r>
    </w:p>
    <w:p w:rsidR="00C55A79" w:rsidRPr="00A619D7" w:rsidRDefault="00C55A79" w:rsidP="00C55A79">
      <w:pPr>
        <w:autoSpaceDE w:val="0"/>
        <w:autoSpaceDN w:val="0"/>
        <w:adjustRightInd w:val="0"/>
        <w:ind w:left="851"/>
        <w:rPr>
          <w:b/>
          <w:bCs/>
          <w:sz w:val="24"/>
          <w:szCs w:val="24"/>
        </w:rPr>
      </w:pPr>
    </w:p>
    <w:p w:rsidR="00C55A79" w:rsidRPr="00C55A79" w:rsidRDefault="00C55A79" w:rsidP="00C55A79">
      <w:pPr>
        <w:autoSpaceDE w:val="0"/>
        <w:autoSpaceDN w:val="0"/>
        <w:adjustRightInd w:val="0"/>
        <w:ind w:left="851"/>
        <w:rPr>
          <w:bCs/>
          <w:iCs/>
          <w:sz w:val="24"/>
          <w:szCs w:val="24"/>
          <w:u w:val="single"/>
        </w:rPr>
      </w:pPr>
      <w:r w:rsidRPr="00C55A79">
        <w:rPr>
          <w:bCs/>
          <w:iCs/>
          <w:sz w:val="24"/>
          <w:szCs w:val="24"/>
          <w:u w:val="single"/>
        </w:rPr>
        <w:t>Pædiatrisk population</w:t>
      </w:r>
    </w:p>
    <w:p w:rsidR="00C55A79" w:rsidRPr="00C55A79" w:rsidRDefault="00C55A79" w:rsidP="00C55A79">
      <w:pPr>
        <w:autoSpaceDE w:val="0"/>
        <w:autoSpaceDN w:val="0"/>
        <w:adjustRightInd w:val="0"/>
        <w:ind w:left="851"/>
        <w:rPr>
          <w:bCs/>
          <w:i/>
          <w:iCs/>
          <w:sz w:val="24"/>
          <w:szCs w:val="24"/>
        </w:rPr>
      </w:pPr>
      <w:r w:rsidRPr="00C55A79">
        <w:rPr>
          <w:bCs/>
          <w:i/>
          <w:iCs/>
          <w:sz w:val="24"/>
          <w:szCs w:val="24"/>
        </w:rPr>
        <w:t>Unge i alderen 12-18 år:</w:t>
      </w:r>
    </w:p>
    <w:p w:rsidR="00C55A79" w:rsidRPr="00A619D7" w:rsidRDefault="00C55A79" w:rsidP="00C55A79">
      <w:pPr>
        <w:ind w:left="851"/>
        <w:rPr>
          <w:sz w:val="24"/>
          <w:szCs w:val="24"/>
          <w:lang w:eastAsia="pt-PT"/>
        </w:rPr>
      </w:pPr>
      <w:r w:rsidRPr="000D7817">
        <w:rPr>
          <w:sz w:val="24"/>
          <w:szCs w:val="24"/>
        </w:rPr>
        <w:t xml:space="preserve">Efter gentagen dosisadministration af 20 mg og 40 mg </w:t>
      </w:r>
      <w:proofErr w:type="spellStart"/>
      <w:r w:rsidRPr="000D7817">
        <w:rPr>
          <w:sz w:val="24"/>
          <w:szCs w:val="24"/>
        </w:rPr>
        <w:t>esomeprazol</w:t>
      </w:r>
      <w:proofErr w:type="spellEnd"/>
      <w:r w:rsidRPr="000D7817">
        <w:rPr>
          <w:sz w:val="24"/>
          <w:szCs w:val="24"/>
        </w:rPr>
        <w:t xml:space="preserve"> svarede den totale eksponering (AUC) og tiden til</w:t>
      </w:r>
      <w:r w:rsidRPr="00A619D7">
        <w:rPr>
          <w:sz w:val="24"/>
          <w:szCs w:val="24"/>
        </w:rPr>
        <w:t xml:space="preserve"> opnåelse af maksimal plasmakoncentration af lægemidlet (</w:t>
      </w:r>
      <w:proofErr w:type="spellStart"/>
      <w:r w:rsidRPr="00A619D7">
        <w:rPr>
          <w:sz w:val="24"/>
          <w:szCs w:val="24"/>
        </w:rPr>
        <w:t>t</w:t>
      </w:r>
      <w:r w:rsidRPr="00A619D7">
        <w:rPr>
          <w:sz w:val="24"/>
          <w:szCs w:val="24"/>
          <w:vertAlign w:val="subscript"/>
        </w:rPr>
        <w:t>max</w:t>
      </w:r>
      <w:proofErr w:type="spellEnd"/>
      <w:r w:rsidRPr="00A619D7">
        <w:rPr>
          <w:sz w:val="24"/>
          <w:szCs w:val="24"/>
        </w:rPr>
        <w:t xml:space="preserve">) hos 12 til 18-årige til, hvad der ses hos voksne for begge doser af </w:t>
      </w:r>
      <w:proofErr w:type="spellStart"/>
      <w:r w:rsidRPr="00A619D7">
        <w:rPr>
          <w:sz w:val="24"/>
          <w:szCs w:val="24"/>
        </w:rPr>
        <w:t>esomeprazol</w:t>
      </w:r>
      <w:proofErr w:type="spellEnd"/>
      <w:r w:rsidRPr="00A619D7">
        <w:rPr>
          <w:sz w:val="24"/>
          <w:szCs w:val="24"/>
        </w:rPr>
        <w:t>.</w:t>
      </w:r>
    </w:p>
    <w:p w:rsidR="001F29F9" w:rsidRPr="006510F2" w:rsidRDefault="001F29F9" w:rsidP="001F29F9">
      <w:pPr>
        <w:autoSpaceDE w:val="0"/>
        <w:autoSpaceDN w:val="0"/>
        <w:adjustRightInd w:val="0"/>
        <w:ind w:left="561" w:hanging="561"/>
        <w:rPr>
          <w:b/>
          <w:bCs/>
          <w:sz w:val="24"/>
          <w:szCs w:val="24"/>
        </w:rPr>
      </w:pPr>
    </w:p>
    <w:p w:rsidR="001F29F9" w:rsidRPr="006510F2" w:rsidRDefault="001F29F9" w:rsidP="001F29F9">
      <w:pPr>
        <w:autoSpaceDE w:val="0"/>
        <w:autoSpaceDN w:val="0"/>
        <w:adjustRightInd w:val="0"/>
        <w:ind w:left="851" w:hanging="851"/>
        <w:rPr>
          <w:b/>
          <w:bCs/>
          <w:sz w:val="24"/>
          <w:szCs w:val="24"/>
        </w:rPr>
      </w:pPr>
      <w:r w:rsidRPr="006510F2">
        <w:rPr>
          <w:b/>
          <w:bCs/>
          <w:sz w:val="24"/>
          <w:szCs w:val="24"/>
        </w:rPr>
        <w:t>5.3</w:t>
      </w:r>
      <w:r w:rsidRPr="006510F2">
        <w:rPr>
          <w:b/>
          <w:bCs/>
          <w:sz w:val="24"/>
          <w:szCs w:val="24"/>
        </w:rPr>
        <w:tab/>
      </w:r>
      <w:r w:rsidR="00C55A79">
        <w:rPr>
          <w:b/>
          <w:bCs/>
          <w:sz w:val="24"/>
          <w:szCs w:val="24"/>
        </w:rPr>
        <w:t>Non-</w:t>
      </w:r>
      <w:r w:rsidRPr="006510F2">
        <w:rPr>
          <w:b/>
          <w:bCs/>
          <w:sz w:val="24"/>
          <w:szCs w:val="24"/>
        </w:rPr>
        <w:t xml:space="preserve">kliniske sikkerhedsdata </w:t>
      </w:r>
    </w:p>
    <w:p w:rsidR="00C55A79" w:rsidRPr="00C55A79" w:rsidRDefault="00C55A79" w:rsidP="00C55A79">
      <w:pPr>
        <w:widowControl w:val="0"/>
        <w:autoSpaceDE w:val="0"/>
        <w:autoSpaceDN w:val="0"/>
        <w:adjustRightInd w:val="0"/>
        <w:ind w:left="851"/>
        <w:rPr>
          <w:sz w:val="24"/>
          <w:szCs w:val="24"/>
        </w:rPr>
      </w:pPr>
      <w:r w:rsidRPr="00C55A79">
        <w:rPr>
          <w:sz w:val="24"/>
          <w:szCs w:val="24"/>
        </w:rPr>
        <w:t xml:space="preserve">Non-kliniske data viser ingen speciel risiko for mennesker vurderet ud fra konventionelle studier af sikkerhedsfarmakologi, toksicitet efter gentagne doser, genotoksicitet, </w:t>
      </w:r>
      <w:proofErr w:type="spellStart"/>
      <w:r w:rsidRPr="00C55A79">
        <w:rPr>
          <w:sz w:val="24"/>
          <w:szCs w:val="24"/>
        </w:rPr>
        <w:t>karcinogent</w:t>
      </w:r>
      <w:proofErr w:type="spellEnd"/>
      <w:r w:rsidRPr="00C55A79">
        <w:rPr>
          <w:sz w:val="24"/>
          <w:szCs w:val="24"/>
        </w:rPr>
        <w:t xml:space="preserve"> potentiale samt reproduktions- og udviklingstoksicitet. Følgende bivirkninger er ikke observeret i kliniske studier, men er set i dyrestudier efter eksponeringsniveauer, der svarer til kliniske eksponeringsniveauer, og kan muligvis være klinisk relevante:</w:t>
      </w:r>
    </w:p>
    <w:p w:rsidR="00C55A79" w:rsidRPr="00A619D7" w:rsidRDefault="00C55A79" w:rsidP="00C55A79">
      <w:pPr>
        <w:autoSpaceDE w:val="0"/>
        <w:autoSpaceDN w:val="0"/>
        <w:adjustRightInd w:val="0"/>
        <w:ind w:left="851"/>
        <w:rPr>
          <w:sz w:val="24"/>
          <w:szCs w:val="24"/>
        </w:rPr>
      </w:pPr>
      <w:proofErr w:type="spellStart"/>
      <w:r w:rsidRPr="00C55A79">
        <w:rPr>
          <w:sz w:val="24"/>
          <w:szCs w:val="24"/>
        </w:rPr>
        <w:t>Karcinogenicitetsstudier</w:t>
      </w:r>
      <w:proofErr w:type="spellEnd"/>
      <w:r w:rsidRPr="00C55A79">
        <w:rPr>
          <w:sz w:val="24"/>
          <w:szCs w:val="24"/>
        </w:rPr>
        <w:t xml:space="preserve"> med rotter med den </w:t>
      </w:r>
      <w:proofErr w:type="spellStart"/>
      <w:r w:rsidRPr="00C55A79">
        <w:rPr>
          <w:sz w:val="24"/>
          <w:szCs w:val="24"/>
        </w:rPr>
        <w:t>racemiske</w:t>
      </w:r>
      <w:proofErr w:type="spellEnd"/>
      <w:r w:rsidRPr="00C55A79">
        <w:rPr>
          <w:sz w:val="24"/>
          <w:szCs w:val="24"/>
        </w:rPr>
        <w:t xml:space="preserve"> blanding har vist gastrisk ECL-</w:t>
      </w:r>
      <w:proofErr w:type="spellStart"/>
      <w:r w:rsidRPr="00C55A79">
        <w:rPr>
          <w:sz w:val="24"/>
          <w:szCs w:val="24"/>
        </w:rPr>
        <w:t>cellehyperplasi</w:t>
      </w:r>
      <w:proofErr w:type="spellEnd"/>
      <w:r w:rsidRPr="00C55A79">
        <w:rPr>
          <w:sz w:val="24"/>
          <w:szCs w:val="24"/>
        </w:rPr>
        <w:t xml:space="preserve"> og </w:t>
      </w:r>
      <w:proofErr w:type="spellStart"/>
      <w:r w:rsidRPr="00C55A79">
        <w:rPr>
          <w:sz w:val="24"/>
          <w:szCs w:val="24"/>
        </w:rPr>
        <w:t>carcinoider</w:t>
      </w:r>
      <w:proofErr w:type="spellEnd"/>
      <w:r w:rsidRPr="00C55A79">
        <w:rPr>
          <w:sz w:val="24"/>
          <w:szCs w:val="24"/>
        </w:rPr>
        <w:t>. Disse gastriske virkninger hos rotter er resultatet</w:t>
      </w:r>
      <w:r w:rsidRPr="00A619D7">
        <w:rPr>
          <w:sz w:val="24"/>
          <w:szCs w:val="24"/>
        </w:rPr>
        <w:t xml:space="preserve"> af vedvarende, udtalt </w:t>
      </w:r>
      <w:proofErr w:type="spellStart"/>
      <w:r w:rsidRPr="00A619D7">
        <w:rPr>
          <w:sz w:val="24"/>
          <w:szCs w:val="24"/>
        </w:rPr>
        <w:t>hypergastinæmi</w:t>
      </w:r>
      <w:proofErr w:type="spellEnd"/>
      <w:r w:rsidRPr="00A619D7">
        <w:rPr>
          <w:sz w:val="24"/>
          <w:szCs w:val="24"/>
        </w:rPr>
        <w:t xml:space="preserve"> som følge af nedsat mavesyreproduktion og er observeret efter langvarig behandling af rotter med </w:t>
      </w:r>
      <w:proofErr w:type="spellStart"/>
      <w:r w:rsidRPr="00A619D7">
        <w:rPr>
          <w:sz w:val="24"/>
          <w:szCs w:val="24"/>
        </w:rPr>
        <w:t>mavesyresekretionshæmmere</w:t>
      </w:r>
      <w:proofErr w:type="spellEnd"/>
      <w:r w:rsidRPr="00A619D7">
        <w:rPr>
          <w:sz w:val="24"/>
          <w:szCs w:val="24"/>
        </w:rPr>
        <w:t>.</w:t>
      </w:r>
    </w:p>
    <w:p w:rsidR="001F29F9" w:rsidRDefault="001F29F9" w:rsidP="001F29F9">
      <w:pPr>
        <w:autoSpaceDE w:val="0"/>
        <w:autoSpaceDN w:val="0"/>
        <w:adjustRightInd w:val="0"/>
        <w:rPr>
          <w:sz w:val="24"/>
          <w:szCs w:val="24"/>
        </w:rPr>
      </w:pPr>
    </w:p>
    <w:p w:rsidR="001F29F9" w:rsidRPr="006510F2" w:rsidRDefault="001F29F9" w:rsidP="001F29F9">
      <w:pPr>
        <w:autoSpaceDE w:val="0"/>
        <w:autoSpaceDN w:val="0"/>
        <w:adjustRightInd w:val="0"/>
        <w:rPr>
          <w:sz w:val="24"/>
          <w:szCs w:val="24"/>
        </w:rPr>
      </w:pPr>
    </w:p>
    <w:p w:rsidR="001F29F9" w:rsidRPr="006510F2" w:rsidRDefault="001F29F9" w:rsidP="001F29F9">
      <w:pPr>
        <w:tabs>
          <w:tab w:val="left" w:pos="851"/>
        </w:tabs>
        <w:autoSpaceDE w:val="0"/>
        <w:autoSpaceDN w:val="0"/>
        <w:adjustRightInd w:val="0"/>
        <w:rPr>
          <w:b/>
          <w:bCs/>
          <w:sz w:val="24"/>
          <w:szCs w:val="24"/>
        </w:rPr>
      </w:pPr>
      <w:r w:rsidRPr="006510F2">
        <w:rPr>
          <w:b/>
          <w:bCs/>
          <w:sz w:val="24"/>
          <w:szCs w:val="24"/>
        </w:rPr>
        <w:t>6.</w:t>
      </w:r>
      <w:r w:rsidRPr="006510F2">
        <w:rPr>
          <w:b/>
          <w:bCs/>
          <w:sz w:val="24"/>
          <w:szCs w:val="24"/>
        </w:rPr>
        <w:tab/>
        <w:t xml:space="preserve">FARMACEUTISKE OPLYSNINGER </w:t>
      </w:r>
    </w:p>
    <w:p w:rsidR="001F29F9" w:rsidRPr="006510F2" w:rsidRDefault="001F29F9" w:rsidP="001F29F9">
      <w:pPr>
        <w:autoSpaceDE w:val="0"/>
        <w:autoSpaceDN w:val="0"/>
        <w:adjustRightInd w:val="0"/>
        <w:ind w:left="561" w:hanging="561"/>
        <w:rPr>
          <w:b/>
          <w:bCs/>
          <w:sz w:val="24"/>
          <w:szCs w:val="24"/>
        </w:rPr>
      </w:pPr>
    </w:p>
    <w:p w:rsidR="001F29F9" w:rsidRPr="006510F2" w:rsidRDefault="001F29F9" w:rsidP="001F29F9">
      <w:pPr>
        <w:autoSpaceDE w:val="0"/>
        <w:autoSpaceDN w:val="0"/>
        <w:adjustRightInd w:val="0"/>
        <w:ind w:left="851" w:hanging="851"/>
        <w:rPr>
          <w:b/>
          <w:bCs/>
          <w:sz w:val="24"/>
          <w:szCs w:val="24"/>
        </w:rPr>
      </w:pPr>
      <w:r w:rsidRPr="006510F2">
        <w:rPr>
          <w:b/>
          <w:bCs/>
          <w:sz w:val="24"/>
          <w:szCs w:val="24"/>
        </w:rPr>
        <w:t>6.1</w:t>
      </w:r>
      <w:r w:rsidRPr="006510F2">
        <w:rPr>
          <w:b/>
          <w:bCs/>
          <w:sz w:val="24"/>
          <w:szCs w:val="24"/>
        </w:rPr>
        <w:tab/>
        <w:t xml:space="preserve">Hjælpestoffer </w:t>
      </w:r>
    </w:p>
    <w:p w:rsidR="00C55A79" w:rsidRPr="00A619D7" w:rsidRDefault="00C55A79" w:rsidP="00C55A79">
      <w:pPr>
        <w:tabs>
          <w:tab w:val="left" w:pos="1620"/>
          <w:tab w:val="left" w:pos="8820"/>
        </w:tabs>
        <w:autoSpaceDE w:val="0"/>
        <w:autoSpaceDN w:val="0"/>
        <w:adjustRightInd w:val="0"/>
        <w:ind w:right="18" w:firstLine="851"/>
        <w:rPr>
          <w:i/>
          <w:iCs/>
          <w:sz w:val="24"/>
          <w:szCs w:val="24"/>
          <w:u w:val="single"/>
        </w:rPr>
      </w:pPr>
      <w:r w:rsidRPr="00A619D7">
        <w:rPr>
          <w:i/>
          <w:iCs/>
          <w:sz w:val="24"/>
          <w:szCs w:val="24"/>
          <w:u w:val="single"/>
        </w:rPr>
        <w:t>Kapselindhold:</w:t>
      </w:r>
    </w:p>
    <w:p w:rsidR="00C55A79" w:rsidRPr="00A619D7" w:rsidRDefault="00C55A79" w:rsidP="00C55A79">
      <w:pPr>
        <w:tabs>
          <w:tab w:val="left" w:pos="1620"/>
          <w:tab w:val="left" w:pos="8820"/>
        </w:tabs>
        <w:autoSpaceDE w:val="0"/>
        <w:autoSpaceDN w:val="0"/>
        <w:adjustRightInd w:val="0"/>
        <w:ind w:right="18" w:firstLine="851"/>
        <w:rPr>
          <w:i/>
          <w:iCs/>
          <w:sz w:val="24"/>
          <w:szCs w:val="24"/>
        </w:rPr>
      </w:pPr>
    </w:p>
    <w:p w:rsidR="00C55A79" w:rsidRPr="00C55A79" w:rsidRDefault="00C55A79" w:rsidP="00C55A79">
      <w:pPr>
        <w:tabs>
          <w:tab w:val="left" w:pos="1620"/>
          <w:tab w:val="left" w:pos="8820"/>
        </w:tabs>
        <w:autoSpaceDE w:val="0"/>
        <w:autoSpaceDN w:val="0"/>
        <w:adjustRightInd w:val="0"/>
        <w:ind w:right="18" w:firstLine="851"/>
        <w:rPr>
          <w:i/>
          <w:iCs/>
          <w:sz w:val="24"/>
          <w:szCs w:val="24"/>
        </w:rPr>
      </w:pPr>
      <w:r w:rsidRPr="00C55A79">
        <w:rPr>
          <w:i/>
          <w:iCs/>
          <w:sz w:val="24"/>
          <w:szCs w:val="24"/>
        </w:rPr>
        <w:t>Rå pellets:</w:t>
      </w:r>
    </w:p>
    <w:p w:rsidR="00C55A79" w:rsidRPr="00C55A79" w:rsidRDefault="00C55A79" w:rsidP="00C55A79">
      <w:pPr>
        <w:tabs>
          <w:tab w:val="left" w:pos="1620"/>
          <w:tab w:val="left" w:pos="8820"/>
        </w:tabs>
        <w:autoSpaceDE w:val="0"/>
        <w:autoSpaceDN w:val="0"/>
        <w:adjustRightInd w:val="0"/>
        <w:ind w:right="18" w:firstLine="851"/>
        <w:rPr>
          <w:sz w:val="24"/>
          <w:szCs w:val="24"/>
        </w:rPr>
      </w:pPr>
      <w:r w:rsidRPr="00C55A79">
        <w:rPr>
          <w:sz w:val="24"/>
          <w:szCs w:val="24"/>
        </w:rPr>
        <w:t>Kappa-</w:t>
      </w:r>
      <w:proofErr w:type="spellStart"/>
      <w:r w:rsidRPr="00C55A79">
        <w:rPr>
          <w:sz w:val="24"/>
          <w:szCs w:val="24"/>
        </w:rPr>
        <w:t>Carrageenan</w:t>
      </w:r>
      <w:proofErr w:type="spellEnd"/>
      <w:r w:rsidRPr="00C55A79">
        <w:rPr>
          <w:sz w:val="24"/>
          <w:szCs w:val="24"/>
        </w:rPr>
        <w:t xml:space="preserve">, </w:t>
      </w:r>
      <w:proofErr w:type="spellStart"/>
      <w:r w:rsidRPr="00C55A79">
        <w:rPr>
          <w:sz w:val="24"/>
          <w:szCs w:val="24"/>
        </w:rPr>
        <w:t>Ph</w:t>
      </w:r>
      <w:proofErr w:type="spellEnd"/>
      <w:r w:rsidRPr="00C55A79">
        <w:rPr>
          <w:sz w:val="24"/>
          <w:szCs w:val="24"/>
        </w:rPr>
        <w:t xml:space="preserve">. </w:t>
      </w:r>
      <w:proofErr w:type="spellStart"/>
      <w:r w:rsidRPr="00C55A79">
        <w:rPr>
          <w:sz w:val="24"/>
          <w:szCs w:val="24"/>
        </w:rPr>
        <w:t>Eur</w:t>
      </w:r>
      <w:proofErr w:type="spellEnd"/>
      <w:r w:rsidRPr="00C55A79">
        <w:rPr>
          <w:sz w:val="24"/>
          <w:szCs w:val="24"/>
        </w:rPr>
        <w:t>.</w:t>
      </w:r>
    </w:p>
    <w:p w:rsidR="00C55A79" w:rsidRPr="00A619D7" w:rsidRDefault="00C55A79" w:rsidP="00C55A79">
      <w:pPr>
        <w:tabs>
          <w:tab w:val="left" w:pos="1620"/>
          <w:tab w:val="left" w:pos="8820"/>
        </w:tabs>
        <w:autoSpaceDE w:val="0"/>
        <w:autoSpaceDN w:val="0"/>
        <w:adjustRightInd w:val="0"/>
        <w:ind w:right="18" w:firstLine="851"/>
        <w:rPr>
          <w:sz w:val="24"/>
          <w:szCs w:val="24"/>
        </w:rPr>
      </w:pPr>
      <w:r w:rsidRPr="00C55A79">
        <w:rPr>
          <w:sz w:val="24"/>
          <w:szCs w:val="24"/>
        </w:rPr>
        <w:t>Mikrokrystallinsk cellulose</w:t>
      </w:r>
    </w:p>
    <w:p w:rsidR="00C55A79" w:rsidRPr="00C55A79" w:rsidRDefault="00C55A79" w:rsidP="00C55A79">
      <w:pPr>
        <w:tabs>
          <w:tab w:val="left" w:pos="1620"/>
          <w:tab w:val="left" w:pos="8820"/>
        </w:tabs>
        <w:autoSpaceDE w:val="0"/>
        <w:autoSpaceDN w:val="0"/>
        <w:adjustRightInd w:val="0"/>
        <w:ind w:right="18" w:firstLine="851"/>
        <w:rPr>
          <w:sz w:val="24"/>
          <w:szCs w:val="24"/>
          <w:lang w:val="sv-SE"/>
        </w:rPr>
      </w:pPr>
      <w:proofErr w:type="spellStart"/>
      <w:r w:rsidRPr="00C55A79">
        <w:rPr>
          <w:sz w:val="24"/>
          <w:szCs w:val="24"/>
          <w:lang w:val="sv-SE"/>
        </w:rPr>
        <w:t>Mannitol</w:t>
      </w:r>
      <w:proofErr w:type="spellEnd"/>
    </w:p>
    <w:p w:rsidR="00C55A79" w:rsidRPr="00C55A79" w:rsidRDefault="00C55A79" w:rsidP="00C55A79">
      <w:pPr>
        <w:tabs>
          <w:tab w:val="left" w:pos="1620"/>
          <w:tab w:val="left" w:pos="8820"/>
        </w:tabs>
        <w:autoSpaceDE w:val="0"/>
        <w:autoSpaceDN w:val="0"/>
        <w:adjustRightInd w:val="0"/>
        <w:ind w:right="18" w:firstLine="851"/>
        <w:rPr>
          <w:sz w:val="24"/>
          <w:szCs w:val="24"/>
          <w:lang w:val="sv-SE"/>
        </w:rPr>
      </w:pPr>
      <w:r w:rsidRPr="00C55A79">
        <w:rPr>
          <w:sz w:val="24"/>
          <w:szCs w:val="24"/>
          <w:lang w:val="sv-SE"/>
        </w:rPr>
        <w:t>Natriumhydroxid</w:t>
      </w:r>
    </w:p>
    <w:p w:rsidR="00C55A79" w:rsidRPr="00C55A79" w:rsidRDefault="00C55A79" w:rsidP="00C55A79">
      <w:pPr>
        <w:tabs>
          <w:tab w:val="left" w:pos="1620"/>
          <w:tab w:val="left" w:pos="8820"/>
        </w:tabs>
        <w:autoSpaceDE w:val="0"/>
        <w:autoSpaceDN w:val="0"/>
        <w:adjustRightInd w:val="0"/>
        <w:ind w:right="18" w:firstLine="851"/>
        <w:rPr>
          <w:sz w:val="24"/>
          <w:szCs w:val="24"/>
          <w:lang w:val="sv-SE"/>
        </w:rPr>
      </w:pPr>
      <w:proofErr w:type="spellStart"/>
      <w:r w:rsidRPr="00C55A79">
        <w:rPr>
          <w:sz w:val="24"/>
          <w:szCs w:val="24"/>
          <w:lang w:val="sv-SE"/>
        </w:rPr>
        <w:t>Natriumhydrogencarbonat</w:t>
      </w:r>
      <w:proofErr w:type="spellEnd"/>
    </w:p>
    <w:p w:rsidR="00C55A79" w:rsidRPr="00C55A79" w:rsidRDefault="00C55A79" w:rsidP="00C55A79">
      <w:pPr>
        <w:tabs>
          <w:tab w:val="left" w:pos="1620"/>
          <w:tab w:val="left" w:pos="8820"/>
        </w:tabs>
        <w:autoSpaceDE w:val="0"/>
        <w:autoSpaceDN w:val="0"/>
        <w:adjustRightInd w:val="0"/>
        <w:ind w:right="18" w:firstLine="851"/>
        <w:rPr>
          <w:i/>
          <w:iCs/>
          <w:sz w:val="24"/>
          <w:szCs w:val="24"/>
          <w:lang w:val="sv-SE"/>
        </w:rPr>
      </w:pPr>
    </w:p>
    <w:p w:rsidR="00C55A79" w:rsidRPr="00C55A79" w:rsidRDefault="00C55A79" w:rsidP="00C55A79">
      <w:pPr>
        <w:tabs>
          <w:tab w:val="left" w:pos="1620"/>
          <w:tab w:val="left" w:pos="8820"/>
        </w:tabs>
        <w:autoSpaceDE w:val="0"/>
        <w:autoSpaceDN w:val="0"/>
        <w:adjustRightInd w:val="0"/>
        <w:ind w:right="18" w:firstLine="851"/>
        <w:rPr>
          <w:i/>
          <w:iCs/>
          <w:sz w:val="24"/>
          <w:szCs w:val="24"/>
          <w:lang w:val="sv-SE"/>
        </w:rPr>
      </w:pPr>
      <w:proofErr w:type="spellStart"/>
      <w:r w:rsidRPr="00C55A79">
        <w:rPr>
          <w:i/>
          <w:iCs/>
          <w:sz w:val="24"/>
          <w:szCs w:val="24"/>
          <w:lang w:val="sv-SE"/>
        </w:rPr>
        <w:t>Isolerende</w:t>
      </w:r>
      <w:proofErr w:type="spellEnd"/>
      <w:r w:rsidRPr="00C55A79">
        <w:rPr>
          <w:i/>
          <w:iCs/>
          <w:sz w:val="24"/>
          <w:szCs w:val="24"/>
          <w:lang w:val="sv-SE"/>
        </w:rPr>
        <w:t xml:space="preserve"> </w:t>
      </w:r>
      <w:proofErr w:type="spellStart"/>
      <w:r w:rsidRPr="00C55A79">
        <w:rPr>
          <w:i/>
          <w:iCs/>
          <w:sz w:val="24"/>
          <w:szCs w:val="24"/>
          <w:lang w:val="sv-SE"/>
        </w:rPr>
        <w:t>coating</w:t>
      </w:r>
      <w:proofErr w:type="spellEnd"/>
      <w:r w:rsidRPr="00C55A79">
        <w:rPr>
          <w:i/>
          <w:iCs/>
          <w:sz w:val="24"/>
          <w:szCs w:val="24"/>
          <w:lang w:val="sv-SE"/>
        </w:rPr>
        <w:t>:</w:t>
      </w:r>
    </w:p>
    <w:p w:rsidR="00C55A79" w:rsidRPr="00C55A79" w:rsidRDefault="00C55A79" w:rsidP="00C55A79">
      <w:pPr>
        <w:tabs>
          <w:tab w:val="left" w:pos="1620"/>
          <w:tab w:val="left" w:pos="8820"/>
        </w:tabs>
        <w:autoSpaceDE w:val="0"/>
        <w:autoSpaceDN w:val="0"/>
        <w:adjustRightInd w:val="0"/>
        <w:ind w:right="18" w:firstLine="851"/>
        <w:rPr>
          <w:sz w:val="24"/>
          <w:szCs w:val="24"/>
          <w:lang w:val="sv-SE"/>
        </w:rPr>
      </w:pPr>
      <w:r w:rsidRPr="00C55A79">
        <w:rPr>
          <w:sz w:val="24"/>
          <w:szCs w:val="24"/>
          <w:lang w:val="sv-SE"/>
        </w:rPr>
        <w:t>Polyvinylalkohol-PEG-</w:t>
      </w:r>
      <w:proofErr w:type="spellStart"/>
      <w:r w:rsidRPr="00C55A79">
        <w:rPr>
          <w:sz w:val="24"/>
          <w:szCs w:val="24"/>
          <w:lang w:val="sv-SE"/>
        </w:rPr>
        <w:t>copolymer</w:t>
      </w:r>
      <w:proofErr w:type="spellEnd"/>
    </w:p>
    <w:p w:rsidR="00C55A79" w:rsidRPr="00C55A79" w:rsidRDefault="00C55A79" w:rsidP="00C55A79">
      <w:pPr>
        <w:tabs>
          <w:tab w:val="left" w:pos="1620"/>
          <w:tab w:val="left" w:pos="8820"/>
        </w:tabs>
        <w:autoSpaceDE w:val="0"/>
        <w:autoSpaceDN w:val="0"/>
        <w:adjustRightInd w:val="0"/>
        <w:ind w:right="18" w:firstLine="851"/>
        <w:rPr>
          <w:sz w:val="24"/>
          <w:szCs w:val="24"/>
          <w:lang w:val="sv-SE"/>
        </w:rPr>
      </w:pPr>
      <w:r w:rsidRPr="00C55A79">
        <w:rPr>
          <w:sz w:val="24"/>
          <w:szCs w:val="24"/>
          <w:lang w:val="sv-SE"/>
        </w:rPr>
        <w:t>Natriumhydroxid</w:t>
      </w:r>
    </w:p>
    <w:p w:rsidR="00C55A79" w:rsidRPr="00C55A79" w:rsidRDefault="00C55A79" w:rsidP="00C55A79">
      <w:pPr>
        <w:tabs>
          <w:tab w:val="left" w:pos="1620"/>
          <w:tab w:val="left" w:pos="8820"/>
        </w:tabs>
        <w:autoSpaceDE w:val="0"/>
        <w:autoSpaceDN w:val="0"/>
        <w:adjustRightInd w:val="0"/>
        <w:ind w:right="18" w:firstLine="851"/>
        <w:rPr>
          <w:sz w:val="24"/>
          <w:szCs w:val="24"/>
          <w:lang w:val="sv-SE"/>
        </w:rPr>
      </w:pPr>
      <w:proofErr w:type="spellStart"/>
      <w:r w:rsidRPr="00C55A79">
        <w:rPr>
          <w:sz w:val="24"/>
          <w:szCs w:val="24"/>
          <w:lang w:val="sv-SE"/>
        </w:rPr>
        <w:t>Talkum</w:t>
      </w:r>
      <w:proofErr w:type="spellEnd"/>
    </w:p>
    <w:p w:rsidR="00C55A79" w:rsidRPr="00C55A79" w:rsidRDefault="00C55A79" w:rsidP="00C55A79">
      <w:pPr>
        <w:tabs>
          <w:tab w:val="left" w:pos="1620"/>
          <w:tab w:val="left" w:pos="8820"/>
        </w:tabs>
        <w:autoSpaceDE w:val="0"/>
        <w:autoSpaceDN w:val="0"/>
        <w:adjustRightInd w:val="0"/>
        <w:ind w:right="18" w:firstLine="851"/>
        <w:rPr>
          <w:sz w:val="24"/>
          <w:szCs w:val="24"/>
          <w:lang w:val="sv-SE"/>
        </w:rPr>
      </w:pPr>
      <w:r w:rsidRPr="00C55A79">
        <w:rPr>
          <w:sz w:val="24"/>
          <w:szCs w:val="24"/>
          <w:lang w:val="sv-SE"/>
        </w:rPr>
        <w:t>Titandioxid (E171)</w:t>
      </w:r>
    </w:p>
    <w:p w:rsidR="00C55A79" w:rsidRPr="00C55A79" w:rsidRDefault="00C55A79" w:rsidP="00C55A79">
      <w:pPr>
        <w:tabs>
          <w:tab w:val="left" w:pos="1620"/>
          <w:tab w:val="left" w:pos="8820"/>
        </w:tabs>
        <w:autoSpaceDE w:val="0"/>
        <w:autoSpaceDN w:val="0"/>
        <w:adjustRightInd w:val="0"/>
        <w:ind w:right="18" w:firstLine="851"/>
        <w:rPr>
          <w:sz w:val="24"/>
          <w:szCs w:val="24"/>
          <w:lang w:val="sv-SE"/>
        </w:rPr>
      </w:pPr>
      <w:r w:rsidRPr="00C55A79">
        <w:rPr>
          <w:sz w:val="24"/>
          <w:szCs w:val="24"/>
          <w:lang w:val="sv-SE"/>
        </w:rPr>
        <w:t xml:space="preserve">Kolloid </w:t>
      </w:r>
      <w:proofErr w:type="spellStart"/>
      <w:r w:rsidRPr="00C55A79">
        <w:rPr>
          <w:sz w:val="24"/>
          <w:szCs w:val="24"/>
          <w:lang w:val="sv-SE"/>
        </w:rPr>
        <w:t>hydreret</w:t>
      </w:r>
      <w:proofErr w:type="spellEnd"/>
      <w:r w:rsidRPr="00C55A79">
        <w:rPr>
          <w:sz w:val="24"/>
          <w:szCs w:val="24"/>
          <w:lang w:val="sv-SE"/>
        </w:rPr>
        <w:t xml:space="preserve"> </w:t>
      </w:r>
      <w:proofErr w:type="spellStart"/>
      <w:r w:rsidRPr="00C55A79">
        <w:rPr>
          <w:sz w:val="24"/>
          <w:szCs w:val="24"/>
          <w:lang w:val="sv-SE"/>
        </w:rPr>
        <w:t>silica</w:t>
      </w:r>
      <w:proofErr w:type="spellEnd"/>
    </w:p>
    <w:p w:rsidR="00C55A79" w:rsidRPr="00C55A79" w:rsidRDefault="00C55A79" w:rsidP="00C55A79">
      <w:pPr>
        <w:tabs>
          <w:tab w:val="left" w:pos="1620"/>
          <w:tab w:val="left" w:pos="8820"/>
        </w:tabs>
        <w:autoSpaceDE w:val="0"/>
        <w:autoSpaceDN w:val="0"/>
        <w:adjustRightInd w:val="0"/>
        <w:ind w:right="18" w:firstLine="851"/>
        <w:rPr>
          <w:i/>
          <w:iCs/>
          <w:sz w:val="24"/>
          <w:szCs w:val="24"/>
          <w:lang w:val="sv-SE"/>
        </w:rPr>
      </w:pPr>
    </w:p>
    <w:p w:rsidR="00C55A79" w:rsidRPr="00C55A79" w:rsidRDefault="00C55A79" w:rsidP="00C55A79">
      <w:pPr>
        <w:tabs>
          <w:tab w:val="left" w:pos="1620"/>
          <w:tab w:val="left" w:pos="8820"/>
        </w:tabs>
        <w:autoSpaceDE w:val="0"/>
        <w:autoSpaceDN w:val="0"/>
        <w:adjustRightInd w:val="0"/>
        <w:ind w:right="18" w:firstLine="851"/>
        <w:rPr>
          <w:i/>
          <w:iCs/>
          <w:sz w:val="24"/>
          <w:szCs w:val="24"/>
          <w:lang w:val="sv-SE"/>
        </w:rPr>
      </w:pPr>
      <w:proofErr w:type="spellStart"/>
      <w:r w:rsidRPr="00C55A79">
        <w:rPr>
          <w:i/>
          <w:iCs/>
          <w:sz w:val="24"/>
          <w:szCs w:val="24"/>
          <w:lang w:val="sv-SE"/>
        </w:rPr>
        <w:t>Gastroresistent</w:t>
      </w:r>
      <w:proofErr w:type="spellEnd"/>
      <w:r w:rsidRPr="00C55A79">
        <w:rPr>
          <w:i/>
          <w:iCs/>
          <w:sz w:val="24"/>
          <w:szCs w:val="24"/>
          <w:lang w:val="sv-SE"/>
        </w:rPr>
        <w:t xml:space="preserve"> </w:t>
      </w:r>
      <w:proofErr w:type="spellStart"/>
      <w:r w:rsidRPr="00C55A79">
        <w:rPr>
          <w:i/>
          <w:iCs/>
          <w:sz w:val="24"/>
          <w:szCs w:val="24"/>
          <w:lang w:val="sv-SE"/>
        </w:rPr>
        <w:t>coating</w:t>
      </w:r>
      <w:proofErr w:type="spellEnd"/>
      <w:r w:rsidRPr="00C55A79">
        <w:rPr>
          <w:i/>
          <w:iCs/>
          <w:sz w:val="24"/>
          <w:szCs w:val="24"/>
          <w:lang w:val="sv-SE"/>
        </w:rPr>
        <w:t>:</w:t>
      </w:r>
    </w:p>
    <w:p w:rsidR="00C55A79" w:rsidRPr="00C55A79" w:rsidRDefault="00C55A79" w:rsidP="00C55A79">
      <w:pPr>
        <w:tabs>
          <w:tab w:val="left" w:pos="1620"/>
          <w:tab w:val="left" w:pos="8820"/>
        </w:tabs>
        <w:autoSpaceDE w:val="0"/>
        <w:autoSpaceDN w:val="0"/>
        <w:adjustRightInd w:val="0"/>
        <w:ind w:right="18" w:firstLine="851"/>
        <w:rPr>
          <w:sz w:val="24"/>
          <w:szCs w:val="24"/>
          <w:lang w:val="sv-SE"/>
        </w:rPr>
      </w:pPr>
      <w:proofErr w:type="spellStart"/>
      <w:r w:rsidRPr="00C55A79">
        <w:rPr>
          <w:sz w:val="24"/>
          <w:szCs w:val="24"/>
          <w:lang w:val="sv-SE"/>
        </w:rPr>
        <w:t>Metacrylsyreethylacrylatcopolymer</w:t>
      </w:r>
      <w:proofErr w:type="spellEnd"/>
      <w:r w:rsidRPr="00C55A79">
        <w:rPr>
          <w:sz w:val="24"/>
          <w:szCs w:val="24"/>
          <w:lang w:val="sv-SE"/>
        </w:rPr>
        <w:t xml:space="preserve"> (1:1) </w:t>
      </w:r>
      <w:r w:rsidRPr="00C55A79">
        <w:rPr>
          <w:sz w:val="22"/>
          <w:szCs w:val="22"/>
          <w:lang w:val="sv-SE"/>
        </w:rPr>
        <w:t>dispersion 30 procent</w:t>
      </w:r>
    </w:p>
    <w:p w:rsidR="00C55A79" w:rsidRPr="00C55A79" w:rsidRDefault="00C55A79" w:rsidP="00C55A79">
      <w:pPr>
        <w:tabs>
          <w:tab w:val="left" w:pos="1620"/>
          <w:tab w:val="left" w:pos="8820"/>
        </w:tabs>
        <w:autoSpaceDE w:val="0"/>
        <w:autoSpaceDN w:val="0"/>
        <w:adjustRightInd w:val="0"/>
        <w:ind w:right="18" w:firstLine="851"/>
        <w:rPr>
          <w:sz w:val="24"/>
          <w:szCs w:val="24"/>
          <w:lang w:val="sv-SE"/>
        </w:rPr>
      </w:pPr>
      <w:proofErr w:type="spellStart"/>
      <w:r w:rsidRPr="00C55A79">
        <w:rPr>
          <w:sz w:val="24"/>
          <w:szCs w:val="24"/>
          <w:lang w:val="sv-SE"/>
        </w:rPr>
        <w:t>Triethylcitrat</w:t>
      </w:r>
      <w:proofErr w:type="spellEnd"/>
    </w:p>
    <w:p w:rsidR="00C55A79" w:rsidRPr="00C55A79" w:rsidRDefault="00C55A79" w:rsidP="00C55A79">
      <w:pPr>
        <w:tabs>
          <w:tab w:val="left" w:pos="1620"/>
          <w:tab w:val="left" w:pos="8820"/>
        </w:tabs>
        <w:autoSpaceDE w:val="0"/>
        <w:autoSpaceDN w:val="0"/>
        <w:adjustRightInd w:val="0"/>
        <w:ind w:right="18" w:firstLine="851"/>
        <w:rPr>
          <w:sz w:val="24"/>
          <w:szCs w:val="24"/>
          <w:lang w:val="sv-SE"/>
        </w:rPr>
      </w:pPr>
      <w:proofErr w:type="spellStart"/>
      <w:r w:rsidRPr="00C55A79">
        <w:rPr>
          <w:sz w:val="24"/>
          <w:szCs w:val="24"/>
          <w:lang w:val="sv-SE"/>
        </w:rPr>
        <w:t>Talkum</w:t>
      </w:r>
      <w:proofErr w:type="spellEnd"/>
    </w:p>
    <w:p w:rsidR="00C55A79" w:rsidRPr="00C55A79" w:rsidRDefault="00C55A79" w:rsidP="00C55A79">
      <w:pPr>
        <w:tabs>
          <w:tab w:val="left" w:pos="1620"/>
          <w:tab w:val="left" w:pos="8820"/>
        </w:tabs>
        <w:autoSpaceDE w:val="0"/>
        <w:autoSpaceDN w:val="0"/>
        <w:adjustRightInd w:val="0"/>
        <w:ind w:right="18" w:firstLine="851"/>
        <w:rPr>
          <w:sz w:val="24"/>
          <w:szCs w:val="24"/>
          <w:lang w:val="sv-SE"/>
        </w:rPr>
      </w:pPr>
      <w:r w:rsidRPr="00C55A79">
        <w:rPr>
          <w:sz w:val="24"/>
          <w:szCs w:val="24"/>
          <w:lang w:val="sv-SE"/>
        </w:rPr>
        <w:t>Titandioxid (E171).</w:t>
      </w:r>
    </w:p>
    <w:p w:rsidR="00C55A79" w:rsidRPr="00C55A79" w:rsidRDefault="00C55A79" w:rsidP="00C55A79">
      <w:pPr>
        <w:tabs>
          <w:tab w:val="left" w:pos="1620"/>
          <w:tab w:val="left" w:pos="8820"/>
        </w:tabs>
        <w:autoSpaceDE w:val="0"/>
        <w:autoSpaceDN w:val="0"/>
        <w:adjustRightInd w:val="0"/>
        <w:ind w:right="18" w:firstLine="851"/>
        <w:rPr>
          <w:i/>
          <w:iCs/>
          <w:sz w:val="24"/>
          <w:szCs w:val="24"/>
          <w:u w:val="single"/>
          <w:lang w:val="sv-SE"/>
        </w:rPr>
      </w:pPr>
    </w:p>
    <w:p w:rsidR="00C55A79" w:rsidRPr="00C55A79" w:rsidRDefault="00C55A79" w:rsidP="00C55A79">
      <w:pPr>
        <w:widowControl w:val="0"/>
        <w:autoSpaceDE w:val="0"/>
        <w:autoSpaceDN w:val="0"/>
        <w:adjustRightInd w:val="0"/>
        <w:ind w:firstLine="851"/>
        <w:rPr>
          <w:i/>
          <w:iCs/>
          <w:sz w:val="24"/>
          <w:szCs w:val="24"/>
          <w:u w:val="single"/>
          <w:lang w:val="sv-SE"/>
        </w:rPr>
      </w:pPr>
      <w:proofErr w:type="spellStart"/>
      <w:r w:rsidRPr="00C55A79">
        <w:rPr>
          <w:i/>
          <w:iCs/>
          <w:sz w:val="24"/>
          <w:szCs w:val="24"/>
          <w:u w:val="single"/>
          <w:lang w:val="sv-SE"/>
        </w:rPr>
        <w:t>Kapsler</w:t>
      </w:r>
      <w:proofErr w:type="spellEnd"/>
      <w:r w:rsidRPr="00C55A79">
        <w:rPr>
          <w:i/>
          <w:iCs/>
          <w:sz w:val="24"/>
          <w:szCs w:val="24"/>
          <w:u w:val="single"/>
          <w:lang w:val="sv-SE"/>
        </w:rPr>
        <w:t>:</w:t>
      </w:r>
    </w:p>
    <w:p w:rsidR="00C55A79" w:rsidRPr="00C55A79" w:rsidRDefault="00C55A79" w:rsidP="00C55A79">
      <w:pPr>
        <w:widowControl w:val="0"/>
        <w:autoSpaceDE w:val="0"/>
        <w:autoSpaceDN w:val="0"/>
        <w:adjustRightInd w:val="0"/>
        <w:ind w:firstLine="851"/>
        <w:rPr>
          <w:iCs/>
          <w:sz w:val="24"/>
          <w:szCs w:val="24"/>
          <w:lang w:val="sv-SE"/>
        </w:rPr>
      </w:pPr>
    </w:p>
    <w:p w:rsidR="00C55A79" w:rsidRPr="00C55A79" w:rsidRDefault="00C55A79" w:rsidP="00C55A79">
      <w:pPr>
        <w:widowControl w:val="0"/>
        <w:tabs>
          <w:tab w:val="left" w:pos="1620"/>
          <w:tab w:val="left" w:pos="4111"/>
          <w:tab w:val="left" w:pos="8820"/>
        </w:tabs>
        <w:autoSpaceDE w:val="0"/>
        <w:autoSpaceDN w:val="0"/>
        <w:adjustRightInd w:val="0"/>
        <w:ind w:firstLine="851"/>
        <w:rPr>
          <w:sz w:val="24"/>
          <w:szCs w:val="24"/>
          <w:u w:val="single"/>
          <w:lang w:val="sv-SE"/>
        </w:rPr>
      </w:pPr>
      <w:proofErr w:type="spellStart"/>
      <w:r w:rsidRPr="00C55A79">
        <w:rPr>
          <w:sz w:val="24"/>
          <w:szCs w:val="24"/>
          <w:u w:val="single"/>
          <w:lang w:val="sv-SE"/>
        </w:rPr>
        <w:t>Ulcerex</w:t>
      </w:r>
      <w:proofErr w:type="spellEnd"/>
      <w:r w:rsidRPr="00C55A79">
        <w:rPr>
          <w:sz w:val="24"/>
          <w:szCs w:val="24"/>
          <w:u w:val="single"/>
          <w:lang w:val="sv-SE"/>
        </w:rPr>
        <w:t xml:space="preserve"> 20 mg </w:t>
      </w:r>
      <w:proofErr w:type="spellStart"/>
      <w:r w:rsidRPr="00C55A79">
        <w:rPr>
          <w:sz w:val="24"/>
          <w:szCs w:val="24"/>
          <w:u w:val="single"/>
          <w:lang w:val="sv-SE"/>
        </w:rPr>
        <w:t>enterokapsler</w:t>
      </w:r>
      <w:proofErr w:type="spellEnd"/>
      <w:r w:rsidRPr="00C55A79">
        <w:rPr>
          <w:sz w:val="24"/>
          <w:szCs w:val="24"/>
          <w:u w:val="single"/>
          <w:lang w:val="sv-SE"/>
        </w:rPr>
        <w:t>, hårde:</w:t>
      </w:r>
    </w:p>
    <w:p w:rsidR="00C55A79" w:rsidRPr="00C55A79" w:rsidRDefault="00C55A79" w:rsidP="00C55A79">
      <w:pPr>
        <w:widowControl w:val="0"/>
        <w:tabs>
          <w:tab w:val="left" w:pos="1620"/>
          <w:tab w:val="left" w:pos="4111"/>
          <w:tab w:val="left" w:pos="8820"/>
        </w:tabs>
        <w:autoSpaceDE w:val="0"/>
        <w:autoSpaceDN w:val="0"/>
        <w:adjustRightInd w:val="0"/>
        <w:ind w:firstLine="851"/>
        <w:rPr>
          <w:i/>
          <w:iCs/>
          <w:sz w:val="24"/>
          <w:szCs w:val="24"/>
          <w:lang w:val="sv-SE"/>
        </w:rPr>
      </w:pPr>
    </w:p>
    <w:p w:rsidR="00C55A79" w:rsidRPr="00C55A79" w:rsidRDefault="00C55A79" w:rsidP="00C55A79">
      <w:pPr>
        <w:widowControl w:val="0"/>
        <w:tabs>
          <w:tab w:val="left" w:pos="1620"/>
          <w:tab w:val="left" w:pos="4111"/>
          <w:tab w:val="left" w:pos="8820"/>
        </w:tabs>
        <w:autoSpaceDE w:val="0"/>
        <w:autoSpaceDN w:val="0"/>
        <w:adjustRightInd w:val="0"/>
        <w:ind w:firstLine="851"/>
        <w:rPr>
          <w:i/>
          <w:iCs/>
          <w:sz w:val="24"/>
          <w:szCs w:val="24"/>
          <w:lang w:val="sv-SE"/>
        </w:rPr>
      </w:pPr>
      <w:proofErr w:type="spellStart"/>
      <w:r w:rsidRPr="00C55A79">
        <w:rPr>
          <w:i/>
          <w:iCs/>
          <w:sz w:val="24"/>
          <w:szCs w:val="24"/>
          <w:lang w:val="sv-SE"/>
        </w:rPr>
        <w:t>Hætte</w:t>
      </w:r>
      <w:proofErr w:type="spellEnd"/>
      <w:r w:rsidRPr="00C55A79">
        <w:rPr>
          <w:i/>
          <w:iCs/>
          <w:sz w:val="24"/>
          <w:szCs w:val="24"/>
          <w:lang w:val="sv-SE"/>
        </w:rPr>
        <w:t>:</w:t>
      </w:r>
    </w:p>
    <w:p w:rsidR="00C55A79" w:rsidRPr="00C55A79" w:rsidRDefault="00C55A79" w:rsidP="00C55A79">
      <w:pPr>
        <w:widowControl w:val="0"/>
        <w:tabs>
          <w:tab w:val="left" w:pos="1620"/>
          <w:tab w:val="left" w:pos="4111"/>
          <w:tab w:val="left" w:pos="8820"/>
        </w:tabs>
        <w:autoSpaceDE w:val="0"/>
        <w:autoSpaceDN w:val="0"/>
        <w:adjustRightInd w:val="0"/>
        <w:ind w:firstLine="851"/>
        <w:rPr>
          <w:sz w:val="24"/>
          <w:szCs w:val="24"/>
          <w:lang w:val="sv-SE"/>
        </w:rPr>
      </w:pPr>
      <w:proofErr w:type="spellStart"/>
      <w:r w:rsidRPr="00C55A79">
        <w:rPr>
          <w:sz w:val="24"/>
          <w:szCs w:val="24"/>
          <w:lang w:val="sv-SE"/>
        </w:rPr>
        <w:t>Gelatine</w:t>
      </w:r>
      <w:proofErr w:type="spellEnd"/>
    </w:p>
    <w:p w:rsidR="00C55A79" w:rsidRPr="00C55A79" w:rsidRDefault="00C55A79" w:rsidP="00C55A79">
      <w:pPr>
        <w:widowControl w:val="0"/>
        <w:tabs>
          <w:tab w:val="left" w:pos="1620"/>
          <w:tab w:val="left" w:pos="4111"/>
          <w:tab w:val="left" w:pos="8820"/>
        </w:tabs>
        <w:autoSpaceDE w:val="0"/>
        <w:autoSpaceDN w:val="0"/>
        <w:adjustRightInd w:val="0"/>
        <w:ind w:firstLine="851"/>
        <w:rPr>
          <w:sz w:val="24"/>
          <w:szCs w:val="24"/>
          <w:lang w:val="sv-SE"/>
        </w:rPr>
      </w:pPr>
      <w:r w:rsidRPr="00C55A79">
        <w:rPr>
          <w:sz w:val="24"/>
          <w:szCs w:val="24"/>
          <w:lang w:val="sv-SE"/>
        </w:rPr>
        <w:t>Titandioxid (E171)</w:t>
      </w:r>
    </w:p>
    <w:p w:rsidR="00C55A79" w:rsidRPr="00C55A79" w:rsidRDefault="00C55A79" w:rsidP="00C55A79">
      <w:pPr>
        <w:widowControl w:val="0"/>
        <w:tabs>
          <w:tab w:val="left" w:pos="1620"/>
          <w:tab w:val="left" w:pos="4111"/>
          <w:tab w:val="left" w:pos="8820"/>
        </w:tabs>
        <w:autoSpaceDE w:val="0"/>
        <w:autoSpaceDN w:val="0"/>
        <w:adjustRightInd w:val="0"/>
        <w:ind w:firstLine="851"/>
        <w:rPr>
          <w:sz w:val="24"/>
          <w:szCs w:val="24"/>
          <w:lang w:val="sv-SE"/>
        </w:rPr>
      </w:pPr>
      <w:proofErr w:type="spellStart"/>
      <w:r w:rsidRPr="00C55A79">
        <w:rPr>
          <w:sz w:val="24"/>
          <w:szCs w:val="24"/>
          <w:lang w:val="sv-SE"/>
        </w:rPr>
        <w:t>Jernoxid</w:t>
      </w:r>
      <w:proofErr w:type="spellEnd"/>
      <w:r w:rsidRPr="00C55A79">
        <w:rPr>
          <w:sz w:val="24"/>
          <w:szCs w:val="24"/>
          <w:lang w:val="sv-SE"/>
        </w:rPr>
        <w:t xml:space="preserve"> gul (E172)</w:t>
      </w:r>
    </w:p>
    <w:p w:rsidR="00C55A79" w:rsidRPr="00C55A79" w:rsidRDefault="00C55A79" w:rsidP="00C55A79">
      <w:pPr>
        <w:widowControl w:val="0"/>
        <w:autoSpaceDE w:val="0"/>
        <w:autoSpaceDN w:val="0"/>
        <w:adjustRightInd w:val="0"/>
        <w:ind w:firstLine="851"/>
        <w:rPr>
          <w:iCs/>
          <w:sz w:val="24"/>
          <w:szCs w:val="24"/>
          <w:lang w:val="sv-SE"/>
        </w:rPr>
      </w:pPr>
    </w:p>
    <w:p w:rsidR="00C55A79" w:rsidRPr="00C55A79" w:rsidRDefault="00C55A79" w:rsidP="00C55A79">
      <w:pPr>
        <w:widowControl w:val="0"/>
        <w:autoSpaceDE w:val="0"/>
        <w:autoSpaceDN w:val="0"/>
        <w:adjustRightInd w:val="0"/>
        <w:ind w:firstLine="851"/>
        <w:rPr>
          <w:iCs/>
          <w:sz w:val="24"/>
          <w:szCs w:val="24"/>
          <w:lang w:val="sv-SE"/>
        </w:rPr>
      </w:pPr>
      <w:proofErr w:type="spellStart"/>
      <w:r w:rsidRPr="00C55A79">
        <w:rPr>
          <w:iCs/>
          <w:sz w:val="24"/>
          <w:szCs w:val="24"/>
          <w:lang w:val="sv-SE"/>
        </w:rPr>
        <w:t>Krop</w:t>
      </w:r>
      <w:proofErr w:type="spellEnd"/>
      <w:r w:rsidRPr="00C55A79">
        <w:rPr>
          <w:iCs/>
          <w:sz w:val="24"/>
          <w:szCs w:val="24"/>
          <w:lang w:val="sv-SE"/>
        </w:rPr>
        <w:t>:</w:t>
      </w:r>
    </w:p>
    <w:p w:rsidR="00C55A79" w:rsidRPr="00C55A79" w:rsidRDefault="00C55A79" w:rsidP="00C55A79">
      <w:pPr>
        <w:widowControl w:val="0"/>
        <w:autoSpaceDE w:val="0"/>
        <w:autoSpaceDN w:val="0"/>
        <w:adjustRightInd w:val="0"/>
        <w:ind w:firstLine="851"/>
        <w:rPr>
          <w:sz w:val="24"/>
          <w:szCs w:val="24"/>
          <w:lang w:val="sv-SE"/>
        </w:rPr>
      </w:pPr>
      <w:proofErr w:type="spellStart"/>
      <w:r w:rsidRPr="00C55A79">
        <w:rPr>
          <w:sz w:val="24"/>
          <w:szCs w:val="24"/>
          <w:lang w:val="sv-SE"/>
        </w:rPr>
        <w:t>Gelatine</w:t>
      </w:r>
      <w:proofErr w:type="spellEnd"/>
    </w:p>
    <w:p w:rsidR="00C55A79" w:rsidRPr="00C55A79" w:rsidRDefault="00C55A79" w:rsidP="00C55A79">
      <w:pPr>
        <w:widowControl w:val="0"/>
        <w:autoSpaceDE w:val="0"/>
        <w:autoSpaceDN w:val="0"/>
        <w:adjustRightInd w:val="0"/>
        <w:ind w:firstLine="851"/>
        <w:rPr>
          <w:sz w:val="24"/>
          <w:szCs w:val="24"/>
          <w:lang w:val="sv-SE"/>
        </w:rPr>
      </w:pPr>
      <w:r w:rsidRPr="00C55A79">
        <w:rPr>
          <w:sz w:val="24"/>
          <w:szCs w:val="24"/>
          <w:lang w:val="sv-SE"/>
        </w:rPr>
        <w:t>Titandioxid (E171)</w:t>
      </w:r>
    </w:p>
    <w:p w:rsidR="00C55A79" w:rsidRPr="00C55A79" w:rsidRDefault="00C55A79" w:rsidP="00C55A79">
      <w:pPr>
        <w:widowControl w:val="0"/>
        <w:autoSpaceDE w:val="0"/>
        <w:autoSpaceDN w:val="0"/>
        <w:adjustRightInd w:val="0"/>
        <w:ind w:firstLine="851"/>
        <w:rPr>
          <w:sz w:val="24"/>
          <w:szCs w:val="24"/>
          <w:lang w:val="sv-SE"/>
        </w:rPr>
      </w:pPr>
    </w:p>
    <w:p w:rsidR="00C55A79" w:rsidRPr="00C55A79" w:rsidRDefault="00C55A79" w:rsidP="00C55A79">
      <w:pPr>
        <w:widowControl w:val="0"/>
        <w:tabs>
          <w:tab w:val="left" w:pos="1620"/>
          <w:tab w:val="left" w:pos="4111"/>
          <w:tab w:val="left" w:pos="8820"/>
        </w:tabs>
        <w:autoSpaceDE w:val="0"/>
        <w:autoSpaceDN w:val="0"/>
        <w:adjustRightInd w:val="0"/>
        <w:ind w:firstLine="851"/>
        <w:rPr>
          <w:sz w:val="24"/>
          <w:szCs w:val="24"/>
          <w:u w:val="single"/>
          <w:lang w:val="sv-SE"/>
        </w:rPr>
      </w:pPr>
      <w:proofErr w:type="spellStart"/>
      <w:r w:rsidRPr="00C55A79">
        <w:rPr>
          <w:sz w:val="24"/>
          <w:szCs w:val="24"/>
          <w:u w:val="single"/>
          <w:lang w:val="sv-SE"/>
        </w:rPr>
        <w:t>Ulcerex</w:t>
      </w:r>
      <w:proofErr w:type="spellEnd"/>
      <w:r w:rsidRPr="00C55A79">
        <w:rPr>
          <w:sz w:val="24"/>
          <w:szCs w:val="24"/>
          <w:u w:val="single"/>
          <w:lang w:val="sv-SE"/>
        </w:rPr>
        <w:t xml:space="preserve"> 40 mg </w:t>
      </w:r>
      <w:proofErr w:type="spellStart"/>
      <w:r w:rsidRPr="00C55A79">
        <w:rPr>
          <w:sz w:val="24"/>
          <w:szCs w:val="24"/>
          <w:u w:val="single"/>
          <w:lang w:val="sv-SE"/>
        </w:rPr>
        <w:t>enterokapsler</w:t>
      </w:r>
      <w:proofErr w:type="spellEnd"/>
      <w:r w:rsidRPr="00C55A79">
        <w:rPr>
          <w:sz w:val="24"/>
          <w:szCs w:val="24"/>
          <w:u w:val="single"/>
          <w:lang w:val="sv-SE"/>
        </w:rPr>
        <w:t>, hårde:</w:t>
      </w:r>
    </w:p>
    <w:p w:rsidR="00C55A79" w:rsidRPr="00C55A79" w:rsidRDefault="00C55A79" w:rsidP="00C55A79">
      <w:pPr>
        <w:widowControl w:val="0"/>
        <w:tabs>
          <w:tab w:val="left" w:pos="1620"/>
          <w:tab w:val="left" w:pos="4111"/>
          <w:tab w:val="left" w:pos="8820"/>
        </w:tabs>
        <w:autoSpaceDE w:val="0"/>
        <w:autoSpaceDN w:val="0"/>
        <w:adjustRightInd w:val="0"/>
        <w:ind w:firstLine="851"/>
        <w:rPr>
          <w:i/>
          <w:iCs/>
          <w:sz w:val="24"/>
          <w:szCs w:val="24"/>
          <w:lang w:val="sv-SE"/>
        </w:rPr>
      </w:pPr>
    </w:p>
    <w:p w:rsidR="00C55A79" w:rsidRPr="00A619D7" w:rsidRDefault="00C55A79" w:rsidP="00C55A79">
      <w:pPr>
        <w:widowControl w:val="0"/>
        <w:tabs>
          <w:tab w:val="left" w:pos="1620"/>
          <w:tab w:val="left" w:pos="4111"/>
          <w:tab w:val="left" w:pos="8820"/>
        </w:tabs>
        <w:autoSpaceDE w:val="0"/>
        <w:autoSpaceDN w:val="0"/>
        <w:adjustRightInd w:val="0"/>
        <w:ind w:firstLine="851"/>
        <w:rPr>
          <w:i/>
          <w:iCs/>
          <w:sz w:val="24"/>
          <w:szCs w:val="24"/>
        </w:rPr>
      </w:pPr>
      <w:r w:rsidRPr="00A619D7">
        <w:rPr>
          <w:i/>
          <w:iCs/>
          <w:sz w:val="24"/>
          <w:szCs w:val="24"/>
        </w:rPr>
        <w:t>Hætte:</w:t>
      </w:r>
    </w:p>
    <w:p w:rsidR="00C55A79" w:rsidRPr="00A619D7" w:rsidRDefault="00C55A79" w:rsidP="00C55A79">
      <w:pPr>
        <w:widowControl w:val="0"/>
        <w:tabs>
          <w:tab w:val="left" w:pos="1620"/>
          <w:tab w:val="left" w:pos="4111"/>
          <w:tab w:val="left" w:pos="8820"/>
        </w:tabs>
        <w:autoSpaceDE w:val="0"/>
        <w:autoSpaceDN w:val="0"/>
        <w:adjustRightInd w:val="0"/>
        <w:ind w:firstLine="851"/>
        <w:rPr>
          <w:sz w:val="24"/>
          <w:szCs w:val="24"/>
        </w:rPr>
      </w:pPr>
      <w:r w:rsidRPr="00A619D7">
        <w:rPr>
          <w:sz w:val="24"/>
          <w:szCs w:val="24"/>
        </w:rPr>
        <w:t>Gelatine</w:t>
      </w:r>
    </w:p>
    <w:p w:rsidR="00C55A79" w:rsidRPr="00A619D7" w:rsidRDefault="00C55A79" w:rsidP="00C55A79">
      <w:pPr>
        <w:widowControl w:val="0"/>
        <w:tabs>
          <w:tab w:val="left" w:pos="1620"/>
          <w:tab w:val="left" w:pos="4111"/>
          <w:tab w:val="left" w:pos="8820"/>
        </w:tabs>
        <w:autoSpaceDE w:val="0"/>
        <w:autoSpaceDN w:val="0"/>
        <w:adjustRightInd w:val="0"/>
        <w:ind w:firstLine="851"/>
        <w:rPr>
          <w:sz w:val="24"/>
          <w:szCs w:val="24"/>
        </w:rPr>
      </w:pPr>
      <w:r w:rsidRPr="00A619D7">
        <w:rPr>
          <w:sz w:val="24"/>
          <w:szCs w:val="24"/>
        </w:rPr>
        <w:t>Jernoxid rød (E172)</w:t>
      </w:r>
    </w:p>
    <w:p w:rsidR="00C55A79" w:rsidRPr="00575A42" w:rsidRDefault="00C55A79" w:rsidP="00C55A79">
      <w:pPr>
        <w:widowControl w:val="0"/>
        <w:tabs>
          <w:tab w:val="left" w:pos="1620"/>
          <w:tab w:val="left" w:pos="4111"/>
          <w:tab w:val="left" w:pos="8820"/>
        </w:tabs>
        <w:autoSpaceDE w:val="0"/>
        <w:autoSpaceDN w:val="0"/>
        <w:adjustRightInd w:val="0"/>
        <w:ind w:firstLine="851"/>
        <w:rPr>
          <w:sz w:val="24"/>
          <w:szCs w:val="24"/>
          <w:lang w:val="de-DE"/>
        </w:rPr>
      </w:pPr>
      <w:r w:rsidRPr="00575A42">
        <w:rPr>
          <w:sz w:val="24"/>
          <w:szCs w:val="24"/>
          <w:lang w:val="de-DE"/>
        </w:rPr>
        <w:t>Titandioxid (E171)</w:t>
      </w:r>
    </w:p>
    <w:p w:rsidR="00C55A79" w:rsidRPr="00575A42" w:rsidRDefault="00C55A79" w:rsidP="00C55A79">
      <w:pPr>
        <w:widowControl w:val="0"/>
        <w:autoSpaceDE w:val="0"/>
        <w:autoSpaceDN w:val="0"/>
        <w:adjustRightInd w:val="0"/>
        <w:ind w:firstLine="851"/>
        <w:rPr>
          <w:sz w:val="24"/>
          <w:szCs w:val="24"/>
          <w:lang w:val="de-DE"/>
        </w:rPr>
      </w:pPr>
      <w:proofErr w:type="spellStart"/>
      <w:r w:rsidRPr="00575A42">
        <w:rPr>
          <w:sz w:val="24"/>
          <w:szCs w:val="24"/>
          <w:lang w:val="de-DE"/>
        </w:rPr>
        <w:t>Jernoxid</w:t>
      </w:r>
      <w:proofErr w:type="spellEnd"/>
      <w:r w:rsidRPr="00575A42">
        <w:rPr>
          <w:sz w:val="24"/>
          <w:szCs w:val="24"/>
          <w:lang w:val="de-DE"/>
        </w:rPr>
        <w:t xml:space="preserve"> </w:t>
      </w:r>
      <w:proofErr w:type="spellStart"/>
      <w:r w:rsidRPr="00575A42">
        <w:rPr>
          <w:sz w:val="24"/>
          <w:szCs w:val="24"/>
          <w:lang w:val="de-DE"/>
        </w:rPr>
        <w:t>gul</w:t>
      </w:r>
      <w:proofErr w:type="spellEnd"/>
      <w:r w:rsidRPr="00575A42">
        <w:rPr>
          <w:sz w:val="24"/>
          <w:szCs w:val="24"/>
          <w:lang w:val="de-DE"/>
        </w:rPr>
        <w:t xml:space="preserve"> (E172)</w:t>
      </w:r>
    </w:p>
    <w:p w:rsidR="00C55A79" w:rsidRPr="00575A42" w:rsidRDefault="00C55A79" w:rsidP="00C55A79">
      <w:pPr>
        <w:widowControl w:val="0"/>
        <w:autoSpaceDE w:val="0"/>
        <w:autoSpaceDN w:val="0"/>
        <w:adjustRightInd w:val="0"/>
        <w:ind w:firstLine="851"/>
        <w:rPr>
          <w:i/>
          <w:iCs/>
          <w:sz w:val="24"/>
          <w:szCs w:val="24"/>
          <w:lang w:val="de-DE"/>
        </w:rPr>
      </w:pPr>
    </w:p>
    <w:p w:rsidR="00C55A79" w:rsidRPr="00575A42" w:rsidRDefault="00C55A79" w:rsidP="00C55A79">
      <w:pPr>
        <w:widowControl w:val="0"/>
        <w:autoSpaceDE w:val="0"/>
        <w:autoSpaceDN w:val="0"/>
        <w:adjustRightInd w:val="0"/>
        <w:ind w:firstLine="851"/>
        <w:rPr>
          <w:sz w:val="24"/>
          <w:szCs w:val="24"/>
          <w:lang w:val="de-DE"/>
        </w:rPr>
      </w:pPr>
      <w:proofErr w:type="spellStart"/>
      <w:r w:rsidRPr="00575A42">
        <w:rPr>
          <w:iCs/>
          <w:sz w:val="24"/>
          <w:szCs w:val="24"/>
          <w:lang w:val="de-DE"/>
        </w:rPr>
        <w:t>Krop</w:t>
      </w:r>
      <w:proofErr w:type="spellEnd"/>
      <w:r w:rsidRPr="00575A42">
        <w:rPr>
          <w:iCs/>
          <w:sz w:val="24"/>
          <w:szCs w:val="24"/>
          <w:lang w:val="de-DE"/>
        </w:rPr>
        <w:t xml:space="preserve">: </w:t>
      </w:r>
    </w:p>
    <w:p w:rsidR="00C55A79" w:rsidRPr="00EA7094" w:rsidRDefault="00C55A79" w:rsidP="00C55A79">
      <w:pPr>
        <w:widowControl w:val="0"/>
        <w:autoSpaceDE w:val="0"/>
        <w:autoSpaceDN w:val="0"/>
        <w:adjustRightInd w:val="0"/>
        <w:ind w:firstLine="851"/>
        <w:rPr>
          <w:sz w:val="24"/>
          <w:szCs w:val="24"/>
        </w:rPr>
      </w:pPr>
      <w:r w:rsidRPr="00EA7094">
        <w:rPr>
          <w:sz w:val="24"/>
          <w:szCs w:val="24"/>
        </w:rPr>
        <w:t>Gelatine</w:t>
      </w:r>
    </w:p>
    <w:p w:rsidR="001F29F9" w:rsidRPr="006510F2" w:rsidRDefault="00C55A79" w:rsidP="00C55A79">
      <w:pPr>
        <w:widowControl w:val="0"/>
        <w:autoSpaceDE w:val="0"/>
        <w:autoSpaceDN w:val="0"/>
        <w:adjustRightInd w:val="0"/>
        <w:ind w:firstLine="851"/>
        <w:rPr>
          <w:sz w:val="24"/>
          <w:szCs w:val="24"/>
        </w:rPr>
      </w:pPr>
      <w:r w:rsidRPr="00603ED3">
        <w:rPr>
          <w:sz w:val="24"/>
          <w:szCs w:val="24"/>
        </w:rPr>
        <w:t>Titandioxid (E</w:t>
      </w:r>
      <w:r w:rsidRPr="00A619D7">
        <w:rPr>
          <w:sz w:val="24"/>
          <w:szCs w:val="24"/>
        </w:rPr>
        <w:t>171)</w:t>
      </w:r>
    </w:p>
    <w:p w:rsidR="001F29F9" w:rsidRPr="006510F2" w:rsidRDefault="001F29F9" w:rsidP="001F29F9">
      <w:pPr>
        <w:autoSpaceDE w:val="0"/>
        <w:autoSpaceDN w:val="0"/>
        <w:adjustRightInd w:val="0"/>
        <w:ind w:left="561" w:hanging="561"/>
        <w:rPr>
          <w:b/>
          <w:bCs/>
          <w:sz w:val="24"/>
          <w:szCs w:val="24"/>
          <w:lang w:val="nl-NL"/>
        </w:rPr>
      </w:pPr>
    </w:p>
    <w:p w:rsidR="001F29F9" w:rsidRPr="006510F2" w:rsidRDefault="001F29F9" w:rsidP="001F29F9">
      <w:pPr>
        <w:autoSpaceDE w:val="0"/>
        <w:autoSpaceDN w:val="0"/>
        <w:adjustRightInd w:val="0"/>
        <w:ind w:left="851" w:hanging="851"/>
        <w:rPr>
          <w:b/>
          <w:bCs/>
          <w:sz w:val="24"/>
          <w:szCs w:val="24"/>
        </w:rPr>
      </w:pPr>
      <w:r w:rsidRPr="006510F2">
        <w:rPr>
          <w:b/>
          <w:bCs/>
          <w:sz w:val="24"/>
          <w:szCs w:val="24"/>
        </w:rPr>
        <w:t>6.2</w:t>
      </w:r>
      <w:r w:rsidRPr="006510F2">
        <w:rPr>
          <w:b/>
          <w:bCs/>
          <w:sz w:val="24"/>
          <w:szCs w:val="24"/>
        </w:rPr>
        <w:tab/>
        <w:t>Uforligeligheder</w:t>
      </w:r>
    </w:p>
    <w:p w:rsidR="001F29F9" w:rsidRPr="006510F2" w:rsidRDefault="001F29F9" w:rsidP="001F29F9">
      <w:pPr>
        <w:autoSpaceDE w:val="0"/>
        <w:autoSpaceDN w:val="0"/>
        <w:adjustRightInd w:val="0"/>
        <w:ind w:left="851"/>
        <w:rPr>
          <w:sz w:val="24"/>
          <w:szCs w:val="24"/>
        </w:rPr>
      </w:pPr>
      <w:r w:rsidRPr="006510F2">
        <w:rPr>
          <w:sz w:val="24"/>
          <w:szCs w:val="24"/>
        </w:rPr>
        <w:t>Ikke relevant.</w:t>
      </w:r>
    </w:p>
    <w:p w:rsidR="001F29F9" w:rsidRPr="006510F2" w:rsidRDefault="001F29F9" w:rsidP="001F29F9">
      <w:pPr>
        <w:autoSpaceDE w:val="0"/>
        <w:autoSpaceDN w:val="0"/>
        <w:adjustRightInd w:val="0"/>
        <w:ind w:left="561" w:hanging="561"/>
        <w:rPr>
          <w:b/>
          <w:bCs/>
          <w:sz w:val="24"/>
          <w:szCs w:val="24"/>
        </w:rPr>
      </w:pPr>
    </w:p>
    <w:p w:rsidR="001F29F9" w:rsidRPr="006510F2" w:rsidRDefault="001F29F9" w:rsidP="001F29F9">
      <w:pPr>
        <w:autoSpaceDE w:val="0"/>
        <w:autoSpaceDN w:val="0"/>
        <w:adjustRightInd w:val="0"/>
        <w:ind w:left="851" w:hanging="851"/>
        <w:rPr>
          <w:b/>
          <w:bCs/>
          <w:sz w:val="24"/>
          <w:szCs w:val="24"/>
        </w:rPr>
      </w:pPr>
      <w:r w:rsidRPr="006510F2">
        <w:rPr>
          <w:b/>
          <w:bCs/>
          <w:sz w:val="24"/>
          <w:szCs w:val="24"/>
        </w:rPr>
        <w:t>6.3</w:t>
      </w:r>
      <w:r w:rsidRPr="006510F2">
        <w:rPr>
          <w:b/>
          <w:bCs/>
          <w:sz w:val="24"/>
          <w:szCs w:val="24"/>
        </w:rPr>
        <w:tab/>
        <w:t>Opbevaringstid</w:t>
      </w:r>
    </w:p>
    <w:p w:rsidR="001F29F9" w:rsidRPr="006510F2" w:rsidRDefault="001F29F9" w:rsidP="001F29F9">
      <w:pPr>
        <w:autoSpaceDE w:val="0"/>
        <w:autoSpaceDN w:val="0"/>
        <w:adjustRightInd w:val="0"/>
        <w:ind w:left="851"/>
        <w:rPr>
          <w:sz w:val="24"/>
          <w:szCs w:val="24"/>
        </w:rPr>
      </w:pPr>
      <w:r w:rsidRPr="006510F2">
        <w:rPr>
          <w:sz w:val="24"/>
          <w:szCs w:val="24"/>
        </w:rPr>
        <w:t>3 år.</w:t>
      </w:r>
    </w:p>
    <w:p w:rsidR="001F29F9" w:rsidRPr="006510F2" w:rsidRDefault="001F29F9" w:rsidP="001F29F9">
      <w:pPr>
        <w:autoSpaceDE w:val="0"/>
        <w:autoSpaceDN w:val="0"/>
        <w:adjustRightInd w:val="0"/>
        <w:ind w:left="561" w:hanging="561"/>
        <w:rPr>
          <w:b/>
          <w:bCs/>
          <w:sz w:val="24"/>
          <w:szCs w:val="24"/>
        </w:rPr>
      </w:pPr>
    </w:p>
    <w:p w:rsidR="001F29F9" w:rsidRPr="006510F2" w:rsidRDefault="001F29F9" w:rsidP="001F29F9">
      <w:pPr>
        <w:autoSpaceDE w:val="0"/>
        <w:autoSpaceDN w:val="0"/>
        <w:adjustRightInd w:val="0"/>
        <w:ind w:left="851" w:hanging="851"/>
        <w:rPr>
          <w:b/>
          <w:bCs/>
          <w:sz w:val="24"/>
          <w:szCs w:val="24"/>
        </w:rPr>
      </w:pPr>
      <w:r w:rsidRPr="006510F2">
        <w:rPr>
          <w:b/>
          <w:bCs/>
          <w:sz w:val="24"/>
          <w:szCs w:val="24"/>
        </w:rPr>
        <w:t>6.4</w:t>
      </w:r>
      <w:r w:rsidRPr="006510F2">
        <w:rPr>
          <w:b/>
          <w:bCs/>
          <w:sz w:val="24"/>
          <w:szCs w:val="24"/>
        </w:rPr>
        <w:tab/>
        <w:t>Særlige opbevaringsforhold</w:t>
      </w:r>
    </w:p>
    <w:p w:rsidR="001F29F9" w:rsidRPr="006510F2" w:rsidRDefault="001F29F9" w:rsidP="001F29F9">
      <w:pPr>
        <w:autoSpaceDE w:val="0"/>
        <w:autoSpaceDN w:val="0"/>
        <w:adjustRightInd w:val="0"/>
        <w:ind w:left="851"/>
        <w:rPr>
          <w:sz w:val="24"/>
          <w:szCs w:val="24"/>
        </w:rPr>
      </w:pPr>
      <w:r w:rsidRPr="006510F2">
        <w:rPr>
          <w:sz w:val="24"/>
          <w:szCs w:val="24"/>
        </w:rPr>
        <w:t>Må ikke opbevares ved temperaturer over 25</w:t>
      </w:r>
      <w:r w:rsidRPr="006510F2">
        <w:rPr>
          <w:rFonts w:ascii="Cambria Math" w:hAnsi="Cambria Math" w:cs="Cambria Math"/>
          <w:sz w:val="24"/>
          <w:szCs w:val="24"/>
        </w:rPr>
        <w:t>℃</w:t>
      </w:r>
      <w:r w:rsidRPr="006510F2">
        <w:rPr>
          <w:sz w:val="24"/>
          <w:szCs w:val="24"/>
        </w:rPr>
        <w:t>.</w:t>
      </w:r>
    </w:p>
    <w:p w:rsidR="001F29F9" w:rsidRPr="006510F2" w:rsidRDefault="001F29F9" w:rsidP="001F29F9">
      <w:pPr>
        <w:autoSpaceDE w:val="0"/>
        <w:autoSpaceDN w:val="0"/>
        <w:adjustRightInd w:val="0"/>
        <w:ind w:left="851"/>
        <w:rPr>
          <w:sz w:val="24"/>
          <w:szCs w:val="24"/>
        </w:rPr>
      </w:pPr>
      <w:r w:rsidRPr="006510F2">
        <w:rPr>
          <w:sz w:val="24"/>
          <w:szCs w:val="24"/>
        </w:rPr>
        <w:t>Beholderen skal være tæt tillukket for at beskytte mod fugt. Opbevares i den originale yderpakning (blister) for at beskytte mod fugt.</w:t>
      </w:r>
    </w:p>
    <w:p w:rsidR="001F29F9" w:rsidRPr="006510F2" w:rsidRDefault="001F29F9" w:rsidP="001F29F9">
      <w:pPr>
        <w:tabs>
          <w:tab w:val="left" w:pos="851"/>
        </w:tabs>
        <w:rPr>
          <w:sz w:val="24"/>
          <w:szCs w:val="24"/>
        </w:rPr>
      </w:pPr>
    </w:p>
    <w:p w:rsidR="00334DFE" w:rsidRPr="00334DFE" w:rsidRDefault="001F29F9" w:rsidP="00334DFE">
      <w:pPr>
        <w:tabs>
          <w:tab w:val="left" w:pos="851"/>
        </w:tabs>
        <w:rPr>
          <w:b/>
          <w:sz w:val="24"/>
          <w:szCs w:val="24"/>
        </w:rPr>
      </w:pPr>
      <w:r>
        <w:rPr>
          <w:b/>
          <w:sz w:val="24"/>
          <w:szCs w:val="24"/>
        </w:rPr>
        <w:t>6.5</w:t>
      </w:r>
      <w:r>
        <w:rPr>
          <w:b/>
          <w:sz w:val="24"/>
          <w:szCs w:val="24"/>
        </w:rPr>
        <w:tab/>
      </w:r>
      <w:r w:rsidRPr="006510F2">
        <w:rPr>
          <w:b/>
          <w:sz w:val="24"/>
          <w:szCs w:val="24"/>
        </w:rPr>
        <w:t>Emballagetype og pakningsstørrelser</w:t>
      </w:r>
    </w:p>
    <w:p w:rsidR="00334DFE" w:rsidRPr="00334DFE" w:rsidRDefault="00334DFE" w:rsidP="00334DFE">
      <w:pPr>
        <w:autoSpaceDE w:val="0"/>
        <w:autoSpaceDN w:val="0"/>
        <w:adjustRightInd w:val="0"/>
        <w:ind w:left="851" w:firstLine="6"/>
        <w:rPr>
          <w:sz w:val="24"/>
          <w:szCs w:val="24"/>
        </w:rPr>
      </w:pPr>
      <w:r w:rsidRPr="00334DFE">
        <w:rPr>
          <w:sz w:val="22"/>
          <w:szCs w:val="22"/>
        </w:rPr>
        <w:t xml:space="preserve">Plastikbeholder af </w:t>
      </w:r>
      <w:proofErr w:type="spellStart"/>
      <w:r w:rsidRPr="00334DFE">
        <w:rPr>
          <w:sz w:val="22"/>
          <w:szCs w:val="22"/>
        </w:rPr>
        <w:t>h</w:t>
      </w:r>
      <w:r w:rsidRPr="00334DFE">
        <w:rPr>
          <w:sz w:val="24"/>
          <w:szCs w:val="24"/>
        </w:rPr>
        <w:t>øjdensitetspolyethylen</w:t>
      </w:r>
      <w:proofErr w:type="spellEnd"/>
      <w:r w:rsidRPr="00334DFE">
        <w:rPr>
          <w:sz w:val="22"/>
          <w:szCs w:val="22"/>
        </w:rPr>
        <w:t xml:space="preserve"> med en kapsel med tørremiddel indeholdt i et polypropylen-låg eller i polyamid-aluminium-PVC/aluminium-blister.</w:t>
      </w:r>
    </w:p>
    <w:p w:rsidR="00334DFE" w:rsidRPr="00334DFE" w:rsidRDefault="00334DFE" w:rsidP="00334DFE">
      <w:pPr>
        <w:autoSpaceDE w:val="0"/>
        <w:autoSpaceDN w:val="0"/>
        <w:adjustRightInd w:val="0"/>
        <w:ind w:left="561" w:firstLine="290"/>
        <w:rPr>
          <w:sz w:val="24"/>
          <w:szCs w:val="24"/>
        </w:rPr>
      </w:pPr>
    </w:p>
    <w:p w:rsidR="00334DFE" w:rsidRPr="00334DFE" w:rsidRDefault="00334DFE" w:rsidP="00334DFE">
      <w:pPr>
        <w:autoSpaceDE w:val="0"/>
        <w:autoSpaceDN w:val="0"/>
        <w:adjustRightInd w:val="0"/>
        <w:ind w:left="561" w:firstLine="290"/>
        <w:rPr>
          <w:sz w:val="24"/>
          <w:szCs w:val="24"/>
        </w:rPr>
      </w:pPr>
      <w:r w:rsidRPr="00334DFE">
        <w:rPr>
          <w:sz w:val="24"/>
          <w:szCs w:val="24"/>
        </w:rPr>
        <w:t>Pakningsstørrelser:</w:t>
      </w:r>
    </w:p>
    <w:p w:rsidR="00334DFE" w:rsidRPr="00334DFE" w:rsidRDefault="00334DFE" w:rsidP="00334DFE">
      <w:pPr>
        <w:autoSpaceDE w:val="0"/>
        <w:autoSpaceDN w:val="0"/>
        <w:adjustRightInd w:val="0"/>
        <w:ind w:left="561" w:firstLine="290"/>
        <w:rPr>
          <w:sz w:val="24"/>
          <w:szCs w:val="24"/>
          <w:lang w:eastAsia="pt-PT"/>
        </w:rPr>
      </w:pPr>
      <w:r w:rsidRPr="00334DFE">
        <w:rPr>
          <w:sz w:val="24"/>
          <w:szCs w:val="24"/>
        </w:rPr>
        <w:t>Blister</w:t>
      </w:r>
    </w:p>
    <w:p w:rsidR="00334DFE" w:rsidRPr="00334DFE" w:rsidRDefault="00334DFE" w:rsidP="00334DFE">
      <w:pPr>
        <w:autoSpaceDE w:val="0"/>
        <w:autoSpaceDN w:val="0"/>
        <w:adjustRightInd w:val="0"/>
        <w:ind w:left="561" w:firstLine="290"/>
        <w:rPr>
          <w:sz w:val="24"/>
          <w:szCs w:val="24"/>
        </w:rPr>
      </w:pPr>
      <w:proofErr w:type="spellStart"/>
      <w:r w:rsidRPr="00334DFE">
        <w:rPr>
          <w:i/>
          <w:iCs/>
          <w:sz w:val="24"/>
          <w:szCs w:val="24"/>
        </w:rPr>
        <w:t>Ulcerex</w:t>
      </w:r>
      <w:proofErr w:type="spellEnd"/>
      <w:r w:rsidRPr="00334DFE">
        <w:rPr>
          <w:i/>
          <w:sz w:val="24"/>
          <w:szCs w:val="24"/>
        </w:rPr>
        <w:t xml:space="preserve"> 20 mg </w:t>
      </w:r>
      <w:proofErr w:type="spellStart"/>
      <w:r w:rsidRPr="00334DFE">
        <w:rPr>
          <w:i/>
          <w:sz w:val="24"/>
          <w:szCs w:val="24"/>
        </w:rPr>
        <w:t>enterokapsler</w:t>
      </w:r>
      <w:proofErr w:type="spellEnd"/>
      <w:r w:rsidRPr="00334DFE">
        <w:rPr>
          <w:i/>
          <w:sz w:val="24"/>
          <w:szCs w:val="24"/>
        </w:rPr>
        <w:t>, hårde</w:t>
      </w:r>
      <w:r w:rsidRPr="00334DFE">
        <w:rPr>
          <w:sz w:val="24"/>
          <w:szCs w:val="24"/>
        </w:rPr>
        <w:t xml:space="preserve"> </w:t>
      </w:r>
    </w:p>
    <w:p w:rsidR="00334DFE" w:rsidRPr="00334DFE" w:rsidRDefault="00334DFE" w:rsidP="00334DFE">
      <w:pPr>
        <w:autoSpaceDE w:val="0"/>
        <w:autoSpaceDN w:val="0"/>
        <w:adjustRightInd w:val="0"/>
        <w:ind w:left="561" w:firstLine="290"/>
        <w:rPr>
          <w:sz w:val="24"/>
          <w:szCs w:val="24"/>
        </w:rPr>
      </w:pPr>
      <w:r w:rsidRPr="00334DFE">
        <w:rPr>
          <w:sz w:val="24"/>
          <w:szCs w:val="24"/>
        </w:rPr>
        <w:t>7, 14, 15, 28, 30, 50, 56, 60, 90, 98 og 100 kapsler</w:t>
      </w:r>
    </w:p>
    <w:p w:rsidR="00334DFE" w:rsidRPr="00334DFE" w:rsidRDefault="00334DFE" w:rsidP="00334DFE">
      <w:pPr>
        <w:autoSpaceDE w:val="0"/>
        <w:autoSpaceDN w:val="0"/>
        <w:adjustRightInd w:val="0"/>
        <w:ind w:left="561" w:firstLine="290"/>
        <w:rPr>
          <w:i/>
          <w:iCs/>
          <w:sz w:val="24"/>
          <w:szCs w:val="24"/>
        </w:rPr>
      </w:pPr>
    </w:p>
    <w:p w:rsidR="00334DFE" w:rsidRPr="00334DFE" w:rsidRDefault="00334DFE" w:rsidP="00334DFE">
      <w:pPr>
        <w:autoSpaceDE w:val="0"/>
        <w:autoSpaceDN w:val="0"/>
        <w:adjustRightInd w:val="0"/>
        <w:ind w:left="561" w:firstLine="290"/>
        <w:rPr>
          <w:i/>
          <w:sz w:val="24"/>
          <w:szCs w:val="24"/>
        </w:rPr>
      </w:pPr>
      <w:proofErr w:type="spellStart"/>
      <w:r w:rsidRPr="00334DFE">
        <w:rPr>
          <w:i/>
          <w:iCs/>
          <w:sz w:val="24"/>
          <w:szCs w:val="24"/>
        </w:rPr>
        <w:t>Ulcerex</w:t>
      </w:r>
      <w:proofErr w:type="spellEnd"/>
      <w:r w:rsidRPr="00334DFE">
        <w:rPr>
          <w:i/>
          <w:sz w:val="24"/>
          <w:szCs w:val="24"/>
        </w:rPr>
        <w:t xml:space="preserve"> 40 mg </w:t>
      </w:r>
      <w:proofErr w:type="spellStart"/>
      <w:r w:rsidRPr="00334DFE">
        <w:rPr>
          <w:i/>
          <w:sz w:val="24"/>
          <w:szCs w:val="24"/>
        </w:rPr>
        <w:t>gastroresistente</w:t>
      </w:r>
      <w:proofErr w:type="spellEnd"/>
      <w:r w:rsidRPr="00334DFE">
        <w:rPr>
          <w:i/>
          <w:sz w:val="24"/>
          <w:szCs w:val="24"/>
        </w:rPr>
        <w:t xml:space="preserve"> kapsler</w:t>
      </w:r>
    </w:p>
    <w:p w:rsidR="00334DFE" w:rsidRPr="00334DFE" w:rsidRDefault="00334DFE" w:rsidP="00334DFE">
      <w:pPr>
        <w:autoSpaceDE w:val="0"/>
        <w:autoSpaceDN w:val="0"/>
        <w:adjustRightInd w:val="0"/>
        <w:ind w:left="561" w:firstLine="290"/>
        <w:rPr>
          <w:sz w:val="24"/>
          <w:szCs w:val="24"/>
        </w:rPr>
      </w:pPr>
      <w:r w:rsidRPr="00334DFE">
        <w:rPr>
          <w:sz w:val="24"/>
          <w:szCs w:val="24"/>
        </w:rPr>
        <w:t>14, 15, 28, 30, 50, 56, 60, 90, 98 og 100 kapsler</w:t>
      </w:r>
    </w:p>
    <w:p w:rsidR="00334DFE" w:rsidRPr="00334DFE" w:rsidRDefault="00334DFE" w:rsidP="00334DFE">
      <w:pPr>
        <w:autoSpaceDE w:val="0"/>
        <w:autoSpaceDN w:val="0"/>
        <w:adjustRightInd w:val="0"/>
        <w:ind w:left="561" w:firstLine="290"/>
        <w:rPr>
          <w:sz w:val="24"/>
          <w:szCs w:val="24"/>
        </w:rPr>
      </w:pPr>
    </w:p>
    <w:p w:rsidR="00334DFE" w:rsidRPr="00334DFE" w:rsidRDefault="00334DFE" w:rsidP="00334DFE">
      <w:pPr>
        <w:autoSpaceDE w:val="0"/>
        <w:autoSpaceDN w:val="0"/>
        <w:adjustRightInd w:val="0"/>
        <w:ind w:left="561" w:firstLine="290"/>
        <w:rPr>
          <w:sz w:val="24"/>
          <w:szCs w:val="24"/>
        </w:rPr>
      </w:pPr>
      <w:r w:rsidRPr="00334DFE">
        <w:rPr>
          <w:sz w:val="24"/>
          <w:szCs w:val="24"/>
        </w:rPr>
        <w:t>HDPE plastikbeholdere</w:t>
      </w:r>
    </w:p>
    <w:p w:rsidR="00334DFE" w:rsidRPr="00334DFE" w:rsidRDefault="00334DFE" w:rsidP="00334DFE">
      <w:pPr>
        <w:autoSpaceDE w:val="0"/>
        <w:autoSpaceDN w:val="0"/>
        <w:adjustRightInd w:val="0"/>
        <w:ind w:left="561" w:firstLine="290"/>
        <w:rPr>
          <w:sz w:val="24"/>
          <w:szCs w:val="24"/>
        </w:rPr>
      </w:pPr>
      <w:proofErr w:type="spellStart"/>
      <w:r w:rsidRPr="00334DFE">
        <w:rPr>
          <w:i/>
          <w:iCs/>
          <w:sz w:val="24"/>
          <w:szCs w:val="24"/>
        </w:rPr>
        <w:t>Ulcerex</w:t>
      </w:r>
      <w:proofErr w:type="spellEnd"/>
      <w:r w:rsidRPr="00334DFE">
        <w:rPr>
          <w:i/>
          <w:sz w:val="24"/>
          <w:szCs w:val="24"/>
        </w:rPr>
        <w:t xml:space="preserve"> 20 mg </w:t>
      </w:r>
      <w:proofErr w:type="spellStart"/>
      <w:r w:rsidRPr="00334DFE">
        <w:rPr>
          <w:i/>
          <w:sz w:val="24"/>
          <w:szCs w:val="24"/>
        </w:rPr>
        <w:t>enterokapsler</w:t>
      </w:r>
      <w:proofErr w:type="spellEnd"/>
      <w:r w:rsidRPr="00334DFE">
        <w:rPr>
          <w:i/>
          <w:sz w:val="24"/>
          <w:szCs w:val="24"/>
        </w:rPr>
        <w:t>, hårde</w:t>
      </w:r>
      <w:r w:rsidRPr="00334DFE">
        <w:rPr>
          <w:sz w:val="24"/>
          <w:szCs w:val="24"/>
        </w:rPr>
        <w:t xml:space="preserve"> </w:t>
      </w:r>
    </w:p>
    <w:p w:rsidR="00334DFE" w:rsidRPr="00334DFE" w:rsidRDefault="00334DFE" w:rsidP="00334DFE">
      <w:pPr>
        <w:autoSpaceDE w:val="0"/>
        <w:autoSpaceDN w:val="0"/>
        <w:adjustRightInd w:val="0"/>
        <w:ind w:left="561" w:firstLine="290"/>
        <w:rPr>
          <w:sz w:val="24"/>
          <w:szCs w:val="24"/>
        </w:rPr>
      </w:pPr>
      <w:r w:rsidRPr="00334DFE">
        <w:rPr>
          <w:sz w:val="24"/>
          <w:szCs w:val="24"/>
        </w:rPr>
        <w:lastRenderedPageBreak/>
        <w:t>14, 15, 28, 30, 50, 56, 60, 90, 98 og 100 kapsler</w:t>
      </w:r>
    </w:p>
    <w:p w:rsidR="00334DFE" w:rsidRPr="00334DFE" w:rsidRDefault="00334DFE" w:rsidP="00334DFE">
      <w:pPr>
        <w:autoSpaceDE w:val="0"/>
        <w:autoSpaceDN w:val="0"/>
        <w:adjustRightInd w:val="0"/>
        <w:ind w:left="561" w:firstLine="290"/>
        <w:rPr>
          <w:i/>
          <w:iCs/>
          <w:sz w:val="24"/>
          <w:szCs w:val="24"/>
        </w:rPr>
      </w:pPr>
    </w:p>
    <w:p w:rsidR="00334DFE" w:rsidRPr="00334DFE" w:rsidRDefault="00334DFE" w:rsidP="00334DFE">
      <w:pPr>
        <w:autoSpaceDE w:val="0"/>
        <w:autoSpaceDN w:val="0"/>
        <w:adjustRightInd w:val="0"/>
        <w:ind w:left="561" w:firstLine="290"/>
        <w:rPr>
          <w:i/>
          <w:sz w:val="24"/>
          <w:szCs w:val="24"/>
        </w:rPr>
      </w:pPr>
      <w:proofErr w:type="spellStart"/>
      <w:r w:rsidRPr="00334DFE">
        <w:rPr>
          <w:i/>
          <w:iCs/>
          <w:sz w:val="24"/>
          <w:szCs w:val="24"/>
        </w:rPr>
        <w:t>Ulcerex</w:t>
      </w:r>
      <w:proofErr w:type="spellEnd"/>
      <w:r w:rsidRPr="00334DFE">
        <w:rPr>
          <w:i/>
          <w:sz w:val="24"/>
          <w:szCs w:val="24"/>
        </w:rPr>
        <w:t xml:space="preserve"> 40 mg </w:t>
      </w:r>
      <w:proofErr w:type="spellStart"/>
      <w:r w:rsidRPr="00334DFE">
        <w:rPr>
          <w:i/>
          <w:sz w:val="24"/>
          <w:szCs w:val="24"/>
        </w:rPr>
        <w:t>enterokapsler</w:t>
      </w:r>
      <w:proofErr w:type="spellEnd"/>
    </w:p>
    <w:p w:rsidR="00334DFE" w:rsidRPr="00A619D7" w:rsidRDefault="00334DFE" w:rsidP="00334DFE">
      <w:pPr>
        <w:autoSpaceDE w:val="0"/>
        <w:autoSpaceDN w:val="0"/>
        <w:adjustRightInd w:val="0"/>
        <w:ind w:left="561" w:firstLine="290"/>
        <w:rPr>
          <w:sz w:val="24"/>
          <w:szCs w:val="24"/>
        </w:rPr>
      </w:pPr>
      <w:r w:rsidRPr="00334DFE">
        <w:rPr>
          <w:sz w:val="24"/>
          <w:szCs w:val="24"/>
        </w:rPr>
        <w:t>14, 15, 28, 30, 50, 56, 60, 90, 98 og 100 kapsler</w:t>
      </w:r>
    </w:p>
    <w:p w:rsidR="00334DFE" w:rsidRPr="00A619D7" w:rsidRDefault="00334DFE" w:rsidP="00334DFE">
      <w:pPr>
        <w:autoSpaceDE w:val="0"/>
        <w:autoSpaceDN w:val="0"/>
        <w:adjustRightInd w:val="0"/>
        <w:ind w:left="561" w:hanging="561"/>
        <w:rPr>
          <w:sz w:val="22"/>
          <w:szCs w:val="22"/>
        </w:rPr>
      </w:pPr>
    </w:p>
    <w:p w:rsidR="00334DFE" w:rsidRPr="00A619D7" w:rsidRDefault="00334DFE" w:rsidP="00334DFE">
      <w:pPr>
        <w:autoSpaceDE w:val="0"/>
        <w:autoSpaceDN w:val="0"/>
        <w:adjustRightInd w:val="0"/>
        <w:ind w:left="851"/>
        <w:rPr>
          <w:sz w:val="24"/>
          <w:szCs w:val="24"/>
        </w:rPr>
      </w:pPr>
      <w:r w:rsidRPr="00A619D7">
        <w:rPr>
          <w:sz w:val="24"/>
          <w:szCs w:val="24"/>
        </w:rPr>
        <w:t>Ikke alle pakningsstørrelser er nødvendigvis markedsført.</w:t>
      </w:r>
    </w:p>
    <w:p w:rsidR="001F29F9" w:rsidRPr="006510F2" w:rsidRDefault="001F29F9" w:rsidP="001F29F9">
      <w:pPr>
        <w:tabs>
          <w:tab w:val="left" w:pos="851"/>
        </w:tabs>
        <w:rPr>
          <w:sz w:val="24"/>
          <w:szCs w:val="24"/>
        </w:rPr>
      </w:pPr>
    </w:p>
    <w:p w:rsidR="001F29F9" w:rsidRPr="006510F2" w:rsidRDefault="001F29F9" w:rsidP="001F29F9">
      <w:pPr>
        <w:tabs>
          <w:tab w:val="left" w:pos="851"/>
        </w:tabs>
        <w:rPr>
          <w:b/>
          <w:sz w:val="24"/>
          <w:szCs w:val="24"/>
        </w:rPr>
      </w:pPr>
      <w:r>
        <w:rPr>
          <w:b/>
          <w:sz w:val="24"/>
          <w:szCs w:val="24"/>
        </w:rPr>
        <w:t>6.6</w:t>
      </w:r>
      <w:r>
        <w:rPr>
          <w:b/>
          <w:sz w:val="24"/>
          <w:szCs w:val="24"/>
        </w:rPr>
        <w:tab/>
      </w:r>
      <w:r w:rsidRPr="006510F2">
        <w:rPr>
          <w:b/>
          <w:sz w:val="24"/>
          <w:szCs w:val="24"/>
        </w:rPr>
        <w:t xml:space="preserve">Regler for </w:t>
      </w:r>
      <w:r w:rsidR="00334DFE">
        <w:rPr>
          <w:b/>
          <w:sz w:val="24"/>
          <w:szCs w:val="24"/>
        </w:rPr>
        <w:t>bortskaffelse</w:t>
      </w:r>
      <w:r w:rsidRPr="006510F2">
        <w:rPr>
          <w:b/>
          <w:sz w:val="24"/>
          <w:szCs w:val="24"/>
        </w:rPr>
        <w:t xml:space="preserve"> og anden håndtering</w:t>
      </w:r>
    </w:p>
    <w:p w:rsidR="00704D69" w:rsidRDefault="00704D69" w:rsidP="00704D69">
      <w:pPr>
        <w:ind w:firstLine="855"/>
        <w:rPr>
          <w:sz w:val="24"/>
          <w:szCs w:val="24"/>
        </w:rPr>
      </w:pPr>
      <w:r>
        <w:rPr>
          <w:sz w:val="24"/>
          <w:szCs w:val="24"/>
        </w:rPr>
        <w:t xml:space="preserve">Ingen særlige forholdsregler </w:t>
      </w:r>
      <w:r w:rsidRPr="00704D69">
        <w:rPr>
          <w:sz w:val="24"/>
          <w:szCs w:val="24"/>
        </w:rPr>
        <w:t>for bortskaffelse.</w:t>
      </w:r>
    </w:p>
    <w:p w:rsidR="00704D69" w:rsidRDefault="00704D69" w:rsidP="00704D69">
      <w:pPr>
        <w:ind w:firstLine="855"/>
        <w:rPr>
          <w:sz w:val="24"/>
          <w:szCs w:val="24"/>
        </w:rPr>
      </w:pPr>
    </w:p>
    <w:p w:rsidR="00704D69" w:rsidRDefault="00704D69" w:rsidP="00704D69">
      <w:pPr>
        <w:ind w:left="851" w:firstLine="4"/>
        <w:rPr>
          <w:sz w:val="24"/>
          <w:szCs w:val="24"/>
        </w:rPr>
      </w:pPr>
      <w:r>
        <w:rPr>
          <w:sz w:val="24"/>
          <w:szCs w:val="24"/>
        </w:rPr>
        <w:t>Ikke anvendt lægemiddel samt affald heraf skal bortskaffes i henhold til lokale retningslinjer.</w:t>
      </w:r>
    </w:p>
    <w:p w:rsidR="00704D69" w:rsidRDefault="00704D69" w:rsidP="00704D69">
      <w:pPr>
        <w:ind w:left="851" w:firstLine="4"/>
        <w:rPr>
          <w:sz w:val="24"/>
          <w:szCs w:val="24"/>
        </w:rPr>
      </w:pPr>
    </w:p>
    <w:p w:rsidR="00704D69" w:rsidRDefault="00704D69" w:rsidP="00704D69">
      <w:pPr>
        <w:ind w:left="851" w:firstLine="4"/>
        <w:rPr>
          <w:sz w:val="24"/>
          <w:szCs w:val="24"/>
        </w:rPr>
      </w:pPr>
      <w:r>
        <w:rPr>
          <w:sz w:val="24"/>
          <w:szCs w:val="24"/>
        </w:rPr>
        <w:t>Administration gennem ernæringssonde:</w:t>
      </w:r>
    </w:p>
    <w:p w:rsidR="00704D69" w:rsidRDefault="00704D69" w:rsidP="00704D69">
      <w:pPr>
        <w:ind w:left="851" w:firstLine="4"/>
        <w:rPr>
          <w:sz w:val="24"/>
          <w:szCs w:val="24"/>
        </w:rPr>
      </w:pPr>
    </w:p>
    <w:p w:rsidR="00704D69" w:rsidRDefault="00704D69" w:rsidP="00704D69">
      <w:pPr>
        <w:pStyle w:val="Listeafsnit"/>
        <w:numPr>
          <w:ilvl w:val="0"/>
          <w:numId w:val="14"/>
        </w:numPr>
        <w:rPr>
          <w:sz w:val="24"/>
          <w:szCs w:val="24"/>
        </w:rPr>
      </w:pPr>
      <w:r w:rsidRPr="00704D69">
        <w:rPr>
          <w:sz w:val="24"/>
          <w:szCs w:val="24"/>
        </w:rPr>
        <w:t xml:space="preserve">Åbn kapslen og </w:t>
      </w:r>
      <w:r>
        <w:rPr>
          <w:sz w:val="24"/>
          <w:szCs w:val="24"/>
        </w:rPr>
        <w:t>tøm indholdet</w:t>
      </w:r>
      <w:r w:rsidRPr="00704D69">
        <w:rPr>
          <w:sz w:val="24"/>
          <w:szCs w:val="24"/>
        </w:rPr>
        <w:t xml:space="preserve"> i en passende sprøjte og fyld sprøjten med ca. 25 ml vand og ca. 5 ml luft. For nogle sonder kan opslæmning i 50 ml vand være nødvendig</w:t>
      </w:r>
      <w:r>
        <w:rPr>
          <w:sz w:val="24"/>
          <w:szCs w:val="24"/>
        </w:rPr>
        <w:t>,</w:t>
      </w:r>
      <w:r w:rsidRPr="00704D69">
        <w:rPr>
          <w:sz w:val="24"/>
          <w:szCs w:val="24"/>
        </w:rPr>
        <w:t xml:space="preserve"> for at undgå at </w:t>
      </w:r>
      <w:r>
        <w:rPr>
          <w:sz w:val="24"/>
          <w:szCs w:val="24"/>
        </w:rPr>
        <w:t>pellets</w:t>
      </w:r>
      <w:r w:rsidRPr="00704D69">
        <w:rPr>
          <w:sz w:val="24"/>
          <w:szCs w:val="24"/>
        </w:rPr>
        <w:t xml:space="preserve"> tilstopper sonden.</w:t>
      </w:r>
    </w:p>
    <w:p w:rsidR="00704D69" w:rsidRDefault="00704D69" w:rsidP="00704D69">
      <w:pPr>
        <w:pStyle w:val="Listeafsnit"/>
        <w:numPr>
          <w:ilvl w:val="0"/>
          <w:numId w:val="14"/>
        </w:numPr>
        <w:rPr>
          <w:sz w:val="24"/>
          <w:szCs w:val="24"/>
        </w:rPr>
      </w:pPr>
      <w:r>
        <w:rPr>
          <w:sz w:val="24"/>
          <w:szCs w:val="24"/>
        </w:rPr>
        <w:t>Omryst sprøjten umiddelbart efter for at fordele pellets jævnt i hele suspensionen.</w:t>
      </w:r>
    </w:p>
    <w:p w:rsidR="00704D69" w:rsidRDefault="00704D69" w:rsidP="00704D69">
      <w:pPr>
        <w:pStyle w:val="Listeafsnit"/>
        <w:numPr>
          <w:ilvl w:val="0"/>
          <w:numId w:val="14"/>
        </w:numPr>
        <w:rPr>
          <w:sz w:val="24"/>
          <w:szCs w:val="24"/>
        </w:rPr>
      </w:pPr>
      <w:r>
        <w:rPr>
          <w:sz w:val="24"/>
          <w:szCs w:val="24"/>
        </w:rPr>
        <w:t>Hold sprøjten med spidsen opad og check at spidsen ikke er stoppet til.</w:t>
      </w:r>
    </w:p>
    <w:p w:rsidR="00704D69" w:rsidRDefault="00704D69" w:rsidP="00704D69">
      <w:pPr>
        <w:pStyle w:val="Listeafsnit"/>
        <w:numPr>
          <w:ilvl w:val="0"/>
          <w:numId w:val="14"/>
        </w:numPr>
        <w:rPr>
          <w:sz w:val="24"/>
          <w:szCs w:val="24"/>
        </w:rPr>
      </w:pPr>
      <w:r>
        <w:rPr>
          <w:sz w:val="24"/>
          <w:szCs w:val="24"/>
        </w:rPr>
        <w:t>Fastgør sprøjten til sonden, mens ovenstående position opretholdes.</w:t>
      </w:r>
    </w:p>
    <w:p w:rsidR="00704D69" w:rsidRDefault="00704D69" w:rsidP="00704D69">
      <w:pPr>
        <w:pStyle w:val="Listeafsnit"/>
        <w:numPr>
          <w:ilvl w:val="0"/>
          <w:numId w:val="14"/>
        </w:numPr>
        <w:rPr>
          <w:sz w:val="24"/>
          <w:szCs w:val="24"/>
        </w:rPr>
      </w:pPr>
      <w:r>
        <w:rPr>
          <w:sz w:val="24"/>
          <w:szCs w:val="24"/>
        </w:rPr>
        <w:t xml:space="preserve">Omryst sprøjten og vend den med spidsen pegende nedad. Injicér umiddelbart derefter 5-10 ml ind i sonden. </w:t>
      </w:r>
    </w:p>
    <w:p w:rsidR="00704D69" w:rsidRDefault="00704D69" w:rsidP="00704D69">
      <w:pPr>
        <w:pStyle w:val="Listeafsnit"/>
        <w:ind w:left="1215"/>
        <w:rPr>
          <w:sz w:val="24"/>
          <w:szCs w:val="24"/>
        </w:rPr>
      </w:pPr>
      <w:r>
        <w:rPr>
          <w:sz w:val="24"/>
          <w:szCs w:val="24"/>
        </w:rPr>
        <w:t>Vend sprøjten om efter injektion og omryst (sprøjten skal holdes med spidsen opad for at undgå, at spidsen stopper til).</w:t>
      </w:r>
    </w:p>
    <w:p w:rsidR="00704D69" w:rsidRDefault="00704D69" w:rsidP="00704D69">
      <w:pPr>
        <w:pStyle w:val="Listeafsnit"/>
        <w:numPr>
          <w:ilvl w:val="0"/>
          <w:numId w:val="14"/>
        </w:numPr>
        <w:rPr>
          <w:sz w:val="24"/>
          <w:szCs w:val="24"/>
        </w:rPr>
      </w:pPr>
      <w:r>
        <w:rPr>
          <w:sz w:val="24"/>
          <w:szCs w:val="24"/>
        </w:rPr>
        <w:t xml:space="preserve">Vend sprøjten med spidsen nedad og injicér umiddelbart derefter yderligere 5-10 ml ind i sonden. </w:t>
      </w:r>
    </w:p>
    <w:p w:rsidR="00704D69" w:rsidRDefault="00704D69" w:rsidP="00704D69">
      <w:pPr>
        <w:pStyle w:val="Listeafsnit"/>
        <w:ind w:left="1215"/>
        <w:rPr>
          <w:sz w:val="24"/>
          <w:szCs w:val="24"/>
        </w:rPr>
      </w:pPr>
      <w:r>
        <w:rPr>
          <w:sz w:val="24"/>
          <w:szCs w:val="24"/>
        </w:rPr>
        <w:t>Gentag denne procedure, indtil sprøjten er tom.</w:t>
      </w:r>
    </w:p>
    <w:p w:rsidR="00704D69" w:rsidRPr="00704D69" w:rsidRDefault="00704D69" w:rsidP="00704D69">
      <w:pPr>
        <w:pStyle w:val="Listeafsnit"/>
        <w:numPr>
          <w:ilvl w:val="0"/>
          <w:numId w:val="14"/>
        </w:numPr>
        <w:rPr>
          <w:sz w:val="24"/>
          <w:szCs w:val="24"/>
        </w:rPr>
      </w:pPr>
      <w:r>
        <w:rPr>
          <w:sz w:val="24"/>
          <w:szCs w:val="24"/>
        </w:rPr>
        <w:t>Fyld sprøjten med 25 ml vand og 5 ml luft og gentag om nødvendigt trin 5 for at udskylle evt. tilbageværende rester. For nogle sonder kan det være nødvendigt med 50 ml vand.</w:t>
      </w:r>
    </w:p>
    <w:p w:rsidR="001F29F9" w:rsidRDefault="001F29F9" w:rsidP="00334DFE">
      <w:pPr>
        <w:tabs>
          <w:tab w:val="left" w:pos="851"/>
        </w:tabs>
        <w:jc w:val="both"/>
        <w:rPr>
          <w:sz w:val="24"/>
          <w:szCs w:val="24"/>
        </w:rPr>
      </w:pPr>
    </w:p>
    <w:p w:rsidR="00704D69" w:rsidRPr="00EC0B9B" w:rsidRDefault="00704D69" w:rsidP="00334DFE">
      <w:pPr>
        <w:tabs>
          <w:tab w:val="left" w:pos="851"/>
        </w:tabs>
        <w:jc w:val="both"/>
        <w:rPr>
          <w:sz w:val="24"/>
          <w:szCs w:val="24"/>
        </w:rPr>
      </w:pPr>
      <w:bookmarkStart w:id="2" w:name="_GoBack"/>
      <w:bookmarkEnd w:id="2"/>
    </w:p>
    <w:p w:rsidR="001F29F9" w:rsidRPr="00EC0B9B" w:rsidRDefault="001F29F9" w:rsidP="001F29F9">
      <w:pPr>
        <w:tabs>
          <w:tab w:val="left" w:pos="851"/>
        </w:tabs>
        <w:rPr>
          <w:b/>
          <w:sz w:val="24"/>
          <w:szCs w:val="24"/>
        </w:rPr>
      </w:pPr>
      <w:r w:rsidRPr="00EC0B9B">
        <w:rPr>
          <w:b/>
          <w:sz w:val="24"/>
          <w:szCs w:val="24"/>
        </w:rPr>
        <w:t>7.</w:t>
      </w:r>
      <w:r w:rsidRPr="00EC0B9B">
        <w:rPr>
          <w:b/>
          <w:sz w:val="24"/>
          <w:szCs w:val="24"/>
        </w:rPr>
        <w:tab/>
        <w:t>INDEHAVER AF MARKEDSFØRINGSTILLADELSEN</w:t>
      </w:r>
    </w:p>
    <w:p w:rsidR="001F29F9" w:rsidRPr="00575A42" w:rsidRDefault="001F29F9" w:rsidP="001F29F9">
      <w:pPr>
        <w:tabs>
          <w:tab w:val="left" w:pos="851"/>
        </w:tabs>
        <w:ind w:left="851"/>
        <w:rPr>
          <w:sz w:val="24"/>
          <w:szCs w:val="24"/>
          <w:lang w:val="de-DE"/>
        </w:rPr>
      </w:pPr>
      <w:proofErr w:type="spellStart"/>
      <w:r w:rsidRPr="00575A42">
        <w:rPr>
          <w:sz w:val="24"/>
          <w:szCs w:val="24"/>
          <w:lang w:val="de-DE"/>
        </w:rPr>
        <w:t>Aristo</w:t>
      </w:r>
      <w:proofErr w:type="spellEnd"/>
      <w:r w:rsidRPr="00575A42">
        <w:rPr>
          <w:sz w:val="24"/>
          <w:szCs w:val="24"/>
          <w:lang w:val="de-DE"/>
        </w:rPr>
        <w:t xml:space="preserve"> </w:t>
      </w:r>
      <w:proofErr w:type="spellStart"/>
      <w:r w:rsidRPr="00575A42">
        <w:rPr>
          <w:sz w:val="24"/>
          <w:szCs w:val="24"/>
          <w:lang w:val="de-DE"/>
        </w:rPr>
        <w:t>Pharma</w:t>
      </w:r>
      <w:proofErr w:type="spellEnd"/>
      <w:r w:rsidRPr="00575A42">
        <w:rPr>
          <w:sz w:val="24"/>
          <w:szCs w:val="24"/>
          <w:lang w:val="de-DE"/>
        </w:rPr>
        <w:t xml:space="preserve"> GmbH</w:t>
      </w:r>
    </w:p>
    <w:p w:rsidR="001F29F9" w:rsidRPr="00575A42" w:rsidRDefault="001F29F9" w:rsidP="001F29F9">
      <w:pPr>
        <w:tabs>
          <w:tab w:val="left" w:pos="851"/>
        </w:tabs>
        <w:ind w:left="851"/>
        <w:rPr>
          <w:sz w:val="24"/>
          <w:szCs w:val="24"/>
          <w:lang w:val="de-DE"/>
        </w:rPr>
      </w:pPr>
      <w:proofErr w:type="spellStart"/>
      <w:r w:rsidRPr="00575A42">
        <w:rPr>
          <w:sz w:val="24"/>
          <w:szCs w:val="24"/>
          <w:lang w:val="de-DE"/>
        </w:rPr>
        <w:t>Wallenroder</w:t>
      </w:r>
      <w:proofErr w:type="spellEnd"/>
      <w:r w:rsidRPr="00575A42">
        <w:rPr>
          <w:sz w:val="24"/>
          <w:szCs w:val="24"/>
          <w:lang w:val="de-DE"/>
        </w:rPr>
        <w:t xml:space="preserve"> Str. 8-10</w:t>
      </w:r>
    </w:p>
    <w:p w:rsidR="001F29F9" w:rsidRPr="000E5C0A" w:rsidRDefault="001F29F9" w:rsidP="001F29F9">
      <w:pPr>
        <w:tabs>
          <w:tab w:val="left" w:pos="851"/>
        </w:tabs>
        <w:ind w:left="851"/>
        <w:rPr>
          <w:sz w:val="24"/>
          <w:szCs w:val="24"/>
        </w:rPr>
      </w:pPr>
      <w:r>
        <w:rPr>
          <w:sz w:val="24"/>
          <w:szCs w:val="24"/>
        </w:rPr>
        <w:t>13435 Berlin</w:t>
      </w:r>
    </w:p>
    <w:p w:rsidR="001F29F9" w:rsidRPr="00EC0B9B" w:rsidRDefault="001F29F9" w:rsidP="001F29F9">
      <w:pPr>
        <w:tabs>
          <w:tab w:val="left" w:pos="851"/>
        </w:tabs>
        <w:ind w:left="851"/>
        <w:rPr>
          <w:sz w:val="24"/>
          <w:szCs w:val="24"/>
        </w:rPr>
      </w:pPr>
      <w:r w:rsidRPr="000E5C0A">
        <w:rPr>
          <w:sz w:val="24"/>
          <w:szCs w:val="24"/>
        </w:rPr>
        <w:t>Tyskland</w:t>
      </w:r>
    </w:p>
    <w:p w:rsidR="001F29F9" w:rsidRPr="00EC0B9B" w:rsidRDefault="001F29F9" w:rsidP="001F29F9">
      <w:pPr>
        <w:tabs>
          <w:tab w:val="left" w:pos="851"/>
        </w:tabs>
        <w:rPr>
          <w:sz w:val="24"/>
          <w:szCs w:val="24"/>
        </w:rPr>
      </w:pPr>
    </w:p>
    <w:p w:rsidR="001F29F9" w:rsidRPr="00EC0B9B" w:rsidRDefault="001F29F9" w:rsidP="001F29F9">
      <w:pPr>
        <w:tabs>
          <w:tab w:val="left" w:pos="851"/>
        </w:tabs>
        <w:rPr>
          <w:b/>
          <w:sz w:val="24"/>
          <w:szCs w:val="24"/>
        </w:rPr>
      </w:pPr>
      <w:r w:rsidRPr="00EC0B9B">
        <w:rPr>
          <w:b/>
          <w:sz w:val="24"/>
          <w:szCs w:val="24"/>
        </w:rPr>
        <w:t>8.</w:t>
      </w:r>
      <w:r w:rsidRPr="00EC0B9B">
        <w:rPr>
          <w:b/>
          <w:sz w:val="24"/>
          <w:szCs w:val="24"/>
        </w:rPr>
        <w:tab/>
        <w:t>MARKEDSFØRINGSTILLADELSESNUMMER (</w:t>
      </w:r>
      <w:r w:rsidR="00334DFE">
        <w:rPr>
          <w:b/>
          <w:sz w:val="24"/>
          <w:szCs w:val="24"/>
        </w:rPr>
        <w:t>-</w:t>
      </w:r>
      <w:r w:rsidRPr="00EC0B9B">
        <w:rPr>
          <w:b/>
          <w:sz w:val="24"/>
          <w:szCs w:val="24"/>
        </w:rPr>
        <w:t>NUMRE)</w:t>
      </w:r>
    </w:p>
    <w:p w:rsidR="001F29F9" w:rsidRDefault="001F29F9" w:rsidP="001F29F9">
      <w:pPr>
        <w:tabs>
          <w:tab w:val="left" w:pos="851"/>
          <w:tab w:val="left" w:pos="1701"/>
        </w:tabs>
        <w:ind w:left="851" w:hanging="851"/>
        <w:rPr>
          <w:sz w:val="24"/>
          <w:szCs w:val="24"/>
        </w:rPr>
      </w:pPr>
      <w:r w:rsidRPr="00EC0B9B">
        <w:rPr>
          <w:sz w:val="24"/>
          <w:szCs w:val="24"/>
        </w:rPr>
        <w:tab/>
      </w:r>
      <w:r>
        <w:rPr>
          <w:sz w:val="24"/>
          <w:szCs w:val="24"/>
        </w:rPr>
        <w:t>20 mg:</w:t>
      </w:r>
      <w:r>
        <w:rPr>
          <w:sz w:val="24"/>
          <w:szCs w:val="24"/>
        </w:rPr>
        <w:tab/>
        <w:t>47056</w:t>
      </w:r>
    </w:p>
    <w:p w:rsidR="001F29F9" w:rsidRPr="00EC0B9B" w:rsidRDefault="001F29F9" w:rsidP="001F29F9">
      <w:pPr>
        <w:tabs>
          <w:tab w:val="left" w:pos="851"/>
          <w:tab w:val="left" w:pos="1701"/>
        </w:tabs>
        <w:ind w:left="851" w:hanging="851"/>
        <w:rPr>
          <w:sz w:val="24"/>
          <w:szCs w:val="24"/>
        </w:rPr>
      </w:pPr>
      <w:r>
        <w:rPr>
          <w:sz w:val="24"/>
          <w:szCs w:val="24"/>
        </w:rPr>
        <w:tab/>
        <w:t>40 mg:</w:t>
      </w:r>
      <w:r>
        <w:rPr>
          <w:sz w:val="24"/>
          <w:szCs w:val="24"/>
        </w:rPr>
        <w:tab/>
        <w:t>47057</w:t>
      </w:r>
    </w:p>
    <w:p w:rsidR="001F29F9" w:rsidRPr="00EC0B9B" w:rsidRDefault="001F29F9" w:rsidP="001F29F9">
      <w:pPr>
        <w:tabs>
          <w:tab w:val="left" w:pos="851"/>
        </w:tabs>
        <w:jc w:val="both"/>
        <w:rPr>
          <w:sz w:val="24"/>
          <w:szCs w:val="24"/>
        </w:rPr>
      </w:pPr>
    </w:p>
    <w:p w:rsidR="001F29F9" w:rsidRPr="00EC0B9B" w:rsidRDefault="001F29F9" w:rsidP="001F29F9">
      <w:pPr>
        <w:tabs>
          <w:tab w:val="left" w:pos="851"/>
        </w:tabs>
        <w:rPr>
          <w:b/>
          <w:sz w:val="24"/>
          <w:szCs w:val="24"/>
        </w:rPr>
      </w:pPr>
      <w:r w:rsidRPr="00EC0B9B">
        <w:rPr>
          <w:b/>
          <w:sz w:val="24"/>
          <w:szCs w:val="24"/>
        </w:rPr>
        <w:t>9.</w:t>
      </w:r>
      <w:r w:rsidRPr="00EC0B9B">
        <w:rPr>
          <w:b/>
          <w:sz w:val="24"/>
          <w:szCs w:val="24"/>
        </w:rPr>
        <w:tab/>
        <w:t>DATO FOR FØRSTE MARKEDSFØRINGSTILLADELSE</w:t>
      </w:r>
    </w:p>
    <w:p w:rsidR="001F29F9" w:rsidRPr="00EC0B9B" w:rsidRDefault="001F29F9" w:rsidP="001F29F9">
      <w:pPr>
        <w:tabs>
          <w:tab w:val="left" w:pos="851"/>
        </w:tabs>
        <w:rPr>
          <w:sz w:val="24"/>
          <w:szCs w:val="24"/>
        </w:rPr>
      </w:pPr>
      <w:r w:rsidRPr="00EC0B9B">
        <w:rPr>
          <w:sz w:val="24"/>
          <w:szCs w:val="24"/>
        </w:rPr>
        <w:tab/>
      </w:r>
      <w:r>
        <w:rPr>
          <w:sz w:val="24"/>
          <w:szCs w:val="24"/>
        </w:rPr>
        <w:t>10. juli 2012</w:t>
      </w:r>
    </w:p>
    <w:p w:rsidR="001F29F9" w:rsidRPr="00EC0B9B" w:rsidRDefault="001F29F9" w:rsidP="001F29F9">
      <w:pPr>
        <w:tabs>
          <w:tab w:val="left" w:pos="851"/>
        </w:tabs>
        <w:rPr>
          <w:sz w:val="24"/>
          <w:szCs w:val="24"/>
        </w:rPr>
      </w:pPr>
    </w:p>
    <w:p w:rsidR="001F29F9" w:rsidRPr="00EC0B9B" w:rsidRDefault="001F29F9" w:rsidP="001F29F9">
      <w:pPr>
        <w:tabs>
          <w:tab w:val="left" w:pos="851"/>
        </w:tabs>
        <w:rPr>
          <w:b/>
          <w:sz w:val="24"/>
          <w:szCs w:val="24"/>
        </w:rPr>
      </w:pPr>
      <w:r w:rsidRPr="00EC0B9B">
        <w:rPr>
          <w:b/>
          <w:sz w:val="24"/>
          <w:szCs w:val="24"/>
        </w:rPr>
        <w:t>10.</w:t>
      </w:r>
      <w:r w:rsidRPr="00EC0B9B">
        <w:rPr>
          <w:b/>
          <w:sz w:val="24"/>
          <w:szCs w:val="24"/>
        </w:rPr>
        <w:tab/>
        <w:t>DATO FOR ÆNDRING AF TEKSTEN</w:t>
      </w:r>
    </w:p>
    <w:p w:rsidR="001F29F9" w:rsidRPr="00575A42" w:rsidRDefault="001F29F9" w:rsidP="001F29F9">
      <w:pPr>
        <w:tabs>
          <w:tab w:val="left" w:pos="851"/>
        </w:tabs>
        <w:rPr>
          <w:sz w:val="24"/>
          <w:szCs w:val="24"/>
        </w:rPr>
      </w:pPr>
      <w:r w:rsidRPr="00575A42">
        <w:rPr>
          <w:sz w:val="24"/>
          <w:szCs w:val="24"/>
        </w:rPr>
        <w:tab/>
      </w:r>
      <w:r w:rsidR="00970188">
        <w:rPr>
          <w:sz w:val="24"/>
          <w:szCs w:val="24"/>
        </w:rPr>
        <w:t>18. marts 2025</w:t>
      </w:r>
    </w:p>
    <w:p w:rsidR="001F29F9" w:rsidRPr="006F124B" w:rsidRDefault="001F29F9" w:rsidP="001F29F9"/>
    <w:sectPr w:rsidR="001F29F9" w:rsidRPr="006F124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120" w:rsidRDefault="00E52120">
      <w:r>
        <w:separator/>
      </w:r>
    </w:p>
  </w:endnote>
  <w:endnote w:type="continuationSeparator" w:id="0">
    <w:p w:rsidR="00E52120" w:rsidRDefault="00E5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120" w:rsidRDefault="00E52120">
    <w:pPr>
      <w:pStyle w:val="Sidefod"/>
      <w:pBdr>
        <w:bottom w:val="single" w:sz="6" w:space="1" w:color="auto"/>
      </w:pBdr>
    </w:pPr>
  </w:p>
  <w:p w:rsidR="00E52120" w:rsidRDefault="00E52120" w:rsidP="00C42586">
    <w:pPr>
      <w:pStyle w:val="Sidefod"/>
      <w:tabs>
        <w:tab w:val="clear" w:pos="4819"/>
        <w:tab w:val="left" w:pos="8505"/>
      </w:tabs>
      <w:rPr>
        <w:i/>
        <w:sz w:val="18"/>
        <w:szCs w:val="18"/>
      </w:rPr>
    </w:pPr>
  </w:p>
  <w:p w:rsidR="00E52120" w:rsidRPr="00B373D7" w:rsidRDefault="00E5212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Ulcerex, enterokapsler 20 mg og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120" w:rsidRDefault="00E52120">
      <w:r>
        <w:separator/>
      </w:r>
    </w:p>
  </w:footnote>
  <w:footnote w:type="continuationSeparator" w:id="0">
    <w:p w:rsidR="00E52120" w:rsidRDefault="00E52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D6EB6"/>
    <w:multiLevelType w:val="hybridMultilevel"/>
    <w:tmpl w:val="F864A83E"/>
    <w:lvl w:ilvl="0" w:tplc="7186BC52">
      <w:start w:val="39"/>
      <w:numFmt w:val="bullet"/>
      <w:lvlText w:val="-"/>
      <w:lvlJc w:val="left"/>
      <w:pPr>
        <w:ind w:left="1571" w:hanging="360"/>
      </w:pPr>
      <w:rPr>
        <w:rFonts w:ascii="Times New Roman" w:eastAsiaTheme="minorEastAsia"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0E8408F"/>
    <w:multiLevelType w:val="hybridMultilevel"/>
    <w:tmpl w:val="5894B8A2"/>
    <w:lvl w:ilvl="0" w:tplc="7186BC52">
      <w:start w:val="39"/>
      <w:numFmt w:val="bullet"/>
      <w:lvlText w:val="-"/>
      <w:lvlJc w:val="left"/>
      <w:pPr>
        <w:ind w:left="1571" w:hanging="360"/>
      </w:pPr>
      <w:rPr>
        <w:rFonts w:ascii="Times New Roman" w:eastAsiaTheme="minorEastAsia"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1502CF0"/>
    <w:multiLevelType w:val="hybridMultilevel"/>
    <w:tmpl w:val="4152753A"/>
    <w:lvl w:ilvl="0" w:tplc="CCF09AFC">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51C5FB5"/>
    <w:multiLevelType w:val="hybridMultilevel"/>
    <w:tmpl w:val="1EAE6B54"/>
    <w:lvl w:ilvl="0" w:tplc="3E163406">
      <w:start w:val="1"/>
      <w:numFmt w:val="decimal"/>
      <w:lvlText w:val="%1."/>
      <w:lvlJc w:val="left"/>
      <w:pPr>
        <w:ind w:left="1215" w:hanging="360"/>
      </w:pPr>
    </w:lvl>
    <w:lvl w:ilvl="1" w:tplc="04060019">
      <w:start w:val="1"/>
      <w:numFmt w:val="lowerLetter"/>
      <w:lvlText w:val="%2."/>
      <w:lvlJc w:val="left"/>
      <w:pPr>
        <w:ind w:left="1935" w:hanging="360"/>
      </w:pPr>
    </w:lvl>
    <w:lvl w:ilvl="2" w:tplc="0406001B">
      <w:start w:val="1"/>
      <w:numFmt w:val="lowerRoman"/>
      <w:lvlText w:val="%3."/>
      <w:lvlJc w:val="right"/>
      <w:pPr>
        <w:ind w:left="2655" w:hanging="180"/>
      </w:pPr>
    </w:lvl>
    <w:lvl w:ilvl="3" w:tplc="0406000F">
      <w:start w:val="1"/>
      <w:numFmt w:val="decimal"/>
      <w:lvlText w:val="%4."/>
      <w:lvlJc w:val="left"/>
      <w:pPr>
        <w:ind w:left="3375" w:hanging="360"/>
      </w:pPr>
    </w:lvl>
    <w:lvl w:ilvl="4" w:tplc="04060019">
      <w:start w:val="1"/>
      <w:numFmt w:val="lowerLetter"/>
      <w:lvlText w:val="%5."/>
      <w:lvlJc w:val="left"/>
      <w:pPr>
        <w:ind w:left="4095" w:hanging="360"/>
      </w:pPr>
    </w:lvl>
    <w:lvl w:ilvl="5" w:tplc="0406001B">
      <w:start w:val="1"/>
      <w:numFmt w:val="lowerRoman"/>
      <w:lvlText w:val="%6."/>
      <w:lvlJc w:val="right"/>
      <w:pPr>
        <w:ind w:left="4815" w:hanging="180"/>
      </w:pPr>
    </w:lvl>
    <w:lvl w:ilvl="6" w:tplc="0406000F">
      <w:start w:val="1"/>
      <w:numFmt w:val="decimal"/>
      <w:lvlText w:val="%7."/>
      <w:lvlJc w:val="left"/>
      <w:pPr>
        <w:ind w:left="5535" w:hanging="360"/>
      </w:pPr>
    </w:lvl>
    <w:lvl w:ilvl="7" w:tplc="04060019">
      <w:start w:val="1"/>
      <w:numFmt w:val="lowerLetter"/>
      <w:lvlText w:val="%8."/>
      <w:lvlJc w:val="left"/>
      <w:pPr>
        <w:ind w:left="6255" w:hanging="360"/>
      </w:pPr>
    </w:lvl>
    <w:lvl w:ilvl="8" w:tplc="0406001B">
      <w:start w:val="1"/>
      <w:numFmt w:val="lowerRoman"/>
      <w:lvlText w:val="%9."/>
      <w:lvlJc w:val="right"/>
      <w:pPr>
        <w:ind w:left="6975" w:hanging="18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73F28E6"/>
    <w:multiLevelType w:val="hybridMultilevel"/>
    <w:tmpl w:val="74C8BC94"/>
    <w:lvl w:ilvl="0" w:tplc="CCF09AFC">
      <w:start w:val="1"/>
      <w:numFmt w:val="bullet"/>
      <w:lvlText w:val=""/>
      <w:lvlJc w:val="left"/>
      <w:pPr>
        <w:tabs>
          <w:tab w:val="num" w:pos="1134"/>
        </w:tabs>
        <w:ind w:left="1134" w:hanging="567"/>
      </w:pPr>
      <w:rPr>
        <w:rFonts w:ascii="Symbol" w:hAnsi="Symbol" w:cs="Symbol" w:hint="default"/>
      </w:rPr>
    </w:lvl>
    <w:lvl w:ilvl="1" w:tplc="08070003">
      <w:start w:val="1"/>
      <w:numFmt w:val="bullet"/>
      <w:lvlText w:val="o"/>
      <w:lvlJc w:val="left"/>
      <w:pPr>
        <w:tabs>
          <w:tab w:val="num" w:pos="2007"/>
        </w:tabs>
        <w:ind w:left="2007" w:hanging="360"/>
      </w:pPr>
      <w:rPr>
        <w:rFonts w:ascii="Courier New" w:hAnsi="Courier New" w:cs="Courier New" w:hint="default"/>
      </w:rPr>
    </w:lvl>
    <w:lvl w:ilvl="2" w:tplc="08070005">
      <w:start w:val="1"/>
      <w:numFmt w:val="bullet"/>
      <w:lvlText w:val=""/>
      <w:lvlJc w:val="left"/>
      <w:pPr>
        <w:tabs>
          <w:tab w:val="num" w:pos="2727"/>
        </w:tabs>
        <w:ind w:left="2727" w:hanging="360"/>
      </w:pPr>
      <w:rPr>
        <w:rFonts w:ascii="Wingdings" w:hAnsi="Wingdings" w:cs="Wingdings" w:hint="default"/>
      </w:rPr>
    </w:lvl>
    <w:lvl w:ilvl="3" w:tplc="08070001">
      <w:start w:val="1"/>
      <w:numFmt w:val="bullet"/>
      <w:lvlText w:val=""/>
      <w:lvlJc w:val="left"/>
      <w:pPr>
        <w:tabs>
          <w:tab w:val="num" w:pos="3447"/>
        </w:tabs>
        <w:ind w:left="3447" w:hanging="360"/>
      </w:pPr>
      <w:rPr>
        <w:rFonts w:ascii="Symbol" w:hAnsi="Symbol" w:cs="Symbol" w:hint="default"/>
      </w:rPr>
    </w:lvl>
    <w:lvl w:ilvl="4" w:tplc="08070003">
      <w:start w:val="1"/>
      <w:numFmt w:val="bullet"/>
      <w:lvlText w:val="o"/>
      <w:lvlJc w:val="left"/>
      <w:pPr>
        <w:tabs>
          <w:tab w:val="num" w:pos="4167"/>
        </w:tabs>
        <w:ind w:left="4167" w:hanging="360"/>
      </w:pPr>
      <w:rPr>
        <w:rFonts w:ascii="Courier New" w:hAnsi="Courier New" w:cs="Courier New" w:hint="default"/>
      </w:rPr>
    </w:lvl>
    <w:lvl w:ilvl="5" w:tplc="08070005">
      <w:start w:val="1"/>
      <w:numFmt w:val="bullet"/>
      <w:lvlText w:val=""/>
      <w:lvlJc w:val="left"/>
      <w:pPr>
        <w:tabs>
          <w:tab w:val="num" w:pos="4887"/>
        </w:tabs>
        <w:ind w:left="4887" w:hanging="360"/>
      </w:pPr>
      <w:rPr>
        <w:rFonts w:ascii="Wingdings" w:hAnsi="Wingdings" w:cs="Wingdings" w:hint="default"/>
      </w:rPr>
    </w:lvl>
    <w:lvl w:ilvl="6" w:tplc="08070001">
      <w:start w:val="1"/>
      <w:numFmt w:val="bullet"/>
      <w:lvlText w:val=""/>
      <w:lvlJc w:val="left"/>
      <w:pPr>
        <w:tabs>
          <w:tab w:val="num" w:pos="5607"/>
        </w:tabs>
        <w:ind w:left="5607" w:hanging="360"/>
      </w:pPr>
      <w:rPr>
        <w:rFonts w:ascii="Symbol" w:hAnsi="Symbol" w:cs="Symbol" w:hint="default"/>
      </w:rPr>
    </w:lvl>
    <w:lvl w:ilvl="7" w:tplc="08070003">
      <w:start w:val="1"/>
      <w:numFmt w:val="bullet"/>
      <w:lvlText w:val="o"/>
      <w:lvlJc w:val="left"/>
      <w:pPr>
        <w:tabs>
          <w:tab w:val="num" w:pos="6327"/>
        </w:tabs>
        <w:ind w:left="6327" w:hanging="360"/>
      </w:pPr>
      <w:rPr>
        <w:rFonts w:ascii="Courier New" w:hAnsi="Courier New" w:cs="Courier New" w:hint="default"/>
      </w:rPr>
    </w:lvl>
    <w:lvl w:ilvl="8" w:tplc="08070005">
      <w:start w:val="1"/>
      <w:numFmt w:val="bullet"/>
      <w:lvlText w:val=""/>
      <w:lvlJc w:val="left"/>
      <w:pPr>
        <w:tabs>
          <w:tab w:val="num" w:pos="7047"/>
        </w:tabs>
        <w:ind w:left="7047" w:hanging="360"/>
      </w:pPr>
      <w:rPr>
        <w:rFonts w:ascii="Wingdings" w:hAnsi="Wingdings" w:cs="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B824785"/>
    <w:multiLevelType w:val="hybridMultilevel"/>
    <w:tmpl w:val="F3B03190"/>
    <w:lvl w:ilvl="0" w:tplc="CCF09AFC">
      <w:start w:val="1"/>
      <w:numFmt w:val="bullet"/>
      <w:lvlText w:val=""/>
      <w:lvlJc w:val="left"/>
      <w:pPr>
        <w:tabs>
          <w:tab w:val="num" w:pos="1134"/>
        </w:tabs>
        <w:ind w:left="1134" w:hanging="567"/>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E0A60F1"/>
    <w:multiLevelType w:val="hybridMultilevel"/>
    <w:tmpl w:val="9FA4C4FE"/>
    <w:lvl w:ilvl="0" w:tplc="CCF09AFC">
      <w:start w:val="1"/>
      <w:numFmt w:val="bullet"/>
      <w:lvlText w:val=""/>
      <w:lvlJc w:val="left"/>
      <w:pPr>
        <w:tabs>
          <w:tab w:val="num" w:pos="1134"/>
        </w:tabs>
        <w:ind w:left="1134" w:hanging="567"/>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10D432B"/>
    <w:multiLevelType w:val="hybridMultilevel"/>
    <w:tmpl w:val="F9722B04"/>
    <w:lvl w:ilvl="0" w:tplc="CCF09AFC">
      <w:start w:val="1"/>
      <w:numFmt w:val="bullet"/>
      <w:lvlText w:val=""/>
      <w:lvlJc w:val="left"/>
      <w:pPr>
        <w:tabs>
          <w:tab w:val="num" w:pos="1134"/>
        </w:tabs>
        <w:ind w:left="1134" w:hanging="567"/>
      </w:pPr>
      <w:rPr>
        <w:rFonts w:ascii="Symbol" w:hAnsi="Symbol" w:cs="Symbol" w:hint="default"/>
      </w:rPr>
    </w:lvl>
    <w:lvl w:ilvl="1" w:tplc="08070003">
      <w:start w:val="1"/>
      <w:numFmt w:val="bullet"/>
      <w:lvlText w:val="o"/>
      <w:lvlJc w:val="left"/>
      <w:pPr>
        <w:tabs>
          <w:tab w:val="num" w:pos="2007"/>
        </w:tabs>
        <w:ind w:left="2007" w:hanging="360"/>
      </w:pPr>
      <w:rPr>
        <w:rFonts w:ascii="Courier New" w:hAnsi="Courier New" w:cs="Courier New" w:hint="default"/>
      </w:rPr>
    </w:lvl>
    <w:lvl w:ilvl="2" w:tplc="08070005">
      <w:start w:val="1"/>
      <w:numFmt w:val="bullet"/>
      <w:lvlText w:val=""/>
      <w:lvlJc w:val="left"/>
      <w:pPr>
        <w:tabs>
          <w:tab w:val="num" w:pos="2727"/>
        </w:tabs>
        <w:ind w:left="2727" w:hanging="360"/>
      </w:pPr>
      <w:rPr>
        <w:rFonts w:ascii="Wingdings" w:hAnsi="Wingdings" w:cs="Wingdings" w:hint="default"/>
      </w:rPr>
    </w:lvl>
    <w:lvl w:ilvl="3" w:tplc="08070001">
      <w:start w:val="1"/>
      <w:numFmt w:val="bullet"/>
      <w:lvlText w:val=""/>
      <w:lvlJc w:val="left"/>
      <w:pPr>
        <w:tabs>
          <w:tab w:val="num" w:pos="3447"/>
        </w:tabs>
        <w:ind w:left="3447" w:hanging="360"/>
      </w:pPr>
      <w:rPr>
        <w:rFonts w:ascii="Symbol" w:hAnsi="Symbol" w:cs="Symbol" w:hint="default"/>
      </w:rPr>
    </w:lvl>
    <w:lvl w:ilvl="4" w:tplc="08070003">
      <w:start w:val="1"/>
      <w:numFmt w:val="bullet"/>
      <w:lvlText w:val="o"/>
      <w:lvlJc w:val="left"/>
      <w:pPr>
        <w:tabs>
          <w:tab w:val="num" w:pos="4167"/>
        </w:tabs>
        <w:ind w:left="4167" w:hanging="360"/>
      </w:pPr>
      <w:rPr>
        <w:rFonts w:ascii="Courier New" w:hAnsi="Courier New" w:cs="Courier New" w:hint="default"/>
      </w:rPr>
    </w:lvl>
    <w:lvl w:ilvl="5" w:tplc="08070005">
      <w:start w:val="1"/>
      <w:numFmt w:val="bullet"/>
      <w:lvlText w:val=""/>
      <w:lvlJc w:val="left"/>
      <w:pPr>
        <w:tabs>
          <w:tab w:val="num" w:pos="4887"/>
        </w:tabs>
        <w:ind w:left="4887" w:hanging="360"/>
      </w:pPr>
      <w:rPr>
        <w:rFonts w:ascii="Wingdings" w:hAnsi="Wingdings" w:cs="Wingdings" w:hint="default"/>
      </w:rPr>
    </w:lvl>
    <w:lvl w:ilvl="6" w:tplc="08070001">
      <w:start w:val="1"/>
      <w:numFmt w:val="bullet"/>
      <w:lvlText w:val=""/>
      <w:lvlJc w:val="left"/>
      <w:pPr>
        <w:tabs>
          <w:tab w:val="num" w:pos="5607"/>
        </w:tabs>
        <w:ind w:left="5607" w:hanging="360"/>
      </w:pPr>
      <w:rPr>
        <w:rFonts w:ascii="Symbol" w:hAnsi="Symbol" w:cs="Symbol" w:hint="default"/>
      </w:rPr>
    </w:lvl>
    <w:lvl w:ilvl="7" w:tplc="08070003">
      <w:start w:val="1"/>
      <w:numFmt w:val="bullet"/>
      <w:lvlText w:val="o"/>
      <w:lvlJc w:val="left"/>
      <w:pPr>
        <w:tabs>
          <w:tab w:val="num" w:pos="6327"/>
        </w:tabs>
        <w:ind w:left="6327" w:hanging="360"/>
      </w:pPr>
      <w:rPr>
        <w:rFonts w:ascii="Courier New" w:hAnsi="Courier New" w:cs="Courier New" w:hint="default"/>
      </w:rPr>
    </w:lvl>
    <w:lvl w:ilvl="8" w:tplc="08070005">
      <w:start w:val="1"/>
      <w:numFmt w:val="bullet"/>
      <w:lvlText w:val=""/>
      <w:lvlJc w:val="left"/>
      <w:pPr>
        <w:tabs>
          <w:tab w:val="num" w:pos="7047"/>
        </w:tabs>
        <w:ind w:left="7047" w:hanging="360"/>
      </w:pPr>
      <w:rPr>
        <w:rFonts w:ascii="Wingdings" w:hAnsi="Wingdings" w:cs="Wingdings" w:hint="default"/>
      </w:rPr>
    </w:lvl>
  </w:abstractNum>
  <w:abstractNum w:abstractNumId="13" w15:restartNumberingAfterBreak="0">
    <w:nsid w:val="7A514AE9"/>
    <w:multiLevelType w:val="hybridMultilevel"/>
    <w:tmpl w:val="3392B6C0"/>
    <w:lvl w:ilvl="0" w:tplc="CCF09AFC">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11"/>
  </w:num>
  <w:num w:numId="9">
    <w:abstractNumId w:val="10"/>
  </w:num>
  <w:num w:numId="10">
    <w:abstractNumId w:val="13"/>
  </w:num>
  <w:num w:numId="11">
    <w:abstractNumId w:val="3"/>
  </w:num>
  <w:num w:numId="12">
    <w:abstractNumId w:val="1"/>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F9"/>
    <w:rsid w:val="000259B9"/>
    <w:rsid w:val="00041491"/>
    <w:rsid w:val="00050D16"/>
    <w:rsid w:val="00074F2A"/>
    <w:rsid w:val="0008620F"/>
    <w:rsid w:val="000A1CA8"/>
    <w:rsid w:val="000A466B"/>
    <w:rsid w:val="000B058C"/>
    <w:rsid w:val="000E4EE6"/>
    <w:rsid w:val="001454E2"/>
    <w:rsid w:val="001F29F9"/>
    <w:rsid w:val="00206CE8"/>
    <w:rsid w:val="0021526C"/>
    <w:rsid w:val="00283A2B"/>
    <w:rsid w:val="002B30AD"/>
    <w:rsid w:val="002C2C01"/>
    <w:rsid w:val="00334DFE"/>
    <w:rsid w:val="003A29AE"/>
    <w:rsid w:val="003A32D7"/>
    <w:rsid w:val="003B4074"/>
    <w:rsid w:val="003C769A"/>
    <w:rsid w:val="003F1838"/>
    <w:rsid w:val="0045746C"/>
    <w:rsid w:val="0049104B"/>
    <w:rsid w:val="004E3B12"/>
    <w:rsid w:val="00532310"/>
    <w:rsid w:val="00560ECC"/>
    <w:rsid w:val="00565F0F"/>
    <w:rsid w:val="00575A42"/>
    <w:rsid w:val="00594A86"/>
    <w:rsid w:val="00596D86"/>
    <w:rsid w:val="00637F5A"/>
    <w:rsid w:val="006560B1"/>
    <w:rsid w:val="006756DD"/>
    <w:rsid w:val="006A7FDA"/>
    <w:rsid w:val="006C401A"/>
    <w:rsid w:val="00704D69"/>
    <w:rsid w:val="00737275"/>
    <w:rsid w:val="00740EEC"/>
    <w:rsid w:val="0078011A"/>
    <w:rsid w:val="00782AF4"/>
    <w:rsid w:val="00790EE7"/>
    <w:rsid w:val="007B6649"/>
    <w:rsid w:val="00803EF8"/>
    <w:rsid w:val="00813C36"/>
    <w:rsid w:val="0081546F"/>
    <w:rsid w:val="0082576E"/>
    <w:rsid w:val="00907F75"/>
    <w:rsid w:val="009260DE"/>
    <w:rsid w:val="0093258A"/>
    <w:rsid w:val="00970188"/>
    <w:rsid w:val="009C7BA3"/>
    <w:rsid w:val="009D1F5A"/>
    <w:rsid w:val="00AF2992"/>
    <w:rsid w:val="00B003BF"/>
    <w:rsid w:val="00B373D7"/>
    <w:rsid w:val="00C36276"/>
    <w:rsid w:val="00C42586"/>
    <w:rsid w:val="00C55A79"/>
    <w:rsid w:val="00C60CCD"/>
    <w:rsid w:val="00C84483"/>
    <w:rsid w:val="00C95551"/>
    <w:rsid w:val="00CB20D7"/>
    <w:rsid w:val="00CB4576"/>
    <w:rsid w:val="00D020B0"/>
    <w:rsid w:val="00D11748"/>
    <w:rsid w:val="00D366CF"/>
    <w:rsid w:val="00DC6809"/>
    <w:rsid w:val="00E108AA"/>
    <w:rsid w:val="00E31812"/>
    <w:rsid w:val="00E3749A"/>
    <w:rsid w:val="00E52120"/>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2BF01"/>
  <w15:chartTrackingRefBased/>
  <w15:docId w15:val="{A120C3F8-AAD2-4779-A1D6-58ACD34C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A79"/>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rsid w:val="001F29F9"/>
    <w:pPr>
      <w:spacing w:before="100" w:beforeAutospacing="1" w:after="100" w:afterAutospacing="1"/>
    </w:pPr>
    <w:rPr>
      <w:sz w:val="24"/>
      <w:szCs w:val="24"/>
      <w:lang w:val="pt-PT" w:eastAsia="pt-PT"/>
    </w:rPr>
  </w:style>
  <w:style w:type="paragraph" w:styleId="Listeafsnit">
    <w:name w:val="List Paragraph"/>
    <w:basedOn w:val="Normal"/>
    <w:uiPriority w:val="34"/>
    <w:qFormat/>
    <w:rsid w:val="001F29F9"/>
    <w:pPr>
      <w:ind w:left="720"/>
      <w:contextualSpacing/>
    </w:pPr>
  </w:style>
  <w:style w:type="character" w:styleId="Hyperlink">
    <w:name w:val="Hyperlink"/>
    <w:basedOn w:val="Standardskrifttypeiafsnit"/>
    <w:uiPriority w:val="99"/>
    <w:semiHidden/>
    <w:unhideWhenUsed/>
    <w:rsid w:val="001F29F9"/>
    <w:rPr>
      <w:color w:val="0563C1" w:themeColor="hyperlink"/>
      <w:u w:val="single"/>
    </w:rPr>
  </w:style>
  <w:style w:type="paragraph" w:customStyle="1" w:styleId="TableParagraph">
    <w:name w:val="Table Paragraph"/>
    <w:basedOn w:val="Normal"/>
    <w:uiPriority w:val="1"/>
    <w:qFormat/>
    <w:rsid w:val="00C55A79"/>
    <w:pPr>
      <w:widowControl w:val="0"/>
      <w:autoSpaceDE w:val="0"/>
      <w:autoSpaceDN w:val="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5156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71046894">
      <w:bodyDiv w:val="1"/>
      <w:marLeft w:val="0"/>
      <w:marRight w:val="0"/>
      <w:marTop w:val="0"/>
      <w:marBottom w:val="0"/>
      <w:divBdr>
        <w:top w:val="none" w:sz="0" w:space="0" w:color="auto"/>
        <w:left w:val="none" w:sz="0" w:space="0" w:color="auto"/>
        <w:bottom w:val="none" w:sz="0" w:space="0" w:color="auto"/>
        <w:right w:val="none" w:sz="0" w:space="0" w:color="auto"/>
      </w:divBdr>
    </w:div>
    <w:div w:id="686833824">
      <w:bodyDiv w:val="1"/>
      <w:marLeft w:val="0"/>
      <w:marRight w:val="0"/>
      <w:marTop w:val="0"/>
      <w:marBottom w:val="0"/>
      <w:divBdr>
        <w:top w:val="none" w:sz="0" w:space="0" w:color="auto"/>
        <w:left w:val="none" w:sz="0" w:space="0" w:color="auto"/>
        <w:bottom w:val="none" w:sz="0" w:space="0" w:color="auto"/>
        <w:right w:val="none" w:sz="0" w:space="0" w:color="auto"/>
      </w:divBdr>
    </w:div>
    <w:div w:id="187361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1601C.B3FB0BA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5564</Words>
  <Characters>35872</Characters>
  <Application>Microsoft Office Word</Application>
  <DocSecurity>0</DocSecurity>
  <Lines>298</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2024101780 pkt. 4.2, 5.1, 6.6</dc:description>
  <cp:lastModifiedBy>Lea Daugaard Kristiansen</cp:lastModifiedBy>
  <cp:revision>3</cp:revision>
  <cp:lastPrinted>2012-08-22T08:53:00Z</cp:lastPrinted>
  <dcterms:created xsi:type="dcterms:W3CDTF">2025-03-14T10:37:00Z</dcterms:created>
  <dcterms:modified xsi:type="dcterms:W3CDTF">2025-03-14T10:41:00Z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